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7C6BE8" w:rsidRDefault="00EE4229" w:rsidP="00B1793F">
      <w:pPr>
        <w:ind w:firstLine="720"/>
        <w:jc w:val="both"/>
        <w:rPr>
          <w:rFonts w:asciiTheme="majorHAnsi" w:hAnsiTheme="majorHAnsi" w:cs="Univers"/>
          <w:b/>
          <w:bCs/>
          <w:sz w:val="20"/>
          <w:szCs w:val="20"/>
          <w:lang w:val="es-ES_tradnl"/>
        </w:rPr>
      </w:pPr>
      <w:bookmarkStart w:id="0" w:name="_GoBack"/>
      <w:bookmarkEnd w:id="0"/>
      <w:r w:rsidRPr="007C6BE8">
        <w:rPr>
          <w:rFonts w:asciiTheme="majorHAnsi" w:hAnsiTheme="majorHAnsi"/>
          <w:noProof/>
          <w:sz w:val="20"/>
          <w:szCs w:val="20"/>
          <w:bdr w:val="none" w:sz="0" w:space="0" w:color="auto"/>
        </w:rPr>
        <mc:AlternateContent>
          <mc:Choice Requires="wps">
            <w:drawing>
              <wp:anchor distT="0" distB="0" distL="114300" distR="114300" simplePos="0" relativeHeight="251653632" behindDoc="0" locked="0" layoutInCell="1" allowOverlap="1" wp14:anchorId="58F26D28" wp14:editId="67528081">
                <wp:simplePos x="0" y="0"/>
                <wp:positionH relativeFrom="column">
                  <wp:posOffset>-415925</wp:posOffset>
                </wp:positionH>
                <wp:positionV relativeFrom="paragraph">
                  <wp:posOffset>-439420</wp:posOffset>
                </wp:positionV>
                <wp:extent cx="1543050" cy="9096375"/>
                <wp:effectExtent l="0" t="0" r="0" b="9525"/>
                <wp:wrapNone/>
                <wp:docPr id="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AC452" id="Rectangle 1" o:spid="_x0000_s1026" style="position:absolute;margin-left:-32.75pt;margin-top:-34.6pt;width:121.5pt;height:71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" fillcolor="#4a7194" stroked="f" strokeweight="2pt">
                <v:path arrowok="t"/>
              </v:rect>
            </w:pict>
          </mc:Fallback>
        </mc:AlternateContent>
      </w:r>
      <w:r w:rsidRPr="007C6BE8">
        <w:rPr>
          <w:rFonts w:asciiTheme="majorHAnsi" w:hAnsiTheme="majorHAnsi"/>
          <w:noProof/>
          <w:sz w:val="20"/>
          <w:szCs w:val="20"/>
          <w:bdr w:val="none" w:sz="0" w:space="0" w:color="auto"/>
        </w:rPr>
        <mc:AlternateContent>
          <mc:Choice Requires="wps">
            <w:drawing>
              <wp:anchor distT="0" distB="0" distL="114300" distR="114300" simplePos="0" relativeHeight="251657728" behindDoc="0" locked="0" layoutInCell="1" allowOverlap="1" wp14:anchorId="6318C10F" wp14:editId="47B3416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txbx>
                        <w:txbxContent>
                          <w:p w:rsidR="00512B04" w:rsidRDefault="00512B04" w:rsidP="00AE5488">
                            <w:r>
                              <w:rPr>
                                <w:noProof/>
                              </w:rPr>
                              <w:drawing>
                                <wp:inline distT="0" distB="0" distL="0" distR="0" wp14:anchorId="56373D49" wp14:editId="2036F66F">
                                  <wp:extent cx="2647950" cy="514350"/>
                                  <wp:effectExtent l="0" t="0" r="0" b="0"/>
                                  <wp:docPr id="2" name="Picture 12"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514350"/>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8C10F"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" filled="f" stroked="f" strokeweight=".5pt">
                <v:path arrowok="t"/>
                <v:textbox>
                  <w:txbxContent>
                    <w:p w:rsidR="00512B04" w:rsidRDefault="00512B04" w:rsidP="00AE5488">
                      <w:r>
                        <w:rPr>
                          <w:noProof/>
                        </w:rPr>
                        <w:drawing>
                          <wp:inline distT="0" distB="0" distL="0" distR="0" wp14:anchorId="56373D49" wp14:editId="2036F66F">
                            <wp:extent cx="2647950" cy="514350"/>
                            <wp:effectExtent l="0" t="0" r="0" b="0"/>
                            <wp:docPr id="2" name="Picture 12"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514350"/>
                                    </a:xfrm>
                                    <a:prstGeom prst="rect">
                                      <a:avLst/>
                                    </a:prstGeom>
                                    <a:noFill/>
                                    <a:ln>
                                      <a:noFill/>
                                    </a:ln>
                                  </pic:spPr>
                                </pic:pic>
                              </a:graphicData>
                            </a:graphic>
                          </wp:inline>
                        </w:drawing>
                      </w:r>
                      <w:r>
                        <w:tab/>
                        <w:t xml:space="preserve">                              </w:t>
                      </w:r>
                    </w:p>
                  </w:txbxContent>
                </v:textbox>
              </v:shape>
            </w:pict>
          </mc:Fallback>
        </mc:AlternateContent>
      </w:r>
      <w:r w:rsidR="00CE4BE2">
        <w:rPr>
          <w:rFonts w:asciiTheme="majorHAnsi" w:hAnsiTheme="majorHAnsi" w:cs="Univers"/>
          <w:b/>
          <w:bCs/>
          <w:sz w:val="20"/>
          <w:szCs w:val="20"/>
          <w:lang w:val="es-ES_tradnl"/>
        </w:rPr>
        <w:t xml:space="preserve"> </w:t>
      </w:r>
    </w:p>
    <w:p w:rsidR="00040C3A" w:rsidRPr="007C6BE8" w:rsidRDefault="00040C3A" w:rsidP="00B1793F">
      <w:pPr>
        <w:tabs>
          <w:tab w:val="center" w:pos="5400"/>
        </w:tabs>
        <w:suppressAutoHyphens/>
        <w:ind w:firstLine="720"/>
        <w:jc w:val="both"/>
        <w:rPr>
          <w:rFonts w:asciiTheme="majorHAnsi" w:hAnsiTheme="majorHAnsi"/>
          <w:sz w:val="20"/>
          <w:szCs w:val="20"/>
          <w:lang w:val="es-ES"/>
        </w:rPr>
      </w:pPr>
    </w:p>
    <w:p w:rsidR="00040C3A" w:rsidRPr="007C6BE8" w:rsidRDefault="00040C3A" w:rsidP="00B1793F">
      <w:pPr>
        <w:tabs>
          <w:tab w:val="center" w:pos="5400"/>
        </w:tabs>
        <w:suppressAutoHyphens/>
        <w:ind w:firstLine="720"/>
        <w:jc w:val="both"/>
        <w:rPr>
          <w:rFonts w:asciiTheme="majorHAnsi" w:hAnsiTheme="majorHAnsi"/>
          <w:sz w:val="20"/>
          <w:szCs w:val="20"/>
          <w:lang w:val="es-ES"/>
        </w:rPr>
      </w:pPr>
    </w:p>
    <w:p w:rsidR="005128E4" w:rsidRPr="007C6BE8" w:rsidRDefault="005128E4" w:rsidP="00B1793F">
      <w:pPr>
        <w:tabs>
          <w:tab w:val="center" w:pos="5400"/>
        </w:tabs>
        <w:suppressAutoHyphens/>
        <w:ind w:firstLine="720"/>
        <w:jc w:val="both"/>
        <w:rPr>
          <w:rFonts w:asciiTheme="majorHAnsi" w:hAnsiTheme="majorHAnsi"/>
          <w:sz w:val="20"/>
          <w:szCs w:val="20"/>
          <w:lang w:val="es-ES_tradnl"/>
        </w:rPr>
      </w:pPr>
    </w:p>
    <w:p w:rsidR="005128E4" w:rsidRPr="007C6BE8" w:rsidRDefault="005128E4" w:rsidP="00B1793F">
      <w:pPr>
        <w:tabs>
          <w:tab w:val="center" w:pos="5400"/>
        </w:tabs>
        <w:suppressAutoHyphens/>
        <w:ind w:firstLine="720"/>
        <w:jc w:val="both"/>
        <w:rPr>
          <w:rFonts w:asciiTheme="majorHAnsi" w:hAnsiTheme="majorHAnsi"/>
          <w:sz w:val="20"/>
          <w:szCs w:val="20"/>
          <w:lang w:val="es-ES_tradnl"/>
        </w:rPr>
      </w:pPr>
    </w:p>
    <w:p w:rsidR="005128E4" w:rsidRPr="007C6BE8" w:rsidRDefault="005128E4" w:rsidP="00B1793F">
      <w:pPr>
        <w:tabs>
          <w:tab w:val="center" w:pos="5400"/>
        </w:tabs>
        <w:suppressAutoHyphens/>
        <w:ind w:firstLine="720"/>
        <w:jc w:val="both"/>
        <w:rPr>
          <w:rFonts w:asciiTheme="majorHAnsi" w:hAnsiTheme="majorHAnsi"/>
          <w:sz w:val="20"/>
          <w:szCs w:val="20"/>
          <w:lang w:val="es-ES_tradnl"/>
        </w:rPr>
      </w:pPr>
    </w:p>
    <w:p w:rsidR="00040C3A" w:rsidRPr="007C6BE8" w:rsidRDefault="00040C3A" w:rsidP="00B1793F">
      <w:pPr>
        <w:tabs>
          <w:tab w:val="center" w:pos="5400"/>
        </w:tabs>
        <w:suppressAutoHyphens/>
        <w:ind w:firstLine="720"/>
        <w:jc w:val="both"/>
        <w:rPr>
          <w:rFonts w:asciiTheme="majorHAnsi" w:hAnsiTheme="majorHAnsi"/>
          <w:sz w:val="20"/>
          <w:szCs w:val="20"/>
          <w:lang w:val="es-ES_tradnl"/>
        </w:rPr>
      </w:pPr>
    </w:p>
    <w:p w:rsidR="00040C3A" w:rsidRPr="007C6BE8" w:rsidRDefault="00040C3A" w:rsidP="00B1793F">
      <w:pPr>
        <w:tabs>
          <w:tab w:val="center" w:pos="5400"/>
        </w:tabs>
        <w:suppressAutoHyphens/>
        <w:ind w:firstLine="720"/>
        <w:jc w:val="both"/>
        <w:rPr>
          <w:rFonts w:asciiTheme="majorHAnsi" w:hAnsiTheme="majorHAnsi"/>
          <w:sz w:val="20"/>
          <w:szCs w:val="20"/>
          <w:lang w:val="es-ES_tradnl"/>
        </w:rPr>
      </w:pPr>
    </w:p>
    <w:p w:rsidR="005B52B0" w:rsidRPr="007C6BE8" w:rsidRDefault="005B52B0" w:rsidP="00B1793F">
      <w:pPr>
        <w:tabs>
          <w:tab w:val="center" w:pos="5400"/>
        </w:tabs>
        <w:suppressAutoHyphens/>
        <w:ind w:firstLine="720"/>
        <w:jc w:val="both"/>
        <w:rPr>
          <w:rFonts w:asciiTheme="majorHAnsi" w:hAnsiTheme="majorHAnsi"/>
          <w:sz w:val="20"/>
          <w:szCs w:val="20"/>
          <w:lang w:val="es-ES_tradnl"/>
        </w:rPr>
      </w:pPr>
    </w:p>
    <w:p w:rsidR="005B52B0" w:rsidRPr="007C6BE8" w:rsidRDefault="005B52B0" w:rsidP="00B1793F">
      <w:pPr>
        <w:tabs>
          <w:tab w:val="center" w:pos="5400"/>
        </w:tabs>
        <w:suppressAutoHyphens/>
        <w:ind w:firstLine="720"/>
        <w:jc w:val="both"/>
        <w:rPr>
          <w:rFonts w:asciiTheme="majorHAnsi" w:hAnsiTheme="majorHAnsi"/>
          <w:sz w:val="20"/>
          <w:szCs w:val="20"/>
          <w:lang w:val="es-ES_tradnl"/>
        </w:rPr>
      </w:pPr>
    </w:p>
    <w:p w:rsidR="005B52B0" w:rsidRPr="007C6BE8" w:rsidRDefault="005B52B0" w:rsidP="00B1793F">
      <w:pPr>
        <w:tabs>
          <w:tab w:val="center" w:pos="5400"/>
        </w:tabs>
        <w:suppressAutoHyphens/>
        <w:ind w:firstLine="720"/>
        <w:jc w:val="both"/>
        <w:rPr>
          <w:rFonts w:asciiTheme="majorHAnsi" w:hAnsiTheme="majorHAnsi"/>
          <w:sz w:val="20"/>
          <w:szCs w:val="20"/>
          <w:lang w:val="es-ES_tradnl"/>
        </w:rPr>
      </w:pPr>
    </w:p>
    <w:p w:rsidR="00040C3A" w:rsidRPr="007C6BE8" w:rsidRDefault="00040C3A" w:rsidP="00B1793F">
      <w:pPr>
        <w:tabs>
          <w:tab w:val="center" w:pos="5400"/>
        </w:tabs>
        <w:suppressAutoHyphens/>
        <w:ind w:firstLine="720"/>
        <w:jc w:val="both"/>
        <w:rPr>
          <w:rFonts w:asciiTheme="majorHAnsi" w:hAnsiTheme="majorHAnsi"/>
          <w:sz w:val="20"/>
          <w:szCs w:val="20"/>
          <w:lang w:val="es-ES_tradnl"/>
        </w:rPr>
      </w:pPr>
    </w:p>
    <w:p w:rsidR="00040C3A" w:rsidRPr="007C6BE8" w:rsidRDefault="00040C3A" w:rsidP="00B1793F">
      <w:pPr>
        <w:tabs>
          <w:tab w:val="center" w:pos="5400"/>
        </w:tabs>
        <w:suppressAutoHyphens/>
        <w:ind w:firstLine="720"/>
        <w:jc w:val="both"/>
        <w:rPr>
          <w:rFonts w:asciiTheme="majorHAnsi" w:hAnsiTheme="majorHAnsi"/>
          <w:sz w:val="20"/>
          <w:szCs w:val="20"/>
          <w:lang w:val="es-ES_tradnl"/>
        </w:rPr>
      </w:pPr>
    </w:p>
    <w:p w:rsidR="00040C3A" w:rsidRPr="007C6BE8" w:rsidRDefault="00EE4229" w:rsidP="00B1793F">
      <w:pPr>
        <w:tabs>
          <w:tab w:val="center" w:pos="5400"/>
        </w:tabs>
        <w:suppressAutoHyphens/>
        <w:ind w:firstLine="720"/>
        <w:jc w:val="both"/>
        <w:rPr>
          <w:rFonts w:asciiTheme="majorHAnsi" w:hAnsiTheme="majorHAnsi"/>
          <w:sz w:val="20"/>
          <w:szCs w:val="20"/>
          <w:lang w:val="es-ES_tradnl"/>
        </w:rPr>
      </w:pPr>
      <w:r w:rsidRPr="007C6BE8">
        <w:rPr>
          <w:rFonts w:asciiTheme="majorHAnsi" w:hAnsiTheme="majorHAnsi"/>
          <w:noProof/>
          <w:sz w:val="20"/>
          <w:szCs w:val="20"/>
          <w:bdr w:val="none" w:sz="0" w:space="0" w:color="auto"/>
        </w:rPr>
        <mc:AlternateContent>
          <mc:Choice Requires="wps">
            <w:drawing>
              <wp:anchor distT="0" distB="0" distL="114300" distR="114300" simplePos="0" relativeHeight="251654656" behindDoc="0" locked="0" layoutInCell="1" allowOverlap="1" wp14:anchorId="42DFF36A" wp14:editId="248A06CC">
                <wp:simplePos x="0" y="0"/>
                <wp:positionH relativeFrom="column">
                  <wp:posOffset>1352550</wp:posOffset>
                </wp:positionH>
                <wp:positionV relativeFrom="paragraph">
                  <wp:posOffset>107315</wp:posOffset>
                </wp:positionV>
                <wp:extent cx="4441190" cy="218122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txbx>
                        <w:txbxContent>
                          <w:p w:rsidR="00512B04" w:rsidRPr="00830065" w:rsidRDefault="00512B04" w:rsidP="00997BC5">
                            <w:pPr>
                              <w:spacing w:line="276" w:lineRule="auto"/>
                              <w:rPr>
                                <w:rFonts w:ascii="Cambria" w:hAnsi="Cambria" w:cs="Arial"/>
                                <w:b/>
                                <w:bCs/>
                                <w:color w:val="0D0D0D"/>
                                <w:sz w:val="36"/>
                                <w:szCs w:val="22"/>
                                <w:lang w:val="es-ES"/>
                              </w:rPr>
                            </w:pPr>
                            <w:r w:rsidRPr="00830065">
                              <w:rPr>
                                <w:rFonts w:ascii="Cambria" w:hAnsi="Cambria" w:cs="Arial"/>
                                <w:b/>
                                <w:bCs/>
                                <w:color w:val="0D0D0D"/>
                                <w:sz w:val="36"/>
                                <w:szCs w:val="22"/>
                                <w:lang w:val="es-ES"/>
                              </w:rPr>
                              <w:t xml:space="preserve">INFORME </w:t>
                            </w:r>
                            <w:r w:rsidRPr="00830065">
                              <w:rPr>
                                <w:rFonts w:ascii="Cambria" w:hAnsi="Cambria" w:cs="Arial"/>
                                <w:b/>
                                <w:bCs/>
                                <w:color w:val="0D0D0D"/>
                                <w:sz w:val="36"/>
                                <w:szCs w:val="40"/>
                                <w:lang w:val="es-ES"/>
                              </w:rPr>
                              <w:t>No.</w:t>
                            </w:r>
                            <w:r w:rsidR="008402AC">
                              <w:rPr>
                                <w:rFonts w:ascii="Cambria" w:hAnsi="Cambria" w:cs="Arial"/>
                                <w:b/>
                                <w:bCs/>
                                <w:color w:val="0D0D0D"/>
                                <w:sz w:val="36"/>
                                <w:szCs w:val="22"/>
                                <w:lang w:val="es-ES"/>
                              </w:rPr>
                              <w:t xml:space="preserve"> 96</w:t>
                            </w:r>
                            <w:r w:rsidRPr="00830065">
                              <w:rPr>
                                <w:rFonts w:ascii="Cambria" w:hAnsi="Cambria" w:cs="Arial"/>
                                <w:b/>
                                <w:bCs/>
                                <w:color w:val="0D0D0D"/>
                                <w:sz w:val="36"/>
                                <w:szCs w:val="22"/>
                                <w:lang w:val="es-ES"/>
                              </w:rPr>
                              <w:t>/</w:t>
                            </w:r>
                            <w:r>
                              <w:rPr>
                                <w:rFonts w:ascii="Cambria" w:hAnsi="Cambria" w:cs="Arial"/>
                                <w:b/>
                                <w:bCs/>
                                <w:color w:val="0D0D0D"/>
                                <w:sz w:val="36"/>
                                <w:szCs w:val="22"/>
                                <w:lang w:val="es-ES"/>
                              </w:rPr>
                              <w:t>19</w:t>
                            </w:r>
                          </w:p>
                          <w:p w:rsidR="00512B04" w:rsidRPr="009E54FA" w:rsidRDefault="00512B04" w:rsidP="00997BC5">
                            <w:pPr>
                              <w:spacing w:line="276" w:lineRule="auto"/>
                              <w:rPr>
                                <w:rFonts w:ascii="Cambria" w:hAnsi="Cambria" w:cs="Arial"/>
                                <w:b/>
                                <w:color w:val="0D0D0D"/>
                                <w:sz w:val="36"/>
                                <w:szCs w:val="22"/>
                                <w:lang w:val="es-CR"/>
                              </w:rPr>
                            </w:pPr>
                            <w:r w:rsidRPr="009E54FA">
                              <w:rPr>
                                <w:rFonts w:ascii="Cambria" w:hAnsi="Cambria" w:cs="Arial"/>
                                <w:b/>
                                <w:color w:val="0D0D0D"/>
                                <w:sz w:val="36"/>
                                <w:szCs w:val="22"/>
                                <w:lang w:val="es-CR"/>
                              </w:rPr>
                              <w:t>CASO 11.726</w:t>
                            </w:r>
                          </w:p>
                          <w:p w:rsidR="00512B04" w:rsidRPr="009E54FA" w:rsidRDefault="00512B04" w:rsidP="00135503">
                            <w:pPr>
                              <w:spacing w:line="276" w:lineRule="auto"/>
                              <w:rPr>
                                <w:rFonts w:ascii="Cambria" w:hAnsi="Cambria" w:cs="Arial"/>
                                <w:color w:val="0D0D0D"/>
                                <w:szCs w:val="22"/>
                                <w:lang w:val="es-ES_tradnl"/>
                              </w:rPr>
                            </w:pPr>
                            <w:r w:rsidRPr="009E54FA">
                              <w:rPr>
                                <w:rFonts w:ascii="Cambria" w:hAnsi="Cambria" w:cs="Arial"/>
                                <w:color w:val="0D0D0D"/>
                                <w:szCs w:val="22"/>
                                <w:lang w:val="es-ES_tradnl"/>
                              </w:rPr>
                              <w:t>INFORME DE FONDO</w:t>
                            </w:r>
                            <w:r>
                              <w:rPr>
                                <w:rFonts w:ascii="Cambria" w:hAnsi="Cambria" w:cs="Arial"/>
                                <w:color w:val="0D0D0D"/>
                                <w:szCs w:val="22"/>
                                <w:lang w:val="es-ES_tradnl"/>
                              </w:rPr>
                              <w:t xml:space="preserve"> (PUBLICACIÓN)</w:t>
                            </w:r>
                            <w:r w:rsidRPr="009E54FA">
                              <w:rPr>
                                <w:rFonts w:ascii="Cambria" w:hAnsi="Cambria" w:cs="Arial"/>
                                <w:color w:val="0D0D0D"/>
                                <w:szCs w:val="22"/>
                                <w:lang w:val="es-ES_tradnl"/>
                              </w:rPr>
                              <w:t xml:space="preserve"> </w:t>
                            </w:r>
                          </w:p>
                          <w:p w:rsidR="00512B04" w:rsidRPr="009E54FA" w:rsidRDefault="00512B04" w:rsidP="00997BC5">
                            <w:pPr>
                              <w:spacing w:line="276" w:lineRule="auto"/>
                              <w:rPr>
                                <w:rFonts w:ascii="Cambria" w:hAnsi="Cambria" w:cs="Arial"/>
                                <w:color w:val="0D0D0D"/>
                                <w:szCs w:val="22"/>
                                <w:lang w:val="es-ES_tradnl"/>
                              </w:rPr>
                            </w:pPr>
                            <w:bookmarkStart w:id="1" w:name="_ftnref1"/>
                          </w:p>
                          <w:p w:rsidR="00512B04" w:rsidRPr="009E54FA" w:rsidRDefault="00512B04" w:rsidP="00997BC5">
                            <w:pPr>
                              <w:spacing w:line="276" w:lineRule="auto"/>
                              <w:rPr>
                                <w:rFonts w:ascii="Cambria" w:hAnsi="Cambria" w:cs="Arial"/>
                                <w:color w:val="0D0D0D"/>
                                <w:szCs w:val="22"/>
                                <w:lang w:val="es-ES_tradnl"/>
                              </w:rPr>
                            </w:pPr>
                            <w:r w:rsidRPr="009E54FA">
                              <w:rPr>
                                <w:rFonts w:ascii="Cambria" w:hAnsi="Cambria" w:cs="Arial"/>
                                <w:color w:val="0D0D0D"/>
                                <w:szCs w:val="22"/>
                                <w:lang w:val="es-ES_tradnl"/>
                              </w:rPr>
                              <w:t>NORBERTO JAVIER RESTREPO</w:t>
                            </w:r>
                          </w:p>
                          <w:bookmarkEnd w:id="1"/>
                          <w:p w:rsidR="00512B04" w:rsidRPr="009E54FA" w:rsidRDefault="00512B04" w:rsidP="00997BC5">
                            <w:pPr>
                              <w:spacing w:line="276" w:lineRule="auto"/>
                              <w:rPr>
                                <w:rFonts w:ascii="Cambria" w:hAnsi="Cambria" w:cs="Arial"/>
                                <w:color w:val="0D0D0D"/>
                                <w:szCs w:val="22"/>
                                <w:lang w:val="es-ES"/>
                              </w:rPr>
                            </w:pPr>
                            <w:r w:rsidRPr="009E54FA">
                              <w:rPr>
                                <w:rFonts w:ascii="Cambria" w:hAnsi="Cambria" w:cs="Arial"/>
                                <w:color w:val="0D0D0D"/>
                                <w:szCs w:val="22"/>
                                <w:lang w:val="es-ES_tradnl"/>
                              </w:rPr>
                              <w:t>COLOMBIA</w:t>
                            </w:r>
                          </w:p>
                          <w:p w:rsidR="00512B04" w:rsidRPr="009E54FA" w:rsidRDefault="00512B04" w:rsidP="007A5817">
                            <w:pP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FF36A" id="Text Box 5" o:spid="_x0000_s1027" type="#_x0000_t202" style="position:absolute;left:0;text-align:left;margin-left:106.5pt;margin-top:8.45pt;width:349.7pt;height:17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" filled="f" stroked="f" strokeweight=".5pt">
                <v:path arrowok="t"/>
                <v:textbox>
                  <w:txbxContent>
                    <w:p w:rsidR="00512B04" w:rsidRPr="00830065" w:rsidRDefault="00512B04" w:rsidP="00997BC5">
                      <w:pPr>
                        <w:spacing w:line="276" w:lineRule="auto"/>
                        <w:rPr>
                          <w:rFonts w:ascii="Cambria" w:hAnsi="Cambria" w:cs="Arial"/>
                          <w:b/>
                          <w:bCs/>
                          <w:color w:val="0D0D0D"/>
                          <w:sz w:val="36"/>
                          <w:szCs w:val="22"/>
                          <w:lang w:val="es-ES"/>
                        </w:rPr>
                      </w:pPr>
                      <w:r w:rsidRPr="00830065">
                        <w:rPr>
                          <w:rFonts w:ascii="Cambria" w:hAnsi="Cambria" w:cs="Arial"/>
                          <w:b/>
                          <w:bCs/>
                          <w:color w:val="0D0D0D"/>
                          <w:sz w:val="36"/>
                          <w:szCs w:val="22"/>
                          <w:lang w:val="es-ES"/>
                        </w:rPr>
                        <w:t xml:space="preserve">INFORME </w:t>
                      </w:r>
                      <w:r w:rsidRPr="00830065">
                        <w:rPr>
                          <w:rFonts w:ascii="Cambria" w:hAnsi="Cambria" w:cs="Arial"/>
                          <w:b/>
                          <w:bCs/>
                          <w:color w:val="0D0D0D"/>
                          <w:sz w:val="36"/>
                          <w:szCs w:val="40"/>
                          <w:lang w:val="es-ES"/>
                        </w:rPr>
                        <w:t>No.</w:t>
                      </w:r>
                      <w:r w:rsidR="008402AC">
                        <w:rPr>
                          <w:rFonts w:ascii="Cambria" w:hAnsi="Cambria" w:cs="Arial"/>
                          <w:b/>
                          <w:bCs/>
                          <w:color w:val="0D0D0D"/>
                          <w:sz w:val="36"/>
                          <w:szCs w:val="22"/>
                          <w:lang w:val="es-ES"/>
                        </w:rPr>
                        <w:t xml:space="preserve"> 96</w:t>
                      </w:r>
                      <w:r w:rsidRPr="00830065">
                        <w:rPr>
                          <w:rFonts w:ascii="Cambria" w:hAnsi="Cambria" w:cs="Arial"/>
                          <w:b/>
                          <w:bCs/>
                          <w:color w:val="0D0D0D"/>
                          <w:sz w:val="36"/>
                          <w:szCs w:val="22"/>
                          <w:lang w:val="es-ES"/>
                        </w:rPr>
                        <w:t>/</w:t>
                      </w:r>
                      <w:r>
                        <w:rPr>
                          <w:rFonts w:ascii="Cambria" w:hAnsi="Cambria" w:cs="Arial"/>
                          <w:b/>
                          <w:bCs/>
                          <w:color w:val="0D0D0D"/>
                          <w:sz w:val="36"/>
                          <w:szCs w:val="22"/>
                          <w:lang w:val="es-ES"/>
                        </w:rPr>
                        <w:t>19</w:t>
                      </w:r>
                    </w:p>
                    <w:p w:rsidR="00512B04" w:rsidRPr="009E54FA" w:rsidRDefault="00512B04" w:rsidP="00997BC5">
                      <w:pPr>
                        <w:spacing w:line="276" w:lineRule="auto"/>
                        <w:rPr>
                          <w:rFonts w:ascii="Cambria" w:hAnsi="Cambria" w:cs="Arial"/>
                          <w:b/>
                          <w:color w:val="0D0D0D"/>
                          <w:sz w:val="36"/>
                          <w:szCs w:val="22"/>
                          <w:lang w:val="es-CR"/>
                        </w:rPr>
                      </w:pPr>
                      <w:r w:rsidRPr="009E54FA">
                        <w:rPr>
                          <w:rFonts w:ascii="Cambria" w:hAnsi="Cambria" w:cs="Arial"/>
                          <w:b/>
                          <w:color w:val="0D0D0D"/>
                          <w:sz w:val="36"/>
                          <w:szCs w:val="22"/>
                          <w:lang w:val="es-CR"/>
                        </w:rPr>
                        <w:t>CASO 11.726</w:t>
                      </w:r>
                    </w:p>
                    <w:p w:rsidR="00512B04" w:rsidRPr="009E54FA" w:rsidRDefault="00512B04" w:rsidP="00135503">
                      <w:pPr>
                        <w:spacing w:line="276" w:lineRule="auto"/>
                        <w:rPr>
                          <w:rFonts w:ascii="Cambria" w:hAnsi="Cambria" w:cs="Arial"/>
                          <w:color w:val="0D0D0D"/>
                          <w:szCs w:val="22"/>
                          <w:lang w:val="es-ES_tradnl"/>
                        </w:rPr>
                      </w:pPr>
                      <w:r w:rsidRPr="009E54FA">
                        <w:rPr>
                          <w:rFonts w:ascii="Cambria" w:hAnsi="Cambria" w:cs="Arial"/>
                          <w:color w:val="0D0D0D"/>
                          <w:szCs w:val="22"/>
                          <w:lang w:val="es-ES_tradnl"/>
                        </w:rPr>
                        <w:t>INFORME DE FONDO</w:t>
                      </w:r>
                      <w:r>
                        <w:rPr>
                          <w:rFonts w:ascii="Cambria" w:hAnsi="Cambria" w:cs="Arial"/>
                          <w:color w:val="0D0D0D"/>
                          <w:szCs w:val="22"/>
                          <w:lang w:val="es-ES_tradnl"/>
                        </w:rPr>
                        <w:t xml:space="preserve"> (PUBLICACIÓN)</w:t>
                      </w:r>
                      <w:r w:rsidRPr="009E54FA">
                        <w:rPr>
                          <w:rFonts w:ascii="Cambria" w:hAnsi="Cambria" w:cs="Arial"/>
                          <w:color w:val="0D0D0D"/>
                          <w:szCs w:val="22"/>
                          <w:lang w:val="es-ES_tradnl"/>
                        </w:rPr>
                        <w:t xml:space="preserve"> </w:t>
                      </w:r>
                    </w:p>
                    <w:p w:rsidR="00512B04" w:rsidRPr="009E54FA" w:rsidRDefault="00512B04" w:rsidP="00997BC5">
                      <w:pPr>
                        <w:spacing w:line="276" w:lineRule="auto"/>
                        <w:rPr>
                          <w:rFonts w:ascii="Cambria" w:hAnsi="Cambria" w:cs="Arial"/>
                          <w:color w:val="0D0D0D"/>
                          <w:szCs w:val="22"/>
                          <w:lang w:val="es-ES_tradnl"/>
                        </w:rPr>
                      </w:pPr>
                      <w:bookmarkStart w:id="2" w:name="_ftnref1"/>
                    </w:p>
                    <w:p w:rsidR="00512B04" w:rsidRPr="009E54FA" w:rsidRDefault="00512B04" w:rsidP="00997BC5">
                      <w:pPr>
                        <w:spacing w:line="276" w:lineRule="auto"/>
                        <w:rPr>
                          <w:rFonts w:ascii="Cambria" w:hAnsi="Cambria" w:cs="Arial"/>
                          <w:color w:val="0D0D0D"/>
                          <w:szCs w:val="22"/>
                          <w:lang w:val="es-ES_tradnl"/>
                        </w:rPr>
                      </w:pPr>
                      <w:r w:rsidRPr="009E54FA">
                        <w:rPr>
                          <w:rFonts w:ascii="Cambria" w:hAnsi="Cambria" w:cs="Arial"/>
                          <w:color w:val="0D0D0D"/>
                          <w:szCs w:val="22"/>
                          <w:lang w:val="es-ES_tradnl"/>
                        </w:rPr>
                        <w:t>NORBERTO JAVIER RESTREPO</w:t>
                      </w:r>
                    </w:p>
                    <w:bookmarkEnd w:id="2"/>
                    <w:p w:rsidR="00512B04" w:rsidRPr="009E54FA" w:rsidRDefault="00512B04" w:rsidP="00997BC5">
                      <w:pPr>
                        <w:spacing w:line="276" w:lineRule="auto"/>
                        <w:rPr>
                          <w:rFonts w:ascii="Cambria" w:hAnsi="Cambria" w:cs="Arial"/>
                          <w:color w:val="0D0D0D"/>
                          <w:szCs w:val="22"/>
                          <w:lang w:val="es-ES"/>
                        </w:rPr>
                      </w:pPr>
                      <w:r w:rsidRPr="009E54FA">
                        <w:rPr>
                          <w:rFonts w:ascii="Cambria" w:hAnsi="Cambria" w:cs="Arial"/>
                          <w:color w:val="0D0D0D"/>
                          <w:szCs w:val="22"/>
                          <w:lang w:val="es-ES_tradnl"/>
                        </w:rPr>
                        <w:t>COLOMBIA</w:t>
                      </w:r>
                    </w:p>
                    <w:p w:rsidR="00512B04" w:rsidRPr="009E54FA" w:rsidRDefault="00512B04" w:rsidP="007A5817">
                      <w:pPr>
                        <w:rPr>
                          <w:color w:val="0D0D0D"/>
                          <w:lang w:val="es-ES_tradnl"/>
                        </w:rPr>
                      </w:pPr>
                    </w:p>
                  </w:txbxContent>
                </v:textbox>
              </v:shape>
            </w:pict>
          </mc:Fallback>
        </mc:AlternateContent>
      </w:r>
      <w:r w:rsidRPr="007C6BE8">
        <w:rPr>
          <w:rFonts w:asciiTheme="majorHAnsi" w:hAnsiTheme="majorHAnsi"/>
          <w:noProof/>
          <w:sz w:val="20"/>
          <w:szCs w:val="20"/>
          <w:bdr w:val="none" w:sz="0" w:space="0" w:color="auto"/>
        </w:rPr>
        <mc:AlternateContent>
          <mc:Choice Requires="wps">
            <w:drawing>
              <wp:anchor distT="0" distB="0" distL="114300" distR="114300" simplePos="0" relativeHeight="251656704" behindDoc="0" locked="0" layoutInCell="1" allowOverlap="1" wp14:anchorId="5E33790E" wp14:editId="77B7E9B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txbx>
                        <w:txbxContent>
                          <w:p w:rsidR="00512B04" w:rsidRPr="00945820" w:rsidRDefault="00512B04" w:rsidP="007A5817">
                            <w:pPr>
                              <w:spacing w:line="276" w:lineRule="auto"/>
                              <w:jc w:val="right"/>
                              <w:rPr>
                                <w:rFonts w:ascii="Calibri" w:hAnsi="Calibri"/>
                                <w:color w:val="FFFFFF"/>
                                <w:sz w:val="22"/>
                                <w:lang w:val="pt-BR"/>
                              </w:rPr>
                            </w:pPr>
                            <w:r w:rsidRPr="00945820">
                              <w:rPr>
                                <w:rFonts w:ascii="Calibri" w:hAnsi="Calibri"/>
                                <w:color w:val="FFFFFF"/>
                                <w:sz w:val="22"/>
                                <w:lang w:val="pt-BR"/>
                              </w:rPr>
                              <w:t>OEA/Ser.L/V/II.</w:t>
                            </w:r>
                          </w:p>
                          <w:p w:rsidR="00512B04" w:rsidRPr="00945820" w:rsidRDefault="00512B04" w:rsidP="007A5817">
                            <w:pPr>
                              <w:spacing w:line="276" w:lineRule="auto"/>
                              <w:jc w:val="right"/>
                              <w:rPr>
                                <w:rFonts w:ascii="Calibri" w:hAnsi="Calibri"/>
                                <w:color w:val="FFFFFF"/>
                                <w:sz w:val="22"/>
                                <w:lang w:val="pt-BR"/>
                              </w:rPr>
                            </w:pPr>
                            <w:r w:rsidRPr="00945820">
                              <w:rPr>
                                <w:rFonts w:ascii="Calibri" w:hAnsi="Calibri"/>
                                <w:color w:val="FFFFFF"/>
                                <w:sz w:val="22"/>
                                <w:lang w:val="pt-BR"/>
                              </w:rPr>
                              <w:t xml:space="preserve">Doc. </w:t>
                            </w:r>
                            <w:r w:rsidR="008402AC" w:rsidRPr="00945820">
                              <w:rPr>
                                <w:rFonts w:ascii="Calibri" w:hAnsi="Calibri"/>
                                <w:color w:val="FFFFFF"/>
                                <w:sz w:val="22"/>
                                <w:lang w:val="pt-BR"/>
                              </w:rPr>
                              <w:t>105</w:t>
                            </w:r>
                          </w:p>
                          <w:p w:rsidR="00512B04" w:rsidRPr="002B1D68" w:rsidRDefault="008402AC" w:rsidP="007A5817">
                            <w:pPr>
                              <w:spacing w:line="276" w:lineRule="auto"/>
                              <w:jc w:val="right"/>
                              <w:rPr>
                                <w:rFonts w:ascii="Calibri" w:hAnsi="Calibri"/>
                                <w:color w:val="FFFFFF"/>
                                <w:sz w:val="22"/>
                                <w:lang w:val="es-US"/>
                              </w:rPr>
                            </w:pPr>
                            <w:r>
                              <w:rPr>
                                <w:rFonts w:ascii="Calibri" w:hAnsi="Calibri"/>
                                <w:color w:val="FFFFFF"/>
                                <w:sz w:val="22"/>
                                <w:lang w:val="es-US"/>
                              </w:rPr>
                              <w:t>14 junio 2019</w:t>
                            </w:r>
                          </w:p>
                          <w:p w:rsidR="00512B04" w:rsidRPr="002B1D68" w:rsidRDefault="00512B04" w:rsidP="007A5817">
                            <w:pPr>
                              <w:spacing w:line="276" w:lineRule="auto"/>
                              <w:jc w:val="right"/>
                              <w:rPr>
                                <w:rFonts w:ascii="Calibri" w:hAnsi="Calibri"/>
                                <w:color w:val="FFFFFF"/>
                                <w:sz w:val="22"/>
                                <w:lang w:val="es-US"/>
                              </w:rPr>
                            </w:pPr>
                            <w:r w:rsidRPr="002B1D68">
                              <w:rPr>
                                <w:rFonts w:ascii="Calibri" w:hAnsi="Calibri"/>
                                <w:color w:val="FFFFFF"/>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3790E" id="Text Box 8" o:spid="_x0000_s1028" type="#_x0000_t202" style="position:absolute;left:0;text-align:left;margin-left:-27pt;margin-top:12.95pt;width:109.5pt;height:10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" filled="f" stroked="f" strokeweight=".5pt">
                <v:path arrowok="t"/>
                <v:textbox>
                  <w:txbxContent>
                    <w:p w:rsidR="00512B04" w:rsidRPr="00945820" w:rsidRDefault="00512B04" w:rsidP="007A5817">
                      <w:pPr>
                        <w:spacing w:line="276" w:lineRule="auto"/>
                        <w:jc w:val="right"/>
                        <w:rPr>
                          <w:rFonts w:ascii="Calibri" w:hAnsi="Calibri"/>
                          <w:color w:val="FFFFFF"/>
                          <w:sz w:val="22"/>
                          <w:lang w:val="pt-BR"/>
                        </w:rPr>
                      </w:pPr>
                      <w:r w:rsidRPr="00945820">
                        <w:rPr>
                          <w:rFonts w:ascii="Calibri" w:hAnsi="Calibri"/>
                          <w:color w:val="FFFFFF"/>
                          <w:sz w:val="22"/>
                          <w:lang w:val="pt-BR"/>
                        </w:rPr>
                        <w:t>OEA/Ser.L/V/II.</w:t>
                      </w:r>
                    </w:p>
                    <w:p w:rsidR="00512B04" w:rsidRPr="00945820" w:rsidRDefault="00512B04" w:rsidP="007A5817">
                      <w:pPr>
                        <w:spacing w:line="276" w:lineRule="auto"/>
                        <w:jc w:val="right"/>
                        <w:rPr>
                          <w:rFonts w:ascii="Calibri" w:hAnsi="Calibri"/>
                          <w:color w:val="FFFFFF"/>
                          <w:sz w:val="22"/>
                          <w:lang w:val="pt-BR"/>
                        </w:rPr>
                      </w:pPr>
                      <w:r w:rsidRPr="00945820">
                        <w:rPr>
                          <w:rFonts w:ascii="Calibri" w:hAnsi="Calibri"/>
                          <w:color w:val="FFFFFF"/>
                          <w:sz w:val="22"/>
                          <w:lang w:val="pt-BR"/>
                        </w:rPr>
                        <w:t xml:space="preserve">Doc. </w:t>
                      </w:r>
                      <w:r w:rsidR="008402AC" w:rsidRPr="00945820">
                        <w:rPr>
                          <w:rFonts w:ascii="Calibri" w:hAnsi="Calibri"/>
                          <w:color w:val="FFFFFF"/>
                          <w:sz w:val="22"/>
                          <w:lang w:val="pt-BR"/>
                        </w:rPr>
                        <w:t>105</w:t>
                      </w:r>
                    </w:p>
                    <w:p w:rsidR="00512B04" w:rsidRPr="002B1D68" w:rsidRDefault="008402AC" w:rsidP="007A5817">
                      <w:pPr>
                        <w:spacing w:line="276" w:lineRule="auto"/>
                        <w:jc w:val="right"/>
                        <w:rPr>
                          <w:rFonts w:ascii="Calibri" w:hAnsi="Calibri"/>
                          <w:color w:val="FFFFFF"/>
                          <w:sz w:val="22"/>
                          <w:lang w:val="es-US"/>
                        </w:rPr>
                      </w:pPr>
                      <w:r>
                        <w:rPr>
                          <w:rFonts w:ascii="Calibri" w:hAnsi="Calibri"/>
                          <w:color w:val="FFFFFF"/>
                          <w:sz w:val="22"/>
                          <w:lang w:val="es-US"/>
                        </w:rPr>
                        <w:t>14 junio 2019</w:t>
                      </w:r>
                    </w:p>
                    <w:p w:rsidR="00512B04" w:rsidRPr="002B1D68" w:rsidRDefault="00512B04" w:rsidP="007A5817">
                      <w:pPr>
                        <w:spacing w:line="276" w:lineRule="auto"/>
                        <w:jc w:val="right"/>
                        <w:rPr>
                          <w:rFonts w:ascii="Calibri" w:hAnsi="Calibri"/>
                          <w:color w:val="FFFFFF"/>
                          <w:sz w:val="22"/>
                          <w:lang w:val="es-US"/>
                        </w:rPr>
                      </w:pPr>
                      <w:r w:rsidRPr="002B1D68">
                        <w:rPr>
                          <w:rFonts w:ascii="Calibri" w:hAnsi="Calibri"/>
                          <w:color w:val="FFFFFF"/>
                          <w:sz w:val="22"/>
                          <w:lang w:val="es-US"/>
                        </w:rPr>
                        <w:t>Original: español</w:t>
                      </w:r>
                    </w:p>
                  </w:txbxContent>
                </v:textbox>
              </v:shape>
            </w:pict>
          </mc:Fallback>
        </mc:AlternateContent>
      </w:r>
    </w:p>
    <w:p w:rsidR="00040C3A" w:rsidRPr="007C6BE8" w:rsidRDefault="00040C3A" w:rsidP="00B1793F">
      <w:pPr>
        <w:tabs>
          <w:tab w:val="center" w:pos="5400"/>
        </w:tabs>
        <w:suppressAutoHyphens/>
        <w:ind w:firstLine="720"/>
        <w:jc w:val="both"/>
        <w:rPr>
          <w:rFonts w:asciiTheme="majorHAnsi" w:hAnsiTheme="majorHAnsi"/>
          <w:sz w:val="20"/>
          <w:szCs w:val="20"/>
          <w:lang w:val="es-ES_tradnl"/>
        </w:rPr>
      </w:pPr>
    </w:p>
    <w:p w:rsidR="00040C3A" w:rsidRPr="007C6BE8" w:rsidRDefault="00040C3A" w:rsidP="00B1793F">
      <w:pPr>
        <w:tabs>
          <w:tab w:val="center" w:pos="5400"/>
        </w:tabs>
        <w:suppressAutoHyphens/>
        <w:ind w:firstLine="720"/>
        <w:jc w:val="both"/>
        <w:rPr>
          <w:rFonts w:asciiTheme="majorHAnsi" w:hAnsiTheme="majorHAnsi"/>
          <w:sz w:val="20"/>
          <w:szCs w:val="20"/>
          <w:lang w:val="es-ES_tradnl"/>
        </w:rPr>
      </w:pPr>
    </w:p>
    <w:p w:rsidR="00040C3A" w:rsidRPr="007C6BE8" w:rsidRDefault="00040C3A" w:rsidP="00B1793F">
      <w:pPr>
        <w:tabs>
          <w:tab w:val="center" w:pos="5400"/>
        </w:tabs>
        <w:suppressAutoHyphens/>
        <w:ind w:firstLine="720"/>
        <w:jc w:val="both"/>
        <w:rPr>
          <w:rFonts w:asciiTheme="majorHAnsi" w:hAnsiTheme="majorHAnsi" w:cs="Arial"/>
          <w:sz w:val="20"/>
          <w:szCs w:val="20"/>
          <w:lang w:val="es-ES_tradnl"/>
        </w:rPr>
      </w:pPr>
    </w:p>
    <w:p w:rsidR="00040C3A" w:rsidRPr="007C6BE8" w:rsidRDefault="00040C3A" w:rsidP="00B1793F">
      <w:pPr>
        <w:tabs>
          <w:tab w:val="center" w:pos="5400"/>
        </w:tabs>
        <w:suppressAutoHyphens/>
        <w:ind w:firstLine="720"/>
        <w:jc w:val="both"/>
        <w:rPr>
          <w:rFonts w:asciiTheme="majorHAnsi" w:hAnsiTheme="majorHAnsi"/>
          <w:sz w:val="20"/>
          <w:szCs w:val="20"/>
          <w:lang w:val="es-ES_tradnl"/>
        </w:rPr>
      </w:pPr>
    </w:p>
    <w:p w:rsidR="00040C3A" w:rsidRPr="007C6BE8" w:rsidRDefault="00040C3A" w:rsidP="00B1793F">
      <w:pPr>
        <w:tabs>
          <w:tab w:val="center" w:pos="5400"/>
        </w:tabs>
        <w:suppressAutoHyphens/>
        <w:ind w:firstLine="720"/>
        <w:jc w:val="both"/>
        <w:rPr>
          <w:rFonts w:asciiTheme="majorHAnsi" w:hAnsiTheme="majorHAnsi"/>
          <w:sz w:val="20"/>
          <w:szCs w:val="20"/>
          <w:lang w:val="es-ES_tradnl"/>
        </w:rPr>
      </w:pPr>
    </w:p>
    <w:p w:rsidR="00040C3A" w:rsidRPr="007C6BE8" w:rsidRDefault="00040C3A" w:rsidP="00B1793F">
      <w:pPr>
        <w:tabs>
          <w:tab w:val="center" w:pos="5400"/>
        </w:tabs>
        <w:suppressAutoHyphens/>
        <w:ind w:firstLine="720"/>
        <w:jc w:val="both"/>
        <w:rPr>
          <w:rFonts w:asciiTheme="majorHAnsi" w:hAnsiTheme="majorHAnsi"/>
          <w:sz w:val="20"/>
          <w:szCs w:val="20"/>
          <w:lang w:val="es-ES_tradnl"/>
        </w:rPr>
      </w:pPr>
    </w:p>
    <w:p w:rsidR="00040C3A" w:rsidRPr="007C6BE8" w:rsidRDefault="00040C3A" w:rsidP="00B1793F">
      <w:pPr>
        <w:tabs>
          <w:tab w:val="center" w:pos="5400"/>
        </w:tabs>
        <w:suppressAutoHyphens/>
        <w:ind w:firstLine="720"/>
        <w:jc w:val="both"/>
        <w:rPr>
          <w:rFonts w:asciiTheme="majorHAnsi" w:hAnsiTheme="majorHAnsi"/>
          <w:sz w:val="20"/>
          <w:szCs w:val="20"/>
          <w:lang w:val="es-ES_tradnl"/>
        </w:rPr>
      </w:pPr>
    </w:p>
    <w:p w:rsidR="005128E4" w:rsidRPr="007C6BE8" w:rsidRDefault="005128E4" w:rsidP="00B1793F">
      <w:pPr>
        <w:tabs>
          <w:tab w:val="center" w:pos="5400"/>
        </w:tabs>
        <w:suppressAutoHyphens/>
        <w:ind w:firstLine="720"/>
        <w:jc w:val="both"/>
        <w:rPr>
          <w:rFonts w:asciiTheme="majorHAnsi" w:hAnsiTheme="majorHAnsi"/>
          <w:sz w:val="20"/>
          <w:szCs w:val="20"/>
          <w:lang w:val="es-ES_tradnl"/>
        </w:rPr>
      </w:pPr>
    </w:p>
    <w:p w:rsidR="00040C3A" w:rsidRPr="007C6BE8" w:rsidRDefault="00040C3A" w:rsidP="00B1793F">
      <w:pPr>
        <w:tabs>
          <w:tab w:val="center" w:pos="5400"/>
        </w:tabs>
        <w:suppressAutoHyphens/>
        <w:ind w:firstLine="720"/>
        <w:jc w:val="both"/>
        <w:rPr>
          <w:rFonts w:asciiTheme="majorHAnsi" w:hAnsiTheme="majorHAnsi"/>
          <w:sz w:val="20"/>
          <w:szCs w:val="20"/>
          <w:lang w:val="es-ES_tradnl"/>
        </w:rPr>
      </w:pPr>
    </w:p>
    <w:p w:rsidR="005128E4" w:rsidRPr="007C6BE8" w:rsidRDefault="005128E4" w:rsidP="00B1793F">
      <w:pPr>
        <w:tabs>
          <w:tab w:val="center" w:pos="5400"/>
        </w:tabs>
        <w:suppressAutoHyphens/>
        <w:ind w:firstLine="720"/>
        <w:jc w:val="both"/>
        <w:rPr>
          <w:rFonts w:asciiTheme="majorHAnsi" w:hAnsiTheme="majorHAnsi"/>
          <w:sz w:val="20"/>
          <w:szCs w:val="20"/>
          <w:lang w:val="es-ES_tradnl"/>
        </w:rPr>
      </w:pPr>
    </w:p>
    <w:p w:rsidR="005128E4" w:rsidRPr="007C6BE8" w:rsidRDefault="005128E4" w:rsidP="00B1793F">
      <w:pPr>
        <w:tabs>
          <w:tab w:val="center" w:pos="5400"/>
        </w:tabs>
        <w:suppressAutoHyphens/>
        <w:ind w:firstLine="720"/>
        <w:jc w:val="both"/>
        <w:rPr>
          <w:rFonts w:asciiTheme="majorHAnsi" w:hAnsiTheme="majorHAnsi"/>
          <w:sz w:val="20"/>
          <w:szCs w:val="20"/>
          <w:lang w:val="es-ES_tradnl"/>
        </w:rPr>
      </w:pPr>
    </w:p>
    <w:p w:rsidR="005128E4" w:rsidRPr="007C6BE8" w:rsidRDefault="005128E4" w:rsidP="00B1793F">
      <w:pPr>
        <w:tabs>
          <w:tab w:val="center" w:pos="5400"/>
        </w:tabs>
        <w:suppressAutoHyphens/>
        <w:ind w:firstLine="720"/>
        <w:jc w:val="both"/>
        <w:rPr>
          <w:rFonts w:asciiTheme="majorHAnsi" w:hAnsiTheme="majorHAnsi"/>
          <w:sz w:val="20"/>
          <w:szCs w:val="20"/>
          <w:lang w:val="es-ES_tradnl"/>
        </w:rPr>
      </w:pPr>
    </w:p>
    <w:p w:rsidR="00040C3A" w:rsidRPr="007C6BE8" w:rsidRDefault="00040C3A" w:rsidP="00B1793F">
      <w:pPr>
        <w:tabs>
          <w:tab w:val="center" w:pos="5400"/>
        </w:tabs>
        <w:suppressAutoHyphens/>
        <w:ind w:firstLine="720"/>
        <w:jc w:val="both"/>
        <w:rPr>
          <w:rFonts w:asciiTheme="majorHAnsi" w:hAnsiTheme="majorHAnsi"/>
          <w:sz w:val="20"/>
          <w:szCs w:val="20"/>
          <w:lang w:val="es-ES_tradnl"/>
        </w:rPr>
      </w:pPr>
    </w:p>
    <w:p w:rsidR="00040C3A" w:rsidRPr="007C6BE8" w:rsidRDefault="00040C3A" w:rsidP="00B1793F">
      <w:pPr>
        <w:tabs>
          <w:tab w:val="center" w:pos="5400"/>
        </w:tabs>
        <w:suppressAutoHyphens/>
        <w:ind w:firstLine="720"/>
        <w:jc w:val="both"/>
        <w:rPr>
          <w:rFonts w:asciiTheme="majorHAnsi" w:hAnsiTheme="majorHAnsi"/>
          <w:sz w:val="20"/>
          <w:szCs w:val="20"/>
          <w:lang w:val="es-ES_tradnl"/>
        </w:rPr>
      </w:pPr>
    </w:p>
    <w:p w:rsidR="00A50FCF" w:rsidRPr="007C6BE8" w:rsidRDefault="00A50FCF" w:rsidP="00B1793F">
      <w:pPr>
        <w:tabs>
          <w:tab w:val="center" w:pos="5400"/>
        </w:tabs>
        <w:suppressAutoHyphens/>
        <w:ind w:firstLine="720"/>
        <w:jc w:val="both"/>
        <w:rPr>
          <w:rFonts w:asciiTheme="majorHAnsi" w:hAnsiTheme="majorHAnsi"/>
          <w:sz w:val="20"/>
          <w:szCs w:val="20"/>
          <w:lang w:val="es-ES_tradnl"/>
        </w:rPr>
      </w:pPr>
    </w:p>
    <w:p w:rsidR="00A50FCF" w:rsidRPr="007C6BE8" w:rsidRDefault="00A50FCF" w:rsidP="00B1793F">
      <w:pPr>
        <w:tabs>
          <w:tab w:val="center" w:pos="5400"/>
        </w:tabs>
        <w:suppressAutoHyphens/>
        <w:ind w:firstLine="720"/>
        <w:jc w:val="both"/>
        <w:rPr>
          <w:rFonts w:asciiTheme="majorHAnsi" w:hAnsiTheme="majorHAnsi"/>
          <w:sz w:val="20"/>
          <w:szCs w:val="20"/>
          <w:lang w:val="es-ES_tradnl"/>
        </w:rPr>
      </w:pPr>
    </w:p>
    <w:p w:rsidR="00A50FCF" w:rsidRPr="007C6BE8" w:rsidRDefault="00A50FCF" w:rsidP="00B1793F">
      <w:pPr>
        <w:tabs>
          <w:tab w:val="center" w:pos="5400"/>
        </w:tabs>
        <w:suppressAutoHyphens/>
        <w:ind w:firstLine="720"/>
        <w:jc w:val="both"/>
        <w:rPr>
          <w:rFonts w:asciiTheme="majorHAnsi" w:hAnsiTheme="majorHAnsi"/>
          <w:sz w:val="20"/>
          <w:szCs w:val="20"/>
          <w:lang w:val="es-ES_tradnl"/>
        </w:rPr>
      </w:pPr>
    </w:p>
    <w:p w:rsidR="00A50FCF" w:rsidRPr="007C6BE8" w:rsidRDefault="00A50FCF" w:rsidP="00B1793F">
      <w:pPr>
        <w:tabs>
          <w:tab w:val="center" w:pos="5400"/>
        </w:tabs>
        <w:suppressAutoHyphens/>
        <w:ind w:firstLine="720"/>
        <w:jc w:val="both"/>
        <w:rPr>
          <w:rFonts w:asciiTheme="majorHAnsi" w:hAnsiTheme="majorHAnsi"/>
          <w:sz w:val="20"/>
          <w:szCs w:val="20"/>
          <w:lang w:val="es-ES_tradnl"/>
        </w:rPr>
      </w:pPr>
    </w:p>
    <w:p w:rsidR="00A50FCF" w:rsidRPr="007C6BE8" w:rsidRDefault="00A50FCF" w:rsidP="00B1793F">
      <w:pPr>
        <w:tabs>
          <w:tab w:val="center" w:pos="5400"/>
        </w:tabs>
        <w:suppressAutoHyphens/>
        <w:ind w:firstLine="720"/>
        <w:jc w:val="both"/>
        <w:rPr>
          <w:rFonts w:asciiTheme="majorHAnsi" w:hAnsiTheme="majorHAnsi"/>
          <w:sz w:val="20"/>
          <w:szCs w:val="20"/>
          <w:lang w:val="es-ES_tradnl"/>
        </w:rPr>
      </w:pPr>
    </w:p>
    <w:p w:rsidR="00A50FCF" w:rsidRPr="007C6BE8" w:rsidRDefault="00A50FCF" w:rsidP="00B1793F">
      <w:pPr>
        <w:tabs>
          <w:tab w:val="center" w:pos="5400"/>
        </w:tabs>
        <w:suppressAutoHyphens/>
        <w:ind w:firstLine="720"/>
        <w:jc w:val="both"/>
        <w:rPr>
          <w:rFonts w:asciiTheme="majorHAnsi" w:hAnsiTheme="majorHAnsi"/>
          <w:sz w:val="20"/>
          <w:szCs w:val="20"/>
          <w:lang w:val="es-ES_tradnl"/>
        </w:rPr>
      </w:pPr>
    </w:p>
    <w:p w:rsidR="00A50FCF" w:rsidRPr="007C6BE8" w:rsidRDefault="00A50FCF" w:rsidP="00B1793F">
      <w:pPr>
        <w:tabs>
          <w:tab w:val="center" w:pos="5400"/>
        </w:tabs>
        <w:suppressAutoHyphens/>
        <w:ind w:firstLine="720"/>
        <w:jc w:val="both"/>
        <w:rPr>
          <w:rFonts w:asciiTheme="majorHAnsi" w:hAnsiTheme="majorHAnsi"/>
          <w:sz w:val="20"/>
          <w:szCs w:val="20"/>
          <w:lang w:val="es-ES_tradnl"/>
        </w:rPr>
      </w:pPr>
    </w:p>
    <w:p w:rsidR="00A50FCF" w:rsidRPr="007C6BE8" w:rsidRDefault="00A50FCF" w:rsidP="00B1793F">
      <w:pPr>
        <w:tabs>
          <w:tab w:val="center" w:pos="5400"/>
        </w:tabs>
        <w:suppressAutoHyphens/>
        <w:ind w:firstLine="720"/>
        <w:jc w:val="both"/>
        <w:rPr>
          <w:rFonts w:asciiTheme="majorHAnsi" w:hAnsiTheme="majorHAnsi"/>
          <w:sz w:val="20"/>
          <w:szCs w:val="20"/>
          <w:lang w:val="es-ES_tradnl"/>
        </w:rPr>
      </w:pPr>
    </w:p>
    <w:p w:rsidR="00A50FCF" w:rsidRPr="007C6BE8" w:rsidRDefault="00A50FCF" w:rsidP="00B1793F">
      <w:pPr>
        <w:tabs>
          <w:tab w:val="center" w:pos="5400"/>
        </w:tabs>
        <w:suppressAutoHyphens/>
        <w:ind w:firstLine="720"/>
        <w:jc w:val="both"/>
        <w:rPr>
          <w:rFonts w:asciiTheme="majorHAnsi" w:hAnsiTheme="majorHAnsi"/>
          <w:sz w:val="20"/>
          <w:szCs w:val="20"/>
          <w:lang w:val="es-ES_tradnl"/>
        </w:rPr>
      </w:pPr>
    </w:p>
    <w:p w:rsidR="00A50FCF" w:rsidRPr="007C6BE8" w:rsidRDefault="00A50FCF" w:rsidP="00B1793F">
      <w:pPr>
        <w:tabs>
          <w:tab w:val="center" w:pos="5400"/>
        </w:tabs>
        <w:suppressAutoHyphens/>
        <w:ind w:firstLine="720"/>
        <w:jc w:val="both"/>
        <w:rPr>
          <w:rFonts w:asciiTheme="majorHAnsi" w:hAnsiTheme="majorHAnsi"/>
          <w:sz w:val="20"/>
          <w:szCs w:val="20"/>
          <w:lang w:val="es-ES_tradnl"/>
        </w:rPr>
      </w:pPr>
    </w:p>
    <w:p w:rsidR="00A50FCF" w:rsidRPr="007C6BE8" w:rsidRDefault="00A50FCF" w:rsidP="00B1793F">
      <w:pPr>
        <w:tabs>
          <w:tab w:val="center" w:pos="5400"/>
        </w:tabs>
        <w:suppressAutoHyphens/>
        <w:ind w:firstLine="720"/>
        <w:jc w:val="both"/>
        <w:rPr>
          <w:rFonts w:asciiTheme="majorHAnsi" w:hAnsiTheme="majorHAnsi"/>
          <w:sz w:val="20"/>
          <w:szCs w:val="20"/>
          <w:lang w:val="es-ES_tradnl"/>
        </w:rPr>
      </w:pPr>
    </w:p>
    <w:p w:rsidR="00A50FCF" w:rsidRPr="007C6BE8" w:rsidRDefault="00A50FCF" w:rsidP="00B1793F">
      <w:pPr>
        <w:tabs>
          <w:tab w:val="center" w:pos="5400"/>
        </w:tabs>
        <w:suppressAutoHyphens/>
        <w:ind w:firstLine="720"/>
        <w:jc w:val="both"/>
        <w:rPr>
          <w:rFonts w:asciiTheme="majorHAnsi" w:hAnsiTheme="majorHAnsi"/>
          <w:sz w:val="20"/>
          <w:szCs w:val="20"/>
          <w:lang w:val="es-ES_tradnl"/>
        </w:rPr>
      </w:pPr>
    </w:p>
    <w:p w:rsidR="00A50FCF" w:rsidRPr="007C6BE8" w:rsidRDefault="00A50FCF" w:rsidP="00B1793F">
      <w:pPr>
        <w:tabs>
          <w:tab w:val="center" w:pos="5400"/>
        </w:tabs>
        <w:suppressAutoHyphens/>
        <w:ind w:firstLine="720"/>
        <w:jc w:val="both"/>
        <w:rPr>
          <w:rFonts w:asciiTheme="majorHAnsi" w:hAnsiTheme="majorHAnsi"/>
          <w:sz w:val="20"/>
          <w:szCs w:val="20"/>
          <w:lang w:val="es-ES_tradnl"/>
        </w:rPr>
      </w:pPr>
    </w:p>
    <w:p w:rsidR="00A50FCF" w:rsidRPr="007C6BE8" w:rsidRDefault="00A50FCF" w:rsidP="00B1793F">
      <w:pPr>
        <w:tabs>
          <w:tab w:val="center" w:pos="5400"/>
        </w:tabs>
        <w:suppressAutoHyphens/>
        <w:ind w:firstLine="720"/>
        <w:jc w:val="both"/>
        <w:rPr>
          <w:rFonts w:asciiTheme="majorHAnsi" w:hAnsiTheme="majorHAnsi"/>
          <w:sz w:val="20"/>
          <w:szCs w:val="20"/>
          <w:lang w:val="es-ES_tradnl"/>
        </w:rPr>
      </w:pPr>
    </w:p>
    <w:p w:rsidR="00A50FCF" w:rsidRPr="007C6BE8" w:rsidRDefault="00EE4229" w:rsidP="00B1793F">
      <w:pPr>
        <w:tabs>
          <w:tab w:val="center" w:pos="5400"/>
        </w:tabs>
        <w:suppressAutoHyphens/>
        <w:ind w:firstLine="720"/>
        <w:jc w:val="both"/>
        <w:rPr>
          <w:rFonts w:asciiTheme="majorHAnsi" w:hAnsiTheme="majorHAnsi"/>
          <w:sz w:val="20"/>
          <w:szCs w:val="20"/>
          <w:lang w:val="es-ES_tradnl"/>
        </w:rPr>
      </w:pPr>
      <w:r w:rsidRPr="007C6BE8">
        <w:rPr>
          <w:rFonts w:asciiTheme="majorHAnsi" w:hAnsiTheme="majorHAnsi"/>
          <w:noProof/>
          <w:sz w:val="20"/>
          <w:szCs w:val="20"/>
          <w:bdr w:val="none" w:sz="0" w:space="0" w:color="auto"/>
        </w:rPr>
        <mc:AlternateContent>
          <mc:Choice Requires="wps">
            <w:drawing>
              <wp:anchor distT="0" distB="0" distL="114300" distR="114300" simplePos="0" relativeHeight="251655680" behindDoc="0" locked="0" layoutInCell="1" allowOverlap="1" wp14:anchorId="658E3DAA" wp14:editId="1CE08C56">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txbx>
                        <w:txbxContent>
                          <w:p w:rsidR="00512B04" w:rsidRPr="009E54FA" w:rsidRDefault="00512B04" w:rsidP="00247403">
                            <w:pPr>
                              <w:tabs>
                                <w:tab w:val="center" w:pos="5400"/>
                              </w:tabs>
                              <w:suppressAutoHyphens/>
                              <w:spacing w:before="60"/>
                              <w:rPr>
                                <w:rFonts w:ascii="Cambria" w:hAnsi="Cambria"/>
                                <w:color w:val="0D0D0D"/>
                                <w:sz w:val="18"/>
                                <w:szCs w:val="20"/>
                                <w:lang w:val="es-ES"/>
                              </w:rPr>
                            </w:pPr>
                            <w:r w:rsidRPr="009E54FA">
                              <w:rPr>
                                <w:rFonts w:ascii="Cambria" w:hAnsi="Cambria"/>
                                <w:color w:val="0D0D0D"/>
                                <w:sz w:val="18"/>
                                <w:szCs w:val="20"/>
                                <w:lang w:val="es-ES"/>
                              </w:rPr>
                              <w:t xml:space="preserve">Aprobado </w:t>
                            </w:r>
                            <w:r w:rsidR="008402AC">
                              <w:rPr>
                                <w:rFonts w:ascii="Cambria" w:hAnsi="Cambria"/>
                                <w:color w:val="0D0D0D"/>
                                <w:sz w:val="18"/>
                                <w:szCs w:val="20"/>
                                <w:lang w:val="es-ES"/>
                              </w:rPr>
                              <w:t xml:space="preserve">electrónicamente </w:t>
                            </w:r>
                            <w:r w:rsidRPr="009E54FA">
                              <w:rPr>
                                <w:rFonts w:ascii="Cambria" w:hAnsi="Cambria"/>
                                <w:color w:val="0D0D0D"/>
                                <w:sz w:val="18"/>
                                <w:szCs w:val="20"/>
                                <w:lang w:val="es-ES"/>
                              </w:rPr>
                              <w:t>po</w:t>
                            </w:r>
                            <w:r>
                              <w:rPr>
                                <w:rFonts w:ascii="Cambria" w:hAnsi="Cambria"/>
                                <w:color w:val="0D0D0D"/>
                                <w:sz w:val="18"/>
                                <w:szCs w:val="20"/>
                                <w:lang w:val="es-ES"/>
                              </w:rPr>
                              <w:t xml:space="preserve">r la Comisión </w:t>
                            </w:r>
                            <w:r w:rsidR="008402AC">
                              <w:rPr>
                                <w:rFonts w:ascii="Cambria" w:hAnsi="Cambria"/>
                                <w:color w:val="0D0D0D"/>
                                <w:sz w:val="18"/>
                                <w:szCs w:val="20"/>
                                <w:lang w:val="es-ES"/>
                              </w:rPr>
                              <w:t>el 14 de julio de 2019</w:t>
                            </w:r>
                            <w:r w:rsidR="00D60E3B">
                              <w:rPr>
                                <w:rFonts w:ascii="Cambria" w:hAnsi="Cambria"/>
                                <w:color w:val="0D0D0D"/>
                                <w:sz w:val="18"/>
                                <w:szCs w:val="20"/>
                                <w:lang w:val="es-ES"/>
                              </w:rPr>
                              <w:t>.</w:t>
                            </w:r>
                          </w:p>
                          <w:p w:rsidR="00512B04" w:rsidRPr="009E54FA" w:rsidRDefault="00512B04" w:rsidP="00247403">
                            <w:pPr>
                              <w:tabs>
                                <w:tab w:val="center" w:pos="5400"/>
                              </w:tabs>
                              <w:suppressAutoHyphens/>
                              <w:spacing w:before="60"/>
                              <w:rPr>
                                <w:rFonts w:ascii="Calibri" w:hAnsi="Calibri" w:cs="Univers"/>
                                <w:color w:val="0D0D0D"/>
                                <w:sz w:val="20"/>
                                <w:szCs w:val="20"/>
                                <w:lang w:val="es-ES"/>
                              </w:rPr>
                            </w:pPr>
                          </w:p>
                          <w:p w:rsidR="00512B04" w:rsidRPr="009E54FA" w:rsidRDefault="00512B04" w:rsidP="0059191A">
                            <w:pP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E3DAA" id="Text Box 7" o:spid="_x0000_s1029" type="#_x0000_t202" style="position:absolute;left:0;text-align:left;margin-left:105.65pt;margin-top:1.8pt;width:388.5pt;height:5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" filled="f" stroked="f" strokeweight=".5pt">
                <v:path arrowok="t"/>
                <v:textbox>
                  <w:txbxContent>
                    <w:p w:rsidR="00512B04" w:rsidRPr="009E54FA" w:rsidRDefault="00512B04" w:rsidP="00247403">
                      <w:pPr>
                        <w:tabs>
                          <w:tab w:val="center" w:pos="5400"/>
                        </w:tabs>
                        <w:suppressAutoHyphens/>
                        <w:spacing w:before="60"/>
                        <w:rPr>
                          <w:rFonts w:ascii="Cambria" w:hAnsi="Cambria"/>
                          <w:color w:val="0D0D0D"/>
                          <w:sz w:val="18"/>
                          <w:szCs w:val="20"/>
                          <w:lang w:val="es-ES"/>
                        </w:rPr>
                      </w:pPr>
                      <w:r w:rsidRPr="009E54FA">
                        <w:rPr>
                          <w:rFonts w:ascii="Cambria" w:hAnsi="Cambria"/>
                          <w:color w:val="0D0D0D"/>
                          <w:sz w:val="18"/>
                          <w:szCs w:val="20"/>
                          <w:lang w:val="es-ES"/>
                        </w:rPr>
                        <w:t xml:space="preserve">Aprobado </w:t>
                      </w:r>
                      <w:r w:rsidR="008402AC">
                        <w:rPr>
                          <w:rFonts w:ascii="Cambria" w:hAnsi="Cambria"/>
                          <w:color w:val="0D0D0D"/>
                          <w:sz w:val="18"/>
                          <w:szCs w:val="20"/>
                          <w:lang w:val="es-ES"/>
                        </w:rPr>
                        <w:t xml:space="preserve">electrónicamente </w:t>
                      </w:r>
                      <w:r w:rsidRPr="009E54FA">
                        <w:rPr>
                          <w:rFonts w:ascii="Cambria" w:hAnsi="Cambria"/>
                          <w:color w:val="0D0D0D"/>
                          <w:sz w:val="18"/>
                          <w:szCs w:val="20"/>
                          <w:lang w:val="es-ES"/>
                        </w:rPr>
                        <w:t>po</w:t>
                      </w:r>
                      <w:r>
                        <w:rPr>
                          <w:rFonts w:ascii="Cambria" w:hAnsi="Cambria"/>
                          <w:color w:val="0D0D0D"/>
                          <w:sz w:val="18"/>
                          <w:szCs w:val="20"/>
                          <w:lang w:val="es-ES"/>
                        </w:rPr>
                        <w:t xml:space="preserve">r la Comisión </w:t>
                      </w:r>
                      <w:r w:rsidR="008402AC">
                        <w:rPr>
                          <w:rFonts w:ascii="Cambria" w:hAnsi="Cambria"/>
                          <w:color w:val="0D0D0D"/>
                          <w:sz w:val="18"/>
                          <w:szCs w:val="20"/>
                          <w:lang w:val="es-ES"/>
                        </w:rPr>
                        <w:t>el 14 de julio de 2019</w:t>
                      </w:r>
                      <w:r w:rsidR="00D60E3B">
                        <w:rPr>
                          <w:rFonts w:ascii="Cambria" w:hAnsi="Cambria"/>
                          <w:color w:val="0D0D0D"/>
                          <w:sz w:val="18"/>
                          <w:szCs w:val="20"/>
                          <w:lang w:val="es-ES"/>
                        </w:rPr>
                        <w:t>.</w:t>
                      </w:r>
                    </w:p>
                    <w:p w:rsidR="00512B04" w:rsidRPr="009E54FA" w:rsidRDefault="00512B04" w:rsidP="00247403">
                      <w:pPr>
                        <w:tabs>
                          <w:tab w:val="center" w:pos="5400"/>
                        </w:tabs>
                        <w:suppressAutoHyphens/>
                        <w:spacing w:before="60"/>
                        <w:rPr>
                          <w:rFonts w:ascii="Calibri" w:hAnsi="Calibri" w:cs="Univers"/>
                          <w:color w:val="0D0D0D"/>
                          <w:sz w:val="20"/>
                          <w:szCs w:val="20"/>
                          <w:lang w:val="es-ES"/>
                        </w:rPr>
                      </w:pPr>
                    </w:p>
                    <w:p w:rsidR="00512B04" w:rsidRPr="009E54FA" w:rsidRDefault="00512B04" w:rsidP="0059191A">
                      <w:pPr>
                        <w:tabs>
                          <w:tab w:val="center" w:pos="5400"/>
                        </w:tabs>
                        <w:suppressAutoHyphens/>
                        <w:spacing w:before="60"/>
                        <w:rPr>
                          <w:rFonts w:ascii="Calibri" w:hAnsi="Calibri"/>
                          <w:color w:val="FFFFFF"/>
                          <w:spacing w:val="-2"/>
                          <w:sz w:val="16"/>
                          <w:lang w:val="es-ES"/>
                        </w:rPr>
                      </w:pPr>
                    </w:p>
                  </w:txbxContent>
                </v:textbox>
              </v:shape>
            </w:pict>
          </mc:Fallback>
        </mc:AlternateContent>
      </w:r>
    </w:p>
    <w:p w:rsidR="00A50FCF" w:rsidRPr="007C6BE8" w:rsidRDefault="00A50FCF" w:rsidP="00B1793F">
      <w:pPr>
        <w:tabs>
          <w:tab w:val="center" w:pos="5400"/>
        </w:tabs>
        <w:suppressAutoHyphens/>
        <w:ind w:firstLine="720"/>
        <w:jc w:val="both"/>
        <w:rPr>
          <w:rFonts w:asciiTheme="majorHAnsi" w:hAnsiTheme="majorHAnsi"/>
          <w:sz w:val="20"/>
          <w:szCs w:val="20"/>
          <w:lang w:val="es-ES_tradnl"/>
        </w:rPr>
      </w:pPr>
    </w:p>
    <w:p w:rsidR="00A50FCF" w:rsidRPr="007C6BE8" w:rsidRDefault="00A50FCF" w:rsidP="00B1793F">
      <w:pPr>
        <w:tabs>
          <w:tab w:val="center" w:pos="5400"/>
        </w:tabs>
        <w:suppressAutoHyphens/>
        <w:ind w:firstLine="720"/>
        <w:jc w:val="both"/>
        <w:rPr>
          <w:rFonts w:asciiTheme="majorHAnsi" w:hAnsiTheme="majorHAnsi"/>
          <w:sz w:val="20"/>
          <w:szCs w:val="20"/>
          <w:lang w:val="es-ES_tradnl"/>
        </w:rPr>
      </w:pPr>
    </w:p>
    <w:p w:rsidR="00A50FCF" w:rsidRPr="007C6BE8" w:rsidRDefault="00A50FCF" w:rsidP="00B1793F">
      <w:pPr>
        <w:tabs>
          <w:tab w:val="center" w:pos="5400"/>
        </w:tabs>
        <w:suppressAutoHyphens/>
        <w:ind w:firstLine="720"/>
        <w:jc w:val="both"/>
        <w:rPr>
          <w:rFonts w:asciiTheme="majorHAnsi" w:hAnsiTheme="majorHAnsi"/>
          <w:sz w:val="20"/>
          <w:szCs w:val="20"/>
          <w:lang w:val="es-ES_tradnl"/>
        </w:rPr>
      </w:pPr>
    </w:p>
    <w:p w:rsidR="00A50FCF" w:rsidRPr="007C6BE8" w:rsidRDefault="00A50FCF" w:rsidP="00B1793F">
      <w:pPr>
        <w:tabs>
          <w:tab w:val="center" w:pos="5400"/>
        </w:tabs>
        <w:suppressAutoHyphens/>
        <w:ind w:firstLine="720"/>
        <w:jc w:val="both"/>
        <w:rPr>
          <w:rFonts w:asciiTheme="majorHAnsi" w:hAnsiTheme="majorHAnsi"/>
          <w:sz w:val="20"/>
          <w:szCs w:val="20"/>
          <w:lang w:val="es-ES_tradnl"/>
        </w:rPr>
      </w:pPr>
    </w:p>
    <w:p w:rsidR="00A50FCF" w:rsidRPr="007C6BE8" w:rsidRDefault="00EE4229" w:rsidP="00B1793F">
      <w:pPr>
        <w:tabs>
          <w:tab w:val="center" w:pos="5400"/>
        </w:tabs>
        <w:suppressAutoHyphens/>
        <w:ind w:firstLine="720"/>
        <w:jc w:val="both"/>
        <w:rPr>
          <w:rFonts w:asciiTheme="majorHAnsi" w:hAnsiTheme="majorHAnsi"/>
          <w:sz w:val="20"/>
          <w:szCs w:val="20"/>
          <w:lang w:val="es-ES_tradnl"/>
        </w:rPr>
      </w:pPr>
      <w:r w:rsidRPr="007C6BE8">
        <w:rPr>
          <w:rFonts w:asciiTheme="majorHAnsi" w:hAnsiTheme="majorHAnsi"/>
          <w:noProof/>
          <w:sz w:val="20"/>
          <w:szCs w:val="20"/>
          <w:bdr w:val="none" w:sz="0" w:space="0" w:color="auto"/>
        </w:rPr>
        <mc:AlternateContent>
          <mc:Choice Requires="wps">
            <w:drawing>
              <wp:anchor distT="0" distB="0" distL="114300" distR="114300" simplePos="0" relativeHeight="251658752" behindDoc="0" locked="0" layoutInCell="1" allowOverlap="1" wp14:anchorId="6D747018" wp14:editId="26FD330B">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txbx>
                        <w:txbxContent>
                          <w:p w:rsidR="00512B04" w:rsidRPr="009E54FA" w:rsidRDefault="00512B04" w:rsidP="00113F73">
                            <w:pPr>
                              <w:spacing w:line="276" w:lineRule="auto"/>
                              <w:rPr>
                                <w:rFonts w:ascii="Cambria" w:hAnsi="Cambria"/>
                                <w:color w:val="595959"/>
                                <w:sz w:val="18"/>
                                <w:szCs w:val="18"/>
                                <w:lang w:val="es-CR"/>
                              </w:rPr>
                            </w:pPr>
                            <w:r w:rsidRPr="009E54FA">
                              <w:rPr>
                                <w:rFonts w:ascii="Cambria" w:hAnsi="Cambria"/>
                                <w:b/>
                                <w:color w:val="595959"/>
                                <w:sz w:val="18"/>
                                <w:szCs w:val="18"/>
                                <w:lang w:val="pt-BR"/>
                              </w:rPr>
                              <w:t>Citar como:</w:t>
                            </w:r>
                            <w:r>
                              <w:rPr>
                                <w:rFonts w:ascii="Cambria" w:hAnsi="Cambria"/>
                                <w:color w:val="595959"/>
                                <w:sz w:val="18"/>
                                <w:szCs w:val="18"/>
                                <w:lang w:val="pt-BR"/>
                              </w:rPr>
                              <w:t xml:space="preserve"> CIDH.</w:t>
                            </w:r>
                            <w:r w:rsidRPr="009E54FA">
                              <w:rPr>
                                <w:rFonts w:ascii="Cambria" w:hAnsi="Cambria"/>
                                <w:color w:val="595959"/>
                                <w:sz w:val="18"/>
                                <w:szCs w:val="18"/>
                                <w:lang w:val="pt-BR"/>
                              </w:rPr>
                              <w:t xml:space="preserve"> Informe No.</w:t>
                            </w:r>
                            <w:r w:rsidRPr="00EF03CA">
                              <w:rPr>
                                <w:rFonts w:ascii="Cambria" w:hAnsi="Cambria"/>
                                <w:color w:val="595959"/>
                                <w:sz w:val="18"/>
                                <w:szCs w:val="18"/>
                                <w:lang w:val="pt-BR"/>
                              </w:rPr>
                              <w:t xml:space="preserve"> </w:t>
                            </w:r>
                            <w:r w:rsidR="008402AC" w:rsidRPr="00945820">
                              <w:rPr>
                                <w:rFonts w:ascii="Cambria" w:hAnsi="Cambria"/>
                                <w:color w:val="595959"/>
                                <w:sz w:val="18"/>
                                <w:szCs w:val="18"/>
                                <w:lang w:val="pt-BR"/>
                              </w:rPr>
                              <w:t>96</w:t>
                            </w:r>
                            <w:r w:rsidRPr="00945820">
                              <w:rPr>
                                <w:rFonts w:ascii="Cambria" w:hAnsi="Cambria"/>
                                <w:color w:val="595959"/>
                                <w:sz w:val="18"/>
                                <w:szCs w:val="18"/>
                                <w:lang w:val="pt-BR"/>
                              </w:rPr>
                              <w:t xml:space="preserve">/19. </w:t>
                            </w:r>
                            <w:r w:rsidRPr="00830065">
                              <w:rPr>
                                <w:rFonts w:ascii="Cambria" w:hAnsi="Cambria"/>
                                <w:color w:val="595959"/>
                                <w:sz w:val="18"/>
                                <w:szCs w:val="18"/>
                                <w:lang w:val="es-ES"/>
                              </w:rPr>
                              <w:t>Caso 11.726</w:t>
                            </w:r>
                            <w:r>
                              <w:rPr>
                                <w:rFonts w:ascii="Cambria" w:hAnsi="Cambria"/>
                                <w:color w:val="595959"/>
                                <w:sz w:val="18"/>
                                <w:szCs w:val="18"/>
                                <w:lang w:val="es-ES"/>
                              </w:rPr>
                              <w:t>.</w:t>
                            </w:r>
                            <w:r w:rsidRPr="00830065">
                              <w:rPr>
                                <w:rFonts w:ascii="Cambria" w:hAnsi="Cambria"/>
                                <w:color w:val="595959"/>
                                <w:sz w:val="18"/>
                                <w:szCs w:val="18"/>
                                <w:lang w:val="es-ES"/>
                              </w:rPr>
                              <w:t xml:space="preserve"> </w:t>
                            </w:r>
                            <w:r w:rsidRPr="009E54FA">
                              <w:rPr>
                                <w:rFonts w:ascii="Cambria" w:hAnsi="Cambria"/>
                                <w:color w:val="595959"/>
                                <w:sz w:val="18"/>
                                <w:szCs w:val="18"/>
                                <w:lang w:val="es-ES_tradnl"/>
                              </w:rPr>
                              <w:t>Fondo</w:t>
                            </w:r>
                            <w:r>
                              <w:rPr>
                                <w:rFonts w:ascii="Cambria" w:hAnsi="Cambria"/>
                                <w:color w:val="595959"/>
                                <w:sz w:val="18"/>
                                <w:szCs w:val="18"/>
                                <w:lang w:val="es-ES_tradnl"/>
                              </w:rPr>
                              <w:t xml:space="preserve"> (Publicación).</w:t>
                            </w:r>
                            <w:r w:rsidRPr="009E54FA">
                              <w:rPr>
                                <w:rFonts w:ascii="Cambria" w:hAnsi="Cambria"/>
                                <w:color w:val="595959"/>
                                <w:sz w:val="18"/>
                                <w:szCs w:val="18"/>
                                <w:lang w:val="es-ES_tradnl"/>
                              </w:rPr>
                              <w:t xml:space="preserve"> Norbe</w:t>
                            </w:r>
                            <w:r>
                              <w:rPr>
                                <w:rFonts w:ascii="Cambria" w:hAnsi="Cambria"/>
                                <w:color w:val="595959"/>
                                <w:sz w:val="18"/>
                                <w:szCs w:val="18"/>
                                <w:lang w:val="es-ES_tradnl"/>
                              </w:rPr>
                              <w:t xml:space="preserve">rto Javier Restrepo. Colombia, </w:t>
                            </w:r>
                            <w:r w:rsidR="008402AC">
                              <w:rPr>
                                <w:rFonts w:ascii="Cambria" w:hAnsi="Cambria"/>
                                <w:color w:val="595959"/>
                                <w:sz w:val="18"/>
                                <w:szCs w:val="18"/>
                                <w:lang w:val="es-ES_tradnl"/>
                              </w:rPr>
                              <w:t>14 de junio</w:t>
                            </w:r>
                            <w:r>
                              <w:rPr>
                                <w:rFonts w:ascii="Cambria" w:hAnsi="Cambria"/>
                                <w:color w:val="595959"/>
                                <w:sz w:val="18"/>
                                <w:szCs w:val="18"/>
                                <w:lang w:val="es-ES_tradnl"/>
                              </w:rPr>
                              <w:t xml:space="preserve"> de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47018" id="Text Box 10" o:spid="_x0000_s1030" type="#_x0000_t202" style="position:absolute;left:0;text-align:left;margin-left:105pt;margin-top:.45pt;width:389.25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" filled="f" stroked="f" strokeweight=".5pt">
                <v:path arrowok="t"/>
                <v:textbox>
                  <w:txbxContent>
                    <w:p w:rsidR="00512B04" w:rsidRPr="009E54FA" w:rsidRDefault="00512B04" w:rsidP="00113F73">
                      <w:pPr>
                        <w:spacing w:line="276" w:lineRule="auto"/>
                        <w:rPr>
                          <w:rFonts w:ascii="Cambria" w:hAnsi="Cambria"/>
                          <w:color w:val="595959"/>
                          <w:sz w:val="18"/>
                          <w:szCs w:val="18"/>
                          <w:lang w:val="es-CR"/>
                        </w:rPr>
                      </w:pPr>
                      <w:r w:rsidRPr="009E54FA">
                        <w:rPr>
                          <w:rFonts w:ascii="Cambria" w:hAnsi="Cambria"/>
                          <w:b/>
                          <w:color w:val="595959"/>
                          <w:sz w:val="18"/>
                          <w:szCs w:val="18"/>
                          <w:lang w:val="pt-BR"/>
                        </w:rPr>
                        <w:t>Citar como:</w:t>
                      </w:r>
                      <w:r>
                        <w:rPr>
                          <w:rFonts w:ascii="Cambria" w:hAnsi="Cambria"/>
                          <w:color w:val="595959"/>
                          <w:sz w:val="18"/>
                          <w:szCs w:val="18"/>
                          <w:lang w:val="pt-BR"/>
                        </w:rPr>
                        <w:t xml:space="preserve"> CIDH.</w:t>
                      </w:r>
                      <w:r w:rsidRPr="009E54FA">
                        <w:rPr>
                          <w:rFonts w:ascii="Cambria" w:hAnsi="Cambria"/>
                          <w:color w:val="595959"/>
                          <w:sz w:val="18"/>
                          <w:szCs w:val="18"/>
                          <w:lang w:val="pt-BR"/>
                        </w:rPr>
                        <w:t xml:space="preserve"> Informe No.</w:t>
                      </w:r>
                      <w:r w:rsidRPr="00EF03CA">
                        <w:rPr>
                          <w:rFonts w:ascii="Cambria" w:hAnsi="Cambria"/>
                          <w:color w:val="595959"/>
                          <w:sz w:val="18"/>
                          <w:szCs w:val="18"/>
                          <w:lang w:val="pt-BR"/>
                        </w:rPr>
                        <w:t xml:space="preserve"> </w:t>
                      </w:r>
                      <w:r w:rsidR="008402AC" w:rsidRPr="00945820">
                        <w:rPr>
                          <w:rFonts w:ascii="Cambria" w:hAnsi="Cambria"/>
                          <w:color w:val="595959"/>
                          <w:sz w:val="18"/>
                          <w:szCs w:val="18"/>
                          <w:lang w:val="pt-BR"/>
                        </w:rPr>
                        <w:t>96</w:t>
                      </w:r>
                      <w:r w:rsidRPr="00945820">
                        <w:rPr>
                          <w:rFonts w:ascii="Cambria" w:hAnsi="Cambria"/>
                          <w:color w:val="595959"/>
                          <w:sz w:val="18"/>
                          <w:szCs w:val="18"/>
                          <w:lang w:val="pt-BR"/>
                        </w:rPr>
                        <w:t xml:space="preserve">/19. </w:t>
                      </w:r>
                      <w:r w:rsidRPr="00830065">
                        <w:rPr>
                          <w:rFonts w:ascii="Cambria" w:hAnsi="Cambria"/>
                          <w:color w:val="595959"/>
                          <w:sz w:val="18"/>
                          <w:szCs w:val="18"/>
                          <w:lang w:val="es-ES"/>
                        </w:rPr>
                        <w:t>Caso 11.726</w:t>
                      </w:r>
                      <w:r>
                        <w:rPr>
                          <w:rFonts w:ascii="Cambria" w:hAnsi="Cambria"/>
                          <w:color w:val="595959"/>
                          <w:sz w:val="18"/>
                          <w:szCs w:val="18"/>
                          <w:lang w:val="es-ES"/>
                        </w:rPr>
                        <w:t>.</w:t>
                      </w:r>
                      <w:r w:rsidRPr="00830065">
                        <w:rPr>
                          <w:rFonts w:ascii="Cambria" w:hAnsi="Cambria"/>
                          <w:color w:val="595959"/>
                          <w:sz w:val="18"/>
                          <w:szCs w:val="18"/>
                          <w:lang w:val="es-ES"/>
                        </w:rPr>
                        <w:t xml:space="preserve"> </w:t>
                      </w:r>
                      <w:r w:rsidRPr="009E54FA">
                        <w:rPr>
                          <w:rFonts w:ascii="Cambria" w:hAnsi="Cambria"/>
                          <w:color w:val="595959"/>
                          <w:sz w:val="18"/>
                          <w:szCs w:val="18"/>
                          <w:lang w:val="es-ES_tradnl"/>
                        </w:rPr>
                        <w:t>Fondo</w:t>
                      </w:r>
                      <w:r>
                        <w:rPr>
                          <w:rFonts w:ascii="Cambria" w:hAnsi="Cambria"/>
                          <w:color w:val="595959"/>
                          <w:sz w:val="18"/>
                          <w:szCs w:val="18"/>
                          <w:lang w:val="es-ES_tradnl"/>
                        </w:rPr>
                        <w:t xml:space="preserve"> (Publicación).</w:t>
                      </w:r>
                      <w:r w:rsidRPr="009E54FA">
                        <w:rPr>
                          <w:rFonts w:ascii="Cambria" w:hAnsi="Cambria"/>
                          <w:color w:val="595959"/>
                          <w:sz w:val="18"/>
                          <w:szCs w:val="18"/>
                          <w:lang w:val="es-ES_tradnl"/>
                        </w:rPr>
                        <w:t xml:space="preserve"> Norbe</w:t>
                      </w:r>
                      <w:r>
                        <w:rPr>
                          <w:rFonts w:ascii="Cambria" w:hAnsi="Cambria"/>
                          <w:color w:val="595959"/>
                          <w:sz w:val="18"/>
                          <w:szCs w:val="18"/>
                          <w:lang w:val="es-ES_tradnl"/>
                        </w:rPr>
                        <w:t xml:space="preserve">rto Javier Restrepo. Colombia, </w:t>
                      </w:r>
                      <w:r w:rsidR="008402AC">
                        <w:rPr>
                          <w:rFonts w:ascii="Cambria" w:hAnsi="Cambria"/>
                          <w:color w:val="595959"/>
                          <w:sz w:val="18"/>
                          <w:szCs w:val="18"/>
                          <w:lang w:val="es-ES_tradnl"/>
                        </w:rPr>
                        <w:t>14 de junio</w:t>
                      </w:r>
                      <w:r>
                        <w:rPr>
                          <w:rFonts w:ascii="Cambria" w:hAnsi="Cambria"/>
                          <w:color w:val="595959"/>
                          <w:sz w:val="18"/>
                          <w:szCs w:val="18"/>
                          <w:lang w:val="es-ES_tradnl"/>
                        </w:rPr>
                        <w:t xml:space="preserve"> de 2019.</w:t>
                      </w:r>
                    </w:p>
                  </w:txbxContent>
                </v:textbox>
              </v:shape>
            </w:pict>
          </mc:Fallback>
        </mc:AlternateContent>
      </w:r>
    </w:p>
    <w:p w:rsidR="00A50FCF" w:rsidRPr="007C6BE8" w:rsidRDefault="00A50FCF" w:rsidP="00B1793F">
      <w:pPr>
        <w:tabs>
          <w:tab w:val="center" w:pos="5400"/>
        </w:tabs>
        <w:suppressAutoHyphens/>
        <w:ind w:firstLine="720"/>
        <w:jc w:val="both"/>
        <w:rPr>
          <w:rFonts w:asciiTheme="majorHAnsi" w:hAnsiTheme="majorHAnsi"/>
          <w:sz w:val="20"/>
          <w:szCs w:val="20"/>
          <w:lang w:val="es-ES_tradnl"/>
        </w:rPr>
      </w:pPr>
    </w:p>
    <w:p w:rsidR="0090270B" w:rsidRPr="007C6BE8" w:rsidRDefault="008402AC" w:rsidP="00B1793F">
      <w:pPr>
        <w:tabs>
          <w:tab w:val="center" w:pos="5400"/>
        </w:tabs>
        <w:suppressAutoHyphens/>
        <w:ind w:firstLine="720"/>
        <w:jc w:val="both"/>
        <w:rPr>
          <w:rFonts w:asciiTheme="majorHAnsi" w:hAnsiTheme="majorHAnsi"/>
          <w:b/>
          <w:sz w:val="20"/>
          <w:szCs w:val="20"/>
          <w:lang w:val="es-ES_tradnl"/>
        </w:rPr>
      </w:pPr>
      <w:r w:rsidRPr="007C6BE8">
        <w:rPr>
          <w:rFonts w:asciiTheme="majorHAnsi" w:hAnsiTheme="majorHAnsi"/>
          <w:noProof/>
          <w:sz w:val="20"/>
          <w:szCs w:val="20"/>
          <w:bdr w:val="none" w:sz="0" w:space="0" w:color="auto"/>
        </w:rPr>
        <mc:AlternateContent>
          <mc:Choice Requires="wps">
            <w:drawing>
              <wp:anchor distT="0" distB="0" distL="114300" distR="114300" simplePos="0" relativeHeight="251660800" behindDoc="0" locked="0" layoutInCell="1" allowOverlap="1" wp14:anchorId="2218B369" wp14:editId="28A78D1A">
                <wp:simplePos x="0" y="0"/>
                <wp:positionH relativeFrom="column">
                  <wp:posOffset>-272415</wp:posOffset>
                </wp:positionH>
                <wp:positionV relativeFrom="paragraph">
                  <wp:posOffset>831520</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rsidR="00512B04" w:rsidRPr="009E54FA" w:rsidRDefault="00512B04" w:rsidP="00D306D1">
                            <w:pPr>
                              <w:jc w:val="center"/>
                              <w:rPr>
                                <w:rFonts w:ascii="Calibri" w:hAnsi="Calibri"/>
                                <w:b/>
                                <w:color w:val="FFFFFF"/>
                              </w:rPr>
                            </w:pPr>
                            <w:r w:rsidRPr="009E54FA">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8B369" id="Text Box 4" o:spid="_x0000_s1031" type="#_x0000_t202" style="position:absolute;left:0;text-align:left;margin-left:-21.45pt;margin-top:65.45pt;width:93pt;height:2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" filled="f" stroked="f" strokeweight=".5pt">
                <v:path arrowok="t"/>
                <v:textbox>
                  <w:txbxContent>
                    <w:p w:rsidR="00512B04" w:rsidRPr="009E54FA" w:rsidRDefault="00512B04" w:rsidP="00D306D1">
                      <w:pPr>
                        <w:jc w:val="center"/>
                        <w:rPr>
                          <w:rFonts w:ascii="Calibri" w:hAnsi="Calibri"/>
                          <w:b/>
                          <w:color w:val="FFFFFF"/>
                        </w:rPr>
                      </w:pPr>
                      <w:r w:rsidRPr="009E54FA">
                        <w:rPr>
                          <w:rFonts w:ascii="Calibri" w:hAnsi="Calibri"/>
                          <w:b/>
                          <w:color w:val="FFFFFF"/>
                          <w:lang w:val="pt-BR"/>
                        </w:rPr>
                        <w:t>www.cidh.org</w:t>
                      </w:r>
                    </w:p>
                  </w:txbxContent>
                </v:textbox>
              </v:shape>
            </w:pict>
          </mc:Fallback>
        </mc:AlternateContent>
      </w:r>
      <w:r w:rsidR="00EE4229" w:rsidRPr="007C6BE8">
        <w:rPr>
          <w:rFonts w:asciiTheme="majorHAnsi" w:hAnsiTheme="majorHAnsi"/>
          <w:noProof/>
          <w:sz w:val="20"/>
          <w:szCs w:val="20"/>
          <w:bdr w:val="none" w:sz="0" w:space="0" w:color="auto"/>
        </w:rPr>
        <mc:AlternateContent>
          <mc:Choice Requires="wps">
            <w:drawing>
              <wp:anchor distT="0" distB="0" distL="114300" distR="114300" simplePos="0" relativeHeight="251659776" behindDoc="0" locked="0" layoutInCell="1" allowOverlap="1" wp14:anchorId="566B0499" wp14:editId="629C5293">
                <wp:simplePos x="0" y="0"/>
                <wp:positionH relativeFrom="column">
                  <wp:posOffset>1329690</wp:posOffset>
                </wp:positionH>
                <wp:positionV relativeFrom="paragraph">
                  <wp:posOffset>638810</wp:posOffset>
                </wp:positionV>
                <wp:extent cx="4096385" cy="5670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ysClr val="window" lastClr="FFFFFF"/>
                        </a:solidFill>
                        <a:ln w="6350">
                          <a:noFill/>
                        </a:ln>
                        <a:effectLst/>
                      </wps:spPr>
                      <wps:txbx>
                        <w:txbxContent>
                          <w:p w:rsidR="00512B04" w:rsidRPr="009E54FA" w:rsidRDefault="008402AC" w:rsidP="00F02AD1">
                            <w:pPr>
                              <w:rPr>
                                <w:color w:val="FFFFFF"/>
                              </w:rPr>
                            </w:pPr>
                            <w:r>
                              <w:rPr>
                                <w:noProof/>
                                <w:color w:val="FFFFFF" w:themeColor="background1"/>
                              </w:rPr>
                              <w:drawing>
                                <wp:inline distT="0" distB="0" distL="0" distR="0" wp14:anchorId="6265AC60" wp14:editId="7192CA5B">
                                  <wp:extent cx="1658203" cy="42652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1725" cy="4274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B0499" id="Text Box 9" o:spid="_x0000_s1032" type="#_x0000_t202" style="position:absolute;left:0;text-align:left;margin-left:104.7pt;margin-top:50.3pt;width:322.55pt;height:4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" fillcolor="window" stroked="f" strokeweight=".5pt">
                <v:path arrowok="t"/>
                <v:textbox>
                  <w:txbxContent>
                    <w:p w:rsidR="00512B04" w:rsidRPr="009E54FA" w:rsidRDefault="008402AC" w:rsidP="00F02AD1">
                      <w:pPr>
                        <w:rPr>
                          <w:color w:val="FFFFFF"/>
                        </w:rPr>
                      </w:pPr>
                      <w:r>
                        <w:rPr>
                          <w:noProof/>
                          <w:color w:val="FFFFFF" w:themeColor="background1"/>
                        </w:rPr>
                        <w:drawing>
                          <wp:inline distT="0" distB="0" distL="0" distR="0" wp14:anchorId="6265AC60" wp14:editId="7192CA5B">
                            <wp:extent cx="1658203" cy="42652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1725" cy="427433"/>
                                    </a:xfrm>
                                    <a:prstGeom prst="rect">
                                      <a:avLst/>
                                    </a:prstGeom>
                                  </pic:spPr>
                                </pic:pic>
                              </a:graphicData>
                            </a:graphic>
                          </wp:inline>
                        </w:drawing>
                      </w:r>
                    </w:p>
                  </w:txbxContent>
                </v:textbox>
              </v:shape>
            </w:pict>
          </mc:Fallback>
        </mc:AlternateContent>
      </w:r>
    </w:p>
    <w:p w:rsidR="0070697F" w:rsidRPr="007C6BE8" w:rsidRDefault="0070697F" w:rsidP="00B1793F">
      <w:pPr>
        <w:tabs>
          <w:tab w:val="center" w:pos="5400"/>
        </w:tabs>
        <w:suppressAutoHyphens/>
        <w:ind w:firstLine="720"/>
        <w:jc w:val="both"/>
        <w:rPr>
          <w:rFonts w:asciiTheme="majorHAnsi" w:hAnsiTheme="majorHAnsi"/>
          <w:b/>
          <w:sz w:val="20"/>
          <w:szCs w:val="20"/>
          <w:lang w:val="es-ES_tradnl"/>
        </w:rPr>
        <w:sectPr w:rsidR="0070697F" w:rsidRPr="007C6BE8"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rsidR="00722C9F" w:rsidRPr="007C6BE8" w:rsidRDefault="00722C9F" w:rsidP="008402AC">
      <w:pPr>
        <w:tabs>
          <w:tab w:val="center" w:pos="5400"/>
        </w:tabs>
        <w:suppressAutoHyphens/>
        <w:spacing w:line="276" w:lineRule="auto"/>
        <w:jc w:val="both"/>
        <w:rPr>
          <w:rFonts w:asciiTheme="majorHAnsi" w:hAnsiTheme="majorHAnsi"/>
          <w:sz w:val="20"/>
          <w:szCs w:val="20"/>
          <w:lang w:val="es-ES_tradnl"/>
        </w:rPr>
      </w:pPr>
    </w:p>
    <w:p w:rsidR="00722C9F" w:rsidRPr="007C6BE8" w:rsidRDefault="00722C9F" w:rsidP="00180E93">
      <w:pPr>
        <w:tabs>
          <w:tab w:val="center" w:pos="5400"/>
        </w:tabs>
        <w:suppressAutoHyphens/>
        <w:spacing w:line="276" w:lineRule="auto"/>
        <w:ind w:firstLine="720"/>
        <w:jc w:val="center"/>
        <w:rPr>
          <w:rFonts w:asciiTheme="majorHAnsi" w:hAnsiTheme="majorHAnsi"/>
          <w:b/>
          <w:sz w:val="20"/>
          <w:szCs w:val="20"/>
          <w:lang w:val="es-ES_tradnl"/>
        </w:rPr>
      </w:pPr>
      <w:r w:rsidRPr="007C6BE8">
        <w:rPr>
          <w:rFonts w:asciiTheme="majorHAnsi" w:hAnsiTheme="majorHAnsi"/>
          <w:b/>
          <w:sz w:val="20"/>
          <w:szCs w:val="20"/>
          <w:lang w:val="es-ES_tradnl"/>
        </w:rPr>
        <w:t>ÍNDICE</w:t>
      </w:r>
    </w:p>
    <w:p w:rsidR="00722C9F" w:rsidRPr="00DC7C9A" w:rsidRDefault="00722C9F" w:rsidP="00DC7C9A">
      <w:pPr>
        <w:tabs>
          <w:tab w:val="left" w:pos="900"/>
          <w:tab w:val="center" w:pos="5400"/>
        </w:tabs>
        <w:suppressAutoHyphens/>
        <w:spacing w:line="276" w:lineRule="auto"/>
        <w:ind w:firstLine="720"/>
        <w:jc w:val="both"/>
        <w:rPr>
          <w:rFonts w:asciiTheme="majorHAnsi" w:hAnsiTheme="majorHAnsi"/>
          <w:sz w:val="20"/>
          <w:szCs w:val="20"/>
          <w:lang w:val="es-ES_tradnl"/>
        </w:rPr>
      </w:pPr>
    </w:p>
    <w:p w:rsidR="00DC7C9A" w:rsidRPr="00DC7C9A" w:rsidRDefault="00DC7C9A" w:rsidP="00D60E3B">
      <w:pPr>
        <w:pStyle w:val="TOC1"/>
        <w:tabs>
          <w:tab w:val="clear" w:pos="540"/>
          <w:tab w:val="clear" w:pos="900"/>
          <w:tab w:val="left" w:pos="720"/>
          <w:tab w:val="left" w:pos="1440"/>
        </w:tabs>
        <w:rPr>
          <w:rFonts w:eastAsiaTheme="minorEastAsia" w:cstheme="minorBidi"/>
          <w:noProof/>
          <w:bdr w:val="none" w:sz="0" w:space="0" w:color="auto"/>
          <w:lang w:val="es-ES" w:eastAsia="es-ES"/>
        </w:rPr>
      </w:pPr>
      <w:r w:rsidRPr="00DC7C9A">
        <w:rPr>
          <w:lang w:val="es-ES_tradnl"/>
        </w:rPr>
        <w:fldChar w:fldCharType="begin"/>
      </w:r>
      <w:r w:rsidRPr="00DC7C9A">
        <w:rPr>
          <w:lang w:val="es-ES_tradnl"/>
        </w:rPr>
        <w:instrText xml:space="preserve"> TOC \o "1-3" \h \z \u </w:instrText>
      </w:r>
      <w:r w:rsidRPr="00DC7C9A">
        <w:rPr>
          <w:lang w:val="es-ES_tradnl"/>
        </w:rPr>
        <w:fldChar w:fldCharType="separate"/>
      </w:r>
      <w:hyperlink w:anchor="_Toc529794701" w:history="1">
        <w:r w:rsidRPr="00DC7C9A">
          <w:rPr>
            <w:rStyle w:val="Hyperlink"/>
            <w:rFonts w:asciiTheme="majorHAnsi" w:hAnsiTheme="majorHAnsi" w:cs="Arial"/>
            <w:noProof/>
            <w:szCs w:val="20"/>
            <w:lang w:val="es-US"/>
          </w:rPr>
          <w:t>I.</w:t>
        </w:r>
        <w:r w:rsidRPr="00DC7C9A">
          <w:rPr>
            <w:rFonts w:eastAsiaTheme="minorEastAsia" w:cstheme="minorBidi"/>
            <w:noProof/>
            <w:bdr w:val="none" w:sz="0" w:space="0" w:color="auto"/>
            <w:lang w:val="es-ES" w:eastAsia="es-ES"/>
          </w:rPr>
          <w:tab/>
        </w:r>
        <w:r w:rsidRPr="00DC7C9A">
          <w:rPr>
            <w:rStyle w:val="Hyperlink"/>
            <w:rFonts w:asciiTheme="majorHAnsi" w:hAnsiTheme="majorHAnsi" w:cs="Arial"/>
            <w:noProof/>
            <w:szCs w:val="20"/>
            <w:lang w:val="es-US"/>
          </w:rPr>
          <w:t>RESUMEN</w:t>
        </w:r>
        <w:r w:rsidRPr="00DC7C9A">
          <w:rPr>
            <w:noProof/>
            <w:webHidden/>
          </w:rPr>
          <w:tab/>
        </w:r>
        <w:r w:rsidRPr="00DC7C9A">
          <w:rPr>
            <w:noProof/>
            <w:webHidden/>
          </w:rPr>
          <w:fldChar w:fldCharType="begin"/>
        </w:r>
        <w:r w:rsidRPr="00DC7C9A">
          <w:rPr>
            <w:noProof/>
            <w:webHidden/>
          </w:rPr>
          <w:instrText xml:space="preserve"> PAGEREF _Toc529794701 \h </w:instrText>
        </w:r>
        <w:r w:rsidRPr="00DC7C9A">
          <w:rPr>
            <w:noProof/>
            <w:webHidden/>
          </w:rPr>
        </w:r>
        <w:r w:rsidRPr="00DC7C9A">
          <w:rPr>
            <w:noProof/>
            <w:webHidden/>
          </w:rPr>
          <w:fldChar w:fldCharType="separate"/>
        </w:r>
        <w:r w:rsidR="009A52EE">
          <w:rPr>
            <w:noProof/>
            <w:webHidden/>
          </w:rPr>
          <w:t>1</w:t>
        </w:r>
        <w:r w:rsidRPr="00DC7C9A">
          <w:rPr>
            <w:noProof/>
            <w:webHidden/>
          </w:rPr>
          <w:fldChar w:fldCharType="end"/>
        </w:r>
      </w:hyperlink>
    </w:p>
    <w:p w:rsidR="00DC7C9A" w:rsidRPr="00DC7C9A" w:rsidRDefault="00D24211" w:rsidP="00D60E3B">
      <w:pPr>
        <w:pStyle w:val="TOC1"/>
        <w:tabs>
          <w:tab w:val="clear" w:pos="540"/>
          <w:tab w:val="clear" w:pos="900"/>
          <w:tab w:val="left" w:pos="720"/>
          <w:tab w:val="left" w:pos="1440"/>
        </w:tabs>
        <w:rPr>
          <w:rFonts w:eastAsiaTheme="minorEastAsia" w:cstheme="minorBidi"/>
          <w:noProof/>
          <w:bdr w:val="none" w:sz="0" w:space="0" w:color="auto"/>
          <w:lang w:val="es-ES" w:eastAsia="es-ES"/>
        </w:rPr>
      </w:pPr>
      <w:hyperlink w:anchor="_Toc529794702" w:history="1">
        <w:r w:rsidR="00DC7C9A" w:rsidRPr="00DC7C9A">
          <w:rPr>
            <w:rStyle w:val="Hyperlink"/>
            <w:rFonts w:asciiTheme="majorHAnsi" w:hAnsiTheme="majorHAnsi" w:cs="Arial"/>
            <w:noProof/>
            <w:szCs w:val="20"/>
          </w:rPr>
          <w:t>II.</w:t>
        </w:r>
        <w:r w:rsidR="00DC7C9A" w:rsidRPr="00DC7C9A">
          <w:rPr>
            <w:rFonts w:eastAsiaTheme="minorEastAsia" w:cstheme="minorBidi"/>
            <w:noProof/>
            <w:bdr w:val="none" w:sz="0" w:space="0" w:color="auto"/>
            <w:lang w:val="es-ES" w:eastAsia="es-ES"/>
          </w:rPr>
          <w:tab/>
        </w:r>
        <w:r w:rsidR="00DC7C9A" w:rsidRPr="00DC7C9A">
          <w:rPr>
            <w:rStyle w:val="Hyperlink"/>
            <w:rFonts w:asciiTheme="majorHAnsi" w:hAnsiTheme="majorHAnsi" w:cs="Arial"/>
            <w:noProof/>
            <w:szCs w:val="20"/>
          </w:rPr>
          <w:t>TRÁMITE ANTE LA COMISIÓN</w:t>
        </w:r>
        <w:r w:rsidR="00DC7C9A" w:rsidRPr="00DC7C9A">
          <w:rPr>
            <w:noProof/>
            <w:webHidden/>
          </w:rPr>
          <w:tab/>
        </w:r>
        <w:r w:rsidR="00DC7C9A" w:rsidRPr="00DC7C9A">
          <w:rPr>
            <w:noProof/>
            <w:webHidden/>
          </w:rPr>
          <w:fldChar w:fldCharType="begin"/>
        </w:r>
        <w:r w:rsidR="00DC7C9A" w:rsidRPr="00DC7C9A">
          <w:rPr>
            <w:noProof/>
            <w:webHidden/>
          </w:rPr>
          <w:instrText xml:space="preserve"> PAGEREF _Toc529794702 \h </w:instrText>
        </w:r>
        <w:r w:rsidR="00DC7C9A" w:rsidRPr="00DC7C9A">
          <w:rPr>
            <w:noProof/>
            <w:webHidden/>
          </w:rPr>
        </w:r>
        <w:r w:rsidR="00DC7C9A" w:rsidRPr="00DC7C9A">
          <w:rPr>
            <w:noProof/>
            <w:webHidden/>
          </w:rPr>
          <w:fldChar w:fldCharType="separate"/>
        </w:r>
        <w:r w:rsidR="009A52EE">
          <w:rPr>
            <w:noProof/>
            <w:webHidden/>
          </w:rPr>
          <w:t>1</w:t>
        </w:r>
        <w:r w:rsidR="00DC7C9A" w:rsidRPr="00DC7C9A">
          <w:rPr>
            <w:noProof/>
            <w:webHidden/>
          </w:rPr>
          <w:fldChar w:fldCharType="end"/>
        </w:r>
      </w:hyperlink>
    </w:p>
    <w:p w:rsidR="00DC7C9A" w:rsidRPr="00DC7C9A" w:rsidRDefault="00D24211" w:rsidP="00D60E3B">
      <w:pPr>
        <w:pStyle w:val="TOC1"/>
        <w:tabs>
          <w:tab w:val="clear" w:pos="540"/>
          <w:tab w:val="clear" w:pos="900"/>
          <w:tab w:val="left" w:pos="720"/>
          <w:tab w:val="left" w:pos="1440"/>
        </w:tabs>
        <w:rPr>
          <w:rFonts w:eastAsiaTheme="minorEastAsia" w:cstheme="minorBidi"/>
          <w:noProof/>
          <w:bdr w:val="none" w:sz="0" w:space="0" w:color="auto"/>
          <w:lang w:val="es-ES" w:eastAsia="es-ES"/>
        </w:rPr>
      </w:pPr>
      <w:hyperlink w:anchor="_Toc529794703" w:history="1">
        <w:r w:rsidR="00DC7C9A" w:rsidRPr="00DC7C9A">
          <w:rPr>
            <w:rStyle w:val="Hyperlink"/>
            <w:rFonts w:asciiTheme="majorHAnsi" w:hAnsiTheme="majorHAnsi" w:cs="Arial"/>
            <w:noProof/>
            <w:szCs w:val="20"/>
          </w:rPr>
          <w:t>III.</w:t>
        </w:r>
        <w:r w:rsidR="00DC7C9A" w:rsidRPr="00DC7C9A">
          <w:rPr>
            <w:rFonts w:eastAsiaTheme="minorEastAsia" w:cstheme="minorBidi"/>
            <w:noProof/>
            <w:bdr w:val="none" w:sz="0" w:space="0" w:color="auto"/>
            <w:lang w:val="es-ES" w:eastAsia="es-ES"/>
          </w:rPr>
          <w:tab/>
        </w:r>
        <w:r w:rsidR="00DC7C9A" w:rsidRPr="00DC7C9A">
          <w:rPr>
            <w:rStyle w:val="Hyperlink"/>
            <w:rFonts w:asciiTheme="majorHAnsi" w:hAnsiTheme="majorHAnsi" w:cs="Arial"/>
            <w:noProof/>
            <w:szCs w:val="20"/>
          </w:rPr>
          <w:t>POSICIONES DE LAS PARTES</w:t>
        </w:r>
        <w:r w:rsidR="00DC7C9A" w:rsidRPr="00DC7C9A">
          <w:rPr>
            <w:noProof/>
            <w:webHidden/>
          </w:rPr>
          <w:tab/>
        </w:r>
        <w:r w:rsidR="00DC7C9A" w:rsidRPr="00DC7C9A">
          <w:rPr>
            <w:noProof/>
            <w:webHidden/>
          </w:rPr>
          <w:fldChar w:fldCharType="begin"/>
        </w:r>
        <w:r w:rsidR="00DC7C9A" w:rsidRPr="00DC7C9A">
          <w:rPr>
            <w:noProof/>
            <w:webHidden/>
          </w:rPr>
          <w:instrText xml:space="preserve"> PAGEREF _Toc529794703 \h </w:instrText>
        </w:r>
        <w:r w:rsidR="00DC7C9A" w:rsidRPr="00DC7C9A">
          <w:rPr>
            <w:noProof/>
            <w:webHidden/>
          </w:rPr>
        </w:r>
        <w:r w:rsidR="00DC7C9A" w:rsidRPr="00DC7C9A">
          <w:rPr>
            <w:noProof/>
            <w:webHidden/>
          </w:rPr>
          <w:fldChar w:fldCharType="separate"/>
        </w:r>
        <w:r w:rsidR="009A52EE">
          <w:rPr>
            <w:noProof/>
            <w:webHidden/>
          </w:rPr>
          <w:t>2</w:t>
        </w:r>
        <w:r w:rsidR="00DC7C9A" w:rsidRPr="00DC7C9A">
          <w:rPr>
            <w:noProof/>
            <w:webHidden/>
          </w:rPr>
          <w:fldChar w:fldCharType="end"/>
        </w:r>
      </w:hyperlink>
    </w:p>
    <w:p w:rsidR="00DC7C9A" w:rsidRPr="00DC7C9A" w:rsidRDefault="00D24211" w:rsidP="00D60E3B">
      <w:pPr>
        <w:pStyle w:val="TOC2"/>
        <w:rPr>
          <w:rFonts w:eastAsiaTheme="minorEastAsia" w:cstheme="minorBidi"/>
          <w:noProof/>
          <w:bdr w:val="none" w:sz="0" w:space="0" w:color="auto"/>
          <w:lang w:val="es-ES" w:eastAsia="es-ES"/>
        </w:rPr>
      </w:pPr>
      <w:hyperlink w:anchor="_Toc529794704" w:history="1">
        <w:r w:rsidR="00DC7C9A" w:rsidRPr="00DC7C9A">
          <w:rPr>
            <w:rStyle w:val="Hyperlink"/>
            <w:rFonts w:asciiTheme="majorHAnsi" w:hAnsiTheme="majorHAnsi"/>
            <w:noProof/>
            <w:sz w:val="20"/>
            <w:szCs w:val="20"/>
          </w:rPr>
          <w:t xml:space="preserve">A. </w:t>
        </w:r>
        <w:r w:rsidR="00DC7C9A" w:rsidRPr="00DC7C9A">
          <w:rPr>
            <w:rFonts w:eastAsiaTheme="minorEastAsia" w:cstheme="minorBidi"/>
            <w:noProof/>
            <w:bdr w:val="none" w:sz="0" w:space="0" w:color="auto"/>
            <w:lang w:val="es-ES" w:eastAsia="es-ES"/>
          </w:rPr>
          <w:tab/>
        </w:r>
        <w:r w:rsidR="00DC7C9A" w:rsidRPr="00DC7C9A">
          <w:rPr>
            <w:rStyle w:val="Hyperlink"/>
            <w:rFonts w:asciiTheme="majorHAnsi" w:hAnsiTheme="majorHAnsi"/>
            <w:noProof/>
            <w:sz w:val="20"/>
            <w:szCs w:val="20"/>
          </w:rPr>
          <w:t>Posición de los peticionarios</w:t>
        </w:r>
        <w:r w:rsidR="00DC7C9A" w:rsidRPr="00DC7C9A">
          <w:rPr>
            <w:noProof/>
            <w:webHidden/>
          </w:rPr>
          <w:tab/>
        </w:r>
        <w:r w:rsidR="00DC7C9A" w:rsidRPr="00DC7C9A">
          <w:rPr>
            <w:noProof/>
            <w:webHidden/>
          </w:rPr>
          <w:fldChar w:fldCharType="begin"/>
        </w:r>
        <w:r w:rsidR="00DC7C9A" w:rsidRPr="00DC7C9A">
          <w:rPr>
            <w:noProof/>
            <w:webHidden/>
          </w:rPr>
          <w:instrText xml:space="preserve"> PAGEREF _Toc529794704 \h </w:instrText>
        </w:r>
        <w:r w:rsidR="00DC7C9A" w:rsidRPr="00DC7C9A">
          <w:rPr>
            <w:noProof/>
            <w:webHidden/>
          </w:rPr>
        </w:r>
        <w:r w:rsidR="00DC7C9A" w:rsidRPr="00DC7C9A">
          <w:rPr>
            <w:noProof/>
            <w:webHidden/>
          </w:rPr>
          <w:fldChar w:fldCharType="separate"/>
        </w:r>
        <w:r w:rsidR="009A52EE">
          <w:rPr>
            <w:noProof/>
            <w:webHidden/>
          </w:rPr>
          <w:t>2</w:t>
        </w:r>
        <w:r w:rsidR="00DC7C9A" w:rsidRPr="00DC7C9A">
          <w:rPr>
            <w:noProof/>
            <w:webHidden/>
          </w:rPr>
          <w:fldChar w:fldCharType="end"/>
        </w:r>
      </w:hyperlink>
    </w:p>
    <w:p w:rsidR="00DC7C9A" w:rsidRPr="00DC7C9A" w:rsidRDefault="00D24211" w:rsidP="00D60E3B">
      <w:pPr>
        <w:pStyle w:val="TOC2"/>
        <w:rPr>
          <w:rFonts w:eastAsiaTheme="minorEastAsia" w:cstheme="minorBidi"/>
          <w:noProof/>
          <w:bdr w:val="none" w:sz="0" w:space="0" w:color="auto"/>
          <w:lang w:val="es-ES" w:eastAsia="es-ES"/>
        </w:rPr>
      </w:pPr>
      <w:hyperlink w:anchor="_Toc529794705" w:history="1">
        <w:r w:rsidR="00DC7C9A" w:rsidRPr="00DC7C9A">
          <w:rPr>
            <w:rStyle w:val="Hyperlink"/>
            <w:rFonts w:asciiTheme="majorHAnsi" w:hAnsiTheme="majorHAnsi"/>
            <w:noProof/>
            <w:sz w:val="20"/>
            <w:szCs w:val="20"/>
          </w:rPr>
          <w:t>B.</w:t>
        </w:r>
        <w:r w:rsidR="00DC7C9A" w:rsidRPr="00DC7C9A">
          <w:rPr>
            <w:rFonts w:eastAsiaTheme="minorEastAsia" w:cstheme="minorBidi"/>
            <w:noProof/>
            <w:bdr w:val="none" w:sz="0" w:space="0" w:color="auto"/>
            <w:lang w:val="es-ES" w:eastAsia="es-ES"/>
          </w:rPr>
          <w:tab/>
        </w:r>
        <w:r w:rsidR="00DC7C9A" w:rsidRPr="00DC7C9A">
          <w:rPr>
            <w:rStyle w:val="Hyperlink"/>
            <w:rFonts w:asciiTheme="majorHAnsi" w:hAnsiTheme="majorHAnsi"/>
            <w:noProof/>
            <w:sz w:val="20"/>
            <w:szCs w:val="20"/>
          </w:rPr>
          <w:t>Posición del Estado</w:t>
        </w:r>
        <w:r w:rsidR="00DC7C9A" w:rsidRPr="00DC7C9A">
          <w:rPr>
            <w:noProof/>
            <w:webHidden/>
          </w:rPr>
          <w:tab/>
        </w:r>
        <w:r w:rsidR="00DC7C9A" w:rsidRPr="00DC7C9A">
          <w:rPr>
            <w:noProof/>
            <w:webHidden/>
          </w:rPr>
          <w:fldChar w:fldCharType="begin"/>
        </w:r>
        <w:r w:rsidR="00DC7C9A" w:rsidRPr="00DC7C9A">
          <w:rPr>
            <w:noProof/>
            <w:webHidden/>
          </w:rPr>
          <w:instrText xml:space="preserve"> PAGEREF _Toc529794705 \h </w:instrText>
        </w:r>
        <w:r w:rsidR="00DC7C9A" w:rsidRPr="00DC7C9A">
          <w:rPr>
            <w:noProof/>
            <w:webHidden/>
          </w:rPr>
        </w:r>
        <w:r w:rsidR="00DC7C9A" w:rsidRPr="00DC7C9A">
          <w:rPr>
            <w:noProof/>
            <w:webHidden/>
          </w:rPr>
          <w:fldChar w:fldCharType="separate"/>
        </w:r>
        <w:r w:rsidR="009A52EE">
          <w:rPr>
            <w:noProof/>
            <w:webHidden/>
          </w:rPr>
          <w:t>3</w:t>
        </w:r>
        <w:r w:rsidR="00DC7C9A" w:rsidRPr="00DC7C9A">
          <w:rPr>
            <w:noProof/>
            <w:webHidden/>
          </w:rPr>
          <w:fldChar w:fldCharType="end"/>
        </w:r>
      </w:hyperlink>
    </w:p>
    <w:p w:rsidR="00DC7C9A" w:rsidRPr="00DC7C9A" w:rsidRDefault="00D24211" w:rsidP="00D60E3B">
      <w:pPr>
        <w:pStyle w:val="TOC1"/>
        <w:tabs>
          <w:tab w:val="clear" w:pos="540"/>
          <w:tab w:val="clear" w:pos="900"/>
          <w:tab w:val="left" w:pos="720"/>
          <w:tab w:val="left" w:pos="1440"/>
        </w:tabs>
        <w:rPr>
          <w:rFonts w:eastAsiaTheme="minorEastAsia" w:cstheme="minorBidi"/>
          <w:noProof/>
          <w:bdr w:val="none" w:sz="0" w:space="0" w:color="auto"/>
          <w:lang w:val="es-ES" w:eastAsia="es-ES"/>
        </w:rPr>
      </w:pPr>
      <w:hyperlink w:anchor="_Toc529794706" w:history="1">
        <w:r w:rsidR="00DC7C9A" w:rsidRPr="00DC7C9A">
          <w:rPr>
            <w:rStyle w:val="Hyperlink"/>
            <w:rFonts w:asciiTheme="majorHAnsi" w:hAnsiTheme="majorHAnsi" w:cs="Arial"/>
            <w:noProof/>
            <w:szCs w:val="20"/>
          </w:rPr>
          <w:t>IV.</w:t>
        </w:r>
        <w:r w:rsidR="00DC7C9A" w:rsidRPr="00DC7C9A">
          <w:rPr>
            <w:rFonts w:eastAsiaTheme="minorEastAsia" w:cstheme="minorBidi"/>
            <w:noProof/>
            <w:bdr w:val="none" w:sz="0" w:space="0" w:color="auto"/>
            <w:lang w:val="es-ES" w:eastAsia="es-ES"/>
          </w:rPr>
          <w:tab/>
        </w:r>
        <w:r w:rsidR="00DC7C9A" w:rsidRPr="00DC7C9A">
          <w:rPr>
            <w:rStyle w:val="Hyperlink"/>
            <w:rFonts w:asciiTheme="majorHAnsi" w:hAnsiTheme="majorHAnsi" w:cs="Arial"/>
            <w:noProof/>
            <w:szCs w:val="20"/>
          </w:rPr>
          <w:t>ANÁLISIS SOBRE EL FONDO</w:t>
        </w:r>
        <w:r w:rsidR="00DC7C9A" w:rsidRPr="00DC7C9A">
          <w:rPr>
            <w:noProof/>
            <w:webHidden/>
          </w:rPr>
          <w:tab/>
        </w:r>
        <w:r w:rsidR="00DC7C9A" w:rsidRPr="00DC7C9A">
          <w:rPr>
            <w:noProof/>
            <w:webHidden/>
          </w:rPr>
          <w:fldChar w:fldCharType="begin"/>
        </w:r>
        <w:r w:rsidR="00DC7C9A" w:rsidRPr="00DC7C9A">
          <w:rPr>
            <w:noProof/>
            <w:webHidden/>
          </w:rPr>
          <w:instrText xml:space="preserve"> PAGEREF _Toc529794706 \h </w:instrText>
        </w:r>
        <w:r w:rsidR="00DC7C9A" w:rsidRPr="00DC7C9A">
          <w:rPr>
            <w:noProof/>
            <w:webHidden/>
          </w:rPr>
        </w:r>
        <w:r w:rsidR="00DC7C9A" w:rsidRPr="00DC7C9A">
          <w:rPr>
            <w:noProof/>
            <w:webHidden/>
          </w:rPr>
          <w:fldChar w:fldCharType="separate"/>
        </w:r>
        <w:r w:rsidR="009A52EE">
          <w:rPr>
            <w:noProof/>
            <w:webHidden/>
          </w:rPr>
          <w:t>4</w:t>
        </w:r>
        <w:r w:rsidR="00DC7C9A" w:rsidRPr="00DC7C9A">
          <w:rPr>
            <w:noProof/>
            <w:webHidden/>
          </w:rPr>
          <w:fldChar w:fldCharType="end"/>
        </w:r>
      </w:hyperlink>
    </w:p>
    <w:p w:rsidR="00DC7C9A" w:rsidRPr="00DC7C9A" w:rsidRDefault="00D24211" w:rsidP="00D60E3B">
      <w:pPr>
        <w:pStyle w:val="TOC2"/>
        <w:rPr>
          <w:rFonts w:eastAsiaTheme="minorEastAsia" w:cstheme="minorBidi"/>
          <w:noProof/>
          <w:bdr w:val="none" w:sz="0" w:space="0" w:color="auto"/>
          <w:lang w:val="es-ES" w:eastAsia="es-ES"/>
        </w:rPr>
      </w:pPr>
      <w:hyperlink w:anchor="_Toc529794707" w:history="1">
        <w:r w:rsidR="00DC7C9A" w:rsidRPr="00DC7C9A">
          <w:rPr>
            <w:rStyle w:val="Hyperlink"/>
            <w:rFonts w:asciiTheme="majorHAnsi" w:hAnsiTheme="majorHAnsi"/>
            <w:noProof/>
            <w:sz w:val="20"/>
            <w:szCs w:val="20"/>
          </w:rPr>
          <w:t>A.</w:t>
        </w:r>
        <w:r w:rsidR="00DC7C9A" w:rsidRPr="00DC7C9A">
          <w:rPr>
            <w:rFonts w:eastAsiaTheme="minorEastAsia" w:cstheme="minorBidi"/>
            <w:noProof/>
            <w:bdr w:val="none" w:sz="0" w:space="0" w:color="auto"/>
            <w:lang w:val="es-ES" w:eastAsia="es-ES"/>
          </w:rPr>
          <w:tab/>
        </w:r>
        <w:r w:rsidR="00DC7C9A" w:rsidRPr="00DC7C9A">
          <w:rPr>
            <w:rStyle w:val="Hyperlink"/>
            <w:rFonts w:asciiTheme="majorHAnsi" w:hAnsiTheme="majorHAnsi"/>
            <w:noProof/>
            <w:sz w:val="20"/>
            <w:szCs w:val="20"/>
          </w:rPr>
          <w:t>Consideraciones previas</w:t>
        </w:r>
        <w:r w:rsidR="00DC7C9A" w:rsidRPr="00DC7C9A">
          <w:rPr>
            <w:noProof/>
            <w:webHidden/>
          </w:rPr>
          <w:tab/>
        </w:r>
        <w:r w:rsidR="00DC7C9A" w:rsidRPr="00DC7C9A">
          <w:rPr>
            <w:noProof/>
            <w:webHidden/>
          </w:rPr>
          <w:fldChar w:fldCharType="begin"/>
        </w:r>
        <w:r w:rsidR="00DC7C9A" w:rsidRPr="00DC7C9A">
          <w:rPr>
            <w:noProof/>
            <w:webHidden/>
          </w:rPr>
          <w:instrText xml:space="preserve"> PAGEREF _Toc529794707 \h </w:instrText>
        </w:r>
        <w:r w:rsidR="00DC7C9A" w:rsidRPr="00DC7C9A">
          <w:rPr>
            <w:noProof/>
            <w:webHidden/>
          </w:rPr>
        </w:r>
        <w:r w:rsidR="00DC7C9A" w:rsidRPr="00DC7C9A">
          <w:rPr>
            <w:noProof/>
            <w:webHidden/>
          </w:rPr>
          <w:fldChar w:fldCharType="separate"/>
        </w:r>
        <w:r w:rsidR="009A52EE">
          <w:rPr>
            <w:noProof/>
            <w:webHidden/>
          </w:rPr>
          <w:t>4</w:t>
        </w:r>
        <w:r w:rsidR="00DC7C9A" w:rsidRPr="00DC7C9A">
          <w:rPr>
            <w:noProof/>
            <w:webHidden/>
          </w:rPr>
          <w:fldChar w:fldCharType="end"/>
        </w:r>
      </w:hyperlink>
    </w:p>
    <w:p w:rsidR="00DC7C9A" w:rsidRPr="00DC7C9A" w:rsidRDefault="00D24211" w:rsidP="00D60E3B">
      <w:pPr>
        <w:pStyle w:val="TOC2"/>
        <w:rPr>
          <w:rFonts w:eastAsiaTheme="minorEastAsia" w:cstheme="minorBidi"/>
          <w:noProof/>
          <w:bdr w:val="none" w:sz="0" w:space="0" w:color="auto"/>
          <w:lang w:val="es-ES" w:eastAsia="es-ES"/>
        </w:rPr>
      </w:pPr>
      <w:hyperlink w:anchor="_Toc529794710" w:history="1">
        <w:r w:rsidR="00DC7C9A" w:rsidRPr="00DC7C9A">
          <w:rPr>
            <w:rStyle w:val="Hyperlink"/>
            <w:rFonts w:asciiTheme="majorHAnsi" w:hAnsiTheme="majorHAnsi"/>
            <w:noProof/>
            <w:sz w:val="20"/>
            <w:szCs w:val="20"/>
          </w:rPr>
          <w:t>B.</w:t>
        </w:r>
        <w:r w:rsidR="00DC7C9A" w:rsidRPr="00DC7C9A">
          <w:rPr>
            <w:rFonts w:eastAsiaTheme="minorEastAsia" w:cstheme="minorBidi"/>
            <w:noProof/>
            <w:bdr w:val="none" w:sz="0" w:space="0" w:color="auto"/>
            <w:lang w:val="es-ES" w:eastAsia="es-ES"/>
          </w:rPr>
          <w:tab/>
        </w:r>
        <w:r w:rsidR="00DC7C9A" w:rsidRPr="00DC7C9A">
          <w:rPr>
            <w:rStyle w:val="Hyperlink"/>
            <w:rFonts w:asciiTheme="majorHAnsi" w:hAnsiTheme="majorHAnsi"/>
            <w:noProof/>
            <w:sz w:val="20"/>
            <w:szCs w:val="20"/>
          </w:rPr>
          <w:t>Hechos probados</w:t>
        </w:r>
        <w:r w:rsidR="00DC7C9A" w:rsidRPr="00DC7C9A">
          <w:rPr>
            <w:noProof/>
            <w:webHidden/>
          </w:rPr>
          <w:tab/>
        </w:r>
        <w:r w:rsidR="00DC7C9A" w:rsidRPr="00DC7C9A">
          <w:rPr>
            <w:noProof/>
            <w:webHidden/>
          </w:rPr>
          <w:fldChar w:fldCharType="begin"/>
        </w:r>
        <w:r w:rsidR="00DC7C9A" w:rsidRPr="00DC7C9A">
          <w:rPr>
            <w:noProof/>
            <w:webHidden/>
          </w:rPr>
          <w:instrText xml:space="preserve"> PAGEREF _Toc529794710 \h </w:instrText>
        </w:r>
        <w:r w:rsidR="00DC7C9A" w:rsidRPr="00DC7C9A">
          <w:rPr>
            <w:noProof/>
            <w:webHidden/>
          </w:rPr>
        </w:r>
        <w:r w:rsidR="00DC7C9A" w:rsidRPr="00DC7C9A">
          <w:rPr>
            <w:noProof/>
            <w:webHidden/>
          </w:rPr>
          <w:fldChar w:fldCharType="separate"/>
        </w:r>
        <w:r w:rsidR="009A52EE">
          <w:rPr>
            <w:noProof/>
            <w:webHidden/>
          </w:rPr>
          <w:t>7</w:t>
        </w:r>
        <w:r w:rsidR="00DC7C9A" w:rsidRPr="00DC7C9A">
          <w:rPr>
            <w:noProof/>
            <w:webHidden/>
          </w:rPr>
          <w:fldChar w:fldCharType="end"/>
        </w:r>
      </w:hyperlink>
    </w:p>
    <w:p w:rsidR="00DC7C9A" w:rsidRPr="00DC7C9A" w:rsidRDefault="00D24211" w:rsidP="00D60E3B">
      <w:pPr>
        <w:pStyle w:val="TOC1"/>
        <w:tabs>
          <w:tab w:val="clear" w:pos="540"/>
          <w:tab w:val="clear" w:pos="900"/>
          <w:tab w:val="left" w:pos="720"/>
          <w:tab w:val="left" w:pos="1440"/>
        </w:tabs>
        <w:rPr>
          <w:rFonts w:eastAsiaTheme="minorEastAsia" w:cstheme="minorBidi"/>
          <w:noProof/>
          <w:bdr w:val="none" w:sz="0" w:space="0" w:color="auto"/>
          <w:lang w:val="es-ES" w:eastAsia="es-ES"/>
        </w:rPr>
      </w:pPr>
      <w:hyperlink w:anchor="_Toc529794718" w:history="1">
        <w:r w:rsidR="00DC7C9A" w:rsidRPr="00DC7C9A">
          <w:rPr>
            <w:rStyle w:val="Hyperlink"/>
            <w:rFonts w:asciiTheme="majorHAnsi" w:hAnsiTheme="majorHAnsi" w:cs="Arial"/>
            <w:noProof/>
            <w:szCs w:val="20"/>
          </w:rPr>
          <w:t>V.</w:t>
        </w:r>
        <w:r w:rsidR="00DC7C9A" w:rsidRPr="00DC7C9A">
          <w:rPr>
            <w:rFonts w:eastAsiaTheme="minorEastAsia" w:cstheme="minorBidi"/>
            <w:noProof/>
            <w:bdr w:val="none" w:sz="0" w:space="0" w:color="auto"/>
            <w:lang w:val="es-ES" w:eastAsia="es-ES"/>
          </w:rPr>
          <w:tab/>
        </w:r>
        <w:r w:rsidR="00DC7C9A" w:rsidRPr="00DC7C9A">
          <w:rPr>
            <w:rStyle w:val="Hyperlink"/>
            <w:rFonts w:asciiTheme="majorHAnsi" w:hAnsiTheme="majorHAnsi" w:cs="Arial"/>
            <w:noProof/>
            <w:szCs w:val="20"/>
          </w:rPr>
          <w:t>ANÁLISIS DE DERECHO</w:t>
        </w:r>
        <w:r w:rsidR="00DC7C9A" w:rsidRPr="00DC7C9A">
          <w:rPr>
            <w:noProof/>
            <w:webHidden/>
          </w:rPr>
          <w:tab/>
        </w:r>
        <w:r w:rsidR="00DC7C9A" w:rsidRPr="00DC7C9A">
          <w:rPr>
            <w:noProof/>
            <w:webHidden/>
          </w:rPr>
          <w:fldChar w:fldCharType="begin"/>
        </w:r>
        <w:r w:rsidR="00DC7C9A" w:rsidRPr="00DC7C9A">
          <w:rPr>
            <w:noProof/>
            <w:webHidden/>
          </w:rPr>
          <w:instrText xml:space="preserve"> PAGEREF _Toc529794718 \h </w:instrText>
        </w:r>
        <w:r w:rsidR="00DC7C9A" w:rsidRPr="00DC7C9A">
          <w:rPr>
            <w:noProof/>
            <w:webHidden/>
          </w:rPr>
        </w:r>
        <w:r w:rsidR="00DC7C9A" w:rsidRPr="00DC7C9A">
          <w:rPr>
            <w:noProof/>
            <w:webHidden/>
          </w:rPr>
          <w:fldChar w:fldCharType="separate"/>
        </w:r>
        <w:r w:rsidR="009A52EE">
          <w:rPr>
            <w:noProof/>
            <w:webHidden/>
          </w:rPr>
          <w:t>17</w:t>
        </w:r>
        <w:r w:rsidR="00DC7C9A" w:rsidRPr="00DC7C9A">
          <w:rPr>
            <w:noProof/>
            <w:webHidden/>
          </w:rPr>
          <w:fldChar w:fldCharType="end"/>
        </w:r>
      </w:hyperlink>
    </w:p>
    <w:p w:rsidR="00DC7C9A" w:rsidRPr="00DC7C9A" w:rsidRDefault="00D24211" w:rsidP="00D60E3B">
      <w:pPr>
        <w:pStyle w:val="TOC2"/>
        <w:rPr>
          <w:rFonts w:eastAsiaTheme="minorEastAsia" w:cstheme="minorBidi"/>
          <w:noProof/>
          <w:bdr w:val="none" w:sz="0" w:space="0" w:color="auto"/>
          <w:lang w:val="es-ES" w:eastAsia="es-ES"/>
        </w:rPr>
      </w:pPr>
      <w:hyperlink w:anchor="_Toc529794719" w:history="1">
        <w:r w:rsidR="00DC7C9A" w:rsidRPr="00DC7C9A">
          <w:rPr>
            <w:rStyle w:val="Hyperlink"/>
            <w:rFonts w:asciiTheme="majorHAnsi" w:hAnsiTheme="majorHAnsi"/>
            <w:noProof/>
            <w:sz w:val="20"/>
            <w:szCs w:val="20"/>
            <w:lang w:val="es-ES_tradnl"/>
          </w:rPr>
          <w:t xml:space="preserve">A.  </w:t>
        </w:r>
        <w:r w:rsidR="00DC7C9A" w:rsidRPr="00DC7C9A">
          <w:rPr>
            <w:rFonts w:eastAsiaTheme="minorEastAsia" w:cstheme="minorBidi"/>
            <w:noProof/>
            <w:bdr w:val="none" w:sz="0" w:space="0" w:color="auto"/>
            <w:lang w:val="es-ES" w:eastAsia="es-ES"/>
          </w:rPr>
          <w:tab/>
        </w:r>
        <w:r w:rsidR="00DC7C9A" w:rsidRPr="00DC7C9A">
          <w:rPr>
            <w:rStyle w:val="Hyperlink"/>
            <w:rFonts w:asciiTheme="majorHAnsi" w:hAnsiTheme="majorHAnsi"/>
            <w:noProof/>
            <w:sz w:val="20"/>
            <w:szCs w:val="20"/>
            <w:lang w:val="es-ES_tradnl"/>
          </w:rPr>
          <w:t>Análisis de la respuesta del Estado al momento de tomar conocimiento de la desaparición del señor Norberto Javier Restrepo (artículos 4 (derechos a la vida), 5 (integridad personal) y 7 (libertad personal) en relación con el deber de garantía contenido en el artículo 1.1 de la Convención Americana)</w:t>
        </w:r>
        <w:r w:rsidR="00DC7C9A" w:rsidRPr="00DC7C9A">
          <w:rPr>
            <w:noProof/>
            <w:webHidden/>
          </w:rPr>
          <w:tab/>
        </w:r>
        <w:r w:rsidR="00DC7C9A" w:rsidRPr="00DC7C9A">
          <w:rPr>
            <w:noProof/>
            <w:webHidden/>
          </w:rPr>
          <w:fldChar w:fldCharType="begin"/>
        </w:r>
        <w:r w:rsidR="00DC7C9A" w:rsidRPr="00DC7C9A">
          <w:rPr>
            <w:noProof/>
            <w:webHidden/>
          </w:rPr>
          <w:instrText xml:space="preserve"> PAGEREF _Toc529794719 \h </w:instrText>
        </w:r>
        <w:r w:rsidR="00DC7C9A" w:rsidRPr="00DC7C9A">
          <w:rPr>
            <w:noProof/>
            <w:webHidden/>
          </w:rPr>
        </w:r>
        <w:r w:rsidR="00DC7C9A" w:rsidRPr="00DC7C9A">
          <w:rPr>
            <w:noProof/>
            <w:webHidden/>
          </w:rPr>
          <w:fldChar w:fldCharType="separate"/>
        </w:r>
        <w:r w:rsidR="009A52EE">
          <w:rPr>
            <w:noProof/>
            <w:webHidden/>
          </w:rPr>
          <w:t>18</w:t>
        </w:r>
        <w:r w:rsidR="00DC7C9A" w:rsidRPr="00DC7C9A">
          <w:rPr>
            <w:noProof/>
            <w:webHidden/>
          </w:rPr>
          <w:fldChar w:fldCharType="end"/>
        </w:r>
      </w:hyperlink>
    </w:p>
    <w:p w:rsidR="00DC7C9A" w:rsidRPr="00DC7C9A" w:rsidRDefault="00D24211" w:rsidP="00D60E3B">
      <w:pPr>
        <w:pStyle w:val="TOC2"/>
        <w:rPr>
          <w:rFonts w:eastAsiaTheme="minorEastAsia" w:cstheme="minorBidi"/>
          <w:noProof/>
          <w:bdr w:val="none" w:sz="0" w:space="0" w:color="auto"/>
          <w:lang w:val="es-ES" w:eastAsia="es-ES"/>
        </w:rPr>
      </w:pPr>
      <w:hyperlink w:anchor="_Toc529794720" w:history="1">
        <w:r w:rsidR="00DC7C9A" w:rsidRPr="00DC7C9A">
          <w:rPr>
            <w:rStyle w:val="Hyperlink"/>
            <w:rFonts w:asciiTheme="majorHAnsi" w:hAnsiTheme="majorHAnsi"/>
            <w:noProof/>
            <w:sz w:val="20"/>
            <w:szCs w:val="20"/>
            <w:lang w:val="es-ES_tradnl"/>
          </w:rPr>
          <w:t xml:space="preserve">B. </w:t>
        </w:r>
        <w:r w:rsidR="00DC7C9A" w:rsidRPr="00DC7C9A">
          <w:rPr>
            <w:rFonts w:eastAsiaTheme="minorEastAsia" w:cstheme="minorBidi"/>
            <w:noProof/>
            <w:bdr w:val="none" w:sz="0" w:space="0" w:color="auto"/>
            <w:lang w:val="es-ES" w:eastAsia="es-ES"/>
          </w:rPr>
          <w:tab/>
        </w:r>
        <w:r w:rsidR="00DC7C9A" w:rsidRPr="00DC7C9A">
          <w:rPr>
            <w:rStyle w:val="Hyperlink"/>
            <w:rFonts w:asciiTheme="majorHAnsi" w:hAnsiTheme="majorHAnsi"/>
            <w:noProof/>
            <w:sz w:val="20"/>
            <w:szCs w:val="20"/>
            <w:lang w:val="es-ES_tradnl"/>
          </w:rPr>
          <w:t>Respuesta del Estado al momento de tomar conocimiento de la muerte del señor Norberto Javier Restrepo (artículos 8 (</w:t>
        </w:r>
        <w:r w:rsidR="00DC7C9A" w:rsidRPr="00DC7C9A">
          <w:rPr>
            <w:rStyle w:val="Hyperlink"/>
            <w:rFonts w:asciiTheme="majorHAnsi" w:hAnsiTheme="majorHAnsi"/>
            <w:noProof/>
            <w:sz w:val="20"/>
            <w:szCs w:val="20"/>
            <w:lang w:val="es-MX"/>
          </w:rPr>
          <w:t>garantías judiciales) y 25 (protección judicial) de la Convención Americana)</w:t>
        </w:r>
        <w:r w:rsidR="00DC7C9A" w:rsidRPr="00DC7C9A">
          <w:rPr>
            <w:noProof/>
            <w:webHidden/>
          </w:rPr>
          <w:tab/>
        </w:r>
        <w:r w:rsidR="00DC7C9A" w:rsidRPr="00DC7C9A">
          <w:rPr>
            <w:noProof/>
            <w:webHidden/>
          </w:rPr>
          <w:fldChar w:fldCharType="begin"/>
        </w:r>
        <w:r w:rsidR="00DC7C9A" w:rsidRPr="00DC7C9A">
          <w:rPr>
            <w:noProof/>
            <w:webHidden/>
          </w:rPr>
          <w:instrText xml:space="preserve"> PAGEREF _Toc529794720 \h </w:instrText>
        </w:r>
        <w:r w:rsidR="00DC7C9A" w:rsidRPr="00DC7C9A">
          <w:rPr>
            <w:noProof/>
            <w:webHidden/>
          </w:rPr>
        </w:r>
        <w:r w:rsidR="00DC7C9A" w:rsidRPr="00DC7C9A">
          <w:rPr>
            <w:noProof/>
            <w:webHidden/>
          </w:rPr>
          <w:fldChar w:fldCharType="separate"/>
        </w:r>
        <w:r w:rsidR="009A52EE">
          <w:rPr>
            <w:noProof/>
            <w:webHidden/>
          </w:rPr>
          <w:t>21</w:t>
        </w:r>
        <w:r w:rsidR="00DC7C9A" w:rsidRPr="00DC7C9A">
          <w:rPr>
            <w:noProof/>
            <w:webHidden/>
          </w:rPr>
          <w:fldChar w:fldCharType="end"/>
        </w:r>
      </w:hyperlink>
    </w:p>
    <w:p w:rsidR="00DC7C9A" w:rsidRPr="00DC7C9A" w:rsidRDefault="00D24211" w:rsidP="00D60E3B">
      <w:pPr>
        <w:pStyle w:val="TOC3"/>
        <w:tabs>
          <w:tab w:val="clear" w:pos="540"/>
          <w:tab w:val="clear" w:pos="880"/>
          <w:tab w:val="left" w:pos="720"/>
          <w:tab w:val="left" w:pos="1440"/>
        </w:tabs>
        <w:ind w:left="1440" w:hanging="720"/>
        <w:rPr>
          <w:rFonts w:asciiTheme="majorHAnsi" w:eastAsiaTheme="minorEastAsia" w:hAnsiTheme="majorHAnsi" w:cstheme="minorBidi"/>
          <w:b w:val="0"/>
          <w:bdr w:val="none" w:sz="0" w:space="0" w:color="auto"/>
          <w:lang w:val="es-ES" w:eastAsia="es-ES"/>
        </w:rPr>
      </w:pPr>
      <w:hyperlink w:anchor="_Toc529794721" w:history="1">
        <w:r w:rsidR="00DC7C9A" w:rsidRPr="00DC7C9A">
          <w:rPr>
            <w:rStyle w:val="Hyperlink"/>
            <w:rFonts w:asciiTheme="majorHAnsi" w:hAnsiTheme="majorHAnsi"/>
            <w:b w:val="0"/>
            <w:lang w:val="es-ES_tradnl"/>
          </w:rPr>
          <w:t>C.</w:t>
        </w:r>
        <w:r w:rsidR="00DC7C9A" w:rsidRPr="00DC7C9A">
          <w:rPr>
            <w:rFonts w:asciiTheme="majorHAnsi" w:eastAsiaTheme="minorEastAsia" w:hAnsiTheme="majorHAnsi" w:cstheme="minorBidi"/>
            <w:b w:val="0"/>
            <w:bdr w:val="none" w:sz="0" w:space="0" w:color="auto"/>
            <w:lang w:val="es-ES" w:eastAsia="es-ES"/>
          </w:rPr>
          <w:tab/>
        </w:r>
        <w:r w:rsidR="00DC7C9A" w:rsidRPr="00DC7C9A">
          <w:rPr>
            <w:rStyle w:val="Hyperlink"/>
            <w:rFonts w:asciiTheme="majorHAnsi" w:hAnsiTheme="majorHAnsi"/>
            <w:b w:val="0"/>
            <w:lang w:val="es-ES_tradnl"/>
          </w:rPr>
          <w:t>Análisis sobre la responsabilidad internacional en relación con la desaparición y muerte del señor Javier Norberto Restrepo.  Artículos 3 (personalidad jurídica), 4 (derechos a la vida), 5 (integridad personal),  7 (libertad personal), 8 (</w:t>
        </w:r>
        <w:r w:rsidR="00DC7C9A" w:rsidRPr="00DC7C9A">
          <w:rPr>
            <w:rStyle w:val="Hyperlink"/>
            <w:rFonts w:asciiTheme="majorHAnsi" w:hAnsiTheme="majorHAnsi"/>
            <w:b w:val="0"/>
            <w:lang w:val="es-MX"/>
          </w:rPr>
          <w:t xml:space="preserve">derechos a las garantías judiciales) y 25 (protección judicial), </w:t>
        </w:r>
        <w:r w:rsidR="00DC7C9A" w:rsidRPr="00DC7C9A">
          <w:rPr>
            <w:rStyle w:val="Hyperlink"/>
            <w:rFonts w:asciiTheme="majorHAnsi" w:hAnsiTheme="majorHAnsi"/>
            <w:b w:val="0"/>
            <w:lang w:val="es-ES_tradnl"/>
          </w:rPr>
          <w:t>en relación con el deber de respeto contenido en el artículo 1.1 de la Convención)</w:t>
        </w:r>
        <w:r w:rsidR="00DC7C9A" w:rsidRPr="00DC7C9A">
          <w:rPr>
            <w:rFonts w:asciiTheme="majorHAnsi" w:hAnsiTheme="majorHAnsi"/>
            <w:b w:val="0"/>
            <w:webHidden/>
          </w:rPr>
          <w:tab/>
        </w:r>
        <w:r w:rsidR="00DC7C9A" w:rsidRPr="00DC7C9A">
          <w:rPr>
            <w:rFonts w:asciiTheme="majorHAnsi" w:hAnsiTheme="majorHAnsi"/>
            <w:b w:val="0"/>
            <w:webHidden/>
          </w:rPr>
          <w:fldChar w:fldCharType="begin"/>
        </w:r>
        <w:r w:rsidR="00DC7C9A" w:rsidRPr="00DC7C9A">
          <w:rPr>
            <w:rFonts w:asciiTheme="majorHAnsi" w:hAnsiTheme="majorHAnsi"/>
            <w:b w:val="0"/>
            <w:webHidden/>
          </w:rPr>
          <w:instrText xml:space="preserve"> PAGEREF _Toc529794721 \h </w:instrText>
        </w:r>
        <w:r w:rsidR="00DC7C9A" w:rsidRPr="00DC7C9A">
          <w:rPr>
            <w:rFonts w:asciiTheme="majorHAnsi" w:hAnsiTheme="majorHAnsi"/>
            <w:b w:val="0"/>
            <w:webHidden/>
          </w:rPr>
        </w:r>
        <w:r w:rsidR="00DC7C9A" w:rsidRPr="00DC7C9A">
          <w:rPr>
            <w:rFonts w:asciiTheme="majorHAnsi" w:hAnsiTheme="majorHAnsi"/>
            <w:b w:val="0"/>
            <w:webHidden/>
          </w:rPr>
          <w:fldChar w:fldCharType="separate"/>
        </w:r>
        <w:r w:rsidR="009A52EE">
          <w:rPr>
            <w:rFonts w:asciiTheme="majorHAnsi" w:hAnsiTheme="majorHAnsi"/>
            <w:b w:val="0"/>
            <w:webHidden/>
          </w:rPr>
          <w:t>26</w:t>
        </w:r>
        <w:r w:rsidR="00DC7C9A" w:rsidRPr="00DC7C9A">
          <w:rPr>
            <w:rFonts w:asciiTheme="majorHAnsi" w:hAnsiTheme="majorHAnsi"/>
            <w:b w:val="0"/>
            <w:webHidden/>
          </w:rPr>
          <w:fldChar w:fldCharType="end"/>
        </w:r>
      </w:hyperlink>
    </w:p>
    <w:p w:rsidR="00DC7C9A" w:rsidRPr="00DC7C9A" w:rsidRDefault="00D24211" w:rsidP="00D60E3B">
      <w:pPr>
        <w:pStyle w:val="TOC2"/>
        <w:rPr>
          <w:rFonts w:eastAsiaTheme="minorEastAsia" w:cstheme="minorBidi"/>
          <w:noProof/>
          <w:bdr w:val="none" w:sz="0" w:space="0" w:color="auto"/>
          <w:lang w:val="es-ES" w:eastAsia="es-ES"/>
        </w:rPr>
      </w:pPr>
      <w:hyperlink w:anchor="_Toc529794722" w:history="1">
        <w:r w:rsidR="00DC7C9A" w:rsidRPr="00DC7C9A">
          <w:rPr>
            <w:rStyle w:val="Hyperlink"/>
            <w:rFonts w:asciiTheme="majorHAnsi" w:hAnsiTheme="majorHAnsi" w:cs="Times"/>
            <w:noProof/>
            <w:sz w:val="20"/>
            <w:szCs w:val="20"/>
            <w:lang w:val="es-ES"/>
          </w:rPr>
          <w:t xml:space="preserve">D. </w:t>
        </w:r>
        <w:r w:rsidR="00DC7C9A" w:rsidRPr="00DC7C9A">
          <w:rPr>
            <w:rFonts w:eastAsiaTheme="minorEastAsia" w:cstheme="minorBidi"/>
            <w:noProof/>
            <w:bdr w:val="none" w:sz="0" w:space="0" w:color="auto"/>
            <w:lang w:val="es-ES" w:eastAsia="es-ES"/>
          </w:rPr>
          <w:tab/>
        </w:r>
        <w:r w:rsidR="00DC7C9A" w:rsidRPr="00DC7C9A">
          <w:rPr>
            <w:rStyle w:val="Hyperlink"/>
            <w:rFonts w:asciiTheme="majorHAnsi" w:hAnsiTheme="majorHAnsi" w:cs="Times"/>
            <w:noProof/>
            <w:sz w:val="20"/>
            <w:szCs w:val="20"/>
            <w:lang w:val="es-ES"/>
          </w:rPr>
          <w:t>El derecho a la integridad personal de los familiares de Norberto Restrepo</w:t>
        </w:r>
        <w:r w:rsidR="00DC7C9A" w:rsidRPr="00DC7C9A">
          <w:rPr>
            <w:noProof/>
            <w:webHidden/>
          </w:rPr>
          <w:tab/>
        </w:r>
        <w:r w:rsidR="00DC7C9A" w:rsidRPr="00DC7C9A">
          <w:rPr>
            <w:noProof/>
            <w:webHidden/>
          </w:rPr>
          <w:fldChar w:fldCharType="begin"/>
        </w:r>
        <w:r w:rsidR="00DC7C9A" w:rsidRPr="00DC7C9A">
          <w:rPr>
            <w:noProof/>
            <w:webHidden/>
          </w:rPr>
          <w:instrText xml:space="preserve"> PAGEREF _Toc529794722 \h </w:instrText>
        </w:r>
        <w:r w:rsidR="00DC7C9A" w:rsidRPr="00DC7C9A">
          <w:rPr>
            <w:noProof/>
            <w:webHidden/>
          </w:rPr>
        </w:r>
        <w:r w:rsidR="00DC7C9A" w:rsidRPr="00DC7C9A">
          <w:rPr>
            <w:noProof/>
            <w:webHidden/>
          </w:rPr>
          <w:fldChar w:fldCharType="separate"/>
        </w:r>
        <w:r w:rsidR="009A52EE">
          <w:rPr>
            <w:noProof/>
            <w:webHidden/>
          </w:rPr>
          <w:t>28</w:t>
        </w:r>
        <w:r w:rsidR="00DC7C9A" w:rsidRPr="00DC7C9A">
          <w:rPr>
            <w:noProof/>
            <w:webHidden/>
          </w:rPr>
          <w:fldChar w:fldCharType="end"/>
        </w:r>
      </w:hyperlink>
    </w:p>
    <w:p w:rsidR="00DC7C9A" w:rsidRPr="00DC7C9A" w:rsidRDefault="00D24211" w:rsidP="00D60E3B">
      <w:pPr>
        <w:pStyle w:val="TOC1"/>
        <w:tabs>
          <w:tab w:val="clear" w:pos="540"/>
          <w:tab w:val="clear" w:pos="900"/>
          <w:tab w:val="left" w:pos="720"/>
          <w:tab w:val="left" w:pos="1440"/>
        </w:tabs>
        <w:rPr>
          <w:rFonts w:eastAsiaTheme="minorEastAsia" w:cstheme="minorBidi"/>
          <w:noProof/>
          <w:bdr w:val="none" w:sz="0" w:space="0" w:color="auto"/>
          <w:lang w:val="es-ES" w:eastAsia="es-ES"/>
        </w:rPr>
      </w:pPr>
      <w:hyperlink w:anchor="_Toc529794723" w:history="1">
        <w:r w:rsidR="00DC7C9A" w:rsidRPr="00DC7C9A">
          <w:rPr>
            <w:rStyle w:val="Hyperlink"/>
            <w:rFonts w:asciiTheme="majorHAnsi" w:hAnsiTheme="majorHAnsi" w:cs="Arial"/>
            <w:noProof/>
            <w:szCs w:val="20"/>
            <w:lang w:val="es-ES"/>
          </w:rPr>
          <w:t>VI.</w:t>
        </w:r>
        <w:r w:rsidR="00DC7C9A" w:rsidRPr="00DC7C9A">
          <w:rPr>
            <w:rFonts w:eastAsiaTheme="minorEastAsia" w:cstheme="minorBidi"/>
            <w:noProof/>
            <w:bdr w:val="none" w:sz="0" w:space="0" w:color="auto"/>
            <w:lang w:val="es-ES" w:eastAsia="es-ES"/>
          </w:rPr>
          <w:tab/>
        </w:r>
        <w:r w:rsidR="00DC7C9A" w:rsidRPr="00DC7C9A">
          <w:rPr>
            <w:rStyle w:val="Hyperlink"/>
            <w:rFonts w:asciiTheme="majorHAnsi" w:hAnsiTheme="majorHAnsi" w:cs="Arial"/>
            <w:noProof/>
            <w:szCs w:val="20"/>
            <w:lang w:val="es-ES"/>
          </w:rPr>
          <w:t>ACTUACIONES POSTERIORES AL INFORME No. 20/15</w:t>
        </w:r>
        <w:r w:rsidR="00DC7C9A" w:rsidRPr="00DC7C9A">
          <w:rPr>
            <w:noProof/>
            <w:webHidden/>
          </w:rPr>
          <w:tab/>
        </w:r>
        <w:r w:rsidR="00DC7C9A" w:rsidRPr="00DC7C9A">
          <w:rPr>
            <w:noProof/>
            <w:webHidden/>
          </w:rPr>
          <w:fldChar w:fldCharType="begin"/>
        </w:r>
        <w:r w:rsidR="00DC7C9A" w:rsidRPr="00DC7C9A">
          <w:rPr>
            <w:noProof/>
            <w:webHidden/>
          </w:rPr>
          <w:instrText xml:space="preserve"> PAGEREF _Toc529794723 \h </w:instrText>
        </w:r>
        <w:r w:rsidR="00DC7C9A" w:rsidRPr="00DC7C9A">
          <w:rPr>
            <w:noProof/>
            <w:webHidden/>
          </w:rPr>
        </w:r>
        <w:r w:rsidR="00DC7C9A" w:rsidRPr="00DC7C9A">
          <w:rPr>
            <w:noProof/>
            <w:webHidden/>
          </w:rPr>
          <w:fldChar w:fldCharType="separate"/>
        </w:r>
        <w:r w:rsidR="009A52EE">
          <w:rPr>
            <w:noProof/>
            <w:webHidden/>
          </w:rPr>
          <w:t>28</w:t>
        </w:r>
        <w:r w:rsidR="00DC7C9A" w:rsidRPr="00DC7C9A">
          <w:rPr>
            <w:noProof/>
            <w:webHidden/>
          </w:rPr>
          <w:fldChar w:fldCharType="end"/>
        </w:r>
      </w:hyperlink>
    </w:p>
    <w:p w:rsidR="00DC7C9A" w:rsidRPr="00DC7C9A" w:rsidRDefault="00D24211" w:rsidP="00D60E3B">
      <w:pPr>
        <w:pStyle w:val="TOC1"/>
        <w:tabs>
          <w:tab w:val="clear" w:pos="540"/>
          <w:tab w:val="clear" w:pos="900"/>
          <w:tab w:val="left" w:pos="720"/>
          <w:tab w:val="left" w:pos="1440"/>
        </w:tabs>
        <w:rPr>
          <w:rFonts w:eastAsiaTheme="minorEastAsia" w:cstheme="minorBidi"/>
          <w:noProof/>
          <w:bdr w:val="none" w:sz="0" w:space="0" w:color="auto"/>
          <w:lang w:val="es-ES" w:eastAsia="es-ES"/>
        </w:rPr>
      </w:pPr>
      <w:hyperlink w:anchor="_Toc529794724" w:history="1">
        <w:r w:rsidR="00DC7C9A" w:rsidRPr="00DC7C9A">
          <w:rPr>
            <w:rStyle w:val="Hyperlink"/>
            <w:rFonts w:asciiTheme="majorHAnsi" w:hAnsiTheme="majorHAnsi" w:cs="Arial"/>
            <w:noProof/>
            <w:szCs w:val="20"/>
            <w:lang w:val="es-ES"/>
          </w:rPr>
          <w:t>VII.</w:t>
        </w:r>
        <w:r w:rsidR="00DC7C9A" w:rsidRPr="00DC7C9A">
          <w:rPr>
            <w:rFonts w:eastAsiaTheme="minorEastAsia" w:cstheme="minorBidi"/>
            <w:noProof/>
            <w:bdr w:val="none" w:sz="0" w:space="0" w:color="auto"/>
            <w:lang w:val="es-ES" w:eastAsia="es-ES"/>
          </w:rPr>
          <w:tab/>
        </w:r>
        <w:r w:rsidR="00DC7C9A" w:rsidRPr="00DC7C9A">
          <w:rPr>
            <w:rStyle w:val="Hyperlink"/>
            <w:rFonts w:asciiTheme="majorHAnsi" w:hAnsiTheme="majorHAnsi" w:cs="Arial"/>
            <w:noProof/>
            <w:szCs w:val="20"/>
            <w:lang w:val="es-ES"/>
          </w:rPr>
          <w:t>ACTUACIONES POSTERIORES AL INFORME No. 69/18</w:t>
        </w:r>
        <w:r w:rsidR="00DC7C9A" w:rsidRPr="00DC7C9A">
          <w:rPr>
            <w:noProof/>
            <w:webHidden/>
          </w:rPr>
          <w:tab/>
        </w:r>
        <w:r w:rsidR="00DC7C9A" w:rsidRPr="00DC7C9A">
          <w:rPr>
            <w:noProof/>
            <w:webHidden/>
          </w:rPr>
          <w:fldChar w:fldCharType="begin"/>
        </w:r>
        <w:r w:rsidR="00DC7C9A" w:rsidRPr="00DC7C9A">
          <w:rPr>
            <w:noProof/>
            <w:webHidden/>
          </w:rPr>
          <w:instrText xml:space="preserve"> PAGEREF _Toc529794724 \h </w:instrText>
        </w:r>
        <w:r w:rsidR="00DC7C9A" w:rsidRPr="00DC7C9A">
          <w:rPr>
            <w:noProof/>
            <w:webHidden/>
          </w:rPr>
        </w:r>
        <w:r w:rsidR="00DC7C9A" w:rsidRPr="00DC7C9A">
          <w:rPr>
            <w:noProof/>
            <w:webHidden/>
          </w:rPr>
          <w:fldChar w:fldCharType="separate"/>
        </w:r>
        <w:r w:rsidR="009A52EE">
          <w:rPr>
            <w:noProof/>
            <w:webHidden/>
          </w:rPr>
          <w:t>29</w:t>
        </w:r>
        <w:r w:rsidR="00DC7C9A" w:rsidRPr="00DC7C9A">
          <w:rPr>
            <w:noProof/>
            <w:webHidden/>
          </w:rPr>
          <w:fldChar w:fldCharType="end"/>
        </w:r>
      </w:hyperlink>
    </w:p>
    <w:p w:rsidR="00DC7C9A" w:rsidRPr="00DC7C9A" w:rsidRDefault="00D24211" w:rsidP="00D60E3B">
      <w:pPr>
        <w:pStyle w:val="TOC1"/>
        <w:tabs>
          <w:tab w:val="clear" w:pos="540"/>
          <w:tab w:val="clear" w:pos="900"/>
          <w:tab w:val="left" w:pos="720"/>
          <w:tab w:val="left" w:pos="1440"/>
        </w:tabs>
        <w:rPr>
          <w:rFonts w:eastAsiaTheme="minorEastAsia" w:cstheme="minorBidi"/>
          <w:noProof/>
          <w:bdr w:val="none" w:sz="0" w:space="0" w:color="auto"/>
          <w:lang w:val="es-ES" w:eastAsia="es-ES"/>
        </w:rPr>
      </w:pPr>
      <w:hyperlink w:anchor="_Toc529794725" w:history="1">
        <w:r w:rsidR="00DC7C9A" w:rsidRPr="00DC7C9A">
          <w:rPr>
            <w:rStyle w:val="Hyperlink"/>
            <w:rFonts w:asciiTheme="majorHAnsi" w:hAnsiTheme="majorHAnsi" w:cs="Arial"/>
            <w:noProof/>
            <w:szCs w:val="20"/>
            <w:lang w:val="es-ES"/>
          </w:rPr>
          <w:t>VIII.</w:t>
        </w:r>
        <w:r w:rsidR="00DC7C9A" w:rsidRPr="00DC7C9A">
          <w:rPr>
            <w:rFonts w:eastAsiaTheme="minorEastAsia" w:cstheme="minorBidi"/>
            <w:noProof/>
            <w:bdr w:val="none" w:sz="0" w:space="0" w:color="auto"/>
            <w:lang w:val="es-ES" w:eastAsia="es-ES"/>
          </w:rPr>
          <w:tab/>
        </w:r>
        <w:r w:rsidR="00DC7C9A" w:rsidRPr="00DC7C9A">
          <w:rPr>
            <w:rStyle w:val="Hyperlink"/>
            <w:rFonts w:asciiTheme="majorHAnsi" w:hAnsiTheme="majorHAnsi" w:cs="Arial"/>
            <w:noProof/>
            <w:szCs w:val="20"/>
            <w:lang w:val="es-ES"/>
          </w:rPr>
          <w:t>ANÁLISIS DEL CUMPLIMIENTO DE RECOMENDACIONES</w:t>
        </w:r>
        <w:r w:rsidR="00DC7C9A" w:rsidRPr="00DC7C9A">
          <w:rPr>
            <w:noProof/>
            <w:webHidden/>
          </w:rPr>
          <w:tab/>
        </w:r>
        <w:r w:rsidR="00DC7C9A" w:rsidRPr="00DC7C9A">
          <w:rPr>
            <w:noProof/>
            <w:webHidden/>
          </w:rPr>
          <w:fldChar w:fldCharType="begin"/>
        </w:r>
        <w:r w:rsidR="00DC7C9A" w:rsidRPr="00DC7C9A">
          <w:rPr>
            <w:noProof/>
            <w:webHidden/>
          </w:rPr>
          <w:instrText xml:space="preserve"> PAGEREF _Toc529794725 \h </w:instrText>
        </w:r>
        <w:r w:rsidR="00DC7C9A" w:rsidRPr="00DC7C9A">
          <w:rPr>
            <w:noProof/>
            <w:webHidden/>
          </w:rPr>
        </w:r>
        <w:r w:rsidR="00DC7C9A" w:rsidRPr="00DC7C9A">
          <w:rPr>
            <w:noProof/>
            <w:webHidden/>
          </w:rPr>
          <w:fldChar w:fldCharType="separate"/>
        </w:r>
        <w:r w:rsidR="009A52EE">
          <w:rPr>
            <w:noProof/>
            <w:webHidden/>
          </w:rPr>
          <w:t>30</w:t>
        </w:r>
        <w:r w:rsidR="00DC7C9A" w:rsidRPr="00DC7C9A">
          <w:rPr>
            <w:noProof/>
            <w:webHidden/>
          </w:rPr>
          <w:fldChar w:fldCharType="end"/>
        </w:r>
      </w:hyperlink>
    </w:p>
    <w:p w:rsidR="00DC7C9A" w:rsidRPr="00DC7C9A" w:rsidRDefault="00D24211" w:rsidP="00D60E3B">
      <w:pPr>
        <w:pStyle w:val="TOC1"/>
        <w:tabs>
          <w:tab w:val="clear" w:pos="540"/>
          <w:tab w:val="clear" w:pos="900"/>
          <w:tab w:val="left" w:pos="720"/>
          <w:tab w:val="left" w:pos="1440"/>
        </w:tabs>
        <w:rPr>
          <w:rFonts w:eastAsiaTheme="minorEastAsia" w:cstheme="minorBidi"/>
          <w:noProof/>
          <w:bdr w:val="none" w:sz="0" w:space="0" w:color="auto"/>
          <w:lang w:val="es-ES" w:eastAsia="es-ES"/>
        </w:rPr>
      </w:pPr>
      <w:hyperlink w:anchor="_Toc529794726" w:history="1">
        <w:r w:rsidR="00DC7C9A" w:rsidRPr="00DC7C9A">
          <w:rPr>
            <w:rStyle w:val="Hyperlink"/>
            <w:rFonts w:asciiTheme="majorHAnsi" w:hAnsiTheme="majorHAnsi" w:cs="Arial"/>
            <w:noProof/>
            <w:szCs w:val="20"/>
            <w:lang w:val="es-ES"/>
          </w:rPr>
          <w:t>IX.</w:t>
        </w:r>
        <w:r w:rsidR="00DC7C9A" w:rsidRPr="00DC7C9A">
          <w:rPr>
            <w:rFonts w:eastAsiaTheme="minorEastAsia" w:cstheme="minorBidi"/>
            <w:noProof/>
            <w:bdr w:val="none" w:sz="0" w:space="0" w:color="auto"/>
            <w:lang w:val="es-ES" w:eastAsia="es-ES"/>
          </w:rPr>
          <w:tab/>
        </w:r>
        <w:r w:rsidR="00DC7C9A" w:rsidRPr="00DC7C9A">
          <w:rPr>
            <w:rStyle w:val="Hyperlink"/>
            <w:rFonts w:asciiTheme="majorHAnsi" w:hAnsiTheme="majorHAnsi" w:cs="Arial"/>
            <w:noProof/>
            <w:szCs w:val="20"/>
            <w:lang w:val="es-ES"/>
          </w:rPr>
          <w:t>CONCLUSIONES FINALES Y RECOMENDACIONES</w:t>
        </w:r>
        <w:r w:rsidR="00DC7C9A" w:rsidRPr="00DC7C9A">
          <w:rPr>
            <w:noProof/>
            <w:webHidden/>
          </w:rPr>
          <w:tab/>
        </w:r>
        <w:r w:rsidR="00DC7C9A" w:rsidRPr="00DC7C9A">
          <w:rPr>
            <w:noProof/>
            <w:webHidden/>
          </w:rPr>
          <w:fldChar w:fldCharType="begin"/>
        </w:r>
        <w:r w:rsidR="00DC7C9A" w:rsidRPr="00DC7C9A">
          <w:rPr>
            <w:noProof/>
            <w:webHidden/>
          </w:rPr>
          <w:instrText xml:space="preserve"> PAGEREF _Toc529794726 \h </w:instrText>
        </w:r>
        <w:r w:rsidR="00DC7C9A" w:rsidRPr="00DC7C9A">
          <w:rPr>
            <w:noProof/>
            <w:webHidden/>
          </w:rPr>
        </w:r>
        <w:r w:rsidR="00DC7C9A" w:rsidRPr="00DC7C9A">
          <w:rPr>
            <w:noProof/>
            <w:webHidden/>
          </w:rPr>
          <w:fldChar w:fldCharType="separate"/>
        </w:r>
        <w:r w:rsidR="009A52EE">
          <w:rPr>
            <w:noProof/>
            <w:webHidden/>
          </w:rPr>
          <w:t>30</w:t>
        </w:r>
        <w:r w:rsidR="00DC7C9A" w:rsidRPr="00DC7C9A">
          <w:rPr>
            <w:noProof/>
            <w:webHidden/>
          </w:rPr>
          <w:fldChar w:fldCharType="end"/>
        </w:r>
      </w:hyperlink>
    </w:p>
    <w:p w:rsidR="00DC7C9A" w:rsidRPr="00DC7C9A" w:rsidRDefault="00D24211" w:rsidP="00D60E3B">
      <w:pPr>
        <w:pStyle w:val="TOC1"/>
        <w:tabs>
          <w:tab w:val="clear" w:pos="540"/>
          <w:tab w:val="clear" w:pos="900"/>
          <w:tab w:val="left" w:pos="720"/>
          <w:tab w:val="left" w:pos="1440"/>
        </w:tabs>
        <w:rPr>
          <w:rFonts w:eastAsiaTheme="minorEastAsia" w:cstheme="minorBidi"/>
          <w:noProof/>
          <w:bdr w:val="none" w:sz="0" w:space="0" w:color="auto"/>
          <w:lang w:val="es-ES" w:eastAsia="es-ES"/>
        </w:rPr>
      </w:pPr>
      <w:hyperlink w:anchor="_Toc529794727" w:history="1">
        <w:r w:rsidR="00DC7C9A" w:rsidRPr="00DC7C9A">
          <w:rPr>
            <w:rStyle w:val="Hyperlink"/>
            <w:rFonts w:asciiTheme="majorHAnsi" w:hAnsiTheme="majorHAnsi" w:cs="Arial"/>
            <w:noProof/>
            <w:szCs w:val="20"/>
            <w:lang w:val="es-AR"/>
          </w:rPr>
          <w:t>IX.</w:t>
        </w:r>
        <w:r w:rsidR="00DC7C9A" w:rsidRPr="00DC7C9A">
          <w:rPr>
            <w:rFonts w:eastAsiaTheme="minorEastAsia" w:cstheme="minorBidi"/>
            <w:noProof/>
            <w:bdr w:val="none" w:sz="0" w:space="0" w:color="auto"/>
            <w:lang w:val="es-ES" w:eastAsia="es-ES"/>
          </w:rPr>
          <w:tab/>
        </w:r>
        <w:r w:rsidR="00DC7C9A" w:rsidRPr="00DC7C9A">
          <w:rPr>
            <w:rStyle w:val="Hyperlink"/>
            <w:rFonts w:asciiTheme="majorHAnsi" w:hAnsiTheme="majorHAnsi" w:cs="Arial"/>
            <w:noProof/>
            <w:szCs w:val="20"/>
            <w:lang w:val="es-AR"/>
          </w:rPr>
          <w:t>PUBLICACIÓN</w:t>
        </w:r>
        <w:r w:rsidR="00DC7C9A" w:rsidRPr="00DC7C9A">
          <w:rPr>
            <w:noProof/>
            <w:webHidden/>
          </w:rPr>
          <w:tab/>
        </w:r>
        <w:r w:rsidR="00DC7C9A" w:rsidRPr="00DC7C9A">
          <w:rPr>
            <w:noProof/>
            <w:webHidden/>
          </w:rPr>
          <w:fldChar w:fldCharType="begin"/>
        </w:r>
        <w:r w:rsidR="00DC7C9A" w:rsidRPr="00DC7C9A">
          <w:rPr>
            <w:noProof/>
            <w:webHidden/>
          </w:rPr>
          <w:instrText xml:space="preserve"> PAGEREF _Toc529794727 \h </w:instrText>
        </w:r>
        <w:r w:rsidR="00DC7C9A" w:rsidRPr="00DC7C9A">
          <w:rPr>
            <w:noProof/>
            <w:webHidden/>
          </w:rPr>
        </w:r>
        <w:r w:rsidR="00DC7C9A" w:rsidRPr="00DC7C9A">
          <w:rPr>
            <w:noProof/>
            <w:webHidden/>
          </w:rPr>
          <w:fldChar w:fldCharType="separate"/>
        </w:r>
        <w:r w:rsidR="009A52EE">
          <w:rPr>
            <w:noProof/>
            <w:webHidden/>
          </w:rPr>
          <w:t>31</w:t>
        </w:r>
        <w:r w:rsidR="00DC7C9A" w:rsidRPr="00DC7C9A">
          <w:rPr>
            <w:noProof/>
            <w:webHidden/>
          </w:rPr>
          <w:fldChar w:fldCharType="end"/>
        </w:r>
      </w:hyperlink>
    </w:p>
    <w:p w:rsidR="00706464" w:rsidRPr="00DC7C9A" w:rsidRDefault="00DC7C9A" w:rsidP="00D60E3B">
      <w:pPr>
        <w:tabs>
          <w:tab w:val="left" w:pos="720"/>
          <w:tab w:val="left" w:pos="1440"/>
        </w:tabs>
        <w:jc w:val="both"/>
        <w:rPr>
          <w:rFonts w:asciiTheme="majorHAnsi" w:hAnsiTheme="majorHAnsi"/>
          <w:sz w:val="20"/>
          <w:szCs w:val="20"/>
          <w:lang w:val="es-ES_tradnl"/>
        </w:rPr>
      </w:pPr>
      <w:r w:rsidRPr="00DC7C9A">
        <w:rPr>
          <w:rFonts w:asciiTheme="majorHAnsi" w:hAnsiTheme="majorHAnsi"/>
          <w:sz w:val="20"/>
          <w:szCs w:val="20"/>
          <w:lang w:val="es-ES_tradnl"/>
        </w:rPr>
        <w:fldChar w:fldCharType="end"/>
      </w:r>
    </w:p>
    <w:p w:rsidR="00706464" w:rsidRPr="00DC7C9A" w:rsidRDefault="00706464" w:rsidP="00DC7C9A">
      <w:pPr>
        <w:tabs>
          <w:tab w:val="left" w:pos="540"/>
          <w:tab w:val="left" w:pos="900"/>
        </w:tabs>
        <w:jc w:val="both"/>
        <w:rPr>
          <w:rFonts w:asciiTheme="majorHAnsi" w:hAnsiTheme="majorHAnsi"/>
          <w:sz w:val="20"/>
          <w:szCs w:val="20"/>
          <w:lang w:val="es-ES_tradnl"/>
        </w:rPr>
      </w:pPr>
    </w:p>
    <w:p w:rsidR="00180E93" w:rsidRPr="007C6BE8" w:rsidRDefault="00180E93" w:rsidP="00B1793F">
      <w:pPr>
        <w:tabs>
          <w:tab w:val="center" w:pos="5400"/>
        </w:tabs>
        <w:suppressAutoHyphens/>
        <w:spacing w:line="276" w:lineRule="auto"/>
        <w:ind w:firstLine="720"/>
        <w:jc w:val="center"/>
        <w:rPr>
          <w:rFonts w:asciiTheme="majorHAnsi" w:hAnsiTheme="majorHAnsi"/>
          <w:b/>
          <w:sz w:val="20"/>
          <w:szCs w:val="20"/>
          <w:lang w:val="es-ES_tradnl"/>
        </w:rPr>
        <w:sectPr w:rsidR="00180E93" w:rsidRPr="007C6BE8" w:rsidSect="00934A2C">
          <w:type w:val="oddPage"/>
          <w:pgSz w:w="12240" w:h="15840"/>
          <w:pgMar w:top="1440" w:right="1440" w:bottom="1440" w:left="1440" w:header="720" w:footer="720" w:gutter="0"/>
          <w:pgNumType w:start="1"/>
          <w:cols w:space="720"/>
          <w:docGrid w:linePitch="326"/>
        </w:sectPr>
      </w:pPr>
    </w:p>
    <w:p w:rsidR="00B52A4D" w:rsidRPr="007C6BE8" w:rsidRDefault="00B52A4D" w:rsidP="008402AC">
      <w:pPr>
        <w:tabs>
          <w:tab w:val="center" w:pos="5400"/>
        </w:tabs>
        <w:suppressAutoHyphens/>
        <w:spacing w:line="276" w:lineRule="auto"/>
        <w:rPr>
          <w:rFonts w:asciiTheme="majorHAnsi" w:hAnsiTheme="majorHAnsi"/>
          <w:sz w:val="20"/>
          <w:szCs w:val="20"/>
          <w:lang w:val="es-ES_tradnl"/>
        </w:rPr>
      </w:pPr>
    </w:p>
    <w:p w:rsidR="007449EF" w:rsidRPr="007C6BE8" w:rsidRDefault="007449EF" w:rsidP="00B1793F">
      <w:pPr>
        <w:pStyle w:val="Heading1"/>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0"/>
        <w:ind w:left="0" w:firstLine="720"/>
        <w:jc w:val="both"/>
        <w:rPr>
          <w:rFonts w:asciiTheme="majorHAnsi" w:hAnsiTheme="majorHAnsi" w:cs="Arial"/>
          <w:color w:val="auto"/>
          <w:sz w:val="20"/>
          <w:szCs w:val="20"/>
          <w:lang w:val="es-US"/>
        </w:rPr>
      </w:pPr>
      <w:bookmarkStart w:id="3" w:name="_Toc409709260"/>
      <w:bookmarkStart w:id="4" w:name="_Toc414371970"/>
      <w:bookmarkStart w:id="5" w:name="_Toc421786399"/>
      <w:bookmarkStart w:id="6" w:name="_Toc529794701"/>
      <w:r w:rsidRPr="007C6BE8">
        <w:rPr>
          <w:rFonts w:asciiTheme="majorHAnsi" w:hAnsiTheme="majorHAnsi" w:cs="Arial"/>
          <w:color w:val="auto"/>
          <w:sz w:val="20"/>
          <w:szCs w:val="20"/>
          <w:lang w:val="es-US"/>
        </w:rPr>
        <w:t>RESUMEN</w:t>
      </w:r>
      <w:bookmarkEnd w:id="3"/>
      <w:bookmarkEnd w:id="4"/>
      <w:bookmarkEnd w:id="5"/>
      <w:bookmarkEnd w:id="6"/>
      <w:r w:rsidR="00466B49">
        <w:rPr>
          <w:rStyle w:val="FootnoteReference"/>
          <w:rFonts w:asciiTheme="majorHAnsi" w:hAnsiTheme="majorHAnsi" w:cs="Arial"/>
          <w:color w:val="auto"/>
          <w:sz w:val="20"/>
          <w:szCs w:val="20"/>
          <w:lang w:val="es-US"/>
        </w:rPr>
        <w:footnoteReference w:id="2"/>
      </w:r>
      <w:r w:rsidRPr="007C6BE8">
        <w:rPr>
          <w:rFonts w:asciiTheme="majorHAnsi" w:hAnsiTheme="majorHAnsi" w:cs="Arial"/>
          <w:color w:val="auto"/>
          <w:sz w:val="20"/>
          <w:szCs w:val="20"/>
          <w:lang w:val="es-US"/>
        </w:rPr>
        <w:t xml:space="preserve"> </w:t>
      </w:r>
    </w:p>
    <w:p w:rsidR="007449EF" w:rsidRPr="007C6BE8" w:rsidRDefault="007449EF" w:rsidP="00B1793F">
      <w:pPr>
        <w:ind w:firstLine="720"/>
        <w:jc w:val="both"/>
        <w:rPr>
          <w:rFonts w:asciiTheme="majorHAnsi" w:hAnsiTheme="majorHAnsi"/>
          <w:sz w:val="20"/>
          <w:szCs w:val="20"/>
          <w:lang w:val="es-US"/>
        </w:rPr>
      </w:pPr>
    </w:p>
    <w:p w:rsidR="007449EF" w:rsidRPr="007C6BE8" w:rsidRDefault="007449EF"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 xml:space="preserve">El </w:t>
      </w:r>
      <w:r w:rsidR="005325CC" w:rsidRPr="007C6BE8">
        <w:rPr>
          <w:rFonts w:asciiTheme="majorHAnsi" w:hAnsiTheme="majorHAnsi"/>
          <w:sz w:val="20"/>
          <w:szCs w:val="20"/>
          <w:lang w:val="es-CR"/>
        </w:rPr>
        <w:t xml:space="preserve">26 de febrero de </w:t>
      </w:r>
      <w:r w:rsidRPr="007C6BE8">
        <w:rPr>
          <w:rFonts w:asciiTheme="majorHAnsi" w:hAnsiTheme="majorHAnsi"/>
          <w:sz w:val="20"/>
          <w:szCs w:val="20"/>
          <w:lang w:val="es-CR"/>
        </w:rPr>
        <w:t>1997</w:t>
      </w:r>
      <w:r w:rsidR="005325CC" w:rsidRPr="007C6BE8">
        <w:rPr>
          <w:rStyle w:val="FootnoteReference"/>
          <w:rFonts w:asciiTheme="majorHAnsi" w:hAnsiTheme="majorHAnsi"/>
          <w:sz w:val="20"/>
          <w:szCs w:val="20"/>
          <w:lang w:val="es-CR"/>
        </w:rPr>
        <w:footnoteReference w:id="3"/>
      </w:r>
      <w:r w:rsidRPr="007C6BE8">
        <w:rPr>
          <w:rFonts w:asciiTheme="majorHAnsi" w:hAnsiTheme="majorHAnsi"/>
          <w:sz w:val="20"/>
          <w:szCs w:val="20"/>
          <w:lang w:val="es-CR"/>
        </w:rPr>
        <w:t xml:space="preserve"> la Comisión Interamericana de Derechos Humanos (en adelante “la Comisión”) recibió una petición presentada por la Asociación de Familiares de Detenidos y Desaparecidos de Colombia (ASFADDES), la Federación Latinoamericana de Asociaciones de Familiares de Detenidos Desaparecidos (FEDEFAM), la Comisión Colombiana de Juristas y el Centro por la Justicia y el Derecho Internacional (CEJIL) (en adelante “los peticionarios”), en contra de la República de Colombia (en adelante “el Estado”) </w:t>
      </w:r>
      <w:r w:rsidR="00933D64" w:rsidRPr="007C6BE8">
        <w:rPr>
          <w:rFonts w:asciiTheme="majorHAnsi" w:hAnsiTheme="majorHAnsi"/>
          <w:sz w:val="20"/>
          <w:szCs w:val="20"/>
          <w:lang w:val="es-CR"/>
        </w:rPr>
        <w:t xml:space="preserve">en </w:t>
      </w:r>
      <w:r w:rsidRPr="007C6BE8">
        <w:rPr>
          <w:rFonts w:asciiTheme="majorHAnsi" w:hAnsiTheme="majorHAnsi"/>
          <w:sz w:val="20"/>
          <w:szCs w:val="20"/>
          <w:lang w:val="es-CR"/>
        </w:rPr>
        <w:t xml:space="preserve">relación </w:t>
      </w:r>
      <w:r w:rsidR="00933D64" w:rsidRPr="007C6BE8">
        <w:rPr>
          <w:rFonts w:asciiTheme="majorHAnsi" w:hAnsiTheme="majorHAnsi"/>
          <w:sz w:val="20"/>
          <w:szCs w:val="20"/>
          <w:lang w:val="es-CR"/>
        </w:rPr>
        <w:t xml:space="preserve">con </w:t>
      </w:r>
      <w:r w:rsidR="002D602D" w:rsidRPr="007C6BE8">
        <w:rPr>
          <w:rFonts w:asciiTheme="majorHAnsi" w:hAnsiTheme="majorHAnsi"/>
          <w:sz w:val="20"/>
          <w:szCs w:val="20"/>
          <w:lang w:val="es-CR"/>
        </w:rPr>
        <w:t>la desapari</w:t>
      </w:r>
      <w:r w:rsidR="00706464" w:rsidRPr="007C6BE8">
        <w:rPr>
          <w:rFonts w:asciiTheme="majorHAnsi" w:hAnsiTheme="majorHAnsi"/>
          <w:sz w:val="20"/>
          <w:szCs w:val="20"/>
          <w:lang w:val="es-CR"/>
        </w:rPr>
        <w:t>ción, muerte y falta de esclarecimiento de lo ocurrido a</w:t>
      </w:r>
      <w:r w:rsidR="001E3B6D" w:rsidRPr="007C6BE8">
        <w:rPr>
          <w:rFonts w:asciiTheme="majorHAnsi" w:hAnsiTheme="majorHAnsi"/>
          <w:sz w:val="20"/>
          <w:szCs w:val="20"/>
          <w:lang w:val="es-CR"/>
        </w:rPr>
        <w:t>l señor</w:t>
      </w:r>
      <w:r w:rsidR="00706464" w:rsidRPr="007C6BE8">
        <w:rPr>
          <w:rFonts w:asciiTheme="majorHAnsi" w:hAnsiTheme="majorHAnsi"/>
          <w:sz w:val="20"/>
          <w:szCs w:val="20"/>
          <w:lang w:val="es-CR"/>
        </w:rPr>
        <w:t xml:space="preserve"> </w:t>
      </w:r>
      <w:r w:rsidRPr="007C6BE8">
        <w:rPr>
          <w:rFonts w:asciiTheme="majorHAnsi" w:hAnsiTheme="majorHAnsi"/>
          <w:sz w:val="20"/>
          <w:szCs w:val="20"/>
          <w:lang w:val="es-CR"/>
        </w:rPr>
        <w:t xml:space="preserve">Norberto Javier Restrepo (en adelante “la </w:t>
      </w:r>
      <w:r w:rsidR="001E3B6D" w:rsidRPr="007C6BE8">
        <w:rPr>
          <w:rFonts w:asciiTheme="majorHAnsi" w:hAnsiTheme="majorHAnsi"/>
          <w:sz w:val="20"/>
          <w:szCs w:val="20"/>
          <w:lang w:val="es-CR"/>
        </w:rPr>
        <w:t xml:space="preserve">presunta </w:t>
      </w:r>
      <w:r w:rsidRPr="007C6BE8">
        <w:rPr>
          <w:rFonts w:asciiTheme="majorHAnsi" w:hAnsiTheme="majorHAnsi"/>
          <w:sz w:val="20"/>
          <w:szCs w:val="20"/>
          <w:lang w:val="es-CR"/>
        </w:rPr>
        <w:t xml:space="preserve">víctima”), </w:t>
      </w:r>
      <w:r w:rsidR="00511CC1" w:rsidRPr="007C6BE8">
        <w:rPr>
          <w:rFonts w:asciiTheme="majorHAnsi" w:hAnsiTheme="majorHAnsi"/>
          <w:sz w:val="20"/>
          <w:szCs w:val="20"/>
          <w:lang w:val="es-CR"/>
        </w:rPr>
        <w:t xml:space="preserve">quien  </w:t>
      </w:r>
      <w:r w:rsidR="00DF0D62" w:rsidRPr="007C6BE8">
        <w:rPr>
          <w:rFonts w:asciiTheme="majorHAnsi" w:hAnsiTheme="majorHAnsi"/>
          <w:sz w:val="20"/>
          <w:szCs w:val="20"/>
          <w:lang w:val="es-CR"/>
        </w:rPr>
        <w:t xml:space="preserve">habría estado </w:t>
      </w:r>
      <w:r w:rsidR="00511CC1" w:rsidRPr="007C6BE8">
        <w:rPr>
          <w:rFonts w:asciiTheme="majorHAnsi" w:hAnsiTheme="majorHAnsi"/>
          <w:sz w:val="20"/>
          <w:szCs w:val="20"/>
          <w:lang w:val="es-CR"/>
        </w:rPr>
        <w:t xml:space="preserve">vinculado al partido Unión Patriótica y </w:t>
      </w:r>
      <w:r w:rsidRPr="007C6BE8">
        <w:rPr>
          <w:rFonts w:asciiTheme="majorHAnsi" w:hAnsiTheme="majorHAnsi"/>
          <w:sz w:val="20"/>
          <w:szCs w:val="20"/>
          <w:lang w:val="es-CR"/>
        </w:rPr>
        <w:t xml:space="preserve">cuyo cuerpo sin vida </w:t>
      </w:r>
      <w:r w:rsidR="00511CC1" w:rsidRPr="007C6BE8">
        <w:rPr>
          <w:rFonts w:asciiTheme="majorHAnsi" w:hAnsiTheme="majorHAnsi"/>
          <w:sz w:val="20"/>
          <w:szCs w:val="20"/>
          <w:lang w:val="es-CR"/>
        </w:rPr>
        <w:t xml:space="preserve">fue </w:t>
      </w:r>
      <w:r w:rsidR="00422EF6" w:rsidRPr="007C6BE8">
        <w:rPr>
          <w:rFonts w:asciiTheme="majorHAnsi" w:hAnsiTheme="majorHAnsi"/>
          <w:sz w:val="20"/>
          <w:szCs w:val="20"/>
          <w:lang w:val="es-CR"/>
        </w:rPr>
        <w:t>localizado el 9</w:t>
      </w:r>
      <w:r w:rsidRPr="007C6BE8">
        <w:rPr>
          <w:rFonts w:asciiTheme="majorHAnsi" w:hAnsiTheme="majorHAnsi"/>
          <w:sz w:val="20"/>
          <w:szCs w:val="20"/>
          <w:lang w:val="es-CR"/>
        </w:rPr>
        <w:t xml:space="preserve"> de junio de 1992.</w:t>
      </w:r>
    </w:p>
    <w:p w:rsidR="007449EF" w:rsidRPr="007C6BE8" w:rsidRDefault="007449EF" w:rsidP="00B1793F">
      <w:pPr>
        <w:ind w:firstLine="720"/>
        <w:jc w:val="both"/>
        <w:rPr>
          <w:rFonts w:asciiTheme="majorHAnsi" w:hAnsiTheme="majorHAnsi"/>
          <w:sz w:val="20"/>
          <w:szCs w:val="20"/>
          <w:lang w:val="es-CR"/>
        </w:rPr>
      </w:pPr>
    </w:p>
    <w:p w:rsidR="007449EF" w:rsidRPr="007C6BE8" w:rsidRDefault="00D52506"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 xml:space="preserve">Tras sustanciar el trámite de admisibilidad, </w:t>
      </w:r>
      <w:r w:rsidR="00E07AAB" w:rsidRPr="007C6BE8">
        <w:rPr>
          <w:rFonts w:asciiTheme="majorHAnsi" w:hAnsiTheme="majorHAnsi"/>
          <w:sz w:val="20"/>
          <w:szCs w:val="20"/>
          <w:lang w:val="es-CR"/>
        </w:rPr>
        <w:t xml:space="preserve">la CIDH </w:t>
      </w:r>
      <w:r w:rsidRPr="007C6BE8">
        <w:rPr>
          <w:rFonts w:asciiTheme="majorHAnsi" w:hAnsiTheme="majorHAnsi"/>
          <w:sz w:val="20"/>
          <w:szCs w:val="20"/>
          <w:lang w:val="es-CR"/>
        </w:rPr>
        <w:t xml:space="preserve">declaró </w:t>
      </w:r>
      <w:r w:rsidR="00511CC1" w:rsidRPr="007C6BE8">
        <w:rPr>
          <w:rFonts w:asciiTheme="majorHAnsi" w:hAnsiTheme="majorHAnsi"/>
          <w:sz w:val="20"/>
          <w:szCs w:val="20"/>
          <w:lang w:val="es-CR"/>
        </w:rPr>
        <w:t xml:space="preserve">el caso </w:t>
      </w:r>
      <w:r w:rsidRPr="007C6BE8">
        <w:rPr>
          <w:rFonts w:asciiTheme="majorHAnsi" w:hAnsiTheme="majorHAnsi"/>
          <w:sz w:val="20"/>
          <w:szCs w:val="20"/>
          <w:lang w:val="es-CR"/>
        </w:rPr>
        <w:t xml:space="preserve">admisible mediante el </w:t>
      </w:r>
      <w:r w:rsidR="00D65F45" w:rsidRPr="007C6BE8">
        <w:rPr>
          <w:rFonts w:asciiTheme="majorHAnsi" w:hAnsiTheme="majorHAnsi"/>
          <w:sz w:val="20"/>
          <w:szCs w:val="20"/>
          <w:lang w:val="es-CR"/>
        </w:rPr>
        <w:t>informe de a</w:t>
      </w:r>
      <w:r w:rsidRPr="007C6BE8">
        <w:rPr>
          <w:rFonts w:asciiTheme="majorHAnsi" w:hAnsiTheme="majorHAnsi"/>
          <w:sz w:val="20"/>
          <w:szCs w:val="20"/>
          <w:lang w:val="es-CR"/>
        </w:rPr>
        <w:t>dmisibilidad 84/00</w:t>
      </w:r>
      <w:r w:rsidR="004E07D4" w:rsidRPr="007C6BE8">
        <w:rPr>
          <w:rFonts w:asciiTheme="majorHAnsi" w:hAnsiTheme="majorHAnsi"/>
          <w:sz w:val="20"/>
          <w:szCs w:val="20"/>
          <w:lang w:val="es-CR"/>
        </w:rPr>
        <w:t xml:space="preserve"> en relación con los reclamos relacionados con los artículos 4, 5, 7, 8, 25 y 1.1 de la Convención Americana</w:t>
      </w:r>
      <w:r w:rsidRPr="007C6BE8">
        <w:rPr>
          <w:rStyle w:val="FootnoteReference"/>
          <w:rFonts w:asciiTheme="majorHAnsi" w:hAnsiTheme="majorHAnsi"/>
          <w:sz w:val="20"/>
          <w:szCs w:val="20"/>
        </w:rPr>
        <w:footnoteReference w:id="4"/>
      </w:r>
      <w:r w:rsidR="00D65F45" w:rsidRPr="007C6BE8">
        <w:rPr>
          <w:rFonts w:asciiTheme="majorHAnsi" w:hAnsiTheme="majorHAnsi"/>
          <w:sz w:val="20"/>
          <w:szCs w:val="20"/>
          <w:lang w:val="es-CR"/>
        </w:rPr>
        <w:t>.</w:t>
      </w:r>
      <w:r w:rsidRPr="007C6BE8">
        <w:rPr>
          <w:rFonts w:asciiTheme="majorHAnsi" w:hAnsiTheme="majorHAnsi"/>
          <w:sz w:val="20"/>
          <w:szCs w:val="20"/>
          <w:lang w:val="es-CR"/>
        </w:rPr>
        <w:t xml:space="preserve"> En sus alegatos sobre</w:t>
      </w:r>
      <w:r w:rsidR="005F1F5E" w:rsidRPr="007C6BE8">
        <w:rPr>
          <w:rFonts w:asciiTheme="majorHAnsi" w:hAnsiTheme="majorHAnsi"/>
          <w:sz w:val="20"/>
          <w:szCs w:val="20"/>
          <w:lang w:val="es-CR"/>
        </w:rPr>
        <w:t xml:space="preserve"> el</w:t>
      </w:r>
      <w:r w:rsidRPr="007C6BE8">
        <w:rPr>
          <w:rFonts w:asciiTheme="majorHAnsi" w:hAnsiTheme="majorHAnsi"/>
          <w:sz w:val="20"/>
          <w:szCs w:val="20"/>
          <w:lang w:val="es-CR"/>
        </w:rPr>
        <w:t xml:space="preserve"> fondo, l</w:t>
      </w:r>
      <w:r w:rsidR="007449EF" w:rsidRPr="007C6BE8">
        <w:rPr>
          <w:rFonts w:asciiTheme="majorHAnsi" w:hAnsiTheme="majorHAnsi"/>
          <w:sz w:val="20"/>
          <w:szCs w:val="20"/>
          <w:lang w:val="es-CR"/>
        </w:rPr>
        <w:t xml:space="preserve">os peticionarios alegaron que las circunstancias que rodearon la </w:t>
      </w:r>
      <w:r w:rsidR="00706464" w:rsidRPr="007C6BE8">
        <w:rPr>
          <w:rFonts w:asciiTheme="majorHAnsi" w:hAnsiTheme="majorHAnsi"/>
          <w:sz w:val="20"/>
          <w:szCs w:val="20"/>
          <w:lang w:val="es-CR"/>
        </w:rPr>
        <w:t xml:space="preserve">desaparición y </w:t>
      </w:r>
      <w:r w:rsidR="007449EF" w:rsidRPr="007C6BE8">
        <w:rPr>
          <w:rFonts w:asciiTheme="majorHAnsi" w:hAnsiTheme="majorHAnsi"/>
          <w:sz w:val="20"/>
          <w:szCs w:val="20"/>
          <w:lang w:val="es-CR"/>
        </w:rPr>
        <w:t>muerte de Norberto Restrepo y su falta de esclarecimiento judicial constituye</w:t>
      </w:r>
      <w:r w:rsidR="00E07AAB" w:rsidRPr="007C6BE8">
        <w:rPr>
          <w:rFonts w:asciiTheme="majorHAnsi" w:hAnsiTheme="majorHAnsi"/>
          <w:sz w:val="20"/>
          <w:szCs w:val="20"/>
          <w:lang w:val="es-CR"/>
        </w:rPr>
        <w:t>ron</w:t>
      </w:r>
      <w:r w:rsidR="007449EF" w:rsidRPr="007C6BE8">
        <w:rPr>
          <w:rFonts w:asciiTheme="majorHAnsi" w:hAnsiTheme="majorHAnsi"/>
          <w:sz w:val="20"/>
          <w:szCs w:val="20"/>
          <w:lang w:val="es-CR"/>
        </w:rPr>
        <w:t xml:space="preserve"> violaciones a los derechos a la vida, la integridad personal, la libertad personal, las garantías judiciales y la protección judicial contemplados en los artículos 4, 5, 7, 8 y 25 de la Convención Americana sobre Derechos Humanos (en adelante la “Convención Americana” o “la Convención”) en </w:t>
      </w:r>
      <w:r w:rsidR="00867F76" w:rsidRPr="007C6BE8">
        <w:rPr>
          <w:rFonts w:asciiTheme="majorHAnsi" w:hAnsiTheme="majorHAnsi"/>
          <w:sz w:val="20"/>
          <w:szCs w:val="20"/>
          <w:lang w:val="es-CR"/>
        </w:rPr>
        <w:t xml:space="preserve">relación </w:t>
      </w:r>
      <w:r w:rsidR="00BF1E8A" w:rsidRPr="007C6BE8">
        <w:rPr>
          <w:rFonts w:asciiTheme="majorHAnsi" w:hAnsiTheme="majorHAnsi"/>
          <w:sz w:val="20"/>
          <w:szCs w:val="20"/>
          <w:lang w:val="es-CR"/>
        </w:rPr>
        <w:t>con la</w:t>
      </w:r>
      <w:r w:rsidR="00B658F8" w:rsidRPr="007C6BE8">
        <w:rPr>
          <w:rFonts w:asciiTheme="majorHAnsi" w:hAnsiTheme="majorHAnsi"/>
          <w:sz w:val="20"/>
          <w:szCs w:val="20"/>
          <w:lang w:val="es-CR"/>
        </w:rPr>
        <w:t xml:space="preserve">s obligaciones establecidas en el artículo 1.1 de dicho tratado. </w:t>
      </w:r>
      <w:r w:rsidR="00706464" w:rsidRPr="007C6BE8">
        <w:rPr>
          <w:rFonts w:asciiTheme="majorHAnsi" w:hAnsiTheme="majorHAnsi"/>
          <w:sz w:val="20"/>
          <w:szCs w:val="20"/>
          <w:lang w:val="es-CR"/>
        </w:rPr>
        <w:t>Por su parte, e</w:t>
      </w:r>
      <w:r w:rsidR="007449EF" w:rsidRPr="007C6BE8">
        <w:rPr>
          <w:rFonts w:asciiTheme="majorHAnsi" w:hAnsiTheme="majorHAnsi"/>
          <w:sz w:val="20"/>
          <w:szCs w:val="20"/>
          <w:lang w:val="es-CR"/>
        </w:rPr>
        <w:t xml:space="preserve">l Estado alegó que aún se encontraba sustanciando la investigación </w:t>
      </w:r>
      <w:r w:rsidR="00E07AAB" w:rsidRPr="007C6BE8">
        <w:rPr>
          <w:rFonts w:asciiTheme="majorHAnsi" w:hAnsiTheme="majorHAnsi"/>
          <w:sz w:val="20"/>
          <w:szCs w:val="20"/>
          <w:lang w:val="es-CR"/>
        </w:rPr>
        <w:t>sobre</w:t>
      </w:r>
      <w:r w:rsidR="007449EF" w:rsidRPr="007C6BE8">
        <w:rPr>
          <w:rFonts w:asciiTheme="majorHAnsi" w:hAnsiTheme="majorHAnsi"/>
          <w:sz w:val="20"/>
          <w:szCs w:val="20"/>
          <w:lang w:val="es-CR"/>
        </w:rPr>
        <w:t xml:space="preserve"> la muerte de Norberto Javier Restrepo y que no se había demostrado la participación de agentes estatales en los hechos por lo que no le era imputable responsabilidad alguna por la violación </w:t>
      </w:r>
      <w:r w:rsidR="00933D64" w:rsidRPr="007C6BE8">
        <w:rPr>
          <w:rFonts w:asciiTheme="majorHAnsi" w:hAnsiTheme="majorHAnsi"/>
          <w:sz w:val="20"/>
          <w:szCs w:val="20"/>
          <w:lang w:val="es-CR"/>
        </w:rPr>
        <w:t>a los derechos consagrados en la Convención.</w:t>
      </w:r>
      <w:r w:rsidR="007449EF" w:rsidRPr="007C6BE8">
        <w:rPr>
          <w:rFonts w:asciiTheme="majorHAnsi" w:hAnsiTheme="majorHAnsi"/>
          <w:sz w:val="20"/>
          <w:szCs w:val="20"/>
          <w:lang w:val="es-CR"/>
        </w:rPr>
        <w:t xml:space="preserve">  Asimismo</w:t>
      </w:r>
      <w:r w:rsidR="001E3B6D" w:rsidRPr="007C6BE8">
        <w:rPr>
          <w:rFonts w:asciiTheme="majorHAnsi" w:hAnsiTheme="majorHAnsi"/>
          <w:sz w:val="20"/>
          <w:szCs w:val="20"/>
          <w:lang w:val="es-CR"/>
        </w:rPr>
        <w:t>,</w:t>
      </w:r>
      <w:r w:rsidR="007449EF" w:rsidRPr="007C6BE8">
        <w:rPr>
          <w:rFonts w:asciiTheme="majorHAnsi" w:hAnsiTheme="majorHAnsi"/>
          <w:sz w:val="20"/>
          <w:szCs w:val="20"/>
          <w:lang w:val="es-CR"/>
        </w:rPr>
        <w:t xml:space="preserve"> </w:t>
      </w:r>
      <w:r w:rsidR="00933D64" w:rsidRPr="007C6BE8">
        <w:rPr>
          <w:rFonts w:asciiTheme="majorHAnsi" w:hAnsiTheme="majorHAnsi"/>
          <w:sz w:val="20"/>
          <w:szCs w:val="20"/>
          <w:lang w:val="es-CR"/>
        </w:rPr>
        <w:t xml:space="preserve">puntualizó </w:t>
      </w:r>
      <w:r w:rsidR="007449EF" w:rsidRPr="007C6BE8">
        <w:rPr>
          <w:rFonts w:asciiTheme="majorHAnsi" w:hAnsiTheme="majorHAnsi"/>
          <w:sz w:val="20"/>
          <w:szCs w:val="20"/>
          <w:lang w:val="es-CR"/>
        </w:rPr>
        <w:t>que la investigación judicial se había conducido de manera diligente</w:t>
      </w:r>
      <w:r w:rsidR="00511CC1" w:rsidRPr="007C6BE8">
        <w:rPr>
          <w:rFonts w:asciiTheme="majorHAnsi" w:hAnsiTheme="majorHAnsi"/>
          <w:sz w:val="20"/>
          <w:szCs w:val="20"/>
          <w:lang w:val="es-CR"/>
        </w:rPr>
        <w:t xml:space="preserve"> y en un plazo razonable</w:t>
      </w:r>
      <w:r w:rsidR="007449EF" w:rsidRPr="007C6BE8">
        <w:rPr>
          <w:rFonts w:asciiTheme="majorHAnsi" w:hAnsiTheme="majorHAnsi"/>
          <w:sz w:val="20"/>
          <w:szCs w:val="20"/>
          <w:lang w:val="es-CR"/>
        </w:rPr>
        <w:t xml:space="preserve">, conforme a los estándares </w:t>
      </w:r>
      <w:r w:rsidR="00933D64" w:rsidRPr="007C6BE8">
        <w:rPr>
          <w:rFonts w:asciiTheme="majorHAnsi" w:hAnsiTheme="majorHAnsi"/>
          <w:sz w:val="20"/>
          <w:szCs w:val="20"/>
          <w:lang w:val="es-CR"/>
        </w:rPr>
        <w:t>internacionales sobre la materia</w:t>
      </w:r>
      <w:r w:rsidR="007449EF" w:rsidRPr="007C6BE8">
        <w:rPr>
          <w:rFonts w:asciiTheme="majorHAnsi" w:hAnsiTheme="majorHAnsi"/>
          <w:sz w:val="20"/>
          <w:szCs w:val="20"/>
          <w:lang w:val="es-CR"/>
        </w:rPr>
        <w:t>.</w:t>
      </w:r>
    </w:p>
    <w:p w:rsidR="007449EF" w:rsidRPr="007C6BE8" w:rsidRDefault="007449EF" w:rsidP="00B1793F">
      <w:pPr>
        <w:ind w:firstLine="720"/>
        <w:jc w:val="both"/>
        <w:rPr>
          <w:rFonts w:asciiTheme="majorHAnsi" w:hAnsiTheme="majorHAnsi"/>
          <w:sz w:val="20"/>
          <w:szCs w:val="20"/>
          <w:lang w:val="es-CR"/>
        </w:rPr>
      </w:pPr>
    </w:p>
    <w:p w:rsidR="007449EF" w:rsidRPr="007C6BE8" w:rsidRDefault="007449EF"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 xml:space="preserve">Con base en el análisis de las posiciones de las partes, la Comisión concluyó </w:t>
      </w:r>
      <w:r w:rsidR="00BF1E8A" w:rsidRPr="007C6BE8">
        <w:rPr>
          <w:rFonts w:asciiTheme="majorHAnsi" w:hAnsiTheme="majorHAnsi"/>
          <w:sz w:val="20"/>
          <w:szCs w:val="20"/>
          <w:lang w:val="es-CR"/>
        </w:rPr>
        <w:t>que la República de Colombia es</w:t>
      </w:r>
      <w:r w:rsidRPr="007C6BE8">
        <w:rPr>
          <w:rFonts w:asciiTheme="majorHAnsi" w:hAnsiTheme="majorHAnsi"/>
          <w:sz w:val="20"/>
          <w:szCs w:val="20"/>
          <w:lang w:val="es-CR"/>
        </w:rPr>
        <w:t xml:space="preserve"> responsable por la violación de los derechos a</w:t>
      </w:r>
      <w:r w:rsidR="005B0666" w:rsidRPr="007C6BE8">
        <w:rPr>
          <w:rFonts w:asciiTheme="majorHAnsi" w:hAnsiTheme="majorHAnsi"/>
          <w:sz w:val="20"/>
          <w:szCs w:val="20"/>
          <w:lang w:val="es-CR"/>
        </w:rPr>
        <w:t>l reconocimiento de la personalidad jurídica,</w:t>
      </w:r>
      <w:r w:rsidRPr="007C6BE8">
        <w:rPr>
          <w:rFonts w:asciiTheme="majorHAnsi" w:hAnsiTheme="majorHAnsi"/>
          <w:sz w:val="20"/>
          <w:szCs w:val="20"/>
          <w:lang w:val="es-CR"/>
        </w:rPr>
        <w:t xml:space="preserve"> la vida</w:t>
      </w:r>
      <w:r w:rsidR="008F0ACC" w:rsidRPr="007C6BE8">
        <w:rPr>
          <w:rFonts w:asciiTheme="majorHAnsi" w:hAnsiTheme="majorHAnsi"/>
          <w:sz w:val="20"/>
          <w:szCs w:val="20"/>
          <w:lang w:val="es-CR"/>
        </w:rPr>
        <w:t>,</w:t>
      </w:r>
      <w:r w:rsidRPr="007C6BE8">
        <w:rPr>
          <w:rFonts w:asciiTheme="majorHAnsi" w:hAnsiTheme="majorHAnsi"/>
          <w:sz w:val="20"/>
          <w:szCs w:val="20"/>
          <w:lang w:val="es-CR"/>
        </w:rPr>
        <w:t xml:space="preserve"> la integridad p</w:t>
      </w:r>
      <w:r w:rsidR="00B53B7A" w:rsidRPr="007C6BE8">
        <w:rPr>
          <w:rFonts w:asciiTheme="majorHAnsi" w:hAnsiTheme="majorHAnsi"/>
          <w:sz w:val="20"/>
          <w:szCs w:val="20"/>
          <w:lang w:val="es-CR"/>
        </w:rPr>
        <w:t xml:space="preserve">ersonal, </w:t>
      </w:r>
      <w:r w:rsidR="008F0ACC" w:rsidRPr="007C6BE8">
        <w:rPr>
          <w:rFonts w:asciiTheme="majorHAnsi" w:hAnsiTheme="majorHAnsi"/>
          <w:sz w:val="20"/>
          <w:szCs w:val="20"/>
          <w:lang w:val="es-CR"/>
        </w:rPr>
        <w:t xml:space="preserve">la libertad </w:t>
      </w:r>
      <w:r w:rsidR="00B53B7A" w:rsidRPr="007C6BE8">
        <w:rPr>
          <w:rFonts w:asciiTheme="majorHAnsi" w:hAnsiTheme="majorHAnsi"/>
          <w:sz w:val="20"/>
          <w:szCs w:val="20"/>
          <w:lang w:val="es-CR"/>
        </w:rPr>
        <w:t xml:space="preserve">personal, las garantías judiciales y protección judicial, </w:t>
      </w:r>
      <w:r w:rsidRPr="007C6BE8">
        <w:rPr>
          <w:rFonts w:asciiTheme="majorHAnsi" w:hAnsiTheme="majorHAnsi"/>
          <w:sz w:val="20"/>
          <w:szCs w:val="20"/>
          <w:lang w:val="es-CR"/>
        </w:rPr>
        <w:t>protegidos en los artículos</w:t>
      </w:r>
      <w:r w:rsidR="005B0666" w:rsidRPr="007C6BE8">
        <w:rPr>
          <w:rFonts w:asciiTheme="majorHAnsi" w:hAnsiTheme="majorHAnsi"/>
          <w:sz w:val="20"/>
          <w:szCs w:val="20"/>
          <w:lang w:val="es-CR"/>
        </w:rPr>
        <w:t xml:space="preserve"> 3,</w:t>
      </w:r>
      <w:r w:rsidRPr="007C6BE8">
        <w:rPr>
          <w:rFonts w:asciiTheme="majorHAnsi" w:hAnsiTheme="majorHAnsi"/>
          <w:sz w:val="20"/>
          <w:szCs w:val="20"/>
          <w:lang w:val="es-CR"/>
        </w:rPr>
        <w:t xml:space="preserve"> 4</w:t>
      </w:r>
      <w:r w:rsidR="00D93384" w:rsidRPr="007C6BE8">
        <w:rPr>
          <w:rFonts w:asciiTheme="majorHAnsi" w:hAnsiTheme="majorHAnsi"/>
          <w:sz w:val="20"/>
          <w:szCs w:val="20"/>
          <w:lang w:val="es-CR"/>
        </w:rPr>
        <w:t>, 5,</w:t>
      </w:r>
      <w:r w:rsidR="00511CC1" w:rsidRPr="007C6BE8">
        <w:rPr>
          <w:rFonts w:asciiTheme="majorHAnsi" w:hAnsiTheme="majorHAnsi"/>
          <w:sz w:val="20"/>
          <w:szCs w:val="20"/>
          <w:lang w:val="es-CR"/>
        </w:rPr>
        <w:t xml:space="preserve"> 7</w:t>
      </w:r>
      <w:r w:rsidR="00D93384" w:rsidRPr="007C6BE8">
        <w:rPr>
          <w:rFonts w:asciiTheme="majorHAnsi" w:hAnsiTheme="majorHAnsi"/>
          <w:sz w:val="20"/>
          <w:szCs w:val="20"/>
          <w:lang w:val="es-CR"/>
        </w:rPr>
        <w:t>, 8 y 25</w:t>
      </w:r>
      <w:r w:rsidR="00511CC1" w:rsidRPr="007C6BE8">
        <w:rPr>
          <w:rFonts w:asciiTheme="majorHAnsi" w:hAnsiTheme="majorHAnsi"/>
          <w:sz w:val="20"/>
          <w:szCs w:val="20"/>
          <w:lang w:val="es-CR"/>
        </w:rPr>
        <w:t xml:space="preserve"> </w:t>
      </w:r>
      <w:r w:rsidR="00867F76" w:rsidRPr="007C6BE8">
        <w:rPr>
          <w:rFonts w:asciiTheme="majorHAnsi" w:hAnsiTheme="majorHAnsi"/>
          <w:sz w:val="20"/>
          <w:szCs w:val="20"/>
          <w:lang w:val="es-CR"/>
        </w:rPr>
        <w:t xml:space="preserve">de la Convención </w:t>
      </w:r>
      <w:r w:rsidRPr="007C6BE8">
        <w:rPr>
          <w:rFonts w:asciiTheme="majorHAnsi" w:hAnsiTheme="majorHAnsi"/>
          <w:sz w:val="20"/>
          <w:szCs w:val="20"/>
          <w:lang w:val="es-CR"/>
        </w:rPr>
        <w:t>en</w:t>
      </w:r>
      <w:r w:rsidR="00867F76" w:rsidRPr="007C6BE8">
        <w:rPr>
          <w:rFonts w:asciiTheme="majorHAnsi" w:hAnsiTheme="majorHAnsi"/>
          <w:sz w:val="20"/>
          <w:szCs w:val="20"/>
          <w:lang w:val="es-CR"/>
        </w:rPr>
        <w:t xml:space="preserve"> relación </w:t>
      </w:r>
      <w:r w:rsidRPr="007C6BE8">
        <w:rPr>
          <w:rFonts w:asciiTheme="majorHAnsi" w:hAnsiTheme="majorHAnsi"/>
          <w:sz w:val="20"/>
          <w:szCs w:val="20"/>
          <w:lang w:val="es-CR"/>
        </w:rPr>
        <w:t xml:space="preserve">con </w:t>
      </w:r>
      <w:r w:rsidR="00867F76" w:rsidRPr="007C6BE8">
        <w:rPr>
          <w:rFonts w:asciiTheme="majorHAnsi" w:hAnsiTheme="majorHAnsi"/>
          <w:sz w:val="20"/>
          <w:szCs w:val="20"/>
          <w:lang w:val="es-CR"/>
        </w:rPr>
        <w:t xml:space="preserve">las obligaciones establecidas </w:t>
      </w:r>
      <w:r w:rsidR="00511CC1" w:rsidRPr="007C6BE8">
        <w:rPr>
          <w:rFonts w:asciiTheme="majorHAnsi" w:hAnsiTheme="majorHAnsi"/>
          <w:sz w:val="20"/>
          <w:szCs w:val="20"/>
          <w:lang w:val="es-CR"/>
        </w:rPr>
        <w:t xml:space="preserve">en el artículo 1.1 </w:t>
      </w:r>
      <w:r w:rsidRPr="007C6BE8">
        <w:rPr>
          <w:rFonts w:asciiTheme="majorHAnsi" w:hAnsiTheme="majorHAnsi"/>
          <w:sz w:val="20"/>
          <w:szCs w:val="20"/>
          <w:lang w:val="es-CR"/>
        </w:rPr>
        <w:t>de</w:t>
      </w:r>
      <w:r w:rsidR="00867F76" w:rsidRPr="007C6BE8">
        <w:rPr>
          <w:rFonts w:asciiTheme="majorHAnsi" w:hAnsiTheme="majorHAnsi"/>
          <w:sz w:val="20"/>
          <w:szCs w:val="20"/>
          <w:lang w:val="es-CR"/>
        </w:rPr>
        <w:t>l mismo instrumento</w:t>
      </w:r>
      <w:r w:rsidR="00933D64" w:rsidRPr="007C6BE8">
        <w:rPr>
          <w:rFonts w:asciiTheme="majorHAnsi" w:hAnsiTheme="majorHAnsi"/>
          <w:sz w:val="20"/>
          <w:szCs w:val="20"/>
          <w:lang w:val="es-CR"/>
        </w:rPr>
        <w:t xml:space="preserve"> en perjuicio del señor Norberto Javier Restrepo.</w:t>
      </w:r>
      <w:r w:rsidRPr="007C6BE8">
        <w:rPr>
          <w:rFonts w:asciiTheme="majorHAnsi" w:hAnsiTheme="majorHAnsi"/>
          <w:sz w:val="20"/>
          <w:szCs w:val="20"/>
          <w:lang w:val="es-CR"/>
        </w:rPr>
        <w:t xml:space="preserve"> Asimismo, la Comisión concluyó que el Estado </w:t>
      </w:r>
      <w:r w:rsidR="00867F76" w:rsidRPr="007C6BE8">
        <w:rPr>
          <w:rFonts w:asciiTheme="majorHAnsi" w:hAnsiTheme="majorHAnsi"/>
          <w:sz w:val="20"/>
          <w:szCs w:val="20"/>
          <w:lang w:val="es-CR"/>
        </w:rPr>
        <w:t>es</w:t>
      </w:r>
      <w:r w:rsidRPr="007C6BE8">
        <w:rPr>
          <w:rFonts w:asciiTheme="majorHAnsi" w:hAnsiTheme="majorHAnsi"/>
          <w:sz w:val="20"/>
          <w:szCs w:val="20"/>
          <w:lang w:val="es-CR"/>
        </w:rPr>
        <w:t xml:space="preserve"> responsable por la violación de los artículos </w:t>
      </w:r>
      <w:r w:rsidR="008F0ACC" w:rsidRPr="007C6BE8">
        <w:rPr>
          <w:rFonts w:asciiTheme="majorHAnsi" w:hAnsiTheme="majorHAnsi"/>
          <w:sz w:val="20"/>
          <w:szCs w:val="20"/>
          <w:lang w:val="es-CR"/>
        </w:rPr>
        <w:t xml:space="preserve">5, </w:t>
      </w:r>
      <w:r w:rsidR="00511CC1" w:rsidRPr="007C6BE8">
        <w:rPr>
          <w:rFonts w:asciiTheme="majorHAnsi" w:hAnsiTheme="majorHAnsi"/>
          <w:sz w:val="20"/>
          <w:szCs w:val="20"/>
          <w:lang w:val="es-CR"/>
        </w:rPr>
        <w:t>8</w:t>
      </w:r>
      <w:r w:rsidRPr="007C6BE8">
        <w:rPr>
          <w:rFonts w:asciiTheme="majorHAnsi" w:hAnsiTheme="majorHAnsi"/>
          <w:sz w:val="20"/>
          <w:szCs w:val="20"/>
          <w:lang w:val="es-CR"/>
        </w:rPr>
        <w:t xml:space="preserve"> y 25 de la Convención Americana en</w:t>
      </w:r>
      <w:r w:rsidR="00867F76" w:rsidRPr="007C6BE8">
        <w:rPr>
          <w:rFonts w:asciiTheme="majorHAnsi" w:hAnsiTheme="majorHAnsi"/>
          <w:sz w:val="20"/>
          <w:szCs w:val="20"/>
          <w:lang w:val="es-CR"/>
        </w:rPr>
        <w:t xml:space="preserve"> relación con las obligaciones establecidas en </w:t>
      </w:r>
      <w:r w:rsidRPr="007C6BE8">
        <w:rPr>
          <w:rFonts w:asciiTheme="majorHAnsi" w:hAnsiTheme="majorHAnsi"/>
          <w:sz w:val="20"/>
          <w:szCs w:val="20"/>
          <w:lang w:val="es-CR"/>
        </w:rPr>
        <w:t>el artículo</w:t>
      </w:r>
      <w:r w:rsidR="00BB08C7" w:rsidRPr="007C6BE8">
        <w:rPr>
          <w:rFonts w:asciiTheme="majorHAnsi" w:hAnsiTheme="majorHAnsi"/>
          <w:sz w:val="20"/>
          <w:szCs w:val="20"/>
          <w:lang w:val="es-CR"/>
        </w:rPr>
        <w:t xml:space="preserve"> 1.1 del mismo instrumento</w:t>
      </w:r>
      <w:r w:rsidRPr="007C6BE8">
        <w:rPr>
          <w:rFonts w:asciiTheme="majorHAnsi" w:hAnsiTheme="majorHAnsi"/>
          <w:sz w:val="20"/>
          <w:szCs w:val="20"/>
          <w:lang w:val="es-CR"/>
        </w:rPr>
        <w:t xml:space="preserve"> en perjuicio de </w:t>
      </w:r>
      <w:r w:rsidR="002D602D" w:rsidRPr="007C6BE8">
        <w:rPr>
          <w:rFonts w:asciiTheme="majorHAnsi" w:hAnsiTheme="majorHAnsi"/>
          <w:sz w:val="20"/>
          <w:szCs w:val="20"/>
          <w:lang w:val="es-CR"/>
        </w:rPr>
        <w:t xml:space="preserve">sus </w:t>
      </w:r>
      <w:r w:rsidRPr="007C6BE8">
        <w:rPr>
          <w:rFonts w:asciiTheme="majorHAnsi" w:hAnsiTheme="majorHAnsi"/>
          <w:sz w:val="20"/>
          <w:szCs w:val="20"/>
          <w:lang w:val="es-CR"/>
        </w:rPr>
        <w:t xml:space="preserve">familiares. </w:t>
      </w:r>
      <w:r w:rsidR="00B55666" w:rsidRPr="007C6BE8">
        <w:rPr>
          <w:rFonts w:asciiTheme="majorHAnsi" w:hAnsiTheme="majorHAnsi"/>
          <w:sz w:val="20"/>
          <w:szCs w:val="20"/>
          <w:lang w:val="es-CR"/>
        </w:rPr>
        <w:t xml:space="preserve">Finalmente, la Comisión consideró que el Estado es responsable </w:t>
      </w:r>
      <w:r w:rsidR="00B55666" w:rsidRPr="007C6BE8">
        <w:rPr>
          <w:rFonts w:asciiTheme="majorHAnsi" w:hAnsiTheme="majorHAnsi" w:cs="Arial"/>
          <w:sz w:val="20"/>
          <w:szCs w:val="20"/>
          <w:lang w:val="es-AR"/>
        </w:rPr>
        <w:t>por la violación de los artículos 1, 6 y 8  de la Convención Interamericana para P</w:t>
      </w:r>
      <w:r w:rsidR="00097DE6" w:rsidRPr="007C6BE8">
        <w:rPr>
          <w:rFonts w:asciiTheme="majorHAnsi" w:hAnsiTheme="majorHAnsi" w:cs="Arial"/>
          <w:sz w:val="20"/>
          <w:szCs w:val="20"/>
          <w:lang w:val="es-AR"/>
        </w:rPr>
        <w:t>revenir y Sancionar la Tortura y del artículo I.</w:t>
      </w:r>
      <w:r w:rsidR="00A62889" w:rsidRPr="007C6BE8">
        <w:rPr>
          <w:rFonts w:asciiTheme="majorHAnsi" w:hAnsiTheme="majorHAnsi" w:cs="Arial"/>
          <w:sz w:val="20"/>
          <w:szCs w:val="20"/>
          <w:lang w:val="es-AR"/>
        </w:rPr>
        <w:t xml:space="preserve"> </w:t>
      </w:r>
      <w:r w:rsidR="00097DE6" w:rsidRPr="007C6BE8">
        <w:rPr>
          <w:rFonts w:asciiTheme="majorHAnsi" w:hAnsiTheme="majorHAnsi" w:cs="Arial"/>
          <w:sz w:val="20"/>
          <w:szCs w:val="20"/>
          <w:lang w:val="es-AR"/>
        </w:rPr>
        <w:t xml:space="preserve">b) de la Convención Interamericana sobre Desaparición Forzada de Personas. </w:t>
      </w:r>
      <w:r w:rsidRPr="007C6BE8">
        <w:rPr>
          <w:rFonts w:asciiTheme="majorHAnsi" w:hAnsiTheme="majorHAnsi"/>
          <w:sz w:val="20"/>
          <w:szCs w:val="20"/>
          <w:lang w:val="es-CR"/>
        </w:rPr>
        <w:t xml:space="preserve">La Comisión </w:t>
      </w:r>
      <w:r w:rsidR="00BB08C7" w:rsidRPr="007C6BE8">
        <w:rPr>
          <w:rFonts w:asciiTheme="majorHAnsi" w:hAnsiTheme="majorHAnsi"/>
          <w:sz w:val="20"/>
          <w:szCs w:val="20"/>
          <w:lang w:val="es-CR"/>
        </w:rPr>
        <w:t xml:space="preserve">formuló las recomendaciones respectivas. </w:t>
      </w:r>
    </w:p>
    <w:p w:rsidR="00BB08C7" w:rsidRPr="007C6BE8" w:rsidRDefault="00BB08C7"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Theme="majorHAnsi" w:hAnsiTheme="majorHAnsi"/>
          <w:sz w:val="20"/>
          <w:szCs w:val="20"/>
          <w:lang w:val="es-CR"/>
        </w:rPr>
      </w:pPr>
    </w:p>
    <w:p w:rsidR="007449EF" w:rsidRPr="007C6BE8" w:rsidRDefault="007449EF" w:rsidP="00B1793F">
      <w:pPr>
        <w:pStyle w:val="Heading1"/>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0"/>
        <w:ind w:left="0" w:firstLine="720"/>
        <w:jc w:val="both"/>
        <w:rPr>
          <w:rFonts w:asciiTheme="majorHAnsi" w:hAnsiTheme="majorHAnsi" w:cs="Arial"/>
          <w:color w:val="auto"/>
          <w:sz w:val="20"/>
          <w:szCs w:val="20"/>
        </w:rPr>
      </w:pPr>
      <w:bookmarkStart w:id="8" w:name="_Toc409709261"/>
      <w:bookmarkStart w:id="9" w:name="_Toc414371971"/>
      <w:bookmarkStart w:id="10" w:name="_Toc421786400"/>
      <w:bookmarkStart w:id="11" w:name="_Toc529794702"/>
      <w:r w:rsidRPr="007C6BE8">
        <w:rPr>
          <w:rFonts w:asciiTheme="majorHAnsi" w:hAnsiTheme="majorHAnsi" w:cs="Arial"/>
          <w:color w:val="auto"/>
          <w:sz w:val="20"/>
          <w:szCs w:val="20"/>
        </w:rPr>
        <w:t>TRÁMITE ANTE LA COMISIÓN</w:t>
      </w:r>
      <w:bookmarkEnd w:id="8"/>
      <w:bookmarkEnd w:id="9"/>
      <w:bookmarkEnd w:id="10"/>
      <w:bookmarkEnd w:id="11"/>
    </w:p>
    <w:p w:rsidR="007449EF" w:rsidRPr="007C6BE8" w:rsidRDefault="007449EF" w:rsidP="00B1793F">
      <w:pPr>
        <w:ind w:firstLine="720"/>
        <w:jc w:val="both"/>
        <w:rPr>
          <w:rFonts w:asciiTheme="majorHAnsi" w:hAnsiTheme="majorHAnsi"/>
          <w:sz w:val="20"/>
          <w:szCs w:val="20"/>
        </w:rPr>
      </w:pPr>
    </w:p>
    <w:p w:rsidR="00F2142F" w:rsidRPr="007C6BE8" w:rsidRDefault="007449EF"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 xml:space="preserve">El 3 de marzo de 1997 la Comisión procedió a abrir </w:t>
      </w:r>
      <w:r w:rsidR="00706464" w:rsidRPr="007C6BE8">
        <w:rPr>
          <w:rFonts w:asciiTheme="majorHAnsi" w:hAnsiTheme="majorHAnsi"/>
          <w:sz w:val="20"/>
          <w:szCs w:val="20"/>
          <w:lang w:val="es-CR"/>
        </w:rPr>
        <w:t xml:space="preserve">el caso bajo el número 11.726. </w:t>
      </w:r>
      <w:r w:rsidRPr="007C6BE8">
        <w:rPr>
          <w:rFonts w:asciiTheme="majorHAnsi" w:hAnsiTheme="majorHAnsi"/>
          <w:sz w:val="20"/>
          <w:szCs w:val="20"/>
          <w:lang w:val="es-CR"/>
        </w:rPr>
        <w:t>Tras sustanciar el trámite de admisibilidad</w:t>
      </w:r>
      <w:r w:rsidR="002F0855" w:rsidRPr="007C6BE8">
        <w:rPr>
          <w:rFonts w:asciiTheme="majorHAnsi" w:hAnsiTheme="majorHAnsi"/>
          <w:sz w:val="20"/>
          <w:szCs w:val="20"/>
          <w:lang w:val="es-CR"/>
        </w:rPr>
        <w:t>,</w:t>
      </w:r>
      <w:r w:rsidRPr="007C6BE8">
        <w:rPr>
          <w:rFonts w:asciiTheme="majorHAnsi" w:hAnsiTheme="majorHAnsi"/>
          <w:sz w:val="20"/>
          <w:szCs w:val="20"/>
          <w:lang w:val="es-CR"/>
        </w:rPr>
        <w:t xml:space="preserve"> </w:t>
      </w:r>
      <w:r w:rsidR="002F0855" w:rsidRPr="007C6BE8">
        <w:rPr>
          <w:rFonts w:asciiTheme="majorHAnsi" w:hAnsiTheme="majorHAnsi"/>
          <w:sz w:val="20"/>
          <w:szCs w:val="20"/>
          <w:lang w:val="es-CR"/>
        </w:rPr>
        <w:t>m</w:t>
      </w:r>
      <w:r w:rsidRPr="007C6BE8">
        <w:rPr>
          <w:rFonts w:asciiTheme="majorHAnsi" w:hAnsiTheme="majorHAnsi"/>
          <w:sz w:val="20"/>
          <w:szCs w:val="20"/>
          <w:lang w:val="es-CR"/>
        </w:rPr>
        <w:t xml:space="preserve">ediante comunicación de fecha 23 de octubre </w:t>
      </w:r>
      <w:r w:rsidR="002F0855" w:rsidRPr="007C6BE8">
        <w:rPr>
          <w:rFonts w:asciiTheme="majorHAnsi" w:hAnsiTheme="majorHAnsi"/>
          <w:sz w:val="20"/>
          <w:szCs w:val="20"/>
          <w:lang w:val="es-CR"/>
        </w:rPr>
        <w:t xml:space="preserve">de 2000 la Comisión notificó el </w:t>
      </w:r>
      <w:r w:rsidR="00BB08C7" w:rsidRPr="007C6BE8">
        <w:rPr>
          <w:rFonts w:asciiTheme="majorHAnsi" w:hAnsiTheme="majorHAnsi"/>
          <w:sz w:val="20"/>
          <w:szCs w:val="20"/>
          <w:lang w:val="es-CR"/>
        </w:rPr>
        <w:t>i</w:t>
      </w:r>
      <w:r w:rsidR="002F0855" w:rsidRPr="007C6BE8">
        <w:rPr>
          <w:rFonts w:asciiTheme="majorHAnsi" w:hAnsiTheme="majorHAnsi"/>
          <w:sz w:val="20"/>
          <w:szCs w:val="20"/>
          <w:lang w:val="es-CR"/>
        </w:rPr>
        <w:t xml:space="preserve">nforme de </w:t>
      </w:r>
      <w:r w:rsidR="00BB08C7" w:rsidRPr="007C6BE8">
        <w:rPr>
          <w:rFonts w:asciiTheme="majorHAnsi" w:hAnsiTheme="majorHAnsi"/>
          <w:sz w:val="20"/>
          <w:szCs w:val="20"/>
          <w:lang w:val="es-CR"/>
        </w:rPr>
        <w:t>a</w:t>
      </w:r>
      <w:r w:rsidR="002F0855" w:rsidRPr="007C6BE8">
        <w:rPr>
          <w:rFonts w:asciiTheme="majorHAnsi" w:hAnsiTheme="majorHAnsi"/>
          <w:sz w:val="20"/>
          <w:szCs w:val="20"/>
          <w:lang w:val="es-CR"/>
        </w:rPr>
        <w:t xml:space="preserve">dmisibilidad 84/00 </w:t>
      </w:r>
      <w:r w:rsidRPr="007C6BE8">
        <w:rPr>
          <w:rFonts w:asciiTheme="majorHAnsi" w:hAnsiTheme="majorHAnsi"/>
          <w:sz w:val="20"/>
          <w:szCs w:val="20"/>
          <w:lang w:val="es-CR"/>
        </w:rPr>
        <w:t xml:space="preserve">a las partes y se puso a disposición a fin de llegar a una solución amistosa.  </w:t>
      </w:r>
      <w:r w:rsidR="00BB08C7" w:rsidRPr="007C6BE8">
        <w:rPr>
          <w:rFonts w:asciiTheme="majorHAnsi" w:hAnsiTheme="majorHAnsi"/>
          <w:sz w:val="20"/>
          <w:szCs w:val="20"/>
          <w:lang w:val="es-CR"/>
        </w:rPr>
        <w:t xml:space="preserve">El </w:t>
      </w:r>
      <w:r w:rsidR="00F2142F" w:rsidRPr="007C6BE8">
        <w:rPr>
          <w:rFonts w:asciiTheme="majorHAnsi" w:hAnsiTheme="majorHAnsi"/>
          <w:sz w:val="20"/>
          <w:szCs w:val="20"/>
          <w:lang w:val="es-CR"/>
        </w:rPr>
        <w:t>1° de marzo de 2010 la CIDH trasladó al Estado el rechazo de la oferta de solución amistosa por parte de los peticionarios y sus</w:t>
      </w:r>
      <w:r w:rsidR="00F469D2" w:rsidRPr="007C6BE8">
        <w:rPr>
          <w:rFonts w:asciiTheme="majorHAnsi" w:hAnsiTheme="majorHAnsi"/>
          <w:sz w:val="20"/>
          <w:szCs w:val="20"/>
          <w:lang w:val="es-CR"/>
        </w:rPr>
        <w:t xml:space="preserve"> observaciones finales </w:t>
      </w:r>
      <w:r w:rsidR="00F2142F" w:rsidRPr="007C6BE8">
        <w:rPr>
          <w:rFonts w:asciiTheme="majorHAnsi" w:hAnsiTheme="majorHAnsi"/>
          <w:sz w:val="20"/>
          <w:szCs w:val="20"/>
          <w:lang w:val="es-CR"/>
        </w:rPr>
        <w:t xml:space="preserve">sobre el fondo.  El 1° de junio de 2010 el Estado solicitó una prórroga, la cual fue concedida. </w:t>
      </w:r>
      <w:r w:rsidR="00706464" w:rsidRPr="007C6BE8">
        <w:rPr>
          <w:rFonts w:asciiTheme="majorHAnsi" w:hAnsiTheme="majorHAnsi"/>
          <w:sz w:val="20"/>
          <w:szCs w:val="20"/>
          <w:lang w:val="es-CR"/>
        </w:rPr>
        <w:t xml:space="preserve"> </w:t>
      </w:r>
      <w:r w:rsidR="00F2142F" w:rsidRPr="007C6BE8">
        <w:rPr>
          <w:rFonts w:asciiTheme="majorHAnsi" w:hAnsiTheme="majorHAnsi"/>
          <w:sz w:val="20"/>
          <w:szCs w:val="20"/>
          <w:lang w:val="es-CR"/>
        </w:rPr>
        <w:t>El 12 de noviembre de 2001 se celebró una audiencia con ambas partes en el marco del 113 período de sesiones de la C</w:t>
      </w:r>
      <w:r w:rsidR="00F469D2" w:rsidRPr="007C6BE8">
        <w:rPr>
          <w:rFonts w:asciiTheme="majorHAnsi" w:hAnsiTheme="majorHAnsi"/>
          <w:sz w:val="20"/>
          <w:szCs w:val="20"/>
          <w:lang w:val="es-CR"/>
        </w:rPr>
        <w:t>omisión</w:t>
      </w:r>
      <w:r w:rsidR="00F2142F" w:rsidRPr="007C6BE8">
        <w:rPr>
          <w:rFonts w:asciiTheme="majorHAnsi" w:hAnsiTheme="majorHAnsi"/>
          <w:sz w:val="20"/>
          <w:szCs w:val="20"/>
          <w:lang w:val="es-CR"/>
        </w:rPr>
        <w:t xml:space="preserve">. </w:t>
      </w:r>
    </w:p>
    <w:p w:rsidR="00F2142F" w:rsidRPr="007C6BE8" w:rsidRDefault="00F2142F" w:rsidP="00B1793F">
      <w:pPr>
        <w:pStyle w:val="ListParagraph"/>
        <w:jc w:val="both"/>
        <w:rPr>
          <w:rFonts w:asciiTheme="majorHAnsi" w:hAnsiTheme="majorHAnsi"/>
          <w:sz w:val="20"/>
          <w:szCs w:val="20"/>
          <w:lang w:val="es-CR"/>
        </w:rPr>
      </w:pPr>
    </w:p>
    <w:p w:rsidR="007449EF" w:rsidRPr="007C6BE8" w:rsidRDefault="004C7705"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lastRenderedPageBreak/>
        <w:t xml:space="preserve">Con posterioridad el Estado presentó comunicaciones en las siguientes </w:t>
      </w:r>
      <w:r w:rsidR="00F14EF1" w:rsidRPr="007C6BE8">
        <w:rPr>
          <w:rFonts w:asciiTheme="majorHAnsi" w:hAnsiTheme="majorHAnsi"/>
          <w:sz w:val="20"/>
          <w:szCs w:val="20"/>
          <w:lang w:val="es-CR"/>
        </w:rPr>
        <w:t xml:space="preserve">fechas </w:t>
      </w:r>
      <w:r w:rsidR="007449EF" w:rsidRPr="007C6BE8">
        <w:rPr>
          <w:rFonts w:asciiTheme="majorHAnsi" w:hAnsiTheme="majorHAnsi"/>
          <w:sz w:val="20"/>
          <w:szCs w:val="20"/>
          <w:lang w:val="es-CR"/>
        </w:rPr>
        <w:t>1</w:t>
      </w:r>
      <w:r w:rsidR="00570551" w:rsidRPr="007C6BE8">
        <w:rPr>
          <w:rFonts w:asciiTheme="majorHAnsi" w:hAnsiTheme="majorHAnsi"/>
          <w:sz w:val="20"/>
          <w:szCs w:val="20"/>
          <w:lang w:val="es-CR"/>
        </w:rPr>
        <w:t>°</w:t>
      </w:r>
      <w:r w:rsidR="007449EF" w:rsidRPr="007C6BE8">
        <w:rPr>
          <w:rFonts w:asciiTheme="majorHAnsi" w:hAnsiTheme="majorHAnsi"/>
          <w:sz w:val="20"/>
          <w:szCs w:val="20"/>
          <w:lang w:val="es-CR"/>
        </w:rPr>
        <w:t xml:space="preserve"> de julio</w:t>
      </w:r>
      <w:r w:rsidR="00F14EF1" w:rsidRPr="007C6BE8">
        <w:rPr>
          <w:rFonts w:asciiTheme="majorHAnsi" w:hAnsiTheme="majorHAnsi"/>
          <w:sz w:val="20"/>
          <w:szCs w:val="20"/>
          <w:lang w:val="es-CR"/>
        </w:rPr>
        <w:t>, 16 de sep</w:t>
      </w:r>
      <w:r w:rsidRPr="007C6BE8">
        <w:rPr>
          <w:rFonts w:asciiTheme="majorHAnsi" w:hAnsiTheme="majorHAnsi"/>
          <w:sz w:val="20"/>
          <w:szCs w:val="20"/>
          <w:lang w:val="es-CR"/>
        </w:rPr>
        <w:t>tie</w:t>
      </w:r>
      <w:r w:rsidR="00F469D2" w:rsidRPr="007C6BE8">
        <w:rPr>
          <w:rFonts w:asciiTheme="majorHAnsi" w:hAnsiTheme="majorHAnsi"/>
          <w:sz w:val="20"/>
          <w:szCs w:val="20"/>
          <w:lang w:val="es-CR"/>
        </w:rPr>
        <w:t>mbre y 27 octubre de 2010;</w:t>
      </w:r>
      <w:r w:rsidRPr="007C6BE8">
        <w:rPr>
          <w:rFonts w:asciiTheme="majorHAnsi" w:hAnsiTheme="majorHAnsi"/>
          <w:sz w:val="20"/>
          <w:szCs w:val="20"/>
          <w:lang w:val="es-CR"/>
        </w:rPr>
        <w:t xml:space="preserve"> </w:t>
      </w:r>
      <w:r w:rsidR="00F14EF1" w:rsidRPr="007C6BE8">
        <w:rPr>
          <w:rFonts w:asciiTheme="majorHAnsi" w:hAnsiTheme="majorHAnsi"/>
          <w:sz w:val="20"/>
          <w:szCs w:val="20"/>
          <w:lang w:val="es-CR"/>
        </w:rPr>
        <w:t>4 de febrero</w:t>
      </w:r>
      <w:r w:rsidRPr="007C6BE8">
        <w:rPr>
          <w:rFonts w:asciiTheme="majorHAnsi" w:hAnsiTheme="majorHAnsi"/>
          <w:sz w:val="20"/>
          <w:szCs w:val="20"/>
          <w:lang w:val="es-CR"/>
        </w:rPr>
        <w:t>,</w:t>
      </w:r>
      <w:r w:rsidR="00F14EF1" w:rsidRPr="007C6BE8">
        <w:rPr>
          <w:rFonts w:asciiTheme="majorHAnsi" w:hAnsiTheme="majorHAnsi"/>
          <w:sz w:val="20"/>
          <w:szCs w:val="20"/>
          <w:lang w:val="es-CR"/>
        </w:rPr>
        <w:t xml:space="preserve"> 9 de marzo y 15 de abril de 2011</w:t>
      </w:r>
      <w:r w:rsidRPr="007C6BE8">
        <w:rPr>
          <w:rFonts w:asciiTheme="majorHAnsi" w:hAnsiTheme="majorHAnsi"/>
          <w:sz w:val="20"/>
          <w:szCs w:val="20"/>
          <w:lang w:val="es-CR"/>
        </w:rPr>
        <w:t xml:space="preserve">; </w:t>
      </w:r>
      <w:r w:rsidR="00795F8C" w:rsidRPr="007C6BE8">
        <w:rPr>
          <w:rFonts w:asciiTheme="majorHAnsi" w:hAnsiTheme="majorHAnsi"/>
          <w:sz w:val="20"/>
          <w:szCs w:val="20"/>
          <w:lang w:val="es-CR"/>
        </w:rPr>
        <w:t xml:space="preserve">27 de mayo y </w:t>
      </w:r>
      <w:r w:rsidRPr="007C6BE8">
        <w:rPr>
          <w:rFonts w:asciiTheme="majorHAnsi" w:hAnsiTheme="majorHAnsi"/>
          <w:sz w:val="20"/>
          <w:szCs w:val="20"/>
          <w:lang w:val="es-CR"/>
        </w:rPr>
        <w:t xml:space="preserve">14 de julio de 2011; </w:t>
      </w:r>
      <w:r w:rsidR="00795F8C" w:rsidRPr="007C6BE8">
        <w:rPr>
          <w:rFonts w:asciiTheme="majorHAnsi" w:hAnsiTheme="majorHAnsi"/>
          <w:sz w:val="20"/>
          <w:szCs w:val="20"/>
          <w:lang w:val="es-CR"/>
        </w:rPr>
        <w:t>23</w:t>
      </w:r>
      <w:r w:rsidRPr="007C6BE8">
        <w:rPr>
          <w:rFonts w:asciiTheme="majorHAnsi" w:hAnsiTheme="majorHAnsi"/>
          <w:sz w:val="20"/>
          <w:szCs w:val="20"/>
          <w:lang w:val="es-CR"/>
        </w:rPr>
        <w:t xml:space="preserve"> de marzo, 1</w:t>
      </w:r>
      <w:r w:rsidR="00395BFA" w:rsidRPr="007C6BE8">
        <w:rPr>
          <w:rFonts w:asciiTheme="majorHAnsi" w:hAnsiTheme="majorHAnsi"/>
          <w:sz w:val="20"/>
          <w:szCs w:val="20"/>
          <w:lang w:val="es-CR"/>
        </w:rPr>
        <w:t>7</w:t>
      </w:r>
      <w:r w:rsidRPr="007C6BE8">
        <w:rPr>
          <w:rFonts w:asciiTheme="majorHAnsi" w:hAnsiTheme="majorHAnsi"/>
          <w:sz w:val="20"/>
          <w:szCs w:val="20"/>
          <w:lang w:val="es-CR"/>
        </w:rPr>
        <w:t xml:space="preserve"> de mayo, 7 de junio, 13 de julio y 11 de octubre de 2012</w:t>
      </w:r>
      <w:r w:rsidR="00F14EF1" w:rsidRPr="007C6BE8">
        <w:rPr>
          <w:rFonts w:asciiTheme="majorHAnsi" w:hAnsiTheme="majorHAnsi"/>
          <w:sz w:val="20"/>
          <w:szCs w:val="20"/>
          <w:lang w:val="es-CR"/>
        </w:rPr>
        <w:t xml:space="preserve">.  Por su parte, los peticionarios presentaron </w:t>
      </w:r>
      <w:r w:rsidR="000045CB" w:rsidRPr="007C6BE8">
        <w:rPr>
          <w:rFonts w:asciiTheme="majorHAnsi" w:hAnsiTheme="majorHAnsi"/>
          <w:sz w:val="20"/>
          <w:szCs w:val="20"/>
          <w:lang w:val="es-CR"/>
        </w:rPr>
        <w:t xml:space="preserve">escritos el </w:t>
      </w:r>
      <w:r w:rsidR="007449EF" w:rsidRPr="007C6BE8">
        <w:rPr>
          <w:rFonts w:asciiTheme="majorHAnsi" w:hAnsiTheme="majorHAnsi"/>
          <w:sz w:val="20"/>
          <w:szCs w:val="20"/>
          <w:lang w:val="es-CR"/>
        </w:rPr>
        <w:t>11 de agosto</w:t>
      </w:r>
      <w:r w:rsidRPr="007C6BE8">
        <w:rPr>
          <w:rFonts w:asciiTheme="majorHAnsi" w:hAnsiTheme="majorHAnsi"/>
          <w:sz w:val="20"/>
          <w:szCs w:val="20"/>
          <w:lang w:val="es-CR"/>
        </w:rPr>
        <w:t xml:space="preserve">, </w:t>
      </w:r>
      <w:r w:rsidR="000045CB" w:rsidRPr="007C6BE8">
        <w:rPr>
          <w:rFonts w:asciiTheme="majorHAnsi" w:hAnsiTheme="majorHAnsi"/>
          <w:sz w:val="20"/>
          <w:szCs w:val="20"/>
          <w:lang w:val="es-CR"/>
        </w:rPr>
        <w:t xml:space="preserve">20 de diciembre </w:t>
      </w:r>
      <w:r w:rsidR="007449EF" w:rsidRPr="007C6BE8">
        <w:rPr>
          <w:rFonts w:asciiTheme="majorHAnsi" w:hAnsiTheme="majorHAnsi"/>
          <w:sz w:val="20"/>
          <w:szCs w:val="20"/>
          <w:lang w:val="es-CR"/>
        </w:rPr>
        <w:t>2010</w:t>
      </w:r>
      <w:r w:rsidRPr="007C6BE8">
        <w:rPr>
          <w:rFonts w:asciiTheme="majorHAnsi" w:hAnsiTheme="majorHAnsi"/>
          <w:sz w:val="20"/>
          <w:szCs w:val="20"/>
          <w:lang w:val="es-CR"/>
        </w:rPr>
        <w:t>, 23 de mayo de 2011</w:t>
      </w:r>
      <w:r w:rsidR="00F469D2" w:rsidRPr="007C6BE8">
        <w:rPr>
          <w:rFonts w:asciiTheme="majorHAnsi" w:hAnsiTheme="majorHAnsi"/>
          <w:sz w:val="20"/>
          <w:szCs w:val="20"/>
          <w:lang w:val="es-CR"/>
        </w:rPr>
        <w:t>,</w:t>
      </w:r>
      <w:r w:rsidRPr="007C6BE8">
        <w:rPr>
          <w:rFonts w:asciiTheme="majorHAnsi" w:hAnsiTheme="majorHAnsi"/>
          <w:sz w:val="20"/>
          <w:szCs w:val="20"/>
          <w:lang w:val="es-CR"/>
        </w:rPr>
        <w:t xml:space="preserve"> 27 de febrero y 2 de octubre de 2012; </w:t>
      </w:r>
      <w:r w:rsidR="00F469D2" w:rsidRPr="007C6BE8">
        <w:rPr>
          <w:rFonts w:asciiTheme="majorHAnsi" w:hAnsiTheme="majorHAnsi"/>
          <w:sz w:val="20"/>
          <w:szCs w:val="20"/>
          <w:lang w:val="es-CR"/>
        </w:rPr>
        <w:t xml:space="preserve"> y </w:t>
      </w:r>
      <w:r w:rsidRPr="007C6BE8">
        <w:rPr>
          <w:rFonts w:asciiTheme="majorHAnsi" w:hAnsiTheme="majorHAnsi"/>
          <w:sz w:val="20"/>
          <w:szCs w:val="20"/>
          <w:lang w:val="es-CR"/>
        </w:rPr>
        <w:t>8 de mayo de 2013</w:t>
      </w:r>
      <w:r w:rsidR="007449EF" w:rsidRPr="007C6BE8">
        <w:rPr>
          <w:rFonts w:asciiTheme="majorHAnsi" w:hAnsiTheme="majorHAnsi"/>
          <w:sz w:val="20"/>
          <w:szCs w:val="20"/>
          <w:lang w:val="es-CR"/>
        </w:rPr>
        <w:t>.</w:t>
      </w:r>
    </w:p>
    <w:p w:rsidR="00BB08C7" w:rsidRPr="007C6BE8" w:rsidRDefault="00BB08C7"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Theme="majorHAnsi" w:hAnsiTheme="majorHAnsi"/>
          <w:sz w:val="20"/>
          <w:szCs w:val="20"/>
          <w:lang w:val="es-CR"/>
        </w:rPr>
      </w:pPr>
    </w:p>
    <w:p w:rsidR="007449EF" w:rsidRPr="007C6BE8" w:rsidRDefault="007449EF" w:rsidP="00B1793F">
      <w:pPr>
        <w:pStyle w:val="Heading1"/>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0"/>
        <w:ind w:left="0" w:firstLine="720"/>
        <w:jc w:val="both"/>
        <w:rPr>
          <w:rFonts w:asciiTheme="majorHAnsi" w:hAnsiTheme="majorHAnsi" w:cs="Arial"/>
          <w:color w:val="auto"/>
          <w:sz w:val="20"/>
          <w:szCs w:val="20"/>
        </w:rPr>
      </w:pPr>
      <w:bookmarkStart w:id="12" w:name="_Toc409709262"/>
      <w:bookmarkStart w:id="13" w:name="_Toc414371972"/>
      <w:bookmarkStart w:id="14" w:name="_Toc421786401"/>
      <w:bookmarkStart w:id="15" w:name="_Toc529794703"/>
      <w:r w:rsidRPr="007C6BE8">
        <w:rPr>
          <w:rFonts w:asciiTheme="majorHAnsi" w:hAnsiTheme="majorHAnsi" w:cs="Arial"/>
          <w:color w:val="auto"/>
          <w:sz w:val="20"/>
          <w:szCs w:val="20"/>
        </w:rPr>
        <w:t>POSICIONES DE LAS PARTES</w:t>
      </w:r>
      <w:bookmarkEnd w:id="12"/>
      <w:bookmarkEnd w:id="13"/>
      <w:bookmarkEnd w:id="14"/>
      <w:bookmarkEnd w:id="15"/>
    </w:p>
    <w:p w:rsidR="00BB08C7" w:rsidRPr="007C6BE8" w:rsidRDefault="00BB08C7" w:rsidP="00B1793F">
      <w:pPr>
        <w:rPr>
          <w:rFonts w:asciiTheme="majorHAnsi" w:hAnsiTheme="majorHAnsi"/>
          <w:sz w:val="20"/>
          <w:szCs w:val="20"/>
        </w:rPr>
      </w:pPr>
    </w:p>
    <w:p w:rsidR="007449EF" w:rsidRPr="007C6BE8" w:rsidRDefault="007449EF" w:rsidP="00180E93">
      <w:pPr>
        <w:pStyle w:val="Heading2"/>
        <w:rPr>
          <w:rFonts w:asciiTheme="majorHAnsi" w:hAnsiTheme="majorHAnsi"/>
        </w:rPr>
      </w:pPr>
      <w:bookmarkStart w:id="16" w:name="_Toc409709263"/>
      <w:bookmarkStart w:id="17" w:name="_Toc414371973"/>
      <w:bookmarkStart w:id="18" w:name="_Toc421786402"/>
      <w:bookmarkStart w:id="19" w:name="_Toc529794704"/>
      <w:r w:rsidRPr="007C6BE8">
        <w:rPr>
          <w:rFonts w:asciiTheme="majorHAnsi" w:hAnsiTheme="majorHAnsi"/>
        </w:rPr>
        <w:t xml:space="preserve">A. </w:t>
      </w:r>
      <w:r w:rsidRPr="007C6BE8">
        <w:rPr>
          <w:rFonts w:asciiTheme="majorHAnsi" w:hAnsiTheme="majorHAnsi"/>
        </w:rPr>
        <w:tab/>
        <w:t>Posición de</w:t>
      </w:r>
      <w:r w:rsidR="006422E2" w:rsidRPr="007C6BE8">
        <w:rPr>
          <w:rFonts w:asciiTheme="majorHAnsi" w:hAnsiTheme="majorHAnsi"/>
        </w:rPr>
        <w:t xml:space="preserve"> </w:t>
      </w:r>
      <w:r w:rsidRPr="007C6BE8">
        <w:rPr>
          <w:rFonts w:asciiTheme="majorHAnsi" w:hAnsiTheme="majorHAnsi"/>
        </w:rPr>
        <w:t>l</w:t>
      </w:r>
      <w:r w:rsidR="006422E2" w:rsidRPr="007C6BE8">
        <w:rPr>
          <w:rFonts w:asciiTheme="majorHAnsi" w:hAnsiTheme="majorHAnsi"/>
        </w:rPr>
        <w:t>os</w:t>
      </w:r>
      <w:r w:rsidRPr="007C6BE8">
        <w:rPr>
          <w:rFonts w:asciiTheme="majorHAnsi" w:hAnsiTheme="majorHAnsi"/>
        </w:rPr>
        <w:t xml:space="preserve"> peticionario</w:t>
      </w:r>
      <w:bookmarkEnd w:id="16"/>
      <w:r w:rsidR="006422E2" w:rsidRPr="007C6BE8">
        <w:rPr>
          <w:rFonts w:asciiTheme="majorHAnsi" w:hAnsiTheme="majorHAnsi"/>
        </w:rPr>
        <w:t>s</w:t>
      </w:r>
      <w:bookmarkEnd w:id="17"/>
      <w:bookmarkEnd w:id="18"/>
      <w:bookmarkEnd w:id="19"/>
    </w:p>
    <w:p w:rsidR="007449EF" w:rsidRPr="007C6BE8" w:rsidRDefault="007449EF" w:rsidP="00B1793F">
      <w:pPr>
        <w:ind w:firstLine="720"/>
        <w:jc w:val="both"/>
        <w:rPr>
          <w:rFonts w:asciiTheme="majorHAnsi" w:hAnsiTheme="majorHAnsi"/>
          <w:sz w:val="20"/>
          <w:szCs w:val="20"/>
          <w:lang w:val="es-CO"/>
        </w:rPr>
      </w:pPr>
    </w:p>
    <w:p w:rsidR="007449EF" w:rsidRPr="007C6BE8" w:rsidRDefault="006422E2"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 xml:space="preserve">Los peticionarios señalaron </w:t>
      </w:r>
      <w:r w:rsidR="007449EF" w:rsidRPr="007C6BE8">
        <w:rPr>
          <w:rFonts w:asciiTheme="majorHAnsi" w:hAnsiTheme="majorHAnsi"/>
          <w:sz w:val="20"/>
          <w:szCs w:val="20"/>
          <w:lang w:val="es-CR"/>
        </w:rPr>
        <w:t xml:space="preserve">que </w:t>
      </w:r>
      <w:r w:rsidR="000E7AE5" w:rsidRPr="007C6BE8">
        <w:rPr>
          <w:rFonts w:asciiTheme="majorHAnsi" w:hAnsiTheme="majorHAnsi"/>
          <w:sz w:val="20"/>
          <w:szCs w:val="20"/>
          <w:lang w:val="es-CR"/>
        </w:rPr>
        <w:t xml:space="preserve">el señor Norberto Javier Restrepo era militante del partido político Unión Patriótica. </w:t>
      </w:r>
      <w:r w:rsidR="00706464" w:rsidRPr="007C6BE8">
        <w:rPr>
          <w:rFonts w:asciiTheme="majorHAnsi" w:hAnsiTheme="majorHAnsi"/>
          <w:sz w:val="20"/>
          <w:szCs w:val="20"/>
          <w:lang w:val="es-CR"/>
        </w:rPr>
        <w:t xml:space="preserve">Indicaron </w:t>
      </w:r>
      <w:r w:rsidR="000E7AE5" w:rsidRPr="007C6BE8">
        <w:rPr>
          <w:rFonts w:asciiTheme="majorHAnsi" w:hAnsiTheme="majorHAnsi"/>
          <w:sz w:val="20"/>
          <w:szCs w:val="20"/>
          <w:lang w:val="es-CR"/>
        </w:rPr>
        <w:t xml:space="preserve">que </w:t>
      </w:r>
      <w:r w:rsidR="007449EF" w:rsidRPr="007C6BE8">
        <w:rPr>
          <w:rFonts w:asciiTheme="majorHAnsi" w:hAnsiTheme="majorHAnsi"/>
          <w:sz w:val="20"/>
          <w:szCs w:val="20"/>
          <w:lang w:val="es-CR"/>
        </w:rPr>
        <w:t xml:space="preserve">el 2 de junio de 1992 </w:t>
      </w:r>
      <w:r w:rsidRPr="007C6BE8">
        <w:rPr>
          <w:rFonts w:asciiTheme="majorHAnsi" w:hAnsiTheme="majorHAnsi"/>
          <w:sz w:val="20"/>
          <w:szCs w:val="20"/>
          <w:lang w:val="es-CR"/>
        </w:rPr>
        <w:t xml:space="preserve">el señor </w:t>
      </w:r>
      <w:r w:rsidR="007449EF" w:rsidRPr="007C6BE8">
        <w:rPr>
          <w:rFonts w:asciiTheme="majorHAnsi" w:hAnsiTheme="majorHAnsi"/>
          <w:sz w:val="20"/>
          <w:szCs w:val="20"/>
          <w:lang w:val="es-CR"/>
        </w:rPr>
        <w:t>Restrepo</w:t>
      </w:r>
      <w:r w:rsidR="00706464" w:rsidRPr="007C6BE8">
        <w:rPr>
          <w:rFonts w:asciiTheme="majorHAnsi" w:hAnsiTheme="majorHAnsi"/>
          <w:sz w:val="20"/>
          <w:szCs w:val="20"/>
          <w:lang w:val="es-CR"/>
        </w:rPr>
        <w:t xml:space="preserve"> </w:t>
      </w:r>
      <w:r w:rsidR="007449EF" w:rsidRPr="007C6BE8">
        <w:rPr>
          <w:rFonts w:asciiTheme="majorHAnsi" w:hAnsiTheme="majorHAnsi"/>
          <w:sz w:val="20"/>
          <w:szCs w:val="20"/>
          <w:lang w:val="es-CR"/>
        </w:rPr>
        <w:t xml:space="preserve">salió de su casa en la ciudad de Medellín a las 6.30 a.m. y nunca  retornó.  </w:t>
      </w:r>
      <w:r w:rsidR="00F469D2" w:rsidRPr="007C6BE8">
        <w:rPr>
          <w:rFonts w:asciiTheme="majorHAnsi" w:hAnsiTheme="majorHAnsi"/>
          <w:sz w:val="20"/>
          <w:szCs w:val="20"/>
          <w:lang w:val="es-CR"/>
        </w:rPr>
        <w:t>Señalaron que a</w:t>
      </w:r>
      <w:r w:rsidR="002F17C5" w:rsidRPr="007C6BE8">
        <w:rPr>
          <w:rFonts w:asciiTheme="majorHAnsi" w:hAnsiTheme="majorHAnsi"/>
          <w:sz w:val="20"/>
          <w:szCs w:val="20"/>
          <w:lang w:val="es-CR"/>
        </w:rPr>
        <w:t xml:space="preserve">l día siguiente su madre, Lucila Restrepo Posada, </w:t>
      </w:r>
      <w:r w:rsidR="00F469D2" w:rsidRPr="007C6BE8">
        <w:rPr>
          <w:rFonts w:asciiTheme="majorHAnsi" w:hAnsiTheme="majorHAnsi"/>
          <w:sz w:val="20"/>
          <w:szCs w:val="20"/>
          <w:lang w:val="es-CR"/>
        </w:rPr>
        <w:t xml:space="preserve">tuvo </w:t>
      </w:r>
      <w:r w:rsidR="002F17C5" w:rsidRPr="007C6BE8">
        <w:rPr>
          <w:rFonts w:asciiTheme="majorHAnsi" w:hAnsiTheme="majorHAnsi"/>
          <w:sz w:val="20"/>
          <w:szCs w:val="20"/>
          <w:lang w:val="es-CR"/>
        </w:rPr>
        <w:t xml:space="preserve">un breve contacto telefónico de parte de su hijo donde éste preguntó por sus familiares. </w:t>
      </w:r>
      <w:r w:rsidR="00172084" w:rsidRPr="007C6BE8">
        <w:rPr>
          <w:rFonts w:asciiTheme="majorHAnsi" w:hAnsiTheme="majorHAnsi"/>
          <w:sz w:val="20"/>
          <w:szCs w:val="20"/>
          <w:lang w:val="es-CR"/>
        </w:rPr>
        <w:t>Indicaron que e</w:t>
      </w:r>
      <w:r w:rsidR="002F17C5" w:rsidRPr="007C6BE8">
        <w:rPr>
          <w:rFonts w:asciiTheme="majorHAnsi" w:hAnsiTheme="majorHAnsi"/>
          <w:sz w:val="20"/>
          <w:szCs w:val="20"/>
          <w:lang w:val="es-CR"/>
        </w:rPr>
        <w:t>l 5 de junio</w:t>
      </w:r>
      <w:r w:rsidR="00172084" w:rsidRPr="007C6BE8">
        <w:rPr>
          <w:rFonts w:asciiTheme="majorHAnsi" w:hAnsiTheme="majorHAnsi"/>
          <w:sz w:val="20"/>
          <w:szCs w:val="20"/>
          <w:lang w:val="es-CR"/>
        </w:rPr>
        <w:t xml:space="preserve"> de 1992</w:t>
      </w:r>
      <w:r w:rsidR="002F17C5" w:rsidRPr="007C6BE8">
        <w:rPr>
          <w:rFonts w:asciiTheme="majorHAnsi" w:hAnsiTheme="majorHAnsi"/>
          <w:sz w:val="20"/>
          <w:szCs w:val="20"/>
          <w:lang w:val="es-CR"/>
        </w:rPr>
        <w:t xml:space="preserve"> su madre </w:t>
      </w:r>
      <w:r w:rsidR="00172084" w:rsidRPr="007C6BE8">
        <w:rPr>
          <w:rFonts w:asciiTheme="majorHAnsi" w:hAnsiTheme="majorHAnsi"/>
          <w:sz w:val="20"/>
          <w:szCs w:val="20"/>
          <w:lang w:val="es-CR"/>
        </w:rPr>
        <w:t xml:space="preserve">recibió </w:t>
      </w:r>
      <w:r w:rsidR="00D4159B" w:rsidRPr="007C6BE8">
        <w:rPr>
          <w:rFonts w:asciiTheme="majorHAnsi" w:hAnsiTheme="majorHAnsi"/>
          <w:sz w:val="20"/>
          <w:szCs w:val="20"/>
          <w:lang w:val="es-CR"/>
        </w:rPr>
        <w:t>una</w:t>
      </w:r>
      <w:r w:rsidR="002F17C5" w:rsidRPr="007C6BE8">
        <w:rPr>
          <w:rFonts w:asciiTheme="majorHAnsi" w:hAnsiTheme="majorHAnsi"/>
          <w:sz w:val="20"/>
          <w:szCs w:val="20"/>
          <w:lang w:val="es-CR"/>
        </w:rPr>
        <w:t xml:space="preserve"> llamada anónima en la que se le informó que su hijo estaba desaparecido</w:t>
      </w:r>
      <w:r w:rsidR="00BC07EA" w:rsidRPr="007C6BE8">
        <w:rPr>
          <w:rFonts w:asciiTheme="majorHAnsi" w:hAnsiTheme="majorHAnsi"/>
          <w:sz w:val="20"/>
          <w:szCs w:val="20"/>
          <w:lang w:val="es-CR"/>
        </w:rPr>
        <w:t>.</w:t>
      </w:r>
    </w:p>
    <w:p w:rsidR="007449EF" w:rsidRPr="007C6BE8" w:rsidRDefault="007449EF" w:rsidP="00B1793F">
      <w:pPr>
        <w:ind w:firstLine="720"/>
        <w:jc w:val="both"/>
        <w:rPr>
          <w:rFonts w:asciiTheme="majorHAnsi" w:hAnsiTheme="majorHAnsi"/>
          <w:sz w:val="20"/>
          <w:szCs w:val="20"/>
          <w:lang w:val="es-CR"/>
        </w:rPr>
      </w:pPr>
    </w:p>
    <w:p w:rsidR="007449EF" w:rsidRPr="007C6BE8" w:rsidRDefault="006422E2"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 xml:space="preserve">Manifestaron </w:t>
      </w:r>
      <w:r w:rsidR="007449EF" w:rsidRPr="007C6BE8">
        <w:rPr>
          <w:rFonts w:asciiTheme="majorHAnsi" w:hAnsiTheme="majorHAnsi"/>
          <w:sz w:val="20"/>
          <w:szCs w:val="20"/>
          <w:lang w:val="es-CR"/>
        </w:rPr>
        <w:t xml:space="preserve">que el 6 de junio de 1992 la madre de </w:t>
      </w:r>
      <w:r w:rsidR="000E7AE5" w:rsidRPr="007C6BE8">
        <w:rPr>
          <w:rFonts w:asciiTheme="majorHAnsi" w:hAnsiTheme="majorHAnsi"/>
          <w:sz w:val="20"/>
          <w:szCs w:val="20"/>
          <w:lang w:val="es-CR"/>
        </w:rPr>
        <w:t xml:space="preserve">del señor Restrepo, Lucila Restrepo, </w:t>
      </w:r>
      <w:r w:rsidR="007449EF" w:rsidRPr="007C6BE8">
        <w:rPr>
          <w:rFonts w:asciiTheme="majorHAnsi" w:hAnsiTheme="majorHAnsi"/>
          <w:sz w:val="20"/>
          <w:szCs w:val="20"/>
          <w:lang w:val="es-CR"/>
        </w:rPr>
        <w:t xml:space="preserve">inició la búsqueda de su hijo en inspecciones de la policía, en el F-2 (organismo de inteligencia de la Policía Nacional), en hospitales y a través de medios de comunicación.  </w:t>
      </w:r>
      <w:r w:rsidRPr="007C6BE8">
        <w:rPr>
          <w:rFonts w:asciiTheme="majorHAnsi" w:hAnsiTheme="majorHAnsi"/>
          <w:sz w:val="20"/>
          <w:szCs w:val="20"/>
          <w:lang w:val="es-CR"/>
        </w:rPr>
        <w:t xml:space="preserve">Indicaron </w:t>
      </w:r>
      <w:r w:rsidR="007449EF" w:rsidRPr="007C6BE8">
        <w:rPr>
          <w:rFonts w:asciiTheme="majorHAnsi" w:hAnsiTheme="majorHAnsi"/>
          <w:sz w:val="20"/>
          <w:szCs w:val="20"/>
          <w:lang w:val="es-CR"/>
        </w:rPr>
        <w:t xml:space="preserve">que el 7 de junio de 1992 </w:t>
      </w:r>
      <w:r w:rsidR="00D4159B" w:rsidRPr="007C6BE8">
        <w:rPr>
          <w:rFonts w:asciiTheme="majorHAnsi" w:hAnsiTheme="majorHAnsi"/>
          <w:sz w:val="20"/>
          <w:szCs w:val="20"/>
          <w:lang w:val="es-CR"/>
        </w:rPr>
        <w:t>Norberto Restrepo se comunic</w:t>
      </w:r>
      <w:r w:rsidR="008B3AE5" w:rsidRPr="007C6BE8">
        <w:rPr>
          <w:rFonts w:asciiTheme="majorHAnsi" w:hAnsiTheme="majorHAnsi"/>
          <w:sz w:val="20"/>
          <w:szCs w:val="20"/>
          <w:lang w:val="es-CR"/>
        </w:rPr>
        <w:t>ó</w:t>
      </w:r>
      <w:r w:rsidR="00D4159B" w:rsidRPr="007C6BE8">
        <w:rPr>
          <w:rFonts w:asciiTheme="majorHAnsi" w:hAnsiTheme="majorHAnsi"/>
          <w:sz w:val="20"/>
          <w:szCs w:val="20"/>
          <w:lang w:val="es-CR"/>
        </w:rPr>
        <w:t xml:space="preserve"> por última vez para señalar que </w:t>
      </w:r>
      <w:r w:rsidR="008B3AE5" w:rsidRPr="007C6BE8">
        <w:rPr>
          <w:rFonts w:asciiTheme="majorHAnsi" w:hAnsiTheme="majorHAnsi"/>
          <w:sz w:val="20"/>
          <w:szCs w:val="20"/>
          <w:lang w:val="es-CR"/>
        </w:rPr>
        <w:t xml:space="preserve">había sido detenido en la carretera hacia </w:t>
      </w:r>
      <w:r w:rsidR="00933D64" w:rsidRPr="007C6BE8">
        <w:rPr>
          <w:rFonts w:asciiTheme="majorHAnsi" w:hAnsiTheme="majorHAnsi"/>
          <w:sz w:val="20"/>
          <w:szCs w:val="20"/>
          <w:lang w:val="es-CR"/>
        </w:rPr>
        <w:t>“</w:t>
      </w:r>
      <w:r w:rsidR="00D4159B" w:rsidRPr="007C6BE8">
        <w:rPr>
          <w:rFonts w:asciiTheme="majorHAnsi" w:hAnsiTheme="majorHAnsi"/>
          <w:sz w:val="20"/>
          <w:szCs w:val="20"/>
          <w:lang w:val="es-CR"/>
        </w:rPr>
        <w:t>Las Palmas</w:t>
      </w:r>
      <w:r w:rsidR="00933D64" w:rsidRPr="007C6BE8">
        <w:rPr>
          <w:rFonts w:asciiTheme="majorHAnsi" w:hAnsiTheme="majorHAnsi"/>
          <w:sz w:val="20"/>
          <w:szCs w:val="20"/>
          <w:lang w:val="es-CR"/>
        </w:rPr>
        <w:t>”</w:t>
      </w:r>
      <w:r w:rsidR="00D4159B" w:rsidRPr="007C6BE8">
        <w:rPr>
          <w:rFonts w:asciiTheme="majorHAnsi" w:hAnsiTheme="majorHAnsi"/>
          <w:sz w:val="20"/>
          <w:szCs w:val="20"/>
          <w:lang w:val="es-CR"/>
        </w:rPr>
        <w:t xml:space="preserve">.  </w:t>
      </w:r>
      <w:r w:rsidR="008B3AE5" w:rsidRPr="007C6BE8">
        <w:rPr>
          <w:rFonts w:asciiTheme="majorHAnsi" w:hAnsiTheme="majorHAnsi"/>
          <w:sz w:val="20"/>
          <w:szCs w:val="20"/>
          <w:lang w:val="es-CR"/>
        </w:rPr>
        <w:t>Agregaron que e</w:t>
      </w:r>
      <w:r w:rsidR="00D4159B" w:rsidRPr="007C6BE8">
        <w:rPr>
          <w:rFonts w:asciiTheme="majorHAnsi" w:hAnsiTheme="majorHAnsi"/>
          <w:sz w:val="20"/>
          <w:szCs w:val="20"/>
          <w:lang w:val="es-CR"/>
        </w:rPr>
        <w:t xml:space="preserve">se día </w:t>
      </w:r>
      <w:r w:rsidR="007449EF" w:rsidRPr="007C6BE8">
        <w:rPr>
          <w:rFonts w:asciiTheme="majorHAnsi" w:hAnsiTheme="majorHAnsi"/>
          <w:sz w:val="20"/>
          <w:szCs w:val="20"/>
          <w:lang w:val="es-CR"/>
        </w:rPr>
        <w:t>la señora Restrepo Posada</w:t>
      </w:r>
      <w:r w:rsidR="008B3AE5" w:rsidRPr="007C6BE8">
        <w:rPr>
          <w:rFonts w:asciiTheme="majorHAnsi" w:hAnsiTheme="majorHAnsi"/>
          <w:sz w:val="20"/>
          <w:szCs w:val="20"/>
          <w:lang w:val="es-CR"/>
        </w:rPr>
        <w:t xml:space="preserve"> denunció v</w:t>
      </w:r>
      <w:r w:rsidR="007449EF" w:rsidRPr="007C6BE8">
        <w:rPr>
          <w:rFonts w:asciiTheme="majorHAnsi" w:hAnsiTheme="majorHAnsi"/>
          <w:sz w:val="20"/>
          <w:szCs w:val="20"/>
          <w:lang w:val="es-CR"/>
        </w:rPr>
        <w:t>erbalmente la desaparición de su hijo ante la Procuraduría Departamental de Antioquia y</w:t>
      </w:r>
      <w:r w:rsidR="00933D64" w:rsidRPr="007C6BE8">
        <w:rPr>
          <w:rFonts w:asciiTheme="majorHAnsi" w:hAnsiTheme="majorHAnsi"/>
          <w:sz w:val="20"/>
          <w:szCs w:val="20"/>
          <w:lang w:val="es-CR"/>
        </w:rPr>
        <w:t>,</w:t>
      </w:r>
      <w:r w:rsidR="007449EF" w:rsidRPr="007C6BE8">
        <w:rPr>
          <w:rFonts w:asciiTheme="majorHAnsi" w:hAnsiTheme="majorHAnsi"/>
          <w:sz w:val="20"/>
          <w:szCs w:val="20"/>
          <w:lang w:val="es-CR"/>
        </w:rPr>
        <w:t xml:space="preserve"> al día siguiente, le informa</w:t>
      </w:r>
      <w:r w:rsidR="008B3AE5" w:rsidRPr="007C6BE8">
        <w:rPr>
          <w:rFonts w:asciiTheme="majorHAnsi" w:hAnsiTheme="majorHAnsi"/>
          <w:sz w:val="20"/>
          <w:szCs w:val="20"/>
          <w:lang w:val="es-CR"/>
        </w:rPr>
        <w:t>r</w:t>
      </w:r>
      <w:r w:rsidR="007449EF" w:rsidRPr="007C6BE8">
        <w:rPr>
          <w:rFonts w:asciiTheme="majorHAnsi" w:hAnsiTheme="majorHAnsi"/>
          <w:sz w:val="20"/>
          <w:szCs w:val="20"/>
          <w:lang w:val="es-CR"/>
        </w:rPr>
        <w:t>o</w:t>
      </w:r>
      <w:r w:rsidR="008B3AE5" w:rsidRPr="007C6BE8">
        <w:rPr>
          <w:rFonts w:asciiTheme="majorHAnsi" w:hAnsiTheme="majorHAnsi"/>
          <w:sz w:val="20"/>
          <w:szCs w:val="20"/>
          <w:lang w:val="es-CR"/>
        </w:rPr>
        <w:t>n</w:t>
      </w:r>
      <w:r w:rsidR="007449EF" w:rsidRPr="007C6BE8">
        <w:rPr>
          <w:rFonts w:asciiTheme="majorHAnsi" w:hAnsiTheme="majorHAnsi"/>
          <w:sz w:val="20"/>
          <w:szCs w:val="20"/>
          <w:lang w:val="es-CR"/>
        </w:rPr>
        <w:t xml:space="preserve"> que la Policía Nacional había realiza</w:t>
      </w:r>
      <w:r w:rsidR="00706464" w:rsidRPr="007C6BE8">
        <w:rPr>
          <w:rFonts w:asciiTheme="majorHAnsi" w:hAnsiTheme="majorHAnsi"/>
          <w:sz w:val="20"/>
          <w:szCs w:val="20"/>
          <w:lang w:val="es-CR"/>
        </w:rPr>
        <w:t xml:space="preserve">do un operativo en </w:t>
      </w:r>
      <w:r w:rsidR="00933D64" w:rsidRPr="007C6BE8">
        <w:rPr>
          <w:rFonts w:asciiTheme="majorHAnsi" w:hAnsiTheme="majorHAnsi"/>
          <w:sz w:val="20"/>
          <w:szCs w:val="20"/>
          <w:lang w:val="es-CR"/>
        </w:rPr>
        <w:t>“</w:t>
      </w:r>
      <w:r w:rsidR="00706464" w:rsidRPr="007C6BE8">
        <w:rPr>
          <w:rFonts w:asciiTheme="majorHAnsi" w:hAnsiTheme="majorHAnsi"/>
          <w:sz w:val="20"/>
          <w:szCs w:val="20"/>
          <w:lang w:val="es-CR"/>
        </w:rPr>
        <w:t>Las Palmas</w:t>
      </w:r>
      <w:r w:rsidR="00933D64" w:rsidRPr="007C6BE8">
        <w:rPr>
          <w:rFonts w:asciiTheme="majorHAnsi" w:hAnsiTheme="majorHAnsi"/>
          <w:sz w:val="20"/>
          <w:szCs w:val="20"/>
          <w:lang w:val="es-CR"/>
        </w:rPr>
        <w:t>”</w:t>
      </w:r>
      <w:r w:rsidR="00706464" w:rsidRPr="007C6BE8">
        <w:rPr>
          <w:rFonts w:asciiTheme="majorHAnsi" w:hAnsiTheme="majorHAnsi"/>
          <w:sz w:val="20"/>
          <w:szCs w:val="20"/>
          <w:lang w:val="es-CR"/>
        </w:rPr>
        <w:t xml:space="preserve">. </w:t>
      </w:r>
      <w:r w:rsidRPr="007C6BE8">
        <w:rPr>
          <w:rFonts w:asciiTheme="majorHAnsi" w:hAnsiTheme="majorHAnsi"/>
          <w:sz w:val="20"/>
          <w:szCs w:val="20"/>
          <w:lang w:val="es-CR"/>
        </w:rPr>
        <w:t xml:space="preserve">Indicaron </w:t>
      </w:r>
      <w:r w:rsidR="007449EF" w:rsidRPr="007C6BE8">
        <w:rPr>
          <w:rFonts w:asciiTheme="majorHAnsi" w:hAnsiTheme="majorHAnsi"/>
          <w:sz w:val="20"/>
          <w:szCs w:val="20"/>
          <w:lang w:val="es-CR"/>
        </w:rPr>
        <w:t xml:space="preserve">que el 10 de junio de 1992 la madre de la víctima presentó una denuncia ante el Juzgado Décimo de Instrucción Criminal de Medellín. </w:t>
      </w:r>
    </w:p>
    <w:p w:rsidR="007449EF" w:rsidRPr="007C6BE8" w:rsidRDefault="007449EF" w:rsidP="00B1793F">
      <w:pPr>
        <w:ind w:firstLine="720"/>
        <w:jc w:val="both"/>
        <w:rPr>
          <w:rFonts w:asciiTheme="majorHAnsi" w:hAnsiTheme="majorHAnsi"/>
          <w:sz w:val="20"/>
          <w:szCs w:val="20"/>
          <w:lang w:val="es-CR"/>
        </w:rPr>
      </w:pPr>
    </w:p>
    <w:p w:rsidR="007449EF" w:rsidRPr="007C6BE8" w:rsidRDefault="006422E2"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 xml:space="preserve">Señalaron </w:t>
      </w:r>
      <w:r w:rsidR="007449EF" w:rsidRPr="007C6BE8">
        <w:rPr>
          <w:rFonts w:asciiTheme="majorHAnsi" w:hAnsiTheme="majorHAnsi"/>
          <w:sz w:val="20"/>
          <w:szCs w:val="20"/>
          <w:lang w:val="es-CR"/>
        </w:rPr>
        <w:t>que el 9 de junio de 1992 el cuerpo de</w:t>
      </w:r>
      <w:r w:rsidR="00933D64" w:rsidRPr="007C6BE8">
        <w:rPr>
          <w:rFonts w:asciiTheme="majorHAnsi" w:hAnsiTheme="majorHAnsi"/>
          <w:sz w:val="20"/>
          <w:szCs w:val="20"/>
          <w:lang w:val="es-CR"/>
        </w:rPr>
        <w:t>l señor</w:t>
      </w:r>
      <w:r w:rsidR="007449EF" w:rsidRPr="007C6BE8">
        <w:rPr>
          <w:rFonts w:asciiTheme="majorHAnsi" w:hAnsiTheme="majorHAnsi"/>
          <w:sz w:val="20"/>
          <w:szCs w:val="20"/>
          <w:lang w:val="es-CR"/>
        </w:rPr>
        <w:t xml:space="preserve"> Restrepo fue encontrado en la carretera que conduce a la fábrica de cementos “El Cairo” en el Municipio de Santa Bárbara</w:t>
      </w:r>
      <w:r w:rsidRPr="007C6BE8">
        <w:rPr>
          <w:rFonts w:asciiTheme="majorHAnsi" w:hAnsiTheme="majorHAnsi"/>
          <w:sz w:val="20"/>
          <w:szCs w:val="20"/>
          <w:lang w:val="es-CR"/>
        </w:rPr>
        <w:t xml:space="preserve"> y que se enterró como “NN” </w:t>
      </w:r>
      <w:r w:rsidR="0035649D" w:rsidRPr="007C6BE8">
        <w:rPr>
          <w:rFonts w:asciiTheme="majorHAnsi" w:hAnsiTheme="majorHAnsi"/>
          <w:sz w:val="20"/>
          <w:szCs w:val="20"/>
          <w:lang w:val="es-CR"/>
        </w:rPr>
        <w:t xml:space="preserve">estableciendo </w:t>
      </w:r>
      <w:r w:rsidRPr="007C6BE8">
        <w:rPr>
          <w:rFonts w:asciiTheme="majorHAnsi" w:hAnsiTheme="majorHAnsi"/>
          <w:sz w:val="20"/>
          <w:szCs w:val="20"/>
          <w:lang w:val="es-CR"/>
        </w:rPr>
        <w:t xml:space="preserve">como causa de la muerte </w:t>
      </w:r>
      <w:r w:rsidR="007449EF" w:rsidRPr="007C6BE8">
        <w:rPr>
          <w:rFonts w:asciiTheme="majorHAnsi" w:hAnsiTheme="majorHAnsi"/>
          <w:sz w:val="20"/>
          <w:szCs w:val="20"/>
          <w:lang w:val="es-CR"/>
        </w:rPr>
        <w:t xml:space="preserve">“presunto suicidio por bala”. </w:t>
      </w:r>
      <w:r w:rsidRPr="007C6BE8">
        <w:rPr>
          <w:rFonts w:asciiTheme="majorHAnsi" w:hAnsiTheme="majorHAnsi"/>
          <w:sz w:val="20"/>
          <w:szCs w:val="20"/>
          <w:lang w:val="es-CR"/>
        </w:rPr>
        <w:t xml:space="preserve"> Indicaron que fue </w:t>
      </w:r>
      <w:r w:rsidR="00706464" w:rsidRPr="007C6BE8">
        <w:rPr>
          <w:rFonts w:asciiTheme="majorHAnsi" w:hAnsiTheme="majorHAnsi"/>
          <w:sz w:val="20"/>
          <w:szCs w:val="20"/>
          <w:lang w:val="es-CR"/>
        </w:rPr>
        <w:t xml:space="preserve">debido a la intervención del </w:t>
      </w:r>
      <w:r w:rsidR="007449EF" w:rsidRPr="007C6BE8">
        <w:rPr>
          <w:rFonts w:asciiTheme="majorHAnsi" w:hAnsiTheme="majorHAnsi"/>
          <w:sz w:val="20"/>
          <w:szCs w:val="20"/>
          <w:lang w:val="es-CR"/>
        </w:rPr>
        <w:t xml:space="preserve">“Centro de Desaparecidos” </w:t>
      </w:r>
      <w:r w:rsidRPr="007C6BE8">
        <w:rPr>
          <w:rFonts w:asciiTheme="majorHAnsi" w:hAnsiTheme="majorHAnsi"/>
          <w:sz w:val="20"/>
          <w:szCs w:val="20"/>
          <w:lang w:val="es-CR"/>
        </w:rPr>
        <w:t xml:space="preserve">que se </w:t>
      </w:r>
      <w:r w:rsidR="007449EF" w:rsidRPr="007C6BE8">
        <w:rPr>
          <w:rFonts w:asciiTheme="majorHAnsi" w:hAnsiTheme="majorHAnsi"/>
          <w:sz w:val="20"/>
          <w:szCs w:val="20"/>
          <w:lang w:val="es-CR"/>
        </w:rPr>
        <w:t>informó a los familiar</w:t>
      </w:r>
      <w:r w:rsidRPr="007C6BE8">
        <w:rPr>
          <w:rFonts w:asciiTheme="majorHAnsi" w:hAnsiTheme="majorHAnsi"/>
          <w:sz w:val="20"/>
          <w:szCs w:val="20"/>
          <w:lang w:val="es-CR"/>
        </w:rPr>
        <w:t xml:space="preserve">es de la víctima del hallazgo del cuerpo, con lo cual el </w:t>
      </w:r>
      <w:r w:rsidR="007449EF" w:rsidRPr="007C6BE8">
        <w:rPr>
          <w:rFonts w:asciiTheme="majorHAnsi" w:hAnsiTheme="majorHAnsi"/>
          <w:sz w:val="20"/>
          <w:szCs w:val="20"/>
          <w:lang w:val="es-CR"/>
        </w:rPr>
        <w:t xml:space="preserve">11 de junio el padre de la víctima, José Marco Restrepo, se trasladó a Santa Bárbara y logró que se exhumara el cadáver y se practicara una necropsia.  </w:t>
      </w:r>
      <w:r w:rsidR="00C91EAC" w:rsidRPr="007C6BE8">
        <w:rPr>
          <w:rFonts w:asciiTheme="majorHAnsi" w:hAnsiTheme="majorHAnsi"/>
          <w:sz w:val="20"/>
          <w:szCs w:val="20"/>
          <w:lang w:val="es-CR"/>
        </w:rPr>
        <w:t xml:space="preserve">Señalaron </w:t>
      </w:r>
      <w:r w:rsidR="007449EF" w:rsidRPr="007C6BE8">
        <w:rPr>
          <w:rFonts w:asciiTheme="majorHAnsi" w:hAnsiTheme="majorHAnsi"/>
          <w:sz w:val="20"/>
          <w:szCs w:val="20"/>
          <w:lang w:val="es-CR"/>
        </w:rPr>
        <w:t xml:space="preserve">que </w:t>
      </w:r>
      <w:r w:rsidR="0035649D" w:rsidRPr="007C6BE8">
        <w:rPr>
          <w:rFonts w:asciiTheme="majorHAnsi" w:hAnsiTheme="majorHAnsi"/>
          <w:sz w:val="20"/>
          <w:szCs w:val="20"/>
          <w:lang w:val="es-CR"/>
        </w:rPr>
        <w:t xml:space="preserve">tal </w:t>
      </w:r>
      <w:r w:rsidR="007449EF" w:rsidRPr="007C6BE8">
        <w:rPr>
          <w:rFonts w:asciiTheme="majorHAnsi" w:hAnsiTheme="majorHAnsi"/>
          <w:sz w:val="20"/>
          <w:szCs w:val="20"/>
          <w:lang w:val="es-CR"/>
        </w:rPr>
        <w:t>necropsia reveló que el cuerpo presentaba quemaduras de ácido</w:t>
      </w:r>
      <w:r w:rsidRPr="007C6BE8">
        <w:rPr>
          <w:rFonts w:asciiTheme="majorHAnsi" w:hAnsiTheme="majorHAnsi"/>
          <w:sz w:val="20"/>
          <w:szCs w:val="20"/>
          <w:lang w:val="es-CR"/>
        </w:rPr>
        <w:t>,</w:t>
      </w:r>
      <w:r w:rsidR="007449EF" w:rsidRPr="007C6BE8">
        <w:rPr>
          <w:rFonts w:asciiTheme="majorHAnsi" w:hAnsiTheme="majorHAnsi"/>
          <w:sz w:val="20"/>
          <w:szCs w:val="20"/>
          <w:lang w:val="es-CR"/>
        </w:rPr>
        <w:t xml:space="preserve"> ausencia de dentadura en la mandíbula inferior, fractura en la mano derecha y dos impactos de bala y que la muerte se produjo por anoxia tisular y heridas de arma de fuego.</w:t>
      </w:r>
    </w:p>
    <w:p w:rsidR="007449EF" w:rsidRPr="007C6BE8" w:rsidRDefault="007449EF"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706464" w:rsidRPr="007C6BE8" w:rsidRDefault="007449EF"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 xml:space="preserve">En cuanto a los pasos iniciales de las autoridades vinculados a la búsqueda e identificación de los restos de Norberto Javier Restrepo, los peticionarios </w:t>
      </w:r>
      <w:r w:rsidR="0035649D" w:rsidRPr="007C6BE8">
        <w:rPr>
          <w:rFonts w:asciiTheme="majorHAnsi" w:hAnsiTheme="majorHAnsi"/>
          <w:sz w:val="20"/>
          <w:szCs w:val="20"/>
          <w:lang w:val="es-CR"/>
        </w:rPr>
        <w:t xml:space="preserve">señalaron que </w:t>
      </w:r>
      <w:r w:rsidRPr="007C6BE8">
        <w:rPr>
          <w:rFonts w:asciiTheme="majorHAnsi" w:hAnsiTheme="majorHAnsi"/>
          <w:sz w:val="20"/>
          <w:szCs w:val="20"/>
          <w:lang w:val="es-CR"/>
        </w:rPr>
        <w:t xml:space="preserve">la ejecución del trámite de levantamiento de cadáver, la calificación de la causa de muerte como “suicidio por bala” y su entierro como </w:t>
      </w:r>
      <w:r w:rsidR="0035649D" w:rsidRPr="007C6BE8">
        <w:rPr>
          <w:rFonts w:asciiTheme="majorHAnsi" w:hAnsiTheme="majorHAnsi"/>
          <w:sz w:val="20"/>
          <w:szCs w:val="20"/>
          <w:lang w:val="es-CR"/>
        </w:rPr>
        <w:t>“</w:t>
      </w:r>
      <w:r w:rsidRPr="007C6BE8">
        <w:rPr>
          <w:rFonts w:asciiTheme="majorHAnsi" w:hAnsiTheme="majorHAnsi"/>
          <w:sz w:val="20"/>
          <w:szCs w:val="20"/>
          <w:lang w:val="es-CR"/>
        </w:rPr>
        <w:t>NN</w:t>
      </w:r>
      <w:r w:rsidR="0035649D" w:rsidRPr="007C6BE8">
        <w:rPr>
          <w:rFonts w:asciiTheme="majorHAnsi" w:hAnsiTheme="majorHAnsi"/>
          <w:sz w:val="20"/>
          <w:szCs w:val="20"/>
          <w:lang w:val="es-CR"/>
        </w:rPr>
        <w:t>” fueron contrarios a la debida diligencia que el Estado estaba obligado a observar</w:t>
      </w:r>
      <w:r w:rsidRPr="007C6BE8">
        <w:rPr>
          <w:rFonts w:asciiTheme="majorHAnsi" w:hAnsiTheme="majorHAnsi"/>
          <w:sz w:val="20"/>
          <w:szCs w:val="20"/>
          <w:lang w:val="es-CR"/>
        </w:rPr>
        <w:t xml:space="preserve">.  </w:t>
      </w:r>
      <w:r w:rsidR="0035649D" w:rsidRPr="007C6BE8">
        <w:rPr>
          <w:rFonts w:asciiTheme="majorHAnsi" w:hAnsiTheme="majorHAnsi"/>
          <w:sz w:val="20"/>
          <w:szCs w:val="20"/>
          <w:lang w:val="es-CR"/>
        </w:rPr>
        <w:t xml:space="preserve">Alegaron </w:t>
      </w:r>
      <w:r w:rsidRPr="007C6BE8">
        <w:rPr>
          <w:rFonts w:asciiTheme="majorHAnsi" w:hAnsiTheme="majorHAnsi"/>
          <w:sz w:val="20"/>
          <w:szCs w:val="20"/>
          <w:lang w:val="es-CR"/>
        </w:rPr>
        <w:t xml:space="preserve">que la inhumación de los restos sin previa diligencia de </w:t>
      </w:r>
      <w:r w:rsidR="0096113C" w:rsidRPr="007C6BE8">
        <w:rPr>
          <w:rFonts w:asciiTheme="majorHAnsi" w:hAnsiTheme="majorHAnsi"/>
          <w:sz w:val="20"/>
          <w:szCs w:val="20"/>
          <w:lang w:val="es-CR"/>
        </w:rPr>
        <w:t>necroscopia</w:t>
      </w:r>
      <w:r w:rsidRPr="007C6BE8">
        <w:rPr>
          <w:rFonts w:asciiTheme="majorHAnsi" w:hAnsiTheme="majorHAnsi"/>
          <w:sz w:val="20"/>
          <w:szCs w:val="20"/>
          <w:lang w:val="es-CR"/>
        </w:rPr>
        <w:t xml:space="preserve"> violó los preceptos tanto de la normativa entonces vigente a nivel interno</w:t>
      </w:r>
      <w:r w:rsidR="000E7AE5" w:rsidRPr="007C6BE8">
        <w:rPr>
          <w:rFonts w:asciiTheme="majorHAnsi" w:hAnsiTheme="majorHAnsi"/>
          <w:sz w:val="20"/>
          <w:szCs w:val="20"/>
          <w:lang w:val="es-CR"/>
        </w:rPr>
        <w:t>.</w:t>
      </w:r>
      <w:r w:rsidR="00706464" w:rsidRPr="007C6BE8">
        <w:rPr>
          <w:rFonts w:asciiTheme="majorHAnsi" w:hAnsiTheme="majorHAnsi"/>
          <w:sz w:val="20"/>
          <w:szCs w:val="20"/>
          <w:lang w:val="es-CR"/>
        </w:rPr>
        <w:t xml:space="preserve"> </w:t>
      </w:r>
      <w:r w:rsidRPr="007C6BE8">
        <w:rPr>
          <w:rFonts w:asciiTheme="majorHAnsi" w:hAnsiTheme="majorHAnsi"/>
          <w:sz w:val="20"/>
          <w:szCs w:val="20"/>
          <w:lang w:val="es-CR"/>
        </w:rPr>
        <w:t>En cuanto al progreso de la investigación penal</w:t>
      </w:r>
      <w:r w:rsidR="000E7AE5" w:rsidRPr="007C6BE8">
        <w:rPr>
          <w:rFonts w:asciiTheme="majorHAnsi" w:hAnsiTheme="majorHAnsi"/>
          <w:sz w:val="20"/>
          <w:szCs w:val="20"/>
          <w:lang w:val="es-CR"/>
        </w:rPr>
        <w:t xml:space="preserve">, </w:t>
      </w:r>
      <w:r w:rsidRPr="007C6BE8">
        <w:rPr>
          <w:rFonts w:asciiTheme="majorHAnsi" w:hAnsiTheme="majorHAnsi"/>
          <w:sz w:val="20"/>
          <w:szCs w:val="20"/>
          <w:lang w:val="es-CR"/>
        </w:rPr>
        <w:t xml:space="preserve">los peticionarios </w:t>
      </w:r>
      <w:r w:rsidR="0035649D" w:rsidRPr="007C6BE8">
        <w:rPr>
          <w:rFonts w:asciiTheme="majorHAnsi" w:hAnsiTheme="majorHAnsi"/>
          <w:sz w:val="20"/>
          <w:szCs w:val="20"/>
          <w:lang w:val="es-CR"/>
        </w:rPr>
        <w:t xml:space="preserve">indicaron </w:t>
      </w:r>
      <w:r w:rsidRPr="007C6BE8">
        <w:rPr>
          <w:rFonts w:asciiTheme="majorHAnsi" w:hAnsiTheme="majorHAnsi"/>
          <w:sz w:val="20"/>
          <w:szCs w:val="20"/>
          <w:lang w:val="es-CR"/>
        </w:rPr>
        <w:t xml:space="preserve">que a pesar del tiempo transcurrido, el proceso continúa en etapa de investigación preliminar sin que se haya vinculado a persona alguna.  </w:t>
      </w:r>
    </w:p>
    <w:p w:rsidR="00706464" w:rsidRPr="007C6BE8" w:rsidRDefault="00706464"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CC4AD6" w:rsidRPr="007C6BE8" w:rsidRDefault="000E7AE5"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 xml:space="preserve">En relación </w:t>
      </w:r>
      <w:r w:rsidR="00CC4AD6" w:rsidRPr="007C6BE8">
        <w:rPr>
          <w:rFonts w:asciiTheme="majorHAnsi" w:hAnsiTheme="majorHAnsi"/>
          <w:sz w:val="20"/>
          <w:szCs w:val="20"/>
          <w:lang w:val="es-CR"/>
        </w:rPr>
        <w:t xml:space="preserve">los </w:t>
      </w:r>
      <w:r w:rsidR="00CC4AD6" w:rsidRPr="007C6BE8">
        <w:rPr>
          <w:rFonts w:asciiTheme="majorHAnsi" w:hAnsiTheme="majorHAnsi"/>
          <w:b/>
          <w:sz w:val="20"/>
          <w:szCs w:val="20"/>
          <w:lang w:val="es-CR"/>
        </w:rPr>
        <w:t>derechos a la vida, integridad y libertad personal</w:t>
      </w:r>
      <w:r w:rsidR="00CC4AD6" w:rsidRPr="007C6BE8">
        <w:rPr>
          <w:rFonts w:asciiTheme="majorHAnsi" w:hAnsiTheme="majorHAnsi"/>
          <w:sz w:val="20"/>
          <w:szCs w:val="20"/>
          <w:lang w:val="es-CR"/>
        </w:rPr>
        <w:t xml:space="preserve">, </w:t>
      </w:r>
      <w:r w:rsidRPr="007C6BE8">
        <w:rPr>
          <w:rFonts w:asciiTheme="majorHAnsi" w:hAnsiTheme="majorHAnsi"/>
          <w:sz w:val="20"/>
          <w:szCs w:val="20"/>
          <w:lang w:val="es-CR"/>
        </w:rPr>
        <w:t>los peticionarios indicaron que la familia pudo establecer de manera no oficial que el señor Restrepo fue detenido por miembros de la policía de</w:t>
      </w:r>
      <w:r w:rsidR="00C91EAC" w:rsidRPr="007C6BE8">
        <w:rPr>
          <w:rFonts w:asciiTheme="majorHAnsi" w:hAnsiTheme="majorHAnsi"/>
          <w:sz w:val="20"/>
          <w:szCs w:val="20"/>
          <w:lang w:val="es-CR"/>
        </w:rPr>
        <w:t xml:space="preserve"> la</w:t>
      </w:r>
      <w:r w:rsidR="00F51391" w:rsidRPr="007C6BE8">
        <w:rPr>
          <w:rFonts w:asciiTheme="majorHAnsi" w:hAnsiTheme="majorHAnsi"/>
          <w:sz w:val="20"/>
          <w:szCs w:val="20"/>
          <w:lang w:val="es-CR"/>
        </w:rPr>
        <w:t xml:space="preserve"> Sección de </w:t>
      </w:r>
      <w:r w:rsidR="00B41788" w:rsidRPr="007C6BE8">
        <w:rPr>
          <w:rFonts w:asciiTheme="majorHAnsi" w:hAnsiTheme="majorHAnsi"/>
          <w:sz w:val="20"/>
          <w:szCs w:val="20"/>
          <w:lang w:val="es-CR"/>
        </w:rPr>
        <w:t xml:space="preserve">Policía Judicial e Investigación </w:t>
      </w:r>
      <w:r w:rsidR="00F51391" w:rsidRPr="007C6BE8">
        <w:rPr>
          <w:rFonts w:asciiTheme="majorHAnsi" w:hAnsiTheme="majorHAnsi"/>
          <w:sz w:val="20"/>
          <w:szCs w:val="20"/>
          <w:lang w:val="es-CR"/>
        </w:rPr>
        <w:t>(en adelante “la SIJIN”)</w:t>
      </w:r>
      <w:r w:rsidRPr="007C6BE8">
        <w:rPr>
          <w:rFonts w:asciiTheme="majorHAnsi" w:hAnsiTheme="majorHAnsi"/>
          <w:sz w:val="20"/>
          <w:szCs w:val="20"/>
          <w:lang w:val="es-CR"/>
        </w:rPr>
        <w:t xml:space="preserve"> y entregado </w:t>
      </w:r>
      <w:r w:rsidR="00CC4AD6" w:rsidRPr="007C6BE8">
        <w:rPr>
          <w:rFonts w:asciiTheme="majorHAnsi" w:hAnsiTheme="majorHAnsi"/>
          <w:sz w:val="20"/>
          <w:szCs w:val="20"/>
          <w:lang w:val="es-CR"/>
        </w:rPr>
        <w:t>a miembros de un grupo paramili</w:t>
      </w:r>
      <w:r w:rsidRPr="007C6BE8">
        <w:rPr>
          <w:rFonts w:asciiTheme="majorHAnsi" w:hAnsiTheme="majorHAnsi"/>
          <w:sz w:val="20"/>
          <w:szCs w:val="20"/>
          <w:lang w:val="es-CR"/>
        </w:rPr>
        <w:t xml:space="preserve">tar quienes le torturaron y ejecutaron. </w:t>
      </w:r>
      <w:r w:rsidR="00706464" w:rsidRPr="007C6BE8">
        <w:rPr>
          <w:rFonts w:asciiTheme="majorHAnsi" w:hAnsiTheme="majorHAnsi"/>
          <w:sz w:val="20"/>
          <w:szCs w:val="20"/>
          <w:lang w:val="es-CR"/>
        </w:rPr>
        <w:t xml:space="preserve">Asimismo, señalaron que pudieron establecer que de manera contemporánea a la </w:t>
      </w:r>
      <w:r w:rsidR="0035649D" w:rsidRPr="007C6BE8">
        <w:rPr>
          <w:rFonts w:asciiTheme="majorHAnsi" w:hAnsiTheme="majorHAnsi"/>
          <w:sz w:val="20"/>
          <w:szCs w:val="20"/>
          <w:lang w:val="es-CR"/>
        </w:rPr>
        <w:t xml:space="preserve">desaparición </w:t>
      </w:r>
      <w:r w:rsidR="00706464" w:rsidRPr="007C6BE8">
        <w:rPr>
          <w:rFonts w:asciiTheme="majorHAnsi" w:hAnsiTheme="majorHAnsi"/>
          <w:sz w:val="20"/>
          <w:szCs w:val="20"/>
          <w:lang w:val="es-CR"/>
        </w:rPr>
        <w:t>y ejecución del señor Restr</w:t>
      </w:r>
      <w:r w:rsidR="0035649D" w:rsidRPr="007C6BE8">
        <w:rPr>
          <w:rFonts w:asciiTheme="majorHAnsi" w:hAnsiTheme="majorHAnsi"/>
          <w:sz w:val="20"/>
          <w:szCs w:val="20"/>
          <w:lang w:val="es-CR"/>
        </w:rPr>
        <w:t>e</w:t>
      </w:r>
      <w:r w:rsidR="00706464" w:rsidRPr="007C6BE8">
        <w:rPr>
          <w:rFonts w:asciiTheme="majorHAnsi" w:hAnsiTheme="majorHAnsi"/>
          <w:sz w:val="20"/>
          <w:szCs w:val="20"/>
          <w:lang w:val="es-CR"/>
        </w:rPr>
        <w:t xml:space="preserve">po otras personas vinculadas al partido de la Unión Patríótica fueron desaparecidos y ejecutados. </w:t>
      </w:r>
      <w:r w:rsidRPr="007C6BE8">
        <w:rPr>
          <w:rFonts w:asciiTheme="majorHAnsi" w:hAnsiTheme="majorHAnsi"/>
          <w:sz w:val="20"/>
          <w:szCs w:val="20"/>
          <w:lang w:val="es-CR"/>
        </w:rPr>
        <w:t xml:space="preserve">Indicaron que las omisiones e irregularidades en el proceso penal estuvieron dirigidas a desviar la investigación y </w:t>
      </w:r>
      <w:r w:rsidR="00CC4AD6" w:rsidRPr="007C6BE8">
        <w:rPr>
          <w:rFonts w:asciiTheme="majorHAnsi" w:hAnsiTheme="majorHAnsi"/>
          <w:sz w:val="20"/>
          <w:szCs w:val="20"/>
          <w:lang w:val="es-CR"/>
        </w:rPr>
        <w:t xml:space="preserve">mantener los hechos en la impunidad, lo cual constituye </w:t>
      </w:r>
      <w:r w:rsidR="0035649D" w:rsidRPr="007C6BE8">
        <w:rPr>
          <w:rFonts w:asciiTheme="majorHAnsi" w:hAnsiTheme="majorHAnsi"/>
          <w:sz w:val="20"/>
          <w:szCs w:val="20"/>
          <w:lang w:val="es-CR"/>
        </w:rPr>
        <w:t xml:space="preserve">también </w:t>
      </w:r>
      <w:r w:rsidR="00CC4AD6" w:rsidRPr="007C6BE8">
        <w:rPr>
          <w:rFonts w:asciiTheme="majorHAnsi" w:hAnsiTheme="majorHAnsi"/>
          <w:sz w:val="20"/>
          <w:szCs w:val="20"/>
          <w:lang w:val="es-CR"/>
        </w:rPr>
        <w:t xml:space="preserve">un indicio de la participación de agentes estatales en los hechos. </w:t>
      </w:r>
    </w:p>
    <w:p w:rsidR="00CC4AD6" w:rsidRPr="007C6BE8" w:rsidRDefault="00CC4AD6"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7449EF" w:rsidRPr="007C6BE8" w:rsidRDefault="00CC4AD6"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 xml:space="preserve">En relación con los </w:t>
      </w:r>
      <w:r w:rsidRPr="007C6BE8">
        <w:rPr>
          <w:rFonts w:asciiTheme="majorHAnsi" w:hAnsiTheme="majorHAnsi"/>
          <w:b/>
          <w:sz w:val="20"/>
          <w:szCs w:val="20"/>
          <w:lang w:val="es-CR"/>
        </w:rPr>
        <w:t>derechos a las garantías judiciales y protección judicial</w:t>
      </w:r>
      <w:r w:rsidRPr="007C6BE8">
        <w:rPr>
          <w:rFonts w:asciiTheme="majorHAnsi" w:hAnsiTheme="majorHAnsi"/>
          <w:sz w:val="20"/>
          <w:szCs w:val="20"/>
          <w:lang w:val="es-CR"/>
        </w:rPr>
        <w:t xml:space="preserve">, los peticionarios señalaron que  el Estado no ha desarrollado las acciones investigativas que le son exigibles para </w:t>
      </w:r>
      <w:r w:rsidR="0065666B" w:rsidRPr="007C6BE8">
        <w:rPr>
          <w:rFonts w:asciiTheme="majorHAnsi" w:hAnsiTheme="majorHAnsi"/>
          <w:sz w:val="20"/>
          <w:szCs w:val="20"/>
          <w:lang w:val="es-CR"/>
        </w:rPr>
        <w:lastRenderedPageBreak/>
        <w:t>determinar lo ocurrido y sancionar a la totalidad de los perpetradores</w:t>
      </w:r>
      <w:r w:rsidRPr="007C6BE8">
        <w:rPr>
          <w:rFonts w:asciiTheme="majorHAnsi" w:hAnsiTheme="majorHAnsi"/>
          <w:sz w:val="20"/>
          <w:szCs w:val="20"/>
          <w:lang w:val="es-CR"/>
        </w:rPr>
        <w:t>.  Reiteraron las omisiones en el manejo de la escena del crimen</w:t>
      </w:r>
      <w:r w:rsidR="00C91EAC" w:rsidRPr="007C6BE8">
        <w:rPr>
          <w:rFonts w:asciiTheme="majorHAnsi" w:hAnsiTheme="majorHAnsi"/>
          <w:sz w:val="20"/>
          <w:szCs w:val="20"/>
          <w:lang w:val="es-CR"/>
        </w:rPr>
        <w:t>,</w:t>
      </w:r>
      <w:r w:rsidRPr="007C6BE8">
        <w:rPr>
          <w:rFonts w:asciiTheme="majorHAnsi" w:hAnsiTheme="majorHAnsi"/>
          <w:sz w:val="20"/>
          <w:szCs w:val="20"/>
          <w:lang w:val="es-CR"/>
        </w:rPr>
        <w:t xml:space="preserve"> que el proceso se ha conducido en ausencia de debida diligencia y </w:t>
      </w:r>
      <w:r w:rsidR="00C91EAC" w:rsidRPr="007C6BE8">
        <w:rPr>
          <w:rFonts w:asciiTheme="majorHAnsi" w:hAnsiTheme="majorHAnsi"/>
          <w:sz w:val="20"/>
          <w:szCs w:val="20"/>
          <w:lang w:val="es-CR"/>
        </w:rPr>
        <w:t xml:space="preserve">que se ha </w:t>
      </w:r>
      <w:r w:rsidRPr="007C6BE8">
        <w:rPr>
          <w:rFonts w:asciiTheme="majorHAnsi" w:hAnsiTheme="majorHAnsi"/>
          <w:sz w:val="20"/>
          <w:szCs w:val="20"/>
          <w:lang w:val="es-CR"/>
        </w:rPr>
        <w:t xml:space="preserve">prolongado de manera irrazonable. Agregaron </w:t>
      </w:r>
      <w:r w:rsidR="00C91EAC" w:rsidRPr="007C6BE8">
        <w:rPr>
          <w:rFonts w:asciiTheme="majorHAnsi" w:hAnsiTheme="majorHAnsi"/>
          <w:sz w:val="20"/>
          <w:szCs w:val="20"/>
          <w:lang w:val="es-CR"/>
        </w:rPr>
        <w:t xml:space="preserve">que </w:t>
      </w:r>
      <w:r w:rsidRPr="007C6BE8">
        <w:rPr>
          <w:rFonts w:asciiTheme="majorHAnsi" w:hAnsiTheme="majorHAnsi"/>
          <w:sz w:val="20"/>
          <w:szCs w:val="20"/>
          <w:lang w:val="es-CR"/>
        </w:rPr>
        <w:t>desde el inicio de la investigación existieron obstáculos normativos para que los familiares tuvieran acceso al expediente como parte civil e indicaron que tal restricción sólo se quitó hasta el año de 2002.</w:t>
      </w:r>
    </w:p>
    <w:p w:rsidR="00ED066B" w:rsidRPr="007C6BE8" w:rsidRDefault="00ED066B"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ED066B" w:rsidRPr="007C6BE8" w:rsidRDefault="00A975AC"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 xml:space="preserve">En cuanto a las solicitudes del Estado respecto de la acumulación </w:t>
      </w:r>
      <w:r w:rsidR="002813F2" w:rsidRPr="007C6BE8">
        <w:rPr>
          <w:rFonts w:asciiTheme="majorHAnsi" w:hAnsiTheme="majorHAnsi"/>
          <w:sz w:val="20"/>
          <w:szCs w:val="20"/>
          <w:lang w:val="es-CR"/>
        </w:rPr>
        <w:t>d</w:t>
      </w:r>
      <w:r w:rsidR="00ED066B" w:rsidRPr="007C6BE8">
        <w:rPr>
          <w:rFonts w:asciiTheme="majorHAnsi" w:hAnsiTheme="majorHAnsi"/>
          <w:sz w:val="20"/>
          <w:szCs w:val="20"/>
          <w:lang w:val="es-CR"/>
        </w:rPr>
        <w:t xml:space="preserve">el presente caso con el caso 11.227 </w:t>
      </w:r>
      <w:r w:rsidR="0035649D" w:rsidRPr="007C6BE8">
        <w:rPr>
          <w:rFonts w:asciiTheme="majorHAnsi" w:hAnsiTheme="majorHAnsi"/>
          <w:sz w:val="20"/>
          <w:szCs w:val="20"/>
          <w:lang w:val="es-CR"/>
        </w:rPr>
        <w:t xml:space="preserve">relacionado con </w:t>
      </w:r>
      <w:r w:rsidR="00ED066B" w:rsidRPr="007C6BE8">
        <w:rPr>
          <w:rFonts w:asciiTheme="majorHAnsi" w:hAnsiTheme="majorHAnsi"/>
          <w:sz w:val="20"/>
          <w:szCs w:val="20"/>
          <w:lang w:val="es-CR"/>
        </w:rPr>
        <w:t>supuestas violaciones</w:t>
      </w:r>
      <w:r w:rsidR="0065666B" w:rsidRPr="007C6BE8">
        <w:rPr>
          <w:rFonts w:asciiTheme="majorHAnsi" w:hAnsiTheme="majorHAnsi"/>
          <w:sz w:val="20"/>
          <w:szCs w:val="20"/>
          <w:lang w:val="es-CR"/>
        </w:rPr>
        <w:t xml:space="preserve"> </w:t>
      </w:r>
      <w:r w:rsidR="00ED066B" w:rsidRPr="007C6BE8">
        <w:rPr>
          <w:rFonts w:asciiTheme="majorHAnsi" w:hAnsiTheme="majorHAnsi"/>
          <w:sz w:val="20"/>
          <w:szCs w:val="20"/>
          <w:lang w:val="es-CR"/>
        </w:rPr>
        <w:t>a los derechos humanos de personas vinculadas al</w:t>
      </w:r>
      <w:r w:rsidR="002813F2" w:rsidRPr="007C6BE8">
        <w:rPr>
          <w:rFonts w:asciiTheme="majorHAnsi" w:hAnsiTheme="majorHAnsi"/>
          <w:sz w:val="20"/>
          <w:szCs w:val="20"/>
          <w:lang w:val="es-CR"/>
        </w:rPr>
        <w:t xml:space="preserve"> partido de la Unión Patriótica, los peticionarios manifestaron su rechazo. </w:t>
      </w:r>
      <w:r w:rsidR="00ED066B" w:rsidRPr="007C6BE8">
        <w:rPr>
          <w:rFonts w:asciiTheme="majorHAnsi" w:hAnsiTheme="majorHAnsi"/>
          <w:sz w:val="20"/>
          <w:szCs w:val="20"/>
          <w:lang w:val="es-CR"/>
        </w:rPr>
        <w:t>En particular, indicaron que</w:t>
      </w:r>
      <w:r w:rsidR="0080432C" w:rsidRPr="007C6BE8">
        <w:rPr>
          <w:rFonts w:asciiTheme="majorHAnsi" w:hAnsiTheme="majorHAnsi"/>
          <w:sz w:val="20"/>
          <w:szCs w:val="20"/>
          <w:lang w:val="es-CR"/>
        </w:rPr>
        <w:t xml:space="preserve"> de haberlo deseado así, lo habrían solicitado a la Comisión Interamericana y alegado las violaciones a los mismos derechos por lo que la Comisión declaró admisible el</w:t>
      </w:r>
      <w:r w:rsidR="002813F2" w:rsidRPr="007C6BE8">
        <w:rPr>
          <w:rFonts w:asciiTheme="majorHAnsi" w:hAnsiTheme="majorHAnsi"/>
          <w:sz w:val="20"/>
          <w:szCs w:val="20"/>
          <w:lang w:val="es-CR"/>
        </w:rPr>
        <w:t xml:space="preserve"> referido</w:t>
      </w:r>
      <w:r w:rsidR="0080432C" w:rsidRPr="007C6BE8">
        <w:rPr>
          <w:rFonts w:asciiTheme="majorHAnsi" w:hAnsiTheme="majorHAnsi"/>
          <w:sz w:val="20"/>
          <w:szCs w:val="20"/>
          <w:lang w:val="es-CR"/>
        </w:rPr>
        <w:t xml:space="preserve"> caso. Indicaron que de acuerdo a la jurisprudencia de la Corte Interamericana </w:t>
      </w:r>
      <w:r w:rsidR="0035649D" w:rsidRPr="007C6BE8">
        <w:rPr>
          <w:rFonts w:asciiTheme="majorHAnsi" w:hAnsiTheme="majorHAnsi"/>
          <w:sz w:val="20"/>
          <w:szCs w:val="20"/>
          <w:lang w:val="es-CR"/>
        </w:rPr>
        <w:t>a</w:t>
      </w:r>
      <w:r w:rsidR="002813F2" w:rsidRPr="007C6BE8">
        <w:rPr>
          <w:rFonts w:asciiTheme="majorHAnsi" w:hAnsiTheme="majorHAnsi"/>
          <w:sz w:val="20"/>
          <w:szCs w:val="20"/>
          <w:lang w:val="es-CR"/>
        </w:rPr>
        <w:t>u</w:t>
      </w:r>
      <w:r w:rsidR="0035649D" w:rsidRPr="007C6BE8">
        <w:rPr>
          <w:rFonts w:asciiTheme="majorHAnsi" w:hAnsiTheme="majorHAnsi"/>
          <w:sz w:val="20"/>
          <w:szCs w:val="20"/>
          <w:lang w:val="es-CR"/>
        </w:rPr>
        <w:t xml:space="preserve">n </w:t>
      </w:r>
      <w:r w:rsidR="0080432C" w:rsidRPr="007C6BE8">
        <w:rPr>
          <w:rFonts w:asciiTheme="majorHAnsi" w:hAnsiTheme="majorHAnsi"/>
          <w:sz w:val="20"/>
          <w:szCs w:val="20"/>
          <w:lang w:val="es-CR"/>
        </w:rPr>
        <w:t xml:space="preserve">cuando se ventilaran hechos relacionados con el contexto de la Unión Patriótica </w:t>
      </w:r>
      <w:r w:rsidR="002813F2" w:rsidRPr="007C6BE8">
        <w:rPr>
          <w:rFonts w:asciiTheme="majorHAnsi" w:hAnsiTheme="majorHAnsi"/>
          <w:sz w:val="20"/>
          <w:szCs w:val="20"/>
          <w:lang w:val="es-CR"/>
        </w:rPr>
        <w:t>en</w:t>
      </w:r>
      <w:r w:rsidR="0080432C" w:rsidRPr="007C6BE8">
        <w:rPr>
          <w:rFonts w:asciiTheme="majorHAnsi" w:hAnsiTheme="majorHAnsi"/>
          <w:sz w:val="20"/>
          <w:szCs w:val="20"/>
          <w:lang w:val="es-CR"/>
        </w:rPr>
        <w:t xml:space="preserve"> la época de los hechos, dicha situación no resulta un </w:t>
      </w:r>
      <w:r w:rsidR="0035649D" w:rsidRPr="007C6BE8">
        <w:rPr>
          <w:rFonts w:asciiTheme="majorHAnsi" w:hAnsiTheme="majorHAnsi"/>
          <w:sz w:val="20"/>
          <w:szCs w:val="20"/>
          <w:lang w:val="es-CR"/>
        </w:rPr>
        <w:t xml:space="preserve">prejuzgamiento </w:t>
      </w:r>
      <w:r w:rsidR="0080432C" w:rsidRPr="007C6BE8">
        <w:rPr>
          <w:rFonts w:asciiTheme="majorHAnsi" w:hAnsiTheme="majorHAnsi"/>
          <w:sz w:val="20"/>
          <w:szCs w:val="20"/>
          <w:lang w:val="es-CR"/>
        </w:rPr>
        <w:t>del caso 11.227.</w:t>
      </w:r>
    </w:p>
    <w:p w:rsidR="0080432C" w:rsidRPr="007C6BE8" w:rsidRDefault="0080432C"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AA111F" w:rsidRPr="007C6BE8" w:rsidRDefault="0080432C" w:rsidP="00AA111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Finalmente, informaron que el 8 de marzo de 2011 falleció la señora Lucila Restrepo, madre del señor Norberto Javier Restrepo, quien desde la desapar</w:t>
      </w:r>
      <w:r w:rsidR="0035649D" w:rsidRPr="007C6BE8">
        <w:rPr>
          <w:rFonts w:asciiTheme="majorHAnsi" w:hAnsiTheme="majorHAnsi"/>
          <w:sz w:val="20"/>
          <w:szCs w:val="20"/>
          <w:lang w:val="es-CR"/>
        </w:rPr>
        <w:t>i</w:t>
      </w:r>
      <w:r w:rsidRPr="007C6BE8">
        <w:rPr>
          <w:rFonts w:asciiTheme="majorHAnsi" w:hAnsiTheme="majorHAnsi"/>
          <w:sz w:val="20"/>
          <w:szCs w:val="20"/>
          <w:lang w:val="es-CR"/>
        </w:rPr>
        <w:t xml:space="preserve">ción de su hijo se unió a una </w:t>
      </w:r>
      <w:r w:rsidR="0035649D" w:rsidRPr="007C6BE8">
        <w:rPr>
          <w:rFonts w:asciiTheme="majorHAnsi" w:hAnsiTheme="majorHAnsi"/>
          <w:sz w:val="20"/>
          <w:szCs w:val="20"/>
          <w:lang w:val="es-CR"/>
        </w:rPr>
        <w:t xml:space="preserve">organización </w:t>
      </w:r>
      <w:r w:rsidRPr="007C6BE8">
        <w:rPr>
          <w:rFonts w:asciiTheme="majorHAnsi" w:hAnsiTheme="majorHAnsi"/>
          <w:sz w:val="20"/>
          <w:szCs w:val="20"/>
          <w:lang w:val="es-CR"/>
        </w:rPr>
        <w:t>de la sociedad civil desde la cual realizó una constante actividad con la finalidad de buscar justicia por la desaparición y ejecución de su hijo,</w:t>
      </w:r>
      <w:r w:rsidR="001C4466" w:rsidRPr="007C6BE8">
        <w:rPr>
          <w:rFonts w:asciiTheme="majorHAnsi" w:hAnsiTheme="majorHAnsi"/>
          <w:sz w:val="20"/>
          <w:szCs w:val="20"/>
          <w:lang w:val="es-CR"/>
        </w:rPr>
        <w:t xml:space="preserve"> entre otros </w:t>
      </w:r>
      <w:r w:rsidRPr="007C6BE8">
        <w:rPr>
          <w:rFonts w:asciiTheme="majorHAnsi" w:hAnsiTheme="majorHAnsi"/>
          <w:sz w:val="20"/>
          <w:szCs w:val="20"/>
          <w:lang w:val="es-CR"/>
        </w:rPr>
        <w:t>casos que permanecerían en la impunidad.</w:t>
      </w:r>
    </w:p>
    <w:p w:rsidR="00AA111F" w:rsidRPr="007C6BE8" w:rsidRDefault="00AA111F" w:rsidP="00AA111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7449EF" w:rsidRPr="007C6BE8" w:rsidRDefault="00A975AC" w:rsidP="00180E93">
      <w:pPr>
        <w:pStyle w:val="Heading2"/>
        <w:rPr>
          <w:rFonts w:asciiTheme="majorHAnsi" w:hAnsiTheme="majorHAnsi"/>
        </w:rPr>
      </w:pPr>
      <w:bookmarkStart w:id="20" w:name="_Toc409709264"/>
      <w:bookmarkStart w:id="21" w:name="_Toc414371974"/>
      <w:bookmarkStart w:id="22" w:name="_Toc421786403"/>
      <w:bookmarkStart w:id="23" w:name="_Toc529794705"/>
      <w:r w:rsidRPr="007C6BE8">
        <w:rPr>
          <w:rFonts w:asciiTheme="majorHAnsi" w:hAnsiTheme="majorHAnsi"/>
        </w:rPr>
        <w:t>B.</w:t>
      </w:r>
      <w:r w:rsidR="001C4466" w:rsidRPr="007C6BE8">
        <w:rPr>
          <w:rFonts w:asciiTheme="majorHAnsi" w:hAnsiTheme="majorHAnsi"/>
        </w:rPr>
        <w:tab/>
        <w:t xml:space="preserve">Posición del </w:t>
      </w:r>
      <w:r w:rsidR="007449EF" w:rsidRPr="007C6BE8">
        <w:rPr>
          <w:rFonts w:asciiTheme="majorHAnsi" w:hAnsiTheme="majorHAnsi"/>
        </w:rPr>
        <w:t>Estado</w:t>
      </w:r>
      <w:bookmarkEnd w:id="20"/>
      <w:bookmarkEnd w:id="21"/>
      <w:bookmarkEnd w:id="22"/>
      <w:bookmarkEnd w:id="23"/>
      <w:r w:rsidR="007449EF" w:rsidRPr="007C6BE8">
        <w:rPr>
          <w:rFonts w:asciiTheme="majorHAnsi" w:hAnsiTheme="majorHAnsi"/>
        </w:rPr>
        <w:t xml:space="preserve"> </w:t>
      </w:r>
    </w:p>
    <w:p w:rsidR="007449EF" w:rsidRPr="007C6BE8" w:rsidRDefault="007449EF" w:rsidP="00B1793F">
      <w:pPr>
        <w:ind w:firstLine="720"/>
        <w:jc w:val="both"/>
        <w:rPr>
          <w:rFonts w:asciiTheme="majorHAnsi" w:hAnsiTheme="majorHAnsi"/>
          <w:sz w:val="20"/>
          <w:szCs w:val="20"/>
        </w:rPr>
      </w:pPr>
    </w:p>
    <w:p w:rsidR="007449EF" w:rsidRPr="007C6BE8" w:rsidRDefault="007449EF"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 xml:space="preserve">El Estado </w:t>
      </w:r>
      <w:r w:rsidR="00CC4AD6" w:rsidRPr="007C6BE8">
        <w:rPr>
          <w:rFonts w:asciiTheme="majorHAnsi" w:hAnsiTheme="majorHAnsi"/>
          <w:sz w:val="20"/>
          <w:szCs w:val="20"/>
          <w:lang w:val="es-CR"/>
        </w:rPr>
        <w:t xml:space="preserve">de Colombia señaló </w:t>
      </w:r>
      <w:r w:rsidRPr="007C6BE8">
        <w:rPr>
          <w:rFonts w:asciiTheme="majorHAnsi" w:hAnsiTheme="majorHAnsi"/>
          <w:sz w:val="20"/>
          <w:szCs w:val="20"/>
          <w:lang w:val="es-CR"/>
        </w:rPr>
        <w:t>que la participación de sus agentes, por acción</w:t>
      </w:r>
      <w:r w:rsidR="009C5145" w:rsidRPr="007C6BE8">
        <w:rPr>
          <w:rFonts w:asciiTheme="majorHAnsi" w:hAnsiTheme="majorHAnsi"/>
          <w:sz w:val="20"/>
          <w:szCs w:val="20"/>
          <w:lang w:val="es-CR"/>
        </w:rPr>
        <w:t xml:space="preserve"> u omisión, en los hechos que ro</w:t>
      </w:r>
      <w:r w:rsidRPr="007C6BE8">
        <w:rPr>
          <w:rFonts w:asciiTheme="majorHAnsi" w:hAnsiTheme="majorHAnsi"/>
          <w:sz w:val="20"/>
          <w:szCs w:val="20"/>
          <w:lang w:val="es-CR"/>
        </w:rPr>
        <w:t>dearon la muerte de Norberto Javier Restrepo</w:t>
      </w:r>
      <w:r w:rsidR="006C240F" w:rsidRPr="007C6BE8">
        <w:rPr>
          <w:rFonts w:asciiTheme="majorHAnsi" w:hAnsiTheme="majorHAnsi"/>
          <w:sz w:val="20"/>
          <w:szCs w:val="20"/>
          <w:lang w:val="es-CR"/>
        </w:rPr>
        <w:t>,</w:t>
      </w:r>
      <w:r w:rsidRPr="007C6BE8">
        <w:rPr>
          <w:rFonts w:asciiTheme="majorHAnsi" w:hAnsiTheme="majorHAnsi"/>
          <w:sz w:val="20"/>
          <w:szCs w:val="20"/>
          <w:lang w:val="es-CR"/>
        </w:rPr>
        <w:t xml:space="preserve"> es una mera hipótesis que no ha sido probada </w:t>
      </w:r>
      <w:r w:rsidR="0035649D" w:rsidRPr="007C6BE8">
        <w:rPr>
          <w:rFonts w:asciiTheme="majorHAnsi" w:hAnsiTheme="majorHAnsi"/>
          <w:sz w:val="20"/>
          <w:szCs w:val="20"/>
          <w:lang w:val="es-CR"/>
        </w:rPr>
        <w:t>por los peticionarios. P</w:t>
      </w:r>
      <w:r w:rsidRPr="007C6BE8">
        <w:rPr>
          <w:rFonts w:asciiTheme="majorHAnsi" w:hAnsiTheme="majorHAnsi"/>
          <w:sz w:val="20"/>
          <w:szCs w:val="20"/>
          <w:lang w:val="es-CR"/>
        </w:rPr>
        <w:t>or lo tanto</w:t>
      </w:r>
      <w:r w:rsidR="00F368A4" w:rsidRPr="007C6BE8">
        <w:rPr>
          <w:rFonts w:asciiTheme="majorHAnsi" w:hAnsiTheme="majorHAnsi"/>
          <w:sz w:val="20"/>
          <w:szCs w:val="20"/>
          <w:lang w:val="es-CR"/>
        </w:rPr>
        <w:t>,</w:t>
      </w:r>
      <w:r w:rsidRPr="007C6BE8">
        <w:rPr>
          <w:rFonts w:asciiTheme="majorHAnsi" w:hAnsiTheme="majorHAnsi"/>
          <w:sz w:val="20"/>
          <w:szCs w:val="20"/>
          <w:lang w:val="es-CR"/>
        </w:rPr>
        <w:t xml:space="preserve"> </w:t>
      </w:r>
      <w:r w:rsidR="00F368A4" w:rsidRPr="007C6BE8">
        <w:rPr>
          <w:rFonts w:asciiTheme="majorHAnsi" w:hAnsiTheme="majorHAnsi"/>
          <w:sz w:val="20"/>
          <w:szCs w:val="20"/>
          <w:lang w:val="es-CR"/>
        </w:rPr>
        <w:t xml:space="preserve">solicitó que </w:t>
      </w:r>
      <w:r w:rsidRPr="007C6BE8">
        <w:rPr>
          <w:rFonts w:asciiTheme="majorHAnsi" w:hAnsiTheme="majorHAnsi"/>
          <w:sz w:val="20"/>
          <w:szCs w:val="20"/>
          <w:lang w:val="es-CR"/>
        </w:rPr>
        <w:t xml:space="preserve">se declare que no es internacionalmente responsable por la violación de los artículos 4, 5 y 7 de la Convención Americana </w:t>
      </w:r>
      <w:r w:rsidR="00CC4AD6" w:rsidRPr="007C6BE8">
        <w:rPr>
          <w:rFonts w:asciiTheme="majorHAnsi" w:hAnsiTheme="majorHAnsi"/>
          <w:sz w:val="20"/>
          <w:szCs w:val="20"/>
          <w:lang w:val="es-CR"/>
        </w:rPr>
        <w:t>en conjunción con el artículo 1 de la Convención</w:t>
      </w:r>
      <w:r w:rsidRPr="007C6BE8">
        <w:rPr>
          <w:rFonts w:asciiTheme="majorHAnsi" w:hAnsiTheme="majorHAnsi"/>
          <w:sz w:val="20"/>
          <w:szCs w:val="20"/>
          <w:lang w:val="es-CR"/>
        </w:rPr>
        <w:t>.</w:t>
      </w:r>
    </w:p>
    <w:p w:rsidR="007449EF" w:rsidRPr="007C6BE8" w:rsidRDefault="007449EF" w:rsidP="00B1793F">
      <w:pPr>
        <w:ind w:firstLine="720"/>
        <w:jc w:val="both"/>
        <w:rPr>
          <w:rFonts w:asciiTheme="majorHAnsi" w:hAnsiTheme="majorHAnsi"/>
          <w:sz w:val="20"/>
          <w:szCs w:val="20"/>
          <w:lang w:val="es-CR"/>
        </w:rPr>
      </w:pPr>
    </w:p>
    <w:p w:rsidR="007449EF" w:rsidRPr="007C6BE8" w:rsidRDefault="00CC4AD6"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 xml:space="preserve">En particular, el Estado indicó que </w:t>
      </w:r>
      <w:r w:rsidR="0035649D" w:rsidRPr="007C6BE8">
        <w:rPr>
          <w:rFonts w:asciiTheme="majorHAnsi" w:hAnsiTheme="majorHAnsi"/>
          <w:sz w:val="20"/>
          <w:szCs w:val="20"/>
          <w:lang w:val="es-CR"/>
        </w:rPr>
        <w:t xml:space="preserve">si bien rechaza la muerte del señor Restrepo, </w:t>
      </w:r>
      <w:r w:rsidR="00F368A4" w:rsidRPr="007C6BE8">
        <w:rPr>
          <w:rFonts w:asciiTheme="majorHAnsi" w:hAnsiTheme="majorHAnsi"/>
          <w:sz w:val="20"/>
          <w:szCs w:val="20"/>
          <w:lang w:val="es-CR"/>
        </w:rPr>
        <w:t>existen inconsistencias en las versiones de los peticionarios sobre las circunstancias en que habría desaparecido</w:t>
      </w:r>
      <w:r w:rsidR="0035649D" w:rsidRPr="007C6BE8">
        <w:rPr>
          <w:rFonts w:asciiTheme="majorHAnsi" w:hAnsiTheme="majorHAnsi"/>
          <w:sz w:val="20"/>
          <w:szCs w:val="20"/>
          <w:lang w:val="es-CR"/>
        </w:rPr>
        <w:t>. En particular,</w:t>
      </w:r>
      <w:r w:rsidRPr="007C6BE8">
        <w:rPr>
          <w:rFonts w:asciiTheme="majorHAnsi" w:hAnsiTheme="majorHAnsi"/>
          <w:sz w:val="20"/>
          <w:szCs w:val="20"/>
          <w:lang w:val="es-CR"/>
        </w:rPr>
        <w:t xml:space="preserve"> </w:t>
      </w:r>
      <w:r w:rsidR="0035649D" w:rsidRPr="007C6BE8">
        <w:rPr>
          <w:rFonts w:asciiTheme="majorHAnsi" w:hAnsiTheme="majorHAnsi"/>
          <w:sz w:val="20"/>
          <w:szCs w:val="20"/>
          <w:lang w:val="es-CR"/>
        </w:rPr>
        <w:t xml:space="preserve">señaló que </w:t>
      </w:r>
      <w:r w:rsidRPr="007C6BE8">
        <w:rPr>
          <w:rFonts w:asciiTheme="majorHAnsi" w:hAnsiTheme="majorHAnsi"/>
          <w:sz w:val="20"/>
          <w:szCs w:val="20"/>
          <w:lang w:val="es-CR"/>
        </w:rPr>
        <w:t xml:space="preserve">verificó que </w:t>
      </w:r>
      <w:r w:rsidR="007449EF" w:rsidRPr="007C6BE8">
        <w:rPr>
          <w:rFonts w:asciiTheme="majorHAnsi" w:hAnsiTheme="majorHAnsi"/>
          <w:sz w:val="20"/>
          <w:szCs w:val="20"/>
          <w:lang w:val="es-CR"/>
        </w:rPr>
        <w:t>la Policía Metropolitana del Valle de Aburra no contaba con registros de captura y operativos realizados en el sector Santa Bárbara de la ciudad de Medellín o que involucraran a</w:t>
      </w:r>
      <w:r w:rsidR="00F368A4" w:rsidRPr="007C6BE8">
        <w:rPr>
          <w:rFonts w:asciiTheme="majorHAnsi" w:hAnsiTheme="majorHAnsi"/>
          <w:sz w:val="20"/>
          <w:szCs w:val="20"/>
          <w:lang w:val="es-CR"/>
        </w:rPr>
        <w:t>l señor</w:t>
      </w:r>
      <w:r w:rsidR="007449EF" w:rsidRPr="007C6BE8">
        <w:rPr>
          <w:rFonts w:asciiTheme="majorHAnsi" w:hAnsiTheme="majorHAnsi"/>
          <w:sz w:val="20"/>
          <w:szCs w:val="20"/>
          <w:lang w:val="es-CR"/>
        </w:rPr>
        <w:t xml:space="preserve"> Norberto Javier Restrepo.</w:t>
      </w:r>
      <w:r w:rsidR="00A26ECA" w:rsidRPr="007C6BE8">
        <w:rPr>
          <w:rFonts w:asciiTheme="majorHAnsi" w:hAnsiTheme="majorHAnsi"/>
          <w:sz w:val="20"/>
          <w:szCs w:val="20"/>
          <w:lang w:val="es-CR"/>
        </w:rPr>
        <w:t xml:space="preserve"> En este sentido, indicó que el señor </w:t>
      </w:r>
      <w:r w:rsidR="007449EF" w:rsidRPr="007C6BE8">
        <w:rPr>
          <w:rFonts w:asciiTheme="majorHAnsi" w:hAnsiTheme="majorHAnsi"/>
          <w:sz w:val="20"/>
          <w:szCs w:val="20"/>
          <w:lang w:val="es-CR"/>
        </w:rPr>
        <w:t xml:space="preserve">Norberto Javier Restrepo, </w:t>
      </w:r>
      <w:r w:rsidR="00A26ECA" w:rsidRPr="007C6BE8">
        <w:rPr>
          <w:rFonts w:asciiTheme="majorHAnsi" w:hAnsiTheme="majorHAnsi"/>
          <w:sz w:val="20"/>
          <w:szCs w:val="20"/>
          <w:lang w:val="es-CR"/>
        </w:rPr>
        <w:t xml:space="preserve">no </w:t>
      </w:r>
      <w:r w:rsidR="007449EF" w:rsidRPr="007C6BE8">
        <w:rPr>
          <w:rFonts w:asciiTheme="majorHAnsi" w:hAnsiTheme="majorHAnsi"/>
          <w:sz w:val="20"/>
          <w:szCs w:val="20"/>
          <w:lang w:val="es-CR"/>
        </w:rPr>
        <w:t>se encontraba bajo control</w:t>
      </w:r>
      <w:r w:rsidR="00A26ECA" w:rsidRPr="007C6BE8">
        <w:rPr>
          <w:rFonts w:asciiTheme="majorHAnsi" w:hAnsiTheme="majorHAnsi"/>
          <w:sz w:val="20"/>
          <w:szCs w:val="20"/>
          <w:lang w:val="es-CR"/>
        </w:rPr>
        <w:t xml:space="preserve"> de agentes del Estado</w:t>
      </w:r>
      <w:r w:rsidR="00F368A4" w:rsidRPr="007C6BE8">
        <w:rPr>
          <w:rFonts w:asciiTheme="majorHAnsi" w:hAnsiTheme="majorHAnsi"/>
          <w:sz w:val="20"/>
          <w:szCs w:val="20"/>
          <w:lang w:val="es-CR"/>
        </w:rPr>
        <w:t>,</w:t>
      </w:r>
      <w:r w:rsidR="00A26ECA" w:rsidRPr="007C6BE8">
        <w:rPr>
          <w:rFonts w:asciiTheme="majorHAnsi" w:hAnsiTheme="majorHAnsi"/>
          <w:sz w:val="20"/>
          <w:szCs w:val="20"/>
          <w:lang w:val="es-CR"/>
        </w:rPr>
        <w:t xml:space="preserve"> por lo que </w:t>
      </w:r>
      <w:r w:rsidR="00A64B28" w:rsidRPr="007C6BE8">
        <w:rPr>
          <w:rFonts w:asciiTheme="majorHAnsi" w:hAnsiTheme="majorHAnsi"/>
          <w:sz w:val="20"/>
          <w:szCs w:val="20"/>
          <w:lang w:val="es-CR"/>
        </w:rPr>
        <w:t xml:space="preserve">ni su desaparición ni </w:t>
      </w:r>
      <w:r w:rsidR="00A26ECA" w:rsidRPr="007C6BE8">
        <w:rPr>
          <w:rFonts w:asciiTheme="majorHAnsi" w:hAnsiTheme="majorHAnsi"/>
          <w:sz w:val="20"/>
          <w:szCs w:val="20"/>
          <w:lang w:val="es-CR"/>
        </w:rPr>
        <w:t>su muerte</w:t>
      </w:r>
      <w:r w:rsidR="007449EF" w:rsidRPr="007C6BE8">
        <w:rPr>
          <w:rFonts w:asciiTheme="majorHAnsi" w:hAnsiTheme="majorHAnsi"/>
          <w:sz w:val="20"/>
          <w:szCs w:val="20"/>
          <w:lang w:val="es-CR"/>
        </w:rPr>
        <w:t xml:space="preserve"> le resulta</w:t>
      </w:r>
      <w:r w:rsidR="00A64B28" w:rsidRPr="007C6BE8">
        <w:rPr>
          <w:rFonts w:asciiTheme="majorHAnsi" w:hAnsiTheme="majorHAnsi"/>
          <w:sz w:val="20"/>
          <w:szCs w:val="20"/>
          <w:lang w:val="es-CR"/>
        </w:rPr>
        <w:t>n</w:t>
      </w:r>
      <w:r w:rsidR="007449EF" w:rsidRPr="007C6BE8">
        <w:rPr>
          <w:rFonts w:asciiTheme="majorHAnsi" w:hAnsiTheme="majorHAnsi"/>
          <w:sz w:val="20"/>
          <w:szCs w:val="20"/>
          <w:lang w:val="es-CR"/>
        </w:rPr>
        <w:t xml:space="preserve"> imputable</w:t>
      </w:r>
      <w:r w:rsidR="00A64B28" w:rsidRPr="007C6BE8">
        <w:rPr>
          <w:rFonts w:asciiTheme="majorHAnsi" w:hAnsiTheme="majorHAnsi"/>
          <w:sz w:val="20"/>
          <w:szCs w:val="20"/>
          <w:lang w:val="es-CR"/>
        </w:rPr>
        <w:t>s</w:t>
      </w:r>
      <w:r w:rsidR="007449EF" w:rsidRPr="007C6BE8">
        <w:rPr>
          <w:rFonts w:asciiTheme="majorHAnsi" w:hAnsiTheme="majorHAnsi"/>
          <w:sz w:val="20"/>
          <w:szCs w:val="20"/>
          <w:lang w:val="es-CR"/>
        </w:rPr>
        <w:t xml:space="preserve"> </w:t>
      </w:r>
      <w:r w:rsidR="00DE083D" w:rsidRPr="007C6BE8">
        <w:rPr>
          <w:rFonts w:asciiTheme="majorHAnsi" w:hAnsiTheme="majorHAnsi"/>
          <w:sz w:val="20"/>
          <w:szCs w:val="20"/>
          <w:lang w:val="es-CR"/>
        </w:rPr>
        <w:t xml:space="preserve">a sus agentes </w:t>
      </w:r>
      <w:r w:rsidR="007449EF" w:rsidRPr="007C6BE8">
        <w:rPr>
          <w:rFonts w:asciiTheme="majorHAnsi" w:hAnsiTheme="majorHAnsi"/>
          <w:sz w:val="20"/>
          <w:szCs w:val="20"/>
          <w:lang w:val="es-CR"/>
        </w:rPr>
        <w:t>por acción u omisión.</w:t>
      </w:r>
    </w:p>
    <w:p w:rsidR="007449EF" w:rsidRPr="007C6BE8" w:rsidRDefault="007449EF" w:rsidP="00B1793F">
      <w:pPr>
        <w:ind w:firstLine="720"/>
        <w:jc w:val="both"/>
        <w:rPr>
          <w:rFonts w:asciiTheme="majorHAnsi" w:hAnsiTheme="majorHAnsi"/>
          <w:sz w:val="20"/>
          <w:szCs w:val="20"/>
          <w:lang w:val="es-CR"/>
        </w:rPr>
      </w:pPr>
    </w:p>
    <w:p w:rsidR="007449EF" w:rsidRPr="007C6BE8" w:rsidRDefault="007449EF"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Con relación a la alegada vinculación de la SIJIN de la Policía Nac</w:t>
      </w:r>
      <w:r w:rsidR="00A64B28" w:rsidRPr="007C6BE8">
        <w:rPr>
          <w:rFonts w:asciiTheme="majorHAnsi" w:hAnsiTheme="majorHAnsi"/>
          <w:sz w:val="20"/>
          <w:szCs w:val="20"/>
          <w:lang w:val="es-CR"/>
        </w:rPr>
        <w:t>ional con la desaparición del señor Restrepo</w:t>
      </w:r>
      <w:r w:rsidRPr="007C6BE8">
        <w:rPr>
          <w:rFonts w:asciiTheme="majorHAnsi" w:hAnsiTheme="majorHAnsi"/>
          <w:sz w:val="20"/>
          <w:szCs w:val="20"/>
          <w:lang w:val="es-CR"/>
        </w:rPr>
        <w:t>, el Estado alega que no se había logrado probar la existencia de móviles para su pre</w:t>
      </w:r>
      <w:r w:rsidR="00DE083D" w:rsidRPr="007C6BE8">
        <w:rPr>
          <w:rFonts w:asciiTheme="majorHAnsi" w:hAnsiTheme="majorHAnsi"/>
          <w:sz w:val="20"/>
          <w:szCs w:val="20"/>
          <w:lang w:val="es-CR"/>
        </w:rPr>
        <w:t>sunta detención y que no existe</w:t>
      </w:r>
      <w:r w:rsidRPr="007C6BE8">
        <w:rPr>
          <w:rFonts w:asciiTheme="majorHAnsi" w:hAnsiTheme="majorHAnsi"/>
          <w:sz w:val="20"/>
          <w:szCs w:val="20"/>
          <w:lang w:val="es-CR"/>
        </w:rPr>
        <w:t xml:space="preserve"> prueba </w:t>
      </w:r>
      <w:r w:rsidR="00DE083D" w:rsidRPr="007C6BE8">
        <w:rPr>
          <w:rFonts w:asciiTheme="majorHAnsi" w:hAnsiTheme="majorHAnsi"/>
          <w:sz w:val="20"/>
          <w:szCs w:val="20"/>
          <w:lang w:val="es-CR"/>
        </w:rPr>
        <w:t xml:space="preserve">de </w:t>
      </w:r>
      <w:r w:rsidRPr="007C6BE8">
        <w:rPr>
          <w:rFonts w:asciiTheme="majorHAnsi" w:hAnsiTheme="majorHAnsi"/>
          <w:sz w:val="20"/>
          <w:szCs w:val="20"/>
          <w:lang w:val="es-CR"/>
        </w:rPr>
        <w:t>agentes</w:t>
      </w:r>
      <w:r w:rsidR="00A64B28" w:rsidRPr="007C6BE8">
        <w:rPr>
          <w:rFonts w:asciiTheme="majorHAnsi" w:hAnsiTheme="majorHAnsi"/>
          <w:sz w:val="20"/>
          <w:szCs w:val="20"/>
          <w:lang w:val="es-CR"/>
        </w:rPr>
        <w:t xml:space="preserve"> que</w:t>
      </w:r>
      <w:r w:rsidR="00DE083D" w:rsidRPr="007C6BE8">
        <w:rPr>
          <w:rFonts w:asciiTheme="majorHAnsi" w:hAnsiTheme="majorHAnsi"/>
          <w:sz w:val="20"/>
          <w:szCs w:val="20"/>
          <w:lang w:val="es-CR"/>
        </w:rPr>
        <w:t xml:space="preserve"> estuvieran involucrados en los hechos</w:t>
      </w:r>
      <w:r w:rsidRPr="007C6BE8">
        <w:rPr>
          <w:rFonts w:asciiTheme="majorHAnsi" w:hAnsiTheme="majorHAnsi"/>
          <w:sz w:val="20"/>
          <w:szCs w:val="20"/>
          <w:lang w:val="es-CR"/>
        </w:rPr>
        <w:t>.  Aclaró, sin embargo, que la investigación judicial había sido emprendida sin el ánimo de excluir la hipótesis de la participación estatal en la muerte de la víctima</w:t>
      </w:r>
      <w:r w:rsidR="00F368A4" w:rsidRPr="007C6BE8">
        <w:rPr>
          <w:rFonts w:asciiTheme="majorHAnsi" w:hAnsiTheme="majorHAnsi"/>
          <w:sz w:val="20"/>
          <w:szCs w:val="20"/>
          <w:lang w:val="es-CR"/>
        </w:rPr>
        <w:t xml:space="preserve"> y que el móvil estuviera relacionado con la vinculación del señor Restrepo al partido de la Unión Patriótica</w:t>
      </w:r>
      <w:r w:rsidRPr="007C6BE8">
        <w:rPr>
          <w:rFonts w:asciiTheme="majorHAnsi" w:hAnsiTheme="majorHAnsi"/>
          <w:sz w:val="20"/>
          <w:szCs w:val="20"/>
          <w:lang w:val="es-CR"/>
        </w:rPr>
        <w:t>.</w:t>
      </w:r>
      <w:r w:rsidR="00F368A4" w:rsidRPr="007C6BE8">
        <w:rPr>
          <w:rFonts w:asciiTheme="majorHAnsi" w:hAnsiTheme="majorHAnsi"/>
          <w:sz w:val="20"/>
          <w:szCs w:val="20"/>
          <w:lang w:val="es-CR"/>
        </w:rPr>
        <w:t xml:space="preserve"> </w:t>
      </w:r>
    </w:p>
    <w:p w:rsidR="008402AC" w:rsidRDefault="008402AC" w:rsidP="008402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7449EF" w:rsidRPr="007C6BE8" w:rsidRDefault="007449EF"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 xml:space="preserve">En cuanto a la presunta violación del derecho al debido proceso y la protección judicial, el Estado </w:t>
      </w:r>
      <w:r w:rsidR="00DE083D" w:rsidRPr="007C6BE8">
        <w:rPr>
          <w:rFonts w:asciiTheme="majorHAnsi" w:hAnsiTheme="majorHAnsi"/>
          <w:sz w:val="20"/>
          <w:szCs w:val="20"/>
          <w:lang w:val="es-CR"/>
        </w:rPr>
        <w:t xml:space="preserve">cuestionó </w:t>
      </w:r>
      <w:r w:rsidRPr="007C6BE8">
        <w:rPr>
          <w:rFonts w:asciiTheme="majorHAnsi" w:hAnsiTheme="majorHAnsi"/>
          <w:sz w:val="20"/>
          <w:szCs w:val="20"/>
          <w:lang w:val="es-CR"/>
        </w:rPr>
        <w:t xml:space="preserve">los alegatos de los peticionarios con relación a la ausencia de avances significativos en la investigación.  En este sentido, </w:t>
      </w:r>
      <w:r w:rsidR="00F368A4" w:rsidRPr="007C6BE8">
        <w:rPr>
          <w:rFonts w:asciiTheme="majorHAnsi" w:hAnsiTheme="majorHAnsi"/>
          <w:sz w:val="20"/>
          <w:szCs w:val="20"/>
          <w:lang w:val="es-CR"/>
        </w:rPr>
        <w:t xml:space="preserve">en </w:t>
      </w:r>
      <w:r w:rsidRPr="007C6BE8">
        <w:rPr>
          <w:rFonts w:asciiTheme="majorHAnsi" w:hAnsiTheme="majorHAnsi"/>
          <w:sz w:val="20"/>
          <w:szCs w:val="20"/>
          <w:lang w:val="es-CR"/>
        </w:rPr>
        <w:t>señal</w:t>
      </w:r>
      <w:r w:rsidR="00A64B28" w:rsidRPr="007C6BE8">
        <w:rPr>
          <w:rFonts w:asciiTheme="majorHAnsi" w:hAnsiTheme="majorHAnsi"/>
          <w:sz w:val="20"/>
          <w:szCs w:val="20"/>
          <w:lang w:val="es-CR"/>
        </w:rPr>
        <w:t>ó</w:t>
      </w:r>
      <w:r w:rsidRPr="007C6BE8">
        <w:rPr>
          <w:rFonts w:asciiTheme="majorHAnsi" w:hAnsiTheme="majorHAnsi"/>
          <w:sz w:val="20"/>
          <w:szCs w:val="20"/>
          <w:lang w:val="es-CR"/>
        </w:rPr>
        <w:t xml:space="preserve"> que </w:t>
      </w:r>
      <w:r w:rsidR="00F368A4" w:rsidRPr="007C6BE8">
        <w:rPr>
          <w:rFonts w:asciiTheme="majorHAnsi" w:hAnsiTheme="majorHAnsi"/>
          <w:sz w:val="20"/>
          <w:szCs w:val="20"/>
          <w:lang w:val="es-CR"/>
        </w:rPr>
        <w:t xml:space="preserve">los </w:t>
      </w:r>
      <w:r w:rsidRPr="007C6BE8">
        <w:rPr>
          <w:rFonts w:asciiTheme="majorHAnsi" w:hAnsiTheme="majorHAnsi"/>
          <w:sz w:val="20"/>
          <w:szCs w:val="20"/>
          <w:lang w:val="es-CR"/>
        </w:rPr>
        <w:t xml:space="preserve">alegatos </w:t>
      </w:r>
      <w:r w:rsidR="00F368A4" w:rsidRPr="007C6BE8">
        <w:rPr>
          <w:rFonts w:asciiTheme="majorHAnsi" w:hAnsiTheme="majorHAnsi"/>
          <w:sz w:val="20"/>
          <w:szCs w:val="20"/>
          <w:lang w:val="es-CR"/>
        </w:rPr>
        <w:t xml:space="preserve">de los peticionarios </w:t>
      </w:r>
      <w:r w:rsidRPr="007C6BE8">
        <w:rPr>
          <w:rFonts w:asciiTheme="majorHAnsi" w:hAnsiTheme="majorHAnsi"/>
          <w:sz w:val="20"/>
          <w:szCs w:val="20"/>
          <w:lang w:val="es-CR"/>
        </w:rPr>
        <w:t>desconocen los criterios sobre la sustanciación de procesos judiciales dentro de un plazo razonable, conforme a los parámetros de complejidad, actividad procesal del interesado y conducta de las autoridades judiciales, establecidos por l</w:t>
      </w:r>
      <w:r w:rsidR="00DE083D" w:rsidRPr="007C6BE8">
        <w:rPr>
          <w:rFonts w:asciiTheme="majorHAnsi" w:hAnsiTheme="majorHAnsi"/>
          <w:sz w:val="20"/>
          <w:szCs w:val="20"/>
          <w:lang w:val="es-CR"/>
        </w:rPr>
        <w:t>a Corte Interamericana. Enfatizó</w:t>
      </w:r>
      <w:r w:rsidRPr="007C6BE8">
        <w:rPr>
          <w:rFonts w:asciiTheme="majorHAnsi" w:hAnsiTheme="majorHAnsi"/>
          <w:sz w:val="20"/>
          <w:szCs w:val="20"/>
          <w:lang w:val="es-CR"/>
        </w:rPr>
        <w:t xml:space="preserve"> que el mero transcurso del tiempo sin que se impongan sentencias penales no equivale a la irrazonabilidad del tiempo transcurrido ni al desconocimiento de las obligaciones bajo la Convención.</w:t>
      </w:r>
      <w:r w:rsidR="00F368A4" w:rsidRPr="007C6BE8">
        <w:rPr>
          <w:rFonts w:asciiTheme="majorHAnsi" w:hAnsiTheme="majorHAnsi"/>
          <w:sz w:val="20"/>
          <w:szCs w:val="20"/>
          <w:lang w:val="es-CR"/>
        </w:rPr>
        <w:t xml:space="preserve"> Asimismo, puntualizó que por las omisiones en que incurrieron agentes del Estado en las diligencias iniciales se </w:t>
      </w:r>
      <w:r w:rsidR="00A64B28" w:rsidRPr="007C6BE8">
        <w:rPr>
          <w:rFonts w:asciiTheme="majorHAnsi" w:hAnsiTheme="majorHAnsi"/>
          <w:sz w:val="20"/>
          <w:szCs w:val="20"/>
          <w:lang w:val="es-CR"/>
        </w:rPr>
        <w:t xml:space="preserve">llevó a cabo </w:t>
      </w:r>
      <w:r w:rsidR="00F368A4" w:rsidRPr="007C6BE8">
        <w:rPr>
          <w:rFonts w:asciiTheme="majorHAnsi" w:hAnsiTheme="majorHAnsi"/>
          <w:sz w:val="20"/>
          <w:szCs w:val="20"/>
          <w:lang w:val="es-CR"/>
        </w:rPr>
        <w:t>un proc</w:t>
      </w:r>
      <w:r w:rsidR="00A64B28" w:rsidRPr="007C6BE8">
        <w:rPr>
          <w:rFonts w:asciiTheme="majorHAnsi" w:hAnsiTheme="majorHAnsi"/>
          <w:sz w:val="20"/>
          <w:szCs w:val="20"/>
          <w:lang w:val="es-CR"/>
        </w:rPr>
        <w:t xml:space="preserve">eso disciplinario en el cual se determinó </w:t>
      </w:r>
      <w:r w:rsidR="00F368A4" w:rsidRPr="007C6BE8">
        <w:rPr>
          <w:rFonts w:asciiTheme="majorHAnsi" w:hAnsiTheme="majorHAnsi"/>
          <w:sz w:val="20"/>
          <w:szCs w:val="20"/>
          <w:lang w:val="es-CR"/>
        </w:rPr>
        <w:t>que tales omisiones fueron culposas y derivada</w:t>
      </w:r>
      <w:r w:rsidR="00A64B28" w:rsidRPr="007C6BE8">
        <w:rPr>
          <w:rFonts w:asciiTheme="majorHAnsi" w:hAnsiTheme="majorHAnsi"/>
          <w:sz w:val="20"/>
          <w:szCs w:val="20"/>
          <w:lang w:val="es-CR"/>
        </w:rPr>
        <w:t>s</w:t>
      </w:r>
      <w:r w:rsidR="00F368A4" w:rsidRPr="007C6BE8">
        <w:rPr>
          <w:rFonts w:asciiTheme="majorHAnsi" w:hAnsiTheme="majorHAnsi"/>
          <w:sz w:val="20"/>
          <w:szCs w:val="20"/>
          <w:lang w:val="es-CR"/>
        </w:rPr>
        <w:t xml:space="preserve"> de la inexperiencia de los funcionarios que intervinieron, sin que existiera una actitud dirigida a obstaculizar la investigación.</w:t>
      </w:r>
    </w:p>
    <w:p w:rsidR="007449EF" w:rsidRPr="007C6BE8" w:rsidRDefault="007449EF" w:rsidP="00B1793F">
      <w:pPr>
        <w:jc w:val="both"/>
        <w:rPr>
          <w:rFonts w:asciiTheme="majorHAnsi" w:hAnsiTheme="majorHAnsi"/>
          <w:sz w:val="20"/>
          <w:szCs w:val="20"/>
          <w:lang w:val="es-CR"/>
        </w:rPr>
      </w:pPr>
    </w:p>
    <w:p w:rsidR="007449EF" w:rsidRPr="007C6BE8" w:rsidRDefault="00F368A4"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lastRenderedPageBreak/>
        <w:t xml:space="preserve">El Estado cuestionó </w:t>
      </w:r>
      <w:r w:rsidR="007449EF" w:rsidRPr="007C6BE8">
        <w:rPr>
          <w:rFonts w:asciiTheme="majorHAnsi" w:hAnsiTheme="majorHAnsi"/>
          <w:sz w:val="20"/>
          <w:szCs w:val="20"/>
          <w:lang w:val="es-CR"/>
        </w:rPr>
        <w:t xml:space="preserve">la falta de impulso de la investigación por parte de los interesados a través de la figura de la parte civil, mediante la cual </w:t>
      </w:r>
      <w:r w:rsidR="00A64B28" w:rsidRPr="007C6BE8">
        <w:rPr>
          <w:rFonts w:asciiTheme="majorHAnsi" w:hAnsiTheme="majorHAnsi"/>
          <w:sz w:val="20"/>
          <w:szCs w:val="20"/>
          <w:lang w:val="es-CR"/>
        </w:rPr>
        <w:t xml:space="preserve">estaban </w:t>
      </w:r>
      <w:r w:rsidR="007449EF" w:rsidRPr="007C6BE8">
        <w:rPr>
          <w:rFonts w:asciiTheme="majorHAnsi" w:hAnsiTheme="majorHAnsi"/>
          <w:sz w:val="20"/>
          <w:szCs w:val="20"/>
          <w:lang w:val="es-CR"/>
        </w:rPr>
        <w:t xml:space="preserve">habilitados a participar desde el año 2002.  </w:t>
      </w:r>
      <w:r w:rsidRPr="007C6BE8">
        <w:rPr>
          <w:rFonts w:asciiTheme="majorHAnsi" w:hAnsiTheme="majorHAnsi"/>
          <w:sz w:val="20"/>
          <w:szCs w:val="20"/>
          <w:lang w:val="es-CR"/>
        </w:rPr>
        <w:t xml:space="preserve">Asimismo, indicó que los peticionarios  no han acudido a interponer </w:t>
      </w:r>
      <w:r w:rsidR="007449EF" w:rsidRPr="007C6BE8">
        <w:rPr>
          <w:rFonts w:asciiTheme="majorHAnsi" w:hAnsiTheme="majorHAnsi"/>
          <w:sz w:val="20"/>
          <w:szCs w:val="20"/>
          <w:lang w:val="es-CR"/>
        </w:rPr>
        <w:t>acción de reparación directa ante la jurisdicción</w:t>
      </w:r>
      <w:r w:rsidR="00A64B28" w:rsidRPr="007C6BE8">
        <w:rPr>
          <w:rFonts w:asciiTheme="majorHAnsi" w:hAnsiTheme="majorHAnsi"/>
          <w:sz w:val="20"/>
          <w:szCs w:val="20"/>
          <w:lang w:val="es-CR"/>
        </w:rPr>
        <w:t xml:space="preserve"> de lo</w:t>
      </w:r>
      <w:r w:rsidR="007449EF" w:rsidRPr="007C6BE8">
        <w:rPr>
          <w:rFonts w:asciiTheme="majorHAnsi" w:hAnsiTheme="majorHAnsi"/>
          <w:sz w:val="20"/>
          <w:szCs w:val="20"/>
          <w:lang w:val="es-CR"/>
        </w:rPr>
        <w:t xml:space="preserve"> contencioso administrativ</w:t>
      </w:r>
      <w:r w:rsidR="00A64B28" w:rsidRPr="007C6BE8">
        <w:rPr>
          <w:rFonts w:asciiTheme="majorHAnsi" w:hAnsiTheme="majorHAnsi"/>
          <w:sz w:val="20"/>
          <w:szCs w:val="20"/>
          <w:lang w:val="es-CR"/>
        </w:rPr>
        <w:t>o</w:t>
      </w:r>
      <w:r w:rsidR="007449EF" w:rsidRPr="007C6BE8">
        <w:rPr>
          <w:rFonts w:asciiTheme="majorHAnsi" w:hAnsiTheme="majorHAnsi"/>
          <w:sz w:val="20"/>
          <w:szCs w:val="20"/>
          <w:lang w:val="es-CR"/>
        </w:rPr>
        <w:t>, en vista de los alegatos de los peticionarios sobre la presunta participación de agentes del Estado en la muerte de Norberto Restrepo.</w:t>
      </w:r>
    </w:p>
    <w:p w:rsidR="007449EF" w:rsidRPr="007C6BE8" w:rsidRDefault="007449EF" w:rsidP="00B1793F">
      <w:pPr>
        <w:ind w:firstLine="720"/>
        <w:jc w:val="both"/>
        <w:rPr>
          <w:rFonts w:asciiTheme="majorHAnsi" w:hAnsiTheme="majorHAnsi"/>
          <w:sz w:val="20"/>
          <w:szCs w:val="20"/>
          <w:lang w:val="es-CR"/>
        </w:rPr>
      </w:pPr>
    </w:p>
    <w:p w:rsidR="007449EF" w:rsidRPr="007C6BE8" w:rsidRDefault="007449EF"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Finalmente</w:t>
      </w:r>
      <w:r w:rsidR="00F368A4" w:rsidRPr="007C6BE8">
        <w:rPr>
          <w:rFonts w:asciiTheme="majorHAnsi" w:hAnsiTheme="majorHAnsi"/>
          <w:sz w:val="20"/>
          <w:szCs w:val="20"/>
          <w:lang w:val="es-CR"/>
        </w:rPr>
        <w:t>, el Estado solicitó</w:t>
      </w:r>
      <w:r w:rsidR="00ED066B" w:rsidRPr="007C6BE8">
        <w:rPr>
          <w:rFonts w:asciiTheme="majorHAnsi" w:hAnsiTheme="majorHAnsi"/>
          <w:sz w:val="20"/>
          <w:szCs w:val="20"/>
          <w:lang w:val="es-CR"/>
        </w:rPr>
        <w:t xml:space="preserve"> en sus comunicaciones que el caso se</w:t>
      </w:r>
      <w:r w:rsidR="008F1853" w:rsidRPr="007C6BE8">
        <w:rPr>
          <w:rFonts w:asciiTheme="majorHAnsi" w:hAnsiTheme="majorHAnsi"/>
          <w:sz w:val="20"/>
          <w:szCs w:val="20"/>
          <w:lang w:val="es-CR"/>
        </w:rPr>
        <w:t xml:space="preserve"> acumulara al caso 11.</w:t>
      </w:r>
      <w:r w:rsidR="00ED066B" w:rsidRPr="007C6BE8">
        <w:rPr>
          <w:rFonts w:asciiTheme="majorHAnsi" w:hAnsiTheme="majorHAnsi"/>
          <w:sz w:val="20"/>
          <w:szCs w:val="20"/>
          <w:lang w:val="es-CR"/>
        </w:rPr>
        <w:t>227 que se tramit</w:t>
      </w:r>
      <w:r w:rsidR="008F1853" w:rsidRPr="007C6BE8">
        <w:rPr>
          <w:rFonts w:asciiTheme="majorHAnsi" w:hAnsiTheme="majorHAnsi"/>
          <w:sz w:val="20"/>
          <w:szCs w:val="20"/>
          <w:lang w:val="es-CR"/>
        </w:rPr>
        <w:t>a</w:t>
      </w:r>
      <w:r w:rsidR="00ED066B" w:rsidRPr="007C6BE8">
        <w:rPr>
          <w:rFonts w:asciiTheme="majorHAnsi" w:hAnsiTheme="majorHAnsi"/>
          <w:sz w:val="20"/>
          <w:szCs w:val="20"/>
          <w:lang w:val="es-CR"/>
        </w:rPr>
        <w:t xml:space="preserve"> ante la Comisión Interamericana por supuestos hechos</w:t>
      </w:r>
      <w:r w:rsidRPr="007C6BE8">
        <w:rPr>
          <w:rFonts w:asciiTheme="majorHAnsi" w:hAnsiTheme="majorHAnsi"/>
          <w:sz w:val="20"/>
          <w:szCs w:val="20"/>
          <w:lang w:val="es-CR"/>
        </w:rPr>
        <w:t xml:space="preserve"> </w:t>
      </w:r>
      <w:r w:rsidR="00ED066B" w:rsidRPr="007C6BE8">
        <w:rPr>
          <w:rFonts w:asciiTheme="majorHAnsi" w:hAnsiTheme="majorHAnsi"/>
          <w:sz w:val="20"/>
          <w:szCs w:val="20"/>
          <w:lang w:val="es-CR"/>
        </w:rPr>
        <w:t>relacionados</w:t>
      </w:r>
      <w:r w:rsidR="008F1853" w:rsidRPr="007C6BE8">
        <w:rPr>
          <w:rFonts w:asciiTheme="majorHAnsi" w:hAnsiTheme="majorHAnsi"/>
          <w:sz w:val="20"/>
          <w:szCs w:val="20"/>
          <w:lang w:val="es-CR"/>
        </w:rPr>
        <w:t xml:space="preserve"> con</w:t>
      </w:r>
      <w:r w:rsidR="00ED066B" w:rsidRPr="007C6BE8">
        <w:rPr>
          <w:rFonts w:asciiTheme="majorHAnsi" w:hAnsiTheme="majorHAnsi"/>
          <w:sz w:val="20"/>
          <w:szCs w:val="20"/>
          <w:lang w:val="es-CR"/>
        </w:rPr>
        <w:t xml:space="preserve"> afectaciones a los derechos de personas que estarían v</w:t>
      </w:r>
      <w:r w:rsidR="00C83E8F" w:rsidRPr="007C6BE8">
        <w:rPr>
          <w:rFonts w:asciiTheme="majorHAnsi" w:hAnsiTheme="majorHAnsi"/>
          <w:sz w:val="20"/>
          <w:szCs w:val="20"/>
          <w:lang w:val="es-CR"/>
        </w:rPr>
        <w:t>inculadas a la Unión Patriótica</w:t>
      </w:r>
      <w:r w:rsidR="008F1853" w:rsidRPr="007C6BE8">
        <w:rPr>
          <w:rFonts w:asciiTheme="majorHAnsi" w:hAnsiTheme="majorHAnsi"/>
          <w:sz w:val="20"/>
          <w:szCs w:val="20"/>
          <w:lang w:val="es-CR"/>
        </w:rPr>
        <w:t xml:space="preserve">. Agregó que si los peticionarios se oponen a esta solicitud, la Comisión tendría que </w:t>
      </w:r>
      <w:r w:rsidR="00DE083D" w:rsidRPr="007C6BE8">
        <w:rPr>
          <w:rFonts w:asciiTheme="majorHAnsi" w:hAnsiTheme="majorHAnsi"/>
          <w:sz w:val="20"/>
          <w:szCs w:val="20"/>
          <w:lang w:val="es-CR"/>
        </w:rPr>
        <w:t>exclu</w:t>
      </w:r>
      <w:r w:rsidR="008F1853" w:rsidRPr="007C6BE8">
        <w:rPr>
          <w:rFonts w:asciiTheme="majorHAnsi" w:hAnsiTheme="majorHAnsi"/>
          <w:sz w:val="20"/>
          <w:szCs w:val="20"/>
          <w:lang w:val="es-CR"/>
        </w:rPr>
        <w:t xml:space="preserve">ir </w:t>
      </w:r>
      <w:r w:rsidR="00DE083D" w:rsidRPr="007C6BE8">
        <w:rPr>
          <w:rFonts w:asciiTheme="majorHAnsi" w:hAnsiTheme="majorHAnsi"/>
          <w:sz w:val="20"/>
          <w:szCs w:val="20"/>
          <w:lang w:val="es-CR"/>
        </w:rPr>
        <w:t xml:space="preserve">del análisis </w:t>
      </w:r>
      <w:r w:rsidRPr="007C6BE8">
        <w:rPr>
          <w:rFonts w:asciiTheme="majorHAnsi" w:hAnsiTheme="majorHAnsi"/>
          <w:sz w:val="20"/>
          <w:szCs w:val="20"/>
          <w:lang w:val="es-CR"/>
        </w:rPr>
        <w:t xml:space="preserve">del caso cualquier </w:t>
      </w:r>
      <w:r w:rsidR="00DE083D" w:rsidRPr="007C6BE8">
        <w:rPr>
          <w:rFonts w:asciiTheme="majorHAnsi" w:hAnsiTheme="majorHAnsi"/>
          <w:sz w:val="20"/>
          <w:szCs w:val="20"/>
          <w:lang w:val="es-CR"/>
        </w:rPr>
        <w:t xml:space="preserve">aspecto relacionado con </w:t>
      </w:r>
      <w:r w:rsidRPr="007C6BE8">
        <w:rPr>
          <w:rFonts w:asciiTheme="majorHAnsi" w:hAnsiTheme="majorHAnsi"/>
          <w:sz w:val="20"/>
          <w:szCs w:val="20"/>
          <w:lang w:val="es-CR"/>
        </w:rPr>
        <w:t>el contexto del caso de la Unión Patriótica.</w:t>
      </w:r>
    </w:p>
    <w:p w:rsidR="006922AB" w:rsidRPr="007C6BE8" w:rsidRDefault="006922AB"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Theme="majorHAnsi" w:hAnsiTheme="majorHAnsi"/>
          <w:sz w:val="20"/>
          <w:szCs w:val="20"/>
          <w:lang w:val="es-CR"/>
        </w:rPr>
      </w:pPr>
    </w:p>
    <w:p w:rsidR="007449EF" w:rsidRPr="007C6BE8" w:rsidRDefault="007449EF" w:rsidP="00B1793F">
      <w:pPr>
        <w:pStyle w:val="Heading1"/>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0"/>
        <w:ind w:left="0" w:firstLine="720"/>
        <w:jc w:val="both"/>
        <w:rPr>
          <w:rFonts w:asciiTheme="majorHAnsi" w:hAnsiTheme="majorHAnsi" w:cs="Arial"/>
          <w:color w:val="auto"/>
          <w:sz w:val="20"/>
          <w:szCs w:val="20"/>
        </w:rPr>
      </w:pPr>
      <w:bookmarkStart w:id="24" w:name="_Toc409709265"/>
      <w:bookmarkStart w:id="25" w:name="_Toc414371975"/>
      <w:bookmarkStart w:id="26" w:name="_Toc421786404"/>
      <w:bookmarkStart w:id="27" w:name="_Toc529794706"/>
      <w:r w:rsidRPr="007C6BE8">
        <w:rPr>
          <w:rFonts w:asciiTheme="majorHAnsi" w:hAnsiTheme="majorHAnsi" w:cs="Arial"/>
          <w:color w:val="auto"/>
          <w:sz w:val="20"/>
          <w:szCs w:val="20"/>
        </w:rPr>
        <w:t>ANÁLISIS SOBRE EL FONDO</w:t>
      </w:r>
      <w:bookmarkEnd w:id="24"/>
      <w:bookmarkEnd w:id="25"/>
      <w:bookmarkEnd w:id="26"/>
      <w:bookmarkEnd w:id="27"/>
    </w:p>
    <w:p w:rsidR="00CC21DF" w:rsidRPr="007C6BE8" w:rsidRDefault="00CC21DF" w:rsidP="00F706E8">
      <w:pPr>
        <w:jc w:val="both"/>
        <w:rPr>
          <w:rFonts w:asciiTheme="majorHAnsi" w:eastAsia="Times New Roman" w:hAnsiTheme="majorHAnsi" w:cs="Arial"/>
          <w:b/>
          <w:bCs/>
          <w:i/>
          <w:iCs/>
          <w:sz w:val="20"/>
          <w:szCs w:val="20"/>
          <w:bdr w:val="none" w:sz="0" w:space="0" w:color="auto"/>
        </w:rPr>
      </w:pPr>
      <w:bookmarkStart w:id="28" w:name="_Toc409709266"/>
    </w:p>
    <w:p w:rsidR="00BD331A" w:rsidRPr="007C6BE8" w:rsidRDefault="007F3726" w:rsidP="004B2E5E">
      <w:pPr>
        <w:pStyle w:val="Heading2"/>
        <w:rPr>
          <w:rFonts w:asciiTheme="majorHAnsi" w:hAnsiTheme="majorHAnsi"/>
        </w:rPr>
      </w:pPr>
      <w:bookmarkStart w:id="29" w:name="_Toc421786405"/>
      <w:bookmarkStart w:id="30" w:name="_Toc529794707"/>
      <w:r w:rsidRPr="007C6BE8">
        <w:rPr>
          <w:rFonts w:asciiTheme="majorHAnsi" w:hAnsiTheme="majorHAnsi"/>
        </w:rPr>
        <w:t>A.</w:t>
      </w:r>
      <w:r w:rsidRPr="007C6BE8">
        <w:rPr>
          <w:rFonts w:asciiTheme="majorHAnsi" w:hAnsiTheme="majorHAnsi"/>
        </w:rPr>
        <w:tab/>
      </w:r>
      <w:r w:rsidR="00CC21DF" w:rsidRPr="007C6BE8">
        <w:rPr>
          <w:rFonts w:asciiTheme="majorHAnsi" w:hAnsiTheme="majorHAnsi"/>
        </w:rPr>
        <w:t>Consideraciones previa</w:t>
      </w:r>
      <w:r w:rsidR="00BD331A" w:rsidRPr="007C6BE8">
        <w:rPr>
          <w:rFonts w:asciiTheme="majorHAnsi" w:hAnsiTheme="majorHAnsi"/>
        </w:rPr>
        <w:t>s</w:t>
      </w:r>
      <w:bookmarkEnd w:id="29"/>
      <w:bookmarkEnd w:id="30"/>
    </w:p>
    <w:p w:rsidR="00DD1ACC" w:rsidRPr="007C6BE8" w:rsidRDefault="00DD1ACC"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b/>
          <w:sz w:val="20"/>
          <w:szCs w:val="20"/>
          <w:lang w:val="es-CR"/>
        </w:rPr>
      </w:pPr>
    </w:p>
    <w:p w:rsidR="00BD331A" w:rsidRPr="007C6BE8" w:rsidRDefault="00BD331A" w:rsidP="00B1793F">
      <w:pPr>
        <w:pStyle w:val="Heading3"/>
        <w:numPr>
          <w:ilvl w:val="0"/>
          <w:numId w:val="62"/>
        </w:numPr>
        <w:spacing w:before="0" w:after="0"/>
        <w:ind w:left="1418" w:hanging="709"/>
        <w:jc w:val="both"/>
        <w:rPr>
          <w:rFonts w:asciiTheme="majorHAnsi" w:hAnsiTheme="majorHAnsi"/>
          <w:sz w:val="20"/>
          <w:szCs w:val="20"/>
          <w:lang w:val="es-CR"/>
        </w:rPr>
      </w:pPr>
      <w:bookmarkStart w:id="31" w:name="_Toc414371976"/>
      <w:bookmarkStart w:id="32" w:name="_Toc421786406"/>
      <w:bookmarkStart w:id="33" w:name="_Toc529794708"/>
      <w:r w:rsidRPr="007C6BE8">
        <w:rPr>
          <w:rFonts w:asciiTheme="majorHAnsi" w:hAnsiTheme="majorHAnsi"/>
          <w:sz w:val="20"/>
          <w:szCs w:val="20"/>
          <w:lang w:val="es-CR"/>
        </w:rPr>
        <w:t>En relación con la solicitud</w:t>
      </w:r>
      <w:r w:rsidR="00BE4A12" w:rsidRPr="007C6BE8">
        <w:rPr>
          <w:rFonts w:asciiTheme="majorHAnsi" w:hAnsiTheme="majorHAnsi"/>
          <w:sz w:val="20"/>
          <w:szCs w:val="20"/>
          <w:lang w:val="es-CR"/>
        </w:rPr>
        <w:t>es</w:t>
      </w:r>
      <w:r w:rsidRPr="007C6BE8">
        <w:rPr>
          <w:rFonts w:asciiTheme="majorHAnsi" w:hAnsiTheme="majorHAnsi"/>
          <w:sz w:val="20"/>
          <w:szCs w:val="20"/>
          <w:lang w:val="es-CR"/>
        </w:rPr>
        <w:t xml:space="preserve"> del Estado </w:t>
      </w:r>
      <w:r w:rsidR="00BE4A12" w:rsidRPr="007C6BE8">
        <w:rPr>
          <w:rFonts w:asciiTheme="majorHAnsi" w:hAnsiTheme="majorHAnsi"/>
          <w:sz w:val="20"/>
          <w:szCs w:val="20"/>
          <w:lang w:val="es-CR"/>
        </w:rPr>
        <w:t>respecto de la acumulación d</w:t>
      </w:r>
      <w:r w:rsidRPr="007C6BE8">
        <w:rPr>
          <w:rFonts w:asciiTheme="majorHAnsi" w:hAnsiTheme="majorHAnsi"/>
          <w:sz w:val="20"/>
          <w:szCs w:val="20"/>
          <w:lang w:val="es-CR"/>
        </w:rPr>
        <w:t>el presente caso al 11.227</w:t>
      </w:r>
      <w:bookmarkEnd w:id="31"/>
      <w:bookmarkEnd w:id="32"/>
      <w:bookmarkEnd w:id="33"/>
      <w:r w:rsidRPr="007C6BE8">
        <w:rPr>
          <w:rFonts w:asciiTheme="majorHAnsi" w:hAnsiTheme="majorHAnsi"/>
          <w:sz w:val="20"/>
          <w:szCs w:val="20"/>
          <w:lang w:val="es-CR"/>
        </w:rPr>
        <w:t xml:space="preserve"> </w:t>
      </w:r>
    </w:p>
    <w:p w:rsidR="00CC21DF" w:rsidRPr="007C6BE8" w:rsidRDefault="00CC21DF"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800"/>
        <w:contextualSpacing/>
        <w:jc w:val="both"/>
        <w:rPr>
          <w:rFonts w:asciiTheme="majorHAnsi" w:hAnsiTheme="majorHAnsi"/>
          <w:sz w:val="20"/>
          <w:szCs w:val="20"/>
          <w:lang w:val="es-CR"/>
        </w:rPr>
      </w:pPr>
    </w:p>
    <w:p w:rsidR="00BD331A" w:rsidRPr="007C6BE8" w:rsidRDefault="00DE083D"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La Comisión observa que e</w:t>
      </w:r>
      <w:r w:rsidR="00BD331A" w:rsidRPr="007C6BE8">
        <w:rPr>
          <w:rFonts w:asciiTheme="majorHAnsi" w:hAnsiTheme="majorHAnsi"/>
          <w:sz w:val="20"/>
          <w:szCs w:val="20"/>
          <w:lang w:val="es-CR"/>
        </w:rPr>
        <w:t>n virtud de</w:t>
      </w:r>
      <w:r w:rsidR="00C83E8F" w:rsidRPr="007C6BE8">
        <w:rPr>
          <w:rFonts w:asciiTheme="majorHAnsi" w:hAnsiTheme="majorHAnsi"/>
          <w:sz w:val="20"/>
          <w:szCs w:val="20"/>
          <w:lang w:val="es-CR"/>
        </w:rPr>
        <w:t xml:space="preserve"> que los peticionarios señalaron</w:t>
      </w:r>
      <w:r w:rsidR="00BD331A" w:rsidRPr="007C6BE8">
        <w:rPr>
          <w:rFonts w:asciiTheme="majorHAnsi" w:hAnsiTheme="majorHAnsi"/>
          <w:sz w:val="20"/>
          <w:szCs w:val="20"/>
          <w:lang w:val="es-CR"/>
        </w:rPr>
        <w:t xml:space="preserve"> </w:t>
      </w:r>
      <w:r w:rsidR="00C83E8F" w:rsidRPr="007C6BE8">
        <w:rPr>
          <w:rFonts w:asciiTheme="majorHAnsi" w:hAnsiTheme="majorHAnsi"/>
          <w:sz w:val="20"/>
          <w:szCs w:val="20"/>
          <w:lang w:val="es-CR"/>
        </w:rPr>
        <w:t xml:space="preserve">que </w:t>
      </w:r>
      <w:r w:rsidR="00BD331A" w:rsidRPr="007C6BE8">
        <w:rPr>
          <w:rFonts w:asciiTheme="majorHAnsi" w:hAnsiTheme="majorHAnsi"/>
          <w:sz w:val="20"/>
          <w:szCs w:val="20"/>
          <w:lang w:val="es-CR"/>
        </w:rPr>
        <w:t>el señor No</w:t>
      </w:r>
      <w:r w:rsidRPr="007C6BE8">
        <w:rPr>
          <w:rFonts w:asciiTheme="majorHAnsi" w:hAnsiTheme="majorHAnsi"/>
          <w:sz w:val="20"/>
          <w:szCs w:val="20"/>
          <w:lang w:val="es-CR"/>
        </w:rPr>
        <w:t>r</w:t>
      </w:r>
      <w:r w:rsidR="00BD331A" w:rsidRPr="007C6BE8">
        <w:rPr>
          <w:rFonts w:asciiTheme="majorHAnsi" w:hAnsiTheme="majorHAnsi"/>
          <w:sz w:val="20"/>
          <w:szCs w:val="20"/>
          <w:lang w:val="es-CR"/>
        </w:rPr>
        <w:t xml:space="preserve">berto Javier Restrepo </w:t>
      </w:r>
      <w:r w:rsidR="00C83E8F" w:rsidRPr="007C6BE8">
        <w:rPr>
          <w:rFonts w:asciiTheme="majorHAnsi" w:hAnsiTheme="majorHAnsi"/>
          <w:sz w:val="20"/>
          <w:szCs w:val="20"/>
          <w:lang w:val="es-CR"/>
        </w:rPr>
        <w:t>sería militante d</w:t>
      </w:r>
      <w:r w:rsidR="00BD331A" w:rsidRPr="007C6BE8">
        <w:rPr>
          <w:rFonts w:asciiTheme="majorHAnsi" w:hAnsiTheme="majorHAnsi"/>
          <w:sz w:val="20"/>
          <w:szCs w:val="20"/>
          <w:lang w:val="es-CR"/>
        </w:rPr>
        <w:t xml:space="preserve">el partido </w:t>
      </w:r>
      <w:r w:rsidR="001E3B6D" w:rsidRPr="007C6BE8">
        <w:rPr>
          <w:rFonts w:asciiTheme="majorHAnsi" w:hAnsiTheme="majorHAnsi"/>
          <w:sz w:val="20"/>
          <w:szCs w:val="20"/>
          <w:lang w:val="es-CR"/>
        </w:rPr>
        <w:t xml:space="preserve">político </w:t>
      </w:r>
      <w:r w:rsidR="00BD331A" w:rsidRPr="007C6BE8">
        <w:rPr>
          <w:rFonts w:asciiTheme="majorHAnsi" w:hAnsiTheme="majorHAnsi"/>
          <w:sz w:val="20"/>
          <w:szCs w:val="20"/>
          <w:lang w:val="es-CR"/>
        </w:rPr>
        <w:t>de la Unión Patriótica</w:t>
      </w:r>
      <w:r w:rsidR="001E3B6D" w:rsidRPr="007C6BE8">
        <w:rPr>
          <w:rFonts w:asciiTheme="majorHAnsi" w:hAnsiTheme="majorHAnsi"/>
          <w:sz w:val="20"/>
          <w:szCs w:val="20"/>
          <w:lang w:val="es-CR"/>
        </w:rPr>
        <w:t>,</w:t>
      </w:r>
      <w:r w:rsidR="00BD331A" w:rsidRPr="007C6BE8">
        <w:rPr>
          <w:rFonts w:asciiTheme="majorHAnsi" w:hAnsiTheme="majorHAnsi"/>
          <w:sz w:val="20"/>
          <w:szCs w:val="20"/>
          <w:lang w:val="es-CR"/>
        </w:rPr>
        <w:t xml:space="preserve"> </w:t>
      </w:r>
      <w:r w:rsidR="00CC21DF" w:rsidRPr="007C6BE8">
        <w:rPr>
          <w:rFonts w:asciiTheme="majorHAnsi" w:hAnsiTheme="majorHAnsi"/>
          <w:sz w:val="20"/>
          <w:szCs w:val="20"/>
          <w:lang w:val="es-CR"/>
        </w:rPr>
        <w:t>el Estado solicitó que el caso se acumular</w:t>
      </w:r>
      <w:r w:rsidR="001F13B0" w:rsidRPr="007C6BE8">
        <w:rPr>
          <w:rFonts w:asciiTheme="majorHAnsi" w:hAnsiTheme="majorHAnsi"/>
          <w:sz w:val="20"/>
          <w:szCs w:val="20"/>
          <w:lang w:val="es-CR"/>
        </w:rPr>
        <w:t>a al 11.</w:t>
      </w:r>
      <w:r w:rsidR="00F56FF0" w:rsidRPr="007C6BE8">
        <w:rPr>
          <w:rFonts w:asciiTheme="majorHAnsi" w:hAnsiTheme="majorHAnsi"/>
          <w:sz w:val="20"/>
          <w:szCs w:val="20"/>
          <w:lang w:val="es-CR"/>
        </w:rPr>
        <w:t>227 que se tramita</w:t>
      </w:r>
      <w:r w:rsidR="00CC21DF" w:rsidRPr="007C6BE8">
        <w:rPr>
          <w:rFonts w:asciiTheme="majorHAnsi" w:hAnsiTheme="majorHAnsi"/>
          <w:sz w:val="20"/>
          <w:szCs w:val="20"/>
          <w:lang w:val="es-CR"/>
        </w:rPr>
        <w:t xml:space="preserve"> ante la Comisión Inter</w:t>
      </w:r>
      <w:r w:rsidR="00BE4A12" w:rsidRPr="007C6BE8">
        <w:rPr>
          <w:rFonts w:asciiTheme="majorHAnsi" w:hAnsiTheme="majorHAnsi"/>
          <w:sz w:val="20"/>
          <w:szCs w:val="20"/>
          <w:lang w:val="es-CR"/>
        </w:rPr>
        <w:t xml:space="preserve">americana por </w:t>
      </w:r>
      <w:r w:rsidR="00BD331A" w:rsidRPr="007C6BE8">
        <w:rPr>
          <w:rFonts w:asciiTheme="majorHAnsi" w:hAnsiTheme="majorHAnsi"/>
          <w:sz w:val="20"/>
          <w:szCs w:val="20"/>
          <w:lang w:val="es-CR"/>
        </w:rPr>
        <w:t xml:space="preserve">presuntas </w:t>
      </w:r>
      <w:r w:rsidR="00CC21DF" w:rsidRPr="007C6BE8">
        <w:rPr>
          <w:rFonts w:asciiTheme="majorHAnsi" w:hAnsiTheme="majorHAnsi"/>
          <w:sz w:val="20"/>
          <w:szCs w:val="20"/>
          <w:lang w:val="es-CR"/>
        </w:rPr>
        <w:t>afectaciones a los derechos de person</w:t>
      </w:r>
      <w:r w:rsidR="001E3B6D" w:rsidRPr="007C6BE8">
        <w:rPr>
          <w:rFonts w:asciiTheme="majorHAnsi" w:hAnsiTheme="majorHAnsi"/>
          <w:sz w:val="20"/>
          <w:szCs w:val="20"/>
          <w:lang w:val="es-CR"/>
        </w:rPr>
        <w:t xml:space="preserve">as que estarían vinculadas a dicho partido político, </w:t>
      </w:r>
      <w:r w:rsidR="00CC21DF" w:rsidRPr="007C6BE8">
        <w:rPr>
          <w:rFonts w:asciiTheme="majorHAnsi" w:hAnsiTheme="majorHAnsi"/>
          <w:sz w:val="20"/>
          <w:szCs w:val="20"/>
          <w:lang w:val="es-CR"/>
        </w:rPr>
        <w:t xml:space="preserve">y puntualizó que </w:t>
      </w:r>
      <w:r w:rsidR="00BE4A12" w:rsidRPr="007C6BE8">
        <w:rPr>
          <w:rFonts w:asciiTheme="majorHAnsi" w:hAnsiTheme="majorHAnsi"/>
          <w:sz w:val="20"/>
          <w:szCs w:val="20"/>
          <w:lang w:val="es-CR"/>
        </w:rPr>
        <w:t xml:space="preserve">al </w:t>
      </w:r>
      <w:r w:rsidR="00CC21DF" w:rsidRPr="007C6BE8">
        <w:rPr>
          <w:rFonts w:asciiTheme="majorHAnsi" w:hAnsiTheme="majorHAnsi"/>
          <w:sz w:val="20"/>
          <w:szCs w:val="20"/>
          <w:lang w:val="es-CR"/>
        </w:rPr>
        <w:t>oponerse los peticionarios a dicha acumulación corresponde</w:t>
      </w:r>
      <w:r w:rsidR="00BE4A12" w:rsidRPr="007C6BE8">
        <w:rPr>
          <w:rFonts w:asciiTheme="majorHAnsi" w:hAnsiTheme="majorHAnsi"/>
          <w:sz w:val="20"/>
          <w:szCs w:val="20"/>
          <w:lang w:val="es-CR"/>
        </w:rPr>
        <w:t>ría</w:t>
      </w:r>
      <w:r w:rsidR="00CC21DF" w:rsidRPr="007C6BE8">
        <w:rPr>
          <w:rFonts w:asciiTheme="majorHAnsi" w:hAnsiTheme="majorHAnsi"/>
          <w:sz w:val="20"/>
          <w:szCs w:val="20"/>
          <w:lang w:val="es-CR"/>
        </w:rPr>
        <w:t xml:space="preserve"> que la Comisión excluya del caso cualquier análisis sobre el contexto del caso </w:t>
      </w:r>
      <w:r w:rsidR="00BE4A12" w:rsidRPr="007C6BE8">
        <w:rPr>
          <w:rFonts w:asciiTheme="majorHAnsi" w:hAnsiTheme="majorHAnsi"/>
          <w:sz w:val="20"/>
          <w:szCs w:val="20"/>
          <w:lang w:val="es-CR"/>
        </w:rPr>
        <w:t>relacionado con dicho partido</w:t>
      </w:r>
      <w:r w:rsidR="00CC21DF" w:rsidRPr="007C6BE8">
        <w:rPr>
          <w:rFonts w:asciiTheme="majorHAnsi" w:hAnsiTheme="majorHAnsi"/>
          <w:sz w:val="20"/>
          <w:szCs w:val="20"/>
          <w:lang w:val="es-CR"/>
        </w:rPr>
        <w:t>.</w:t>
      </w:r>
    </w:p>
    <w:p w:rsidR="00BD331A" w:rsidRPr="007C6BE8" w:rsidRDefault="00BD331A"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304616" w:rsidRPr="007C6BE8" w:rsidRDefault="00C12379"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 xml:space="preserve">La Comisión </w:t>
      </w:r>
      <w:r w:rsidR="002C762B" w:rsidRPr="007C6BE8">
        <w:rPr>
          <w:rFonts w:asciiTheme="majorHAnsi" w:hAnsiTheme="majorHAnsi"/>
          <w:sz w:val="20"/>
          <w:szCs w:val="20"/>
          <w:lang w:val="es-CR"/>
        </w:rPr>
        <w:t xml:space="preserve">nota que, </w:t>
      </w:r>
      <w:r w:rsidR="00BD331A" w:rsidRPr="007C6BE8">
        <w:rPr>
          <w:rFonts w:asciiTheme="majorHAnsi" w:hAnsiTheme="majorHAnsi"/>
          <w:sz w:val="20"/>
          <w:szCs w:val="20"/>
          <w:lang w:val="es-CR"/>
        </w:rPr>
        <w:t>en efecto, se tramita ante</w:t>
      </w:r>
      <w:r w:rsidR="002C762B" w:rsidRPr="007C6BE8">
        <w:rPr>
          <w:rFonts w:asciiTheme="majorHAnsi" w:hAnsiTheme="majorHAnsi"/>
          <w:sz w:val="20"/>
          <w:szCs w:val="20"/>
          <w:lang w:val="es-CR"/>
        </w:rPr>
        <w:t xml:space="preserve"> sí</w:t>
      </w:r>
      <w:r w:rsidR="00BD331A" w:rsidRPr="007C6BE8">
        <w:rPr>
          <w:rFonts w:asciiTheme="majorHAnsi" w:hAnsiTheme="majorHAnsi"/>
          <w:sz w:val="20"/>
          <w:szCs w:val="20"/>
          <w:lang w:val="es-CR"/>
        </w:rPr>
        <w:t xml:space="preserve"> el caso 11.227</w:t>
      </w:r>
      <w:r w:rsidR="00BD331A" w:rsidRPr="007C6BE8">
        <w:rPr>
          <w:rStyle w:val="FootnoteReference"/>
          <w:rFonts w:asciiTheme="majorHAnsi" w:hAnsiTheme="majorHAnsi"/>
          <w:sz w:val="20"/>
          <w:szCs w:val="20"/>
          <w:lang w:val="es-CR"/>
        </w:rPr>
        <w:footnoteReference w:id="5"/>
      </w:r>
      <w:r w:rsidR="00304616" w:rsidRPr="007C6BE8">
        <w:rPr>
          <w:rFonts w:asciiTheme="majorHAnsi" w:hAnsiTheme="majorHAnsi"/>
          <w:sz w:val="20"/>
          <w:szCs w:val="20"/>
          <w:lang w:val="es-CR"/>
        </w:rPr>
        <w:t xml:space="preserve"> que </w:t>
      </w:r>
      <w:r w:rsidR="00BD331A" w:rsidRPr="007C6BE8">
        <w:rPr>
          <w:rFonts w:asciiTheme="majorHAnsi" w:hAnsiTheme="majorHAnsi"/>
          <w:sz w:val="20"/>
          <w:szCs w:val="20"/>
          <w:lang w:val="es-CR"/>
        </w:rPr>
        <w:t xml:space="preserve">contiene alegaciones de grave persecución política y violencia contra personas </w:t>
      </w:r>
      <w:r w:rsidR="00304616" w:rsidRPr="007C6BE8">
        <w:rPr>
          <w:rFonts w:asciiTheme="majorHAnsi" w:hAnsiTheme="majorHAnsi"/>
          <w:sz w:val="20"/>
          <w:szCs w:val="20"/>
          <w:lang w:val="es-CR"/>
        </w:rPr>
        <w:t xml:space="preserve">que estarían vinculadas a la UP, el cual </w:t>
      </w:r>
      <w:r w:rsidR="002C762B" w:rsidRPr="007C6BE8">
        <w:rPr>
          <w:rFonts w:asciiTheme="majorHAnsi" w:hAnsiTheme="majorHAnsi"/>
          <w:sz w:val="20"/>
          <w:szCs w:val="20"/>
          <w:lang w:val="es-CR"/>
        </w:rPr>
        <w:t xml:space="preserve">se </w:t>
      </w:r>
      <w:r w:rsidR="00304616" w:rsidRPr="007C6BE8">
        <w:rPr>
          <w:rFonts w:asciiTheme="majorHAnsi" w:hAnsiTheme="majorHAnsi"/>
          <w:sz w:val="20"/>
          <w:szCs w:val="20"/>
          <w:lang w:val="es-CR"/>
        </w:rPr>
        <w:t xml:space="preserve"> encuentra</w:t>
      </w:r>
      <w:r w:rsidR="002C762B" w:rsidRPr="007C6BE8">
        <w:rPr>
          <w:rFonts w:asciiTheme="majorHAnsi" w:hAnsiTheme="majorHAnsi"/>
          <w:sz w:val="20"/>
          <w:szCs w:val="20"/>
          <w:lang w:val="es-CR"/>
        </w:rPr>
        <w:t xml:space="preserve"> actualmente </w:t>
      </w:r>
      <w:r w:rsidR="00304616" w:rsidRPr="007C6BE8">
        <w:rPr>
          <w:rFonts w:asciiTheme="majorHAnsi" w:hAnsiTheme="majorHAnsi"/>
          <w:sz w:val="20"/>
          <w:szCs w:val="20"/>
          <w:lang w:val="es-CR"/>
        </w:rPr>
        <w:t>en etapa de fondo</w:t>
      </w:r>
      <w:r w:rsidR="00F56FF0" w:rsidRPr="007C6BE8">
        <w:rPr>
          <w:rFonts w:asciiTheme="majorHAnsi" w:hAnsiTheme="majorHAnsi"/>
          <w:sz w:val="20"/>
          <w:szCs w:val="20"/>
          <w:lang w:val="es-CR"/>
        </w:rPr>
        <w:t>. E</w:t>
      </w:r>
      <w:r w:rsidRPr="007C6BE8">
        <w:rPr>
          <w:rFonts w:asciiTheme="majorHAnsi" w:hAnsiTheme="majorHAnsi"/>
          <w:sz w:val="20"/>
          <w:szCs w:val="20"/>
          <w:lang w:val="es-CR"/>
        </w:rPr>
        <w:t>n el marco de dicho caso</w:t>
      </w:r>
      <w:r w:rsidR="00DE083D" w:rsidRPr="007C6BE8">
        <w:rPr>
          <w:rFonts w:asciiTheme="majorHAnsi" w:hAnsiTheme="majorHAnsi"/>
          <w:sz w:val="20"/>
          <w:szCs w:val="20"/>
          <w:lang w:val="es-CR"/>
        </w:rPr>
        <w:t>,</w:t>
      </w:r>
      <w:r w:rsidRPr="007C6BE8">
        <w:rPr>
          <w:rFonts w:asciiTheme="majorHAnsi" w:hAnsiTheme="majorHAnsi"/>
          <w:sz w:val="20"/>
          <w:szCs w:val="20"/>
          <w:lang w:val="es-CR"/>
        </w:rPr>
        <w:t xml:space="preserve"> </w:t>
      </w:r>
      <w:r w:rsidR="001F13B0" w:rsidRPr="007C6BE8">
        <w:rPr>
          <w:rFonts w:asciiTheme="majorHAnsi" w:hAnsiTheme="majorHAnsi"/>
          <w:sz w:val="20"/>
          <w:szCs w:val="20"/>
          <w:lang w:val="es-CR"/>
        </w:rPr>
        <w:t>tras la presentación formal de la petición en el año de 1993</w:t>
      </w:r>
      <w:r w:rsidR="00DE083D" w:rsidRPr="007C6BE8">
        <w:rPr>
          <w:rFonts w:asciiTheme="majorHAnsi" w:hAnsiTheme="majorHAnsi"/>
          <w:sz w:val="20"/>
          <w:szCs w:val="20"/>
          <w:lang w:val="es-CR"/>
        </w:rPr>
        <w:t>,</w:t>
      </w:r>
      <w:r w:rsidR="001F13B0" w:rsidRPr="007C6BE8">
        <w:rPr>
          <w:rFonts w:asciiTheme="majorHAnsi" w:hAnsiTheme="majorHAnsi"/>
          <w:sz w:val="20"/>
          <w:szCs w:val="20"/>
          <w:lang w:val="es-CR"/>
        </w:rPr>
        <w:t xml:space="preserve"> </w:t>
      </w:r>
      <w:r w:rsidRPr="007C6BE8">
        <w:rPr>
          <w:rFonts w:asciiTheme="majorHAnsi" w:hAnsiTheme="majorHAnsi"/>
          <w:sz w:val="20"/>
          <w:szCs w:val="20"/>
          <w:lang w:val="es-CR"/>
        </w:rPr>
        <w:t>las partes han enviado a la Comisión múltiples comunicaciones y</w:t>
      </w:r>
      <w:r w:rsidR="00F56FF0" w:rsidRPr="007C6BE8">
        <w:rPr>
          <w:rFonts w:asciiTheme="majorHAnsi" w:hAnsiTheme="majorHAnsi"/>
          <w:sz w:val="20"/>
          <w:szCs w:val="20"/>
          <w:lang w:val="es-CR"/>
        </w:rPr>
        <w:t xml:space="preserve"> celebrado diversas audiencias que no han incluido la situación específica de la presunta violación de los derechos del señor Norberto Javier Restrepo.</w:t>
      </w:r>
    </w:p>
    <w:p w:rsidR="00304616" w:rsidRPr="007C6BE8" w:rsidRDefault="00304616"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BD331A" w:rsidRPr="007C6BE8" w:rsidRDefault="00F56FF0"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La Comisión advierte que si bien en el presente caso los peticionarios aducen que el señor Restrepo estaba vinculado a la UP</w:t>
      </w:r>
      <w:r w:rsidR="001F13B0" w:rsidRPr="007C6BE8">
        <w:rPr>
          <w:rFonts w:asciiTheme="majorHAnsi" w:hAnsiTheme="majorHAnsi"/>
          <w:sz w:val="20"/>
          <w:szCs w:val="20"/>
          <w:lang w:val="es-CR"/>
        </w:rPr>
        <w:t>,</w:t>
      </w:r>
      <w:r w:rsidRPr="007C6BE8">
        <w:rPr>
          <w:rFonts w:asciiTheme="majorHAnsi" w:hAnsiTheme="majorHAnsi"/>
          <w:sz w:val="20"/>
          <w:szCs w:val="20"/>
          <w:lang w:val="es-CR"/>
        </w:rPr>
        <w:t xml:space="preserve"> manifestaron en varias oportunidades que no </w:t>
      </w:r>
      <w:r w:rsidR="001F13B0" w:rsidRPr="007C6BE8">
        <w:rPr>
          <w:rFonts w:asciiTheme="majorHAnsi" w:hAnsiTheme="majorHAnsi"/>
          <w:sz w:val="20"/>
          <w:szCs w:val="20"/>
          <w:lang w:val="es-CR"/>
        </w:rPr>
        <w:t xml:space="preserve">era </w:t>
      </w:r>
      <w:r w:rsidR="00357506" w:rsidRPr="007C6BE8">
        <w:rPr>
          <w:rFonts w:asciiTheme="majorHAnsi" w:hAnsiTheme="majorHAnsi"/>
          <w:sz w:val="20"/>
          <w:szCs w:val="20"/>
          <w:lang w:val="es-CR"/>
        </w:rPr>
        <w:t xml:space="preserve">la </w:t>
      </w:r>
      <w:r w:rsidRPr="007C6BE8">
        <w:rPr>
          <w:rFonts w:asciiTheme="majorHAnsi" w:hAnsiTheme="majorHAnsi"/>
          <w:sz w:val="20"/>
          <w:szCs w:val="20"/>
          <w:lang w:val="es-CR"/>
        </w:rPr>
        <w:t>intención de los familiares que la petición f</w:t>
      </w:r>
      <w:r w:rsidR="00357506" w:rsidRPr="007C6BE8">
        <w:rPr>
          <w:rFonts w:asciiTheme="majorHAnsi" w:hAnsiTheme="majorHAnsi"/>
          <w:sz w:val="20"/>
          <w:szCs w:val="20"/>
          <w:lang w:val="es-CR"/>
        </w:rPr>
        <w:t>uera acumulada al caso 11.227 e indicaron que</w:t>
      </w:r>
      <w:r w:rsidR="002C762B" w:rsidRPr="007C6BE8">
        <w:rPr>
          <w:rFonts w:asciiTheme="majorHAnsi" w:hAnsiTheme="majorHAnsi"/>
          <w:sz w:val="20"/>
          <w:szCs w:val="20"/>
          <w:lang w:val="es-CR"/>
        </w:rPr>
        <w:t>,</w:t>
      </w:r>
      <w:r w:rsidR="00357506" w:rsidRPr="007C6BE8">
        <w:rPr>
          <w:rFonts w:asciiTheme="majorHAnsi" w:hAnsiTheme="majorHAnsi"/>
          <w:sz w:val="20"/>
          <w:szCs w:val="20"/>
          <w:lang w:val="es-CR"/>
        </w:rPr>
        <w:t xml:space="preserve"> por el contrario, </w:t>
      </w:r>
      <w:r w:rsidR="00BE4A12" w:rsidRPr="007C6BE8">
        <w:rPr>
          <w:rFonts w:asciiTheme="majorHAnsi" w:hAnsiTheme="majorHAnsi"/>
          <w:sz w:val="20"/>
          <w:szCs w:val="20"/>
          <w:lang w:val="es-CR"/>
        </w:rPr>
        <w:t xml:space="preserve">los familiares manifestaron </w:t>
      </w:r>
      <w:r w:rsidR="00357506" w:rsidRPr="007C6BE8">
        <w:rPr>
          <w:rFonts w:asciiTheme="majorHAnsi" w:hAnsiTheme="majorHAnsi"/>
          <w:sz w:val="20"/>
          <w:szCs w:val="20"/>
          <w:lang w:val="es-CR"/>
        </w:rPr>
        <w:t xml:space="preserve">su oposición. Asimismo, la Comisión advierte que los peticionarios </w:t>
      </w:r>
      <w:r w:rsidRPr="007C6BE8">
        <w:rPr>
          <w:rFonts w:asciiTheme="majorHAnsi" w:hAnsiTheme="majorHAnsi"/>
          <w:sz w:val="20"/>
          <w:szCs w:val="20"/>
          <w:lang w:val="es-CR"/>
        </w:rPr>
        <w:t xml:space="preserve">solicitaron </w:t>
      </w:r>
      <w:r w:rsidR="00357506" w:rsidRPr="007C6BE8">
        <w:rPr>
          <w:rFonts w:asciiTheme="majorHAnsi" w:hAnsiTheme="majorHAnsi"/>
          <w:sz w:val="20"/>
          <w:szCs w:val="20"/>
          <w:lang w:val="es-CR"/>
        </w:rPr>
        <w:t xml:space="preserve">que </w:t>
      </w:r>
      <w:r w:rsidR="00BE4A12" w:rsidRPr="007C6BE8">
        <w:rPr>
          <w:rFonts w:asciiTheme="majorHAnsi" w:hAnsiTheme="majorHAnsi"/>
          <w:sz w:val="20"/>
          <w:szCs w:val="20"/>
          <w:lang w:val="es-CR"/>
        </w:rPr>
        <w:t xml:space="preserve">se pronunciara </w:t>
      </w:r>
      <w:r w:rsidR="00357506" w:rsidRPr="007C6BE8">
        <w:rPr>
          <w:rFonts w:asciiTheme="majorHAnsi" w:hAnsiTheme="majorHAnsi"/>
          <w:sz w:val="20"/>
          <w:szCs w:val="20"/>
          <w:lang w:val="es-CR"/>
        </w:rPr>
        <w:t xml:space="preserve">sobre el </w:t>
      </w:r>
      <w:r w:rsidRPr="007C6BE8">
        <w:rPr>
          <w:rFonts w:asciiTheme="majorHAnsi" w:hAnsiTheme="majorHAnsi"/>
          <w:sz w:val="20"/>
          <w:szCs w:val="20"/>
          <w:lang w:val="es-CR"/>
        </w:rPr>
        <w:t xml:space="preserve">fondo </w:t>
      </w:r>
      <w:r w:rsidR="00357506" w:rsidRPr="007C6BE8">
        <w:rPr>
          <w:rFonts w:asciiTheme="majorHAnsi" w:hAnsiTheme="majorHAnsi"/>
          <w:sz w:val="20"/>
          <w:szCs w:val="20"/>
          <w:lang w:val="es-CR"/>
        </w:rPr>
        <w:t xml:space="preserve">del asunto </w:t>
      </w:r>
      <w:r w:rsidRPr="007C6BE8">
        <w:rPr>
          <w:rFonts w:asciiTheme="majorHAnsi" w:hAnsiTheme="majorHAnsi"/>
          <w:sz w:val="20"/>
          <w:szCs w:val="20"/>
          <w:lang w:val="es-CR"/>
        </w:rPr>
        <w:t xml:space="preserve">al </w:t>
      </w:r>
      <w:r w:rsidR="00357506" w:rsidRPr="007C6BE8">
        <w:rPr>
          <w:rFonts w:asciiTheme="majorHAnsi" w:hAnsiTheme="majorHAnsi"/>
          <w:sz w:val="20"/>
          <w:szCs w:val="20"/>
          <w:lang w:val="es-CR"/>
        </w:rPr>
        <w:t>existir información suficiente aportada por ambas partes</w:t>
      </w:r>
      <w:r w:rsidR="007E3E93" w:rsidRPr="007C6BE8">
        <w:rPr>
          <w:rFonts w:asciiTheme="majorHAnsi" w:hAnsiTheme="majorHAnsi"/>
          <w:sz w:val="20"/>
          <w:szCs w:val="20"/>
          <w:lang w:val="es-CR"/>
        </w:rPr>
        <w:t>.</w:t>
      </w:r>
      <w:r w:rsidRPr="007C6BE8">
        <w:rPr>
          <w:rFonts w:asciiTheme="majorHAnsi" w:hAnsiTheme="majorHAnsi"/>
          <w:sz w:val="20"/>
          <w:szCs w:val="20"/>
          <w:lang w:val="es-CR"/>
        </w:rPr>
        <w:t xml:space="preserve"> </w:t>
      </w:r>
    </w:p>
    <w:p w:rsidR="00357506" w:rsidRPr="007C6BE8" w:rsidRDefault="00357506"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CE48AC" w:rsidRPr="007C6BE8" w:rsidRDefault="004B05FE" w:rsidP="00D121D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 xml:space="preserve">El Reglamento de la Comisión indica que en ciertas circunstancias tiene la facultad de acumular o desglosar casos. Sin embargo, este es un mecanismo facultativo y no constituye un requerimiento.  </w:t>
      </w:r>
      <w:r w:rsidR="00357506" w:rsidRPr="007C6BE8">
        <w:rPr>
          <w:rFonts w:asciiTheme="majorHAnsi" w:hAnsiTheme="majorHAnsi"/>
          <w:sz w:val="20"/>
          <w:szCs w:val="20"/>
          <w:lang w:val="es-CR"/>
        </w:rPr>
        <w:t xml:space="preserve">Tomando en cuenta </w:t>
      </w:r>
      <w:r w:rsidR="001F13B0" w:rsidRPr="007C6BE8">
        <w:rPr>
          <w:rFonts w:asciiTheme="majorHAnsi" w:hAnsiTheme="majorHAnsi"/>
          <w:sz w:val="20"/>
          <w:szCs w:val="20"/>
          <w:lang w:val="es-CR"/>
        </w:rPr>
        <w:t>la voluntad de los familiares</w:t>
      </w:r>
      <w:r w:rsidR="00357506" w:rsidRPr="007C6BE8">
        <w:rPr>
          <w:rFonts w:asciiTheme="majorHAnsi" w:hAnsiTheme="majorHAnsi"/>
          <w:sz w:val="20"/>
          <w:szCs w:val="20"/>
          <w:lang w:val="es-CR"/>
        </w:rPr>
        <w:t xml:space="preserve"> y</w:t>
      </w:r>
      <w:r w:rsidR="00C83E8F" w:rsidRPr="007C6BE8">
        <w:rPr>
          <w:rFonts w:asciiTheme="majorHAnsi" w:hAnsiTheme="majorHAnsi"/>
          <w:sz w:val="20"/>
          <w:szCs w:val="20"/>
          <w:lang w:val="es-CR"/>
        </w:rPr>
        <w:t>,</w:t>
      </w:r>
      <w:r w:rsidR="00357506" w:rsidRPr="007C6BE8">
        <w:rPr>
          <w:rFonts w:asciiTheme="majorHAnsi" w:hAnsiTheme="majorHAnsi"/>
          <w:sz w:val="20"/>
          <w:szCs w:val="20"/>
          <w:lang w:val="es-CR"/>
        </w:rPr>
        <w:t xml:space="preserve"> en particular,</w:t>
      </w:r>
      <w:r w:rsidR="007E3E93" w:rsidRPr="007C6BE8">
        <w:rPr>
          <w:rFonts w:asciiTheme="majorHAnsi" w:hAnsiTheme="majorHAnsi"/>
          <w:sz w:val="20"/>
          <w:szCs w:val="20"/>
          <w:lang w:val="es-CR"/>
        </w:rPr>
        <w:t xml:space="preserve"> que los debates de hecho, derecho y aspectos procesales del trámite se encuentran plenamente definidos en el presente caso, </w:t>
      </w:r>
      <w:r w:rsidR="00936384" w:rsidRPr="007C6BE8">
        <w:rPr>
          <w:rFonts w:asciiTheme="majorHAnsi" w:hAnsiTheme="majorHAnsi"/>
          <w:sz w:val="20"/>
          <w:szCs w:val="20"/>
          <w:lang w:val="es-CR"/>
        </w:rPr>
        <w:t xml:space="preserve">la Comisión no </w:t>
      </w:r>
      <w:r w:rsidR="00357506" w:rsidRPr="007C6BE8">
        <w:rPr>
          <w:rFonts w:asciiTheme="majorHAnsi" w:hAnsiTheme="majorHAnsi"/>
          <w:sz w:val="20"/>
          <w:szCs w:val="20"/>
          <w:lang w:val="es-CR"/>
        </w:rPr>
        <w:t>considera pertinente acumular</w:t>
      </w:r>
      <w:r w:rsidR="00936384" w:rsidRPr="007C6BE8">
        <w:rPr>
          <w:rFonts w:asciiTheme="majorHAnsi" w:hAnsiTheme="majorHAnsi"/>
          <w:sz w:val="20"/>
          <w:szCs w:val="20"/>
          <w:lang w:val="es-CR"/>
        </w:rPr>
        <w:t>lo a</w:t>
      </w:r>
      <w:r w:rsidR="00357506" w:rsidRPr="007C6BE8">
        <w:rPr>
          <w:rFonts w:asciiTheme="majorHAnsi" w:hAnsiTheme="majorHAnsi"/>
          <w:sz w:val="20"/>
          <w:szCs w:val="20"/>
          <w:lang w:val="es-CR"/>
        </w:rPr>
        <w:t>l caso 11.227.</w:t>
      </w:r>
      <w:r w:rsidRPr="007C6BE8">
        <w:rPr>
          <w:rFonts w:asciiTheme="majorHAnsi" w:hAnsiTheme="majorHAnsi"/>
          <w:sz w:val="20"/>
          <w:szCs w:val="20"/>
          <w:lang w:val="es-CR"/>
        </w:rPr>
        <w:t xml:space="preserve"> </w:t>
      </w:r>
      <w:r w:rsidR="00357506" w:rsidRPr="007C6BE8">
        <w:rPr>
          <w:rFonts w:asciiTheme="majorHAnsi" w:hAnsiTheme="majorHAnsi"/>
          <w:sz w:val="20"/>
          <w:szCs w:val="20"/>
          <w:lang w:val="es-CR"/>
        </w:rPr>
        <w:t xml:space="preserve">Tal y como lo ha determinado la Corte </w:t>
      </w:r>
      <w:r w:rsidR="00DE083D" w:rsidRPr="007C6BE8">
        <w:rPr>
          <w:rFonts w:asciiTheme="majorHAnsi" w:hAnsiTheme="majorHAnsi"/>
          <w:sz w:val="20"/>
          <w:szCs w:val="20"/>
          <w:lang w:val="es-CR"/>
        </w:rPr>
        <w:t>Interamericana</w:t>
      </w:r>
      <w:r w:rsidR="00357506" w:rsidRPr="007C6BE8">
        <w:rPr>
          <w:rFonts w:asciiTheme="majorHAnsi" w:hAnsiTheme="majorHAnsi"/>
          <w:sz w:val="20"/>
          <w:szCs w:val="20"/>
          <w:lang w:val="es-CR"/>
        </w:rPr>
        <w:t xml:space="preserve">, </w:t>
      </w:r>
      <w:r w:rsidR="00DE083D" w:rsidRPr="007C6BE8">
        <w:rPr>
          <w:rFonts w:asciiTheme="majorHAnsi" w:hAnsiTheme="majorHAnsi"/>
          <w:sz w:val="20"/>
          <w:szCs w:val="20"/>
          <w:lang w:val="es-CR"/>
        </w:rPr>
        <w:t xml:space="preserve">aun </w:t>
      </w:r>
      <w:r w:rsidR="00357506" w:rsidRPr="007C6BE8">
        <w:rPr>
          <w:rFonts w:asciiTheme="majorHAnsi" w:hAnsiTheme="majorHAnsi"/>
          <w:sz w:val="20"/>
          <w:szCs w:val="20"/>
          <w:lang w:val="es-CR"/>
        </w:rPr>
        <w:t>cuando en el presente caso que no forma parte del caso 11.227 “se ventilaran hechos específicos o contextuales que también corresponden al caso de la UP, la existencia, valoración o relevancia de los mismos será determinada únicamente a partir de los elementos probatorios aportados por las partes en este caso”</w:t>
      </w:r>
      <w:r w:rsidR="00357506" w:rsidRPr="007C6BE8">
        <w:rPr>
          <w:rStyle w:val="FootnoteReference"/>
          <w:rFonts w:asciiTheme="majorHAnsi" w:hAnsiTheme="majorHAnsi"/>
          <w:sz w:val="20"/>
          <w:szCs w:val="20"/>
          <w:lang w:val="es-CR"/>
        </w:rPr>
        <w:footnoteReference w:id="6"/>
      </w:r>
      <w:r w:rsidR="00357506" w:rsidRPr="007C6BE8">
        <w:rPr>
          <w:rFonts w:asciiTheme="majorHAnsi" w:hAnsiTheme="majorHAnsi"/>
          <w:sz w:val="20"/>
          <w:szCs w:val="20"/>
          <w:lang w:val="es-CR"/>
        </w:rPr>
        <w:t>.  En este sentido, la Comisión considera que no existe afectación alguna al Estado en virtud de su decisión de no acumular el presente caso.</w:t>
      </w:r>
    </w:p>
    <w:p w:rsidR="00DD1ACC" w:rsidRDefault="00DD1ACC" w:rsidP="00DD1AC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Theme="majorHAnsi" w:hAnsiTheme="majorHAnsi"/>
          <w:sz w:val="20"/>
          <w:szCs w:val="20"/>
          <w:lang w:val="es-CR"/>
        </w:rPr>
      </w:pPr>
    </w:p>
    <w:p w:rsidR="008402AC" w:rsidRPr="007C6BE8" w:rsidRDefault="008402AC" w:rsidP="00DD1AC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Theme="majorHAnsi" w:hAnsiTheme="majorHAnsi"/>
          <w:sz w:val="20"/>
          <w:szCs w:val="20"/>
          <w:lang w:val="es-CR"/>
        </w:rPr>
      </w:pPr>
    </w:p>
    <w:p w:rsidR="00431664" w:rsidRPr="007C6BE8" w:rsidRDefault="00431664" w:rsidP="00B1793F">
      <w:pPr>
        <w:pStyle w:val="Heading3"/>
        <w:spacing w:before="0" w:after="0"/>
        <w:ind w:left="1440" w:hanging="720"/>
        <w:jc w:val="both"/>
        <w:rPr>
          <w:rFonts w:asciiTheme="majorHAnsi" w:hAnsiTheme="majorHAnsi"/>
          <w:sz w:val="20"/>
          <w:szCs w:val="20"/>
          <w:lang w:val="es-CR"/>
        </w:rPr>
      </w:pPr>
      <w:bookmarkStart w:id="34" w:name="_Toc414371977"/>
      <w:bookmarkStart w:id="35" w:name="_Toc421786407"/>
      <w:bookmarkStart w:id="36" w:name="_Toc529794709"/>
      <w:r w:rsidRPr="007C6BE8">
        <w:rPr>
          <w:rFonts w:asciiTheme="majorHAnsi" w:hAnsiTheme="majorHAnsi"/>
          <w:sz w:val="20"/>
          <w:szCs w:val="20"/>
          <w:lang w:val="es-CR"/>
        </w:rPr>
        <w:lastRenderedPageBreak/>
        <w:t>2.</w:t>
      </w:r>
      <w:r w:rsidRPr="007C6BE8">
        <w:rPr>
          <w:rFonts w:asciiTheme="majorHAnsi" w:hAnsiTheme="majorHAnsi"/>
          <w:sz w:val="20"/>
          <w:szCs w:val="20"/>
          <w:lang w:val="es-CR"/>
        </w:rPr>
        <w:tab/>
        <w:t xml:space="preserve">Criterios de valoración de la prueba </w:t>
      </w:r>
      <w:r w:rsidR="00BE4A12" w:rsidRPr="007C6BE8">
        <w:rPr>
          <w:rFonts w:asciiTheme="majorHAnsi" w:hAnsiTheme="majorHAnsi"/>
          <w:sz w:val="20"/>
          <w:szCs w:val="20"/>
          <w:lang w:val="es-CR"/>
        </w:rPr>
        <w:t xml:space="preserve">en virtud de la negativa a presentar el expediente de la </w:t>
      </w:r>
      <w:r w:rsidRPr="007C6BE8">
        <w:rPr>
          <w:rFonts w:asciiTheme="majorHAnsi" w:hAnsiTheme="majorHAnsi"/>
          <w:sz w:val="20"/>
          <w:szCs w:val="20"/>
          <w:lang w:val="es-CR"/>
        </w:rPr>
        <w:t xml:space="preserve">investigación y procesos disciplinarios y judiciales </w:t>
      </w:r>
      <w:r w:rsidR="00BE4A12" w:rsidRPr="007C6BE8">
        <w:rPr>
          <w:rFonts w:asciiTheme="majorHAnsi" w:hAnsiTheme="majorHAnsi"/>
          <w:sz w:val="20"/>
          <w:szCs w:val="20"/>
          <w:lang w:val="es-CR"/>
        </w:rPr>
        <w:t xml:space="preserve">seguidos </w:t>
      </w:r>
      <w:r w:rsidRPr="007C6BE8">
        <w:rPr>
          <w:rFonts w:asciiTheme="majorHAnsi" w:hAnsiTheme="majorHAnsi"/>
          <w:sz w:val="20"/>
          <w:szCs w:val="20"/>
          <w:lang w:val="es-CR"/>
        </w:rPr>
        <w:t>por la muerte de Norberto</w:t>
      </w:r>
      <w:r w:rsidR="00453CBB" w:rsidRPr="007C6BE8">
        <w:rPr>
          <w:rFonts w:asciiTheme="majorHAnsi" w:hAnsiTheme="majorHAnsi"/>
          <w:sz w:val="20"/>
          <w:szCs w:val="20"/>
          <w:lang w:val="es-CR"/>
        </w:rPr>
        <w:t xml:space="preserve"> Javier</w:t>
      </w:r>
      <w:r w:rsidRPr="007C6BE8">
        <w:rPr>
          <w:rFonts w:asciiTheme="majorHAnsi" w:hAnsiTheme="majorHAnsi"/>
          <w:sz w:val="20"/>
          <w:szCs w:val="20"/>
          <w:lang w:val="es-CR"/>
        </w:rPr>
        <w:t xml:space="preserve"> Restrepo</w:t>
      </w:r>
      <w:bookmarkEnd w:id="34"/>
      <w:bookmarkEnd w:id="35"/>
      <w:bookmarkEnd w:id="36"/>
    </w:p>
    <w:p w:rsidR="00431664" w:rsidRPr="007C6BE8" w:rsidRDefault="00431664"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F65B38" w:rsidRPr="007C6BE8" w:rsidRDefault="00431664"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La Comisión estima pertinente recordar que la jurisprudencia del sistema interamericano ha indicado que los criterios de valoración de la prueba son menos rígidos que los sistemas legales internos y ha sostenido que puede “evaluar libremente las pruebas”</w:t>
      </w:r>
      <w:r w:rsidRPr="007C6BE8">
        <w:rPr>
          <w:rStyle w:val="FootnoteReference"/>
          <w:rFonts w:asciiTheme="majorHAnsi" w:hAnsiTheme="majorHAnsi"/>
          <w:sz w:val="20"/>
          <w:szCs w:val="20"/>
          <w:lang w:val="es-CR"/>
        </w:rPr>
        <w:footnoteReference w:id="7"/>
      </w:r>
      <w:r w:rsidRPr="007C6BE8">
        <w:rPr>
          <w:rFonts w:asciiTheme="majorHAnsi" w:hAnsiTheme="majorHAnsi"/>
          <w:sz w:val="20"/>
          <w:szCs w:val="20"/>
          <w:lang w:val="es-CR"/>
        </w:rPr>
        <w:t>. En este sentido, la Corte Interamericana ha señalado que se “debe aplicar una valoración de la prueba que tenga en cuenta la gravedad de la atribución de la responsabilidad internacional del Estado y que, sin perjuicio de ello, sea capaz de crear la convicción de la verdad de los hechos alegados”</w:t>
      </w:r>
      <w:r w:rsidRPr="007C6BE8">
        <w:rPr>
          <w:rStyle w:val="FootnoteReference"/>
          <w:rFonts w:asciiTheme="majorHAnsi" w:hAnsiTheme="majorHAnsi"/>
          <w:sz w:val="20"/>
          <w:szCs w:val="20"/>
          <w:lang w:val="es-CR"/>
        </w:rPr>
        <w:footnoteReference w:id="8"/>
      </w:r>
      <w:r w:rsidRPr="007C6BE8">
        <w:rPr>
          <w:rFonts w:asciiTheme="majorHAnsi" w:hAnsiTheme="majorHAnsi"/>
          <w:sz w:val="20"/>
          <w:szCs w:val="20"/>
          <w:lang w:val="es-CR"/>
        </w:rPr>
        <w:t xml:space="preserve">. </w:t>
      </w:r>
      <w:r w:rsidR="00634908" w:rsidRPr="007C6BE8">
        <w:rPr>
          <w:rFonts w:asciiTheme="majorHAnsi" w:hAnsiTheme="majorHAnsi"/>
          <w:sz w:val="20"/>
          <w:szCs w:val="20"/>
          <w:lang w:val="es-CR"/>
        </w:rPr>
        <w:t>La Corte ha indicado que es “legítimo el uso de la prueba circunstancial, los indicios y las presunciones para fundar una sentencia, siempre que de ellos puedan inferirse conclusiones  consistentes sobre los hechos”</w:t>
      </w:r>
      <w:r w:rsidR="0082255E" w:rsidRPr="007C6BE8">
        <w:rPr>
          <w:rStyle w:val="FootnoteReference"/>
          <w:rFonts w:asciiTheme="majorHAnsi" w:hAnsiTheme="majorHAnsi"/>
          <w:sz w:val="20"/>
          <w:szCs w:val="20"/>
          <w:lang w:val="es-CR"/>
        </w:rPr>
        <w:footnoteReference w:id="9"/>
      </w:r>
      <w:r w:rsidR="00F65B38" w:rsidRPr="007C6BE8">
        <w:rPr>
          <w:rFonts w:asciiTheme="majorHAnsi" w:hAnsiTheme="majorHAnsi"/>
          <w:sz w:val="20"/>
          <w:szCs w:val="20"/>
          <w:lang w:val="es-CR"/>
        </w:rPr>
        <w:t>. Específicamente tratándose de un caso de alegada desaparición forzada, la prueba indiciaria y presuntiva resulta de especial  importancia ya que “esta forma de violación se caracteriza por procurar la supresión de todo elemento que permita comprobar la detención, el paradero y la suerte de las víctimas”</w:t>
      </w:r>
      <w:r w:rsidR="006F7EC7" w:rsidRPr="007C6BE8">
        <w:rPr>
          <w:rStyle w:val="FootnoteReference"/>
          <w:rFonts w:asciiTheme="majorHAnsi" w:hAnsiTheme="majorHAnsi"/>
          <w:sz w:val="20"/>
          <w:szCs w:val="20"/>
          <w:lang w:val="es-CR"/>
        </w:rPr>
        <w:footnoteReference w:id="10"/>
      </w:r>
      <w:r w:rsidR="00F65B38" w:rsidRPr="007C6BE8">
        <w:rPr>
          <w:rFonts w:asciiTheme="majorHAnsi" w:hAnsiTheme="majorHAnsi"/>
          <w:sz w:val="20"/>
          <w:szCs w:val="20"/>
          <w:lang w:val="es-CR"/>
        </w:rPr>
        <w:t>.</w:t>
      </w:r>
      <w:r w:rsidR="0082255E" w:rsidRPr="007C6BE8">
        <w:rPr>
          <w:rFonts w:asciiTheme="majorHAnsi" w:hAnsiTheme="majorHAnsi"/>
          <w:sz w:val="20"/>
          <w:szCs w:val="20"/>
          <w:lang w:val="es-CR"/>
        </w:rPr>
        <w:t xml:space="preserve"> </w:t>
      </w:r>
    </w:p>
    <w:p w:rsidR="00431664" w:rsidRPr="007C6BE8" w:rsidRDefault="00431664"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431664" w:rsidRPr="007C6BE8" w:rsidRDefault="00BE4A12"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 xml:space="preserve">En el presente caso, </w:t>
      </w:r>
      <w:r w:rsidR="00AD0313" w:rsidRPr="007C6BE8">
        <w:rPr>
          <w:rFonts w:asciiTheme="majorHAnsi" w:hAnsiTheme="majorHAnsi"/>
          <w:sz w:val="20"/>
          <w:szCs w:val="20"/>
          <w:lang w:val="es-CR"/>
        </w:rPr>
        <w:t>l</w:t>
      </w:r>
      <w:r w:rsidR="00431664" w:rsidRPr="007C6BE8">
        <w:rPr>
          <w:rFonts w:asciiTheme="majorHAnsi" w:hAnsiTheme="majorHAnsi"/>
          <w:sz w:val="20"/>
          <w:szCs w:val="20"/>
          <w:lang w:val="es-CR"/>
        </w:rPr>
        <w:t xml:space="preserve">a Comisión tiene conocimiento </w:t>
      </w:r>
      <w:r w:rsidR="00DE083D" w:rsidRPr="007C6BE8">
        <w:rPr>
          <w:rFonts w:asciiTheme="majorHAnsi" w:hAnsiTheme="majorHAnsi"/>
          <w:sz w:val="20"/>
          <w:szCs w:val="20"/>
          <w:lang w:val="es-CR"/>
        </w:rPr>
        <w:t xml:space="preserve">de </w:t>
      </w:r>
      <w:r w:rsidR="00431664" w:rsidRPr="007C6BE8">
        <w:rPr>
          <w:rFonts w:asciiTheme="majorHAnsi" w:hAnsiTheme="majorHAnsi"/>
          <w:sz w:val="20"/>
          <w:szCs w:val="20"/>
          <w:lang w:val="es-CR"/>
        </w:rPr>
        <w:t xml:space="preserve">que por </w:t>
      </w:r>
      <w:r w:rsidRPr="007C6BE8">
        <w:rPr>
          <w:rFonts w:asciiTheme="majorHAnsi" w:hAnsiTheme="majorHAnsi"/>
          <w:sz w:val="20"/>
          <w:szCs w:val="20"/>
          <w:lang w:val="es-CR"/>
        </w:rPr>
        <w:t xml:space="preserve">la </w:t>
      </w:r>
      <w:r w:rsidR="00013339" w:rsidRPr="007C6BE8">
        <w:rPr>
          <w:rFonts w:asciiTheme="majorHAnsi" w:hAnsiTheme="majorHAnsi"/>
          <w:sz w:val="20"/>
          <w:szCs w:val="20"/>
          <w:lang w:val="es-CR"/>
        </w:rPr>
        <w:t xml:space="preserve">presunta </w:t>
      </w:r>
      <w:r w:rsidR="00AD0313" w:rsidRPr="007C6BE8">
        <w:rPr>
          <w:rFonts w:asciiTheme="majorHAnsi" w:hAnsiTheme="majorHAnsi"/>
          <w:sz w:val="20"/>
          <w:szCs w:val="20"/>
          <w:lang w:val="es-CR"/>
        </w:rPr>
        <w:t xml:space="preserve">desaparición y </w:t>
      </w:r>
      <w:r w:rsidR="00431664" w:rsidRPr="007C6BE8">
        <w:rPr>
          <w:rFonts w:asciiTheme="majorHAnsi" w:hAnsiTheme="majorHAnsi"/>
          <w:sz w:val="20"/>
          <w:szCs w:val="20"/>
          <w:lang w:val="es-CR"/>
        </w:rPr>
        <w:t xml:space="preserve">muerte </w:t>
      </w:r>
      <w:r w:rsidRPr="007C6BE8">
        <w:rPr>
          <w:rFonts w:asciiTheme="majorHAnsi" w:hAnsiTheme="majorHAnsi"/>
          <w:sz w:val="20"/>
          <w:szCs w:val="20"/>
          <w:lang w:val="es-CR"/>
        </w:rPr>
        <w:t xml:space="preserve">del señor Norberto Javier Restrepo </w:t>
      </w:r>
      <w:r w:rsidR="00431664" w:rsidRPr="007C6BE8">
        <w:rPr>
          <w:rFonts w:asciiTheme="majorHAnsi" w:hAnsiTheme="majorHAnsi"/>
          <w:sz w:val="20"/>
          <w:szCs w:val="20"/>
          <w:lang w:val="es-CR"/>
        </w:rPr>
        <w:t>se siguió una investigación penal que</w:t>
      </w:r>
      <w:r w:rsidR="00C83E8F" w:rsidRPr="007C6BE8">
        <w:rPr>
          <w:rFonts w:asciiTheme="majorHAnsi" w:hAnsiTheme="majorHAnsi"/>
          <w:sz w:val="20"/>
          <w:szCs w:val="20"/>
          <w:lang w:val="es-CR"/>
        </w:rPr>
        <w:t>,</w:t>
      </w:r>
      <w:r w:rsidR="00431664" w:rsidRPr="007C6BE8">
        <w:rPr>
          <w:rFonts w:asciiTheme="majorHAnsi" w:hAnsiTheme="majorHAnsi"/>
          <w:sz w:val="20"/>
          <w:szCs w:val="20"/>
          <w:lang w:val="es-CR"/>
        </w:rPr>
        <w:t xml:space="preserve"> según la última información aportada</w:t>
      </w:r>
      <w:r w:rsidR="00C83E8F" w:rsidRPr="007C6BE8">
        <w:rPr>
          <w:rFonts w:asciiTheme="majorHAnsi" w:hAnsiTheme="majorHAnsi"/>
          <w:sz w:val="20"/>
          <w:szCs w:val="20"/>
          <w:lang w:val="es-CR"/>
        </w:rPr>
        <w:t>,</w:t>
      </w:r>
      <w:r w:rsidR="00431664" w:rsidRPr="007C6BE8">
        <w:rPr>
          <w:rFonts w:asciiTheme="majorHAnsi" w:hAnsiTheme="majorHAnsi"/>
          <w:sz w:val="20"/>
          <w:szCs w:val="20"/>
          <w:lang w:val="es-CR"/>
        </w:rPr>
        <w:t xml:space="preserve"> se encontraría en etapa preliminar. Asimismo, el análisis de las irregularidades en la diligencia de levantamiento de cadáver fue materia de un procedimiento disciplinario.  </w:t>
      </w:r>
    </w:p>
    <w:p w:rsidR="00431664" w:rsidRPr="007C6BE8" w:rsidRDefault="00431664"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431664" w:rsidRPr="007C6BE8" w:rsidRDefault="00431664"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El 27 de abril de 2011 la Comisión solicitó al Estado la presentación de copias de l</w:t>
      </w:r>
      <w:r w:rsidR="00CB4798" w:rsidRPr="007C6BE8">
        <w:rPr>
          <w:rFonts w:asciiTheme="majorHAnsi" w:hAnsiTheme="majorHAnsi"/>
          <w:sz w:val="20"/>
          <w:szCs w:val="20"/>
          <w:lang w:val="es-CR"/>
        </w:rPr>
        <w:t>as piezas principales de l</w:t>
      </w:r>
      <w:r w:rsidRPr="007C6BE8">
        <w:rPr>
          <w:rFonts w:asciiTheme="majorHAnsi" w:hAnsiTheme="majorHAnsi"/>
          <w:sz w:val="20"/>
          <w:szCs w:val="20"/>
          <w:lang w:val="es-CR"/>
        </w:rPr>
        <w:t xml:space="preserve">os expedientes judiciales, disciplinarios y administrativos relacionados con el caso, dentro del plazo de un mes. El 27 de mayo de 2011 el Estado informó que dicha solicitud había sido elevada a las autoridades competentes en el orden interno. El 11 de abril de 2012 la CIDH reiteró dicha solicitud. </w:t>
      </w:r>
      <w:r w:rsidR="001F13B0" w:rsidRPr="007C6BE8">
        <w:rPr>
          <w:rFonts w:asciiTheme="majorHAnsi" w:hAnsiTheme="majorHAnsi"/>
          <w:sz w:val="20"/>
          <w:szCs w:val="20"/>
          <w:lang w:val="es-CR"/>
        </w:rPr>
        <w:t xml:space="preserve"> </w:t>
      </w:r>
      <w:r w:rsidRPr="007C6BE8">
        <w:rPr>
          <w:rFonts w:asciiTheme="majorHAnsi" w:hAnsiTheme="majorHAnsi"/>
          <w:sz w:val="20"/>
          <w:szCs w:val="20"/>
          <w:lang w:val="es-CR"/>
        </w:rPr>
        <w:t xml:space="preserve">Mediante comunicación de 13 de julio de 2012 el Estado </w:t>
      </w:r>
      <w:r w:rsidR="00DE083D" w:rsidRPr="007C6BE8">
        <w:rPr>
          <w:rFonts w:asciiTheme="majorHAnsi" w:hAnsiTheme="majorHAnsi"/>
          <w:sz w:val="20"/>
          <w:szCs w:val="20"/>
          <w:lang w:val="es-CR"/>
        </w:rPr>
        <w:t xml:space="preserve">informó </w:t>
      </w:r>
      <w:r w:rsidRPr="007C6BE8">
        <w:rPr>
          <w:rFonts w:asciiTheme="majorHAnsi" w:hAnsiTheme="majorHAnsi"/>
          <w:sz w:val="20"/>
          <w:szCs w:val="20"/>
          <w:lang w:val="es-CR"/>
        </w:rPr>
        <w:t>que la Fiscalía General de</w:t>
      </w:r>
      <w:r w:rsidR="00C3255D" w:rsidRPr="007C6BE8">
        <w:rPr>
          <w:rFonts w:asciiTheme="majorHAnsi" w:hAnsiTheme="majorHAnsi"/>
          <w:sz w:val="20"/>
          <w:szCs w:val="20"/>
          <w:lang w:val="es-CR"/>
        </w:rPr>
        <w:t xml:space="preserve"> la Nación había manifestado que “</w:t>
      </w:r>
      <w:r w:rsidRPr="007C6BE8">
        <w:rPr>
          <w:rFonts w:asciiTheme="majorHAnsi" w:hAnsiTheme="majorHAnsi"/>
          <w:sz w:val="20"/>
          <w:szCs w:val="20"/>
          <w:lang w:val="es-CR"/>
        </w:rPr>
        <w:t>no era posible remitir copia del expediente penal, toda vez que las piezas procesales contenidas en el mismo son objeto de reserva sumarial. Lo anterior de conformidad con lo establecido en el artículo 330 del Código de Procedimiento Penal</w:t>
      </w:r>
      <w:r w:rsidR="007048B2" w:rsidRPr="007C6BE8">
        <w:rPr>
          <w:rFonts w:asciiTheme="majorHAnsi" w:hAnsiTheme="majorHAnsi"/>
          <w:sz w:val="20"/>
          <w:szCs w:val="20"/>
          <w:lang w:val="es-CR"/>
        </w:rPr>
        <w:t>”</w:t>
      </w:r>
      <w:r w:rsidRPr="007C6BE8">
        <w:rPr>
          <w:rStyle w:val="FootnoteReference"/>
          <w:rFonts w:asciiTheme="majorHAnsi" w:hAnsiTheme="majorHAnsi"/>
          <w:sz w:val="20"/>
          <w:szCs w:val="20"/>
        </w:rPr>
        <w:footnoteReference w:id="11"/>
      </w:r>
      <w:r w:rsidRPr="007C6BE8">
        <w:rPr>
          <w:rFonts w:asciiTheme="majorHAnsi" w:hAnsiTheme="majorHAnsi"/>
          <w:sz w:val="20"/>
          <w:szCs w:val="20"/>
          <w:lang w:val="es-CR"/>
        </w:rPr>
        <w:t>.</w:t>
      </w:r>
      <w:r w:rsidR="002D0FAC" w:rsidRPr="007C6BE8">
        <w:rPr>
          <w:rFonts w:asciiTheme="majorHAnsi" w:hAnsiTheme="majorHAnsi"/>
          <w:sz w:val="20"/>
          <w:szCs w:val="20"/>
          <w:lang w:val="es-CR"/>
        </w:rPr>
        <w:t xml:space="preserve"> </w:t>
      </w:r>
    </w:p>
    <w:p w:rsidR="00180E93" w:rsidRPr="007C6BE8" w:rsidRDefault="00180E93" w:rsidP="008402AC">
      <w:pPr>
        <w:jc w:val="both"/>
        <w:rPr>
          <w:rFonts w:asciiTheme="majorHAnsi" w:hAnsiTheme="majorHAnsi"/>
          <w:sz w:val="20"/>
          <w:szCs w:val="20"/>
          <w:lang w:val="es-CR"/>
        </w:rPr>
      </w:pPr>
    </w:p>
    <w:p w:rsidR="00AD0313" w:rsidRPr="007C6BE8" w:rsidRDefault="00844955"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ES_tradnl"/>
        </w:rPr>
        <w:t>Ya los órganos del sistema se han pronunciado sobre l</w:t>
      </w:r>
      <w:r w:rsidR="00AD0313" w:rsidRPr="007C6BE8">
        <w:rPr>
          <w:rFonts w:asciiTheme="majorHAnsi" w:hAnsiTheme="majorHAnsi"/>
          <w:sz w:val="20"/>
          <w:szCs w:val="20"/>
          <w:lang w:val="es-ES_tradnl"/>
        </w:rPr>
        <w:t xml:space="preserve">a negativa a proporcionar </w:t>
      </w:r>
      <w:r w:rsidR="00310205" w:rsidRPr="007C6BE8">
        <w:rPr>
          <w:rFonts w:asciiTheme="majorHAnsi" w:hAnsiTheme="majorHAnsi"/>
          <w:sz w:val="20"/>
          <w:szCs w:val="20"/>
          <w:lang w:val="es-ES_tradnl"/>
        </w:rPr>
        <w:t xml:space="preserve">expedientes internos </w:t>
      </w:r>
      <w:r w:rsidRPr="007C6BE8">
        <w:rPr>
          <w:rFonts w:asciiTheme="majorHAnsi" w:hAnsiTheme="majorHAnsi"/>
          <w:sz w:val="20"/>
          <w:szCs w:val="20"/>
          <w:lang w:val="es-ES_tradnl"/>
        </w:rPr>
        <w:t xml:space="preserve">por parte de los Estados. Así, </w:t>
      </w:r>
      <w:r w:rsidR="007A076E" w:rsidRPr="007C6BE8">
        <w:rPr>
          <w:rFonts w:asciiTheme="majorHAnsi" w:hAnsiTheme="majorHAnsi"/>
          <w:sz w:val="20"/>
          <w:szCs w:val="20"/>
          <w:lang w:val="es-ES_tradnl"/>
        </w:rPr>
        <w:t xml:space="preserve">en el caso </w:t>
      </w:r>
      <w:r w:rsidR="007A076E" w:rsidRPr="007C6BE8">
        <w:rPr>
          <w:rFonts w:asciiTheme="majorHAnsi" w:hAnsiTheme="majorHAnsi"/>
          <w:i/>
          <w:sz w:val="20"/>
          <w:szCs w:val="20"/>
          <w:lang w:val="es-ES_tradnl"/>
        </w:rPr>
        <w:t>Radilla Pacheco y otros vs. México,</w:t>
      </w:r>
      <w:r w:rsidR="007A076E" w:rsidRPr="007C6BE8">
        <w:rPr>
          <w:rFonts w:asciiTheme="majorHAnsi" w:hAnsiTheme="majorHAnsi"/>
          <w:sz w:val="20"/>
          <w:szCs w:val="20"/>
          <w:lang w:val="es-ES_tradnl"/>
        </w:rPr>
        <w:t xml:space="preserve"> la Corte dio respuesta a argumentos de similar naturaleza en los siguientes términos: </w:t>
      </w:r>
    </w:p>
    <w:p w:rsidR="007A076E" w:rsidRPr="007C6BE8" w:rsidRDefault="007A076E" w:rsidP="00B1793F">
      <w:pPr>
        <w:pStyle w:val="ListParagraph"/>
        <w:rPr>
          <w:rFonts w:asciiTheme="majorHAnsi" w:hAnsiTheme="majorHAnsi"/>
          <w:sz w:val="20"/>
          <w:szCs w:val="20"/>
          <w:lang w:val="es-CR"/>
        </w:rPr>
      </w:pPr>
    </w:p>
    <w:p w:rsidR="007A076E" w:rsidRPr="007C6BE8" w:rsidRDefault="007A076E" w:rsidP="00B1793F">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hAnsiTheme="majorHAnsi"/>
          <w:sz w:val="20"/>
          <w:szCs w:val="20"/>
          <w:lang w:val="es-CR"/>
        </w:rPr>
      </w:pPr>
      <w:r w:rsidRPr="007C6BE8">
        <w:rPr>
          <w:rFonts w:asciiTheme="majorHAnsi" w:hAnsiTheme="majorHAnsi"/>
          <w:sz w:val="20"/>
          <w:szCs w:val="20"/>
          <w:lang w:val="es-CR"/>
        </w:rPr>
        <w:t>Como lo ha hecho en ocasiones anteriores</w:t>
      </w:r>
      <w:r w:rsidRPr="007C6BE8">
        <w:rPr>
          <w:rStyle w:val="FootnoteReference"/>
          <w:rFonts w:asciiTheme="majorHAnsi" w:hAnsiTheme="majorHAnsi"/>
          <w:sz w:val="20"/>
          <w:szCs w:val="20"/>
          <w:lang w:val="es-CR"/>
        </w:rPr>
        <w:footnoteReference w:id="12"/>
      </w:r>
      <w:r w:rsidRPr="007C6BE8">
        <w:rPr>
          <w:rFonts w:asciiTheme="majorHAnsi" w:hAnsiTheme="majorHAnsi"/>
          <w:sz w:val="20"/>
          <w:szCs w:val="20"/>
          <w:lang w:val="es-CR"/>
        </w:rPr>
        <w:t xml:space="preserve">, la Corte considera pertinente señalar que la reserva de información a personas ajenas al proceso en la fase preparatoria de las investigaciones penales se halla prevista en diversas legislaciones internas. (…) La restricción mencionada puede resultar atendible en los procesos internos, pues la divulgación de ciertos contenidos en una etapa preliminar de las investigaciones podría obstruirlas o causar perjuicios a las personas. Sin embargo, para efectos de la jurisdicción internacional de este Tribunal, es el Estado quien tiene el control de los medios para aclarar hechos ocurridos dentro de su territorio y, por ello, su defensa no puede descansar sobre la </w:t>
      </w:r>
      <w:r w:rsidRPr="007C6BE8">
        <w:rPr>
          <w:rFonts w:asciiTheme="majorHAnsi" w:hAnsiTheme="majorHAnsi"/>
          <w:sz w:val="20"/>
          <w:szCs w:val="20"/>
          <w:lang w:val="es-CR"/>
        </w:rPr>
        <w:lastRenderedPageBreak/>
        <w:t>imposibilidad del demandante de allegar pruebas que, en muchos casos, no pueden obtenerse sin la cooperación de las autoridades estatales</w:t>
      </w:r>
      <w:r w:rsidR="00CB6C8F" w:rsidRPr="007C6BE8">
        <w:rPr>
          <w:rStyle w:val="FootnoteReference"/>
          <w:rFonts w:asciiTheme="majorHAnsi" w:hAnsiTheme="majorHAnsi"/>
          <w:sz w:val="20"/>
          <w:szCs w:val="20"/>
          <w:lang w:val="es-CR"/>
        </w:rPr>
        <w:footnoteReference w:id="13"/>
      </w:r>
      <w:r w:rsidRPr="007C6BE8">
        <w:rPr>
          <w:rFonts w:asciiTheme="majorHAnsi" w:hAnsiTheme="majorHAnsi"/>
          <w:sz w:val="20"/>
          <w:szCs w:val="20"/>
          <w:lang w:val="es-CR"/>
        </w:rPr>
        <w:t>.</w:t>
      </w:r>
    </w:p>
    <w:p w:rsidR="007A076E" w:rsidRPr="007C6BE8" w:rsidRDefault="007A076E" w:rsidP="00B1793F">
      <w:pPr>
        <w:ind w:right="99"/>
        <w:jc w:val="both"/>
        <w:rPr>
          <w:rFonts w:asciiTheme="majorHAnsi" w:hAnsiTheme="majorHAnsi"/>
          <w:sz w:val="20"/>
          <w:szCs w:val="20"/>
          <w:lang w:val="es-CR"/>
        </w:rPr>
      </w:pPr>
    </w:p>
    <w:p w:rsidR="007A076E" w:rsidRPr="007C6BE8" w:rsidRDefault="007A076E"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 xml:space="preserve">En el </w:t>
      </w:r>
      <w:r w:rsidRPr="007C6BE8">
        <w:rPr>
          <w:rFonts w:asciiTheme="majorHAnsi" w:hAnsiTheme="majorHAnsi"/>
          <w:sz w:val="20"/>
          <w:szCs w:val="20"/>
          <w:lang w:val="es-ES_tradnl"/>
        </w:rPr>
        <w:t>mismo</w:t>
      </w:r>
      <w:r w:rsidRPr="007C6BE8">
        <w:rPr>
          <w:rFonts w:asciiTheme="majorHAnsi" w:hAnsiTheme="majorHAnsi"/>
          <w:sz w:val="20"/>
          <w:szCs w:val="20"/>
          <w:lang w:val="es-CR"/>
        </w:rPr>
        <w:t xml:space="preserve"> caso, la Corte Interamericana tomó nota de que la Corte Europea de Derechos Humanos también ha rechazado argumentos estatales para no enviar información relativa a expedientes penales solicitados por dicho Tribunal</w:t>
      </w:r>
      <w:r w:rsidR="00203C09" w:rsidRPr="007C6BE8">
        <w:rPr>
          <w:rStyle w:val="FootnoteReference"/>
          <w:rFonts w:asciiTheme="majorHAnsi" w:hAnsiTheme="majorHAnsi"/>
          <w:sz w:val="20"/>
          <w:szCs w:val="20"/>
          <w:lang w:val="es-CR"/>
        </w:rPr>
        <w:footnoteReference w:id="14"/>
      </w:r>
      <w:r w:rsidRPr="007C6BE8">
        <w:rPr>
          <w:rFonts w:asciiTheme="majorHAnsi" w:hAnsiTheme="majorHAnsi"/>
          <w:sz w:val="20"/>
          <w:szCs w:val="20"/>
          <w:lang w:val="es-CR"/>
        </w:rPr>
        <w:t xml:space="preserve">. La Corte Europea consideró “insuficiente alegar, </w:t>
      </w:r>
      <w:r w:rsidRPr="007C6BE8">
        <w:rPr>
          <w:rFonts w:asciiTheme="majorHAnsi" w:hAnsiTheme="majorHAnsi"/>
          <w:i/>
          <w:sz w:val="20"/>
          <w:szCs w:val="20"/>
          <w:lang w:val="es-CR"/>
        </w:rPr>
        <w:t>inter alia</w:t>
      </w:r>
      <w:r w:rsidRPr="007C6BE8">
        <w:rPr>
          <w:rFonts w:asciiTheme="majorHAnsi" w:hAnsiTheme="majorHAnsi"/>
          <w:sz w:val="20"/>
          <w:szCs w:val="20"/>
          <w:lang w:val="es-CR"/>
        </w:rPr>
        <w:t>, que la investigación criminal estaba pendiente y que el expediente contenía documentos clasificados como secretos”</w:t>
      </w:r>
      <w:r w:rsidRPr="007C6BE8">
        <w:rPr>
          <w:rStyle w:val="FootnoteReference"/>
          <w:rFonts w:asciiTheme="majorHAnsi" w:hAnsiTheme="majorHAnsi"/>
          <w:sz w:val="20"/>
          <w:szCs w:val="20"/>
        </w:rPr>
        <w:footnoteReference w:id="15"/>
      </w:r>
      <w:r w:rsidRPr="007C6BE8">
        <w:rPr>
          <w:rFonts w:asciiTheme="majorHAnsi" w:hAnsiTheme="majorHAnsi"/>
          <w:sz w:val="20"/>
          <w:szCs w:val="20"/>
          <w:lang w:val="es-CR"/>
        </w:rPr>
        <w:t>.</w:t>
      </w:r>
    </w:p>
    <w:p w:rsidR="007A076E" w:rsidRPr="007C6BE8" w:rsidRDefault="007A076E" w:rsidP="00B1793F">
      <w:pPr>
        <w:pBdr>
          <w:top w:val="none" w:sz="0" w:space="0" w:color="auto"/>
          <w:left w:val="none" w:sz="0" w:space="0" w:color="auto"/>
          <w:bottom w:val="none" w:sz="0" w:space="0" w:color="auto"/>
          <w:right w:val="none" w:sz="0" w:space="0" w:color="auto"/>
          <w:between w:val="none" w:sz="0" w:space="0" w:color="auto"/>
          <w:bar w:val="none" w:sz="0" w:color="auto"/>
        </w:pBdr>
        <w:ind w:right="99"/>
        <w:jc w:val="both"/>
        <w:rPr>
          <w:rFonts w:asciiTheme="majorHAnsi" w:hAnsiTheme="majorHAnsi"/>
          <w:sz w:val="20"/>
          <w:szCs w:val="20"/>
          <w:lang w:val="es-CR"/>
        </w:rPr>
      </w:pPr>
    </w:p>
    <w:p w:rsidR="004C529C" w:rsidRPr="007C6BE8" w:rsidRDefault="00583C0B"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 xml:space="preserve">En el presente caso, el Estado colombiano se limitó a negar el envío del expediente, indicando que el </w:t>
      </w:r>
      <w:r w:rsidR="001A0329" w:rsidRPr="007C6BE8">
        <w:rPr>
          <w:rFonts w:asciiTheme="majorHAnsi" w:hAnsiTheme="majorHAnsi"/>
          <w:sz w:val="20"/>
          <w:szCs w:val="20"/>
          <w:lang w:val="es-CR"/>
        </w:rPr>
        <w:t xml:space="preserve">mismo </w:t>
      </w:r>
      <w:r w:rsidRPr="007C6BE8">
        <w:rPr>
          <w:rFonts w:asciiTheme="majorHAnsi" w:hAnsiTheme="majorHAnsi"/>
          <w:sz w:val="20"/>
          <w:szCs w:val="20"/>
          <w:lang w:val="es-CR"/>
        </w:rPr>
        <w:t>se encontraba bajo reserva conforme a la normativa procesal penal interna.  Al igual que lo ha hecho la Corte, la Comisión considera que esta actuación del Estado no puede redundar en perjuicio de las víctimas</w:t>
      </w:r>
      <w:r w:rsidRPr="007C6BE8">
        <w:rPr>
          <w:rStyle w:val="FootnoteReference"/>
          <w:rFonts w:asciiTheme="majorHAnsi" w:eastAsia="Times New Roman" w:hAnsiTheme="majorHAnsi"/>
          <w:sz w:val="20"/>
          <w:szCs w:val="20"/>
          <w:bdr w:val="none" w:sz="0" w:space="0" w:color="auto"/>
          <w:lang w:val="es-ES_tradnl"/>
        </w:rPr>
        <w:footnoteReference w:id="16"/>
      </w:r>
      <w:r w:rsidRPr="007C6BE8">
        <w:rPr>
          <w:rFonts w:asciiTheme="majorHAnsi" w:hAnsiTheme="majorHAnsi"/>
          <w:sz w:val="20"/>
          <w:szCs w:val="20"/>
          <w:lang w:val="es-CR"/>
        </w:rPr>
        <w:t xml:space="preserve"> y, por lo tanto, conforme a la práctica de la misma Corte, en este caso “se tendrán por establecidos los hechos presentados (…) cuando sólo sea posible desvirtuarlos a través de la prueba que el Estado debió remitir y éste se negó a hacerlo”</w:t>
      </w:r>
      <w:r w:rsidR="004C529C" w:rsidRPr="007C6BE8">
        <w:rPr>
          <w:rStyle w:val="FootnoteReference"/>
          <w:rFonts w:asciiTheme="majorHAnsi" w:eastAsia="Times New Roman" w:hAnsiTheme="majorHAnsi"/>
          <w:sz w:val="20"/>
          <w:szCs w:val="20"/>
          <w:bdr w:val="none" w:sz="0" w:space="0" w:color="auto"/>
          <w:lang w:val="es-ES_tradnl"/>
        </w:rPr>
        <w:footnoteReference w:id="17"/>
      </w:r>
      <w:r w:rsidRPr="007C6BE8">
        <w:rPr>
          <w:rFonts w:asciiTheme="majorHAnsi" w:hAnsiTheme="majorHAnsi"/>
          <w:sz w:val="20"/>
          <w:szCs w:val="20"/>
          <w:lang w:val="es-CR"/>
        </w:rPr>
        <w:t xml:space="preserve">. </w:t>
      </w:r>
    </w:p>
    <w:p w:rsidR="00844ED4" w:rsidRPr="007C6BE8" w:rsidRDefault="00844ED4">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20"/>
          <w:szCs w:val="20"/>
          <w:lang w:val="es-CR"/>
        </w:rPr>
      </w:pPr>
    </w:p>
    <w:p w:rsidR="00883834" w:rsidRPr="007C6BE8" w:rsidRDefault="00AC711C"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cs="Times New Roman"/>
          <w:sz w:val="20"/>
          <w:szCs w:val="20"/>
          <w:lang w:val="es-ES_tradnl"/>
        </w:rPr>
        <w:t>L</w:t>
      </w:r>
      <w:r w:rsidR="001A0329" w:rsidRPr="007C6BE8">
        <w:rPr>
          <w:rFonts w:asciiTheme="majorHAnsi" w:hAnsiTheme="majorHAnsi" w:cs="Times New Roman"/>
          <w:sz w:val="20"/>
          <w:szCs w:val="20"/>
          <w:lang w:val="es-ES_tradnl"/>
        </w:rPr>
        <w:t>a Comisión destaca que t</w:t>
      </w:r>
      <w:r w:rsidR="000A4B8C" w:rsidRPr="007C6BE8">
        <w:rPr>
          <w:rFonts w:asciiTheme="majorHAnsi" w:hAnsiTheme="majorHAnsi" w:cs="Times New Roman"/>
          <w:sz w:val="20"/>
          <w:szCs w:val="20"/>
          <w:lang w:val="es-ES_tradnl"/>
        </w:rPr>
        <w:t>ratándose de un hecho cuyo elemento distintivo es precisamente el encubrimiento</w:t>
      </w:r>
      <w:r w:rsidR="00B13E3C" w:rsidRPr="007C6BE8">
        <w:rPr>
          <w:rFonts w:asciiTheme="majorHAnsi" w:hAnsiTheme="majorHAnsi" w:cs="Times New Roman"/>
          <w:sz w:val="20"/>
          <w:szCs w:val="20"/>
          <w:lang w:val="es-ES_tradnl"/>
        </w:rPr>
        <w:t xml:space="preserve"> y la dificultad de los familiares de obtener información oficial sobre lo sucedido,</w:t>
      </w:r>
      <w:r w:rsidR="000A4B8C" w:rsidRPr="007C6BE8">
        <w:rPr>
          <w:rFonts w:asciiTheme="majorHAnsi" w:hAnsiTheme="majorHAnsi" w:cs="Times New Roman"/>
          <w:sz w:val="20"/>
          <w:szCs w:val="20"/>
          <w:lang w:val="es-ES_tradnl"/>
        </w:rPr>
        <w:t xml:space="preserve"> </w:t>
      </w:r>
      <w:r w:rsidR="006857CC" w:rsidRPr="007C6BE8">
        <w:rPr>
          <w:rFonts w:asciiTheme="majorHAnsi" w:hAnsiTheme="majorHAnsi" w:cs="Times New Roman"/>
          <w:sz w:val="20"/>
          <w:szCs w:val="20"/>
          <w:lang w:val="es-ES_tradnl"/>
        </w:rPr>
        <w:t xml:space="preserve">los resultados de las investigaciones que lleve a cabo un Estado a nivel interno son </w:t>
      </w:r>
      <w:r w:rsidR="001A0329" w:rsidRPr="007C6BE8">
        <w:rPr>
          <w:rFonts w:asciiTheme="majorHAnsi" w:hAnsiTheme="majorHAnsi" w:cs="Times New Roman"/>
          <w:sz w:val="20"/>
          <w:szCs w:val="20"/>
          <w:lang w:val="es-ES_tradnl"/>
        </w:rPr>
        <w:t>cruciales</w:t>
      </w:r>
      <w:r w:rsidR="006857CC" w:rsidRPr="007C6BE8">
        <w:rPr>
          <w:rFonts w:asciiTheme="majorHAnsi" w:hAnsiTheme="majorHAnsi" w:cs="Times New Roman"/>
          <w:sz w:val="20"/>
          <w:szCs w:val="20"/>
          <w:lang w:val="es-ES_tradnl"/>
        </w:rPr>
        <w:t xml:space="preserve"> para que la Comisión pueda cumplir con su mandato de efectuar sus determinaciones de hecho y de derecho en el </w:t>
      </w:r>
      <w:r w:rsidR="009913F3" w:rsidRPr="007C6BE8">
        <w:rPr>
          <w:rFonts w:asciiTheme="majorHAnsi" w:hAnsiTheme="majorHAnsi" w:cs="Times New Roman"/>
          <w:sz w:val="20"/>
          <w:szCs w:val="20"/>
          <w:lang w:val="es-ES_tradnl"/>
        </w:rPr>
        <w:t xml:space="preserve">contexto de un caso individual. </w:t>
      </w:r>
    </w:p>
    <w:p w:rsidR="00883834" w:rsidRPr="007C6BE8" w:rsidRDefault="00883834"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546A6D" w:rsidRPr="007C6BE8" w:rsidRDefault="00546A6D" w:rsidP="00546A6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En relación con el expediente disciplinario el Estado informó que no estaba disponible dado que “fueron dadas de baja (…) una vez verificado el cumplimiento del trámite y de los tiempos de retención establecidos en la Tabla de Retención Documental”</w:t>
      </w:r>
      <w:r w:rsidRPr="007C6BE8">
        <w:rPr>
          <w:rStyle w:val="FootnoteReference"/>
          <w:rFonts w:asciiTheme="majorHAnsi" w:hAnsiTheme="majorHAnsi"/>
          <w:sz w:val="20"/>
          <w:szCs w:val="20"/>
        </w:rPr>
        <w:footnoteReference w:id="18"/>
      </w:r>
      <w:r w:rsidRPr="007C6BE8">
        <w:rPr>
          <w:rFonts w:asciiTheme="majorHAnsi" w:hAnsiTheme="majorHAnsi"/>
          <w:sz w:val="20"/>
          <w:szCs w:val="20"/>
          <w:lang w:val="es-CR"/>
        </w:rPr>
        <w:t xml:space="preserve">.  </w:t>
      </w:r>
      <w:r w:rsidRPr="007C6BE8">
        <w:rPr>
          <w:rFonts w:asciiTheme="majorHAnsi" w:hAnsiTheme="majorHAnsi"/>
          <w:sz w:val="20"/>
          <w:szCs w:val="20"/>
          <w:lang w:val="es-ES"/>
        </w:rPr>
        <w:t>Como se verificará más adelante, la Comisión notó que el Estado en algunas de sus comunicaciones se refirió a los hallazgos realizados en esta jurisdicción para soportar su ausencia de responsabilidad, sin embargo, no aportó en dicha oportunidad –cuando presumiblemente tenía en su poder el expediente para realizar tales valoraciones – copia de las certificaciones o piezas del expediente que respaldaran sus afirmaciones.</w:t>
      </w:r>
    </w:p>
    <w:p w:rsidR="00546A6D" w:rsidRPr="007C6BE8" w:rsidRDefault="00546A6D"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CB3F22" w:rsidRPr="007C6BE8" w:rsidRDefault="00B1793F"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ES_tradnl"/>
        </w:rPr>
        <w:t>E</w:t>
      </w:r>
      <w:r w:rsidR="00AD0313" w:rsidRPr="007C6BE8">
        <w:rPr>
          <w:rFonts w:asciiTheme="majorHAnsi" w:hAnsiTheme="majorHAnsi"/>
          <w:sz w:val="20"/>
          <w:szCs w:val="20"/>
          <w:lang w:val="es-ES_tradnl"/>
        </w:rPr>
        <w:t>n aplicación de</w:t>
      </w:r>
      <w:r w:rsidRPr="007C6BE8">
        <w:rPr>
          <w:rFonts w:asciiTheme="majorHAnsi" w:hAnsiTheme="majorHAnsi"/>
          <w:sz w:val="20"/>
          <w:szCs w:val="20"/>
          <w:lang w:val="es-ES_tradnl"/>
        </w:rPr>
        <w:t xml:space="preserve"> todo lo indicado en esta sección, </w:t>
      </w:r>
      <w:r w:rsidR="00AD0313" w:rsidRPr="007C6BE8">
        <w:rPr>
          <w:rFonts w:asciiTheme="majorHAnsi" w:hAnsiTheme="majorHAnsi"/>
          <w:sz w:val="20"/>
          <w:szCs w:val="20"/>
          <w:lang w:val="es-ES_tradnl"/>
        </w:rPr>
        <w:t xml:space="preserve">la Comisión procederá </w:t>
      </w:r>
      <w:r w:rsidR="007775CE" w:rsidRPr="007C6BE8">
        <w:rPr>
          <w:rFonts w:asciiTheme="majorHAnsi" w:hAnsiTheme="majorHAnsi"/>
          <w:sz w:val="20"/>
          <w:szCs w:val="20"/>
          <w:lang w:val="es-ES_tradnl"/>
        </w:rPr>
        <w:t xml:space="preserve">en el presente informe a </w:t>
      </w:r>
      <w:r w:rsidR="00AD0313" w:rsidRPr="007C6BE8">
        <w:rPr>
          <w:rFonts w:asciiTheme="majorHAnsi" w:hAnsiTheme="majorHAnsi"/>
          <w:sz w:val="20"/>
          <w:szCs w:val="20"/>
          <w:lang w:val="es-ES_tradnl"/>
        </w:rPr>
        <w:t xml:space="preserve">valorar las pruebas y determinar los hechos </w:t>
      </w:r>
      <w:r w:rsidR="001F13B0" w:rsidRPr="007C6BE8">
        <w:rPr>
          <w:rFonts w:asciiTheme="majorHAnsi" w:hAnsiTheme="majorHAnsi"/>
          <w:sz w:val="20"/>
          <w:szCs w:val="20"/>
          <w:lang w:val="es-ES_tradnl"/>
        </w:rPr>
        <w:t xml:space="preserve">sobre lo ocurrido con el señor Norberto Javier Restrepo </w:t>
      </w:r>
      <w:r w:rsidR="00AD0313" w:rsidRPr="007C6BE8">
        <w:rPr>
          <w:rFonts w:asciiTheme="majorHAnsi" w:hAnsiTheme="majorHAnsi"/>
          <w:sz w:val="20"/>
          <w:szCs w:val="20"/>
          <w:lang w:val="es-ES_tradnl"/>
        </w:rPr>
        <w:t>con base en las re</w:t>
      </w:r>
      <w:r w:rsidR="001F13B0" w:rsidRPr="007C6BE8">
        <w:rPr>
          <w:rFonts w:asciiTheme="majorHAnsi" w:hAnsiTheme="majorHAnsi"/>
          <w:sz w:val="20"/>
          <w:szCs w:val="20"/>
          <w:lang w:val="es-ES_tradnl"/>
        </w:rPr>
        <w:t>glas de la carga de la prueba y</w:t>
      </w:r>
      <w:r w:rsidR="00AD0313" w:rsidRPr="007C6BE8">
        <w:rPr>
          <w:rFonts w:asciiTheme="majorHAnsi" w:hAnsiTheme="majorHAnsi"/>
          <w:sz w:val="20"/>
          <w:szCs w:val="20"/>
          <w:lang w:val="es-ES_tradnl"/>
        </w:rPr>
        <w:t xml:space="preserve"> la información disponible</w:t>
      </w:r>
      <w:r w:rsidR="001F13B0" w:rsidRPr="007C6BE8">
        <w:rPr>
          <w:rFonts w:asciiTheme="majorHAnsi" w:hAnsiTheme="majorHAnsi"/>
          <w:sz w:val="20"/>
          <w:szCs w:val="20"/>
          <w:lang w:val="es-ES_tradnl"/>
        </w:rPr>
        <w:t xml:space="preserve"> aportada por las partes</w:t>
      </w:r>
      <w:r w:rsidR="00670C38" w:rsidRPr="007C6BE8">
        <w:rPr>
          <w:rFonts w:asciiTheme="majorHAnsi" w:hAnsiTheme="majorHAnsi"/>
          <w:sz w:val="20"/>
          <w:szCs w:val="20"/>
          <w:lang w:val="es-ES_tradnl"/>
        </w:rPr>
        <w:t xml:space="preserve">, tomando en especial consideración la naturaleza de la violación alegada. </w:t>
      </w:r>
      <w:r w:rsidR="00CB3F22" w:rsidRPr="007C6BE8">
        <w:rPr>
          <w:rFonts w:asciiTheme="majorHAnsi" w:hAnsiTheme="majorHAnsi"/>
          <w:sz w:val="20"/>
          <w:szCs w:val="20"/>
          <w:lang w:val="es-CR"/>
        </w:rPr>
        <w:t>Adicionalmente, e</w:t>
      </w:r>
      <w:r w:rsidR="00CB3F22" w:rsidRPr="007C6BE8">
        <w:rPr>
          <w:rFonts w:asciiTheme="majorHAnsi" w:hAnsiTheme="majorHAnsi"/>
          <w:sz w:val="20"/>
          <w:szCs w:val="20"/>
          <w:lang w:val="es-ES"/>
        </w:rPr>
        <w:t>n aplicación del artículo 43.1 de su Reglamento</w:t>
      </w:r>
      <w:r w:rsidR="00CB3F22" w:rsidRPr="007C6BE8">
        <w:rPr>
          <w:rStyle w:val="FootnoteReference"/>
          <w:rFonts w:asciiTheme="majorHAnsi" w:hAnsiTheme="majorHAnsi"/>
          <w:sz w:val="20"/>
          <w:szCs w:val="20"/>
          <w:lang w:val="es-ES"/>
        </w:rPr>
        <w:footnoteReference w:id="19"/>
      </w:r>
      <w:r w:rsidR="00CB3F22" w:rsidRPr="007C6BE8">
        <w:rPr>
          <w:rFonts w:asciiTheme="majorHAnsi" w:hAnsiTheme="majorHAnsi"/>
          <w:sz w:val="20"/>
          <w:szCs w:val="20"/>
          <w:lang w:val="es-ES"/>
        </w:rPr>
        <w:t xml:space="preserve">, la Comisión podrá tener además en cuenta la información de público </w:t>
      </w:r>
      <w:r w:rsidR="00CB3F22" w:rsidRPr="007C6BE8">
        <w:rPr>
          <w:rFonts w:asciiTheme="majorHAnsi" w:hAnsiTheme="majorHAnsi"/>
          <w:sz w:val="20"/>
          <w:szCs w:val="20"/>
          <w:lang w:val="es-ES"/>
        </w:rPr>
        <w:lastRenderedPageBreak/>
        <w:t>conocimiento, incluyendo resoluciones de comités del sistema universal de derechos humanos, informes de la propia CIDH sobre peticiones y casos y sobre la situación general de los derechos humanos en Colombia, publicaciones de organizaciones no gubernamentales, leyes, decretos y otros actos normativos vigentes a la época de los hechos alegados por las partes.</w:t>
      </w:r>
    </w:p>
    <w:p w:rsidR="00B1793F" w:rsidRPr="007C6BE8" w:rsidRDefault="00B1793F" w:rsidP="00180E93">
      <w:pPr>
        <w:pStyle w:val="Heading2"/>
        <w:rPr>
          <w:rFonts w:asciiTheme="majorHAnsi" w:hAnsiTheme="majorHAnsi"/>
          <w:sz w:val="18"/>
          <w:szCs w:val="18"/>
        </w:rPr>
      </w:pPr>
    </w:p>
    <w:p w:rsidR="007449EF" w:rsidRPr="007C6BE8" w:rsidRDefault="00C479D4" w:rsidP="00180E93">
      <w:pPr>
        <w:pStyle w:val="Heading2"/>
        <w:rPr>
          <w:rFonts w:asciiTheme="majorHAnsi" w:hAnsiTheme="majorHAnsi"/>
        </w:rPr>
      </w:pPr>
      <w:bookmarkStart w:id="37" w:name="_Toc414371978"/>
      <w:bookmarkStart w:id="38" w:name="_Toc421786408"/>
      <w:bookmarkStart w:id="39" w:name="_Toc529794710"/>
      <w:r w:rsidRPr="007C6BE8">
        <w:rPr>
          <w:rFonts w:asciiTheme="majorHAnsi" w:hAnsiTheme="majorHAnsi"/>
        </w:rPr>
        <w:t>B.</w:t>
      </w:r>
      <w:r w:rsidRPr="007C6BE8">
        <w:rPr>
          <w:rFonts w:asciiTheme="majorHAnsi" w:hAnsiTheme="majorHAnsi"/>
        </w:rPr>
        <w:tab/>
      </w:r>
      <w:r w:rsidR="007449EF" w:rsidRPr="007C6BE8">
        <w:rPr>
          <w:rFonts w:asciiTheme="majorHAnsi" w:hAnsiTheme="majorHAnsi"/>
        </w:rPr>
        <w:t>Hechos probados</w:t>
      </w:r>
      <w:bookmarkEnd w:id="28"/>
      <w:bookmarkEnd w:id="37"/>
      <w:bookmarkEnd w:id="38"/>
      <w:bookmarkEnd w:id="39"/>
    </w:p>
    <w:p w:rsidR="00B1793F" w:rsidRPr="007C6BE8" w:rsidRDefault="00B1793F" w:rsidP="00B1793F">
      <w:pPr>
        <w:rPr>
          <w:rFonts w:asciiTheme="majorHAnsi" w:hAnsiTheme="majorHAnsi"/>
          <w:sz w:val="18"/>
          <w:szCs w:val="18"/>
          <w:lang w:val="es-CO"/>
        </w:rPr>
      </w:pPr>
    </w:p>
    <w:p w:rsidR="00CC21DF" w:rsidRPr="007C6BE8" w:rsidRDefault="007449EF" w:rsidP="00B1793F">
      <w:pPr>
        <w:pStyle w:val="Heading3"/>
        <w:spacing w:before="0" w:after="0"/>
        <w:ind w:left="1440" w:hanging="720"/>
        <w:jc w:val="both"/>
        <w:rPr>
          <w:rFonts w:asciiTheme="majorHAnsi" w:hAnsiTheme="majorHAnsi"/>
          <w:sz w:val="20"/>
          <w:szCs w:val="20"/>
          <w:lang w:val="es-CR"/>
        </w:rPr>
      </w:pPr>
      <w:bookmarkStart w:id="40" w:name="_Toc414371979"/>
      <w:bookmarkStart w:id="41" w:name="_Toc421786409"/>
      <w:bookmarkStart w:id="42" w:name="_Toc529794711"/>
      <w:bookmarkStart w:id="43" w:name="_Toc409709267"/>
      <w:r w:rsidRPr="007C6BE8">
        <w:rPr>
          <w:rFonts w:asciiTheme="majorHAnsi" w:hAnsiTheme="majorHAnsi"/>
          <w:sz w:val="20"/>
          <w:szCs w:val="20"/>
          <w:lang w:val="es-CR"/>
        </w:rPr>
        <w:t>1.</w:t>
      </w:r>
      <w:r w:rsidRPr="007C6BE8">
        <w:rPr>
          <w:rFonts w:asciiTheme="majorHAnsi" w:hAnsiTheme="majorHAnsi"/>
          <w:sz w:val="20"/>
          <w:szCs w:val="20"/>
          <w:lang w:val="es-CR"/>
        </w:rPr>
        <w:tab/>
      </w:r>
      <w:r w:rsidR="00CC21DF" w:rsidRPr="007C6BE8">
        <w:rPr>
          <w:rFonts w:asciiTheme="majorHAnsi" w:hAnsiTheme="majorHAnsi"/>
          <w:sz w:val="20"/>
          <w:szCs w:val="20"/>
          <w:lang w:val="es-CR"/>
        </w:rPr>
        <w:t>E</w:t>
      </w:r>
      <w:r w:rsidR="00CC21DF" w:rsidRPr="007C6BE8">
        <w:rPr>
          <w:rFonts w:asciiTheme="majorHAnsi" w:hAnsiTheme="majorHAnsi"/>
          <w:sz w:val="20"/>
          <w:szCs w:val="20"/>
          <w:lang w:val="es-SV"/>
        </w:rPr>
        <w:t>l señor Norberto Javier Restrepo y su vinculación al partido de la Unión Patriótica</w:t>
      </w:r>
      <w:r w:rsidR="00BE4A12" w:rsidRPr="007C6BE8">
        <w:rPr>
          <w:rFonts w:asciiTheme="majorHAnsi" w:hAnsiTheme="majorHAnsi"/>
          <w:sz w:val="20"/>
          <w:szCs w:val="20"/>
          <w:lang w:val="es-SV"/>
        </w:rPr>
        <w:t xml:space="preserve"> </w:t>
      </w:r>
      <w:r w:rsidR="00CC21DF" w:rsidRPr="007C6BE8">
        <w:rPr>
          <w:rFonts w:asciiTheme="majorHAnsi" w:hAnsiTheme="majorHAnsi"/>
          <w:sz w:val="20"/>
          <w:szCs w:val="20"/>
          <w:lang w:val="es-SV"/>
        </w:rPr>
        <w:t>(UP)</w:t>
      </w:r>
      <w:bookmarkEnd w:id="40"/>
      <w:bookmarkEnd w:id="41"/>
      <w:bookmarkEnd w:id="42"/>
    </w:p>
    <w:p w:rsidR="00CC21DF" w:rsidRPr="007C6BE8" w:rsidRDefault="00CC21DF"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B532CD" w:rsidRPr="007C6BE8" w:rsidRDefault="00B532CD"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El señor Norberto Javier Restrepo era hijo de Lucila Restrepo Posadas y Jos</w:t>
      </w:r>
      <w:r w:rsidR="00CF1FFC" w:rsidRPr="007C6BE8">
        <w:rPr>
          <w:rFonts w:asciiTheme="majorHAnsi" w:hAnsiTheme="majorHAnsi"/>
          <w:sz w:val="20"/>
          <w:szCs w:val="20"/>
          <w:lang w:val="es-CR"/>
        </w:rPr>
        <w:t xml:space="preserve">é Marco Restrepo, y al momento de los hechos vivía en Medellín, Antioquia.  </w:t>
      </w:r>
    </w:p>
    <w:p w:rsidR="00B532CD" w:rsidRPr="007C6BE8" w:rsidRDefault="00B532CD" w:rsidP="00B532CD">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CC21DF" w:rsidRPr="007C6BE8" w:rsidRDefault="00CC21DF"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Los peticionarios afirmaron que el señor Norberto Javier Restrepo era una víctima más del genocidio contra la Unión Patriótica</w:t>
      </w:r>
      <w:r w:rsidR="00FF539C" w:rsidRPr="007C6BE8">
        <w:rPr>
          <w:rFonts w:asciiTheme="majorHAnsi" w:hAnsiTheme="majorHAnsi"/>
          <w:sz w:val="20"/>
          <w:szCs w:val="20"/>
          <w:lang w:val="es-CR"/>
        </w:rPr>
        <w:t xml:space="preserve"> e indicaron que era militante de dicho partido</w:t>
      </w:r>
      <w:r w:rsidRPr="007C6BE8">
        <w:rPr>
          <w:rFonts w:asciiTheme="majorHAnsi" w:hAnsiTheme="majorHAnsi"/>
          <w:sz w:val="20"/>
          <w:szCs w:val="20"/>
          <w:lang w:val="es-CR"/>
        </w:rPr>
        <w:t xml:space="preserve">. Por su parte, el Estado sostuvo durante el trámite del caso que </w:t>
      </w:r>
      <w:r w:rsidR="00357506" w:rsidRPr="007C6BE8">
        <w:rPr>
          <w:rFonts w:asciiTheme="majorHAnsi" w:hAnsiTheme="majorHAnsi"/>
          <w:sz w:val="20"/>
          <w:szCs w:val="20"/>
          <w:lang w:val="es-CR"/>
        </w:rPr>
        <w:t>no se encontraba acreditada la pertenencia del señor Norberto Javier Restrepo al partido de la UP.</w:t>
      </w:r>
    </w:p>
    <w:p w:rsidR="00FF539C" w:rsidRPr="007C6BE8" w:rsidRDefault="00FF539C"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18"/>
          <w:szCs w:val="18"/>
          <w:lang w:val="es-CR"/>
        </w:rPr>
      </w:pPr>
    </w:p>
    <w:p w:rsidR="005B455B" w:rsidRPr="007C6BE8" w:rsidRDefault="00FF539C"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L</w:t>
      </w:r>
      <w:r w:rsidRPr="007C6BE8">
        <w:rPr>
          <w:rStyle w:val="apple-converted-space"/>
          <w:rFonts w:asciiTheme="majorHAnsi" w:hAnsiTheme="majorHAnsi"/>
          <w:sz w:val="20"/>
          <w:szCs w:val="20"/>
          <w:lang w:val="es-ES_tradnl"/>
        </w:rPr>
        <w:t xml:space="preserve">a Comisión advierte que la narración de </w:t>
      </w:r>
      <w:r w:rsidR="005B455B" w:rsidRPr="007C6BE8">
        <w:rPr>
          <w:rStyle w:val="apple-converted-space"/>
          <w:rFonts w:asciiTheme="majorHAnsi" w:hAnsiTheme="majorHAnsi"/>
          <w:sz w:val="20"/>
          <w:szCs w:val="20"/>
          <w:lang w:val="es-ES_tradnl"/>
        </w:rPr>
        <w:t xml:space="preserve">los peticionarios </w:t>
      </w:r>
      <w:r w:rsidRPr="007C6BE8">
        <w:rPr>
          <w:rStyle w:val="apple-converted-space"/>
          <w:rFonts w:asciiTheme="majorHAnsi" w:hAnsiTheme="majorHAnsi"/>
          <w:sz w:val="20"/>
          <w:szCs w:val="20"/>
          <w:lang w:val="es-ES_tradnl"/>
        </w:rPr>
        <w:t xml:space="preserve">ha sido consistente en el trámite del caso </w:t>
      </w:r>
      <w:r w:rsidR="005B455B" w:rsidRPr="007C6BE8">
        <w:rPr>
          <w:rStyle w:val="apple-converted-space"/>
          <w:rFonts w:asciiTheme="majorHAnsi" w:hAnsiTheme="majorHAnsi"/>
          <w:sz w:val="20"/>
          <w:szCs w:val="20"/>
          <w:lang w:val="es-ES_tradnl"/>
        </w:rPr>
        <w:t xml:space="preserve">en indicar que el señor Restrepo </w:t>
      </w:r>
      <w:r w:rsidRPr="007C6BE8">
        <w:rPr>
          <w:rStyle w:val="apple-converted-space"/>
          <w:rFonts w:asciiTheme="majorHAnsi" w:hAnsiTheme="majorHAnsi"/>
          <w:sz w:val="20"/>
          <w:szCs w:val="20"/>
          <w:lang w:val="es-ES_tradnl"/>
        </w:rPr>
        <w:t xml:space="preserve">promovía </w:t>
      </w:r>
      <w:r w:rsidR="005B455B" w:rsidRPr="007C6BE8">
        <w:rPr>
          <w:rStyle w:val="apple-converted-space"/>
          <w:rFonts w:asciiTheme="majorHAnsi" w:hAnsiTheme="majorHAnsi"/>
          <w:sz w:val="20"/>
          <w:szCs w:val="20"/>
          <w:lang w:val="es-ES_tradnl"/>
        </w:rPr>
        <w:t xml:space="preserve">al </w:t>
      </w:r>
      <w:r w:rsidRPr="007C6BE8">
        <w:rPr>
          <w:rStyle w:val="apple-converted-space"/>
          <w:rFonts w:asciiTheme="majorHAnsi" w:hAnsiTheme="majorHAnsi"/>
          <w:sz w:val="20"/>
          <w:szCs w:val="20"/>
          <w:lang w:val="es-ES_tradnl"/>
        </w:rPr>
        <w:t xml:space="preserve">partido </w:t>
      </w:r>
      <w:r w:rsidR="005B455B" w:rsidRPr="007C6BE8">
        <w:rPr>
          <w:rStyle w:val="apple-converted-space"/>
          <w:rFonts w:asciiTheme="majorHAnsi" w:hAnsiTheme="majorHAnsi"/>
          <w:sz w:val="20"/>
          <w:szCs w:val="20"/>
          <w:lang w:val="es-ES_tradnl"/>
        </w:rPr>
        <w:t>de la Unión Patriótica</w:t>
      </w:r>
      <w:r w:rsidR="00140999" w:rsidRPr="007C6BE8">
        <w:rPr>
          <w:rStyle w:val="apple-converted-space"/>
          <w:rFonts w:asciiTheme="majorHAnsi" w:hAnsiTheme="majorHAnsi"/>
          <w:sz w:val="20"/>
          <w:szCs w:val="20"/>
          <w:lang w:val="es-ES_tradnl"/>
        </w:rPr>
        <w:t>. E</w:t>
      </w:r>
      <w:r w:rsidR="00574992" w:rsidRPr="007C6BE8">
        <w:rPr>
          <w:rStyle w:val="apple-converted-space"/>
          <w:rFonts w:asciiTheme="majorHAnsi" w:hAnsiTheme="majorHAnsi"/>
          <w:sz w:val="20"/>
          <w:szCs w:val="20"/>
          <w:lang w:val="es-ES_tradnl"/>
        </w:rPr>
        <w:t>n particular</w:t>
      </w:r>
      <w:r w:rsidR="00140999" w:rsidRPr="007C6BE8">
        <w:rPr>
          <w:rStyle w:val="apple-converted-space"/>
          <w:rFonts w:asciiTheme="majorHAnsi" w:hAnsiTheme="majorHAnsi"/>
          <w:sz w:val="20"/>
          <w:szCs w:val="20"/>
          <w:lang w:val="es-ES_tradnl"/>
        </w:rPr>
        <w:t>,</w:t>
      </w:r>
      <w:r w:rsidR="00574992" w:rsidRPr="007C6BE8">
        <w:rPr>
          <w:rStyle w:val="apple-converted-space"/>
          <w:rFonts w:asciiTheme="majorHAnsi" w:hAnsiTheme="majorHAnsi"/>
          <w:sz w:val="20"/>
          <w:szCs w:val="20"/>
          <w:lang w:val="es-ES_tradnl"/>
        </w:rPr>
        <w:t xml:space="preserve"> indicaron que el “investigador recogió información en la empresa ´Cementos El Cairo´ referente al conocimiento que los trabajadores tenían de Norberto Javier, del cual aseguraron ´dictaba charlas sobre la Unión Patriótica en el sindicato de la empresa´”</w:t>
      </w:r>
      <w:r w:rsidRPr="007C6BE8">
        <w:rPr>
          <w:rStyle w:val="FootnoteReference"/>
          <w:rFonts w:asciiTheme="majorHAnsi" w:hAnsiTheme="majorHAnsi"/>
          <w:sz w:val="20"/>
          <w:szCs w:val="20"/>
        </w:rPr>
        <w:footnoteReference w:id="20"/>
      </w:r>
      <w:r w:rsidR="001F13B0" w:rsidRPr="007C6BE8">
        <w:rPr>
          <w:rFonts w:asciiTheme="majorHAnsi" w:hAnsiTheme="majorHAnsi"/>
          <w:sz w:val="20"/>
          <w:szCs w:val="20"/>
          <w:lang w:val="es-CR"/>
        </w:rPr>
        <w:t xml:space="preserve">. Asimismo, consta </w:t>
      </w:r>
      <w:r w:rsidR="009F7814" w:rsidRPr="007C6BE8">
        <w:rPr>
          <w:rFonts w:asciiTheme="majorHAnsi" w:hAnsiTheme="majorHAnsi"/>
          <w:sz w:val="20"/>
          <w:szCs w:val="20"/>
          <w:lang w:val="es-CR"/>
        </w:rPr>
        <w:t>en el expediente un escrito remitido por parte de su madre, la señora Restrepo</w:t>
      </w:r>
      <w:r w:rsidR="00140999" w:rsidRPr="007C6BE8">
        <w:rPr>
          <w:rFonts w:asciiTheme="majorHAnsi" w:hAnsiTheme="majorHAnsi"/>
          <w:sz w:val="20"/>
          <w:szCs w:val="20"/>
          <w:lang w:val="es-CR"/>
        </w:rPr>
        <w:t>,</w:t>
      </w:r>
      <w:r w:rsidR="009F7814" w:rsidRPr="007C6BE8">
        <w:rPr>
          <w:rFonts w:asciiTheme="majorHAnsi" w:hAnsiTheme="majorHAnsi"/>
          <w:sz w:val="20"/>
          <w:szCs w:val="20"/>
          <w:lang w:val="es-CR"/>
        </w:rPr>
        <w:t xml:space="preserve"> donde indica que </w:t>
      </w:r>
      <w:r w:rsidR="001873E0" w:rsidRPr="007C6BE8">
        <w:rPr>
          <w:rFonts w:asciiTheme="majorHAnsi" w:hAnsiTheme="majorHAnsi"/>
          <w:sz w:val="20"/>
          <w:szCs w:val="20"/>
          <w:lang w:val="es-CR"/>
        </w:rPr>
        <w:t>fue detenido con otras personas, siendo “todos ellos militantes de la Unión Patriótica”</w:t>
      </w:r>
      <w:r w:rsidR="001873E0" w:rsidRPr="007C6BE8">
        <w:rPr>
          <w:rStyle w:val="FootnoteReference"/>
          <w:rFonts w:asciiTheme="majorHAnsi" w:hAnsiTheme="majorHAnsi"/>
          <w:sz w:val="20"/>
          <w:szCs w:val="20"/>
          <w:lang w:val="es-CR"/>
        </w:rPr>
        <w:footnoteReference w:id="21"/>
      </w:r>
      <w:r w:rsidR="001873E0" w:rsidRPr="007C6BE8">
        <w:rPr>
          <w:rFonts w:asciiTheme="majorHAnsi" w:hAnsiTheme="majorHAnsi"/>
          <w:sz w:val="20"/>
          <w:szCs w:val="20"/>
          <w:lang w:val="es-CR"/>
        </w:rPr>
        <w:t>. E</w:t>
      </w:r>
      <w:r w:rsidR="001F13B0" w:rsidRPr="007C6BE8">
        <w:rPr>
          <w:rFonts w:asciiTheme="majorHAnsi" w:hAnsiTheme="majorHAnsi"/>
          <w:sz w:val="20"/>
          <w:szCs w:val="20"/>
          <w:lang w:val="es-CR"/>
        </w:rPr>
        <w:t>n la información aportada por el Estado</w:t>
      </w:r>
      <w:r w:rsidR="001873E0" w:rsidRPr="007C6BE8">
        <w:rPr>
          <w:rFonts w:asciiTheme="majorHAnsi" w:hAnsiTheme="majorHAnsi"/>
          <w:sz w:val="20"/>
          <w:szCs w:val="20"/>
          <w:lang w:val="es-CR"/>
        </w:rPr>
        <w:t>, la Comisión también ha podido constata</w:t>
      </w:r>
      <w:r w:rsidR="00140999" w:rsidRPr="007C6BE8">
        <w:rPr>
          <w:rFonts w:asciiTheme="majorHAnsi" w:hAnsiTheme="majorHAnsi"/>
          <w:sz w:val="20"/>
          <w:szCs w:val="20"/>
          <w:lang w:val="es-CR"/>
        </w:rPr>
        <w:t>r</w:t>
      </w:r>
      <w:r w:rsidRPr="007C6BE8">
        <w:rPr>
          <w:rFonts w:asciiTheme="majorHAnsi" w:hAnsiTheme="majorHAnsi"/>
          <w:sz w:val="20"/>
          <w:szCs w:val="20"/>
          <w:lang w:val="es-CR"/>
        </w:rPr>
        <w:t xml:space="preserve"> que</w:t>
      </w:r>
      <w:r w:rsidR="005B455B" w:rsidRPr="007C6BE8">
        <w:rPr>
          <w:rFonts w:asciiTheme="majorHAnsi" w:hAnsiTheme="majorHAnsi"/>
          <w:sz w:val="20"/>
          <w:szCs w:val="20"/>
          <w:lang w:val="es-CR"/>
        </w:rPr>
        <w:t xml:space="preserve"> la </w:t>
      </w:r>
      <w:r w:rsidR="001873E0" w:rsidRPr="007C6BE8">
        <w:rPr>
          <w:rFonts w:asciiTheme="majorHAnsi" w:hAnsiTheme="majorHAnsi"/>
          <w:sz w:val="20"/>
          <w:szCs w:val="20"/>
          <w:lang w:val="es-CR"/>
        </w:rPr>
        <w:t xml:space="preserve">señora </w:t>
      </w:r>
      <w:r w:rsidR="005B455B" w:rsidRPr="007C6BE8">
        <w:rPr>
          <w:rFonts w:asciiTheme="majorHAnsi" w:hAnsiTheme="majorHAnsi"/>
          <w:sz w:val="20"/>
          <w:szCs w:val="20"/>
          <w:lang w:val="es-CR"/>
        </w:rPr>
        <w:t>Lucila Restrepo</w:t>
      </w:r>
      <w:r w:rsidRPr="007C6BE8">
        <w:rPr>
          <w:rFonts w:asciiTheme="majorHAnsi" w:hAnsiTheme="majorHAnsi"/>
          <w:sz w:val="20"/>
          <w:szCs w:val="20"/>
          <w:lang w:val="es-CR"/>
        </w:rPr>
        <w:t xml:space="preserve"> denunció ante las autoridades internas que su hijo pertenecía a la Unión Patriótica</w:t>
      </w:r>
      <w:r w:rsidRPr="007C6BE8">
        <w:rPr>
          <w:rStyle w:val="FootnoteReference"/>
          <w:rFonts w:asciiTheme="majorHAnsi" w:hAnsiTheme="majorHAnsi"/>
          <w:sz w:val="20"/>
          <w:szCs w:val="20"/>
        </w:rPr>
        <w:footnoteReference w:id="22"/>
      </w:r>
      <w:r w:rsidRPr="007C6BE8">
        <w:rPr>
          <w:rFonts w:asciiTheme="majorHAnsi" w:hAnsiTheme="majorHAnsi"/>
          <w:sz w:val="20"/>
          <w:szCs w:val="20"/>
          <w:lang w:val="es-CR"/>
        </w:rPr>
        <w:t xml:space="preserve">. </w:t>
      </w:r>
    </w:p>
    <w:p w:rsidR="005B455B" w:rsidRPr="007C6BE8" w:rsidRDefault="005B455B" w:rsidP="00B1793F">
      <w:pPr>
        <w:pStyle w:val="ListParagraph"/>
        <w:rPr>
          <w:rFonts w:asciiTheme="majorHAnsi" w:hAnsiTheme="majorHAnsi"/>
          <w:sz w:val="20"/>
          <w:szCs w:val="20"/>
          <w:lang w:val="es-CR"/>
        </w:rPr>
      </w:pPr>
    </w:p>
    <w:p w:rsidR="00FF539C" w:rsidRPr="007C6BE8" w:rsidRDefault="00BE48D3"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Style w:val="apple-converted-space"/>
          <w:rFonts w:asciiTheme="majorHAnsi" w:hAnsiTheme="majorHAnsi"/>
          <w:sz w:val="20"/>
          <w:szCs w:val="20"/>
          <w:lang w:val="es-CR"/>
        </w:rPr>
      </w:pPr>
      <w:r w:rsidRPr="007C6BE8">
        <w:rPr>
          <w:rFonts w:asciiTheme="majorHAnsi" w:hAnsiTheme="majorHAnsi"/>
          <w:sz w:val="20"/>
          <w:szCs w:val="20"/>
          <w:lang w:val="es-CR"/>
        </w:rPr>
        <w:t>E</w:t>
      </w:r>
      <w:r w:rsidR="00FF539C" w:rsidRPr="007C6BE8">
        <w:rPr>
          <w:rStyle w:val="apple-converted-space"/>
          <w:rFonts w:asciiTheme="majorHAnsi" w:eastAsia="Times New Roman" w:hAnsiTheme="majorHAnsi"/>
          <w:sz w:val="20"/>
          <w:szCs w:val="20"/>
          <w:lang w:val="es-ES_tradnl"/>
        </w:rPr>
        <w:t xml:space="preserve">n su </w:t>
      </w:r>
      <w:r w:rsidR="00FF539C" w:rsidRPr="007C6BE8">
        <w:rPr>
          <w:rStyle w:val="apple-converted-space"/>
          <w:rFonts w:asciiTheme="majorHAnsi" w:eastAsia="Times New Roman" w:hAnsiTheme="majorHAnsi"/>
          <w:i/>
          <w:sz w:val="20"/>
          <w:szCs w:val="20"/>
          <w:lang w:val="es-ES_tradnl"/>
        </w:rPr>
        <w:t xml:space="preserve">Segundo Informe sobre la Situación de los Derechos Humanos en Colombia </w:t>
      </w:r>
      <w:r w:rsidR="00FF539C" w:rsidRPr="007C6BE8">
        <w:rPr>
          <w:rStyle w:val="apple-converted-space"/>
          <w:rFonts w:asciiTheme="majorHAnsi" w:eastAsia="Times New Roman" w:hAnsiTheme="majorHAnsi"/>
          <w:sz w:val="20"/>
          <w:szCs w:val="20"/>
          <w:lang w:val="es-ES_tradnl"/>
        </w:rPr>
        <w:t xml:space="preserve">como resultado de su visita in loco en 1992, </w:t>
      </w:r>
      <w:r w:rsidRPr="007C6BE8">
        <w:rPr>
          <w:rStyle w:val="apple-converted-space"/>
          <w:rFonts w:asciiTheme="majorHAnsi" w:eastAsia="Times New Roman" w:hAnsiTheme="majorHAnsi"/>
          <w:sz w:val="20"/>
          <w:szCs w:val="20"/>
          <w:lang w:val="es-ES_tradnl"/>
        </w:rPr>
        <w:t xml:space="preserve">la Comisión dejó constancia de </w:t>
      </w:r>
      <w:r w:rsidR="00FF539C" w:rsidRPr="007C6BE8">
        <w:rPr>
          <w:rStyle w:val="apple-converted-space"/>
          <w:rFonts w:asciiTheme="majorHAnsi" w:eastAsia="Times New Roman" w:hAnsiTheme="majorHAnsi"/>
          <w:sz w:val="20"/>
          <w:szCs w:val="20"/>
          <w:lang w:val="es-ES_tradnl"/>
        </w:rPr>
        <w:t>información</w:t>
      </w:r>
      <w:r w:rsidRPr="007C6BE8">
        <w:rPr>
          <w:rStyle w:val="apple-converted-space"/>
          <w:rFonts w:asciiTheme="majorHAnsi" w:eastAsia="Times New Roman" w:hAnsiTheme="majorHAnsi"/>
          <w:sz w:val="20"/>
          <w:szCs w:val="20"/>
          <w:lang w:val="es-ES_tradnl"/>
        </w:rPr>
        <w:t xml:space="preserve"> recibida sobre </w:t>
      </w:r>
      <w:r w:rsidR="00FF539C" w:rsidRPr="007C6BE8">
        <w:rPr>
          <w:rStyle w:val="apple-converted-space"/>
          <w:rFonts w:asciiTheme="majorHAnsi" w:eastAsia="Times New Roman" w:hAnsiTheme="majorHAnsi"/>
          <w:sz w:val="20"/>
          <w:szCs w:val="20"/>
          <w:lang w:val="es-ES_tradnl"/>
        </w:rPr>
        <w:t xml:space="preserve">el asesinato de varias personas, específicamente incluyendo la del señor Norberto Javier Restrepo. </w:t>
      </w:r>
      <w:r w:rsidR="005B455B" w:rsidRPr="007C6BE8">
        <w:rPr>
          <w:rStyle w:val="apple-converted-space"/>
          <w:rFonts w:asciiTheme="majorHAnsi" w:eastAsia="Times New Roman" w:hAnsiTheme="majorHAnsi"/>
          <w:sz w:val="20"/>
          <w:szCs w:val="20"/>
          <w:lang w:val="es-ES_tradnl"/>
        </w:rPr>
        <w:t xml:space="preserve"> </w:t>
      </w:r>
      <w:r w:rsidR="00FF539C" w:rsidRPr="007C6BE8">
        <w:rPr>
          <w:rStyle w:val="apple-converted-space"/>
          <w:rFonts w:asciiTheme="majorHAnsi" w:eastAsia="Times New Roman" w:hAnsiTheme="majorHAnsi"/>
          <w:sz w:val="20"/>
          <w:szCs w:val="20"/>
          <w:lang w:val="es-ES_tradnl"/>
        </w:rPr>
        <w:t xml:space="preserve">Al respecto, según la información aportada por el </w:t>
      </w:r>
      <w:r w:rsidR="00FF539C" w:rsidRPr="007C6BE8">
        <w:rPr>
          <w:rStyle w:val="apple-converted-space"/>
          <w:rFonts w:asciiTheme="majorHAnsi" w:eastAsia="Times New Roman" w:hAnsiTheme="majorHAnsi"/>
          <w:i/>
          <w:sz w:val="20"/>
          <w:szCs w:val="20"/>
          <w:lang w:val="es-ES_tradnl"/>
        </w:rPr>
        <w:t>Centro de Investigación y Educación Popular</w:t>
      </w:r>
      <w:r w:rsidR="00FF539C" w:rsidRPr="007C6BE8">
        <w:rPr>
          <w:rStyle w:val="apple-converted-space"/>
          <w:rFonts w:asciiTheme="majorHAnsi" w:eastAsia="Times New Roman" w:hAnsiTheme="majorHAnsi"/>
          <w:sz w:val="20"/>
          <w:szCs w:val="20"/>
          <w:lang w:val="es-ES_tradnl"/>
        </w:rPr>
        <w:t>:</w:t>
      </w:r>
    </w:p>
    <w:p w:rsidR="00FF539C" w:rsidRPr="007C6BE8" w:rsidRDefault="00FF539C"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Style w:val="apple-converted-space"/>
          <w:rFonts w:asciiTheme="majorHAnsi" w:hAnsiTheme="majorHAnsi"/>
          <w:sz w:val="20"/>
          <w:szCs w:val="20"/>
          <w:lang w:val="es-ES_tradnl"/>
        </w:rPr>
      </w:pPr>
    </w:p>
    <w:p w:rsidR="00FF539C" w:rsidRPr="007C6BE8" w:rsidRDefault="00FF539C" w:rsidP="00B1793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US"/>
        </w:rPr>
      </w:pPr>
      <w:r w:rsidRPr="007C6BE8">
        <w:rPr>
          <w:rFonts w:asciiTheme="majorHAnsi" w:eastAsia="Times New Roman" w:hAnsiTheme="majorHAnsi"/>
          <w:b/>
          <w:bCs/>
          <w:color w:val="000000"/>
          <w:spacing w:val="-3"/>
          <w:sz w:val="20"/>
          <w:szCs w:val="20"/>
          <w:bdr w:val="none" w:sz="0" w:space="0" w:color="auto"/>
          <w:lang w:val="es-US"/>
        </w:rPr>
        <w:t>NORBERTO JAVIER RESTREPO, Abejorral (Antioquia)</w:t>
      </w:r>
      <w:r w:rsidRPr="007C6BE8">
        <w:rPr>
          <w:rFonts w:asciiTheme="majorHAnsi" w:eastAsia="Times New Roman" w:hAnsiTheme="majorHAnsi"/>
          <w:color w:val="000000"/>
          <w:spacing w:val="-3"/>
          <w:sz w:val="20"/>
          <w:szCs w:val="20"/>
          <w:bdr w:val="none" w:sz="0" w:space="0" w:color="auto"/>
          <w:lang w:val="es-US"/>
        </w:rPr>
        <w:t>.  Trabajaba como contratista con arquitectos; su cadáver fue hallado en el caserío El Cairo.  Estaba quemado con ácido sulfúrico de la cintura hacia arriba (de la cabeza sólo tenía la parte ósea) y tenía un brazo fracturado en tres partes.  Cerca al cuerpo había una pira que, al parecer, iba a ser usada para incinerarlo.  Según declaró la madre de la víctima, éste había sido militante de la Unión Patriótica</w:t>
      </w:r>
      <w:r w:rsidRPr="007C6BE8">
        <w:rPr>
          <w:rStyle w:val="FootnoteReference"/>
          <w:rFonts w:asciiTheme="majorHAnsi" w:eastAsia="Times New Roman" w:hAnsiTheme="majorHAnsi"/>
          <w:color w:val="000000"/>
          <w:spacing w:val="-3"/>
          <w:sz w:val="20"/>
          <w:szCs w:val="20"/>
          <w:bdr w:val="none" w:sz="0" w:space="0" w:color="auto"/>
          <w:lang w:val="es-US"/>
        </w:rPr>
        <w:footnoteReference w:id="23"/>
      </w:r>
      <w:r w:rsidRPr="007C6BE8">
        <w:rPr>
          <w:rFonts w:asciiTheme="majorHAnsi" w:eastAsia="Times New Roman" w:hAnsiTheme="majorHAnsi"/>
          <w:color w:val="000000"/>
          <w:spacing w:val="-3"/>
          <w:sz w:val="20"/>
          <w:szCs w:val="20"/>
          <w:bdr w:val="none" w:sz="0" w:space="0" w:color="auto"/>
          <w:lang w:val="es-US"/>
        </w:rPr>
        <w:t>.</w:t>
      </w:r>
    </w:p>
    <w:p w:rsidR="00FF539C" w:rsidRPr="007C6BE8" w:rsidRDefault="00FF539C"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Style w:val="apple-converted-space"/>
          <w:rFonts w:asciiTheme="majorHAnsi" w:hAnsiTheme="majorHAnsi"/>
          <w:sz w:val="20"/>
          <w:szCs w:val="20"/>
          <w:lang w:val="es-ES_tradnl"/>
        </w:rPr>
      </w:pPr>
    </w:p>
    <w:p w:rsidR="00FF539C" w:rsidRPr="007C6BE8" w:rsidRDefault="00FF539C"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Style w:val="apple-converted-space"/>
          <w:rFonts w:asciiTheme="majorHAnsi" w:hAnsiTheme="majorHAnsi"/>
          <w:sz w:val="20"/>
          <w:szCs w:val="20"/>
          <w:lang w:val="es-ES_tradnl"/>
        </w:rPr>
        <w:t xml:space="preserve">Adicionalmente, la Comisión advierte que de conformidad con la información proporcionada por el Estado, </w:t>
      </w:r>
      <w:r w:rsidRPr="007C6BE8">
        <w:rPr>
          <w:rFonts w:asciiTheme="majorHAnsi" w:hAnsiTheme="majorHAnsi"/>
          <w:sz w:val="20"/>
          <w:szCs w:val="20"/>
          <w:lang w:val="es-ES_tradnl"/>
        </w:rPr>
        <w:t xml:space="preserve">en un informe de la Fiscalía se hace referencia a que </w:t>
      </w:r>
      <w:r w:rsidR="00EE25D0" w:rsidRPr="007C6BE8">
        <w:rPr>
          <w:rFonts w:asciiTheme="majorHAnsi" w:hAnsiTheme="majorHAnsi"/>
          <w:sz w:val="20"/>
          <w:szCs w:val="20"/>
          <w:lang w:val="es-CR"/>
        </w:rPr>
        <w:t>“la compañera (sin precisar el nombre) declaró que Norberto era activista de izquierda del Sindicato de Cementos El Cairo”</w:t>
      </w:r>
      <w:r w:rsidR="00574992" w:rsidRPr="007C6BE8">
        <w:rPr>
          <w:rStyle w:val="FootnoteReference"/>
          <w:rFonts w:asciiTheme="majorHAnsi" w:hAnsiTheme="majorHAnsi"/>
          <w:sz w:val="20"/>
          <w:szCs w:val="20"/>
          <w:lang w:val="es-MX"/>
        </w:rPr>
        <w:t xml:space="preserve"> </w:t>
      </w:r>
      <w:r w:rsidR="00574992" w:rsidRPr="007C6BE8">
        <w:rPr>
          <w:rStyle w:val="FootnoteReference"/>
          <w:rFonts w:asciiTheme="majorHAnsi" w:hAnsiTheme="majorHAnsi"/>
          <w:sz w:val="20"/>
          <w:szCs w:val="20"/>
        </w:rPr>
        <w:footnoteReference w:id="24"/>
      </w:r>
      <w:r w:rsidRPr="007C6BE8">
        <w:rPr>
          <w:rFonts w:asciiTheme="majorHAnsi" w:hAnsiTheme="majorHAnsi"/>
          <w:sz w:val="20"/>
          <w:szCs w:val="20"/>
          <w:lang w:val="es-ES_tradnl"/>
        </w:rPr>
        <w:t xml:space="preserve">, actividades que guardan precisamente relación con las </w:t>
      </w:r>
      <w:r w:rsidR="002503BA" w:rsidRPr="007C6BE8">
        <w:rPr>
          <w:rFonts w:asciiTheme="majorHAnsi" w:hAnsiTheme="majorHAnsi"/>
          <w:sz w:val="20"/>
          <w:szCs w:val="20"/>
          <w:lang w:val="es-ES_tradnl"/>
        </w:rPr>
        <w:t>charlas</w:t>
      </w:r>
      <w:r w:rsidRPr="007C6BE8">
        <w:rPr>
          <w:rFonts w:asciiTheme="majorHAnsi" w:hAnsiTheme="majorHAnsi"/>
          <w:sz w:val="20"/>
          <w:szCs w:val="20"/>
          <w:lang w:val="es-ES_tradnl"/>
        </w:rPr>
        <w:t xml:space="preserve"> que se indica que el señor Restrepo promovía en dicho lugar. </w:t>
      </w:r>
      <w:r w:rsidR="001F13B0" w:rsidRPr="007C6BE8">
        <w:rPr>
          <w:rFonts w:asciiTheme="majorHAnsi" w:hAnsiTheme="majorHAnsi"/>
          <w:sz w:val="20"/>
          <w:szCs w:val="20"/>
          <w:lang w:val="es-ES_tradnl"/>
        </w:rPr>
        <w:t xml:space="preserve">La Comisión nota a su vez que </w:t>
      </w:r>
      <w:r w:rsidRPr="007C6BE8">
        <w:rPr>
          <w:rFonts w:asciiTheme="majorHAnsi" w:hAnsiTheme="majorHAnsi"/>
          <w:sz w:val="20"/>
          <w:szCs w:val="20"/>
          <w:lang w:val="es-ES_tradnl"/>
        </w:rPr>
        <w:t xml:space="preserve">la posibilidad de la que la muerte del señor Restrepo se produjera como resultado de que “podía haber sido simpatizante” de la Unión Patriótica es una de las hipótesis del crimen en </w:t>
      </w:r>
      <w:r w:rsidRPr="007C6BE8">
        <w:rPr>
          <w:rFonts w:asciiTheme="majorHAnsi" w:hAnsiTheme="majorHAnsi"/>
          <w:sz w:val="20"/>
          <w:szCs w:val="20"/>
          <w:lang w:val="es-ES_tradnl"/>
        </w:rPr>
        <w:lastRenderedPageBreak/>
        <w:t>el ámbito de la investigación interna</w:t>
      </w:r>
      <w:r w:rsidRPr="007C6BE8">
        <w:rPr>
          <w:rStyle w:val="FootnoteReference"/>
          <w:rFonts w:asciiTheme="majorHAnsi" w:hAnsiTheme="majorHAnsi"/>
          <w:sz w:val="20"/>
          <w:szCs w:val="20"/>
        </w:rPr>
        <w:footnoteReference w:id="25"/>
      </w:r>
      <w:r w:rsidRPr="007C6BE8">
        <w:rPr>
          <w:rFonts w:asciiTheme="majorHAnsi" w:hAnsiTheme="majorHAnsi"/>
          <w:sz w:val="20"/>
          <w:szCs w:val="20"/>
          <w:lang w:val="es-ES_tradnl"/>
        </w:rPr>
        <w:t xml:space="preserve"> y</w:t>
      </w:r>
      <w:r w:rsidR="001F13B0" w:rsidRPr="007C6BE8">
        <w:rPr>
          <w:rFonts w:asciiTheme="majorHAnsi" w:hAnsiTheme="majorHAnsi"/>
          <w:sz w:val="20"/>
          <w:szCs w:val="20"/>
          <w:lang w:val="es-ES_tradnl"/>
        </w:rPr>
        <w:t>,</w:t>
      </w:r>
      <w:r w:rsidRPr="007C6BE8">
        <w:rPr>
          <w:rFonts w:asciiTheme="majorHAnsi" w:hAnsiTheme="majorHAnsi"/>
          <w:sz w:val="20"/>
          <w:szCs w:val="20"/>
          <w:lang w:val="es-ES_tradnl"/>
        </w:rPr>
        <w:t xml:space="preserve"> según el registro de las diligencias informadas por el Estado</w:t>
      </w:r>
      <w:r w:rsidR="00CB4798" w:rsidRPr="007C6BE8">
        <w:rPr>
          <w:rFonts w:asciiTheme="majorHAnsi" w:hAnsiTheme="majorHAnsi"/>
          <w:sz w:val="20"/>
          <w:szCs w:val="20"/>
          <w:lang w:val="es-ES_tradnl"/>
        </w:rPr>
        <w:t xml:space="preserve"> </w:t>
      </w:r>
      <w:r w:rsidR="00954D80" w:rsidRPr="007C6BE8">
        <w:rPr>
          <w:rFonts w:asciiTheme="majorHAnsi" w:hAnsiTheme="majorHAnsi"/>
          <w:sz w:val="20"/>
          <w:szCs w:val="20"/>
          <w:lang w:val="es-ES_tradnl"/>
        </w:rPr>
        <w:t>de manera genérica</w:t>
      </w:r>
      <w:r w:rsidR="001F13B0" w:rsidRPr="007C6BE8">
        <w:rPr>
          <w:rFonts w:asciiTheme="majorHAnsi" w:hAnsiTheme="majorHAnsi"/>
          <w:sz w:val="20"/>
          <w:szCs w:val="20"/>
          <w:lang w:val="es-ES_tradnl"/>
        </w:rPr>
        <w:t>,</w:t>
      </w:r>
      <w:r w:rsidRPr="007C6BE8">
        <w:rPr>
          <w:rFonts w:asciiTheme="majorHAnsi" w:hAnsiTheme="majorHAnsi"/>
          <w:sz w:val="20"/>
          <w:szCs w:val="20"/>
          <w:lang w:val="es-ES_tradnl"/>
        </w:rPr>
        <w:t xml:space="preserve"> </w:t>
      </w:r>
      <w:r w:rsidR="001F13B0" w:rsidRPr="007C6BE8">
        <w:rPr>
          <w:rFonts w:asciiTheme="majorHAnsi" w:hAnsiTheme="majorHAnsi"/>
          <w:sz w:val="20"/>
          <w:szCs w:val="20"/>
          <w:lang w:val="es-ES_tradnl"/>
        </w:rPr>
        <w:t xml:space="preserve">no se han obtenido resultados de la investigación </w:t>
      </w:r>
      <w:r w:rsidRPr="007C6BE8">
        <w:rPr>
          <w:rFonts w:asciiTheme="majorHAnsi" w:hAnsiTheme="majorHAnsi"/>
          <w:sz w:val="20"/>
          <w:szCs w:val="20"/>
          <w:lang w:val="es-ES_tradnl"/>
        </w:rPr>
        <w:t xml:space="preserve">que </w:t>
      </w:r>
      <w:r w:rsidR="001F13B0" w:rsidRPr="007C6BE8">
        <w:rPr>
          <w:rFonts w:asciiTheme="majorHAnsi" w:hAnsiTheme="majorHAnsi"/>
          <w:sz w:val="20"/>
          <w:szCs w:val="20"/>
          <w:lang w:val="es-ES_tradnl"/>
        </w:rPr>
        <w:t xml:space="preserve">desvirtúen este </w:t>
      </w:r>
      <w:r w:rsidRPr="007C6BE8">
        <w:rPr>
          <w:rFonts w:asciiTheme="majorHAnsi" w:hAnsiTheme="majorHAnsi"/>
          <w:sz w:val="20"/>
          <w:szCs w:val="20"/>
          <w:lang w:val="es-ES_tradnl"/>
        </w:rPr>
        <w:t>hecho</w:t>
      </w:r>
      <w:r w:rsidR="00954D80" w:rsidRPr="007C6BE8">
        <w:rPr>
          <w:rFonts w:asciiTheme="majorHAnsi" w:hAnsiTheme="majorHAnsi"/>
          <w:sz w:val="20"/>
          <w:szCs w:val="20"/>
          <w:lang w:val="es-ES_tradnl"/>
        </w:rPr>
        <w:t>.</w:t>
      </w:r>
      <w:r w:rsidR="00574992" w:rsidRPr="007C6BE8">
        <w:rPr>
          <w:rFonts w:asciiTheme="majorHAnsi" w:hAnsiTheme="majorHAnsi"/>
          <w:sz w:val="20"/>
          <w:szCs w:val="20"/>
          <w:lang w:val="es-ES_tradnl"/>
        </w:rPr>
        <w:t xml:space="preserve"> </w:t>
      </w:r>
      <w:r w:rsidR="00954D80" w:rsidRPr="007C6BE8">
        <w:rPr>
          <w:rFonts w:asciiTheme="majorHAnsi" w:hAnsiTheme="majorHAnsi"/>
          <w:sz w:val="20"/>
          <w:szCs w:val="20"/>
          <w:lang w:val="es-ES_tradnl"/>
        </w:rPr>
        <w:t>P</w:t>
      </w:r>
      <w:r w:rsidR="00574992" w:rsidRPr="007C6BE8">
        <w:rPr>
          <w:rFonts w:asciiTheme="majorHAnsi" w:hAnsiTheme="majorHAnsi"/>
          <w:sz w:val="20"/>
          <w:szCs w:val="20"/>
          <w:lang w:val="es-ES_tradnl"/>
        </w:rPr>
        <w:t>or el contrario, aparece enunciado en el listado de las diligencias realizadas que se “comisionó al CTI (Cuerpo Técnico de Investigación) para que ubicara e informara</w:t>
      </w:r>
      <w:r w:rsidR="00073CE8" w:rsidRPr="007C6BE8">
        <w:rPr>
          <w:rFonts w:asciiTheme="majorHAnsi" w:hAnsiTheme="majorHAnsi"/>
          <w:sz w:val="20"/>
          <w:szCs w:val="20"/>
          <w:lang w:val="es-ES_tradnl"/>
        </w:rPr>
        <w:t xml:space="preserve">” </w:t>
      </w:r>
      <w:r w:rsidR="00954D80" w:rsidRPr="007C6BE8">
        <w:rPr>
          <w:rFonts w:asciiTheme="majorHAnsi" w:hAnsiTheme="majorHAnsi"/>
          <w:sz w:val="20"/>
          <w:szCs w:val="20"/>
          <w:lang w:val="es-ES_tradnl"/>
        </w:rPr>
        <w:t>sobre</w:t>
      </w:r>
      <w:r w:rsidR="00073CE8" w:rsidRPr="007C6BE8">
        <w:rPr>
          <w:rFonts w:asciiTheme="majorHAnsi" w:hAnsiTheme="majorHAnsi"/>
          <w:sz w:val="20"/>
          <w:szCs w:val="20"/>
          <w:lang w:val="es-ES_tradnl"/>
        </w:rPr>
        <w:t xml:space="preserve"> diversas personas “líderes de la UP para los años 90”</w:t>
      </w:r>
      <w:r w:rsidR="00073CE8" w:rsidRPr="007C6BE8">
        <w:rPr>
          <w:rStyle w:val="FootnoteReference"/>
          <w:rFonts w:asciiTheme="majorHAnsi" w:hAnsiTheme="majorHAnsi"/>
          <w:sz w:val="20"/>
          <w:szCs w:val="20"/>
        </w:rPr>
        <w:footnoteReference w:id="26"/>
      </w:r>
      <w:r w:rsidRPr="007C6BE8">
        <w:rPr>
          <w:rFonts w:asciiTheme="majorHAnsi" w:hAnsiTheme="majorHAnsi"/>
          <w:sz w:val="20"/>
          <w:szCs w:val="20"/>
          <w:lang w:val="es-ES_tradnl"/>
        </w:rPr>
        <w:t>.</w:t>
      </w:r>
    </w:p>
    <w:p w:rsidR="00FF539C" w:rsidRPr="007C6BE8" w:rsidRDefault="00FF539C"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FF539C" w:rsidRPr="007C6BE8" w:rsidRDefault="00FF539C"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ES_tradnl"/>
        </w:rPr>
        <w:t>En este sentido, la Comisión advierte que aunque el Estado ha señalado que la prueba presentada por los peticionarios e</w:t>
      </w:r>
      <w:r w:rsidR="00AD3A66" w:rsidRPr="007C6BE8">
        <w:rPr>
          <w:rFonts w:asciiTheme="majorHAnsi" w:hAnsiTheme="majorHAnsi"/>
          <w:sz w:val="20"/>
          <w:szCs w:val="20"/>
          <w:lang w:val="es-ES_tradnl"/>
        </w:rPr>
        <w:t>s</w:t>
      </w:r>
      <w:r w:rsidRPr="007C6BE8">
        <w:rPr>
          <w:rFonts w:asciiTheme="majorHAnsi" w:hAnsiTheme="majorHAnsi"/>
          <w:sz w:val="20"/>
          <w:szCs w:val="20"/>
          <w:lang w:val="es-ES_tradnl"/>
        </w:rPr>
        <w:t xml:space="preserve"> insuficiente para determinar su vinculación con el partido de la UP, el Estado no ha ofrecido prueba</w:t>
      </w:r>
      <w:r w:rsidR="0081457C" w:rsidRPr="007C6BE8">
        <w:rPr>
          <w:rFonts w:asciiTheme="majorHAnsi" w:hAnsiTheme="majorHAnsi"/>
          <w:sz w:val="20"/>
          <w:szCs w:val="20"/>
          <w:lang w:val="es-ES_tradnl"/>
        </w:rPr>
        <w:t xml:space="preserve"> en el sentido de que </w:t>
      </w:r>
      <w:r w:rsidR="00EE25D0" w:rsidRPr="007C6BE8">
        <w:rPr>
          <w:rFonts w:asciiTheme="majorHAnsi" w:hAnsiTheme="majorHAnsi"/>
          <w:sz w:val="20"/>
          <w:szCs w:val="20"/>
          <w:lang w:val="es-ES_tradnl"/>
        </w:rPr>
        <w:t xml:space="preserve">en la investigación se hubiese acreditado lo </w:t>
      </w:r>
      <w:r w:rsidR="001F13B0" w:rsidRPr="007C6BE8">
        <w:rPr>
          <w:rFonts w:asciiTheme="majorHAnsi" w:hAnsiTheme="majorHAnsi"/>
          <w:sz w:val="20"/>
          <w:szCs w:val="20"/>
          <w:lang w:val="es-ES_tradnl"/>
        </w:rPr>
        <w:t xml:space="preserve">contrario. Asimismo, </w:t>
      </w:r>
      <w:r w:rsidR="00574992" w:rsidRPr="007C6BE8">
        <w:rPr>
          <w:rFonts w:asciiTheme="majorHAnsi" w:hAnsiTheme="majorHAnsi"/>
          <w:sz w:val="20"/>
          <w:szCs w:val="20"/>
          <w:lang w:val="es-ES_tradnl"/>
        </w:rPr>
        <w:t xml:space="preserve">como se ha indicado, </w:t>
      </w:r>
      <w:r w:rsidR="001F13B0" w:rsidRPr="007C6BE8">
        <w:rPr>
          <w:rFonts w:asciiTheme="majorHAnsi" w:hAnsiTheme="majorHAnsi"/>
          <w:sz w:val="20"/>
          <w:szCs w:val="20"/>
          <w:lang w:val="es-ES_tradnl"/>
        </w:rPr>
        <w:t xml:space="preserve">tampoco ha </w:t>
      </w:r>
      <w:r w:rsidRPr="007C6BE8">
        <w:rPr>
          <w:rFonts w:asciiTheme="majorHAnsi" w:hAnsiTheme="majorHAnsi"/>
          <w:sz w:val="20"/>
          <w:szCs w:val="20"/>
          <w:lang w:val="es-ES_tradnl"/>
        </w:rPr>
        <w:t>posibilitado a la Comisión evaluar las declaraciones y diligencias realizadas a nivel interno</w:t>
      </w:r>
      <w:r w:rsidR="0081457C" w:rsidRPr="007C6BE8">
        <w:rPr>
          <w:rFonts w:asciiTheme="majorHAnsi" w:hAnsiTheme="majorHAnsi"/>
          <w:sz w:val="20"/>
          <w:szCs w:val="20"/>
          <w:lang w:val="es-ES_tradnl"/>
        </w:rPr>
        <w:t xml:space="preserve"> respecto de esta hipótesis,</w:t>
      </w:r>
      <w:r w:rsidRPr="007C6BE8">
        <w:rPr>
          <w:rFonts w:asciiTheme="majorHAnsi" w:hAnsiTheme="majorHAnsi"/>
          <w:sz w:val="20"/>
          <w:szCs w:val="20"/>
          <w:lang w:val="es-ES_tradnl"/>
        </w:rPr>
        <w:t xml:space="preserve"> al no haber aportado las piezas p</w:t>
      </w:r>
      <w:r w:rsidR="00EE25D0" w:rsidRPr="007C6BE8">
        <w:rPr>
          <w:rFonts w:asciiTheme="majorHAnsi" w:hAnsiTheme="majorHAnsi"/>
          <w:sz w:val="20"/>
          <w:szCs w:val="20"/>
          <w:lang w:val="es-ES_tradnl"/>
        </w:rPr>
        <w:t>rocesales de la investigación</w:t>
      </w:r>
      <w:r w:rsidR="005B455B" w:rsidRPr="007C6BE8">
        <w:rPr>
          <w:rFonts w:asciiTheme="majorHAnsi" w:hAnsiTheme="majorHAnsi"/>
          <w:sz w:val="20"/>
          <w:szCs w:val="20"/>
          <w:lang w:val="es-ES_tradnl"/>
        </w:rPr>
        <w:t xml:space="preserve"> penal o del proceso disciplinario</w:t>
      </w:r>
      <w:r w:rsidRPr="007C6BE8">
        <w:rPr>
          <w:rFonts w:asciiTheme="majorHAnsi" w:hAnsiTheme="majorHAnsi"/>
          <w:sz w:val="20"/>
          <w:szCs w:val="20"/>
          <w:lang w:val="es-ES_tradnl"/>
        </w:rPr>
        <w:t>.</w:t>
      </w:r>
    </w:p>
    <w:p w:rsidR="00FF539C" w:rsidRPr="007C6BE8" w:rsidRDefault="00FF539C"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073CE8" w:rsidRPr="007C6BE8" w:rsidRDefault="00FF539C"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 xml:space="preserve">Tomando en cuenta </w:t>
      </w:r>
      <w:r w:rsidR="001873E0" w:rsidRPr="007C6BE8">
        <w:rPr>
          <w:rFonts w:asciiTheme="majorHAnsi" w:hAnsiTheme="majorHAnsi"/>
          <w:sz w:val="20"/>
          <w:szCs w:val="20"/>
          <w:lang w:val="es-CR"/>
        </w:rPr>
        <w:t>lo indicado</w:t>
      </w:r>
      <w:r w:rsidR="00CC21DF" w:rsidRPr="007C6BE8">
        <w:rPr>
          <w:rFonts w:asciiTheme="majorHAnsi" w:hAnsiTheme="majorHAnsi"/>
          <w:sz w:val="20"/>
          <w:szCs w:val="20"/>
          <w:lang w:val="es-CR"/>
        </w:rPr>
        <w:t xml:space="preserve">, </w:t>
      </w:r>
      <w:r w:rsidRPr="007C6BE8">
        <w:rPr>
          <w:rFonts w:asciiTheme="majorHAnsi" w:hAnsiTheme="majorHAnsi"/>
          <w:sz w:val="20"/>
          <w:szCs w:val="20"/>
          <w:lang w:val="es-CR"/>
        </w:rPr>
        <w:t xml:space="preserve">la Comisión </w:t>
      </w:r>
      <w:r w:rsidR="00EE25D0" w:rsidRPr="007C6BE8">
        <w:rPr>
          <w:rFonts w:asciiTheme="majorHAnsi" w:hAnsiTheme="majorHAnsi"/>
          <w:sz w:val="20"/>
          <w:szCs w:val="20"/>
          <w:lang w:val="es-CR"/>
        </w:rPr>
        <w:t xml:space="preserve">estima que </w:t>
      </w:r>
      <w:r w:rsidR="005B455B" w:rsidRPr="007C6BE8">
        <w:rPr>
          <w:rFonts w:asciiTheme="majorHAnsi" w:hAnsiTheme="majorHAnsi"/>
          <w:sz w:val="20"/>
          <w:szCs w:val="20"/>
          <w:lang w:val="es-CR"/>
        </w:rPr>
        <w:t xml:space="preserve">aunque </w:t>
      </w:r>
      <w:r w:rsidR="00BE4A12" w:rsidRPr="007C6BE8">
        <w:rPr>
          <w:rFonts w:asciiTheme="majorHAnsi" w:hAnsiTheme="majorHAnsi"/>
          <w:sz w:val="20"/>
          <w:szCs w:val="20"/>
          <w:lang w:val="es-CR"/>
        </w:rPr>
        <w:t xml:space="preserve">no </w:t>
      </w:r>
      <w:r w:rsidR="00EE25D0" w:rsidRPr="007C6BE8">
        <w:rPr>
          <w:rFonts w:asciiTheme="majorHAnsi" w:hAnsiTheme="majorHAnsi"/>
          <w:sz w:val="20"/>
          <w:szCs w:val="20"/>
          <w:lang w:val="es-CR"/>
        </w:rPr>
        <w:t xml:space="preserve">fue </w:t>
      </w:r>
      <w:r w:rsidRPr="007C6BE8">
        <w:rPr>
          <w:rFonts w:asciiTheme="majorHAnsi" w:hAnsiTheme="majorHAnsi"/>
          <w:sz w:val="20"/>
          <w:szCs w:val="20"/>
          <w:lang w:val="es-CR"/>
        </w:rPr>
        <w:t xml:space="preserve">acreditado </w:t>
      </w:r>
      <w:r w:rsidR="00BE4A12" w:rsidRPr="007C6BE8">
        <w:rPr>
          <w:rFonts w:asciiTheme="majorHAnsi" w:hAnsiTheme="majorHAnsi"/>
          <w:sz w:val="20"/>
          <w:szCs w:val="20"/>
          <w:lang w:val="es-CR"/>
        </w:rPr>
        <w:t xml:space="preserve">por los peticionarios </w:t>
      </w:r>
      <w:r w:rsidRPr="007C6BE8">
        <w:rPr>
          <w:rFonts w:asciiTheme="majorHAnsi" w:hAnsiTheme="majorHAnsi"/>
          <w:sz w:val="20"/>
          <w:szCs w:val="20"/>
          <w:lang w:val="es-CR"/>
        </w:rPr>
        <w:t xml:space="preserve">que el señor Norberto Restrepo </w:t>
      </w:r>
      <w:r w:rsidR="0081457C" w:rsidRPr="007C6BE8">
        <w:rPr>
          <w:rFonts w:asciiTheme="majorHAnsi" w:hAnsiTheme="majorHAnsi"/>
          <w:sz w:val="20"/>
          <w:szCs w:val="20"/>
          <w:lang w:val="es-CR"/>
        </w:rPr>
        <w:t xml:space="preserve">estuviera registrado </w:t>
      </w:r>
      <w:r w:rsidRPr="007C6BE8">
        <w:rPr>
          <w:rFonts w:asciiTheme="majorHAnsi" w:hAnsiTheme="majorHAnsi"/>
          <w:sz w:val="20"/>
          <w:szCs w:val="20"/>
          <w:lang w:val="es-CR"/>
        </w:rPr>
        <w:t>formalmente</w:t>
      </w:r>
      <w:r w:rsidR="0081457C" w:rsidRPr="007C6BE8">
        <w:rPr>
          <w:rFonts w:asciiTheme="majorHAnsi" w:hAnsiTheme="majorHAnsi"/>
          <w:sz w:val="20"/>
          <w:szCs w:val="20"/>
          <w:lang w:val="es-CR"/>
        </w:rPr>
        <w:t xml:space="preserve"> como miembro del partido </w:t>
      </w:r>
      <w:r w:rsidRPr="007C6BE8">
        <w:rPr>
          <w:rFonts w:asciiTheme="majorHAnsi" w:hAnsiTheme="majorHAnsi"/>
          <w:sz w:val="20"/>
          <w:szCs w:val="20"/>
          <w:lang w:val="es-CR"/>
        </w:rPr>
        <w:t>de la UP,</w:t>
      </w:r>
      <w:r w:rsidR="00EE25D0" w:rsidRPr="007C6BE8">
        <w:rPr>
          <w:rFonts w:asciiTheme="majorHAnsi" w:hAnsiTheme="majorHAnsi"/>
          <w:sz w:val="20"/>
          <w:szCs w:val="20"/>
          <w:lang w:val="es-CR"/>
        </w:rPr>
        <w:t xml:space="preserve"> la información disponible</w:t>
      </w:r>
      <w:r w:rsidR="009E69A9" w:rsidRPr="007C6BE8">
        <w:rPr>
          <w:rFonts w:asciiTheme="majorHAnsi" w:hAnsiTheme="majorHAnsi"/>
          <w:sz w:val="20"/>
          <w:szCs w:val="20"/>
          <w:lang w:val="es-CR"/>
        </w:rPr>
        <w:t xml:space="preserve"> relativa a las </w:t>
      </w:r>
      <w:r w:rsidR="00073CE8" w:rsidRPr="007C6BE8">
        <w:rPr>
          <w:rFonts w:asciiTheme="majorHAnsi" w:hAnsiTheme="majorHAnsi"/>
          <w:sz w:val="20"/>
          <w:szCs w:val="20"/>
          <w:lang w:val="es-CR"/>
        </w:rPr>
        <w:t xml:space="preserve">denuncias </w:t>
      </w:r>
      <w:r w:rsidR="0081457C" w:rsidRPr="007C6BE8">
        <w:rPr>
          <w:rFonts w:asciiTheme="majorHAnsi" w:hAnsiTheme="majorHAnsi"/>
          <w:sz w:val="20"/>
          <w:szCs w:val="20"/>
          <w:lang w:val="es-CR"/>
        </w:rPr>
        <w:t>de la madre</w:t>
      </w:r>
      <w:r w:rsidR="009E69A9" w:rsidRPr="007C6BE8">
        <w:rPr>
          <w:rFonts w:asciiTheme="majorHAnsi" w:hAnsiTheme="majorHAnsi"/>
          <w:sz w:val="20"/>
          <w:szCs w:val="20"/>
          <w:lang w:val="es-CR"/>
        </w:rPr>
        <w:t xml:space="preserve"> ante </w:t>
      </w:r>
      <w:r w:rsidR="00B3219F" w:rsidRPr="007C6BE8">
        <w:rPr>
          <w:rFonts w:asciiTheme="majorHAnsi" w:hAnsiTheme="majorHAnsi"/>
          <w:sz w:val="20"/>
          <w:szCs w:val="20"/>
          <w:lang w:val="es-CR"/>
        </w:rPr>
        <w:t xml:space="preserve">autoridades estatales, </w:t>
      </w:r>
      <w:r w:rsidR="001873E0" w:rsidRPr="007C6BE8">
        <w:rPr>
          <w:rFonts w:asciiTheme="majorHAnsi" w:hAnsiTheme="majorHAnsi"/>
          <w:sz w:val="20"/>
          <w:szCs w:val="20"/>
          <w:lang w:val="es-CR"/>
        </w:rPr>
        <w:t>la narración</w:t>
      </w:r>
      <w:r w:rsidR="00B3219F" w:rsidRPr="007C6BE8">
        <w:rPr>
          <w:rFonts w:asciiTheme="majorHAnsi" w:hAnsiTheme="majorHAnsi"/>
          <w:sz w:val="20"/>
          <w:szCs w:val="20"/>
          <w:lang w:val="es-CR"/>
        </w:rPr>
        <w:t xml:space="preserve"> consistente</w:t>
      </w:r>
      <w:r w:rsidR="001873E0" w:rsidRPr="007C6BE8">
        <w:rPr>
          <w:rFonts w:asciiTheme="majorHAnsi" w:hAnsiTheme="majorHAnsi"/>
          <w:sz w:val="20"/>
          <w:szCs w:val="20"/>
          <w:lang w:val="es-CR"/>
        </w:rPr>
        <w:t xml:space="preserve"> de los peticionarios</w:t>
      </w:r>
      <w:r w:rsidR="0081457C" w:rsidRPr="007C6BE8">
        <w:rPr>
          <w:rFonts w:asciiTheme="majorHAnsi" w:hAnsiTheme="majorHAnsi"/>
          <w:sz w:val="20"/>
          <w:szCs w:val="20"/>
          <w:lang w:val="es-CR"/>
        </w:rPr>
        <w:t xml:space="preserve"> </w:t>
      </w:r>
      <w:r w:rsidR="001873E0" w:rsidRPr="007C6BE8">
        <w:rPr>
          <w:rFonts w:asciiTheme="majorHAnsi" w:hAnsiTheme="majorHAnsi"/>
          <w:sz w:val="20"/>
          <w:szCs w:val="20"/>
          <w:lang w:val="es-CR"/>
        </w:rPr>
        <w:t>y la información recopilada en el marco de la elaboración de su informe</w:t>
      </w:r>
      <w:r w:rsidR="0081457C" w:rsidRPr="007C6BE8">
        <w:rPr>
          <w:rFonts w:asciiTheme="majorHAnsi" w:hAnsiTheme="majorHAnsi"/>
          <w:sz w:val="20"/>
          <w:szCs w:val="20"/>
          <w:lang w:val="es-CR"/>
        </w:rPr>
        <w:t xml:space="preserve"> de país de 1993 tras la visita efectuada en 1992,</w:t>
      </w:r>
      <w:r w:rsidR="001873E0" w:rsidRPr="007C6BE8">
        <w:rPr>
          <w:rFonts w:asciiTheme="majorHAnsi" w:hAnsiTheme="majorHAnsi"/>
          <w:sz w:val="20"/>
          <w:szCs w:val="20"/>
          <w:lang w:val="es-CR"/>
        </w:rPr>
        <w:t xml:space="preserve"> </w:t>
      </w:r>
      <w:r w:rsidR="00B3219F" w:rsidRPr="007C6BE8">
        <w:rPr>
          <w:rFonts w:asciiTheme="majorHAnsi" w:hAnsiTheme="majorHAnsi"/>
          <w:sz w:val="20"/>
          <w:szCs w:val="20"/>
          <w:lang w:val="es-CR"/>
        </w:rPr>
        <w:t xml:space="preserve">sumado a la </w:t>
      </w:r>
      <w:r w:rsidR="00E23C68" w:rsidRPr="007C6BE8">
        <w:rPr>
          <w:rFonts w:asciiTheme="majorHAnsi" w:hAnsiTheme="majorHAnsi"/>
          <w:sz w:val="20"/>
          <w:szCs w:val="20"/>
          <w:lang w:val="es-CR"/>
        </w:rPr>
        <w:t xml:space="preserve">falta </w:t>
      </w:r>
      <w:r w:rsidR="00B3219F" w:rsidRPr="007C6BE8">
        <w:rPr>
          <w:rFonts w:asciiTheme="majorHAnsi" w:hAnsiTheme="majorHAnsi"/>
          <w:sz w:val="20"/>
          <w:szCs w:val="20"/>
          <w:lang w:val="es-CR"/>
        </w:rPr>
        <w:t xml:space="preserve">de información específica por parte del Estado sobre la manera en que se habría desvirtuado el vínculo con el partido político, </w:t>
      </w:r>
      <w:r w:rsidR="00EE25D0" w:rsidRPr="007C6BE8">
        <w:rPr>
          <w:rFonts w:asciiTheme="majorHAnsi" w:hAnsiTheme="majorHAnsi"/>
          <w:sz w:val="20"/>
          <w:szCs w:val="20"/>
          <w:lang w:val="es-CR"/>
        </w:rPr>
        <w:t>permite</w:t>
      </w:r>
      <w:r w:rsidR="00B3219F" w:rsidRPr="007C6BE8">
        <w:rPr>
          <w:rFonts w:asciiTheme="majorHAnsi" w:hAnsiTheme="majorHAnsi"/>
          <w:sz w:val="20"/>
          <w:szCs w:val="20"/>
          <w:lang w:val="es-CR"/>
        </w:rPr>
        <w:t xml:space="preserve">n presumir que </w:t>
      </w:r>
      <w:r w:rsidR="001873E0" w:rsidRPr="007C6BE8">
        <w:rPr>
          <w:rFonts w:asciiTheme="majorHAnsi" w:hAnsiTheme="majorHAnsi"/>
          <w:sz w:val="20"/>
          <w:szCs w:val="20"/>
          <w:lang w:val="es-CR"/>
        </w:rPr>
        <w:t xml:space="preserve">el señor Restrepo era </w:t>
      </w:r>
      <w:r w:rsidR="005F2048" w:rsidRPr="007C6BE8">
        <w:rPr>
          <w:rFonts w:asciiTheme="majorHAnsi" w:hAnsiTheme="majorHAnsi"/>
          <w:sz w:val="20"/>
          <w:szCs w:val="20"/>
          <w:lang w:val="es-CR"/>
        </w:rPr>
        <w:t>reconocido como una persona que</w:t>
      </w:r>
      <w:r w:rsidR="00E23C68" w:rsidRPr="007C6BE8">
        <w:rPr>
          <w:rFonts w:asciiTheme="majorHAnsi" w:hAnsiTheme="majorHAnsi"/>
          <w:sz w:val="20"/>
          <w:szCs w:val="20"/>
          <w:lang w:val="es-CR"/>
        </w:rPr>
        <w:t xml:space="preserve"> </w:t>
      </w:r>
      <w:r w:rsidR="001873E0" w:rsidRPr="007C6BE8">
        <w:rPr>
          <w:rFonts w:asciiTheme="majorHAnsi" w:hAnsiTheme="majorHAnsi"/>
          <w:sz w:val="20"/>
          <w:szCs w:val="20"/>
          <w:lang w:val="es-CR"/>
        </w:rPr>
        <w:t>promovía al partido de la UP</w:t>
      </w:r>
      <w:r w:rsidR="00E23C68" w:rsidRPr="007C6BE8">
        <w:rPr>
          <w:rFonts w:asciiTheme="majorHAnsi" w:hAnsiTheme="majorHAnsi"/>
          <w:sz w:val="20"/>
          <w:szCs w:val="20"/>
          <w:lang w:val="es-CR"/>
        </w:rPr>
        <w:t xml:space="preserve">, al menos, en calidad de simpatizante. </w:t>
      </w:r>
    </w:p>
    <w:p w:rsidR="00073CE8" w:rsidRPr="007C6BE8" w:rsidRDefault="00073CE8" w:rsidP="00B1793F">
      <w:pPr>
        <w:pStyle w:val="ListParagraph"/>
        <w:rPr>
          <w:rFonts w:asciiTheme="majorHAnsi" w:hAnsiTheme="majorHAnsi"/>
          <w:sz w:val="20"/>
          <w:szCs w:val="20"/>
          <w:lang w:val="es-CR"/>
        </w:rPr>
      </w:pPr>
    </w:p>
    <w:p w:rsidR="00EE25D0" w:rsidRPr="007C6BE8" w:rsidRDefault="00EE25D0"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En vista de lo indicado, la Comisión considera pertinente referirse a</w:t>
      </w:r>
      <w:r w:rsidR="00CB4798" w:rsidRPr="007C6BE8">
        <w:rPr>
          <w:rFonts w:asciiTheme="majorHAnsi" w:hAnsiTheme="majorHAnsi"/>
          <w:sz w:val="20"/>
          <w:szCs w:val="20"/>
          <w:lang w:val="es-CR"/>
        </w:rPr>
        <w:t xml:space="preserve"> continuación a</w:t>
      </w:r>
      <w:r w:rsidRPr="007C6BE8">
        <w:rPr>
          <w:rFonts w:asciiTheme="majorHAnsi" w:hAnsiTheme="majorHAnsi"/>
          <w:sz w:val="20"/>
          <w:szCs w:val="20"/>
          <w:lang w:val="es-CR"/>
        </w:rPr>
        <w:t xml:space="preserve">l contexto del partido de la UP </w:t>
      </w:r>
      <w:r w:rsidR="00CB4798" w:rsidRPr="007C6BE8">
        <w:rPr>
          <w:rFonts w:asciiTheme="majorHAnsi" w:hAnsiTheme="majorHAnsi"/>
          <w:sz w:val="20"/>
          <w:szCs w:val="20"/>
          <w:lang w:val="es-CR"/>
        </w:rPr>
        <w:t xml:space="preserve">a la época de los hechos </w:t>
      </w:r>
      <w:r w:rsidRPr="007C6BE8">
        <w:rPr>
          <w:rFonts w:asciiTheme="majorHAnsi" w:hAnsiTheme="majorHAnsi"/>
          <w:sz w:val="20"/>
          <w:szCs w:val="20"/>
          <w:lang w:val="es-CR"/>
        </w:rPr>
        <w:t>para</w:t>
      </w:r>
      <w:r w:rsidR="00AD3A66" w:rsidRPr="007C6BE8">
        <w:rPr>
          <w:rFonts w:asciiTheme="majorHAnsi" w:hAnsiTheme="majorHAnsi"/>
          <w:sz w:val="20"/>
          <w:szCs w:val="20"/>
          <w:lang w:val="es-CR"/>
        </w:rPr>
        <w:t xml:space="preserve"> posteriormente analiza</w:t>
      </w:r>
      <w:r w:rsidRPr="007C6BE8">
        <w:rPr>
          <w:rFonts w:asciiTheme="majorHAnsi" w:hAnsiTheme="majorHAnsi"/>
          <w:sz w:val="20"/>
          <w:szCs w:val="20"/>
          <w:lang w:val="es-CR"/>
        </w:rPr>
        <w:t xml:space="preserve">r si </w:t>
      </w:r>
      <w:r w:rsidR="00BE4A12" w:rsidRPr="007C6BE8">
        <w:rPr>
          <w:rFonts w:asciiTheme="majorHAnsi" w:hAnsiTheme="majorHAnsi"/>
          <w:sz w:val="20"/>
          <w:szCs w:val="20"/>
          <w:lang w:val="es-CR"/>
        </w:rPr>
        <w:t>dicha activida</w:t>
      </w:r>
      <w:r w:rsidR="00CB4798" w:rsidRPr="007C6BE8">
        <w:rPr>
          <w:rFonts w:asciiTheme="majorHAnsi" w:hAnsiTheme="majorHAnsi"/>
          <w:sz w:val="20"/>
          <w:szCs w:val="20"/>
          <w:lang w:val="es-CR"/>
        </w:rPr>
        <w:t>d</w:t>
      </w:r>
      <w:r w:rsidR="00BE4A12" w:rsidRPr="007C6BE8">
        <w:rPr>
          <w:rFonts w:asciiTheme="majorHAnsi" w:hAnsiTheme="majorHAnsi"/>
          <w:sz w:val="20"/>
          <w:szCs w:val="20"/>
          <w:lang w:val="es-CR"/>
        </w:rPr>
        <w:t xml:space="preserve"> </w:t>
      </w:r>
      <w:r w:rsidRPr="007C6BE8">
        <w:rPr>
          <w:rFonts w:asciiTheme="majorHAnsi" w:hAnsiTheme="majorHAnsi"/>
          <w:sz w:val="20"/>
          <w:szCs w:val="20"/>
          <w:lang w:val="es-CR"/>
        </w:rPr>
        <w:t xml:space="preserve">del señor Restrepo </w:t>
      </w:r>
      <w:r w:rsidR="00BE4A12" w:rsidRPr="007C6BE8">
        <w:rPr>
          <w:rFonts w:asciiTheme="majorHAnsi" w:hAnsiTheme="majorHAnsi"/>
          <w:sz w:val="20"/>
          <w:szCs w:val="20"/>
          <w:lang w:val="es-CR"/>
        </w:rPr>
        <w:t>respecto de</w:t>
      </w:r>
      <w:r w:rsidR="00E23C68" w:rsidRPr="007C6BE8">
        <w:rPr>
          <w:rFonts w:asciiTheme="majorHAnsi" w:hAnsiTheme="majorHAnsi"/>
          <w:sz w:val="20"/>
          <w:szCs w:val="20"/>
          <w:lang w:val="es-CR"/>
        </w:rPr>
        <w:t>l</w:t>
      </w:r>
      <w:r w:rsidR="00BE4A12" w:rsidRPr="007C6BE8">
        <w:rPr>
          <w:rFonts w:asciiTheme="majorHAnsi" w:hAnsiTheme="majorHAnsi"/>
          <w:sz w:val="20"/>
          <w:szCs w:val="20"/>
          <w:lang w:val="es-CR"/>
        </w:rPr>
        <w:t xml:space="preserve"> partido político </w:t>
      </w:r>
      <w:r w:rsidR="00E23C68" w:rsidRPr="007C6BE8">
        <w:rPr>
          <w:rFonts w:asciiTheme="majorHAnsi" w:hAnsiTheme="majorHAnsi"/>
          <w:sz w:val="20"/>
          <w:szCs w:val="20"/>
          <w:lang w:val="es-CR"/>
        </w:rPr>
        <w:t xml:space="preserve">resulta relevante en la decisión del presente caso. </w:t>
      </w:r>
    </w:p>
    <w:p w:rsidR="00E23C68" w:rsidRPr="007C6BE8" w:rsidRDefault="00E23C68" w:rsidP="00E23C6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Theme="majorHAnsi" w:hAnsiTheme="majorHAnsi"/>
          <w:sz w:val="20"/>
          <w:szCs w:val="20"/>
          <w:lang w:val="es-CR"/>
        </w:rPr>
      </w:pPr>
    </w:p>
    <w:p w:rsidR="00EE25D0" w:rsidRPr="007C6BE8" w:rsidRDefault="00EE25D0" w:rsidP="00C317EC">
      <w:pPr>
        <w:pStyle w:val="Heading3"/>
        <w:spacing w:before="0" w:after="0"/>
        <w:ind w:left="1440" w:hanging="720"/>
        <w:jc w:val="both"/>
        <w:rPr>
          <w:rFonts w:asciiTheme="majorHAnsi" w:hAnsiTheme="majorHAnsi"/>
          <w:sz w:val="20"/>
          <w:szCs w:val="20"/>
          <w:lang w:val="es-CR"/>
        </w:rPr>
      </w:pPr>
      <w:bookmarkStart w:id="44" w:name="_Toc414371980"/>
      <w:bookmarkStart w:id="45" w:name="_Toc421786410"/>
      <w:bookmarkStart w:id="46" w:name="_Toc529794712"/>
      <w:r w:rsidRPr="007C6BE8">
        <w:rPr>
          <w:rFonts w:asciiTheme="majorHAnsi" w:hAnsiTheme="majorHAnsi"/>
          <w:sz w:val="20"/>
          <w:szCs w:val="20"/>
          <w:lang w:val="es-CR"/>
        </w:rPr>
        <w:t>2.</w:t>
      </w:r>
      <w:r w:rsidRPr="007C6BE8">
        <w:rPr>
          <w:rFonts w:asciiTheme="majorHAnsi" w:hAnsiTheme="majorHAnsi"/>
          <w:sz w:val="20"/>
          <w:szCs w:val="20"/>
          <w:lang w:val="es-CR"/>
        </w:rPr>
        <w:tab/>
        <w:t>El partido de la Unión Patriótica y la situación de riesgo para las personas vinculadas al mismo</w:t>
      </w:r>
      <w:bookmarkEnd w:id="44"/>
      <w:bookmarkEnd w:id="45"/>
      <w:bookmarkEnd w:id="46"/>
    </w:p>
    <w:p w:rsidR="00EE25D0" w:rsidRPr="007C6BE8" w:rsidRDefault="00EE25D0"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CC21DF" w:rsidRPr="007C6BE8" w:rsidRDefault="00EE25D0"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E</w:t>
      </w:r>
      <w:r w:rsidR="00CC21DF" w:rsidRPr="007C6BE8">
        <w:rPr>
          <w:rFonts w:asciiTheme="majorHAnsi" w:hAnsiTheme="majorHAnsi"/>
          <w:sz w:val="20"/>
          <w:szCs w:val="20"/>
          <w:lang w:val="es-CR"/>
        </w:rPr>
        <w:t xml:space="preserve">l Partido “Unión Patriótica” se fundó como partido </w:t>
      </w:r>
      <w:r w:rsidR="00B65BE4" w:rsidRPr="007C6BE8">
        <w:rPr>
          <w:rFonts w:asciiTheme="majorHAnsi" w:hAnsiTheme="majorHAnsi"/>
          <w:sz w:val="20"/>
          <w:szCs w:val="20"/>
          <w:lang w:val="es-CR"/>
        </w:rPr>
        <w:t xml:space="preserve">en </w:t>
      </w:r>
      <w:r w:rsidR="00CC21DF" w:rsidRPr="007C6BE8">
        <w:rPr>
          <w:rFonts w:asciiTheme="majorHAnsi" w:hAnsiTheme="majorHAnsi"/>
          <w:sz w:val="20"/>
          <w:szCs w:val="20"/>
          <w:lang w:val="es-CR"/>
        </w:rPr>
        <w:t xml:space="preserve"> 1985 como resultado de las negociaciones de paz entre las FARC y gobierno del Presidente Belisario Betancur</w:t>
      </w:r>
      <w:r w:rsidR="00CB4798" w:rsidRPr="007C6BE8">
        <w:rPr>
          <w:rStyle w:val="FootnoteReference"/>
          <w:rFonts w:asciiTheme="majorHAnsi" w:hAnsiTheme="majorHAnsi"/>
          <w:sz w:val="20"/>
          <w:szCs w:val="20"/>
          <w:lang w:val="es-ES_tradnl"/>
        </w:rPr>
        <w:footnoteReference w:id="27"/>
      </w:r>
      <w:r w:rsidR="00CC21DF" w:rsidRPr="007C6BE8">
        <w:rPr>
          <w:rFonts w:asciiTheme="majorHAnsi" w:hAnsiTheme="majorHAnsi"/>
          <w:sz w:val="20"/>
          <w:szCs w:val="20"/>
          <w:lang w:val="es-CR"/>
        </w:rPr>
        <w:t xml:space="preserve">. Dicho partido, según lo señaló la Comisión en su </w:t>
      </w:r>
      <w:r w:rsidR="00CC21DF" w:rsidRPr="007C6BE8">
        <w:rPr>
          <w:rFonts w:asciiTheme="majorHAnsi" w:hAnsiTheme="majorHAnsi"/>
          <w:i/>
          <w:sz w:val="20"/>
          <w:szCs w:val="20"/>
          <w:lang w:val="es-CR"/>
        </w:rPr>
        <w:t>Tercer Informe sobre la Situación de los Derechos Humanos en Colombia</w:t>
      </w:r>
      <w:r w:rsidR="00CC21DF" w:rsidRPr="007C6BE8">
        <w:rPr>
          <w:rFonts w:asciiTheme="majorHAnsi" w:hAnsiTheme="majorHAnsi"/>
          <w:sz w:val="20"/>
          <w:szCs w:val="20"/>
          <w:lang w:val="es-CR"/>
        </w:rPr>
        <w:t xml:space="preserve"> no fue concebido como un partido político en el sentido estricto del término, sino como una alternativa política a la estructura </w:t>
      </w:r>
      <w:r w:rsidR="00CC21DF" w:rsidRPr="007C6BE8">
        <w:rPr>
          <w:rFonts w:asciiTheme="majorHAnsi" w:hAnsiTheme="majorHAnsi"/>
          <w:sz w:val="20"/>
          <w:szCs w:val="20"/>
          <w:lang w:val="es-ES_tradnl"/>
        </w:rPr>
        <w:t>de poder tradicional, que pudiera servir como vehículo para las distintas manifestaciones de protesta civil y popular, sin embargo, también se vislumbró a la Unión Patriótica como el vehículo político para la posible reasimilación de las FARC a la vida civil</w:t>
      </w:r>
      <w:r w:rsidR="00CC21DF" w:rsidRPr="007C6BE8">
        <w:rPr>
          <w:rStyle w:val="FootnoteReference"/>
          <w:rFonts w:asciiTheme="majorHAnsi" w:hAnsiTheme="majorHAnsi"/>
          <w:sz w:val="20"/>
          <w:szCs w:val="20"/>
          <w:lang w:val="es-ES_tradnl"/>
        </w:rPr>
        <w:footnoteReference w:id="28"/>
      </w:r>
      <w:r w:rsidR="00CC21DF" w:rsidRPr="007C6BE8">
        <w:rPr>
          <w:rFonts w:asciiTheme="majorHAnsi" w:hAnsiTheme="majorHAnsi"/>
          <w:sz w:val="20"/>
          <w:szCs w:val="20"/>
          <w:lang w:val="es-ES_tradnl"/>
        </w:rPr>
        <w:t>.</w:t>
      </w:r>
    </w:p>
    <w:p w:rsidR="00EE25D0" w:rsidRPr="007C6BE8" w:rsidRDefault="00EE25D0"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CC21DF" w:rsidRPr="007C6BE8" w:rsidRDefault="00CC21DF"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ES_tradnl"/>
        </w:rPr>
        <w:t>Respecto de la situación de las</w:t>
      </w:r>
      <w:r w:rsidR="00CB234A" w:rsidRPr="007C6BE8">
        <w:rPr>
          <w:rFonts w:asciiTheme="majorHAnsi" w:hAnsiTheme="majorHAnsi"/>
          <w:sz w:val="20"/>
          <w:szCs w:val="20"/>
          <w:lang w:val="es-ES_tradnl"/>
        </w:rPr>
        <w:t xml:space="preserve"> personas vinculadas a la UP, la Defensoría </w:t>
      </w:r>
      <w:r w:rsidRPr="007C6BE8">
        <w:rPr>
          <w:rFonts w:asciiTheme="majorHAnsi" w:hAnsiTheme="majorHAnsi"/>
          <w:sz w:val="20"/>
          <w:szCs w:val="20"/>
          <w:lang w:val="es-ES_tradnl"/>
        </w:rPr>
        <w:t>del Pueblo notó que “existe una relación directa entre el surgimiento, la actividad y el apoyo electoral de la UP y el homicidio de sus militantes y dirigentes en regiones donde la presencia del partido fue interpretada como un riesgo al mantenimiento de los privilegios de ciertos  grupos”</w:t>
      </w:r>
      <w:r w:rsidRPr="007C6BE8">
        <w:rPr>
          <w:rStyle w:val="FootnoteReference"/>
          <w:rFonts w:asciiTheme="majorHAnsi" w:hAnsiTheme="majorHAnsi"/>
          <w:sz w:val="20"/>
          <w:szCs w:val="20"/>
          <w:lang w:val="es-ES_tradnl"/>
        </w:rPr>
        <w:footnoteReference w:id="29"/>
      </w:r>
      <w:r w:rsidRPr="007C6BE8">
        <w:rPr>
          <w:rFonts w:asciiTheme="majorHAnsi" w:hAnsiTheme="majorHAnsi"/>
          <w:sz w:val="20"/>
          <w:szCs w:val="20"/>
          <w:lang w:val="es-ES_tradnl"/>
        </w:rPr>
        <w:t xml:space="preserve">. </w:t>
      </w:r>
    </w:p>
    <w:p w:rsidR="00EE25D0" w:rsidRPr="007C6BE8" w:rsidRDefault="00EE25D0"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CC21DF" w:rsidRPr="007C6BE8" w:rsidRDefault="00CC21DF"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Style w:val="apple-converted-space"/>
          <w:rFonts w:asciiTheme="majorHAnsi" w:hAnsiTheme="majorHAnsi"/>
          <w:sz w:val="20"/>
          <w:szCs w:val="20"/>
          <w:lang w:val="es-CR"/>
        </w:rPr>
      </w:pPr>
      <w:r w:rsidRPr="007C6BE8">
        <w:rPr>
          <w:rFonts w:asciiTheme="majorHAnsi" w:eastAsia="Times New Roman" w:hAnsiTheme="majorHAnsi"/>
          <w:sz w:val="20"/>
          <w:szCs w:val="20"/>
          <w:lang w:val="es-ES_tradnl"/>
        </w:rPr>
        <w:lastRenderedPageBreak/>
        <w:t xml:space="preserve">La Comisión hizo referencia a los asesinatos colectivos de miembros de la Unión Patriótica en su </w:t>
      </w:r>
      <w:r w:rsidRPr="007C6BE8">
        <w:rPr>
          <w:rFonts w:asciiTheme="majorHAnsi" w:eastAsia="Times New Roman" w:hAnsiTheme="majorHAnsi"/>
          <w:i/>
          <w:sz w:val="20"/>
          <w:szCs w:val="20"/>
          <w:lang w:val="es-ES_tradnl"/>
        </w:rPr>
        <w:t>Segundo Informe sobre la situación de los derechos humanos en Colombia</w:t>
      </w:r>
      <w:r w:rsidRPr="007C6BE8">
        <w:rPr>
          <w:rFonts w:asciiTheme="majorHAnsi" w:eastAsia="Times New Roman" w:hAnsiTheme="majorHAnsi"/>
          <w:sz w:val="20"/>
          <w:szCs w:val="20"/>
          <w:lang w:val="es-ES_tradnl"/>
        </w:rPr>
        <w:t xml:space="preserve"> y en el informe sobre este país, incluido en el Informe Anual de 1996. Según dicha información, desde la fundación del partido en 1985 habrían sido asesinados más de 1.500 de sus miembros.</w:t>
      </w:r>
      <w:r w:rsidRPr="007C6BE8">
        <w:rPr>
          <w:rStyle w:val="apple-converted-space"/>
          <w:rFonts w:asciiTheme="majorHAnsi" w:eastAsia="Times New Roman" w:hAnsiTheme="majorHAnsi"/>
          <w:sz w:val="20"/>
          <w:szCs w:val="20"/>
          <w:lang w:val="es-ES_tradnl"/>
        </w:rPr>
        <w:t>  </w:t>
      </w:r>
      <w:r w:rsidR="00014AA3" w:rsidRPr="007C6BE8">
        <w:rPr>
          <w:rFonts w:asciiTheme="majorHAnsi" w:eastAsia="Times New Roman" w:hAnsiTheme="majorHAnsi"/>
          <w:sz w:val="20"/>
          <w:szCs w:val="20"/>
          <w:lang w:val="es-ES_tradnl"/>
        </w:rPr>
        <w:t>En el mismo</w:t>
      </w:r>
      <w:r w:rsidRPr="007C6BE8">
        <w:rPr>
          <w:rFonts w:asciiTheme="majorHAnsi" w:eastAsia="Times New Roman" w:hAnsiTheme="majorHAnsi"/>
          <w:sz w:val="20"/>
          <w:szCs w:val="20"/>
          <w:lang w:val="es-ES_tradnl"/>
        </w:rPr>
        <w:t xml:space="preserve"> informe</w:t>
      </w:r>
      <w:r w:rsidR="00014AA3" w:rsidRPr="007C6BE8">
        <w:rPr>
          <w:rFonts w:asciiTheme="majorHAnsi" w:eastAsia="Times New Roman" w:hAnsiTheme="majorHAnsi"/>
          <w:sz w:val="20"/>
          <w:szCs w:val="20"/>
          <w:lang w:val="es-ES_tradnl"/>
        </w:rPr>
        <w:t>,</w:t>
      </w:r>
      <w:r w:rsidRPr="007C6BE8">
        <w:rPr>
          <w:rFonts w:asciiTheme="majorHAnsi" w:eastAsia="Times New Roman" w:hAnsiTheme="majorHAnsi"/>
          <w:sz w:val="20"/>
          <w:szCs w:val="20"/>
          <w:lang w:val="es-ES_tradnl"/>
        </w:rPr>
        <w:t xml:space="preserve"> la Comisión señaló que la conducción del partido estimaba que, en 1996, "fue asesinado un miembro del partido cada dos días"</w:t>
      </w:r>
      <w:r w:rsidRPr="007C6BE8">
        <w:rPr>
          <w:rStyle w:val="FootnoteReference"/>
          <w:rFonts w:asciiTheme="majorHAnsi" w:hAnsiTheme="majorHAnsi"/>
          <w:sz w:val="20"/>
          <w:szCs w:val="20"/>
          <w:lang w:val="es-ES_tradnl"/>
        </w:rPr>
        <w:footnoteReference w:id="30"/>
      </w:r>
      <w:r w:rsidRPr="007C6BE8">
        <w:rPr>
          <w:rFonts w:asciiTheme="majorHAnsi" w:eastAsia="Times New Roman" w:hAnsiTheme="majorHAnsi"/>
          <w:sz w:val="20"/>
          <w:szCs w:val="20"/>
          <w:lang w:val="es-ES_tradnl"/>
        </w:rPr>
        <w:t>.</w:t>
      </w:r>
      <w:r w:rsidRPr="007C6BE8">
        <w:rPr>
          <w:rStyle w:val="apple-converted-space"/>
          <w:rFonts w:asciiTheme="majorHAnsi" w:eastAsia="Times New Roman" w:hAnsiTheme="majorHAnsi"/>
          <w:sz w:val="20"/>
          <w:szCs w:val="20"/>
          <w:lang w:val="es-ES_tradnl"/>
        </w:rPr>
        <w:t xml:space="preserve">  </w:t>
      </w:r>
      <w:r w:rsidRPr="007C6BE8">
        <w:rPr>
          <w:rStyle w:val="apple-converted-space"/>
          <w:rFonts w:asciiTheme="majorHAnsi" w:hAnsiTheme="majorHAnsi"/>
          <w:sz w:val="20"/>
          <w:szCs w:val="20"/>
          <w:lang w:val="es-ES_tradnl"/>
        </w:rPr>
        <w:t>Por su parte, en 1995 los Relatores Especiales de Naciones Unidas sobre la Tortura y sobre Ejecuciones Extrajudiciales indicaron que desde 1985 la UP habría perdido más de 2.000 miembros todos los cuales habían sido asesinatos por motivos políticos</w:t>
      </w:r>
      <w:r w:rsidRPr="007C6BE8">
        <w:rPr>
          <w:rStyle w:val="FootnoteReference"/>
          <w:rFonts w:asciiTheme="majorHAnsi" w:hAnsiTheme="majorHAnsi"/>
          <w:sz w:val="20"/>
          <w:szCs w:val="20"/>
          <w:lang w:val="es-ES_tradnl"/>
        </w:rPr>
        <w:footnoteReference w:id="31"/>
      </w:r>
      <w:r w:rsidRPr="007C6BE8">
        <w:rPr>
          <w:rStyle w:val="apple-converted-space"/>
          <w:rFonts w:asciiTheme="majorHAnsi" w:hAnsiTheme="majorHAnsi"/>
          <w:sz w:val="20"/>
          <w:szCs w:val="20"/>
          <w:lang w:val="es-ES_tradnl"/>
        </w:rPr>
        <w:t>.</w:t>
      </w:r>
    </w:p>
    <w:p w:rsidR="00CC21DF" w:rsidRPr="007C6BE8" w:rsidRDefault="00CC21DF"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Style w:val="apple-converted-space"/>
          <w:rFonts w:asciiTheme="majorHAnsi" w:hAnsiTheme="majorHAnsi"/>
          <w:sz w:val="20"/>
          <w:szCs w:val="20"/>
          <w:lang w:val="es-ES_tradnl"/>
        </w:rPr>
      </w:pPr>
    </w:p>
    <w:p w:rsidR="00CC21DF" w:rsidRPr="007C6BE8" w:rsidRDefault="00CC21DF"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Style w:val="apple-converted-space"/>
          <w:rFonts w:asciiTheme="majorHAnsi" w:hAnsiTheme="majorHAnsi"/>
          <w:sz w:val="20"/>
          <w:szCs w:val="20"/>
          <w:lang w:val="es-ES_tradnl"/>
        </w:rPr>
      </w:pPr>
      <w:r w:rsidRPr="007C6BE8">
        <w:rPr>
          <w:rStyle w:val="apple-converted-space"/>
          <w:rFonts w:asciiTheme="majorHAnsi" w:hAnsiTheme="majorHAnsi"/>
          <w:sz w:val="20"/>
          <w:szCs w:val="20"/>
          <w:lang w:val="es-ES_tradnl"/>
        </w:rPr>
        <w:t xml:space="preserve">En relación con las personas a que iban dirigidas los asesinatos, la Comisión nota que de acuerdo a la prueba pericial que fue citada por la Corte Interamericana en la sentencia del caso relacionado con la muerte del senador </w:t>
      </w:r>
      <w:r w:rsidR="00014AA3" w:rsidRPr="007C6BE8">
        <w:rPr>
          <w:rStyle w:val="apple-converted-space"/>
          <w:rFonts w:asciiTheme="majorHAnsi" w:hAnsiTheme="majorHAnsi"/>
          <w:sz w:val="20"/>
          <w:szCs w:val="20"/>
          <w:lang w:val="es-ES_tradnl"/>
        </w:rPr>
        <w:t>de la UP, Manuel Cepeda Vargas:</w:t>
      </w:r>
    </w:p>
    <w:p w:rsidR="00CC21DF" w:rsidRPr="007C6BE8" w:rsidRDefault="00CC21DF"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Style w:val="apple-converted-space"/>
          <w:rFonts w:asciiTheme="majorHAnsi" w:hAnsiTheme="majorHAnsi"/>
          <w:sz w:val="20"/>
          <w:szCs w:val="20"/>
          <w:lang w:val="es-ES_tradnl"/>
        </w:rPr>
      </w:pPr>
    </w:p>
    <w:p w:rsidR="00CC21DF" w:rsidRPr="007C6BE8" w:rsidRDefault="00CC21DF" w:rsidP="00B1793F">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Style w:val="apple-converted-space"/>
          <w:rFonts w:asciiTheme="majorHAnsi" w:hAnsiTheme="majorHAnsi"/>
          <w:sz w:val="20"/>
          <w:szCs w:val="20"/>
          <w:lang w:val="es-ES_tradnl"/>
        </w:rPr>
      </w:pPr>
      <w:r w:rsidRPr="007C6BE8">
        <w:rPr>
          <w:rStyle w:val="apple-converted-space"/>
          <w:rFonts w:asciiTheme="majorHAnsi" w:hAnsiTheme="majorHAnsi"/>
          <w:sz w:val="20"/>
          <w:szCs w:val="20"/>
          <w:lang w:val="es-ES_tradnl"/>
        </w:rPr>
        <w:t xml:space="preserve">[l]os actos de violencia desarrollados de manera selectiva contra los representantes de la UP, se acompañaron de crímenes perpetrados contra miembros de las comunidades o sectores sociales que pertenecían o apoyaban el proyecto político en las distintas regiones del país. Se ejecutaron vejámenes con un móvil de aleccionamiento y represión. Con este mecanismo, se infundió una sensación generalizada de miedo y terror que pudo reducir progresivamente el respaldo popular y electoral a la UP, en principio en las zonas de principal apoyo y </w:t>
      </w:r>
      <w:r w:rsidR="00014AA3" w:rsidRPr="007C6BE8">
        <w:rPr>
          <w:rStyle w:val="apple-converted-space"/>
          <w:rFonts w:asciiTheme="majorHAnsi" w:hAnsiTheme="majorHAnsi"/>
          <w:sz w:val="20"/>
          <w:szCs w:val="20"/>
          <w:lang w:val="es-ES_tradnl"/>
        </w:rPr>
        <w:t>posteriormente a nivel nacional</w:t>
      </w:r>
      <w:r w:rsidRPr="007C6BE8">
        <w:rPr>
          <w:rStyle w:val="FootnoteReference"/>
          <w:rFonts w:asciiTheme="majorHAnsi" w:hAnsiTheme="majorHAnsi"/>
          <w:sz w:val="20"/>
          <w:szCs w:val="20"/>
          <w:lang w:val="es-ES_tradnl"/>
        </w:rPr>
        <w:footnoteReference w:id="32"/>
      </w:r>
      <w:r w:rsidRPr="007C6BE8">
        <w:rPr>
          <w:rStyle w:val="apple-converted-space"/>
          <w:rFonts w:asciiTheme="majorHAnsi" w:hAnsiTheme="majorHAnsi"/>
          <w:sz w:val="20"/>
          <w:szCs w:val="20"/>
          <w:lang w:val="es-ES_tradnl"/>
        </w:rPr>
        <w:t>.</w:t>
      </w:r>
    </w:p>
    <w:p w:rsidR="00CC21DF" w:rsidRPr="007C6BE8" w:rsidRDefault="00CC21DF"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Style w:val="apple-converted-space"/>
          <w:rFonts w:asciiTheme="majorHAnsi" w:hAnsiTheme="majorHAnsi"/>
          <w:sz w:val="20"/>
          <w:szCs w:val="20"/>
          <w:lang w:val="es-ES_tradnl"/>
        </w:rPr>
      </w:pPr>
    </w:p>
    <w:p w:rsidR="00CC21DF" w:rsidRPr="007C6BE8" w:rsidRDefault="00CC21DF"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Style w:val="apple-converted-space"/>
          <w:rFonts w:asciiTheme="majorHAnsi" w:hAnsiTheme="majorHAnsi"/>
          <w:sz w:val="20"/>
          <w:szCs w:val="20"/>
          <w:lang w:val="es-ES_tradnl"/>
        </w:rPr>
      </w:pPr>
      <w:r w:rsidRPr="007C6BE8">
        <w:rPr>
          <w:rStyle w:val="apple-converted-space"/>
          <w:rFonts w:asciiTheme="majorHAnsi" w:hAnsiTheme="majorHAnsi"/>
          <w:sz w:val="20"/>
          <w:szCs w:val="20"/>
          <w:lang w:val="es-ES_tradnl"/>
        </w:rPr>
        <w:t>Respecto de los perpetradores de tales actos de violencia, la Corte Interamericana señaló que “provienen de distintos grupos, entre los más importantes los paramilitares, aunque también agentes estatales habrían participado de manera directa e indirecta en aquellos”</w:t>
      </w:r>
      <w:r w:rsidRPr="007C6BE8">
        <w:rPr>
          <w:rStyle w:val="FootnoteReference"/>
          <w:rFonts w:asciiTheme="majorHAnsi" w:hAnsiTheme="majorHAnsi"/>
          <w:sz w:val="20"/>
          <w:szCs w:val="20"/>
          <w:lang w:val="es-ES_tradnl"/>
        </w:rPr>
        <w:footnoteReference w:id="33"/>
      </w:r>
      <w:r w:rsidRPr="007C6BE8">
        <w:rPr>
          <w:rStyle w:val="apple-converted-space"/>
          <w:rFonts w:asciiTheme="majorHAnsi" w:hAnsiTheme="majorHAnsi"/>
          <w:sz w:val="20"/>
          <w:szCs w:val="20"/>
          <w:lang w:val="es-ES_tradnl"/>
        </w:rPr>
        <w:t>. La Corte hizo notar a su vez que los datos aportados por el Estado revelan que “agentes estatales (principalmente miembros del Ejército y la policía), ocupaban el segundo lugar de violenci</w:t>
      </w:r>
      <w:r w:rsidR="00014AA3" w:rsidRPr="007C6BE8">
        <w:rPr>
          <w:rStyle w:val="apple-converted-space"/>
          <w:rFonts w:asciiTheme="majorHAnsi" w:hAnsiTheme="majorHAnsi"/>
          <w:sz w:val="20"/>
          <w:szCs w:val="20"/>
          <w:lang w:val="es-ES_tradnl"/>
        </w:rPr>
        <w:t xml:space="preserve">a contra la UP” mientras que la </w:t>
      </w:r>
      <w:r w:rsidRPr="007C6BE8">
        <w:rPr>
          <w:rStyle w:val="apple-converted-space"/>
          <w:rFonts w:asciiTheme="majorHAnsi" w:hAnsiTheme="majorHAnsi"/>
          <w:sz w:val="20"/>
          <w:szCs w:val="20"/>
          <w:lang w:val="es-ES_tradnl"/>
        </w:rPr>
        <w:t>Defensor</w:t>
      </w:r>
      <w:r w:rsidR="00014AA3" w:rsidRPr="007C6BE8">
        <w:rPr>
          <w:rStyle w:val="apple-converted-space"/>
          <w:rFonts w:asciiTheme="majorHAnsi" w:hAnsiTheme="majorHAnsi"/>
          <w:sz w:val="20"/>
          <w:szCs w:val="20"/>
          <w:lang w:val="es-ES_tradnl"/>
        </w:rPr>
        <w:t>ía</w:t>
      </w:r>
      <w:r w:rsidRPr="007C6BE8">
        <w:rPr>
          <w:rStyle w:val="apple-converted-space"/>
          <w:rFonts w:asciiTheme="majorHAnsi" w:hAnsiTheme="majorHAnsi"/>
          <w:sz w:val="20"/>
          <w:szCs w:val="20"/>
          <w:lang w:val="es-ES_tradnl"/>
        </w:rPr>
        <w:t xml:space="preserve"> del Pueblo anotó que “grupos paramilitares o de autodefensa habían convertido a la UP, al no poder confrontar directamente a la guerrilla, en la parte visible y el objetivo militar en su estrategia”</w:t>
      </w:r>
      <w:r w:rsidRPr="007C6BE8">
        <w:rPr>
          <w:rStyle w:val="FootnoteReference"/>
          <w:rFonts w:asciiTheme="majorHAnsi" w:hAnsiTheme="majorHAnsi"/>
          <w:sz w:val="20"/>
          <w:szCs w:val="20"/>
          <w:lang w:val="es-ES_tradnl"/>
        </w:rPr>
        <w:footnoteReference w:id="34"/>
      </w:r>
      <w:r w:rsidRPr="007C6BE8">
        <w:rPr>
          <w:rStyle w:val="apple-converted-space"/>
          <w:rFonts w:asciiTheme="majorHAnsi" w:hAnsiTheme="majorHAnsi"/>
          <w:sz w:val="20"/>
          <w:szCs w:val="20"/>
          <w:lang w:val="es-ES_tradnl"/>
        </w:rPr>
        <w:t>.</w:t>
      </w:r>
    </w:p>
    <w:p w:rsidR="00CC21DF" w:rsidRPr="007C6BE8" w:rsidRDefault="00CC21DF"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Style w:val="apple-converted-space"/>
          <w:rFonts w:asciiTheme="majorHAnsi" w:hAnsiTheme="majorHAnsi"/>
          <w:sz w:val="20"/>
          <w:szCs w:val="20"/>
          <w:lang w:val="es-ES_tradnl"/>
        </w:rPr>
      </w:pPr>
    </w:p>
    <w:p w:rsidR="00CC21DF" w:rsidRPr="007C6BE8" w:rsidRDefault="00CC21DF"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Style w:val="apple-converted-space"/>
          <w:rFonts w:asciiTheme="majorHAnsi" w:hAnsiTheme="majorHAnsi"/>
          <w:sz w:val="20"/>
          <w:szCs w:val="20"/>
          <w:lang w:val="es-ES_tradnl"/>
        </w:rPr>
      </w:pPr>
      <w:r w:rsidRPr="007C6BE8">
        <w:rPr>
          <w:rStyle w:val="apple-converted-space"/>
          <w:rFonts w:asciiTheme="majorHAnsi" w:hAnsiTheme="majorHAnsi"/>
          <w:sz w:val="20"/>
          <w:szCs w:val="20"/>
          <w:lang w:val="es-ES_tradnl"/>
        </w:rPr>
        <w:t>Según lo ha hecho notar la Corte Interamericana, “la violencia contra la UP ha sido caracterizada como sistemática”</w:t>
      </w:r>
      <w:r w:rsidRPr="007C6BE8">
        <w:rPr>
          <w:rStyle w:val="FootnoteReference"/>
          <w:rFonts w:asciiTheme="majorHAnsi" w:hAnsiTheme="majorHAnsi"/>
          <w:sz w:val="20"/>
          <w:szCs w:val="20"/>
          <w:lang w:val="es-ES_tradnl"/>
        </w:rPr>
        <w:footnoteReference w:id="35"/>
      </w:r>
      <w:r w:rsidRPr="007C6BE8">
        <w:rPr>
          <w:rStyle w:val="apple-converted-space"/>
          <w:rFonts w:asciiTheme="majorHAnsi" w:hAnsiTheme="majorHAnsi"/>
          <w:sz w:val="20"/>
          <w:szCs w:val="20"/>
          <w:lang w:val="es-ES_tradnl"/>
        </w:rPr>
        <w:t xml:space="preserve"> y , por su parte, la Corte Constitucional colombiana ha indicado respecto de la determinación de</w:t>
      </w:r>
      <w:r w:rsidR="00014AA3" w:rsidRPr="007C6BE8">
        <w:rPr>
          <w:rStyle w:val="apple-converted-space"/>
          <w:rFonts w:asciiTheme="majorHAnsi" w:hAnsiTheme="majorHAnsi"/>
          <w:sz w:val="20"/>
          <w:szCs w:val="20"/>
          <w:lang w:val="es-ES_tradnl"/>
        </w:rPr>
        <w:t xml:space="preserve"> la</w:t>
      </w:r>
      <w:r w:rsidRPr="007C6BE8">
        <w:rPr>
          <w:rStyle w:val="apple-converted-space"/>
          <w:rFonts w:asciiTheme="majorHAnsi" w:hAnsiTheme="majorHAnsi"/>
          <w:sz w:val="20"/>
          <w:szCs w:val="20"/>
          <w:lang w:val="es-ES_tradnl"/>
        </w:rPr>
        <w:t xml:space="preserve"> situación de riesgo de una persona por su vinculación con el partido de la UP, desde 1992</w:t>
      </w:r>
      <w:r w:rsidR="00014AA3" w:rsidRPr="007C6BE8">
        <w:rPr>
          <w:rStyle w:val="apple-converted-space"/>
          <w:rFonts w:asciiTheme="majorHAnsi" w:hAnsiTheme="majorHAnsi"/>
          <w:sz w:val="20"/>
          <w:szCs w:val="20"/>
          <w:lang w:val="es-ES_tradnl"/>
        </w:rPr>
        <w:t>, fecha en la que ocurrieron los hechos del presente caso,</w:t>
      </w:r>
      <w:r w:rsidRPr="007C6BE8">
        <w:rPr>
          <w:rStyle w:val="apple-converted-space"/>
          <w:rFonts w:asciiTheme="majorHAnsi" w:hAnsiTheme="majorHAnsi"/>
          <w:sz w:val="20"/>
          <w:szCs w:val="20"/>
          <w:lang w:val="es-ES_tradnl"/>
        </w:rPr>
        <w:t xml:space="preserve"> que “la vinculación formal o simplemente de palabra con la Unión Patriótica, en el contexto de la persecución política e ideológica desatada contra sus miembros o simpatizantes, es un factor determinante en el caso para afirmar que la sensación de amenaza respecto de su vida”</w:t>
      </w:r>
      <w:r w:rsidRPr="007C6BE8">
        <w:rPr>
          <w:rStyle w:val="FootnoteReference"/>
          <w:rFonts w:asciiTheme="majorHAnsi" w:hAnsiTheme="majorHAnsi"/>
          <w:sz w:val="20"/>
          <w:szCs w:val="20"/>
          <w:lang w:val="es-ES_tradnl"/>
        </w:rPr>
        <w:footnoteReference w:id="36"/>
      </w:r>
      <w:r w:rsidRPr="007C6BE8">
        <w:rPr>
          <w:rStyle w:val="apple-converted-space"/>
          <w:rFonts w:asciiTheme="majorHAnsi" w:hAnsiTheme="majorHAnsi"/>
          <w:sz w:val="20"/>
          <w:szCs w:val="20"/>
          <w:lang w:val="es-ES_tradnl"/>
        </w:rPr>
        <w:t xml:space="preserve">. </w:t>
      </w:r>
    </w:p>
    <w:p w:rsidR="00CC21DF" w:rsidRPr="007C6BE8" w:rsidRDefault="00CC21DF"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Style w:val="apple-converted-space"/>
          <w:rFonts w:asciiTheme="majorHAnsi" w:hAnsiTheme="majorHAnsi"/>
          <w:sz w:val="20"/>
          <w:szCs w:val="20"/>
          <w:lang w:val="es-ES_tradnl"/>
        </w:rPr>
      </w:pPr>
    </w:p>
    <w:p w:rsidR="00CC21DF" w:rsidRPr="007C6BE8" w:rsidRDefault="00A17637" w:rsidP="00C20F0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Style w:val="apple-converted-space"/>
          <w:rFonts w:asciiTheme="majorHAnsi" w:hAnsiTheme="majorHAnsi"/>
          <w:sz w:val="20"/>
          <w:szCs w:val="20"/>
          <w:lang w:val="es-ES_tradnl"/>
        </w:rPr>
      </w:pPr>
      <w:r w:rsidRPr="007C6BE8">
        <w:rPr>
          <w:rStyle w:val="apple-converted-space"/>
          <w:rFonts w:asciiTheme="majorHAnsi" w:hAnsiTheme="majorHAnsi"/>
          <w:sz w:val="20"/>
          <w:szCs w:val="20"/>
          <w:lang w:val="es-ES_tradnl"/>
        </w:rPr>
        <w:t xml:space="preserve">Según información </w:t>
      </w:r>
      <w:r w:rsidR="002E1963" w:rsidRPr="007C6BE8">
        <w:rPr>
          <w:rStyle w:val="apple-converted-space"/>
          <w:rFonts w:asciiTheme="majorHAnsi" w:hAnsiTheme="majorHAnsi"/>
          <w:sz w:val="20"/>
          <w:szCs w:val="20"/>
          <w:lang w:val="es-ES_tradnl"/>
        </w:rPr>
        <w:t xml:space="preserve">disponible </w:t>
      </w:r>
      <w:r w:rsidRPr="007C6BE8">
        <w:rPr>
          <w:rStyle w:val="apple-converted-space"/>
          <w:rFonts w:asciiTheme="majorHAnsi" w:hAnsiTheme="majorHAnsi"/>
          <w:sz w:val="20"/>
          <w:szCs w:val="20"/>
          <w:lang w:val="es-ES_tradnl"/>
        </w:rPr>
        <w:t>e</w:t>
      </w:r>
      <w:r w:rsidR="00CC21DF" w:rsidRPr="007C6BE8">
        <w:rPr>
          <w:rStyle w:val="apple-converted-space"/>
          <w:rFonts w:asciiTheme="majorHAnsi" w:hAnsiTheme="majorHAnsi"/>
          <w:sz w:val="20"/>
          <w:szCs w:val="20"/>
          <w:lang w:val="es-ES_tradnl"/>
        </w:rPr>
        <w:t xml:space="preserve">l Consejo Nacional Electoral mediante Resolución 5659 de 30 de septiembre de 2002 ratificada el 30 de noviembre de 2002 concluyó que el partido político de la UP no cumplía los requisitos legales para conservar su personería jurídica, en lo fundamental por no obtener el </w:t>
      </w:r>
      <w:r w:rsidR="00CC21DF" w:rsidRPr="007C6BE8">
        <w:rPr>
          <w:rStyle w:val="apple-converted-space"/>
          <w:rFonts w:asciiTheme="majorHAnsi" w:hAnsiTheme="majorHAnsi"/>
          <w:sz w:val="20"/>
          <w:szCs w:val="20"/>
          <w:lang w:val="es-ES_tradnl"/>
        </w:rPr>
        <w:lastRenderedPageBreak/>
        <w:t>mínimo de votos necesarios o no mantener representación en el Congreso</w:t>
      </w:r>
      <w:r w:rsidR="00CC21DF" w:rsidRPr="007C6BE8">
        <w:rPr>
          <w:rStyle w:val="FootnoteReference"/>
          <w:rFonts w:asciiTheme="majorHAnsi" w:hAnsiTheme="majorHAnsi"/>
          <w:sz w:val="20"/>
          <w:szCs w:val="20"/>
          <w:lang w:val="es-ES_tradnl"/>
        </w:rPr>
        <w:footnoteReference w:id="37"/>
      </w:r>
      <w:r w:rsidR="00CC21DF" w:rsidRPr="007C6BE8">
        <w:rPr>
          <w:rStyle w:val="apple-converted-space"/>
          <w:rFonts w:asciiTheme="majorHAnsi" w:hAnsiTheme="majorHAnsi"/>
          <w:sz w:val="20"/>
          <w:szCs w:val="20"/>
          <w:lang w:val="es-ES_tradnl"/>
        </w:rPr>
        <w:t>.  A raíz de dichas resoluciones,  el partido de la UP quedó sin opción para presentar candidatos en las elecciones.</w:t>
      </w:r>
      <w:r w:rsidR="008B038C" w:rsidRPr="007C6BE8">
        <w:rPr>
          <w:rStyle w:val="apple-converted-space"/>
          <w:rFonts w:asciiTheme="majorHAnsi" w:hAnsiTheme="majorHAnsi"/>
          <w:sz w:val="20"/>
          <w:szCs w:val="20"/>
          <w:lang w:val="es-ES_tradnl"/>
        </w:rPr>
        <w:t xml:space="preserve"> Sin embargo, </w:t>
      </w:r>
      <w:r w:rsidR="00B65BE4" w:rsidRPr="007C6BE8">
        <w:rPr>
          <w:rStyle w:val="apple-converted-space"/>
          <w:rFonts w:asciiTheme="majorHAnsi" w:hAnsiTheme="majorHAnsi"/>
          <w:sz w:val="20"/>
          <w:szCs w:val="20"/>
          <w:lang w:val="es-ES_tradnl"/>
        </w:rPr>
        <w:t>conforme una resolución d</w:t>
      </w:r>
      <w:r w:rsidR="00CC21DF" w:rsidRPr="007C6BE8">
        <w:rPr>
          <w:rStyle w:val="apple-converted-space"/>
          <w:rFonts w:asciiTheme="majorHAnsi" w:hAnsiTheme="majorHAnsi"/>
          <w:sz w:val="20"/>
          <w:szCs w:val="20"/>
          <w:lang w:val="es-ES_tradnl"/>
        </w:rPr>
        <w:t>e 4 de julio de 2013</w:t>
      </w:r>
      <w:r w:rsidR="00C20F0F" w:rsidRPr="007C6BE8">
        <w:rPr>
          <w:rStyle w:val="apple-converted-space"/>
          <w:rFonts w:asciiTheme="majorHAnsi" w:hAnsiTheme="majorHAnsi"/>
          <w:sz w:val="20"/>
          <w:szCs w:val="20"/>
          <w:lang w:val="es-ES_tradnl"/>
        </w:rPr>
        <w:t xml:space="preserve"> el Consejo de Estado</w:t>
      </w:r>
      <w:r w:rsidR="00AD3A66" w:rsidRPr="007C6BE8">
        <w:rPr>
          <w:rStyle w:val="apple-converted-space"/>
          <w:rFonts w:asciiTheme="majorHAnsi" w:hAnsiTheme="majorHAnsi"/>
          <w:sz w:val="20"/>
          <w:szCs w:val="20"/>
          <w:lang w:val="es-ES_tradnl"/>
        </w:rPr>
        <w:t xml:space="preserve"> declaró nula la resolución y </w:t>
      </w:r>
      <w:r w:rsidR="00B65BE4" w:rsidRPr="007C6BE8">
        <w:rPr>
          <w:rStyle w:val="apple-converted-space"/>
          <w:rFonts w:asciiTheme="majorHAnsi" w:hAnsiTheme="majorHAnsi"/>
          <w:sz w:val="20"/>
          <w:szCs w:val="20"/>
          <w:lang w:val="es-ES_tradnl"/>
        </w:rPr>
        <w:t xml:space="preserve">refiriendo </w:t>
      </w:r>
      <w:r w:rsidR="00C20F0F" w:rsidRPr="007C6BE8">
        <w:rPr>
          <w:rStyle w:val="apple-converted-space"/>
          <w:rFonts w:asciiTheme="majorHAnsi" w:hAnsiTheme="majorHAnsi"/>
          <w:sz w:val="20"/>
          <w:szCs w:val="20"/>
          <w:lang w:val="es-ES_tradnl"/>
        </w:rPr>
        <w:t>que “</w:t>
      </w:r>
      <w:r w:rsidR="00CC21DF" w:rsidRPr="007C6BE8">
        <w:rPr>
          <w:rStyle w:val="apple-converted-space"/>
          <w:rFonts w:asciiTheme="majorHAnsi" w:hAnsiTheme="majorHAnsi"/>
          <w:sz w:val="20"/>
          <w:szCs w:val="20"/>
          <w:lang w:val="es-ES_tradnl"/>
        </w:rPr>
        <w:t xml:space="preserve">no se trató de la pérdida de apoyo popular por estar en desacuerdo los electores con su ideario o con sus directivos, sino de la total imposibilidad en que estuvo para presentarse a las elecciones al Congreso de la República del 10 de marzo de 2002, en igualdad de condiciones a los demás partidos políticos, en cuanto al goce de las garantías para la preservación de la vida e integridad personal de su directivos, militantes y simpatizantes”. </w:t>
      </w:r>
    </w:p>
    <w:p w:rsidR="00CC21DF" w:rsidRPr="007C6BE8" w:rsidRDefault="00CC21DF"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
        </w:rPr>
      </w:pPr>
    </w:p>
    <w:p w:rsidR="00CC21DF" w:rsidRPr="007C6BE8" w:rsidRDefault="00CC21DF"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Style w:val="apple-converted-space"/>
          <w:rFonts w:asciiTheme="majorHAnsi" w:hAnsiTheme="majorHAnsi"/>
          <w:sz w:val="20"/>
          <w:szCs w:val="20"/>
          <w:lang w:val="es-ES_tradnl"/>
        </w:rPr>
        <w:t xml:space="preserve">En vista de la información </w:t>
      </w:r>
      <w:r w:rsidR="00A25DD7" w:rsidRPr="007C6BE8">
        <w:rPr>
          <w:rStyle w:val="apple-converted-space"/>
          <w:rFonts w:asciiTheme="majorHAnsi" w:hAnsiTheme="majorHAnsi"/>
          <w:sz w:val="20"/>
          <w:szCs w:val="20"/>
          <w:lang w:val="es-ES_tradnl"/>
        </w:rPr>
        <w:t>disponible</w:t>
      </w:r>
      <w:r w:rsidR="00943684" w:rsidRPr="007C6BE8">
        <w:rPr>
          <w:rStyle w:val="apple-converted-space"/>
          <w:rFonts w:asciiTheme="majorHAnsi" w:hAnsiTheme="majorHAnsi"/>
          <w:sz w:val="20"/>
          <w:szCs w:val="20"/>
          <w:lang w:val="es-ES_tradnl"/>
        </w:rPr>
        <w:t>,</w:t>
      </w:r>
      <w:r w:rsidRPr="007C6BE8">
        <w:rPr>
          <w:rStyle w:val="apple-converted-space"/>
          <w:rFonts w:asciiTheme="majorHAnsi" w:hAnsiTheme="majorHAnsi"/>
          <w:sz w:val="20"/>
          <w:szCs w:val="20"/>
          <w:lang w:val="es-ES_tradnl"/>
        </w:rPr>
        <w:t xml:space="preserve"> la Comisión constata una serie de </w:t>
      </w:r>
      <w:r w:rsidR="00CB4798" w:rsidRPr="007C6BE8">
        <w:rPr>
          <w:rStyle w:val="apple-converted-space"/>
          <w:rFonts w:asciiTheme="majorHAnsi" w:hAnsiTheme="majorHAnsi"/>
          <w:sz w:val="20"/>
          <w:szCs w:val="20"/>
          <w:lang w:val="es-ES_tradnl"/>
        </w:rPr>
        <w:t xml:space="preserve">graves </w:t>
      </w:r>
      <w:r w:rsidRPr="007C6BE8">
        <w:rPr>
          <w:rStyle w:val="apple-converted-space"/>
          <w:rFonts w:asciiTheme="majorHAnsi" w:hAnsiTheme="majorHAnsi"/>
          <w:sz w:val="20"/>
          <w:szCs w:val="20"/>
          <w:lang w:val="es-ES_tradnl"/>
        </w:rPr>
        <w:t>actos de violencia</w:t>
      </w:r>
      <w:r w:rsidR="00943684" w:rsidRPr="007C6BE8">
        <w:rPr>
          <w:rStyle w:val="apple-converted-space"/>
          <w:rFonts w:asciiTheme="majorHAnsi" w:hAnsiTheme="majorHAnsi"/>
          <w:sz w:val="20"/>
          <w:szCs w:val="20"/>
          <w:lang w:val="es-ES_tradnl"/>
        </w:rPr>
        <w:t xml:space="preserve"> contra la vida e inte</w:t>
      </w:r>
      <w:r w:rsidR="00A25DD7" w:rsidRPr="007C6BE8">
        <w:rPr>
          <w:rStyle w:val="apple-converted-space"/>
          <w:rFonts w:asciiTheme="majorHAnsi" w:hAnsiTheme="majorHAnsi"/>
          <w:sz w:val="20"/>
          <w:szCs w:val="20"/>
          <w:lang w:val="es-ES_tradnl"/>
        </w:rPr>
        <w:t>gridad personal razonablemente</w:t>
      </w:r>
      <w:r w:rsidRPr="007C6BE8">
        <w:rPr>
          <w:rStyle w:val="apple-converted-space"/>
          <w:rFonts w:asciiTheme="majorHAnsi" w:hAnsiTheme="majorHAnsi"/>
          <w:sz w:val="20"/>
          <w:szCs w:val="20"/>
          <w:lang w:val="es-ES_tradnl"/>
        </w:rPr>
        <w:t xml:space="preserve"> dirigidos en la época de los hechos a reducir progresivamente el respaldo popular y electoral </w:t>
      </w:r>
      <w:r w:rsidR="00943684" w:rsidRPr="007C6BE8">
        <w:rPr>
          <w:rStyle w:val="apple-converted-space"/>
          <w:rFonts w:asciiTheme="majorHAnsi" w:hAnsiTheme="majorHAnsi"/>
          <w:sz w:val="20"/>
          <w:szCs w:val="20"/>
          <w:lang w:val="es-ES_tradnl"/>
        </w:rPr>
        <w:t>de</w:t>
      </w:r>
      <w:r w:rsidRPr="007C6BE8">
        <w:rPr>
          <w:rStyle w:val="apple-converted-space"/>
          <w:rFonts w:asciiTheme="majorHAnsi" w:hAnsiTheme="majorHAnsi"/>
          <w:sz w:val="20"/>
          <w:szCs w:val="20"/>
          <w:lang w:val="es-ES_tradnl"/>
        </w:rPr>
        <w:t xml:space="preserve"> la UP</w:t>
      </w:r>
      <w:r w:rsidR="00A25DD7" w:rsidRPr="007C6BE8">
        <w:rPr>
          <w:rStyle w:val="apple-converted-space"/>
          <w:rFonts w:asciiTheme="majorHAnsi" w:hAnsiTheme="majorHAnsi"/>
          <w:sz w:val="20"/>
          <w:szCs w:val="20"/>
          <w:lang w:val="es-ES_tradnl"/>
        </w:rPr>
        <w:t>. Lo anterior</w:t>
      </w:r>
      <w:r w:rsidRPr="007C6BE8">
        <w:rPr>
          <w:rStyle w:val="apple-converted-space"/>
          <w:rFonts w:asciiTheme="majorHAnsi" w:hAnsiTheme="majorHAnsi"/>
          <w:sz w:val="20"/>
          <w:szCs w:val="20"/>
          <w:lang w:val="es-ES_tradnl"/>
        </w:rPr>
        <w:t xml:space="preserve"> dentro de un contexto de tensión política y de especial riesgo de las personas vinculadas a dicho partido que incluye</w:t>
      </w:r>
      <w:r w:rsidR="00EE25D0" w:rsidRPr="007C6BE8">
        <w:rPr>
          <w:rStyle w:val="apple-converted-space"/>
          <w:rFonts w:asciiTheme="majorHAnsi" w:hAnsiTheme="majorHAnsi"/>
          <w:sz w:val="20"/>
          <w:szCs w:val="20"/>
          <w:lang w:val="es-ES_tradnl"/>
        </w:rPr>
        <w:t xml:space="preserve"> </w:t>
      </w:r>
      <w:r w:rsidRPr="007C6BE8">
        <w:rPr>
          <w:rStyle w:val="apple-converted-space"/>
          <w:rFonts w:asciiTheme="majorHAnsi" w:hAnsiTheme="majorHAnsi"/>
          <w:sz w:val="20"/>
          <w:szCs w:val="20"/>
          <w:lang w:val="es-ES_tradnl"/>
        </w:rPr>
        <w:t xml:space="preserve">tanto de dirigentes, como representantes, militantes </w:t>
      </w:r>
      <w:r w:rsidR="007048B2" w:rsidRPr="007C6BE8">
        <w:rPr>
          <w:rStyle w:val="apple-converted-space"/>
          <w:rFonts w:asciiTheme="majorHAnsi" w:hAnsiTheme="majorHAnsi"/>
          <w:sz w:val="20"/>
          <w:szCs w:val="20"/>
          <w:lang w:val="es-ES_tradnl"/>
        </w:rPr>
        <w:t>y</w:t>
      </w:r>
      <w:r w:rsidRPr="007C6BE8">
        <w:rPr>
          <w:rStyle w:val="apple-converted-space"/>
          <w:rFonts w:asciiTheme="majorHAnsi" w:hAnsiTheme="majorHAnsi"/>
          <w:sz w:val="20"/>
          <w:szCs w:val="20"/>
          <w:lang w:val="es-ES_tradnl"/>
        </w:rPr>
        <w:t xml:space="preserve"> simpatizantes que manifiestamente lo apoyaban</w:t>
      </w:r>
      <w:r w:rsidR="00943684" w:rsidRPr="007C6BE8">
        <w:rPr>
          <w:rStyle w:val="apple-converted-space"/>
          <w:rFonts w:asciiTheme="majorHAnsi" w:hAnsiTheme="majorHAnsi"/>
          <w:sz w:val="20"/>
          <w:szCs w:val="20"/>
          <w:lang w:val="es-ES_tradnl"/>
        </w:rPr>
        <w:t>,</w:t>
      </w:r>
      <w:r w:rsidR="00EE25D0" w:rsidRPr="007C6BE8">
        <w:rPr>
          <w:rStyle w:val="apple-converted-space"/>
          <w:rFonts w:asciiTheme="majorHAnsi" w:hAnsiTheme="majorHAnsi"/>
          <w:sz w:val="20"/>
          <w:szCs w:val="20"/>
          <w:lang w:val="es-ES_tradnl"/>
        </w:rPr>
        <w:t xml:space="preserve"> lo cual culminó con una reducción </w:t>
      </w:r>
      <w:r w:rsidR="00CE48AC" w:rsidRPr="007C6BE8">
        <w:rPr>
          <w:rStyle w:val="apple-converted-space"/>
          <w:rFonts w:asciiTheme="majorHAnsi" w:hAnsiTheme="majorHAnsi"/>
          <w:sz w:val="20"/>
          <w:szCs w:val="20"/>
          <w:lang w:val="es-ES_tradnl"/>
        </w:rPr>
        <w:t>progresiva de sus electores</w:t>
      </w:r>
      <w:r w:rsidRPr="007C6BE8">
        <w:rPr>
          <w:rStyle w:val="apple-converted-space"/>
          <w:rFonts w:asciiTheme="majorHAnsi" w:hAnsiTheme="majorHAnsi"/>
          <w:sz w:val="20"/>
          <w:szCs w:val="20"/>
          <w:lang w:val="es-ES_tradnl"/>
        </w:rPr>
        <w:t xml:space="preserve">. </w:t>
      </w:r>
    </w:p>
    <w:p w:rsidR="00CE48AC" w:rsidRPr="007C6BE8" w:rsidRDefault="00CE48AC"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CC21DF" w:rsidRPr="007C6BE8" w:rsidRDefault="001F13B0"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CR"/>
        </w:rPr>
        <w:t>E</w:t>
      </w:r>
      <w:r w:rsidR="00CC21DF" w:rsidRPr="007C6BE8">
        <w:rPr>
          <w:rFonts w:asciiTheme="majorHAnsi" w:hAnsiTheme="majorHAnsi"/>
          <w:sz w:val="20"/>
          <w:szCs w:val="20"/>
          <w:lang w:val="es-CR"/>
        </w:rPr>
        <w:t>n atención al contexto descrito</w:t>
      </w:r>
      <w:r w:rsidRPr="007C6BE8">
        <w:rPr>
          <w:rFonts w:asciiTheme="majorHAnsi" w:hAnsiTheme="majorHAnsi"/>
          <w:sz w:val="20"/>
          <w:szCs w:val="20"/>
          <w:lang w:val="es-CR"/>
        </w:rPr>
        <w:t xml:space="preserve">, la Comisión </w:t>
      </w:r>
      <w:r w:rsidR="00CC21DF" w:rsidRPr="007C6BE8">
        <w:rPr>
          <w:rFonts w:asciiTheme="majorHAnsi" w:hAnsiTheme="majorHAnsi"/>
          <w:sz w:val="20"/>
          <w:szCs w:val="20"/>
          <w:lang w:val="es-CR"/>
        </w:rPr>
        <w:t xml:space="preserve">afirma la existencia de una especial situación de riesgo para </w:t>
      </w:r>
      <w:r w:rsidR="00BE4A12" w:rsidRPr="007C6BE8">
        <w:rPr>
          <w:rFonts w:asciiTheme="majorHAnsi" w:hAnsiTheme="majorHAnsi"/>
          <w:sz w:val="20"/>
          <w:szCs w:val="20"/>
          <w:lang w:val="es-CR"/>
        </w:rPr>
        <w:t xml:space="preserve">las </w:t>
      </w:r>
      <w:r w:rsidR="00CC21DF" w:rsidRPr="007C6BE8">
        <w:rPr>
          <w:rFonts w:asciiTheme="majorHAnsi" w:hAnsiTheme="majorHAnsi"/>
          <w:sz w:val="20"/>
          <w:szCs w:val="20"/>
          <w:lang w:val="es-CR"/>
        </w:rPr>
        <w:t xml:space="preserve">personas </w:t>
      </w:r>
      <w:r w:rsidR="00BE4A12" w:rsidRPr="007C6BE8">
        <w:rPr>
          <w:rFonts w:asciiTheme="majorHAnsi" w:hAnsiTheme="majorHAnsi"/>
          <w:sz w:val="20"/>
          <w:szCs w:val="20"/>
          <w:lang w:val="es-CR"/>
        </w:rPr>
        <w:t xml:space="preserve">que tendrían vinculación con el partido de la UP </w:t>
      </w:r>
      <w:r w:rsidR="00CC21DF" w:rsidRPr="007C6BE8">
        <w:rPr>
          <w:rFonts w:asciiTheme="majorHAnsi" w:hAnsiTheme="majorHAnsi"/>
          <w:sz w:val="20"/>
          <w:szCs w:val="20"/>
          <w:lang w:val="es-CR"/>
        </w:rPr>
        <w:t xml:space="preserve">y </w:t>
      </w:r>
      <w:r w:rsidRPr="007C6BE8">
        <w:rPr>
          <w:rFonts w:asciiTheme="majorHAnsi" w:hAnsiTheme="majorHAnsi"/>
          <w:sz w:val="20"/>
          <w:szCs w:val="20"/>
          <w:lang w:val="es-CR"/>
        </w:rPr>
        <w:t xml:space="preserve">estima </w:t>
      </w:r>
      <w:r w:rsidR="00CC21DF" w:rsidRPr="007C6BE8">
        <w:rPr>
          <w:rFonts w:asciiTheme="majorHAnsi" w:hAnsiTheme="majorHAnsi"/>
          <w:sz w:val="20"/>
          <w:szCs w:val="20"/>
          <w:lang w:val="es-CR"/>
        </w:rPr>
        <w:t>que dicho contexto resulta</w:t>
      </w:r>
      <w:r w:rsidR="00943684" w:rsidRPr="007C6BE8">
        <w:rPr>
          <w:rFonts w:asciiTheme="majorHAnsi" w:hAnsiTheme="majorHAnsi"/>
          <w:sz w:val="20"/>
          <w:szCs w:val="20"/>
          <w:lang w:val="es-CR"/>
        </w:rPr>
        <w:t xml:space="preserve"> relevante para el análisis del presente caso al existir, como se dijo, elementos suficientes para considerar que el señor Restrepo </w:t>
      </w:r>
      <w:r w:rsidR="00F40A27" w:rsidRPr="007C6BE8">
        <w:rPr>
          <w:rFonts w:asciiTheme="majorHAnsi" w:hAnsiTheme="majorHAnsi"/>
          <w:sz w:val="20"/>
          <w:szCs w:val="20"/>
          <w:lang w:val="es-CR"/>
        </w:rPr>
        <w:t xml:space="preserve">era al menos simpatizante y promovía al partido de la UP en un año en el cual ya se registraban altos índices de violencia contra personas en similar situación. </w:t>
      </w:r>
    </w:p>
    <w:p w:rsidR="00943684" w:rsidRPr="007C6BE8" w:rsidRDefault="00943684" w:rsidP="0094368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Theme="majorHAnsi" w:hAnsiTheme="majorHAnsi"/>
          <w:sz w:val="20"/>
          <w:szCs w:val="20"/>
          <w:lang w:val="es-ES_tradnl"/>
        </w:rPr>
      </w:pPr>
    </w:p>
    <w:p w:rsidR="007449EF" w:rsidRPr="007C6BE8" w:rsidRDefault="00A84750" w:rsidP="00B1793F">
      <w:pPr>
        <w:pStyle w:val="Heading3"/>
        <w:spacing w:before="0" w:after="0"/>
        <w:ind w:firstLine="720"/>
        <w:jc w:val="both"/>
        <w:rPr>
          <w:rFonts w:asciiTheme="majorHAnsi" w:hAnsiTheme="majorHAnsi"/>
          <w:sz w:val="20"/>
          <w:szCs w:val="20"/>
          <w:lang w:val="es-CR"/>
        </w:rPr>
      </w:pPr>
      <w:bookmarkStart w:id="47" w:name="_Toc414371981"/>
      <w:bookmarkStart w:id="48" w:name="_Toc421786411"/>
      <w:bookmarkStart w:id="49" w:name="_Toc529794713"/>
      <w:r w:rsidRPr="007C6BE8">
        <w:rPr>
          <w:rFonts w:asciiTheme="majorHAnsi" w:hAnsiTheme="majorHAnsi"/>
          <w:sz w:val="20"/>
          <w:szCs w:val="20"/>
          <w:lang w:val="es-CR"/>
        </w:rPr>
        <w:t>3</w:t>
      </w:r>
      <w:r w:rsidR="00192CE8" w:rsidRPr="007C6BE8">
        <w:rPr>
          <w:rFonts w:asciiTheme="majorHAnsi" w:hAnsiTheme="majorHAnsi"/>
          <w:sz w:val="20"/>
          <w:szCs w:val="20"/>
          <w:lang w:val="es-CR"/>
        </w:rPr>
        <w:t>.</w:t>
      </w:r>
      <w:r w:rsidR="00192CE8" w:rsidRPr="007C6BE8">
        <w:rPr>
          <w:rFonts w:asciiTheme="majorHAnsi" w:hAnsiTheme="majorHAnsi"/>
          <w:sz w:val="20"/>
          <w:szCs w:val="20"/>
          <w:lang w:val="es-CR"/>
        </w:rPr>
        <w:tab/>
      </w:r>
      <w:r w:rsidR="007449EF" w:rsidRPr="007C6BE8">
        <w:rPr>
          <w:rFonts w:asciiTheme="majorHAnsi" w:hAnsiTheme="majorHAnsi"/>
          <w:sz w:val="20"/>
          <w:szCs w:val="20"/>
          <w:lang w:val="es-CR"/>
        </w:rPr>
        <w:t>La desaparición de</w:t>
      </w:r>
      <w:r w:rsidR="00896589" w:rsidRPr="007C6BE8">
        <w:rPr>
          <w:rFonts w:asciiTheme="majorHAnsi" w:hAnsiTheme="majorHAnsi"/>
          <w:sz w:val="20"/>
          <w:szCs w:val="20"/>
          <w:lang w:val="es-CR"/>
        </w:rPr>
        <w:t>l señor</w:t>
      </w:r>
      <w:r w:rsidR="007449EF" w:rsidRPr="007C6BE8">
        <w:rPr>
          <w:rFonts w:asciiTheme="majorHAnsi" w:hAnsiTheme="majorHAnsi"/>
          <w:sz w:val="20"/>
          <w:szCs w:val="20"/>
          <w:lang w:val="es-CR"/>
        </w:rPr>
        <w:t xml:space="preserve"> Norberto Javier Restrepo</w:t>
      </w:r>
      <w:bookmarkEnd w:id="43"/>
      <w:bookmarkEnd w:id="47"/>
      <w:bookmarkEnd w:id="48"/>
      <w:bookmarkEnd w:id="49"/>
    </w:p>
    <w:p w:rsidR="0053015F" w:rsidRPr="007C6BE8" w:rsidRDefault="0053015F"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101B97" w:rsidRPr="007C6BE8" w:rsidRDefault="008E5FE7"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E</w:t>
      </w:r>
      <w:r w:rsidR="0053015F" w:rsidRPr="007C6BE8">
        <w:rPr>
          <w:rFonts w:asciiTheme="majorHAnsi" w:hAnsiTheme="majorHAnsi"/>
          <w:sz w:val="20"/>
          <w:szCs w:val="20"/>
          <w:lang w:val="es-CR"/>
        </w:rPr>
        <w:t>l 2 de junio de 1992 el señor Norberto Javier Restrepo salió en horas de la mañana de su residencia en</w:t>
      </w:r>
      <w:r w:rsidR="00192CE8" w:rsidRPr="007C6BE8">
        <w:rPr>
          <w:rFonts w:asciiTheme="majorHAnsi" w:hAnsiTheme="majorHAnsi"/>
          <w:sz w:val="20"/>
          <w:szCs w:val="20"/>
          <w:lang w:val="es-CR"/>
        </w:rPr>
        <w:t xml:space="preserve"> la ciudad de Medellín, d</w:t>
      </w:r>
      <w:r w:rsidR="0053015F" w:rsidRPr="007C6BE8">
        <w:rPr>
          <w:rFonts w:asciiTheme="majorHAnsi" w:hAnsiTheme="majorHAnsi"/>
          <w:sz w:val="20"/>
          <w:szCs w:val="20"/>
          <w:lang w:val="es-CR"/>
        </w:rPr>
        <w:t>epartamento de Antioquia</w:t>
      </w:r>
      <w:r w:rsidR="0053015F" w:rsidRPr="007C6BE8">
        <w:rPr>
          <w:rStyle w:val="FootnoteReference"/>
          <w:rFonts w:asciiTheme="majorHAnsi" w:hAnsiTheme="majorHAnsi"/>
          <w:sz w:val="20"/>
          <w:szCs w:val="20"/>
        </w:rPr>
        <w:footnoteReference w:id="38"/>
      </w:r>
      <w:r w:rsidR="0053015F" w:rsidRPr="007C6BE8">
        <w:rPr>
          <w:rFonts w:asciiTheme="majorHAnsi" w:hAnsiTheme="majorHAnsi"/>
          <w:sz w:val="20"/>
          <w:szCs w:val="20"/>
          <w:lang w:val="es-CR"/>
        </w:rPr>
        <w:t xml:space="preserve">.  </w:t>
      </w:r>
    </w:p>
    <w:p w:rsidR="0053015F" w:rsidRPr="007C6BE8" w:rsidRDefault="0053015F" w:rsidP="00B1793F">
      <w:pPr>
        <w:pStyle w:val="ListParagraph"/>
        <w:jc w:val="both"/>
        <w:rPr>
          <w:rFonts w:asciiTheme="majorHAnsi" w:hAnsiTheme="majorHAnsi"/>
          <w:sz w:val="20"/>
          <w:szCs w:val="20"/>
          <w:lang w:val="es-CR"/>
        </w:rPr>
      </w:pPr>
    </w:p>
    <w:p w:rsidR="00101B97" w:rsidRPr="007C6BE8" w:rsidRDefault="00192CE8"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La señora</w:t>
      </w:r>
      <w:r w:rsidR="0053015F" w:rsidRPr="007C6BE8">
        <w:rPr>
          <w:rFonts w:asciiTheme="majorHAnsi" w:hAnsiTheme="majorHAnsi"/>
          <w:sz w:val="20"/>
          <w:szCs w:val="20"/>
          <w:lang w:val="es-CR"/>
        </w:rPr>
        <w:t xml:space="preserve"> </w:t>
      </w:r>
      <w:r w:rsidR="007449EF" w:rsidRPr="007C6BE8">
        <w:rPr>
          <w:rFonts w:asciiTheme="majorHAnsi" w:hAnsiTheme="majorHAnsi"/>
          <w:sz w:val="20"/>
          <w:szCs w:val="20"/>
          <w:lang w:val="es-CR"/>
        </w:rPr>
        <w:t>Lucila Restrepo</w:t>
      </w:r>
      <w:r w:rsidR="0053015F" w:rsidRPr="007C6BE8">
        <w:rPr>
          <w:rFonts w:asciiTheme="majorHAnsi" w:hAnsiTheme="majorHAnsi"/>
          <w:sz w:val="20"/>
          <w:szCs w:val="20"/>
          <w:lang w:val="es-CR"/>
        </w:rPr>
        <w:t xml:space="preserve"> Posada</w:t>
      </w:r>
      <w:r w:rsidR="007449EF" w:rsidRPr="007C6BE8">
        <w:rPr>
          <w:rFonts w:asciiTheme="majorHAnsi" w:hAnsiTheme="majorHAnsi"/>
          <w:sz w:val="20"/>
          <w:szCs w:val="20"/>
          <w:lang w:val="es-CR"/>
        </w:rPr>
        <w:t xml:space="preserve">, </w:t>
      </w:r>
      <w:r w:rsidR="00101B97" w:rsidRPr="007C6BE8">
        <w:rPr>
          <w:rFonts w:asciiTheme="majorHAnsi" w:hAnsiTheme="majorHAnsi"/>
          <w:sz w:val="20"/>
          <w:szCs w:val="20"/>
          <w:lang w:val="es-CR"/>
        </w:rPr>
        <w:t xml:space="preserve">indicó que </w:t>
      </w:r>
      <w:r w:rsidRPr="007C6BE8">
        <w:rPr>
          <w:rFonts w:asciiTheme="majorHAnsi" w:hAnsiTheme="majorHAnsi"/>
          <w:sz w:val="20"/>
          <w:szCs w:val="20"/>
          <w:lang w:val="es-CR"/>
        </w:rPr>
        <w:t xml:space="preserve">tras la salida de su hijo de la casa </w:t>
      </w:r>
      <w:r w:rsidR="00101B97" w:rsidRPr="007C6BE8">
        <w:rPr>
          <w:rFonts w:asciiTheme="majorHAnsi" w:hAnsiTheme="majorHAnsi"/>
          <w:sz w:val="20"/>
          <w:szCs w:val="20"/>
          <w:lang w:val="es-CR"/>
        </w:rPr>
        <w:t>recibió las siguientes llamadas telefónicas:</w:t>
      </w:r>
    </w:p>
    <w:p w:rsidR="00101B97" w:rsidRPr="007C6BE8" w:rsidRDefault="00101B97" w:rsidP="00B1793F">
      <w:pPr>
        <w:pStyle w:val="ListParagraph"/>
        <w:jc w:val="both"/>
        <w:rPr>
          <w:rFonts w:asciiTheme="majorHAnsi" w:hAnsiTheme="majorHAnsi"/>
          <w:sz w:val="20"/>
          <w:szCs w:val="20"/>
          <w:lang w:val="es-CR"/>
        </w:rPr>
      </w:pPr>
    </w:p>
    <w:p w:rsidR="00101B97" w:rsidRPr="007C6BE8" w:rsidRDefault="00101B97" w:rsidP="00B1793F">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r w:rsidRPr="007C6BE8">
        <w:rPr>
          <w:rFonts w:asciiTheme="majorHAnsi" w:hAnsiTheme="majorHAnsi"/>
          <w:sz w:val="20"/>
          <w:szCs w:val="20"/>
          <w:lang w:val="es-CR"/>
        </w:rPr>
        <w:t>El 3 de junio de 1992 por parte de su hijo Norberto Javier Restrepo, quien preguntó por sus familiares y luego se despidió</w:t>
      </w:r>
      <w:r w:rsidRPr="007C6BE8">
        <w:rPr>
          <w:rStyle w:val="FootnoteReference"/>
          <w:rFonts w:asciiTheme="majorHAnsi" w:hAnsiTheme="majorHAnsi"/>
          <w:sz w:val="20"/>
          <w:szCs w:val="20"/>
        </w:rPr>
        <w:footnoteReference w:id="39"/>
      </w:r>
      <w:r w:rsidRPr="007C6BE8">
        <w:rPr>
          <w:rFonts w:asciiTheme="majorHAnsi" w:hAnsiTheme="majorHAnsi"/>
          <w:sz w:val="20"/>
          <w:szCs w:val="20"/>
          <w:lang w:val="es-CR"/>
        </w:rPr>
        <w:t>.</w:t>
      </w:r>
    </w:p>
    <w:p w:rsidR="0053015F" w:rsidRPr="007C6BE8" w:rsidRDefault="0053015F"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101B97" w:rsidRPr="007C6BE8" w:rsidRDefault="00101B97" w:rsidP="00B1793F">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r w:rsidRPr="007C6BE8">
        <w:rPr>
          <w:rFonts w:asciiTheme="majorHAnsi" w:hAnsiTheme="majorHAnsi"/>
          <w:sz w:val="20"/>
          <w:szCs w:val="20"/>
          <w:lang w:val="es-CR"/>
        </w:rPr>
        <w:t>El 5 de junio de 1992 por parte de una persona desconocida con voz masculina quien di</w:t>
      </w:r>
      <w:r w:rsidR="00192CE8" w:rsidRPr="007C6BE8">
        <w:rPr>
          <w:rFonts w:asciiTheme="majorHAnsi" w:hAnsiTheme="majorHAnsi"/>
          <w:sz w:val="20"/>
          <w:szCs w:val="20"/>
          <w:lang w:val="es-CR"/>
        </w:rPr>
        <w:t>j</w:t>
      </w:r>
      <w:r w:rsidRPr="007C6BE8">
        <w:rPr>
          <w:rFonts w:asciiTheme="majorHAnsi" w:hAnsiTheme="majorHAnsi"/>
          <w:sz w:val="20"/>
          <w:szCs w:val="20"/>
          <w:lang w:val="es-CR"/>
        </w:rPr>
        <w:t>o que Norberto Javier Restrepo “estaba desaparecido y que lo buscaran”</w:t>
      </w:r>
      <w:r w:rsidR="008A6809" w:rsidRPr="007C6BE8">
        <w:rPr>
          <w:rStyle w:val="FootnoteReference"/>
          <w:rFonts w:asciiTheme="majorHAnsi" w:hAnsiTheme="majorHAnsi"/>
          <w:sz w:val="20"/>
          <w:szCs w:val="20"/>
          <w:lang w:val="es-MX"/>
        </w:rPr>
        <w:t xml:space="preserve"> </w:t>
      </w:r>
      <w:r w:rsidR="008A6809" w:rsidRPr="007C6BE8">
        <w:rPr>
          <w:rStyle w:val="FootnoteReference"/>
          <w:rFonts w:asciiTheme="majorHAnsi" w:hAnsiTheme="majorHAnsi"/>
          <w:sz w:val="20"/>
          <w:szCs w:val="20"/>
        </w:rPr>
        <w:footnoteReference w:id="40"/>
      </w:r>
      <w:r w:rsidRPr="007C6BE8">
        <w:rPr>
          <w:rFonts w:asciiTheme="majorHAnsi" w:hAnsiTheme="majorHAnsi"/>
          <w:sz w:val="20"/>
          <w:szCs w:val="20"/>
          <w:lang w:val="es-CR"/>
        </w:rPr>
        <w:t>.</w:t>
      </w:r>
    </w:p>
    <w:p w:rsidR="0053015F" w:rsidRPr="007C6BE8" w:rsidRDefault="0053015F"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101B97" w:rsidRPr="007C6BE8" w:rsidRDefault="00101B97" w:rsidP="00B1793F">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r w:rsidRPr="007C6BE8">
        <w:rPr>
          <w:rFonts w:asciiTheme="majorHAnsi" w:hAnsiTheme="majorHAnsi"/>
          <w:sz w:val="20"/>
          <w:szCs w:val="20"/>
          <w:lang w:val="es-CR"/>
        </w:rPr>
        <w:t>El 7 de junio de 1992 aproximadamente a las 8 am de parte de Norberto Javier Restrepo quien informó que “h</w:t>
      </w:r>
      <w:r w:rsidR="00192CE8" w:rsidRPr="007C6BE8">
        <w:rPr>
          <w:rFonts w:asciiTheme="majorHAnsi" w:hAnsiTheme="majorHAnsi"/>
          <w:sz w:val="20"/>
          <w:szCs w:val="20"/>
          <w:lang w:val="es-CR"/>
        </w:rPr>
        <w:t>abía sido detenido en la carretera</w:t>
      </w:r>
      <w:r w:rsidRPr="007C6BE8">
        <w:rPr>
          <w:rFonts w:asciiTheme="majorHAnsi" w:hAnsiTheme="majorHAnsi"/>
          <w:sz w:val="20"/>
          <w:szCs w:val="20"/>
          <w:lang w:val="es-CR"/>
        </w:rPr>
        <w:t xml:space="preserve"> a las Palmas”</w:t>
      </w:r>
      <w:r w:rsidRPr="007C6BE8">
        <w:rPr>
          <w:rStyle w:val="FootnoteReference"/>
          <w:rFonts w:asciiTheme="majorHAnsi" w:hAnsiTheme="majorHAnsi"/>
          <w:sz w:val="20"/>
          <w:szCs w:val="20"/>
        </w:rPr>
        <w:footnoteReference w:id="41"/>
      </w:r>
      <w:r w:rsidRPr="007C6BE8">
        <w:rPr>
          <w:rFonts w:asciiTheme="majorHAnsi" w:hAnsiTheme="majorHAnsi"/>
          <w:sz w:val="20"/>
          <w:szCs w:val="20"/>
          <w:lang w:val="es-CR"/>
        </w:rPr>
        <w:t>.</w:t>
      </w:r>
    </w:p>
    <w:p w:rsidR="00101B97" w:rsidRPr="007C6BE8" w:rsidRDefault="00101B97" w:rsidP="00B1793F">
      <w:pPr>
        <w:pStyle w:val="ListParagraph"/>
        <w:jc w:val="both"/>
        <w:rPr>
          <w:rFonts w:asciiTheme="majorHAnsi" w:hAnsiTheme="majorHAnsi"/>
          <w:sz w:val="20"/>
          <w:szCs w:val="20"/>
          <w:lang w:val="es-CR"/>
        </w:rPr>
      </w:pPr>
    </w:p>
    <w:p w:rsidR="00BE4A12" w:rsidRPr="007C6BE8" w:rsidRDefault="00BE4A12"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L</w:t>
      </w:r>
      <w:r w:rsidR="00896589" w:rsidRPr="007C6BE8">
        <w:rPr>
          <w:rFonts w:asciiTheme="majorHAnsi" w:hAnsiTheme="majorHAnsi"/>
          <w:sz w:val="20"/>
          <w:szCs w:val="20"/>
          <w:lang w:val="es-CR"/>
        </w:rPr>
        <w:t xml:space="preserve">a Comisión </w:t>
      </w:r>
      <w:r w:rsidRPr="007C6BE8">
        <w:rPr>
          <w:rFonts w:asciiTheme="majorHAnsi" w:hAnsiTheme="majorHAnsi"/>
          <w:sz w:val="20"/>
          <w:szCs w:val="20"/>
          <w:lang w:val="es-CR"/>
        </w:rPr>
        <w:t xml:space="preserve">observa </w:t>
      </w:r>
      <w:r w:rsidR="00896589" w:rsidRPr="007C6BE8">
        <w:rPr>
          <w:rFonts w:asciiTheme="majorHAnsi" w:hAnsiTheme="majorHAnsi"/>
          <w:sz w:val="20"/>
          <w:szCs w:val="20"/>
          <w:lang w:val="es-CR"/>
        </w:rPr>
        <w:t>que</w:t>
      </w:r>
      <w:r w:rsidR="00EF58CC" w:rsidRPr="007C6BE8">
        <w:rPr>
          <w:rFonts w:asciiTheme="majorHAnsi" w:hAnsiTheme="majorHAnsi"/>
          <w:sz w:val="20"/>
          <w:szCs w:val="20"/>
          <w:lang w:val="es-CR"/>
        </w:rPr>
        <w:t xml:space="preserve"> el Estado </w:t>
      </w:r>
      <w:r w:rsidRPr="007C6BE8">
        <w:rPr>
          <w:rFonts w:asciiTheme="majorHAnsi" w:hAnsiTheme="majorHAnsi"/>
          <w:sz w:val="20"/>
          <w:szCs w:val="20"/>
          <w:lang w:val="es-CR"/>
        </w:rPr>
        <w:t xml:space="preserve">no ha </w:t>
      </w:r>
      <w:r w:rsidR="00192CE8" w:rsidRPr="007C6BE8">
        <w:rPr>
          <w:rFonts w:asciiTheme="majorHAnsi" w:hAnsiTheme="majorHAnsi"/>
          <w:sz w:val="20"/>
          <w:szCs w:val="20"/>
          <w:lang w:val="es-CR"/>
        </w:rPr>
        <w:t xml:space="preserve">controvertido </w:t>
      </w:r>
      <w:r w:rsidRPr="007C6BE8">
        <w:rPr>
          <w:rFonts w:asciiTheme="majorHAnsi" w:hAnsiTheme="majorHAnsi"/>
          <w:sz w:val="20"/>
          <w:szCs w:val="20"/>
          <w:lang w:val="es-CR"/>
        </w:rPr>
        <w:t>que</w:t>
      </w:r>
      <w:r w:rsidR="00192CE8" w:rsidRPr="007C6BE8">
        <w:rPr>
          <w:rFonts w:asciiTheme="majorHAnsi" w:hAnsiTheme="majorHAnsi"/>
          <w:sz w:val="20"/>
          <w:szCs w:val="20"/>
          <w:lang w:val="es-CR"/>
        </w:rPr>
        <w:t xml:space="preserve"> la señora Lucila Restrepo recibiera las anteriores llamadas. Más bien, el Estado </w:t>
      </w:r>
      <w:r w:rsidR="00EF58CC" w:rsidRPr="007C6BE8">
        <w:rPr>
          <w:rFonts w:asciiTheme="majorHAnsi" w:hAnsiTheme="majorHAnsi"/>
          <w:sz w:val="20"/>
          <w:szCs w:val="20"/>
          <w:lang w:val="es-CR"/>
        </w:rPr>
        <w:t xml:space="preserve">reconoció que la señora Lucila Restrepo </w:t>
      </w:r>
      <w:r w:rsidR="003A6F5C" w:rsidRPr="007C6BE8">
        <w:rPr>
          <w:rFonts w:asciiTheme="majorHAnsi" w:hAnsiTheme="majorHAnsi"/>
          <w:sz w:val="20"/>
          <w:szCs w:val="20"/>
          <w:lang w:val="es-CR"/>
        </w:rPr>
        <w:t xml:space="preserve">en el trámite de la investigación interna refirió </w:t>
      </w:r>
      <w:r w:rsidR="00EF58CC" w:rsidRPr="007C6BE8">
        <w:rPr>
          <w:rFonts w:asciiTheme="majorHAnsi" w:hAnsiTheme="majorHAnsi"/>
          <w:sz w:val="20"/>
          <w:szCs w:val="20"/>
          <w:lang w:val="es-CR"/>
        </w:rPr>
        <w:t>ante la Fiscalía que el 7 de junio recibió una llamada anónima donde se le informó que en el sector de las Palmas, oriente de Medellín, había sido retenido, y luego otra</w:t>
      </w:r>
      <w:r w:rsidR="002D552B" w:rsidRPr="007C6BE8">
        <w:rPr>
          <w:rFonts w:asciiTheme="majorHAnsi" w:hAnsiTheme="majorHAnsi"/>
          <w:sz w:val="20"/>
          <w:szCs w:val="20"/>
          <w:lang w:val="es-CR"/>
        </w:rPr>
        <w:t>,</w:t>
      </w:r>
      <w:r w:rsidR="00EF58CC" w:rsidRPr="007C6BE8">
        <w:rPr>
          <w:rFonts w:asciiTheme="majorHAnsi" w:hAnsiTheme="majorHAnsi"/>
          <w:sz w:val="20"/>
          <w:szCs w:val="20"/>
          <w:lang w:val="es-CR"/>
        </w:rPr>
        <w:t xml:space="preserve"> indicando que la retención la había efectuado personal de la policía</w:t>
      </w:r>
      <w:r w:rsidR="00EF58CC" w:rsidRPr="007C6BE8">
        <w:rPr>
          <w:rStyle w:val="FootnoteReference"/>
          <w:rFonts w:asciiTheme="majorHAnsi" w:hAnsiTheme="majorHAnsi"/>
          <w:sz w:val="20"/>
          <w:szCs w:val="20"/>
        </w:rPr>
        <w:footnoteReference w:id="42"/>
      </w:r>
      <w:r w:rsidR="00EF58CC" w:rsidRPr="007C6BE8">
        <w:rPr>
          <w:rFonts w:asciiTheme="majorHAnsi" w:hAnsiTheme="majorHAnsi"/>
          <w:sz w:val="20"/>
          <w:szCs w:val="20"/>
          <w:lang w:val="es-CR"/>
        </w:rPr>
        <w:t>.</w:t>
      </w:r>
      <w:r w:rsidR="00896589" w:rsidRPr="007C6BE8">
        <w:rPr>
          <w:rFonts w:asciiTheme="majorHAnsi" w:hAnsiTheme="majorHAnsi"/>
          <w:sz w:val="20"/>
          <w:szCs w:val="20"/>
          <w:lang w:val="es-CR"/>
        </w:rPr>
        <w:t xml:space="preserve"> </w:t>
      </w:r>
    </w:p>
    <w:p w:rsidR="00192CE8" w:rsidRPr="007C6BE8" w:rsidRDefault="00192CE8" w:rsidP="00192CE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Theme="majorHAnsi" w:hAnsiTheme="majorHAnsi"/>
          <w:sz w:val="20"/>
          <w:szCs w:val="20"/>
          <w:lang w:val="es-CR"/>
        </w:rPr>
      </w:pPr>
    </w:p>
    <w:p w:rsidR="006B6898" w:rsidRPr="007C6BE8" w:rsidRDefault="00A84750" w:rsidP="00A70BF3">
      <w:pPr>
        <w:pStyle w:val="Heading3"/>
        <w:spacing w:before="0" w:after="0"/>
        <w:ind w:left="1440" w:hanging="720"/>
        <w:jc w:val="both"/>
        <w:rPr>
          <w:rFonts w:asciiTheme="majorHAnsi" w:hAnsiTheme="majorHAnsi"/>
          <w:sz w:val="20"/>
          <w:szCs w:val="20"/>
          <w:lang w:val="es-CR"/>
        </w:rPr>
      </w:pPr>
      <w:bookmarkStart w:id="50" w:name="_Toc414371982"/>
      <w:bookmarkStart w:id="51" w:name="_Toc421786412"/>
      <w:bookmarkStart w:id="52" w:name="_Toc529794714"/>
      <w:r w:rsidRPr="007C6BE8">
        <w:rPr>
          <w:rFonts w:asciiTheme="majorHAnsi" w:hAnsiTheme="majorHAnsi"/>
          <w:sz w:val="20"/>
          <w:szCs w:val="20"/>
          <w:lang w:val="es-CR"/>
        </w:rPr>
        <w:lastRenderedPageBreak/>
        <w:t>4</w:t>
      </w:r>
      <w:r w:rsidR="006D7C24" w:rsidRPr="007C6BE8">
        <w:rPr>
          <w:rFonts w:asciiTheme="majorHAnsi" w:hAnsiTheme="majorHAnsi"/>
          <w:sz w:val="20"/>
          <w:szCs w:val="20"/>
          <w:lang w:val="es-CR"/>
        </w:rPr>
        <w:t>.</w:t>
      </w:r>
      <w:r w:rsidR="006D7C24" w:rsidRPr="007C6BE8">
        <w:rPr>
          <w:rFonts w:asciiTheme="majorHAnsi" w:hAnsiTheme="majorHAnsi"/>
          <w:sz w:val="20"/>
          <w:szCs w:val="20"/>
          <w:lang w:val="es-CR"/>
        </w:rPr>
        <w:tab/>
      </w:r>
      <w:r w:rsidR="006B6898" w:rsidRPr="007C6BE8">
        <w:rPr>
          <w:rFonts w:asciiTheme="majorHAnsi" w:hAnsiTheme="majorHAnsi"/>
          <w:sz w:val="20"/>
          <w:szCs w:val="20"/>
          <w:lang w:val="es-CR"/>
        </w:rPr>
        <w:t xml:space="preserve">La </w:t>
      </w:r>
      <w:r w:rsidR="00A70BF3" w:rsidRPr="007C6BE8">
        <w:rPr>
          <w:rFonts w:asciiTheme="majorHAnsi" w:hAnsiTheme="majorHAnsi"/>
          <w:sz w:val="20"/>
          <w:szCs w:val="20"/>
          <w:lang w:val="es-CR"/>
        </w:rPr>
        <w:t>realización</w:t>
      </w:r>
      <w:r w:rsidR="006B6898" w:rsidRPr="007C6BE8">
        <w:rPr>
          <w:rFonts w:asciiTheme="majorHAnsi" w:hAnsiTheme="majorHAnsi"/>
          <w:sz w:val="20"/>
          <w:szCs w:val="20"/>
          <w:lang w:val="es-CR"/>
        </w:rPr>
        <w:t xml:space="preserve"> de un operativo por parte de la Policía en la zona en el que habría sido detenido el señor Norberto Javier Restrepo</w:t>
      </w:r>
      <w:r w:rsidR="00BE4A12" w:rsidRPr="007C6BE8">
        <w:rPr>
          <w:rFonts w:asciiTheme="majorHAnsi" w:hAnsiTheme="majorHAnsi"/>
          <w:sz w:val="20"/>
          <w:szCs w:val="20"/>
          <w:lang w:val="es-CR"/>
        </w:rPr>
        <w:t xml:space="preserve"> y otras personas vinculadas al partido de la UP</w:t>
      </w:r>
      <w:bookmarkEnd w:id="50"/>
      <w:bookmarkEnd w:id="51"/>
      <w:bookmarkEnd w:id="52"/>
    </w:p>
    <w:p w:rsidR="006B6898" w:rsidRPr="007C6BE8" w:rsidRDefault="006B6898"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b/>
          <w:sz w:val="20"/>
          <w:szCs w:val="20"/>
          <w:lang w:val="es-ES_tradnl"/>
        </w:rPr>
      </w:pPr>
    </w:p>
    <w:p w:rsidR="006B6898" w:rsidRPr="007C6BE8" w:rsidRDefault="006D7C24"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ES_tradnl"/>
        </w:rPr>
        <w:t>La Comisión advierte que lo</w:t>
      </w:r>
      <w:r w:rsidR="00A70BF3" w:rsidRPr="007C6BE8">
        <w:rPr>
          <w:rFonts w:asciiTheme="majorHAnsi" w:hAnsiTheme="majorHAnsi"/>
          <w:sz w:val="20"/>
          <w:szCs w:val="20"/>
          <w:lang w:val="es-ES_tradnl"/>
        </w:rPr>
        <w:t xml:space="preserve">s peticionarios indicaron que recibieron información sobre </w:t>
      </w:r>
      <w:r w:rsidRPr="007C6BE8">
        <w:rPr>
          <w:rFonts w:asciiTheme="majorHAnsi" w:hAnsiTheme="majorHAnsi"/>
          <w:sz w:val="20"/>
          <w:szCs w:val="20"/>
          <w:lang w:val="es-ES_tradnl"/>
        </w:rPr>
        <w:t xml:space="preserve">un </w:t>
      </w:r>
      <w:r w:rsidR="006B6898" w:rsidRPr="007C6BE8">
        <w:rPr>
          <w:rFonts w:asciiTheme="majorHAnsi" w:hAnsiTheme="majorHAnsi"/>
          <w:sz w:val="20"/>
          <w:szCs w:val="20"/>
          <w:lang w:val="es-ES_tradnl"/>
        </w:rPr>
        <w:t xml:space="preserve">operativo por parte de la Policía en el cual </w:t>
      </w:r>
      <w:r w:rsidR="00A70BF3" w:rsidRPr="007C6BE8">
        <w:rPr>
          <w:rFonts w:asciiTheme="majorHAnsi" w:hAnsiTheme="majorHAnsi"/>
          <w:sz w:val="20"/>
          <w:szCs w:val="20"/>
          <w:lang w:val="es-ES_tradnl"/>
        </w:rPr>
        <w:t xml:space="preserve">fue </w:t>
      </w:r>
      <w:r w:rsidRPr="007C6BE8">
        <w:rPr>
          <w:rFonts w:asciiTheme="majorHAnsi" w:hAnsiTheme="majorHAnsi"/>
          <w:sz w:val="20"/>
          <w:szCs w:val="20"/>
          <w:lang w:val="es-ES_tradnl"/>
        </w:rPr>
        <w:t>detenido el señor Restrepo</w:t>
      </w:r>
      <w:r w:rsidR="00BE4A12" w:rsidRPr="007C6BE8">
        <w:rPr>
          <w:rFonts w:asciiTheme="majorHAnsi" w:hAnsiTheme="majorHAnsi"/>
          <w:sz w:val="20"/>
          <w:szCs w:val="20"/>
          <w:lang w:val="es-ES_tradnl"/>
        </w:rPr>
        <w:t xml:space="preserve"> y otras personas que estaban vinculadas al partido de la UP</w:t>
      </w:r>
      <w:r w:rsidRPr="007C6BE8">
        <w:rPr>
          <w:rFonts w:asciiTheme="majorHAnsi" w:hAnsiTheme="majorHAnsi"/>
          <w:sz w:val="20"/>
          <w:szCs w:val="20"/>
          <w:lang w:val="es-ES_tradnl"/>
        </w:rPr>
        <w:t xml:space="preserve">. </w:t>
      </w:r>
      <w:r w:rsidR="006B6898" w:rsidRPr="007C6BE8">
        <w:rPr>
          <w:rFonts w:asciiTheme="majorHAnsi" w:hAnsiTheme="majorHAnsi"/>
          <w:sz w:val="20"/>
          <w:szCs w:val="20"/>
          <w:lang w:val="es-CR"/>
        </w:rPr>
        <w:t xml:space="preserve">Respecto de tal operativo, el Estado indicó que según lo informado </w:t>
      </w:r>
      <w:r w:rsidRPr="007C6BE8">
        <w:rPr>
          <w:rFonts w:asciiTheme="majorHAnsi" w:hAnsiTheme="majorHAnsi"/>
          <w:sz w:val="20"/>
          <w:szCs w:val="20"/>
          <w:lang w:val="es-CR"/>
        </w:rPr>
        <w:t xml:space="preserve">posteriormente </w:t>
      </w:r>
      <w:r w:rsidR="006B6898" w:rsidRPr="007C6BE8">
        <w:rPr>
          <w:rFonts w:asciiTheme="majorHAnsi" w:hAnsiTheme="majorHAnsi"/>
          <w:sz w:val="20"/>
          <w:szCs w:val="20"/>
          <w:lang w:val="es-CR"/>
        </w:rPr>
        <w:t xml:space="preserve">por la Procuraduría en el ámbito del proceso disciplinario “dicha institución </w:t>
      </w:r>
      <w:r w:rsidR="006B6898" w:rsidRPr="007C6BE8">
        <w:rPr>
          <w:rFonts w:asciiTheme="majorHAnsi" w:hAnsiTheme="majorHAnsi"/>
          <w:sz w:val="20"/>
          <w:szCs w:val="20"/>
          <w:lang w:val="es-MX"/>
        </w:rPr>
        <w:t xml:space="preserve">[la Policía] </w:t>
      </w:r>
      <w:r w:rsidR="006B6898" w:rsidRPr="007C6BE8">
        <w:rPr>
          <w:rFonts w:asciiTheme="majorHAnsi" w:hAnsiTheme="majorHAnsi"/>
          <w:sz w:val="20"/>
          <w:szCs w:val="20"/>
          <w:lang w:val="es-CR"/>
        </w:rPr>
        <w:t>ha manifestado que ha verificado con la Policía Metropolitana del Valle de Aburra, [y] se pudo determinar que no se encontraron registros de captura y operativos realizados por miembros de la Institución con el señor Norberto Javier Retrepo</w:t>
      </w:r>
      <w:r w:rsidRPr="007C6BE8">
        <w:rPr>
          <w:rStyle w:val="FootnoteReference"/>
          <w:rFonts w:asciiTheme="majorHAnsi" w:hAnsiTheme="majorHAnsi"/>
          <w:sz w:val="20"/>
          <w:szCs w:val="20"/>
        </w:rPr>
        <w:footnoteReference w:id="43"/>
      </w:r>
      <w:r w:rsidR="006B6898" w:rsidRPr="007C6BE8">
        <w:rPr>
          <w:rFonts w:asciiTheme="majorHAnsi" w:hAnsiTheme="majorHAnsi"/>
          <w:sz w:val="20"/>
          <w:szCs w:val="20"/>
          <w:lang w:val="es-CR"/>
        </w:rPr>
        <w:t>”. Agregó además que “manifestó la Entidad, que en el sector de Santa Bárbara de la ciudad de Medellín, lugar donde al parecer ocurrió la presunta desaparición del señor Restrepo, no se realizó ningún operativo por parte de la Policía Nacional”</w:t>
      </w:r>
      <w:r w:rsidRPr="007C6BE8">
        <w:rPr>
          <w:rStyle w:val="FootnoteReference"/>
          <w:rFonts w:asciiTheme="majorHAnsi" w:hAnsiTheme="majorHAnsi"/>
          <w:sz w:val="20"/>
          <w:szCs w:val="20"/>
          <w:lang w:val="es-MX"/>
        </w:rPr>
        <w:t xml:space="preserve"> </w:t>
      </w:r>
      <w:r w:rsidRPr="007C6BE8">
        <w:rPr>
          <w:rStyle w:val="FootnoteReference"/>
          <w:rFonts w:asciiTheme="majorHAnsi" w:hAnsiTheme="majorHAnsi"/>
          <w:sz w:val="20"/>
          <w:szCs w:val="20"/>
        </w:rPr>
        <w:footnoteReference w:id="44"/>
      </w:r>
      <w:r w:rsidR="006B6898" w:rsidRPr="007C6BE8">
        <w:rPr>
          <w:rFonts w:asciiTheme="majorHAnsi" w:hAnsiTheme="majorHAnsi"/>
          <w:sz w:val="20"/>
          <w:szCs w:val="20"/>
          <w:lang w:val="es-CR"/>
        </w:rPr>
        <w:t xml:space="preserve">.  </w:t>
      </w:r>
    </w:p>
    <w:p w:rsidR="006B6898" w:rsidRPr="007C6BE8" w:rsidRDefault="006B6898"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AA111F" w:rsidRPr="007C6BE8" w:rsidRDefault="00A70BF3" w:rsidP="00AA111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ES_tradnl"/>
        </w:rPr>
        <w:t>L</w:t>
      </w:r>
      <w:r w:rsidR="006B6898" w:rsidRPr="007C6BE8">
        <w:rPr>
          <w:rFonts w:asciiTheme="majorHAnsi" w:hAnsiTheme="majorHAnsi"/>
          <w:sz w:val="20"/>
          <w:szCs w:val="20"/>
          <w:lang w:val="es-ES_tradnl"/>
        </w:rPr>
        <w:t xml:space="preserve">a madre del señor Restrepo refirió información dirigida a acreditar la existencia de un operativo en la zona en el cual se habría detenido a diversas personas vinculadas a la </w:t>
      </w:r>
      <w:r w:rsidR="006B6898" w:rsidRPr="007C6BE8">
        <w:rPr>
          <w:rFonts w:asciiTheme="majorHAnsi" w:hAnsiTheme="majorHAnsi"/>
          <w:sz w:val="20"/>
          <w:szCs w:val="20"/>
          <w:lang w:val="es-CR"/>
        </w:rPr>
        <w:t>Unión Patriótica. En particular, indicó que recibió una llamada de su hijo señalando que había sido detenido en la carretera a las “Palmas”</w:t>
      </w:r>
      <w:r w:rsidR="00BE4A12" w:rsidRPr="007C6BE8">
        <w:rPr>
          <w:rFonts w:asciiTheme="majorHAnsi" w:hAnsiTheme="majorHAnsi"/>
          <w:sz w:val="20"/>
          <w:szCs w:val="20"/>
          <w:lang w:val="es-CR"/>
        </w:rPr>
        <w:t xml:space="preserve"> (ver </w:t>
      </w:r>
      <w:r w:rsidR="00464E25" w:rsidRPr="007C6BE8">
        <w:rPr>
          <w:rFonts w:asciiTheme="majorHAnsi" w:hAnsiTheme="majorHAnsi"/>
          <w:i/>
          <w:sz w:val="20"/>
          <w:szCs w:val="20"/>
          <w:lang w:val="es-CR"/>
        </w:rPr>
        <w:t>infra</w:t>
      </w:r>
      <w:r w:rsidR="00464E25" w:rsidRPr="007C6BE8">
        <w:rPr>
          <w:rFonts w:asciiTheme="majorHAnsi" w:hAnsiTheme="majorHAnsi"/>
          <w:sz w:val="20"/>
          <w:szCs w:val="20"/>
          <w:lang w:val="es-CR"/>
        </w:rPr>
        <w:t xml:space="preserve"> </w:t>
      </w:r>
      <w:r w:rsidR="00BE4A12" w:rsidRPr="007C6BE8">
        <w:rPr>
          <w:rFonts w:asciiTheme="majorHAnsi" w:hAnsiTheme="majorHAnsi"/>
          <w:sz w:val="20"/>
          <w:szCs w:val="20"/>
          <w:lang w:val="es-CR"/>
        </w:rPr>
        <w:t xml:space="preserve">párr. </w:t>
      </w:r>
      <w:r w:rsidR="00464E25" w:rsidRPr="007C6BE8">
        <w:rPr>
          <w:rFonts w:asciiTheme="majorHAnsi" w:hAnsiTheme="majorHAnsi"/>
          <w:sz w:val="20"/>
          <w:szCs w:val="20"/>
          <w:lang w:val="es-CR"/>
        </w:rPr>
        <w:t>50</w:t>
      </w:r>
      <w:r w:rsidR="00BE4A12" w:rsidRPr="007C6BE8">
        <w:rPr>
          <w:rFonts w:asciiTheme="majorHAnsi" w:hAnsiTheme="majorHAnsi"/>
          <w:sz w:val="20"/>
          <w:szCs w:val="20"/>
          <w:lang w:val="es-CR"/>
        </w:rPr>
        <w:t>)</w:t>
      </w:r>
      <w:r w:rsidR="006B6898" w:rsidRPr="007C6BE8">
        <w:rPr>
          <w:rFonts w:asciiTheme="majorHAnsi" w:hAnsiTheme="majorHAnsi"/>
          <w:sz w:val="20"/>
          <w:szCs w:val="20"/>
          <w:lang w:val="es-CR"/>
        </w:rPr>
        <w:t>, lugar donde</w:t>
      </w:r>
      <w:r w:rsidR="00BE4A12" w:rsidRPr="007C6BE8">
        <w:rPr>
          <w:rFonts w:asciiTheme="majorHAnsi" w:hAnsiTheme="majorHAnsi"/>
          <w:sz w:val="20"/>
          <w:szCs w:val="20"/>
          <w:lang w:val="es-CR"/>
        </w:rPr>
        <w:t>,</w:t>
      </w:r>
      <w:r w:rsidR="006B6898" w:rsidRPr="007C6BE8">
        <w:rPr>
          <w:rFonts w:asciiTheme="majorHAnsi" w:hAnsiTheme="majorHAnsi"/>
          <w:sz w:val="20"/>
          <w:szCs w:val="20"/>
          <w:lang w:val="es-CR"/>
        </w:rPr>
        <w:t xml:space="preserve"> </w:t>
      </w:r>
      <w:r w:rsidR="00BE4A12" w:rsidRPr="007C6BE8">
        <w:rPr>
          <w:rFonts w:asciiTheme="majorHAnsi" w:hAnsiTheme="majorHAnsi"/>
          <w:sz w:val="20"/>
          <w:szCs w:val="20"/>
          <w:lang w:val="es-ES_tradnl"/>
        </w:rPr>
        <w:t xml:space="preserve">el 8 de junio de 1992, </w:t>
      </w:r>
      <w:r w:rsidR="00BE4A12" w:rsidRPr="007C6BE8">
        <w:rPr>
          <w:rFonts w:asciiTheme="majorHAnsi" w:hAnsiTheme="majorHAnsi"/>
          <w:sz w:val="20"/>
          <w:szCs w:val="20"/>
          <w:lang w:val="es-CR"/>
        </w:rPr>
        <w:t xml:space="preserve">la oficina del Procurador le habría confirmado </w:t>
      </w:r>
      <w:r w:rsidR="002D147E" w:rsidRPr="007C6BE8">
        <w:rPr>
          <w:rFonts w:asciiTheme="majorHAnsi" w:hAnsiTheme="majorHAnsi"/>
          <w:sz w:val="20"/>
          <w:szCs w:val="20"/>
          <w:lang w:val="es-CR"/>
        </w:rPr>
        <w:t xml:space="preserve">mientras indagaba por su hijo, que </w:t>
      </w:r>
      <w:r w:rsidR="00BE4A12" w:rsidRPr="007C6BE8">
        <w:rPr>
          <w:rFonts w:asciiTheme="majorHAnsi" w:hAnsiTheme="majorHAnsi"/>
          <w:sz w:val="20"/>
          <w:szCs w:val="20"/>
          <w:lang w:val="es-CR"/>
        </w:rPr>
        <w:t xml:space="preserve">tras realizar una llamada a la Brigada Cuarta del Ejército </w:t>
      </w:r>
      <w:r w:rsidR="002D147E" w:rsidRPr="007C6BE8">
        <w:rPr>
          <w:rFonts w:asciiTheme="majorHAnsi" w:hAnsiTheme="majorHAnsi"/>
          <w:sz w:val="20"/>
          <w:szCs w:val="20"/>
          <w:lang w:val="es-CR"/>
        </w:rPr>
        <w:t xml:space="preserve">se indicó </w:t>
      </w:r>
      <w:r w:rsidR="00BE4A12" w:rsidRPr="007C6BE8">
        <w:rPr>
          <w:rFonts w:asciiTheme="majorHAnsi" w:hAnsiTheme="majorHAnsi"/>
          <w:sz w:val="20"/>
          <w:szCs w:val="20"/>
          <w:lang w:val="es-CR"/>
        </w:rPr>
        <w:t>que se había realizado el operativo en la carretera “Las Palmas” por la Policía Nacional</w:t>
      </w:r>
      <w:r w:rsidR="00BE4A12" w:rsidRPr="007C6BE8">
        <w:rPr>
          <w:rStyle w:val="FootnoteReference"/>
          <w:rFonts w:asciiTheme="majorHAnsi" w:hAnsiTheme="majorHAnsi"/>
          <w:sz w:val="20"/>
          <w:szCs w:val="20"/>
        </w:rPr>
        <w:footnoteReference w:id="45"/>
      </w:r>
      <w:r w:rsidR="00873C9D" w:rsidRPr="007C6BE8">
        <w:rPr>
          <w:rFonts w:asciiTheme="majorHAnsi" w:hAnsiTheme="majorHAnsi"/>
          <w:sz w:val="20"/>
          <w:szCs w:val="20"/>
          <w:lang w:val="es-CR"/>
        </w:rPr>
        <w:t>,</w:t>
      </w:r>
      <w:r w:rsidR="00BE4A12" w:rsidRPr="007C6BE8">
        <w:rPr>
          <w:rFonts w:asciiTheme="majorHAnsi" w:hAnsiTheme="majorHAnsi"/>
          <w:sz w:val="20"/>
          <w:szCs w:val="20"/>
          <w:lang w:val="es-CR"/>
        </w:rPr>
        <w:t xml:space="preserve"> </w:t>
      </w:r>
      <w:r w:rsidR="00873C9D" w:rsidRPr="007C6BE8">
        <w:rPr>
          <w:rFonts w:asciiTheme="majorHAnsi" w:hAnsiTheme="majorHAnsi"/>
          <w:sz w:val="20"/>
          <w:szCs w:val="20"/>
          <w:lang w:val="es-CR"/>
        </w:rPr>
        <w:t>sin embargo,</w:t>
      </w:r>
      <w:r w:rsidR="00527F24" w:rsidRPr="007C6BE8">
        <w:rPr>
          <w:rFonts w:asciiTheme="majorHAnsi" w:hAnsiTheme="majorHAnsi"/>
          <w:sz w:val="20"/>
          <w:szCs w:val="20"/>
          <w:lang w:val="es-CR"/>
        </w:rPr>
        <w:t xml:space="preserve"> señaló </w:t>
      </w:r>
      <w:r w:rsidR="00873C9D" w:rsidRPr="007C6BE8">
        <w:rPr>
          <w:rFonts w:asciiTheme="majorHAnsi" w:hAnsiTheme="majorHAnsi"/>
          <w:sz w:val="20"/>
          <w:szCs w:val="20"/>
          <w:lang w:val="es-CR"/>
        </w:rPr>
        <w:t>que con posterioridad “hechas las indagaciones en ese organismo de seguridad, lo habían negado”</w:t>
      </w:r>
      <w:r w:rsidR="00873C9D" w:rsidRPr="007C6BE8">
        <w:rPr>
          <w:rStyle w:val="FootnoteReference"/>
          <w:rFonts w:asciiTheme="majorHAnsi" w:hAnsiTheme="majorHAnsi"/>
          <w:sz w:val="20"/>
          <w:szCs w:val="20"/>
        </w:rPr>
        <w:footnoteReference w:id="46"/>
      </w:r>
      <w:r w:rsidR="00873C9D" w:rsidRPr="007C6BE8">
        <w:rPr>
          <w:rFonts w:asciiTheme="majorHAnsi" w:hAnsiTheme="majorHAnsi"/>
          <w:sz w:val="20"/>
          <w:szCs w:val="20"/>
          <w:lang w:val="es-CR"/>
        </w:rPr>
        <w:t xml:space="preserve">. </w:t>
      </w:r>
      <w:r w:rsidR="006B6898" w:rsidRPr="007C6BE8">
        <w:rPr>
          <w:rFonts w:asciiTheme="majorHAnsi" w:hAnsiTheme="majorHAnsi"/>
          <w:sz w:val="20"/>
          <w:szCs w:val="20"/>
          <w:lang w:val="es-CR"/>
        </w:rPr>
        <w:t>Según la información aportada por los peticionarios y</w:t>
      </w:r>
      <w:r w:rsidR="00911D92" w:rsidRPr="007C6BE8">
        <w:rPr>
          <w:rFonts w:asciiTheme="majorHAnsi" w:hAnsiTheme="majorHAnsi"/>
          <w:sz w:val="20"/>
          <w:szCs w:val="20"/>
          <w:lang w:val="es-CR"/>
        </w:rPr>
        <w:t xml:space="preserve"> no controvertida por el Estado</w:t>
      </w:r>
      <w:r w:rsidR="00AD3A66" w:rsidRPr="007C6BE8">
        <w:rPr>
          <w:rFonts w:asciiTheme="majorHAnsi" w:hAnsiTheme="majorHAnsi"/>
          <w:sz w:val="20"/>
          <w:szCs w:val="20"/>
          <w:lang w:val="es-CR"/>
        </w:rPr>
        <w:t>,</w:t>
      </w:r>
      <w:r w:rsidR="006B6898" w:rsidRPr="007C6BE8">
        <w:rPr>
          <w:rFonts w:asciiTheme="majorHAnsi" w:hAnsiTheme="majorHAnsi"/>
          <w:sz w:val="20"/>
          <w:szCs w:val="20"/>
          <w:lang w:val="es-CR"/>
        </w:rPr>
        <w:t xml:space="preserve"> </w:t>
      </w:r>
      <w:r w:rsidR="00AA111F" w:rsidRPr="007C6BE8">
        <w:rPr>
          <w:rFonts w:asciiTheme="majorHAnsi" w:hAnsiTheme="majorHAnsi"/>
          <w:sz w:val="20"/>
          <w:szCs w:val="20"/>
          <w:lang w:val="es-CR"/>
        </w:rPr>
        <w:t>la señora Lucila Restrepo había podido establecer a través del propio investigador designado por la Unidad de Derechos Humanos de la Fiscalía que otras tres personas fueron detenidas junto con el señor Norberto Javier Restrepo quienes se llamaban Luis Alfonso López, Sady Ferney Pérez Uribe y María Luisa Parra Nosa</w:t>
      </w:r>
      <w:r w:rsidR="00AA111F" w:rsidRPr="007C6BE8">
        <w:rPr>
          <w:rStyle w:val="FootnoteReference"/>
          <w:rFonts w:asciiTheme="majorHAnsi" w:hAnsiTheme="majorHAnsi"/>
          <w:sz w:val="20"/>
          <w:szCs w:val="20"/>
          <w:lang w:val="es-CR"/>
        </w:rPr>
        <w:footnoteReference w:id="47"/>
      </w:r>
      <w:r w:rsidR="00AA111F" w:rsidRPr="007C6BE8">
        <w:rPr>
          <w:rFonts w:asciiTheme="majorHAnsi" w:hAnsiTheme="majorHAnsi"/>
          <w:sz w:val="20"/>
          <w:szCs w:val="20"/>
          <w:lang w:val="es-CR"/>
        </w:rPr>
        <w:t>.</w:t>
      </w:r>
    </w:p>
    <w:p w:rsidR="006B6898" w:rsidRPr="007C6BE8" w:rsidRDefault="006B6898"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6B6898" w:rsidRPr="007C6BE8" w:rsidRDefault="006B6898"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CR"/>
        </w:rPr>
        <w:t>Sobre las personas m</w:t>
      </w:r>
      <w:r w:rsidR="002D147E" w:rsidRPr="007C6BE8">
        <w:rPr>
          <w:rFonts w:asciiTheme="majorHAnsi" w:hAnsiTheme="majorHAnsi"/>
          <w:sz w:val="20"/>
          <w:szCs w:val="20"/>
          <w:lang w:val="es-CR"/>
        </w:rPr>
        <w:t>encionadas, la Comisión constat</w:t>
      </w:r>
      <w:r w:rsidR="00073CE8" w:rsidRPr="007C6BE8">
        <w:rPr>
          <w:rFonts w:asciiTheme="majorHAnsi" w:hAnsiTheme="majorHAnsi"/>
          <w:sz w:val="20"/>
          <w:szCs w:val="20"/>
          <w:lang w:val="es-CR"/>
        </w:rPr>
        <w:t>a</w:t>
      </w:r>
      <w:r w:rsidRPr="007C6BE8">
        <w:rPr>
          <w:rFonts w:asciiTheme="majorHAnsi" w:hAnsiTheme="majorHAnsi"/>
          <w:sz w:val="20"/>
          <w:szCs w:val="20"/>
          <w:lang w:val="es-CR"/>
        </w:rPr>
        <w:t xml:space="preserve"> que en el marco de la elaboración de su </w:t>
      </w:r>
      <w:r w:rsidRPr="007C6BE8">
        <w:rPr>
          <w:rFonts w:asciiTheme="majorHAnsi" w:hAnsiTheme="majorHAnsi"/>
          <w:i/>
          <w:sz w:val="20"/>
          <w:szCs w:val="20"/>
          <w:lang w:val="es-CR"/>
        </w:rPr>
        <w:t>Segundo Informe sobre la Situac</w:t>
      </w:r>
      <w:r w:rsidR="00C619A2" w:rsidRPr="007C6BE8">
        <w:rPr>
          <w:rFonts w:asciiTheme="majorHAnsi" w:hAnsiTheme="majorHAnsi"/>
          <w:i/>
          <w:sz w:val="20"/>
          <w:szCs w:val="20"/>
          <w:lang w:val="es-CR"/>
        </w:rPr>
        <w:t>i</w:t>
      </w:r>
      <w:r w:rsidRPr="007C6BE8">
        <w:rPr>
          <w:rFonts w:asciiTheme="majorHAnsi" w:hAnsiTheme="majorHAnsi"/>
          <w:i/>
          <w:sz w:val="20"/>
          <w:szCs w:val="20"/>
          <w:lang w:val="es-CR"/>
        </w:rPr>
        <w:t xml:space="preserve">ón de los Derechos Humanos en Colombia, </w:t>
      </w:r>
      <w:r w:rsidRPr="007C6BE8">
        <w:rPr>
          <w:rFonts w:asciiTheme="majorHAnsi" w:hAnsiTheme="majorHAnsi"/>
          <w:sz w:val="20"/>
          <w:szCs w:val="20"/>
          <w:lang w:val="es-CR"/>
        </w:rPr>
        <w:t xml:space="preserve">recibió información del </w:t>
      </w:r>
      <w:r w:rsidRPr="007C6BE8">
        <w:rPr>
          <w:rFonts w:asciiTheme="majorHAnsi" w:hAnsiTheme="majorHAnsi"/>
          <w:i/>
          <w:sz w:val="20"/>
          <w:szCs w:val="20"/>
          <w:lang w:val="es-CR"/>
        </w:rPr>
        <w:t xml:space="preserve">Centro de Investigación y Educación Popular </w:t>
      </w:r>
      <w:r w:rsidRPr="007C6BE8">
        <w:rPr>
          <w:rFonts w:asciiTheme="majorHAnsi" w:hAnsiTheme="majorHAnsi"/>
          <w:sz w:val="20"/>
          <w:szCs w:val="20"/>
          <w:lang w:val="es-CR"/>
        </w:rPr>
        <w:t>sobre sus muertes. Concretamente</w:t>
      </w:r>
      <w:r w:rsidR="00C619A2" w:rsidRPr="007C6BE8">
        <w:rPr>
          <w:rFonts w:asciiTheme="majorHAnsi" w:hAnsiTheme="majorHAnsi"/>
          <w:sz w:val="20"/>
          <w:szCs w:val="20"/>
          <w:lang w:val="es-CR"/>
        </w:rPr>
        <w:t>,</w:t>
      </w:r>
      <w:r w:rsidRPr="007C6BE8">
        <w:rPr>
          <w:rFonts w:asciiTheme="majorHAnsi" w:hAnsiTheme="majorHAnsi"/>
          <w:sz w:val="20"/>
          <w:szCs w:val="20"/>
          <w:lang w:val="es-CR"/>
        </w:rPr>
        <w:t xml:space="preserve"> la Comisión recibió la siguiente información según la cual su</w:t>
      </w:r>
      <w:r w:rsidR="006D6DA5" w:rsidRPr="007C6BE8">
        <w:rPr>
          <w:rFonts w:asciiTheme="majorHAnsi" w:hAnsiTheme="majorHAnsi"/>
          <w:sz w:val="20"/>
          <w:szCs w:val="20"/>
          <w:lang w:val="es-CR"/>
        </w:rPr>
        <w:t>s restos habrían sido encontrado</w:t>
      </w:r>
      <w:r w:rsidRPr="007C6BE8">
        <w:rPr>
          <w:rFonts w:asciiTheme="majorHAnsi" w:hAnsiTheme="majorHAnsi"/>
          <w:sz w:val="20"/>
          <w:szCs w:val="20"/>
          <w:lang w:val="es-CR"/>
        </w:rPr>
        <w:t>s el 3 de junio</w:t>
      </w:r>
      <w:r w:rsidR="00A72547" w:rsidRPr="007C6BE8">
        <w:rPr>
          <w:rFonts w:asciiTheme="majorHAnsi" w:hAnsiTheme="majorHAnsi"/>
          <w:sz w:val="20"/>
          <w:szCs w:val="20"/>
          <w:lang w:val="es-CR"/>
        </w:rPr>
        <w:t xml:space="preserve"> de 1992</w:t>
      </w:r>
      <w:r w:rsidRPr="007C6BE8">
        <w:rPr>
          <w:rFonts w:asciiTheme="majorHAnsi" w:hAnsiTheme="majorHAnsi"/>
          <w:sz w:val="20"/>
          <w:szCs w:val="20"/>
          <w:lang w:val="es-CR"/>
        </w:rPr>
        <w:t>, es decir, un día después de que fuera visto por última vez el señor Norberto Javier Restrepo:</w:t>
      </w:r>
    </w:p>
    <w:p w:rsidR="006B6898" w:rsidRPr="007C6BE8" w:rsidRDefault="006B6898"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6B6898" w:rsidRPr="007C6BE8" w:rsidRDefault="006B6898"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630"/>
        <w:contextualSpacing/>
        <w:jc w:val="both"/>
        <w:rPr>
          <w:rFonts w:asciiTheme="majorHAnsi" w:hAnsiTheme="majorHAnsi"/>
          <w:sz w:val="20"/>
          <w:szCs w:val="20"/>
          <w:lang w:val="es-ES_tradnl"/>
        </w:rPr>
      </w:pPr>
      <w:r w:rsidRPr="007C6BE8">
        <w:rPr>
          <w:rFonts w:asciiTheme="majorHAnsi" w:eastAsia="Times New Roman" w:hAnsiTheme="majorHAnsi"/>
          <w:b/>
          <w:bCs/>
          <w:spacing w:val="-3"/>
          <w:sz w:val="20"/>
          <w:szCs w:val="20"/>
          <w:bdr w:val="none" w:sz="0" w:space="0" w:color="auto"/>
          <w:lang w:val="pt-BR"/>
        </w:rPr>
        <w:t>LUIS ALFONSO LOPEZ RESTREPO,</w:t>
      </w:r>
      <w:r w:rsidRPr="007C6BE8">
        <w:rPr>
          <w:rFonts w:asciiTheme="majorHAnsi" w:eastAsia="Times New Roman" w:hAnsiTheme="majorHAnsi"/>
          <w:spacing w:val="-3"/>
          <w:sz w:val="20"/>
          <w:szCs w:val="20"/>
          <w:bdr w:val="none" w:sz="0" w:space="0" w:color="auto"/>
          <w:lang w:val="pt-BR"/>
        </w:rPr>
        <w:t> </w:t>
      </w:r>
      <w:r w:rsidRPr="007C6BE8">
        <w:rPr>
          <w:rFonts w:asciiTheme="majorHAnsi" w:eastAsia="Times New Roman" w:hAnsiTheme="majorHAnsi"/>
          <w:b/>
          <w:spacing w:val="-3"/>
          <w:sz w:val="20"/>
          <w:szCs w:val="20"/>
          <w:bdr w:val="none" w:sz="0" w:space="0" w:color="auto"/>
          <w:lang w:val="pt-BR"/>
        </w:rPr>
        <w:t>Caldas</w:t>
      </w:r>
      <w:r w:rsidR="00C812B4" w:rsidRPr="007C6BE8">
        <w:rPr>
          <w:rFonts w:asciiTheme="majorHAnsi" w:eastAsia="Times New Roman" w:hAnsiTheme="majorHAnsi"/>
          <w:b/>
          <w:spacing w:val="-3"/>
          <w:sz w:val="20"/>
          <w:szCs w:val="20"/>
          <w:bdr w:val="none" w:sz="0" w:space="0" w:color="auto"/>
          <w:lang w:val="pt-BR"/>
        </w:rPr>
        <w:t xml:space="preserve"> </w:t>
      </w:r>
      <w:r w:rsidRPr="007C6BE8">
        <w:rPr>
          <w:rFonts w:asciiTheme="majorHAnsi" w:eastAsia="Times New Roman" w:hAnsiTheme="majorHAnsi"/>
          <w:b/>
          <w:spacing w:val="-3"/>
          <w:sz w:val="20"/>
          <w:szCs w:val="20"/>
          <w:bdr w:val="none" w:sz="0" w:space="0" w:color="auto"/>
          <w:lang w:val="pt-BR"/>
        </w:rPr>
        <w:t>(Antioquia)</w:t>
      </w:r>
      <w:r w:rsidRPr="007C6BE8">
        <w:rPr>
          <w:rFonts w:asciiTheme="majorHAnsi" w:eastAsia="Times New Roman" w:hAnsiTheme="majorHAnsi"/>
          <w:spacing w:val="-3"/>
          <w:sz w:val="20"/>
          <w:szCs w:val="20"/>
          <w:bdr w:val="none" w:sz="0" w:space="0" w:color="auto"/>
          <w:lang w:val="pt-BR"/>
        </w:rPr>
        <w:t>. </w:t>
      </w:r>
      <w:r w:rsidRPr="007C6BE8">
        <w:rPr>
          <w:rFonts w:asciiTheme="majorHAnsi" w:eastAsia="Times New Roman" w:hAnsiTheme="majorHAnsi"/>
          <w:spacing w:val="-3"/>
          <w:sz w:val="20"/>
          <w:szCs w:val="20"/>
          <w:bdr w:val="none" w:sz="0" w:space="0" w:color="auto"/>
          <w:lang w:val="es-ES_tradnl"/>
        </w:rPr>
        <w:t>Comerciante encontrado asesinado, junto con dos personas más, en la vía al municipio de Fredonia a la altura de la vereda Piedra Verde.  Residía en Bello.  Los cuerpos de las víctimas presentaban múltiples impactos de arma calibre 9 mm y estaban parcialmente quemados con ácido sulfúrico.  Las víctimas habían sido detenidas en diferentes sitios de Medellín.  </w:t>
      </w:r>
      <w:r w:rsidRPr="007C6BE8">
        <w:rPr>
          <w:rFonts w:asciiTheme="majorHAnsi" w:eastAsia="Times New Roman" w:hAnsiTheme="majorHAnsi"/>
          <w:b/>
          <w:bCs/>
          <w:spacing w:val="-3"/>
          <w:sz w:val="20"/>
          <w:szCs w:val="20"/>
          <w:bdr w:val="none" w:sz="0" w:space="0" w:color="auto"/>
          <w:lang w:val="es-MX"/>
        </w:rPr>
        <w:t>SADY FERNEY PEREZ URIBE, Caldas (Antioquia)</w:t>
      </w:r>
      <w:r w:rsidRPr="007C6BE8">
        <w:rPr>
          <w:rFonts w:asciiTheme="majorHAnsi" w:eastAsia="Times New Roman" w:hAnsiTheme="majorHAnsi"/>
          <w:spacing w:val="-3"/>
          <w:sz w:val="20"/>
          <w:szCs w:val="20"/>
          <w:bdr w:val="none" w:sz="0" w:space="0" w:color="auto"/>
          <w:lang w:val="es-MX"/>
        </w:rPr>
        <w:t>.  </w:t>
      </w:r>
      <w:r w:rsidRPr="007C6BE8">
        <w:rPr>
          <w:rFonts w:asciiTheme="majorHAnsi" w:eastAsia="Times New Roman" w:hAnsiTheme="majorHAnsi"/>
          <w:spacing w:val="-3"/>
          <w:sz w:val="20"/>
          <w:szCs w:val="20"/>
          <w:bdr w:val="none" w:sz="0" w:space="0" w:color="auto"/>
          <w:lang w:val="es-ES_tradnl"/>
        </w:rPr>
        <w:t>Estudiante de Historia de la Universidad Nacional, Seccional Medellín, encontrado asesinado en la vereda Sinifariá.  Presentaba múltiples impactos de arma de fuego, señales de tortura y estaba parcialmente quemado. Residía en el Barrio Obrero de Medellín y días antes había sido sacado a la fuerza de la Universidad por desconocidos.  </w:t>
      </w:r>
      <w:r w:rsidRPr="007C6BE8">
        <w:rPr>
          <w:rFonts w:asciiTheme="majorHAnsi" w:eastAsia="Times New Roman" w:hAnsiTheme="majorHAnsi"/>
          <w:b/>
          <w:bCs/>
          <w:spacing w:val="-3"/>
          <w:sz w:val="20"/>
          <w:szCs w:val="20"/>
          <w:bdr w:val="none" w:sz="0" w:space="0" w:color="auto"/>
          <w:lang w:val="es-MX"/>
        </w:rPr>
        <w:t>MARIA LUISA PARRA NOSA, Caldas (Antioquia)</w:t>
      </w:r>
      <w:r w:rsidRPr="007C6BE8">
        <w:rPr>
          <w:rFonts w:asciiTheme="majorHAnsi" w:eastAsia="Times New Roman" w:hAnsiTheme="majorHAnsi"/>
          <w:spacing w:val="-3"/>
          <w:sz w:val="20"/>
          <w:szCs w:val="20"/>
          <w:bdr w:val="none" w:sz="0" w:space="0" w:color="auto"/>
          <w:lang w:val="es-MX"/>
        </w:rPr>
        <w:t>.  </w:t>
      </w:r>
      <w:r w:rsidRPr="007C6BE8">
        <w:rPr>
          <w:rFonts w:asciiTheme="majorHAnsi" w:eastAsia="Times New Roman" w:hAnsiTheme="majorHAnsi"/>
          <w:spacing w:val="-3"/>
          <w:sz w:val="20"/>
          <w:szCs w:val="20"/>
          <w:bdr w:val="none" w:sz="0" w:space="0" w:color="auto"/>
          <w:lang w:val="es-ES_tradnl"/>
        </w:rPr>
        <w:t>Encontrada asesinada, junto con su esposo y un comerciante, en la vereda Piedra Verde.  Presentaba señales de tortura y estaba quemada con ácido sulfúrico.  Las víctimas habían sido detenidas en diferentes sitios de Medellín</w:t>
      </w:r>
      <w:r w:rsidRPr="007C6BE8">
        <w:rPr>
          <w:rStyle w:val="FootnoteReference"/>
          <w:rFonts w:asciiTheme="majorHAnsi" w:eastAsia="Times New Roman" w:hAnsiTheme="majorHAnsi"/>
          <w:spacing w:val="-3"/>
          <w:sz w:val="20"/>
          <w:szCs w:val="20"/>
          <w:bdr w:val="none" w:sz="0" w:space="0" w:color="auto"/>
          <w:lang w:val="es-US"/>
        </w:rPr>
        <w:footnoteReference w:id="48"/>
      </w:r>
      <w:r w:rsidRPr="007C6BE8">
        <w:rPr>
          <w:rFonts w:asciiTheme="majorHAnsi" w:eastAsia="Times New Roman" w:hAnsiTheme="majorHAnsi"/>
          <w:spacing w:val="-3"/>
          <w:sz w:val="20"/>
          <w:szCs w:val="20"/>
          <w:bdr w:val="none" w:sz="0" w:space="0" w:color="auto"/>
          <w:lang w:val="es-ES_tradnl"/>
        </w:rPr>
        <w:t>. </w:t>
      </w:r>
    </w:p>
    <w:p w:rsidR="006B6898" w:rsidRPr="007C6BE8" w:rsidRDefault="006B6898"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BE4A12" w:rsidRPr="007C6BE8" w:rsidRDefault="006B6898"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CR"/>
        </w:rPr>
        <w:t xml:space="preserve">La Comisión no cuenta con registro oficial sobre los lugares y fechas en las cuales tales personas habrían desaparecido y </w:t>
      </w:r>
      <w:r w:rsidR="00993091" w:rsidRPr="007C6BE8">
        <w:rPr>
          <w:rFonts w:asciiTheme="majorHAnsi" w:hAnsiTheme="majorHAnsi"/>
          <w:sz w:val="20"/>
          <w:szCs w:val="20"/>
          <w:lang w:val="es-CR"/>
        </w:rPr>
        <w:t xml:space="preserve">sus cuerpos habrían sido </w:t>
      </w:r>
      <w:r w:rsidRPr="007C6BE8">
        <w:rPr>
          <w:rFonts w:asciiTheme="majorHAnsi" w:hAnsiTheme="majorHAnsi"/>
          <w:sz w:val="20"/>
          <w:szCs w:val="20"/>
          <w:lang w:val="es-CR"/>
        </w:rPr>
        <w:t xml:space="preserve">encontrados. Sin embargo, además de los </w:t>
      </w:r>
      <w:r w:rsidRPr="007C6BE8">
        <w:rPr>
          <w:rFonts w:asciiTheme="majorHAnsi" w:hAnsiTheme="majorHAnsi"/>
          <w:sz w:val="20"/>
          <w:szCs w:val="20"/>
          <w:lang w:val="es-CR"/>
        </w:rPr>
        <w:lastRenderedPageBreak/>
        <w:t>hallazgos señalados en su informe</w:t>
      </w:r>
      <w:r w:rsidR="00993091" w:rsidRPr="007C6BE8">
        <w:rPr>
          <w:rFonts w:asciiTheme="majorHAnsi" w:hAnsiTheme="majorHAnsi"/>
          <w:sz w:val="20"/>
          <w:szCs w:val="20"/>
          <w:lang w:val="es-CR"/>
        </w:rPr>
        <w:t xml:space="preserve"> de país</w:t>
      </w:r>
      <w:r w:rsidRPr="007C6BE8">
        <w:rPr>
          <w:rFonts w:asciiTheme="majorHAnsi" w:hAnsiTheme="majorHAnsi"/>
          <w:sz w:val="20"/>
          <w:szCs w:val="20"/>
          <w:lang w:val="es-CR"/>
        </w:rPr>
        <w:t>, la Comisión advierte que respecto de la señora María Luisa Parra Nosa,</w:t>
      </w:r>
      <w:r w:rsidR="00796B1E" w:rsidRPr="007C6BE8">
        <w:rPr>
          <w:rFonts w:asciiTheme="majorHAnsi" w:hAnsiTheme="majorHAnsi"/>
          <w:sz w:val="20"/>
          <w:szCs w:val="20"/>
          <w:lang w:val="es-CR"/>
        </w:rPr>
        <w:t xml:space="preserve"> </w:t>
      </w:r>
      <w:r w:rsidRPr="007C6BE8">
        <w:rPr>
          <w:rFonts w:asciiTheme="majorHAnsi" w:hAnsiTheme="majorHAnsi"/>
          <w:sz w:val="20"/>
          <w:szCs w:val="20"/>
          <w:lang w:val="es-CR"/>
        </w:rPr>
        <w:t xml:space="preserve">los peticionarios informaron que </w:t>
      </w:r>
      <w:r w:rsidR="00796B1E" w:rsidRPr="007C6BE8">
        <w:rPr>
          <w:rFonts w:asciiTheme="majorHAnsi" w:hAnsiTheme="majorHAnsi"/>
          <w:sz w:val="20"/>
          <w:szCs w:val="20"/>
          <w:lang w:val="es-CR"/>
        </w:rPr>
        <w:t xml:space="preserve">se obtuvo una versión de que fue detenida mientras salía junto con el señor Restrepo de las instalaciones de la Universidad de Antioquia y que </w:t>
      </w:r>
      <w:r w:rsidRPr="007C6BE8">
        <w:rPr>
          <w:rFonts w:asciiTheme="majorHAnsi" w:hAnsiTheme="majorHAnsi"/>
          <w:sz w:val="20"/>
          <w:szCs w:val="20"/>
          <w:lang w:val="es-CR"/>
        </w:rPr>
        <w:t>sus restos fueron hallados incinerados en el municipio de Caldas, lugar que se encuentra entre Medellín y el municipio de Santa Bárbara donde fue hallado el cuerpo del señor Norberto Javier Restrepo</w:t>
      </w:r>
      <w:r w:rsidR="00BE4A12" w:rsidRPr="007C6BE8">
        <w:rPr>
          <w:rStyle w:val="FootnoteReference"/>
          <w:rFonts w:asciiTheme="majorHAnsi" w:hAnsiTheme="majorHAnsi"/>
          <w:sz w:val="20"/>
          <w:szCs w:val="20"/>
        </w:rPr>
        <w:footnoteReference w:id="49"/>
      </w:r>
      <w:r w:rsidRPr="007C6BE8">
        <w:rPr>
          <w:rFonts w:asciiTheme="majorHAnsi" w:hAnsiTheme="majorHAnsi"/>
          <w:sz w:val="20"/>
          <w:szCs w:val="20"/>
          <w:lang w:val="es-CR"/>
        </w:rPr>
        <w:t xml:space="preserve">. Adicionalmente, la Comisión observa que según la información obtenida por los familiares de manera no oficial, tales personas -que estarían vinculadas al partido de la UP- habrían sido detenidas por miembros de la patrulla de </w:t>
      </w:r>
      <w:r w:rsidR="00993091" w:rsidRPr="007C6BE8">
        <w:rPr>
          <w:rFonts w:asciiTheme="majorHAnsi" w:hAnsiTheme="majorHAnsi"/>
          <w:sz w:val="20"/>
          <w:szCs w:val="20"/>
          <w:lang w:val="es-CR"/>
        </w:rPr>
        <w:t xml:space="preserve">la </w:t>
      </w:r>
      <w:r w:rsidRPr="007C6BE8">
        <w:rPr>
          <w:rFonts w:asciiTheme="majorHAnsi" w:hAnsiTheme="majorHAnsi"/>
          <w:sz w:val="20"/>
          <w:szCs w:val="20"/>
          <w:lang w:val="es-CR"/>
        </w:rPr>
        <w:t>S</w:t>
      </w:r>
      <w:r w:rsidR="006A37AF" w:rsidRPr="007C6BE8">
        <w:rPr>
          <w:rFonts w:asciiTheme="majorHAnsi" w:hAnsiTheme="majorHAnsi"/>
          <w:sz w:val="20"/>
          <w:szCs w:val="20"/>
          <w:lang w:val="es-CR"/>
        </w:rPr>
        <w:t>IJIN</w:t>
      </w:r>
      <w:r w:rsidRPr="007C6BE8">
        <w:rPr>
          <w:rFonts w:asciiTheme="majorHAnsi" w:hAnsiTheme="majorHAnsi"/>
          <w:sz w:val="20"/>
          <w:szCs w:val="20"/>
          <w:lang w:val="es-CR"/>
        </w:rPr>
        <w:t xml:space="preserve"> y posteriormente el señor Norberto</w:t>
      </w:r>
      <w:r w:rsidR="006A37AF" w:rsidRPr="007C6BE8">
        <w:rPr>
          <w:rFonts w:asciiTheme="majorHAnsi" w:hAnsiTheme="majorHAnsi"/>
          <w:sz w:val="20"/>
          <w:szCs w:val="20"/>
          <w:lang w:val="es-CR"/>
        </w:rPr>
        <w:t xml:space="preserve"> Restrepo</w:t>
      </w:r>
      <w:r w:rsidR="00993091" w:rsidRPr="007C6BE8">
        <w:rPr>
          <w:rFonts w:asciiTheme="majorHAnsi" w:hAnsiTheme="majorHAnsi"/>
          <w:sz w:val="20"/>
          <w:szCs w:val="20"/>
          <w:lang w:val="es-CR"/>
        </w:rPr>
        <w:t xml:space="preserve"> habría</w:t>
      </w:r>
      <w:r w:rsidRPr="007C6BE8">
        <w:rPr>
          <w:rFonts w:asciiTheme="majorHAnsi" w:hAnsiTheme="majorHAnsi"/>
          <w:sz w:val="20"/>
          <w:szCs w:val="20"/>
          <w:lang w:val="es-CR"/>
        </w:rPr>
        <w:t xml:space="preserve"> </w:t>
      </w:r>
      <w:r w:rsidR="00993091" w:rsidRPr="007C6BE8">
        <w:rPr>
          <w:rFonts w:asciiTheme="majorHAnsi" w:hAnsiTheme="majorHAnsi"/>
          <w:sz w:val="20"/>
          <w:szCs w:val="20"/>
          <w:lang w:val="es-CR"/>
        </w:rPr>
        <w:t xml:space="preserve">sido </w:t>
      </w:r>
      <w:r w:rsidRPr="007C6BE8">
        <w:rPr>
          <w:rFonts w:asciiTheme="majorHAnsi" w:hAnsiTheme="majorHAnsi"/>
          <w:sz w:val="20"/>
          <w:szCs w:val="20"/>
          <w:lang w:val="es-CR"/>
        </w:rPr>
        <w:t>entregado a paramilitares del Suroeste, donde finalmente fue torturado y asesinado</w:t>
      </w:r>
      <w:r w:rsidR="00BE4A12" w:rsidRPr="007C6BE8">
        <w:rPr>
          <w:rStyle w:val="FootnoteReference"/>
          <w:rFonts w:asciiTheme="majorHAnsi" w:hAnsiTheme="majorHAnsi"/>
          <w:sz w:val="20"/>
          <w:szCs w:val="20"/>
        </w:rPr>
        <w:footnoteReference w:id="50"/>
      </w:r>
      <w:r w:rsidRPr="007C6BE8">
        <w:rPr>
          <w:rFonts w:asciiTheme="majorHAnsi" w:hAnsiTheme="majorHAnsi"/>
          <w:sz w:val="20"/>
          <w:szCs w:val="20"/>
          <w:lang w:val="es-CR"/>
        </w:rPr>
        <w:t xml:space="preserve">. </w:t>
      </w:r>
      <w:r w:rsidR="00BE4A12" w:rsidRPr="007C6BE8">
        <w:rPr>
          <w:rFonts w:asciiTheme="majorHAnsi" w:hAnsiTheme="majorHAnsi"/>
          <w:sz w:val="20"/>
          <w:szCs w:val="20"/>
          <w:lang w:val="es-CR"/>
        </w:rPr>
        <w:t>Según lo aclaró la madre del señor Restrepo</w:t>
      </w:r>
      <w:r w:rsidR="00073CE8" w:rsidRPr="007C6BE8">
        <w:rPr>
          <w:rFonts w:asciiTheme="majorHAnsi" w:hAnsiTheme="majorHAnsi"/>
          <w:sz w:val="20"/>
          <w:szCs w:val="20"/>
          <w:lang w:val="es-CR"/>
        </w:rPr>
        <w:t xml:space="preserve"> en una comunicación dirigida a la Comisión</w:t>
      </w:r>
      <w:r w:rsidR="00BE4A12" w:rsidRPr="007C6BE8">
        <w:rPr>
          <w:rFonts w:asciiTheme="majorHAnsi" w:hAnsiTheme="majorHAnsi"/>
          <w:sz w:val="20"/>
          <w:szCs w:val="20"/>
          <w:lang w:val="es-CR"/>
        </w:rPr>
        <w:t>, la persona que le brindó dicha información “po</w:t>
      </w:r>
      <w:r w:rsidR="00073CE8" w:rsidRPr="007C6BE8">
        <w:rPr>
          <w:rFonts w:asciiTheme="majorHAnsi" w:hAnsiTheme="majorHAnsi"/>
          <w:sz w:val="20"/>
          <w:szCs w:val="20"/>
          <w:lang w:val="es-CR"/>
        </w:rPr>
        <w:t>r problemas de seguridad no pud</w:t>
      </w:r>
      <w:r w:rsidR="00BE4A12" w:rsidRPr="007C6BE8">
        <w:rPr>
          <w:rFonts w:asciiTheme="majorHAnsi" w:hAnsiTheme="majorHAnsi"/>
          <w:sz w:val="20"/>
          <w:szCs w:val="20"/>
          <w:lang w:val="es-CR"/>
        </w:rPr>
        <w:t>o rendir declaración”</w:t>
      </w:r>
      <w:r w:rsidR="00BE4A12" w:rsidRPr="007C6BE8">
        <w:rPr>
          <w:rStyle w:val="FootnoteReference"/>
          <w:rFonts w:asciiTheme="majorHAnsi" w:hAnsiTheme="majorHAnsi"/>
          <w:sz w:val="20"/>
          <w:szCs w:val="20"/>
          <w:lang w:val="es-MX"/>
        </w:rPr>
        <w:t xml:space="preserve"> </w:t>
      </w:r>
      <w:r w:rsidR="00BE4A12" w:rsidRPr="007C6BE8">
        <w:rPr>
          <w:rStyle w:val="FootnoteReference"/>
          <w:rFonts w:asciiTheme="majorHAnsi" w:hAnsiTheme="majorHAnsi"/>
          <w:sz w:val="20"/>
          <w:szCs w:val="20"/>
        </w:rPr>
        <w:footnoteReference w:id="51"/>
      </w:r>
      <w:r w:rsidR="00BE4A12" w:rsidRPr="007C6BE8">
        <w:rPr>
          <w:rFonts w:asciiTheme="majorHAnsi" w:hAnsiTheme="majorHAnsi"/>
          <w:sz w:val="20"/>
          <w:szCs w:val="20"/>
          <w:lang w:val="es-CR"/>
        </w:rPr>
        <w:t>.</w:t>
      </w:r>
    </w:p>
    <w:p w:rsidR="006B6898" w:rsidRPr="007C6BE8" w:rsidRDefault="006B6898"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6B6898" w:rsidRPr="007C6BE8" w:rsidRDefault="006B6898"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ES_tradnl"/>
        </w:rPr>
        <w:t>La Comisión advierte que el Estado señaló que el operativo no se verificó con base en los hallazgos del proceso disciplinario</w:t>
      </w:r>
      <w:r w:rsidR="00BE4A12" w:rsidRPr="007C6BE8">
        <w:rPr>
          <w:rFonts w:asciiTheme="majorHAnsi" w:hAnsiTheme="majorHAnsi"/>
          <w:sz w:val="20"/>
          <w:szCs w:val="20"/>
          <w:lang w:val="es-ES_tradnl"/>
        </w:rPr>
        <w:t xml:space="preserve"> (ver </w:t>
      </w:r>
      <w:r w:rsidR="00DC3F15" w:rsidRPr="007C6BE8">
        <w:rPr>
          <w:rFonts w:asciiTheme="majorHAnsi" w:hAnsiTheme="majorHAnsi"/>
          <w:i/>
          <w:sz w:val="20"/>
          <w:szCs w:val="20"/>
          <w:lang w:val="es-ES_tradnl"/>
        </w:rPr>
        <w:t>infra</w:t>
      </w:r>
      <w:r w:rsidR="00DC3F15" w:rsidRPr="007C6BE8">
        <w:rPr>
          <w:rFonts w:asciiTheme="majorHAnsi" w:hAnsiTheme="majorHAnsi"/>
          <w:sz w:val="20"/>
          <w:szCs w:val="20"/>
          <w:lang w:val="es-ES_tradnl"/>
        </w:rPr>
        <w:t xml:space="preserve"> </w:t>
      </w:r>
      <w:r w:rsidR="00BE4A12" w:rsidRPr="007C6BE8">
        <w:rPr>
          <w:rFonts w:asciiTheme="majorHAnsi" w:hAnsiTheme="majorHAnsi"/>
          <w:sz w:val="20"/>
          <w:szCs w:val="20"/>
          <w:lang w:val="es-ES_tradnl"/>
        </w:rPr>
        <w:t xml:space="preserve">párr. </w:t>
      </w:r>
      <w:r w:rsidR="00DC3F15" w:rsidRPr="007C6BE8">
        <w:rPr>
          <w:rFonts w:asciiTheme="majorHAnsi" w:hAnsiTheme="majorHAnsi"/>
          <w:sz w:val="20"/>
          <w:szCs w:val="20"/>
          <w:lang w:val="es-ES_tradnl"/>
        </w:rPr>
        <w:t>78</w:t>
      </w:r>
      <w:r w:rsidR="00BE4A12" w:rsidRPr="007C6BE8">
        <w:rPr>
          <w:rFonts w:asciiTheme="majorHAnsi" w:hAnsiTheme="majorHAnsi"/>
          <w:sz w:val="20"/>
          <w:szCs w:val="20"/>
          <w:lang w:val="es-ES_tradnl"/>
        </w:rPr>
        <w:t>)</w:t>
      </w:r>
      <w:r w:rsidRPr="007C6BE8">
        <w:rPr>
          <w:rFonts w:asciiTheme="majorHAnsi" w:hAnsiTheme="majorHAnsi"/>
          <w:sz w:val="20"/>
          <w:szCs w:val="20"/>
          <w:lang w:val="es-ES_tradnl"/>
        </w:rPr>
        <w:t xml:space="preserve">. </w:t>
      </w:r>
      <w:r w:rsidR="002D147E" w:rsidRPr="007C6BE8">
        <w:rPr>
          <w:rFonts w:asciiTheme="majorHAnsi" w:hAnsiTheme="majorHAnsi"/>
          <w:sz w:val="20"/>
          <w:szCs w:val="20"/>
          <w:lang w:val="es-ES_tradnl"/>
        </w:rPr>
        <w:t>Sin embargo</w:t>
      </w:r>
      <w:r w:rsidRPr="007C6BE8">
        <w:rPr>
          <w:rFonts w:asciiTheme="majorHAnsi" w:hAnsiTheme="majorHAnsi"/>
          <w:sz w:val="20"/>
          <w:szCs w:val="20"/>
          <w:lang w:val="es-ES_tradnl"/>
        </w:rPr>
        <w:t>, la Comisión nota que al momento de informar sobre esta situación</w:t>
      </w:r>
      <w:r w:rsidR="00C369A4" w:rsidRPr="007C6BE8">
        <w:rPr>
          <w:rFonts w:asciiTheme="majorHAnsi" w:hAnsiTheme="majorHAnsi"/>
          <w:sz w:val="20"/>
          <w:szCs w:val="20"/>
          <w:lang w:val="es-ES_tradnl"/>
        </w:rPr>
        <w:t>,</w:t>
      </w:r>
      <w:r w:rsidRPr="007C6BE8">
        <w:rPr>
          <w:rFonts w:asciiTheme="majorHAnsi" w:hAnsiTheme="majorHAnsi"/>
          <w:sz w:val="20"/>
          <w:szCs w:val="20"/>
          <w:lang w:val="es-ES_tradnl"/>
        </w:rPr>
        <w:t xml:space="preserve"> el Estado no aportó copia del expediente disciplinario que tenía</w:t>
      </w:r>
      <w:r w:rsidR="00C369A4" w:rsidRPr="007C6BE8">
        <w:rPr>
          <w:rFonts w:asciiTheme="majorHAnsi" w:hAnsiTheme="majorHAnsi"/>
          <w:sz w:val="20"/>
          <w:szCs w:val="20"/>
          <w:lang w:val="es-ES_tradnl"/>
        </w:rPr>
        <w:t xml:space="preserve"> en ese momento </w:t>
      </w:r>
      <w:r w:rsidRPr="007C6BE8">
        <w:rPr>
          <w:rFonts w:asciiTheme="majorHAnsi" w:hAnsiTheme="majorHAnsi"/>
          <w:sz w:val="20"/>
          <w:szCs w:val="20"/>
          <w:lang w:val="es-ES_tradnl"/>
        </w:rPr>
        <w:t xml:space="preserve">a su disposición </w:t>
      </w:r>
      <w:r w:rsidR="00F30B88" w:rsidRPr="007C6BE8">
        <w:rPr>
          <w:rFonts w:asciiTheme="majorHAnsi" w:hAnsiTheme="majorHAnsi"/>
          <w:sz w:val="20"/>
          <w:szCs w:val="20"/>
          <w:lang w:val="es-ES_tradnl"/>
        </w:rPr>
        <w:t xml:space="preserve">como sustento de sus </w:t>
      </w:r>
      <w:r w:rsidRPr="007C6BE8">
        <w:rPr>
          <w:rFonts w:asciiTheme="majorHAnsi" w:hAnsiTheme="majorHAnsi"/>
          <w:sz w:val="20"/>
          <w:szCs w:val="20"/>
          <w:lang w:val="es-ES_tradnl"/>
        </w:rPr>
        <w:t xml:space="preserve">afirmaciones, ni tampoco aportó certificación de la Procuraduría que negara la información relacionada con dicho operativo. </w:t>
      </w:r>
      <w:r w:rsidR="00F30B88" w:rsidRPr="007C6BE8">
        <w:rPr>
          <w:rFonts w:asciiTheme="majorHAnsi" w:hAnsiTheme="majorHAnsi"/>
          <w:sz w:val="20"/>
          <w:szCs w:val="20"/>
          <w:lang w:val="es-ES_tradnl"/>
        </w:rPr>
        <w:t xml:space="preserve">La aportación de prueba sobre este punto era especialmente relevante, existiendo otras muertes con hallazgos similares a los del cuerpo del señor Restrepo en la zona y fecha de los hechos y tras la afirmación de la madre del señor Restrepo en el sentido de que la propia Procuraduría le había confirmado la ocurrencia de un operativo. </w:t>
      </w:r>
    </w:p>
    <w:p w:rsidR="006B6898" w:rsidRPr="007C6BE8" w:rsidRDefault="006B6898"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2D147E" w:rsidRPr="007C6BE8" w:rsidRDefault="006B6898"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CR"/>
        </w:rPr>
        <w:t xml:space="preserve">En relación con las diligencias en el proceso judicial, la Comisión considera que aunque en las informadas por el Estado se advierte una actividad dirigida a requerir diversas declaraciones e informes policiales, información sobre los grupos paramilitares que operaban en dicha zona, así como la verificación de </w:t>
      </w:r>
      <w:r w:rsidR="00F30B88" w:rsidRPr="007C6BE8">
        <w:rPr>
          <w:rFonts w:asciiTheme="majorHAnsi" w:hAnsiTheme="majorHAnsi"/>
          <w:sz w:val="20"/>
          <w:szCs w:val="20"/>
          <w:lang w:val="es-CR"/>
        </w:rPr>
        <w:t>ó</w:t>
      </w:r>
      <w:r w:rsidRPr="007C6BE8">
        <w:rPr>
          <w:rFonts w:asciiTheme="majorHAnsi" w:hAnsiTheme="majorHAnsi"/>
          <w:sz w:val="20"/>
          <w:szCs w:val="20"/>
          <w:lang w:val="es-CR"/>
        </w:rPr>
        <w:t>rdenes de captura de miembros del grupo de autodefensas que pertenecerían al grupo “de la Casa Castaño”, al no aportar el Estado el expediente, la Comisión no ha podido valorar el</w:t>
      </w:r>
      <w:r w:rsidR="00F30B88" w:rsidRPr="007C6BE8">
        <w:rPr>
          <w:rFonts w:asciiTheme="majorHAnsi" w:hAnsiTheme="majorHAnsi"/>
          <w:sz w:val="20"/>
          <w:szCs w:val="20"/>
          <w:lang w:val="es-CR"/>
        </w:rPr>
        <w:t xml:space="preserve"> resultado de tales diligencias ni si en el marco de las mismas </w:t>
      </w:r>
      <w:r w:rsidR="00BE4A12" w:rsidRPr="007C6BE8">
        <w:rPr>
          <w:rFonts w:asciiTheme="majorHAnsi" w:hAnsiTheme="majorHAnsi"/>
          <w:sz w:val="20"/>
          <w:szCs w:val="20"/>
          <w:lang w:val="es-CR"/>
        </w:rPr>
        <w:t xml:space="preserve">se </w:t>
      </w:r>
      <w:r w:rsidRPr="007C6BE8">
        <w:rPr>
          <w:rFonts w:asciiTheme="majorHAnsi" w:hAnsiTheme="majorHAnsi"/>
          <w:sz w:val="20"/>
          <w:szCs w:val="20"/>
          <w:lang w:val="es-CR"/>
        </w:rPr>
        <w:t>desvirtu</w:t>
      </w:r>
      <w:r w:rsidR="00F30B88" w:rsidRPr="007C6BE8">
        <w:rPr>
          <w:rFonts w:asciiTheme="majorHAnsi" w:hAnsiTheme="majorHAnsi"/>
          <w:sz w:val="20"/>
          <w:szCs w:val="20"/>
          <w:lang w:val="es-CR"/>
        </w:rPr>
        <w:t>ó</w:t>
      </w:r>
      <w:r w:rsidRPr="007C6BE8">
        <w:rPr>
          <w:rFonts w:asciiTheme="majorHAnsi" w:hAnsiTheme="majorHAnsi"/>
          <w:sz w:val="20"/>
          <w:szCs w:val="20"/>
          <w:lang w:val="es-CR"/>
        </w:rPr>
        <w:t xml:space="preserve"> la participación de miembros de la Sijin</w:t>
      </w:r>
      <w:r w:rsidR="007E5040" w:rsidRPr="007C6BE8">
        <w:rPr>
          <w:rFonts w:asciiTheme="majorHAnsi" w:hAnsiTheme="majorHAnsi"/>
          <w:sz w:val="20"/>
          <w:szCs w:val="20"/>
          <w:lang w:val="es-CR"/>
        </w:rPr>
        <w:t xml:space="preserve"> o de los paramilitares </w:t>
      </w:r>
      <w:r w:rsidRPr="007C6BE8">
        <w:rPr>
          <w:rFonts w:asciiTheme="majorHAnsi" w:hAnsiTheme="majorHAnsi"/>
          <w:sz w:val="20"/>
          <w:szCs w:val="20"/>
          <w:lang w:val="es-CR"/>
        </w:rPr>
        <w:t xml:space="preserve">en </w:t>
      </w:r>
      <w:r w:rsidR="00F30B88" w:rsidRPr="007C6BE8">
        <w:rPr>
          <w:rFonts w:asciiTheme="majorHAnsi" w:hAnsiTheme="majorHAnsi"/>
          <w:sz w:val="20"/>
          <w:szCs w:val="20"/>
          <w:lang w:val="es-CR"/>
        </w:rPr>
        <w:t xml:space="preserve">el </w:t>
      </w:r>
      <w:r w:rsidRPr="007C6BE8">
        <w:rPr>
          <w:rFonts w:asciiTheme="majorHAnsi" w:hAnsiTheme="majorHAnsi"/>
          <w:sz w:val="20"/>
          <w:szCs w:val="20"/>
          <w:lang w:val="es-CR"/>
        </w:rPr>
        <w:t xml:space="preserve">operativo </w:t>
      </w:r>
      <w:r w:rsidR="00F30B88" w:rsidRPr="007C6BE8">
        <w:rPr>
          <w:rFonts w:asciiTheme="majorHAnsi" w:hAnsiTheme="majorHAnsi"/>
          <w:sz w:val="20"/>
          <w:szCs w:val="20"/>
          <w:lang w:val="es-CR"/>
        </w:rPr>
        <w:t xml:space="preserve">que se habría </w:t>
      </w:r>
      <w:r w:rsidRPr="007C6BE8">
        <w:rPr>
          <w:rFonts w:asciiTheme="majorHAnsi" w:hAnsiTheme="majorHAnsi"/>
          <w:sz w:val="20"/>
          <w:szCs w:val="20"/>
          <w:lang w:val="es-CR"/>
        </w:rPr>
        <w:t xml:space="preserve">verificado </w:t>
      </w:r>
      <w:r w:rsidR="007E5040" w:rsidRPr="007C6BE8">
        <w:rPr>
          <w:rFonts w:asciiTheme="majorHAnsi" w:hAnsiTheme="majorHAnsi"/>
          <w:sz w:val="20"/>
          <w:szCs w:val="20"/>
          <w:lang w:val="es-CR"/>
        </w:rPr>
        <w:t>al momento de los hechos.</w:t>
      </w:r>
    </w:p>
    <w:p w:rsidR="002D147E" w:rsidRPr="007C6BE8" w:rsidRDefault="002D147E"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6B6898" w:rsidRPr="007C6BE8" w:rsidRDefault="006B6898"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CR"/>
        </w:rPr>
        <w:t>Asimismo, aunque los peticionarios aclararon que la persona que les brindó el testimonio sobre la entrega a paramiliares del señor Restrepo “por problemas de seguridad no pudo rendir declaración”, el Estado no ha</w:t>
      </w:r>
      <w:r w:rsidR="00FB2A71" w:rsidRPr="007C6BE8">
        <w:rPr>
          <w:rFonts w:asciiTheme="majorHAnsi" w:hAnsiTheme="majorHAnsi"/>
          <w:sz w:val="20"/>
          <w:szCs w:val="20"/>
          <w:lang w:val="es-CR"/>
        </w:rPr>
        <w:t xml:space="preserve"> informado ni demostrado q</w:t>
      </w:r>
      <w:r w:rsidRPr="007C6BE8">
        <w:rPr>
          <w:rFonts w:asciiTheme="majorHAnsi" w:hAnsiTheme="majorHAnsi"/>
          <w:sz w:val="20"/>
          <w:szCs w:val="20"/>
          <w:lang w:val="es-CR"/>
        </w:rPr>
        <w:t>ue</w:t>
      </w:r>
      <w:r w:rsidR="00FB2A71" w:rsidRPr="007C6BE8">
        <w:rPr>
          <w:rFonts w:asciiTheme="majorHAnsi" w:hAnsiTheme="majorHAnsi"/>
          <w:sz w:val="20"/>
          <w:szCs w:val="20"/>
          <w:lang w:val="es-CR"/>
        </w:rPr>
        <w:t xml:space="preserve"> investigó esta importante información en el marco de los procesos internos, el seguimiento que l</w:t>
      </w:r>
      <w:r w:rsidR="007E5040" w:rsidRPr="007C6BE8">
        <w:rPr>
          <w:rFonts w:asciiTheme="majorHAnsi" w:hAnsiTheme="majorHAnsi"/>
          <w:sz w:val="20"/>
          <w:szCs w:val="20"/>
          <w:lang w:val="es-CR"/>
        </w:rPr>
        <w:t>e dio ni</w:t>
      </w:r>
      <w:r w:rsidR="00FB2A71" w:rsidRPr="007C6BE8">
        <w:rPr>
          <w:rFonts w:asciiTheme="majorHAnsi" w:hAnsiTheme="majorHAnsi"/>
          <w:sz w:val="20"/>
          <w:szCs w:val="20"/>
          <w:lang w:val="es-CR"/>
        </w:rPr>
        <w:t xml:space="preserve"> los resultados obtenidos. </w:t>
      </w:r>
    </w:p>
    <w:p w:rsidR="006B6898" w:rsidRPr="007C6BE8" w:rsidRDefault="006B6898"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6B6898" w:rsidRPr="007C6BE8" w:rsidRDefault="006B6898"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ES_tradnl"/>
        </w:rPr>
        <w:t>De lo indicado</w:t>
      </w:r>
      <w:r w:rsidR="007E5040" w:rsidRPr="007C6BE8">
        <w:rPr>
          <w:rFonts w:asciiTheme="majorHAnsi" w:hAnsiTheme="majorHAnsi"/>
          <w:sz w:val="20"/>
          <w:szCs w:val="20"/>
          <w:lang w:val="es-ES_tradnl"/>
        </w:rPr>
        <w:t xml:space="preserve"> anteriormente</w:t>
      </w:r>
      <w:r w:rsidRPr="007C6BE8">
        <w:rPr>
          <w:rFonts w:asciiTheme="majorHAnsi" w:hAnsiTheme="majorHAnsi"/>
          <w:sz w:val="20"/>
          <w:szCs w:val="20"/>
          <w:lang w:val="es-ES_tradnl"/>
        </w:rPr>
        <w:t>, la Comisión considera que dada la naturale</w:t>
      </w:r>
      <w:r w:rsidR="007E5040" w:rsidRPr="007C6BE8">
        <w:rPr>
          <w:rFonts w:asciiTheme="majorHAnsi" w:hAnsiTheme="majorHAnsi"/>
          <w:sz w:val="20"/>
          <w:szCs w:val="20"/>
          <w:lang w:val="es-ES_tradnl"/>
        </w:rPr>
        <w:t xml:space="preserve">za de la desaparición forzada cuyo objetivo es encubrir todo rastro de la detención y de la propia víctima con el objetivo </w:t>
      </w:r>
      <w:r w:rsidRPr="007C6BE8">
        <w:rPr>
          <w:rFonts w:asciiTheme="majorHAnsi" w:hAnsiTheme="majorHAnsi"/>
          <w:sz w:val="20"/>
          <w:szCs w:val="20"/>
          <w:lang w:val="es-ES_tradnl"/>
        </w:rPr>
        <w:t>de excluir la responsabilidad de los</w:t>
      </w:r>
      <w:r w:rsidR="007E5040" w:rsidRPr="007C6BE8">
        <w:rPr>
          <w:rFonts w:asciiTheme="majorHAnsi" w:hAnsiTheme="majorHAnsi"/>
          <w:sz w:val="20"/>
          <w:szCs w:val="20"/>
          <w:lang w:val="es-ES_tradnl"/>
        </w:rPr>
        <w:t xml:space="preserve"> perpetradores, </w:t>
      </w:r>
      <w:r w:rsidRPr="007C6BE8">
        <w:rPr>
          <w:rFonts w:asciiTheme="majorHAnsi" w:hAnsiTheme="majorHAnsi"/>
          <w:sz w:val="20"/>
          <w:szCs w:val="20"/>
          <w:lang w:val="es-ES_tradnl"/>
        </w:rPr>
        <w:t>la simple afirmación del Estado que niega la existencia de un registro de detención o realización de un operativo que culminara en la captura del señor Restrepo por parte de la Policía Metropolitana de Aburr</w:t>
      </w:r>
      <w:r w:rsidR="007E5040" w:rsidRPr="007C6BE8">
        <w:rPr>
          <w:rFonts w:asciiTheme="majorHAnsi" w:hAnsiTheme="majorHAnsi"/>
          <w:sz w:val="20"/>
          <w:szCs w:val="20"/>
          <w:lang w:val="es-ES_tradnl"/>
        </w:rPr>
        <w:t>á</w:t>
      </w:r>
      <w:r w:rsidRPr="007C6BE8">
        <w:rPr>
          <w:rFonts w:asciiTheme="majorHAnsi" w:hAnsiTheme="majorHAnsi"/>
          <w:sz w:val="20"/>
          <w:szCs w:val="20"/>
          <w:lang w:val="es-ES_tradnl"/>
        </w:rPr>
        <w:t xml:space="preserve"> y su posterior entrega a grupos paramilitares, no resulta suficiente para desvirtuar lo </w:t>
      </w:r>
      <w:r w:rsidR="007E5040" w:rsidRPr="007C6BE8">
        <w:rPr>
          <w:rFonts w:asciiTheme="majorHAnsi" w:hAnsiTheme="majorHAnsi"/>
          <w:sz w:val="20"/>
          <w:szCs w:val="20"/>
          <w:lang w:val="es-ES_tradnl"/>
        </w:rPr>
        <w:t xml:space="preserve">versión recibida por la madre del señor Restrepo en el sentido de que </w:t>
      </w:r>
      <w:r w:rsidR="00B836B7" w:rsidRPr="007C6BE8">
        <w:rPr>
          <w:rFonts w:asciiTheme="majorHAnsi" w:hAnsiTheme="majorHAnsi"/>
          <w:sz w:val="20"/>
          <w:szCs w:val="20"/>
          <w:lang w:val="es-ES_tradnl"/>
        </w:rPr>
        <w:t xml:space="preserve">fue </w:t>
      </w:r>
      <w:r w:rsidR="007E5040" w:rsidRPr="007C6BE8">
        <w:rPr>
          <w:rFonts w:asciiTheme="majorHAnsi" w:hAnsiTheme="majorHAnsi"/>
          <w:sz w:val="20"/>
          <w:szCs w:val="20"/>
          <w:lang w:val="es-ES_tradnl"/>
        </w:rPr>
        <w:t xml:space="preserve">detenido en un operativo de la Sijin </w:t>
      </w:r>
      <w:r w:rsidR="00B836B7" w:rsidRPr="007C6BE8">
        <w:rPr>
          <w:rFonts w:asciiTheme="majorHAnsi" w:hAnsiTheme="majorHAnsi"/>
          <w:sz w:val="20"/>
          <w:szCs w:val="20"/>
          <w:lang w:val="es-ES_tradnl"/>
        </w:rPr>
        <w:t xml:space="preserve">y entregado a paramilitares. Cabe reiterar en este punto que, mientras la </w:t>
      </w:r>
      <w:r w:rsidR="00B836B7" w:rsidRPr="007C6BE8">
        <w:rPr>
          <w:rFonts w:asciiTheme="majorHAnsi" w:hAnsiTheme="majorHAnsi"/>
          <w:sz w:val="20"/>
          <w:szCs w:val="20"/>
          <w:lang w:val="es-ES_tradnl"/>
        </w:rPr>
        <w:lastRenderedPageBreak/>
        <w:t xml:space="preserve">madre del señor Restrepo afirma que la Procuraduría le informó que sí tuvo lugar un operativo, el Estado se limitó a negar esta información sin aportar la documentación respectiva que, a diferencia de la señora Restrepo, tenía a su disposición y bajo su control. </w:t>
      </w:r>
    </w:p>
    <w:p w:rsidR="006B6898" w:rsidRPr="007C6BE8" w:rsidRDefault="006B6898"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6D7C24" w:rsidRPr="007C6BE8" w:rsidRDefault="006B6898"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ES_tradnl"/>
        </w:rPr>
        <w:t>Tomando en cuenta el contexto especial de riesgo en el cual existían una serie de actos de violencia perpetrados por parte de agentes estatales y paramilitares en contra de personas como el señor Restrepo, que apoyaban a la UP,  la Comisión estima procedente considerar la declaración de la madre del señor Restrepo en cuanto a la realización de un operativo policial y lo señalado por los peticionarios en relación con la determinación de las personas que habrían sido detenidas en la é</w:t>
      </w:r>
      <w:r w:rsidR="00BE4A12" w:rsidRPr="007C6BE8">
        <w:rPr>
          <w:rFonts w:asciiTheme="majorHAnsi" w:hAnsiTheme="majorHAnsi"/>
          <w:sz w:val="20"/>
          <w:szCs w:val="20"/>
          <w:lang w:val="es-ES_tradnl"/>
        </w:rPr>
        <w:t>poca de los hechos como indicio</w:t>
      </w:r>
      <w:r w:rsidR="006A37AF" w:rsidRPr="007C6BE8">
        <w:rPr>
          <w:rFonts w:asciiTheme="majorHAnsi" w:hAnsiTheme="majorHAnsi"/>
          <w:sz w:val="20"/>
          <w:szCs w:val="20"/>
          <w:lang w:val="es-ES_tradnl"/>
        </w:rPr>
        <w:t>s</w:t>
      </w:r>
      <w:r w:rsidRPr="007C6BE8">
        <w:rPr>
          <w:rFonts w:asciiTheme="majorHAnsi" w:hAnsiTheme="majorHAnsi"/>
          <w:sz w:val="20"/>
          <w:szCs w:val="20"/>
          <w:lang w:val="es-ES_tradnl"/>
        </w:rPr>
        <w:t xml:space="preserve"> válidos sobre la presunta detención y posterior muerte del señor Restrepo con participación de agentes estatales. </w:t>
      </w:r>
    </w:p>
    <w:p w:rsidR="00B836B7" w:rsidRPr="007C6BE8" w:rsidRDefault="00B836B7" w:rsidP="00B836B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Theme="majorHAnsi" w:hAnsiTheme="majorHAnsi"/>
          <w:sz w:val="20"/>
          <w:szCs w:val="20"/>
          <w:lang w:val="es-ES_tradnl"/>
        </w:rPr>
      </w:pPr>
    </w:p>
    <w:p w:rsidR="006D7C24" w:rsidRPr="007C6BE8" w:rsidRDefault="00A84750" w:rsidP="009C4A76">
      <w:pPr>
        <w:pStyle w:val="Heading3"/>
        <w:spacing w:before="0" w:after="0"/>
        <w:ind w:left="1440" w:hanging="720"/>
        <w:jc w:val="both"/>
        <w:rPr>
          <w:rFonts w:asciiTheme="majorHAnsi" w:hAnsiTheme="majorHAnsi"/>
          <w:sz w:val="20"/>
          <w:szCs w:val="20"/>
          <w:lang w:val="es-CR"/>
        </w:rPr>
      </w:pPr>
      <w:bookmarkStart w:id="53" w:name="_Toc414371983"/>
      <w:bookmarkStart w:id="54" w:name="_Toc421786413"/>
      <w:bookmarkStart w:id="55" w:name="_Toc529794715"/>
      <w:r w:rsidRPr="007C6BE8">
        <w:rPr>
          <w:rFonts w:asciiTheme="majorHAnsi" w:hAnsiTheme="majorHAnsi"/>
          <w:sz w:val="20"/>
          <w:szCs w:val="20"/>
          <w:lang w:val="es-CR"/>
        </w:rPr>
        <w:t>5</w:t>
      </w:r>
      <w:r w:rsidR="006D7C24" w:rsidRPr="007C6BE8">
        <w:rPr>
          <w:rFonts w:asciiTheme="majorHAnsi" w:hAnsiTheme="majorHAnsi"/>
          <w:sz w:val="20"/>
          <w:szCs w:val="20"/>
          <w:lang w:val="es-CR"/>
        </w:rPr>
        <w:t>.</w:t>
      </w:r>
      <w:r w:rsidR="006D7C24" w:rsidRPr="007C6BE8">
        <w:rPr>
          <w:rFonts w:asciiTheme="majorHAnsi" w:hAnsiTheme="majorHAnsi"/>
          <w:sz w:val="20"/>
          <w:szCs w:val="20"/>
          <w:lang w:val="es-CR"/>
        </w:rPr>
        <w:tab/>
        <w:t>Actuaciones realizadas por la señora Lucila Restrepo Posadas tras la desaparición de Norberto Javier Restrepo</w:t>
      </w:r>
      <w:bookmarkEnd w:id="53"/>
      <w:bookmarkEnd w:id="54"/>
      <w:bookmarkEnd w:id="55"/>
    </w:p>
    <w:p w:rsidR="006D7C24" w:rsidRPr="007C6BE8" w:rsidRDefault="006D7C24"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6D7C24" w:rsidRPr="007C6BE8" w:rsidRDefault="006D7C24"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Según lo indicaron los peticionarios, la señora Lucila Restrepo realizó las siguientes acciones entre los días 6 y 10 de junio de 1992:</w:t>
      </w:r>
    </w:p>
    <w:p w:rsidR="006D7C24" w:rsidRPr="007C6BE8" w:rsidRDefault="006D7C24"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6D7C24" w:rsidRPr="007C6BE8" w:rsidRDefault="006D7C24" w:rsidP="00B1793F">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r w:rsidRPr="007C6BE8">
        <w:rPr>
          <w:rFonts w:asciiTheme="majorHAnsi" w:hAnsiTheme="majorHAnsi"/>
          <w:sz w:val="20"/>
          <w:szCs w:val="20"/>
          <w:lang w:val="es-CR"/>
        </w:rPr>
        <w:t>Desde el 6 de junio la señora Lucila realizó llamadas telefónicas a una policlínica y hospitales, a las inspecciones de policía y al F-2 (organismo de seguridad de la Policía Nacional)</w:t>
      </w:r>
      <w:r w:rsidR="00704E38" w:rsidRPr="007C6BE8">
        <w:rPr>
          <w:rFonts w:asciiTheme="majorHAnsi" w:hAnsiTheme="majorHAnsi"/>
          <w:sz w:val="20"/>
          <w:szCs w:val="20"/>
          <w:lang w:val="es-CR"/>
        </w:rPr>
        <w:t>,</w:t>
      </w:r>
      <w:r w:rsidRPr="007C6BE8">
        <w:rPr>
          <w:rFonts w:asciiTheme="majorHAnsi" w:hAnsiTheme="majorHAnsi"/>
          <w:sz w:val="20"/>
          <w:szCs w:val="20"/>
          <w:lang w:val="es-CR"/>
        </w:rPr>
        <w:t xml:space="preserve"> visitó el anfiteatro de la ciudad y dio aviso a una emisora radial, sin obtener algún resultado</w:t>
      </w:r>
      <w:r w:rsidRPr="007C6BE8">
        <w:rPr>
          <w:rStyle w:val="FootnoteReference"/>
          <w:rFonts w:asciiTheme="majorHAnsi" w:hAnsiTheme="majorHAnsi"/>
          <w:sz w:val="20"/>
          <w:szCs w:val="20"/>
        </w:rPr>
        <w:footnoteReference w:id="52"/>
      </w:r>
      <w:r w:rsidRPr="007C6BE8">
        <w:rPr>
          <w:rFonts w:asciiTheme="majorHAnsi" w:hAnsiTheme="majorHAnsi"/>
          <w:sz w:val="20"/>
          <w:szCs w:val="20"/>
          <w:lang w:val="es-CR"/>
        </w:rPr>
        <w:t xml:space="preserve">. </w:t>
      </w:r>
    </w:p>
    <w:p w:rsidR="006D7C24" w:rsidRPr="007C6BE8" w:rsidRDefault="006D7C24"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6D7C24" w:rsidRPr="007C6BE8" w:rsidRDefault="006D7C24" w:rsidP="00B1793F">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r w:rsidRPr="007C6BE8">
        <w:rPr>
          <w:rFonts w:asciiTheme="majorHAnsi" w:hAnsiTheme="majorHAnsi"/>
          <w:sz w:val="20"/>
          <w:szCs w:val="20"/>
          <w:lang w:val="es-CR"/>
        </w:rPr>
        <w:t>El 7 de junio de 1992 se desplazó a la Procuraduría Departamental de Medellín donde “verbalmente denunció la desaparición de su hijo”. Allí, se gestionaron algunas llamadas telefónicas a la Cuarta Brigada del Ejército, al Departamento Administrativo de Seguridad</w:t>
      </w:r>
      <w:r w:rsidR="00CD62F6" w:rsidRPr="007C6BE8">
        <w:rPr>
          <w:rFonts w:asciiTheme="majorHAnsi" w:hAnsiTheme="majorHAnsi"/>
          <w:sz w:val="20"/>
          <w:szCs w:val="20"/>
          <w:lang w:val="es-CR"/>
        </w:rPr>
        <w:t xml:space="preserve"> y</w:t>
      </w:r>
      <w:r w:rsidRPr="007C6BE8">
        <w:rPr>
          <w:rFonts w:asciiTheme="majorHAnsi" w:hAnsiTheme="majorHAnsi"/>
          <w:sz w:val="20"/>
          <w:szCs w:val="20"/>
          <w:lang w:val="es-CR"/>
        </w:rPr>
        <w:t xml:space="preserve"> a la cárcel de Bellavista</w:t>
      </w:r>
      <w:r w:rsidR="00CD62F6" w:rsidRPr="007C6BE8">
        <w:rPr>
          <w:rFonts w:asciiTheme="majorHAnsi" w:hAnsiTheme="majorHAnsi"/>
          <w:sz w:val="20"/>
          <w:szCs w:val="20"/>
          <w:lang w:val="es-CR"/>
        </w:rPr>
        <w:t xml:space="preserve">. Indicó que también visitó el anfiteatro de Medellín y el </w:t>
      </w:r>
      <w:r w:rsidRPr="007C6BE8">
        <w:rPr>
          <w:rFonts w:asciiTheme="majorHAnsi" w:hAnsiTheme="majorHAnsi"/>
          <w:sz w:val="20"/>
          <w:szCs w:val="20"/>
          <w:lang w:val="es-CR"/>
        </w:rPr>
        <w:t>correspondiente al área metropolitana sin éxito alguno</w:t>
      </w:r>
      <w:r w:rsidRPr="007C6BE8">
        <w:rPr>
          <w:rStyle w:val="FootnoteReference"/>
          <w:rFonts w:asciiTheme="majorHAnsi" w:hAnsiTheme="majorHAnsi"/>
          <w:sz w:val="20"/>
          <w:szCs w:val="20"/>
        </w:rPr>
        <w:footnoteReference w:id="53"/>
      </w:r>
      <w:r w:rsidRPr="007C6BE8">
        <w:rPr>
          <w:rFonts w:asciiTheme="majorHAnsi" w:hAnsiTheme="majorHAnsi"/>
          <w:sz w:val="20"/>
          <w:szCs w:val="20"/>
          <w:lang w:val="es-CR"/>
        </w:rPr>
        <w:t xml:space="preserve">. </w:t>
      </w:r>
    </w:p>
    <w:p w:rsidR="006D7C24" w:rsidRPr="007C6BE8" w:rsidRDefault="006D7C24"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6D7C24" w:rsidRPr="007C6BE8" w:rsidRDefault="006D7C24" w:rsidP="00B1793F">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r w:rsidRPr="007C6BE8">
        <w:rPr>
          <w:rFonts w:asciiTheme="majorHAnsi" w:hAnsiTheme="majorHAnsi"/>
          <w:sz w:val="20"/>
          <w:szCs w:val="20"/>
          <w:lang w:val="es-CR"/>
        </w:rPr>
        <w:t xml:space="preserve">El 8 de junio </w:t>
      </w:r>
      <w:r w:rsidR="00D820FB" w:rsidRPr="007C6BE8">
        <w:rPr>
          <w:rFonts w:asciiTheme="majorHAnsi" w:hAnsiTheme="majorHAnsi"/>
          <w:sz w:val="20"/>
          <w:szCs w:val="20"/>
          <w:lang w:val="es-CR"/>
        </w:rPr>
        <w:t xml:space="preserve">de 1992 </w:t>
      </w:r>
      <w:r w:rsidRPr="007C6BE8">
        <w:rPr>
          <w:rFonts w:asciiTheme="majorHAnsi" w:hAnsiTheme="majorHAnsi"/>
          <w:sz w:val="20"/>
          <w:szCs w:val="20"/>
          <w:lang w:val="es-CR"/>
        </w:rPr>
        <w:t>se dirigió nuevamente a la oficina del Procurador quien llamó a la Brigada Cuarta del Ejército recibiendo información en relación con que el operativo en la carretera “Las Palmas” había sido desarrollado por la Policía Nacional</w:t>
      </w:r>
      <w:r w:rsidRPr="007C6BE8">
        <w:rPr>
          <w:rStyle w:val="FootnoteReference"/>
          <w:rFonts w:asciiTheme="majorHAnsi" w:hAnsiTheme="majorHAnsi"/>
          <w:sz w:val="20"/>
          <w:szCs w:val="20"/>
        </w:rPr>
        <w:footnoteReference w:id="54"/>
      </w:r>
      <w:r w:rsidRPr="007C6BE8">
        <w:rPr>
          <w:rFonts w:asciiTheme="majorHAnsi" w:hAnsiTheme="majorHAnsi"/>
          <w:sz w:val="20"/>
          <w:szCs w:val="20"/>
          <w:lang w:val="es-CR"/>
        </w:rPr>
        <w:t>.</w:t>
      </w:r>
    </w:p>
    <w:p w:rsidR="006D7C24" w:rsidRPr="007C6BE8" w:rsidRDefault="006D7C24"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6D7C24" w:rsidRPr="007C6BE8" w:rsidRDefault="006D7C24" w:rsidP="00B1793F">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r w:rsidRPr="007C6BE8">
        <w:rPr>
          <w:rFonts w:asciiTheme="majorHAnsi" w:hAnsiTheme="majorHAnsi"/>
          <w:sz w:val="20"/>
          <w:szCs w:val="20"/>
          <w:lang w:val="es-CR"/>
        </w:rPr>
        <w:t>El 9 de junio de 1992 la señora Lucila Restrepo presentó de manera escrita la “denuncia de la desaparición de su hijo” ante la Procuraduría Departamental. Indicaron</w:t>
      </w:r>
      <w:r w:rsidR="006A37AF" w:rsidRPr="007C6BE8">
        <w:rPr>
          <w:rFonts w:asciiTheme="majorHAnsi" w:hAnsiTheme="majorHAnsi"/>
          <w:sz w:val="20"/>
          <w:szCs w:val="20"/>
          <w:lang w:val="es-CR"/>
        </w:rPr>
        <w:t xml:space="preserve"> los peticionarios </w:t>
      </w:r>
      <w:r w:rsidRPr="007C6BE8">
        <w:rPr>
          <w:rFonts w:asciiTheme="majorHAnsi" w:hAnsiTheme="majorHAnsi"/>
          <w:sz w:val="20"/>
          <w:szCs w:val="20"/>
          <w:lang w:val="es-CR"/>
        </w:rPr>
        <w:t>que un funcionario de dicha dependencia llamó a la Cuarta Brigada del Ejército donde le comunicaron que no habían detenido a nadie en el operativo de Las Palmas</w:t>
      </w:r>
      <w:r w:rsidRPr="007C6BE8">
        <w:rPr>
          <w:rStyle w:val="FootnoteReference"/>
          <w:rFonts w:asciiTheme="majorHAnsi" w:hAnsiTheme="majorHAnsi"/>
          <w:sz w:val="20"/>
          <w:szCs w:val="20"/>
        </w:rPr>
        <w:footnoteReference w:id="55"/>
      </w:r>
      <w:r w:rsidRPr="007C6BE8">
        <w:rPr>
          <w:rFonts w:asciiTheme="majorHAnsi" w:hAnsiTheme="majorHAnsi"/>
          <w:sz w:val="20"/>
          <w:szCs w:val="20"/>
          <w:lang w:val="es-CR"/>
        </w:rPr>
        <w:t>.</w:t>
      </w:r>
    </w:p>
    <w:p w:rsidR="006D7C24" w:rsidRPr="007C6BE8" w:rsidRDefault="006D7C24"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6D7C24" w:rsidRPr="007C6BE8" w:rsidRDefault="006D7C24" w:rsidP="00B1793F">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r w:rsidRPr="007C6BE8">
        <w:rPr>
          <w:rFonts w:asciiTheme="majorHAnsi" w:hAnsiTheme="majorHAnsi"/>
          <w:sz w:val="20"/>
          <w:szCs w:val="20"/>
          <w:lang w:val="es-CR"/>
        </w:rPr>
        <w:t>El 10 de junio de 1992 la señora Lucila Restrepo formuló denuncia formal ante el Juzgado Décimo de Instrucción Criminal de la ciudad de Medellín</w:t>
      </w:r>
      <w:r w:rsidRPr="007C6BE8">
        <w:rPr>
          <w:rStyle w:val="FootnoteReference"/>
          <w:rFonts w:asciiTheme="majorHAnsi" w:hAnsiTheme="majorHAnsi"/>
          <w:sz w:val="20"/>
          <w:szCs w:val="20"/>
        </w:rPr>
        <w:footnoteReference w:id="56"/>
      </w:r>
      <w:r w:rsidRPr="007C6BE8">
        <w:rPr>
          <w:rFonts w:asciiTheme="majorHAnsi" w:hAnsiTheme="majorHAnsi"/>
          <w:sz w:val="20"/>
          <w:szCs w:val="20"/>
          <w:lang w:val="es-CR"/>
        </w:rPr>
        <w:t xml:space="preserve">. </w:t>
      </w:r>
    </w:p>
    <w:p w:rsidR="006D7C24" w:rsidRPr="007C6BE8" w:rsidRDefault="006D7C24" w:rsidP="00B1793F">
      <w:pPr>
        <w:pStyle w:val="ListParagraph"/>
        <w:jc w:val="both"/>
        <w:rPr>
          <w:rFonts w:asciiTheme="majorHAnsi" w:hAnsiTheme="majorHAnsi"/>
          <w:sz w:val="20"/>
          <w:szCs w:val="20"/>
          <w:lang w:val="es-CR"/>
        </w:rPr>
      </w:pPr>
    </w:p>
    <w:p w:rsidR="00CD27CA" w:rsidRPr="007C6BE8" w:rsidRDefault="00CD27CA"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De estas gestiones, e</w:t>
      </w:r>
      <w:r w:rsidR="006D7C24" w:rsidRPr="007C6BE8">
        <w:rPr>
          <w:rFonts w:asciiTheme="majorHAnsi" w:hAnsiTheme="majorHAnsi"/>
          <w:sz w:val="20"/>
          <w:szCs w:val="20"/>
          <w:lang w:val="es-CR"/>
        </w:rPr>
        <w:t>l Estado en su escrito de 10 de junio de 1992 reconoció que la señora Lucila Restrepo presentó una denuncia formal ante el Juzgado 8 de Instrucción Criminal de Medellín por la desaparición de su hijo Norberto Javier Restrepo</w:t>
      </w:r>
      <w:r w:rsidR="006D7C24" w:rsidRPr="007C6BE8">
        <w:rPr>
          <w:rStyle w:val="FootnoteReference"/>
          <w:rFonts w:asciiTheme="majorHAnsi" w:hAnsiTheme="majorHAnsi"/>
          <w:sz w:val="20"/>
          <w:szCs w:val="20"/>
        </w:rPr>
        <w:footnoteReference w:id="57"/>
      </w:r>
      <w:r w:rsidR="006D7C24" w:rsidRPr="007C6BE8">
        <w:rPr>
          <w:rFonts w:asciiTheme="majorHAnsi" w:hAnsiTheme="majorHAnsi"/>
          <w:sz w:val="20"/>
          <w:szCs w:val="20"/>
          <w:lang w:val="es-CR"/>
        </w:rPr>
        <w:t xml:space="preserve">. En su escrito de 22 de julio de 1997 el Estado informó que </w:t>
      </w:r>
      <w:r w:rsidR="006D7C24" w:rsidRPr="007C6BE8">
        <w:rPr>
          <w:rFonts w:asciiTheme="majorHAnsi" w:hAnsiTheme="majorHAnsi"/>
          <w:sz w:val="20"/>
          <w:szCs w:val="20"/>
          <w:lang w:val="es-CR"/>
        </w:rPr>
        <w:lastRenderedPageBreak/>
        <w:t>en dicha fecha, 10 de junio de 1992, se inició la investigación en los Juzgados de Instrucción Criminal, “por el secuestro del señor Norberto Restrepo”</w:t>
      </w:r>
      <w:r w:rsidR="006D7C24" w:rsidRPr="007C6BE8">
        <w:rPr>
          <w:rStyle w:val="FootnoteReference"/>
          <w:rFonts w:asciiTheme="majorHAnsi" w:hAnsiTheme="majorHAnsi"/>
          <w:sz w:val="20"/>
          <w:szCs w:val="20"/>
        </w:rPr>
        <w:footnoteReference w:id="58"/>
      </w:r>
      <w:r w:rsidR="006D7C24" w:rsidRPr="007C6BE8">
        <w:rPr>
          <w:rFonts w:asciiTheme="majorHAnsi" w:hAnsiTheme="majorHAnsi"/>
          <w:sz w:val="20"/>
          <w:szCs w:val="20"/>
          <w:lang w:val="es-CR"/>
        </w:rPr>
        <w:t>.</w:t>
      </w:r>
      <w:r w:rsidRPr="007C6BE8">
        <w:rPr>
          <w:rFonts w:asciiTheme="majorHAnsi" w:hAnsiTheme="majorHAnsi"/>
          <w:sz w:val="20"/>
          <w:szCs w:val="20"/>
          <w:lang w:val="es-CR"/>
        </w:rPr>
        <w:t xml:space="preserve"> </w:t>
      </w:r>
    </w:p>
    <w:p w:rsidR="00CD27CA" w:rsidRPr="007C6BE8" w:rsidRDefault="00CD27CA" w:rsidP="00CD27CA">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6D7C24" w:rsidRPr="007C6BE8" w:rsidRDefault="00CD27CA"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La Comisión hace notar que el Estado planteó</w:t>
      </w:r>
      <w:r w:rsidR="001E307A" w:rsidRPr="007C6BE8">
        <w:rPr>
          <w:rFonts w:asciiTheme="majorHAnsi" w:hAnsiTheme="majorHAnsi"/>
          <w:sz w:val="20"/>
          <w:szCs w:val="20"/>
          <w:lang w:val="es-CR"/>
        </w:rPr>
        <w:t>, en términos generales</w:t>
      </w:r>
      <w:r w:rsidRPr="007C6BE8">
        <w:rPr>
          <w:rFonts w:asciiTheme="majorHAnsi" w:hAnsiTheme="majorHAnsi"/>
          <w:sz w:val="20"/>
          <w:szCs w:val="20"/>
          <w:lang w:val="es-CR"/>
        </w:rPr>
        <w:t xml:space="preserve"> que los peticionarios no aportaron documentación sobre el soporte de </w:t>
      </w:r>
      <w:r w:rsidR="006A37AF" w:rsidRPr="007C6BE8">
        <w:rPr>
          <w:rFonts w:asciiTheme="majorHAnsi" w:hAnsiTheme="majorHAnsi"/>
          <w:sz w:val="20"/>
          <w:szCs w:val="20"/>
          <w:lang w:val="es-CR"/>
        </w:rPr>
        <w:t>sus</w:t>
      </w:r>
      <w:r w:rsidRPr="007C6BE8">
        <w:rPr>
          <w:rFonts w:asciiTheme="majorHAnsi" w:hAnsiTheme="majorHAnsi"/>
          <w:sz w:val="20"/>
          <w:szCs w:val="20"/>
          <w:lang w:val="es-CR"/>
        </w:rPr>
        <w:t xml:space="preserve"> afirmaciones. Sin embargo,</w:t>
      </w:r>
      <w:r w:rsidR="001E307A" w:rsidRPr="007C6BE8">
        <w:rPr>
          <w:rFonts w:asciiTheme="majorHAnsi" w:hAnsiTheme="majorHAnsi"/>
          <w:sz w:val="20"/>
          <w:szCs w:val="20"/>
          <w:lang w:val="es-CR"/>
        </w:rPr>
        <w:t xml:space="preserve"> en lo relevante para esta sección,</w:t>
      </w:r>
      <w:r w:rsidRPr="007C6BE8">
        <w:rPr>
          <w:rFonts w:asciiTheme="majorHAnsi" w:hAnsiTheme="majorHAnsi"/>
          <w:sz w:val="20"/>
          <w:szCs w:val="20"/>
          <w:lang w:val="es-CR"/>
        </w:rPr>
        <w:t xml:space="preserve"> la Comisión observa que por la naturaleza de lo descrito por la señora Lucila Restrepo, no resulta razonable exigir que cuente con documentación sobre la denuncia verbal</w:t>
      </w:r>
      <w:r w:rsidR="00C003C0" w:rsidRPr="007C6BE8">
        <w:rPr>
          <w:rStyle w:val="FootnoteReference"/>
          <w:rFonts w:asciiTheme="majorHAnsi" w:hAnsiTheme="majorHAnsi"/>
          <w:sz w:val="20"/>
          <w:szCs w:val="20"/>
          <w:lang w:val="es-CR"/>
        </w:rPr>
        <w:footnoteReference w:id="59"/>
      </w:r>
      <w:r w:rsidRPr="007C6BE8">
        <w:rPr>
          <w:rFonts w:asciiTheme="majorHAnsi" w:hAnsiTheme="majorHAnsi"/>
          <w:sz w:val="20"/>
          <w:szCs w:val="20"/>
          <w:lang w:val="es-CR"/>
        </w:rPr>
        <w:t xml:space="preserve"> presentada ni sobre los contenidos de lo que el personal de la Procuraduría, tras la realización de llamadas, l</w:t>
      </w:r>
      <w:r w:rsidR="001E307A" w:rsidRPr="007C6BE8">
        <w:rPr>
          <w:rFonts w:asciiTheme="majorHAnsi" w:hAnsiTheme="majorHAnsi"/>
          <w:sz w:val="20"/>
          <w:szCs w:val="20"/>
          <w:lang w:val="es-CR"/>
        </w:rPr>
        <w:t>e</w:t>
      </w:r>
      <w:r w:rsidRPr="007C6BE8">
        <w:rPr>
          <w:rFonts w:asciiTheme="majorHAnsi" w:hAnsiTheme="majorHAnsi"/>
          <w:sz w:val="20"/>
          <w:szCs w:val="20"/>
          <w:lang w:val="es-CR"/>
        </w:rPr>
        <w:t xml:space="preserve"> pudieron afirmar también de manera verbal. En ese sentido, al no contar con las actas de los expedientes que permitan acreditar las actuaciones iniciales del Estado tras tomar conocimiento de la desaparición del señor Restrepo, por su propia naturaleza</w:t>
      </w:r>
      <w:r w:rsidR="003C496D" w:rsidRPr="007C6BE8">
        <w:rPr>
          <w:rFonts w:asciiTheme="majorHAnsi" w:hAnsiTheme="majorHAnsi"/>
          <w:sz w:val="20"/>
          <w:szCs w:val="20"/>
          <w:lang w:val="es-CR"/>
        </w:rPr>
        <w:t xml:space="preserve"> y al no existir indicios en contra</w:t>
      </w:r>
      <w:r w:rsidRPr="007C6BE8">
        <w:rPr>
          <w:rFonts w:asciiTheme="majorHAnsi" w:hAnsiTheme="majorHAnsi"/>
          <w:sz w:val="20"/>
          <w:szCs w:val="20"/>
          <w:lang w:val="es-CR"/>
        </w:rPr>
        <w:t xml:space="preserve">, la Comisión otorga credibilidad a la versión consistente de la señora Lucila Restrepo sobre las gestiones intentadas entre la desaparición de su hijo y la aparición de su cuerpo sin vida.  </w:t>
      </w:r>
    </w:p>
    <w:p w:rsidR="006B6898" w:rsidRPr="007C6BE8" w:rsidRDefault="006B6898"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373C98" w:rsidRPr="007C6BE8" w:rsidRDefault="00A84750" w:rsidP="003541CD">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outlineLvl w:val="2"/>
        <w:rPr>
          <w:rFonts w:asciiTheme="majorHAnsi" w:hAnsiTheme="majorHAnsi"/>
          <w:b/>
          <w:sz w:val="20"/>
          <w:szCs w:val="20"/>
          <w:lang w:val="es-CR"/>
        </w:rPr>
      </w:pPr>
      <w:bookmarkStart w:id="56" w:name="_Toc421786414"/>
      <w:bookmarkStart w:id="57" w:name="_Toc529794716"/>
      <w:r w:rsidRPr="007C6BE8">
        <w:rPr>
          <w:rFonts w:asciiTheme="majorHAnsi" w:hAnsiTheme="majorHAnsi"/>
          <w:b/>
          <w:sz w:val="20"/>
          <w:szCs w:val="20"/>
          <w:lang w:val="es-CR"/>
        </w:rPr>
        <w:t>6</w:t>
      </w:r>
      <w:r w:rsidR="000520F3" w:rsidRPr="007C6BE8">
        <w:rPr>
          <w:rFonts w:asciiTheme="majorHAnsi" w:hAnsiTheme="majorHAnsi"/>
          <w:b/>
          <w:sz w:val="20"/>
          <w:szCs w:val="20"/>
          <w:lang w:val="es-CR"/>
        </w:rPr>
        <w:t>.</w:t>
      </w:r>
      <w:r w:rsidR="000520F3" w:rsidRPr="007C6BE8">
        <w:rPr>
          <w:rFonts w:asciiTheme="majorHAnsi" w:hAnsiTheme="majorHAnsi"/>
          <w:b/>
          <w:sz w:val="20"/>
          <w:szCs w:val="20"/>
          <w:lang w:val="es-CR"/>
        </w:rPr>
        <w:tab/>
      </w:r>
      <w:r w:rsidR="00511FB1" w:rsidRPr="007C6BE8">
        <w:rPr>
          <w:rFonts w:asciiTheme="majorHAnsi" w:hAnsiTheme="majorHAnsi"/>
          <w:b/>
          <w:sz w:val="20"/>
          <w:szCs w:val="20"/>
          <w:lang w:val="es-CR"/>
        </w:rPr>
        <w:t>La</w:t>
      </w:r>
      <w:r w:rsidR="00D820FB" w:rsidRPr="007C6BE8">
        <w:rPr>
          <w:rFonts w:asciiTheme="majorHAnsi" w:hAnsiTheme="majorHAnsi"/>
          <w:b/>
          <w:sz w:val="20"/>
          <w:szCs w:val="20"/>
          <w:lang w:val="es-CR"/>
        </w:rPr>
        <w:t xml:space="preserve"> aparición del cuerpo del </w:t>
      </w:r>
      <w:r w:rsidR="009E4383" w:rsidRPr="007C6BE8">
        <w:rPr>
          <w:rFonts w:asciiTheme="majorHAnsi" w:hAnsiTheme="majorHAnsi"/>
          <w:b/>
          <w:sz w:val="20"/>
          <w:szCs w:val="20"/>
          <w:lang w:val="es-CR"/>
        </w:rPr>
        <w:t>señor Noberto Javier Restrepo</w:t>
      </w:r>
      <w:r w:rsidR="00D820FB" w:rsidRPr="007C6BE8">
        <w:rPr>
          <w:rFonts w:asciiTheme="majorHAnsi" w:hAnsiTheme="majorHAnsi"/>
          <w:b/>
          <w:sz w:val="20"/>
          <w:szCs w:val="20"/>
          <w:lang w:val="es-CR"/>
        </w:rPr>
        <w:t xml:space="preserve"> y diligencias relacionadas</w:t>
      </w:r>
      <w:bookmarkEnd w:id="56"/>
      <w:bookmarkEnd w:id="57"/>
    </w:p>
    <w:p w:rsidR="00373C98" w:rsidRPr="007C6BE8" w:rsidRDefault="00373C98"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373C98" w:rsidRPr="007C6BE8" w:rsidRDefault="00373C98"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El 9 de junio de 1992 un cuerpo sin vida fue encontrado en la orilla de la carretera El Cairo, Kilómetro 3, camino a Las Palmas</w:t>
      </w:r>
      <w:r w:rsidRPr="007C6BE8">
        <w:rPr>
          <w:rStyle w:val="FootnoteReference"/>
          <w:rFonts w:asciiTheme="majorHAnsi" w:hAnsiTheme="majorHAnsi"/>
          <w:sz w:val="20"/>
          <w:szCs w:val="20"/>
        </w:rPr>
        <w:footnoteReference w:id="60"/>
      </w:r>
      <w:r w:rsidRPr="007C6BE8">
        <w:rPr>
          <w:rFonts w:asciiTheme="majorHAnsi" w:hAnsiTheme="majorHAnsi"/>
          <w:sz w:val="20"/>
          <w:szCs w:val="20"/>
          <w:lang w:val="es-CR"/>
        </w:rPr>
        <w:t>. La Inspección Municipal de Santa Bárbara a cargo del Inspector Hernán Jaime Arango Mesa señaló que:</w:t>
      </w:r>
    </w:p>
    <w:p w:rsidR="00373C98" w:rsidRPr="007C6BE8" w:rsidRDefault="00373C98" w:rsidP="00B1793F">
      <w:pPr>
        <w:ind w:firstLine="720"/>
        <w:jc w:val="both"/>
        <w:rPr>
          <w:rFonts w:asciiTheme="majorHAnsi" w:hAnsiTheme="majorHAnsi"/>
          <w:sz w:val="20"/>
          <w:szCs w:val="20"/>
          <w:lang w:val="es-CR"/>
        </w:rPr>
      </w:pPr>
    </w:p>
    <w:p w:rsidR="00373C98" w:rsidRPr="007C6BE8" w:rsidRDefault="00373C98" w:rsidP="00B1793F">
      <w:pPr>
        <w:ind w:left="720" w:right="720"/>
        <w:jc w:val="both"/>
        <w:rPr>
          <w:rFonts w:asciiTheme="majorHAnsi" w:hAnsiTheme="majorHAnsi"/>
          <w:sz w:val="20"/>
          <w:szCs w:val="20"/>
          <w:lang w:val="es-CR"/>
        </w:rPr>
      </w:pPr>
      <w:r w:rsidRPr="007C6BE8">
        <w:rPr>
          <w:rFonts w:asciiTheme="majorHAnsi" w:hAnsiTheme="majorHAnsi"/>
          <w:sz w:val="20"/>
          <w:szCs w:val="20"/>
          <w:lang w:val="es-CR"/>
        </w:rPr>
        <w:t>tuvo conocimiento por medio de una comunicación del Comando de la Policía que en la carretera que conduce a la Fábrica de Cementos el Cairo (…) se encontraba un cadáver de una persona de sexo masculino, al parecer había sufrido muerte violenta con arma de fuego, y el cual llevaba ya varios días de fallecida</w:t>
      </w:r>
      <w:r w:rsidRPr="007C6BE8">
        <w:rPr>
          <w:rStyle w:val="FootnoteReference"/>
          <w:rFonts w:asciiTheme="majorHAnsi" w:hAnsiTheme="majorHAnsi"/>
          <w:sz w:val="20"/>
          <w:szCs w:val="20"/>
        </w:rPr>
        <w:footnoteReference w:id="61"/>
      </w:r>
      <w:r w:rsidRPr="007C6BE8">
        <w:rPr>
          <w:rFonts w:asciiTheme="majorHAnsi" w:hAnsiTheme="majorHAnsi"/>
          <w:sz w:val="20"/>
          <w:szCs w:val="20"/>
          <w:lang w:val="es-CR"/>
        </w:rPr>
        <w:t>.</w:t>
      </w:r>
    </w:p>
    <w:p w:rsidR="00373C98" w:rsidRPr="007C6BE8" w:rsidRDefault="00373C98" w:rsidP="00B1793F">
      <w:pPr>
        <w:pStyle w:val="ListParagraph"/>
        <w:ind w:left="0" w:firstLine="720"/>
        <w:jc w:val="both"/>
        <w:rPr>
          <w:rFonts w:asciiTheme="majorHAnsi" w:hAnsiTheme="majorHAnsi"/>
          <w:sz w:val="20"/>
          <w:szCs w:val="20"/>
          <w:lang w:val="es-CR"/>
        </w:rPr>
      </w:pPr>
    </w:p>
    <w:p w:rsidR="00373C98" w:rsidRPr="007C6BE8" w:rsidRDefault="00373C98"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Ese mismo día, el Inspector Municipal se desplazó al lugar donde tuvo conocimiento del hallazgo del cadáver y procedió a hacer la diligencia de levantamiento. Hizo constar que no pudo identificar a la víctima debido a que no portaba documentos de identidad y no fue posible tomar huellas dactilares por el estado de descomposición en que se encontraba el cuerpo. Señaló asimismo que el cadáver no tenía los dientes de la mandíbula inferior y que “de las heridas que presentaba dicha persona al parecer se le observaba dos (2) orificios de salida de bala, en el pecho y en el cuello”, además de hacer constar que se le había echado “Baigon” (sic)</w:t>
      </w:r>
      <w:r w:rsidRPr="007C6BE8">
        <w:rPr>
          <w:rStyle w:val="FootnoteReference"/>
          <w:rFonts w:asciiTheme="majorHAnsi" w:hAnsiTheme="majorHAnsi"/>
          <w:sz w:val="20"/>
          <w:szCs w:val="20"/>
        </w:rPr>
        <w:footnoteReference w:id="62"/>
      </w:r>
      <w:r w:rsidRPr="007C6BE8">
        <w:rPr>
          <w:rFonts w:asciiTheme="majorHAnsi" w:hAnsiTheme="majorHAnsi"/>
          <w:sz w:val="20"/>
          <w:szCs w:val="20"/>
          <w:lang w:val="es-CR"/>
        </w:rPr>
        <w:t>.</w:t>
      </w:r>
    </w:p>
    <w:p w:rsidR="00373C98" w:rsidRPr="007C6BE8" w:rsidRDefault="00373C98"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373C98" w:rsidRPr="007C6BE8" w:rsidRDefault="00373C98"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El 11 de junio de 1992, conforme el Formato Nacional de Acta de Levantamiento de Cadáver, el Inspector Municipal hizo constar que el cuerpo se encontraba con “las manos sobre la cabeza, boca arriba” e indicó como causa de muerte “presunto suicidio”</w:t>
      </w:r>
      <w:r w:rsidRPr="007C6BE8">
        <w:rPr>
          <w:rStyle w:val="FootnoteReference"/>
          <w:rFonts w:asciiTheme="majorHAnsi" w:hAnsiTheme="majorHAnsi"/>
          <w:sz w:val="20"/>
          <w:szCs w:val="20"/>
        </w:rPr>
        <w:footnoteReference w:id="63"/>
      </w:r>
      <w:r w:rsidRPr="007C6BE8">
        <w:rPr>
          <w:rFonts w:asciiTheme="majorHAnsi" w:hAnsiTheme="majorHAnsi"/>
          <w:sz w:val="20"/>
          <w:szCs w:val="20"/>
          <w:lang w:val="es-CR"/>
        </w:rPr>
        <w:t>.  Si bien el acta disponía la práctica de una necropsia por los médicos legistas del Hospital de Santa María, previo al entierro del cuerpo, ésta no se llevó a cabo y se procedió directamente a la inhumación del cadáver como N.N.</w:t>
      </w:r>
      <w:r w:rsidRPr="007C6BE8">
        <w:rPr>
          <w:rStyle w:val="FootnoteReference"/>
          <w:rFonts w:asciiTheme="majorHAnsi" w:hAnsiTheme="majorHAnsi"/>
          <w:sz w:val="20"/>
          <w:szCs w:val="20"/>
        </w:rPr>
        <w:footnoteReference w:id="64"/>
      </w:r>
      <w:r w:rsidRPr="007C6BE8">
        <w:rPr>
          <w:rFonts w:asciiTheme="majorHAnsi" w:hAnsiTheme="majorHAnsi"/>
          <w:sz w:val="20"/>
          <w:szCs w:val="20"/>
          <w:lang w:val="es-CR"/>
        </w:rPr>
        <w:t>.</w:t>
      </w:r>
    </w:p>
    <w:p w:rsidR="00373C98" w:rsidRPr="007C6BE8" w:rsidRDefault="00373C98" w:rsidP="00B1793F">
      <w:pPr>
        <w:pStyle w:val="ListParagraph"/>
        <w:jc w:val="both"/>
        <w:rPr>
          <w:rFonts w:asciiTheme="majorHAnsi" w:hAnsiTheme="majorHAnsi"/>
          <w:sz w:val="20"/>
          <w:szCs w:val="20"/>
          <w:lang w:val="es-CR"/>
        </w:rPr>
      </w:pPr>
    </w:p>
    <w:p w:rsidR="00373C98" w:rsidRPr="007C6BE8" w:rsidRDefault="00373C98"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Style w:val="FootnoteReference"/>
          <w:rFonts w:asciiTheme="majorHAnsi" w:hAnsiTheme="majorHAnsi"/>
          <w:sz w:val="20"/>
          <w:szCs w:val="20"/>
          <w:vertAlign w:val="baseline"/>
          <w:lang w:val="es-CR"/>
        </w:rPr>
      </w:pPr>
      <w:r w:rsidRPr="007C6BE8">
        <w:rPr>
          <w:rFonts w:asciiTheme="majorHAnsi" w:hAnsiTheme="majorHAnsi"/>
          <w:sz w:val="20"/>
          <w:szCs w:val="20"/>
          <w:lang w:val="es-CR"/>
        </w:rPr>
        <w:lastRenderedPageBreak/>
        <w:t>El 10 de junio de 1992 la familia Restrepo fue informada por el Centro de Desaparecidos que en el municipio de Santa Bárbara que habían encontrado un cuerpo con las características de Norberto Restrepo</w:t>
      </w:r>
      <w:r w:rsidRPr="007C6BE8">
        <w:rPr>
          <w:rStyle w:val="FootnoteReference"/>
          <w:rFonts w:asciiTheme="majorHAnsi" w:hAnsiTheme="majorHAnsi"/>
          <w:sz w:val="20"/>
          <w:szCs w:val="20"/>
        </w:rPr>
        <w:footnoteReference w:id="65"/>
      </w:r>
      <w:r w:rsidR="002D552B" w:rsidRPr="007C6BE8">
        <w:rPr>
          <w:rFonts w:asciiTheme="majorHAnsi" w:hAnsiTheme="majorHAnsi"/>
          <w:sz w:val="20"/>
          <w:szCs w:val="20"/>
          <w:lang w:val="es-CR"/>
        </w:rPr>
        <w:t>.</w:t>
      </w:r>
      <w:r w:rsidRPr="007C6BE8">
        <w:rPr>
          <w:rFonts w:asciiTheme="majorHAnsi" w:hAnsiTheme="majorHAnsi"/>
          <w:sz w:val="20"/>
          <w:szCs w:val="20"/>
          <w:lang w:val="es-CR"/>
        </w:rPr>
        <w:t xml:space="preserve"> En relación con este hecho la señora Lucila Restrepo indicó que se comunicó con la doctora Olga Lucía Arango, médica del hospital Santa Bárbara quien informó que “el cuerpo encontrado había sido quemado al parecer con ácido porque su rostro no tenía facciones y estaba en calavera, que la mano derecha estaba fracturada en varias partes, que no presentaba dientes en la parte inferior, que tenía el cuerpo tres orificios de bala y que por el estado de descomposición en que se encontraba el cadáver al parecer había sido asesinado el 7 de junio”</w:t>
      </w:r>
      <w:r w:rsidRPr="007C6BE8">
        <w:rPr>
          <w:rStyle w:val="FootnoteReference"/>
          <w:rFonts w:asciiTheme="majorHAnsi" w:hAnsiTheme="majorHAnsi"/>
          <w:sz w:val="20"/>
          <w:szCs w:val="20"/>
          <w:lang w:val="es-MX"/>
        </w:rPr>
        <w:t xml:space="preserve"> </w:t>
      </w:r>
      <w:r w:rsidRPr="007C6BE8">
        <w:rPr>
          <w:rStyle w:val="FootnoteReference"/>
          <w:rFonts w:asciiTheme="majorHAnsi" w:hAnsiTheme="majorHAnsi"/>
          <w:sz w:val="20"/>
          <w:szCs w:val="20"/>
        </w:rPr>
        <w:footnoteReference w:id="66"/>
      </w:r>
      <w:r w:rsidRPr="007C6BE8">
        <w:rPr>
          <w:rStyle w:val="FootnoteReference"/>
          <w:rFonts w:asciiTheme="majorHAnsi" w:hAnsiTheme="majorHAnsi"/>
          <w:sz w:val="20"/>
          <w:szCs w:val="20"/>
          <w:lang w:val="es-MX"/>
        </w:rPr>
        <w:t>.</w:t>
      </w:r>
    </w:p>
    <w:p w:rsidR="00373C98" w:rsidRPr="007C6BE8" w:rsidRDefault="00373C98" w:rsidP="00B1793F">
      <w:pPr>
        <w:pStyle w:val="ListParagraph"/>
        <w:jc w:val="both"/>
        <w:rPr>
          <w:rFonts w:asciiTheme="majorHAnsi" w:hAnsiTheme="majorHAnsi"/>
          <w:sz w:val="20"/>
          <w:szCs w:val="20"/>
          <w:lang w:val="es-CR"/>
        </w:rPr>
      </w:pPr>
    </w:p>
    <w:p w:rsidR="00373C98" w:rsidRPr="007C6BE8" w:rsidRDefault="00373C98"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El 11 de junio de 1992 José Marco Restrepo, padre de la víctima, se dirigió a la localidad de Santa Bárbara tras la exhumación del cuerpo hallado cerca del municipio, inicialmente enterrado como N.N. y reconoció a su hijo</w:t>
      </w:r>
      <w:r w:rsidRPr="007C6BE8">
        <w:rPr>
          <w:rStyle w:val="FootnoteReference"/>
          <w:rFonts w:asciiTheme="majorHAnsi" w:hAnsiTheme="majorHAnsi"/>
          <w:sz w:val="20"/>
          <w:szCs w:val="20"/>
        </w:rPr>
        <w:footnoteReference w:id="67"/>
      </w:r>
      <w:r w:rsidRPr="007C6BE8">
        <w:rPr>
          <w:rFonts w:asciiTheme="majorHAnsi" w:hAnsiTheme="majorHAnsi"/>
          <w:sz w:val="20"/>
          <w:szCs w:val="20"/>
          <w:lang w:val="es-CR"/>
        </w:rPr>
        <w:t>. Los peticionarios indicaron que la doctora Lucía Arango explicó al señor José Marco Restrepo que el cuerpo no había sido anteriormente visto porque “le habían cubierto los pies con ramas, que al lado del cuerpo había una especi</w:t>
      </w:r>
      <w:r w:rsidR="0078593C" w:rsidRPr="007C6BE8">
        <w:rPr>
          <w:rFonts w:asciiTheme="majorHAnsi" w:hAnsiTheme="majorHAnsi"/>
          <w:sz w:val="20"/>
          <w:szCs w:val="20"/>
          <w:lang w:val="es-CR"/>
        </w:rPr>
        <w:t>e</w:t>
      </w:r>
      <w:r w:rsidRPr="007C6BE8">
        <w:rPr>
          <w:rFonts w:asciiTheme="majorHAnsi" w:hAnsiTheme="majorHAnsi"/>
          <w:sz w:val="20"/>
          <w:szCs w:val="20"/>
          <w:lang w:val="es-CR"/>
        </w:rPr>
        <w:t xml:space="preserve"> de pira, ya que al parecer lo iban a quema</w:t>
      </w:r>
      <w:r w:rsidR="002D552B" w:rsidRPr="007C6BE8">
        <w:rPr>
          <w:rFonts w:asciiTheme="majorHAnsi" w:hAnsiTheme="majorHAnsi"/>
          <w:sz w:val="20"/>
          <w:szCs w:val="20"/>
          <w:lang w:val="es-CR"/>
        </w:rPr>
        <w:t>r</w:t>
      </w:r>
      <w:r w:rsidRPr="007C6BE8">
        <w:rPr>
          <w:rFonts w:asciiTheme="majorHAnsi" w:hAnsiTheme="majorHAnsi"/>
          <w:sz w:val="20"/>
          <w:szCs w:val="20"/>
          <w:lang w:val="es-CR"/>
        </w:rPr>
        <w:t>, que la camisa estaba hecha trizas y que al cadáver</w:t>
      </w:r>
      <w:r w:rsidR="0078593C" w:rsidRPr="007C6BE8">
        <w:rPr>
          <w:rFonts w:asciiTheme="majorHAnsi" w:hAnsiTheme="majorHAnsi"/>
          <w:sz w:val="20"/>
          <w:szCs w:val="20"/>
          <w:lang w:val="es-CR"/>
        </w:rPr>
        <w:t xml:space="preserve"> le habían hechado (sic) baygon</w:t>
      </w:r>
      <w:r w:rsidRPr="007C6BE8">
        <w:rPr>
          <w:rFonts w:asciiTheme="majorHAnsi" w:hAnsiTheme="majorHAnsi"/>
          <w:sz w:val="20"/>
          <w:szCs w:val="20"/>
          <w:lang w:val="es-CR"/>
        </w:rPr>
        <w:t xml:space="preserve"> para retardar la descomposición del cuerpo”</w:t>
      </w:r>
      <w:r w:rsidRPr="007C6BE8">
        <w:rPr>
          <w:rStyle w:val="FootnoteReference"/>
          <w:rFonts w:asciiTheme="majorHAnsi" w:hAnsiTheme="majorHAnsi"/>
          <w:sz w:val="20"/>
          <w:szCs w:val="20"/>
        </w:rPr>
        <w:footnoteReference w:id="68"/>
      </w:r>
      <w:r w:rsidRPr="007C6BE8">
        <w:rPr>
          <w:rFonts w:asciiTheme="majorHAnsi" w:hAnsiTheme="majorHAnsi"/>
          <w:sz w:val="20"/>
          <w:szCs w:val="20"/>
          <w:lang w:val="es-CR"/>
        </w:rPr>
        <w:t>.</w:t>
      </w:r>
    </w:p>
    <w:p w:rsidR="002D6E6D" w:rsidRPr="007C6BE8" w:rsidRDefault="002D6E6D" w:rsidP="00B1793F">
      <w:pPr>
        <w:pStyle w:val="ListParagraph"/>
        <w:jc w:val="both"/>
        <w:rPr>
          <w:rFonts w:asciiTheme="majorHAnsi" w:hAnsiTheme="majorHAnsi"/>
          <w:sz w:val="20"/>
          <w:szCs w:val="20"/>
          <w:lang w:val="es-CR"/>
        </w:rPr>
      </w:pPr>
    </w:p>
    <w:p w:rsidR="00373C98" w:rsidRPr="007C6BE8" w:rsidRDefault="00373C98"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Previo a sepultar nuevamente el cuerpo, se realizó la necropsia en el Hospital Santa María.  La profesional que suscribió el examen concluyó que la muerte se había producido por “Anoxia Tisular” (asfixia) y “heridas de armas de fuego”</w:t>
      </w:r>
      <w:r w:rsidRPr="007C6BE8">
        <w:rPr>
          <w:rStyle w:val="FootnoteReference"/>
          <w:rFonts w:asciiTheme="majorHAnsi" w:hAnsiTheme="majorHAnsi"/>
          <w:sz w:val="20"/>
          <w:szCs w:val="20"/>
        </w:rPr>
        <w:footnoteReference w:id="69"/>
      </w:r>
      <w:r w:rsidRPr="007C6BE8">
        <w:rPr>
          <w:rFonts w:asciiTheme="majorHAnsi" w:hAnsiTheme="majorHAnsi"/>
          <w:sz w:val="20"/>
          <w:szCs w:val="20"/>
          <w:lang w:val="es-CR"/>
        </w:rPr>
        <w:t xml:space="preserve"> en el cráneo y tórax, y que constaban signos de quemaduras</w:t>
      </w:r>
      <w:r w:rsidRPr="007C6BE8">
        <w:rPr>
          <w:rStyle w:val="FootnoteReference"/>
          <w:rFonts w:asciiTheme="majorHAnsi" w:hAnsiTheme="majorHAnsi"/>
          <w:sz w:val="20"/>
          <w:szCs w:val="20"/>
        </w:rPr>
        <w:footnoteReference w:id="70"/>
      </w:r>
      <w:r w:rsidRPr="007C6BE8">
        <w:rPr>
          <w:rFonts w:asciiTheme="majorHAnsi" w:hAnsiTheme="majorHAnsi"/>
          <w:sz w:val="20"/>
          <w:szCs w:val="20"/>
          <w:lang w:val="es-CR"/>
        </w:rPr>
        <w:t>.</w:t>
      </w:r>
    </w:p>
    <w:p w:rsidR="002D6E6D" w:rsidRPr="007C6BE8" w:rsidRDefault="002D6E6D" w:rsidP="00B1793F">
      <w:pPr>
        <w:pStyle w:val="ListParagraph"/>
        <w:jc w:val="both"/>
        <w:rPr>
          <w:rFonts w:asciiTheme="majorHAnsi" w:hAnsiTheme="majorHAnsi"/>
          <w:sz w:val="20"/>
          <w:szCs w:val="20"/>
          <w:lang w:val="es-CR"/>
        </w:rPr>
      </w:pPr>
    </w:p>
    <w:p w:rsidR="007449EF" w:rsidRPr="007C6BE8" w:rsidRDefault="00A84750" w:rsidP="00B1793F">
      <w:pPr>
        <w:pStyle w:val="Heading3"/>
        <w:spacing w:before="0" w:after="0"/>
        <w:ind w:firstLine="720"/>
        <w:jc w:val="both"/>
        <w:rPr>
          <w:rFonts w:asciiTheme="majorHAnsi" w:hAnsiTheme="majorHAnsi"/>
          <w:sz w:val="20"/>
          <w:szCs w:val="20"/>
          <w:lang w:val="es-CR"/>
        </w:rPr>
      </w:pPr>
      <w:bookmarkStart w:id="58" w:name="_Toc409709268"/>
      <w:bookmarkStart w:id="59" w:name="_Toc414371984"/>
      <w:bookmarkStart w:id="60" w:name="_Toc421786415"/>
      <w:bookmarkStart w:id="61" w:name="_Toc529794717"/>
      <w:r w:rsidRPr="007C6BE8">
        <w:rPr>
          <w:rFonts w:asciiTheme="majorHAnsi" w:hAnsiTheme="majorHAnsi"/>
          <w:sz w:val="20"/>
          <w:szCs w:val="20"/>
          <w:lang w:val="es-CR"/>
        </w:rPr>
        <w:t>7</w:t>
      </w:r>
      <w:r w:rsidR="007449EF" w:rsidRPr="007C6BE8">
        <w:rPr>
          <w:rFonts w:asciiTheme="majorHAnsi" w:hAnsiTheme="majorHAnsi"/>
          <w:sz w:val="20"/>
          <w:szCs w:val="20"/>
          <w:lang w:val="es-CR"/>
        </w:rPr>
        <w:t>.</w:t>
      </w:r>
      <w:r w:rsidR="007449EF" w:rsidRPr="007C6BE8">
        <w:rPr>
          <w:rFonts w:asciiTheme="majorHAnsi" w:hAnsiTheme="majorHAnsi"/>
          <w:sz w:val="20"/>
          <w:szCs w:val="20"/>
          <w:lang w:val="es-CR"/>
        </w:rPr>
        <w:tab/>
      </w:r>
      <w:bookmarkEnd w:id="58"/>
      <w:r w:rsidR="006B6898" w:rsidRPr="007C6BE8">
        <w:rPr>
          <w:rFonts w:asciiTheme="majorHAnsi" w:hAnsiTheme="majorHAnsi"/>
          <w:sz w:val="20"/>
          <w:szCs w:val="20"/>
          <w:lang w:val="es-CR"/>
        </w:rPr>
        <w:t>La investigación y procesos seguidos por la muerte del señor Norberto Javier Restrepo</w:t>
      </w:r>
      <w:bookmarkEnd w:id="59"/>
      <w:bookmarkEnd w:id="60"/>
      <w:bookmarkEnd w:id="61"/>
    </w:p>
    <w:p w:rsidR="002D16F8" w:rsidRPr="007C6BE8" w:rsidRDefault="002D16F8"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A235E4" w:rsidRPr="007C6BE8" w:rsidRDefault="006B6898"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S</w:t>
      </w:r>
      <w:r w:rsidR="002D552B" w:rsidRPr="007C6BE8">
        <w:rPr>
          <w:rFonts w:asciiTheme="majorHAnsi" w:hAnsiTheme="majorHAnsi"/>
          <w:sz w:val="20"/>
          <w:szCs w:val="20"/>
          <w:lang w:val="es-CR"/>
        </w:rPr>
        <w:t xml:space="preserve">egún </w:t>
      </w:r>
      <w:r w:rsidR="009E4383" w:rsidRPr="007C6BE8">
        <w:rPr>
          <w:rFonts w:asciiTheme="majorHAnsi" w:hAnsiTheme="majorHAnsi"/>
          <w:sz w:val="20"/>
          <w:szCs w:val="20"/>
          <w:lang w:val="es-CR"/>
        </w:rPr>
        <w:t xml:space="preserve">la información proporcionada por las partes </w:t>
      </w:r>
      <w:r w:rsidR="00B070D5" w:rsidRPr="007C6BE8">
        <w:rPr>
          <w:rFonts w:asciiTheme="majorHAnsi" w:hAnsiTheme="majorHAnsi"/>
          <w:sz w:val="20"/>
          <w:szCs w:val="20"/>
          <w:lang w:val="es-CR"/>
        </w:rPr>
        <w:t>el 10 de junio de 1992 Lucila Restrepo presentó una denuncia formal ante el Juzgado 8 de Instrucción Criminal de Medellín por la desaparición de su hijo Norberto Javier Restrepo</w:t>
      </w:r>
      <w:r w:rsidR="00B070D5" w:rsidRPr="007C6BE8">
        <w:rPr>
          <w:rStyle w:val="FootnoteReference"/>
          <w:rFonts w:asciiTheme="majorHAnsi" w:hAnsiTheme="majorHAnsi"/>
          <w:sz w:val="20"/>
          <w:szCs w:val="20"/>
        </w:rPr>
        <w:footnoteReference w:id="71"/>
      </w:r>
      <w:r w:rsidR="00B070D5" w:rsidRPr="007C6BE8">
        <w:rPr>
          <w:rFonts w:asciiTheme="majorHAnsi" w:hAnsiTheme="majorHAnsi"/>
          <w:sz w:val="20"/>
          <w:szCs w:val="20"/>
          <w:lang w:val="es-CR"/>
        </w:rPr>
        <w:t>. Sobre este hecho</w:t>
      </w:r>
      <w:r w:rsidR="002D552B" w:rsidRPr="007C6BE8">
        <w:rPr>
          <w:rFonts w:asciiTheme="majorHAnsi" w:hAnsiTheme="majorHAnsi"/>
          <w:sz w:val="20"/>
          <w:szCs w:val="20"/>
          <w:lang w:val="es-CR"/>
        </w:rPr>
        <w:t>,</w:t>
      </w:r>
      <w:r w:rsidR="00B070D5" w:rsidRPr="007C6BE8">
        <w:rPr>
          <w:rFonts w:asciiTheme="majorHAnsi" w:hAnsiTheme="majorHAnsi"/>
          <w:sz w:val="20"/>
          <w:szCs w:val="20"/>
          <w:lang w:val="es-CR"/>
        </w:rPr>
        <w:t xml:space="preserve"> el Estado en su escrito de 22 de julio de 1997 informó que en efecto el 10 de junio de 1992 se inició la investigación en los Juzgados de Instrucción Criminal, “por el secuestro del señor Norberto Restrepo”, posteriormente estableciéndose que apareció muerto en el municipio de Santa Bárbara</w:t>
      </w:r>
      <w:r w:rsidR="00B070D5" w:rsidRPr="007C6BE8">
        <w:rPr>
          <w:rStyle w:val="FootnoteReference"/>
          <w:rFonts w:asciiTheme="majorHAnsi" w:hAnsiTheme="majorHAnsi"/>
          <w:sz w:val="20"/>
          <w:szCs w:val="20"/>
        </w:rPr>
        <w:footnoteReference w:id="72"/>
      </w:r>
      <w:r w:rsidR="00B070D5" w:rsidRPr="007C6BE8">
        <w:rPr>
          <w:rFonts w:asciiTheme="majorHAnsi" w:hAnsiTheme="majorHAnsi"/>
          <w:sz w:val="20"/>
          <w:szCs w:val="20"/>
          <w:lang w:val="es-CR"/>
        </w:rPr>
        <w:t>.</w:t>
      </w:r>
      <w:r w:rsidR="00A235E4" w:rsidRPr="007C6BE8">
        <w:rPr>
          <w:rFonts w:asciiTheme="majorHAnsi" w:hAnsiTheme="majorHAnsi"/>
          <w:sz w:val="20"/>
          <w:szCs w:val="20"/>
          <w:lang w:val="es-CR"/>
        </w:rPr>
        <w:t xml:space="preserve"> La denuncia habría sido ampliada ante el Juzgado 20 de Instrucción Criminal</w:t>
      </w:r>
      <w:r w:rsidR="00A235E4" w:rsidRPr="007C6BE8">
        <w:rPr>
          <w:rStyle w:val="FootnoteReference"/>
          <w:rFonts w:asciiTheme="majorHAnsi" w:hAnsiTheme="majorHAnsi"/>
          <w:sz w:val="20"/>
          <w:szCs w:val="20"/>
        </w:rPr>
        <w:footnoteReference w:id="73"/>
      </w:r>
      <w:r w:rsidR="00A235E4" w:rsidRPr="007C6BE8">
        <w:rPr>
          <w:rFonts w:asciiTheme="majorHAnsi" w:hAnsiTheme="majorHAnsi"/>
          <w:sz w:val="20"/>
          <w:szCs w:val="20"/>
          <w:lang w:val="es-CR"/>
        </w:rPr>
        <w:t xml:space="preserve"> y el Estado informó que el 12 de junio de 1992 se inició una investigación preliminar y que el 24 de septiembre de 1992 intervino la Fiscalía Segunda de la Unidad de Previas de Medellín</w:t>
      </w:r>
      <w:r w:rsidR="00A235E4" w:rsidRPr="007C6BE8">
        <w:rPr>
          <w:rStyle w:val="FootnoteReference"/>
          <w:rFonts w:asciiTheme="majorHAnsi" w:hAnsiTheme="majorHAnsi"/>
          <w:sz w:val="20"/>
          <w:szCs w:val="20"/>
        </w:rPr>
        <w:footnoteReference w:id="74"/>
      </w:r>
      <w:r w:rsidR="00A235E4" w:rsidRPr="007C6BE8">
        <w:rPr>
          <w:rFonts w:asciiTheme="majorHAnsi" w:hAnsiTheme="majorHAnsi"/>
          <w:sz w:val="20"/>
          <w:szCs w:val="20"/>
          <w:lang w:val="es-CR"/>
        </w:rPr>
        <w:t>.</w:t>
      </w:r>
    </w:p>
    <w:p w:rsidR="00A235E4" w:rsidRPr="007C6BE8" w:rsidRDefault="00A235E4"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2D16F8" w:rsidRPr="007C6BE8" w:rsidRDefault="002D16F8"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El 20 de junio de 1994 el Fiscal de conocimiento adscrito a la Fiscalía Seccional del municipio de Santa Bárbara, Antioquía, profirió resolución interlocutoria y procedió al archivo de la investigación por haber transcurrido dos años sin identificar o determinar los responsables, conforme a lo dispuesto en el artículo 118 de la Ley 23 de 1991</w:t>
      </w:r>
      <w:r w:rsidRPr="007C6BE8">
        <w:rPr>
          <w:rStyle w:val="FootnoteReference"/>
          <w:rFonts w:asciiTheme="majorHAnsi" w:hAnsiTheme="majorHAnsi"/>
          <w:sz w:val="20"/>
          <w:szCs w:val="20"/>
        </w:rPr>
        <w:footnoteReference w:id="75"/>
      </w:r>
      <w:r w:rsidRPr="007C6BE8">
        <w:rPr>
          <w:rFonts w:asciiTheme="majorHAnsi" w:hAnsiTheme="majorHAnsi"/>
          <w:sz w:val="20"/>
          <w:szCs w:val="20"/>
          <w:lang w:val="es-CR"/>
        </w:rPr>
        <w:t xml:space="preserve">.  </w:t>
      </w:r>
      <w:r w:rsidR="002D552B" w:rsidRPr="007C6BE8">
        <w:rPr>
          <w:rFonts w:asciiTheme="majorHAnsi" w:hAnsiTheme="majorHAnsi"/>
          <w:sz w:val="20"/>
          <w:szCs w:val="20"/>
          <w:lang w:val="es-CR"/>
        </w:rPr>
        <w:t>Posteriormente m</w:t>
      </w:r>
      <w:r w:rsidRPr="007C6BE8">
        <w:rPr>
          <w:rFonts w:asciiTheme="majorHAnsi" w:hAnsiTheme="majorHAnsi"/>
          <w:sz w:val="20"/>
          <w:szCs w:val="20"/>
          <w:lang w:val="es-CR"/>
        </w:rPr>
        <w:t xml:space="preserve">ediante resolución de un Fiscal Seccional de la Unidad 5ta de “Patrimonio Económico” se remitió la investigación iniciada en Medellín por el homicidio de Norberto </w:t>
      </w:r>
      <w:r w:rsidRPr="007C6BE8">
        <w:rPr>
          <w:rFonts w:asciiTheme="majorHAnsi" w:hAnsiTheme="majorHAnsi"/>
          <w:sz w:val="20"/>
          <w:szCs w:val="20"/>
          <w:lang w:val="es-CR"/>
        </w:rPr>
        <w:lastRenderedPageBreak/>
        <w:t>Restrepo a la Unidad Segunda de Deli</w:t>
      </w:r>
      <w:r w:rsidR="002D552B" w:rsidRPr="007C6BE8">
        <w:rPr>
          <w:rFonts w:asciiTheme="majorHAnsi" w:hAnsiTheme="majorHAnsi"/>
          <w:sz w:val="20"/>
          <w:szCs w:val="20"/>
          <w:lang w:val="es-CR"/>
        </w:rPr>
        <w:t xml:space="preserve">tos contra la Vida y, el 26 de marzo de 1997, </w:t>
      </w:r>
      <w:r w:rsidRPr="007C6BE8">
        <w:rPr>
          <w:rFonts w:asciiTheme="majorHAnsi" w:hAnsiTheme="majorHAnsi"/>
          <w:sz w:val="20"/>
          <w:szCs w:val="20"/>
          <w:lang w:val="es-CR"/>
        </w:rPr>
        <w:t>el Fiscal 10 de la Unidad de Vida tomó conocimiento del asunto</w:t>
      </w:r>
      <w:r w:rsidRPr="007C6BE8">
        <w:rPr>
          <w:rStyle w:val="FootnoteReference"/>
          <w:rFonts w:asciiTheme="majorHAnsi" w:hAnsiTheme="majorHAnsi"/>
          <w:sz w:val="20"/>
          <w:szCs w:val="20"/>
        </w:rPr>
        <w:footnoteReference w:id="76"/>
      </w:r>
      <w:r w:rsidRPr="007C6BE8">
        <w:rPr>
          <w:rFonts w:asciiTheme="majorHAnsi" w:hAnsiTheme="majorHAnsi"/>
          <w:sz w:val="20"/>
          <w:szCs w:val="20"/>
          <w:lang w:val="es-CR"/>
        </w:rPr>
        <w:t>.</w:t>
      </w:r>
    </w:p>
    <w:p w:rsidR="002D16F8" w:rsidRPr="007C6BE8" w:rsidRDefault="002D16F8" w:rsidP="00B1793F">
      <w:pPr>
        <w:pStyle w:val="ListParagraph"/>
        <w:jc w:val="both"/>
        <w:rPr>
          <w:rFonts w:asciiTheme="majorHAnsi" w:hAnsiTheme="majorHAnsi"/>
          <w:sz w:val="20"/>
          <w:szCs w:val="20"/>
          <w:lang w:val="es-CR"/>
        </w:rPr>
      </w:pPr>
    </w:p>
    <w:p w:rsidR="002D16F8" w:rsidRPr="007C6BE8" w:rsidRDefault="002D16F8"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El 3 de abril de 1998 las diligencias fueron enviadas a la Unidad Nacional de Derechos Humanos y Derecho Internacional Humanitario de la Fiscalía General de la Nación. Entre 1998 y 2003 se habrían llevado a cabo diversas diligencias, inc</w:t>
      </w:r>
      <w:r w:rsidR="009D0B36" w:rsidRPr="007C6BE8">
        <w:rPr>
          <w:rFonts w:asciiTheme="majorHAnsi" w:hAnsiTheme="majorHAnsi"/>
          <w:sz w:val="20"/>
          <w:szCs w:val="20"/>
          <w:lang w:val="es-CR"/>
        </w:rPr>
        <w:t>luyendo la práctica de pruebas.</w:t>
      </w:r>
      <w:r w:rsidRPr="007C6BE8">
        <w:rPr>
          <w:rFonts w:asciiTheme="majorHAnsi" w:hAnsiTheme="majorHAnsi"/>
          <w:sz w:val="20"/>
          <w:szCs w:val="20"/>
          <w:lang w:val="es-CR"/>
        </w:rPr>
        <w:t xml:space="preserve"> Los resultados de estas diligencias no son detallados en los informes estatales</w:t>
      </w:r>
      <w:r w:rsidRPr="007C6BE8">
        <w:rPr>
          <w:rStyle w:val="FootnoteReference"/>
          <w:rFonts w:asciiTheme="majorHAnsi" w:hAnsiTheme="majorHAnsi"/>
          <w:sz w:val="20"/>
          <w:szCs w:val="20"/>
        </w:rPr>
        <w:footnoteReference w:id="77"/>
      </w:r>
      <w:r w:rsidRPr="007C6BE8">
        <w:rPr>
          <w:rFonts w:asciiTheme="majorHAnsi" w:hAnsiTheme="majorHAnsi"/>
          <w:sz w:val="20"/>
          <w:szCs w:val="20"/>
          <w:lang w:val="es-CR"/>
        </w:rPr>
        <w:t>.</w:t>
      </w:r>
    </w:p>
    <w:p w:rsidR="009E4383" w:rsidRPr="007C6BE8" w:rsidRDefault="009E4383" w:rsidP="00B1793F">
      <w:pPr>
        <w:pStyle w:val="ListParagraph"/>
        <w:jc w:val="both"/>
        <w:rPr>
          <w:rFonts w:asciiTheme="majorHAnsi" w:hAnsiTheme="majorHAnsi"/>
          <w:sz w:val="20"/>
          <w:szCs w:val="20"/>
          <w:lang w:val="es-CR"/>
        </w:rPr>
      </w:pPr>
    </w:p>
    <w:p w:rsidR="002D16F8" w:rsidRPr="007C6BE8" w:rsidRDefault="002D16F8"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El 9 de enero de 2007 la investigación fue remitida a la Fiscalía 37 Especializada de la Unidad de Apoyo de Medellín y se ordenaron nuevas diligencias cuyos resultados</w:t>
      </w:r>
      <w:r w:rsidR="001A6145" w:rsidRPr="007C6BE8">
        <w:rPr>
          <w:rFonts w:asciiTheme="majorHAnsi" w:hAnsiTheme="majorHAnsi"/>
          <w:sz w:val="20"/>
          <w:szCs w:val="20"/>
          <w:lang w:val="es-CR"/>
        </w:rPr>
        <w:t xml:space="preserve"> tampoco </w:t>
      </w:r>
      <w:r w:rsidRPr="007C6BE8">
        <w:rPr>
          <w:rFonts w:asciiTheme="majorHAnsi" w:hAnsiTheme="majorHAnsi"/>
          <w:sz w:val="20"/>
          <w:szCs w:val="20"/>
          <w:lang w:val="es-CR"/>
        </w:rPr>
        <w:t>constan en las comunicaciones del Estado</w:t>
      </w:r>
      <w:r w:rsidRPr="007C6BE8">
        <w:rPr>
          <w:rStyle w:val="FootnoteReference"/>
          <w:rFonts w:asciiTheme="majorHAnsi" w:hAnsiTheme="majorHAnsi"/>
          <w:sz w:val="20"/>
          <w:szCs w:val="20"/>
        </w:rPr>
        <w:footnoteReference w:id="78"/>
      </w:r>
      <w:r w:rsidRPr="007C6BE8">
        <w:rPr>
          <w:rFonts w:asciiTheme="majorHAnsi" w:hAnsiTheme="majorHAnsi"/>
          <w:sz w:val="20"/>
          <w:szCs w:val="20"/>
          <w:lang w:val="es-CR"/>
        </w:rPr>
        <w:t>.  Mediante resolución del 8 de agosto de 2008 se asignó la investigación al Despacho Tercero de la Unidad Nacional de Derechos Humanos y Derecho Internacional Humanitario, el cual tomó conocimiento de la investigación el 4 de noviembre de 2008. En respuesta a un derecho de petición de los peticionarios sobre el estado de la investigación, el 8 de abril de 2009 dicho Despacho respondió que para esa fecha, pese haber transcurrido ya más de 16 años de los hechos, “la investigación se encontraba aún en etapa preliminar, no sea (sic) vinculado persona alguna”</w:t>
      </w:r>
      <w:r w:rsidRPr="007C6BE8">
        <w:rPr>
          <w:rStyle w:val="FootnoteReference"/>
          <w:rFonts w:asciiTheme="majorHAnsi" w:hAnsiTheme="majorHAnsi"/>
          <w:sz w:val="20"/>
          <w:szCs w:val="20"/>
        </w:rPr>
        <w:footnoteReference w:id="79"/>
      </w:r>
      <w:r w:rsidRPr="007C6BE8">
        <w:rPr>
          <w:rFonts w:asciiTheme="majorHAnsi" w:hAnsiTheme="majorHAnsi"/>
          <w:sz w:val="20"/>
          <w:szCs w:val="20"/>
          <w:lang w:val="es-CR"/>
        </w:rPr>
        <w:t>. El Estado informó que entre 2009 y 2012 se ordenó el diligenciamiento de pruebas las cuales no habrían tenido impacto en el esclarecimiento de los hechos y el avance de la investigación</w:t>
      </w:r>
      <w:r w:rsidRPr="007C6BE8">
        <w:rPr>
          <w:rStyle w:val="FootnoteReference"/>
          <w:rFonts w:asciiTheme="majorHAnsi" w:hAnsiTheme="majorHAnsi"/>
          <w:sz w:val="20"/>
          <w:szCs w:val="20"/>
        </w:rPr>
        <w:footnoteReference w:id="80"/>
      </w:r>
      <w:r w:rsidRPr="007C6BE8">
        <w:rPr>
          <w:rFonts w:asciiTheme="majorHAnsi" w:hAnsiTheme="majorHAnsi"/>
          <w:sz w:val="20"/>
          <w:szCs w:val="20"/>
          <w:lang w:val="es-CR"/>
        </w:rPr>
        <w:t xml:space="preserve">. </w:t>
      </w:r>
    </w:p>
    <w:p w:rsidR="00A235E4" w:rsidRPr="007C6BE8" w:rsidRDefault="00A235E4"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 xml:space="preserve">El Estado indicó que la hipótesis seguida en la investigación que adelanta la Fiscalía General de la Nación es </w:t>
      </w:r>
    </w:p>
    <w:p w:rsidR="00A235E4" w:rsidRPr="007C6BE8" w:rsidRDefault="00A235E4"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A235E4" w:rsidRPr="007C6BE8" w:rsidRDefault="00A235E4"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r w:rsidRPr="007C6BE8">
        <w:rPr>
          <w:rFonts w:asciiTheme="majorHAnsi" w:hAnsiTheme="majorHAnsi"/>
          <w:sz w:val="20"/>
          <w:szCs w:val="20"/>
          <w:lang w:val="es-CR"/>
        </w:rPr>
        <w:t>“a) Que el señor Norberto Javier podía haber sido simpatizante de la Unión Patriótica, hecho que pudo haber generado su desaparición y posterior muerte. La Fiscalía no maneja aún hipótesis sobre los responsables”</w:t>
      </w:r>
      <w:r w:rsidRPr="007C6BE8">
        <w:rPr>
          <w:rStyle w:val="FootnoteReference"/>
          <w:rFonts w:asciiTheme="majorHAnsi" w:hAnsiTheme="majorHAnsi"/>
          <w:sz w:val="20"/>
          <w:szCs w:val="20"/>
        </w:rPr>
        <w:t xml:space="preserve"> </w:t>
      </w:r>
      <w:r w:rsidRPr="007C6BE8">
        <w:rPr>
          <w:rStyle w:val="FootnoteReference"/>
          <w:rFonts w:asciiTheme="majorHAnsi" w:hAnsiTheme="majorHAnsi"/>
          <w:sz w:val="20"/>
          <w:szCs w:val="20"/>
        </w:rPr>
        <w:footnoteReference w:id="81"/>
      </w:r>
      <w:r w:rsidRPr="007C6BE8">
        <w:rPr>
          <w:rFonts w:asciiTheme="majorHAnsi" w:hAnsiTheme="majorHAnsi"/>
          <w:sz w:val="20"/>
          <w:szCs w:val="20"/>
        </w:rPr>
        <w:t xml:space="preserve">. </w:t>
      </w:r>
    </w:p>
    <w:p w:rsidR="00A235E4" w:rsidRPr="007C6BE8" w:rsidRDefault="00A235E4"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FD6553" w:rsidRPr="007C6BE8" w:rsidRDefault="00FD6553"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 xml:space="preserve">Los peticionarios informaron que </w:t>
      </w:r>
      <w:r w:rsidR="009D0B36" w:rsidRPr="007C6BE8">
        <w:rPr>
          <w:rFonts w:asciiTheme="majorHAnsi" w:hAnsiTheme="majorHAnsi"/>
          <w:sz w:val="20"/>
          <w:szCs w:val="20"/>
          <w:lang w:val="es-CR"/>
        </w:rPr>
        <w:t xml:space="preserve">el </w:t>
      </w:r>
      <w:r w:rsidRPr="007C6BE8">
        <w:rPr>
          <w:rFonts w:asciiTheme="majorHAnsi" w:hAnsiTheme="majorHAnsi"/>
          <w:sz w:val="20"/>
          <w:szCs w:val="20"/>
          <w:lang w:val="es-CR"/>
        </w:rPr>
        <w:t xml:space="preserve">investigador del Cuerpo Técnico de Investigaciones de la Fiscalía General de la Nación que conducía las primeras investigaciones sobre la muerte de Javier Restrepo </w:t>
      </w:r>
      <w:r w:rsidR="009D0B36" w:rsidRPr="007C6BE8">
        <w:rPr>
          <w:rFonts w:asciiTheme="majorHAnsi" w:hAnsiTheme="majorHAnsi"/>
          <w:sz w:val="20"/>
          <w:szCs w:val="20"/>
          <w:lang w:val="es-CR"/>
        </w:rPr>
        <w:t xml:space="preserve">fue </w:t>
      </w:r>
      <w:r w:rsidRPr="007C6BE8">
        <w:rPr>
          <w:rFonts w:asciiTheme="majorHAnsi" w:hAnsiTheme="majorHAnsi"/>
          <w:sz w:val="20"/>
          <w:szCs w:val="20"/>
          <w:lang w:val="es-CR"/>
        </w:rPr>
        <w:t>víctima de un homicidio</w:t>
      </w:r>
      <w:r w:rsidRPr="007C6BE8">
        <w:rPr>
          <w:rStyle w:val="FootnoteReference"/>
          <w:rFonts w:asciiTheme="majorHAnsi" w:hAnsiTheme="majorHAnsi"/>
          <w:sz w:val="20"/>
          <w:szCs w:val="20"/>
        </w:rPr>
        <w:footnoteReference w:id="82"/>
      </w:r>
      <w:r w:rsidRPr="007C6BE8">
        <w:rPr>
          <w:rFonts w:asciiTheme="majorHAnsi" w:hAnsiTheme="majorHAnsi"/>
          <w:sz w:val="20"/>
          <w:szCs w:val="20"/>
          <w:lang w:val="es-CR"/>
        </w:rPr>
        <w:t xml:space="preserve">.  </w:t>
      </w:r>
      <w:r w:rsidR="003C496D" w:rsidRPr="007C6BE8">
        <w:rPr>
          <w:rFonts w:asciiTheme="majorHAnsi" w:hAnsiTheme="majorHAnsi"/>
          <w:sz w:val="20"/>
          <w:szCs w:val="20"/>
          <w:lang w:val="es-CR"/>
        </w:rPr>
        <w:t xml:space="preserve">La Comisión no cuenta con información que confirme o descarte que este hecho está vinculado a la muerte del señor Retrepo. </w:t>
      </w:r>
    </w:p>
    <w:p w:rsidR="00FD6553" w:rsidRPr="007C6BE8" w:rsidRDefault="00FD6553"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FD6553" w:rsidRPr="007C6BE8" w:rsidRDefault="00B070D5"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En cuanto a las piezas del procedimiento disciplinario</w:t>
      </w:r>
      <w:r w:rsidR="007449EF" w:rsidRPr="007C6BE8">
        <w:rPr>
          <w:rFonts w:asciiTheme="majorHAnsi" w:hAnsiTheme="majorHAnsi"/>
          <w:sz w:val="20"/>
          <w:szCs w:val="20"/>
          <w:lang w:val="es-CR"/>
        </w:rPr>
        <w:t>, el Estado informó que no estaban disponibles dado que “fueron dadas de baja (…) una vez verificado el cumplimiento del trámite y de los tiempos de retención establecidos en la Tabla de Retención Documental”</w:t>
      </w:r>
      <w:r w:rsidR="007449EF" w:rsidRPr="007C6BE8">
        <w:rPr>
          <w:rStyle w:val="FootnoteReference"/>
          <w:rFonts w:asciiTheme="majorHAnsi" w:hAnsiTheme="majorHAnsi"/>
          <w:sz w:val="20"/>
          <w:szCs w:val="20"/>
        </w:rPr>
        <w:footnoteReference w:id="83"/>
      </w:r>
      <w:r w:rsidR="007449EF" w:rsidRPr="007C6BE8">
        <w:rPr>
          <w:rFonts w:asciiTheme="majorHAnsi" w:hAnsiTheme="majorHAnsi"/>
          <w:sz w:val="20"/>
          <w:szCs w:val="20"/>
          <w:lang w:val="es-CR"/>
        </w:rPr>
        <w:t xml:space="preserve">.  </w:t>
      </w:r>
    </w:p>
    <w:p w:rsidR="00FD6553" w:rsidRPr="007C6BE8" w:rsidRDefault="00FD6553" w:rsidP="00B1793F">
      <w:pPr>
        <w:pStyle w:val="ListParagraph"/>
        <w:jc w:val="both"/>
        <w:rPr>
          <w:rFonts w:asciiTheme="majorHAnsi" w:hAnsiTheme="majorHAnsi"/>
          <w:sz w:val="20"/>
          <w:szCs w:val="20"/>
          <w:lang w:val="es-CR"/>
        </w:rPr>
      </w:pPr>
    </w:p>
    <w:p w:rsidR="00FD6553" w:rsidRPr="007C6BE8" w:rsidRDefault="00FD6553"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Según consta en el expediente, este proceso fue iniciado por la señora María Luisa Restrepo en contra del Inspector Municipal de Santa Bárbara, Sr. Hernán Jaime Arango Izasa e “integrantes de la SIJIN” el 24 de agosto de 1993</w:t>
      </w:r>
      <w:r w:rsidRPr="007C6BE8">
        <w:rPr>
          <w:rStyle w:val="FootnoteReference"/>
          <w:rFonts w:asciiTheme="majorHAnsi" w:hAnsiTheme="majorHAnsi"/>
          <w:sz w:val="20"/>
          <w:szCs w:val="20"/>
        </w:rPr>
        <w:footnoteReference w:id="84"/>
      </w:r>
      <w:r w:rsidRPr="007C6BE8">
        <w:rPr>
          <w:rFonts w:asciiTheme="majorHAnsi" w:hAnsiTheme="majorHAnsi"/>
          <w:sz w:val="20"/>
          <w:szCs w:val="20"/>
          <w:lang w:val="es-CR"/>
        </w:rPr>
        <w:t>. El Estado informó sobre las actuaciones que se adelantaron contra el Inspector Municipal ante la Procuraduría General de la Nación por las irregularidades y omisiones ocurridas en torno al diligenciamiento del levantamiento del cadáver. Sólo se cuenta con una cita (expresada por el Estado en una de sus comunicaciones) del Informe evaluativo de la Procuraduría Departamental de Antioquía del 4 de enero de 1994, en donde si bien se reconoció la existencia de tales irregularidades, se concluyó que ellas se debían a “la inexperiencia  en el desempeño de funciones de policía, a lo recién llegado al cargo (del Inspector Arango Isaza)”, descartando cualquier acción o actitud dolosa</w:t>
      </w:r>
      <w:r w:rsidRPr="007C6BE8">
        <w:rPr>
          <w:rStyle w:val="FootnoteReference"/>
          <w:rFonts w:asciiTheme="majorHAnsi" w:hAnsiTheme="majorHAnsi"/>
          <w:sz w:val="20"/>
          <w:szCs w:val="20"/>
        </w:rPr>
        <w:footnoteReference w:id="85"/>
      </w:r>
      <w:r w:rsidRPr="007C6BE8">
        <w:rPr>
          <w:rFonts w:asciiTheme="majorHAnsi" w:hAnsiTheme="majorHAnsi"/>
          <w:sz w:val="20"/>
          <w:szCs w:val="20"/>
          <w:lang w:val="es-CR"/>
        </w:rPr>
        <w:t>. El Estado indicó que la Procuraduría “tampoco  encontró vinculación con los hechos de los miembros de la Policía Nacional pertenecientes a la SIJIN, de las estaciones del Poblado y Manrique, luego de revisar los libros de minuta (de) detenidos en el periodo comprendido entre el 2 y 11 de junio de 1992”</w:t>
      </w:r>
      <w:r w:rsidRPr="007C6BE8">
        <w:rPr>
          <w:rStyle w:val="FootnoteReference"/>
          <w:rFonts w:asciiTheme="majorHAnsi" w:hAnsiTheme="majorHAnsi"/>
          <w:sz w:val="20"/>
          <w:szCs w:val="20"/>
          <w:lang w:val="es-MX"/>
        </w:rPr>
        <w:t xml:space="preserve"> </w:t>
      </w:r>
      <w:r w:rsidRPr="007C6BE8">
        <w:rPr>
          <w:rStyle w:val="FootnoteReference"/>
          <w:rFonts w:asciiTheme="majorHAnsi" w:hAnsiTheme="majorHAnsi"/>
          <w:sz w:val="20"/>
          <w:szCs w:val="20"/>
        </w:rPr>
        <w:footnoteReference w:id="86"/>
      </w:r>
      <w:r w:rsidRPr="007C6BE8">
        <w:rPr>
          <w:rFonts w:asciiTheme="majorHAnsi" w:hAnsiTheme="majorHAnsi"/>
          <w:sz w:val="20"/>
          <w:szCs w:val="20"/>
          <w:lang w:val="es-CR"/>
        </w:rPr>
        <w:t>. Los peticionarios indicaron que este proceso fue archivado por la Procuraduría Provincial de Medellín el 12 de diciembre de 1994</w:t>
      </w:r>
      <w:r w:rsidRPr="007C6BE8">
        <w:rPr>
          <w:rStyle w:val="FootnoteReference"/>
          <w:rFonts w:asciiTheme="majorHAnsi" w:hAnsiTheme="majorHAnsi"/>
          <w:sz w:val="20"/>
          <w:szCs w:val="20"/>
        </w:rPr>
        <w:footnoteReference w:id="87"/>
      </w:r>
      <w:r w:rsidRPr="007C6BE8">
        <w:rPr>
          <w:rFonts w:asciiTheme="majorHAnsi" w:hAnsiTheme="majorHAnsi"/>
          <w:sz w:val="20"/>
          <w:szCs w:val="20"/>
          <w:lang w:val="es-CR"/>
        </w:rPr>
        <w:t>.</w:t>
      </w:r>
    </w:p>
    <w:p w:rsidR="00FD6553" w:rsidRPr="007C6BE8" w:rsidRDefault="00FD6553"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B070D5" w:rsidRPr="007C6BE8" w:rsidRDefault="00FD6553"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 xml:space="preserve">El Estado </w:t>
      </w:r>
      <w:r w:rsidR="00B070D5" w:rsidRPr="007C6BE8">
        <w:rPr>
          <w:rFonts w:asciiTheme="majorHAnsi" w:hAnsiTheme="majorHAnsi"/>
          <w:sz w:val="20"/>
          <w:szCs w:val="20"/>
          <w:lang w:val="es-CR"/>
        </w:rPr>
        <w:t xml:space="preserve">indicó </w:t>
      </w:r>
      <w:r w:rsidRPr="007C6BE8">
        <w:rPr>
          <w:rFonts w:asciiTheme="majorHAnsi" w:hAnsiTheme="majorHAnsi"/>
          <w:sz w:val="20"/>
          <w:szCs w:val="20"/>
          <w:lang w:val="es-CR"/>
        </w:rPr>
        <w:t xml:space="preserve">respecto de este proceso </w:t>
      </w:r>
      <w:r w:rsidR="00B070D5" w:rsidRPr="007C6BE8">
        <w:rPr>
          <w:rFonts w:asciiTheme="majorHAnsi" w:hAnsiTheme="majorHAnsi"/>
          <w:sz w:val="20"/>
          <w:szCs w:val="20"/>
          <w:lang w:val="es-CR"/>
        </w:rPr>
        <w:t>que tiene por probado que de acuerdo con la Procuraduría, el procedimiento en relación con el cadáver del señor Norberto Javier Restrepo tuvo las siguientes irregularidades:</w:t>
      </w:r>
    </w:p>
    <w:p w:rsidR="00B070D5" w:rsidRPr="007C6BE8" w:rsidRDefault="00B070D5" w:rsidP="00B1793F">
      <w:pPr>
        <w:pStyle w:val="ListParagraph"/>
        <w:jc w:val="both"/>
        <w:rPr>
          <w:rFonts w:asciiTheme="majorHAnsi" w:hAnsiTheme="majorHAnsi"/>
          <w:sz w:val="20"/>
          <w:szCs w:val="20"/>
          <w:lang w:val="es-CR"/>
        </w:rPr>
      </w:pPr>
    </w:p>
    <w:p w:rsidR="00B070D5" w:rsidRPr="007C6BE8" w:rsidRDefault="00B070D5" w:rsidP="00B1793F">
      <w:pPr>
        <w:pStyle w:val="ListParagraph"/>
        <w:ind w:right="720"/>
        <w:jc w:val="both"/>
        <w:rPr>
          <w:rFonts w:asciiTheme="majorHAnsi" w:hAnsiTheme="majorHAnsi"/>
          <w:sz w:val="20"/>
          <w:szCs w:val="20"/>
          <w:lang w:val="es-CR"/>
        </w:rPr>
      </w:pPr>
      <w:r w:rsidRPr="007C6BE8">
        <w:rPr>
          <w:rFonts w:asciiTheme="majorHAnsi" w:hAnsiTheme="majorHAnsi"/>
          <w:sz w:val="20"/>
          <w:szCs w:val="20"/>
          <w:lang w:val="es-CR"/>
        </w:rPr>
        <w:t>“ - En la diligencia de levantamiento de cadáver no se identificó la víctima y sin embargo, se procedió</w:t>
      </w:r>
      <w:r w:rsidR="00111935" w:rsidRPr="007C6BE8">
        <w:rPr>
          <w:rFonts w:asciiTheme="majorHAnsi" w:hAnsiTheme="majorHAnsi"/>
          <w:sz w:val="20"/>
          <w:szCs w:val="20"/>
          <w:lang w:val="es-CR"/>
        </w:rPr>
        <w:t xml:space="preserve"> </w:t>
      </w:r>
      <w:r w:rsidRPr="007C6BE8">
        <w:rPr>
          <w:rFonts w:asciiTheme="majorHAnsi" w:hAnsiTheme="majorHAnsi"/>
          <w:sz w:val="20"/>
          <w:szCs w:val="20"/>
          <w:lang w:val="es-CR"/>
        </w:rPr>
        <w:t>a la inhumación del cadáver,</w:t>
      </w:r>
    </w:p>
    <w:p w:rsidR="00B070D5" w:rsidRPr="007C6BE8" w:rsidRDefault="00B070D5" w:rsidP="00B1793F">
      <w:pPr>
        <w:pStyle w:val="ListParagraph"/>
        <w:ind w:right="720"/>
        <w:jc w:val="both"/>
        <w:rPr>
          <w:rFonts w:asciiTheme="majorHAnsi" w:hAnsiTheme="majorHAnsi"/>
          <w:sz w:val="20"/>
          <w:szCs w:val="20"/>
          <w:lang w:val="es-CR"/>
        </w:rPr>
      </w:pPr>
      <w:r w:rsidRPr="007C6BE8">
        <w:rPr>
          <w:rFonts w:asciiTheme="majorHAnsi" w:hAnsiTheme="majorHAnsi"/>
          <w:sz w:val="20"/>
          <w:szCs w:val="20"/>
          <w:lang w:val="es-CR"/>
        </w:rPr>
        <w:t>- El manejo equivocado que se le dio a la hipótesis del origen de la muerte; y</w:t>
      </w:r>
    </w:p>
    <w:p w:rsidR="00B070D5" w:rsidRPr="007C6BE8" w:rsidRDefault="00B070D5" w:rsidP="00B1793F">
      <w:pPr>
        <w:pStyle w:val="ListParagraph"/>
        <w:ind w:right="720"/>
        <w:jc w:val="both"/>
        <w:rPr>
          <w:rFonts w:asciiTheme="majorHAnsi" w:hAnsiTheme="majorHAnsi"/>
          <w:sz w:val="20"/>
          <w:szCs w:val="20"/>
          <w:lang w:val="es-CR"/>
        </w:rPr>
      </w:pPr>
      <w:r w:rsidRPr="007C6BE8">
        <w:rPr>
          <w:rFonts w:asciiTheme="majorHAnsi" w:hAnsiTheme="majorHAnsi"/>
          <w:sz w:val="20"/>
          <w:szCs w:val="20"/>
          <w:lang w:val="es-CR"/>
        </w:rPr>
        <w:t>- El formato de levantamiento fue mal diligenciado porque estaba incompleto”</w:t>
      </w:r>
      <w:r w:rsidRPr="007C6BE8">
        <w:rPr>
          <w:rStyle w:val="FootnoteReference"/>
          <w:rFonts w:asciiTheme="majorHAnsi" w:hAnsiTheme="majorHAnsi"/>
          <w:sz w:val="20"/>
          <w:szCs w:val="20"/>
          <w:lang w:val="es-MX"/>
        </w:rPr>
        <w:t xml:space="preserve"> </w:t>
      </w:r>
      <w:r w:rsidRPr="007C6BE8">
        <w:rPr>
          <w:rStyle w:val="FootnoteReference"/>
          <w:rFonts w:asciiTheme="majorHAnsi" w:hAnsiTheme="majorHAnsi"/>
          <w:sz w:val="20"/>
          <w:szCs w:val="20"/>
        </w:rPr>
        <w:footnoteReference w:id="88"/>
      </w:r>
      <w:r w:rsidRPr="007C6BE8">
        <w:rPr>
          <w:rFonts w:asciiTheme="majorHAnsi" w:hAnsiTheme="majorHAnsi"/>
          <w:sz w:val="20"/>
          <w:szCs w:val="20"/>
          <w:lang w:val="es-CR"/>
        </w:rPr>
        <w:t>.</w:t>
      </w:r>
    </w:p>
    <w:p w:rsidR="001A6145" w:rsidRPr="007C6BE8" w:rsidRDefault="001A6145" w:rsidP="00B1793F">
      <w:pPr>
        <w:pStyle w:val="ListParagraph"/>
        <w:ind w:right="720"/>
        <w:jc w:val="both"/>
        <w:rPr>
          <w:rFonts w:asciiTheme="majorHAnsi" w:hAnsiTheme="majorHAnsi"/>
          <w:sz w:val="20"/>
          <w:szCs w:val="20"/>
          <w:lang w:val="es-CR"/>
        </w:rPr>
      </w:pPr>
    </w:p>
    <w:p w:rsidR="009E4383" w:rsidRPr="007C6BE8" w:rsidRDefault="009E4383" w:rsidP="00B1793F">
      <w:pPr>
        <w:pStyle w:val="Heading1"/>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0"/>
        <w:ind w:left="0" w:firstLine="720"/>
        <w:jc w:val="both"/>
        <w:rPr>
          <w:rFonts w:asciiTheme="majorHAnsi" w:hAnsiTheme="majorHAnsi" w:cs="Arial"/>
          <w:color w:val="auto"/>
          <w:sz w:val="20"/>
          <w:szCs w:val="20"/>
        </w:rPr>
      </w:pPr>
      <w:bookmarkStart w:id="62" w:name="_Toc414371985"/>
      <w:bookmarkStart w:id="63" w:name="_Toc421786416"/>
      <w:bookmarkStart w:id="64" w:name="_Toc529794718"/>
      <w:r w:rsidRPr="007C6BE8">
        <w:rPr>
          <w:rFonts w:asciiTheme="majorHAnsi" w:hAnsiTheme="majorHAnsi" w:cs="Arial"/>
          <w:color w:val="auto"/>
          <w:sz w:val="20"/>
          <w:szCs w:val="20"/>
        </w:rPr>
        <w:t>ANÁLISIS DE DERECHO</w:t>
      </w:r>
      <w:bookmarkEnd w:id="62"/>
      <w:bookmarkEnd w:id="63"/>
      <w:bookmarkEnd w:id="64"/>
    </w:p>
    <w:p w:rsidR="00A235E4" w:rsidRPr="007C6BE8" w:rsidRDefault="00A235E4"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774629" w:rsidRPr="007C6BE8" w:rsidRDefault="0038099F"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SV"/>
        </w:rPr>
        <w:t>En el presente caso existe controversia sobre si el Estado es responsable internacionalmente por la presunta desaparición forzada y ejecución del señor Norberto Javier Restrepo. Por un lado, l</w:t>
      </w:r>
      <w:r w:rsidR="00774629" w:rsidRPr="007C6BE8">
        <w:rPr>
          <w:rFonts w:asciiTheme="majorHAnsi" w:hAnsiTheme="majorHAnsi"/>
          <w:sz w:val="20"/>
          <w:szCs w:val="20"/>
          <w:lang w:val="es-SV"/>
        </w:rPr>
        <w:t>os peticionarios alegaron que lo sucedido al señor Noberto Javier Restrepo encuadra dentro de la califi</w:t>
      </w:r>
      <w:r w:rsidR="00C10A8B" w:rsidRPr="007C6BE8">
        <w:rPr>
          <w:rFonts w:asciiTheme="majorHAnsi" w:hAnsiTheme="majorHAnsi"/>
          <w:sz w:val="20"/>
          <w:szCs w:val="20"/>
          <w:lang w:val="es-SV"/>
        </w:rPr>
        <w:t xml:space="preserve">cación de desaparición </w:t>
      </w:r>
      <w:r w:rsidRPr="007C6BE8">
        <w:rPr>
          <w:rFonts w:asciiTheme="majorHAnsi" w:hAnsiTheme="majorHAnsi"/>
          <w:sz w:val="20"/>
          <w:szCs w:val="20"/>
          <w:lang w:val="es-SV"/>
        </w:rPr>
        <w:t xml:space="preserve"> </w:t>
      </w:r>
      <w:r w:rsidR="000E02F3" w:rsidRPr="007C6BE8">
        <w:rPr>
          <w:rFonts w:asciiTheme="majorHAnsi" w:hAnsiTheme="majorHAnsi"/>
          <w:sz w:val="20"/>
          <w:szCs w:val="20"/>
          <w:lang w:val="es-SV"/>
        </w:rPr>
        <w:t xml:space="preserve">forzada </w:t>
      </w:r>
      <w:r w:rsidRPr="007C6BE8">
        <w:rPr>
          <w:rFonts w:asciiTheme="majorHAnsi" w:hAnsiTheme="majorHAnsi"/>
          <w:sz w:val="20"/>
          <w:szCs w:val="20"/>
          <w:lang w:val="es-SV"/>
        </w:rPr>
        <w:t xml:space="preserve">y ejecución atribuible al Estado </w:t>
      </w:r>
      <w:r w:rsidR="00C10A8B" w:rsidRPr="007C6BE8">
        <w:rPr>
          <w:rFonts w:asciiTheme="majorHAnsi" w:hAnsiTheme="majorHAnsi"/>
          <w:sz w:val="20"/>
          <w:szCs w:val="20"/>
          <w:lang w:val="es-SV"/>
        </w:rPr>
        <w:t xml:space="preserve">con base en </w:t>
      </w:r>
      <w:r w:rsidR="002A4A59" w:rsidRPr="007C6BE8">
        <w:rPr>
          <w:rFonts w:asciiTheme="majorHAnsi" w:hAnsiTheme="majorHAnsi"/>
          <w:sz w:val="20"/>
          <w:szCs w:val="20"/>
          <w:lang w:val="es-SV"/>
        </w:rPr>
        <w:t xml:space="preserve">una serie de indicios de los cuales </w:t>
      </w:r>
      <w:r w:rsidR="001A6145" w:rsidRPr="007C6BE8">
        <w:rPr>
          <w:rFonts w:asciiTheme="majorHAnsi" w:hAnsiTheme="majorHAnsi"/>
          <w:sz w:val="20"/>
          <w:szCs w:val="20"/>
          <w:lang w:val="es-SV"/>
        </w:rPr>
        <w:t xml:space="preserve">se </w:t>
      </w:r>
      <w:r w:rsidR="002A4A59" w:rsidRPr="007C6BE8">
        <w:rPr>
          <w:rFonts w:asciiTheme="majorHAnsi" w:hAnsiTheme="majorHAnsi"/>
          <w:sz w:val="20"/>
          <w:szCs w:val="20"/>
          <w:lang w:val="es-SV"/>
        </w:rPr>
        <w:t xml:space="preserve">desprende </w:t>
      </w:r>
      <w:r w:rsidR="00437470" w:rsidRPr="007C6BE8">
        <w:rPr>
          <w:rFonts w:asciiTheme="majorHAnsi" w:hAnsiTheme="majorHAnsi"/>
          <w:sz w:val="20"/>
          <w:szCs w:val="20"/>
          <w:lang w:val="es-SV"/>
        </w:rPr>
        <w:t xml:space="preserve">la participación de </w:t>
      </w:r>
      <w:r w:rsidR="000E02F3" w:rsidRPr="007C6BE8">
        <w:rPr>
          <w:rFonts w:asciiTheme="majorHAnsi" w:hAnsiTheme="majorHAnsi"/>
          <w:sz w:val="20"/>
          <w:szCs w:val="20"/>
          <w:lang w:val="es-SV"/>
        </w:rPr>
        <w:t xml:space="preserve">sus </w:t>
      </w:r>
      <w:r w:rsidR="00437470" w:rsidRPr="007C6BE8">
        <w:rPr>
          <w:rFonts w:asciiTheme="majorHAnsi" w:hAnsiTheme="majorHAnsi"/>
          <w:sz w:val="20"/>
          <w:szCs w:val="20"/>
          <w:lang w:val="es-SV"/>
        </w:rPr>
        <w:t>agentes en los hechos</w:t>
      </w:r>
      <w:r w:rsidR="004F15B3" w:rsidRPr="007C6BE8">
        <w:rPr>
          <w:rFonts w:asciiTheme="majorHAnsi" w:hAnsiTheme="majorHAnsi"/>
          <w:sz w:val="20"/>
          <w:szCs w:val="20"/>
          <w:lang w:val="es-SV"/>
        </w:rPr>
        <w:t xml:space="preserve">. </w:t>
      </w:r>
      <w:r w:rsidR="00C10A8B" w:rsidRPr="007C6BE8">
        <w:rPr>
          <w:rFonts w:asciiTheme="majorHAnsi" w:hAnsiTheme="majorHAnsi"/>
          <w:sz w:val="20"/>
          <w:szCs w:val="20"/>
          <w:lang w:val="es-SV"/>
        </w:rPr>
        <w:t xml:space="preserve">Por otra parte, el Estado señala que dichos indicios son insuficientes para demostrar su responsabilidad </w:t>
      </w:r>
      <w:r w:rsidRPr="007C6BE8">
        <w:rPr>
          <w:rFonts w:asciiTheme="majorHAnsi" w:hAnsiTheme="majorHAnsi"/>
          <w:sz w:val="20"/>
          <w:szCs w:val="20"/>
          <w:lang w:val="es-SV"/>
        </w:rPr>
        <w:t xml:space="preserve">por acción u omisión de sus agentes  </w:t>
      </w:r>
      <w:r w:rsidR="00C10A8B" w:rsidRPr="007C6BE8">
        <w:rPr>
          <w:rFonts w:asciiTheme="majorHAnsi" w:hAnsiTheme="majorHAnsi"/>
          <w:sz w:val="20"/>
          <w:szCs w:val="20"/>
          <w:lang w:val="es-SV"/>
        </w:rPr>
        <w:t>y</w:t>
      </w:r>
      <w:r w:rsidRPr="007C6BE8">
        <w:rPr>
          <w:rFonts w:asciiTheme="majorHAnsi" w:hAnsiTheme="majorHAnsi"/>
          <w:sz w:val="20"/>
          <w:szCs w:val="20"/>
          <w:lang w:val="es-SV"/>
        </w:rPr>
        <w:t>, en todo caso</w:t>
      </w:r>
      <w:r w:rsidR="003C496D" w:rsidRPr="007C6BE8">
        <w:rPr>
          <w:rFonts w:asciiTheme="majorHAnsi" w:hAnsiTheme="majorHAnsi"/>
          <w:sz w:val="20"/>
          <w:szCs w:val="20"/>
          <w:lang w:val="es-SV"/>
        </w:rPr>
        <w:t>,</w:t>
      </w:r>
      <w:r w:rsidRPr="007C6BE8">
        <w:rPr>
          <w:rFonts w:asciiTheme="majorHAnsi" w:hAnsiTheme="majorHAnsi"/>
          <w:sz w:val="20"/>
          <w:szCs w:val="20"/>
          <w:lang w:val="es-SV"/>
        </w:rPr>
        <w:t xml:space="preserve"> destaca que </w:t>
      </w:r>
      <w:r w:rsidR="00C10A8B" w:rsidRPr="007C6BE8">
        <w:rPr>
          <w:rFonts w:asciiTheme="majorHAnsi" w:hAnsiTheme="majorHAnsi"/>
          <w:sz w:val="20"/>
          <w:szCs w:val="20"/>
          <w:lang w:val="es-SV"/>
        </w:rPr>
        <w:t xml:space="preserve">ha </w:t>
      </w:r>
      <w:r w:rsidRPr="007C6BE8">
        <w:rPr>
          <w:rFonts w:asciiTheme="majorHAnsi" w:hAnsiTheme="majorHAnsi"/>
          <w:sz w:val="20"/>
          <w:szCs w:val="20"/>
          <w:lang w:val="es-SV"/>
        </w:rPr>
        <w:t xml:space="preserve">conducido de forma diligente </w:t>
      </w:r>
      <w:r w:rsidR="00C10A8B" w:rsidRPr="007C6BE8">
        <w:rPr>
          <w:rFonts w:asciiTheme="majorHAnsi" w:hAnsiTheme="majorHAnsi"/>
          <w:sz w:val="20"/>
          <w:szCs w:val="20"/>
          <w:lang w:val="es-SV"/>
        </w:rPr>
        <w:t>investigaciones</w:t>
      </w:r>
      <w:r w:rsidR="003C496D" w:rsidRPr="007C6BE8">
        <w:rPr>
          <w:rFonts w:asciiTheme="majorHAnsi" w:hAnsiTheme="majorHAnsi"/>
          <w:sz w:val="20"/>
          <w:szCs w:val="20"/>
          <w:lang w:val="es-SV"/>
        </w:rPr>
        <w:t xml:space="preserve"> que</w:t>
      </w:r>
      <w:r w:rsidR="00C10A8B" w:rsidRPr="007C6BE8">
        <w:rPr>
          <w:rFonts w:asciiTheme="majorHAnsi" w:hAnsiTheme="majorHAnsi"/>
          <w:sz w:val="20"/>
          <w:szCs w:val="20"/>
          <w:lang w:val="es-SV"/>
        </w:rPr>
        <w:t xml:space="preserve"> continúan siendo realizadas a la fecha. </w:t>
      </w:r>
    </w:p>
    <w:p w:rsidR="0039707F" w:rsidRPr="007C6BE8" w:rsidRDefault="0039707F" w:rsidP="00B1793F">
      <w:pPr>
        <w:jc w:val="both"/>
        <w:rPr>
          <w:rFonts w:asciiTheme="majorHAnsi" w:hAnsiTheme="majorHAnsi"/>
          <w:sz w:val="20"/>
          <w:szCs w:val="20"/>
          <w:lang w:val="es-CR"/>
        </w:rPr>
      </w:pPr>
    </w:p>
    <w:p w:rsidR="0060350D" w:rsidRPr="007C6BE8" w:rsidRDefault="006B6898"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cs="Arial"/>
          <w:sz w:val="20"/>
          <w:szCs w:val="20"/>
          <w:lang w:val="es-ES_tradnl"/>
        </w:rPr>
        <w:lastRenderedPageBreak/>
        <w:t>Al respecto, la Comisión considera conveniente recordar que l</w:t>
      </w:r>
      <w:r w:rsidR="007219F6" w:rsidRPr="007C6BE8">
        <w:rPr>
          <w:rFonts w:asciiTheme="majorHAnsi" w:hAnsiTheme="majorHAnsi" w:cs="Arial"/>
          <w:sz w:val="20"/>
          <w:szCs w:val="20"/>
          <w:lang w:val="es-ES_tradnl"/>
        </w:rPr>
        <w:t>a responsabilidad internacional del Estado puede basarse en actos u omisiones de cualquier poder u órgano de éste que violen la Convención Americana, y se genera en forma inmediata con el ilícito internacional atribuido.  En estos supuestos, para establecer que se ha producido una violación de los derechos consagrados en la Convención no se requiere determinar, como ocurre en el derecho penal interno, la culpabilidad de sus autores o su intencionalidad, tampoco es preciso identificar individualmente a los agentes a los cuales se atribuyen los hechos violatorios</w:t>
      </w:r>
      <w:r w:rsidR="00E826D8" w:rsidRPr="007C6BE8">
        <w:rPr>
          <w:rFonts w:asciiTheme="majorHAnsi" w:hAnsiTheme="majorHAnsi" w:cs="Arial"/>
          <w:sz w:val="20"/>
          <w:szCs w:val="20"/>
          <w:lang w:val="es-ES_tradnl"/>
        </w:rPr>
        <w:t xml:space="preserve">. </w:t>
      </w:r>
      <w:r w:rsidR="007219F6" w:rsidRPr="007C6BE8">
        <w:rPr>
          <w:rFonts w:asciiTheme="majorHAnsi" w:hAnsiTheme="majorHAnsi" w:cs="Arial"/>
          <w:sz w:val="20"/>
          <w:szCs w:val="20"/>
          <w:lang w:val="es-ES_tradnl"/>
        </w:rPr>
        <w:t>Es suficiente demostrar “que se han verificado acciones u omisiones que hayan permitido la perpetración de esas violaciones o que exista una obligación del Estado que haya sido incumplida por éste</w:t>
      </w:r>
      <w:r w:rsidR="001201C9" w:rsidRPr="007C6BE8">
        <w:rPr>
          <w:rFonts w:asciiTheme="majorHAnsi" w:hAnsiTheme="majorHAnsi" w:cs="Arial"/>
          <w:sz w:val="20"/>
          <w:szCs w:val="20"/>
          <w:lang w:val="es-ES_tradnl"/>
        </w:rPr>
        <w:t>”</w:t>
      </w:r>
      <w:r w:rsidR="007219F6" w:rsidRPr="007C6BE8">
        <w:rPr>
          <w:rStyle w:val="FootnoteReference"/>
          <w:rFonts w:asciiTheme="majorHAnsi" w:hAnsiTheme="majorHAnsi" w:cs="Arial"/>
          <w:sz w:val="20"/>
          <w:szCs w:val="20"/>
          <w:lang w:val="es-ES_tradnl"/>
        </w:rPr>
        <w:footnoteReference w:id="89"/>
      </w:r>
      <w:r w:rsidR="007219F6" w:rsidRPr="007C6BE8">
        <w:rPr>
          <w:rFonts w:asciiTheme="majorHAnsi" w:hAnsiTheme="majorHAnsi" w:cs="Arial"/>
          <w:sz w:val="20"/>
          <w:szCs w:val="20"/>
          <w:lang w:val="es-ES_tradnl"/>
        </w:rPr>
        <w:t>.</w:t>
      </w:r>
      <w:r w:rsidR="001201C9" w:rsidRPr="007C6BE8">
        <w:rPr>
          <w:rFonts w:asciiTheme="majorHAnsi" w:hAnsiTheme="majorHAnsi" w:cs="Arial"/>
          <w:sz w:val="20"/>
          <w:szCs w:val="20"/>
          <w:lang w:val="es-ES_tradnl"/>
        </w:rPr>
        <w:t xml:space="preserve"> </w:t>
      </w:r>
    </w:p>
    <w:p w:rsidR="0060350D" w:rsidRPr="007C6BE8" w:rsidRDefault="0060350D"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Arial"/>
          <w:sz w:val="20"/>
          <w:szCs w:val="20"/>
          <w:lang w:val="es-ES_tradnl"/>
        </w:rPr>
      </w:pPr>
    </w:p>
    <w:p w:rsidR="00073CE8" w:rsidRPr="007C6BE8" w:rsidRDefault="004F15B3"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Teniendo en cue</w:t>
      </w:r>
      <w:r w:rsidR="001201C9" w:rsidRPr="007C6BE8">
        <w:rPr>
          <w:rFonts w:asciiTheme="majorHAnsi" w:hAnsiTheme="majorHAnsi"/>
          <w:sz w:val="20"/>
          <w:szCs w:val="20"/>
          <w:lang w:val="es-CR"/>
        </w:rPr>
        <w:t xml:space="preserve">nta </w:t>
      </w:r>
      <w:r w:rsidR="006B6898" w:rsidRPr="007C6BE8">
        <w:rPr>
          <w:rFonts w:asciiTheme="majorHAnsi" w:hAnsiTheme="majorHAnsi"/>
          <w:sz w:val="20"/>
          <w:szCs w:val="20"/>
          <w:lang w:val="es-CR"/>
        </w:rPr>
        <w:t xml:space="preserve">los </w:t>
      </w:r>
      <w:r w:rsidR="001201C9" w:rsidRPr="007C6BE8">
        <w:rPr>
          <w:rFonts w:asciiTheme="majorHAnsi" w:hAnsiTheme="majorHAnsi"/>
          <w:sz w:val="20"/>
          <w:szCs w:val="20"/>
          <w:lang w:val="es-CR"/>
        </w:rPr>
        <w:t xml:space="preserve">criterios </w:t>
      </w:r>
      <w:r w:rsidR="006B6898" w:rsidRPr="007C6BE8">
        <w:rPr>
          <w:rFonts w:asciiTheme="majorHAnsi" w:hAnsiTheme="majorHAnsi"/>
          <w:sz w:val="20"/>
          <w:szCs w:val="20"/>
          <w:lang w:val="es-CR"/>
        </w:rPr>
        <w:t>establecidos</w:t>
      </w:r>
      <w:r w:rsidR="001A6145" w:rsidRPr="007C6BE8">
        <w:rPr>
          <w:rFonts w:asciiTheme="majorHAnsi" w:hAnsiTheme="majorHAnsi"/>
          <w:sz w:val="20"/>
          <w:szCs w:val="20"/>
          <w:lang w:val="es-CR"/>
        </w:rPr>
        <w:t xml:space="preserve"> </w:t>
      </w:r>
      <w:r w:rsidR="001A6145" w:rsidRPr="007C6BE8">
        <w:rPr>
          <w:rFonts w:asciiTheme="majorHAnsi" w:hAnsiTheme="majorHAnsi"/>
          <w:i/>
          <w:sz w:val="20"/>
          <w:szCs w:val="20"/>
          <w:lang w:val="es-CR"/>
        </w:rPr>
        <w:t xml:space="preserve">supra </w:t>
      </w:r>
      <w:r w:rsidR="00DC3F15" w:rsidRPr="007C6BE8">
        <w:rPr>
          <w:rFonts w:asciiTheme="majorHAnsi" w:hAnsiTheme="majorHAnsi"/>
          <w:sz w:val="20"/>
          <w:szCs w:val="20"/>
          <w:lang w:val="es-CR"/>
        </w:rPr>
        <w:t>párr.</w:t>
      </w:r>
      <w:r w:rsidR="001A6145" w:rsidRPr="007C6BE8">
        <w:rPr>
          <w:rFonts w:asciiTheme="majorHAnsi" w:hAnsiTheme="majorHAnsi"/>
          <w:sz w:val="20"/>
          <w:szCs w:val="20"/>
          <w:lang w:val="es-CR"/>
        </w:rPr>
        <w:t xml:space="preserve"> </w:t>
      </w:r>
      <w:r w:rsidR="00DC3F15" w:rsidRPr="007C6BE8">
        <w:rPr>
          <w:rFonts w:asciiTheme="majorHAnsi" w:hAnsiTheme="majorHAnsi"/>
          <w:sz w:val="20"/>
          <w:szCs w:val="20"/>
          <w:lang w:val="es-CR"/>
        </w:rPr>
        <w:t xml:space="preserve">24 y ss. </w:t>
      </w:r>
      <w:r w:rsidR="006B6898" w:rsidRPr="007C6BE8">
        <w:rPr>
          <w:rFonts w:asciiTheme="majorHAnsi" w:hAnsiTheme="majorHAnsi"/>
          <w:sz w:val="20"/>
          <w:szCs w:val="20"/>
          <w:lang w:val="es-CR"/>
        </w:rPr>
        <w:t xml:space="preserve">para </w:t>
      </w:r>
      <w:r w:rsidR="001201C9" w:rsidRPr="007C6BE8">
        <w:rPr>
          <w:rFonts w:asciiTheme="majorHAnsi" w:hAnsiTheme="majorHAnsi"/>
          <w:sz w:val="20"/>
          <w:szCs w:val="20"/>
          <w:lang w:val="es-CR"/>
        </w:rPr>
        <w:t xml:space="preserve">la valoración de las pruebas </w:t>
      </w:r>
      <w:r w:rsidR="006B6898" w:rsidRPr="007C6BE8">
        <w:rPr>
          <w:rFonts w:asciiTheme="majorHAnsi" w:hAnsiTheme="majorHAnsi"/>
          <w:sz w:val="20"/>
          <w:szCs w:val="20"/>
          <w:lang w:val="es-CR"/>
        </w:rPr>
        <w:t>en el presente caso</w:t>
      </w:r>
      <w:r w:rsidR="001201C9" w:rsidRPr="007C6BE8">
        <w:rPr>
          <w:rFonts w:asciiTheme="majorHAnsi" w:hAnsiTheme="majorHAnsi"/>
          <w:sz w:val="20"/>
          <w:szCs w:val="20"/>
          <w:lang w:val="es-CR"/>
        </w:rPr>
        <w:t xml:space="preserve">, la Comisión </w:t>
      </w:r>
      <w:r w:rsidR="006D7C24" w:rsidRPr="007C6BE8">
        <w:rPr>
          <w:rFonts w:asciiTheme="majorHAnsi" w:hAnsiTheme="majorHAnsi"/>
          <w:sz w:val="20"/>
          <w:szCs w:val="20"/>
          <w:lang w:val="es-CR"/>
        </w:rPr>
        <w:t xml:space="preserve">recapitula que ha dado por probados en calidad de indicios los siguientes aspectos: i) la vinculación del señor Norberto Javier Restrepo al partido de la UP; ii) la </w:t>
      </w:r>
      <w:r w:rsidR="001A6145" w:rsidRPr="007C6BE8">
        <w:rPr>
          <w:rFonts w:asciiTheme="majorHAnsi" w:hAnsiTheme="majorHAnsi"/>
          <w:sz w:val="20"/>
          <w:szCs w:val="20"/>
          <w:lang w:val="es-CR"/>
        </w:rPr>
        <w:t xml:space="preserve">existencia </w:t>
      </w:r>
      <w:r w:rsidR="006D7C24" w:rsidRPr="007C6BE8">
        <w:rPr>
          <w:rFonts w:asciiTheme="majorHAnsi" w:hAnsiTheme="majorHAnsi"/>
          <w:sz w:val="20"/>
          <w:szCs w:val="20"/>
          <w:lang w:val="es-CR"/>
        </w:rPr>
        <w:t xml:space="preserve">de un operativo policial </w:t>
      </w:r>
      <w:r w:rsidR="001A6145" w:rsidRPr="007C6BE8">
        <w:rPr>
          <w:rFonts w:asciiTheme="majorHAnsi" w:hAnsiTheme="majorHAnsi"/>
          <w:sz w:val="20"/>
          <w:szCs w:val="20"/>
          <w:lang w:val="es-CR"/>
        </w:rPr>
        <w:t xml:space="preserve">no desvirtuado por el Estado </w:t>
      </w:r>
      <w:r w:rsidR="006D7C24" w:rsidRPr="007C6BE8">
        <w:rPr>
          <w:rFonts w:asciiTheme="majorHAnsi" w:hAnsiTheme="majorHAnsi"/>
          <w:sz w:val="20"/>
          <w:szCs w:val="20"/>
          <w:lang w:val="es-CR"/>
        </w:rPr>
        <w:t xml:space="preserve">en el cual habría sido detenido; y iii) la detención </w:t>
      </w:r>
      <w:r w:rsidR="001A6145" w:rsidRPr="007C6BE8">
        <w:rPr>
          <w:rFonts w:asciiTheme="majorHAnsi" w:hAnsiTheme="majorHAnsi"/>
          <w:sz w:val="20"/>
          <w:szCs w:val="20"/>
          <w:lang w:val="es-CR"/>
        </w:rPr>
        <w:t xml:space="preserve">y muerte </w:t>
      </w:r>
      <w:r w:rsidR="006D7C24" w:rsidRPr="007C6BE8">
        <w:rPr>
          <w:rFonts w:asciiTheme="majorHAnsi" w:hAnsiTheme="majorHAnsi"/>
          <w:sz w:val="20"/>
          <w:szCs w:val="20"/>
          <w:lang w:val="es-CR"/>
        </w:rPr>
        <w:t xml:space="preserve">de otras personas en la zona que estarían también vinculadas al partido de la UP. </w:t>
      </w:r>
    </w:p>
    <w:p w:rsidR="00073CE8" w:rsidRPr="007C6BE8" w:rsidRDefault="00073CE8" w:rsidP="00B1793F">
      <w:pPr>
        <w:pStyle w:val="ListParagraph"/>
        <w:rPr>
          <w:rFonts w:asciiTheme="majorHAnsi" w:hAnsiTheme="majorHAnsi"/>
          <w:sz w:val="20"/>
          <w:szCs w:val="20"/>
          <w:lang w:val="es-CR"/>
        </w:rPr>
      </w:pPr>
    </w:p>
    <w:p w:rsidR="00D51EC8" w:rsidRPr="007C6BE8" w:rsidRDefault="00755409"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 xml:space="preserve">Los peticionarios indican que </w:t>
      </w:r>
      <w:r w:rsidR="00073CE8" w:rsidRPr="007C6BE8">
        <w:rPr>
          <w:rFonts w:asciiTheme="majorHAnsi" w:hAnsiTheme="majorHAnsi"/>
          <w:sz w:val="20"/>
          <w:szCs w:val="20"/>
          <w:lang w:val="es-CR"/>
        </w:rPr>
        <w:t xml:space="preserve">a los anteriores </w:t>
      </w:r>
      <w:r w:rsidRPr="007C6BE8">
        <w:rPr>
          <w:rFonts w:asciiTheme="majorHAnsi" w:hAnsiTheme="majorHAnsi"/>
          <w:sz w:val="20"/>
          <w:szCs w:val="20"/>
          <w:lang w:val="es-CR"/>
        </w:rPr>
        <w:t xml:space="preserve">aspectos se suman </w:t>
      </w:r>
      <w:r w:rsidR="00073CE8" w:rsidRPr="007C6BE8">
        <w:rPr>
          <w:rFonts w:asciiTheme="majorHAnsi" w:hAnsiTheme="majorHAnsi"/>
          <w:sz w:val="20"/>
          <w:szCs w:val="20"/>
          <w:lang w:val="es-CR"/>
        </w:rPr>
        <w:t xml:space="preserve">como </w:t>
      </w:r>
      <w:r w:rsidRPr="007C6BE8">
        <w:rPr>
          <w:rFonts w:asciiTheme="majorHAnsi" w:hAnsiTheme="majorHAnsi"/>
          <w:sz w:val="20"/>
          <w:szCs w:val="20"/>
          <w:lang w:val="es-CR"/>
        </w:rPr>
        <w:t xml:space="preserve">indicios </w:t>
      </w:r>
      <w:r w:rsidR="00073CE8" w:rsidRPr="007C6BE8">
        <w:rPr>
          <w:rFonts w:asciiTheme="majorHAnsi" w:hAnsiTheme="majorHAnsi"/>
          <w:sz w:val="20"/>
          <w:szCs w:val="20"/>
          <w:lang w:val="es-CR"/>
        </w:rPr>
        <w:t xml:space="preserve">de la responsabilidad estatal </w:t>
      </w:r>
      <w:r w:rsidRPr="007C6BE8">
        <w:rPr>
          <w:rFonts w:asciiTheme="majorHAnsi" w:hAnsiTheme="majorHAnsi"/>
          <w:sz w:val="20"/>
          <w:szCs w:val="20"/>
          <w:lang w:val="es-CR"/>
        </w:rPr>
        <w:t>la respuesta del Estado en relación con la desaparición y posterior muerte del señor Restrepo. En particular</w:t>
      </w:r>
      <w:r w:rsidR="002D147E" w:rsidRPr="007C6BE8">
        <w:rPr>
          <w:rFonts w:asciiTheme="majorHAnsi" w:hAnsiTheme="majorHAnsi"/>
          <w:sz w:val="20"/>
          <w:szCs w:val="20"/>
          <w:lang w:val="es-CR"/>
        </w:rPr>
        <w:t>,</w:t>
      </w:r>
      <w:r w:rsidRPr="007C6BE8">
        <w:rPr>
          <w:rFonts w:asciiTheme="majorHAnsi" w:hAnsiTheme="majorHAnsi"/>
          <w:sz w:val="20"/>
          <w:szCs w:val="20"/>
          <w:lang w:val="es-CR"/>
        </w:rPr>
        <w:t xml:space="preserve"> aducen la existencia de una actuación dirigida por las autoridades investigadoras a “desviar” desde un inicio la investigación y mantener en la impunidad los hechos. Respecto de tal aspecto, </w:t>
      </w:r>
      <w:r w:rsidRPr="007C6BE8">
        <w:rPr>
          <w:rFonts w:asciiTheme="majorHAnsi" w:hAnsiTheme="majorHAnsi"/>
          <w:sz w:val="20"/>
          <w:szCs w:val="20"/>
          <w:lang w:val="es-ES_tradnl"/>
        </w:rPr>
        <w:t xml:space="preserve">el Estado indicó que contrario a lo señalado por los peticionarios, desde que tomó conocimiento de los hechos y con posterioridad a ser encontrado el cuerpo del señor Restrepo, realizó una investigación diligente que continúa abierta hasta la fecha. </w:t>
      </w:r>
    </w:p>
    <w:p w:rsidR="00D51EC8" w:rsidRPr="007C6BE8" w:rsidRDefault="00D51EC8"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265992" w:rsidRPr="007C6BE8" w:rsidRDefault="006D7C24"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ES_tradnl"/>
        </w:rPr>
        <w:t>Teniendo en cuenta lo señalado</w:t>
      </w:r>
      <w:r w:rsidR="00755409" w:rsidRPr="007C6BE8">
        <w:rPr>
          <w:rFonts w:asciiTheme="majorHAnsi" w:hAnsiTheme="majorHAnsi"/>
          <w:sz w:val="20"/>
          <w:szCs w:val="20"/>
          <w:lang w:val="es-ES_tradnl"/>
        </w:rPr>
        <w:t xml:space="preserve"> por ambas partes</w:t>
      </w:r>
      <w:r w:rsidRPr="007C6BE8">
        <w:rPr>
          <w:rFonts w:asciiTheme="majorHAnsi" w:hAnsiTheme="majorHAnsi"/>
          <w:sz w:val="20"/>
          <w:szCs w:val="20"/>
          <w:lang w:val="es-ES_tradnl"/>
        </w:rPr>
        <w:t xml:space="preserve">, </w:t>
      </w:r>
      <w:r w:rsidR="004F15B3" w:rsidRPr="007C6BE8">
        <w:rPr>
          <w:rFonts w:asciiTheme="majorHAnsi" w:hAnsiTheme="majorHAnsi"/>
          <w:sz w:val="20"/>
          <w:szCs w:val="20"/>
          <w:lang w:val="es-ES_tradnl"/>
        </w:rPr>
        <w:t xml:space="preserve">la Comisión analizará </w:t>
      </w:r>
      <w:r w:rsidRPr="007C6BE8">
        <w:rPr>
          <w:rFonts w:asciiTheme="majorHAnsi" w:hAnsiTheme="majorHAnsi"/>
          <w:sz w:val="20"/>
          <w:szCs w:val="20"/>
          <w:lang w:val="es-ES_tradnl"/>
        </w:rPr>
        <w:t xml:space="preserve">la </w:t>
      </w:r>
      <w:r w:rsidR="00755409" w:rsidRPr="007C6BE8">
        <w:rPr>
          <w:rFonts w:asciiTheme="majorHAnsi" w:hAnsiTheme="majorHAnsi"/>
          <w:sz w:val="20"/>
          <w:szCs w:val="20"/>
          <w:lang w:val="es-ES_tradnl"/>
        </w:rPr>
        <w:t xml:space="preserve">respuesta del Estado </w:t>
      </w:r>
      <w:r w:rsidR="00A84750" w:rsidRPr="007C6BE8">
        <w:rPr>
          <w:rFonts w:asciiTheme="majorHAnsi" w:hAnsiTheme="majorHAnsi"/>
          <w:sz w:val="20"/>
          <w:szCs w:val="20"/>
          <w:lang w:val="es-ES_tradnl"/>
        </w:rPr>
        <w:t xml:space="preserve">de Colombia frente a la desaparición y posterior muerte del señor Restrepo </w:t>
      </w:r>
      <w:r w:rsidR="0060350D" w:rsidRPr="007C6BE8">
        <w:rPr>
          <w:rFonts w:asciiTheme="majorHAnsi" w:hAnsiTheme="majorHAnsi"/>
          <w:sz w:val="20"/>
          <w:szCs w:val="20"/>
          <w:lang w:val="es-ES_tradnl"/>
        </w:rPr>
        <w:t>en dos momentos:</w:t>
      </w:r>
      <w:r w:rsidR="00534ABA" w:rsidRPr="007C6BE8">
        <w:rPr>
          <w:rFonts w:asciiTheme="majorHAnsi" w:hAnsiTheme="majorHAnsi"/>
          <w:sz w:val="20"/>
          <w:szCs w:val="20"/>
          <w:lang w:val="es-ES_tradnl"/>
        </w:rPr>
        <w:t xml:space="preserve"> cuando tuvo conocimiento de la situación de desaparición del señor Restrepo, y una vez que fue encontrado su cuerpo en el marco del proceso penal.</w:t>
      </w:r>
      <w:r w:rsidR="00755409" w:rsidRPr="007C6BE8">
        <w:rPr>
          <w:rFonts w:asciiTheme="majorHAnsi" w:hAnsiTheme="majorHAnsi"/>
          <w:sz w:val="20"/>
          <w:szCs w:val="20"/>
          <w:lang w:val="es-ES_tradnl"/>
        </w:rPr>
        <w:t xml:space="preserve"> En dicho análisis, la Comisión verificará si al momento en que tuvo conocimiento de la desaparición del señor Restrepo el Estado actuó de conformidad con las obligaciones que le impone el deber de garantía de los derechos a la vida, integridad y libertad personales, y si después de conocer su muerte actuó en conformidad con las obligaciones que derivan de los derechos a las garantías judiciales y protección judicial. Con posterioridad</w:t>
      </w:r>
      <w:r w:rsidR="00043C26" w:rsidRPr="007C6BE8">
        <w:rPr>
          <w:rFonts w:asciiTheme="majorHAnsi" w:hAnsiTheme="majorHAnsi"/>
          <w:sz w:val="20"/>
          <w:szCs w:val="20"/>
          <w:lang w:val="es-ES_tradnl"/>
        </w:rPr>
        <w:t>,</w:t>
      </w:r>
      <w:r w:rsidR="00755409" w:rsidRPr="007C6BE8">
        <w:rPr>
          <w:rFonts w:asciiTheme="majorHAnsi" w:hAnsiTheme="majorHAnsi"/>
          <w:sz w:val="20"/>
          <w:szCs w:val="20"/>
          <w:lang w:val="es-ES_tradnl"/>
        </w:rPr>
        <w:t xml:space="preserve"> la Comisión se pronunciará sobre si la desaparición y muerte del señor Restrepo resulta atribuible al Estado </w:t>
      </w:r>
      <w:r w:rsidR="00426A04" w:rsidRPr="007C6BE8">
        <w:rPr>
          <w:rFonts w:asciiTheme="majorHAnsi" w:hAnsiTheme="majorHAnsi"/>
          <w:sz w:val="20"/>
          <w:szCs w:val="20"/>
          <w:lang w:val="es-ES_tradnl"/>
        </w:rPr>
        <w:t>como una desaparición forzada de personas</w:t>
      </w:r>
      <w:r w:rsidR="00043C26" w:rsidRPr="007C6BE8">
        <w:rPr>
          <w:rFonts w:asciiTheme="majorHAnsi" w:hAnsiTheme="majorHAnsi"/>
          <w:sz w:val="20"/>
          <w:szCs w:val="20"/>
          <w:lang w:val="es-ES_tradnl"/>
        </w:rPr>
        <w:t>. Finalmente</w:t>
      </w:r>
      <w:r w:rsidR="0060350D" w:rsidRPr="007C6BE8">
        <w:rPr>
          <w:rFonts w:asciiTheme="majorHAnsi" w:hAnsiTheme="majorHAnsi"/>
          <w:sz w:val="20"/>
          <w:szCs w:val="20"/>
          <w:lang w:val="es-ES_tradnl"/>
        </w:rPr>
        <w:t xml:space="preserve">, </w:t>
      </w:r>
      <w:r w:rsidR="00043C26" w:rsidRPr="007C6BE8">
        <w:rPr>
          <w:rFonts w:asciiTheme="majorHAnsi" w:hAnsiTheme="majorHAnsi"/>
          <w:sz w:val="20"/>
          <w:szCs w:val="20"/>
          <w:lang w:val="es-ES_tradnl"/>
        </w:rPr>
        <w:t xml:space="preserve">la Comisión realizará </w:t>
      </w:r>
      <w:r w:rsidR="00755409" w:rsidRPr="007C6BE8">
        <w:rPr>
          <w:rFonts w:asciiTheme="majorHAnsi" w:hAnsiTheme="majorHAnsi"/>
          <w:sz w:val="20"/>
          <w:szCs w:val="20"/>
          <w:lang w:val="es-ES_tradnl"/>
        </w:rPr>
        <w:t xml:space="preserve">sus consideraciones </w:t>
      </w:r>
      <w:r w:rsidR="00D51EC8" w:rsidRPr="007C6BE8">
        <w:rPr>
          <w:rFonts w:asciiTheme="majorHAnsi" w:hAnsiTheme="majorHAnsi"/>
          <w:sz w:val="20"/>
          <w:szCs w:val="20"/>
          <w:lang w:val="es-ES_tradnl"/>
        </w:rPr>
        <w:t xml:space="preserve">sobre </w:t>
      </w:r>
      <w:r w:rsidR="00755409" w:rsidRPr="007C6BE8">
        <w:rPr>
          <w:rFonts w:asciiTheme="majorHAnsi" w:hAnsiTheme="majorHAnsi"/>
          <w:sz w:val="20"/>
          <w:szCs w:val="20"/>
          <w:lang w:val="es-ES_tradnl"/>
        </w:rPr>
        <w:t>si el Estado es responsable por la violación al derecho a la integridad personal de los familiares.</w:t>
      </w:r>
    </w:p>
    <w:p w:rsidR="00534ABA" w:rsidRPr="007C6BE8" w:rsidRDefault="00534ABA"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265992" w:rsidRPr="007C6BE8" w:rsidRDefault="003541CD" w:rsidP="003541C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hanging="720"/>
        <w:contextualSpacing/>
        <w:jc w:val="both"/>
        <w:outlineLvl w:val="1"/>
        <w:rPr>
          <w:rFonts w:asciiTheme="majorHAnsi" w:hAnsiTheme="majorHAnsi"/>
          <w:b/>
          <w:sz w:val="20"/>
          <w:szCs w:val="20"/>
          <w:lang w:val="es-ES_tradnl"/>
        </w:rPr>
      </w:pPr>
      <w:bookmarkStart w:id="65" w:name="_Toc421786417"/>
      <w:bookmarkStart w:id="66" w:name="_Toc529794719"/>
      <w:r w:rsidRPr="007C6BE8">
        <w:rPr>
          <w:rFonts w:asciiTheme="majorHAnsi" w:hAnsiTheme="majorHAnsi"/>
          <w:b/>
          <w:sz w:val="20"/>
          <w:szCs w:val="20"/>
          <w:lang w:val="es-ES_tradnl"/>
        </w:rPr>
        <w:t>A</w:t>
      </w:r>
      <w:r w:rsidR="00FE277B" w:rsidRPr="007C6BE8">
        <w:rPr>
          <w:rFonts w:asciiTheme="majorHAnsi" w:hAnsiTheme="majorHAnsi"/>
          <w:b/>
          <w:sz w:val="20"/>
          <w:szCs w:val="20"/>
          <w:lang w:val="es-ES_tradnl"/>
        </w:rPr>
        <w:t xml:space="preserve">.  </w:t>
      </w:r>
      <w:r w:rsidR="00180E93" w:rsidRPr="007C6BE8">
        <w:rPr>
          <w:rFonts w:asciiTheme="majorHAnsi" w:hAnsiTheme="majorHAnsi"/>
          <w:b/>
          <w:sz w:val="20"/>
          <w:szCs w:val="20"/>
          <w:lang w:val="es-ES_tradnl"/>
        </w:rPr>
        <w:tab/>
      </w:r>
      <w:r w:rsidR="00FE277B" w:rsidRPr="007C6BE8">
        <w:rPr>
          <w:rFonts w:asciiTheme="majorHAnsi" w:hAnsiTheme="majorHAnsi"/>
          <w:b/>
          <w:sz w:val="20"/>
          <w:szCs w:val="20"/>
          <w:lang w:val="es-ES_tradnl"/>
        </w:rPr>
        <w:t xml:space="preserve">Análisis de la respuesta del Estado al momento de tomar conocimiento de la </w:t>
      </w:r>
      <w:r w:rsidR="009C52BC" w:rsidRPr="007C6BE8">
        <w:rPr>
          <w:rFonts w:asciiTheme="majorHAnsi" w:hAnsiTheme="majorHAnsi"/>
          <w:b/>
          <w:sz w:val="20"/>
          <w:szCs w:val="20"/>
          <w:lang w:val="es-ES_tradnl"/>
        </w:rPr>
        <w:t xml:space="preserve">desaparición </w:t>
      </w:r>
      <w:r w:rsidR="00FE277B" w:rsidRPr="007C6BE8">
        <w:rPr>
          <w:rFonts w:asciiTheme="majorHAnsi" w:hAnsiTheme="majorHAnsi"/>
          <w:b/>
          <w:sz w:val="20"/>
          <w:szCs w:val="20"/>
          <w:lang w:val="es-ES_tradnl"/>
        </w:rPr>
        <w:t>del señor Norberto Javier Restrepo (</w:t>
      </w:r>
      <w:r w:rsidR="00C57F36" w:rsidRPr="007C6BE8">
        <w:rPr>
          <w:rFonts w:asciiTheme="majorHAnsi" w:hAnsiTheme="majorHAnsi"/>
          <w:b/>
          <w:sz w:val="20"/>
          <w:szCs w:val="20"/>
          <w:lang w:val="es-ES_tradnl"/>
        </w:rPr>
        <w:t>artículos 4 (</w:t>
      </w:r>
      <w:r w:rsidR="00FE277B" w:rsidRPr="007C6BE8">
        <w:rPr>
          <w:rFonts w:asciiTheme="majorHAnsi" w:hAnsiTheme="majorHAnsi"/>
          <w:b/>
          <w:sz w:val="20"/>
          <w:szCs w:val="20"/>
          <w:lang w:val="es-ES_tradnl"/>
        </w:rPr>
        <w:t>derechos a la vida</w:t>
      </w:r>
      <w:r w:rsidR="00C57F36" w:rsidRPr="007C6BE8">
        <w:rPr>
          <w:rFonts w:asciiTheme="majorHAnsi" w:hAnsiTheme="majorHAnsi"/>
          <w:b/>
          <w:sz w:val="20"/>
          <w:szCs w:val="20"/>
          <w:lang w:val="es-ES_tradnl"/>
        </w:rPr>
        <w:t>)</w:t>
      </w:r>
      <w:r w:rsidR="00FE277B" w:rsidRPr="007C6BE8">
        <w:rPr>
          <w:rStyle w:val="FootnoteReference"/>
          <w:rFonts w:asciiTheme="majorHAnsi" w:hAnsiTheme="majorHAnsi"/>
          <w:b/>
          <w:sz w:val="20"/>
          <w:szCs w:val="20"/>
          <w:lang w:val="es-ES_tradnl"/>
        </w:rPr>
        <w:footnoteReference w:id="90"/>
      </w:r>
      <w:r w:rsidR="00FE277B" w:rsidRPr="007C6BE8">
        <w:rPr>
          <w:rFonts w:asciiTheme="majorHAnsi" w:hAnsiTheme="majorHAnsi"/>
          <w:b/>
          <w:sz w:val="20"/>
          <w:szCs w:val="20"/>
          <w:lang w:val="es-ES_tradnl"/>
        </w:rPr>
        <w:t xml:space="preserve">, </w:t>
      </w:r>
      <w:r w:rsidR="00C57F36" w:rsidRPr="007C6BE8">
        <w:rPr>
          <w:rFonts w:asciiTheme="majorHAnsi" w:hAnsiTheme="majorHAnsi"/>
          <w:b/>
          <w:sz w:val="20"/>
          <w:szCs w:val="20"/>
          <w:lang w:val="es-ES_tradnl"/>
        </w:rPr>
        <w:t>5 (</w:t>
      </w:r>
      <w:r w:rsidR="00FE277B" w:rsidRPr="007C6BE8">
        <w:rPr>
          <w:rFonts w:asciiTheme="majorHAnsi" w:hAnsiTheme="majorHAnsi"/>
          <w:b/>
          <w:sz w:val="20"/>
          <w:szCs w:val="20"/>
          <w:lang w:val="es-ES_tradnl"/>
        </w:rPr>
        <w:t>integridad personal</w:t>
      </w:r>
      <w:r w:rsidR="00C57F36" w:rsidRPr="007C6BE8">
        <w:rPr>
          <w:rFonts w:asciiTheme="majorHAnsi" w:hAnsiTheme="majorHAnsi"/>
          <w:b/>
          <w:sz w:val="20"/>
          <w:szCs w:val="20"/>
          <w:lang w:val="es-ES_tradnl"/>
        </w:rPr>
        <w:t>)</w:t>
      </w:r>
      <w:r w:rsidR="00FE277B" w:rsidRPr="007C6BE8">
        <w:rPr>
          <w:rStyle w:val="FootnoteReference"/>
          <w:rFonts w:asciiTheme="majorHAnsi" w:hAnsiTheme="majorHAnsi"/>
          <w:b/>
          <w:sz w:val="20"/>
          <w:szCs w:val="20"/>
          <w:lang w:val="es-ES_tradnl"/>
        </w:rPr>
        <w:footnoteReference w:id="91"/>
      </w:r>
      <w:r w:rsidR="00C57F36" w:rsidRPr="007C6BE8">
        <w:rPr>
          <w:rFonts w:asciiTheme="majorHAnsi" w:hAnsiTheme="majorHAnsi"/>
          <w:b/>
          <w:sz w:val="20"/>
          <w:szCs w:val="20"/>
          <w:lang w:val="es-ES_tradnl"/>
        </w:rPr>
        <w:t xml:space="preserve"> y 7 (</w:t>
      </w:r>
      <w:r w:rsidR="00FE277B" w:rsidRPr="007C6BE8">
        <w:rPr>
          <w:rFonts w:asciiTheme="majorHAnsi" w:hAnsiTheme="majorHAnsi"/>
          <w:b/>
          <w:sz w:val="20"/>
          <w:szCs w:val="20"/>
          <w:lang w:val="es-ES_tradnl"/>
        </w:rPr>
        <w:t>libertad personal</w:t>
      </w:r>
      <w:r w:rsidR="00C57F36" w:rsidRPr="007C6BE8">
        <w:rPr>
          <w:rFonts w:asciiTheme="majorHAnsi" w:hAnsiTheme="majorHAnsi"/>
          <w:b/>
          <w:sz w:val="20"/>
          <w:szCs w:val="20"/>
          <w:lang w:val="es-ES_tradnl"/>
        </w:rPr>
        <w:t>)</w:t>
      </w:r>
      <w:r w:rsidR="00FE277B" w:rsidRPr="007C6BE8">
        <w:rPr>
          <w:rStyle w:val="FootnoteReference"/>
          <w:rFonts w:asciiTheme="majorHAnsi" w:hAnsiTheme="majorHAnsi"/>
          <w:b/>
          <w:sz w:val="20"/>
          <w:szCs w:val="20"/>
          <w:lang w:val="es-ES_tradnl"/>
        </w:rPr>
        <w:footnoteReference w:id="92"/>
      </w:r>
      <w:r w:rsidR="00FE277B" w:rsidRPr="007C6BE8">
        <w:rPr>
          <w:rFonts w:asciiTheme="majorHAnsi" w:hAnsiTheme="majorHAnsi"/>
          <w:b/>
          <w:sz w:val="20"/>
          <w:szCs w:val="20"/>
          <w:lang w:val="es-ES_tradnl"/>
        </w:rPr>
        <w:t xml:space="preserve"> en relación con el deber de garantía</w:t>
      </w:r>
      <w:r w:rsidR="00043C26" w:rsidRPr="007C6BE8">
        <w:rPr>
          <w:rFonts w:asciiTheme="majorHAnsi" w:hAnsiTheme="majorHAnsi"/>
          <w:b/>
          <w:sz w:val="20"/>
          <w:szCs w:val="20"/>
          <w:lang w:val="es-ES_tradnl"/>
        </w:rPr>
        <w:t xml:space="preserve"> contenido en el artículo 1.1 de la Convención Americana</w:t>
      </w:r>
      <w:r w:rsidR="00FE277B" w:rsidRPr="007C6BE8">
        <w:rPr>
          <w:rFonts w:asciiTheme="majorHAnsi" w:hAnsiTheme="majorHAnsi"/>
          <w:b/>
          <w:sz w:val="20"/>
          <w:szCs w:val="20"/>
          <w:lang w:val="es-ES_tradnl"/>
        </w:rPr>
        <w:t>)</w:t>
      </w:r>
      <w:bookmarkEnd w:id="65"/>
      <w:bookmarkEnd w:id="66"/>
      <w:r w:rsidR="00FE277B" w:rsidRPr="007C6BE8">
        <w:rPr>
          <w:rFonts w:asciiTheme="majorHAnsi" w:hAnsiTheme="majorHAnsi"/>
          <w:b/>
          <w:sz w:val="20"/>
          <w:szCs w:val="20"/>
          <w:lang w:val="es-ES_tradnl"/>
        </w:rPr>
        <w:t xml:space="preserve"> </w:t>
      </w:r>
    </w:p>
    <w:p w:rsidR="00FE277B" w:rsidRPr="007C6BE8" w:rsidRDefault="00FE277B"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265992" w:rsidRPr="007C6BE8" w:rsidRDefault="006101F6"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eastAsia="Times New Roman" w:hAnsiTheme="majorHAnsi"/>
          <w:sz w:val="20"/>
          <w:szCs w:val="20"/>
          <w:bdr w:val="none" w:sz="0" w:space="0" w:color="auto"/>
          <w:lang w:val="es-ES_tradnl"/>
        </w:rPr>
        <w:t>Los derechos a la vida y a la integridad personal revisten un carácter esencial en la Convención. De conformidad con el artículo 27.2 del referido tratado, esos derechos forman parte del núcleo inderogable, pues no pueden ser suspendidos en casos de guerra, peligro público u otras amenazas</w:t>
      </w:r>
      <w:r w:rsidR="00F17CEB" w:rsidRPr="007C6BE8">
        <w:rPr>
          <w:rFonts w:asciiTheme="majorHAnsi" w:eastAsia="Times New Roman" w:hAnsiTheme="majorHAnsi"/>
          <w:sz w:val="20"/>
          <w:szCs w:val="20"/>
          <w:bdr w:val="none" w:sz="0" w:space="0" w:color="auto"/>
          <w:lang w:val="es-ES_tradnl"/>
        </w:rPr>
        <w:t>.</w:t>
      </w:r>
      <w:r w:rsidRPr="007C6BE8">
        <w:rPr>
          <w:rFonts w:asciiTheme="majorHAnsi" w:eastAsia="Times New Roman" w:hAnsiTheme="majorHAnsi"/>
          <w:sz w:val="20"/>
          <w:szCs w:val="20"/>
          <w:bdr w:val="none" w:sz="0" w:space="0" w:color="auto"/>
          <w:lang w:val="es-ES_tradnl"/>
        </w:rPr>
        <w:t xml:space="preserve"> </w:t>
      </w:r>
      <w:r w:rsidR="00B70C57" w:rsidRPr="007C6BE8">
        <w:rPr>
          <w:rFonts w:asciiTheme="majorHAnsi" w:hAnsiTheme="majorHAnsi"/>
          <w:sz w:val="20"/>
          <w:szCs w:val="20"/>
          <w:lang w:val="es-ES_tradnl"/>
        </w:rPr>
        <w:t xml:space="preserve">La Corte ha señalado que el deber de prevenir violaciones al derecho a la vida </w:t>
      </w:r>
      <w:r w:rsidRPr="007C6BE8">
        <w:rPr>
          <w:rFonts w:asciiTheme="majorHAnsi" w:hAnsiTheme="majorHAnsi"/>
          <w:sz w:val="20"/>
          <w:szCs w:val="20"/>
          <w:lang w:val="es-ES_tradnl"/>
        </w:rPr>
        <w:t xml:space="preserve"> y a la integridad personal </w:t>
      </w:r>
      <w:r w:rsidR="00265992" w:rsidRPr="007C6BE8">
        <w:rPr>
          <w:rFonts w:asciiTheme="majorHAnsi" w:hAnsiTheme="majorHAnsi"/>
          <w:sz w:val="20"/>
          <w:szCs w:val="20"/>
          <w:lang w:val="es-ES_tradnl"/>
        </w:rPr>
        <w:t>“abarca todas aquellas medidas de carácter jurídico, político, administrativo y cultural que promuevan la salvaguarda de los derechos humanos y que aseguren que las eventuales violaciones a los mismos sean efectivamente consideradas y tratadas como un hecho ilícito que, como tal, es susceptible de acarrear sanciones para quien las cometa, así como la obligación de indemnizar a las víctimas por sus consecuencias perjudiciales”</w:t>
      </w:r>
      <w:r w:rsidR="00265992" w:rsidRPr="007C6BE8">
        <w:rPr>
          <w:rStyle w:val="FootnoteReference"/>
          <w:rFonts w:asciiTheme="majorHAnsi" w:hAnsiTheme="majorHAnsi"/>
          <w:sz w:val="20"/>
          <w:szCs w:val="20"/>
          <w:lang w:val="es-ES_tradnl"/>
        </w:rPr>
        <w:footnoteReference w:id="93"/>
      </w:r>
      <w:r w:rsidR="00265992" w:rsidRPr="007C6BE8">
        <w:rPr>
          <w:rFonts w:asciiTheme="majorHAnsi" w:hAnsiTheme="majorHAnsi"/>
          <w:sz w:val="20"/>
          <w:szCs w:val="20"/>
          <w:lang w:val="es-ES_tradnl"/>
        </w:rPr>
        <w:t xml:space="preserve">. </w:t>
      </w:r>
    </w:p>
    <w:p w:rsidR="00056D24" w:rsidRPr="007C6BE8" w:rsidRDefault="00056D24"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056D24" w:rsidRPr="007C6BE8" w:rsidRDefault="00056D24"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ES_tradnl"/>
        </w:rPr>
        <w:t>Por otra parte, en lo que se refiere al derecho a la libertad personal, la Corte ha sostenido que en virtud del deber de garantía, “el Estado debe prevenir que la libertad de los individuos se vea menoscabada por la actuación de agentes estatales y terceros particulares, así como investigar y sancionar los actos violatorios a este derecho”</w:t>
      </w:r>
      <w:r w:rsidRPr="007C6BE8">
        <w:rPr>
          <w:rStyle w:val="FootnoteReference"/>
          <w:rFonts w:asciiTheme="majorHAnsi" w:hAnsiTheme="majorHAnsi"/>
          <w:sz w:val="20"/>
          <w:szCs w:val="20"/>
          <w:lang w:val="es-ES_tradnl"/>
        </w:rPr>
        <w:footnoteReference w:id="94"/>
      </w:r>
      <w:r w:rsidRPr="007C6BE8">
        <w:rPr>
          <w:rFonts w:asciiTheme="majorHAnsi" w:hAnsiTheme="majorHAnsi"/>
          <w:sz w:val="20"/>
          <w:szCs w:val="20"/>
          <w:lang w:val="es-ES_tradnl"/>
        </w:rPr>
        <w:t>.</w:t>
      </w:r>
    </w:p>
    <w:p w:rsidR="00B70C57" w:rsidRPr="007C6BE8" w:rsidRDefault="00B70C57"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265992" w:rsidRPr="007C6BE8" w:rsidRDefault="00265992"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PE"/>
        </w:rPr>
        <w:t xml:space="preserve">De la jurisprudencia interamericana resulta que cuando se trata de la denuncia de la desaparición de una persona, existe un vínculo inescindible entre la respuesta estatal y la protección de la vida e integridad de la persona que se denuncia desaparecida. </w:t>
      </w:r>
      <w:r w:rsidRPr="007C6BE8">
        <w:rPr>
          <w:rFonts w:asciiTheme="majorHAnsi" w:hAnsiTheme="majorHAnsi"/>
          <w:sz w:val="20"/>
          <w:szCs w:val="20"/>
          <w:lang w:val="es-EC"/>
        </w:rPr>
        <w:t xml:space="preserve">La naturaleza inmediata y exhaustiva </w:t>
      </w:r>
      <w:r w:rsidR="00E826D8" w:rsidRPr="007C6BE8">
        <w:rPr>
          <w:rFonts w:asciiTheme="majorHAnsi" w:hAnsiTheme="majorHAnsi"/>
          <w:sz w:val="20"/>
          <w:szCs w:val="20"/>
          <w:lang w:val="es-EC"/>
        </w:rPr>
        <w:t xml:space="preserve">del deber de respuesta </w:t>
      </w:r>
      <w:r w:rsidRPr="007C6BE8">
        <w:rPr>
          <w:rFonts w:asciiTheme="majorHAnsi" w:hAnsiTheme="majorHAnsi"/>
          <w:sz w:val="20"/>
          <w:szCs w:val="20"/>
          <w:lang w:val="es-EC"/>
        </w:rPr>
        <w:t xml:space="preserve">es independiente de si se trata de una posible desaparición de manos de particulares o de manos de agentes estatales. </w:t>
      </w:r>
      <w:r w:rsidRPr="007C6BE8">
        <w:rPr>
          <w:rFonts w:asciiTheme="majorHAnsi" w:hAnsiTheme="majorHAnsi"/>
          <w:bCs/>
          <w:iCs/>
          <w:sz w:val="20"/>
          <w:szCs w:val="20"/>
          <w:lang w:val="es-EC"/>
        </w:rPr>
        <w:t>La Comisión reitera que “</w:t>
      </w:r>
      <w:r w:rsidRPr="007C6BE8">
        <w:rPr>
          <w:rFonts w:asciiTheme="majorHAnsi" w:hAnsiTheme="majorHAnsi"/>
          <w:sz w:val="20"/>
          <w:szCs w:val="20"/>
          <w:lang w:val="es-CO"/>
        </w:rPr>
        <w:t xml:space="preserve">cuando haya motivos razonables para sospechar que una persona ha sido sometida a desaparición, es imprescindible la actuación pronta e </w:t>
      </w:r>
      <w:r w:rsidRPr="007C6BE8">
        <w:rPr>
          <w:rFonts w:asciiTheme="majorHAnsi" w:hAnsiTheme="majorHAnsi"/>
          <w:sz w:val="20"/>
          <w:szCs w:val="20"/>
          <w:lang w:val="es-EC"/>
        </w:rPr>
        <w:t>inmediata</w:t>
      </w:r>
      <w:r w:rsidRPr="007C6BE8">
        <w:rPr>
          <w:rFonts w:asciiTheme="majorHAnsi" w:hAnsiTheme="majorHAnsi"/>
          <w:sz w:val="20"/>
          <w:szCs w:val="20"/>
          <w:lang w:val="es-CO"/>
        </w:rPr>
        <w:t xml:space="preserve"> de las autoridades fiscales y judiciales ordenando medidas oportunas y necesarias dirigidas a la determinación del paradero de la víctima o el lugar donde pueda encontrarse privada de libertad</w:t>
      </w:r>
      <w:bookmarkStart w:id="67" w:name="_Ref280106061"/>
      <w:r w:rsidRPr="007C6BE8">
        <w:rPr>
          <w:rFonts w:asciiTheme="majorHAnsi" w:hAnsiTheme="majorHAnsi"/>
          <w:sz w:val="20"/>
          <w:szCs w:val="20"/>
          <w:lang w:val="es-CO"/>
        </w:rPr>
        <w:t>”</w:t>
      </w:r>
      <w:r w:rsidRPr="007C6BE8">
        <w:rPr>
          <w:rStyle w:val="FootnoteReference"/>
          <w:rFonts w:asciiTheme="majorHAnsi" w:hAnsiTheme="majorHAnsi"/>
          <w:sz w:val="20"/>
          <w:szCs w:val="20"/>
        </w:rPr>
        <w:footnoteReference w:id="95"/>
      </w:r>
      <w:bookmarkEnd w:id="67"/>
      <w:r w:rsidRPr="007C6BE8">
        <w:rPr>
          <w:rFonts w:asciiTheme="majorHAnsi" w:hAnsiTheme="majorHAnsi"/>
          <w:sz w:val="20"/>
          <w:szCs w:val="20"/>
          <w:lang w:val="es-CO"/>
        </w:rPr>
        <w:t xml:space="preserve">. </w:t>
      </w:r>
    </w:p>
    <w:p w:rsidR="00E5356B" w:rsidRPr="007C6BE8" w:rsidRDefault="00E5356B">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Cambria" w:hAnsiTheme="majorHAnsi" w:cs="Cambria"/>
          <w:color w:val="000000"/>
          <w:sz w:val="20"/>
          <w:szCs w:val="20"/>
          <w:u w:color="000000"/>
          <w:lang w:val="es-CO" w:eastAsia="es-ES"/>
        </w:rPr>
      </w:pPr>
    </w:p>
    <w:p w:rsidR="00056D24" w:rsidRPr="007C6BE8" w:rsidRDefault="00056D24"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O"/>
        </w:rPr>
      </w:pPr>
      <w:r w:rsidRPr="007C6BE8">
        <w:rPr>
          <w:rFonts w:asciiTheme="majorHAnsi" w:hAnsiTheme="majorHAnsi"/>
          <w:sz w:val="20"/>
          <w:szCs w:val="20"/>
          <w:lang w:val="es-CO"/>
        </w:rPr>
        <w:t xml:space="preserve">Asimismo, según lo ha señalado la Corte Interamericana, bajo denuncias de desaparición </w:t>
      </w:r>
    </w:p>
    <w:p w:rsidR="00056D24" w:rsidRPr="007C6BE8" w:rsidRDefault="00056D24"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Times New Roman" w:hAnsiTheme="majorHAnsi"/>
          <w:sz w:val="20"/>
          <w:szCs w:val="20"/>
          <w:bdr w:val="none" w:sz="0" w:space="0" w:color="auto"/>
          <w:lang w:val="es-US"/>
        </w:rPr>
      </w:pPr>
    </w:p>
    <w:p w:rsidR="006101F6" w:rsidRPr="007C6BE8" w:rsidRDefault="00426A04" w:rsidP="00180E9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contextualSpacing/>
        <w:jc w:val="both"/>
        <w:rPr>
          <w:rFonts w:asciiTheme="majorHAnsi" w:hAnsiTheme="majorHAnsi"/>
          <w:sz w:val="20"/>
          <w:szCs w:val="20"/>
          <w:lang w:val="es-ES_tradnl"/>
        </w:rPr>
      </w:pPr>
      <w:r w:rsidRPr="007C6BE8">
        <w:rPr>
          <w:rFonts w:asciiTheme="majorHAnsi" w:eastAsia="Times New Roman" w:hAnsiTheme="majorHAnsi"/>
          <w:sz w:val="20"/>
          <w:szCs w:val="20"/>
          <w:bdr w:val="none" w:sz="0" w:space="0" w:color="auto"/>
          <w:lang w:val="es-US"/>
        </w:rPr>
        <w:t xml:space="preserve">(…) </w:t>
      </w:r>
      <w:r w:rsidR="00056D24" w:rsidRPr="007C6BE8">
        <w:rPr>
          <w:rFonts w:asciiTheme="majorHAnsi" w:eastAsia="Times New Roman" w:hAnsiTheme="majorHAnsi"/>
          <w:sz w:val="20"/>
          <w:szCs w:val="20"/>
          <w:bdr w:val="none" w:sz="0" w:space="0" w:color="auto"/>
          <w:lang w:val="es-US"/>
        </w:rPr>
        <w:t>Deben existir procedimientos adecuados para las denuncias y que éstas conlleven una investigación efectiva desde las primeras horas. Las autoridades deben presumir que la persona desaparecida está privada de libertad y sigue con vida hasta que se ponga fin a la incertidumbre sobre la suerte que ha corrido</w:t>
      </w:r>
      <w:r w:rsidR="00056D24" w:rsidRPr="007C6BE8">
        <w:rPr>
          <w:rStyle w:val="FootnoteReference"/>
          <w:rFonts w:asciiTheme="majorHAnsi" w:hAnsiTheme="majorHAnsi"/>
          <w:sz w:val="20"/>
          <w:szCs w:val="20"/>
          <w:lang w:val="es-ES_tradnl"/>
        </w:rPr>
        <w:t xml:space="preserve"> </w:t>
      </w:r>
      <w:r w:rsidR="00056D24" w:rsidRPr="007C6BE8">
        <w:rPr>
          <w:rStyle w:val="FootnoteReference"/>
          <w:rFonts w:asciiTheme="majorHAnsi" w:hAnsiTheme="majorHAnsi"/>
          <w:sz w:val="20"/>
          <w:szCs w:val="20"/>
          <w:lang w:val="es-ES_tradnl"/>
        </w:rPr>
        <w:footnoteReference w:id="96"/>
      </w:r>
      <w:r w:rsidR="00056D24" w:rsidRPr="007C6BE8">
        <w:rPr>
          <w:rFonts w:asciiTheme="majorHAnsi" w:eastAsia="Times New Roman" w:hAnsiTheme="majorHAnsi"/>
          <w:sz w:val="20"/>
          <w:szCs w:val="20"/>
          <w:bdr w:val="none" w:sz="0" w:space="0" w:color="auto"/>
          <w:lang w:val="es-US"/>
        </w:rPr>
        <w:t>.</w:t>
      </w:r>
    </w:p>
    <w:p w:rsidR="0080019C" w:rsidRPr="007C6BE8" w:rsidRDefault="0080019C"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33233D" w:rsidRPr="007C6BE8" w:rsidRDefault="0080019C"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ES_tradnl"/>
        </w:rPr>
        <w:t>En el presente caso</w:t>
      </w:r>
      <w:r w:rsidR="00F17CEB" w:rsidRPr="007C6BE8">
        <w:rPr>
          <w:rFonts w:asciiTheme="majorHAnsi" w:hAnsiTheme="majorHAnsi"/>
          <w:sz w:val="20"/>
          <w:szCs w:val="20"/>
          <w:lang w:val="es-ES_tradnl"/>
        </w:rPr>
        <w:t>,</w:t>
      </w:r>
      <w:r w:rsidRPr="007C6BE8">
        <w:rPr>
          <w:rFonts w:asciiTheme="majorHAnsi" w:hAnsiTheme="majorHAnsi"/>
          <w:sz w:val="20"/>
          <w:szCs w:val="20"/>
          <w:lang w:val="es-ES_tradnl"/>
        </w:rPr>
        <w:t xml:space="preserve"> la Comisión observa que </w:t>
      </w:r>
      <w:r w:rsidR="0033233D" w:rsidRPr="007C6BE8">
        <w:rPr>
          <w:rFonts w:asciiTheme="majorHAnsi" w:hAnsiTheme="majorHAnsi"/>
          <w:sz w:val="20"/>
          <w:szCs w:val="20"/>
          <w:lang w:val="es-ES_tradnl"/>
        </w:rPr>
        <w:t xml:space="preserve">el Estado no ha controvertido que la señora Lucila Restrepo puso en conocimiento de diversas entidades del Estado desde el 6 de junio de 1992 la desaparición del señor Norberto Javier Restrepo. La Comisión recapitula que de acuerdo a la narración señalada por la madre del señor Restrepo i) </w:t>
      </w:r>
      <w:r w:rsidR="0033233D" w:rsidRPr="007C6BE8">
        <w:rPr>
          <w:rFonts w:asciiTheme="majorHAnsi" w:hAnsiTheme="majorHAnsi"/>
          <w:sz w:val="20"/>
          <w:szCs w:val="20"/>
          <w:lang w:val="es-CR"/>
        </w:rPr>
        <w:t xml:space="preserve">el 6 de junio realizó llamadas telefónicas a una policlínica, y hospitales, a las inspecciones de policía y al F-2 y dio aviso a una emisora radial; ii) el 7 de junio de 1992 se desplazó a la Procuraduría Departamental de Medellín donde “verbalmente denunció la desaparición de su hijo”; iii) el 8 de junio se dirigió nuevamente a la oficina del Procurador quien llamó a la Brigada Cuarta del Ejército recibiendo información en relación con que el operativo en la carretera “Las Palmas” había sido desarrollado por la Policía Nacional; iv) el 9 de junio de 1992 presentó de manera escrita la “denuncia de la desaparición de su hijo” ante la Procuraduría Departamental y v) el 10 de junio de 1992 la señora Lucila Restrepo formuló denuncia formal ante </w:t>
      </w:r>
      <w:r w:rsidR="00422EF6" w:rsidRPr="007C6BE8">
        <w:rPr>
          <w:rFonts w:asciiTheme="majorHAnsi" w:hAnsiTheme="majorHAnsi"/>
          <w:sz w:val="20"/>
          <w:szCs w:val="20"/>
          <w:lang w:val="es-CR"/>
        </w:rPr>
        <w:t xml:space="preserve">un </w:t>
      </w:r>
      <w:r w:rsidR="0033233D" w:rsidRPr="007C6BE8">
        <w:rPr>
          <w:rFonts w:asciiTheme="majorHAnsi" w:hAnsiTheme="majorHAnsi"/>
          <w:sz w:val="20"/>
          <w:szCs w:val="20"/>
          <w:lang w:val="es-CR"/>
        </w:rPr>
        <w:t xml:space="preserve">Juzgado de Instrucción Criminal. </w:t>
      </w:r>
    </w:p>
    <w:p w:rsidR="0033233D" w:rsidRPr="007C6BE8" w:rsidRDefault="0033233D"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6101F6" w:rsidRPr="007C6BE8" w:rsidRDefault="00056D24"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CR"/>
        </w:rPr>
      </w:pPr>
      <w:r w:rsidRPr="007C6BE8">
        <w:rPr>
          <w:rFonts w:asciiTheme="majorHAnsi" w:hAnsiTheme="majorHAnsi"/>
          <w:sz w:val="20"/>
          <w:szCs w:val="20"/>
          <w:lang w:val="es-CR"/>
        </w:rPr>
        <w:t>La Comisión observa que de conf</w:t>
      </w:r>
      <w:r w:rsidR="0033233D" w:rsidRPr="007C6BE8">
        <w:rPr>
          <w:rFonts w:asciiTheme="majorHAnsi" w:hAnsiTheme="majorHAnsi"/>
          <w:sz w:val="20"/>
          <w:szCs w:val="20"/>
          <w:lang w:val="es-CR"/>
        </w:rPr>
        <w:t xml:space="preserve">ormidad con los peticionarios, la Procuraduría habría sido la única entidad que realizó algunas acciones dirigidas a encontrar al señor Restrepo, en particular, algunas </w:t>
      </w:r>
      <w:r w:rsidR="0033233D" w:rsidRPr="007C6BE8">
        <w:rPr>
          <w:rFonts w:asciiTheme="majorHAnsi" w:hAnsiTheme="majorHAnsi"/>
          <w:sz w:val="20"/>
          <w:szCs w:val="20"/>
          <w:lang w:val="es-CR"/>
        </w:rPr>
        <w:lastRenderedPageBreak/>
        <w:t>llamadas telefónicas a la Cuarta Brigada del Ejército, al Departamento Administrativo de Seguridad</w:t>
      </w:r>
      <w:r w:rsidR="00CD62F6" w:rsidRPr="007C6BE8">
        <w:rPr>
          <w:rFonts w:asciiTheme="majorHAnsi" w:hAnsiTheme="majorHAnsi"/>
          <w:sz w:val="20"/>
          <w:szCs w:val="20"/>
          <w:lang w:val="es-CR"/>
        </w:rPr>
        <w:t xml:space="preserve"> y </w:t>
      </w:r>
      <w:r w:rsidR="0033233D" w:rsidRPr="007C6BE8">
        <w:rPr>
          <w:rFonts w:asciiTheme="majorHAnsi" w:hAnsiTheme="majorHAnsi"/>
          <w:sz w:val="20"/>
          <w:szCs w:val="20"/>
          <w:lang w:val="es-CR"/>
        </w:rPr>
        <w:t xml:space="preserve">la cárcel de Bellavista sin éxito alguno.  </w:t>
      </w:r>
    </w:p>
    <w:p w:rsidR="00CD62F6" w:rsidRPr="007C6BE8" w:rsidRDefault="00CD62F6"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AC7575" w:rsidRPr="007C6BE8" w:rsidRDefault="0033233D"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ES_tradnl"/>
        </w:rPr>
        <w:t xml:space="preserve">La Comisión </w:t>
      </w:r>
      <w:r w:rsidR="00056D24" w:rsidRPr="007C6BE8">
        <w:rPr>
          <w:rFonts w:asciiTheme="majorHAnsi" w:hAnsiTheme="majorHAnsi"/>
          <w:sz w:val="20"/>
          <w:szCs w:val="20"/>
          <w:lang w:val="es-ES_tradnl"/>
        </w:rPr>
        <w:t xml:space="preserve">considera </w:t>
      </w:r>
      <w:r w:rsidRPr="007C6BE8">
        <w:rPr>
          <w:rFonts w:asciiTheme="majorHAnsi" w:hAnsiTheme="majorHAnsi"/>
          <w:sz w:val="20"/>
          <w:szCs w:val="20"/>
          <w:lang w:val="es-ES_tradnl"/>
        </w:rPr>
        <w:t xml:space="preserve">que </w:t>
      </w:r>
      <w:r w:rsidR="00426A04" w:rsidRPr="007C6BE8">
        <w:rPr>
          <w:rFonts w:asciiTheme="majorHAnsi" w:hAnsiTheme="majorHAnsi"/>
          <w:sz w:val="20"/>
          <w:szCs w:val="20"/>
          <w:lang w:val="es-ES_tradnl"/>
        </w:rPr>
        <w:t xml:space="preserve">en este tipo de casos </w:t>
      </w:r>
      <w:r w:rsidR="0080019C" w:rsidRPr="007C6BE8">
        <w:rPr>
          <w:rFonts w:asciiTheme="majorHAnsi" w:hAnsiTheme="majorHAnsi"/>
          <w:sz w:val="20"/>
          <w:szCs w:val="20"/>
          <w:lang w:val="es-ES_tradnl"/>
        </w:rPr>
        <w:t xml:space="preserve">el Estado </w:t>
      </w:r>
      <w:r w:rsidR="006101F6" w:rsidRPr="007C6BE8">
        <w:rPr>
          <w:rFonts w:asciiTheme="majorHAnsi" w:hAnsiTheme="majorHAnsi"/>
          <w:sz w:val="20"/>
          <w:szCs w:val="20"/>
          <w:lang w:val="es-ES_tradnl"/>
        </w:rPr>
        <w:t>tiene la carga de probar que sus autoridades procedieron de manera diligente con las investigaciones</w:t>
      </w:r>
      <w:r w:rsidR="0077503C" w:rsidRPr="007C6BE8">
        <w:rPr>
          <w:rFonts w:asciiTheme="majorHAnsi" w:hAnsiTheme="majorHAnsi"/>
          <w:sz w:val="20"/>
          <w:szCs w:val="20"/>
          <w:lang w:val="es-ES_tradnl"/>
        </w:rPr>
        <w:t xml:space="preserve"> tras ser informada</w:t>
      </w:r>
      <w:r w:rsidR="00AC7575" w:rsidRPr="007C6BE8">
        <w:rPr>
          <w:rFonts w:asciiTheme="majorHAnsi" w:hAnsiTheme="majorHAnsi"/>
          <w:sz w:val="20"/>
          <w:szCs w:val="20"/>
          <w:lang w:val="es-ES_tradnl"/>
        </w:rPr>
        <w:t xml:space="preserve">s de </w:t>
      </w:r>
      <w:r w:rsidR="00426A04" w:rsidRPr="007C6BE8">
        <w:rPr>
          <w:rFonts w:asciiTheme="majorHAnsi" w:hAnsiTheme="majorHAnsi"/>
          <w:sz w:val="20"/>
          <w:szCs w:val="20"/>
          <w:lang w:val="es-ES_tradnl"/>
        </w:rPr>
        <w:t xml:space="preserve">una desaparición. Sin embargo, </w:t>
      </w:r>
      <w:r w:rsidR="006101F6" w:rsidRPr="007C6BE8">
        <w:rPr>
          <w:rFonts w:asciiTheme="majorHAnsi" w:hAnsiTheme="majorHAnsi"/>
          <w:sz w:val="20"/>
          <w:szCs w:val="20"/>
          <w:lang w:val="es-ES_tradnl"/>
        </w:rPr>
        <w:t xml:space="preserve"> </w:t>
      </w:r>
      <w:r w:rsidR="00056D24" w:rsidRPr="007C6BE8">
        <w:rPr>
          <w:rFonts w:asciiTheme="majorHAnsi" w:hAnsiTheme="majorHAnsi"/>
          <w:sz w:val="20"/>
          <w:szCs w:val="20"/>
          <w:lang w:val="es-ES_tradnl"/>
        </w:rPr>
        <w:t>durante el trámite ante la Comisión</w:t>
      </w:r>
      <w:r w:rsidR="00426A04" w:rsidRPr="007C6BE8">
        <w:rPr>
          <w:rFonts w:asciiTheme="majorHAnsi" w:hAnsiTheme="majorHAnsi"/>
          <w:sz w:val="20"/>
          <w:szCs w:val="20"/>
          <w:lang w:val="es-ES_tradnl"/>
        </w:rPr>
        <w:t xml:space="preserve"> el Estado</w:t>
      </w:r>
      <w:r w:rsidR="00056D24" w:rsidRPr="007C6BE8">
        <w:rPr>
          <w:rFonts w:asciiTheme="majorHAnsi" w:hAnsiTheme="majorHAnsi"/>
          <w:sz w:val="20"/>
          <w:szCs w:val="20"/>
          <w:lang w:val="es-ES_tradnl"/>
        </w:rPr>
        <w:t xml:space="preserve"> no ha proporcionado prueba alguna</w:t>
      </w:r>
      <w:r w:rsidR="00426A04" w:rsidRPr="007C6BE8">
        <w:rPr>
          <w:rFonts w:asciiTheme="majorHAnsi" w:hAnsiTheme="majorHAnsi"/>
          <w:sz w:val="20"/>
          <w:szCs w:val="20"/>
          <w:lang w:val="es-ES_tradnl"/>
        </w:rPr>
        <w:t xml:space="preserve"> </w:t>
      </w:r>
      <w:r w:rsidRPr="007C6BE8">
        <w:rPr>
          <w:rFonts w:asciiTheme="majorHAnsi" w:hAnsiTheme="majorHAnsi"/>
          <w:sz w:val="20"/>
          <w:szCs w:val="20"/>
          <w:lang w:val="es-ES_tradnl"/>
        </w:rPr>
        <w:t xml:space="preserve">que </w:t>
      </w:r>
      <w:r w:rsidR="0080019C" w:rsidRPr="007C6BE8">
        <w:rPr>
          <w:rFonts w:asciiTheme="majorHAnsi" w:hAnsiTheme="majorHAnsi"/>
          <w:sz w:val="20"/>
          <w:szCs w:val="20"/>
          <w:lang w:val="es-ES_tradnl"/>
        </w:rPr>
        <w:t>acredite</w:t>
      </w:r>
      <w:r w:rsidR="00426A04" w:rsidRPr="007C6BE8">
        <w:rPr>
          <w:rFonts w:asciiTheme="majorHAnsi" w:hAnsiTheme="majorHAnsi"/>
          <w:sz w:val="20"/>
          <w:szCs w:val="20"/>
          <w:lang w:val="es-ES_tradnl"/>
        </w:rPr>
        <w:t xml:space="preserve"> la realización de </w:t>
      </w:r>
      <w:r w:rsidR="0080019C" w:rsidRPr="007C6BE8">
        <w:rPr>
          <w:rFonts w:asciiTheme="majorHAnsi" w:hAnsiTheme="majorHAnsi"/>
          <w:sz w:val="20"/>
          <w:szCs w:val="20"/>
          <w:lang w:val="es-ES_tradnl"/>
        </w:rPr>
        <w:t xml:space="preserve">acciones </w:t>
      </w:r>
      <w:r w:rsidR="00AC7575" w:rsidRPr="007C6BE8">
        <w:rPr>
          <w:rFonts w:asciiTheme="majorHAnsi" w:hAnsiTheme="majorHAnsi"/>
          <w:sz w:val="20"/>
          <w:szCs w:val="20"/>
          <w:lang w:val="es-ES_tradnl"/>
        </w:rPr>
        <w:t xml:space="preserve">inmediatas </w:t>
      </w:r>
      <w:r w:rsidR="00426A04" w:rsidRPr="007C6BE8">
        <w:rPr>
          <w:rFonts w:asciiTheme="majorHAnsi" w:hAnsiTheme="majorHAnsi"/>
          <w:sz w:val="20"/>
          <w:szCs w:val="20"/>
          <w:lang w:val="es-ES_tradnl"/>
        </w:rPr>
        <w:t xml:space="preserve"> y su seguimiento por parte de </w:t>
      </w:r>
      <w:r w:rsidR="00056D24" w:rsidRPr="007C6BE8">
        <w:rPr>
          <w:rFonts w:asciiTheme="majorHAnsi" w:hAnsiTheme="majorHAnsi"/>
          <w:sz w:val="20"/>
          <w:szCs w:val="20"/>
          <w:lang w:val="es-ES_tradnl"/>
        </w:rPr>
        <w:t xml:space="preserve">sus agentes con el objetivo de </w:t>
      </w:r>
      <w:r w:rsidR="0080019C" w:rsidRPr="007C6BE8">
        <w:rPr>
          <w:rFonts w:asciiTheme="majorHAnsi" w:hAnsiTheme="majorHAnsi"/>
          <w:sz w:val="20"/>
          <w:szCs w:val="20"/>
          <w:lang w:val="es-ES_tradnl"/>
        </w:rPr>
        <w:t xml:space="preserve">encontrar </w:t>
      </w:r>
      <w:r w:rsidR="00F17CEB" w:rsidRPr="007C6BE8">
        <w:rPr>
          <w:rFonts w:asciiTheme="majorHAnsi" w:hAnsiTheme="majorHAnsi"/>
          <w:sz w:val="20"/>
          <w:szCs w:val="20"/>
          <w:lang w:val="es-ES_tradnl"/>
        </w:rPr>
        <w:t xml:space="preserve">al </w:t>
      </w:r>
      <w:r w:rsidR="0080019C" w:rsidRPr="007C6BE8">
        <w:rPr>
          <w:rFonts w:asciiTheme="majorHAnsi" w:hAnsiTheme="majorHAnsi"/>
          <w:sz w:val="20"/>
          <w:szCs w:val="20"/>
          <w:lang w:val="es-ES_tradnl"/>
        </w:rPr>
        <w:t>señor Norberto Javier Restrepo</w:t>
      </w:r>
      <w:r w:rsidR="00F17CEB" w:rsidRPr="007C6BE8">
        <w:rPr>
          <w:rFonts w:asciiTheme="majorHAnsi" w:hAnsiTheme="majorHAnsi"/>
          <w:sz w:val="20"/>
          <w:szCs w:val="20"/>
          <w:lang w:val="es-ES_tradnl"/>
        </w:rPr>
        <w:t xml:space="preserve"> con vida</w:t>
      </w:r>
      <w:r w:rsidR="0080019C" w:rsidRPr="007C6BE8">
        <w:rPr>
          <w:rFonts w:asciiTheme="majorHAnsi" w:hAnsiTheme="majorHAnsi"/>
          <w:sz w:val="20"/>
          <w:szCs w:val="20"/>
          <w:lang w:val="es-ES_tradnl"/>
        </w:rPr>
        <w:t>.</w:t>
      </w:r>
      <w:r w:rsidRPr="007C6BE8">
        <w:rPr>
          <w:rFonts w:asciiTheme="majorHAnsi" w:hAnsiTheme="majorHAnsi"/>
          <w:sz w:val="20"/>
          <w:szCs w:val="20"/>
          <w:lang w:val="es-ES_tradnl"/>
        </w:rPr>
        <w:t xml:space="preserve"> </w:t>
      </w:r>
    </w:p>
    <w:p w:rsidR="00AC7575" w:rsidRPr="007C6BE8" w:rsidRDefault="00AC7575"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845255" w:rsidRPr="007C6BE8" w:rsidRDefault="0033233D"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ES_tradnl"/>
        </w:rPr>
        <w:t xml:space="preserve"> </w:t>
      </w:r>
      <w:r w:rsidR="00265992" w:rsidRPr="007C6BE8">
        <w:rPr>
          <w:rFonts w:asciiTheme="majorHAnsi" w:hAnsiTheme="majorHAnsi"/>
          <w:sz w:val="20"/>
          <w:szCs w:val="20"/>
          <w:lang w:val="es-EC"/>
        </w:rPr>
        <w:t>La Comisión considera que</w:t>
      </w:r>
      <w:r w:rsidR="001E279A" w:rsidRPr="007C6BE8">
        <w:rPr>
          <w:rFonts w:asciiTheme="majorHAnsi" w:hAnsiTheme="majorHAnsi"/>
          <w:sz w:val="20"/>
          <w:szCs w:val="20"/>
          <w:lang w:val="es-EC"/>
        </w:rPr>
        <w:t xml:space="preserve"> por</w:t>
      </w:r>
      <w:r w:rsidR="00265992" w:rsidRPr="007C6BE8">
        <w:rPr>
          <w:rFonts w:asciiTheme="majorHAnsi" w:hAnsiTheme="majorHAnsi"/>
          <w:sz w:val="20"/>
          <w:szCs w:val="20"/>
          <w:lang w:val="es-EC"/>
        </w:rPr>
        <w:t xml:space="preserve"> la naturaleza misma de los hechos denunciados debió ser explícita para las autoridades estatales la situación de riesgo extremo </w:t>
      </w:r>
      <w:r w:rsidR="006101F6" w:rsidRPr="007C6BE8">
        <w:rPr>
          <w:rFonts w:asciiTheme="majorHAnsi" w:hAnsiTheme="majorHAnsi"/>
          <w:sz w:val="20"/>
          <w:szCs w:val="20"/>
          <w:lang w:val="es-EC"/>
        </w:rPr>
        <w:t xml:space="preserve">en que se encontraba </w:t>
      </w:r>
      <w:r w:rsidR="001E279A" w:rsidRPr="007C6BE8">
        <w:rPr>
          <w:rFonts w:asciiTheme="majorHAnsi" w:hAnsiTheme="majorHAnsi"/>
          <w:sz w:val="20"/>
          <w:szCs w:val="20"/>
          <w:lang w:val="es-EC"/>
        </w:rPr>
        <w:t xml:space="preserve">el señor Restrepo. </w:t>
      </w:r>
      <w:r w:rsidR="00F17CEB" w:rsidRPr="007C6BE8">
        <w:rPr>
          <w:rFonts w:asciiTheme="majorHAnsi" w:hAnsiTheme="majorHAnsi"/>
          <w:sz w:val="20"/>
          <w:szCs w:val="20"/>
          <w:lang w:val="es-EC"/>
        </w:rPr>
        <w:t xml:space="preserve">En este sentido, </w:t>
      </w:r>
      <w:r w:rsidR="00F17CEB" w:rsidRPr="007C6BE8">
        <w:rPr>
          <w:rFonts w:asciiTheme="majorHAnsi" w:hAnsiTheme="majorHAnsi"/>
          <w:sz w:val="20"/>
          <w:szCs w:val="20"/>
          <w:lang w:val="es-ES_tradnl"/>
        </w:rPr>
        <w:t>l</w:t>
      </w:r>
      <w:r w:rsidR="00933023" w:rsidRPr="007C6BE8">
        <w:rPr>
          <w:rFonts w:asciiTheme="majorHAnsi" w:hAnsiTheme="majorHAnsi"/>
          <w:sz w:val="20"/>
          <w:szCs w:val="20"/>
          <w:lang w:val="es-ES_tradnl"/>
        </w:rPr>
        <w:t>a Comisión considera que la</w:t>
      </w:r>
      <w:r w:rsidR="00AC7575" w:rsidRPr="007C6BE8">
        <w:rPr>
          <w:rFonts w:asciiTheme="majorHAnsi" w:hAnsiTheme="majorHAnsi"/>
          <w:sz w:val="20"/>
          <w:szCs w:val="20"/>
          <w:lang w:val="es-ES_tradnl"/>
        </w:rPr>
        <w:t xml:space="preserve"> sola mención por parte de los peticionarios de llamadas por parte de la Procuraduría a diversas entidades que negaron tener bajo su custodia al señor Restrepo, no es suficiente para acreditar que el Estado actuó de manera diligente con el objetivo de procurar encontrar al señor Restrepo con vida.</w:t>
      </w:r>
      <w:r w:rsidR="001E279A" w:rsidRPr="007C6BE8">
        <w:rPr>
          <w:rFonts w:asciiTheme="majorHAnsi" w:hAnsiTheme="majorHAnsi"/>
          <w:sz w:val="20"/>
          <w:szCs w:val="20"/>
          <w:lang w:val="es-ES_tradnl"/>
        </w:rPr>
        <w:t xml:space="preserve"> Esto resulta aún más claro cuando </w:t>
      </w:r>
      <w:r w:rsidR="00623923" w:rsidRPr="007C6BE8">
        <w:rPr>
          <w:rFonts w:asciiTheme="majorHAnsi" w:hAnsiTheme="majorHAnsi"/>
          <w:sz w:val="20"/>
          <w:szCs w:val="20"/>
          <w:lang w:val="es-ES_tradnl"/>
        </w:rPr>
        <w:t xml:space="preserve">no se realizó ninguna acción de búsqueda, no obstante, </w:t>
      </w:r>
      <w:r w:rsidR="005F115B" w:rsidRPr="007C6BE8">
        <w:rPr>
          <w:rFonts w:asciiTheme="majorHAnsi" w:hAnsiTheme="majorHAnsi"/>
          <w:sz w:val="20"/>
          <w:szCs w:val="20"/>
          <w:lang w:val="es-ES_tradnl"/>
        </w:rPr>
        <w:t xml:space="preserve">una de las autoridades habría </w:t>
      </w:r>
      <w:r w:rsidR="00845255" w:rsidRPr="007C6BE8">
        <w:rPr>
          <w:rFonts w:asciiTheme="majorHAnsi" w:hAnsiTheme="majorHAnsi"/>
          <w:sz w:val="20"/>
          <w:szCs w:val="20"/>
          <w:lang w:val="es-ES_tradnl"/>
        </w:rPr>
        <w:t xml:space="preserve">informado </w:t>
      </w:r>
      <w:r w:rsidR="005F115B" w:rsidRPr="007C6BE8">
        <w:rPr>
          <w:rFonts w:asciiTheme="majorHAnsi" w:hAnsiTheme="majorHAnsi"/>
          <w:sz w:val="20"/>
          <w:szCs w:val="20"/>
          <w:lang w:val="es-ES_tradnl"/>
        </w:rPr>
        <w:t xml:space="preserve">que efectivamente se habría realizado un operativo en la zona. </w:t>
      </w:r>
    </w:p>
    <w:p w:rsidR="00845255" w:rsidRPr="007C6BE8" w:rsidRDefault="00845255"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845255" w:rsidRPr="007C6BE8" w:rsidRDefault="005F115B"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ES_tradnl"/>
        </w:rPr>
        <w:t xml:space="preserve">La Comisión </w:t>
      </w:r>
      <w:r w:rsidR="00845255" w:rsidRPr="007C6BE8">
        <w:rPr>
          <w:rFonts w:asciiTheme="majorHAnsi" w:hAnsiTheme="majorHAnsi"/>
          <w:sz w:val="20"/>
          <w:szCs w:val="20"/>
          <w:lang w:val="es-ES_tradnl"/>
        </w:rPr>
        <w:t xml:space="preserve">advierte la </w:t>
      </w:r>
      <w:r w:rsidR="00F17CEB" w:rsidRPr="007C6BE8">
        <w:rPr>
          <w:rFonts w:asciiTheme="majorHAnsi" w:hAnsiTheme="majorHAnsi"/>
          <w:sz w:val="20"/>
          <w:szCs w:val="20"/>
          <w:lang w:val="es-ES_tradnl"/>
        </w:rPr>
        <w:t xml:space="preserve">importancia de caracterizar la </w:t>
      </w:r>
      <w:r w:rsidR="00845255" w:rsidRPr="007C6BE8">
        <w:rPr>
          <w:rFonts w:asciiTheme="majorHAnsi" w:hAnsiTheme="majorHAnsi"/>
          <w:sz w:val="20"/>
          <w:szCs w:val="20"/>
          <w:lang w:val="es-ES_tradnl"/>
        </w:rPr>
        <w:t xml:space="preserve">insuficiencia de tales diligencias </w:t>
      </w:r>
      <w:r w:rsidR="00AC7575" w:rsidRPr="007C6BE8">
        <w:rPr>
          <w:rFonts w:asciiTheme="majorHAnsi" w:hAnsiTheme="majorHAnsi"/>
          <w:sz w:val="20"/>
          <w:szCs w:val="20"/>
          <w:lang w:val="es-ES_tradnl"/>
        </w:rPr>
        <w:t>tomando en cuenta las connotaciones específicas que surgen por su propia naturaleza y complejidad del fenómeno investigado, en el c</w:t>
      </w:r>
      <w:r w:rsidR="0077503C" w:rsidRPr="007C6BE8">
        <w:rPr>
          <w:rFonts w:asciiTheme="majorHAnsi" w:hAnsiTheme="majorHAnsi"/>
          <w:sz w:val="20"/>
          <w:szCs w:val="20"/>
          <w:lang w:val="es-ES_tradnl"/>
        </w:rPr>
        <w:t xml:space="preserve">ual una de las características </w:t>
      </w:r>
      <w:r w:rsidR="00AC7575" w:rsidRPr="007C6BE8">
        <w:rPr>
          <w:rFonts w:asciiTheme="majorHAnsi" w:hAnsiTheme="majorHAnsi"/>
          <w:sz w:val="20"/>
          <w:szCs w:val="20"/>
          <w:lang w:val="es-ES_tradnl"/>
        </w:rPr>
        <w:t>es precisamente la negativa de rec</w:t>
      </w:r>
      <w:r w:rsidR="0077503C" w:rsidRPr="007C6BE8">
        <w:rPr>
          <w:rFonts w:asciiTheme="majorHAnsi" w:hAnsiTheme="majorHAnsi"/>
          <w:sz w:val="20"/>
          <w:szCs w:val="20"/>
          <w:lang w:val="es-ES_tradnl"/>
        </w:rPr>
        <w:t>onocer la detención y de revelar</w:t>
      </w:r>
      <w:r w:rsidR="00AC7575" w:rsidRPr="007C6BE8">
        <w:rPr>
          <w:rFonts w:asciiTheme="majorHAnsi" w:hAnsiTheme="majorHAnsi"/>
          <w:sz w:val="20"/>
          <w:szCs w:val="20"/>
          <w:lang w:val="es-ES_tradnl"/>
        </w:rPr>
        <w:t xml:space="preserve"> la suerte o el pa</w:t>
      </w:r>
      <w:r w:rsidR="0077503C" w:rsidRPr="007C6BE8">
        <w:rPr>
          <w:rFonts w:asciiTheme="majorHAnsi" w:hAnsiTheme="majorHAnsi"/>
          <w:sz w:val="20"/>
          <w:szCs w:val="20"/>
          <w:lang w:val="es-ES_tradnl"/>
        </w:rPr>
        <w:t>radero de la persona afectada</w:t>
      </w:r>
      <w:r w:rsidR="00AC7575" w:rsidRPr="007C6BE8">
        <w:rPr>
          <w:rFonts w:asciiTheme="majorHAnsi" w:hAnsiTheme="majorHAnsi"/>
          <w:sz w:val="20"/>
          <w:szCs w:val="20"/>
          <w:lang w:val="es-ES_tradnl"/>
        </w:rPr>
        <w:t>. Sobre este aspecto, la Corte Interamericana ha precisado que no sería “lógico ni razonable investigar una desaparición forzada y supeditar su esclarecimiento a la aceptación o confesión de los posibles responsables o autoridades involucradas”</w:t>
      </w:r>
      <w:r w:rsidR="00AC7575" w:rsidRPr="007C6BE8">
        <w:rPr>
          <w:rStyle w:val="FootnoteReference"/>
          <w:rFonts w:asciiTheme="majorHAnsi" w:hAnsiTheme="majorHAnsi"/>
          <w:sz w:val="20"/>
          <w:szCs w:val="20"/>
          <w:lang w:val="es-CR"/>
        </w:rPr>
        <w:t xml:space="preserve"> </w:t>
      </w:r>
      <w:r w:rsidR="00AC7575" w:rsidRPr="007C6BE8">
        <w:rPr>
          <w:rStyle w:val="FootnoteReference"/>
          <w:rFonts w:asciiTheme="majorHAnsi" w:hAnsiTheme="majorHAnsi"/>
          <w:sz w:val="20"/>
          <w:szCs w:val="20"/>
          <w:lang w:val="es-CR"/>
        </w:rPr>
        <w:footnoteReference w:id="97"/>
      </w:r>
      <w:r w:rsidR="00AC7575" w:rsidRPr="007C6BE8">
        <w:rPr>
          <w:rFonts w:asciiTheme="majorHAnsi" w:hAnsiTheme="majorHAnsi"/>
          <w:sz w:val="20"/>
          <w:szCs w:val="20"/>
          <w:lang w:val="es-ES_tradnl"/>
        </w:rPr>
        <w:t>.</w:t>
      </w:r>
      <w:r w:rsidR="00F17CEB" w:rsidRPr="007C6BE8">
        <w:rPr>
          <w:rFonts w:asciiTheme="majorHAnsi" w:hAnsiTheme="majorHAnsi"/>
          <w:sz w:val="20"/>
          <w:szCs w:val="20"/>
          <w:lang w:val="es-ES_tradnl"/>
        </w:rPr>
        <w:t xml:space="preserve"> De esta forma, </w:t>
      </w:r>
      <w:r w:rsidR="00845255" w:rsidRPr="007C6BE8">
        <w:rPr>
          <w:rFonts w:asciiTheme="majorHAnsi" w:hAnsiTheme="majorHAnsi"/>
          <w:sz w:val="20"/>
          <w:szCs w:val="20"/>
          <w:lang w:val="es-SV"/>
        </w:rPr>
        <w:t>no “</w:t>
      </w:r>
      <w:r w:rsidR="00845255" w:rsidRPr="007C6BE8">
        <w:rPr>
          <w:rFonts w:asciiTheme="majorHAnsi" w:hAnsiTheme="majorHAnsi"/>
          <w:sz w:val="20"/>
          <w:szCs w:val="20"/>
          <w:lang w:val="es-PE"/>
        </w:rPr>
        <w:t>resulta</w:t>
      </w:r>
      <w:r w:rsidR="00845255" w:rsidRPr="007C6BE8">
        <w:rPr>
          <w:rFonts w:asciiTheme="majorHAnsi" w:hAnsiTheme="majorHAnsi"/>
          <w:sz w:val="20"/>
          <w:szCs w:val="20"/>
          <w:lang w:val="es-SV"/>
        </w:rPr>
        <w:t xml:space="preserve"> razonable o diligente ni constituye un recurso efectivo la mera verificación formal con los registros oficiales de detenidos como la ocurrida en el presente caso, o la aceptación como verdadera de la negación de la detención por los presuntos responsables sin una verificación objetiva, imparcial e independiente de la misma”</w:t>
      </w:r>
      <w:r w:rsidR="00845255" w:rsidRPr="007C6BE8">
        <w:rPr>
          <w:rStyle w:val="FootnoteReference"/>
          <w:rFonts w:asciiTheme="majorHAnsi" w:hAnsiTheme="majorHAnsi"/>
          <w:sz w:val="20"/>
          <w:szCs w:val="20"/>
          <w:lang w:val="es-SV"/>
        </w:rPr>
        <w:footnoteReference w:id="98"/>
      </w:r>
      <w:r w:rsidR="00845255" w:rsidRPr="007C6BE8">
        <w:rPr>
          <w:rFonts w:asciiTheme="majorHAnsi" w:hAnsiTheme="majorHAnsi"/>
          <w:sz w:val="20"/>
          <w:szCs w:val="20"/>
          <w:lang w:val="es-SV"/>
        </w:rPr>
        <w:t>.</w:t>
      </w:r>
    </w:p>
    <w:p w:rsidR="00933023" w:rsidRPr="007C6BE8" w:rsidRDefault="00933023"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933023" w:rsidRPr="007C6BE8" w:rsidRDefault="00933023"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CR"/>
        </w:rPr>
        <w:t>La Comisión nota que el Estado durante el trámite ante la Comisión exclusivamente se limitó a mencionar que por la denuncia realiza</w:t>
      </w:r>
      <w:r w:rsidR="002C4FD6" w:rsidRPr="007C6BE8">
        <w:rPr>
          <w:rFonts w:asciiTheme="majorHAnsi" w:hAnsiTheme="majorHAnsi"/>
          <w:sz w:val="20"/>
          <w:szCs w:val="20"/>
          <w:lang w:val="es-CR"/>
        </w:rPr>
        <w:t>d</w:t>
      </w:r>
      <w:r w:rsidRPr="007C6BE8">
        <w:rPr>
          <w:rFonts w:asciiTheme="majorHAnsi" w:hAnsiTheme="majorHAnsi"/>
          <w:sz w:val="20"/>
          <w:szCs w:val="20"/>
          <w:lang w:val="es-CR"/>
        </w:rPr>
        <w:t xml:space="preserve">a el 10 de junio de 1992 se inició ante los Juzgados de Instrucción Criminal una investigación bajo la calificación jurídica de “secuestro”. </w:t>
      </w:r>
      <w:r w:rsidR="005F115B" w:rsidRPr="007C6BE8">
        <w:rPr>
          <w:rFonts w:asciiTheme="majorHAnsi" w:hAnsiTheme="majorHAnsi"/>
          <w:sz w:val="20"/>
          <w:szCs w:val="20"/>
          <w:lang w:val="es-CR"/>
        </w:rPr>
        <w:t>La Comisión considera que a</w:t>
      </w:r>
      <w:r w:rsidRPr="007C6BE8">
        <w:rPr>
          <w:rFonts w:asciiTheme="majorHAnsi" w:hAnsiTheme="majorHAnsi"/>
          <w:sz w:val="20"/>
          <w:szCs w:val="20"/>
          <w:lang w:val="es-CR"/>
        </w:rPr>
        <w:t xml:space="preserve">demás de la posible falta de idoneidad de la calificación de los hechos conforme a la situación denunciada, </w:t>
      </w:r>
      <w:r w:rsidR="005F115B" w:rsidRPr="007C6BE8">
        <w:rPr>
          <w:rFonts w:asciiTheme="majorHAnsi" w:hAnsiTheme="majorHAnsi"/>
          <w:sz w:val="20"/>
          <w:szCs w:val="20"/>
          <w:lang w:val="es-CR"/>
        </w:rPr>
        <w:t xml:space="preserve">el Estado no aportó prueba sobre </w:t>
      </w:r>
      <w:r w:rsidRPr="007C6BE8">
        <w:rPr>
          <w:rFonts w:asciiTheme="majorHAnsi" w:hAnsiTheme="majorHAnsi"/>
          <w:sz w:val="20"/>
          <w:szCs w:val="20"/>
          <w:lang w:val="es-CR"/>
        </w:rPr>
        <w:t xml:space="preserve">diligencia </w:t>
      </w:r>
      <w:r w:rsidR="005F115B" w:rsidRPr="007C6BE8">
        <w:rPr>
          <w:rFonts w:asciiTheme="majorHAnsi" w:hAnsiTheme="majorHAnsi"/>
          <w:sz w:val="20"/>
          <w:szCs w:val="20"/>
          <w:lang w:val="es-CR"/>
        </w:rPr>
        <w:t xml:space="preserve">judicial alguna </w:t>
      </w:r>
      <w:r w:rsidRPr="007C6BE8">
        <w:rPr>
          <w:rFonts w:asciiTheme="majorHAnsi" w:hAnsiTheme="majorHAnsi"/>
          <w:sz w:val="20"/>
          <w:szCs w:val="20"/>
          <w:lang w:val="es-CR"/>
        </w:rPr>
        <w:t>realizada de forma inmediata</w:t>
      </w:r>
      <w:r w:rsidR="005F115B" w:rsidRPr="007C6BE8">
        <w:rPr>
          <w:rFonts w:asciiTheme="majorHAnsi" w:hAnsiTheme="majorHAnsi"/>
          <w:sz w:val="20"/>
          <w:szCs w:val="20"/>
          <w:lang w:val="es-CR"/>
        </w:rPr>
        <w:t xml:space="preserve"> con el objetivo de encontrar al señor Restrepo</w:t>
      </w:r>
      <w:r w:rsidR="0077503C" w:rsidRPr="007C6BE8">
        <w:rPr>
          <w:rFonts w:asciiTheme="majorHAnsi" w:hAnsiTheme="majorHAnsi"/>
          <w:sz w:val="20"/>
          <w:szCs w:val="20"/>
          <w:lang w:val="es-CR"/>
        </w:rPr>
        <w:t xml:space="preserve"> y solo </w:t>
      </w:r>
      <w:r w:rsidR="00756717" w:rsidRPr="007C6BE8">
        <w:rPr>
          <w:rFonts w:asciiTheme="majorHAnsi" w:hAnsiTheme="majorHAnsi"/>
          <w:sz w:val="20"/>
          <w:szCs w:val="20"/>
          <w:lang w:val="es-CR"/>
        </w:rPr>
        <w:t xml:space="preserve">mencionó </w:t>
      </w:r>
      <w:r w:rsidR="0077503C" w:rsidRPr="007C6BE8">
        <w:rPr>
          <w:rFonts w:asciiTheme="majorHAnsi" w:hAnsiTheme="majorHAnsi"/>
          <w:sz w:val="20"/>
          <w:szCs w:val="20"/>
          <w:lang w:val="es-CR"/>
        </w:rPr>
        <w:t>diligencias con posterioridad a que el cuerpo fue identificado por el padre del señor Restr</w:t>
      </w:r>
      <w:r w:rsidR="00623923" w:rsidRPr="007C6BE8">
        <w:rPr>
          <w:rFonts w:asciiTheme="majorHAnsi" w:hAnsiTheme="majorHAnsi"/>
          <w:sz w:val="20"/>
          <w:szCs w:val="20"/>
          <w:lang w:val="es-CR"/>
        </w:rPr>
        <w:t>e</w:t>
      </w:r>
      <w:r w:rsidR="0077503C" w:rsidRPr="007C6BE8">
        <w:rPr>
          <w:rFonts w:asciiTheme="majorHAnsi" w:hAnsiTheme="majorHAnsi"/>
          <w:sz w:val="20"/>
          <w:szCs w:val="20"/>
          <w:lang w:val="es-CR"/>
        </w:rPr>
        <w:t xml:space="preserve">po, el 11 de junio de 1992,  es </w:t>
      </w:r>
      <w:r w:rsidR="00623923" w:rsidRPr="007C6BE8">
        <w:rPr>
          <w:rFonts w:asciiTheme="majorHAnsi" w:hAnsiTheme="majorHAnsi"/>
          <w:sz w:val="20"/>
          <w:szCs w:val="20"/>
          <w:lang w:val="es-CR"/>
        </w:rPr>
        <w:t xml:space="preserve">decir, 5 días después de que su madre </w:t>
      </w:r>
      <w:r w:rsidR="0077503C" w:rsidRPr="007C6BE8">
        <w:rPr>
          <w:rFonts w:asciiTheme="majorHAnsi" w:hAnsiTheme="majorHAnsi"/>
          <w:sz w:val="20"/>
          <w:szCs w:val="20"/>
          <w:lang w:val="es-CR"/>
        </w:rPr>
        <w:t>indagó por primera vez sobre su paradero</w:t>
      </w:r>
      <w:r w:rsidR="00623923" w:rsidRPr="007C6BE8">
        <w:rPr>
          <w:rFonts w:asciiTheme="majorHAnsi" w:hAnsiTheme="majorHAnsi"/>
          <w:sz w:val="20"/>
          <w:szCs w:val="20"/>
          <w:lang w:val="es-CR"/>
        </w:rPr>
        <w:t xml:space="preserve"> y puso en conocimiento de las autoridades la desaparición</w:t>
      </w:r>
      <w:r w:rsidR="0077503C" w:rsidRPr="007C6BE8">
        <w:rPr>
          <w:rFonts w:asciiTheme="majorHAnsi" w:hAnsiTheme="majorHAnsi"/>
          <w:sz w:val="20"/>
          <w:szCs w:val="20"/>
          <w:lang w:val="es-CR"/>
        </w:rPr>
        <w:t xml:space="preserve">. </w:t>
      </w:r>
      <w:r w:rsidR="00C57F36" w:rsidRPr="007C6BE8">
        <w:rPr>
          <w:rFonts w:asciiTheme="majorHAnsi" w:hAnsiTheme="majorHAnsi"/>
          <w:sz w:val="20"/>
          <w:szCs w:val="20"/>
          <w:lang w:val="es-CR"/>
        </w:rPr>
        <w:t>Sobre este</w:t>
      </w:r>
      <w:r w:rsidR="00756717" w:rsidRPr="007C6BE8">
        <w:rPr>
          <w:rFonts w:asciiTheme="majorHAnsi" w:hAnsiTheme="majorHAnsi"/>
          <w:sz w:val="20"/>
          <w:szCs w:val="20"/>
          <w:lang w:val="es-CR"/>
        </w:rPr>
        <w:t xml:space="preserve"> punto, la Comisión estima pertinente hacer notar que si bien el cuerpo del señor Restrepo se encontró –sin identificar- el 9 de junio de 1995, no consta información en el expediente que indique que fue como resultado de las diligen</w:t>
      </w:r>
      <w:r w:rsidR="00623923" w:rsidRPr="007C6BE8">
        <w:rPr>
          <w:rFonts w:asciiTheme="majorHAnsi" w:hAnsiTheme="majorHAnsi"/>
          <w:sz w:val="20"/>
          <w:szCs w:val="20"/>
          <w:lang w:val="es-CR"/>
        </w:rPr>
        <w:t>cias realizadas para encontrar al señor Restrepo</w:t>
      </w:r>
      <w:r w:rsidR="00756717" w:rsidRPr="007C6BE8">
        <w:rPr>
          <w:rFonts w:asciiTheme="majorHAnsi" w:hAnsiTheme="majorHAnsi"/>
          <w:sz w:val="20"/>
          <w:szCs w:val="20"/>
          <w:lang w:val="es-CR"/>
        </w:rPr>
        <w:t xml:space="preserve">, y es un hecho no controvertido que </w:t>
      </w:r>
      <w:r w:rsidR="002C4FD6" w:rsidRPr="007C6BE8">
        <w:rPr>
          <w:rFonts w:asciiTheme="majorHAnsi" w:hAnsiTheme="majorHAnsi"/>
          <w:sz w:val="20"/>
          <w:szCs w:val="20"/>
          <w:lang w:val="es-CR"/>
        </w:rPr>
        <w:t xml:space="preserve">fue enterrado </w:t>
      </w:r>
      <w:r w:rsidR="00756717" w:rsidRPr="007C6BE8">
        <w:rPr>
          <w:rFonts w:asciiTheme="majorHAnsi" w:hAnsiTheme="majorHAnsi"/>
          <w:sz w:val="20"/>
          <w:szCs w:val="20"/>
          <w:lang w:val="es-CR"/>
        </w:rPr>
        <w:t>como “NN”</w:t>
      </w:r>
      <w:r w:rsidR="00796B1E" w:rsidRPr="007C6BE8">
        <w:rPr>
          <w:rFonts w:asciiTheme="majorHAnsi" w:hAnsiTheme="majorHAnsi"/>
          <w:sz w:val="20"/>
          <w:szCs w:val="20"/>
          <w:lang w:val="es-CR"/>
        </w:rPr>
        <w:t xml:space="preserve"> sin practicarle previamente una necropsia</w:t>
      </w:r>
      <w:r w:rsidR="00756717" w:rsidRPr="007C6BE8">
        <w:rPr>
          <w:rFonts w:asciiTheme="majorHAnsi" w:hAnsiTheme="majorHAnsi"/>
          <w:sz w:val="20"/>
          <w:szCs w:val="20"/>
          <w:lang w:val="es-CR"/>
        </w:rPr>
        <w:t>.</w:t>
      </w:r>
    </w:p>
    <w:p w:rsidR="00933023" w:rsidRPr="007C6BE8" w:rsidRDefault="00933023"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933023" w:rsidRPr="007C6BE8" w:rsidRDefault="00933023"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ES_tradnl"/>
        </w:rPr>
        <w:t xml:space="preserve">En razón de lo expuesto en esta sección, la Comisión concluye que las actuaciones iniciales </w:t>
      </w:r>
      <w:r w:rsidR="005F115B" w:rsidRPr="007C6BE8">
        <w:rPr>
          <w:rFonts w:asciiTheme="majorHAnsi" w:hAnsiTheme="majorHAnsi"/>
          <w:sz w:val="20"/>
          <w:szCs w:val="20"/>
          <w:lang w:val="es-ES_tradnl"/>
        </w:rPr>
        <w:t xml:space="preserve">por parte del Estado </w:t>
      </w:r>
      <w:r w:rsidRPr="007C6BE8">
        <w:rPr>
          <w:rFonts w:asciiTheme="majorHAnsi" w:hAnsiTheme="majorHAnsi"/>
          <w:sz w:val="20"/>
          <w:szCs w:val="20"/>
          <w:lang w:val="es-ES_tradnl"/>
        </w:rPr>
        <w:t xml:space="preserve">no revelan </w:t>
      </w:r>
      <w:r w:rsidR="005F115B" w:rsidRPr="007C6BE8">
        <w:rPr>
          <w:rFonts w:asciiTheme="majorHAnsi" w:hAnsiTheme="majorHAnsi"/>
          <w:sz w:val="20"/>
          <w:szCs w:val="20"/>
          <w:lang w:val="es-ES_tradnl"/>
        </w:rPr>
        <w:t xml:space="preserve">una conducta diligente dirigida a proteger los derechos a la vida, integridad y libertad personal </w:t>
      </w:r>
      <w:r w:rsidR="00845255" w:rsidRPr="007C6BE8">
        <w:rPr>
          <w:rFonts w:asciiTheme="majorHAnsi" w:hAnsiTheme="majorHAnsi"/>
          <w:sz w:val="20"/>
          <w:szCs w:val="20"/>
          <w:lang w:val="es-ES_tradnl"/>
        </w:rPr>
        <w:t xml:space="preserve">frente a las denuncias de desaparición </w:t>
      </w:r>
      <w:r w:rsidR="005F115B" w:rsidRPr="007C6BE8">
        <w:rPr>
          <w:rFonts w:asciiTheme="majorHAnsi" w:hAnsiTheme="majorHAnsi"/>
          <w:sz w:val="20"/>
          <w:szCs w:val="20"/>
          <w:lang w:val="es-ES_tradnl"/>
        </w:rPr>
        <w:t>del señor Norberto Javier Restrepo. Esta</w:t>
      </w:r>
      <w:r w:rsidR="00D9791A" w:rsidRPr="007C6BE8">
        <w:rPr>
          <w:rFonts w:asciiTheme="majorHAnsi" w:hAnsiTheme="majorHAnsi"/>
          <w:sz w:val="20"/>
          <w:szCs w:val="20"/>
          <w:lang w:val="es-ES_tradnl"/>
        </w:rPr>
        <w:t>s omisiones constituyeron, en sí mismas, violacio</w:t>
      </w:r>
      <w:r w:rsidR="005F115B" w:rsidRPr="007C6BE8">
        <w:rPr>
          <w:rFonts w:asciiTheme="majorHAnsi" w:hAnsiTheme="majorHAnsi"/>
          <w:sz w:val="20"/>
          <w:szCs w:val="20"/>
          <w:lang w:val="es-ES_tradnl"/>
        </w:rPr>
        <w:t>n</w:t>
      </w:r>
      <w:r w:rsidR="00D9791A" w:rsidRPr="007C6BE8">
        <w:rPr>
          <w:rFonts w:asciiTheme="majorHAnsi" w:hAnsiTheme="majorHAnsi"/>
          <w:sz w:val="20"/>
          <w:szCs w:val="20"/>
          <w:lang w:val="es-ES_tradnl"/>
        </w:rPr>
        <w:t>es</w:t>
      </w:r>
      <w:r w:rsidR="005F115B" w:rsidRPr="007C6BE8">
        <w:rPr>
          <w:rFonts w:asciiTheme="majorHAnsi" w:hAnsiTheme="majorHAnsi"/>
          <w:sz w:val="20"/>
          <w:szCs w:val="20"/>
          <w:lang w:val="es-ES_tradnl"/>
        </w:rPr>
        <w:t xml:space="preserve"> </w:t>
      </w:r>
      <w:r w:rsidR="00D9791A" w:rsidRPr="007C6BE8">
        <w:rPr>
          <w:rFonts w:asciiTheme="majorHAnsi" w:hAnsiTheme="majorHAnsi"/>
          <w:sz w:val="20"/>
          <w:szCs w:val="20"/>
          <w:lang w:val="es-ES_tradnl"/>
        </w:rPr>
        <w:t>de</w:t>
      </w:r>
      <w:r w:rsidR="005F115B" w:rsidRPr="007C6BE8">
        <w:rPr>
          <w:rFonts w:asciiTheme="majorHAnsi" w:hAnsiTheme="majorHAnsi"/>
          <w:sz w:val="20"/>
          <w:szCs w:val="20"/>
          <w:lang w:val="es-ES_tradnl"/>
        </w:rPr>
        <w:t>l deber</w:t>
      </w:r>
      <w:r w:rsidR="00845255" w:rsidRPr="007C6BE8">
        <w:rPr>
          <w:rFonts w:asciiTheme="majorHAnsi" w:hAnsiTheme="majorHAnsi"/>
          <w:sz w:val="20"/>
          <w:szCs w:val="20"/>
          <w:lang w:val="es-ES_tradnl"/>
        </w:rPr>
        <w:t xml:space="preserve"> de garantía de tales derechos y</w:t>
      </w:r>
      <w:r w:rsidR="00D9791A" w:rsidRPr="007C6BE8">
        <w:rPr>
          <w:rFonts w:asciiTheme="majorHAnsi" w:hAnsiTheme="majorHAnsi"/>
          <w:sz w:val="20"/>
          <w:szCs w:val="20"/>
          <w:lang w:val="es-ES_tradnl"/>
        </w:rPr>
        <w:t>,</w:t>
      </w:r>
      <w:r w:rsidR="00845255" w:rsidRPr="007C6BE8">
        <w:rPr>
          <w:rFonts w:asciiTheme="majorHAnsi" w:hAnsiTheme="majorHAnsi"/>
          <w:sz w:val="20"/>
          <w:szCs w:val="20"/>
          <w:lang w:val="es-ES_tradnl"/>
        </w:rPr>
        <w:t xml:space="preserve"> a</w:t>
      </w:r>
      <w:r w:rsidR="005F115B" w:rsidRPr="007C6BE8">
        <w:rPr>
          <w:rFonts w:asciiTheme="majorHAnsi" w:hAnsiTheme="majorHAnsi"/>
          <w:sz w:val="20"/>
          <w:szCs w:val="20"/>
          <w:lang w:val="es-ES_tradnl"/>
        </w:rPr>
        <w:t xml:space="preserve">dicionalmente, </w:t>
      </w:r>
      <w:r w:rsidR="0077503C" w:rsidRPr="007C6BE8">
        <w:rPr>
          <w:rFonts w:asciiTheme="majorHAnsi" w:hAnsiTheme="majorHAnsi"/>
          <w:sz w:val="20"/>
          <w:szCs w:val="20"/>
          <w:lang w:val="es-ES_tradnl"/>
        </w:rPr>
        <w:t xml:space="preserve">permite a la Comisión notar </w:t>
      </w:r>
      <w:r w:rsidR="00845255" w:rsidRPr="007C6BE8">
        <w:rPr>
          <w:rFonts w:asciiTheme="majorHAnsi" w:hAnsiTheme="majorHAnsi"/>
          <w:sz w:val="20"/>
          <w:szCs w:val="20"/>
          <w:lang w:val="es-ES_tradnl"/>
        </w:rPr>
        <w:t xml:space="preserve">la falta de acciones de búsqueda específica frente a la denuncia de desaparición del señor Norberto Javier Restrepo </w:t>
      </w:r>
      <w:r w:rsidR="00756717" w:rsidRPr="007C6BE8">
        <w:rPr>
          <w:rFonts w:asciiTheme="majorHAnsi" w:hAnsiTheme="majorHAnsi"/>
          <w:sz w:val="20"/>
          <w:szCs w:val="20"/>
          <w:lang w:val="es-ES_tradnl"/>
        </w:rPr>
        <w:t xml:space="preserve">posibilitando así la continuidad de su </w:t>
      </w:r>
      <w:r w:rsidR="00BA6AE3" w:rsidRPr="007C6BE8">
        <w:rPr>
          <w:rFonts w:asciiTheme="majorHAnsi" w:hAnsiTheme="majorHAnsi"/>
          <w:sz w:val="20"/>
          <w:szCs w:val="20"/>
          <w:lang w:val="es-ES_tradnl"/>
        </w:rPr>
        <w:t>desaparición y su</w:t>
      </w:r>
      <w:r w:rsidR="00845255" w:rsidRPr="007C6BE8">
        <w:rPr>
          <w:rFonts w:asciiTheme="majorHAnsi" w:hAnsiTheme="majorHAnsi"/>
          <w:sz w:val="20"/>
          <w:szCs w:val="20"/>
          <w:lang w:val="es-ES_tradnl"/>
        </w:rPr>
        <w:t xml:space="preserve"> ejecución.</w:t>
      </w:r>
    </w:p>
    <w:p w:rsidR="00BA6AE3" w:rsidRPr="007C6BE8" w:rsidRDefault="00BA6AE3" w:rsidP="00BA6AE3">
      <w:pPr>
        <w:pStyle w:val="ListParagraph"/>
        <w:rPr>
          <w:rFonts w:asciiTheme="majorHAnsi" w:hAnsiTheme="majorHAnsi"/>
          <w:sz w:val="20"/>
          <w:szCs w:val="20"/>
          <w:lang w:val="es-ES_tradnl"/>
        </w:rPr>
      </w:pPr>
    </w:p>
    <w:p w:rsidR="00BA6AE3" w:rsidRPr="007C6BE8" w:rsidRDefault="00BA6AE3"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ES_tradnl"/>
        </w:rPr>
        <w:lastRenderedPageBreak/>
        <w:t>En virtud de lo anterior, la Comisión concluye que el Estado incurrió en violación de los derechos a la vida, integridad y libertad personal</w:t>
      </w:r>
      <w:r w:rsidR="002C4FD6" w:rsidRPr="007C6BE8">
        <w:rPr>
          <w:rFonts w:asciiTheme="majorHAnsi" w:hAnsiTheme="majorHAnsi"/>
          <w:sz w:val="20"/>
          <w:szCs w:val="20"/>
          <w:lang w:val="es-ES_tradnl"/>
        </w:rPr>
        <w:t>,</w:t>
      </w:r>
      <w:r w:rsidR="00BE0550" w:rsidRPr="007C6BE8">
        <w:rPr>
          <w:rFonts w:asciiTheme="majorHAnsi" w:hAnsiTheme="majorHAnsi"/>
          <w:sz w:val="20"/>
          <w:szCs w:val="20"/>
          <w:lang w:val="es-ES_tradnl"/>
        </w:rPr>
        <w:t xml:space="preserve"> </w:t>
      </w:r>
      <w:r w:rsidRPr="007C6BE8">
        <w:rPr>
          <w:rFonts w:asciiTheme="majorHAnsi" w:hAnsiTheme="majorHAnsi"/>
          <w:sz w:val="20"/>
          <w:szCs w:val="20"/>
          <w:lang w:val="es-ES_tradnl"/>
        </w:rPr>
        <w:t>establecidos en los artículos 4, 5 y 7 de la Convención Americana, en relación con el deber de garantía establecido en el artí</w:t>
      </w:r>
      <w:r w:rsidR="00BE0550" w:rsidRPr="007C6BE8">
        <w:rPr>
          <w:rFonts w:asciiTheme="majorHAnsi" w:hAnsiTheme="majorHAnsi"/>
          <w:sz w:val="20"/>
          <w:szCs w:val="20"/>
          <w:lang w:val="es-ES_tradnl"/>
        </w:rPr>
        <w:t xml:space="preserve">culo 1.1 del mismo instrumento, en perjuicio del señor Norberto Javier Restrepo. </w:t>
      </w:r>
    </w:p>
    <w:p w:rsidR="00FE277B" w:rsidRPr="007C6BE8" w:rsidRDefault="00FE277B"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b/>
          <w:sz w:val="20"/>
          <w:szCs w:val="20"/>
          <w:lang w:val="es-ES_tradnl"/>
        </w:rPr>
      </w:pPr>
    </w:p>
    <w:p w:rsidR="00845FB3" w:rsidRPr="007C6BE8" w:rsidRDefault="003541CD" w:rsidP="003541C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hanging="720"/>
        <w:contextualSpacing/>
        <w:jc w:val="both"/>
        <w:outlineLvl w:val="1"/>
        <w:rPr>
          <w:rFonts w:asciiTheme="majorHAnsi" w:hAnsiTheme="majorHAnsi"/>
          <w:b/>
          <w:sz w:val="20"/>
          <w:szCs w:val="20"/>
          <w:lang w:val="es-MX"/>
        </w:rPr>
      </w:pPr>
      <w:bookmarkStart w:id="68" w:name="_Toc421786418"/>
      <w:bookmarkStart w:id="69" w:name="_Toc529794720"/>
      <w:r w:rsidRPr="007C6BE8">
        <w:rPr>
          <w:rFonts w:asciiTheme="majorHAnsi" w:hAnsiTheme="majorHAnsi"/>
          <w:b/>
          <w:sz w:val="20"/>
          <w:szCs w:val="20"/>
          <w:lang w:val="es-ES_tradnl"/>
        </w:rPr>
        <w:t>B</w:t>
      </w:r>
      <w:r w:rsidR="0060350D" w:rsidRPr="007C6BE8">
        <w:rPr>
          <w:rFonts w:asciiTheme="majorHAnsi" w:hAnsiTheme="majorHAnsi"/>
          <w:b/>
          <w:sz w:val="20"/>
          <w:szCs w:val="20"/>
          <w:lang w:val="es-ES_tradnl"/>
        </w:rPr>
        <w:t xml:space="preserve">. </w:t>
      </w:r>
      <w:r w:rsidR="00180E93" w:rsidRPr="007C6BE8">
        <w:rPr>
          <w:rFonts w:asciiTheme="majorHAnsi" w:hAnsiTheme="majorHAnsi"/>
          <w:b/>
          <w:sz w:val="20"/>
          <w:szCs w:val="20"/>
          <w:lang w:val="es-ES_tradnl"/>
        </w:rPr>
        <w:tab/>
      </w:r>
      <w:r w:rsidR="00845255" w:rsidRPr="007C6BE8">
        <w:rPr>
          <w:rFonts w:asciiTheme="majorHAnsi" w:hAnsiTheme="majorHAnsi"/>
          <w:b/>
          <w:sz w:val="20"/>
          <w:szCs w:val="20"/>
          <w:lang w:val="es-ES_tradnl"/>
        </w:rPr>
        <w:t>Respuesta del Estado al momento de tomar conocimiento de la muerte del señor Norberto Javier Restrepo</w:t>
      </w:r>
      <w:r w:rsidR="00845FB3" w:rsidRPr="007C6BE8">
        <w:rPr>
          <w:rFonts w:asciiTheme="majorHAnsi" w:hAnsiTheme="majorHAnsi"/>
          <w:b/>
          <w:sz w:val="20"/>
          <w:szCs w:val="20"/>
          <w:lang w:val="es-ES_tradnl"/>
        </w:rPr>
        <w:t xml:space="preserve"> (</w:t>
      </w:r>
      <w:r w:rsidR="00C57F36" w:rsidRPr="007C6BE8">
        <w:rPr>
          <w:rFonts w:asciiTheme="majorHAnsi" w:hAnsiTheme="majorHAnsi"/>
          <w:b/>
          <w:sz w:val="20"/>
          <w:szCs w:val="20"/>
          <w:lang w:val="es-ES_tradnl"/>
        </w:rPr>
        <w:t>artículos 8 (</w:t>
      </w:r>
      <w:r w:rsidR="00845FB3" w:rsidRPr="007C6BE8">
        <w:rPr>
          <w:rFonts w:asciiTheme="majorHAnsi" w:hAnsiTheme="majorHAnsi"/>
          <w:b/>
          <w:sz w:val="20"/>
          <w:szCs w:val="20"/>
          <w:lang w:val="es-MX"/>
        </w:rPr>
        <w:t>garantías judiciales</w:t>
      </w:r>
      <w:r w:rsidR="00C57F36" w:rsidRPr="007C6BE8">
        <w:rPr>
          <w:rFonts w:asciiTheme="majorHAnsi" w:hAnsiTheme="majorHAnsi"/>
          <w:b/>
          <w:sz w:val="20"/>
          <w:szCs w:val="20"/>
          <w:lang w:val="es-MX"/>
        </w:rPr>
        <w:t>)</w:t>
      </w:r>
      <w:r w:rsidR="00845FB3" w:rsidRPr="007C6BE8">
        <w:rPr>
          <w:rStyle w:val="FootnoteReference"/>
          <w:rFonts w:asciiTheme="majorHAnsi" w:hAnsiTheme="majorHAnsi"/>
          <w:b/>
          <w:sz w:val="20"/>
          <w:szCs w:val="20"/>
        </w:rPr>
        <w:footnoteReference w:id="99"/>
      </w:r>
      <w:r w:rsidR="00845FB3" w:rsidRPr="007C6BE8">
        <w:rPr>
          <w:rFonts w:asciiTheme="majorHAnsi" w:hAnsiTheme="majorHAnsi"/>
          <w:b/>
          <w:sz w:val="20"/>
          <w:szCs w:val="20"/>
          <w:lang w:val="es-MX"/>
        </w:rPr>
        <w:t xml:space="preserve"> y</w:t>
      </w:r>
      <w:r w:rsidR="00C57F36" w:rsidRPr="007C6BE8">
        <w:rPr>
          <w:rFonts w:asciiTheme="majorHAnsi" w:hAnsiTheme="majorHAnsi"/>
          <w:b/>
          <w:sz w:val="20"/>
          <w:szCs w:val="20"/>
          <w:lang w:val="es-MX"/>
        </w:rPr>
        <w:t xml:space="preserve"> 25 (</w:t>
      </w:r>
      <w:r w:rsidR="00845FB3" w:rsidRPr="007C6BE8">
        <w:rPr>
          <w:rFonts w:asciiTheme="majorHAnsi" w:hAnsiTheme="majorHAnsi"/>
          <w:b/>
          <w:sz w:val="20"/>
          <w:szCs w:val="20"/>
          <w:lang w:val="es-MX"/>
        </w:rPr>
        <w:t>protección judicial</w:t>
      </w:r>
      <w:r w:rsidR="00C57F36" w:rsidRPr="007C6BE8">
        <w:rPr>
          <w:rFonts w:asciiTheme="majorHAnsi" w:hAnsiTheme="majorHAnsi"/>
          <w:b/>
          <w:sz w:val="20"/>
          <w:szCs w:val="20"/>
          <w:lang w:val="es-MX"/>
        </w:rPr>
        <w:t>)</w:t>
      </w:r>
      <w:r w:rsidR="00845FB3" w:rsidRPr="007C6BE8">
        <w:rPr>
          <w:rStyle w:val="FootnoteReference"/>
          <w:rFonts w:asciiTheme="majorHAnsi" w:hAnsiTheme="majorHAnsi"/>
          <w:b/>
          <w:sz w:val="20"/>
          <w:szCs w:val="20"/>
        </w:rPr>
        <w:footnoteReference w:id="100"/>
      </w:r>
      <w:r w:rsidR="00C57F36" w:rsidRPr="007C6BE8">
        <w:rPr>
          <w:rFonts w:asciiTheme="majorHAnsi" w:hAnsiTheme="majorHAnsi"/>
          <w:b/>
          <w:sz w:val="20"/>
          <w:szCs w:val="20"/>
          <w:lang w:val="es-MX"/>
        </w:rPr>
        <w:t xml:space="preserve"> de la Convención Americana</w:t>
      </w:r>
      <w:r w:rsidR="00845FB3" w:rsidRPr="007C6BE8">
        <w:rPr>
          <w:rFonts w:asciiTheme="majorHAnsi" w:hAnsiTheme="majorHAnsi"/>
          <w:b/>
          <w:sz w:val="20"/>
          <w:szCs w:val="20"/>
          <w:lang w:val="es-MX"/>
        </w:rPr>
        <w:t>)</w:t>
      </w:r>
      <w:bookmarkEnd w:id="68"/>
      <w:bookmarkEnd w:id="69"/>
    </w:p>
    <w:p w:rsidR="00845FB3" w:rsidRPr="007C6BE8" w:rsidRDefault="00845FB3"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b/>
          <w:sz w:val="20"/>
          <w:szCs w:val="20"/>
          <w:lang w:val="es-ES_tradnl"/>
        </w:rPr>
      </w:pPr>
    </w:p>
    <w:p w:rsidR="002C7C64" w:rsidRPr="007C6BE8" w:rsidRDefault="0040581C"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ES_tradnl"/>
        </w:rPr>
        <w:t>L</w:t>
      </w:r>
      <w:r w:rsidR="00CB7B84" w:rsidRPr="007C6BE8">
        <w:rPr>
          <w:rFonts w:asciiTheme="majorHAnsi" w:hAnsiTheme="majorHAnsi"/>
          <w:sz w:val="20"/>
          <w:szCs w:val="20"/>
          <w:lang w:val="es-ES_tradnl"/>
        </w:rPr>
        <w:t>a Comisión analizará si e</w:t>
      </w:r>
      <w:r w:rsidR="002C4FD6" w:rsidRPr="007C6BE8">
        <w:rPr>
          <w:rFonts w:asciiTheme="majorHAnsi" w:hAnsiTheme="majorHAnsi"/>
          <w:sz w:val="20"/>
          <w:szCs w:val="20"/>
          <w:lang w:val="es-ES_tradnl"/>
        </w:rPr>
        <w:t>n</w:t>
      </w:r>
      <w:r w:rsidR="00CB7B84" w:rsidRPr="007C6BE8">
        <w:rPr>
          <w:rFonts w:asciiTheme="majorHAnsi" w:hAnsiTheme="majorHAnsi"/>
          <w:sz w:val="20"/>
          <w:szCs w:val="20"/>
          <w:lang w:val="es-ES_tradnl"/>
        </w:rPr>
        <w:t xml:space="preserve"> </w:t>
      </w:r>
      <w:r w:rsidR="002C4FD6" w:rsidRPr="007C6BE8">
        <w:rPr>
          <w:rFonts w:asciiTheme="majorHAnsi" w:hAnsiTheme="majorHAnsi"/>
          <w:sz w:val="20"/>
          <w:szCs w:val="20"/>
          <w:lang w:val="es-ES_tradnl"/>
        </w:rPr>
        <w:t xml:space="preserve">el </w:t>
      </w:r>
      <w:r w:rsidR="00CB7B84" w:rsidRPr="007C6BE8">
        <w:rPr>
          <w:rFonts w:asciiTheme="majorHAnsi" w:hAnsiTheme="majorHAnsi"/>
          <w:sz w:val="20"/>
          <w:szCs w:val="20"/>
          <w:lang w:val="es-ES_tradnl"/>
        </w:rPr>
        <w:t xml:space="preserve">presente caso el Estado de Colombia llevó a cabo una investigación seria y diligente, </w:t>
      </w:r>
      <w:r w:rsidR="00DF16E9" w:rsidRPr="007C6BE8">
        <w:rPr>
          <w:rFonts w:asciiTheme="majorHAnsi" w:hAnsiTheme="majorHAnsi"/>
          <w:sz w:val="20"/>
          <w:szCs w:val="20"/>
          <w:lang w:val="es-ES_tradnl"/>
        </w:rPr>
        <w:t>en un plazo razonable, sobre la</w:t>
      </w:r>
      <w:r w:rsidR="00CB7B84" w:rsidRPr="007C6BE8">
        <w:rPr>
          <w:rFonts w:asciiTheme="majorHAnsi" w:hAnsiTheme="majorHAnsi"/>
          <w:sz w:val="20"/>
          <w:szCs w:val="20"/>
          <w:lang w:val="es-ES_tradnl"/>
        </w:rPr>
        <w:t xml:space="preserve"> muerte del señor Restrepo, </w:t>
      </w:r>
      <w:r w:rsidR="00DF16E9" w:rsidRPr="007C6BE8">
        <w:rPr>
          <w:rFonts w:asciiTheme="majorHAnsi" w:hAnsiTheme="majorHAnsi"/>
          <w:sz w:val="20"/>
          <w:szCs w:val="20"/>
          <w:lang w:val="es-ES_tradnl"/>
        </w:rPr>
        <w:t xml:space="preserve">con el objetivo de </w:t>
      </w:r>
      <w:r w:rsidR="00CB7B84" w:rsidRPr="007C6BE8">
        <w:rPr>
          <w:rFonts w:asciiTheme="majorHAnsi" w:hAnsiTheme="majorHAnsi"/>
          <w:sz w:val="20"/>
          <w:szCs w:val="20"/>
          <w:lang w:val="es-ES_tradnl"/>
        </w:rPr>
        <w:t xml:space="preserve">asegurar el acceso a un recurso judicial efectivo que esclarezca la situación en que tuvo lugar su muerte. </w:t>
      </w:r>
    </w:p>
    <w:p w:rsidR="002C7C64" w:rsidRPr="007C6BE8" w:rsidRDefault="002C7C64"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60350D" w:rsidRPr="007C6BE8" w:rsidRDefault="00CB7B84"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ES_tradnl"/>
        </w:rPr>
        <w:t xml:space="preserve">La Comisión considera pertinente aclarar que al </w:t>
      </w:r>
      <w:r w:rsidR="002C7C64" w:rsidRPr="007C6BE8">
        <w:rPr>
          <w:rFonts w:asciiTheme="majorHAnsi" w:hAnsiTheme="majorHAnsi"/>
          <w:sz w:val="20"/>
          <w:szCs w:val="20"/>
          <w:lang w:val="es-ES_tradnl"/>
        </w:rPr>
        <w:t xml:space="preserve">tratarse el presente </w:t>
      </w:r>
      <w:r w:rsidRPr="007C6BE8">
        <w:rPr>
          <w:rFonts w:asciiTheme="majorHAnsi" w:hAnsiTheme="majorHAnsi"/>
          <w:sz w:val="20"/>
          <w:szCs w:val="20"/>
          <w:lang w:val="es-ES_tradnl"/>
        </w:rPr>
        <w:t xml:space="preserve">análisis </w:t>
      </w:r>
      <w:r w:rsidR="002C7C64" w:rsidRPr="007C6BE8">
        <w:rPr>
          <w:rFonts w:asciiTheme="majorHAnsi" w:hAnsiTheme="majorHAnsi"/>
          <w:sz w:val="20"/>
          <w:szCs w:val="20"/>
          <w:lang w:val="es-ES_tradnl"/>
        </w:rPr>
        <w:t xml:space="preserve">sobre la debida diligencia y plazo razonable de las investigaciones, además de traducirse en un análisis sobre el cumplimiento de las obligaciones consagradas en los artículos 8 y 25 de la Convención, de acreditarse lo señalado por los peticionarios respecto de una actuación del Estado dirigida a </w:t>
      </w:r>
      <w:r w:rsidR="00756717" w:rsidRPr="007C6BE8">
        <w:rPr>
          <w:rFonts w:asciiTheme="majorHAnsi" w:hAnsiTheme="majorHAnsi"/>
          <w:sz w:val="20"/>
          <w:szCs w:val="20"/>
          <w:lang w:val="es-ES_tradnl"/>
        </w:rPr>
        <w:t xml:space="preserve">“desviar” </w:t>
      </w:r>
      <w:r w:rsidR="002C7C64" w:rsidRPr="007C6BE8">
        <w:rPr>
          <w:rFonts w:asciiTheme="majorHAnsi" w:hAnsiTheme="majorHAnsi"/>
          <w:sz w:val="20"/>
          <w:szCs w:val="20"/>
          <w:lang w:val="es-ES_tradnl"/>
        </w:rPr>
        <w:t xml:space="preserve">los indicios  de participación estatal en los hechos, la Comisión podrá considerarlo como un indicio </w:t>
      </w:r>
      <w:r w:rsidR="00756717" w:rsidRPr="007C6BE8">
        <w:rPr>
          <w:rFonts w:asciiTheme="majorHAnsi" w:hAnsiTheme="majorHAnsi"/>
          <w:sz w:val="20"/>
          <w:szCs w:val="20"/>
          <w:lang w:val="es-ES_tradnl"/>
        </w:rPr>
        <w:t xml:space="preserve">más </w:t>
      </w:r>
      <w:r w:rsidR="002C7C64" w:rsidRPr="007C6BE8">
        <w:rPr>
          <w:rFonts w:asciiTheme="majorHAnsi" w:hAnsiTheme="majorHAnsi"/>
          <w:sz w:val="20"/>
          <w:szCs w:val="20"/>
          <w:lang w:val="es-ES_tradnl"/>
        </w:rPr>
        <w:t xml:space="preserve">de la responsabilidad del Estado en la desaparición y posterior muerte del señor Norberto Javier Restrepo. </w:t>
      </w:r>
    </w:p>
    <w:p w:rsidR="0060350D" w:rsidRPr="007C6BE8" w:rsidRDefault="0060350D"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D21B4D" w:rsidRPr="007C6BE8" w:rsidRDefault="002C7C64"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ES_tradnl"/>
        </w:rPr>
        <w:t xml:space="preserve">Sobre este aspecto, la Comisión </w:t>
      </w:r>
      <w:r w:rsidR="0040581C" w:rsidRPr="007C6BE8">
        <w:rPr>
          <w:rFonts w:asciiTheme="majorHAnsi" w:hAnsiTheme="majorHAnsi"/>
          <w:sz w:val="20"/>
          <w:szCs w:val="20"/>
          <w:lang w:val="es-ES_tradnl"/>
        </w:rPr>
        <w:t xml:space="preserve">recuerda </w:t>
      </w:r>
      <w:r w:rsidRPr="007C6BE8">
        <w:rPr>
          <w:rFonts w:asciiTheme="majorHAnsi" w:hAnsiTheme="majorHAnsi"/>
          <w:sz w:val="20"/>
          <w:szCs w:val="20"/>
          <w:lang w:val="es-ES_tradnl"/>
        </w:rPr>
        <w:t xml:space="preserve">que </w:t>
      </w:r>
      <w:r w:rsidR="0040581C" w:rsidRPr="007C6BE8">
        <w:rPr>
          <w:rFonts w:asciiTheme="majorHAnsi" w:hAnsiTheme="majorHAnsi"/>
          <w:sz w:val="20"/>
          <w:szCs w:val="20"/>
          <w:lang w:val="es-ES_tradnl"/>
        </w:rPr>
        <w:t xml:space="preserve">según lo ha </w:t>
      </w:r>
      <w:r w:rsidR="00D21B4D" w:rsidRPr="007C6BE8">
        <w:rPr>
          <w:rFonts w:asciiTheme="majorHAnsi" w:hAnsiTheme="majorHAnsi"/>
          <w:sz w:val="20"/>
          <w:szCs w:val="20"/>
          <w:lang w:val="es-ES_tradnl"/>
        </w:rPr>
        <w:t>indicado la Corte Interamericana</w:t>
      </w:r>
      <w:r w:rsidR="006C12AB" w:rsidRPr="007C6BE8">
        <w:rPr>
          <w:rFonts w:asciiTheme="majorHAnsi" w:hAnsiTheme="majorHAnsi"/>
          <w:sz w:val="20"/>
          <w:szCs w:val="20"/>
          <w:lang w:val="es-ES_tradnl"/>
        </w:rPr>
        <w:t>,</w:t>
      </w:r>
      <w:r w:rsidR="00C71E4A" w:rsidRPr="007C6BE8">
        <w:rPr>
          <w:rFonts w:asciiTheme="majorHAnsi" w:hAnsiTheme="majorHAnsi"/>
          <w:sz w:val="20"/>
          <w:szCs w:val="20"/>
          <w:lang w:val="es-ES_tradnl"/>
        </w:rPr>
        <w:t xml:space="preserve"> s</w:t>
      </w:r>
      <w:r w:rsidR="00C71E4A" w:rsidRPr="007C6BE8">
        <w:rPr>
          <w:rFonts w:asciiTheme="majorHAnsi" w:eastAsia="Times New Roman" w:hAnsiTheme="majorHAnsi"/>
          <w:sz w:val="20"/>
          <w:szCs w:val="20"/>
          <w:bdr w:val="none" w:sz="0" w:space="0" w:color="auto"/>
          <w:lang w:val="es-ES_tradnl"/>
        </w:rPr>
        <w:t>i el aparato del Estado actúa de modo que tal violación quede impune, puede afirmarse que ha incumplido el deber de garantizar su libre y pleno ejercicio a las personas sujetas a su jurisdicción a través de una investigación diligente y efectiva. La Corte ha indicado que</w:t>
      </w:r>
      <w:r w:rsidR="00D21B4D" w:rsidRPr="007C6BE8">
        <w:rPr>
          <w:rFonts w:asciiTheme="majorHAnsi" w:hAnsiTheme="majorHAnsi"/>
          <w:sz w:val="20"/>
          <w:szCs w:val="20"/>
          <w:lang w:val="es-ES_tradnl"/>
        </w:rPr>
        <w:t xml:space="preserve"> “esta apreciación es válida cualquiera sea el agente al cual pueda eventualmente atribuirse la violación, aun los particulares, pues, si sus hechos no son investigados con seriedad, resultarían, en cierto modo, auxiliados por el poder público, lo que</w:t>
      </w:r>
      <w:r w:rsidR="00C71E4A" w:rsidRPr="007C6BE8">
        <w:rPr>
          <w:rFonts w:asciiTheme="majorHAnsi" w:hAnsiTheme="majorHAnsi"/>
          <w:sz w:val="20"/>
          <w:szCs w:val="20"/>
          <w:lang w:val="es-ES_tradnl"/>
        </w:rPr>
        <w:t xml:space="preserve"> </w:t>
      </w:r>
      <w:r w:rsidR="00D21B4D" w:rsidRPr="007C6BE8">
        <w:rPr>
          <w:rFonts w:asciiTheme="majorHAnsi" w:hAnsiTheme="majorHAnsi"/>
          <w:sz w:val="20"/>
          <w:szCs w:val="20"/>
          <w:lang w:val="es-ES_tradnl"/>
        </w:rPr>
        <w:t>comprometería la responsabilidad internacional del Estado”</w:t>
      </w:r>
      <w:r w:rsidR="00D21B4D" w:rsidRPr="007C6BE8">
        <w:rPr>
          <w:rStyle w:val="FootnoteReference"/>
          <w:rFonts w:asciiTheme="majorHAnsi" w:hAnsiTheme="majorHAnsi"/>
          <w:sz w:val="20"/>
          <w:szCs w:val="20"/>
          <w:lang w:val="es-ES_tradnl"/>
        </w:rPr>
        <w:footnoteReference w:id="101"/>
      </w:r>
      <w:r w:rsidR="00D21B4D" w:rsidRPr="007C6BE8">
        <w:rPr>
          <w:rFonts w:asciiTheme="majorHAnsi" w:hAnsiTheme="majorHAnsi"/>
          <w:sz w:val="20"/>
          <w:szCs w:val="20"/>
          <w:lang w:val="es-ES_tradnl"/>
        </w:rPr>
        <w:t>.</w:t>
      </w:r>
    </w:p>
    <w:p w:rsidR="0040581C" w:rsidRPr="007C6BE8" w:rsidRDefault="0040581C"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18"/>
          <w:szCs w:val="18"/>
          <w:lang w:val="es-ES_tradnl"/>
        </w:rPr>
      </w:pPr>
    </w:p>
    <w:p w:rsidR="0040581C" w:rsidRPr="007C6BE8" w:rsidRDefault="0040581C"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ES_tradnl"/>
        </w:rPr>
        <w:t>Asimismo, conforme lo ha señalado el Relator de Naciones Unidas en relación con el incumplimiento de los principios mínimos de investigación sobre ejecuciones extrajudiciales, arbitrarias o sumarias:</w:t>
      </w:r>
    </w:p>
    <w:p w:rsidR="0040581C" w:rsidRPr="007C6BE8" w:rsidRDefault="0040581C"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40581C" w:rsidRPr="007C6BE8" w:rsidRDefault="0040581C" w:rsidP="00180E9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US"/>
        </w:rPr>
      </w:pPr>
      <w:r w:rsidRPr="007C6BE8">
        <w:rPr>
          <w:rFonts w:asciiTheme="majorHAnsi" w:eastAsia="Times New Roman" w:hAnsiTheme="majorHAnsi"/>
          <w:sz w:val="20"/>
          <w:szCs w:val="20"/>
          <w:bdr w:val="none" w:sz="0" w:space="0" w:color="auto"/>
          <w:lang w:val="es-US"/>
        </w:rPr>
        <w:t>Toda práctica de un gobierno que no se ajuste a las normas establecidas en los principios puede considerarse como indicio de responsabilidad gubernamental, aunque no se pueda probar que en las ejecuciones sumarias o arbitrarias de que se trate han estado directamente implicados funcionarios gubernamentales</w:t>
      </w:r>
      <w:r w:rsidRPr="007C6BE8">
        <w:rPr>
          <w:rStyle w:val="FootnoteReference"/>
          <w:rFonts w:asciiTheme="majorHAnsi" w:eastAsia="Times New Roman" w:hAnsiTheme="majorHAnsi"/>
          <w:sz w:val="20"/>
          <w:szCs w:val="20"/>
          <w:bdr w:val="none" w:sz="0" w:space="0" w:color="auto"/>
          <w:lang w:val="es-US"/>
        </w:rPr>
        <w:footnoteReference w:id="102"/>
      </w:r>
      <w:r w:rsidRPr="007C6BE8">
        <w:rPr>
          <w:rFonts w:asciiTheme="majorHAnsi" w:eastAsia="Times New Roman" w:hAnsiTheme="majorHAnsi"/>
          <w:sz w:val="20"/>
          <w:szCs w:val="20"/>
          <w:bdr w:val="none" w:sz="0" w:space="0" w:color="auto"/>
          <w:lang w:val="es-US"/>
        </w:rPr>
        <w:t>.</w:t>
      </w:r>
    </w:p>
    <w:p w:rsidR="002C7C64" w:rsidRPr="007C6BE8" w:rsidRDefault="002C7C64"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CB397D" w:rsidRPr="007C6BE8" w:rsidRDefault="006C12AB"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ES"/>
        </w:rPr>
        <w:t>En este sentido, la Comisión re</w:t>
      </w:r>
      <w:r w:rsidR="0040581C" w:rsidRPr="007C6BE8">
        <w:rPr>
          <w:rFonts w:asciiTheme="majorHAnsi" w:hAnsiTheme="majorHAnsi"/>
          <w:sz w:val="20"/>
          <w:szCs w:val="20"/>
          <w:lang w:val="es-ES"/>
        </w:rPr>
        <w:t xml:space="preserve">itera </w:t>
      </w:r>
      <w:r w:rsidRPr="007C6BE8">
        <w:rPr>
          <w:rFonts w:asciiTheme="majorHAnsi" w:hAnsiTheme="majorHAnsi"/>
          <w:sz w:val="20"/>
          <w:szCs w:val="20"/>
          <w:lang w:val="es-ES"/>
        </w:rPr>
        <w:t>que l</w:t>
      </w:r>
      <w:r w:rsidR="00CB397D" w:rsidRPr="007C6BE8">
        <w:rPr>
          <w:rFonts w:asciiTheme="majorHAnsi" w:hAnsiTheme="majorHAnsi"/>
          <w:sz w:val="20"/>
          <w:szCs w:val="20"/>
          <w:lang w:val="es-ES"/>
        </w:rPr>
        <w:t xml:space="preserve">a Corte </w:t>
      </w:r>
      <w:r w:rsidR="00CB7B84" w:rsidRPr="007C6BE8">
        <w:rPr>
          <w:rFonts w:asciiTheme="majorHAnsi" w:hAnsiTheme="majorHAnsi"/>
          <w:sz w:val="20"/>
          <w:szCs w:val="20"/>
          <w:lang w:val="es-ES"/>
        </w:rPr>
        <w:t xml:space="preserve">Interamericana </w:t>
      </w:r>
      <w:r w:rsidR="00CB397D" w:rsidRPr="007C6BE8">
        <w:rPr>
          <w:rFonts w:asciiTheme="majorHAnsi" w:hAnsiTheme="majorHAnsi"/>
          <w:sz w:val="20"/>
          <w:szCs w:val="20"/>
          <w:lang w:val="es-ES"/>
        </w:rPr>
        <w:t xml:space="preserve">ha indicado </w:t>
      </w:r>
      <w:r w:rsidR="00CB7B84" w:rsidRPr="007C6BE8">
        <w:rPr>
          <w:rFonts w:asciiTheme="majorHAnsi" w:hAnsiTheme="majorHAnsi"/>
          <w:sz w:val="20"/>
          <w:szCs w:val="20"/>
          <w:lang w:val="es-ES"/>
        </w:rPr>
        <w:t xml:space="preserve">respecto de muertes violentas </w:t>
      </w:r>
      <w:r w:rsidR="00CB397D" w:rsidRPr="007C6BE8">
        <w:rPr>
          <w:rFonts w:asciiTheme="majorHAnsi" w:hAnsiTheme="majorHAnsi"/>
          <w:sz w:val="20"/>
          <w:szCs w:val="20"/>
          <w:lang w:val="es-ES"/>
        </w:rPr>
        <w:t>que la investigación debe ser realizada por todos los medios legales disponibles</w:t>
      </w:r>
      <w:r w:rsidR="00CB397D" w:rsidRPr="007C6BE8">
        <w:rPr>
          <w:rStyle w:val="FootnoteReference"/>
          <w:rFonts w:asciiTheme="majorHAnsi" w:hAnsiTheme="majorHAnsi"/>
          <w:sz w:val="20"/>
          <w:szCs w:val="20"/>
          <w:lang w:val="es-ES"/>
        </w:rPr>
        <w:footnoteReference w:id="103"/>
      </w:r>
      <w:r w:rsidR="00CB397D" w:rsidRPr="007C6BE8">
        <w:rPr>
          <w:rFonts w:asciiTheme="majorHAnsi" w:hAnsiTheme="majorHAnsi"/>
          <w:sz w:val="20"/>
          <w:szCs w:val="20"/>
          <w:lang w:val="es-ES"/>
        </w:rPr>
        <w:t xml:space="preserve"> y </w:t>
      </w:r>
      <w:r w:rsidR="00CB7B84" w:rsidRPr="007C6BE8">
        <w:rPr>
          <w:rFonts w:asciiTheme="majorHAnsi" w:hAnsiTheme="majorHAnsi"/>
          <w:sz w:val="20"/>
          <w:szCs w:val="20"/>
          <w:lang w:val="es-ES"/>
        </w:rPr>
        <w:t xml:space="preserve">ser </w:t>
      </w:r>
      <w:r w:rsidR="00CB397D" w:rsidRPr="007C6BE8">
        <w:rPr>
          <w:rFonts w:asciiTheme="majorHAnsi" w:hAnsiTheme="majorHAnsi"/>
          <w:sz w:val="20"/>
          <w:szCs w:val="20"/>
          <w:lang w:val="es-ES"/>
        </w:rPr>
        <w:t>llevada a cabo con la debida diligencia</w:t>
      </w:r>
      <w:r w:rsidR="00CB397D" w:rsidRPr="007C6BE8">
        <w:rPr>
          <w:rStyle w:val="FootnoteReference"/>
          <w:rFonts w:asciiTheme="majorHAnsi" w:hAnsiTheme="majorHAnsi"/>
          <w:sz w:val="20"/>
          <w:szCs w:val="20"/>
          <w:lang w:val="es-ES"/>
        </w:rPr>
        <w:footnoteReference w:id="104"/>
      </w:r>
      <w:r w:rsidR="00CB397D" w:rsidRPr="007C6BE8">
        <w:rPr>
          <w:rFonts w:asciiTheme="majorHAnsi" w:hAnsiTheme="majorHAnsi"/>
          <w:sz w:val="20"/>
          <w:szCs w:val="20"/>
          <w:lang w:val="es-ES"/>
        </w:rPr>
        <w:t>.</w:t>
      </w:r>
      <w:r w:rsidR="00CB397D" w:rsidRPr="007C6BE8">
        <w:rPr>
          <w:rFonts w:asciiTheme="majorHAnsi" w:hAnsiTheme="majorHAnsi" w:cs="TimesNewRoman"/>
          <w:sz w:val="20"/>
          <w:szCs w:val="20"/>
          <w:lang w:val="es-ES" w:eastAsia="es-ES_tradnl"/>
        </w:rPr>
        <w:t xml:space="preserve"> La CIDH recuerda que </w:t>
      </w:r>
      <w:r w:rsidR="00CB397D" w:rsidRPr="007C6BE8">
        <w:rPr>
          <w:rFonts w:asciiTheme="majorHAnsi" w:hAnsiTheme="majorHAnsi"/>
          <w:sz w:val="20"/>
          <w:szCs w:val="20"/>
          <w:lang w:val="es-ES"/>
        </w:rPr>
        <w:t xml:space="preserve">desde las primeras diligencias los Estados se </w:t>
      </w:r>
      <w:r w:rsidR="00CB397D" w:rsidRPr="007C6BE8">
        <w:rPr>
          <w:rFonts w:asciiTheme="majorHAnsi" w:hAnsiTheme="majorHAnsi"/>
          <w:sz w:val="20"/>
          <w:szCs w:val="20"/>
          <w:lang w:val="es-ES"/>
        </w:rPr>
        <w:lastRenderedPageBreak/>
        <w:t>encuentran obligados a actuar con toda acuciosidad</w:t>
      </w:r>
      <w:r w:rsidR="00CB397D" w:rsidRPr="007C6BE8">
        <w:rPr>
          <w:rStyle w:val="FootnoteReference"/>
          <w:rFonts w:asciiTheme="majorHAnsi" w:hAnsiTheme="majorHAnsi"/>
          <w:sz w:val="20"/>
          <w:szCs w:val="20"/>
          <w:lang w:val="es-ES_tradnl"/>
        </w:rPr>
        <w:footnoteReference w:id="105"/>
      </w:r>
      <w:r w:rsidR="00CB397D" w:rsidRPr="007C6BE8">
        <w:rPr>
          <w:rFonts w:asciiTheme="majorHAnsi" w:hAnsiTheme="majorHAnsi"/>
          <w:sz w:val="20"/>
          <w:szCs w:val="20"/>
          <w:lang w:val="es-ES"/>
        </w:rPr>
        <w:t xml:space="preserve">. Ello se debe a que </w:t>
      </w:r>
      <w:r w:rsidR="00CB397D" w:rsidRPr="007C6BE8">
        <w:rPr>
          <w:rFonts w:asciiTheme="majorHAnsi" w:hAnsiTheme="majorHAnsi"/>
          <w:sz w:val="20"/>
          <w:szCs w:val="20"/>
          <w:lang w:val="es-ES_tradnl"/>
        </w:rPr>
        <w:t>las primeras diligencias de la investigación son elementos fundamentales para el buen curso de la investigación judicial</w:t>
      </w:r>
      <w:r w:rsidR="00CB397D" w:rsidRPr="007C6BE8">
        <w:rPr>
          <w:rStyle w:val="FootnoteReference"/>
          <w:rFonts w:asciiTheme="majorHAnsi" w:hAnsiTheme="majorHAnsi"/>
          <w:sz w:val="20"/>
          <w:szCs w:val="20"/>
          <w:lang w:val="es-ES_tradnl"/>
        </w:rPr>
        <w:footnoteReference w:id="106"/>
      </w:r>
      <w:r w:rsidR="00CB397D" w:rsidRPr="007C6BE8">
        <w:rPr>
          <w:rFonts w:asciiTheme="majorHAnsi" w:hAnsiTheme="majorHAnsi"/>
          <w:sz w:val="20"/>
          <w:szCs w:val="20"/>
          <w:lang w:val="es-ES_tradnl"/>
        </w:rPr>
        <w:t xml:space="preserve">. </w:t>
      </w:r>
      <w:r w:rsidR="00CB397D" w:rsidRPr="007C6BE8">
        <w:rPr>
          <w:rFonts w:asciiTheme="majorHAnsi" w:hAnsiTheme="majorHAnsi" w:cs="ACaslonPro-Regular"/>
          <w:sz w:val="20"/>
          <w:szCs w:val="20"/>
          <w:lang w:val="es-ES"/>
        </w:rPr>
        <w:t>De esta forma, la Corte ha señalado que "todas esas exigencias, así como criterios de independencia e imparcialidad, se extienden también a los órganos no judiciales a los que corresponda la investigación previa al proceso judicial"</w:t>
      </w:r>
      <w:r w:rsidR="00CB397D" w:rsidRPr="007C6BE8">
        <w:rPr>
          <w:rStyle w:val="FootnoteReference"/>
          <w:rFonts w:asciiTheme="majorHAnsi" w:hAnsiTheme="majorHAnsi" w:cs="ACaslonPro-Regular"/>
          <w:sz w:val="20"/>
          <w:szCs w:val="20"/>
          <w:lang w:val="es-ES"/>
        </w:rPr>
        <w:footnoteReference w:id="107"/>
      </w:r>
      <w:r w:rsidR="00CB397D" w:rsidRPr="007C6BE8">
        <w:rPr>
          <w:rFonts w:asciiTheme="majorHAnsi" w:hAnsiTheme="majorHAnsi" w:cs="ACaslonPro-Regular"/>
          <w:sz w:val="20"/>
          <w:szCs w:val="20"/>
          <w:lang w:val="es-ES"/>
        </w:rPr>
        <w:t>.</w:t>
      </w:r>
    </w:p>
    <w:p w:rsidR="00CB7B84" w:rsidRPr="007C6BE8" w:rsidRDefault="00CB7B84"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18"/>
          <w:szCs w:val="18"/>
          <w:lang w:val="es-ES_tradnl"/>
        </w:rPr>
      </w:pPr>
    </w:p>
    <w:p w:rsidR="00CB7B84" w:rsidRPr="007C6BE8" w:rsidRDefault="00CB7B84"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ES_tradnl"/>
        </w:rPr>
        <w:t xml:space="preserve">La Corte ha señalado que “en virtud de la protección otorgada por los artículos 8 y 25 de la Convención, los Estados están obligados a suministrar recursos judiciales efectivos a las víctimas de violaciones </w:t>
      </w:r>
      <w:r w:rsidRPr="007C6BE8">
        <w:rPr>
          <w:rFonts w:asciiTheme="majorHAnsi" w:hAnsiTheme="majorHAnsi" w:cs="Arial"/>
          <w:sz w:val="20"/>
          <w:szCs w:val="20"/>
          <w:lang w:val="es-ES_tradnl"/>
        </w:rPr>
        <w:t>de</w:t>
      </w:r>
      <w:r w:rsidRPr="007C6BE8">
        <w:rPr>
          <w:rFonts w:asciiTheme="majorHAnsi" w:hAnsiTheme="majorHAnsi"/>
          <w:sz w:val="20"/>
          <w:szCs w:val="20"/>
          <w:lang w:val="es-ES_tradnl"/>
        </w:rPr>
        <w:t xml:space="preserve"> los derechos humanos, que deben ser sustanciados de conformidad con las reglas del debido proceso legal”</w:t>
      </w:r>
      <w:r w:rsidRPr="007C6BE8">
        <w:rPr>
          <w:rFonts w:asciiTheme="majorHAnsi" w:hAnsiTheme="majorHAnsi"/>
          <w:sz w:val="20"/>
          <w:szCs w:val="20"/>
          <w:vertAlign w:val="superscript"/>
          <w:lang w:val="es-ES_tradnl"/>
        </w:rPr>
        <w:footnoteReference w:id="108"/>
      </w:r>
      <w:r w:rsidRPr="007C6BE8">
        <w:rPr>
          <w:rFonts w:asciiTheme="majorHAnsi" w:hAnsiTheme="majorHAnsi"/>
          <w:sz w:val="20"/>
          <w:szCs w:val="20"/>
          <w:lang w:val="es-ES_tradnl"/>
        </w:rPr>
        <w:t xml:space="preserve">. </w:t>
      </w:r>
      <w:r w:rsidRPr="007C6BE8">
        <w:rPr>
          <w:rFonts w:asciiTheme="majorHAnsi" w:hAnsiTheme="majorHAnsi"/>
          <w:b/>
          <w:sz w:val="20"/>
          <w:szCs w:val="20"/>
          <w:lang w:val="es-ES_tradnl"/>
        </w:rPr>
        <w:t xml:space="preserve"> </w:t>
      </w:r>
      <w:r w:rsidRPr="007C6BE8">
        <w:rPr>
          <w:rFonts w:asciiTheme="majorHAnsi" w:hAnsiTheme="majorHAnsi"/>
          <w:sz w:val="20"/>
          <w:szCs w:val="20"/>
          <w:lang w:val="es-ES_tradnl"/>
        </w:rPr>
        <w:t xml:space="preserve">Asimismo, la Corte ha indicado que </w:t>
      </w:r>
    </w:p>
    <w:p w:rsidR="00CB7B84" w:rsidRPr="007C6BE8" w:rsidRDefault="00CB7B84" w:rsidP="001B210A">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lang w:val="es-ES_tradnl"/>
        </w:rPr>
      </w:pPr>
    </w:p>
    <w:p w:rsidR="00CB7B84" w:rsidRPr="007C6BE8" w:rsidRDefault="00CB7B84" w:rsidP="00180E93">
      <w:pPr>
        <w:tabs>
          <w:tab w:val="left" w:pos="1440"/>
        </w:tabs>
        <w:ind w:left="720" w:right="720"/>
        <w:jc w:val="both"/>
        <w:rPr>
          <w:rFonts w:asciiTheme="majorHAnsi" w:hAnsiTheme="majorHAnsi"/>
          <w:sz w:val="20"/>
          <w:szCs w:val="20"/>
          <w:lang w:val="es-ES_tradnl"/>
        </w:rPr>
      </w:pPr>
      <w:r w:rsidRPr="007C6BE8">
        <w:rPr>
          <w:rFonts w:asciiTheme="majorHAnsi" w:hAnsiTheme="majorHAnsi"/>
          <w:sz w:val="20"/>
          <w:szCs w:val="20"/>
          <w:lang w:val="es-ES_tradnl"/>
        </w:rPr>
        <w:t>Del artículo 8 de la Convención se desprende que las víctimas de las violaciones de los derechos humanos, o sus familiares, deben contar con amplias posibilidades de ser oídos y actuar en los respectivos procesos, tanto en procura del esclarecimiento de los hechos y del castigo de los responsables, como en busca de una debida reparación</w:t>
      </w:r>
      <w:r w:rsidRPr="007C6BE8">
        <w:rPr>
          <w:rStyle w:val="FootnoteReference"/>
          <w:rFonts w:asciiTheme="majorHAnsi" w:hAnsiTheme="majorHAnsi"/>
          <w:sz w:val="20"/>
          <w:szCs w:val="20"/>
          <w:lang w:val="es-ES_tradnl"/>
        </w:rPr>
        <w:footnoteReference w:id="109"/>
      </w:r>
      <w:r w:rsidRPr="007C6BE8">
        <w:rPr>
          <w:rFonts w:asciiTheme="majorHAnsi" w:hAnsiTheme="majorHAnsi"/>
          <w:sz w:val="20"/>
          <w:szCs w:val="20"/>
          <w:lang w:val="es-ES_tradnl"/>
        </w:rPr>
        <w:t>.</w:t>
      </w:r>
    </w:p>
    <w:p w:rsidR="00CB7B84" w:rsidRPr="007C6BE8" w:rsidRDefault="00CB7B84" w:rsidP="00B1793F">
      <w:pPr>
        <w:tabs>
          <w:tab w:val="left" w:pos="1440"/>
        </w:tabs>
        <w:jc w:val="both"/>
        <w:rPr>
          <w:rFonts w:asciiTheme="majorHAnsi" w:hAnsiTheme="majorHAnsi" w:cs="Arial"/>
          <w:sz w:val="20"/>
          <w:szCs w:val="20"/>
          <w:lang w:val="es-ES_tradnl"/>
        </w:rPr>
      </w:pPr>
    </w:p>
    <w:p w:rsidR="00CB7B84" w:rsidRPr="007C6BE8" w:rsidRDefault="00CB7B84"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ES_tradnl"/>
        </w:rPr>
        <w:t>En el mismo sentido, la Corte ha indicado que las víctimas y sus familiares tienen el derecho, y los Estados la obligación, a que lo sucedido a éstas sea efectivamente investigado por las autoridades del Estado; se siga un proceso contra los presuntos responsables de estos ilícitos; en su caso, se les impongan las sanciones pertinentes, y se reparen los daños y perjuicios que dichos familiares han sufrido</w:t>
      </w:r>
      <w:r w:rsidRPr="007C6BE8">
        <w:rPr>
          <w:rStyle w:val="FootnoteReference"/>
          <w:rFonts w:asciiTheme="majorHAnsi" w:hAnsiTheme="majorHAnsi"/>
          <w:sz w:val="20"/>
          <w:szCs w:val="20"/>
          <w:lang w:val="es-ES_tradnl"/>
        </w:rPr>
        <w:footnoteReference w:id="110"/>
      </w:r>
      <w:r w:rsidRPr="007C6BE8">
        <w:rPr>
          <w:rFonts w:asciiTheme="majorHAnsi" w:hAnsiTheme="majorHAnsi"/>
          <w:sz w:val="20"/>
          <w:szCs w:val="20"/>
          <w:lang w:val="es-ES_tradnl"/>
        </w:rPr>
        <w:t>. Según lo anterior, las autoridades estatales, una vez tienen conocimiento de un hecho de violación de derechos humanos, en particular de los derechos a la vida, integridad personal y libertad personal</w:t>
      </w:r>
      <w:r w:rsidRPr="007C6BE8">
        <w:rPr>
          <w:rStyle w:val="FootnoteReference"/>
          <w:rFonts w:asciiTheme="majorHAnsi" w:hAnsiTheme="majorHAnsi"/>
          <w:sz w:val="20"/>
          <w:szCs w:val="20"/>
          <w:lang w:val="es-ES_tradnl"/>
        </w:rPr>
        <w:footnoteReference w:id="111"/>
      </w:r>
      <w:r w:rsidRPr="007C6BE8">
        <w:rPr>
          <w:rFonts w:asciiTheme="majorHAnsi" w:hAnsiTheme="majorHAnsi"/>
          <w:sz w:val="20"/>
          <w:szCs w:val="20"/>
          <w:lang w:val="es-ES_tradnl"/>
        </w:rPr>
        <w:t xml:space="preserve">, tienen el deber de iniciar </w:t>
      </w:r>
      <w:r w:rsidRPr="007C6BE8">
        <w:rPr>
          <w:rFonts w:asciiTheme="majorHAnsi" w:hAnsiTheme="majorHAnsi"/>
          <w:i/>
          <w:sz w:val="20"/>
          <w:szCs w:val="20"/>
          <w:lang w:val="es-ES_tradnl"/>
        </w:rPr>
        <w:t>ex officio</w:t>
      </w:r>
      <w:r w:rsidRPr="007C6BE8">
        <w:rPr>
          <w:rFonts w:asciiTheme="majorHAnsi" w:hAnsiTheme="majorHAnsi"/>
          <w:sz w:val="20"/>
          <w:szCs w:val="20"/>
          <w:lang w:val="es-ES_tradnl"/>
        </w:rPr>
        <w:t xml:space="preserve"> y sin dilación, una investigación seria, imparcial y efectiva</w:t>
      </w:r>
      <w:r w:rsidRPr="007C6BE8">
        <w:rPr>
          <w:rFonts w:asciiTheme="majorHAnsi" w:hAnsiTheme="majorHAnsi"/>
          <w:sz w:val="20"/>
          <w:szCs w:val="20"/>
          <w:vertAlign w:val="superscript"/>
          <w:lang w:val="es-ES_tradnl"/>
        </w:rPr>
        <w:footnoteReference w:id="112"/>
      </w:r>
      <w:r w:rsidRPr="007C6BE8">
        <w:rPr>
          <w:rFonts w:asciiTheme="majorHAnsi" w:hAnsiTheme="majorHAnsi"/>
          <w:sz w:val="20"/>
          <w:szCs w:val="20"/>
          <w:lang w:val="es-ES_tradnl"/>
        </w:rPr>
        <w:t>, la cual debe llevarse a cabo en un plazo razonable</w:t>
      </w:r>
      <w:r w:rsidRPr="007C6BE8">
        <w:rPr>
          <w:rStyle w:val="FootnoteReference"/>
          <w:rFonts w:asciiTheme="majorHAnsi" w:hAnsiTheme="majorHAnsi"/>
          <w:sz w:val="20"/>
          <w:szCs w:val="20"/>
          <w:lang w:val="es-ES_tradnl"/>
        </w:rPr>
        <w:footnoteReference w:id="113"/>
      </w:r>
      <w:r w:rsidRPr="007C6BE8">
        <w:rPr>
          <w:rFonts w:asciiTheme="majorHAnsi" w:hAnsiTheme="majorHAnsi"/>
          <w:sz w:val="20"/>
          <w:szCs w:val="20"/>
          <w:lang w:val="es-ES_tradnl"/>
        </w:rPr>
        <w:t>.</w:t>
      </w:r>
    </w:p>
    <w:p w:rsidR="00CB7B84" w:rsidRPr="007C6BE8" w:rsidRDefault="00CB7B84"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CB7B84" w:rsidRPr="007C6BE8" w:rsidRDefault="00CB7B84"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cs="Arial"/>
          <w:sz w:val="20"/>
          <w:szCs w:val="20"/>
          <w:lang w:val="es-ES_tradnl"/>
        </w:rPr>
        <w:t xml:space="preserve">Sobre el contenido del deber de investigar “con la debida diligencia”, la Corte Interamericana ha señalado que implica que las averiguaciones deben </w:t>
      </w:r>
      <w:r w:rsidRPr="007C6BE8">
        <w:rPr>
          <w:rFonts w:asciiTheme="majorHAnsi" w:hAnsiTheme="majorHAnsi"/>
          <w:sz w:val="20"/>
          <w:szCs w:val="20"/>
          <w:lang w:val="es-ES_tradnl"/>
        </w:rPr>
        <w:t>ser realizadas por todos los medios legales disponibles y deben estar orientadas a la determinación de la verdad</w:t>
      </w:r>
      <w:r w:rsidRPr="007C6BE8">
        <w:rPr>
          <w:rFonts w:asciiTheme="majorHAnsi" w:hAnsiTheme="majorHAnsi"/>
          <w:sz w:val="20"/>
          <w:szCs w:val="20"/>
          <w:vertAlign w:val="superscript"/>
          <w:lang w:val="es-ES_tradnl"/>
        </w:rPr>
        <w:footnoteReference w:id="114"/>
      </w:r>
      <w:r w:rsidRPr="007C6BE8">
        <w:rPr>
          <w:rFonts w:asciiTheme="majorHAnsi" w:hAnsiTheme="majorHAnsi"/>
          <w:sz w:val="20"/>
          <w:szCs w:val="20"/>
          <w:lang w:val="es-ES_tradnl"/>
        </w:rPr>
        <w:t xml:space="preserve">. En la misma línea, la Corte ha indicado que el </w:t>
      </w:r>
      <w:r w:rsidRPr="007C6BE8">
        <w:rPr>
          <w:rFonts w:asciiTheme="majorHAnsi" w:hAnsiTheme="majorHAnsi"/>
          <w:sz w:val="20"/>
          <w:szCs w:val="20"/>
          <w:lang w:val="es-ES_tradnl"/>
        </w:rPr>
        <w:lastRenderedPageBreak/>
        <w:t>Estado tiene el deber de asegurar que se efectúe todo lo necesario para conocer la verdad de lo sucedido y para que se sancione a los eventuales responsables</w:t>
      </w:r>
      <w:r w:rsidRPr="007C6BE8">
        <w:rPr>
          <w:rStyle w:val="FootnoteReference"/>
          <w:rFonts w:asciiTheme="majorHAnsi" w:hAnsiTheme="majorHAnsi"/>
          <w:sz w:val="20"/>
          <w:szCs w:val="20"/>
          <w:lang w:val="es-ES_tradnl"/>
        </w:rPr>
        <w:footnoteReference w:id="115"/>
      </w:r>
      <w:r w:rsidRPr="007C6BE8">
        <w:rPr>
          <w:rFonts w:asciiTheme="majorHAnsi" w:hAnsiTheme="majorHAnsi"/>
          <w:sz w:val="20"/>
          <w:szCs w:val="20"/>
          <w:lang w:val="es-ES_tradnl"/>
        </w:rPr>
        <w:t>, involucrando a toda institución estatal</w:t>
      </w:r>
      <w:r w:rsidRPr="007C6BE8">
        <w:rPr>
          <w:rStyle w:val="FootnoteReference"/>
          <w:rFonts w:asciiTheme="majorHAnsi" w:hAnsiTheme="majorHAnsi"/>
          <w:sz w:val="20"/>
          <w:szCs w:val="20"/>
          <w:lang w:val="es-ES_tradnl"/>
        </w:rPr>
        <w:footnoteReference w:id="116"/>
      </w:r>
      <w:r w:rsidRPr="007C6BE8">
        <w:rPr>
          <w:rFonts w:asciiTheme="majorHAnsi" w:hAnsiTheme="majorHAnsi"/>
          <w:sz w:val="20"/>
          <w:szCs w:val="20"/>
          <w:lang w:val="es-ES_tradnl"/>
        </w:rPr>
        <w:t>.</w:t>
      </w:r>
    </w:p>
    <w:p w:rsidR="00CB7B84" w:rsidRPr="007C6BE8" w:rsidRDefault="00CB7B84"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CB7B84" w:rsidRPr="007C6BE8" w:rsidRDefault="00CB7B84"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cs="Arial"/>
          <w:sz w:val="20"/>
          <w:szCs w:val="20"/>
          <w:lang w:val="es-ES_tradnl"/>
        </w:rPr>
        <w:t xml:space="preserve">La Corte </w:t>
      </w:r>
      <w:r w:rsidRPr="007C6BE8">
        <w:rPr>
          <w:rFonts w:asciiTheme="majorHAnsi" w:hAnsiTheme="majorHAnsi"/>
          <w:sz w:val="20"/>
          <w:szCs w:val="20"/>
          <w:lang w:val="es-ES_tradnl"/>
        </w:rPr>
        <w:t>también</w:t>
      </w:r>
      <w:r w:rsidRPr="007C6BE8">
        <w:rPr>
          <w:rFonts w:asciiTheme="majorHAnsi" w:hAnsiTheme="majorHAnsi" w:cs="Arial"/>
          <w:sz w:val="20"/>
          <w:szCs w:val="20"/>
          <w:lang w:val="es-ES_tradnl"/>
        </w:rPr>
        <w:t xml:space="preserve"> ha dicho que las autoridades deben adoptar las medidas razonables que permitan asegurar el material probatorio necesario para llevar a cabo la investigación</w:t>
      </w:r>
      <w:r w:rsidRPr="007C6BE8">
        <w:rPr>
          <w:rStyle w:val="FootnoteReference"/>
          <w:rFonts w:asciiTheme="majorHAnsi" w:hAnsiTheme="majorHAnsi" w:cs="Arial"/>
          <w:sz w:val="20"/>
          <w:szCs w:val="20"/>
          <w:lang w:val="es-ES_tradnl"/>
        </w:rPr>
        <w:footnoteReference w:id="117"/>
      </w:r>
      <w:r w:rsidRPr="007C6BE8">
        <w:rPr>
          <w:rFonts w:asciiTheme="majorHAnsi" w:hAnsiTheme="majorHAnsi" w:cs="Arial"/>
          <w:sz w:val="20"/>
          <w:szCs w:val="20"/>
          <w:lang w:val="es-ES_tradnl"/>
        </w:rPr>
        <w:t xml:space="preserve">. </w:t>
      </w:r>
    </w:p>
    <w:p w:rsidR="00CB7B84" w:rsidRPr="007C6BE8" w:rsidRDefault="00CB7B84"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CB7B84" w:rsidRPr="007C6BE8" w:rsidRDefault="00CB7B84"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cs="Arial"/>
          <w:sz w:val="20"/>
          <w:szCs w:val="20"/>
          <w:lang w:val="es-ES_tradnl"/>
        </w:rPr>
        <w:t xml:space="preserve">Si bien </w:t>
      </w:r>
      <w:r w:rsidRPr="007C6BE8">
        <w:rPr>
          <w:rFonts w:asciiTheme="majorHAnsi" w:hAnsiTheme="majorHAnsi"/>
          <w:sz w:val="20"/>
          <w:szCs w:val="20"/>
          <w:lang w:val="es-ES_tradnl"/>
        </w:rPr>
        <w:t>la</w:t>
      </w:r>
      <w:r w:rsidRPr="007C6BE8">
        <w:rPr>
          <w:rFonts w:asciiTheme="majorHAnsi" w:hAnsiTheme="majorHAnsi" w:cs="Arial"/>
          <w:sz w:val="20"/>
          <w:szCs w:val="20"/>
          <w:lang w:val="es-ES_tradnl"/>
        </w:rPr>
        <w:t xml:space="preserve"> obligación de investigar </w:t>
      </w:r>
      <w:r w:rsidRPr="007C6BE8">
        <w:rPr>
          <w:rFonts w:asciiTheme="majorHAnsi" w:hAnsiTheme="majorHAnsi"/>
          <w:sz w:val="20"/>
          <w:szCs w:val="20"/>
          <w:lang w:val="es-ES_tradnl"/>
        </w:rPr>
        <w:t>es una obligación de medios, y no de resultado, ésta debe ser asumida por el Estado como un deber jurídico propio y no como una simple formalidad condenada de antemano a ser infructuosa</w:t>
      </w:r>
      <w:r w:rsidRPr="007C6BE8">
        <w:rPr>
          <w:rFonts w:asciiTheme="majorHAnsi" w:hAnsiTheme="majorHAnsi"/>
          <w:sz w:val="20"/>
          <w:szCs w:val="20"/>
          <w:vertAlign w:val="superscript"/>
          <w:lang w:val="es-ES_tradnl"/>
        </w:rPr>
        <w:footnoteReference w:id="118"/>
      </w:r>
      <w:r w:rsidRPr="007C6BE8">
        <w:rPr>
          <w:rFonts w:asciiTheme="majorHAnsi" w:hAnsiTheme="majorHAnsi"/>
          <w:sz w:val="20"/>
          <w:szCs w:val="20"/>
          <w:lang w:val="es-ES_tradnl"/>
        </w:rPr>
        <w:t>, o como una mera gestión de intereses particulares, que dependa de la iniciativa procesal de las víctimas o de sus familiares o de la aportación privada de elementos probatorios</w:t>
      </w:r>
      <w:r w:rsidRPr="007C6BE8">
        <w:rPr>
          <w:rFonts w:asciiTheme="majorHAnsi" w:hAnsiTheme="majorHAnsi"/>
          <w:sz w:val="20"/>
          <w:szCs w:val="20"/>
          <w:vertAlign w:val="superscript"/>
          <w:lang w:val="es-ES_tradnl"/>
        </w:rPr>
        <w:footnoteReference w:id="119"/>
      </w:r>
      <w:r w:rsidRPr="007C6BE8">
        <w:rPr>
          <w:rFonts w:asciiTheme="majorHAnsi" w:hAnsiTheme="majorHAnsi"/>
          <w:sz w:val="20"/>
          <w:szCs w:val="20"/>
          <w:lang w:val="es-ES_tradnl"/>
        </w:rPr>
        <w:t>. Asimismo, la Corte ha señalado que el derecho de acceso a la justicia debe asegurar, en tiempo razonable, el derecho de las presuntas víctimas o sus familiares a que se haga todo lo necesario para conocer la verdad de lo sucedido y se sancione a los eventuales responsables</w:t>
      </w:r>
      <w:r w:rsidRPr="007C6BE8">
        <w:rPr>
          <w:rFonts w:asciiTheme="majorHAnsi" w:hAnsiTheme="majorHAnsi"/>
          <w:sz w:val="20"/>
          <w:szCs w:val="20"/>
          <w:vertAlign w:val="superscript"/>
          <w:lang w:val="es-ES_tradnl"/>
        </w:rPr>
        <w:footnoteReference w:id="120"/>
      </w:r>
      <w:r w:rsidRPr="007C6BE8">
        <w:rPr>
          <w:rFonts w:asciiTheme="majorHAnsi" w:hAnsiTheme="majorHAnsi"/>
          <w:sz w:val="20"/>
          <w:szCs w:val="20"/>
          <w:lang w:val="es-ES_tradnl"/>
        </w:rPr>
        <w:t>.</w:t>
      </w:r>
    </w:p>
    <w:p w:rsidR="00CB7B84" w:rsidRPr="007C6BE8" w:rsidRDefault="00CB7B84"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CB7B84" w:rsidRPr="007C6BE8" w:rsidRDefault="00CB7B84"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ES_tradnl"/>
        </w:rPr>
        <w:t xml:space="preserve">Teniendo en cuenta que los hechos </w:t>
      </w:r>
      <w:r w:rsidR="00197EBE" w:rsidRPr="007C6BE8">
        <w:rPr>
          <w:rFonts w:asciiTheme="majorHAnsi" w:hAnsiTheme="majorHAnsi"/>
          <w:sz w:val="20"/>
          <w:szCs w:val="20"/>
          <w:lang w:val="es-ES_tradnl"/>
        </w:rPr>
        <w:t>presentados se</w:t>
      </w:r>
      <w:r w:rsidR="00BE0550" w:rsidRPr="007C6BE8">
        <w:rPr>
          <w:rFonts w:asciiTheme="majorHAnsi" w:hAnsiTheme="majorHAnsi"/>
          <w:sz w:val="20"/>
          <w:szCs w:val="20"/>
          <w:lang w:val="es-ES_tradnl"/>
        </w:rPr>
        <w:t xml:space="preserve"> traducen en la desaparición y</w:t>
      </w:r>
      <w:r w:rsidR="00197EBE" w:rsidRPr="007C6BE8">
        <w:rPr>
          <w:rFonts w:asciiTheme="majorHAnsi" w:hAnsiTheme="majorHAnsi"/>
          <w:sz w:val="20"/>
          <w:szCs w:val="20"/>
          <w:lang w:val="es-ES_tradnl"/>
        </w:rPr>
        <w:t xml:space="preserve"> ejecución del señor Restrepo</w:t>
      </w:r>
      <w:r w:rsidRPr="007C6BE8">
        <w:rPr>
          <w:rFonts w:asciiTheme="majorHAnsi" w:hAnsiTheme="majorHAnsi"/>
          <w:sz w:val="20"/>
          <w:szCs w:val="20"/>
          <w:lang w:val="es-ES_tradnl"/>
        </w:rPr>
        <w:t xml:space="preserve">, la Comisión tomará en cuenta en su evaluación las pautas que de acuerdo al </w:t>
      </w:r>
      <w:r w:rsidRPr="007C6BE8">
        <w:rPr>
          <w:rFonts w:asciiTheme="majorHAnsi" w:hAnsiTheme="majorHAnsi"/>
          <w:i/>
          <w:sz w:val="20"/>
          <w:szCs w:val="20"/>
          <w:lang w:val="es-ES_tradnl"/>
        </w:rPr>
        <w:t>Protocolo de Naciones Unidas para la Investigación Legal de las Ejecuciones Extrajudiciales, Arbitrarias y Sumarias</w:t>
      </w:r>
      <w:r w:rsidRPr="007C6BE8">
        <w:rPr>
          <w:rFonts w:asciiTheme="majorHAnsi" w:hAnsiTheme="majorHAnsi"/>
          <w:sz w:val="20"/>
          <w:szCs w:val="20"/>
          <w:lang w:val="es-ES_tradnl"/>
        </w:rPr>
        <w:t>, deben regir en este tipo de investigaciones. Al respecto, dicho instrumento también conocido como Protocolo de Minnesota, establece algunas diligencias mínimas como: la identificación de la víctima, la recolección y preservación de pruebas relacionadas con la muerte con el fin de ayudar en el potencial procesamiento de los responsables, la identificación de posibles testigos y la obtención de sus declaraciones en relación con la muerte, la determinación de la causa, manera, lugar y tiempo de la muerte, así como cualquier patrón o práctica que pueda haber provocado la muerte, la distinción entre muerte natural, suicidio y homicidio, la identificación y aprehensión de la o las personas involucradas en la muerte y la presentación de los presuntos perpetradores ante un tribunal competente establecido por ley</w:t>
      </w:r>
      <w:r w:rsidRPr="007C6BE8">
        <w:rPr>
          <w:rStyle w:val="FootnoteReference"/>
          <w:rFonts w:asciiTheme="majorHAnsi" w:hAnsiTheme="majorHAnsi"/>
          <w:sz w:val="20"/>
          <w:szCs w:val="20"/>
          <w:lang w:val="es-ES_tradnl"/>
        </w:rPr>
        <w:footnoteReference w:id="121"/>
      </w:r>
      <w:r w:rsidRPr="007C6BE8">
        <w:rPr>
          <w:rFonts w:asciiTheme="majorHAnsi" w:hAnsiTheme="majorHAnsi"/>
          <w:sz w:val="20"/>
          <w:szCs w:val="20"/>
          <w:lang w:val="es-ES_tradnl"/>
        </w:rPr>
        <w:t>.</w:t>
      </w:r>
    </w:p>
    <w:p w:rsidR="00197EBE" w:rsidRPr="007C6BE8" w:rsidRDefault="00197EBE"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197EBE" w:rsidRPr="007C6BE8" w:rsidRDefault="007449EF"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CL"/>
        </w:rPr>
        <w:t xml:space="preserve">Respecto del </w:t>
      </w:r>
      <w:r w:rsidRPr="007C6BE8">
        <w:rPr>
          <w:rFonts w:asciiTheme="majorHAnsi" w:hAnsiTheme="majorHAnsi" w:cs="Univers"/>
          <w:sz w:val="20"/>
          <w:szCs w:val="20"/>
          <w:lang w:val="es-ES"/>
        </w:rPr>
        <w:t xml:space="preserve">plazo de duración de las investigaciones, la Comisión recuerda que el artículo 8.1 de la Convención establece como una de las garantías judiciales que los tribunales decidan los casos sometidos a su conocimiento en un plazo razonable. </w:t>
      </w:r>
      <w:r w:rsidR="00197EBE" w:rsidRPr="007C6BE8">
        <w:rPr>
          <w:rFonts w:asciiTheme="majorHAnsi" w:hAnsiTheme="majorHAnsi" w:cs="Univers"/>
          <w:sz w:val="20"/>
          <w:szCs w:val="20"/>
          <w:lang w:val="es-ES"/>
        </w:rPr>
        <w:t xml:space="preserve"> </w:t>
      </w:r>
      <w:r w:rsidRPr="007C6BE8">
        <w:rPr>
          <w:rFonts w:asciiTheme="majorHAnsi" w:hAnsiTheme="majorHAnsi" w:cs="Bookman Old Style"/>
          <w:sz w:val="20"/>
          <w:szCs w:val="20"/>
          <w:lang w:val="es-CL"/>
        </w:rPr>
        <w:t>En su jurisprudencia constante, los órganos del sistema interamericano han tomado en consideración tres</w:t>
      </w:r>
      <w:r w:rsidRPr="007C6BE8">
        <w:rPr>
          <w:rFonts w:asciiTheme="majorHAnsi" w:hAnsiTheme="majorHAnsi" w:cs="Univers"/>
          <w:sz w:val="20"/>
          <w:szCs w:val="20"/>
          <w:lang w:val="es-ES"/>
        </w:rPr>
        <w:t xml:space="preserve"> elementos que resultan relevantes para el análisis del presente caso, a saber: a) la complejidad del asunto, b) la conducta de las autoridades judiciales, y c) la actividad procesal del interesado</w:t>
      </w:r>
      <w:r w:rsidRPr="007C6BE8">
        <w:rPr>
          <w:rStyle w:val="FootnoteReference"/>
          <w:rFonts w:asciiTheme="majorHAnsi" w:hAnsiTheme="majorHAnsi" w:cs="Univers"/>
          <w:sz w:val="20"/>
          <w:szCs w:val="20"/>
          <w:lang w:val="es-ES"/>
        </w:rPr>
        <w:footnoteReference w:id="122"/>
      </w:r>
      <w:r w:rsidRPr="007C6BE8">
        <w:rPr>
          <w:rFonts w:asciiTheme="majorHAnsi" w:hAnsiTheme="majorHAnsi" w:cs="Univers"/>
          <w:sz w:val="20"/>
          <w:szCs w:val="20"/>
          <w:lang w:val="es-ES"/>
        </w:rPr>
        <w:t>.</w:t>
      </w:r>
    </w:p>
    <w:p w:rsidR="005572C4" w:rsidRPr="007C6BE8" w:rsidRDefault="005572C4"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3B432C" w:rsidRPr="007C6BE8" w:rsidRDefault="008F71A8"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ES_tradnl"/>
        </w:rPr>
        <w:t xml:space="preserve">En relación con </w:t>
      </w:r>
      <w:r w:rsidR="004A0819" w:rsidRPr="007C6BE8">
        <w:rPr>
          <w:rFonts w:asciiTheme="majorHAnsi" w:hAnsiTheme="majorHAnsi"/>
          <w:sz w:val="20"/>
          <w:szCs w:val="20"/>
          <w:lang w:val="es-ES_tradnl"/>
        </w:rPr>
        <w:t>la</w:t>
      </w:r>
      <w:r w:rsidRPr="007C6BE8">
        <w:rPr>
          <w:rFonts w:asciiTheme="majorHAnsi" w:hAnsiTheme="majorHAnsi"/>
          <w:sz w:val="20"/>
          <w:szCs w:val="20"/>
          <w:lang w:val="es-ES_tradnl"/>
        </w:rPr>
        <w:t xml:space="preserve"> investigación</w:t>
      </w:r>
      <w:r w:rsidR="004A0819" w:rsidRPr="007C6BE8">
        <w:rPr>
          <w:rFonts w:asciiTheme="majorHAnsi" w:hAnsiTheme="majorHAnsi"/>
          <w:sz w:val="20"/>
          <w:szCs w:val="20"/>
          <w:lang w:val="es-ES_tradnl"/>
        </w:rPr>
        <w:t xml:space="preserve"> seguida por la desaparición y ejecución del señor Norberto Javier Restrepo</w:t>
      </w:r>
      <w:r w:rsidRPr="007C6BE8">
        <w:rPr>
          <w:rFonts w:asciiTheme="majorHAnsi" w:hAnsiTheme="majorHAnsi"/>
          <w:sz w:val="20"/>
          <w:szCs w:val="20"/>
          <w:lang w:val="es-ES_tradnl"/>
        </w:rPr>
        <w:t xml:space="preserve">, en vista de la falta de remisión del expediente interno por parte del Estado, la Comisión sólo </w:t>
      </w:r>
      <w:r w:rsidRPr="007C6BE8">
        <w:rPr>
          <w:rFonts w:asciiTheme="majorHAnsi" w:hAnsiTheme="majorHAnsi"/>
          <w:sz w:val="20"/>
          <w:szCs w:val="20"/>
          <w:lang w:val="es-ES_tradnl"/>
        </w:rPr>
        <w:lastRenderedPageBreak/>
        <w:t>ha tenido acceso al formato del levantamiento del cadáver</w:t>
      </w:r>
      <w:r w:rsidR="00C57F36" w:rsidRPr="007C6BE8">
        <w:rPr>
          <w:rFonts w:asciiTheme="majorHAnsi" w:hAnsiTheme="majorHAnsi"/>
          <w:sz w:val="20"/>
          <w:szCs w:val="20"/>
          <w:lang w:val="es-ES_tradnl"/>
        </w:rPr>
        <w:t>, la necropsia</w:t>
      </w:r>
      <w:r w:rsidR="003B432C" w:rsidRPr="007C6BE8">
        <w:rPr>
          <w:rFonts w:asciiTheme="majorHAnsi" w:hAnsiTheme="majorHAnsi"/>
          <w:sz w:val="20"/>
          <w:szCs w:val="20"/>
          <w:lang w:val="es-ES_tradnl"/>
        </w:rPr>
        <w:t xml:space="preserve"> y a la narración que las par</w:t>
      </w:r>
      <w:r w:rsidR="00BE0550" w:rsidRPr="007C6BE8">
        <w:rPr>
          <w:rFonts w:asciiTheme="majorHAnsi" w:hAnsiTheme="majorHAnsi"/>
          <w:sz w:val="20"/>
          <w:szCs w:val="20"/>
          <w:lang w:val="es-ES_tradnl"/>
        </w:rPr>
        <w:t xml:space="preserve">tes han indicado respecto del estado y las </w:t>
      </w:r>
      <w:r w:rsidR="003B432C" w:rsidRPr="007C6BE8">
        <w:rPr>
          <w:rFonts w:asciiTheme="majorHAnsi" w:hAnsiTheme="majorHAnsi"/>
          <w:sz w:val="20"/>
          <w:szCs w:val="20"/>
          <w:lang w:val="es-ES_tradnl"/>
        </w:rPr>
        <w:t>diligencias realizadas en la investigación</w:t>
      </w:r>
      <w:r w:rsidRPr="007C6BE8">
        <w:rPr>
          <w:rFonts w:asciiTheme="majorHAnsi" w:hAnsiTheme="majorHAnsi"/>
          <w:sz w:val="20"/>
          <w:szCs w:val="20"/>
          <w:lang w:val="es-ES_tradnl"/>
        </w:rPr>
        <w:t>.</w:t>
      </w:r>
      <w:r w:rsidR="00C57F36" w:rsidRPr="007C6BE8">
        <w:rPr>
          <w:rFonts w:asciiTheme="majorHAnsi" w:hAnsiTheme="majorHAnsi"/>
          <w:sz w:val="20"/>
          <w:szCs w:val="20"/>
          <w:lang w:val="es-ES_tradnl"/>
        </w:rPr>
        <w:t xml:space="preserve"> Con base en dichos elementos, la Comisión procederá a determinar si el Estado actuó de manera diligente y en un plazo razonable.</w:t>
      </w:r>
    </w:p>
    <w:p w:rsidR="003B432C" w:rsidRPr="007C6BE8" w:rsidRDefault="003B432C"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Arial"/>
          <w:sz w:val="20"/>
          <w:szCs w:val="20"/>
          <w:lang w:val="es-ES_tradnl"/>
        </w:rPr>
      </w:pPr>
    </w:p>
    <w:p w:rsidR="005572C4" w:rsidRPr="007C6BE8" w:rsidRDefault="003B432C"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cs="Arial"/>
          <w:sz w:val="20"/>
          <w:szCs w:val="20"/>
          <w:lang w:val="es-ES_tradnl"/>
        </w:rPr>
        <w:t>La Comisión observa que a</w:t>
      </w:r>
      <w:r w:rsidR="008F71A8" w:rsidRPr="007C6BE8">
        <w:rPr>
          <w:rFonts w:asciiTheme="majorHAnsi" w:hAnsiTheme="majorHAnsi" w:cs="Arial"/>
          <w:sz w:val="20"/>
          <w:szCs w:val="20"/>
          <w:lang w:val="es-ES_tradnl"/>
        </w:rPr>
        <w:t xml:space="preserve"> </w:t>
      </w:r>
      <w:r w:rsidR="005572C4" w:rsidRPr="007C6BE8">
        <w:rPr>
          <w:rFonts w:asciiTheme="majorHAnsi" w:hAnsiTheme="majorHAnsi" w:cs="Arial"/>
          <w:sz w:val="20"/>
          <w:szCs w:val="20"/>
          <w:lang w:val="es-ES_tradnl"/>
        </w:rPr>
        <w:t xml:space="preserve">pesar de la intervención temprana del Inspector Municipal de Santa Bárbara al momento de descubrir los restos de la víctima, no se cumplió con las diligencias de prueba de rigor ni se preservaron otras pruebas fundamentales para el esclarecimiento judicial de su muerte.  </w:t>
      </w:r>
      <w:r w:rsidR="005572C4" w:rsidRPr="007C6BE8">
        <w:rPr>
          <w:rFonts w:asciiTheme="majorHAnsi" w:hAnsiTheme="majorHAnsi" w:cs="Arial"/>
          <w:sz w:val="20"/>
          <w:szCs w:val="20"/>
          <w:lang w:val="es-CR"/>
        </w:rPr>
        <w:t xml:space="preserve">Concretamente, la diligencia de levantamiento de cadáver practicada el 9 de junio de 1992 registra severas irregularidades y omisiones. </w:t>
      </w:r>
      <w:r w:rsidR="005572C4" w:rsidRPr="007C6BE8">
        <w:rPr>
          <w:rFonts w:asciiTheme="majorHAnsi" w:hAnsiTheme="majorHAnsi"/>
          <w:sz w:val="20"/>
          <w:szCs w:val="20"/>
          <w:lang w:val="es-CR"/>
        </w:rPr>
        <w:t xml:space="preserve"> </w:t>
      </w:r>
      <w:r w:rsidR="005572C4" w:rsidRPr="007C6BE8">
        <w:rPr>
          <w:rFonts w:asciiTheme="majorHAnsi" w:hAnsiTheme="majorHAnsi" w:cs="Arial"/>
          <w:sz w:val="20"/>
          <w:szCs w:val="20"/>
          <w:lang w:val="es-CR"/>
        </w:rPr>
        <w:t xml:space="preserve">En efecto, no </w:t>
      </w:r>
      <w:r w:rsidR="008F71A8" w:rsidRPr="007C6BE8">
        <w:rPr>
          <w:rFonts w:asciiTheme="majorHAnsi" w:hAnsiTheme="majorHAnsi" w:cs="Arial"/>
          <w:sz w:val="20"/>
          <w:szCs w:val="20"/>
          <w:lang w:val="es-CR"/>
        </w:rPr>
        <w:t xml:space="preserve">consta que </w:t>
      </w:r>
      <w:r w:rsidR="005572C4" w:rsidRPr="007C6BE8">
        <w:rPr>
          <w:rFonts w:asciiTheme="majorHAnsi" w:hAnsiTheme="majorHAnsi" w:cs="Arial"/>
          <w:sz w:val="20"/>
          <w:szCs w:val="20"/>
          <w:lang w:val="es-CR"/>
        </w:rPr>
        <w:t>se tomaron fotografías del cadáver en la escena del crimen o posteriormente. Se hizo constar como causa de la muerte “presunto suicid</w:t>
      </w:r>
      <w:r w:rsidR="002D3553" w:rsidRPr="007C6BE8">
        <w:rPr>
          <w:rFonts w:asciiTheme="majorHAnsi" w:hAnsiTheme="majorHAnsi" w:cs="Arial"/>
          <w:sz w:val="20"/>
          <w:szCs w:val="20"/>
          <w:lang w:val="es-CR"/>
        </w:rPr>
        <w:t>i</w:t>
      </w:r>
      <w:r w:rsidR="005572C4" w:rsidRPr="007C6BE8">
        <w:rPr>
          <w:rFonts w:asciiTheme="majorHAnsi" w:hAnsiTheme="majorHAnsi" w:cs="Arial"/>
          <w:sz w:val="20"/>
          <w:szCs w:val="20"/>
          <w:lang w:val="es-CR"/>
        </w:rPr>
        <w:t>o” a pesar de no hallarse arma alguna en el lugar y el registro evidente de huellas de violencia en el cuerpo, con signos de quemadura, heridas de bala, ausencia de dientes en la mandíbula inferior y la posición de las manos sobre la cabeza</w:t>
      </w:r>
      <w:r w:rsidR="005572C4" w:rsidRPr="007C6BE8">
        <w:rPr>
          <w:rStyle w:val="FootnoteReference"/>
          <w:rFonts w:asciiTheme="majorHAnsi" w:hAnsiTheme="majorHAnsi" w:cs="Arial"/>
          <w:sz w:val="20"/>
          <w:szCs w:val="20"/>
        </w:rPr>
        <w:footnoteReference w:id="123"/>
      </w:r>
      <w:r w:rsidR="005572C4" w:rsidRPr="007C6BE8">
        <w:rPr>
          <w:rFonts w:asciiTheme="majorHAnsi" w:hAnsiTheme="majorHAnsi" w:cs="Arial"/>
          <w:sz w:val="20"/>
          <w:szCs w:val="20"/>
          <w:lang w:val="es-CR"/>
        </w:rPr>
        <w:t>.</w:t>
      </w:r>
    </w:p>
    <w:p w:rsidR="008F71A8" w:rsidRPr="007C6BE8" w:rsidRDefault="008F71A8"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D7397F" w:rsidRPr="007C6BE8" w:rsidRDefault="005572C4"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ES_tradnl"/>
        </w:rPr>
        <w:t xml:space="preserve">No se recabaron elementos que pudieran contribuir a la determinación de los medios empleados por los autores materiales del crimen y a su identificación.  Concretamente, no le consta a la Comisión que se haya </w:t>
      </w:r>
      <w:r w:rsidR="00375154" w:rsidRPr="007C6BE8">
        <w:rPr>
          <w:rFonts w:asciiTheme="majorHAnsi" w:hAnsiTheme="majorHAnsi"/>
          <w:sz w:val="20"/>
          <w:szCs w:val="20"/>
          <w:lang w:val="es-ES_tradnl"/>
        </w:rPr>
        <w:t>intentado localizar el proyectil que terminó con la vida de la víctima, ni una descripción detallada de las heridas sufridas y una explicación sobre la manera en que se produjeron.</w:t>
      </w:r>
      <w:r w:rsidR="00D7397F" w:rsidRPr="007C6BE8">
        <w:rPr>
          <w:rFonts w:asciiTheme="majorHAnsi" w:hAnsiTheme="majorHAnsi"/>
          <w:sz w:val="20"/>
          <w:szCs w:val="20"/>
          <w:lang w:val="es-ES_tradnl"/>
        </w:rPr>
        <w:t xml:space="preserve"> No consta</w:t>
      </w:r>
      <w:r w:rsidR="0060350D" w:rsidRPr="007C6BE8">
        <w:rPr>
          <w:rFonts w:asciiTheme="majorHAnsi" w:hAnsiTheme="majorHAnsi"/>
          <w:sz w:val="20"/>
          <w:szCs w:val="20"/>
          <w:lang w:val="es-ES_tradnl"/>
        </w:rPr>
        <w:t xml:space="preserve"> asimismo</w:t>
      </w:r>
      <w:r w:rsidR="00D7397F" w:rsidRPr="007C6BE8">
        <w:rPr>
          <w:rFonts w:asciiTheme="majorHAnsi" w:hAnsiTheme="majorHAnsi"/>
          <w:sz w:val="20"/>
          <w:szCs w:val="20"/>
          <w:lang w:val="es-ES_tradnl"/>
        </w:rPr>
        <w:t xml:space="preserve"> una descripción de la escena del crimen que </w:t>
      </w:r>
      <w:r w:rsidR="0060350D" w:rsidRPr="007C6BE8">
        <w:rPr>
          <w:rFonts w:asciiTheme="majorHAnsi" w:hAnsiTheme="majorHAnsi"/>
          <w:sz w:val="20"/>
          <w:szCs w:val="20"/>
          <w:lang w:val="es-ES_tradnl"/>
        </w:rPr>
        <w:t>permita</w:t>
      </w:r>
      <w:r w:rsidR="00D7397F" w:rsidRPr="007C6BE8">
        <w:rPr>
          <w:rFonts w:asciiTheme="majorHAnsi" w:hAnsiTheme="majorHAnsi"/>
          <w:sz w:val="20"/>
          <w:szCs w:val="20"/>
          <w:lang w:val="es-ES_tradnl"/>
        </w:rPr>
        <w:t xml:space="preserve"> identificar si se encontraban </w:t>
      </w:r>
      <w:r w:rsidR="0060350D" w:rsidRPr="007C6BE8">
        <w:rPr>
          <w:rFonts w:asciiTheme="majorHAnsi" w:hAnsiTheme="majorHAnsi"/>
          <w:sz w:val="20"/>
          <w:szCs w:val="20"/>
          <w:lang w:val="es-ES_tradnl"/>
        </w:rPr>
        <w:t xml:space="preserve">presentes </w:t>
      </w:r>
      <w:r w:rsidR="00D7397F" w:rsidRPr="007C6BE8">
        <w:rPr>
          <w:rFonts w:asciiTheme="majorHAnsi" w:hAnsiTheme="majorHAnsi"/>
          <w:sz w:val="20"/>
          <w:szCs w:val="20"/>
          <w:lang w:val="es-ES_tradnl"/>
        </w:rPr>
        <w:t xml:space="preserve">los elementos que los peticionarios indican informó la médica del hospital Santa Bárbara, consistente en </w:t>
      </w:r>
      <w:r w:rsidR="00D7397F" w:rsidRPr="007C6BE8">
        <w:rPr>
          <w:rFonts w:asciiTheme="majorHAnsi" w:hAnsiTheme="majorHAnsi"/>
          <w:sz w:val="20"/>
          <w:szCs w:val="20"/>
          <w:lang w:val="es-CR"/>
        </w:rPr>
        <w:t>la existencia de una pira, al parecer para quemar el cuerpo sin poder lograrlo y su camisa que hecha trizas.</w:t>
      </w:r>
    </w:p>
    <w:p w:rsidR="00375154" w:rsidRPr="007C6BE8" w:rsidRDefault="00375154"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375154" w:rsidRPr="007C6BE8" w:rsidRDefault="00BA2C8F"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cs="Arial"/>
          <w:sz w:val="20"/>
          <w:szCs w:val="20"/>
          <w:lang w:val="es-ES_tradnl"/>
        </w:rPr>
        <w:t>T</w:t>
      </w:r>
      <w:r w:rsidR="00375154" w:rsidRPr="007C6BE8">
        <w:rPr>
          <w:rFonts w:asciiTheme="majorHAnsi" w:hAnsiTheme="majorHAnsi" w:cs="Arial"/>
          <w:sz w:val="20"/>
          <w:szCs w:val="20"/>
          <w:lang w:val="es-ES_tradnl"/>
        </w:rPr>
        <w:t xml:space="preserve">ras las anteriores omisiones </w:t>
      </w:r>
      <w:r w:rsidR="005572C4" w:rsidRPr="007C6BE8">
        <w:rPr>
          <w:rFonts w:asciiTheme="majorHAnsi" w:hAnsiTheme="majorHAnsi" w:cs="Arial"/>
          <w:sz w:val="20"/>
          <w:szCs w:val="20"/>
          <w:lang w:val="es-ES_tradnl"/>
        </w:rPr>
        <w:t xml:space="preserve">se procedió </w:t>
      </w:r>
      <w:r w:rsidR="00375154" w:rsidRPr="007C6BE8">
        <w:rPr>
          <w:rFonts w:asciiTheme="majorHAnsi" w:hAnsiTheme="majorHAnsi" w:cs="Arial"/>
          <w:sz w:val="20"/>
          <w:szCs w:val="20"/>
          <w:lang w:val="es-ES_tradnl"/>
        </w:rPr>
        <w:t xml:space="preserve">inmediatamente </w:t>
      </w:r>
      <w:r w:rsidR="005572C4" w:rsidRPr="007C6BE8">
        <w:rPr>
          <w:rFonts w:asciiTheme="majorHAnsi" w:hAnsiTheme="majorHAnsi" w:cs="Arial"/>
          <w:sz w:val="20"/>
          <w:szCs w:val="20"/>
          <w:lang w:val="es-ES_tradnl"/>
        </w:rPr>
        <w:t xml:space="preserve">a la inhumación del cuerpo como </w:t>
      </w:r>
      <w:r w:rsidR="00375154" w:rsidRPr="007C6BE8">
        <w:rPr>
          <w:rFonts w:asciiTheme="majorHAnsi" w:hAnsiTheme="majorHAnsi" w:cs="Arial"/>
          <w:sz w:val="20"/>
          <w:szCs w:val="20"/>
          <w:lang w:val="es-ES_tradnl"/>
        </w:rPr>
        <w:t>“</w:t>
      </w:r>
      <w:r w:rsidR="005572C4" w:rsidRPr="007C6BE8">
        <w:rPr>
          <w:rFonts w:asciiTheme="majorHAnsi" w:hAnsiTheme="majorHAnsi" w:cs="Arial"/>
          <w:sz w:val="20"/>
          <w:szCs w:val="20"/>
          <w:lang w:val="es-ES_tradnl"/>
        </w:rPr>
        <w:t>NN</w:t>
      </w:r>
      <w:r w:rsidR="00375154" w:rsidRPr="007C6BE8">
        <w:rPr>
          <w:rFonts w:asciiTheme="majorHAnsi" w:hAnsiTheme="majorHAnsi" w:cs="Arial"/>
          <w:sz w:val="20"/>
          <w:szCs w:val="20"/>
          <w:lang w:val="es-ES_tradnl"/>
        </w:rPr>
        <w:t>”</w:t>
      </w:r>
      <w:r w:rsidR="005572C4" w:rsidRPr="007C6BE8">
        <w:rPr>
          <w:rFonts w:asciiTheme="majorHAnsi" w:hAnsiTheme="majorHAnsi" w:cs="Arial"/>
          <w:sz w:val="20"/>
          <w:szCs w:val="20"/>
          <w:lang w:val="es-ES_tradnl"/>
        </w:rPr>
        <w:t xml:space="preserve"> sin </w:t>
      </w:r>
      <w:r w:rsidR="00375154" w:rsidRPr="007C6BE8">
        <w:rPr>
          <w:rFonts w:asciiTheme="majorHAnsi" w:hAnsiTheme="majorHAnsi" w:cs="Arial"/>
          <w:sz w:val="20"/>
          <w:szCs w:val="20"/>
          <w:lang w:val="es-ES_tradnl"/>
        </w:rPr>
        <w:t xml:space="preserve">que consten </w:t>
      </w:r>
      <w:r w:rsidR="005572C4" w:rsidRPr="007C6BE8">
        <w:rPr>
          <w:rFonts w:asciiTheme="majorHAnsi" w:hAnsiTheme="majorHAnsi" w:cs="Arial"/>
          <w:sz w:val="20"/>
          <w:szCs w:val="20"/>
          <w:lang w:val="es-ES_tradnl"/>
        </w:rPr>
        <w:t>esfuerzos destinados a su identificación y a recolectar pruebas relevantes para establecer l</w:t>
      </w:r>
      <w:r w:rsidR="00375154" w:rsidRPr="007C6BE8">
        <w:rPr>
          <w:rFonts w:asciiTheme="majorHAnsi" w:hAnsiTheme="majorHAnsi" w:cs="Arial"/>
          <w:sz w:val="20"/>
          <w:szCs w:val="20"/>
          <w:lang w:val="es-ES_tradnl"/>
        </w:rPr>
        <w:t>as circunstancias de su muerte.</w:t>
      </w:r>
      <w:r w:rsidR="005572C4" w:rsidRPr="007C6BE8">
        <w:rPr>
          <w:rFonts w:asciiTheme="majorHAnsi" w:hAnsiTheme="majorHAnsi" w:cs="Arial"/>
          <w:sz w:val="20"/>
          <w:szCs w:val="20"/>
          <w:lang w:val="es-ES_tradnl"/>
        </w:rPr>
        <w:t xml:space="preserve"> Según surge de los alegatos, la exhumación e identificación del cuerpo se produjo gracias a la intervención directa de los familiares de la víctima, quienes </w:t>
      </w:r>
      <w:r w:rsidR="00375154" w:rsidRPr="007C6BE8">
        <w:rPr>
          <w:rFonts w:asciiTheme="majorHAnsi" w:hAnsiTheme="majorHAnsi" w:cs="Arial"/>
          <w:sz w:val="20"/>
          <w:szCs w:val="20"/>
          <w:lang w:val="es-ES_tradnl"/>
        </w:rPr>
        <w:t>tuvieron conocimiento de la aparición del cuerpo mediante una asociación.</w:t>
      </w:r>
    </w:p>
    <w:p w:rsidR="00375154" w:rsidRPr="007C6BE8" w:rsidRDefault="00375154"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BF6A19" w:rsidRPr="007C6BE8" w:rsidRDefault="00BA2C8F"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ES_tradnl"/>
        </w:rPr>
        <w:t xml:space="preserve">La Comisión </w:t>
      </w:r>
      <w:r w:rsidR="00BF6A19" w:rsidRPr="007C6BE8">
        <w:rPr>
          <w:rFonts w:asciiTheme="majorHAnsi" w:hAnsiTheme="majorHAnsi"/>
          <w:sz w:val="20"/>
          <w:szCs w:val="20"/>
          <w:lang w:val="es-ES_tradnl"/>
        </w:rPr>
        <w:t xml:space="preserve">nota </w:t>
      </w:r>
      <w:r w:rsidRPr="007C6BE8">
        <w:rPr>
          <w:rFonts w:asciiTheme="majorHAnsi" w:hAnsiTheme="majorHAnsi"/>
          <w:sz w:val="20"/>
          <w:szCs w:val="20"/>
          <w:lang w:val="es-ES_tradnl"/>
        </w:rPr>
        <w:t xml:space="preserve">que por estas omisiones se inició un proceso disciplinario que según fue informado por el Estado reconoció que se cometieron falencias en esta etapa consistentes en el “manejo equivocado de la hipótesis de la muerte” y “el formato de levantamiento” “mal diligenciado”. Dicho proceso </w:t>
      </w:r>
      <w:r w:rsidRPr="007C6BE8">
        <w:rPr>
          <w:rFonts w:asciiTheme="majorHAnsi" w:hAnsiTheme="majorHAnsi"/>
          <w:sz w:val="20"/>
          <w:szCs w:val="20"/>
          <w:lang w:val="es-CR"/>
        </w:rPr>
        <w:t>concluyó atribuyendo tales falencias a “la inexperiencia  en el desempeño de funciones de policía, a lo recién llegado al cargo (del Inspector Arango Isaza)”, y desca</w:t>
      </w:r>
      <w:r w:rsidR="00A312C4" w:rsidRPr="007C6BE8">
        <w:rPr>
          <w:rFonts w:asciiTheme="majorHAnsi" w:hAnsiTheme="majorHAnsi"/>
          <w:sz w:val="20"/>
          <w:szCs w:val="20"/>
          <w:lang w:val="es-CR"/>
        </w:rPr>
        <w:t>r</w:t>
      </w:r>
      <w:r w:rsidRPr="007C6BE8">
        <w:rPr>
          <w:rFonts w:asciiTheme="majorHAnsi" w:hAnsiTheme="majorHAnsi"/>
          <w:sz w:val="20"/>
          <w:szCs w:val="20"/>
          <w:lang w:val="es-CR"/>
        </w:rPr>
        <w:t xml:space="preserve">tó una “acción o actitud dolosa”. </w:t>
      </w:r>
    </w:p>
    <w:p w:rsidR="00BF6A19" w:rsidRPr="007C6BE8" w:rsidRDefault="00BF6A19"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BF6A19" w:rsidRPr="007C6BE8" w:rsidRDefault="00C57F36"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CR"/>
        </w:rPr>
        <w:t xml:space="preserve">Aunque la Comisión ha tomado </w:t>
      </w:r>
      <w:r w:rsidR="00BF6A19" w:rsidRPr="007C6BE8">
        <w:rPr>
          <w:rFonts w:asciiTheme="majorHAnsi" w:hAnsiTheme="majorHAnsi"/>
          <w:sz w:val="20"/>
          <w:szCs w:val="20"/>
          <w:lang w:val="es-CR"/>
        </w:rPr>
        <w:t xml:space="preserve">nota del resultado de dicho proceso </w:t>
      </w:r>
      <w:r w:rsidR="002D3553" w:rsidRPr="007C6BE8">
        <w:rPr>
          <w:rFonts w:asciiTheme="majorHAnsi" w:hAnsiTheme="majorHAnsi"/>
          <w:sz w:val="20"/>
          <w:szCs w:val="20"/>
          <w:lang w:val="es-CR"/>
        </w:rPr>
        <w:t xml:space="preserve">relativo a </w:t>
      </w:r>
      <w:r w:rsidR="00BF6A19" w:rsidRPr="007C6BE8">
        <w:rPr>
          <w:rFonts w:asciiTheme="majorHAnsi" w:hAnsiTheme="majorHAnsi"/>
          <w:sz w:val="20"/>
          <w:szCs w:val="20"/>
          <w:lang w:val="es-CR"/>
        </w:rPr>
        <w:t>la responsabilidad disciplinaria de los funcionarios</w:t>
      </w:r>
      <w:r w:rsidRPr="007C6BE8">
        <w:rPr>
          <w:rFonts w:asciiTheme="majorHAnsi" w:hAnsiTheme="majorHAnsi"/>
          <w:sz w:val="20"/>
          <w:szCs w:val="20"/>
          <w:lang w:val="es-CR"/>
        </w:rPr>
        <w:t xml:space="preserve">, </w:t>
      </w:r>
      <w:r w:rsidR="00BF6A19" w:rsidRPr="007C6BE8">
        <w:rPr>
          <w:rFonts w:asciiTheme="majorHAnsi" w:hAnsiTheme="majorHAnsi"/>
          <w:sz w:val="20"/>
          <w:szCs w:val="20"/>
          <w:lang w:val="es-CR"/>
        </w:rPr>
        <w:t xml:space="preserve">advierte que ante </w:t>
      </w:r>
      <w:r w:rsidRPr="007C6BE8">
        <w:rPr>
          <w:rFonts w:asciiTheme="majorHAnsi" w:hAnsiTheme="majorHAnsi"/>
          <w:sz w:val="20"/>
          <w:szCs w:val="20"/>
          <w:lang w:val="es-CR"/>
        </w:rPr>
        <w:t xml:space="preserve">la gravedad de tales </w:t>
      </w:r>
      <w:r w:rsidR="00BF6A19" w:rsidRPr="007C6BE8">
        <w:rPr>
          <w:rFonts w:asciiTheme="majorHAnsi" w:hAnsiTheme="majorHAnsi"/>
          <w:sz w:val="20"/>
          <w:szCs w:val="20"/>
          <w:lang w:val="es-CR"/>
        </w:rPr>
        <w:t xml:space="preserve">omisiones, </w:t>
      </w:r>
      <w:r w:rsidR="00BF6A19" w:rsidRPr="007C6BE8">
        <w:rPr>
          <w:rFonts w:asciiTheme="majorHAnsi" w:hAnsiTheme="majorHAnsi"/>
          <w:sz w:val="20"/>
          <w:szCs w:val="20"/>
          <w:lang w:val="es-ES_tradnl"/>
        </w:rPr>
        <w:t>de no ser por la actividad de los familiares, el cuerpo del señor Norberto habría sido inhumado con indicación de tratarse de un suicidio, sin identificación alguna</w:t>
      </w:r>
      <w:r w:rsidR="00902582" w:rsidRPr="007C6BE8">
        <w:rPr>
          <w:rFonts w:asciiTheme="majorHAnsi" w:hAnsiTheme="majorHAnsi"/>
          <w:sz w:val="20"/>
          <w:szCs w:val="20"/>
          <w:lang w:val="es-ES_tradnl"/>
        </w:rPr>
        <w:t>,</w:t>
      </w:r>
      <w:r w:rsidR="00BF6A19" w:rsidRPr="007C6BE8">
        <w:rPr>
          <w:rFonts w:asciiTheme="majorHAnsi" w:hAnsiTheme="majorHAnsi"/>
          <w:sz w:val="20"/>
          <w:szCs w:val="20"/>
          <w:lang w:val="es-ES_tradnl"/>
        </w:rPr>
        <w:t xml:space="preserve"> con lo cual se hubiese prolongado </w:t>
      </w:r>
      <w:r w:rsidR="00422EF6" w:rsidRPr="007C6BE8">
        <w:rPr>
          <w:rFonts w:asciiTheme="majorHAnsi" w:hAnsiTheme="majorHAnsi"/>
          <w:sz w:val="20"/>
          <w:szCs w:val="20"/>
          <w:lang w:val="es-ES_tradnl"/>
        </w:rPr>
        <w:t>la falta de determinación de su paradero</w:t>
      </w:r>
      <w:r w:rsidR="00BF6A19" w:rsidRPr="007C6BE8">
        <w:rPr>
          <w:rFonts w:asciiTheme="majorHAnsi" w:hAnsiTheme="majorHAnsi"/>
          <w:sz w:val="20"/>
          <w:szCs w:val="20"/>
          <w:lang w:val="es-ES_tradnl"/>
        </w:rPr>
        <w:t>.</w:t>
      </w:r>
      <w:r w:rsidR="0060350D" w:rsidRPr="007C6BE8">
        <w:rPr>
          <w:rFonts w:asciiTheme="majorHAnsi" w:hAnsiTheme="majorHAnsi"/>
          <w:sz w:val="20"/>
          <w:szCs w:val="20"/>
          <w:lang w:val="es-ES_tradnl"/>
        </w:rPr>
        <w:t xml:space="preserve"> </w:t>
      </w:r>
    </w:p>
    <w:p w:rsidR="00BF6A19" w:rsidRPr="007C6BE8" w:rsidRDefault="00BF6A19"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4F2A06" w:rsidRPr="007C6BE8" w:rsidRDefault="00BF6A19" w:rsidP="004F2A0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ES_tradnl"/>
        </w:rPr>
        <w:t xml:space="preserve">La Comisión advierte </w:t>
      </w:r>
      <w:r w:rsidR="00902582" w:rsidRPr="007C6BE8">
        <w:rPr>
          <w:rFonts w:asciiTheme="majorHAnsi" w:hAnsiTheme="majorHAnsi"/>
          <w:sz w:val="20"/>
          <w:szCs w:val="20"/>
          <w:lang w:val="es-ES_tradnl"/>
        </w:rPr>
        <w:t xml:space="preserve">además </w:t>
      </w:r>
      <w:r w:rsidR="004F2A06" w:rsidRPr="007C6BE8">
        <w:rPr>
          <w:rFonts w:asciiTheme="majorHAnsi" w:hAnsiTheme="majorHAnsi"/>
          <w:sz w:val="20"/>
          <w:szCs w:val="20"/>
          <w:lang w:val="es-ES_tradnl"/>
        </w:rPr>
        <w:t xml:space="preserve">que </w:t>
      </w:r>
      <w:r w:rsidRPr="007C6BE8">
        <w:rPr>
          <w:rFonts w:asciiTheme="majorHAnsi" w:hAnsiTheme="majorHAnsi"/>
          <w:sz w:val="20"/>
          <w:szCs w:val="20"/>
          <w:lang w:val="es-ES_tradnl"/>
        </w:rPr>
        <w:t xml:space="preserve">no existe constancia de que se realizaran como ordenar diligencias de planimetría, </w:t>
      </w:r>
      <w:r w:rsidR="00A312C4" w:rsidRPr="007C6BE8">
        <w:rPr>
          <w:rFonts w:asciiTheme="majorHAnsi" w:hAnsiTheme="majorHAnsi"/>
          <w:sz w:val="20"/>
          <w:szCs w:val="20"/>
          <w:lang w:val="es-ES_tradnl"/>
        </w:rPr>
        <w:t xml:space="preserve">reconstrucción de hechos, </w:t>
      </w:r>
      <w:r w:rsidR="004F2A06" w:rsidRPr="007C6BE8">
        <w:rPr>
          <w:rFonts w:asciiTheme="majorHAnsi" w:hAnsiTheme="majorHAnsi"/>
          <w:sz w:val="20"/>
          <w:szCs w:val="20"/>
          <w:lang w:val="es-ES_tradnl"/>
        </w:rPr>
        <w:t xml:space="preserve">identificar los proyectiles disparados y de manera diligente </w:t>
      </w:r>
      <w:r w:rsidRPr="007C6BE8">
        <w:rPr>
          <w:rFonts w:asciiTheme="majorHAnsi" w:hAnsiTheme="majorHAnsi"/>
          <w:sz w:val="20"/>
          <w:szCs w:val="20"/>
          <w:lang w:val="es-ES_tradnl"/>
        </w:rPr>
        <w:t>el arma desde la cual se le disparó</w:t>
      </w:r>
      <w:r w:rsidR="00A312C4" w:rsidRPr="007C6BE8">
        <w:rPr>
          <w:rFonts w:asciiTheme="majorHAnsi" w:hAnsiTheme="majorHAnsi"/>
          <w:sz w:val="20"/>
          <w:szCs w:val="20"/>
          <w:lang w:val="es-ES_tradnl"/>
        </w:rPr>
        <w:t xml:space="preserve">, </w:t>
      </w:r>
      <w:r w:rsidR="0060350D" w:rsidRPr="007C6BE8">
        <w:rPr>
          <w:rFonts w:asciiTheme="majorHAnsi" w:hAnsiTheme="majorHAnsi"/>
          <w:sz w:val="20"/>
          <w:szCs w:val="20"/>
          <w:lang w:val="es-ES_tradnl"/>
        </w:rPr>
        <w:t xml:space="preserve">o </w:t>
      </w:r>
      <w:r w:rsidR="004F2A06" w:rsidRPr="007C6BE8">
        <w:rPr>
          <w:rFonts w:asciiTheme="majorHAnsi" w:hAnsiTheme="majorHAnsi"/>
          <w:sz w:val="20"/>
          <w:szCs w:val="20"/>
          <w:lang w:val="es-ES_tradnl"/>
        </w:rPr>
        <w:t xml:space="preserve">bien brindar </w:t>
      </w:r>
      <w:r w:rsidR="0060350D" w:rsidRPr="007C6BE8">
        <w:rPr>
          <w:rFonts w:asciiTheme="majorHAnsi" w:hAnsiTheme="majorHAnsi"/>
          <w:sz w:val="20"/>
          <w:szCs w:val="20"/>
          <w:lang w:val="es-ES_tradnl"/>
        </w:rPr>
        <w:t>una explicación sobre las heridas encontradas</w:t>
      </w:r>
      <w:r w:rsidR="00610601" w:rsidRPr="007C6BE8">
        <w:rPr>
          <w:rFonts w:asciiTheme="majorHAnsi" w:hAnsiTheme="majorHAnsi"/>
          <w:sz w:val="20"/>
          <w:szCs w:val="20"/>
          <w:lang w:val="es-ES_tradnl"/>
        </w:rPr>
        <w:t xml:space="preserve"> tales como la fractura en la mano</w:t>
      </w:r>
      <w:r w:rsidR="004F2A06" w:rsidRPr="007C6BE8">
        <w:rPr>
          <w:rFonts w:asciiTheme="majorHAnsi" w:hAnsiTheme="majorHAnsi"/>
          <w:sz w:val="20"/>
          <w:szCs w:val="20"/>
          <w:lang w:val="es-ES_tradnl"/>
        </w:rPr>
        <w:t>, la ausencia de dientes</w:t>
      </w:r>
      <w:r w:rsidR="00610601" w:rsidRPr="007C6BE8">
        <w:rPr>
          <w:rFonts w:asciiTheme="majorHAnsi" w:hAnsiTheme="majorHAnsi"/>
          <w:sz w:val="20"/>
          <w:szCs w:val="20"/>
          <w:lang w:val="es-ES_tradnl"/>
        </w:rPr>
        <w:t xml:space="preserve"> y los signos de quemaduras</w:t>
      </w:r>
      <w:r w:rsidRPr="007C6BE8">
        <w:rPr>
          <w:rFonts w:asciiTheme="majorHAnsi" w:hAnsiTheme="majorHAnsi"/>
          <w:sz w:val="20"/>
          <w:szCs w:val="20"/>
          <w:lang w:val="es-ES_tradnl"/>
        </w:rPr>
        <w:t>.</w:t>
      </w:r>
      <w:r w:rsidR="004F2A06" w:rsidRPr="007C6BE8">
        <w:rPr>
          <w:rFonts w:asciiTheme="majorHAnsi" w:hAnsiTheme="majorHAnsi"/>
          <w:sz w:val="20"/>
          <w:szCs w:val="20"/>
          <w:lang w:val="es-ES_tradnl"/>
        </w:rPr>
        <w:t xml:space="preserve"> En virtud de las mencionadas falencias, se afectó severamente la investigación, en particular, debido a la contaminación de la escena del crimen y la descomposición del cuerpo para identificar el origen de las heridas. </w:t>
      </w:r>
    </w:p>
    <w:p w:rsidR="00BF6A19" w:rsidRPr="007C6BE8" w:rsidRDefault="00BF6A19"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BF6A19" w:rsidRPr="007C6BE8" w:rsidRDefault="00BF6A19"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ES_tradnl"/>
        </w:rPr>
        <w:t>La Comisión nota después de las escasas diligencias practicadas,</w:t>
      </w:r>
      <w:r w:rsidR="007A14CA" w:rsidRPr="007C6BE8">
        <w:rPr>
          <w:rFonts w:asciiTheme="majorHAnsi" w:hAnsiTheme="majorHAnsi"/>
          <w:sz w:val="20"/>
          <w:szCs w:val="20"/>
          <w:lang w:val="es-ES_tradnl"/>
        </w:rPr>
        <w:t xml:space="preserve"> el Estado no informó sobre alguna diligencia transcurrida entre 1992 y 1994, con lo cual la Fiscalía Seccional del Municipio de Santa Bárbara procedió al archivo de la investigación. La Comisión nota que con posterioridad se registran actuaciones de una Fiscalía  Seccional de la Unidad 5ta de “Patrimonio Económico”, de la cual no resulta clara </w:t>
      </w:r>
      <w:r w:rsidR="007A14CA" w:rsidRPr="007C6BE8">
        <w:rPr>
          <w:rFonts w:asciiTheme="majorHAnsi" w:hAnsiTheme="majorHAnsi"/>
          <w:sz w:val="20"/>
          <w:szCs w:val="20"/>
          <w:lang w:val="es-ES_tradnl"/>
        </w:rPr>
        <w:lastRenderedPageBreak/>
        <w:t>su competencia para conocer de los hechos</w:t>
      </w:r>
      <w:r w:rsidR="00610601" w:rsidRPr="007C6BE8">
        <w:rPr>
          <w:rFonts w:asciiTheme="majorHAnsi" w:hAnsiTheme="majorHAnsi"/>
          <w:sz w:val="20"/>
          <w:szCs w:val="20"/>
          <w:lang w:val="es-ES_tradnl"/>
        </w:rPr>
        <w:t xml:space="preserve">. Asimismo, se advierte que </w:t>
      </w:r>
      <w:r w:rsidR="0060350D" w:rsidRPr="007C6BE8">
        <w:rPr>
          <w:rFonts w:asciiTheme="majorHAnsi" w:hAnsiTheme="majorHAnsi"/>
          <w:sz w:val="20"/>
          <w:szCs w:val="20"/>
          <w:lang w:val="es-ES_tradnl"/>
        </w:rPr>
        <w:t xml:space="preserve">el expediente se remitió </w:t>
      </w:r>
      <w:r w:rsidR="007A14CA" w:rsidRPr="007C6BE8">
        <w:rPr>
          <w:rFonts w:asciiTheme="majorHAnsi" w:hAnsiTheme="majorHAnsi"/>
          <w:sz w:val="20"/>
          <w:szCs w:val="20"/>
          <w:lang w:val="es-ES_tradnl"/>
        </w:rPr>
        <w:t>finalmente el 3 de abril de 1998 a la  Unidad Nacional de Derechos Humanos y DIH de la Fiscalía General de la Nación</w:t>
      </w:r>
      <w:r w:rsidR="003B432C" w:rsidRPr="007C6BE8">
        <w:rPr>
          <w:rFonts w:asciiTheme="majorHAnsi" w:hAnsiTheme="majorHAnsi"/>
          <w:sz w:val="20"/>
          <w:szCs w:val="20"/>
          <w:lang w:val="es-ES_tradnl"/>
        </w:rPr>
        <w:t xml:space="preserve"> la cual realiza la investigación </w:t>
      </w:r>
      <w:r w:rsidR="00A312C4" w:rsidRPr="007C6BE8">
        <w:rPr>
          <w:rFonts w:asciiTheme="majorHAnsi" w:hAnsiTheme="majorHAnsi"/>
          <w:sz w:val="20"/>
          <w:szCs w:val="20"/>
          <w:lang w:val="es-ES_tradnl"/>
        </w:rPr>
        <w:t xml:space="preserve">que se encuentra en etapa preliminar </w:t>
      </w:r>
      <w:r w:rsidR="003B432C" w:rsidRPr="007C6BE8">
        <w:rPr>
          <w:rFonts w:asciiTheme="majorHAnsi" w:hAnsiTheme="majorHAnsi"/>
          <w:sz w:val="20"/>
          <w:szCs w:val="20"/>
          <w:lang w:val="es-ES_tradnl"/>
        </w:rPr>
        <w:t>hasta la fecha</w:t>
      </w:r>
      <w:r w:rsidR="007A14CA" w:rsidRPr="007C6BE8">
        <w:rPr>
          <w:rFonts w:asciiTheme="majorHAnsi" w:hAnsiTheme="majorHAnsi"/>
          <w:sz w:val="20"/>
          <w:szCs w:val="20"/>
          <w:lang w:val="es-ES_tradnl"/>
        </w:rPr>
        <w:t>.</w:t>
      </w:r>
    </w:p>
    <w:p w:rsidR="007A14CA" w:rsidRPr="007C6BE8" w:rsidRDefault="007A14CA"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264371" w:rsidRPr="007C6BE8" w:rsidRDefault="007A14CA"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ES_tradnl"/>
        </w:rPr>
        <w:t xml:space="preserve">De conformidad con las diligencias enunciadas por el Estado, </w:t>
      </w:r>
      <w:r w:rsidR="00902582" w:rsidRPr="007C6BE8">
        <w:rPr>
          <w:rFonts w:asciiTheme="majorHAnsi" w:hAnsiTheme="majorHAnsi"/>
          <w:sz w:val="20"/>
          <w:szCs w:val="20"/>
          <w:lang w:val="es-ES_tradnl"/>
        </w:rPr>
        <w:t xml:space="preserve">la  Comisión nota que </w:t>
      </w:r>
      <w:r w:rsidRPr="007C6BE8">
        <w:rPr>
          <w:rFonts w:asciiTheme="majorHAnsi" w:hAnsiTheme="majorHAnsi"/>
          <w:sz w:val="20"/>
          <w:szCs w:val="20"/>
          <w:lang w:val="es-ES_tradnl"/>
        </w:rPr>
        <w:t xml:space="preserve">desde que el expediente está en la última fiscalía  se han tomado declaraciones de varias personas, </w:t>
      </w:r>
      <w:r w:rsidR="00610601" w:rsidRPr="007C6BE8">
        <w:rPr>
          <w:rFonts w:asciiTheme="majorHAnsi" w:hAnsiTheme="majorHAnsi"/>
          <w:sz w:val="20"/>
          <w:szCs w:val="20"/>
          <w:lang w:val="es-ES_tradnl"/>
        </w:rPr>
        <w:t xml:space="preserve">algunas </w:t>
      </w:r>
      <w:r w:rsidRPr="007C6BE8">
        <w:rPr>
          <w:rFonts w:asciiTheme="majorHAnsi" w:hAnsiTheme="majorHAnsi"/>
          <w:sz w:val="20"/>
          <w:szCs w:val="20"/>
          <w:lang w:val="es-ES_tradnl"/>
        </w:rPr>
        <w:t>no iden</w:t>
      </w:r>
      <w:r w:rsidR="00610601" w:rsidRPr="007C6BE8">
        <w:rPr>
          <w:rFonts w:asciiTheme="majorHAnsi" w:hAnsiTheme="majorHAnsi"/>
          <w:sz w:val="20"/>
          <w:szCs w:val="20"/>
          <w:lang w:val="es-ES_tradnl"/>
        </w:rPr>
        <w:t>tificadas en el informe estatal;</w:t>
      </w:r>
      <w:r w:rsidRPr="007C6BE8">
        <w:rPr>
          <w:rFonts w:asciiTheme="majorHAnsi" w:hAnsiTheme="majorHAnsi"/>
          <w:sz w:val="20"/>
          <w:szCs w:val="20"/>
          <w:lang w:val="es-ES_tradnl"/>
        </w:rPr>
        <w:t xml:space="preserve"> se han practicado algunas diligencias de verificación de órdenes de captura de miembros de autodefensas y se han allegado diversos informes policiales. Sin embargo, </w:t>
      </w:r>
      <w:r w:rsidR="000E0591" w:rsidRPr="007C6BE8">
        <w:rPr>
          <w:rFonts w:asciiTheme="majorHAnsi" w:hAnsiTheme="majorHAnsi"/>
          <w:sz w:val="20"/>
          <w:szCs w:val="20"/>
          <w:lang w:val="es-ES_tradnl"/>
        </w:rPr>
        <w:t xml:space="preserve">la Comisión advierte que en el proceso penal el Estado no informó  </w:t>
      </w:r>
      <w:r w:rsidR="0060350D" w:rsidRPr="007C6BE8">
        <w:rPr>
          <w:rFonts w:asciiTheme="majorHAnsi" w:hAnsiTheme="majorHAnsi"/>
          <w:sz w:val="20"/>
          <w:szCs w:val="20"/>
          <w:lang w:val="es-ES_tradnl"/>
        </w:rPr>
        <w:t xml:space="preserve">sobre </w:t>
      </w:r>
      <w:r w:rsidR="000E0591" w:rsidRPr="007C6BE8">
        <w:rPr>
          <w:rFonts w:asciiTheme="majorHAnsi" w:hAnsiTheme="majorHAnsi"/>
          <w:sz w:val="20"/>
          <w:szCs w:val="20"/>
          <w:lang w:val="es-ES_tradnl"/>
        </w:rPr>
        <w:t xml:space="preserve">diligencias </w:t>
      </w:r>
      <w:r w:rsidR="0060350D" w:rsidRPr="007C6BE8">
        <w:rPr>
          <w:rFonts w:asciiTheme="majorHAnsi" w:hAnsiTheme="majorHAnsi"/>
          <w:sz w:val="20"/>
          <w:szCs w:val="20"/>
          <w:lang w:val="es-ES_tradnl"/>
        </w:rPr>
        <w:t xml:space="preserve">esenciales para identificar a los responsables, por ejemplo </w:t>
      </w:r>
      <w:r w:rsidR="00C12121" w:rsidRPr="007C6BE8">
        <w:rPr>
          <w:rFonts w:asciiTheme="majorHAnsi" w:hAnsiTheme="majorHAnsi"/>
          <w:sz w:val="20"/>
          <w:szCs w:val="20"/>
          <w:lang w:val="es-ES_tradnl"/>
        </w:rPr>
        <w:t xml:space="preserve">verificar las llamadas que el señor Restrepo y una persona desconocida habrían realizado a la señora Lucila Restrepo, o bien, identificar y explorar los lugares donde podría haber sido detenido, o la situación que guardan las investigaciones de los otros casos de las personas que </w:t>
      </w:r>
      <w:r w:rsidR="00610601" w:rsidRPr="007C6BE8">
        <w:rPr>
          <w:rFonts w:asciiTheme="majorHAnsi" w:hAnsiTheme="majorHAnsi"/>
          <w:sz w:val="20"/>
          <w:szCs w:val="20"/>
          <w:lang w:val="es-ES_tradnl"/>
        </w:rPr>
        <w:t xml:space="preserve">habrían desaparecido </w:t>
      </w:r>
      <w:r w:rsidR="00C12121" w:rsidRPr="007C6BE8">
        <w:rPr>
          <w:rFonts w:asciiTheme="majorHAnsi" w:hAnsiTheme="majorHAnsi"/>
          <w:sz w:val="20"/>
          <w:szCs w:val="20"/>
          <w:lang w:val="es-ES_tradnl"/>
        </w:rPr>
        <w:t>en la misma época que él.</w:t>
      </w:r>
      <w:r w:rsidR="00264371" w:rsidRPr="007C6BE8">
        <w:rPr>
          <w:rFonts w:asciiTheme="majorHAnsi" w:hAnsiTheme="majorHAnsi"/>
          <w:sz w:val="20"/>
          <w:szCs w:val="20"/>
          <w:lang w:val="es-ES_tradnl"/>
        </w:rPr>
        <w:t xml:space="preserve"> Sobre este último aspecto, la Comisión recuerda que la Corte Interamericana ha establecido </w:t>
      </w:r>
      <w:r w:rsidR="00264371" w:rsidRPr="007C6BE8">
        <w:rPr>
          <w:rFonts w:asciiTheme="majorHAnsi" w:eastAsia="Times New Roman" w:hAnsiTheme="majorHAnsi"/>
          <w:sz w:val="20"/>
          <w:szCs w:val="20"/>
          <w:bdr w:val="none" w:sz="0" w:space="0" w:color="auto"/>
          <w:lang w:val="es-ES_tradnl"/>
        </w:rPr>
        <w:t>‘que “[l]a investigación con debida diligencia exige tomar en cuenta lo ocurrido en otros homicidios y establecer algún tipo de relación entre ellos. Ello debe ser impulsado de oficio, sin que sean las víctimas y sus familiares quienes tengan la carga de asumir tal iniciativa”</w:t>
      </w:r>
      <w:r w:rsidR="00264371" w:rsidRPr="007C6BE8">
        <w:rPr>
          <w:rStyle w:val="FootnoteReference"/>
          <w:rFonts w:asciiTheme="majorHAnsi" w:eastAsia="Times New Roman" w:hAnsiTheme="majorHAnsi"/>
          <w:sz w:val="20"/>
          <w:szCs w:val="20"/>
          <w:bdr w:val="none" w:sz="0" w:space="0" w:color="auto"/>
          <w:lang w:val="es-ES_tradnl"/>
        </w:rPr>
        <w:footnoteReference w:id="124"/>
      </w:r>
      <w:r w:rsidR="00264371" w:rsidRPr="007C6BE8">
        <w:rPr>
          <w:rFonts w:asciiTheme="majorHAnsi" w:eastAsia="Times New Roman" w:hAnsiTheme="majorHAnsi"/>
          <w:sz w:val="20"/>
          <w:szCs w:val="20"/>
          <w:bdr w:val="none" w:sz="0" w:space="0" w:color="auto"/>
          <w:lang w:val="es-ES_tradnl"/>
        </w:rPr>
        <w:t>.</w:t>
      </w:r>
    </w:p>
    <w:p w:rsidR="00264371" w:rsidRPr="007C6BE8" w:rsidRDefault="00264371"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264371" w:rsidRPr="007C6BE8" w:rsidRDefault="00C12121"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ES_tradnl"/>
        </w:rPr>
        <w:t xml:space="preserve"> </w:t>
      </w:r>
      <w:r w:rsidR="00A312C4" w:rsidRPr="007C6BE8">
        <w:rPr>
          <w:rFonts w:asciiTheme="majorHAnsi" w:hAnsiTheme="majorHAnsi"/>
          <w:sz w:val="20"/>
          <w:szCs w:val="20"/>
          <w:lang w:val="es-ES_tradnl"/>
        </w:rPr>
        <w:t xml:space="preserve"> </w:t>
      </w:r>
      <w:r w:rsidRPr="007C6BE8">
        <w:rPr>
          <w:rFonts w:asciiTheme="majorHAnsi" w:hAnsiTheme="majorHAnsi"/>
          <w:sz w:val="20"/>
          <w:szCs w:val="20"/>
          <w:lang w:val="es-ES_tradnl"/>
        </w:rPr>
        <w:t xml:space="preserve">La Comisión advierte además que </w:t>
      </w:r>
      <w:r w:rsidR="00264371" w:rsidRPr="007C6BE8">
        <w:rPr>
          <w:rFonts w:asciiTheme="majorHAnsi" w:hAnsiTheme="majorHAnsi"/>
          <w:sz w:val="20"/>
          <w:szCs w:val="20"/>
          <w:lang w:val="es-ES_tradnl"/>
        </w:rPr>
        <w:t xml:space="preserve">la Comisión no ha podido constatar </w:t>
      </w:r>
      <w:r w:rsidRPr="007C6BE8">
        <w:rPr>
          <w:rFonts w:asciiTheme="majorHAnsi" w:hAnsiTheme="majorHAnsi"/>
          <w:sz w:val="20"/>
          <w:szCs w:val="20"/>
          <w:lang w:val="es-ES_tradnl"/>
        </w:rPr>
        <w:t>diligencias s</w:t>
      </w:r>
      <w:r w:rsidR="000E0591" w:rsidRPr="007C6BE8">
        <w:rPr>
          <w:rFonts w:asciiTheme="majorHAnsi" w:hAnsiTheme="majorHAnsi"/>
          <w:sz w:val="20"/>
          <w:szCs w:val="20"/>
          <w:lang w:val="es-ES_tradnl"/>
        </w:rPr>
        <w:t xml:space="preserve">eguidas con el objetivo de </w:t>
      </w:r>
      <w:r w:rsidR="00264371" w:rsidRPr="007C6BE8">
        <w:rPr>
          <w:rFonts w:asciiTheme="majorHAnsi" w:hAnsiTheme="majorHAnsi"/>
          <w:sz w:val="20"/>
          <w:szCs w:val="20"/>
          <w:lang w:val="es-ES_tradnl"/>
        </w:rPr>
        <w:t xml:space="preserve">emprender una línea de investigación sobre </w:t>
      </w:r>
      <w:r w:rsidR="000E0591" w:rsidRPr="007C6BE8">
        <w:rPr>
          <w:rFonts w:asciiTheme="majorHAnsi" w:hAnsiTheme="majorHAnsi"/>
          <w:sz w:val="20"/>
          <w:szCs w:val="20"/>
          <w:lang w:val="es-ES_tradnl"/>
        </w:rPr>
        <w:t>la posible participaci</w:t>
      </w:r>
      <w:r w:rsidR="00264371" w:rsidRPr="007C6BE8">
        <w:rPr>
          <w:rFonts w:asciiTheme="majorHAnsi" w:hAnsiTheme="majorHAnsi"/>
          <w:sz w:val="20"/>
          <w:szCs w:val="20"/>
          <w:lang w:val="es-ES_tradnl"/>
        </w:rPr>
        <w:t xml:space="preserve">ón de sus agentes en los hechos, en particular en vista de la supuesta verificación del operativo policial. </w:t>
      </w:r>
    </w:p>
    <w:p w:rsidR="00264371" w:rsidRPr="007C6BE8" w:rsidRDefault="00264371"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0E0591" w:rsidRPr="007C6BE8" w:rsidRDefault="00610601"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ES_tradnl"/>
        </w:rPr>
        <w:t>R</w:t>
      </w:r>
      <w:r w:rsidR="002D147E" w:rsidRPr="007C6BE8">
        <w:rPr>
          <w:rFonts w:asciiTheme="majorHAnsi" w:hAnsiTheme="majorHAnsi"/>
          <w:sz w:val="20"/>
          <w:szCs w:val="20"/>
          <w:lang w:val="es-ES_tradnl"/>
        </w:rPr>
        <w:t xml:space="preserve">especto de la duración que ha tenido </w:t>
      </w:r>
      <w:r w:rsidRPr="007C6BE8">
        <w:rPr>
          <w:rFonts w:asciiTheme="majorHAnsi" w:hAnsiTheme="majorHAnsi"/>
          <w:sz w:val="20"/>
          <w:szCs w:val="20"/>
          <w:lang w:val="es-ES_tradnl"/>
        </w:rPr>
        <w:t xml:space="preserve">en su totalidad </w:t>
      </w:r>
      <w:r w:rsidR="002D147E" w:rsidRPr="007C6BE8">
        <w:rPr>
          <w:rFonts w:asciiTheme="majorHAnsi" w:hAnsiTheme="majorHAnsi"/>
          <w:sz w:val="20"/>
          <w:szCs w:val="20"/>
          <w:lang w:val="es-ES_tradnl"/>
        </w:rPr>
        <w:t>la investigación, d</w:t>
      </w:r>
      <w:r w:rsidR="00043C26" w:rsidRPr="007C6BE8">
        <w:rPr>
          <w:rFonts w:asciiTheme="majorHAnsi" w:hAnsiTheme="majorHAnsi"/>
          <w:sz w:val="20"/>
          <w:szCs w:val="20"/>
          <w:lang w:val="es-ES_tradnl"/>
        </w:rPr>
        <w:t xml:space="preserve">e acuerdo con </w:t>
      </w:r>
      <w:r w:rsidR="007449EF" w:rsidRPr="007C6BE8">
        <w:rPr>
          <w:rFonts w:asciiTheme="majorHAnsi" w:hAnsiTheme="majorHAnsi"/>
          <w:sz w:val="20"/>
          <w:szCs w:val="20"/>
          <w:lang w:val="es-ES_tradnl"/>
        </w:rPr>
        <w:t>la descripción de las diligencias procesales provista por las partes</w:t>
      </w:r>
      <w:r w:rsidR="00043C26" w:rsidRPr="007C6BE8">
        <w:rPr>
          <w:rFonts w:asciiTheme="majorHAnsi" w:hAnsiTheme="majorHAnsi"/>
          <w:sz w:val="20"/>
          <w:szCs w:val="20"/>
          <w:lang w:val="es-ES_tradnl"/>
        </w:rPr>
        <w:t>,</w:t>
      </w:r>
      <w:r w:rsidR="007449EF" w:rsidRPr="007C6BE8">
        <w:rPr>
          <w:rFonts w:asciiTheme="majorHAnsi" w:hAnsiTheme="majorHAnsi"/>
          <w:sz w:val="20"/>
          <w:szCs w:val="20"/>
          <w:lang w:val="es-ES_tradnl"/>
        </w:rPr>
        <w:t xml:space="preserve"> </w:t>
      </w:r>
      <w:r w:rsidRPr="007C6BE8">
        <w:rPr>
          <w:rFonts w:asciiTheme="majorHAnsi" w:hAnsiTheme="majorHAnsi"/>
          <w:sz w:val="20"/>
          <w:szCs w:val="20"/>
          <w:lang w:val="es-ES_tradnl"/>
        </w:rPr>
        <w:t xml:space="preserve">ésta se </w:t>
      </w:r>
      <w:r w:rsidR="007449EF" w:rsidRPr="007C6BE8">
        <w:rPr>
          <w:rFonts w:asciiTheme="majorHAnsi" w:hAnsiTheme="majorHAnsi"/>
          <w:sz w:val="20"/>
          <w:szCs w:val="20"/>
          <w:lang w:val="es-ES_tradnl"/>
        </w:rPr>
        <w:t>ha extendido por 22 años</w:t>
      </w:r>
      <w:r w:rsidR="000E0591" w:rsidRPr="007C6BE8">
        <w:rPr>
          <w:rFonts w:asciiTheme="majorHAnsi" w:hAnsiTheme="majorHAnsi"/>
          <w:sz w:val="20"/>
          <w:szCs w:val="20"/>
          <w:lang w:val="es-ES_tradnl"/>
        </w:rPr>
        <w:t>.</w:t>
      </w:r>
      <w:r w:rsidR="003B432C" w:rsidRPr="007C6BE8">
        <w:rPr>
          <w:rFonts w:asciiTheme="majorHAnsi" w:hAnsiTheme="majorHAnsi"/>
          <w:sz w:val="20"/>
          <w:szCs w:val="20"/>
          <w:lang w:val="es-ES_tradnl"/>
        </w:rPr>
        <w:t xml:space="preserve"> </w:t>
      </w:r>
      <w:r w:rsidR="007449EF" w:rsidRPr="007C6BE8">
        <w:rPr>
          <w:rFonts w:asciiTheme="majorHAnsi" w:hAnsiTheme="majorHAnsi" w:cs="Univers"/>
          <w:sz w:val="20"/>
          <w:szCs w:val="20"/>
          <w:lang w:val="es-ES"/>
        </w:rPr>
        <w:t>En atención a los requisitos para la evaluación de</w:t>
      </w:r>
      <w:r w:rsidR="000E0591" w:rsidRPr="007C6BE8">
        <w:rPr>
          <w:rFonts w:asciiTheme="majorHAnsi" w:hAnsiTheme="majorHAnsi" w:cs="Univers"/>
          <w:sz w:val="20"/>
          <w:szCs w:val="20"/>
          <w:lang w:val="es-ES"/>
        </w:rPr>
        <w:t xml:space="preserve"> </w:t>
      </w:r>
      <w:r w:rsidR="007449EF" w:rsidRPr="007C6BE8">
        <w:rPr>
          <w:rFonts w:asciiTheme="majorHAnsi" w:hAnsiTheme="majorHAnsi" w:cs="Univers"/>
          <w:sz w:val="20"/>
          <w:szCs w:val="20"/>
          <w:lang w:val="es-ES"/>
        </w:rPr>
        <w:t>l</w:t>
      </w:r>
      <w:r w:rsidR="000E0591" w:rsidRPr="007C6BE8">
        <w:rPr>
          <w:rFonts w:asciiTheme="majorHAnsi" w:hAnsiTheme="majorHAnsi" w:cs="Univers"/>
          <w:sz w:val="20"/>
          <w:szCs w:val="20"/>
          <w:lang w:val="es-ES"/>
        </w:rPr>
        <w:t>a razonabilidad de dicho</w:t>
      </w:r>
      <w:r w:rsidR="007449EF" w:rsidRPr="007C6BE8">
        <w:rPr>
          <w:rFonts w:asciiTheme="majorHAnsi" w:hAnsiTheme="majorHAnsi" w:cs="Univers"/>
          <w:sz w:val="20"/>
          <w:szCs w:val="20"/>
          <w:lang w:val="es-ES"/>
        </w:rPr>
        <w:t xml:space="preserve"> plazo, la Comisión observa que </w:t>
      </w:r>
      <w:r w:rsidR="00043C26" w:rsidRPr="007C6BE8">
        <w:rPr>
          <w:rFonts w:asciiTheme="majorHAnsi" w:hAnsiTheme="majorHAnsi" w:cs="Univers"/>
          <w:sz w:val="20"/>
          <w:szCs w:val="20"/>
          <w:lang w:val="es-ES"/>
        </w:rPr>
        <w:t xml:space="preserve">el caso no era de especial complejidad al tratarse </w:t>
      </w:r>
      <w:r w:rsidR="007449EF" w:rsidRPr="007C6BE8">
        <w:rPr>
          <w:rFonts w:asciiTheme="majorHAnsi" w:hAnsiTheme="majorHAnsi"/>
          <w:sz w:val="20"/>
          <w:szCs w:val="20"/>
          <w:lang w:val="es-ES_tradnl"/>
        </w:rPr>
        <w:t xml:space="preserve">la víctima </w:t>
      </w:r>
      <w:r w:rsidR="00043C26" w:rsidRPr="007C6BE8">
        <w:rPr>
          <w:rFonts w:asciiTheme="majorHAnsi" w:hAnsiTheme="majorHAnsi"/>
          <w:sz w:val="20"/>
          <w:szCs w:val="20"/>
          <w:lang w:val="es-ES_tradnl"/>
        </w:rPr>
        <w:t xml:space="preserve">de </w:t>
      </w:r>
      <w:r w:rsidR="007449EF" w:rsidRPr="007C6BE8">
        <w:rPr>
          <w:rFonts w:asciiTheme="majorHAnsi" w:hAnsiTheme="majorHAnsi"/>
          <w:sz w:val="20"/>
          <w:szCs w:val="20"/>
          <w:lang w:val="es-ES_tradnl"/>
        </w:rPr>
        <w:t xml:space="preserve">una sola persona, cuya identidad era fácilmente determinable; los hechos fueron conocidos de </w:t>
      </w:r>
      <w:r w:rsidR="000E0591" w:rsidRPr="007C6BE8">
        <w:rPr>
          <w:rFonts w:asciiTheme="majorHAnsi" w:hAnsiTheme="majorHAnsi"/>
          <w:sz w:val="20"/>
          <w:szCs w:val="20"/>
          <w:lang w:val="es-ES_tradnl"/>
        </w:rPr>
        <w:t xml:space="preserve">manera inmediata por el Estado y </w:t>
      </w:r>
      <w:r w:rsidR="007449EF" w:rsidRPr="007C6BE8">
        <w:rPr>
          <w:rFonts w:asciiTheme="majorHAnsi" w:hAnsiTheme="majorHAnsi"/>
          <w:sz w:val="20"/>
          <w:szCs w:val="20"/>
          <w:lang w:val="es-ES_tradnl"/>
        </w:rPr>
        <w:t>las autoridades tuvieron libre acceso a la escena de los he</w:t>
      </w:r>
      <w:r w:rsidR="000E0591" w:rsidRPr="007C6BE8">
        <w:rPr>
          <w:rFonts w:asciiTheme="majorHAnsi" w:hAnsiTheme="majorHAnsi"/>
          <w:sz w:val="20"/>
          <w:szCs w:val="20"/>
          <w:lang w:val="es-ES_tradnl"/>
        </w:rPr>
        <w:t>chos y al cuerpo de la víctima.</w:t>
      </w:r>
      <w:r w:rsidR="007449EF" w:rsidRPr="007C6BE8">
        <w:rPr>
          <w:rFonts w:asciiTheme="majorHAnsi" w:hAnsiTheme="majorHAnsi"/>
          <w:sz w:val="20"/>
          <w:szCs w:val="20"/>
          <w:lang w:val="es-ES_tradnl"/>
        </w:rPr>
        <w:t xml:space="preserve"> </w:t>
      </w:r>
      <w:r w:rsidR="000E0591" w:rsidRPr="007C6BE8">
        <w:rPr>
          <w:rFonts w:asciiTheme="majorHAnsi" w:hAnsiTheme="majorHAnsi"/>
          <w:sz w:val="20"/>
          <w:szCs w:val="20"/>
          <w:lang w:val="es-ES_tradnl"/>
        </w:rPr>
        <w:t xml:space="preserve"> Sin embargo, </w:t>
      </w:r>
      <w:r w:rsidR="007449EF" w:rsidRPr="007C6BE8">
        <w:rPr>
          <w:rFonts w:asciiTheme="majorHAnsi" w:hAnsiTheme="majorHAnsi"/>
          <w:sz w:val="20"/>
          <w:szCs w:val="20"/>
          <w:lang w:val="es-ES_tradnl"/>
        </w:rPr>
        <w:t xml:space="preserve">las autoridades </w:t>
      </w:r>
      <w:r w:rsidR="000E0591" w:rsidRPr="007C6BE8">
        <w:rPr>
          <w:rFonts w:asciiTheme="majorHAnsi" w:hAnsiTheme="majorHAnsi"/>
          <w:sz w:val="20"/>
          <w:szCs w:val="20"/>
          <w:lang w:val="es-ES_tradnl"/>
        </w:rPr>
        <w:t>internas incurrieron en una serie de omisiones desde las etapas iniciales lo cual generó un archivo e inactividad de la investigación por varios años. Asimismo, se advierte</w:t>
      </w:r>
      <w:r w:rsidR="00DC45D1" w:rsidRPr="007C6BE8">
        <w:rPr>
          <w:rFonts w:asciiTheme="majorHAnsi" w:hAnsiTheme="majorHAnsi"/>
          <w:sz w:val="20"/>
          <w:szCs w:val="20"/>
          <w:lang w:val="es-ES_tradnl"/>
        </w:rPr>
        <w:t>n</w:t>
      </w:r>
      <w:r w:rsidR="000E0591" w:rsidRPr="007C6BE8">
        <w:rPr>
          <w:rFonts w:asciiTheme="majorHAnsi" w:hAnsiTheme="majorHAnsi"/>
          <w:sz w:val="20"/>
          <w:szCs w:val="20"/>
          <w:lang w:val="es-ES_tradnl"/>
        </w:rPr>
        <w:t xml:space="preserve"> </w:t>
      </w:r>
      <w:r w:rsidR="00DC45D1" w:rsidRPr="007C6BE8">
        <w:rPr>
          <w:rFonts w:asciiTheme="majorHAnsi" w:hAnsiTheme="majorHAnsi"/>
          <w:sz w:val="20"/>
          <w:szCs w:val="20"/>
          <w:lang w:val="es-ES_tradnl"/>
        </w:rPr>
        <w:t>d</w:t>
      </w:r>
      <w:r w:rsidR="007449EF" w:rsidRPr="007C6BE8">
        <w:rPr>
          <w:rFonts w:asciiTheme="majorHAnsi" w:hAnsiTheme="majorHAnsi"/>
          <w:sz w:val="20"/>
          <w:szCs w:val="20"/>
          <w:lang w:val="es-ES_tradnl"/>
        </w:rPr>
        <w:t xml:space="preserve">emoras en el conocimiento del caso por parte de las instancias a través de las cuales ha tramitado la investigación judicial. </w:t>
      </w:r>
      <w:r w:rsidR="000E0591" w:rsidRPr="007C6BE8">
        <w:rPr>
          <w:rFonts w:asciiTheme="majorHAnsi" w:hAnsiTheme="majorHAnsi"/>
          <w:sz w:val="20"/>
          <w:szCs w:val="20"/>
          <w:lang w:val="es-ES_tradnl"/>
        </w:rPr>
        <w:t xml:space="preserve">Por su parte, la Comisión observa que </w:t>
      </w:r>
      <w:r w:rsidR="000E0591" w:rsidRPr="007C6BE8">
        <w:rPr>
          <w:rFonts w:asciiTheme="majorHAnsi" w:hAnsiTheme="majorHAnsi" w:cs="Univers"/>
          <w:sz w:val="20"/>
          <w:szCs w:val="20"/>
          <w:lang w:val="es-ES"/>
        </w:rPr>
        <w:t xml:space="preserve">los familiares del señor </w:t>
      </w:r>
      <w:r w:rsidR="007449EF" w:rsidRPr="007C6BE8">
        <w:rPr>
          <w:rFonts w:asciiTheme="majorHAnsi" w:hAnsiTheme="majorHAnsi" w:cs="Univers"/>
          <w:sz w:val="20"/>
          <w:szCs w:val="20"/>
          <w:lang w:val="es-ES"/>
        </w:rPr>
        <w:t xml:space="preserve">Restrepo </w:t>
      </w:r>
      <w:r w:rsidR="000E0591" w:rsidRPr="007C6BE8">
        <w:rPr>
          <w:rFonts w:asciiTheme="majorHAnsi" w:hAnsiTheme="majorHAnsi" w:cs="Univers"/>
          <w:sz w:val="20"/>
          <w:szCs w:val="20"/>
          <w:lang w:val="es-ES"/>
        </w:rPr>
        <w:t xml:space="preserve">realizaron varias actuaciones con la finalidad de contribuir a la investigación, desde que su madre </w:t>
      </w:r>
      <w:r w:rsidR="007449EF" w:rsidRPr="007C6BE8">
        <w:rPr>
          <w:rFonts w:asciiTheme="majorHAnsi" w:hAnsiTheme="majorHAnsi" w:cs="Univers"/>
          <w:sz w:val="20"/>
          <w:szCs w:val="20"/>
          <w:lang w:val="es-ES"/>
        </w:rPr>
        <w:t xml:space="preserve">activó </w:t>
      </w:r>
      <w:r w:rsidR="007449EF" w:rsidRPr="007C6BE8">
        <w:rPr>
          <w:rFonts w:asciiTheme="majorHAnsi" w:hAnsiTheme="majorHAnsi"/>
          <w:sz w:val="20"/>
          <w:szCs w:val="20"/>
          <w:lang w:val="es-ES_tradnl"/>
        </w:rPr>
        <w:t>la denuncia por la desaparición en 1992</w:t>
      </w:r>
      <w:r w:rsidR="000E0591" w:rsidRPr="007C6BE8">
        <w:rPr>
          <w:rFonts w:asciiTheme="majorHAnsi" w:hAnsiTheme="majorHAnsi"/>
          <w:sz w:val="20"/>
          <w:szCs w:val="20"/>
          <w:lang w:val="es-ES_tradnl"/>
        </w:rPr>
        <w:t xml:space="preserve">, </w:t>
      </w:r>
      <w:r w:rsidR="007449EF" w:rsidRPr="007C6BE8">
        <w:rPr>
          <w:rFonts w:asciiTheme="majorHAnsi" w:hAnsiTheme="majorHAnsi"/>
          <w:sz w:val="20"/>
          <w:szCs w:val="20"/>
          <w:lang w:val="es-ES_tradnl"/>
        </w:rPr>
        <w:t xml:space="preserve"> y su padre participó de las diligencias que posibilitaron la identificación de los restos.  Del expediente no surgen actuaciones procesales de la familia de Norberto Restrepo que hubieren afectado el desarrollo de la investigación.  </w:t>
      </w:r>
    </w:p>
    <w:p w:rsidR="000E0591" w:rsidRPr="007C6BE8" w:rsidRDefault="000E0591"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4A0819" w:rsidRPr="007C6BE8" w:rsidRDefault="004A0819" w:rsidP="00B1793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ES_tradnl"/>
        </w:rPr>
        <w:t xml:space="preserve">En vista de </w:t>
      </w:r>
      <w:r w:rsidR="00610601" w:rsidRPr="007C6BE8">
        <w:rPr>
          <w:rFonts w:asciiTheme="majorHAnsi" w:hAnsiTheme="majorHAnsi"/>
          <w:sz w:val="20"/>
          <w:szCs w:val="20"/>
          <w:lang w:val="es-ES_tradnl"/>
        </w:rPr>
        <w:t xml:space="preserve">todo </w:t>
      </w:r>
      <w:r w:rsidRPr="007C6BE8">
        <w:rPr>
          <w:rFonts w:asciiTheme="majorHAnsi" w:hAnsiTheme="majorHAnsi"/>
          <w:sz w:val="20"/>
          <w:szCs w:val="20"/>
          <w:lang w:val="es-ES_tradnl"/>
        </w:rPr>
        <w:t>lo expuesto, la Comisión considera que el Estado no emprendió una investigación diligente sobre lo ocurrido al señor No</w:t>
      </w:r>
      <w:r w:rsidR="00356667" w:rsidRPr="007C6BE8">
        <w:rPr>
          <w:rFonts w:asciiTheme="majorHAnsi" w:hAnsiTheme="majorHAnsi"/>
          <w:sz w:val="20"/>
          <w:szCs w:val="20"/>
          <w:lang w:val="es-ES_tradnl"/>
        </w:rPr>
        <w:t>r</w:t>
      </w:r>
      <w:r w:rsidRPr="007C6BE8">
        <w:rPr>
          <w:rFonts w:asciiTheme="majorHAnsi" w:hAnsiTheme="majorHAnsi"/>
          <w:sz w:val="20"/>
          <w:szCs w:val="20"/>
          <w:lang w:val="es-ES_tradnl"/>
        </w:rPr>
        <w:t>berto Javier Restrepo, lo cual ha impactado en que a la fecha no exista una versión definitiva de los hechos, tras el plazo irrazonable de hace más de 22 años. Lo anterior, en violación de los artículos 8 y 25 de la Convención en relación con el art</w:t>
      </w:r>
      <w:r w:rsidR="00D37D63" w:rsidRPr="007C6BE8">
        <w:rPr>
          <w:rFonts w:asciiTheme="majorHAnsi" w:hAnsiTheme="majorHAnsi"/>
          <w:sz w:val="20"/>
          <w:szCs w:val="20"/>
          <w:lang w:val="es-ES_tradnl"/>
        </w:rPr>
        <w:t xml:space="preserve">ículo 1.1 del mismo instrumento en perjuicio de los padres de la víctima, a saber, Lucila Restrepo y José Marco Restrepo. </w:t>
      </w:r>
    </w:p>
    <w:p w:rsidR="001B210A" w:rsidRDefault="001B210A">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b/>
          <w:bCs/>
          <w:sz w:val="20"/>
          <w:szCs w:val="20"/>
          <w:bdr w:val="none" w:sz="0" w:space="0" w:color="auto"/>
          <w:lang w:val="es-ES_tradnl"/>
        </w:rPr>
      </w:pPr>
      <w:bookmarkStart w:id="70" w:name="_Toc421786419"/>
      <w:r>
        <w:rPr>
          <w:rFonts w:asciiTheme="majorHAnsi" w:hAnsiTheme="majorHAnsi"/>
          <w:sz w:val="20"/>
          <w:szCs w:val="20"/>
          <w:lang w:val="es-ES_tradnl"/>
        </w:rPr>
        <w:br w:type="page"/>
      </w:r>
    </w:p>
    <w:p w:rsidR="00845FB3" w:rsidRPr="007C6BE8" w:rsidRDefault="003541CD" w:rsidP="003E7CA2">
      <w:pPr>
        <w:pStyle w:val="Heading3"/>
        <w:ind w:left="1440" w:hanging="720"/>
        <w:rPr>
          <w:rFonts w:asciiTheme="majorHAnsi" w:hAnsiTheme="majorHAnsi"/>
          <w:sz w:val="20"/>
          <w:szCs w:val="20"/>
          <w:lang w:val="es-ES_tradnl"/>
        </w:rPr>
      </w:pPr>
      <w:bookmarkStart w:id="71" w:name="_Toc529794721"/>
      <w:r w:rsidRPr="007C6BE8">
        <w:rPr>
          <w:rFonts w:asciiTheme="majorHAnsi" w:hAnsiTheme="majorHAnsi"/>
          <w:sz w:val="20"/>
          <w:szCs w:val="20"/>
          <w:lang w:val="es-ES_tradnl"/>
        </w:rPr>
        <w:lastRenderedPageBreak/>
        <w:t>C.</w:t>
      </w:r>
      <w:r w:rsidR="003E7CA2" w:rsidRPr="007C6BE8">
        <w:rPr>
          <w:rFonts w:asciiTheme="majorHAnsi" w:hAnsiTheme="majorHAnsi"/>
          <w:sz w:val="20"/>
          <w:szCs w:val="20"/>
          <w:lang w:val="es-ES_tradnl"/>
        </w:rPr>
        <w:tab/>
      </w:r>
      <w:r w:rsidR="00845FB3" w:rsidRPr="007C6BE8">
        <w:rPr>
          <w:rFonts w:asciiTheme="majorHAnsi" w:hAnsiTheme="majorHAnsi"/>
          <w:sz w:val="20"/>
          <w:szCs w:val="20"/>
          <w:lang w:val="es-ES_tradnl"/>
        </w:rPr>
        <w:t xml:space="preserve">Análisis sobre la </w:t>
      </w:r>
      <w:r w:rsidR="00791733" w:rsidRPr="007C6BE8">
        <w:rPr>
          <w:rFonts w:asciiTheme="majorHAnsi" w:hAnsiTheme="majorHAnsi"/>
          <w:sz w:val="20"/>
          <w:szCs w:val="20"/>
          <w:lang w:val="es-ES_tradnl"/>
        </w:rPr>
        <w:t xml:space="preserve">responsabilidad internacional </w:t>
      </w:r>
      <w:r w:rsidR="00845FB3" w:rsidRPr="007C6BE8">
        <w:rPr>
          <w:rFonts w:asciiTheme="majorHAnsi" w:hAnsiTheme="majorHAnsi"/>
          <w:sz w:val="20"/>
          <w:szCs w:val="20"/>
          <w:lang w:val="es-ES_tradnl"/>
        </w:rPr>
        <w:t xml:space="preserve">en relación con la desaparición </w:t>
      </w:r>
      <w:r w:rsidR="002162F3" w:rsidRPr="007C6BE8">
        <w:rPr>
          <w:rFonts w:asciiTheme="majorHAnsi" w:hAnsiTheme="majorHAnsi"/>
          <w:sz w:val="20"/>
          <w:szCs w:val="20"/>
          <w:lang w:val="es-ES_tradnl"/>
        </w:rPr>
        <w:t xml:space="preserve">y muerte </w:t>
      </w:r>
      <w:r w:rsidR="00845FB3" w:rsidRPr="007C6BE8">
        <w:rPr>
          <w:rFonts w:asciiTheme="majorHAnsi" w:hAnsiTheme="majorHAnsi"/>
          <w:sz w:val="20"/>
          <w:szCs w:val="20"/>
          <w:lang w:val="es-ES_tradnl"/>
        </w:rPr>
        <w:t>del señor Javier Norberto Restrepo</w:t>
      </w:r>
      <w:r w:rsidR="002162F3" w:rsidRPr="007C6BE8">
        <w:rPr>
          <w:rFonts w:asciiTheme="majorHAnsi" w:hAnsiTheme="majorHAnsi"/>
          <w:sz w:val="20"/>
          <w:szCs w:val="20"/>
          <w:lang w:val="es-ES_tradnl"/>
        </w:rPr>
        <w:t>.  A</w:t>
      </w:r>
      <w:r w:rsidR="00610601" w:rsidRPr="007C6BE8">
        <w:rPr>
          <w:rFonts w:asciiTheme="majorHAnsi" w:hAnsiTheme="majorHAnsi"/>
          <w:sz w:val="20"/>
          <w:szCs w:val="20"/>
          <w:lang w:val="es-ES_tradnl"/>
        </w:rPr>
        <w:t xml:space="preserve">rtículos </w:t>
      </w:r>
      <w:r w:rsidR="002162F3" w:rsidRPr="007C6BE8">
        <w:rPr>
          <w:rFonts w:asciiTheme="majorHAnsi" w:hAnsiTheme="majorHAnsi"/>
          <w:sz w:val="20"/>
          <w:szCs w:val="20"/>
          <w:lang w:val="es-ES_tradnl"/>
        </w:rPr>
        <w:t>3 (personalidad jurídica)</w:t>
      </w:r>
      <w:r w:rsidR="002162F3" w:rsidRPr="007C6BE8">
        <w:rPr>
          <w:rStyle w:val="FootnoteReference"/>
          <w:rFonts w:asciiTheme="majorHAnsi" w:hAnsiTheme="majorHAnsi"/>
          <w:sz w:val="20"/>
          <w:szCs w:val="20"/>
          <w:lang w:val="es-ES_tradnl"/>
        </w:rPr>
        <w:footnoteReference w:id="125"/>
      </w:r>
      <w:r w:rsidR="002162F3" w:rsidRPr="007C6BE8">
        <w:rPr>
          <w:rFonts w:asciiTheme="majorHAnsi" w:hAnsiTheme="majorHAnsi"/>
          <w:sz w:val="20"/>
          <w:szCs w:val="20"/>
          <w:lang w:val="es-ES_tradnl"/>
        </w:rPr>
        <w:t xml:space="preserve">, </w:t>
      </w:r>
      <w:r w:rsidR="00610601" w:rsidRPr="007C6BE8">
        <w:rPr>
          <w:rFonts w:asciiTheme="majorHAnsi" w:hAnsiTheme="majorHAnsi"/>
          <w:sz w:val="20"/>
          <w:szCs w:val="20"/>
          <w:lang w:val="es-ES_tradnl"/>
        </w:rPr>
        <w:t>4 (</w:t>
      </w:r>
      <w:r w:rsidR="00845FB3" w:rsidRPr="007C6BE8">
        <w:rPr>
          <w:rFonts w:asciiTheme="majorHAnsi" w:hAnsiTheme="majorHAnsi"/>
          <w:sz w:val="20"/>
          <w:szCs w:val="20"/>
          <w:lang w:val="es-ES_tradnl"/>
        </w:rPr>
        <w:t>derechos a la vida</w:t>
      </w:r>
      <w:r w:rsidR="00610601" w:rsidRPr="007C6BE8">
        <w:rPr>
          <w:rFonts w:asciiTheme="majorHAnsi" w:hAnsiTheme="majorHAnsi"/>
          <w:sz w:val="20"/>
          <w:szCs w:val="20"/>
          <w:lang w:val="es-ES_tradnl"/>
        </w:rPr>
        <w:t>)</w:t>
      </w:r>
      <w:r w:rsidR="00845FB3" w:rsidRPr="007C6BE8">
        <w:rPr>
          <w:rStyle w:val="FootnoteReference"/>
          <w:rFonts w:asciiTheme="majorHAnsi" w:hAnsiTheme="majorHAnsi"/>
          <w:sz w:val="20"/>
          <w:szCs w:val="20"/>
          <w:lang w:val="es-ES_tradnl"/>
        </w:rPr>
        <w:footnoteReference w:id="126"/>
      </w:r>
      <w:r w:rsidR="00845FB3" w:rsidRPr="007C6BE8">
        <w:rPr>
          <w:rFonts w:asciiTheme="majorHAnsi" w:hAnsiTheme="majorHAnsi"/>
          <w:sz w:val="20"/>
          <w:szCs w:val="20"/>
          <w:lang w:val="es-ES_tradnl"/>
        </w:rPr>
        <w:t xml:space="preserve">, </w:t>
      </w:r>
      <w:r w:rsidR="00610601" w:rsidRPr="007C6BE8">
        <w:rPr>
          <w:rFonts w:asciiTheme="majorHAnsi" w:hAnsiTheme="majorHAnsi"/>
          <w:sz w:val="20"/>
          <w:szCs w:val="20"/>
          <w:lang w:val="es-ES_tradnl"/>
        </w:rPr>
        <w:t>5 (</w:t>
      </w:r>
      <w:r w:rsidR="00845FB3" w:rsidRPr="007C6BE8">
        <w:rPr>
          <w:rFonts w:asciiTheme="majorHAnsi" w:hAnsiTheme="majorHAnsi"/>
          <w:sz w:val="20"/>
          <w:szCs w:val="20"/>
          <w:lang w:val="es-ES_tradnl"/>
        </w:rPr>
        <w:t>integridad personal</w:t>
      </w:r>
      <w:r w:rsidR="00610601" w:rsidRPr="007C6BE8">
        <w:rPr>
          <w:rFonts w:asciiTheme="majorHAnsi" w:hAnsiTheme="majorHAnsi"/>
          <w:sz w:val="20"/>
          <w:szCs w:val="20"/>
          <w:lang w:val="es-ES_tradnl"/>
        </w:rPr>
        <w:t>)</w:t>
      </w:r>
      <w:r w:rsidR="00845FB3" w:rsidRPr="007C6BE8">
        <w:rPr>
          <w:rStyle w:val="FootnoteReference"/>
          <w:rFonts w:asciiTheme="majorHAnsi" w:hAnsiTheme="majorHAnsi"/>
          <w:sz w:val="20"/>
          <w:szCs w:val="20"/>
          <w:lang w:val="es-ES_tradnl"/>
        </w:rPr>
        <w:footnoteReference w:id="127"/>
      </w:r>
      <w:r w:rsidR="002162F3" w:rsidRPr="007C6BE8">
        <w:rPr>
          <w:rFonts w:asciiTheme="majorHAnsi" w:hAnsiTheme="majorHAnsi"/>
          <w:sz w:val="20"/>
          <w:szCs w:val="20"/>
          <w:lang w:val="es-ES_tradnl"/>
        </w:rPr>
        <w:t xml:space="preserve">, </w:t>
      </w:r>
      <w:r w:rsidR="00610601" w:rsidRPr="007C6BE8">
        <w:rPr>
          <w:rFonts w:asciiTheme="majorHAnsi" w:hAnsiTheme="majorHAnsi"/>
          <w:sz w:val="20"/>
          <w:szCs w:val="20"/>
          <w:lang w:val="es-ES_tradnl"/>
        </w:rPr>
        <w:t xml:space="preserve"> 7 (</w:t>
      </w:r>
      <w:r w:rsidR="00845FB3" w:rsidRPr="007C6BE8">
        <w:rPr>
          <w:rFonts w:asciiTheme="majorHAnsi" w:hAnsiTheme="majorHAnsi"/>
          <w:sz w:val="20"/>
          <w:szCs w:val="20"/>
          <w:lang w:val="es-ES_tradnl"/>
        </w:rPr>
        <w:t>libertad personal</w:t>
      </w:r>
      <w:r w:rsidR="00610601" w:rsidRPr="007C6BE8">
        <w:rPr>
          <w:rFonts w:asciiTheme="majorHAnsi" w:hAnsiTheme="majorHAnsi"/>
          <w:sz w:val="20"/>
          <w:szCs w:val="20"/>
          <w:lang w:val="es-ES_tradnl"/>
        </w:rPr>
        <w:t>)</w:t>
      </w:r>
      <w:r w:rsidR="00845FB3" w:rsidRPr="007C6BE8">
        <w:rPr>
          <w:rStyle w:val="FootnoteReference"/>
          <w:rFonts w:asciiTheme="majorHAnsi" w:hAnsiTheme="majorHAnsi"/>
          <w:sz w:val="20"/>
          <w:szCs w:val="20"/>
          <w:lang w:val="es-ES_tradnl"/>
        </w:rPr>
        <w:footnoteReference w:id="128"/>
      </w:r>
      <w:r w:rsidR="002162F3" w:rsidRPr="007C6BE8">
        <w:rPr>
          <w:rFonts w:asciiTheme="majorHAnsi" w:hAnsiTheme="majorHAnsi"/>
          <w:sz w:val="20"/>
          <w:szCs w:val="20"/>
          <w:lang w:val="es-ES_tradnl"/>
        </w:rPr>
        <w:t>, 8 (</w:t>
      </w:r>
      <w:r w:rsidR="002162F3" w:rsidRPr="007C6BE8">
        <w:rPr>
          <w:rFonts w:asciiTheme="majorHAnsi" w:hAnsiTheme="majorHAnsi"/>
          <w:sz w:val="20"/>
          <w:szCs w:val="20"/>
          <w:lang w:val="es-MX"/>
        </w:rPr>
        <w:t>derechos a las garantías judiciales)</w:t>
      </w:r>
      <w:r w:rsidR="002162F3" w:rsidRPr="007C6BE8">
        <w:rPr>
          <w:rStyle w:val="FootnoteReference"/>
          <w:rFonts w:asciiTheme="majorHAnsi" w:hAnsiTheme="majorHAnsi"/>
          <w:sz w:val="20"/>
          <w:szCs w:val="20"/>
        </w:rPr>
        <w:footnoteReference w:id="129"/>
      </w:r>
      <w:r w:rsidR="002162F3" w:rsidRPr="007C6BE8">
        <w:rPr>
          <w:rFonts w:asciiTheme="majorHAnsi" w:hAnsiTheme="majorHAnsi"/>
          <w:sz w:val="20"/>
          <w:szCs w:val="20"/>
          <w:lang w:val="es-MX"/>
        </w:rPr>
        <w:t xml:space="preserve"> y 25 (protección judicial)</w:t>
      </w:r>
      <w:r w:rsidR="002162F3" w:rsidRPr="007C6BE8">
        <w:rPr>
          <w:rStyle w:val="FootnoteReference"/>
          <w:rFonts w:asciiTheme="majorHAnsi" w:hAnsiTheme="majorHAnsi"/>
          <w:sz w:val="20"/>
          <w:szCs w:val="20"/>
        </w:rPr>
        <w:footnoteReference w:id="130"/>
      </w:r>
      <w:r w:rsidR="002162F3" w:rsidRPr="007C6BE8">
        <w:rPr>
          <w:rFonts w:asciiTheme="majorHAnsi" w:hAnsiTheme="majorHAnsi"/>
          <w:sz w:val="20"/>
          <w:szCs w:val="20"/>
          <w:lang w:val="es-MX"/>
        </w:rPr>
        <w:t xml:space="preserve">, </w:t>
      </w:r>
      <w:r w:rsidR="00845FB3" w:rsidRPr="007C6BE8">
        <w:rPr>
          <w:rFonts w:asciiTheme="majorHAnsi" w:hAnsiTheme="majorHAnsi"/>
          <w:sz w:val="20"/>
          <w:szCs w:val="20"/>
          <w:lang w:val="es-ES_tradnl"/>
        </w:rPr>
        <w:t xml:space="preserve">en relación con el deber de </w:t>
      </w:r>
      <w:r w:rsidR="00264371" w:rsidRPr="007C6BE8">
        <w:rPr>
          <w:rFonts w:asciiTheme="majorHAnsi" w:hAnsiTheme="majorHAnsi"/>
          <w:sz w:val="20"/>
          <w:szCs w:val="20"/>
          <w:lang w:val="es-ES_tradnl"/>
        </w:rPr>
        <w:t>respeto</w:t>
      </w:r>
      <w:r w:rsidR="00610601" w:rsidRPr="007C6BE8">
        <w:rPr>
          <w:rFonts w:asciiTheme="majorHAnsi" w:hAnsiTheme="majorHAnsi"/>
          <w:sz w:val="20"/>
          <w:szCs w:val="20"/>
          <w:lang w:val="es-ES_tradnl"/>
        </w:rPr>
        <w:t xml:space="preserve"> contenido en el artículo 1.1 de la Convención</w:t>
      </w:r>
      <w:r w:rsidR="00845FB3" w:rsidRPr="007C6BE8">
        <w:rPr>
          <w:rFonts w:asciiTheme="majorHAnsi" w:hAnsiTheme="majorHAnsi"/>
          <w:sz w:val="20"/>
          <w:szCs w:val="20"/>
          <w:lang w:val="es-ES_tradnl"/>
        </w:rPr>
        <w:t>)</w:t>
      </w:r>
      <w:bookmarkEnd w:id="70"/>
      <w:bookmarkEnd w:id="71"/>
    </w:p>
    <w:p w:rsidR="00791733" w:rsidRPr="007C6BE8" w:rsidRDefault="00791733"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117205" w:rsidRPr="007C6BE8" w:rsidRDefault="00264371" w:rsidP="00FE43F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ES_tradnl"/>
        </w:rPr>
        <w:t xml:space="preserve">La Corte ha reiterado que la desaparición forzada, cuya prohibición tiene el carácter de </w:t>
      </w:r>
      <w:r w:rsidRPr="007C6BE8">
        <w:rPr>
          <w:rFonts w:asciiTheme="majorHAnsi" w:hAnsiTheme="majorHAnsi"/>
          <w:spacing w:val="-3"/>
          <w:sz w:val="20"/>
          <w:szCs w:val="20"/>
          <w:lang w:val="es-ES_tradnl"/>
        </w:rPr>
        <w:t>jus cogens,</w:t>
      </w:r>
      <w:r w:rsidRPr="007C6BE8">
        <w:rPr>
          <w:rFonts w:asciiTheme="majorHAnsi" w:hAnsiTheme="majorHAnsi"/>
          <w:sz w:val="20"/>
          <w:szCs w:val="20"/>
          <w:lang w:val="es-ES_tradnl"/>
        </w:rPr>
        <w:t xml:space="preserve"> tiene un carácter continuado o permanente y constituye una violación múltiple de varios derechos protegidos por la Convención Americana, incluyendo los derechos a la vida, reconocimiento de la personalidad jurídica, integridad personal y libertad personal</w:t>
      </w:r>
      <w:r w:rsidRPr="007C6BE8">
        <w:rPr>
          <w:rStyle w:val="FootnoteReference"/>
          <w:rFonts w:asciiTheme="majorHAnsi" w:hAnsiTheme="majorHAnsi"/>
          <w:spacing w:val="-3"/>
          <w:sz w:val="20"/>
          <w:szCs w:val="20"/>
          <w:lang w:val="es-ES_tradnl"/>
        </w:rPr>
        <w:footnoteReference w:id="131"/>
      </w:r>
      <w:r w:rsidRPr="007C6BE8">
        <w:rPr>
          <w:rFonts w:asciiTheme="majorHAnsi" w:hAnsiTheme="majorHAnsi"/>
          <w:sz w:val="20"/>
          <w:szCs w:val="20"/>
          <w:lang w:val="es-ES_tradnl"/>
        </w:rPr>
        <w:t>.  De esa forma, la desaparición forzada tiene como elementos concurrentes y constitutivos: i) la</w:t>
      </w:r>
      <w:r w:rsidRPr="007C6BE8">
        <w:rPr>
          <w:rFonts w:asciiTheme="majorHAnsi" w:hAnsiTheme="majorHAnsi"/>
          <w:b/>
          <w:sz w:val="20"/>
          <w:szCs w:val="20"/>
          <w:lang w:val="es-ES_tradnl"/>
        </w:rPr>
        <w:t xml:space="preserve"> </w:t>
      </w:r>
      <w:r w:rsidRPr="007C6BE8">
        <w:rPr>
          <w:rFonts w:asciiTheme="majorHAnsi" w:hAnsiTheme="majorHAnsi"/>
          <w:sz w:val="20"/>
          <w:szCs w:val="20"/>
          <w:lang w:val="es-ES_tradnl"/>
        </w:rPr>
        <w:t>privación de la libertad; ii) la intervención directa de agentes estatales o la aquiescencia de éstos; y iii) la negativa de reconocer la detención o de revelar la suerte o paradero de la persona interesada</w:t>
      </w:r>
      <w:r w:rsidRPr="007C6BE8">
        <w:rPr>
          <w:rStyle w:val="FootnoteReference"/>
          <w:rFonts w:asciiTheme="majorHAnsi" w:hAnsiTheme="majorHAnsi"/>
          <w:sz w:val="20"/>
          <w:szCs w:val="20"/>
          <w:lang w:val="es-ES_tradnl"/>
        </w:rPr>
        <w:footnoteReference w:id="132"/>
      </w:r>
      <w:r w:rsidRPr="007C6BE8">
        <w:rPr>
          <w:rFonts w:asciiTheme="majorHAnsi" w:hAnsiTheme="majorHAnsi"/>
          <w:sz w:val="20"/>
          <w:szCs w:val="20"/>
          <w:lang w:val="es-ES_tradnl"/>
        </w:rPr>
        <w:t xml:space="preserve">. </w:t>
      </w:r>
      <w:r w:rsidR="00F26D6B" w:rsidRPr="007C6BE8">
        <w:rPr>
          <w:rFonts w:asciiTheme="majorHAnsi" w:hAnsiTheme="majorHAnsi"/>
          <w:sz w:val="20"/>
          <w:szCs w:val="20"/>
          <w:lang w:val="es-ES_tradnl"/>
        </w:rPr>
        <w:t>A</w:t>
      </w:r>
      <w:r w:rsidR="00CB49CF" w:rsidRPr="007C6BE8">
        <w:rPr>
          <w:rFonts w:asciiTheme="majorHAnsi" w:hAnsiTheme="majorHAnsi"/>
          <w:sz w:val="20"/>
          <w:szCs w:val="20"/>
          <w:lang w:val="es-ES_tradnl"/>
        </w:rPr>
        <w:t>simismo, a</w:t>
      </w:r>
      <w:r w:rsidR="00F26D6B" w:rsidRPr="007C6BE8">
        <w:rPr>
          <w:rFonts w:asciiTheme="majorHAnsi" w:hAnsiTheme="majorHAnsi"/>
          <w:sz w:val="20"/>
          <w:szCs w:val="20"/>
          <w:lang w:val="es-ES_tradnl"/>
        </w:rPr>
        <w:t xml:space="preserve">l implicar la sustracción de la víctima del </w:t>
      </w:r>
      <w:r w:rsidR="00F3307D" w:rsidRPr="007C6BE8">
        <w:rPr>
          <w:rFonts w:asciiTheme="majorHAnsi" w:hAnsiTheme="majorHAnsi"/>
          <w:sz w:val="20"/>
          <w:szCs w:val="20"/>
          <w:lang w:val="es-ES_tradnl"/>
        </w:rPr>
        <w:t>ordenamiento jurídico e institucional, e imposibilitarle interponer recursos en su favor, la desaparición forzada también afecta los derechos establecidos en los artículos 8 y 25 de la Convención en perjuicio de la persona desaparecida.</w:t>
      </w:r>
    </w:p>
    <w:p w:rsidR="00264371" w:rsidRPr="007C6BE8" w:rsidRDefault="00264371"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117205" w:rsidRPr="007C6BE8" w:rsidRDefault="00791733" w:rsidP="00FE43F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ES_tradnl"/>
        </w:rPr>
        <w:t xml:space="preserve">En </w:t>
      </w:r>
      <w:r w:rsidR="00117205" w:rsidRPr="007C6BE8">
        <w:rPr>
          <w:rFonts w:asciiTheme="majorHAnsi" w:hAnsiTheme="majorHAnsi"/>
          <w:sz w:val="20"/>
          <w:szCs w:val="20"/>
          <w:lang w:val="es-ES_tradnl"/>
        </w:rPr>
        <w:t>relación con los anteriores elementos</w:t>
      </w:r>
      <w:r w:rsidRPr="007C6BE8">
        <w:rPr>
          <w:rFonts w:asciiTheme="majorHAnsi" w:hAnsiTheme="majorHAnsi"/>
          <w:sz w:val="20"/>
          <w:szCs w:val="20"/>
          <w:lang w:val="es-ES_tradnl"/>
        </w:rPr>
        <w:t xml:space="preserve">, </w:t>
      </w:r>
      <w:r w:rsidR="00117205" w:rsidRPr="007C6BE8">
        <w:rPr>
          <w:rFonts w:asciiTheme="majorHAnsi" w:hAnsiTheme="majorHAnsi"/>
          <w:sz w:val="20"/>
          <w:szCs w:val="20"/>
          <w:lang w:val="es-ES_tradnl"/>
        </w:rPr>
        <w:t xml:space="preserve">la Comisión ha considerado razonable </w:t>
      </w:r>
      <w:r w:rsidR="00610601" w:rsidRPr="007C6BE8">
        <w:rPr>
          <w:rFonts w:asciiTheme="majorHAnsi" w:hAnsiTheme="majorHAnsi"/>
          <w:sz w:val="20"/>
          <w:szCs w:val="20"/>
          <w:lang w:val="es-ES_tradnl"/>
        </w:rPr>
        <w:t xml:space="preserve">en el presente caso </w:t>
      </w:r>
      <w:r w:rsidR="00117205" w:rsidRPr="007C6BE8">
        <w:rPr>
          <w:rFonts w:asciiTheme="majorHAnsi" w:hAnsiTheme="majorHAnsi"/>
          <w:sz w:val="20"/>
          <w:szCs w:val="20"/>
          <w:lang w:val="es-ES_tradnl"/>
        </w:rPr>
        <w:t xml:space="preserve">otorgar valor a las pruebas y a la serie de indicios que surgen de dicho análisis en cuanto a la vinculación del señor Norberto Javier Restrepo al partido de la UP, y la existencia de un operativo en la zona donde habría sido detenido el señor Restrepo junto con otras personas vinculadas al mismo partido.  Asimismo, está acreditado que a pesar de tomar conocimiento de la desaparición del señor Restrepo a través de las denuncias e indagaciones realizadas por su madre, las autoridades no realizaron acciones inmediatas y efectivas para encontrarle, limitándose a negar lo ocurrido y </w:t>
      </w:r>
      <w:r w:rsidR="00610601" w:rsidRPr="007C6BE8">
        <w:rPr>
          <w:rFonts w:asciiTheme="majorHAnsi" w:hAnsiTheme="majorHAnsi"/>
          <w:sz w:val="20"/>
          <w:szCs w:val="20"/>
          <w:lang w:val="es-ES_tradnl"/>
        </w:rPr>
        <w:t xml:space="preserve">favorecieron </w:t>
      </w:r>
      <w:r w:rsidR="00117205" w:rsidRPr="007C6BE8">
        <w:rPr>
          <w:rFonts w:asciiTheme="majorHAnsi" w:hAnsiTheme="majorHAnsi"/>
          <w:sz w:val="20"/>
          <w:szCs w:val="20"/>
          <w:lang w:val="es-ES_tradnl"/>
        </w:rPr>
        <w:t>que continuara desaparecido y se perpetrara su ejecución.  Asimismo, al encontrar  su cuerpo, la Comisión ha verificado que el mismo fue enterrado a la brevedad, sin realizar las diligencias necesarias para identificarlo y calificar lo ocurrido como un suicidio</w:t>
      </w:r>
      <w:r w:rsidR="000A7CA0" w:rsidRPr="007C6BE8">
        <w:rPr>
          <w:rFonts w:asciiTheme="majorHAnsi" w:hAnsiTheme="majorHAnsi"/>
          <w:sz w:val="20"/>
          <w:szCs w:val="20"/>
          <w:lang w:val="es-ES_tradnl"/>
        </w:rPr>
        <w:t>, sin haber realizado la correspondiente necropsia</w:t>
      </w:r>
      <w:r w:rsidR="009E4CCE" w:rsidRPr="007C6BE8">
        <w:rPr>
          <w:rFonts w:asciiTheme="majorHAnsi" w:hAnsiTheme="majorHAnsi"/>
          <w:sz w:val="20"/>
          <w:szCs w:val="20"/>
          <w:lang w:val="es-ES_tradnl"/>
        </w:rPr>
        <w:t xml:space="preserve"> y no obstante ello resultaba abiertamente contradictorio con los hallazgos físicos en el cuerpo de la víctima.  </w:t>
      </w:r>
    </w:p>
    <w:p w:rsidR="00117205" w:rsidRPr="007C6BE8" w:rsidRDefault="00117205"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117205" w:rsidRPr="007C6BE8" w:rsidRDefault="00117205" w:rsidP="00FE43F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ES_tradnl"/>
        </w:rPr>
        <w:lastRenderedPageBreak/>
        <w:t>La Comisión considera pertinente señalar además que la manera en que se encontraron los restos del señor Norberto Restrepo contienen elementos que son constitutivos de tortura en virtud del retiro de dientes de la mandíbula inferior, signos de quemaduras</w:t>
      </w:r>
      <w:r w:rsidR="00610601" w:rsidRPr="007C6BE8">
        <w:rPr>
          <w:rFonts w:asciiTheme="majorHAnsi" w:hAnsiTheme="majorHAnsi"/>
          <w:sz w:val="20"/>
          <w:szCs w:val="20"/>
          <w:lang w:val="es-ES_tradnl"/>
        </w:rPr>
        <w:t xml:space="preserve">, asfixia </w:t>
      </w:r>
      <w:r w:rsidRPr="007C6BE8">
        <w:rPr>
          <w:rFonts w:asciiTheme="majorHAnsi" w:hAnsiTheme="majorHAnsi"/>
          <w:sz w:val="20"/>
          <w:szCs w:val="20"/>
          <w:lang w:val="es-ES_tradnl"/>
        </w:rPr>
        <w:t xml:space="preserve"> y el hallazgo de las manos sobre la cabeza, de lo cual la Comisión llega a la convicción de que se encontró sometido a las personas que procedieron posteriormente a darle muerte, siendo así, que razonablemente no se trató de un acto de delincuencia común, o bien, de un “secuestro”, como fue calificado a nivel interno, </w:t>
      </w:r>
      <w:r w:rsidR="002D147E" w:rsidRPr="007C6BE8">
        <w:rPr>
          <w:rFonts w:asciiTheme="majorHAnsi" w:hAnsiTheme="majorHAnsi"/>
          <w:sz w:val="20"/>
          <w:szCs w:val="20"/>
          <w:lang w:val="es-ES_tradnl"/>
        </w:rPr>
        <w:t xml:space="preserve">tipo penal bajo el cual habitualmente se intenta </w:t>
      </w:r>
      <w:r w:rsidRPr="007C6BE8">
        <w:rPr>
          <w:rFonts w:asciiTheme="majorHAnsi" w:hAnsiTheme="majorHAnsi"/>
          <w:sz w:val="20"/>
          <w:szCs w:val="20"/>
          <w:lang w:val="es-ES_tradnl"/>
        </w:rPr>
        <w:t>obtene</w:t>
      </w:r>
      <w:r w:rsidR="002D147E" w:rsidRPr="007C6BE8">
        <w:rPr>
          <w:rFonts w:asciiTheme="majorHAnsi" w:hAnsiTheme="majorHAnsi"/>
          <w:sz w:val="20"/>
          <w:szCs w:val="20"/>
          <w:lang w:val="es-ES_tradnl"/>
        </w:rPr>
        <w:t>r una recompensa por la vida de la víctima</w:t>
      </w:r>
      <w:r w:rsidRPr="007C6BE8">
        <w:rPr>
          <w:rFonts w:asciiTheme="majorHAnsi" w:hAnsiTheme="majorHAnsi"/>
          <w:sz w:val="20"/>
          <w:szCs w:val="20"/>
          <w:lang w:val="es-ES_tradnl"/>
        </w:rPr>
        <w:t xml:space="preserve">. </w:t>
      </w:r>
      <w:r w:rsidR="00195819" w:rsidRPr="007C6BE8">
        <w:rPr>
          <w:rFonts w:asciiTheme="majorHAnsi" w:hAnsiTheme="majorHAnsi"/>
          <w:sz w:val="20"/>
          <w:szCs w:val="20"/>
          <w:lang w:val="es-ES_tradnl"/>
        </w:rPr>
        <w:t>Como se ha indicado, tales hechos no han sido debidamente investigados.</w:t>
      </w:r>
    </w:p>
    <w:p w:rsidR="00117205" w:rsidRPr="007C6BE8" w:rsidRDefault="00117205"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117205" w:rsidRPr="007C6BE8" w:rsidRDefault="00117205" w:rsidP="00FE43F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ES_tradnl"/>
        </w:rPr>
        <w:t>Adicionalmente, la Comisión observa que frente a la información aportada por la madre del señor Restrepo que indica que tomó conocimiento de que su hijo habría sido detenido por policías de la Sijin y des</w:t>
      </w:r>
      <w:r w:rsidR="00096C8E" w:rsidRPr="007C6BE8">
        <w:rPr>
          <w:rFonts w:asciiTheme="majorHAnsi" w:hAnsiTheme="majorHAnsi"/>
          <w:sz w:val="20"/>
          <w:szCs w:val="20"/>
          <w:lang w:val="es-ES_tradnl"/>
        </w:rPr>
        <w:t>pués entregado a paramilitares quienes lo ejecutaron,</w:t>
      </w:r>
      <w:r w:rsidRPr="007C6BE8">
        <w:rPr>
          <w:rFonts w:asciiTheme="majorHAnsi" w:hAnsiTheme="majorHAnsi"/>
          <w:sz w:val="20"/>
          <w:szCs w:val="20"/>
          <w:lang w:val="es-ES_tradnl"/>
        </w:rPr>
        <w:t xml:space="preserve"> la negación absoluta por parte del Estado de la </w:t>
      </w:r>
      <w:r w:rsidR="00610601" w:rsidRPr="007C6BE8">
        <w:rPr>
          <w:rFonts w:asciiTheme="majorHAnsi" w:hAnsiTheme="majorHAnsi"/>
          <w:sz w:val="20"/>
          <w:szCs w:val="20"/>
          <w:lang w:val="es-ES_tradnl"/>
        </w:rPr>
        <w:t xml:space="preserve">responsabilidad </w:t>
      </w:r>
      <w:r w:rsidRPr="007C6BE8">
        <w:rPr>
          <w:rFonts w:asciiTheme="majorHAnsi" w:hAnsiTheme="majorHAnsi"/>
          <w:sz w:val="20"/>
          <w:szCs w:val="20"/>
          <w:lang w:val="es-ES_tradnl"/>
        </w:rPr>
        <w:t xml:space="preserve">de </w:t>
      </w:r>
      <w:r w:rsidR="00610601" w:rsidRPr="007C6BE8">
        <w:rPr>
          <w:rFonts w:asciiTheme="majorHAnsi" w:hAnsiTheme="majorHAnsi"/>
          <w:sz w:val="20"/>
          <w:szCs w:val="20"/>
          <w:lang w:val="es-ES_tradnl"/>
        </w:rPr>
        <w:t xml:space="preserve">agentes del Estado </w:t>
      </w:r>
      <w:r w:rsidR="00096C8E" w:rsidRPr="007C6BE8">
        <w:rPr>
          <w:rFonts w:asciiTheme="majorHAnsi" w:hAnsiTheme="majorHAnsi"/>
          <w:sz w:val="20"/>
          <w:szCs w:val="20"/>
          <w:lang w:val="es-ES_tradnl"/>
        </w:rPr>
        <w:t xml:space="preserve">en la </w:t>
      </w:r>
      <w:r w:rsidRPr="007C6BE8">
        <w:rPr>
          <w:rFonts w:asciiTheme="majorHAnsi" w:hAnsiTheme="majorHAnsi"/>
          <w:sz w:val="20"/>
          <w:szCs w:val="20"/>
          <w:lang w:val="es-ES_tradnl"/>
        </w:rPr>
        <w:t xml:space="preserve">desaparición no refleja la realidad  ni conclusiones de la investigación, toda vez que como el propio Estado ha informado, la hipótesis que continuaría abierta es que la desaparición y ejecución pudo ser realizada en virtud de la vinculación del señor Norberto Javier Restrepo con el partido de la UP. Al respecto, como la Comisión ya ha señalado anteriormente, de acuerdo al contexto de la época de los hechos, los actos de violencia cometidos contra personas que estaban vinculadas a dicho partido se cometían frecuentemente por agentes del Estado, policiales o militares o por grupos paramilitares que actuaban </w:t>
      </w:r>
      <w:r w:rsidR="00096C8E" w:rsidRPr="007C6BE8">
        <w:rPr>
          <w:rFonts w:asciiTheme="majorHAnsi" w:hAnsiTheme="majorHAnsi"/>
          <w:sz w:val="20"/>
          <w:szCs w:val="20"/>
          <w:lang w:val="es-ES_tradnl"/>
        </w:rPr>
        <w:t>de manera conjunta con fuerzas del Estado</w:t>
      </w:r>
      <w:r w:rsidRPr="007C6BE8">
        <w:rPr>
          <w:rFonts w:asciiTheme="majorHAnsi" w:hAnsiTheme="majorHAnsi"/>
          <w:sz w:val="20"/>
          <w:szCs w:val="20"/>
          <w:lang w:val="es-ES_tradnl"/>
        </w:rPr>
        <w:t>.</w:t>
      </w:r>
    </w:p>
    <w:p w:rsidR="00791733" w:rsidRPr="007C6BE8" w:rsidRDefault="00791733"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791733" w:rsidRPr="007C6BE8" w:rsidRDefault="00117205" w:rsidP="00FE43F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ES_tradnl"/>
        </w:rPr>
        <w:t>L</w:t>
      </w:r>
      <w:r w:rsidR="00791733" w:rsidRPr="007C6BE8">
        <w:rPr>
          <w:rFonts w:asciiTheme="majorHAnsi" w:hAnsiTheme="majorHAnsi"/>
          <w:sz w:val="20"/>
          <w:szCs w:val="20"/>
          <w:lang w:val="es-ES_tradnl"/>
        </w:rPr>
        <w:t xml:space="preserve">a Comisión observa que </w:t>
      </w:r>
      <w:r w:rsidR="003B432C" w:rsidRPr="007C6BE8">
        <w:rPr>
          <w:rFonts w:asciiTheme="majorHAnsi" w:hAnsiTheme="majorHAnsi"/>
          <w:sz w:val="20"/>
          <w:szCs w:val="20"/>
          <w:lang w:val="es-ES_tradnl"/>
        </w:rPr>
        <w:t xml:space="preserve">han transcurrido </w:t>
      </w:r>
      <w:r w:rsidR="00791733" w:rsidRPr="007C6BE8">
        <w:rPr>
          <w:rFonts w:asciiTheme="majorHAnsi" w:hAnsiTheme="majorHAnsi"/>
          <w:sz w:val="20"/>
          <w:szCs w:val="20"/>
          <w:lang w:val="es-ES_tradnl"/>
        </w:rPr>
        <w:t xml:space="preserve">más </w:t>
      </w:r>
      <w:r w:rsidR="003B432C" w:rsidRPr="007C6BE8">
        <w:rPr>
          <w:rFonts w:asciiTheme="majorHAnsi" w:hAnsiTheme="majorHAnsi"/>
          <w:sz w:val="20"/>
          <w:szCs w:val="20"/>
          <w:lang w:val="es-ES_tradnl"/>
        </w:rPr>
        <w:t xml:space="preserve">22 años de los hechos, y </w:t>
      </w:r>
      <w:r w:rsidR="00610601" w:rsidRPr="007C6BE8">
        <w:rPr>
          <w:rFonts w:asciiTheme="majorHAnsi" w:hAnsiTheme="majorHAnsi"/>
          <w:sz w:val="20"/>
          <w:szCs w:val="20"/>
          <w:lang w:val="es-ES_tradnl"/>
        </w:rPr>
        <w:t xml:space="preserve">aun </w:t>
      </w:r>
      <w:r w:rsidRPr="007C6BE8">
        <w:rPr>
          <w:rFonts w:asciiTheme="majorHAnsi" w:hAnsiTheme="majorHAnsi"/>
          <w:sz w:val="20"/>
          <w:szCs w:val="20"/>
          <w:lang w:val="es-ES_tradnl"/>
        </w:rPr>
        <w:t xml:space="preserve">cuando están presentes los mencionados indicios de responsabilidad tanto de la desaparición como de la ejecución del señor Norberto Javier Restrepo, </w:t>
      </w:r>
      <w:r w:rsidR="003B432C" w:rsidRPr="007C6BE8">
        <w:rPr>
          <w:rFonts w:asciiTheme="majorHAnsi" w:hAnsiTheme="majorHAnsi"/>
          <w:sz w:val="20"/>
          <w:szCs w:val="20"/>
          <w:lang w:val="es-ES_tradnl"/>
        </w:rPr>
        <w:t xml:space="preserve">el Estado no ha aportado evidencia en el procedimiento del presente caso que permita contradecir </w:t>
      </w:r>
      <w:r w:rsidR="00791733" w:rsidRPr="007C6BE8">
        <w:rPr>
          <w:rFonts w:asciiTheme="majorHAnsi" w:hAnsiTheme="majorHAnsi"/>
          <w:sz w:val="20"/>
          <w:szCs w:val="20"/>
          <w:lang w:val="es-ES_tradnl"/>
        </w:rPr>
        <w:t xml:space="preserve">a través de una investigación diligente la información señalada por los familiares. </w:t>
      </w:r>
      <w:r w:rsidRPr="007C6BE8">
        <w:rPr>
          <w:rFonts w:asciiTheme="majorHAnsi" w:hAnsiTheme="majorHAnsi"/>
          <w:sz w:val="20"/>
          <w:szCs w:val="20"/>
          <w:lang w:val="es-ES_tradnl"/>
        </w:rPr>
        <w:t>Por el contrario, e</w:t>
      </w:r>
      <w:r w:rsidR="00791733" w:rsidRPr="007C6BE8">
        <w:rPr>
          <w:rFonts w:asciiTheme="majorHAnsi" w:hAnsiTheme="majorHAnsi"/>
          <w:sz w:val="20"/>
          <w:szCs w:val="20"/>
          <w:lang w:val="es-ES_tradnl"/>
        </w:rPr>
        <w:t xml:space="preserve">l Estado </w:t>
      </w:r>
      <w:r w:rsidRPr="007C6BE8">
        <w:rPr>
          <w:rFonts w:asciiTheme="majorHAnsi" w:hAnsiTheme="majorHAnsi"/>
          <w:sz w:val="20"/>
          <w:szCs w:val="20"/>
          <w:lang w:val="es-ES_tradnl"/>
        </w:rPr>
        <w:t xml:space="preserve">se negó a proporcionar </w:t>
      </w:r>
      <w:r w:rsidR="00791733" w:rsidRPr="007C6BE8">
        <w:rPr>
          <w:rFonts w:asciiTheme="majorHAnsi" w:hAnsiTheme="majorHAnsi"/>
          <w:sz w:val="20"/>
          <w:szCs w:val="20"/>
          <w:lang w:val="es-ES_tradnl"/>
        </w:rPr>
        <w:t>durante el proceso ante la Comisión copia del expediente de la investigación aduciendo la reserva del mismo</w:t>
      </w:r>
      <w:r w:rsidR="00043C26" w:rsidRPr="007C6BE8">
        <w:rPr>
          <w:rFonts w:asciiTheme="majorHAnsi" w:hAnsiTheme="majorHAnsi"/>
          <w:sz w:val="20"/>
          <w:szCs w:val="20"/>
          <w:lang w:val="es-ES_tradnl"/>
        </w:rPr>
        <w:t>, a</w:t>
      </w:r>
      <w:r w:rsidR="00845FB3" w:rsidRPr="007C6BE8">
        <w:rPr>
          <w:rFonts w:asciiTheme="majorHAnsi" w:hAnsiTheme="majorHAnsi"/>
          <w:sz w:val="20"/>
          <w:szCs w:val="20"/>
          <w:lang w:val="es-ES_tradnl"/>
        </w:rPr>
        <w:t xml:space="preserve">rgumento que la Comisión ha explicado </w:t>
      </w:r>
      <w:r w:rsidR="00175F9F" w:rsidRPr="007C6BE8">
        <w:rPr>
          <w:rFonts w:asciiTheme="majorHAnsi" w:hAnsiTheme="majorHAnsi"/>
          <w:sz w:val="20"/>
          <w:szCs w:val="20"/>
          <w:lang w:val="es-ES_tradnl"/>
        </w:rPr>
        <w:t xml:space="preserve">resulta </w:t>
      </w:r>
      <w:r w:rsidR="00791733" w:rsidRPr="007C6BE8">
        <w:rPr>
          <w:rFonts w:asciiTheme="majorHAnsi" w:hAnsiTheme="majorHAnsi"/>
          <w:sz w:val="20"/>
          <w:szCs w:val="20"/>
          <w:lang w:val="es-ES_tradnl"/>
        </w:rPr>
        <w:t xml:space="preserve">inaceptable </w:t>
      </w:r>
      <w:r w:rsidR="00175F9F" w:rsidRPr="007C6BE8">
        <w:rPr>
          <w:rFonts w:asciiTheme="majorHAnsi" w:hAnsiTheme="majorHAnsi"/>
          <w:sz w:val="20"/>
          <w:szCs w:val="20"/>
          <w:lang w:val="es-ES_tradnl"/>
        </w:rPr>
        <w:t>y no es congruente con la práctica del Estado en otros casos.</w:t>
      </w:r>
    </w:p>
    <w:p w:rsidR="003A13DE" w:rsidRPr="007C6BE8" w:rsidRDefault="003A13DE" w:rsidP="00B179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_tradnl"/>
        </w:rPr>
      </w:pPr>
    </w:p>
    <w:p w:rsidR="003B432C" w:rsidRPr="007C6BE8" w:rsidRDefault="00A85A67" w:rsidP="00FE43F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ES_tradnl"/>
        </w:rPr>
        <w:t>Tomando en cuenta la</w:t>
      </w:r>
      <w:r w:rsidR="00C12121" w:rsidRPr="007C6BE8">
        <w:rPr>
          <w:rFonts w:asciiTheme="majorHAnsi" w:hAnsiTheme="majorHAnsi"/>
          <w:sz w:val="20"/>
          <w:szCs w:val="20"/>
          <w:lang w:val="es-ES_tradnl"/>
        </w:rPr>
        <w:t xml:space="preserve">s </w:t>
      </w:r>
      <w:r w:rsidRPr="007C6BE8">
        <w:rPr>
          <w:rFonts w:asciiTheme="majorHAnsi" w:hAnsiTheme="majorHAnsi"/>
          <w:sz w:val="20"/>
          <w:szCs w:val="20"/>
          <w:lang w:val="es-ES_tradnl"/>
        </w:rPr>
        <w:t xml:space="preserve">circunstancias indicadas </w:t>
      </w:r>
      <w:r w:rsidR="007D2706" w:rsidRPr="007C6BE8">
        <w:rPr>
          <w:rFonts w:asciiTheme="majorHAnsi" w:hAnsiTheme="majorHAnsi"/>
          <w:sz w:val="20"/>
          <w:szCs w:val="20"/>
          <w:lang w:val="es-ES_tradnl"/>
        </w:rPr>
        <w:t>dentro d</w:t>
      </w:r>
      <w:r w:rsidRPr="007C6BE8">
        <w:rPr>
          <w:rFonts w:asciiTheme="majorHAnsi" w:hAnsiTheme="majorHAnsi"/>
          <w:sz w:val="20"/>
          <w:szCs w:val="20"/>
          <w:lang w:val="es-ES_tradnl"/>
        </w:rPr>
        <w:t>el marco d</w:t>
      </w:r>
      <w:r w:rsidR="00C12121" w:rsidRPr="007C6BE8">
        <w:rPr>
          <w:rFonts w:asciiTheme="majorHAnsi" w:hAnsiTheme="majorHAnsi"/>
          <w:sz w:val="20"/>
          <w:szCs w:val="20"/>
          <w:lang w:val="es-ES_tradnl"/>
        </w:rPr>
        <w:t xml:space="preserve">el contexto de especial riesgo de personas que se encontraban </w:t>
      </w:r>
      <w:r w:rsidR="00A106E1" w:rsidRPr="007C6BE8">
        <w:rPr>
          <w:rFonts w:asciiTheme="majorHAnsi" w:hAnsiTheme="majorHAnsi"/>
          <w:sz w:val="20"/>
          <w:szCs w:val="20"/>
          <w:lang w:val="es-ES_tradnl"/>
        </w:rPr>
        <w:t xml:space="preserve">vinculadas al partido de la UP y aplicando las reglas de carga de prueba ya establecidas en el presente informe, ante la ausencia de elementos por parte del Estado que desvirtúen el cúmulo de indicios ya descritos, </w:t>
      </w:r>
      <w:r w:rsidR="00610601" w:rsidRPr="007C6BE8">
        <w:rPr>
          <w:rFonts w:asciiTheme="majorHAnsi" w:hAnsiTheme="majorHAnsi"/>
          <w:sz w:val="20"/>
          <w:szCs w:val="20"/>
          <w:lang w:val="es-ES_tradnl"/>
        </w:rPr>
        <w:t>l</w:t>
      </w:r>
      <w:r w:rsidR="003B432C" w:rsidRPr="007C6BE8">
        <w:rPr>
          <w:rFonts w:asciiTheme="majorHAnsi" w:hAnsiTheme="majorHAnsi"/>
          <w:sz w:val="20"/>
          <w:szCs w:val="20"/>
          <w:lang w:val="es-ES_tradnl"/>
        </w:rPr>
        <w:t xml:space="preserve">a </w:t>
      </w:r>
      <w:r w:rsidR="00C12121" w:rsidRPr="007C6BE8">
        <w:rPr>
          <w:rFonts w:asciiTheme="majorHAnsi" w:hAnsiTheme="majorHAnsi"/>
          <w:sz w:val="20"/>
          <w:szCs w:val="20"/>
          <w:lang w:val="es-ES_tradnl"/>
        </w:rPr>
        <w:t xml:space="preserve">Comisión </w:t>
      </w:r>
      <w:r w:rsidR="00A312C4" w:rsidRPr="007C6BE8">
        <w:rPr>
          <w:rFonts w:asciiTheme="majorHAnsi" w:hAnsiTheme="majorHAnsi"/>
          <w:sz w:val="20"/>
          <w:szCs w:val="20"/>
          <w:lang w:val="es-ES_tradnl"/>
        </w:rPr>
        <w:t xml:space="preserve">considera </w:t>
      </w:r>
      <w:r w:rsidR="00C12121" w:rsidRPr="007C6BE8">
        <w:rPr>
          <w:rFonts w:asciiTheme="majorHAnsi" w:hAnsiTheme="majorHAnsi"/>
          <w:sz w:val="20"/>
          <w:szCs w:val="20"/>
          <w:lang w:val="es-ES_tradnl"/>
        </w:rPr>
        <w:t>la desaparición y ejecución del señor Restrepo resulta atribuible al Estado</w:t>
      </w:r>
      <w:r w:rsidR="003B432C" w:rsidRPr="007C6BE8">
        <w:rPr>
          <w:rFonts w:asciiTheme="majorHAnsi" w:hAnsiTheme="majorHAnsi"/>
          <w:sz w:val="20"/>
          <w:szCs w:val="20"/>
          <w:lang w:val="es-ES_tradnl"/>
        </w:rPr>
        <w:t xml:space="preserve">. </w:t>
      </w:r>
      <w:r w:rsidR="00C12121" w:rsidRPr="007C6BE8">
        <w:rPr>
          <w:rFonts w:asciiTheme="majorHAnsi" w:hAnsiTheme="majorHAnsi"/>
          <w:sz w:val="20"/>
          <w:szCs w:val="20"/>
          <w:lang w:val="es-ES_tradnl"/>
        </w:rPr>
        <w:t>La Comisión considera que c</w:t>
      </w:r>
      <w:r w:rsidR="003B432C" w:rsidRPr="007C6BE8">
        <w:rPr>
          <w:rFonts w:asciiTheme="majorHAnsi" w:hAnsiTheme="majorHAnsi"/>
          <w:sz w:val="20"/>
          <w:szCs w:val="20"/>
          <w:lang w:val="es-ES_tradnl"/>
        </w:rPr>
        <w:t xml:space="preserve">oncluir lo contrario implicaría </w:t>
      </w:r>
      <w:r w:rsidR="00FD6D35" w:rsidRPr="007C6BE8">
        <w:rPr>
          <w:rFonts w:asciiTheme="majorHAnsi" w:hAnsiTheme="majorHAnsi"/>
          <w:sz w:val="20"/>
          <w:szCs w:val="20"/>
          <w:lang w:val="es-ES_tradnl"/>
        </w:rPr>
        <w:t xml:space="preserve">que </w:t>
      </w:r>
      <w:r w:rsidR="00A312C4" w:rsidRPr="007C6BE8">
        <w:rPr>
          <w:rFonts w:asciiTheme="majorHAnsi" w:hAnsiTheme="majorHAnsi"/>
          <w:sz w:val="20"/>
          <w:szCs w:val="20"/>
          <w:lang w:val="es-ES_tradnl"/>
        </w:rPr>
        <w:t xml:space="preserve">ante la negativa del Estado de </w:t>
      </w:r>
      <w:r w:rsidR="00FD6D35" w:rsidRPr="007C6BE8">
        <w:rPr>
          <w:rFonts w:asciiTheme="majorHAnsi" w:hAnsiTheme="majorHAnsi"/>
          <w:sz w:val="20"/>
          <w:szCs w:val="20"/>
          <w:lang w:val="es-ES_tradnl"/>
        </w:rPr>
        <w:t xml:space="preserve">remitir </w:t>
      </w:r>
      <w:r w:rsidR="00A312C4" w:rsidRPr="007C6BE8">
        <w:rPr>
          <w:rFonts w:asciiTheme="majorHAnsi" w:hAnsiTheme="majorHAnsi"/>
          <w:sz w:val="20"/>
          <w:szCs w:val="20"/>
          <w:lang w:val="es-ES_tradnl"/>
        </w:rPr>
        <w:t xml:space="preserve">las pruebas que tiene bajo su poder, </w:t>
      </w:r>
      <w:r w:rsidR="00FD6D35" w:rsidRPr="007C6BE8">
        <w:rPr>
          <w:rFonts w:asciiTheme="majorHAnsi" w:hAnsiTheme="majorHAnsi"/>
          <w:sz w:val="20"/>
          <w:szCs w:val="20"/>
          <w:lang w:val="es-ES_tradnl"/>
        </w:rPr>
        <w:t xml:space="preserve">pudiera </w:t>
      </w:r>
      <w:r w:rsidR="003B432C" w:rsidRPr="007C6BE8">
        <w:rPr>
          <w:rFonts w:asciiTheme="majorHAnsi" w:hAnsiTheme="majorHAnsi"/>
          <w:sz w:val="20"/>
          <w:szCs w:val="20"/>
          <w:lang w:val="es-ES_tradnl"/>
        </w:rPr>
        <w:t xml:space="preserve">ampararse </w:t>
      </w:r>
      <w:r w:rsidR="000F2E30" w:rsidRPr="007C6BE8">
        <w:rPr>
          <w:rFonts w:asciiTheme="majorHAnsi" w:hAnsiTheme="majorHAnsi"/>
          <w:sz w:val="20"/>
          <w:szCs w:val="20"/>
          <w:lang w:val="es-ES_tradnl"/>
        </w:rPr>
        <w:t xml:space="preserve">en </w:t>
      </w:r>
      <w:r w:rsidRPr="007C6BE8">
        <w:rPr>
          <w:rFonts w:asciiTheme="majorHAnsi" w:hAnsiTheme="majorHAnsi"/>
          <w:sz w:val="20"/>
          <w:szCs w:val="20"/>
          <w:lang w:val="es-ES_tradnl"/>
        </w:rPr>
        <w:t xml:space="preserve">su </w:t>
      </w:r>
      <w:r w:rsidR="003B432C" w:rsidRPr="007C6BE8">
        <w:rPr>
          <w:rFonts w:asciiTheme="majorHAnsi" w:hAnsiTheme="majorHAnsi"/>
          <w:sz w:val="20"/>
          <w:szCs w:val="20"/>
          <w:lang w:val="es-ES_tradnl"/>
        </w:rPr>
        <w:t xml:space="preserve">negligencia e inefectividad de la investigación </w:t>
      </w:r>
      <w:r w:rsidRPr="007C6BE8">
        <w:rPr>
          <w:rFonts w:asciiTheme="majorHAnsi" w:hAnsiTheme="majorHAnsi"/>
          <w:sz w:val="20"/>
          <w:szCs w:val="20"/>
          <w:lang w:val="es-ES_tradnl"/>
        </w:rPr>
        <w:t xml:space="preserve">penal </w:t>
      </w:r>
      <w:r w:rsidR="003B432C" w:rsidRPr="007C6BE8">
        <w:rPr>
          <w:rFonts w:asciiTheme="majorHAnsi" w:hAnsiTheme="majorHAnsi"/>
          <w:sz w:val="20"/>
          <w:szCs w:val="20"/>
          <w:lang w:val="es-ES_tradnl"/>
        </w:rPr>
        <w:t>para sustraerse de su responsabilidad internacio</w:t>
      </w:r>
      <w:r w:rsidR="00C12121" w:rsidRPr="007C6BE8">
        <w:rPr>
          <w:rFonts w:asciiTheme="majorHAnsi" w:hAnsiTheme="majorHAnsi"/>
          <w:sz w:val="20"/>
          <w:szCs w:val="20"/>
          <w:lang w:val="es-ES_tradnl"/>
        </w:rPr>
        <w:t>nal</w:t>
      </w:r>
      <w:r w:rsidR="000F2E30" w:rsidRPr="007C6BE8">
        <w:rPr>
          <w:rStyle w:val="FootnoteReference"/>
          <w:rFonts w:asciiTheme="majorHAnsi" w:hAnsiTheme="majorHAnsi"/>
          <w:sz w:val="20"/>
          <w:szCs w:val="20"/>
          <w:lang w:val="es-ES_tradnl"/>
        </w:rPr>
        <w:footnoteReference w:id="133"/>
      </w:r>
      <w:r w:rsidR="00C12121" w:rsidRPr="007C6BE8">
        <w:rPr>
          <w:rFonts w:asciiTheme="majorHAnsi" w:hAnsiTheme="majorHAnsi"/>
          <w:sz w:val="20"/>
          <w:szCs w:val="20"/>
          <w:lang w:val="es-ES_tradnl"/>
        </w:rPr>
        <w:t>.</w:t>
      </w:r>
      <w:r w:rsidR="000F2E30" w:rsidRPr="007C6BE8">
        <w:rPr>
          <w:rFonts w:asciiTheme="majorHAnsi" w:hAnsiTheme="majorHAnsi"/>
          <w:sz w:val="20"/>
          <w:szCs w:val="20"/>
          <w:lang w:val="es-ES_tradnl"/>
        </w:rPr>
        <w:t xml:space="preserve">  En este sentido, la Comisión </w:t>
      </w:r>
      <w:r w:rsidR="009D244F" w:rsidRPr="007C6BE8">
        <w:rPr>
          <w:rFonts w:asciiTheme="majorHAnsi" w:hAnsiTheme="majorHAnsi"/>
          <w:sz w:val="20"/>
          <w:szCs w:val="20"/>
          <w:lang w:val="es-ES_tradnl"/>
        </w:rPr>
        <w:t xml:space="preserve">concluye </w:t>
      </w:r>
      <w:r w:rsidR="000F2E30" w:rsidRPr="007C6BE8">
        <w:rPr>
          <w:rFonts w:asciiTheme="majorHAnsi" w:hAnsiTheme="majorHAnsi"/>
          <w:sz w:val="20"/>
          <w:szCs w:val="20"/>
          <w:lang w:val="es-ES_tradnl"/>
        </w:rPr>
        <w:t xml:space="preserve">que el Estado es responsable por la violación </w:t>
      </w:r>
      <w:r w:rsidR="00A106E1" w:rsidRPr="007C6BE8">
        <w:rPr>
          <w:rFonts w:asciiTheme="majorHAnsi" w:hAnsiTheme="majorHAnsi"/>
          <w:sz w:val="20"/>
          <w:szCs w:val="20"/>
          <w:lang w:val="es-ES_tradnl"/>
        </w:rPr>
        <w:t xml:space="preserve">de los derechos al reconocimiento de la personalidad jurídica, </w:t>
      </w:r>
      <w:r w:rsidR="000F2E30" w:rsidRPr="007C6BE8">
        <w:rPr>
          <w:rFonts w:asciiTheme="majorHAnsi" w:hAnsiTheme="majorHAnsi"/>
          <w:sz w:val="20"/>
          <w:szCs w:val="20"/>
          <w:lang w:val="es-ES_tradnl"/>
        </w:rPr>
        <w:t>a la vida,</w:t>
      </w:r>
      <w:r w:rsidR="00A106E1" w:rsidRPr="007C6BE8">
        <w:rPr>
          <w:rFonts w:asciiTheme="majorHAnsi" w:hAnsiTheme="majorHAnsi"/>
          <w:sz w:val="20"/>
          <w:szCs w:val="20"/>
          <w:lang w:val="es-ES_tradnl"/>
        </w:rPr>
        <w:t xml:space="preserve"> a la </w:t>
      </w:r>
      <w:r w:rsidR="00F3307D" w:rsidRPr="007C6BE8">
        <w:rPr>
          <w:rFonts w:asciiTheme="majorHAnsi" w:hAnsiTheme="majorHAnsi"/>
          <w:sz w:val="20"/>
          <w:szCs w:val="20"/>
          <w:lang w:val="es-ES_tradnl"/>
        </w:rPr>
        <w:t xml:space="preserve">integridad personal, </w:t>
      </w:r>
      <w:r w:rsidR="00A106E1" w:rsidRPr="007C6BE8">
        <w:rPr>
          <w:rFonts w:asciiTheme="majorHAnsi" w:hAnsiTheme="majorHAnsi"/>
          <w:sz w:val="20"/>
          <w:szCs w:val="20"/>
          <w:lang w:val="es-ES_tradnl"/>
        </w:rPr>
        <w:t>a la</w:t>
      </w:r>
      <w:r w:rsidR="000F2E30" w:rsidRPr="007C6BE8">
        <w:rPr>
          <w:rFonts w:asciiTheme="majorHAnsi" w:hAnsiTheme="majorHAnsi"/>
          <w:sz w:val="20"/>
          <w:szCs w:val="20"/>
          <w:lang w:val="es-ES_tradnl"/>
        </w:rPr>
        <w:t xml:space="preserve"> liber</w:t>
      </w:r>
      <w:r w:rsidR="00F3307D" w:rsidRPr="007C6BE8">
        <w:rPr>
          <w:rFonts w:asciiTheme="majorHAnsi" w:hAnsiTheme="majorHAnsi"/>
          <w:sz w:val="20"/>
          <w:szCs w:val="20"/>
          <w:lang w:val="es-ES_tradnl"/>
        </w:rPr>
        <w:t xml:space="preserve">tad personal, a las garantías judiciales y protección judicial, </w:t>
      </w:r>
      <w:r w:rsidR="000F2E30" w:rsidRPr="007C6BE8">
        <w:rPr>
          <w:rFonts w:asciiTheme="majorHAnsi" w:hAnsiTheme="majorHAnsi"/>
          <w:sz w:val="20"/>
          <w:szCs w:val="20"/>
          <w:lang w:val="es-ES_tradnl"/>
        </w:rPr>
        <w:t>reconocidos por los artículos</w:t>
      </w:r>
      <w:r w:rsidR="00F26D6B" w:rsidRPr="007C6BE8">
        <w:rPr>
          <w:rFonts w:asciiTheme="majorHAnsi" w:hAnsiTheme="majorHAnsi"/>
          <w:sz w:val="20"/>
          <w:szCs w:val="20"/>
          <w:lang w:val="es-ES_tradnl"/>
        </w:rPr>
        <w:t xml:space="preserve"> 3,</w:t>
      </w:r>
      <w:r w:rsidR="00F3307D" w:rsidRPr="007C6BE8">
        <w:rPr>
          <w:rFonts w:asciiTheme="majorHAnsi" w:hAnsiTheme="majorHAnsi"/>
          <w:sz w:val="20"/>
          <w:szCs w:val="20"/>
          <w:lang w:val="es-ES_tradnl"/>
        </w:rPr>
        <w:t xml:space="preserve"> 4, 5, </w:t>
      </w:r>
      <w:r w:rsidR="000F2E30" w:rsidRPr="007C6BE8">
        <w:rPr>
          <w:rFonts w:asciiTheme="majorHAnsi" w:hAnsiTheme="majorHAnsi"/>
          <w:sz w:val="20"/>
          <w:szCs w:val="20"/>
          <w:lang w:val="es-ES_tradnl"/>
        </w:rPr>
        <w:t>7</w:t>
      </w:r>
      <w:r w:rsidR="00F3307D" w:rsidRPr="007C6BE8">
        <w:rPr>
          <w:rFonts w:asciiTheme="majorHAnsi" w:hAnsiTheme="majorHAnsi"/>
          <w:sz w:val="20"/>
          <w:szCs w:val="20"/>
          <w:lang w:val="es-ES_tradnl"/>
        </w:rPr>
        <w:t xml:space="preserve">, 8 y 25 </w:t>
      </w:r>
      <w:r w:rsidR="000F2E30" w:rsidRPr="007C6BE8">
        <w:rPr>
          <w:rFonts w:asciiTheme="majorHAnsi" w:hAnsiTheme="majorHAnsi"/>
          <w:sz w:val="20"/>
          <w:szCs w:val="20"/>
          <w:lang w:val="es-ES_tradnl"/>
        </w:rPr>
        <w:t xml:space="preserve">de la Convención </w:t>
      </w:r>
      <w:r w:rsidR="00A106E1" w:rsidRPr="007C6BE8">
        <w:rPr>
          <w:rFonts w:asciiTheme="majorHAnsi" w:hAnsiTheme="majorHAnsi"/>
          <w:sz w:val="20"/>
          <w:szCs w:val="20"/>
          <w:lang w:val="es-ES_tradnl"/>
        </w:rPr>
        <w:t xml:space="preserve">Americana en relación con la obligación de respeto </w:t>
      </w:r>
      <w:r w:rsidR="000F2E30" w:rsidRPr="007C6BE8">
        <w:rPr>
          <w:rFonts w:asciiTheme="majorHAnsi" w:hAnsiTheme="majorHAnsi"/>
          <w:sz w:val="20"/>
          <w:szCs w:val="20"/>
          <w:lang w:val="es-ES_tradnl"/>
        </w:rPr>
        <w:t>establecida en el artículo 1.1 del mismo instrumento.</w:t>
      </w:r>
    </w:p>
    <w:p w:rsidR="00196609" w:rsidRPr="007C6BE8" w:rsidRDefault="00196609" w:rsidP="00B1793F">
      <w:pPr>
        <w:pStyle w:val="ListParagraph"/>
        <w:rPr>
          <w:rFonts w:asciiTheme="majorHAnsi" w:hAnsiTheme="majorHAnsi"/>
          <w:sz w:val="20"/>
          <w:szCs w:val="20"/>
          <w:lang w:val="es-ES_tradnl"/>
        </w:rPr>
      </w:pPr>
    </w:p>
    <w:p w:rsidR="006D3F2C" w:rsidRPr="007C6BE8" w:rsidRDefault="00196609" w:rsidP="00FE43F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sz w:val="20"/>
          <w:szCs w:val="20"/>
          <w:lang w:val="es-ES"/>
        </w:rPr>
        <w:t xml:space="preserve">Además, remitiéndose al análisis de la falta de debida diligencia en las investigaciones, la Comisión </w:t>
      </w:r>
      <w:r w:rsidRPr="007C6BE8">
        <w:rPr>
          <w:rFonts w:asciiTheme="majorHAnsi" w:hAnsiTheme="majorHAnsi" w:cs="Arial"/>
          <w:sz w:val="20"/>
          <w:szCs w:val="20"/>
          <w:lang w:val="es-AR"/>
        </w:rPr>
        <w:t>considera que la falta de investigación de la tortura sufrida por el señor Restrepo con poste</w:t>
      </w:r>
      <w:r w:rsidR="00A106E1" w:rsidRPr="007C6BE8">
        <w:rPr>
          <w:rFonts w:asciiTheme="majorHAnsi" w:hAnsiTheme="majorHAnsi" w:cs="Arial"/>
          <w:sz w:val="20"/>
          <w:szCs w:val="20"/>
          <w:lang w:val="es-AR"/>
        </w:rPr>
        <w:t>rioridad al 19 de enero de 1999 y 12 de abril de 2005,</w:t>
      </w:r>
      <w:r w:rsidRPr="007C6BE8">
        <w:rPr>
          <w:rFonts w:asciiTheme="majorHAnsi" w:hAnsiTheme="majorHAnsi" w:cs="Arial"/>
          <w:sz w:val="20"/>
          <w:szCs w:val="20"/>
          <w:lang w:val="es-AR"/>
        </w:rPr>
        <w:t xml:space="preserve"> fecha en la que el Estado depositó </w:t>
      </w:r>
      <w:r w:rsidR="005A1FE5" w:rsidRPr="007C6BE8">
        <w:rPr>
          <w:rFonts w:asciiTheme="majorHAnsi" w:hAnsiTheme="majorHAnsi" w:cs="Arial"/>
          <w:sz w:val="20"/>
          <w:szCs w:val="20"/>
          <w:lang w:val="es-AR"/>
        </w:rPr>
        <w:t xml:space="preserve">los instrumentos </w:t>
      </w:r>
      <w:r w:rsidRPr="007C6BE8">
        <w:rPr>
          <w:rFonts w:asciiTheme="majorHAnsi" w:hAnsiTheme="majorHAnsi" w:cs="Arial"/>
          <w:sz w:val="20"/>
          <w:szCs w:val="20"/>
          <w:lang w:val="es-AR"/>
        </w:rPr>
        <w:t>de ratificación de la Convención Interamericana para Prevenir y Sancionar la Tortura</w:t>
      </w:r>
      <w:r w:rsidR="00A106E1" w:rsidRPr="007C6BE8">
        <w:rPr>
          <w:rFonts w:asciiTheme="majorHAnsi" w:hAnsiTheme="majorHAnsi" w:cs="Arial"/>
          <w:sz w:val="20"/>
          <w:szCs w:val="20"/>
          <w:lang w:val="es-AR"/>
        </w:rPr>
        <w:t xml:space="preserve"> y de la Convención Interamericana sobre Desaparición Forzada de personas,</w:t>
      </w:r>
      <w:r w:rsidRPr="007C6BE8">
        <w:rPr>
          <w:rFonts w:asciiTheme="majorHAnsi" w:hAnsiTheme="majorHAnsi" w:cs="Arial"/>
          <w:sz w:val="20"/>
          <w:szCs w:val="20"/>
          <w:lang w:val="es-AR"/>
        </w:rPr>
        <w:t xml:space="preserve"> </w:t>
      </w:r>
      <w:r w:rsidR="00A106E1" w:rsidRPr="007C6BE8">
        <w:rPr>
          <w:rFonts w:asciiTheme="majorHAnsi" w:hAnsiTheme="majorHAnsi" w:cs="Arial"/>
          <w:sz w:val="20"/>
          <w:szCs w:val="20"/>
          <w:lang w:val="es-AR"/>
        </w:rPr>
        <w:t xml:space="preserve">respectivamente, </w:t>
      </w:r>
      <w:r w:rsidRPr="007C6BE8">
        <w:rPr>
          <w:rFonts w:asciiTheme="majorHAnsi" w:hAnsiTheme="majorHAnsi" w:cs="Arial"/>
          <w:sz w:val="20"/>
          <w:szCs w:val="20"/>
          <w:lang w:val="es-AR"/>
        </w:rPr>
        <w:t>compromete la responsabilidad internacional del Estado por la violación de los artículos 1, 6 y 8</w:t>
      </w:r>
      <w:r w:rsidR="00195819" w:rsidRPr="007C6BE8">
        <w:rPr>
          <w:rStyle w:val="FootnoteReference"/>
          <w:rFonts w:asciiTheme="majorHAnsi" w:hAnsiTheme="majorHAnsi" w:cs="Arial"/>
          <w:sz w:val="20"/>
          <w:szCs w:val="20"/>
          <w:lang w:val="es-AR"/>
        </w:rPr>
        <w:footnoteReference w:id="134"/>
      </w:r>
      <w:r w:rsidRPr="007C6BE8">
        <w:rPr>
          <w:rFonts w:asciiTheme="majorHAnsi" w:hAnsiTheme="majorHAnsi" w:cs="Arial"/>
          <w:sz w:val="20"/>
          <w:szCs w:val="20"/>
          <w:lang w:val="es-AR"/>
        </w:rPr>
        <w:t xml:space="preserve">  </w:t>
      </w:r>
      <w:r w:rsidR="00A106E1" w:rsidRPr="007C6BE8">
        <w:rPr>
          <w:rFonts w:asciiTheme="majorHAnsi" w:hAnsiTheme="majorHAnsi" w:cs="Arial"/>
          <w:sz w:val="20"/>
          <w:szCs w:val="20"/>
          <w:lang w:val="es-AR"/>
        </w:rPr>
        <w:t>de la CIPST y del art</w:t>
      </w:r>
      <w:r w:rsidR="00FE43FD" w:rsidRPr="007C6BE8">
        <w:rPr>
          <w:rFonts w:asciiTheme="majorHAnsi" w:hAnsiTheme="majorHAnsi" w:cs="Arial"/>
          <w:sz w:val="20"/>
          <w:szCs w:val="20"/>
          <w:lang w:val="es-AR"/>
        </w:rPr>
        <w:t>ículo I b</w:t>
      </w:r>
      <w:r w:rsidR="00A106E1" w:rsidRPr="007C6BE8">
        <w:rPr>
          <w:rFonts w:asciiTheme="majorHAnsi" w:hAnsiTheme="majorHAnsi" w:cs="Arial"/>
          <w:sz w:val="20"/>
          <w:szCs w:val="20"/>
          <w:lang w:val="es-AR"/>
        </w:rPr>
        <w:t xml:space="preserve">) de la CIDFP, en perjuicio de los padres del señor </w:t>
      </w:r>
      <w:r w:rsidR="00A106E1" w:rsidRPr="007C6BE8">
        <w:rPr>
          <w:rFonts w:asciiTheme="majorHAnsi" w:hAnsiTheme="majorHAnsi"/>
          <w:sz w:val="20"/>
          <w:szCs w:val="20"/>
          <w:lang w:val="es-ES_tradnl"/>
        </w:rPr>
        <w:t>Restrepo</w:t>
      </w:r>
      <w:r w:rsidR="00A106E1" w:rsidRPr="007C6BE8">
        <w:rPr>
          <w:rFonts w:asciiTheme="majorHAnsi" w:hAnsiTheme="majorHAnsi" w:cs="Arial"/>
          <w:sz w:val="20"/>
          <w:szCs w:val="20"/>
          <w:lang w:val="es-AR"/>
        </w:rPr>
        <w:t xml:space="preserve">. </w:t>
      </w:r>
    </w:p>
    <w:p w:rsidR="006D3F2C" w:rsidRPr="007C6BE8" w:rsidRDefault="006D3F2C" w:rsidP="006D3F2C">
      <w:pPr>
        <w:pStyle w:val="ListParagraph"/>
        <w:rPr>
          <w:rFonts w:asciiTheme="majorHAnsi" w:hAnsiTheme="majorHAnsi" w:cs="Calibri"/>
          <w:sz w:val="20"/>
          <w:szCs w:val="20"/>
          <w:lang w:val="es-ES_tradnl"/>
        </w:rPr>
      </w:pPr>
    </w:p>
    <w:p w:rsidR="00A106E1" w:rsidRPr="007C6BE8" w:rsidRDefault="00196609" w:rsidP="006D3F2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_tradnl"/>
        </w:rPr>
      </w:pPr>
      <w:r w:rsidRPr="007C6BE8">
        <w:rPr>
          <w:rFonts w:asciiTheme="majorHAnsi" w:hAnsiTheme="majorHAnsi" w:cs="Calibri"/>
          <w:sz w:val="20"/>
          <w:szCs w:val="20"/>
          <w:lang w:val="es-ES_tradnl"/>
        </w:rPr>
        <w:t xml:space="preserve">A los efectos de realizar </w:t>
      </w:r>
      <w:r w:rsidR="006D3F2C" w:rsidRPr="007C6BE8">
        <w:rPr>
          <w:rFonts w:asciiTheme="majorHAnsi" w:hAnsiTheme="majorHAnsi" w:cs="Calibri"/>
          <w:sz w:val="20"/>
          <w:szCs w:val="20"/>
          <w:lang w:val="es-ES_tradnl"/>
        </w:rPr>
        <w:t xml:space="preserve">sus consideraciones sobre el artículo 3 de la Convención Americana, 1, 6 y 8 </w:t>
      </w:r>
      <w:r w:rsidR="006D3F2C" w:rsidRPr="007C6BE8">
        <w:rPr>
          <w:rFonts w:asciiTheme="majorHAnsi" w:hAnsiTheme="majorHAnsi" w:cs="Arial"/>
          <w:sz w:val="20"/>
          <w:szCs w:val="20"/>
          <w:lang w:val="es-AR"/>
        </w:rPr>
        <w:t xml:space="preserve">de la CIPST y del artículo I b) de la CIDFP, </w:t>
      </w:r>
      <w:r w:rsidRPr="007C6BE8">
        <w:rPr>
          <w:rFonts w:asciiTheme="majorHAnsi" w:hAnsiTheme="majorHAnsi" w:cs="Calibri"/>
          <w:sz w:val="20"/>
          <w:szCs w:val="20"/>
          <w:lang w:val="es-ES_tradnl"/>
        </w:rPr>
        <w:t xml:space="preserve">en aplicación del principio de </w:t>
      </w:r>
      <w:r w:rsidRPr="007C6BE8">
        <w:rPr>
          <w:rFonts w:asciiTheme="majorHAnsi" w:hAnsiTheme="majorHAnsi" w:cs="Calibri"/>
          <w:i/>
          <w:sz w:val="20"/>
          <w:szCs w:val="20"/>
          <w:lang w:val="es-ES_tradnl"/>
        </w:rPr>
        <w:t xml:space="preserve">iura novit </w:t>
      </w:r>
      <w:r w:rsidRPr="007C6BE8">
        <w:rPr>
          <w:rFonts w:asciiTheme="majorHAnsi" w:hAnsiTheme="majorHAnsi" w:cs="Calibri"/>
          <w:sz w:val="20"/>
          <w:szCs w:val="20"/>
          <w:lang w:val="es-ES_tradnl"/>
        </w:rPr>
        <w:t>curia, la Comisión advierte que si bien en su informe de admisibilidad</w:t>
      </w:r>
      <w:r w:rsidRPr="007C6BE8">
        <w:rPr>
          <w:rFonts w:asciiTheme="majorHAnsi" w:hAnsiTheme="majorHAnsi"/>
          <w:sz w:val="20"/>
          <w:szCs w:val="20"/>
          <w:lang w:val="es-ES_tradnl"/>
        </w:rPr>
        <w:t xml:space="preserve"> del presente caso </w:t>
      </w:r>
      <w:r w:rsidRPr="007C6BE8">
        <w:rPr>
          <w:rFonts w:asciiTheme="majorHAnsi" w:hAnsiTheme="majorHAnsi" w:cs="Calibri"/>
          <w:sz w:val="20"/>
          <w:szCs w:val="20"/>
          <w:lang w:val="es-ES_tradnl"/>
        </w:rPr>
        <w:t xml:space="preserve">no se pronunció sobre la aplicación de </w:t>
      </w:r>
      <w:r w:rsidR="006D3F2C" w:rsidRPr="007C6BE8">
        <w:rPr>
          <w:rFonts w:asciiTheme="majorHAnsi" w:hAnsiTheme="majorHAnsi" w:cs="Calibri"/>
          <w:sz w:val="20"/>
          <w:szCs w:val="20"/>
          <w:lang w:val="es-ES_tradnl"/>
        </w:rPr>
        <w:t>tales artículos</w:t>
      </w:r>
      <w:r w:rsidRPr="007C6BE8">
        <w:rPr>
          <w:rFonts w:asciiTheme="majorHAnsi" w:hAnsiTheme="majorHAnsi" w:cs="Calibri"/>
          <w:sz w:val="20"/>
          <w:szCs w:val="20"/>
          <w:lang w:val="es-ES_tradnl"/>
        </w:rPr>
        <w:t>, los hechos que sustentan la existencia de tal violación surgen de la información y los pruebas aportadas por las partes en el transcurso del trámite ante la CIDH respecto de los cuales el Estado tuvo la oportunidad de ofrecer sus observaciones.</w:t>
      </w:r>
      <w:r w:rsidR="006D3F2C" w:rsidRPr="007C6BE8">
        <w:rPr>
          <w:rFonts w:asciiTheme="majorHAnsi" w:hAnsiTheme="majorHAnsi" w:cs="Calibri"/>
          <w:sz w:val="20"/>
          <w:szCs w:val="20"/>
          <w:lang w:val="es-ES_tradnl"/>
        </w:rPr>
        <w:t xml:space="preserve"> </w:t>
      </w:r>
    </w:p>
    <w:p w:rsidR="00A106E1" w:rsidRPr="007C6BE8" w:rsidRDefault="00A106E1" w:rsidP="00A106E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Theme="majorHAnsi" w:hAnsiTheme="majorHAnsi"/>
          <w:sz w:val="20"/>
          <w:szCs w:val="20"/>
          <w:lang w:val="es-ES_tradnl"/>
        </w:rPr>
      </w:pPr>
    </w:p>
    <w:p w:rsidR="007449EF" w:rsidRPr="007C6BE8" w:rsidRDefault="003541CD" w:rsidP="003541CD">
      <w:pPr>
        <w:pStyle w:val="Heading2"/>
        <w:rPr>
          <w:rFonts w:asciiTheme="majorHAnsi" w:hAnsiTheme="majorHAnsi" w:cs="Times"/>
          <w:lang w:val="es-ES"/>
        </w:rPr>
      </w:pPr>
      <w:bookmarkStart w:id="72" w:name="_Toc409709271"/>
      <w:bookmarkStart w:id="73" w:name="_Toc414371986"/>
      <w:bookmarkStart w:id="74" w:name="_Toc421786420"/>
      <w:bookmarkStart w:id="75" w:name="_Toc529794722"/>
      <w:r w:rsidRPr="007C6BE8">
        <w:rPr>
          <w:rFonts w:asciiTheme="majorHAnsi" w:hAnsiTheme="majorHAnsi" w:cs="Times"/>
          <w:lang w:val="es-ES"/>
        </w:rPr>
        <w:t>D</w:t>
      </w:r>
      <w:r w:rsidR="00A84750" w:rsidRPr="007C6BE8">
        <w:rPr>
          <w:rFonts w:asciiTheme="majorHAnsi" w:hAnsiTheme="majorHAnsi" w:cs="Times"/>
          <w:lang w:val="es-ES"/>
        </w:rPr>
        <w:t xml:space="preserve">. </w:t>
      </w:r>
      <w:r w:rsidR="007061FF" w:rsidRPr="007C6BE8">
        <w:rPr>
          <w:rFonts w:asciiTheme="majorHAnsi" w:hAnsiTheme="majorHAnsi" w:cs="Times"/>
          <w:lang w:val="es-ES"/>
        </w:rPr>
        <w:tab/>
      </w:r>
      <w:r w:rsidR="000F2E30" w:rsidRPr="007C6BE8">
        <w:rPr>
          <w:rFonts w:asciiTheme="majorHAnsi" w:hAnsiTheme="majorHAnsi" w:cs="Times"/>
          <w:lang w:val="es-ES"/>
        </w:rPr>
        <w:t>E</w:t>
      </w:r>
      <w:r w:rsidR="007449EF" w:rsidRPr="007C6BE8">
        <w:rPr>
          <w:rFonts w:asciiTheme="majorHAnsi" w:hAnsiTheme="majorHAnsi" w:cs="Times"/>
          <w:lang w:val="es-ES"/>
        </w:rPr>
        <w:t>l derecho a la integridad personal de los familiares de Norberto Restrepo</w:t>
      </w:r>
      <w:bookmarkEnd w:id="72"/>
      <w:bookmarkEnd w:id="73"/>
      <w:bookmarkEnd w:id="74"/>
      <w:bookmarkEnd w:id="75"/>
    </w:p>
    <w:p w:rsidR="00D51EC8" w:rsidRPr="007C6BE8" w:rsidRDefault="00D51EC8" w:rsidP="00B1793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FE43FD" w:rsidRPr="007C6BE8" w:rsidRDefault="00FE43FD" w:rsidP="00FE43F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ES"/>
        </w:rPr>
      </w:pPr>
      <w:r w:rsidRPr="007C6BE8">
        <w:rPr>
          <w:rFonts w:asciiTheme="majorHAnsi" w:hAnsiTheme="majorHAnsi"/>
          <w:sz w:val="20"/>
          <w:szCs w:val="20"/>
          <w:lang w:val="es-ES"/>
        </w:rPr>
        <w:t>El artículo 5.1 de la Convención Americana establece que “[t]oda persona tiene derecho a que se respete su integridad física, psíquica y moral”. Con respecto de los familiares de víctimas de ciertas violaciones de derechos humanos, la Corte ha indicado que éstos pueden ser considerados, a su vez, como víctimas</w:t>
      </w:r>
      <w:r w:rsidRPr="007C6BE8">
        <w:rPr>
          <w:rStyle w:val="FootnoteReference"/>
          <w:rFonts w:asciiTheme="majorHAnsi" w:hAnsiTheme="majorHAnsi"/>
          <w:sz w:val="20"/>
          <w:szCs w:val="20"/>
        </w:rPr>
        <w:footnoteReference w:id="135"/>
      </w:r>
      <w:r w:rsidRPr="007C6BE8">
        <w:rPr>
          <w:rFonts w:asciiTheme="majorHAnsi" w:hAnsiTheme="majorHAnsi"/>
          <w:sz w:val="20"/>
          <w:szCs w:val="20"/>
          <w:lang w:val="es-ES"/>
        </w:rPr>
        <w:t xml:space="preserve">. Al respecto, la Corte ha </w:t>
      </w:r>
      <w:r w:rsidRPr="007C6BE8">
        <w:rPr>
          <w:rFonts w:asciiTheme="majorHAnsi" w:hAnsiTheme="majorHAnsi"/>
          <w:sz w:val="20"/>
          <w:szCs w:val="20"/>
          <w:lang w:val="es-ES_tradnl"/>
        </w:rPr>
        <w:t>dispuesto</w:t>
      </w:r>
      <w:r w:rsidRPr="007C6BE8">
        <w:rPr>
          <w:rFonts w:asciiTheme="majorHAnsi" w:hAnsiTheme="majorHAnsi"/>
          <w:sz w:val="20"/>
          <w:szCs w:val="20"/>
          <w:lang w:val="es-ES"/>
        </w:rPr>
        <w:t xml:space="preserve"> que pueden verse afectados en su integridad psíquica y moral como consecuencia de las situaciones particulares que padecieron las víctimas, y de las posteriores actuaciones u omisiones de las autoridades internas frente a estos hechos</w:t>
      </w:r>
      <w:r w:rsidRPr="007C6BE8">
        <w:rPr>
          <w:rStyle w:val="FootnoteReference"/>
          <w:rFonts w:asciiTheme="majorHAnsi" w:hAnsiTheme="majorHAnsi"/>
          <w:sz w:val="20"/>
          <w:szCs w:val="20"/>
        </w:rPr>
        <w:footnoteReference w:id="136"/>
      </w:r>
      <w:r w:rsidRPr="007C6BE8">
        <w:rPr>
          <w:rFonts w:asciiTheme="majorHAnsi" w:hAnsiTheme="majorHAnsi"/>
          <w:sz w:val="20"/>
          <w:szCs w:val="20"/>
          <w:lang w:val="es-ES"/>
        </w:rPr>
        <w:t>.</w:t>
      </w:r>
    </w:p>
    <w:p w:rsidR="00FE43FD" w:rsidRPr="007C6BE8" w:rsidRDefault="00FE43FD" w:rsidP="00FE43FD">
      <w:pPr>
        <w:suppressAutoHyphens/>
        <w:jc w:val="both"/>
        <w:rPr>
          <w:rFonts w:asciiTheme="majorHAnsi" w:hAnsiTheme="majorHAnsi" w:cs="Verdana"/>
          <w:sz w:val="20"/>
          <w:szCs w:val="20"/>
          <w:lang w:val="es-ES_tradnl"/>
        </w:rPr>
      </w:pPr>
    </w:p>
    <w:p w:rsidR="00FE43FD" w:rsidRPr="007C6BE8" w:rsidRDefault="00FE43FD" w:rsidP="00FE43F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Verdana"/>
          <w:sz w:val="20"/>
          <w:szCs w:val="20"/>
          <w:lang w:val="es-ES_tradnl"/>
        </w:rPr>
      </w:pPr>
      <w:r w:rsidRPr="007C6BE8">
        <w:rPr>
          <w:rFonts w:asciiTheme="majorHAnsi" w:hAnsiTheme="majorHAnsi"/>
          <w:sz w:val="20"/>
          <w:szCs w:val="20"/>
          <w:lang w:val="es-ES"/>
        </w:rPr>
        <w:t xml:space="preserve">De acuerdo a lo anterior, la Comisión considera que la pérdida de un ser querido en un contexto como el descrito en el presente caso, así como la ausencia de una investigación completa y efectiva que a su vez ocasiona sufrimiento y angustia de no conocer la verdad, constituye ya en sí misma una afectación a la integridad psíquica y moral de los familiares del señor Norberto Javier Restrepo. </w:t>
      </w:r>
      <w:r w:rsidR="006C283F" w:rsidRPr="007C6BE8">
        <w:rPr>
          <w:rFonts w:asciiTheme="majorHAnsi" w:hAnsiTheme="majorHAnsi"/>
          <w:sz w:val="20"/>
          <w:szCs w:val="20"/>
          <w:lang w:val="es-ES"/>
        </w:rPr>
        <w:t xml:space="preserve">Sus padres sufrieron los efectos de una denegación de justicia seguida de impunidad a lo largo de los años. </w:t>
      </w:r>
      <w:r w:rsidRPr="007C6BE8">
        <w:rPr>
          <w:rFonts w:asciiTheme="majorHAnsi" w:hAnsiTheme="majorHAnsi"/>
          <w:sz w:val="20"/>
          <w:szCs w:val="20"/>
          <w:lang w:val="es-ES"/>
        </w:rPr>
        <w:t>Dicha afectación fue particularmente grave para la señora madre, Lucila Restrepo, quien  falleció encontrándose los hechos en una situación de impunidad durante el trámite del presente caso.</w:t>
      </w:r>
    </w:p>
    <w:p w:rsidR="00FE43FD" w:rsidRPr="007C6BE8" w:rsidRDefault="00FE43FD" w:rsidP="00FE43FD">
      <w:pPr>
        <w:pStyle w:val="BodyTextIndent"/>
        <w:ind w:firstLine="0"/>
        <w:rPr>
          <w:rFonts w:asciiTheme="majorHAnsi" w:hAnsiTheme="majorHAnsi"/>
          <w:sz w:val="20"/>
          <w:szCs w:val="22"/>
        </w:rPr>
      </w:pPr>
    </w:p>
    <w:p w:rsidR="007449EF" w:rsidRPr="00B52A4D" w:rsidRDefault="007449EF" w:rsidP="00FE43F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Verdana"/>
          <w:sz w:val="20"/>
          <w:szCs w:val="20"/>
          <w:lang w:val="es-ES_tradnl"/>
        </w:rPr>
      </w:pPr>
      <w:r w:rsidRPr="007C6BE8">
        <w:rPr>
          <w:rFonts w:asciiTheme="majorHAnsi" w:hAnsiTheme="majorHAnsi"/>
          <w:sz w:val="20"/>
          <w:szCs w:val="20"/>
          <w:lang w:val="es-CR"/>
        </w:rPr>
        <w:t xml:space="preserve">En consecuencia, la </w:t>
      </w:r>
      <w:r w:rsidRPr="00B52A4D">
        <w:rPr>
          <w:rFonts w:asciiTheme="majorHAnsi" w:hAnsiTheme="majorHAnsi"/>
          <w:sz w:val="20"/>
          <w:szCs w:val="20"/>
          <w:lang w:val="es-CR"/>
        </w:rPr>
        <w:t xml:space="preserve">Comisión concluye que el Estado violó el derecho a la integridad psíquica y moral establecido en el </w:t>
      </w:r>
      <w:r w:rsidRPr="00B52A4D">
        <w:rPr>
          <w:rFonts w:asciiTheme="majorHAnsi" w:hAnsiTheme="majorHAnsi"/>
          <w:sz w:val="20"/>
          <w:szCs w:val="20"/>
          <w:lang w:val="es-ES"/>
        </w:rPr>
        <w:t>artículo</w:t>
      </w:r>
      <w:r w:rsidRPr="00B52A4D">
        <w:rPr>
          <w:rFonts w:asciiTheme="majorHAnsi" w:hAnsiTheme="majorHAnsi"/>
          <w:sz w:val="20"/>
          <w:szCs w:val="20"/>
          <w:lang w:val="es-CR"/>
        </w:rPr>
        <w:t xml:space="preserve"> 5 de la Convención Americana en relación con las obligaciones establecidas en el artículo 1.1 del mismo instrumento, en perjuicio de los</w:t>
      </w:r>
      <w:r w:rsidR="00FE43FD" w:rsidRPr="00B52A4D">
        <w:rPr>
          <w:rFonts w:asciiTheme="majorHAnsi" w:hAnsiTheme="majorHAnsi"/>
          <w:sz w:val="20"/>
          <w:szCs w:val="20"/>
          <w:lang w:val="es-CR"/>
        </w:rPr>
        <w:t xml:space="preserve"> padres de</w:t>
      </w:r>
      <w:r w:rsidRPr="00B52A4D">
        <w:rPr>
          <w:rFonts w:asciiTheme="majorHAnsi" w:hAnsiTheme="majorHAnsi"/>
          <w:sz w:val="20"/>
          <w:szCs w:val="20"/>
          <w:lang w:val="es-CR"/>
        </w:rPr>
        <w:t xml:space="preserve"> Norberto </w:t>
      </w:r>
      <w:r w:rsidR="00FE43FD" w:rsidRPr="00B52A4D">
        <w:rPr>
          <w:rFonts w:asciiTheme="majorHAnsi" w:hAnsiTheme="majorHAnsi"/>
          <w:sz w:val="20"/>
          <w:szCs w:val="20"/>
          <w:lang w:val="es-CR"/>
        </w:rPr>
        <w:t xml:space="preserve">Javier </w:t>
      </w:r>
      <w:r w:rsidRPr="00B52A4D">
        <w:rPr>
          <w:rFonts w:asciiTheme="majorHAnsi" w:hAnsiTheme="majorHAnsi"/>
          <w:sz w:val="20"/>
          <w:szCs w:val="20"/>
          <w:lang w:val="es-CR"/>
        </w:rPr>
        <w:t>Restrepo.</w:t>
      </w:r>
    </w:p>
    <w:p w:rsidR="00137748" w:rsidRPr="00B52A4D" w:rsidRDefault="00137748" w:rsidP="0013774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CR"/>
        </w:rPr>
      </w:pPr>
    </w:p>
    <w:p w:rsidR="007449EF" w:rsidRPr="00B52A4D" w:rsidRDefault="00137748" w:rsidP="00B1793F">
      <w:pPr>
        <w:pStyle w:val="Heading1"/>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0"/>
        <w:ind w:left="0" w:firstLine="720"/>
        <w:jc w:val="both"/>
        <w:rPr>
          <w:rFonts w:asciiTheme="majorHAnsi" w:hAnsiTheme="majorHAnsi" w:cs="Arial"/>
          <w:color w:val="auto"/>
          <w:sz w:val="20"/>
          <w:szCs w:val="20"/>
          <w:lang w:val="es-ES"/>
        </w:rPr>
      </w:pPr>
      <w:bookmarkStart w:id="76" w:name="_Toc529794723"/>
      <w:r w:rsidRPr="00B52A4D">
        <w:rPr>
          <w:rFonts w:asciiTheme="majorHAnsi" w:hAnsiTheme="majorHAnsi" w:cs="Arial"/>
          <w:color w:val="auto"/>
          <w:sz w:val="20"/>
          <w:szCs w:val="20"/>
          <w:lang w:val="es-ES"/>
        </w:rPr>
        <w:t>ACTUACIONES POSTERIORES AL INFORME No.</w:t>
      </w:r>
      <w:r w:rsidR="0028547D" w:rsidRPr="00B52A4D">
        <w:rPr>
          <w:rFonts w:asciiTheme="majorHAnsi" w:hAnsiTheme="majorHAnsi" w:cs="Arial"/>
          <w:color w:val="auto"/>
          <w:sz w:val="20"/>
          <w:szCs w:val="20"/>
          <w:lang w:val="es-ES"/>
        </w:rPr>
        <w:t xml:space="preserve"> 20/15</w:t>
      </w:r>
      <w:bookmarkEnd w:id="76"/>
    </w:p>
    <w:p w:rsidR="00137748" w:rsidRPr="00B52A4D" w:rsidRDefault="00137748" w:rsidP="00137748">
      <w:pPr>
        <w:rPr>
          <w:lang w:val="es-ES"/>
        </w:rPr>
      </w:pPr>
    </w:p>
    <w:p w:rsidR="0028547D" w:rsidRPr="00B52A4D" w:rsidRDefault="0028547D" w:rsidP="0028547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cs="Arial"/>
          <w:sz w:val="20"/>
          <w:szCs w:val="20"/>
          <w:lang w:val="es-ES"/>
        </w:rPr>
      </w:pPr>
      <w:r w:rsidRPr="00B52A4D">
        <w:rPr>
          <w:sz w:val="20"/>
          <w:szCs w:val="20"/>
          <w:lang w:val="es-ES"/>
        </w:rPr>
        <w:t>La</w:t>
      </w:r>
      <w:r w:rsidRPr="00B52A4D">
        <w:rPr>
          <w:rFonts w:cs="Verdana"/>
          <w:sz w:val="20"/>
          <w:szCs w:val="20"/>
          <w:lang w:val="es-ES" w:bidi="en-US"/>
        </w:rPr>
        <w:t xml:space="preserve"> Comisión adoptó el informe de fondo No. 20</w:t>
      </w:r>
      <w:r w:rsidRPr="00B52A4D">
        <w:rPr>
          <w:sz w:val="20"/>
          <w:szCs w:val="20"/>
          <w:lang w:val="es-VE"/>
        </w:rPr>
        <w:t>/</w:t>
      </w:r>
      <w:r w:rsidRPr="00B52A4D">
        <w:rPr>
          <w:rFonts w:cs="Verdana"/>
          <w:sz w:val="20"/>
          <w:szCs w:val="20"/>
          <w:lang w:val="es-ES" w:bidi="en-US"/>
        </w:rPr>
        <w:t xml:space="preserve">15 el 26 de marzo de 2015 y lo transmitió al Estado el </w:t>
      </w:r>
      <w:r w:rsidR="008E6864" w:rsidRPr="00B52A4D">
        <w:rPr>
          <w:rFonts w:cs="Verdana"/>
          <w:sz w:val="20"/>
          <w:szCs w:val="20"/>
          <w:lang w:val="es-ES" w:bidi="en-US"/>
        </w:rPr>
        <w:t>12 de junio</w:t>
      </w:r>
      <w:r w:rsidRPr="00B52A4D">
        <w:rPr>
          <w:rFonts w:cs="Verdana"/>
          <w:sz w:val="20"/>
          <w:szCs w:val="20"/>
          <w:lang w:val="es-ES" w:bidi="en-US"/>
        </w:rPr>
        <w:t xml:space="preserve"> del mismo año. En dicho informe la Comisión recomendó:</w:t>
      </w:r>
    </w:p>
    <w:p w:rsidR="0028547D" w:rsidRPr="00B52A4D" w:rsidRDefault="0028547D" w:rsidP="00137748">
      <w:pPr>
        <w:rPr>
          <w:lang w:val="es-ES"/>
        </w:rPr>
      </w:pPr>
    </w:p>
    <w:p w:rsidR="0028547D" w:rsidRPr="00B52A4D" w:rsidRDefault="0028547D" w:rsidP="0028547D">
      <w:pPr>
        <w:numPr>
          <w:ilvl w:val="0"/>
          <w:numId w:val="71"/>
        </w:numPr>
        <w:tabs>
          <w:tab w:val="left" w:pos="567"/>
        </w:tabs>
        <w:ind w:left="1440" w:right="720" w:hanging="731"/>
        <w:jc w:val="both"/>
        <w:rPr>
          <w:rFonts w:asciiTheme="majorHAnsi" w:hAnsiTheme="majorHAnsi"/>
          <w:sz w:val="20"/>
          <w:szCs w:val="20"/>
          <w:lang w:val="es-CR"/>
        </w:rPr>
      </w:pPr>
      <w:r w:rsidRPr="00B52A4D">
        <w:rPr>
          <w:rFonts w:asciiTheme="majorHAnsi" w:hAnsiTheme="majorHAnsi"/>
          <w:sz w:val="20"/>
          <w:szCs w:val="20"/>
          <w:lang w:val="es-CR"/>
        </w:rPr>
        <w:t>Reparar integralmente a los familiares de Norberto Javier Restrepo por el daño material e inmaterial sufrido en virtud de las violaciones a la Convención Americana establecidas en el presente informe.</w:t>
      </w:r>
    </w:p>
    <w:p w:rsidR="0028547D" w:rsidRPr="00B52A4D" w:rsidRDefault="0028547D" w:rsidP="0028547D">
      <w:pPr>
        <w:ind w:left="1440" w:right="720" w:hanging="731"/>
        <w:jc w:val="both"/>
        <w:rPr>
          <w:rFonts w:asciiTheme="majorHAnsi" w:hAnsiTheme="majorHAnsi"/>
          <w:sz w:val="20"/>
          <w:szCs w:val="20"/>
          <w:lang w:val="es-CR"/>
        </w:rPr>
      </w:pPr>
    </w:p>
    <w:p w:rsidR="0028547D" w:rsidRPr="00B52A4D" w:rsidRDefault="0028547D" w:rsidP="0028547D">
      <w:pPr>
        <w:pStyle w:val="BodyText3"/>
        <w:spacing w:after="0"/>
        <w:ind w:left="1440" w:right="720" w:hanging="731"/>
        <w:jc w:val="both"/>
        <w:rPr>
          <w:rFonts w:asciiTheme="majorHAnsi" w:hAnsiTheme="majorHAnsi"/>
          <w:sz w:val="20"/>
          <w:szCs w:val="22"/>
        </w:rPr>
      </w:pPr>
      <w:r w:rsidRPr="00B52A4D">
        <w:rPr>
          <w:rFonts w:asciiTheme="majorHAnsi" w:hAnsiTheme="majorHAnsi"/>
          <w:sz w:val="20"/>
          <w:szCs w:val="20"/>
          <w:lang w:val="es-CR"/>
        </w:rPr>
        <w:t>2.</w:t>
      </w:r>
      <w:r w:rsidRPr="00B52A4D">
        <w:rPr>
          <w:rFonts w:asciiTheme="majorHAnsi" w:hAnsiTheme="majorHAnsi"/>
          <w:sz w:val="20"/>
          <w:szCs w:val="20"/>
          <w:lang w:val="es-CR"/>
        </w:rPr>
        <w:tab/>
        <w:t>Llevar adelante una investigación imparcial y exhaustiva con el fin de juzgar y sancionar a los responsables materiales e intelectuales de la muerte de Norberto Javier Restrepo y establecer la verdad de lo sucedido.</w:t>
      </w:r>
      <w:r w:rsidRPr="00B52A4D">
        <w:rPr>
          <w:rFonts w:asciiTheme="majorHAnsi" w:hAnsiTheme="majorHAnsi"/>
          <w:sz w:val="20"/>
        </w:rPr>
        <w:t xml:space="preserve"> </w:t>
      </w:r>
      <w:r w:rsidRPr="00B52A4D">
        <w:rPr>
          <w:rFonts w:asciiTheme="majorHAnsi" w:hAnsiTheme="majorHAnsi"/>
          <w:sz w:val="20"/>
          <w:szCs w:val="22"/>
        </w:rPr>
        <w:t xml:space="preserve">Estas investigaciones deben efectuarse de manera tal que se exploren y agoten las líneas lógicas de investigación derivadas de los diversos indicios tomados en cuenta en el presente informe. </w:t>
      </w:r>
    </w:p>
    <w:p w:rsidR="0028547D" w:rsidRPr="00B52A4D" w:rsidRDefault="0028547D" w:rsidP="0028547D">
      <w:pPr>
        <w:pStyle w:val="BodyText3"/>
        <w:spacing w:after="0"/>
        <w:ind w:left="1440" w:right="720" w:hanging="731"/>
        <w:jc w:val="both"/>
        <w:rPr>
          <w:rFonts w:asciiTheme="majorHAnsi" w:hAnsiTheme="majorHAnsi"/>
          <w:sz w:val="20"/>
          <w:szCs w:val="22"/>
        </w:rPr>
      </w:pPr>
    </w:p>
    <w:p w:rsidR="0028547D" w:rsidRPr="00B52A4D" w:rsidRDefault="0028547D" w:rsidP="0028547D">
      <w:pPr>
        <w:pStyle w:val="BodyText3"/>
        <w:spacing w:after="0"/>
        <w:ind w:left="1440" w:right="720" w:hanging="731"/>
        <w:jc w:val="both"/>
        <w:rPr>
          <w:rFonts w:asciiTheme="majorHAnsi" w:hAnsiTheme="majorHAnsi"/>
          <w:sz w:val="20"/>
          <w:szCs w:val="22"/>
        </w:rPr>
      </w:pPr>
      <w:r w:rsidRPr="00B52A4D">
        <w:rPr>
          <w:rFonts w:asciiTheme="majorHAnsi" w:hAnsiTheme="majorHAnsi"/>
          <w:sz w:val="20"/>
          <w:szCs w:val="22"/>
        </w:rPr>
        <w:t>3.</w:t>
      </w:r>
      <w:r w:rsidRPr="00B52A4D">
        <w:rPr>
          <w:rFonts w:asciiTheme="majorHAnsi" w:hAnsiTheme="majorHAnsi"/>
          <w:sz w:val="20"/>
          <w:szCs w:val="22"/>
        </w:rPr>
        <w:tab/>
        <w:t xml:space="preserve">Disponer las medidas administrativas, disciplinarias o penales correspondientes frente a las acciones u omisiones de los funcionarios estatales que contribuyeron a </w:t>
      </w:r>
      <w:r w:rsidRPr="00B52A4D">
        <w:rPr>
          <w:rFonts w:asciiTheme="majorHAnsi" w:hAnsiTheme="majorHAnsi"/>
          <w:sz w:val="20"/>
          <w:szCs w:val="22"/>
        </w:rPr>
        <w:lastRenderedPageBreak/>
        <w:t>la denegación de justicia e impunidad en la que se encuentran los hechos del caso, que incumplieron sus deberes de respuesta frente a la situación denunciada o que hubiesen participado en medidas para obstaculizar los procesos destinados a identificar y sancionar a los responsables.</w:t>
      </w:r>
    </w:p>
    <w:p w:rsidR="0028547D" w:rsidRPr="00B52A4D" w:rsidRDefault="0028547D" w:rsidP="0028547D">
      <w:pPr>
        <w:ind w:left="1440" w:right="720" w:hanging="731"/>
        <w:jc w:val="both"/>
        <w:rPr>
          <w:rFonts w:asciiTheme="majorHAnsi" w:hAnsiTheme="majorHAnsi"/>
          <w:sz w:val="20"/>
          <w:szCs w:val="20"/>
          <w:lang w:val="es-CR"/>
        </w:rPr>
      </w:pPr>
    </w:p>
    <w:p w:rsidR="0028547D" w:rsidRPr="00B52A4D" w:rsidRDefault="0028547D" w:rsidP="0028547D">
      <w:pPr>
        <w:ind w:left="1440" w:right="720" w:hanging="731"/>
        <w:jc w:val="both"/>
        <w:rPr>
          <w:rFonts w:asciiTheme="majorHAnsi" w:hAnsiTheme="majorHAnsi"/>
          <w:sz w:val="20"/>
          <w:szCs w:val="20"/>
          <w:lang w:val="es-CR"/>
        </w:rPr>
      </w:pPr>
      <w:r w:rsidRPr="00B52A4D">
        <w:rPr>
          <w:rFonts w:asciiTheme="majorHAnsi" w:hAnsiTheme="majorHAnsi"/>
          <w:sz w:val="20"/>
          <w:szCs w:val="20"/>
          <w:lang w:val="es-CR"/>
        </w:rPr>
        <w:t>4.</w:t>
      </w:r>
      <w:r w:rsidRPr="00B52A4D">
        <w:rPr>
          <w:rFonts w:asciiTheme="majorHAnsi" w:hAnsiTheme="majorHAnsi"/>
          <w:sz w:val="20"/>
          <w:szCs w:val="20"/>
          <w:lang w:val="es-CR"/>
        </w:rPr>
        <w:tab/>
      </w:r>
      <w:r w:rsidRPr="00B52A4D">
        <w:rPr>
          <w:rFonts w:asciiTheme="majorHAnsi" w:hAnsiTheme="majorHAnsi" w:cs="BookAntiqua"/>
          <w:sz w:val="20"/>
          <w:szCs w:val="22"/>
          <w:lang w:val="es-CO"/>
        </w:rPr>
        <w:t xml:space="preserve">Disponer medidas de no repetición que incluyan el fortalecimiento de los mecanismos de respuesta inmediata de búsqueda frente a la denuncia de </w:t>
      </w:r>
      <w:r w:rsidRPr="00B52A4D">
        <w:rPr>
          <w:rFonts w:asciiTheme="majorHAnsi" w:hAnsiTheme="majorHAnsi" w:cs="BookAntiqua"/>
          <w:sz w:val="20"/>
          <w:szCs w:val="20"/>
          <w:lang w:val="es-CO"/>
        </w:rPr>
        <w:t>desaparición de una persona.</w:t>
      </w:r>
      <w:r w:rsidRPr="00B52A4D">
        <w:rPr>
          <w:rFonts w:asciiTheme="majorHAnsi" w:hAnsiTheme="majorHAnsi"/>
          <w:sz w:val="20"/>
          <w:szCs w:val="20"/>
          <w:lang w:val="es-CR"/>
        </w:rPr>
        <w:t xml:space="preserve"> </w:t>
      </w:r>
    </w:p>
    <w:p w:rsidR="0028547D" w:rsidRPr="00B52A4D" w:rsidRDefault="0028547D" w:rsidP="00137748">
      <w:pPr>
        <w:rPr>
          <w:sz w:val="20"/>
          <w:szCs w:val="20"/>
          <w:lang w:val="es-CR"/>
        </w:rPr>
      </w:pPr>
    </w:p>
    <w:p w:rsidR="0028547D" w:rsidRPr="00B52A4D" w:rsidRDefault="0028547D" w:rsidP="0028547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cs="Verdana"/>
          <w:sz w:val="20"/>
          <w:szCs w:val="20"/>
          <w:lang w:val="es-ES" w:bidi="en-US"/>
        </w:rPr>
      </w:pPr>
      <w:r w:rsidRPr="00B52A4D">
        <w:rPr>
          <w:rFonts w:cs="Verdana"/>
          <w:sz w:val="20"/>
          <w:szCs w:val="20"/>
          <w:lang w:val="es-ES" w:bidi="en-US"/>
        </w:rPr>
        <w:t xml:space="preserve">En el trámite seguido con posterioridad a la notificación del informe de fondo, la Comisión recibió varios informes del Estado y escritos de la parte peticionaria sobre el cumplimiento de las recomendaciones establecidas por la CIDH. Durante este periodo la Comisión otorgó un total de diez prórrogas al Estado para la suspensión del plazo previsto en el artículo 51 de la Convención Americana. En dichas solicitudes de prórroga el Estado </w:t>
      </w:r>
      <w:r w:rsidR="004C3EF2" w:rsidRPr="00B52A4D">
        <w:rPr>
          <w:rFonts w:cs="Verdana"/>
          <w:sz w:val="20"/>
          <w:szCs w:val="20"/>
          <w:lang w:val="es-ES" w:bidi="en-US"/>
        </w:rPr>
        <w:t xml:space="preserve">colombiano reiteró su voluntad de </w:t>
      </w:r>
      <w:r w:rsidR="008E6864" w:rsidRPr="00B52A4D">
        <w:rPr>
          <w:rFonts w:cs="Verdana"/>
          <w:sz w:val="20"/>
          <w:szCs w:val="20"/>
          <w:lang w:val="es-ES" w:bidi="en-US"/>
        </w:rPr>
        <w:t>cumplir con</w:t>
      </w:r>
      <w:r w:rsidR="004C3EF2" w:rsidRPr="00B52A4D">
        <w:rPr>
          <w:rFonts w:cs="Verdana"/>
          <w:sz w:val="20"/>
          <w:szCs w:val="20"/>
          <w:lang w:val="es-ES" w:bidi="en-US"/>
        </w:rPr>
        <w:t xml:space="preserve"> las recomendaciones. Asimismo, el Estado</w:t>
      </w:r>
      <w:r w:rsidRPr="00B52A4D">
        <w:rPr>
          <w:rFonts w:cs="Verdana"/>
          <w:sz w:val="20"/>
          <w:szCs w:val="20"/>
          <w:lang w:val="es-ES" w:bidi="en-US"/>
        </w:rPr>
        <w:t xml:space="preserve"> renunció expresamente a interponer excepciones preliminares por incumplimiento del referido plazo en la eventualidad de que el caso fuera sometido a la Corte Interamericana.</w:t>
      </w:r>
    </w:p>
    <w:p w:rsidR="0028547D" w:rsidRPr="00B52A4D" w:rsidRDefault="0028547D" w:rsidP="0028547D">
      <w:pPr>
        <w:pStyle w:val="ListParagraph"/>
        <w:rPr>
          <w:rFonts w:cs="Verdana"/>
          <w:sz w:val="20"/>
          <w:szCs w:val="20"/>
          <w:lang w:val="es-ES" w:bidi="en-US"/>
        </w:rPr>
      </w:pPr>
    </w:p>
    <w:p w:rsidR="0028547D" w:rsidRPr="00B52A4D" w:rsidRDefault="0028547D" w:rsidP="0028547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cs="Verdana"/>
          <w:sz w:val="20"/>
          <w:szCs w:val="20"/>
          <w:lang w:val="es-ES" w:bidi="en-US"/>
        </w:rPr>
      </w:pPr>
      <w:r w:rsidRPr="00B52A4D">
        <w:rPr>
          <w:rFonts w:cs="Verdana"/>
          <w:sz w:val="20"/>
          <w:szCs w:val="20"/>
          <w:lang w:val="es-ES" w:bidi="en-US"/>
        </w:rPr>
        <w:t xml:space="preserve">Tras evaluar la información disponible sobre el estado de cumplimiento de las recomendaciones, la Comisión decidió el </w:t>
      </w:r>
      <w:r w:rsidR="004114F8" w:rsidRPr="00B52A4D">
        <w:rPr>
          <w:rFonts w:cs="Verdana"/>
          <w:sz w:val="20"/>
          <w:szCs w:val="20"/>
          <w:lang w:val="es-ES" w:bidi="en-US"/>
        </w:rPr>
        <w:t>12 de marzo</w:t>
      </w:r>
      <w:r w:rsidRPr="00B52A4D">
        <w:rPr>
          <w:rFonts w:cs="Verdana"/>
          <w:sz w:val="20"/>
          <w:szCs w:val="20"/>
          <w:lang w:val="es-ES" w:bidi="en-US"/>
        </w:rPr>
        <w:t xml:space="preserve"> de 2018 por mayoría absoluta no enviar el caso a la Corte Interamericana y proceder hacia la publicación del informe de fondo. </w:t>
      </w:r>
    </w:p>
    <w:p w:rsidR="0028547D" w:rsidRDefault="0028547D" w:rsidP="00137748">
      <w:pPr>
        <w:rPr>
          <w:rFonts w:ascii="Cambria" w:hAnsi="Cambria"/>
          <w:sz w:val="20"/>
          <w:szCs w:val="20"/>
          <w:lang w:val="es-ES"/>
        </w:rPr>
      </w:pPr>
    </w:p>
    <w:p w:rsidR="00830065" w:rsidRPr="00253D24" w:rsidRDefault="00830065" w:rsidP="00830065">
      <w:pPr>
        <w:pStyle w:val="Heading1"/>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0"/>
        <w:ind w:left="0" w:firstLine="720"/>
        <w:jc w:val="both"/>
        <w:rPr>
          <w:rFonts w:asciiTheme="majorHAnsi" w:hAnsiTheme="majorHAnsi" w:cs="Arial"/>
          <w:color w:val="auto"/>
          <w:sz w:val="20"/>
          <w:szCs w:val="20"/>
          <w:lang w:val="es-ES"/>
        </w:rPr>
      </w:pPr>
      <w:bookmarkStart w:id="77" w:name="_Toc529794724"/>
      <w:r w:rsidRPr="00253D24">
        <w:rPr>
          <w:rFonts w:asciiTheme="majorHAnsi" w:hAnsiTheme="majorHAnsi" w:cs="Arial"/>
          <w:color w:val="auto"/>
          <w:sz w:val="20"/>
          <w:szCs w:val="20"/>
          <w:lang w:val="es-ES"/>
        </w:rPr>
        <w:t>ACTUACIONES POSTERIORES AL INFORME No. 6</w:t>
      </w:r>
      <w:r w:rsidR="000A5E69" w:rsidRPr="00253D24">
        <w:rPr>
          <w:rFonts w:asciiTheme="majorHAnsi" w:hAnsiTheme="majorHAnsi" w:cs="Arial"/>
          <w:color w:val="auto"/>
          <w:sz w:val="20"/>
          <w:szCs w:val="20"/>
          <w:lang w:val="es-ES"/>
        </w:rPr>
        <w:t>8</w:t>
      </w:r>
      <w:r w:rsidRPr="00253D24">
        <w:rPr>
          <w:rFonts w:asciiTheme="majorHAnsi" w:hAnsiTheme="majorHAnsi" w:cs="Arial"/>
          <w:color w:val="auto"/>
          <w:sz w:val="20"/>
          <w:szCs w:val="20"/>
          <w:lang w:val="es-ES"/>
        </w:rPr>
        <w:t>/18</w:t>
      </w:r>
      <w:bookmarkEnd w:id="77"/>
    </w:p>
    <w:p w:rsidR="00830065" w:rsidRPr="00253D24" w:rsidRDefault="00830065" w:rsidP="00137748">
      <w:pPr>
        <w:rPr>
          <w:rFonts w:ascii="Cambria" w:hAnsi="Cambria"/>
          <w:sz w:val="20"/>
          <w:szCs w:val="20"/>
          <w:lang w:val="es-ES"/>
        </w:rPr>
      </w:pPr>
    </w:p>
    <w:p w:rsidR="00830065" w:rsidRPr="00253D24" w:rsidRDefault="00830065" w:rsidP="0083006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lang w:val="es-ES"/>
        </w:rPr>
      </w:pPr>
      <w:r w:rsidRPr="00253D24">
        <w:rPr>
          <w:sz w:val="20"/>
          <w:szCs w:val="20"/>
          <w:lang w:val="es-AR"/>
        </w:rPr>
        <w:t>El 10 de mayo de 2018 la Comisión Interamericana aprobó el informe No. 6</w:t>
      </w:r>
      <w:r w:rsidR="000A5E69" w:rsidRPr="00253D24">
        <w:rPr>
          <w:sz w:val="20"/>
          <w:szCs w:val="20"/>
          <w:lang w:val="es-AR"/>
        </w:rPr>
        <w:t>8</w:t>
      </w:r>
      <w:r w:rsidRPr="00253D24">
        <w:rPr>
          <w:sz w:val="20"/>
          <w:szCs w:val="20"/>
          <w:lang w:val="es-AR"/>
        </w:rPr>
        <w:t>/18 reiterando las recomendaciones contenidas en el informe No. 20/15:</w:t>
      </w:r>
    </w:p>
    <w:p w:rsidR="00830065" w:rsidRPr="00253D24" w:rsidRDefault="00830065" w:rsidP="0083006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noProof/>
          <w:spacing w:val="-2"/>
          <w:sz w:val="20"/>
          <w:szCs w:val="20"/>
          <w:lang w:val="es-ES"/>
        </w:rPr>
      </w:pPr>
    </w:p>
    <w:p w:rsidR="00830065" w:rsidRPr="00253D24" w:rsidRDefault="00830065" w:rsidP="00830065">
      <w:pPr>
        <w:numPr>
          <w:ilvl w:val="0"/>
          <w:numId w:val="77"/>
        </w:numPr>
        <w:tabs>
          <w:tab w:val="left" w:pos="567"/>
        </w:tabs>
        <w:ind w:left="1440" w:right="720" w:hanging="720"/>
        <w:jc w:val="both"/>
        <w:rPr>
          <w:rFonts w:asciiTheme="majorHAnsi" w:hAnsiTheme="majorHAnsi"/>
          <w:sz w:val="20"/>
          <w:szCs w:val="20"/>
          <w:lang w:val="es-CR"/>
        </w:rPr>
      </w:pPr>
      <w:r w:rsidRPr="00253D24">
        <w:rPr>
          <w:rFonts w:asciiTheme="majorHAnsi" w:hAnsiTheme="majorHAnsi"/>
          <w:sz w:val="20"/>
          <w:szCs w:val="20"/>
          <w:lang w:val="es-CR"/>
        </w:rPr>
        <w:t>Reparar integralmente a los familiares de Norberto Javier Restrepo por el daño material e inmaterial sufrido en virtud de las violaciones a la Convención Americana establecidas en el presente informe.</w:t>
      </w:r>
    </w:p>
    <w:p w:rsidR="00830065" w:rsidRPr="00253D24" w:rsidRDefault="00830065" w:rsidP="00830065">
      <w:pPr>
        <w:ind w:left="1440" w:right="720" w:hanging="731"/>
        <w:jc w:val="both"/>
        <w:rPr>
          <w:rFonts w:asciiTheme="majorHAnsi" w:hAnsiTheme="majorHAnsi"/>
          <w:sz w:val="20"/>
          <w:szCs w:val="20"/>
          <w:lang w:val="es-CR"/>
        </w:rPr>
      </w:pPr>
    </w:p>
    <w:p w:rsidR="00830065" w:rsidRPr="00253D24" w:rsidRDefault="00830065" w:rsidP="00830065">
      <w:pPr>
        <w:pStyle w:val="BodyText3"/>
        <w:spacing w:after="0"/>
        <w:ind w:left="1440" w:right="720" w:hanging="731"/>
        <w:jc w:val="both"/>
        <w:rPr>
          <w:rFonts w:asciiTheme="majorHAnsi" w:hAnsiTheme="majorHAnsi"/>
          <w:sz w:val="20"/>
          <w:szCs w:val="22"/>
        </w:rPr>
      </w:pPr>
      <w:r w:rsidRPr="00253D24">
        <w:rPr>
          <w:rFonts w:asciiTheme="majorHAnsi" w:hAnsiTheme="majorHAnsi"/>
          <w:sz w:val="20"/>
          <w:szCs w:val="20"/>
          <w:lang w:val="es-CR"/>
        </w:rPr>
        <w:t>2.</w:t>
      </w:r>
      <w:r w:rsidRPr="00253D24">
        <w:rPr>
          <w:rFonts w:asciiTheme="majorHAnsi" w:hAnsiTheme="majorHAnsi"/>
          <w:sz w:val="20"/>
          <w:szCs w:val="20"/>
          <w:lang w:val="es-CR"/>
        </w:rPr>
        <w:tab/>
        <w:t>Llevar adelante una investigación imparcial y exhaustiva con el fin de juzgar y sancionar a los responsables materiales e intelectuales de la muerte de Norberto Javier Restrepo y establecer la verdad de lo sucedido.</w:t>
      </w:r>
      <w:r w:rsidRPr="00253D24">
        <w:rPr>
          <w:rFonts w:asciiTheme="majorHAnsi" w:hAnsiTheme="majorHAnsi"/>
          <w:sz w:val="20"/>
        </w:rPr>
        <w:t xml:space="preserve"> </w:t>
      </w:r>
      <w:r w:rsidRPr="00253D24">
        <w:rPr>
          <w:rFonts w:asciiTheme="majorHAnsi" w:hAnsiTheme="majorHAnsi"/>
          <w:sz w:val="20"/>
          <w:szCs w:val="22"/>
        </w:rPr>
        <w:t xml:space="preserve">Estas investigaciones deben efectuarse de manera tal que se exploren y agoten las líneas lógicas de investigación derivadas de los diversos indicios tomados en cuenta en el presente informe. </w:t>
      </w:r>
    </w:p>
    <w:p w:rsidR="00830065" w:rsidRPr="00253D24" w:rsidRDefault="00830065" w:rsidP="00830065">
      <w:pPr>
        <w:pStyle w:val="BodyText3"/>
        <w:spacing w:after="0"/>
        <w:ind w:left="1440" w:right="720" w:hanging="731"/>
        <w:jc w:val="both"/>
        <w:rPr>
          <w:rFonts w:asciiTheme="majorHAnsi" w:hAnsiTheme="majorHAnsi"/>
          <w:sz w:val="20"/>
          <w:szCs w:val="22"/>
        </w:rPr>
      </w:pPr>
    </w:p>
    <w:p w:rsidR="00830065" w:rsidRPr="00253D24" w:rsidRDefault="00830065" w:rsidP="00830065">
      <w:pPr>
        <w:pStyle w:val="BodyText3"/>
        <w:spacing w:after="0"/>
        <w:ind w:left="1440" w:right="720" w:hanging="731"/>
        <w:jc w:val="both"/>
        <w:rPr>
          <w:rFonts w:asciiTheme="majorHAnsi" w:hAnsiTheme="majorHAnsi"/>
          <w:sz w:val="20"/>
          <w:szCs w:val="22"/>
        </w:rPr>
      </w:pPr>
      <w:r w:rsidRPr="00253D24">
        <w:rPr>
          <w:rFonts w:asciiTheme="majorHAnsi" w:hAnsiTheme="majorHAnsi"/>
          <w:sz w:val="20"/>
          <w:szCs w:val="22"/>
        </w:rPr>
        <w:t>3.</w:t>
      </w:r>
      <w:r w:rsidRPr="00253D24">
        <w:rPr>
          <w:rFonts w:asciiTheme="majorHAnsi" w:hAnsiTheme="majorHAnsi"/>
          <w:sz w:val="20"/>
          <w:szCs w:val="22"/>
        </w:rPr>
        <w:tab/>
        <w:t>Disponer las medidas administrativas, disciplinarias o penales correspondientes frente a las acciones u omisiones de los funcionarios estatales que contribuyeron a la denegación de justicia e impunidad en la que se encuentran los hechos del caso, que incumplieron sus deberes de respuesta frente a la situación denunciada o que hubiesen participado en medidas para obstaculizar los procesos destinados a identificar y sancionar a los responsables.</w:t>
      </w:r>
    </w:p>
    <w:p w:rsidR="00830065" w:rsidRPr="00253D24" w:rsidRDefault="00830065" w:rsidP="00830065">
      <w:pPr>
        <w:ind w:left="1440" w:right="720" w:hanging="731"/>
        <w:jc w:val="both"/>
        <w:rPr>
          <w:rFonts w:asciiTheme="majorHAnsi" w:hAnsiTheme="majorHAnsi"/>
          <w:sz w:val="20"/>
          <w:szCs w:val="20"/>
          <w:lang w:val="es-CR"/>
        </w:rPr>
      </w:pPr>
    </w:p>
    <w:p w:rsidR="00830065" w:rsidRPr="00253D24" w:rsidRDefault="00830065" w:rsidP="00830065">
      <w:pPr>
        <w:ind w:left="1440" w:right="720" w:hanging="731"/>
        <w:jc w:val="both"/>
        <w:rPr>
          <w:rFonts w:asciiTheme="majorHAnsi" w:hAnsiTheme="majorHAnsi"/>
          <w:sz w:val="20"/>
          <w:szCs w:val="20"/>
          <w:lang w:val="es-CR"/>
        </w:rPr>
      </w:pPr>
      <w:r w:rsidRPr="00253D24">
        <w:rPr>
          <w:rFonts w:asciiTheme="majorHAnsi" w:hAnsiTheme="majorHAnsi"/>
          <w:sz w:val="20"/>
          <w:szCs w:val="20"/>
          <w:lang w:val="es-CR"/>
        </w:rPr>
        <w:t>4.</w:t>
      </w:r>
      <w:r w:rsidRPr="00253D24">
        <w:rPr>
          <w:rFonts w:asciiTheme="majorHAnsi" w:hAnsiTheme="majorHAnsi"/>
          <w:sz w:val="20"/>
          <w:szCs w:val="20"/>
          <w:lang w:val="es-CR"/>
        </w:rPr>
        <w:tab/>
      </w:r>
      <w:r w:rsidRPr="00253D24">
        <w:rPr>
          <w:rFonts w:asciiTheme="majorHAnsi" w:hAnsiTheme="majorHAnsi" w:cs="BookAntiqua"/>
          <w:sz w:val="20"/>
          <w:szCs w:val="22"/>
          <w:lang w:val="es-CO"/>
        </w:rPr>
        <w:t xml:space="preserve">Disponer medidas de no repetición que incluyan el fortalecimiento de los mecanismos de respuesta inmediata de búsqueda frente a la denuncia de </w:t>
      </w:r>
      <w:r w:rsidRPr="00253D24">
        <w:rPr>
          <w:rFonts w:asciiTheme="majorHAnsi" w:hAnsiTheme="majorHAnsi" w:cs="BookAntiqua"/>
          <w:sz w:val="20"/>
          <w:szCs w:val="20"/>
          <w:lang w:val="es-CO"/>
        </w:rPr>
        <w:t>desaparición de una persona.</w:t>
      </w:r>
      <w:r w:rsidRPr="00253D24">
        <w:rPr>
          <w:rFonts w:asciiTheme="majorHAnsi" w:hAnsiTheme="majorHAnsi"/>
          <w:sz w:val="20"/>
          <w:szCs w:val="20"/>
          <w:lang w:val="es-CR"/>
        </w:rPr>
        <w:t xml:space="preserve"> </w:t>
      </w:r>
    </w:p>
    <w:p w:rsidR="00830065" w:rsidRPr="00253D24" w:rsidRDefault="00830065" w:rsidP="0083006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noProof/>
          <w:spacing w:val="-2"/>
          <w:sz w:val="20"/>
          <w:szCs w:val="20"/>
          <w:lang w:val="es-CR"/>
        </w:rPr>
      </w:pPr>
    </w:p>
    <w:p w:rsidR="00830065" w:rsidRPr="00253D24" w:rsidRDefault="00830065" w:rsidP="005335D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lang w:val="es-ES"/>
        </w:rPr>
      </w:pPr>
      <w:r w:rsidRPr="00253D24">
        <w:rPr>
          <w:sz w:val="20"/>
          <w:szCs w:val="20"/>
          <w:lang w:val="es-AR"/>
        </w:rPr>
        <w:t xml:space="preserve">Dicho informe fue notificado a las partes el 22 de junio de 2018 y, con base en el artículo 51 de la Convención Americana, la CIDH les otorgó un plazo de </w:t>
      </w:r>
      <w:r w:rsidR="005335DA" w:rsidRPr="00253D24">
        <w:rPr>
          <w:sz w:val="20"/>
          <w:szCs w:val="20"/>
          <w:lang w:val="es-AR"/>
        </w:rPr>
        <w:t>un mes</w:t>
      </w:r>
      <w:r w:rsidRPr="00253D24">
        <w:rPr>
          <w:sz w:val="20"/>
          <w:szCs w:val="20"/>
          <w:lang w:val="es-AR"/>
        </w:rPr>
        <w:t xml:space="preserve"> para presentar información acerca del cumplimiento de las recomendaciones finales contenidas en el mismo. </w:t>
      </w:r>
      <w:r w:rsidR="005335DA" w:rsidRPr="00253D24">
        <w:rPr>
          <w:sz w:val="20"/>
          <w:szCs w:val="20"/>
          <w:lang w:val="es-AR"/>
        </w:rPr>
        <w:t xml:space="preserve">La CIDH toma nota de que tanto el Estado como la parte peticionaria presentaron información sobre el estado de cumplimiento de las recomendaciones. </w:t>
      </w:r>
      <w:r w:rsidRPr="00253D24">
        <w:rPr>
          <w:rFonts w:cs="Verdana"/>
          <w:sz w:val="20"/>
          <w:szCs w:val="20"/>
          <w:lang w:val="es-ES" w:bidi="en-US"/>
        </w:rPr>
        <w:t xml:space="preserve">En la sección que se incluye a continuación, la Comisión </w:t>
      </w:r>
      <w:r w:rsidR="005335DA" w:rsidRPr="00253D24">
        <w:rPr>
          <w:rFonts w:cs="Verdana"/>
          <w:sz w:val="20"/>
          <w:szCs w:val="20"/>
          <w:lang w:val="es-ES" w:bidi="en-US"/>
        </w:rPr>
        <w:t>analizará la información presentada por las partes</w:t>
      </w:r>
      <w:r w:rsidRPr="00253D24">
        <w:rPr>
          <w:rFonts w:cs="Verdana"/>
          <w:sz w:val="20"/>
          <w:szCs w:val="20"/>
          <w:lang w:val="es-ES" w:bidi="en-US"/>
        </w:rPr>
        <w:t>.</w:t>
      </w:r>
    </w:p>
    <w:p w:rsidR="00830065" w:rsidRPr="00253D24" w:rsidRDefault="00830065" w:rsidP="00137748">
      <w:pPr>
        <w:rPr>
          <w:rFonts w:ascii="Cambria" w:hAnsi="Cambria"/>
          <w:sz w:val="20"/>
          <w:szCs w:val="20"/>
          <w:lang w:val="es-ES"/>
        </w:rPr>
      </w:pPr>
    </w:p>
    <w:p w:rsidR="00830065" w:rsidRPr="00253D24" w:rsidRDefault="00830065" w:rsidP="00137748">
      <w:pPr>
        <w:rPr>
          <w:rFonts w:ascii="Cambria" w:hAnsi="Cambria"/>
          <w:sz w:val="20"/>
          <w:szCs w:val="20"/>
          <w:lang w:val="es-ES"/>
        </w:rPr>
      </w:pPr>
    </w:p>
    <w:p w:rsidR="00137748" w:rsidRPr="00253D24" w:rsidRDefault="00137748" w:rsidP="00137748">
      <w:pPr>
        <w:pStyle w:val="Heading1"/>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0"/>
        <w:ind w:left="0" w:firstLine="720"/>
        <w:jc w:val="both"/>
        <w:rPr>
          <w:rFonts w:cs="Arial"/>
          <w:color w:val="auto"/>
          <w:sz w:val="20"/>
          <w:szCs w:val="20"/>
          <w:lang w:val="es-ES"/>
        </w:rPr>
      </w:pPr>
      <w:bookmarkStart w:id="78" w:name="_Toc529794725"/>
      <w:r w:rsidRPr="00253D24">
        <w:rPr>
          <w:rFonts w:cs="Arial"/>
          <w:color w:val="auto"/>
          <w:sz w:val="20"/>
          <w:szCs w:val="20"/>
          <w:lang w:val="es-ES"/>
        </w:rPr>
        <w:lastRenderedPageBreak/>
        <w:t>ANÁLISIS DEL CUMPLIMIENTO DE RECOMENDACIONES</w:t>
      </w:r>
      <w:bookmarkEnd w:id="78"/>
    </w:p>
    <w:p w:rsidR="00B97A98" w:rsidRPr="00253D24" w:rsidRDefault="00B97A98" w:rsidP="00B97A9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ES"/>
        </w:rPr>
      </w:pPr>
    </w:p>
    <w:p w:rsidR="007E0FEE" w:rsidRPr="00253D24" w:rsidRDefault="004114F8" w:rsidP="004114F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lang w:val="es-ES"/>
        </w:rPr>
      </w:pPr>
      <w:r w:rsidRPr="00253D24">
        <w:rPr>
          <w:b/>
          <w:sz w:val="20"/>
          <w:szCs w:val="20"/>
          <w:lang w:val="es-ES"/>
        </w:rPr>
        <w:t>En relación con la primera recomendación</w:t>
      </w:r>
      <w:r w:rsidRPr="00253D24">
        <w:rPr>
          <w:sz w:val="20"/>
          <w:szCs w:val="20"/>
          <w:lang w:val="es-ES"/>
        </w:rPr>
        <w:t>, el Estado indicó que</w:t>
      </w:r>
      <w:r w:rsidR="007E0FEE" w:rsidRPr="00253D24">
        <w:rPr>
          <w:sz w:val="20"/>
          <w:szCs w:val="20"/>
          <w:lang w:val="es-ES"/>
        </w:rPr>
        <w:t xml:space="preserve"> en septiembre de 2018 la Agencia Nacional de Defensa Jurídica emitió una resolución en donde ordenó el pago a los familiares de la víctima.</w:t>
      </w:r>
      <w:r w:rsidR="00BC572B" w:rsidRPr="00253D24">
        <w:rPr>
          <w:sz w:val="20"/>
          <w:szCs w:val="20"/>
          <w:lang w:val="es-ES"/>
        </w:rPr>
        <w:t xml:space="preserve"> La parte peticionaria sostuvo que una de estas personas no ha podido recibir dicho dinero debido a que, por la falta de recursos económicos, no se han realizado los trámites de sucesión correspondientes. La Comisión valora las medidas adoptadas por el Estado y, tomando en cuenta que uno de los familiares de la víctima no ha recibido la indemnización correspondiente, considera que esta recomendación se encuentra parcialmente cumplida.</w:t>
      </w:r>
    </w:p>
    <w:p w:rsidR="00BA4843" w:rsidRPr="00253D24" w:rsidRDefault="00BA4843" w:rsidP="00BA4843">
      <w:pPr>
        <w:pStyle w:val="ListParagraph"/>
        <w:rPr>
          <w:sz w:val="20"/>
          <w:szCs w:val="20"/>
          <w:lang w:val="es-ES"/>
        </w:rPr>
      </w:pPr>
    </w:p>
    <w:p w:rsidR="0094601F" w:rsidRPr="00253D24" w:rsidRDefault="00BA4843" w:rsidP="0094601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lang w:val="es-ES"/>
        </w:rPr>
      </w:pPr>
      <w:r w:rsidRPr="00253D24">
        <w:rPr>
          <w:b/>
          <w:sz w:val="20"/>
          <w:szCs w:val="20"/>
          <w:lang w:val="es-ES"/>
        </w:rPr>
        <w:t>Respecto de la segunda recomendación</w:t>
      </w:r>
      <w:r w:rsidRPr="00253D24">
        <w:rPr>
          <w:sz w:val="20"/>
          <w:szCs w:val="20"/>
          <w:lang w:val="es-ES"/>
        </w:rPr>
        <w:t>, el Estado</w:t>
      </w:r>
      <w:r w:rsidR="00A16EF6" w:rsidRPr="00253D24">
        <w:rPr>
          <w:sz w:val="20"/>
          <w:szCs w:val="20"/>
          <w:lang w:val="es-ES"/>
        </w:rPr>
        <w:t xml:space="preserve"> indicó que la investigación </w:t>
      </w:r>
      <w:r w:rsidR="008C61E8" w:rsidRPr="00253D24">
        <w:rPr>
          <w:sz w:val="20"/>
          <w:szCs w:val="20"/>
          <w:lang w:val="es-ES"/>
        </w:rPr>
        <w:t>continúa abierta y que la</w:t>
      </w:r>
      <w:r w:rsidR="00A16EF6" w:rsidRPr="00253D24">
        <w:rPr>
          <w:sz w:val="20"/>
          <w:szCs w:val="20"/>
          <w:lang w:val="es-ES"/>
        </w:rPr>
        <w:t xml:space="preserve"> fiscalía ha adoptado diversas diligencias a efectos de esclarecer los hechos del caso y sancionar a las personas responsables. </w:t>
      </w:r>
      <w:r w:rsidR="00B97A98" w:rsidRPr="00253D24">
        <w:rPr>
          <w:sz w:val="20"/>
          <w:szCs w:val="20"/>
          <w:lang w:val="es-ES"/>
        </w:rPr>
        <w:t>Agregó que los hechos del caso fueron declarados como de lesa humanidad y crimen de guerra por lo que no puede proceder la prescripción.</w:t>
      </w:r>
    </w:p>
    <w:p w:rsidR="0094601F" w:rsidRPr="00253D24" w:rsidRDefault="0094601F" w:rsidP="0094601F">
      <w:pPr>
        <w:pStyle w:val="ListParagraph"/>
        <w:rPr>
          <w:sz w:val="20"/>
          <w:szCs w:val="20"/>
          <w:lang w:val="es-ES"/>
        </w:rPr>
      </w:pPr>
    </w:p>
    <w:p w:rsidR="00A16EF6" w:rsidRPr="00253D24" w:rsidRDefault="00A16EF6" w:rsidP="00B97A9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lang w:val="es-ES"/>
        </w:rPr>
      </w:pPr>
      <w:r w:rsidRPr="00253D24">
        <w:rPr>
          <w:sz w:val="20"/>
          <w:szCs w:val="20"/>
          <w:lang w:val="es-ES"/>
        </w:rPr>
        <w:t xml:space="preserve">Por su parte, la parte peticionaria expresó su preocupación debido a </w:t>
      </w:r>
      <w:r w:rsidR="008C61E8" w:rsidRPr="00253D24">
        <w:rPr>
          <w:sz w:val="20"/>
          <w:szCs w:val="20"/>
          <w:lang w:val="es-ES"/>
        </w:rPr>
        <w:t xml:space="preserve">la falta de información reciente por parte del Estado. Agregó </w:t>
      </w:r>
      <w:r w:rsidRPr="00253D24">
        <w:rPr>
          <w:sz w:val="20"/>
          <w:szCs w:val="20"/>
          <w:lang w:val="es-ES"/>
        </w:rPr>
        <w:t xml:space="preserve">que luego de emitido el informe de fondo No. 20/15 la investigación </w:t>
      </w:r>
      <w:r w:rsidR="0094601F" w:rsidRPr="00253D24">
        <w:rPr>
          <w:sz w:val="20"/>
          <w:szCs w:val="20"/>
          <w:lang w:val="es-ES"/>
        </w:rPr>
        <w:t xml:space="preserve">del caso fue trasladada de la Dirección Nacional de Análisis y Contextos a la Dirección de Fiscalías Especializadas en Derechos Humanos y Derecho Internacional Humanitario. Sostuvo que se solicitó que la investigación sea conocida por la Dirección Nacional de Análisis y Contextos a efectos de que </w:t>
      </w:r>
      <w:r w:rsidR="0094601F" w:rsidRPr="00253D24">
        <w:rPr>
          <w:rFonts w:asciiTheme="majorHAnsi" w:hAnsiTheme="majorHAnsi"/>
          <w:sz w:val="20"/>
          <w:szCs w:val="20"/>
          <w:bdr w:val="none" w:sz="0" w:space="0" w:color="auto"/>
          <w:lang w:val="es-ES"/>
        </w:rPr>
        <w:t>“se pudiera procesar el crimen conjuntamente con otros casos de víctimas militantes o simpatizantes a la Unión Patriótica”. Ello a efectos de “superar las dificultades propias del paso del tiempo y del poco material probatorio”. Agregó que la investigación no ha logrado esclarecer los hechos ni sanciona</w:t>
      </w:r>
      <w:r w:rsidR="008E6864" w:rsidRPr="00253D24">
        <w:rPr>
          <w:rFonts w:asciiTheme="majorHAnsi" w:hAnsiTheme="majorHAnsi"/>
          <w:sz w:val="20"/>
          <w:szCs w:val="20"/>
          <w:bdr w:val="none" w:sz="0" w:space="0" w:color="auto"/>
          <w:lang w:val="es-ES"/>
        </w:rPr>
        <w:t>r</w:t>
      </w:r>
      <w:r w:rsidR="0094601F" w:rsidRPr="00253D24">
        <w:rPr>
          <w:rFonts w:asciiTheme="majorHAnsi" w:hAnsiTheme="majorHAnsi"/>
          <w:sz w:val="20"/>
          <w:szCs w:val="20"/>
          <w:bdr w:val="none" w:sz="0" w:space="0" w:color="auto"/>
          <w:lang w:val="es-ES"/>
        </w:rPr>
        <w:t xml:space="preserve"> a las personas responsables.</w:t>
      </w:r>
      <w:r w:rsidR="00B97A98" w:rsidRPr="00253D24">
        <w:rPr>
          <w:rFonts w:asciiTheme="majorHAnsi" w:hAnsiTheme="majorHAnsi"/>
          <w:sz w:val="20"/>
          <w:szCs w:val="20"/>
          <w:bdr w:val="none" w:sz="0" w:space="0" w:color="auto"/>
          <w:lang w:val="es-ES"/>
        </w:rPr>
        <w:t xml:space="preserve"> </w:t>
      </w:r>
      <w:r w:rsidRPr="00253D24">
        <w:rPr>
          <w:sz w:val="20"/>
          <w:szCs w:val="20"/>
          <w:lang w:val="es-ES"/>
        </w:rPr>
        <w:t xml:space="preserve">Debido a </w:t>
      </w:r>
      <w:r w:rsidR="00B97A98" w:rsidRPr="00253D24">
        <w:rPr>
          <w:sz w:val="20"/>
          <w:szCs w:val="20"/>
          <w:lang w:val="es-ES"/>
        </w:rPr>
        <w:t>la falta de avances</w:t>
      </w:r>
      <w:r w:rsidR="001A250A" w:rsidRPr="00253D24">
        <w:rPr>
          <w:sz w:val="20"/>
          <w:szCs w:val="20"/>
          <w:lang w:val="es-ES"/>
        </w:rPr>
        <w:t xml:space="preserve"> sustantivos</w:t>
      </w:r>
      <w:r w:rsidR="00B97A98" w:rsidRPr="00253D24">
        <w:rPr>
          <w:sz w:val="20"/>
          <w:szCs w:val="20"/>
          <w:lang w:val="es-ES"/>
        </w:rPr>
        <w:t xml:space="preserve"> en la investigación</w:t>
      </w:r>
      <w:r w:rsidRPr="00253D24">
        <w:rPr>
          <w:sz w:val="20"/>
          <w:szCs w:val="20"/>
          <w:lang w:val="es-ES"/>
        </w:rPr>
        <w:t>, la Comisión considera que esta recomendación se encuentra pendiente de cumplimiento.</w:t>
      </w:r>
    </w:p>
    <w:p w:rsidR="00A16EF6" w:rsidRPr="00253D24" w:rsidRDefault="00A16EF6" w:rsidP="00A16EF6">
      <w:pPr>
        <w:pStyle w:val="ListParagraph"/>
        <w:rPr>
          <w:sz w:val="20"/>
          <w:szCs w:val="20"/>
          <w:lang w:val="es-ES"/>
        </w:rPr>
      </w:pPr>
    </w:p>
    <w:p w:rsidR="00B97A98" w:rsidRPr="00253D24" w:rsidRDefault="00B97A98" w:rsidP="00B97A9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lang w:val="es-ES"/>
        </w:rPr>
      </w:pPr>
      <w:r w:rsidRPr="00253D24">
        <w:rPr>
          <w:b/>
          <w:sz w:val="20"/>
          <w:szCs w:val="20"/>
          <w:lang w:val="es-ES"/>
        </w:rPr>
        <w:t>En relación con la tercera recomendación</w:t>
      </w:r>
      <w:r w:rsidRPr="00253D24">
        <w:rPr>
          <w:sz w:val="20"/>
          <w:szCs w:val="20"/>
          <w:lang w:val="es-ES"/>
        </w:rPr>
        <w:t>, el Estado in</w:t>
      </w:r>
      <w:r w:rsidR="00EB5CDE" w:rsidRPr="00253D24">
        <w:rPr>
          <w:sz w:val="20"/>
          <w:szCs w:val="20"/>
          <w:lang w:val="es-ES"/>
        </w:rPr>
        <w:t xml:space="preserve">formó que se remitió al Consejo Superior de la Judicatura el informe de fondo No. 20/15 a efectos de que determine si “se debían adelantar medidas administrativas frente a algún funcionario de la rama judicial”. </w:t>
      </w:r>
      <w:r w:rsidR="008C61E8" w:rsidRPr="00253D24">
        <w:rPr>
          <w:sz w:val="20"/>
          <w:szCs w:val="20"/>
          <w:lang w:val="es-ES"/>
        </w:rPr>
        <w:t xml:space="preserve">La parte peticionaria sostuvo que no se han identificado medidas adelantadas por el Estado para iniciar una investigación disciplinaria o administrativa. </w:t>
      </w:r>
      <w:r w:rsidR="00EB5CDE" w:rsidRPr="00253D24">
        <w:rPr>
          <w:sz w:val="20"/>
          <w:szCs w:val="20"/>
          <w:lang w:val="es-ES"/>
        </w:rPr>
        <w:t>La CIDH toma nota de que el Estado no presentó información detallada y actualizada sobre si efectivamente se abrieron investigaciones al respecto por lo que considera que este punto se encuentra pendiente de</w:t>
      </w:r>
      <w:r w:rsidR="00ED6CF6" w:rsidRPr="00253D24">
        <w:rPr>
          <w:sz w:val="20"/>
          <w:szCs w:val="20"/>
          <w:lang w:val="es-ES"/>
        </w:rPr>
        <w:t xml:space="preserve"> cumplimiento</w:t>
      </w:r>
      <w:r w:rsidR="00EB5CDE" w:rsidRPr="00253D24">
        <w:rPr>
          <w:sz w:val="20"/>
          <w:szCs w:val="20"/>
          <w:lang w:val="es-ES"/>
        </w:rPr>
        <w:t>.</w:t>
      </w:r>
    </w:p>
    <w:p w:rsidR="00EB5CDE" w:rsidRPr="00253D24" w:rsidRDefault="00EB5CDE" w:rsidP="00EB5CDE">
      <w:pPr>
        <w:pStyle w:val="ListParagraph"/>
        <w:rPr>
          <w:sz w:val="20"/>
          <w:szCs w:val="20"/>
          <w:lang w:val="es-ES"/>
        </w:rPr>
      </w:pPr>
    </w:p>
    <w:p w:rsidR="00EB5CDE" w:rsidRPr="00253D24" w:rsidRDefault="00EB5CDE" w:rsidP="00EB5CD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lang w:val="es-ES"/>
        </w:rPr>
      </w:pPr>
      <w:r w:rsidRPr="00253D24">
        <w:rPr>
          <w:b/>
          <w:sz w:val="20"/>
          <w:szCs w:val="20"/>
          <w:lang w:val="es-ES"/>
        </w:rPr>
        <w:t>Respecto de la cuarta recomendación</w:t>
      </w:r>
      <w:r w:rsidRPr="00253D24">
        <w:rPr>
          <w:sz w:val="20"/>
          <w:szCs w:val="20"/>
          <w:lang w:val="es-ES"/>
        </w:rPr>
        <w:t xml:space="preserve">, el Estado </w:t>
      </w:r>
      <w:r w:rsidRPr="00253D24">
        <w:rPr>
          <w:sz w:val="20"/>
          <w:szCs w:val="20"/>
          <w:lang w:val="es-CO"/>
        </w:rPr>
        <w:t>informó sobre la adopción de la Ley 589 de 2000, la cual tipificó los delitos de genocidio, desaparición forzada, desplazamiento forzado y tortur</w:t>
      </w:r>
      <w:r w:rsidR="00227124" w:rsidRPr="00253D24">
        <w:rPr>
          <w:sz w:val="20"/>
          <w:szCs w:val="20"/>
          <w:lang w:val="es-CO"/>
        </w:rPr>
        <w:t xml:space="preserve">a. Indicó que dicha norma creó los siguientes mecanismos: </w:t>
      </w:r>
      <w:r w:rsidRPr="00253D24">
        <w:rPr>
          <w:sz w:val="20"/>
          <w:szCs w:val="20"/>
          <w:lang w:val="es-CO"/>
        </w:rPr>
        <w:t>i) comisión de búsqueda de personas desaparecidas; ii) registro nacional de desaparecidos; i</w:t>
      </w:r>
      <w:r w:rsidR="00227124" w:rsidRPr="00253D24">
        <w:rPr>
          <w:sz w:val="20"/>
          <w:szCs w:val="20"/>
          <w:lang w:val="es-CO"/>
        </w:rPr>
        <w:t>ii</w:t>
      </w:r>
      <w:r w:rsidRPr="00253D24">
        <w:rPr>
          <w:sz w:val="20"/>
          <w:szCs w:val="20"/>
          <w:lang w:val="es-CO"/>
        </w:rPr>
        <w:t xml:space="preserve">) mecanismo de búsqueda urgente; </w:t>
      </w:r>
      <w:r w:rsidR="00227124" w:rsidRPr="00253D24">
        <w:rPr>
          <w:sz w:val="20"/>
          <w:szCs w:val="20"/>
          <w:lang w:val="es-CO"/>
        </w:rPr>
        <w:t>y i</w:t>
      </w:r>
      <w:r w:rsidRPr="00253D24">
        <w:rPr>
          <w:sz w:val="20"/>
          <w:szCs w:val="20"/>
          <w:lang w:val="es-CO"/>
        </w:rPr>
        <w:t xml:space="preserve">v) administración de bienes de los desaparecidos. </w:t>
      </w:r>
      <w:r w:rsidR="00227124" w:rsidRPr="00253D24">
        <w:rPr>
          <w:sz w:val="20"/>
          <w:szCs w:val="20"/>
          <w:lang w:val="es-CO"/>
        </w:rPr>
        <w:t>Adicionalmente, Colombia</w:t>
      </w:r>
      <w:r w:rsidRPr="00253D24">
        <w:rPr>
          <w:sz w:val="20"/>
          <w:szCs w:val="20"/>
          <w:lang w:val="es-CO"/>
        </w:rPr>
        <w:t xml:space="preserve"> informó sobre</w:t>
      </w:r>
      <w:r w:rsidR="00227124" w:rsidRPr="00253D24">
        <w:rPr>
          <w:sz w:val="20"/>
          <w:szCs w:val="20"/>
          <w:lang w:val="es-CO"/>
        </w:rPr>
        <w:t xml:space="preserve"> los siguientes</w:t>
      </w:r>
      <w:r w:rsidR="009227E6" w:rsidRPr="00253D24">
        <w:rPr>
          <w:sz w:val="20"/>
          <w:szCs w:val="20"/>
          <w:lang w:val="es-CO"/>
        </w:rPr>
        <w:t xml:space="preserve"> puntos</w:t>
      </w:r>
      <w:r w:rsidRPr="00253D24">
        <w:rPr>
          <w:sz w:val="20"/>
          <w:szCs w:val="20"/>
          <w:lang w:val="es-CO"/>
        </w:rPr>
        <w:t>: i) plan nacional de búsqueda; ii) mecanismos de protección de los cadáveres no identificados inhumados en cementerios; iii) banco de perfiles genéticos de personas desaparecidas; iv) espacios de conmemoración; v) estrategia interinstitucional para recuperación de cuerpos en cementerios; y vi) asistencia a familiares</w:t>
      </w:r>
      <w:r w:rsidR="00860E32" w:rsidRPr="00253D24">
        <w:rPr>
          <w:sz w:val="20"/>
          <w:szCs w:val="20"/>
          <w:lang w:val="es-CO"/>
        </w:rPr>
        <w:t>.</w:t>
      </w:r>
    </w:p>
    <w:p w:rsidR="00860E32" w:rsidRPr="00253D24" w:rsidRDefault="00860E32" w:rsidP="00860E32">
      <w:pPr>
        <w:pStyle w:val="ListParagraph"/>
        <w:rPr>
          <w:sz w:val="20"/>
          <w:szCs w:val="20"/>
          <w:lang w:val="es-ES"/>
        </w:rPr>
      </w:pPr>
    </w:p>
    <w:p w:rsidR="00A64D9E" w:rsidRPr="00253D24" w:rsidRDefault="00860E32" w:rsidP="00A64D9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b/>
          <w:spacing w:val="-3"/>
          <w:sz w:val="20"/>
          <w:szCs w:val="20"/>
          <w:lang w:val="es-ES"/>
        </w:rPr>
      </w:pPr>
      <w:r w:rsidRPr="00253D24">
        <w:rPr>
          <w:sz w:val="20"/>
          <w:szCs w:val="20"/>
          <w:lang w:val="es-ES"/>
        </w:rPr>
        <w:t>La Comisión toma nota de</w:t>
      </w:r>
      <w:r w:rsidR="009227E6" w:rsidRPr="00253D24">
        <w:rPr>
          <w:sz w:val="20"/>
          <w:szCs w:val="20"/>
          <w:lang w:val="es-ES"/>
        </w:rPr>
        <w:t xml:space="preserve"> la información aportada por el Estado. Asimismo, la CIDH observa que en el marco del Sistema de Verdad, Justicia, Reparación y no Repetición como consecuencia del Acuerdo de Paz con las Fuerzas Armadas Revolucionarias de Colombia, se dispuso la creación de la Unidad de Búsqueda de Personas Desaparecidas. Tomando en cuenta la importancia de esta Unidad en materia de reparación y no repetición, la Comisión considera pertinente obtener mayor información por parte del Estado sobre la efectiva implementación de la misma, en el marco del seguimiento de la presente recomendación. </w:t>
      </w:r>
    </w:p>
    <w:p w:rsidR="00EB5CDE" w:rsidRPr="00253D24" w:rsidRDefault="00EB5CDE" w:rsidP="00137748">
      <w:pPr>
        <w:rPr>
          <w:rFonts w:ascii="Cambria" w:hAnsi="Cambria"/>
          <w:sz w:val="20"/>
          <w:szCs w:val="20"/>
          <w:lang w:val="es-ES"/>
        </w:rPr>
      </w:pPr>
    </w:p>
    <w:p w:rsidR="00137748" w:rsidRPr="00253D24" w:rsidRDefault="00137748" w:rsidP="00137748">
      <w:pPr>
        <w:pStyle w:val="Heading1"/>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0"/>
        <w:ind w:left="0" w:firstLine="720"/>
        <w:jc w:val="both"/>
        <w:rPr>
          <w:rFonts w:cs="Arial"/>
          <w:color w:val="auto"/>
          <w:sz w:val="20"/>
          <w:szCs w:val="20"/>
          <w:lang w:val="es-ES"/>
        </w:rPr>
      </w:pPr>
      <w:bookmarkStart w:id="79" w:name="_Toc529794726"/>
      <w:r w:rsidRPr="00253D24">
        <w:rPr>
          <w:rFonts w:cs="Arial"/>
          <w:color w:val="auto"/>
          <w:sz w:val="20"/>
          <w:szCs w:val="20"/>
          <w:lang w:val="es-ES"/>
        </w:rPr>
        <w:t>CONCLUSIONES FINALES Y RECOMENDACIONES</w:t>
      </w:r>
      <w:bookmarkEnd w:id="79"/>
    </w:p>
    <w:p w:rsidR="00137748" w:rsidRPr="00253D24" w:rsidRDefault="00137748" w:rsidP="00137748">
      <w:pPr>
        <w:rPr>
          <w:rFonts w:ascii="Cambria" w:hAnsi="Cambria"/>
          <w:sz w:val="20"/>
          <w:szCs w:val="20"/>
          <w:lang w:val="es-ES"/>
        </w:rPr>
      </w:pPr>
    </w:p>
    <w:p w:rsidR="0028547D" w:rsidRPr="00253D24" w:rsidRDefault="0028547D" w:rsidP="0028547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lang w:val="es-ES"/>
        </w:rPr>
      </w:pPr>
      <w:r w:rsidRPr="00253D24">
        <w:rPr>
          <w:sz w:val="20"/>
          <w:szCs w:val="20"/>
          <w:lang w:val="es-ES"/>
        </w:rPr>
        <w:t xml:space="preserve">De acuerdo a las consideraciones de hecho y de derecho expuestas a lo largo del presente informe, la Comisión concluye que la República </w:t>
      </w:r>
      <w:r w:rsidR="00BA4843" w:rsidRPr="00253D24">
        <w:rPr>
          <w:sz w:val="20"/>
          <w:szCs w:val="20"/>
          <w:lang w:val="es-ES"/>
        </w:rPr>
        <w:t>de Colombia</w:t>
      </w:r>
      <w:r w:rsidRPr="00253D24">
        <w:rPr>
          <w:sz w:val="20"/>
          <w:szCs w:val="20"/>
          <w:lang w:val="es-ES"/>
        </w:rPr>
        <w:t xml:space="preserve"> es responsable por la violación de los siguientes derechos: </w:t>
      </w:r>
    </w:p>
    <w:p w:rsidR="0028547D" w:rsidRPr="00253D24" w:rsidRDefault="0028547D" w:rsidP="00137748">
      <w:pPr>
        <w:rPr>
          <w:rFonts w:ascii="Cambria" w:hAnsi="Cambria"/>
          <w:sz w:val="20"/>
          <w:szCs w:val="20"/>
          <w:lang w:val="es-ES"/>
        </w:rPr>
      </w:pPr>
    </w:p>
    <w:p w:rsidR="0028547D" w:rsidRPr="00253D24" w:rsidRDefault="0028547D" w:rsidP="0028547D">
      <w:pPr>
        <w:numPr>
          <w:ilvl w:val="4"/>
          <w:numId w:val="72"/>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num" w:pos="1440"/>
        </w:tabs>
        <w:suppressAutoHyphens/>
        <w:ind w:left="1440" w:right="630" w:hanging="720"/>
        <w:jc w:val="both"/>
        <w:rPr>
          <w:rFonts w:ascii="Cambria" w:hAnsi="Cambria" w:cs="BookAntiqua"/>
          <w:sz w:val="20"/>
          <w:szCs w:val="20"/>
          <w:lang w:val="es-ES"/>
        </w:rPr>
      </w:pPr>
      <w:r w:rsidRPr="00253D24">
        <w:rPr>
          <w:rFonts w:ascii="Cambria" w:hAnsi="Cambria"/>
          <w:sz w:val="20"/>
          <w:szCs w:val="20"/>
          <w:lang w:val="es-ES"/>
        </w:rPr>
        <w:t xml:space="preserve">Derechos al reconocimiento de la personalidad jurídica, vida, integridad personal, libertad personal, garantías judiciales y protección judicial consagrados en los artículos 3, 4, 5, 7, 8 y 25 de la Convención Americana en relación con el artículo 1.1 del mismo instrumento, en perjuicio de </w:t>
      </w:r>
      <w:r w:rsidRPr="00253D24">
        <w:rPr>
          <w:rFonts w:asciiTheme="majorHAnsi" w:hAnsiTheme="majorHAnsi"/>
          <w:sz w:val="20"/>
          <w:szCs w:val="20"/>
          <w:lang w:val="es-CR"/>
        </w:rPr>
        <w:t>Norberto Javier Restrepo</w:t>
      </w:r>
      <w:r w:rsidRPr="00253D24">
        <w:rPr>
          <w:rFonts w:ascii="Cambria" w:hAnsi="Cambria"/>
          <w:sz w:val="20"/>
          <w:szCs w:val="20"/>
          <w:lang w:val="es-ES"/>
        </w:rPr>
        <w:t>.</w:t>
      </w:r>
    </w:p>
    <w:p w:rsidR="0028547D" w:rsidRPr="00253D24" w:rsidRDefault="0028547D" w:rsidP="0028547D">
      <w:pPr>
        <w:numPr>
          <w:ilvl w:val="4"/>
          <w:numId w:val="72"/>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num" w:pos="1440"/>
        </w:tabs>
        <w:suppressAutoHyphens/>
        <w:ind w:left="1440" w:right="630" w:hanging="720"/>
        <w:jc w:val="both"/>
        <w:rPr>
          <w:rFonts w:ascii="Cambria" w:hAnsi="Cambria" w:cs="BookAntiqua"/>
          <w:sz w:val="20"/>
          <w:szCs w:val="20"/>
          <w:lang w:val="es-ES"/>
        </w:rPr>
      </w:pPr>
      <w:r w:rsidRPr="00253D24">
        <w:rPr>
          <w:rFonts w:ascii="Cambria" w:hAnsi="Cambria"/>
          <w:sz w:val="20"/>
          <w:szCs w:val="20"/>
          <w:lang w:val="es-ES"/>
        </w:rPr>
        <w:t xml:space="preserve">Derechos a la integridad personal, garantías judiciales y protección judicial, consagrados en los artículos 8 y 25 de la Convención Americana en relación con los artículo 1.1 y 2 del mismo instrumento, </w:t>
      </w:r>
      <w:r w:rsidRPr="00253D24">
        <w:rPr>
          <w:rFonts w:ascii="Cambria" w:hAnsi="Cambria"/>
          <w:sz w:val="20"/>
          <w:szCs w:val="20"/>
          <w:lang w:val="es-HN"/>
        </w:rPr>
        <w:t xml:space="preserve">en perjuicio de </w:t>
      </w:r>
      <w:r w:rsidRPr="00253D24">
        <w:rPr>
          <w:rFonts w:asciiTheme="majorHAnsi" w:hAnsiTheme="majorHAnsi"/>
          <w:sz w:val="20"/>
          <w:szCs w:val="20"/>
          <w:lang w:val="es-CR"/>
        </w:rPr>
        <w:t xml:space="preserve">los padres de Norberto Restrepo.  </w:t>
      </w:r>
    </w:p>
    <w:p w:rsidR="0028547D" w:rsidRPr="00253D24" w:rsidRDefault="0028547D" w:rsidP="0028547D">
      <w:pPr>
        <w:numPr>
          <w:ilvl w:val="4"/>
          <w:numId w:val="72"/>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num" w:pos="1440"/>
        </w:tabs>
        <w:suppressAutoHyphens/>
        <w:ind w:left="1440" w:right="630" w:hanging="720"/>
        <w:jc w:val="both"/>
        <w:rPr>
          <w:rFonts w:ascii="Cambria" w:hAnsi="Cambria" w:cs="BookAntiqua"/>
          <w:sz w:val="20"/>
          <w:szCs w:val="20"/>
          <w:lang w:val="es-ES"/>
        </w:rPr>
      </w:pPr>
      <w:r w:rsidRPr="00253D24">
        <w:rPr>
          <w:rFonts w:asciiTheme="majorHAnsi" w:hAnsiTheme="majorHAnsi" w:cs="Arial"/>
          <w:sz w:val="20"/>
          <w:szCs w:val="20"/>
          <w:lang w:val="es-AR"/>
        </w:rPr>
        <w:t>Artículos 1, 6 y 8 de la Convención Interamericana para Prevenir y Sancionar la Tortura y del artículo I b) de la Convención Interamericana sobre Desaparición Forzada de Personas.</w:t>
      </w:r>
    </w:p>
    <w:p w:rsidR="0028547D" w:rsidRPr="00253D24" w:rsidRDefault="0028547D" w:rsidP="00137748">
      <w:pPr>
        <w:rPr>
          <w:lang w:val="es-ES"/>
        </w:rPr>
      </w:pPr>
    </w:p>
    <w:p w:rsidR="0028547D" w:rsidRPr="00253D24" w:rsidRDefault="0028547D" w:rsidP="0028547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cs="BookAntiqua"/>
          <w:sz w:val="20"/>
          <w:szCs w:val="20"/>
          <w:lang w:val="es-ES"/>
        </w:rPr>
      </w:pPr>
      <w:r w:rsidRPr="00253D24">
        <w:rPr>
          <w:rFonts w:cs="BookAntiqua"/>
          <w:sz w:val="20"/>
          <w:szCs w:val="20"/>
          <w:lang w:val="es-ES"/>
        </w:rPr>
        <w:t>En virtud de las anteriores conclusiones,</w:t>
      </w:r>
    </w:p>
    <w:p w:rsidR="0028547D" w:rsidRPr="00253D24" w:rsidRDefault="0028547D" w:rsidP="0028547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630"/>
        <w:jc w:val="both"/>
        <w:rPr>
          <w:rFonts w:ascii="Cambria" w:hAnsi="Cambria" w:cs="BookAntiqua"/>
          <w:sz w:val="20"/>
          <w:szCs w:val="20"/>
          <w:lang w:val="es-ES"/>
        </w:rPr>
      </w:pPr>
    </w:p>
    <w:p w:rsidR="0028547D" w:rsidRPr="00253D24" w:rsidRDefault="0028547D" w:rsidP="0028547D">
      <w:pPr>
        <w:jc w:val="center"/>
        <w:rPr>
          <w:rFonts w:ascii="Cambria" w:hAnsi="Cambria"/>
          <w:b/>
          <w:sz w:val="20"/>
          <w:szCs w:val="20"/>
          <w:lang w:val="es-ES"/>
        </w:rPr>
      </w:pPr>
      <w:r w:rsidRPr="00253D24">
        <w:rPr>
          <w:rFonts w:ascii="Cambria" w:hAnsi="Cambria"/>
          <w:b/>
          <w:sz w:val="20"/>
          <w:szCs w:val="20"/>
          <w:lang w:val="es-ES"/>
        </w:rPr>
        <w:t xml:space="preserve">LA COMISIÓN INTERAMERICANA DE DERECHOS HUMANOS RECOMIENDA AL ESTADO </w:t>
      </w:r>
      <w:r w:rsidR="00A26CDB" w:rsidRPr="00253D24">
        <w:rPr>
          <w:rFonts w:ascii="Cambria" w:hAnsi="Cambria"/>
          <w:b/>
          <w:sz w:val="20"/>
          <w:szCs w:val="20"/>
          <w:lang w:val="es-ES"/>
        </w:rPr>
        <w:t xml:space="preserve">COLOMBIANO </w:t>
      </w:r>
      <w:r w:rsidRPr="00253D24">
        <w:rPr>
          <w:rFonts w:ascii="Cambria" w:hAnsi="Cambria"/>
          <w:b/>
          <w:sz w:val="20"/>
          <w:szCs w:val="20"/>
          <w:lang w:val="es-ES"/>
        </w:rPr>
        <w:t>CONTINUAR DESPLEGANDO LOS ESFUERZOS NECESARIOS PARA LOGRAR UN CUMPLIMIENTO TOTAL DE LA</w:t>
      </w:r>
      <w:r w:rsidR="002267C7" w:rsidRPr="00253D24">
        <w:rPr>
          <w:rFonts w:ascii="Cambria" w:hAnsi="Cambria"/>
          <w:b/>
          <w:sz w:val="20"/>
          <w:szCs w:val="20"/>
          <w:lang w:val="es-ES"/>
        </w:rPr>
        <w:t>S</w:t>
      </w:r>
      <w:r w:rsidRPr="00253D24">
        <w:rPr>
          <w:rFonts w:ascii="Cambria" w:hAnsi="Cambria"/>
          <w:b/>
          <w:sz w:val="20"/>
          <w:szCs w:val="20"/>
          <w:lang w:val="es-ES"/>
        </w:rPr>
        <w:t xml:space="preserve"> SIGUIENTE</w:t>
      </w:r>
      <w:r w:rsidR="002267C7" w:rsidRPr="00253D24">
        <w:rPr>
          <w:rFonts w:ascii="Cambria" w:hAnsi="Cambria"/>
          <w:b/>
          <w:sz w:val="20"/>
          <w:szCs w:val="20"/>
          <w:lang w:val="es-ES"/>
        </w:rPr>
        <w:t>S RECOMENDACIO</w:t>
      </w:r>
      <w:r w:rsidRPr="00253D24">
        <w:rPr>
          <w:rFonts w:ascii="Cambria" w:hAnsi="Cambria"/>
          <w:b/>
          <w:sz w:val="20"/>
          <w:szCs w:val="20"/>
          <w:lang w:val="es-ES"/>
        </w:rPr>
        <w:t>N</w:t>
      </w:r>
      <w:r w:rsidR="002267C7" w:rsidRPr="00253D24">
        <w:rPr>
          <w:rFonts w:ascii="Cambria" w:hAnsi="Cambria"/>
          <w:b/>
          <w:sz w:val="20"/>
          <w:szCs w:val="20"/>
          <w:lang w:val="es-ES"/>
        </w:rPr>
        <w:t>ES</w:t>
      </w:r>
      <w:r w:rsidRPr="00253D24">
        <w:rPr>
          <w:rFonts w:ascii="Cambria" w:hAnsi="Cambria"/>
          <w:b/>
          <w:sz w:val="20"/>
          <w:szCs w:val="20"/>
          <w:lang w:val="es-ES"/>
        </w:rPr>
        <w:t>,</w:t>
      </w:r>
    </w:p>
    <w:p w:rsidR="0028547D" w:rsidRPr="00253D24" w:rsidRDefault="0028547D" w:rsidP="00137748">
      <w:pPr>
        <w:rPr>
          <w:lang w:val="es-ES"/>
        </w:rPr>
      </w:pPr>
    </w:p>
    <w:p w:rsidR="00BA4843" w:rsidRPr="00253D24" w:rsidRDefault="00BA4843" w:rsidP="00BA4843">
      <w:pPr>
        <w:numPr>
          <w:ilvl w:val="0"/>
          <w:numId w:val="74"/>
        </w:numPr>
        <w:tabs>
          <w:tab w:val="left" w:pos="567"/>
        </w:tabs>
        <w:ind w:left="1440" w:right="720" w:hanging="720"/>
        <w:jc w:val="both"/>
        <w:rPr>
          <w:rFonts w:asciiTheme="majorHAnsi" w:hAnsiTheme="majorHAnsi"/>
          <w:sz w:val="20"/>
          <w:szCs w:val="20"/>
          <w:lang w:val="es-CR"/>
        </w:rPr>
      </w:pPr>
      <w:r w:rsidRPr="00253D24">
        <w:rPr>
          <w:rFonts w:asciiTheme="majorHAnsi" w:hAnsiTheme="majorHAnsi"/>
          <w:sz w:val="20"/>
          <w:szCs w:val="20"/>
          <w:lang w:val="es-CR"/>
        </w:rPr>
        <w:t>Reparar integralmente a los familiares de Norberto Javier Restrepo por el daño material e inmaterial sufrido en virtud de las violaciones a la Convención Americana establecidas en el presente informe.</w:t>
      </w:r>
    </w:p>
    <w:p w:rsidR="00BA4843" w:rsidRPr="00253D24" w:rsidRDefault="00BA4843" w:rsidP="00137748">
      <w:pPr>
        <w:rPr>
          <w:lang w:val="es-CR"/>
        </w:rPr>
      </w:pPr>
    </w:p>
    <w:p w:rsidR="00A16EF6" w:rsidRPr="00253D24" w:rsidRDefault="00A16EF6" w:rsidP="00A16EF6">
      <w:pPr>
        <w:pStyle w:val="BodyText3"/>
        <w:spacing w:after="0"/>
        <w:ind w:left="1440" w:right="720" w:hanging="731"/>
        <w:jc w:val="both"/>
        <w:rPr>
          <w:rFonts w:asciiTheme="majorHAnsi" w:hAnsiTheme="majorHAnsi"/>
          <w:sz w:val="20"/>
          <w:szCs w:val="20"/>
        </w:rPr>
      </w:pPr>
      <w:r w:rsidRPr="00253D24">
        <w:rPr>
          <w:rFonts w:asciiTheme="majorHAnsi" w:hAnsiTheme="majorHAnsi"/>
          <w:sz w:val="20"/>
          <w:szCs w:val="20"/>
          <w:lang w:val="es-CR"/>
        </w:rPr>
        <w:t>2.</w:t>
      </w:r>
      <w:r w:rsidRPr="00253D24">
        <w:rPr>
          <w:rFonts w:asciiTheme="majorHAnsi" w:hAnsiTheme="majorHAnsi"/>
          <w:sz w:val="20"/>
          <w:szCs w:val="20"/>
          <w:lang w:val="es-CR"/>
        </w:rPr>
        <w:tab/>
        <w:t>Llevar adelante una investigación imparcial y exhaustiva con el fin de juzgar y sancionar a los responsables materiales e intelectuales de la muerte de Norberto Javier Restrepo y establecer la verdad de lo sucedido.</w:t>
      </w:r>
      <w:r w:rsidRPr="00253D24">
        <w:rPr>
          <w:rFonts w:asciiTheme="majorHAnsi" w:hAnsiTheme="majorHAnsi"/>
          <w:sz w:val="20"/>
        </w:rPr>
        <w:t xml:space="preserve"> </w:t>
      </w:r>
      <w:r w:rsidRPr="00253D24">
        <w:rPr>
          <w:rFonts w:asciiTheme="majorHAnsi" w:hAnsiTheme="majorHAnsi"/>
          <w:sz w:val="20"/>
          <w:szCs w:val="22"/>
        </w:rPr>
        <w:t xml:space="preserve">Estas investigaciones deben </w:t>
      </w:r>
      <w:r w:rsidRPr="00253D24">
        <w:rPr>
          <w:rFonts w:asciiTheme="majorHAnsi" w:hAnsiTheme="majorHAnsi"/>
          <w:sz w:val="20"/>
          <w:szCs w:val="20"/>
        </w:rPr>
        <w:t xml:space="preserve">efectuarse de manera tal que se exploren y agoten las líneas lógicas de investigación derivadas de los diversos indicios tomados en cuenta en el presente informe. </w:t>
      </w:r>
    </w:p>
    <w:p w:rsidR="00EB5CDE" w:rsidRPr="00253D24" w:rsidRDefault="00EB5CDE" w:rsidP="00EB5CDE">
      <w:pPr>
        <w:pStyle w:val="BodyText3"/>
        <w:spacing w:after="0"/>
        <w:ind w:left="1440" w:right="720" w:hanging="731"/>
        <w:jc w:val="both"/>
        <w:rPr>
          <w:rFonts w:asciiTheme="majorHAnsi" w:hAnsiTheme="majorHAnsi"/>
          <w:sz w:val="20"/>
          <w:szCs w:val="20"/>
        </w:rPr>
      </w:pPr>
    </w:p>
    <w:p w:rsidR="00EB5CDE" w:rsidRPr="00253D24" w:rsidRDefault="00EB5CDE" w:rsidP="00EB5CDE">
      <w:pPr>
        <w:pStyle w:val="BodyText3"/>
        <w:spacing w:after="0"/>
        <w:ind w:left="1440" w:right="720" w:hanging="731"/>
        <w:jc w:val="both"/>
        <w:rPr>
          <w:rFonts w:asciiTheme="majorHAnsi" w:hAnsiTheme="majorHAnsi"/>
          <w:sz w:val="20"/>
          <w:szCs w:val="20"/>
        </w:rPr>
      </w:pPr>
      <w:r w:rsidRPr="00253D24">
        <w:rPr>
          <w:rFonts w:asciiTheme="majorHAnsi" w:hAnsiTheme="majorHAnsi"/>
          <w:sz w:val="20"/>
          <w:szCs w:val="20"/>
        </w:rPr>
        <w:t>3.</w:t>
      </w:r>
      <w:r w:rsidRPr="00253D24">
        <w:rPr>
          <w:rFonts w:asciiTheme="majorHAnsi" w:hAnsiTheme="majorHAnsi"/>
          <w:sz w:val="20"/>
          <w:szCs w:val="20"/>
        </w:rPr>
        <w:tab/>
        <w:t>Disponer las medidas administrativas, disciplinarias o penales correspondientes frente a las acciones u omisiones de los funcionarios estatales que contribuyeron a la denegación de justicia e impunidad en la que se encuentran los hechos del caso, que incumplieron sus deberes de respuesta frente a la situación denunciada o que hubiesen participado en medidas para obstaculizar los procesos destinados a identificar y sancionar a los responsables.</w:t>
      </w:r>
    </w:p>
    <w:p w:rsidR="00EB5CDE" w:rsidRPr="00253D24" w:rsidRDefault="00EB5CDE" w:rsidP="00EB5CDE">
      <w:pPr>
        <w:ind w:left="1440" w:right="720" w:hanging="731"/>
        <w:jc w:val="both"/>
        <w:rPr>
          <w:rFonts w:asciiTheme="majorHAnsi" w:hAnsiTheme="majorHAnsi"/>
          <w:sz w:val="20"/>
          <w:szCs w:val="20"/>
          <w:lang w:val="es-CR"/>
        </w:rPr>
      </w:pPr>
    </w:p>
    <w:p w:rsidR="00EB5CDE" w:rsidRPr="00253D24" w:rsidRDefault="00EB5CDE" w:rsidP="00EB5CDE">
      <w:pPr>
        <w:ind w:left="1440" w:right="720" w:hanging="731"/>
        <w:jc w:val="both"/>
        <w:rPr>
          <w:rFonts w:asciiTheme="majorHAnsi" w:hAnsiTheme="majorHAnsi"/>
          <w:sz w:val="20"/>
          <w:szCs w:val="20"/>
          <w:lang w:val="es-CR"/>
        </w:rPr>
      </w:pPr>
      <w:r w:rsidRPr="00253D24">
        <w:rPr>
          <w:rFonts w:asciiTheme="majorHAnsi" w:hAnsiTheme="majorHAnsi"/>
          <w:sz w:val="20"/>
          <w:szCs w:val="20"/>
          <w:lang w:val="es-CR"/>
        </w:rPr>
        <w:t>4.</w:t>
      </w:r>
      <w:r w:rsidRPr="00253D24">
        <w:rPr>
          <w:rFonts w:asciiTheme="majorHAnsi" w:hAnsiTheme="majorHAnsi"/>
          <w:sz w:val="20"/>
          <w:szCs w:val="20"/>
          <w:lang w:val="es-CR"/>
        </w:rPr>
        <w:tab/>
      </w:r>
      <w:r w:rsidRPr="00253D24">
        <w:rPr>
          <w:rFonts w:asciiTheme="majorHAnsi" w:hAnsiTheme="majorHAnsi" w:cs="BookAntiqua"/>
          <w:sz w:val="20"/>
          <w:szCs w:val="20"/>
          <w:lang w:val="es-CO"/>
        </w:rPr>
        <w:t>Disponer medidas de no repetición que incluyan el fortalecimiento de los mecanismos de respuesta inmediata de búsqueda frente a la denuncia de desaparición de una persona.</w:t>
      </w:r>
      <w:r w:rsidRPr="00253D24">
        <w:rPr>
          <w:rFonts w:asciiTheme="majorHAnsi" w:hAnsiTheme="majorHAnsi"/>
          <w:sz w:val="20"/>
          <w:szCs w:val="20"/>
          <w:lang w:val="es-CR"/>
        </w:rPr>
        <w:t xml:space="preserve"> </w:t>
      </w:r>
    </w:p>
    <w:p w:rsidR="0028547D" w:rsidRPr="00253D24" w:rsidRDefault="0028547D" w:rsidP="00227124">
      <w:pPr>
        <w:jc w:val="both"/>
        <w:rPr>
          <w:rFonts w:asciiTheme="majorHAnsi" w:hAnsiTheme="majorHAnsi"/>
          <w:sz w:val="20"/>
          <w:szCs w:val="20"/>
          <w:lang w:val="es-ES"/>
        </w:rPr>
      </w:pPr>
    </w:p>
    <w:p w:rsidR="008C61E8" w:rsidRPr="00253D24" w:rsidRDefault="008C61E8" w:rsidP="008C61E8">
      <w:pPr>
        <w:pStyle w:val="Heading1"/>
        <w:keepLines w:val="0"/>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cs="Arial"/>
          <w:bCs w:val="0"/>
          <w:color w:val="auto"/>
          <w:sz w:val="20"/>
          <w:szCs w:val="20"/>
          <w:lang w:val="es-AR"/>
        </w:rPr>
      </w:pPr>
      <w:bookmarkStart w:id="80" w:name="_Toc489881862"/>
      <w:bookmarkStart w:id="81" w:name="_Toc529794727"/>
      <w:r w:rsidRPr="00253D24">
        <w:rPr>
          <w:rFonts w:cs="Arial"/>
          <w:bCs w:val="0"/>
          <w:color w:val="auto"/>
          <w:sz w:val="20"/>
          <w:szCs w:val="20"/>
          <w:lang w:val="es-AR"/>
        </w:rPr>
        <w:t>PUBLICACIÓN</w:t>
      </w:r>
      <w:bookmarkEnd w:id="80"/>
      <w:bookmarkEnd w:id="81"/>
    </w:p>
    <w:p w:rsidR="008C61E8" w:rsidRPr="00253D24" w:rsidRDefault="008C61E8" w:rsidP="008C61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Verdana"/>
          <w:sz w:val="20"/>
          <w:szCs w:val="20"/>
          <w:lang w:val="es-ES" w:bidi="en-US"/>
        </w:rPr>
      </w:pPr>
    </w:p>
    <w:p w:rsidR="008C61E8" w:rsidRPr="00253D24" w:rsidRDefault="008C61E8" w:rsidP="008C61E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lang w:val="es-ES"/>
        </w:rPr>
      </w:pPr>
      <w:r w:rsidRPr="00253D24">
        <w:rPr>
          <w:sz w:val="20"/>
          <w:szCs w:val="20"/>
          <w:lang w:val="es-ES"/>
        </w:rPr>
        <w:t>Con base en las consideraciones presentadas y de conformidad con el artículo 47.3 de su Reglamento, la CIDH decide publicar el presente informe e incluirlo en su Informe Anual a la Asamblea General de la Organización de los Estados Americanos. La Comisión Interamericana, conforme a las normas de los instrumentos que rigen su mandato, seguirá evaluando las medidas adoptadas por el Estado colombiano respeto a las referidas recomendaciones hasta que determine que las mismas se han cumplido de forma plena.</w:t>
      </w:r>
    </w:p>
    <w:p w:rsidR="00137748" w:rsidRPr="00EB5CDE" w:rsidRDefault="00137748" w:rsidP="00137748">
      <w:pPr>
        <w:rPr>
          <w:rFonts w:asciiTheme="majorHAnsi" w:hAnsiTheme="majorHAnsi"/>
          <w:sz w:val="20"/>
          <w:szCs w:val="20"/>
          <w:lang w:val="es-ES"/>
        </w:rPr>
      </w:pPr>
    </w:p>
    <w:p w:rsidR="003C6B2D" w:rsidRPr="00A37B82" w:rsidRDefault="003C6B2D" w:rsidP="003C6B2D">
      <w:pPr>
        <w:suppressAutoHyphens/>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junio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2019</w:t>
      </w:r>
      <w:r w:rsidRPr="00A37B82">
        <w:rPr>
          <w:rFonts w:asciiTheme="majorHAnsi" w:hAnsiTheme="majorHAnsi" w:cs="Arial"/>
          <w:noProof/>
          <w:spacing w:val="-2"/>
          <w:sz w:val="20"/>
          <w:szCs w:val="20"/>
          <w:lang w:val="es-CL"/>
        </w:rPr>
        <w:t xml:space="preserve">.  (Firmado):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Presidenta; Joel Hernández, Primer Vicepresidente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Antonia Urrejola, Segunda Vicepresidenta; Margarette May Macaulay, Francisco José Eguiguren, y Flávia Piovesan,</w:t>
      </w:r>
      <w:r w:rsidRPr="00A37B82">
        <w:rPr>
          <w:rFonts w:asciiTheme="majorHAnsi" w:hAnsiTheme="majorHAnsi" w:cs="Arial"/>
          <w:noProof/>
          <w:spacing w:val="-2"/>
          <w:sz w:val="20"/>
          <w:szCs w:val="20"/>
          <w:lang w:val="es-CL"/>
        </w:rPr>
        <w:t xml:space="preserve">  Miembros de la Comisión.</w:t>
      </w:r>
    </w:p>
    <w:p w:rsidR="007449EF" w:rsidRPr="00EB5CDE" w:rsidRDefault="007449EF" w:rsidP="00B1793F">
      <w:pPr>
        <w:ind w:firstLine="720"/>
        <w:jc w:val="both"/>
        <w:rPr>
          <w:rFonts w:asciiTheme="majorHAnsi" w:hAnsiTheme="majorHAnsi"/>
          <w:sz w:val="20"/>
          <w:szCs w:val="20"/>
          <w:lang w:val="es-ES"/>
        </w:rPr>
      </w:pPr>
    </w:p>
    <w:p w:rsidR="000A4375" w:rsidRPr="007C6BE8" w:rsidRDefault="000A4375" w:rsidP="00B1793F">
      <w:pPr>
        <w:ind w:firstLine="720"/>
        <w:jc w:val="both"/>
        <w:rPr>
          <w:rFonts w:asciiTheme="majorHAnsi" w:hAnsiTheme="majorHAnsi"/>
          <w:sz w:val="20"/>
          <w:szCs w:val="20"/>
          <w:lang w:val="es-CL"/>
        </w:rPr>
      </w:pPr>
    </w:p>
    <w:sectPr w:rsidR="000A4375" w:rsidRPr="007C6BE8" w:rsidSect="00180E9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211" w:rsidRDefault="00D24211">
      <w:r>
        <w:separator/>
      </w:r>
    </w:p>
  </w:endnote>
  <w:endnote w:type="continuationSeparator" w:id="0">
    <w:p w:rsidR="00D24211" w:rsidRDefault="00D2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Univers">
    <w:altName w:val="Arial"/>
    <w:panose1 w:val="020B060302020203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00000007" w:usb1="00000000" w:usb2="00000000" w:usb3="00000000" w:csb0="00000093"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CaslonPro-Regular">
    <w:panose1 w:val="00000000000000000000"/>
    <w:charset w:val="00"/>
    <w:family w:val="roman"/>
    <w:notTrueType/>
    <w:pitch w:val="default"/>
    <w:sig w:usb0="00000003" w:usb1="00000000" w:usb2="00000000" w:usb3="00000000" w:csb0="00000001" w:csb1="00000000"/>
  </w:font>
  <w:font w:name="ACaslonPro-Italic">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B04" w:rsidRPr="00934A2C" w:rsidRDefault="00512B0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C53B3">
      <w:rPr>
        <w:noProof/>
        <w:sz w:val="16"/>
        <w:szCs w:val="22"/>
      </w:rPr>
      <w:t>2</w:t>
    </w:r>
    <w:r w:rsidRPr="00934A2C">
      <w:rPr>
        <w:noProof/>
        <w:sz w:val="16"/>
        <w:szCs w:val="22"/>
      </w:rPr>
      <w:fldChar w:fldCharType="end"/>
    </w:r>
  </w:p>
  <w:p w:rsidR="00512B04" w:rsidRDefault="00512B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B04" w:rsidRPr="00934A2C" w:rsidRDefault="00512B04">
    <w:pPr>
      <w:pStyle w:val="Footer"/>
      <w:jc w:val="center"/>
      <w:rPr>
        <w:sz w:val="16"/>
        <w:szCs w:val="22"/>
      </w:rPr>
    </w:pPr>
  </w:p>
  <w:p w:rsidR="00512B04" w:rsidRDefault="00512B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211" w:rsidRPr="009E54FA" w:rsidRDefault="00D24211">
      <w:pPr>
        <w:rPr>
          <w:rFonts w:ascii="Cambria" w:hAnsi="Cambria"/>
          <w:sz w:val="16"/>
          <w:szCs w:val="16"/>
        </w:rPr>
      </w:pPr>
      <w:r w:rsidRPr="009E54FA">
        <w:rPr>
          <w:rFonts w:ascii="Cambria" w:hAnsi="Cambria"/>
          <w:sz w:val="16"/>
          <w:szCs w:val="16"/>
        </w:rPr>
        <w:separator/>
      </w:r>
    </w:p>
  </w:footnote>
  <w:footnote w:type="continuationSeparator" w:id="0">
    <w:p w:rsidR="00D24211" w:rsidRPr="009E54FA" w:rsidRDefault="00D24211" w:rsidP="000F35ED">
      <w:pPr>
        <w:rPr>
          <w:rFonts w:ascii="Cambria" w:hAnsi="Cambria"/>
          <w:sz w:val="16"/>
          <w:szCs w:val="16"/>
        </w:rPr>
      </w:pPr>
      <w:r w:rsidRPr="009E54FA">
        <w:rPr>
          <w:rFonts w:ascii="Cambria" w:hAnsi="Cambria"/>
          <w:sz w:val="16"/>
          <w:szCs w:val="16"/>
        </w:rPr>
        <w:separator/>
      </w:r>
    </w:p>
    <w:p w:rsidR="00D24211" w:rsidRPr="009E54FA" w:rsidRDefault="00D24211" w:rsidP="000F35ED">
      <w:pPr>
        <w:pStyle w:val="Footer"/>
        <w:rPr>
          <w:sz w:val="16"/>
          <w:szCs w:val="16"/>
        </w:rPr>
      </w:pPr>
      <w:r w:rsidRPr="009E54FA">
        <w:rPr>
          <w:sz w:val="16"/>
          <w:szCs w:val="16"/>
        </w:rPr>
        <w:t>[… continuación]</w:t>
      </w:r>
    </w:p>
  </w:footnote>
  <w:footnote w:type="continuationNotice" w:id="1">
    <w:p w:rsidR="00D24211" w:rsidRPr="009E54FA" w:rsidRDefault="00D24211" w:rsidP="000F35ED">
      <w:pPr>
        <w:jc w:val="right"/>
        <w:rPr>
          <w:rFonts w:ascii="Cambria" w:hAnsi="Cambria"/>
          <w:sz w:val="16"/>
          <w:szCs w:val="16"/>
          <w:lang w:val="es-ES"/>
        </w:rPr>
      </w:pPr>
      <w:r w:rsidRPr="009E54FA">
        <w:rPr>
          <w:rFonts w:ascii="Cambria" w:hAnsi="Cambria"/>
          <w:sz w:val="16"/>
          <w:szCs w:val="16"/>
          <w:lang w:val="es-ES"/>
        </w:rPr>
        <w:t>[continúa…]</w:t>
      </w:r>
    </w:p>
  </w:footnote>
  <w:footnote w:id="2">
    <w:p w:rsidR="00466B49" w:rsidRPr="00466B49" w:rsidRDefault="00466B49">
      <w:pPr>
        <w:pStyle w:val="FootnoteText"/>
        <w:rPr>
          <w:lang w:val="es-ES"/>
        </w:rPr>
      </w:pPr>
      <w:r>
        <w:rPr>
          <w:rStyle w:val="FootnoteReference"/>
        </w:rPr>
        <w:footnoteRef/>
      </w:r>
      <w:r w:rsidRPr="00466B49">
        <w:rPr>
          <w:lang w:val="es-ES"/>
        </w:rPr>
        <w:t xml:space="preserve"> </w:t>
      </w:r>
      <w:r w:rsidRPr="005D2619">
        <w:rPr>
          <w:rFonts w:ascii="Cambria" w:hAnsi="Cambria"/>
          <w:sz w:val="16"/>
          <w:szCs w:val="16"/>
          <w:lang w:val="es-CO"/>
        </w:rPr>
        <w:t xml:space="preserve">Conforme a lo dispuesto en el artículo 17.2 del Reglamento de la Comisión, el Comisionado </w:t>
      </w:r>
      <w:bookmarkStart w:id="7" w:name="LuisVargas"/>
      <w:bookmarkEnd w:id="7"/>
      <w:r w:rsidRPr="005D2619">
        <w:rPr>
          <w:rFonts w:ascii="Cambria" w:hAnsi="Cambria"/>
          <w:bCs/>
          <w:sz w:val="16"/>
          <w:szCs w:val="16"/>
          <w:lang w:val="es-MX"/>
        </w:rPr>
        <w:t>Luis Ernesto Vargas Silva</w:t>
      </w:r>
      <w:r w:rsidRPr="005D2619">
        <w:rPr>
          <w:rFonts w:ascii="Cambria" w:hAnsi="Cambria"/>
          <w:sz w:val="16"/>
          <w:szCs w:val="16"/>
          <w:lang w:val="es-CO"/>
        </w:rPr>
        <w:t xml:space="preserve">, de nacionalidad </w:t>
      </w:r>
      <w:r w:rsidRPr="005D2619">
        <w:rPr>
          <w:rFonts w:ascii="Cambria" w:hAnsi="Cambria"/>
          <w:sz w:val="16"/>
          <w:szCs w:val="16"/>
          <w:lang w:val="es-MX"/>
        </w:rPr>
        <w:t>colombiana, no participó en el debate ni en la decisión del presente caso.</w:t>
      </w:r>
    </w:p>
  </w:footnote>
  <w:footnote w:id="3">
    <w:p w:rsidR="00512B04" w:rsidRPr="00BA4843" w:rsidRDefault="00512B04" w:rsidP="00BA4843">
      <w:pPr>
        <w:pStyle w:val="FootnoteText"/>
        <w:jc w:val="both"/>
        <w:rPr>
          <w:rFonts w:asciiTheme="majorHAnsi" w:hAnsiTheme="majorHAnsi"/>
          <w:color w:val="auto"/>
          <w:sz w:val="16"/>
          <w:szCs w:val="16"/>
          <w:lang w:val="es-ES_tradnl"/>
        </w:rPr>
      </w:pPr>
      <w:r w:rsidRPr="00BA4843">
        <w:rPr>
          <w:rStyle w:val="FootnoteReference"/>
          <w:rFonts w:asciiTheme="majorHAnsi" w:hAnsiTheme="majorHAnsi"/>
          <w:color w:val="auto"/>
          <w:sz w:val="16"/>
          <w:szCs w:val="16"/>
          <w:lang w:val="es-ES_tradnl"/>
        </w:rPr>
        <w:footnoteRef/>
      </w:r>
      <w:r w:rsidRPr="00BA4843">
        <w:rPr>
          <w:rFonts w:asciiTheme="majorHAnsi" w:hAnsiTheme="majorHAnsi"/>
          <w:color w:val="auto"/>
          <w:sz w:val="16"/>
          <w:szCs w:val="16"/>
          <w:lang w:val="es-ES_tradnl"/>
        </w:rPr>
        <w:t xml:space="preserve"> En su informe de admisibilidad 84/00 la Comisión señaló que la petición fue recibida el 19 de febrero de 1997. La Comisión hace constar que dicho escrito de fecha 19 de febrero de 1997 fue recibido por la Secretaría Ejecutiva de la Comisión el 26 de febrero de 1997.</w:t>
      </w:r>
    </w:p>
  </w:footnote>
  <w:footnote w:id="4">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CIDH, Informe Nº 84/00, Caso 11.726, Norberto Javier Restrepo, Colombia, 5 de octubre de 2000. </w:t>
      </w:r>
      <w:hyperlink r:id="rId1" w:history="1">
        <w:r w:rsidRPr="00BA4843">
          <w:rPr>
            <w:rStyle w:val="Hyperlink"/>
            <w:rFonts w:asciiTheme="majorHAnsi" w:hAnsiTheme="majorHAnsi" w:cs="Arial"/>
            <w:color w:val="auto"/>
            <w:sz w:val="16"/>
            <w:szCs w:val="16"/>
            <w:lang w:val="es-ES_tradnl"/>
          </w:rPr>
          <w:t>http://www.cidh.oas.org/annualrep/2000sp/CapituloIII/Admisible/Colombia11.726.htm</w:t>
        </w:r>
      </w:hyperlink>
      <w:r w:rsidRPr="00BA4843">
        <w:rPr>
          <w:rFonts w:asciiTheme="majorHAnsi" w:hAnsiTheme="majorHAnsi" w:cs="Arial"/>
          <w:color w:val="auto"/>
          <w:sz w:val="16"/>
          <w:szCs w:val="16"/>
          <w:lang w:val="es-ES_tradnl"/>
        </w:rPr>
        <w:t xml:space="preserve"> </w:t>
      </w:r>
    </w:p>
  </w:footnote>
  <w:footnote w:id="5">
    <w:p w:rsidR="00512B04" w:rsidRPr="00BA4843" w:rsidRDefault="00512B04" w:rsidP="00BA4843">
      <w:pPr>
        <w:pStyle w:val="FootnoteText"/>
        <w:jc w:val="both"/>
        <w:rPr>
          <w:rFonts w:asciiTheme="majorHAnsi" w:hAnsiTheme="majorHAnsi"/>
          <w:color w:val="auto"/>
          <w:sz w:val="16"/>
          <w:szCs w:val="16"/>
          <w:lang w:val="es-ES_tradnl"/>
        </w:rPr>
      </w:pPr>
      <w:r w:rsidRPr="00BA4843">
        <w:rPr>
          <w:rStyle w:val="FootnoteReference"/>
          <w:rFonts w:asciiTheme="majorHAnsi" w:hAnsiTheme="majorHAnsi"/>
          <w:color w:val="auto"/>
          <w:sz w:val="16"/>
          <w:szCs w:val="16"/>
          <w:lang w:val="es-ES_tradnl"/>
        </w:rPr>
        <w:footnoteRef/>
      </w:r>
      <w:r w:rsidRPr="00BA4843">
        <w:rPr>
          <w:rFonts w:asciiTheme="majorHAnsi" w:hAnsiTheme="majorHAnsi"/>
          <w:color w:val="auto"/>
          <w:sz w:val="16"/>
          <w:szCs w:val="16"/>
          <w:lang w:val="es-ES_tradnl"/>
        </w:rPr>
        <w:t>CIDH, Caso 11.227, Informe 5/97, Admisibilidad, José Bernardo Díaz (Colombia), 12 de marzo de 1997.</w:t>
      </w:r>
      <w:r w:rsidRPr="00BA4843">
        <w:rPr>
          <w:rFonts w:asciiTheme="majorHAnsi" w:hAnsiTheme="majorHAnsi"/>
          <w:color w:val="auto"/>
          <w:sz w:val="16"/>
          <w:szCs w:val="16"/>
          <w:lang w:val="es-ES_tradnl"/>
        </w:rPr>
        <w:tab/>
        <w:t xml:space="preserve"> </w:t>
      </w:r>
    </w:p>
  </w:footnote>
  <w:footnote w:id="6">
    <w:p w:rsidR="00512B04" w:rsidRPr="00BA4843" w:rsidRDefault="00512B04" w:rsidP="00BA4843">
      <w:pPr>
        <w:jc w:val="both"/>
        <w:rPr>
          <w:rFonts w:asciiTheme="majorHAnsi" w:eastAsia="Times New Roman" w:hAnsiTheme="majorHAnsi"/>
          <w:sz w:val="16"/>
          <w:szCs w:val="16"/>
          <w:bdr w:val="none" w:sz="0" w:space="0" w:color="auto"/>
          <w:lang w:val="es-ES_tradnl"/>
        </w:rPr>
      </w:pPr>
      <w:r w:rsidRPr="00BA4843">
        <w:rPr>
          <w:rStyle w:val="FootnoteReference"/>
          <w:rFonts w:asciiTheme="majorHAnsi" w:hAnsiTheme="majorHAnsi"/>
          <w:sz w:val="16"/>
          <w:szCs w:val="16"/>
          <w:lang w:val="es-ES_tradnl"/>
        </w:rPr>
        <w:footnoteRef/>
      </w:r>
      <w:r w:rsidRPr="00BA4843">
        <w:rPr>
          <w:rFonts w:asciiTheme="majorHAnsi" w:hAnsiTheme="majorHAnsi"/>
          <w:sz w:val="16"/>
          <w:szCs w:val="16"/>
          <w:lang w:val="es-ES_tradnl"/>
        </w:rPr>
        <w:t xml:space="preserve"> </w:t>
      </w:r>
      <w:r w:rsidRPr="00BA4843">
        <w:rPr>
          <w:rFonts w:asciiTheme="majorHAnsi" w:eastAsia="Times New Roman" w:hAnsiTheme="majorHAnsi" w:cs="Arial"/>
          <w:sz w:val="16"/>
          <w:szCs w:val="16"/>
          <w:bdr w:val="none" w:sz="0" w:space="0" w:color="auto"/>
          <w:shd w:val="clear" w:color="auto" w:fill="FFFFFF"/>
          <w:lang w:val="es-ES_tradnl"/>
        </w:rPr>
        <w:t>Corte IDH. </w:t>
      </w:r>
      <w:r w:rsidRPr="00BA4843">
        <w:rPr>
          <w:rFonts w:asciiTheme="majorHAnsi" w:eastAsia="Times New Roman" w:hAnsiTheme="majorHAnsi" w:cs="Arial"/>
          <w:bCs/>
          <w:i/>
          <w:sz w:val="16"/>
          <w:szCs w:val="16"/>
          <w:bdr w:val="none" w:sz="0" w:space="0" w:color="auto"/>
          <w:shd w:val="clear" w:color="auto" w:fill="FFFFFF"/>
          <w:lang w:val="es-ES_tradnl"/>
        </w:rPr>
        <w:t>Caso</w:t>
      </w:r>
      <w:r w:rsidRPr="00BA4843">
        <w:rPr>
          <w:rFonts w:asciiTheme="majorHAnsi" w:eastAsia="Times New Roman" w:hAnsiTheme="majorHAnsi" w:cs="Arial"/>
          <w:i/>
          <w:sz w:val="16"/>
          <w:szCs w:val="16"/>
          <w:bdr w:val="none" w:sz="0" w:space="0" w:color="auto"/>
          <w:shd w:val="clear" w:color="auto" w:fill="FFFFFF"/>
          <w:lang w:val="es-ES_tradnl"/>
        </w:rPr>
        <w:t> Manuel </w:t>
      </w:r>
      <w:r w:rsidRPr="00BA4843">
        <w:rPr>
          <w:rFonts w:asciiTheme="majorHAnsi" w:eastAsia="Times New Roman" w:hAnsiTheme="majorHAnsi" w:cs="Arial"/>
          <w:bCs/>
          <w:i/>
          <w:sz w:val="16"/>
          <w:szCs w:val="16"/>
          <w:bdr w:val="none" w:sz="0" w:space="0" w:color="auto"/>
          <w:shd w:val="clear" w:color="auto" w:fill="FFFFFF"/>
          <w:lang w:val="es-ES_tradnl"/>
        </w:rPr>
        <w:t>Cepeda</w:t>
      </w:r>
      <w:r w:rsidRPr="00BA4843">
        <w:rPr>
          <w:rFonts w:asciiTheme="majorHAnsi" w:eastAsia="Times New Roman" w:hAnsiTheme="majorHAnsi" w:cs="Arial"/>
          <w:i/>
          <w:sz w:val="16"/>
          <w:szCs w:val="16"/>
          <w:bdr w:val="none" w:sz="0" w:space="0" w:color="auto"/>
          <w:shd w:val="clear" w:color="auto" w:fill="FFFFFF"/>
          <w:lang w:val="es-ES_tradnl"/>
        </w:rPr>
        <w:t> Vargas Vs. Colombia. Excepciones Preliminares, Fondo, Reparaciones y Costas</w:t>
      </w:r>
      <w:r w:rsidRPr="00BA4843">
        <w:rPr>
          <w:rFonts w:asciiTheme="majorHAnsi" w:eastAsia="Times New Roman" w:hAnsiTheme="majorHAnsi" w:cs="Arial"/>
          <w:sz w:val="16"/>
          <w:szCs w:val="16"/>
          <w:bdr w:val="none" w:sz="0" w:space="0" w:color="auto"/>
          <w:shd w:val="clear" w:color="auto" w:fill="FFFFFF"/>
          <w:lang w:val="es-ES_tradnl"/>
        </w:rPr>
        <w:t>. Sentencia de 26 de mayo de 2010. Serie C No. 213, párr. 36.</w:t>
      </w:r>
    </w:p>
  </w:footnote>
  <w:footnote w:id="7">
    <w:p w:rsidR="00512B04" w:rsidRPr="00BA4843" w:rsidRDefault="00512B04" w:rsidP="00BA4843">
      <w:pPr>
        <w:pStyle w:val="FootnoteText"/>
        <w:jc w:val="both"/>
        <w:rPr>
          <w:rFonts w:asciiTheme="majorHAnsi" w:hAnsiTheme="majorHAnsi"/>
          <w:color w:val="auto"/>
          <w:sz w:val="16"/>
          <w:szCs w:val="16"/>
          <w:lang w:val="es-ES_tradnl"/>
        </w:rPr>
      </w:pPr>
      <w:r w:rsidRPr="00BA4843">
        <w:rPr>
          <w:rStyle w:val="FootnoteReference"/>
          <w:rFonts w:asciiTheme="majorHAnsi" w:hAnsiTheme="majorHAnsi"/>
          <w:color w:val="auto"/>
          <w:sz w:val="16"/>
          <w:szCs w:val="16"/>
          <w:lang w:val="es-ES_tradnl"/>
        </w:rPr>
        <w:footnoteRef/>
      </w:r>
      <w:r w:rsidRPr="00BA4843">
        <w:rPr>
          <w:rFonts w:asciiTheme="majorHAnsi" w:hAnsiTheme="majorHAnsi"/>
          <w:color w:val="auto"/>
          <w:sz w:val="16"/>
          <w:szCs w:val="16"/>
          <w:lang w:val="es-ES_tradnl"/>
        </w:rPr>
        <w:t xml:space="preserve"> Corte IDH. </w:t>
      </w:r>
      <w:r w:rsidRPr="00BA4843">
        <w:rPr>
          <w:rFonts w:asciiTheme="majorHAnsi" w:hAnsiTheme="majorHAnsi"/>
          <w:i/>
          <w:color w:val="auto"/>
          <w:sz w:val="16"/>
          <w:szCs w:val="16"/>
          <w:lang w:val="es-ES_tradnl"/>
        </w:rPr>
        <w:t>Caso Velásquez Rodríguez Vs. Honduras</w:t>
      </w:r>
      <w:r w:rsidRPr="00BA4843">
        <w:rPr>
          <w:rFonts w:asciiTheme="majorHAnsi" w:hAnsiTheme="majorHAnsi"/>
          <w:color w:val="auto"/>
          <w:sz w:val="16"/>
          <w:szCs w:val="16"/>
          <w:lang w:val="es-ES_tradnl"/>
        </w:rPr>
        <w:t>. Sentencia de 29 de julio de 1988. Serie C No. 4, párrs. 127 y 128.</w:t>
      </w:r>
    </w:p>
  </w:footnote>
  <w:footnote w:id="8">
    <w:p w:rsidR="00512B04" w:rsidRPr="00BA4843" w:rsidRDefault="00512B04" w:rsidP="00BA4843">
      <w:pPr>
        <w:jc w:val="both"/>
        <w:rPr>
          <w:rFonts w:asciiTheme="majorHAnsi" w:hAnsiTheme="majorHAnsi"/>
          <w:sz w:val="16"/>
          <w:szCs w:val="16"/>
          <w:lang w:val="es-ES_tradnl"/>
        </w:rPr>
      </w:pPr>
      <w:r w:rsidRPr="00BA4843">
        <w:rPr>
          <w:rStyle w:val="FootnoteReference"/>
          <w:rFonts w:asciiTheme="majorHAnsi" w:hAnsiTheme="majorHAnsi"/>
          <w:sz w:val="16"/>
          <w:szCs w:val="16"/>
          <w:lang w:val="es-ES_tradnl"/>
        </w:rPr>
        <w:footnoteRef/>
      </w:r>
      <w:r w:rsidRPr="00BA4843">
        <w:rPr>
          <w:rFonts w:asciiTheme="majorHAnsi" w:hAnsiTheme="majorHAnsi"/>
          <w:sz w:val="16"/>
          <w:szCs w:val="16"/>
          <w:lang w:val="es-ES_tradnl"/>
        </w:rPr>
        <w:t xml:space="preserve"> </w:t>
      </w:r>
      <w:hyperlink r:id="rId2" w:history="1">
        <w:r w:rsidRPr="00BA4843">
          <w:rPr>
            <w:rFonts w:asciiTheme="majorHAnsi" w:hAnsiTheme="majorHAnsi"/>
            <w:sz w:val="16"/>
            <w:szCs w:val="16"/>
            <w:lang w:val="es-ES_tradnl"/>
          </w:rPr>
          <w:t xml:space="preserve">Corte IDH. </w:t>
        </w:r>
        <w:r w:rsidRPr="00BA4843">
          <w:rPr>
            <w:rFonts w:asciiTheme="majorHAnsi" w:hAnsiTheme="majorHAnsi"/>
            <w:i/>
            <w:sz w:val="16"/>
            <w:szCs w:val="16"/>
            <w:lang w:val="es-ES_tradnl"/>
          </w:rPr>
          <w:t xml:space="preserve">Caso González Medina y familiares Vs. República Dominicana. </w:t>
        </w:r>
        <w:r w:rsidRPr="00BA4843">
          <w:rPr>
            <w:rFonts w:asciiTheme="majorHAnsi" w:hAnsiTheme="majorHAnsi"/>
            <w:sz w:val="16"/>
            <w:szCs w:val="16"/>
            <w:lang w:val="es-ES_tradnl"/>
          </w:rPr>
          <w:t>Excepciones Preliminares, Fondo, Reparaciones y Costas. Sentencia de 27 de febrero de 2012 Serie C No. 240</w:t>
        </w:r>
      </w:hyperlink>
      <w:r w:rsidRPr="00BA4843">
        <w:rPr>
          <w:rFonts w:asciiTheme="majorHAnsi" w:hAnsiTheme="majorHAnsi"/>
          <w:sz w:val="16"/>
          <w:szCs w:val="16"/>
          <w:lang w:val="es-ES_tradnl"/>
        </w:rPr>
        <w:t>, párr. 132.</w:t>
      </w:r>
    </w:p>
  </w:footnote>
  <w:footnote w:id="9">
    <w:p w:rsidR="00512B04" w:rsidRPr="00BA4843" w:rsidRDefault="00512B04" w:rsidP="00BA4843">
      <w:pPr>
        <w:jc w:val="both"/>
        <w:rPr>
          <w:rFonts w:asciiTheme="majorHAnsi" w:hAnsiTheme="majorHAnsi"/>
          <w:sz w:val="16"/>
          <w:szCs w:val="16"/>
          <w:lang w:val="es-ES_tradnl"/>
        </w:rPr>
      </w:pPr>
      <w:r w:rsidRPr="00BA4843">
        <w:rPr>
          <w:rStyle w:val="FootnoteReference"/>
          <w:rFonts w:asciiTheme="majorHAnsi" w:hAnsiTheme="majorHAnsi"/>
          <w:sz w:val="16"/>
          <w:szCs w:val="16"/>
          <w:lang w:val="es-ES_tradnl"/>
        </w:rPr>
        <w:footnoteRef/>
      </w:r>
      <w:r w:rsidRPr="00BA4843">
        <w:rPr>
          <w:rFonts w:asciiTheme="majorHAnsi" w:hAnsiTheme="majorHAnsi"/>
          <w:sz w:val="16"/>
          <w:szCs w:val="16"/>
          <w:lang w:val="es-ES_tradnl"/>
        </w:rPr>
        <w:t xml:space="preserve"> </w:t>
      </w:r>
      <w:hyperlink r:id="rId3" w:history="1">
        <w:r w:rsidRPr="00BA4843">
          <w:rPr>
            <w:rFonts w:asciiTheme="majorHAnsi" w:hAnsiTheme="majorHAnsi"/>
            <w:sz w:val="16"/>
            <w:szCs w:val="16"/>
            <w:lang w:val="es-ES_tradnl"/>
          </w:rPr>
          <w:t xml:space="preserve">Corte IDH. </w:t>
        </w:r>
        <w:r w:rsidRPr="00BA4843">
          <w:rPr>
            <w:rFonts w:asciiTheme="majorHAnsi" w:hAnsiTheme="majorHAnsi"/>
            <w:i/>
            <w:sz w:val="16"/>
            <w:szCs w:val="16"/>
            <w:lang w:val="es-ES_tradnl"/>
          </w:rPr>
          <w:t xml:space="preserve">Caso González Medina y familiares Vs. República Dominicana. </w:t>
        </w:r>
        <w:r w:rsidRPr="00BA4843">
          <w:rPr>
            <w:rFonts w:asciiTheme="majorHAnsi" w:hAnsiTheme="majorHAnsi"/>
            <w:sz w:val="16"/>
            <w:szCs w:val="16"/>
            <w:lang w:val="es-ES_tradnl"/>
          </w:rPr>
          <w:t>Excepciones Preliminares, Fondo, Reparaciones y Costas. Sentencia de 27 de febrero de 2012 Serie C No. 240</w:t>
        </w:r>
      </w:hyperlink>
      <w:r w:rsidRPr="00BA4843">
        <w:rPr>
          <w:rFonts w:asciiTheme="majorHAnsi" w:hAnsiTheme="majorHAnsi"/>
          <w:sz w:val="16"/>
          <w:szCs w:val="16"/>
          <w:lang w:val="es-ES_tradnl"/>
        </w:rPr>
        <w:t>, párr. 134. Citando. Caso De la Masacre de las Dos Erres Vs. Guatemala. Excepción Preliminar, Fondo, Reparaciones y Costas. Sentencia de 24 de noviembre de 2009. Serie C No. 21, párr. 197.</w:t>
      </w:r>
    </w:p>
  </w:footnote>
  <w:footnote w:id="10">
    <w:p w:rsidR="00512B04" w:rsidRPr="00BA4843" w:rsidRDefault="00512B04" w:rsidP="00BA4843">
      <w:pPr>
        <w:jc w:val="both"/>
        <w:rPr>
          <w:rFonts w:asciiTheme="majorHAnsi" w:hAnsiTheme="majorHAnsi"/>
          <w:sz w:val="16"/>
          <w:szCs w:val="16"/>
          <w:lang w:val="es-ES_tradnl"/>
        </w:rPr>
      </w:pPr>
      <w:r w:rsidRPr="00BA4843">
        <w:rPr>
          <w:rStyle w:val="FootnoteReference"/>
          <w:rFonts w:asciiTheme="majorHAnsi" w:hAnsiTheme="majorHAnsi"/>
          <w:sz w:val="16"/>
          <w:szCs w:val="16"/>
          <w:lang w:val="es-ES_tradnl"/>
        </w:rPr>
        <w:footnoteRef/>
      </w:r>
      <w:r w:rsidRPr="00BA4843">
        <w:rPr>
          <w:rFonts w:asciiTheme="majorHAnsi" w:hAnsiTheme="majorHAnsi"/>
          <w:sz w:val="16"/>
          <w:szCs w:val="16"/>
          <w:lang w:val="es-ES_tradnl"/>
        </w:rPr>
        <w:t xml:space="preserve"> </w:t>
      </w:r>
      <w:hyperlink r:id="rId4" w:history="1">
        <w:r w:rsidRPr="00BA4843">
          <w:rPr>
            <w:rFonts w:asciiTheme="majorHAnsi" w:hAnsiTheme="majorHAnsi"/>
            <w:sz w:val="16"/>
            <w:szCs w:val="16"/>
            <w:lang w:val="es-ES_tradnl"/>
          </w:rPr>
          <w:t xml:space="preserve">Corte IDH. </w:t>
        </w:r>
        <w:r w:rsidRPr="00BA4843">
          <w:rPr>
            <w:rFonts w:asciiTheme="majorHAnsi" w:hAnsiTheme="majorHAnsi"/>
            <w:i/>
            <w:sz w:val="16"/>
            <w:szCs w:val="16"/>
            <w:lang w:val="es-ES_tradnl"/>
          </w:rPr>
          <w:t xml:space="preserve">Caso González Medina y familiares Vs. República Dominicana. </w:t>
        </w:r>
        <w:r w:rsidRPr="00BA4843">
          <w:rPr>
            <w:rFonts w:asciiTheme="majorHAnsi" w:hAnsiTheme="majorHAnsi"/>
            <w:sz w:val="16"/>
            <w:szCs w:val="16"/>
            <w:lang w:val="es-ES_tradnl"/>
          </w:rPr>
          <w:t>Excepciones Preliminares, Fondo, Reparaciones y Costas. Sentencia de 27 de febrero de 2012 Serie C No. 240</w:t>
        </w:r>
      </w:hyperlink>
      <w:r w:rsidRPr="00BA4843">
        <w:rPr>
          <w:rFonts w:asciiTheme="majorHAnsi" w:hAnsiTheme="majorHAnsi"/>
          <w:sz w:val="16"/>
          <w:szCs w:val="16"/>
          <w:lang w:val="es-ES_tradnl"/>
        </w:rPr>
        <w:t>, párr. 134.</w:t>
      </w:r>
    </w:p>
  </w:footnote>
  <w:footnote w:id="11">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1. Comunicación del Estado de fecha 13 de julio de 2012, recibida el 16 de julio de 2012, párrafo 55.</w:t>
      </w:r>
    </w:p>
  </w:footnote>
  <w:footnote w:id="12">
    <w:p w:rsidR="00512B04" w:rsidRPr="00BA4843" w:rsidRDefault="00512B04" w:rsidP="00BA4843">
      <w:pPr>
        <w:jc w:val="both"/>
        <w:rPr>
          <w:rFonts w:asciiTheme="majorHAnsi" w:hAnsiTheme="majorHAnsi"/>
          <w:sz w:val="16"/>
          <w:szCs w:val="16"/>
          <w:lang w:val="es-CO"/>
        </w:rPr>
      </w:pPr>
      <w:r w:rsidRPr="00BA4843">
        <w:rPr>
          <w:rStyle w:val="FootnoteReference"/>
          <w:rFonts w:asciiTheme="majorHAnsi" w:hAnsiTheme="majorHAnsi"/>
          <w:sz w:val="16"/>
          <w:szCs w:val="16"/>
        </w:rPr>
        <w:footnoteRef/>
      </w:r>
      <w:r w:rsidRPr="00BA4843">
        <w:rPr>
          <w:rFonts w:asciiTheme="majorHAnsi" w:hAnsiTheme="majorHAnsi"/>
          <w:sz w:val="16"/>
          <w:szCs w:val="16"/>
          <w:lang w:val="es-CO"/>
        </w:rPr>
        <w:t xml:space="preserve"> </w:t>
      </w:r>
      <w:r w:rsidRPr="00BA4843">
        <w:rPr>
          <w:rFonts w:asciiTheme="majorHAnsi" w:hAnsiTheme="majorHAnsi"/>
          <w:i/>
          <w:sz w:val="16"/>
          <w:szCs w:val="16"/>
          <w:lang w:val="es-MX"/>
        </w:rPr>
        <w:t xml:space="preserve">Cfr. </w:t>
      </w:r>
      <w:r w:rsidRPr="00BA4843">
        <w:rPr>
          <w:rFonts w:asciiTheme="majorHAnsi" w:hAnsiTheme="majorHAnsi"/>
          <w:bCs/>
          <w:sz w:val="16"/>
          <w:szCs w:val="16"/>
          <w:lang w:val="es-ES_tradnl"/>
        </w:rPr>
        <w:t xml:space="preserve">Corte I.D.H., </w:t>
      </w:r>
      <w:r w:rsidRPr="00BA4843">
        <w:rPr>
          <w:rFonts w:asciiTheme="majorHAnsi" w:hAnsiTheme="majorHAnsi"/>
          <w:bCs/>
          <w:i/>
          <w:sz w:val="16"/>
          <w:szCs w:val="16"/>
          <w:lang w:val="es-CO"/>
        </w:rPr>
        <w:t xml:space="preserve">Caso Ríos y otros Vs. Venezuela. </w:t>
      </w:r>
      <w:r w:rsidRPr="00BA4843">
        <w:rPr>
          <w:rFonts w:asciiTheme="majorHAnsi" w:hAnsiTheme="majorHAnsi"/>
          <w:i/>
          <w:sz w:val="16"/>
          <w:szCs w:val="16"/>
          <w:lang w:val="es-CO"/>
        </w:rPr>
        <w:t>Excepciones Preliminares, Fondo, Reparaciones y Costas</w:t>
      </w:r>
      <w:r w:rsidRPr="00BA4843">
        <w:rPr>
          <w:rFonts w:asciiTheme="majorHAnsi" w:hAnsiTheme="majorHAnsi"/>
          <w:sz w:val="16"/>
          <w:szCs w:val="16"/>
          <w:lang w:val="es-CO"/>
        </w:rPr>
        <w:t xml:space="preserve">. Sentencia de 28 de enero de 2009. Serie C No. 194, párr. 98, y </w:t>
      </w:r>
      <w:r w:rsidRPr="00BA4843">
        <w:rPr>
          <w:rFonts w:asciiTheme="majorHAnsi" w:hAnsiTheme="majorHAnsi"/>
          <w:i/>
          <w:sz w:val="16"/>
          <w:szCs w:val="16"/>
          <w:lang w:val="es-CO"/>
        </w:rPr>
        <w:t>Caso González y otras Vs. México.</w:t>
      </w:r>
      <w:r w:rsidRPr="00BA4843">
        <w:rPr>
          <w:rFonts w:asciiTheme="majorHAnsi" w:hAnsiTheme="majorHAnsi"/>
          <w:sz w:val="16"/>
          <w:szCs w:val="16"/>
          <w:lang w:val="es-CO"/>
        </w:rPr>
        <w:t xml:space="preserve"> </w:t>
      </w:r>
      <w:r w:rsidRPr="00BA4843">
        <w:rPr>
          <w:rFonts w:asciiTheme="majorHAnsi" w:hAnsiTheme="majorHAnsi"/>
          <w:i/>
          <w:sz w:val="16"/>
          <w:szCs w:val="16"/>
          <w:lang w:val="es-CO"/>
        </w:rPr>
        <w:t xml:space="preserve">Solicitud de Ampliación de Presuntas Víctimas y Negativa de Remisión de Prueba Documental. </w:t>
      </w:r>
      <w:r w:rsidRPr="00BA4843">
        <w:rPr>
          <w:rFonts w:asciiTheme="majorHAnsi" w:hAnsiTheme="majorHAnsi"/>
          <w:sz w:val="16"/>
          <w:szCs w:val="16"/>
          <w:lang w:val="es-CO"/>
        </w:rPr>
        <w:t xml:space="preserve">Resolución de la Corte Interamericana de Derechos Humanos de 19 de enero de 2009, </w:t>
      </w:r>
      <w:r w:rsidRPr="00BA4843">
        <w:rPr>
          <w:rFonts w:asciiTheme="majorHAnsi" w:hAnsiTheme="majorHAnsi"/>
          <w:sz w:val="16"/>
          <w:szCs w:val="16"/>
          <w:lang w:val="es-MX"/>
        </w:rPr>
        <w:t>Considerando quincuagésimo noveno.</w:t>
      </w:r>
    </w:p>
  </w:footnote>
  <w:footnote w:id="13">
    <w:p w:rsidR="00512B04" w:rsidRPr="00BA4843" w:rsidRDefault="00512B04" w:rsidP="00BA4843">
      <w:pPr>
        <w:pStyle w:val="FootnoteText"/>
        <w:jc w:val="both"/>
        <w:rPr>
          <w:rFonts w:asciiTheme="majorHAnsi" w:hAnsiTheme="majorHAnsi"/>
          <w:sz w:val="16"/>
          <w:szCs w:val="16"/>
          <w:lang w:val="es-ES_tradnl"/>
        </w:rPr>
      </w:pPr>
      <w:r w:rsidRPr="00BA4843">
        <w:rPr>
          <w:rStyle w:val="FootnoteReference"/>
          <w:rFonts w:asciiTheme="majorHAnsi" w:hAnsiTheme="majorHAnsi"/>
          <w:sz w:val="16"/>
          <w:szCs w:val="16"/>
        </w:rPr>
        <w:footnoteRef/>
      </w:r>
      <w:r w:rsidRPr="00BA4843">
        <w:rPr>
          <w:rFonts w:asciiTheme="majorHAnsi" w:hAnsiTheme="majorHAnsi"/>
          <w:sz w:val="16"/>
          <w:szCs w:val="16"/>
          <w:lang w:val="es-CO"/>
        </w:rPr>
        <w:t xml:space="preserve"> </w:t>
      </w:r>
      <w:r w:rsidRPr="00BA4843">
        <w:rPr>
          <w:rFonts w:asciiTheme="majorHAnsi" w:hAnsiTheme="majorHAnsi"/>
          <w:bCs/>
          <w:sz w:val="16"/>
          <w:szCs w:val="16"/>
          <w:lang w:val="es-ES_tradnl"/>
        </w:rPr>
        <w:t xml:space="preserve">Corte I.D.H., </w:t>
      </w:r>
      <w:r w:rsidRPr="00BA4843">
        <w:rPr>
          <w:rFonts w:asciiTheme="majorHAnsi" w:hAnsiTheme="majorHAnsi"/>
          <w:bCs/>
          <w:i/>
          <w:sz w:val="16"/>
          <w:szCs w:val="16"/>
          <w:lang w:val="es-ES_tradnl"/>
        </w:rPr>
        <w:t>Caso Radilla Pacheco Vs. México.</w:t>
      </w:r>
      <w:r w:rsidRPr="00BA4843">
        <w:rPr>
          <w:rFonts w:asciiTheme="majorHAnsi" w:hAnsiTheme="majorHAnsi"/>
          <w:b/>
          <w:bCs/>
          <w:sz w:val="16"/>
          <w:szCs w:val="16"/>
          <w:lang w:val="es-ES_tradnl"/>
        </w:rPr>
        <w:t xml:space="preserve"> </w:t>
      </w:r>
      <w:r w:rsidRPr="00BA4843">
        <w:rPr>
          <w:rFonts w:asciiTheme="majorHAnsi" w:hAnsiTheme="majorHAnsi"/>
          <w:sz w:val="16"/>
          <w:szCs w:val="16"/>
          <w:lang w:val="es-ES_tradnl"/>
        </w:rPr>
        <w:t xml:space="preserve">Excepciones Preliminares, Fondo, Reparaciones y Costas. Sentencia de 23 de Noviembre de 2009. Serie C No. 209, párr. 89. </w:t>
      </w:r>
    </w:p>
  </w:footnote>
  <w:footnote w:id="14">
    <w:p w:rsidR="00512B04" w:rsidRPr="00BA4843" w:rsidRDefault="00512B04" w:rsidP="00BA4843">
      <w:pPr>
        <w:pStyle w:val="FootnoteText"/>
        <w:jc w:val="both"/>
        <w:rPr>
          <w:rFonts w:asciiTheme="majorHAnsi" w:hAnsiTheme="majorHAnsi"/>
          <w:sz w:val="16"/>
          <w:szCs w:val="16"/>
          <w:lang w:val="es-CO"/>
        </w:rPr>
      </w:pPr>
      <w:r w:rsidRPr="00BA4843">
        <w:rPr>
          <w:rStyle w:val="FootnoteReference"/>
          <w:rFonts w:asciiTheme="majorHAnsi" w:hAnsiTheme="majorHAnsi"/>
          <w:sz w:val="16"/>
          <w:szCs w:val="16"/>
        </w:rPr>
        <w:footnoteRef/>
      </w:r>
      <w:r w:rsidRPr="00BA4843">
        <w:rPr>
          <w:rFonts w:asciiTheme="majorHAnsi" w:hAnsiTheme="majorHAnsi"/>
          <w:sz w:val="16"/>
          <w:szCs w:val="16"/>
          <w:lang w:val="es-ES_tradnl"/>
        </w:rPr>
        <w:t xml:space="preserve"> </w:t>
      </w:r>
      <w:r w:rsidRPr="00BA4843">
        <w:rPr>
          <w:rFonts w:asciiTheme="majorHAnsi" w:hAnsiTheme="majorHAnsi"/>
          <w:bCs/>
          <w:sz w:val="16"/>
          <w:szCs w:val="16"/>
          <w:lang w:val="es-ES_tradnl"/>
        </w:rPr>
        <w:t xml:space="preserve">Corte I.D.H., </w:t>
      </w:r>
      <w:r w:rsidRPr="00BA4843">
        <w:rPr>
          <w:rFonts w:asciiTheme="majorHAnsi" w:hAnsiTheme="majorHAnsi"/>
          <w:bCs/>
          <w:i/>
          <w:sz w:val="16"/>
          <w:szCs w:val="16"/>
          <w:lang w:val="es-ES_tradnl"/>
        </w:rPr>
        <w:t>Caso Radilla Pacheco Vs. México.</w:t>
      </w:r>
      <w:r w:rsidRPr="00BA4843">
        <w:rPr>
          <w:rFonts w:asciiTheme="majorHAnsi" w:hAnsiTheme="majorHAnsi"/>
          <w:b/>
          <w:bCs/>
          <w:sz w:val="16"/>
          <w:szCs w:val="16"/>
          <w:lang w:val="es-ES_tradnl"/>
        </w:rPr>
        <w:t xml:space="preserve"> </w:t>
      </w:r>
      <w:r w:rsidRPr="00BA4843">
        <w:rPr>
          <w:rFonts w:asciiTheme="majorHAnsi" w:hAnsiTheme="majorHAnsi"/>
          <w:sz w:val="16"/>
          <w:szCs w:val="16"/>
          <w:lang w:val="es-ES_tradnl"/>
        </w:rPr>
        <w:t>Excepciones Preliminares, Fondo, Reparaciones y Costas. Sentencia de 23 de Noviembre de 2009. Serie C No. 209, párr. 90</w:t>
      </w:r>
      <w:r w:rsidRPr="00BA4843">
        <w:rPr>
          <w:rFonts w:asciiTheme="majorHAnsi" w:hAnsiTheme="majorHAnsi"/>
          <w:sz w:val="16"/>
          <w:szCs w:val="16"/>
          <w:lang w:val="es-CO"/>
        </w:rPr>
        <w:t xml:space="preserve">. </w:t>
      </w:r>
    </w:p>
  </w:footnote>
  <w:footnote w:id="15">
    <w:p w:rsidR="00512B04" w:rsidRPr="00BA4843" w:rsidRDefault="00512B04" w:rsidP="00BA4843">
      <w:pPr>
        <w:jc w:val="both"/>
        <w:rPr>
          <w:rFonts w:asciiTheme="majorHAnsi" w:hAnsiTheme="majorHAnsi"/>
          <w:sz w:val="16"/>
          <w:szCs w:val="16"/>
          <w:lang w:val="es-ES_tradnl"/>
        </w:rPr>
      </w:pPr>
      <w:r w:rsidRPr="00BA4843">
        <w:rPr>
          <w:rStyle w:val="FootnoteReference"/>
          <w:rFonts w:asciiTheme="majorHAnsi" w:hAnsiTheme="majorHAnsi"/>
          <w:sz w:val="16"/>
          <w:szCs w:val="16"/>
        </w:rPr>
        <w:footnoteRef/>
      </w:r>
      <w:r w:rsidRPr="00BA4843">
        <w:rPr>
          <w:rFonts w:asciiTheme="majorHAnsi" w:hAnsiTheme="majorHAnsi"/>
          <w:sz w:val="16"/>
          <w:szCs w:val="16"/>
          <w:lang w:val="es-CO"/>
        </w:rPr>
        <w:t xml:space="preserve"> </w:t>
      </w:r>
      <w:r w:rsidRPr="00BA4843">
        <w:rPr>
          <w:rFonts w:asciiTheme="majorHAnsi" w:hAnsiTheme="majorHAnsi"/>
          <w:bCs/>
          <w:sz w:val="16"/>
          <w:szCs w:val="16"/>
          <w:lang w:val="es-ES_tradnl"/>
        </w:rPr>
        <w:t xml:space="preserve">Corte I.D.H., </w:t>
      </w:r>
      <w:r w:rsidRPr="00BA4843">
        <w:rPr>
          <w:rFonts w:asciiTheme="majorHAnsi" w:hAnsiTheme="majorHAnsi"/>
          <w:bCs/>
          <w:i/>
          <w:sz w:val="16"/>
          <w:szCs w:val="16"/>
          <w:lang w:val="es-ES_tradnl"/>
        </w:rPr>
        <w:t>Caso Radilla Pacheco Vs. México.</w:t>
      </w:r>
      <w:r w:rsidRPr="00BA4843">
        <w:rPr>
          <w:rFonts w:asciiTheme="majorHAnsi" w:hAnsiTheme="majorHAnsi"/>
          <w:b/>
          <w:bCs/>
          <w:sz w:val="16"/>
          <w:szCs w:val="16"/>
          <w:lang w:val="es-ES_tradnl"/>
        </w:rPr>
        <w:t xml:space="preserve"> </w:t>
      </w:r>
      <w:r w:rsidRPr="00BA4843">
        <w:rPr>
          <w:rFonts w:asciiTheme="majorHAnsi" w:hAnsiTheme="majorHAnsi"/>
          <w:sz w:val="16"/>
          <w:szCs w:val="16"/>
          <w:lang w:val="es-ES_tradnl"/>
        </w:rPr>
        <w:t>Excepciones Preliminares, Fondo, Reparaciones y Costas. Sentencia de 23 de Noviembre de 2009. Serie C No. 209, párr. 90</w:t>
      </w:r>
      <w:r w:rsidRPr="00BA4843">
        <w:rPr>
          <w:rFonts w:asciiTheme="majorHAnsi" w:hAnsiTheme="majorHAnsi"/>
          <w:sz w:val="16"/>
          <w:szCs w:val="16"/>
          <w:lang w:val="es-CO"/>
        </w:rPr>
        <w:t xml:space="preserve">. Citando. </w:t>
      </w:r>
      <w:r w:rsidRPr="00BA4843">
        <w:rPr>
          <w:rFonts w:asciiTheme="majorHAnsi" w:hAnsiTheme="majorHAnsi"/>
          <w:i/>
          <w:sz w:val="16"/>
          <w:szCs w:val="16"/>
          <w:lang w:val="es-ES_tradnl"/>
        </w:rPr>
        <w:t xml:space="preserve">Cfr. </w:t>
      </w:r>
      <w:r w:rsidRPr="00BA4843">
        <w:rPr>
          <w:rFonts w:asciiTheme="majorHAnsi" w:hAnsiTheme="majorHAnsi"/>
          <w:sz w:val="16"/>
          <w:szCs w:val="16"/>
          <w:lang w:val="es-ES_tradnl"/>
        </w:rPr>
        <w:t xml:space="preserve">Eur. Ct. H.R., </w:t>
      </w:r>
      <w:r w:rsidRPr="00BA4843">
        <w:rPr>
          <w:rFonts w:asciiTheme="majorHAnsi" w:hAnsiTheme="majorHAnsi"/>
          <w:i/>
          <w:sz w:val="16"/>
          <w:szCs w:val="16"/>
          <w:lang w:val="es-ES_tradnl"/>
        </w:rPr>
        <w:t xml:space="preserve">Case of Imakayeva v. Russia, Application no. 7615/02, </w:t>
      </w:r>
      <w:r w:rsidRPr="00BA4843">
        <w:rPr>
          <w:rFonts w:asciiTheme="majorHAnsi" w:hAnsiTheme="majorHAnsi"/>
          <w:sz w:val="16"/>
          <w:szCs w:val="16"/>
          <w:lang w:val="es-ES_tradnl"/>
        </w:rPr>
        <w:t xml:space="preserve">Judgment of 9 November 2006, paras. 122 y 123. Asimismo, </w:t>
      </w:r>
      <w:r w:rsidRPr="00BA4843">
        <w:rPr>
          <w:rFonts w:asciiTheme="majorHAnsi" w:hAnsiTheme="majorHAnsi"/>
          <w:sz w:val="16"/>
          <w:szCs w:val="16"/>
          <w:lang w:val="es-CR"/>
        </w:rPr>
        <w:t xml:space="preserve">tanto en el caso </w:t>
      </w:r>
      <w:r w:rsidRPr="00BA4843">
        <w:rPr>
          <w:rFonts w:asciiTheme="majorHAnsi" w:hAnsiTheme="majorHAnsi"/>
          <w:i/>
          <w:sz w:val="16"/>
          <w:szCs w:val="16"/>
          <w:lang w:val="es-CR"/>
        </w:rPr>
        <w:t xml:space="preserve">González y otras (Campo Algodonero) vs. México </w:t>
      </w:r>
      <w:r w:rsidRPr="00BA4843">
        <w:rPr>
          <w:rFonts w:asciiTheme="majorHAnsi" w:hAnsiTheme="majorHAnsi"/>
          <w:sz w:val="16"/>
          <w:szCs w:val="16"/>
          <w:lang w:val="es-CR"/>
        </w:rPr>
        <w:t xml:space="preserve">como en el caso </w:t>
      </w:r>
      <w:r w:rsidRPr="00BA4843">
        <w:rPr>
          <w:rFonts w:asciiTheme="majorHAnsi" w:hAnsiTheme="majorHAnsi"/>
          <w:i/>
          <w:sz w:val="16"/>
          <w:szCs w:val="16"/>
          <w:lang w:val="es-CR"/>
        </w:rPr>
        <w:t xml:space="preserve">Radilla Pacheco y otros vs. México, </w:t>
      </w:r>
      <w:r w:rsidRPr="00BA4843">
        <w:rPr>
          <w:rFonts w:asciiTheme="majorHAnsi" w:hAnsiTheme="majorHAnsi"/>
          <w:sz w:val="16"/>
          <w:szCs w:val="16"/>
          <w:lang w:val="es-CR"/>
        </w:rPr>
        <w:t xml:space="preserve">la Corte estableció que “cuando las actas de investigación se encuentren bajo reserva, corresponde al Estado enviar las copias solicitadas informando de tal situación y de la necesidad, conveniencia o pertinencia de mantener la confidencialidad debida de dicha información, lo cual será cuidadosamente evaluado por el Tribunal, para efectos de incorporarla al acervo probatorio del caso, respetando el principio del contradictorio en lo que correspondiere. </w:t>
      </w:r>
      <w:r w:rsidRPr="00BA4843">
        <w:rPr>
          <w:rFonts w:asciiTheme="majorHAnsi" w:hAnsiTheme="majorHAnsi"/>
          <w:bCs/>
          <w:sz w:val="16"/>
          <w:szCs w:val="16"/>
          <w:lang w:val="es-ES_tradnl"/>
        </w:rPr>
        <w:t xml:space="preserve">Corte I.D.H., </w:t>
      </w:r>
      <w:r w:rsidRPr="00BA4843">
        <w:rPr>
          <w:rFonts w:asciiTheme="majorHAnsi" w:hAnsiTheme="majorHAnsi"/>
          <w:bCs/>
          <w:i/>
          <w:sz w:val="16"/>
          <w:szCs w:val="16"/>
          <w:lang w:val="es-ES_tradnl"/>
        </w:rPr>
        <w:t>Caso Radilla Pacheco Vs. México.</w:t>
      </w:r>
      <w:r w:rsidRPr="00BA4843">
        <w:rPr>
          <w:rFonts w:asciiTheme="majorHAnsi" w:hAnsiTheme="majorHAnsi"/>
          <w:b/>
          <w:bCs/>
          <w:sz w:val="16"/>
          <w:szCs w:val="16"/>
          <w:lang w:val="es-ES_tradnl"/>
        </w:rPr>
        <w:t xml:space="preserve"> </w:t>
      </w:r>
      <w:r w:rsidRPr="00BA4843">
        <w:rPr>
          <w:rFonts w:asciiTheme="majorHAnsi" w:hAnsiTheme="majorHAnsi"/>
          <w:sz w:val="16"/>
          <w:szCs w:val="16"/>
          <w:lang w:val="es-ES_tradnl"/>
        </w:rPr>
        <w:t xml:space="preserve">Excepciones Preliminares, Fondo, Reparaciones y Costas. Sentencia de 23 de Noviembre de 2009. Serie C No. 209, párr. 91; y </w:t>
      </w:r>
      <w:r w:rsidRPr="00BA4843">
        <w:rPr>
          <w:rFonts w:asciiTheme="majorHAnsi" w:hAnsiTheme="majorHAnsi"/>
          <w:sz w:val="16"/>
          <w:szCs w:val="16"/>
          <w:lang w:val="es-CO"/>
        </w:rPr>
        <w:t xml:space="preserve">Corte IDH. </w:t>
      </w:r>
      <w:r w:rsidRPr="00BA4843">
        <w:rPr>
          <w:rFonts w:asciiTheme="majorHAnsi" w:hAnsiTheme="majorHAnsi"/>
          <w:i/>
          <w:sz w:val="16"/>
          <w:szCs w:val="16"/>
          <w:lang w:val="es-CO"/>
        </w:rPr>
        <w:t>Caso González y otras Vs. México.</w:t>
      </w:r>
      <w:r w:rsidRPr="00BA4843">
        <w:rPr>
          <w:rFonts w:asciiTheme="majorHAnsi" w:hAnsiTheme="majorHAnsi"/>
          <w:sz w:val="16"/>
          <w:szCs w:val="16"/>
          <w:lang w:val="es-CO"/>
        </w:rPr>
        <w:t xml:space="preserve"> </w:t>
      </w:r>
      <w:r w:rsidRPr="00BA4843">
        <w:rPr>
          <w:rFonts w:asciiTheme="majorHAnsi" w:hAnsiTheme="majorHAnsi"/>
          <w:i/>
          <w:sz w:val="16"/>
          <w:szCs w:val="16"/>
          <w:lang w:val="es-CO"/>
        </w:rPr>
        <w:t xml:space="preserve">Solicitud de Ampliación de Presuntas Víctimas y Negativa de Remisión de Prueba Documental. </w:t>
      </w:r>
      <w:r w:rsidRPr="00BA4843">
        <w:rPr>
          <w:rFonts w:asciiTheme="majorHAnsi" w:hAnsiTheme="majorHAnsi"/>
          <w:sz w:val="16"/>
          <w:szCs w:val="16"/>
          <w:lang w:val="es-CO"/>
        </w:rPr>
        <w:t>Resolución de la Corte Interamericana de Derechos Humanos de 19 de enero de 2009,</w:t>
      </w:r>
      <w:r w:rsidRPr="00BA4843">
        <w:rPr>
          <w:rFonts w:asciiTheme="majorHAnsi" w:hAnsiTheme="majorHAnsi"/>
          <w:bCs/>
          <w:iCs/>
          <w:sz w:val="16"/>
          <w:szCs w:val="16"/>
          <w:lang w:val="es-ES"/>
        </w:rPr>
        <w:t xml:space="preserve"> C</w:t>
      </w:r>
      <w:r w:rsidRPr="00BA4843">
        <w:rPr>
          <w:rFonts w:asciiTheme="majorHAnsi" w:hAnsiTheme="majorHAnsi"/>
          <w:sz w:val="16"/>
          <w:szCs w:val="16"/>
          <w:lang w:val="es-CO"/>
        </w:rPr>
        <w:t>onsiderando sexagésimo primero.</w:t>
      </w:r>
    </w:p>
  </w:footnote>
  <w:footnote w:id="16">
    <w:p w:rsidR="00512B04" w:rsidRPr="00BA4843" w:rsidRDefault="00512B04" w:rsidP="00BA4843">
      <w:pPr>
        <w:pStyle w:val="FootnoteText"/>
        <w:jc w:val="both"/>
        <w:rPr>
          <w:rFonts w:asciiTheme="majorHAnsi" w:hAnsiTheme="majorHAnsi"/>
          <w:sz w:val="16"/>
          <w:szCs w:val="16"/>
          <w:lang w:val="es-ES_tradnl"/>
        </w:rPr>
      </w:pPr>
      <w:r w:rsidRPr="00BA4843">
        <w:rPr>
          <w:rStyle w:val="FootnoteReference"/>
          <w:rFonts w:asciiTheme="majorHAnsi" w:hAnsiTheme="majorHAnsi"/>
          <w:sz w:val="16"/>
          <w:szCs w:val="16"/>
          <w:lang w:val="es-ES_tradnl"/>
        </w:rPr>
        <w:footnoteRef/>
      </w:r>
      <w:r w:rsidRPr="00BA4843">
        <w:rPr>
          <w:rFonts w:asciiTheme="majorHAnsi" w:hAnsiTheme="majorHAnsi"/>
          <w:bCs/>
          <w:sz w:val="16"/>
          <w:szCs w:val="16"/>
          <w:lang w:val="es-ES_tradnl"/>
        </w:rPr>
        <w:t xml:space="preserve">Corte I.D.H., </w:t>
      </w:r>
      <w:r w:rsidRPr="00BA4843">
        <w:rPr>
          <w:rFonts w:asciiTheme="majorHAnsi" w:hAnsiTheme="majorHAnsi"/>
          <w:bCs/>
          <w:i/>
          <w:sz w:val="16"/>
          <w:szCs w:val="16"/>
          <w:lang w:val="es-ES_tradnl"/>
        </w:rPr>
        <w:t>Caso Radilla Pacheco Vs. México.</w:t>
      </w:r>
      <w:r w:rsidRPr="00BA4843">
        <w:rPr>
          <w:rFonts w:asciiTheme="majorHAnsi" w:hAnsiTheme="majorHAnsi"/>
          <w:b/>
          <w:bCs/>
          <w:sz w:val="16"/>
          <w:szCs w:val="16"/>
          <w:lang w:val="es-ES_tradnl"/>
        </w:rPr>
        <w:t xml:space="preserve"> </w:t>
      </w:r>
      <w:r w:rsidRPr="00BA4843">
        <w:rPr>
          <w:rFonts w:asciiTheme="majorHAnsi" w:hAnsiTheme="majorHAnsi"/>
          <w:sz w:val="16"/>
          <w:szCs w:val="16"/>
          <w:lang w:val="es-ES_tradnl"/>
        </w:rPr>
        <w:t xml:space="preserve">Excepciones Preliminares, Fondo, Reparaciones y Costas. Sentencia de 23 de Noviembre de 2009. Serie C No. 209, párr. 92. </w:t>
      </w:r>
    </w:p>
  </w:footnote>
  <w:footnote w:id="17">
    <w:p w:rsidR="00512B04" w:rsidRPr="00BA4843" w:rsidRDefault="00512B04" w:rsidP="00BA4843">
      <w:pPr>
        <w:pStyle w:val="FootnoteText"/>
        <w:jc w:val="both"/>
        <w:rPr>
          <w:rFonts w:asciiTheme="majorHAnsi" w:hAnsiTheme="majorHAnsi"/>
          <w:sz w:val="16"/>
          <w:szCs w:val="16"/>
          <w:lang w:val="es-ES_tradnl"/>
        </w:rPr>
      </w:pPr>
      <w:r w:rsidRPr="00BA4843">
        <w:rPr>
          <w:rStyle w:val="FootnoteReference"/>
          <w:rFonts w:asciiTheme="majorHAnsi" w:hAnsiTheme="majorHAnsi"/>
          <w:sz w:val="16"/>
          <w:szCs w:val="16"/>
          <w:lang w:val="es-ES_tradnl"/>
        </w:rPr>
        <w:footnoteRef/>
      </w:r>
      <w:r w:rsidRPr="00BA4843">
        <w:rPr>
          <w:rFonts w:asciiTheme="majorHAnsi" w:hAnsiTheme="majorHAnsi"/>
          <w:bCs/>
          <w:sz w:val="16"/>
          <w:szCs w:val="16"/>
          <w:lang w:val="es-ES_tradnl"/>
        </w:rPr>
        <w:t xml:space="preserve">Corte I.D.H., </w:t>
      </w:r>
      <w:r w:rsidRPr="00BA4843">
        <w:rPr>
          <w:rFonts w:asciiTheme="majorHAnsi" w:hAnsiTheme="majorHAnsi"/>
          <w:bCs/>
          <w:i/>
          <w:sz w:val="16"/>
          <w:szCs w:val="16"/>
          <w:lang w:val="es-ES_tradnl"/>
        </w:rPr>
        <w:t>Caso Radilla Pacheco Vs. México.</w:t>
      </w:r>
      <w:r w:rsidRPr="00BA4843">
        <w:rPr>
          <w:rFonts w:asciiTheme="majorHAnsi" w:hAnsiTheme="majorHAnsi"/>
          <w:b/>
          <w:bCs/>
          <w:sz w:val="16"/>
          <w:szCs w:val="16"/>
          <w:lang w:val="es-ES_tradnl"/>
        </w:rPr>
        <w:t xml:space="preserve"> </w:t>
      </w:r>
      <w:r w:rsidRPr="00BA4843">
        <w:rPr>
          <w:rFonts w:asciiTheme="majorHAnsi" w:hAnsiTheme="majorHAnsi"/>
          <w:sz w:val="16"/>
          <w:szCs w:val="16"/>
          <w:lang w:val="es-ES_tradnl"/>
        </w:rPr>
        <w:t xml:space="preserve">Excepciones Preliminares, Fondo, Reparaciones y Costas. Sentencia de 23 de Noviembre de 2009. Serie C No. 209, párr. 92. </w:t>
      </w:r>
    </w:p>
  </w:footnote>
  <w:footnote w:id="18">
    <w:p w:rsidR="00512B04" w:rsidRPr="00BA4843" w:rsidRDefault="00512B04" w:rsidP="00BA4843">
      <w:pPr>
        <w:pStyle w:val="FootnoteText"/>
        <w:jc w:val="both"/>
        <w:rPr>
          <w:rFonts w:asciiTheme="majorHAnsi" w:hAnsiTheme="majorHAnsi" w:cs="Arial"/>
          <w:sz w:val="16"/>
          <w:szCs w:val="16"/>
          <w:lang w:val="es-CR"/>
        </w:rPr>
      </w:pPr>
      <w:r w:rsidRPr="00BA4843">
        <w:rPr>
          <w:rStyle w:val="FootnoteReference"/>
          <w:rFonts w:asciiTheme="majorHAnsi" w:hAnsiTheme="majorHAnsi" w:cs="Arial"/>
          <w:sz w:val="16"/>
          <w:szCs w:val="16"/>
        </w:rPr>
        <w:footnoteRef/>
      </w:r>
      <w:r w:rsidRPr="00BA4843">
        <w:rPr>
          <w:rFonts w:asciiTheme="majorHAnsi" w:hAnsiTheme="majorHAnsi" w:cs="Arial"/>
          <w:sz w:val="16"/>
          <w:szCs w:val="16"/>
          <w:lang w:val="es-CR"/>
        </w:rPr>
        <w:t xml:space="preserve"> Comunicación del Estado de fecha 13 de julio de 2012 y recibida el 16 de julio de 2012, párrafo 56. Hecho no controvertido por el Estado.</w:t>
      </w:r>
    </w:p>
  </w:footnote>
  <w:footnote w:id="19">
    <w:p w:rsidR="00512B04" w:rsidRPr="00BA4843" w:rsidRDefault="00512B04" w:rsidP="00BA4843">
      <w:pPr>
        <w:pStyle w:val="FootnoteText"/>
        <w:jc w:val="both"/>
        <w:rPr>
          <w:rFonts w:asciiTheme="majorHAnsi" w:hAnsiTheme="majorHAnsi"/>
          <w:sz w:val="16"/>
          <w:szCs w:val="16"/>
          <w:lang w:val="es-ES"/>
        </w:rPr>
      </w:pPr>
      <w:r w:rsidRPr="00BA4843">
        <w:rPr>
          <w:rStyle w:val="FootnoteReference"/>
          <w:rFonts w:asciiTheme="majorHAnsi" w:hAnsiTheme="majorHAnsi"/>
          <w:sz w:val="16"/>
          <w:szCs w:val="16"/>
          <w:lang w:val="es-ES"/>
        </w:rPr>
        <w:footnoteRef/>
      </w:r>
      <w:r w:rsidRPr="00BA4843">
        <w:rPr>
          <w:rFonts w:asciiTheme="majorHAnsi" w:hAnsiTheme="majorHAnsi"/>
          <w:sz w:val="16"/>
          <w:szCs w:val="16"/>
          <w:lang w:val="es-ES"/>
        </w:rPr>
        <w:t xml:space="preserve"> El artículo 43.1 del Reglamento de la CIDH establece lo siguiente: La Comisión deliberará sobre el fondo del caso, a cuyo efecto preparará un informe en el cual examinará los alegatos, las pruebas suministradas por las partes, y la información obtenida durante audiencias y observaciones </w:t>
      </w:r>
      <w:r w:rsidRPr="00BA4843">
        <w:rPr>
          <w:rFonts w:asciiTheme="majorHAnsi" w:hAnsiTheme="majorHAnsi"/>
          <w:i/>
          <w:sz w:val="16"/>
          <w:szCs w:val="16"/>
          <w:lang w:val="es-ES"/>
        </w:rPr>
        <w:t>in loco</w:t>
      </w:r>
      <w:r w:rsidRPr="00BA4843">
        <w:rPr>
          <w:rFonts w:asciiTheme="majorHAnsi" w:hAnsiTheme="majorHAnsi"/>
          <w:sz w:val="16"/>
          <w:szCs w:val="16"/>
          <w:lang w:val="es-ES"/>
        </w:rPr>
        <w:t xml:space="preserve">. Asimismo, la Comisión podrá tener en cuenta otra información de público conocimiento. </w:t>
      </w:r>
    </w:p>
  </w:footnote>
  <w:footnote w:id="20">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2. Comunicación de los peticionarios de fecha 1 de marzo de 1999 y recibida en esa misma fecha. Ver también, Anexo 3. Petición inicial de 19 de febrero de 1997 recibida el 26 de febrero de 1997 en donde señalan que “Norberto Javier Restrepo es una víctima más en el caso del genocidio de la Unión Patriótica”. </w:t>
      </w:r>
    </w:p>
  </w:footnote>
  <w:footnote w:id="21">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sz w:val="16"/>
          <w:szCs w:val="16"/>
        </w:rPr>
        <w:footnoteRef/>
      </w:r>
      <w:r w:rsidRPr="00BA4843">
        <w:rPr>
          <w:rFonts w:asciiTheme="majorHAnsi" w:hAnsiTheme="majorHAnsi"/>
          <w:sz w:val="16"/>
          <w:szCs w:val="16"/>
          <w:lang w:val="es-MX"/>
        </w:rPr>
        <w:t xml:space="preserve"> </w:t>
      </w:r>
      <w:r w:rsidRPr="00BA4843">
        <w:rPr>
          <w:rFonts w:asciiTheme="majorHAnsi" w:hAnsiTheme="majorHAnsi" w:cs="Arial"/>
          <w:color w:val="auto"/>
          <w:sz w:val="16"/>
          <w:szCs w:val="16"/>
          <w:lang w:val="es-ES_tradnl"/>
        </w:rPr>
        <w:t xml:space="preserve">Anexo 4 Comunicación de la señora Lucila Restrepo de 25 de septiembre de 1997 recibida el  3 de noviembre de 1997. </w:t>
      </w:r>
    </w:p>
  </w:footnote>
  <w:footnote w:id="22">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5. Comunicación del Estado de fecha 1 de julio de 2010, recibida ese en esa misma fecha.</w:t>
      </w:r>
    </w:p>
  </w:footnote>
  <w:footnote w:id="23">
    <w:p w:rsidR="00512B04" w:rsidRPr="00BA4843" w:rsidRDefault="00512B04" w:rsidP="00BA4843">
      <w:pPr>
        <w:pStyle w:val="FootnoteText"/>
        <w:jc w:val="both"/>
        <w:rPr>
          <w:rFonts w:asciiTheme="majorHAnsi" w:hAnsiTheme="majorHAnsi"/>
          <w:sz w:val="16"/>
          <w:szCs w:val="16"/>
          <w:lang w:val="es-ES_tradnl"/>
        </w:rPr>
      </w:pPr>
      <w:r w:rsidRPr="00BA4843">
        <w:rPr>
          <w:rStyle w:val="FootnoteReference"/>
          <w:rFonts w:asciiTheme="majorHAnsi" w:hAnsiTheme="majorHAnsi"/>
          <w:sz w:val="16"/>
          <w:szCs w:val="16"/>
          <w:lang w:val="es-ES_tradnl"/>
        </w:rPr>
        <w:footnoteRef/>
      </w:r>
      <w:r w:rsidRPr="00BA4843">
        <w:rPr>
          <w:rFonts w:asciiTheme="majorHAnsi" w:hAnsiTheme="majorHAnsi"/>
          <w:sz w:val="16"/>
          <w:szCs w:val="16"/>
          <w:lang w:val="es-ES_tradnl"/>
        </w:rPr>
        <w:t xml:space="preserve">CIDH, </w:t>
      </w:r>
      <w:r w:rsidRPr="00BA4843">
        <w:rPr>
          <w:rFonts w:asciiTheme="majorHAnsi" w:hAnsiTheme="majorHAnsi"/>
          <w:i/>
          <w:sz w:val="16"/>
          <w:szCs w:val="16"/>
          <w:lang w:val="es-ES_tradnl"/>
        </w:rPr>
        <w:t xml:space="preserve">Segundo Informe sobre la Situación de los Derechos Humanos en Colombia, Capítulo VIII. El derecho a la vida, </w:t>
      </w:r>
      <w:r w:rsidRPr="00BA4843">
        <w:rPr>
          <w:rFonts w:asciiTheme="majorHAnsi" w:hAnsiTheme="majorHAnsi"/>
          <w:sz w:val="16"/>
          <w:szCs w:val="16"/>
          <w:lang w:val="es-ES_tradnl"/>
        </w:rPr>
        <w:t>OEA/Ser.L/V/II.84, 14 de octubre de 1993.</w:t>
      </w:r>
    </w:p>
  </w:footnote>
  <w:footnote w:id="24">
    <w:p w:rsidR="00512B04" w:rsidRPr="00BA4843" w:rsidRDefault="00512B04" w:rsidP="00BA4843">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16"/>
          <w:szCs w:val="16"/>
          <w:lang w:val="es-CR"/>
        </w:rPr>
      </w:pPr>
      <w:r w:rsidRPr="00BA4843">
        <w:rPr>
          <w:rStyle w:val="FootnoteReference"/>
          <w:rFonts w:asciiTheme="majorHAnsi" w:hAnsiTheme="majorHAnsi" w:cs="Arial"/>
          <w:sz w:val="16"/>
          <w:szCs w:val="16"/>
        </w:rPr>
        <w:footnoteRef/>
      </w:r>
      <w:r w:rsidRPr="00BA4843">
        <w:rPr>
          <w:rFonts w:asciiTheme="majorHAnsi" w:hAnsiTheme="majorHAnsi" w:cs="Arial"/>
          <w:sz w:val="16"/>
          <w:szCs w:val="16"/>
          <w:lang w:val="es-CR"/>
        </w:rPr>
        <w:t xml:space="preserve"> Anexo 5. Comunicación del Estado de fecha 1 de julio de 2010, recibida ese mismo día.</w:t>
      </w:r>
    </w:p>
  </w:footnote>
  <w:footnote w:id="25">
    <w:p w:rsidR="00512B04" w:rsidRPr="00BA4843" w:rsidRDefault="00512B04" w:rsidP="00BA4843">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16"/>
          <w:szCs w:val="16"/>
          <w:lang w:val="es-CR"/>
        </w:rPr>
      </w:pPr>
      <w:r w:rsidRPr="00BA4843">
        <w:rPr>
          <w:rStyle w:val="FootnoteReference"/>
          <w:rFonts w:asciiTheme="majorHAnsi" w:hAnsiTheme="majorHAnsi" w:cs="Arial"/>
          <w:sz w:val="16"/>
          <w:szCs w:val="16"/>
        </w:rPr>
        <w:footnoteRef/>
      </w:r>
      <w:r w:rsidRPr="00BA4843">
        <w:rPr>
          <w:rFonts w:asciiTheme="majorHAnsi" w:hAnsiTheme="majorHAnsi" w:cs="Arial"/>
          <w:sz w:val="16"/>
          <w:szCs w:val="16"/>
          <w:lang w:val="es-CR"/>
        </w:rPr>
        <w:t xml:space="preserve"> Concretamente </w:t>
      </w:r>
      <w:r w:rsidRPr="00BA4843">
        <w:rPr>
          <w:rFonts w:asciiTheme="majorHAnsi" w:hAnsiTheme="majorHAnsi"/>
          <w:sz w:val="16"/>
          <w:szCs w:val="16"/>
          <w:lang w:val="es-CR"/>
        </w:rPr>
        <w:t xml:space="preserve">el Estado indicó que la hipótesis seguida en la investigación que adelanta la Fiscalía General de la Nación es  “a) Que el señor Norberto Javier podía haber sido simpatizante de la Unión Patriótica, hecho que pudo haber generado su desaparición y posterior muerte. La Fiscalía no maneja aún hipótesis sobre los responsables”. </w:t>
      </w:r>
      <w:r w:rsidRPr="00BA4843">
        <w:rPr>
          <w:rStyle w:val="FootnoteReference"/>
          <w:rFonts w:asciiTheme="majorHAnsi" w:hAnsiTheme="majorHAnsi"/>
          <w:sz w:val="16"/>
          <w:szCs w:val="16"/>
          <w:lang w:val="es-MX"/>
        </w:rPr>
        <w:t xml:space="preserve"> </w:t>
      </w:r>
      <w:r w:rsidRPr="00BA4843">
        <w:rPr>
          <w:rFonts w:asciiTheme="majorHAnsi" w:hAnsiTheme="majorHAnsi" w:cs="Arial"/>
          <w:sz w:val="16"/>
          <w:szCs w:val="16"/>
          <w:lang w:val="es-CR"/>
        </w:rPr>
        <w:t>Anexo 5. Comunicación del Estado de fecha 1 de julio de 2010, recibida ese mismo día.</w:t>
      </w:r>
    </w:p>
  </w:footnote>
  <w:footnote w:id="26">
    <w:p w:rsidR="00512B04" w:rsidRPr="00BA4843" w:rsidRDefault="00512B04" w:rsidP="00BA4843">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16"/>
          <w:szCs w:val="16"/>
          <w:lang w:val="es-CR"/>
        </w:rPr>
      </w:pPr>
      <w:r w:rsidRPr="00BA4843">
        <w:rPr>
          <w:rStyle w:val="FootnoteReference"/>
          <w:rFonts w:asciiTheme="majorHAnsi" w:hAnsiTheme="majorHAnsi" w:cs="Arial"/>
          <w:sz w:val="16"/>
          <w:szCs w:val="16"/>
        </w:rPr>
        <w:footnoteRef/>
      </w:r>
      <w:r w:rsidRPr="00BA4843">
        <w:rPr>
          <w:rFonts w:asciiTheme="majorHAnsi" w:hAnsiTheme="majorHAnsi" w:cs="Arial"/>
          <w:sz w:val="16"/>
          <w:szCs w:val="16"/>
          <w:lang w:val="es-CR"/>
        </w:rPr>
        <w:t xml:space="preserve"> Anexo 5. Comunicación del Estado de fecha 1 de julio de 2010, recibida ese mismo día.</w:t>
      </w:r>
    </w:p>
  </w:footnote>
  <w:footnote w:id="27">
    <w:p w:rsidR="00512B04" w:rsidRPr="00BA4843" w:rsidRDefault="00512B04" w:rsidP="00BA4843">
      <w:pPr>
        <w:pStyle w:val="FootnoteText"/>
        <w:jc w:val="both"/>
        <w:rPr>
          <w:rFonts w:asciiTheme="majorHAnsi" w:hAnsiTheme="majorHAnsi"/>
          <w:color w:val="auto"/>
          <w:sz w:val="16"/>
          <w:szCs w:val="16"/>
          <w:lang w:val="es-ES_tradnl"/>
        </w:rPr>
      </w:pPr>
      <w:r w:rsidRPr="00BA4843">
        <w:rPr>
          <w:rStyle w:val="FootnoteReference"/>
          <w:rFonts w:asciiTheme="majorHAnsi" w:hAnsiTheme="majorHAnsi"/>
          <w:color w:val="auto"/>
          <w:sz w:val="16"/>
          <w:szCs w:val="16"/>
          <w:lang w:val="es-ES_tradnl"/>
        </w:rPr>
        <w:footnoteRef/>
      </w:r>
      <w:r w:rsidRPr="00BA4843">
        <w:rPr>
          <w:rFonts w:asciiTheme="majorHAnsi" w:hAnsiTheme="majorHAnsi"/>
          <w:color w:val="auto"/>
          <w:sz w:val="16"/>
          <w:szCs w:val="16"/>
          <w:lang w:val="es-ES_tradnl"/>
        </w:rPr>
        <w:t xml:space="preserve"> CIDH, </w:t>
      </w:r>
      <w:r w:rsidRPr="00BA4843">
        <w:rPr>
          <w:rFonts w:asciiTheme="majorHAnsi" w:hAnsiTheme="majorHAnsi"/>
          <w:i/>
          <w:color w:val="auto"/>
          <w:sz w:val="16"/>
          <w:szCs w:val="16"/>
          <w:lang w:val="es-ES_tradnl"/>
        </w:rPr>
        <w:t xml:space="preserve"> Tercer Informe sobre la Situación de los Derechos Humanos en Colombia, Capítulo IX La Libertad de Asociación y los Derechos Políticos,  </w:t>
      </w:r>
      <w:r w:rsidRPr="00BA4843">
        <w:rPr>
          <w:rFonts w:asciiTheme="majorHAnsi" w:hAnsiTheme="majorHAnsi"/>
          <w:color w:val="auto"/>
          <w:sz w:val="16"/>
          <w:szCs w:val="16"/>
          <w:lang w:val="es-ES_tradnl"/>
        </w:rPr>
        <w:t xml:space="preserve">OEA/Ser.L/V/II.102, 26 de febrero de 1999, párr. 50. </w:t>
      </w:r>
    </w:p>
  </w:footnote>
  <w:footnote w:id="28">
    <w:p w:rsidR="00512B04" w:rsidRPr="00BA4843" w:rsidRDefault="00512B04" w:rsidP="00BA4843">
      <w:pPr>
        <w:pStyle w:val="FootnoteText"/>
        <w:jc w:val="both"/>
        <w:rPr>
          <w:rFonts w:asciiTheme="majorHAnsi" w:hAnsiTheme="majorHAnsi"/>
          <w:color w:val="auto"/>
          <w:sz w:val="16"/>
          <w:szCs w:val="16"/>
          <w:lang w:val="es-ES_tradnl"/>
        </w:rPr>
      </w:pPr>
      <w:r w:rsidRPr="00BA4843">
        <w:rPr>
          <w:rStyle w:val="FootnoteReference"/>
          <w:rFonts w:asciiTheme="majorHAnsi" w:hAnsiTheme="majorHAnsi"/>
          <w:color w:val="auto"/>
          <w:sz w:val="16"/>
          <w:szCs w:val="16"/>
          <w:lang w:val="es-ES_tradnl"/>
        </w:rPr>
        <w:footnoteRef/>
      </w:r>
      <w:r w:rsidRPr="00BA4843">
        <w:rPr>
          <w:rFonts w:asciiTheme="majorHAnsi" w:hAnsiTheme="majorHAnsi"/>
          <w:color w:val="auto"/>
          <w:sz w:val="16"/>
          <w:szCs w:val="16"/>
          <w:lang w:val="es-ES_tradnl"/>
        </w:rPr>
        <w:t xml:space="preserve"> CIDH, </w:t>
      </w:r>
      <w:r w:rsidRPr="00BA4843">
        <w:rPr>
          <w:rFonts w:asciiTheme="majorHAnsi" w:hAnsiTheme="majorHAnsi"/>
          <w:i/>
          <w:color w:val="auto"/>
          <w:sz w:val="16"/>
          <w:szCs w:val="16"/>
          <w:lang w:val="es-ES_tradnl"/>
        </w:rPr>
        <w:t xml:space="preserve"> Tercer Informe sobre la Situación de los Derechos Humanos en Colombia, Capítulo IX La Libertad de Asociación y los Derechos Políticos,  </w:t>
      </w:r>
      <w:r w:rsidRPr="00BA4843">
        <w:rPr>
          <w:rFonts w:asciiTheme="majorHAnsi" w:hAnsiTheme="majorHAnsi"/>
          <w:color w:val="auto"/>
          <w:sz w:val="16"/>
          <w:szCs w:val="16"/>
          <w:lang w:val="es-ES_tradnl"/>
        </w:rPr>
        <w:t xml:space="preserve">OEA/Ser.L/V/II.102, 26 de febrero de 1999, párr. 50. </w:t>
      </w:r>
    </w:p>
  </w:footnote>
  <w:footnote w:id="29">
    <w:p w:rsidR="00512B04" w:rsidRPr="00BA4843" w:rsidRDefault="00512B04" w:rsidP="00BA4843">
      <w:pPr>
        <w:jc w:val="both"/>
        <w:rPr>
          <w:rFonts w:asciiTheme="majorHAnsi" w:eastAsia="Times New Roman" w:hAnsiTheme="majorHAnsi"/>
          <w:sz w:val="16"/>
          <w:szCs w:val="16"/>
          <w:bdr w:val="none" w:sz="0" w:space="0" w:color="auto"/>
          <w:lang w:val="es-ES_tradnl"/>
        </w:rPr>
      </w:pPr>
      <w:r w:rsidRPr="00BA4843">
        <w:rPr>
          <w:rStyle w:val="FootnoteReference"/>
          <w:rFonts w:asciiTheme="majorHAnsi" w:hAnsiTheme="majorHAnsi"/>
          <w:sz w:val="16"/>
          <w:szCs w:val="16"/>
          <w:lang w:val="es-ES_tradnl"/>
        </w:rPr>
        <w:footnoteRef/>
      </w:r>
      <w:r w:rsidRPr="00BA4843">
        <w:rPr>
          <w:rFonts w:asciiTheme="majorHAnsi" w:hAnsiTheme="majorHAnsi"/>
          <w:sz w:val="16"/>
          <w:szCs w:val="16"/>
          <w:lang w:val="es-ES_tradnl"/>
        </w:rPr>
        <w:t xml:space="preserve"> </w:t>
      </w:r>
      <w:r w:rsidRPr="00BA4843">
        <w:rPr>
          <w:rFonts w:asciiTheme="majorHAnsi" w:eastAsia="Times New Roman" w:hAnsiTheme="majorHAnsi"/>
          <w:sz w:val="16"/>
          <w:szCs w:val="16"/>
          <w:bdr w:val="none" w:sz="0" w:space="0" w:color="auto"/>
          <w:lang w:val="es-ES_tradnl"/>
        </w:rPr>
        <w:t xml:space="preserve">Cfr. Informe del Defensor del Pueblo para el Gobierno, el Congreso y el Procurador General de la Nación titulado “Estudio de casos de homicidio de miembros de la Unión Patriótica y Esperanza, Paz y Libertad” de octubre de 2002, citado en </w:t>
      </w:r>
      <w:r w:rsidRPr="00BA4843">
        <w:rPr>
          <w:rFonts w:asciiTheme="majorHAnsi" w:eastAsia="Times New Roman" w:hAnsiTheme="majorHAnsi" w:cs="Arial"/>
          <w:sz w:val="16"/>
          <w:szCs w:val="16"/>
          <w:bdr w:val="none" w:sz="0" w:space="0" w:color="auto"/>
          <w:shd w:val="clear" w:color="auto" w:fill="FFFFFF"/>
          <w:lang w:val="es-ES_tradnl"/>
        </w:rPr>
        <w:t>Corte IDH. </w:t>
      </w:r>
      <w:r w:rsidRPr="00BA4843">
        <w:rPr>
          <w:rFonts w:asciiTheme="majorHAnsi" w:eastAsia="Times New Roman" w:hAnsiTheme="majorHAnsi" w:cs="Arial"/>
          <w:bCs/>
          <w:i/>
          <w:sz w:val="16"/>
          <w:szCs w:val="16"/>
          <w:bdr w:val="none" w:sz="0" w:space="0" w:color="auto"/>
          <w:shd w:val="clear" w:color="auto" w:fill="FFFFFF"/>
          <w:lang w:val="es-ES_tradnl"/>
        </w:rPr>
        <w:t>Caso</w:t>
      </w:r>
      <w:r w:rsidRPr="00BA4843">
        <w:rPr>
          <w:rFonts w:asciiTheme="majorHAnsi" w:eastAsia="Times New Roman" w:hAnsiTheme="majorHAnsi" w:cs="Arial"/>
          <w:i/>
          <w:sz w:val="16"/>
          <w:szCs w:val="16"/>
          <w:bdr w:val="none" w:sz="0" w:space="0" w:color="auto"/>
          <w:shd w:val="clear" w:color="auto" w:fill="FFFFFF"/>
          <w:lang w:val="es-ES_tradnl"/>
        </w:rPr>
        <w:t> Manuel </w:t>
      </w:r>
      <w:r w:rsidRPr="00BA4843">
        <w:rPr>
          <w:rFonts w:asciiTheme="majorHAnsi" w:eastAsia="Times New Roman" w:hAnsiTheme="majorHAnsi" w:cs="Arial"/>
          <w:bCs/>
          <w:i/>
          <w:sz w:val="16"/>
          <w:szCs w:val="16"/>
          <w:bdr w:val="none" w:sz="0" w:space="0" w:color="auto"/>
          <w:shd w:val="clear" w:color="auto" w:fill="FFFFFF"/>
          <w:lang w:val="es-ES_tradnl"/>
        </w:rPr>
        <w:t>Cepeda</w:t>
      </w:r>
      <w:r w:rsidRPr="00BA4843">
        <w:rPr>
          <w:rFonts w:asciiTheme="majorHAnsi" w:eastAsia="Times New Roman" w:hAnsiTheme="majorHAnsi" w:cs="Arial"/>
          <w:i/>
          <w:sz w:val="16"/>
          <w:szCs w:val="16"/>
          <w:bdr w:val="none" w:sz="0" w:space="0" w:color="auto"/>
          <w:shd w:val="clear" w:color="auto" w:fill="FFFFFF"/>
          <w:lang w:val="es-ES_tradnl"/>
        </w:rPr>
        <w:t> Vargas Vs. Colombia. Excepciones Preliminares, Fondo, Reparaciones y Costas</w:t>
      </w:r>
      <w:r w:rsidRPr="00BA4843">
        <w:rPr>
          <w:rFonts w:asciiTheme="majorHAnsi" w:eastAsia="Times New Roman" w:hAnsiTheme="majorHAnsi" w:cs="Arial"/>
          <w:sz w:val="16"/>
          <w:szCs w:val="16"/>
          <w:bdr w:val="none" w:sz="0" w:space="0" w:color="auto"/>
          <w:shd w:val="clear" w:color="auto" w:fill="FFFFFF"/>
          <w:lang w:val="es-ES_tradnl"/>
        </w:rPr>
        <w:t>. Sentencia de 26 de mayo de 2010. Serie C No. 213, párr. 76.</w:t>
      </w:r>
    </w:p>
  </w:footnote>
  <w:footnote w:id="30">
    <w:p w:rsidR="00512B04" w:rsidRPr="00BA4843" w:rsidRDefault="00512B04" w:rsidP="00BA4843">
      <w:pPr>
        <w:pStyle w:val="FootnoteText"/>
        <w:jc w:val="both"/>
        <w:rPr>
          <w:rFonts w:asciiTheme="majorHAnsi" w:hAnsiTheme="majorHAnsi"/>
          <w:color w:val="auto"/>
          <w:sz w:val="16"/>
          <w:szCs w:val="16"/>
          <w:lang w:val="es-ES_tradnl"/>
        </w:rPr>
      </w:pPr>
      <w:r w:rsidRPr="00BA4843">
        <w:rPr>
          <w:rStyle w:val="FootnoteReference"/>
          <w:rFonts w:asciiTheme="majorHAnsi" w:hAnsiTheme="majorHAnsi"/>
          <w:color w:val="auto"/>
          <w:sz w:val="16"/>
          <w:szCs w:val="16"/>
          <w:lang w:val="es-ES_tradnl"/>
        </w:rPr>
        <w:footnoteRef/>
      </w:r>
      <w:r w:rsidRPr="00BA4843">
        <w:rPr>
          <w:rFonts w:asciiTheme="majorHAnsi" w:hAnsiTheme="majorHAnsi"/>
          <w:color w:val="auto"/>
          <w:sz w:val="16"/>
          <w:szCs w:val="16"/>
          <w:lang w:val="es-ES_tradnl"/>
        </w:rPr>
        <w:t xml:space="preserve"> CIDH, </w:t>
      </w:r>
      <w:r w:rsidRPr="00BA4843">
        <w:rPr>
          <w:rFonts w:asciiTheme="majorHAnsi" w:hAnsiTheme="majorHAnsi"/>
          <w:i/>
          <w:color w:val="auto"/>
          <w:sz w:val="16"/>
          <w:szCs w:val="16"/>
          <w:lang w:val="es-ES_tradnl"/>
        </w:rPr>
        <w:t xml:space="preserve"> Tercer Informe sobre la Situación de los Derechos Humanos en Colombia, Capítulo IX La Libertad de Asociación y los Derechos Políticos,  </w:t>
      </w:r>
      <w:r w:rsidRPr="00BA4843">
        <w:rPr>
          <w:rFonts w:asciiTheme="majorHAnsi" w:hAnsiTheme="majorHAnsi"/>
          <w:color w:val="auto"/>
          <w:sz w:val="16"/>
          <w:szCs w:val="16"/>
          <w:lang w:val="es-ES_tradnl"/>
        </w:rPr>
        <w:t xml:space="preserve">OEA/Ser.L/V/II.102, 26 de febrero de 1999, párr. 52. </w:t>
      </w:r>
    </w:p>
  </w:footnote>
  <w:footnote w:id="31">
    <w:p w:rsidR="00512B04" w:rsidRPr="00BA4843" w:rsidRDefault="00512B04" w:rsidP="00BA4843">
      <w:pPr>
        <w:jc w:val="both"/>
        <w:rPr>
          <w:rFonts w:asciiTheme="majorHAnsi" w:eastAsia="Times New Roman" w:hAnsiTheme="majorHAnsi"/>
          <w:sz w:val="16"/>
          <w:szCs w:val="16"/>
          <w:bdr w:val="none" w:sz="0" w:space="0" w:color="auto"/>
          <w:lang w:val="es-ES_tradnl"/>
        </w:rPr>
      </w:pPr>
      <w:r w:rsidRPr="00BA4843">
        <w:rPr>
          <w:rStyle w:val="FootnoteReference"/>
          <w:rFonts w:asciiTheme="majorHAnsi" w:hAnsiTheme="majorHAnsi"/>
          <w:sz w:val="16"/>
          <w:szCs w:val="16"/>
          <w:lang w:val="es-ES_tradnl"/>
        </w:rPr>
        <w:footnoteRef/>
      </w:r>
      <w:r w:rsidRPr="00BA4843">
        <w:rPr>
          <w:rFonts w:asciiTheme="majorHAnsi" w:hAnsiTheme="majorHAnsi"/>
          <w:sz w:val="16"/>
          <w:szCs w:val="16"/>
          <w:lang w:val="es-ES_tradnl"/>
        </w:rPr>
        <w:t xml:space="preserve"> </w:t>
      </w:r>
      <w:r w:rsidRPr="00BA4843">
        <w:rPr>
          <w:rFonts w:asciiTheme="majorHAnsi" w:eastAsia="Times New Roman" w:hAnsiTheme="majorHAnsi"/>
          <w:sz w:val="16"/>
          <w:szCs w:val="16"/>
          <w:bdr w:val="none" w:sz="0" w:space="0" w:color="auto"/>
          <w:lang w:val="es-ES_tradnl"/>
        </w:rPr>
        <w:t>Naciones Unidas, Informe de la Alta Comisionada de las Naciones Unidas para los Derechos Humanos sobre la Oficina en Colombia, E/CN.4/1998/16, de 9 de marzo de 1998.</w:t>
      </w:r>
    </w:p>
  </w:footnote>
  <w:footnote w:id="32">
    <w:p w:rsidR="00512B04" w:rsidRPr="00BA4843" w:rsidRDefault="00512B04" w:rsidP="00BA4843">
      <w:pPr>
        <w:jc w:val="both"/>
        <w:rPr>
          <w:rFonts w:asciiTheme="majorHAnsi" w:hAnsiTheme="majorHAnsi"/>
          <w:sz w:val="16"/>
          <w:szCs w:val="16"/>
          <w:lang w:val="es-ES_tradnl"/>
        </w:rPr>
      </w:pPr>
      <w:r w:rsidRPr="00BA4843">
        <w:rPr>
          <w:rStyle w:val="FootnoteReference"/>
          <w:rFonts w:asciiTheme="majorHAnsi" w:hAnsiTheme="majorHAnsi"/>
          <w:sz w:val="16"/>
          <w:szCs w:val="16"/>
          <w:lang w:val="es-ES_tradnl"/>
        </w:rPr>
        <w:footnoteRef/>
      </w:r>
      <w:r w:rsidRPr="00BA4843">
        <w:rPr>
          <w:rFonts w:asciiTheme="majorHAnsi" w:hAnsiTheme="majorHAnsi"/>
          <w:sz w:val="16"/>
          <w:szCs w:val="16"/>
          <w:lang w:val="es-ES_tradnl"/>
        </w:rPr>
        <w:t xml:space="preserve"> </w:t>
      </w:r>
      <w:r w:rsidRPr="00BA4843">
        <w:rPr>
          <w:rFonts w:asciiTheme="majorHAnsi" w:eastAsia="Times New Roman" w:hAnsiTheme="majorHAnsi"/>
          <w:sz w:val="16"/>
          <w:szCs w:val="16"/>
          <w:bdr w:val="none" w:sz="0" w:space="0" w:color="auto"/>
          <w:lang w:val="es-ES_tradnl"/>
        </w:rPr>
        <w:t xml:space="preserve">Dictamen rendido por el perito Eduardo Cifuentes Muñoz citado en </w:t>
      </w:r>
      <w:r w:rsidRPr="00BA4843">
        <w:rPr>
          <w:rFonts w:asciiTheme="majorHAnsi" w:eastAsia="Times New Roman" w:hAnsiTheme="majorHAnsi" w:cs="Arial"/>
          <w:sz w:val="16"/>
          <w:szCs w:val="16"/>
          <w:bdr w:val="none" w:sz="0" w:space="0" w:color="auto"/>
          <w:shd w:val="clear" w:color="auto" w:fill="FFFFFF"/>
          <w:lang w:val="es-ES_tradnl"/>
        </w:rPr>
        <w:t>Corte IDH. </w:t>
      </w:r>
      <w:r w:rsidRPr="00BA4843">
        <w:rPr>
          <w:rFonts w:asciiTheme="majorHAnsi" w:eastAsia="Times New Roman" w:hAnsiTheme="majorHAnsi" w:cs="Arial"/>
          <w:bCs/>
          <w:i/>
          <w:sz w:val="16"/>
          <w:szCs w:val="16"/>
          <w:bdr w:val="none" w:sz="0" w:space="0" w:color="auto"/>
          <w:shd w:val="clear" w:color="auto" w:fill="FFFFFF"/>
          <w:lang w:val="es-ES_tradnl"/>
        </w:rPr>
        <w:t>Caso</w:t>
      </w:r>
      <w:r w:rsidRPr="00BA4843">
        <w:rPr>
          <w:rFonts w:asciiTheme="majorHAnsi" w:eastAsia="Times New Roman" w:hAnsiTheme="majorHAnsi" w:cs="Arial"/>
          <w:i/>
          <w:sz w:val="16"/>
          <w:szCs w:val="16"/>
          <w:bdr w:val="none" w:sz="0" w:space="0" w:color="auto"/>
          <w:shd w:val="clear" w:color="auto" w:fill="FFFFFF"/>
          <w:lang w:val="es-ES_tradnl"/>
        </w:rPr>
        <w:t> Manuel </w:t>
      </w:r>
      <w:r w:rsidRPr="00BA4843">
        <w:rPr>
          <w:rFonts w:asciiTheme="majorHAnsi" w:eastAsia="Times New Roman" w:hAnsiTheme="majorHAnsi" w:cs="Arial"/>
          <w:bCs/>
          <w:i/>
          <w:sz w:val="16"/>
          <w:szCs w:val="16"/>
          <w:bdr w:val="none" w:sz="0" w:space="0" w:color="auto"/>
          <w:shd w:val="clear" w:color="auto" w:fill="FFFFFF"/>
          <w:lang w:val="es-ES_tradnl"/>
        </w:rPr>
        <w:t>Cepeda</w:t>
      </w:r>
      <w:r w:rsidRPr="00BA4843">
        <w:rPr>
          <w:rFonts w:asciiTheme="majorHAnsi" w:eastAsia="Times New Roman" w:hAnsiTheme="majorHAnsi" w:cs="Arial"/>
          <w:i/>
          <w:sz w:val="16"/>
          <w:szCs w:val="16"/>
          <w:bdr w:val="none" w:sz="0" w:space="0" w:color="auto"/>
          <w:shd w:val="clear" w:color="auto" w:fill="FFFFFF"/>
          <w:lang w:val="es-ES_tradnl"/>
        </w:rPr>
        <w:t> Vargas Vs. Colombia. Excepciones Preliminares, Fondo, Reparaciones y Costas</w:t>
      </w:r>
      <w:r w:rsidRPr="00BA4843">
        <w:rPr>
          <w:rFonts w:asciiTheme="majorHAnsi" w:eastAsia="Times New Roman" w:hAnsiTheme="majorHAnsi" w:cs="Arial"/>
          <w:sz w:val="16"/>
          <w:szCs w:val="16"/>
          <w:bdr w:val="none" w:sz="0" w:space="0" w:color="auto"/>
          <w:shd w:val="clear" w:color="auto" w:fill="FFFFFF"/>
          <w:lang w:val="es-ES_tradnl"/>
        </w:rPr>
        <w:t>. Sentencia de 26 de mayo de 2010. Serie C No. 213, nota al pie 84.</w:t>
      </w:r>
    </w:p>
  </w:footnote>
  <w:footnote w:id="33">
    <w:p w:rsidR="00512B04" w:rsidRPr="00BA4843" w:rsidRDefault="00512B04" w:rsidP="00BA4843">
      <w:pPr>
        <w:jc w:val="both"/>
        <w:rPr>
          <w:rFonts w:asciiTheme="majorHAnsi" w:eastAsia="Times New Roman" w:hAnsiTheme="majorHAnsi"/>
          <w:sz w:val="16"/>
          <w:szCs w:val="16"/>
          <w:bdr w:val="none" w:sz="0" w:space="0" w:color="auto"/>
          <w:lang w:val="es-ES_tradnl"/>
        </w:rPr>
      </w:pPr>
      <w:r w:rsidRPr="00BA4843">
        <w:rPr>
          <w:rStyle w:val="FootnoteReference"/>
          <w:rFonts w:asciiTheme="majorHAnsi" w:hAnsiTheme="majorHAnsi"/>
          <w:sz w:val="16"/>
          <w:szCs w:val="16"/>
          <w:lang w:val="es-ES_tradnl"/>
        </w:rPr>
        <w:footnoteRef/>
      </w:r>
      <w:r w:rsidRPr="00945820">
        <w:rPr>
          <w:rFonts w:asciiTheme="majorHAnsi" w:hAnsiTheme="majorHAnsi"/>
          <w:sz w:val="16"/>
          <w:szCs w:val="16"/>
          <w:lang w:val="es-ES"/>
        </w:rPr>
        <w:t xml:space="preserve"> </w:t>
      </w:r>
      <w:r w:rsidRPr="00945820">
        <w:rPr>
          <w:rFonts w:asciiTheme="majorHAnsi" w:eastAsia="Times New Roman" w:hAnsiTheme="majorHAnsi" w:cs="Arial"/>
          <w:sz w:val="16"/>
          <w:szCs w:val="16"/>
          <w:bdr w:val="none" w:sz="0" w:space="0" w:color="auto"/>
          <w:shd w:val="clear" w:color="auto" w:fill="FFFFFF"/>
          <w:lang w:val="es-ES"/>
        </w:rPr>
        <w:t>Corte IDH. </w:t>
      </w:r>
      <w:r w:rsidRPr="00945820">
        <w:rPr>
          <w:rFonts w:asciiTheme="majorHAnsi" w:eastAsia="Times New Roman" w:hAnsiTheme="majorHAnsi" w:cs="Arial"/>
          <w:bCs/>
          <w:i/>
          <w:sz w:val="16"/>
          <w:szCs w:val="16"/>
          <w:bdr w:val="none" w:sz="0" w:space="0" w:color="auto"/>
          <w:shd w:val="clear" w:color="auto" w:fill="FFFFFF"/>
          <w:lang w:val="es-ES"/>
        </w:rPr>
        <w:t>Caso</w:t>
      </w:r>
      <w:r w:rsidRPr="00945820">
        <w:rPr>
          <w:rFonts w:asciiTheme="majorHAnsi" w:eastAsia="Times New Roman" w:hAnsiTheme="majorHAnsi" w:cs="Arial"/>
          <w:i/>
          <w:sz w:val="16"/>
          <w:szCs w:val="16"/>
          <w:bdr w:val="none" w:sz="0" w:space="0" w:color="auto"/>
          <w:shd w:val="clear" w:color="auto" w:fill="FFFFFF"/>
          <w:lang w:val="es-ES"/>
        </w:rPr>
        <w:t> Manuel </w:t>
      </w:r>
      <w:r w:rsidRPr="00945820">
        <w:rPr>
          <w:rFonts w:asciiTheme="majorHAnsi" w:eastAsia="Times New Roman" w:hAnsiTheme="majorHAnsi" w:cs="Arial"/>
          <w:bCs/>
          <w:i/>
          <w:sz w:val="16"/>
          <w:szCs w:val="16"/>
          <w:bdr w:val="none" w:sz="0" w:space="0" w:color="auto"/>
          <w:shd w:val="clear" w:color="auto" w:fill="FFFFFF"/>
          <w:lang w:val="es-ES"/>
        </w:rPr>
        <w:t>Cepeda</w:t>
      </w:r>
      <w:r w:rsidRPr="00945820">
        <w:rPr>
          <w:rFonts w:asciiTheme="majorHAnsi" w:eastAsia="Times New Roman" w:hAnsiTheme="majorHAnsi" w:cs="Arial"/>
          <w:i/>
          <w:sz w:val="16"/>
          <w:szCs w:val="16"/>
          <w:bdr w:val="none" w:sz="0" w:space="0" w:color="auto"/>
          <w:shd w:val="clear" w:color="auto" w:fill="FFFFFF"/>
          <w:lang w:val="es-ES"/>
        </w:rPr>
        <w:t xml:space="preserve"> Vargas Vs. </w:t>
      </w:r>
      <w:r w:rsidRPr="00BA4843">
        <w:rPr>
          <w:rFonts w:asciiTheme="majorHAnsi" w:eastAsia="Times New Roman" w:hAnsiTheme="majorHAnsi" w:cs="Arial"/>
          <w:i/>
          <w:sz w:val="16"/>
          <w:szCs w:val="16"/>
          <w:bdr w:val="none" w:sz="0" w:space="0" w:color="auto"/>
          <w:shd w:val="clear" w:color="auto" w:fill="FFFFFF"/>
          <w:lang w:val="es-ES_tradnl"/>
        </w:rPr>
        <w:t>Colombia. Excepciones Preliminares, Fondo, Reparaciones y Costas</w:t>
      </w:r>
      <w:r w:rsidRPr="00BA4843">
        <w:rPr>
          <w:rFonts w:asciiTheme="majorHAnsi" w:eastAsia="Times New Roman" w:hAnsiTheme="majorHAnsi" w:cs="Arial"/>
          <w:sz w:val="16"/>
          <w:szCs w:val="16"/>
          <w:bdr w:val="none" w:sz="0" w:space="0" w:color="auto"/>
          <w:shd w:val="clear" w:color="auto" w:fill="FFFFFF"/>
          <w:lang w:val="es-ES_tradnl"/>
        </w:rPr>
        <w:t>. Sentencia de 26 de mayo de 2010. Serie C No. 213, párr. 78.</w:t>
      </w:r>
    </w:p>
  </w:footnote>
  <w:footnote w:id="34">
    <w:p w:rsidR="00512B04" w:rsidRPr="00BA4843" w:rsidRDefault="00512B04" w:rsidP="00BA4843">
      <w:pPr>
        <w:jc w:val="both"/>
        <w:rPr>
          <w:rFonts w:asciiTheme="majorHAnsi" w:eastAsia="Times New Roman" w:hAnsiTheme="majorHAnsi"/>
          <w:sz w:val="16"/>
          <w:szCs w:val="16"/>
          <w:bdr w:val="none" w:sz="0" w:space="0" w:color="auto"/>
          <w:lang w:val="es-ES_tradnl"/>
        </w:rPr>
      </w:pPr>
      <w:r w:rsidRPr="00BA4843">
        <w:rPr>
          <w:rStyle w:val="FootnoteReference"/>
          <w:rFonts w:asciiTheme="majorHAnsi" w:hAnsiTheme="majorHAnsi"/>
          <w:sz w:val="16"/>
          <w:szCs w:val="16"/>
          <w:lang w:val="es-ES_tradnl"/>
        </w:rPr>
        <w:footnoteRef/>
      </w:r>
      <w:r w:rsidRPr="00BA4843">
        <w:rPr>
          <w:rFonts w:asciiTheme="majorHAnsi" w:hAnsiTheme="majorHAnsi"/>
          <w:sz w:val="16"/>
          <w:szCs w:val="16"/>
          <w:lang w:val="es-ES_tradnl"/>
        </w:rPr>
        <w:t xml:space="preserve"> </w:t>
      </w:r>
      <w:r w:rsidRPr="00BA4843">
        <w:rPr>
          <w:rFonts w:asciiTheme="majorHAnsi" w:eastAsia="Times New Roman" w:hAnsiTheme="majorHAnsi"/>
          <w:sz w:val="16"/>
          <w:szCs w:val="16"/>
          <w:bdr w:val="none" w:sz="0" w:space="0" w:color="auto"/>
          <w:lang w:val="es-ES_tradnl"/>
        </w:rPr>
        <w:t xml:space="preserve">Cfr. Informe del Defensor del Pueblo para el Gobierno, el Congreso y el Procurador General de la Nación titulado “Estudio de casos de homicidio de miembros de la Unión Patriótica y Esperanza, Paz y Libertad” de octubre de 2002, citado en </w:t>
      </w:r>
      <w:r w:rsidRPr="00BA4843">
        <w:rPr>
          <w:rFonts w:asciiTheme="majorHAnsi" w:eastAsia="Times New Roman" w:hAnsiTheme="majorHAnsi" w:cs="Arial"/>
          <w:sz w:val="16"/>
          <w:szCs w:val="16"/>
          <w:bdr w:val="none" w:sz="0" w:space="0" w:color="auto"/>
          <w:shd w:val="clear" w:color="auto" w:fill="FFFFFF"/>
          <w:lang w:val="es-ES_tradnl"/>
        </w:rPr>
        <w:t>Corte IDH. </w:t>
      </w:r>
      <w:r w:rsidRPr="00BA4843">
        <w:rPr>
          <w:rFonts w:asciiTheme="majorHAnsi" w:eastAsia="Times New Roman" w:hAnsiTheme="majorHAnsi" w:cs="Arial"/>
          <w:bCs/>
          <w:i/>
          <w:sz w:val="16"/>
          <w:szCs w:val="16"/>
          <w:bdr w:val="none" w:sz="0" w:space="0" w:color="auto"/>
          <w:shd w:val="clear" w:color="auto" w:fill="FFFFFF"/>
          <w:lang w:val="es-ES_tradnl"/>
        </w:rPr>
        <w:t>Caso</w:t>
      </w:r>
      <w:r w:rsidRPr="00BA4843">
        <w:rPr>
          <w:rFonts w:asciiTheme="majorHAnsi" w:eastAsia="Times New Roman" w:hAnsiTheme="majorHAnsi" w:cs="Arial"/>
          <w:i/>
          <w:sz w:val="16"/>
          <w:szCs w:val="16"/>
          <w:bdr w:val="none" w:sz="0" w:space="0" w:color="auto"/>
          <w:shd w:val="clear" w:color="auto" w:fill="FFFFFF"/>
          <w:lang w:val="es-ES_tradnl"/>
        </w:rPr>
        <w:t> Manuel </w:t>
      </w:r>
      <w:r w:rsidRPr="00BA4843">
        <w:rPr>
          <w:rFonts w:asciiTheme="majorHAnsi" w:eastAsia="Times New Roman" w:hAnsiTheme="majorHAnsi" w:cs="Arial"/>
          <w:bCs/>
          <w:i/>
          <w:sz w:val="16"/>
          <w:szCs w:val="16"/>
          <w:bdr w:val="none" w:sz="0" w:space="0" w:color="auto"/>
          <w:shd w:val="clear" w:color="auto" w:fill="FFFFFF"/>
          <w:lang w:val="es-ES_tradnl"/>
        </w:rPr>
        <w:t>Cepeda</w:t>
      </w:r>
      <w:r w:rsidRPr="00BA4843">
        <w:rPr>
          <w:rFonts w:asciiTheme="majorHAnsi" w:eastAsia="Times New Roman" w:hAnsiTheme="majorHAnsi" w:cs="Arial"/>
          <w:i/>
          <w:sz w:val="16"/>
          <w:szCs w:val="16"/>
          <w:bdr w:val="none" w:sz="0" w:space="0" w:color="auto"/>
          <w:shd w:val="clear" w:color="auto" w:fill="FFFFFF"/>
          <w:lang w:val="es-ES_tradnl"/>
        </w:rPr>
        <w:t> Vargas Vs. Colombia. Excepciones Preliminares, Fondo, Reparaciones y Costas</w:t>
      </w:r>
      <w:r w:rsidRPr="00BA4843">
        <w:rPr>
          <w:rFonts w:asciiTheme="majorHAnsi" w:eastAsia="Times New Roman" w:hAnsiTheme="majorHAnsi" w:cs="Arial"/>
          <w:sz w:val="16"/>
          <w:szCs w:val="16"/>
          <w:bdr w:val="none" w:sz="0" w:space="0" w:color="auto"/>
          <w:shd w:val="clear" w:color="auto" w:fill="FFFFFF"/>
          <w:lang w:val="es-ES_tradnl"/>
        </w:rPr>
        <w:t>. Sentencia de 26 de mayo de 2010. Serie C No. 213, párr. 78.</w:t>
      </w:r>
    </w:p>
  </w:footnote>
  <w:footnote w:id="35">
    <w:p w:rsidR="00512B04" w:rsidRPr="00BA4843" w:rsidRDefault="00512B04" w:rsidP="00BA4843">
      <w:pPr>
        <w:jc w:val="both"/>
        <w:rPr>
          <w:rFonts w:asciiTheme="majorHAnsi" w:eastAsia="Times New Roman" w:hAnsiTheme="majorHAnsi"/>
          <w:sz w:val="16"/>
          <w:szCs w:val="16"/>
          <w:bdr w:val="none" w:sz="0" w:space="0" w:color="auto"/>
          <w:lang w:val="es-ES_tradnl"/>
        </w:rPr>
      </w:pPr>
      <w:r w:rsidRPr="00BA4843">
        <w:rPr>
          <w:rStyle w:val="FootnoteReference"/>
          <w:rFonts w:asciiTheme="majorHAnsi" w:hAnsiTheme="majorHAnsi"/>
          <w:sz w:val="16"/>
          <w:szCs w:val="16"/>
          <w:lang w:val="es-ES_tradnl"/>
        </w:rPr>
        <w:footnoteRef/>
      </w:r>
      <w:r w:rsidRPr="00BA4843">
        <w:rPr>
          <w:rFonts w:asciiTheme="majorHAnsi" w:hAnsiTheme="majorHAnsi"/>
          <w:sz w:val="16"/>
          <w:szCs w:val="16"/>
          <w:lang w:val="es-ES_tradnl"/>
        </w:rPr>
        <w:t xml:space="preserve"> </w:t>
      </w:r>
      <w:r w:rsidRPr="00BA4843">
        <w:rPr>
          <w:rFonts w:asciiTheme="majorHAnsi" w:eastAsia="Times New Roman" w:hAnsiTheme="majorHAnsi" w:cs="Arial"/>
          <w:sz w:val="16"/>
          <w:szCs w:val="16"/>
          <w:bdr w:val="none" w:sz="0" w:space="0" w:color="auto"/>
          <w:shd w:val="clear" w:color="auto" w:fill="FFFFFF"/>
          <w:lang w:val="es-ES_tradnl"/>
        </w:rPr>
        <w:t>Corte IDH. </w:t>
      </w:r>
      <w:r w:rsidRPr="00BA4843">
        <w:rPr>
          <w:rFonts w:asciiTheme="majorHAnsi" w:eastAsia="Times New Roman" w:hAnsiTheme="majorHAnsi" w:cs="Arial"/>
          <w:bCs/>
          <w:i/>
          <w:sz w:val="16"/>
          <w:szCs w:val="16"/>
          <w:bdr w:val="none" w:sz="0" w:space="0" w:color="auto"/>
          <w:shd w:val="clear" w:color="auto" w:fill="FFFFFF"/>
          <w:lang w:val="es-ES_tradnl"/>
        </w:rPr>
        <w:t>Caso</w:t>
      </w:r>
      <w:r w:rsidRPr="00BA4843">
        <w:rPr>
          <w:rFonts w:asciiTheme="majorHAnsi" w:eastAsia="Times New Roman" w:hAnsiTheme="majorHAnsi" w:cs="Arial"/>
          <w:i/>
          <w:sz w:val="16"/>
          <w:szCs w:val="16"/>
          <w:bdr w:val="none" w:sz="0" w:space="0" w:color="auto"/>
          <w:shd w:val="clear" w:color="auto" w:fill="FFFFFF"/>
          <w:lang w:val="es-ES_tradnl"/>
        </w:rPr>
        <w:t> Manuel </w:t>
      </w:r>
      <w:r w:rsidRPr="00BA4843">
        <w:rPr>
          <w:rFonts w:asciiTheme="majorHAnsi" w:eastAsia="Times New Roman" w:hAnsiTheme="majorHAnsi" w:cs="Arial"/>
          <w:bCs/>
          <w:i/>
          <w:sz w:val="16"/>
          <w:szCs w:val="16"/>
          <w:bdr w:val="none" w:sz="0" w:space="0" w:color="auto"/>
          <w:shd w:val="clear" w:color="auto" w:fill="FFFFFF"/>
          <w:lang w:val="es-ES_tradnl"/>
        </w:rPr>
        <w:t>Cepeda</w:t>
      </w:r>
      <w:r w:rsidRPr="00BA4843">
        <w:rPr>
          <w:rFonts w:asciiTheme="majorHAnsi" w:eastAsia="Times New Roman" w:hAnsiTheme="majorHAnsi" w:cs="Arial"/>
          <w:i/>
          <w:sz w:val="16"/>
          <w:szCs w:val="16"/>
          <w:bdr w:val="none" w:sz="0" w:space="0" w:color="auto"/>
          <w:shd w:val="clear" w:color="auto" w:fill="FFFFFF"/>
          <w:lang w:val="es-ES_tradnl"/>
        </w:rPr>
        <w:t> Vargas Vs. Colombia. Excepciones Preliminares, Fondo, Reparaciones y Costas</w:t>
      </w:r>
      <w:r w:rsidRPr="00BA4843">
        <w:rPr>
          <w:rFonts w:asciiTheme="majorHAnsi" w:eastAsia="Times New Roman" w:hAnsiTheme="majorHAnsi" w:cs="Arial"/>
          <w:sz w:val="16"/>
          <w:szCs w:val="16"/>
          <w:bdr w:val="none" w:sz="0" w:space="0" w:color="auto"/>
          <w:shd w:val="clear" w:color="auto" w:fill="FFFFFF"/>
          <w:lang w:val="es-ES_tradnl"/>
        </w:rPr>
        <w:t>. Sentencia de 26 de mayo de 2010. Serie C No. 213, párr. 81.</w:t>
      </w:r>
    </w:p>
  </w:footnote>
  <w:footnote w:id="36">
    <w:p w:rsidR="00512B04" w:rsidRPr="00BA4843" w:rsidRDefault="00512B04" w:rsidP="00BA4843">
      <w:pPr>
        <w:jc w:val="both"/>
        <w:rPr>
          <w:rFonts w:asciiTheme="majorHAnsi" w:eastAsia="Times New Roman" w:hAnsiTheme="majorHAnsi"/>
          <w:sz w:val="16"/>
          <w:szCs w:val="16"/>
          <w:bdr w:val="none" w:sz="0" w:space="0" w:color="auto"/>
          <w:lang w:val="es-ES_tradnl"/>
        </w:rPr>
      </w:pPr>
      <w:r w:rsidRPr="00BA4843">
        <w:rPr>
          <w:rStyle w:val="FootnoteReference"/>
          <w:rFonts w:asciiTheme="majorHAnsi" w:hAnsiTheme="majorHAnsi"/>
          <w:sz w:val="16"/>
          <w:szCs w:val="16"/>
          <w:lang w:val="es-ES_tradnl"/>
        </w:rPr>
        <w:footnoteRef/>
      </w:r>
      <w:r w:rsidRPr="00BA4843">
        <w:rPr>
          <w:rFonts w:asciiTheme="majorHAnsi" w:hAnsiTheme="majorHAnsi"/>
          <w:sz w:val="16"/>
          <w:szCs w:val="16"/>
          <w:lang w:val="es-ES_tradnl"/>
        </w:rPr>
        <w:t xml:space="preserve">Corte Constitucional de Colombia, Sentencia T-439/92,  </w:t>
      </w:r>
      <w:r w:rsidRPr="00BA4843">
        <w:rPr>
          <w:rFonts w:asciiTheme="majorHAnsi" w:eastAsia="Times New Roman" w:hAnsiTheme="majorHAnsi" w:cs="Arial"/>
          <w:sz w:val="16"/>
          <w:szCs w:val="16"/>
          <w:bdr w:val="none" w:sz="0" w:space="0" w:color="auto"/>
          <w:shd w:val="clear" w:color="auto" w:fill="FFFFFF"/>
          <w:lang w:val="es-ES_tradnl"/>
        </w:rPr>
        <w:t>M.P.: Eduardo Cifuentes Muñoz, 2 de julio de 1992. Disponible en: http://www.corteconstitucional.gov.co/relatoria/1992/t-439-92.htm</w:t>
      </w:r>
    </w:p>
  </w:footnote>
  <w:footnote w:id="37">
    <w:p w:rsidR="00512B04" w:rsidRPr="00BA4843" w:rsidRDefault="00512B04" w:rsidP="00BA4843">
      <w:pPr>
        <w:jc w:val="both"/>
        <w:rPr>
          <w:rFonts w:asciiTheme="majorHAnsi" w:eastAsia="Times New Roman" w:hAnsiTheme="majorHAnsi"/>
          <w:sz w:val="16"/>
          <w:szCs w:val="16"/>
          <w:bdr w:val="none" w:sz="0" w:space="0" w:color="auto"/>
          <w:lang w:val="es-ES_tradnl"/>
        </w:rPr>
      </w:pPr>
      <w:r w:rsidRPr="00BA4843">
        <w:rPr>
          <w:rStyle w:val="FootnoteReference"/>
          <w:rFonts w:asciiTheme="majorHAnsi" w:hAnsiTheme="majorHAnsi"/>
          <w:sz w:val="16"/>
          <w:szCs w:val="16"/>
          <w:lang w:val="es-ES_tradnl"/>
        </w:rPr>
        <w:footnoteRef/>
      </w:r>
      <w:r w:rsidRPr="00BA4843">
        <w:rPr>
          <w:rFonts w:asciiTheme="majorHAnsi" w:hAnsiTheme="majorHAnsi"/>
          <w:sz w:val="16"/>
          <w:szCs w:val="16"/>
          <w:lang w:val="es-ES_tradnl"/>
        </w:rPr>
        <w:t xml:space="preserve"> Consejo de Estado, Sala de lo Contencioso Administrativo, </w:t>
      </w:r>
      <w:r w:rsidRPr="00BA4843">
        <w:rPr>
          <w:rFonts w:asciiTheme="majorHAnsi" w:eastAsia="Times New Roman" w:hAnsiTheme="majorHAnsi"/>
          <w:iCs/>
          <w:sz w:val="16"/>
          <w:szCs w:val="16"/>
          <w:bdr w:val="none" w:sz="0" w:space="0" w:color="auto"/>
          <w:shd w:val="clear" w:color="auto" w:fill="FFFFFF"/>
          <w:lang w:val="es-ES_tradnl"/>
        </w:rPr>
        <w:t>   </w:t>
      </w:r>
      <w:r w:rsidRPr="00BA4843">
        <w:rPr>
          <w:rFonts w:asciiTheme="majorHAnsi" w:eastAsia="Times New Roman" w:hAnsiTheme="majorHAnsi"/>
          <w:bCs/>
          <w:iCs/>
          <w:sz w:val="16"/>
          <w:szCs w:val="16"/>
          <w:bdr w:val="none" w:sz="0" w:space="0" w:color="auto"/>
          <w:shd w:val="clear" w:color="auto" w:fill="FFFFFF"/>
          <w:lang w:val="es-ES_tradnl"/>
        </w:rPr>
        <w:t xml:space="preserve">Radicación N°: 11001-03-28-000-2010-00027-00, 4 de julio de 2013. </w:t>
      </w:r>
    </w:p>
  </w:footnote>
  <w:footnote w:id="38">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6. Reporte de estado de investigación de la Consejería de Derechos Humanos – Presidencia de la República de fecha 24 de marzo de 1994 (anexo al Anexo 2 de la comunicación de los peticionarios de fecha 1 de marzo de 1999). Comunicación del Estado de fecha 1 de julio de 2010 y recibida ese mismo día, párrafo 28. </w:t>
      </w:r>
      <w:r w:rsidRPr="00BA4843">
        <w:rPr>
          <w:rFonts w:asciiTheme="majorHAnsi" w:hAnsiTheme="majorHAnsi"/>
          <w:color w:val="auto"/>
          <w:sz w:val="16"/>
          <w:szCs w:val="16"/>
          <w:lang w:val="es-ES_tradnl"/>
        </w:rPr>
        <w:t xml:space="preserve">La Comisión observa que este hecho no fue controvertido por el Estado quien en su informe de 1 de julio de 2010 indicó que dicho hecho se encuentra probado. Anexo 5. </w:t>
      </w:r>
      <w:r w:rsidRPr="00BA4843">
        <w:rPr>
          <w:rFonts w:asciiTheme="majorHAnsi" w:hAnsiTheme="majorHAnsi" w:cs="Arial"/>
          <w:color w:val="auto"/>
          <w:sz w:val="16"/>
          <w:szCs w:val="16"/>
          <w:lang w:val="es-ES_tradnl"/>
        </w:rPr>
        <w:t>Comunicación del Estado de fecha 1 de julio de 2010, recibida ese mismo día.</w:t>
      </w:r>
    </w:p>
  </w:footnote>
  <w:footnote w:id="39">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3. Petición inicial de 19 de febrero de 1997 recibida el 26 de febrero de 1997. En sentido similar ver Comunicación de los peticionarios de 1 de marzo de 1999 recibida en esa misma fecha. </w:t>
      </w:r>
    </w:p>
  </w:footnote>
  <w:footnote w:id="40">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3. Petición inicial de 19 de febrero de 1997 recibida el 26 de febrero de 1997. En sentido similar ver Comunicación de los peticionarios de 1 de marzo de 1999 recibida en esa misma fecha. </w:t>
      </w:r>
    </w:p>
  </w:footnote>
  <w:footnote w:id="41">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3. Petición inicial de 19 de febrero de 1997 recibida el 26 de febrero de 1997.</w:t>
      </w:r>
    </w:p>
  </w:footnote>
  <w:footnote w:id="42">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5. Comunicación del Estado de fecha 1 de julio de 2010, recibida ese mismo día.</w:t>
      </w:r>
    </w:p>
  </w:footnote>
  <w:footnote w:id="43">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1. Comunicación del Estado de fecha 13 de julio de 2012 y recibida el 16 de julio de 2012.</w:t>
      </w:r>
    </w:p>
  </w:footnote>
  <w:footnote w:id="44">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1. Comunicación del Estado de fecha 13 de julio de 2012 y recibida el 16 de julio de 2012.</w:t>
      </w:r>
    </w:p>
  </w:footnote>
  <w:footnote w:id="45">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2. Comunicación de los peticionarios de 1 de marzo de 1999 recibida en esa misma fecha.  Anexo 7. Comunicación de los peticionarios de 12 de noviembre de 2001 recibida el 22 de enero de 2002. </w:t>
      </w:r>
    </w:p>
  </w:footnote>
  <w:footnote w:id="46">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5. Comunicación del Estado de fecha 1 de julio de 2010, recibida esa misma fecha.</w:t>
      </w:r>
    </w:p>
  </w:footnote>
  <w:footnote w:id="47">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olor w:val="auto"/>
          <w:sz w:val="16"/>
          <w:szCs w:val="16"/>
          <w:lang w:val="es-ES_tradnl"/>
        </w:rPr>
        <w:footnoteRef/>
      </w:r>
      <w:r w:rsidRPr="00BA4843">
        <w:rPr>
          <w:rFonts w:asciiTheme="majorHAnsi" w:hAnsiTheme="majorHAnsi"/>
          <w:color w:val="auto"/>
          <w:sz w:val="16"/>
          <w:szCs w:val="16"/>
          <w:lang w:val="es-ES_tradnl"/>
        </w:rPr>
        <w:t xml:space="preserve"> </w:t>
      </w:r>
      <w:r w:rsidRPr="00BA4843">
        <w:rPr>
          <w:rFonts w:asciiTheme="majorHAnsi" w:hAnsiTheme="majorHAnsi" w:cs="Arial"/>
          <w:color w:val="auto"/>
          <w:sz w:val="16"/>
          <w:szCs w:val="16"/>
          <w:lang w:val="es-ES_tradnl"/>
        </w:rPr>
        <w:t>Anexo 2. Escrito de los peticionarios de 1 de marzo de 1999 recibida en esa misma fecha.</w:t>
      </w:r>
    </w:p>
  </w:footnote>
  <w:footnote w:id="48">
    <w:p w:rsidR="00512B04" w:rsidRPr="00BA4843" w:rsidRDefault="00512B04" w:rsidP="00BA4843">
      <w:pPr>
        <w:pStyle w:val="FootnoteText"/>
        <w:jc w:val="both"/>
        <w:rPr>
          <w:rFonts w:asciiTheme="majorHAnsi" w:hAnsiTheme="majorHAnsi"/>
          <w:sz w:val="16"/>
          <w:szCs w:val="16"/>
          <w:lang w:val="es-ES_tradnl"/>
        </w:rPr>
      </w:pPr>
      <w:r w:rsidRPr="00BA4843">
        <w:rPr>
          <w:rStyle w:val="FootnoteReference"/>
          <w:rFonts w:asciiTheme="majorHAnsi" w:hAnsiTheme="majorHAnsi"/>
          <w:sz w:val="16"/>
          <w:szCs w:val="16"/>
          <w:lang w:val="es-ES_tradnl"/>
        </w:rPr>
        <w:footnoteRef/>
      </w:r>
      <w:r w:rsidRPr="00BA4843">
        <w:rPr>
          <w:rFonts w:asciiTheme="majorHAnsi" w:hAnsiTheme="majorHAnsi"/>
          <w:sz w:val="16"/>
          <w:szCs w:val="16"/>
          <w:lang w:val="es-ES_tradnl"/>
        </w:rPr>
        <w:t xml:space="preserve">CIDH, </w:t>
      </w:r>
      <w:r w:rsidRPr="00BA4843">
        <w:rPr>
          <w:rFonts w:asciiTheme="majorHAnsi" w:hAnsiTheme="majorHAnsi"/>
          <w:i/>
          <w:sz w:val="16"/>
          <w:szCs w:val="16"/>
          <w:lang w:val="es-ES_tradnl"/>
        </w:rPr>
        <w:t xml:space="preserve">Segundo Informe sobre la Situación de los Derechos Humanos en Colombia, Capítulo VIII. El derecho a la vida, </w:t>
      </w:r>
      <w:r w:rsidRPr="00BA4843">
        <w:rPr>
          <w:rFonts w:asciiTheme="majorHAnsi" w:hAnsiTheme="majorHAnsi"/>
          <w:sz w:val="16"/>
          <w:szCs w:val="16"/>
          <w:lang w:val="es-ES_tradnl"/>
        </w:rPr>
        <w:t>OEA/Ser.L/V/II.84, 14 de octubre de 1993.</w:t>
      </w:r>
      <w:r w:rsidRPr="00BA4843">
        <w:rPr>
          <w:rFonts w:asciiTheme="majorHAnsi" w:hAnsiTheme="majorHAnsi"/>
          <w:sz w:val="16"/>
          <w:szCs w:val="16"/>
          <w:lang w:val="es-ES_tradnl"/>
        </w:rPr>
        <w:tab/>
      </w:r>
    </w:p>
  </w:footnote>
  <w:footnote w:id="49">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w:t>
      </w:r>
      <w:r w:rsidRPr="00BA4843">
        <w:rPr>
          <w:rFonts w:asciiTheme="majorHAnsi" w:hAnsiTheme="majorHAnsi"/>
          <w:sz w:val="16"/>
          <w:szCs w:val="16"/>
          <w:lang w:val="es-CR"/>
        </w:rPr>
        <w:t xml:space="preserve">Los peticionarios mencionaron que los familiares pudieron establecer que el señor Restrepo fue desaparecido junto con al menos cinco personas, compañeros de la Unión Patriótica. En particular, proporcionaron información sobre que el señor Norberto Javier Restrepo y una persona de nombre María Luisa Parra Nova, habrían sido desaparecidos por miembros de una patrulla de SIJIN, organismo de seguridad de la Policía Nacional, mientras salían de la Universidad de Antioquía en el municipio de Medellín. Señalaron que el cuerpo de María Luisa, fue encontrado incinerado “a los quince días” en el municipio de Caldas, y que fue reconocida por su familia por un arete y un zapato. </w:t>
      </w:r>
      <w:r w:rsidRPr="00BA4843">
        <w:rPr>
          <w:rFonts w:asciiTheme="majorHAnsi" w:hAnsiTheme="majorHAnsi" w:cs="Arial"/>
          <w:color w:val="auto"/>
          <w:sz w:val="16"/>
          <w:szCs w:val="16"/>
          <w:lang w:val="es-ES_tradnl"/>
        </w:rPr>
        <w:t xml:space="preserve">Anexo 3. Petición inicial de 19 de febrero de 1997 recibida el 26 de febrero de 1997. En ese sentido, ver también Anexo 4. Comunicación de los peticionarios de 25 de septiembre de 1997 recibida el  3 de noviembre de 1997. </w:t>
      </w:r>
    </w:p>
  </w:footnote>
  <w:footnote w:id="50">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8. Comunicación de la señora Lucila Restrepo Posadas, recibida el 3 de noviembre de 1997.</w:t>
      </w:r>
      <w:r w:rsidRPr="00BA4843">
        <w:rPr>
          <w:rFonts w:asciiTheme="majorHAnsi" w:hAnsiTheme="majorHAnsi"/>
          <w:sz w:val="16"/>
          <w:szCs w:val="16"/>
          <w:lang w:val="es-CR"/>
        </w:rPr>
        <w:t xml:space="preserve"> Consta en el expediente que la señora Lucila Restrepo Posadas indicó en el proceso disciplinario que “[t]enía sospechas de que la SIJIN lo había detenido por las Palmas, luego por la Universidad de Antioquia, concluyendo que, según manifestaciones de campesinos de la vereda El Cairo, este había sido asesinado el día domingo a eso de las 5:00 pm sin querer estos comprometerse en los hechos, dado que se niegan a declarar y menos aún a indicar a qué región pertenecen los policías que causaron el deceso”. Anexo  5. </w:t>
      </w:r>
      <w:r w:rsidRPr="00BA4843">
        <w:rPr>
          <w:rFonts w:asciiTheme="majorHAnsi" w:hAnsiTheme="majorHAnsi" w:cs="Arial"/>
          <w:color w:val="auto"/>
          <w:sz w:val="16"/>
          <w:szCs w:val="16"/>
          <w:lang w:val="es-ES_tradnl"/>
        </w:rPr>
        <w:t>Comunicación del Estado de fecha 1 de julio de 2010, recibida ese mismo día.  Asimismo, según la narración que el Estado realiza a los informes de la Fiscalía, la señora Lucila Restrepo manifestó que “su hijo había sido entregado a la Sijin y que supuestamente había sido entregado a grupos paramilitares del Suroeste”. Anexo 5. Comunicación del Estado de fecha 1 de julio de 2010, recibida ese mismo día.</w:t>
      </w:r>
    </w:p>
  </w:footnote>
  <w:footnote w:id="51">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8.. Comunicación de la señora Lucila Restrepo Posadas, recibida el 3 de noviembre de 1997.</w:t>
      </w:r>
    </w:p>
  </w:footnote>
  <w:footnote w:id="52">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3. Petición inicial de 19 de febrero de 1997 recibida el 26 de febrero de 1997. En sentido similar ver. Anexo 2. Comunicación de los peticionarios de 1 de marzo de 1999 recibida en esa misma fecha. </w:t>
      </w:r>
    </w:p>
  </w:footnote>
  <w:footnote w:id="53">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3. Petición inicial de 19 de febrero de 1997 recibida el 26 de febrero de 1997.</w:t>
      </w:r>
    </w:p>
  </w:footnote>
  <w:footnote w:id="54">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2. Comunicación de los peticionarios de 1 de marzo de 1999 recibidas en esa misma fecha;  Anexo 7. Comunicación de los peticionarios de 12 de noviembre de 2001 recibida el 22 de enero de 2002. </w:t>
      </w:r>
    </w:p>
  </w:footnote>
  <w:footnote w:id="55">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3. Petición inicial de 19 de febrero de 1997 recibida el 26 de febrero de 1997.</w:t>
      </w:r>
    </w:p>
  </w:footnote>
  <w:footnote w:id="56">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3. Petición inicial de 19 de febrero de 1997 recibida el 26 de febrero de 1997.</w:t>
      </w:r>
    </w:p>
  </w:footnote>
  <w:footnote w:id="57">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5. Comunicación del Estado de fecha 1 de julio de 2010 y recibida ese mismo día.  Cabe notar que en el Informe de la Consejería de Derechos Humanos señala que la denuncia inicial fue formulada ante el Juzgado 10 de Instrucción Criminal y no ante el Juzgado 8.  Ver Anexo 9. Reporte de estado de investigación de la Consejería de Derechos Humanos – Presidencia de la República de fecha 24 de marzo de 1994 (anexo al Anexo 2 Comunicación de los peticionarios de fecha 1 de marzo de 1999).</w:t>
      </w:r>
    </w:p>
  </w:footnote>
  <w:footnote w:id="58">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10. Escrito del Estado de 22 de julio de 1997 recibido el 7 de agosto de 1997.</w:t>
      </w:r>
    </w:p>
  </w:footnote>
  <w:footnote w:id="59">
    <w:p w:rsidR="00512B04" w:rsidRPr="00BA4843" w:rsidRDefault="00512B04" w:rsidP="00BA4843">
      <w:pPr>
        <w:pStyle w:val="FootnoteText"/>
        <w:jc w:val="both"/>
        <w:rPr>
          <w:rFonts w:asciiTheme="majorHAnsi" w:hAnsiTheme="majorHAnsi"/>
          <w:sz w:val="16"/>
          <w:szCs w:val="16"/>
          <w:lang w:val="es-CO"/>
        </w:rPr>
      </w:pPr>
      <w:r w:rsidRPr="00BA4843">
        <w:rPr>
          <w:rStyle w:val="FootnoteReference"/>
          <w:rFonts w:asciiTheme="majorHAnsi" w:hAnsiTheme="majorHAnsi"/>
          <w:sz w:val="16"/>
          <w:szCs w:val="16"/>
        </w:rPr>
        <w:footnoteRef/>
      </w:r>
      <w:r w:rsidRPr="00BA4843">
        <w:rPr>
          <w:rFonts w:asciiTheme="majorHAnsi" w:hAnsiTheme="majorHAnsi"/>
          <w:sz w:val="16"/>
          <w:szCs w:val="16"/>
          <w:lang w:val="es-CO"/>
        </w:rPr>
        <w:t xml:space="preserve"> Al momento de los hechos estaba vigente el Decreto 2700 de 1991, Código de Procedimiento Penal, que en su artículo 27 establecía la posibilidad de presentar denuncias verbales e indicaba que se debía dejar constancia del día y la hora de su presentación.  Asimismo, el artículo 25 del mismo Código, establecía que “el servidor público que por cualquier medio conozca de la comisión de un hecho punible que deba investigarse de oficio, iniciará sin tardanza la investigación si tuviere competencia para ello; en caso contrario, pondrá inmediatamente el hecho en conocimiento de la autoridad competente”. Ver. </w:t>
      </w:r>
      <w:hyperlink r:id="rId5" w:history="1">
        <w:r w:rsidRPr="00BA4843">
          <w:rPr>
            <w:rStyle w:val="Hyperlink"/>
            <w:rFonts w:asciiTheme="majorHAnsi" w:hAnsiTheme="majorHAnsi"/>
            <w:sz w:val="16"/>
            <w:szCs w:val="16"/>
            <w:lang w:val="es-CO"/>
          </w:rPr>
          <w:t>ftp://ftp.camara.gov.co/camara/basedoc/codigo/codigo_procedimiento_penal_1991.html</w:t>
        </w:r>
      </w:hyperlink>
      <w:r w:rsidRPr="00BA4843">
        <w:rPr>
          <w:rFonts w:asciiTheme="majorHAnsi" w:hAnsiTheme="majorHAnsi"/>
          <w:sz w:val="16"/>
          <w:szCs w:val="16"/>
          <w:lang w:val="es-CO"/>
        </w:rPr>
        <w:t xml:space="preserve">.     </w:t>
      </w:r>
    </w:p>
  </w:footnote>
  <w:footnote w:id="60">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11. Formato nacional de acta de levantamiento de cadáver, Instituto de Medicina Legal, de fecha 11 de junio de 1992 (anexo al Anexo 2 de la comunicación de los peticionarios de fecha 1 de marzo de 1999). Ver Anexo 5. Comunicación del Estado de fecha 1 de julio de 2010 y recibida ese mismo día, párrafo 28.</w:t>
      </w:r>
    </w:p>
  </w:footnote>
  <w:footnote w:id="61">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12. Inspección Municipal, Santa Bárbara, de fecha 9 de junio de 1992 (anexo al Anexo 2. Comunicación de los peticionarios de fecha 1 de marzo de 1999 y recibida el 23 de marzo de 1999).</w:t>
      </w:r>
    </w:p>
  </w:footnote>
  <w:footnote w:id="62">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13. Diligencia de levantamiento de cadáver. Inspección Municipal, Santa Bárbara, de fecha 9 de junio de 1992 (anexo al Anexo 2. Comunicación de los peticionarios de fecha 1 de marzo de 1999).</w:t>
      </w:r>
    </w:p>
  </w:footnote>
  <w:footnote w:id="63">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13. Diligencia de levantamiento de cadáver. Inspección Municipal, Santa Bárbara, de fecha 9 de junio de 1992 (anexo al Anexo 2. Comunicación de los peticionarios de fecha 1 de marzo de 1999 y recibida el 23 de marzo de 1999).</w:t>
      </w:r>
    </w:p>
  </w:footnote>
  <w:footnote w:id="64">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13. Diligencia de levantamiento de cadáver. Inspección Municipal, Santa Bárbara, de fecha 9 de junio de 1992 (anexo al Anexo 2. Comunicación de los peticionarios de fecha 1 de marzo de 1999 y recibida el 23 de marzo de 1999).</w:t>
      </w:r>
    </w:p>
  </w:footnote>
  <w:footnote w:id="65">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5. Comunicación del Estado de fecha 1 de julio de 2010 y recibida ese mismo día, párrafo 28.</w:t>
      </w:r>
    </w:p>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Fonts w:asciiTheme="majorHAnsi" w:hAnsiTheme="majorHAnsi" w:cs="Arial"/>
          <w:color w:val="auto"/>
          <w:sz w:val="16"/>
          <w:szCs w:val="16"/>
          <w:lang w:val="es-ES_tradnl"/>
        </w:rPr>
        <w:t>Anexo 9. Reporte de estado de investigación de la Consejería de Derechos Humanos – Presidencia de la República de fecha 24 de marzo de 1994 (anexo al Anexo 2. Comunicación de los peticionarios de fecha 1 de marzo de 1999).</w:t>
      </w:r>
    </w:p>
  </w:footnote>
  <w:footnote w:id="66">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3. Petición inicial de 19 de febrero de 1997 recibida el 26 de febrero de 1997.</w:t>
      </w:r>
    </w:p>
  </w:footnote>
  <w:footnote w:id="67">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9. Reporte de estado de investigación de la Consejería de Derechos Humanos – Presidencia de la República de fecha 24 de marzo de 1994 (anexo al Anexo 2. Comunicación de los peticionarios de fecha 1 de marzo de 1999).</w:t>
      </w:r>
    </w:p>
  </w:footnote>
  <w:footnote w:id="68">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3. Petición inicial de 19 de febrero de 1997 recibida el 26 de febrero de 1997.</w:t>
      </w:r>
    </w:p>
  </w:footnote>
  <w:footnote w:id="69">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14. Necropsia del cadáver Norberto Javier Restrepo de fecha 11 de junio de 1992 (anexo al Anexo 2. Comunicación de los peticionarios de fecha 1 de marzo de 1999, recibida el 23 de marzo de 1999).</w:t>
      </w:r>
    </w:p>
  </w:footnote>
  <w:footnote w:id="70">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5. Comunicación del Estado de fecha 1 de julio de 2010, recibida ese mismo día.</w:t>
      </w:r>
    </w:p>
  </w:footnote>
  <w:footnote w:id="71">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5. Comunicación del Estado de fecha 1 de julio de 2010 y recibida ese mismo día, párrafo 28.  Cabe notar que en el Informe de la Consejería de Derechos Humanos señala que la denuncia inicial fue formulada ante el Juzgado 10 de Instrucción Criminal y no ante el Juzgado 8.  Ver Anexo 9. Reporte de estado de investigación de la Consejería de Derechos Humanos – Presidencia de la República de fecha 24 de marzo de 1994 (anexo al Anexo 2. Comunicación de los peticionarios de fecha 1 de marzo de 1999 y recibida el 23 de marzo de 1999).</w:t>
      </w:r>
    </w:p>
  </w:footnote>
  <w:footnote w:id="72">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10. Escrito del Estado de 22 de julio de 1997 recibido el 7 de agosto de 1997.</w:t>
      </w:r>
    </w:p>
  </w:footnote>
  <w:footnote w:id="73">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9. Reporte de estado de investigación de la Consejería de Derechos Humanos – Presidencia de la República de fecha 24 de marzo de 1994.</w:t>
      </w:r>
    </w:p>
  </w:footnote>
  <w:footnote w:id="74">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5. Comunicación del Estado de fecha 1 de julio de 2010 y recibida ese mismo día, párrafo 57. Anexo 1. Comunicación del Estado de fecha 13 de julio de 2012 y recibida el 16 de julio de 2012, párrafo 35.</w:t>
      </w:r>
    </w:p>
  </w:footnote>
  <w:footnote w:id="75">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10. Escrito del Estado de 22 de julio de 1997 recibido el 7 de agosto de 1997.</w:t>
      </w:r>
    </w:p>
  </w:footnote>
  <w:footnote w:id="76">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10. Escrito del Estado de 22 de julio de 1997 recibido el 7 de agosto de 1997.</w:t>
      </w:r>
    </w:p>
  </w:footnote>
  <w:footnote w:id="77">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5. Comunicación del Estado de fecha 1 de julio de 2010. Anexo 1. Comunicación del Estado de fecha 13 de julio de 2012 y recibida el 16 de julio de 2012.</w:t>
      </w:r>
    </w:p>
  </w:footnote>
  <w:footnote w:id="78">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5. Comunicación del Estado de fecha 1 de julio de 2010, recibida ese mismo día. Anexo 1.  Comunicación del Estado de fecha 13 de julio de 2012, recibida el 16 de julio de 2012.</w:t>
      </w:r>
    </w:p>
  </w:footnote>
  <w:footnote w:id="79">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14. Respuesta derecho de petición de la unidad Nacional de Derechos Humanos y DIH de fecha 8 de abril de 2009. Anexo del escrito de los peticionarios de fecha 11 de agosto de 2010.</w:t>
      </w:r>
    </w:p>
  </w:footnote>
  <w:footnote w:id="80">
    <w:p w:rsidR="00512B04" w:rsidRPr="00BA4843" w:rsidRDefault="00512B04" w:rsidP="00BA4843">
      <w:pPr>
        <w:pStyle w:val="FootnoteText"/>
        <w:jc w:val="both"/>
        <w:rPr>
          <w:rFonts w:asciiTheme="majorHAnsi" w:hAnsiTheme="majorHAnsi"/>
          <w:sz w:val="16"/>
          <w:szCs w:val="16"/>
          <w:lang w:val="es-CR"/>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La Comisión enuncia </w:t>
      </w:r>
      <w:r w:rsidRPr="00BA4843">
        <w:rPr>
          <w:rFonts w:asciiTheme="majorHAnsi" w:hAnsiTheme="majorHAnsi"/>
          <w:sz w:val="16"/>
          <w:szCs w:val="16"/>
          <w:lang w:val="es-CR"/>
        </w:rPr>
        <w:t xml:space="preserve"> las diligencias que en forma genérica que el Estado se limitó a informar: i</w:t>
      </w:r>
      <w:r w:rsidRPr="00BA4843">
        <w:rPr>
          <w:rFonts w:asciiTheme="majorHAnsi" w:hAnsiTheme="majorHAnsi" w:cs="Arial"/>
          <w:sz w:val="16"/>
          <w:szCs w:val="16"/>
          <w:lang w:val="es-CR"/>
        </w:rPr>
        <w:t xml:space="preserve">) entre 1998 y 2003 se "llevaron a cabo varias diligencias probatorias entre las que se encuentran: se dictaron varias resoluciones que ordenaban prácticas pruebas, se allegaron y analizaron Informe de Policía Judicial No. 315, , se allegó y analizó el Informe de Policía Judicial No. 2171, se profirió Resolución que ordenaba comisionar al Grupo de DDHH del Cuerpo Técnico de Investigación de la Fiscalía, se allegó y analizó el Informe de Policía Judicial No. 2652; ii) entre 2003 y 2006 se allegó Informe de Policía Judicial No. 0051 e Informe No. 139703 sobre ubicación de funcionarios de la SIJIN Medellín, se dictó Resolución que ordenaba comisionar al CTI en la práctica de pruebas, se llevó a cabo diligencia de Inspección judicial en la Procuraduría Regional de Antioquia, se allegó </w:t>
      </w:r>
      <w:r w:rsidRPr="00BA4843">
        <w:rPr>
          <w:rFonts w:asciiTheme="majorHAnsi" w:hAnsiTheme="majorHAnsi" w:cs="Arial"/>
          <w:color w:val="auto"/>
          <w:sz w:val="16"/>
          <w:szCs w:val="16"/>
          <w:lang w:val="es-CR"/>
        </w:rPr>
        <w:t xml:space="preserve">Informe de Policía Judicial No. 281918, se recepcionó declaración; iii) el 9 de enero de 2007, se ordenó enviar las diligencias a la Fiscalía 37 de Derechos Humanos y DIH; iv) el 13 de julio de 2007, se solicitó se informara el nombre de los integrantes del grupo armado ilegal Autodefensas Unidas de Colombia que delinquían en el lugar en el que ocurrieron los hechos; v) el 16 de agosto de 2007 se allegó Informe de Policía Judicial No. 0013; vi) el 8 de agosto de 2008 se asigna la investigación a la Fiscalía 3 de esta Unidad; vii) el 4 de noviembre de 2008 a la Fiscalía 3 Especializada de Bogotá avocó conocimiento; viii) el 2 de abril de 2009, se ordenaron pruebas relacionadas con la ubicación de varias personas, “la ubicación y entrevista de diferentes personas”; xix) el 7 de abril de 2009 se libró despacho comisario No. 27; se allegó Informe No. 469934 en donde se “relacionaban las inspecciones realizadas y las entrevistas realizadas”; x) el 4 de septiembre de 2009 se ordena “diligencia de declaración”; xi) el 8 de septiembre de 2009 se “adelantó diligencia de declaración”; xii) el 18 de septiembre de 2009 se ordenó verificar unas capturas de miembros de grupos armados al margen de la ley “que al parecer integraron el grupo de autodefensas de la casa Castaño”; xiii) mediante Informe No.498855 del CTI del 10 de noviembre de 2009, se “allegó al proceso información referente a desmovilizados;”; xiv) el 15 de abril de 2010 se decretaron “otras diligencias de declaración” que se recibieron el 27 de mayo de 2010; xv) el 13 de julio de 2010 el CTI presentó el Informe No. 544871 en donde “se allegan entrevistas”; xvi) el 2 de septiembre de 2010 “se ordenan otras diligencias de declaración juramentada”; xvii) el 20 de febrero de 2011, “se insiste en una diligencia de declaración y en la práctica de otras diligencias”; xviii)  del 14 de marzo al 1 de julio de 2011 se recibieron declaraciones y testimonios; xix) el 12 de julio de 2011 se “dispuso la verificación </w:t>
      </w:r>
      <w:r w:rsidRPr="00BA4843">
        <w:rPr>
          <w:rFonts w:asciiTheme="majorHAnsi" w:hAnsiTheme="majorHAnsi" w:cs="Arial"/>
          <w:sz w:val="16"/>
          <w:szCs w:val="16"/>
          <w:lang w:val="es-CR"/>
        </w:rPr>
        <w:t xml:space="preserve">de los dispuesto en prueba testimonial”;  xx) el 10 de agosto de 2011 “se recibe misión de trabajo”;  xxi) el 19 de septiembre de 2011 “se ordena práctica de pruebas, entre estas testimoniales”; xxi)  el 12 de octubre de 2011 “se dispone la recepción de declaraciones”; xxii) el 14 de octubre de 2011 “se recepciona declaración y se dispone práctica de pruebas”; xxiii) el 3 de noviembre de 2011 “se recibe informes de policía judicial”;  xxiv) el 16 de noviembre de 2011 “se ordenan práctica de pruebas testimoniales”; xxv) el 23 de noviembre de 2011 “se recepciona declaración”; xxvi) el16 de diciembre de 2011 se recibe informe de policía judicial; xxvii) el 5 de enero de 2012 “se ordenan labores investigativas y diligencias testimoniales”; xxviii) el 24 y 30 de enero de 2012 “se recibe (sic) declaraciones”;  xxix) el l4 de febrero de 2012 “se ordenan pruebas”;  xxx) el 27 de febrero de 2012 “se recibe declaración”; xxxi)  el 3 de abril de 2012 “se recibe informe por parte de Policía Judicial – CTI”; xxxii) el 13 de abril de “se dispone la práctica de pruebas”; xxxiii) el 23 de abril de 2012 “se ordena la práctica de pruebas”; xxxiv)  el 26 de abril de 2012 “se recibe Misión de Trabajo”; xxxv) el 15 de mayo de 2012 “se solicita que se adelanten labores de verificación con el objetivo de establecer si miembros de la Autodefensas del Suroeste Antioqueño, hoy desmovilizados, en sus versiones han enunciado acerca de la autoría y móvil de los hechos”; xxxvi) el 16 y 25 de mayo de 2012 “se recepcionan diligencias de declaración”. Anexo 5. </w:t>
      </w:r>
      <w:r w:rsidRPr="00BA4843">
        <w:rPr>
          <w:rFonts w:asciiTheme="majorHAnsi" w:hAnsiTheme="majorHAnsi" w:cs="Arial"/>
          <w:color w:val="auto"/>
          <w:sz w:val="16"/>
          <w:szCs w:val="16"/>
          <w:lang w:val="es-ES_tradnl"/>
        </w:rPr>
        <w:t>Comunicación del Estado de fecha 1 de julio de 2010 y recibida ese mismo día. Anexo 1. Comunicación del Estado de fecha 13 de julio de 2012 y recibida el 16 de julio de 2012.</w:t>
      </w:r>
    </w:p>
  </w:footnote>
  <w:footnote w:id="81">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5. Comunicación del Estado de fecha 1 de julio de 2010, recibida en esa misma fecha.</w:t>
      </w:r>
    </w:p>
  </w:footnote>
  <w:footnote w:id="82">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15. Escrito de los peticionarios de fecha 11 de agosto de 2010 y recibido el 13 de agosto de 2010.</w:t>
      </w:r>
    </w:p>
  </w:footnote>
  <w:footnote w:id="83">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1. Comunicación del Estado de fecha 13 de julio de 2012 y recibida el 16 de julio de 2012.</w:t>
      </w:r>
    </w:p>
  </w:footnote>
  <w:footnote w:id="84">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5. Comunicación del Estado de fecha 1 de julio de 2010, recibida ese mismo día.</w:t>
      </w:r>
    </w:p>
  </w:footnote>
  <w:footnote w:id="85">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1. Comunicación del Estado de fecha 13 de julio de 2012, recibida el 16 de julio de 2012.</w:t>
      </w:r>
    </w:p>
  </w:footnote>
  <w:footnote w:id="86">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5. Comunicación del Estado de fecha 1 de julio de 2010, recibida ese mismo día.</w:t>
      </w:r>
    </w:p>
  </w:footnote>
  <w:footnote w:id="87">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3. Petición inicial de 19 de febrero de 1997 recibida el 26 de febrero de 1997.</w:t>
      </w:r>
    </w:p>
  </w:footnote>
  <w:footnote w:id="88">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Anexo 5. Comunicación del Estado de fecha 1 de julio de 2010, recibida ese mismo día.</w:t>
      </w:r>
    </w:p>
  </w:footnote>
  <w:footnote w:id="89">
    <w:p w:rsidR="00512B04" w:rsidRPr="00BA4843" w:rsidRDefault="00512B04" w:rsidP="00BA4843">
      <w:pPr>
        <w:jc w:val="both"/>
        <w:rPr>
          <w:rFonts w:asciiTheme="majorHAnsi" w:hAnsiTheme="majorHAnsi"/>
          <w:sz w:val="16"/>
          <w:szCs w:val="16"/>
          <w:lang w:val="es-ES_tradnl"/>
        </w:rPr>
      </w:pPr>
      <w:r w:rsidRPr="00BA4843">
        <w:rPr>
          <w:rFonts w:asciiTheme="majorHAnsi" w:hAnsiTheme="majorHAnsi" w:cs="Arial"/>
          <w:sz w:val="16"/>
          <w:szCs w:val="16"/>
          <w:vertAlign w:val="superscript"/>
          <w:lang w:val="es-ES_tradnl"/>
        </w:rPr>
        <w:footnoteRef/>
      </w:r>
      <w:r w:rsidRPr="00BA4843">
        <w:rPr>
          <w:rFonts w:asciiTheme="majorHAnsi" w:hAnsiTheme="majorHAnsi" w:cs="Arial"/>
          <w:sz w:val="16"/>
          <w:szCs w:val="16"/>
          <w:lang w:val="es-ES_tradnl"/>
        </w:rPr>
        <w:t xml:space="preserve"> </w:t>
      </w:r>
      <w:hyperlink r:id="rId6" w:history="1">
        <w:r w:rsidRPr="00BA4843">
          <w:rPr>
            <w:rFonts w:asciiTheme="majorHAnsi" w:hAnsiTheme="majorHAnsi"/>
            <w:sz w:val="16"/>
            <w:szCs w:val="16"/>
            <w:lang w:val="es-ES_tradnl"/>
          </w:rPr>
          <w:t xml:space="preserve">Corte IDH. </w:t>
        </w:r>
        <w:r w:rsidRPr="00BA4843">
          <w:rPr>
            <w:rFonts w:asciiTheme="majorHAnsi" w:hAnsiTheme="majorHAnsi"/>
            <w:i/>
            <w:sz w:val="16"/>
            <w:szCs w:val="16"/>
            <w:lang w:val="es-ES_tradnl"/>
          </w:rPr>
          <w:t xml:space="preserve">Caso González Medina y familiares Vs. República Dominicana. </w:t>
        </w:r>
        <w:r w:rsidRPr="00BA4843">
          <w:rPr>
            <w:rFonts w:asciiTheme="majorHAnsi" w:hAnsiTheme="majorHAnsi"/>
            <w:sz w:val="16"/>
            <w:szCs w:val="16"/>
            <w:lang w:val="es-ES_tradnl"/>
          </w:rPr>
          <w:t>Excepciones Preliminares, Fondo, Reparaciones y Costas. Sentencia de 27 de febrero de 2012 Serie C No. 240</w:t>
        </w:r>
      </w:hyperlink>
      <w:r w:rsidRPr="00BA4843">
        <w:rPr>
          <w:rFonts w:asciiTheme="majorHAnsi" w:hAnsiTheme="majorHAnsi"/>
          <w:sz w:val="16"/>
          <w:szCs w:val="16"/>
          <w:lang w:val="es-ES_tradnl"/>
        </w:rPr>
        <w:t xml:space="preserve">, párr.133; </w:t>
      </w:r>
      <w:r w:rsidRPr="00BA4843">
        <w:rPr>
          <w:rFonts w:asciiTheme="majorHAnsi" w:hAnsiTheme="majorHAnsi" w:cs="Arial"/>
          <w:sz w:val="16"/>
          <w:szCs w:val="16"/>
          <w:lang w:val="es-ES_tradnl"/>
        </w:rPr>
        <w:t>Corte I/A DH, Caso de la Masacre de Pueblo Bello vs. Colombia, Sentencia de 31 de enero de 2006, Serie C No. 140, párrafo 112.</w:t>
      </w:r>
    </w:p>
  </w:footnote>
  <w:footnote w:id="90">
    <w:p w:rsidR="00512B04" w:rsidRPr="00BA4843" w:rsidRDefault="00512B04" w:rsidP="00BA4843">
      <w:pPr>
        <w:pStyle w:val="FootnoteText"/>
        <w:jc w:val="both"/>
        <w:rPr>
          <w:rFonts w:asciiTheme="majorHAnsi" w:hAnsiTheme="majorHAnsi"/>
          <w:sz w:val="16"/>
          <w:szCs w:val="16"/>
          <w:lang w:val="es-MX"/>
        </w:rPr>
      </w:pPr>
      <w:r w:rsidRPr="00BA4843">
        <w:rPr>
          <w:rStyle w:val="FootnoteReference"/>
          <w:rFonts w:asciiTheme="majorHAnsi" w:hAnsiTheme="majorHAnsi"/>
          <w:sz w:val="16"/>
          <w:szCs w:val="16"/>
        </w:rPr>
        <w:footnoteRef/>
      </w:r>
      <w:r w:rsidRPr="00BA4843">
        <w:rPr>
          <w:rFonts w:asciiTheme="majorHAnsi" w:hAnsiTheme="majorHAnsi"/>
          <w:sz w:val="16"/>
          <w:szCs w:val="16"/>
          <w:lang w:val="es-MX"/>
        </w:rPr>
        <w:t xml:space="preserve"> El artículo 4.1 de la Convención Americana establece: </w:t>
      </w:r>
      <w:r w:rsidRPr="00BA4843">
        <w:rPr>
          <w:rFonts w:asciiTheme="majorHAnsi" w:hAnsiTheme="majorHAnsi"/>
          <w:sz w:val="16"/>
          <w:szCs w:val="16"/>
          <w:lang w:val="es-ES_tradnl"/>
        </w:rPr>
        <w:t>1.    Toda persona tiene derecho a que se respete su vida.  Este derecho estará protegido por la ley y, en general, a partir del momento de la concepción.  Nadie puede ser privado de la vida arbitrariamente.</w:t>
      </w:r>
    </w:p>
  </w:footnote>
  <w:footnote w:id="91">
    <w:p w:rsidR="00512B04" w:rsidRPr="00BA4843" w:rsidRDefault="00512B04" w:rsidP="00BA4843">
      <w:pPr>
        <w:pStyle w:val="NormalWeb"/>
        <w:spacing w:before="0" w:beforeAutospacing="0" w:after="0" w:afterAutospacing="0"/>
        <w:jc w:val="both"/>
        <w:rPr>
          <w:rFonts w:asciiTheme="majorHAnsi" w:hAnsiTheme="majorHAnsi"/>
          <w:sz w:val="16"/>
          <w:szCs w:val="16"/>
          <w:lang w:val="es-ES_tradnl"/>
        </w:rPr>
      </w:pPr>
      <w:r w:rsidRPr="00BA4843">
        <w:rPr>
          <w:rStyle w:val="FootnoteReference"/>
          <w:rFonts w:asciiTheme="majorHAnsi" w:hAnsiTheme="majorHAnsi"/>
          <w:sz w:val="16"/>
          <w:szCs w:val="16"/>
        </w:rPr>
        <w:footnoteRef/>
      </w:r>
      <w:r w:rsidRPr="00BA4843">
        <w:rPr>
          <w:rFonts w:asciiTheme="majorHAnsi" w:hAnsiTheme="majorHAnsi"/>
          <w:sz w:val="16"/>
          <w:szCs w:val="16"/>
          <w:lang w:val="es-ES_tradnl"/>
        </w:rPr>
        <w:t xml:space="preserve"> Los artículos 5.1 y 5.2 de la Convención Americana establecen:        1.    Toda persona tiene derecho a que se respete su integridad física, psíquica y moral. 2.    Nadie debe ser sometido a torturas ni a penas o tratos crueles, inhumanos o degradantes.  Toda persona privada de libertad será tratada con el respeto debido a la dignidad inherente al ser humano.</w:t>
      </w:r>
    </w:p>
  </w:footnote>
  <w:footnote w:id="92">
    <w:p w:rsidR="00512B04" w:rsidRPr="00BA4843" w:rsidRDefault="00512B04" w:rsidP="00BA4843">
      <w:pPr>
        <w:pStyle w:val="NormalWeb"/>
        <w:spacing w:before="0" w:beforeAutospacing="0" w:after="0" w:afterAutospacing="0"/>
        <w:jc w:val="both"/>
        <w:rPr>
          <w:rFonts w:asciiTheme="majorHAnsi" w:hAnsiTheme="majorHAnsi"/>
          <w:sz w:val="16"/>
          <w:szCs w:val="16"/>
          <w:lang w:val="es-ES_tradnl"/>
        </w:rPr>
      </w:pPr>
      <w:r w:rsidRPr="00BA4843">
        <w:rPr>
          <w:rStyle w:val="FootnoteReference"/>
          <w:rFonts w:asciiTheme="majorHAnsi" w:hAnsiTheme="majorHAnsi"/>
          <w:sz w:val="16"/>
          <w:szCs w:val="16"/>
        </w:rPr>
        <w:footnoteRef/>
      </w:r>
      <w:r w:rsidRPr="00BA4843">
        <w:rPr>
          <w:rFonts w:asciiTheme="majorHAnsi" w:hAnsiTheme="majorHAnsi"/>
          <w:sz w:val="16"/>
          <w:szCs w:val="16"/>
          <w:lang w:val="es-ES_tradnl"/>
        </w:rPr>
        <w:t xml:space="preserve"> Los artículos 7.1 – 7.5 de la Convención Americana establecen: 1.    Toda persona tiene derecho a la libertad y a la seguridad personales. 2.    Nadie puede ser privado de su libertad física, salvo por las causas y en las condiciones fijadas de antemano por las Constituciones Políticas de los Estados partes o por las leyes dictadas conforme a ellas. 3.    Nadie puede ser sometido a detención o encarcelamiento arbitrarios. 4.    Toda persona detenida o retenida debe ser informada de las razones de su detención y notificada, sin demora, del cargo o cargos formulados contra ella. 5.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w:t>
      </w:r>
    </w:p>
  </w:footnote>
  <w:footnote w:id="93">
    <w:p w:rsidR="00512B04" w:rsidRPr="00BA4843" w:rsidRDefault="00512B04" w:rsidP="00BA4843">
      <w:pPr>
        <w:pStyle w:val="FootnoteText"/>
        <w:jc w:val="both"/>
        <w:rPr>
          <w:rFonts w:asciiTheme="majorHAnsi" w:hAnsiTheme="majorHAnsi"/>
          <w:sz w:val="16"/>
          <w:szCs w:val="16"/>
          <w:lang w:val="es-ES_tradnl"/>
        </w:rPr>
      </w:pPr>
      <w:r w:rsidRPr="00BA4843">
        <w:rPr>
          <w:rStyle w:val="FootnoteReference"/>
          <w:rFonts w:asciiTheme="majorHAnsi" w:hAnsiTheme="majorHAnsi"/>
          <w:sz w:val="16"/>
          <w:szCs w:val="16"/>
          <w:lang w:val="es-ES_tradnl"/>
        </w:rPr>
        <w:footnoteRef/>
      </w:r>
      <w:r w:rsidRPr="00BA4843">
        <w:rPr>
          <w:rFonts w:asciiTheme="majorHAnsi" w:hAnsiTheme="majorHAnsi" w:cs="Arial"/>
          <w:sz w:val="16"/>
          <w:szCs w:val="16"/>
          <w:lang w:val="es-ES_tradnl"/>
        </w:rPr>
        <w:t xml:space="preserve"> Corte I.D.H, </w:t>
      </w:r>
      <w:r w:rsidRPr="00BA4843">
        <w:rPr>
          <w:rFonts w:asciiTheme="majorHAnsi" w:hAnsiTheme="majorHAnsi" w:cs="Arial"/>
          <w:i/>
          <w:sz w:val="16"/>
          <w:szCs w:val="16"/>
          <w:lang w:val="es-ES_tradnl"/>
        </w:rPr>
        <w:t>Caso Velásquez Rodríguez Vs. Honduras</w:t>
      </w:r>
      <w:r w:rsidRPr="00BA4843">
        <w:rPr>
          <w:rFonts w:asciiTheme="majorHAnsi" w:hAnsiTheme="majorHAnsi" w:cs="Arial"/>
          <w:sz w:val="16"/>
          <w:szCs w:val="16"/>
          <w:lang w:val="es-ES_tradnl"/>
        </w:rPr>
        <w:t>. Sentencia de Fondo de 29 de julio de 1988, Serie C No. 4, párr. 175.</w:t>
      </w:r>
      <w:r w:rsidRPr="00BA4843">
        <w:rPr>
          <w:rFonts w:asciiTheme="majorHAnsi" w:hAnsiTheme="majorHAnsi"/>
          <w:sz w:val="16"/>
          <w:szCs w:val="16"/>
          <w:lang w:val="es-ES_tradnl"/>
        </w:rPr>
        <w:t xml:space="preserve"> </w:t>
      </w:r>
    </w:p>
  </w:footnote>
  <w:footnote w:id="94">
    <w:p w:rsidR="00512B04" w:rsidRPr="00BA4843" w:rsidRDefault="00512B04" w:rsidP="00BA4843">
      <w:pPr>
        <w:pStyle w:val="FootnoteText"/>
        <w:jc w:val="both"/>
        <w:rPr>
          <w:rFonts w:asciiTheme="majorHAnsi" w:hAnsiTheme="majorHAnsi"/>
          <w:sz w:val="16"/>
          <w:szCs w:val="16"/>
          <w:lang w:val="es-ES_tradnl"/>
        </w:rPr>
      </w:pPr>
      <w:r w:rsidRPr="00BA4843">
        <w:rPr>
          <w:rStyle w:val="FootnoteReference"/>
          <w:rFonts w:asciiTheme="majorHAnsi" w:hAnsiTheme="majorHAnsi"/>
          <w:sz w:val="16"/>
          <w:szCs w:val="16"/>
          <w:lang w:val="es-ES_tradnl"/>
        </w:rPr>
        <w:footnoteRef/>
      </w:r>
      <w:r w:rsidRPr="00BA4843">
        <w:rPr>
          <w:rFonts w:asciiTheme="majorHAnsi" w:hAnsiTheme="majorHAnsi"/>
          <w:sz w:val="16"/>
          <w:szCs w:val="16"/>
          <w:lang w:val="es-ES_tradnl"/>
        </w:rPr>
        <w:t xml:space="preserve"> Corte I.D.H., </w:t>
      </w:r>
      <w:r w:rsidRPr="00BA4843">
        <w:rPr>
          <w:rFonts w:asciiTheme="majorHAnsi" w:hAnsiTheme="majorHAnsi"/>
          <w:bCs/>
          <w:i/>
          <w:sz w:val="16"/>
          <w:szCs w:val="16"/>
          <w:lang w:val="es-ES_tradnl"/>
        </w:rPr>
        <w:t>Caso González y otras (“Campo Algodonero”) Vs. México</w:t>
      </w:r>
      <w:r w:rsidRPr="00BA4843">
        <w:rPr>
          <w:rFonts w:asciiTheme="majorHAnsi" w:hAnsiTheme="majorHAnsi"/>
          <w:b/>
          <w:bCs/>
          <w:sz w:val="16"/>
          <w:szCs w:val="16"/>
          <w:lang w:val="es-ES_tradnl"/>
        </w:rPr>
        <w:t xml:space="preserve">. </w:t>
      </w:r>
      <w:r w:rsidRPr="00BA4843">
        <w:rPr>
          <w:rFonts w:asciiTheme="majorHAnsi" w:hAnsiTheme="majorHAnsi"/>
          <w:sz w:val="16"/>
          <w:szCs w:val="16"/>
          <w:lang w:val="es-ES_tradnl"/>
        </w:rPr>
        <w:t>Excepción Preliminar, Fondo, Reparaciones y Costas. Sentencia de 16 de noviembre de 2009. Serie C No. 205, párr. 247.</w:t>
      </w:r>
    </w:p>
  </w:footnote>
  <w:footnote w:id="95">
    <w:p w:rsidR="00512B04" w:rsidRPr="00BA4843" w:rsidRDefault="00512B04" w:rsidP="00BA4843">
      <w:pPr>
        <w:autoSpaceDE w:val="0"/>
        <w:autoSpaceDN w:val="0"/>
        <w:adjustRightInd w:val="0"/>
        <w:jc w:val="both"/>
        <w:rPr>
          <w:rFonts w:asciiTheme="majorHAnsi" w:hAnsiTheme="majorHAnsi"/>
          <w:sz w:val="16"/>
          <w:szCs w:val="16"/>
          <w:lang w:val="es-ES_tradnl"/>
        </w:rPr>
      </w:pPr>
      <w:r w:rsidRPr="00BA4843">
        <w:rPr>
          <w:rStyle w:val="FootnoteReference"/>
          <w:rFonts w:asciiTheme="majorHAnsi" w:hAnsiTheme="majorHAnsi"/>
          <w:sz w:val="16"/>
          <w:szCs w:val="16"/>
          <w:lang w:val="es-ES_tradnl"/>
        </w:rPr>
        <w:footnoteRef/>
      </w:r>
      <w:r w:rsidRPr="00BA4843">
        <w:rPr>
          <w:rFonts w:asciiTheme="majorHAnsi" w:hAnsiTheme="majorHAnsi"/>
          <w:sz w:val="16"/>
          <w:szCs w:val="16"/>
          <w:lang w:val="es-ES_tradnl"/>
        </w:rPr>
        <w:t xml:space="preserve"> Corte IDH. </w:t>
      </w:r>
      <w:r w:rsidRPr="00BA4843">
        <w:rPr>
          <w:rFonts w:asciiTheme="majorHAnsi" w:hAnsiTheme="majorHAnsi"/>
          <w:i/>
          <w:sz w:val="16"/>
          <w:szCs w:val="16"/>
          <w:lang w:val="es-ES_tradnl"/>
        </w:rPr>
        <w:t xml:space="preserve">Caso Anzualdo Castro Vs. Perú. Excepción Preliminar, Fondo, Reparaciones y Costas. </w:t>
      </w:r>
      <w:r w:rsidRPr="00BA4843">
        <w:rPr>
          <w:rFonts w:asciiTheme="majorHAnsi" w:hAnsiTheme="majorHAnsi"/>
          <w:sz w:val="16"/>
          <w:szCs w:val="16"/>
          <w:lang w:val="es-ES_tradnl"/>
        </w:rPr>
        <w:t xml:space="preserve">Sentencia de 22 de Septiembre de 2009. Serie C No. 202, párr. 134; </w:t>
      </w:r>
      <w:r w:rsidRPr="00BA4843">
        <w:rPr>
          <w:rFonts w:asciiTheme="majorHAnsi" w:hAnsiTheme="majorHAnsi"/>
          <w:bCs/>
          <w:i/>
          <w:sz w:val="16"/>
          <w:szCs w:val="16"/>
          <w:lang w:val="es-ES_tradnl"/>
        </w:rPr>
        <w:t>Caso Radilla Pacheco Vs. México.</w:t>
      </w:r>
      <w:r w:rsidRPr="00BA4843">
        <w:rPr>
          <w:rFonts w:asciiTheme="majorHAnsi" w:hAnsiTheme="majorHAnsi"/>
          <w:b/>
          <w:bCs/>
          <w:sz w:val="16"/>
          <w:szCs w:val="16"/>
          <w:lang w:val="es-ES_tradnl"/>
        </w:rPr>
        <w:t xml:space="preserve"> </w:t>
      </w:r>
      <w:r w:rsidRPr="00BA4843">
        <w:rPr>
          <w:rFonts w:asciiTheme="majorHAnsi" w:hAnsiTheme="majorHAnsi"/>
          <w:sz w:val="16"/>
          <w:szCs w:val="16"/>
          <w:lang w:val="es-ES_tradnl"/>
        </w:rPr>
        <w:t>Excepciones Preliminares, Fondo, Reparaciones y Costas. Sentencia de 23 de Noviembre de 2009. Serie C No. 209, párr. 221, y</w:t>
      </w:r>
      <w:r w:rsidRPr="00BA4843">
        <w:rPr>
          <w:rFonts w:asciiTheme="majorHAnsi" w:hAnsiTheme="majorHAnsi"/>
          <w:bCs/>
          <w:i/>
          <w:sz w:val="16"/>
          <w:szCs w:val="16"/>
          <w:lang w:val="es-ES_tradnl"/>
        </w:rPr>
        <w:t xml:space="preserve"> Caso Ibsen Cárdenas e Ibsen Peña Vs. Bolivia.</w:t>
      </w:r>
      <w:r w:rsidRPr="00BA4843">
        <w:rPr>
          <w:rFonts w:asciiTheme="majorHAnsi" w:hAnsiTheme="majorHAnsi"/>
          <w:b/>
          <w:bCs/>
          <w:sz w:val="16"/>
          <w:szCs w:val="16"/>
          <w:lang w:val="es-ES_tradnl"/>
        </w:rPr>
        <w:t xml:space="preserve"> </w:t>
      </w:r>
      <w:r w:rsidRPr="00BA4843">
        <w:rPr>
          <w:rFonts w:asciiTheme="majorHAnsi" w:hAnsiTheme="majorHAnsi"/>
          <w:sz w:val="16"/>
          <w:szCs w:val="16"/>
          <w:lang w:val="es-ES_tradnl"/>
        </w:rPr>
        <w:t xml:space="preserve">Fondo, Reparaciones y Costas. Sentencia de 1 de septiembre de 2010. Serie C No. 217, párr. 167. Ver también </w:t>
      </w:r>
      <w:r w:rsidRPr="00BA4843">
        <w:rPr>
          <w:rFonts w:asciiTheme="majorHAnsi" w:hAnsiTheme="majorHAnsi"/>
          <w:i/>
          <w:sz w:val="16"/>
          <w:szCs w:val="16"/>
          <w:lang w:val="es-ES_tradnl"/>
        </w:rPr>
        <w:t xml:space="preserve">Asunto Natera Balboa. </w:t>
      </w:r>
      <w:r w:rsidRPr="00BA4843">
        <w:rPr>
          <w:rFonts w:asciiTheme="majorHAnsi" w:hAnsiTheme="majorHAnsi"/>
          <w:sz w:val="16"/>
          <w:szCs w:val="16"/>
          <w:lang w:val="es-ES_tradnl"/>
        </w:rPr>
        <w:t>Medida Provisionales respecto de Venezuela. Resolución de la Corte de 1 de febrero de 2010,</w:t>
      </w:r>
      <w:r w:rsidRPr="00BA4843">
        <w:rPr>
          <w:rFonts w:asciiTheme="majorHAnsi" w:hAnsiTheme="majorHAnsi"/>
          <w:i/>
          <w:sz w:val="16"/>
          <w:szCs w:val="16"/>
          <w:lang w:val="es-ES_tradnl"/>
        </w:rPr>
        <w:t xml:space="preserve"> </w:t>
      </w:r>
      <w:r w:rsidRPr="00BA4843">
        <w:rPr>
          <w:rFonts w:asciiTheme="majorHAnsi" w:hAnsiTheme="majorHAnsi"/>
          <w:sz w:val="16"/>
          <w:szCs w:val="16"/>
          <w:lang w:val="es-ES_tradnl"/>
        </w:rPr>
        <w:t xml:space="preserve">Considerando decimotercero. </w:t>
      </w:r>
    </w:p>
  </w:footnote>
  <w:footnote w:id="96">
    <w:p w:rsidR="00512B04" w:rsidRPr="00BA4843" w:rsidRDefault="00512B04" w:rsidP="00BA4843">
      <w:pPr>
        <w:pStyle w:val="FootnoteText"/>
        <w:jc w:val="both"/>
        <w:rPr>
          <w:rFonts w:asciiTheme="majorHAnsi" w:hAnsiTheme="majorHAnsi"/>
          <w:sz w:val="16"/>
          <w:szCs w:val="16"/>
          <w:lang w:val="es-ES_tradnl"/>
        </w:rPr>
      </w:pPr>
      <w:r w:rsidRPr="00BA4843">
        <w:rPr>
          <w:rStyle w:val="FootnoteReference"/>
          <w:rFonts w:asciiTheme="majorHAnsi" w:hAnsiTheme="majorHAnsi"/>
          <w:sz w:val="16"/>
          <w:szCs w:val="16"/>
          <w:lang w:val="es-ES_tradnl"/>
        </w:rPr>
        <w:footnoteRef/>
      </w:r>
      <w:r w:rsidRPr="00BA4843">
        <w:rPr>
          <w:rFonts w:asciiTheme="majorHAnsi" w:hAnsiTheme="majorHAnsi"/>
          <w:sz w:val="16"/>
          <w:szCs w:val="16"/>
          <w:lang w:val="es-ES_tradnl"/>
        </w:rPr>
        <w:t xml:space="preserve"> Corte I.D.H., </w:t>
      </w:r>
      <w:r w:rsidRPr="00BA4843">
        <w:rPr>
          <w:rFonts w:asciiTheme="majorHAnsi" w:hAnsiTheme="majorHAnsi"/>
          <w:bCs/>
          <w:i/>
          <w:sz w:val="16"/>
          <w:szCs w:val="16"/>
          <w:lang w:val="es-ES_tradnl"/>
        </w:rPr>
        <w:t>Caso González y otras (“Campo Algodonero”) Vs. México</w:t>
      </w:r>
      <w:r w:rsidRPr="00BA4843">
        <w:rPr>
          <w:rFonts w:asciiTheme="majorHAnsi" w:hAnsiTheme="majorHAnsi"/>
          <w:b/>
          <w:bCs/>
          <w:sz w:val="16"/>
          <w:szCs w:val="16"/>
          <w:lang w:val="es-ES_tradnl"/>
        </w:rPr>
        <w:t xml:space="preserve">. </w:t>
      </w:r>
      <w:r w:rsidRPr="00BA4843">
        <w:rPr>
          <w:rFonts w:asciiTheme="majorHAnsi" w:hAnsiTheme="majorHAnsi"/>
          <w:sz w:val="16"/>
          <w:szCs w:val="16"/>
          <w:lang w:val="es-ES_tradnl"/>
        </w:rPr>
        <w:t>Excepción Preliminar, Fondo, Reparaciones y Costas. Sentencia de 16 de noviembre de 2009. Serie C No. 205, párr. 283.</w:t>
      </w:r>
    </w:p>
  </w:footnote>
  <w:footnote w:id="97">
    <w:p w:rsidR="00512B04" w:rsidRPr="00BA4843" w:rsidRDefault="00512B04" w:rsidP="00BA4843">
      <w:pPr>
        <w:jc w:val="both"/>
        <w:rPr>
          <w:rFonts w:asciiTheme="majorHAnsi" w:hAnsiTheme="majorHAnsi"/>
          <w:sz w:val="16"/>
          <w:szCs w:val="16"/>
          <w:lang w:val="es-ES_tradnl"/>
        </w:rPr>
      </w:pPr>
      <w:r w:rsidRPr="00BA4843">
        <w:rPr>
          <w:rStyle w:val="FootnoteReference"/>
          <w:rFonts w:asciiTheme="majorHAnsi" w:hAnsiTheme="majorHAnsi"/>
          <w:sz w:val="16"/>
          <w:szCs w:val="16"/>
          <w:lang w:val="es-ES_tradnl"/>
        </w:rPr>
        <w:footnoteRef/>
      </w:r>
      <w:r w:rsidRPr="00BA4843">
        <w:rPr>
          <w:rFonts w:asciiTheme="majorHAnsi" w:hAnsiTheme="majorHAnsi"/>
          <w:sz w:val="16"/>
          <w:szCs w:val="16"/>
          <w:lang w:val="es-ES_tradnl"/>
        </w:rPr>
        <w:t xml:space="preserve"> </w:t>
      </w:r>
      <w:hyperlink r:id="rId7" w:history="1">
        <w:r w:rsidRPr="00BA4843">
          <w:rPr>
            <w:rFonts w:asciiTheme="majorHAnsi" w:hAnsiTheme="majorHAnsi"/>
            <w:sz w:val="16"/>
            <w:szCs w:val="16"/>
            <w:lang w:val="es-ES_tradnl"/>
          </w:rPr>
          <w:t xml:space="preserve">Corte IDH. </w:t>
        </w:r>
        <w:r w:rsidRPr="00BA4843">
          <w:rPr>
            <w:rFonts w:asciiTheme="majorHAnsi" w:hAnsiTheme="majorHAnsi"/>
            <w:i/>
            <w:sz w:val="16"/>
            <w:szCs w:val="16"/>
            <w:lang w:val="es-ES_tradnl"/>
          </w:rPr>
          <w:t xml:space="preserve">Caso González Medina y familiares Vs. República Dominicana. </w:t>
        </w:r>
        <w:r w:rsidRPr="00BA4843">
          <w:rPr>
            <w:rFonts w:asciiTheme="majorHAnsi" w:hAnsiTheme="majorHAnsi"/>
            <w:sz w:val="16"/>
            <w:szCs w:val="16"/>
            <w:lang w:val="es-ES_tradnl"/>
          </w:rPr>
          <w:t>Excepciones Preliminares, Fondo, Reparaciones y Costas. Sentencia de 27 de febrero de 2012 Serie C No. 240</w:t>
        </w:r>
      </w:hyperlink>
      <w:r w:rsidRPr="00BA4843">
        <w:rPr>
          <w:rFonts w:asciiTheme="majorHAnsi" w:hAnsiTheme="majorHAnsi"/>
          <w:sz w:val="16"/>
          <w:szCs w:val="16"/>
          <w:lang w:val="es-ES_tradnl"/>
        </w:rPr>
        <w:t>, párr.161.</w:t>
      </w:r>
    </w:p>
    <w:p w:rsidR="00512B04" w:rsidRPr="00BA4843" w:rsidRDefault="00512B04" w:rsidP="00BA4843">
      <w:pPr>
        <w:pStyle w:val="FootnoteText"/>
        <w:jc w:val="both"/>
        <w:rPr>
          <w:rFonts w:asciiTheme="majorHAnsi" w:hAnsiTheme="majorHAnsi"/>
          <w:color w:val="auto"/>
          <w:sz w:val="16"/>
          <w:szCs w:val="16"/>
          <w:lang w:val="es-ES_tradnl"/>
        </w:rPr>
      </w:pPr>
    </w:p>
  </w:footnote>
  <w:footnote w:id="98">
    <w:p w:rsidR="00512B04" w:rsidRPr="00BA4843" w:rsidRDefault="00512B04" w:rsidP="00BA4843">
      <w:pPr>
        <w:pStyle w:val="FootnoteText"/>
        <w:jc w:val="both"/>
        <w:rPr>
          <w:rFonts w:asciiTheme="majorHAnsi" w:hAnsiTheme="majorHAnsi"/>
          <w:sz w:val="16"/>
          <w:szCs w:val="16"/>
          <w:lang w:val="es-ES_tradnl"/>
        </w:rPr>
      </w:pPr>
      <w:r w:rsidRPr="00BA4843">
        <w:rPr>
          <w:rStyle w:val="FootnoteReference"/>
          <w:rFonts w:asciiTheme="majorHAnsi" w:hAnsiTheme="majorHAnsi"/>
          <w:sz w:val="16"/>
          <w:szCs w:val="16"/>
          <w:lang w:val="es-ES_tradnl"/>
        </w:rPr>
        <w:footnoteRef/>
      </w:r>
      <w:r w:rsidRPr="00BA4843">
        <w:rPr>
          <w:rFonts w:asciiTheme="majorHAnsi" w:hAnsiTheme="majorHAnsi"/>
          <w:sz w:val="16"/>
          <w:szCs w:val="16"/>
          <w:lang w:val="es-ES_tradnl"/>
        </w:rPr>
        <w:t xml:space="preserve"> Corte I.D.H., </w:t>
      </w:r>
      <w:hyperlink r:id="rId8" w:history="1">
        <w:r w:rsidRPr="00BA4843">
          <w:rPr>
            <w:rStyle w:val="Hyperlink"/>
            <w:rFonts w:asciiTheme="majorHAnsi" w:hAnsiTheme="majorHAnsi" w:cs="Arial"/>
            <w:color w:val="auto"/>
            <w:sz w:val="16"/>
            <w:szCs w:val="16"/>
            <w:shd w:val="clear" w:color="auto" w:fill="FFFFFF"/>
            <w:lang w:val="es-ES_tradnl"/>
          </w:rPr>
          <w:t>Caso García y Familiares Vs. Guatemala. Fondo Reparaciones y Costas. Sentencia de 29 noviembre de 2012 Serie C No. 258</w:t>
        </w:r>
      </w:hyperlink>
      <w:r w:rsidRPr="00BA4843">
        <w:rPr>
          <w:rFonts w:asciiTheme="majorHAnsi" w:hAnsiTheme="majorHAnsi"/>
          <w:sz w:val="16"/>
          <w:szCs w:val="16"/>
          <w:lang w:val="es-ES_tradnl"/>
        </w:rPr>
        <w:t>, párr. 143.</w:t>
      </w:r>
    </w:p>
  </w:footnote>
  <w:footnote w:id="99">
    <w:p w:rsidR="00512B04" w:rsidRPr="00BA4843" w:rsidRDefault="00512B04" w:rsidP="00BA4843">
      <w:pPr>
        <w:pStyle w:val="FootnoteText"/>
        <w:jc w:val="both"/>
        <w:rPr>
          <w:rFonts w:asciiTheme="majorHAnsi" w:hAnsiTheme="majorHAnsi"/>
          <w:sz w:val="16"/>
          <w:szCs w:val="16"/>
          <w:lang w:val="es-ES_tradnl"/>
        </w:rPr>
      </w:pPr>
      <w:r w:rsidRPr="00BA4843">
        <w:rPr>
          <w:rStyle w:val="FootnoteReference"/>
          <w:rFonts w:asciiTheme="majorHAnsi" w:hAnsiTheme="majorHAnsi"/>
          <w:sz w:val="16"/>
          <w:szCs w:val="16"/>
        </w:rPr>
        <w:footnoteRef/>
      </w:r>
      <w:r w:rsidRPr="00BA4843">
        <w:rPr>
          <w:rFonts w:asciiTheme="majorHAnsi" w:hAnsiTheme="majorHAnsi"/>
          <w:sz w:val="16"/>
          <w:szCs w:val="16"/>
          <w:lang w:val="es-MX"/>
        </w:rPr>
        <w:t xml:space="preserve"> </w:t>
      </w:r>
      <w:r w:rsidRPr="00BA4843">
        <w:rPr>
          <w:rFonts w:asciiTheme="majorHAnsi" w:hAnsiTheme="majorHAnsi"/>
          <w:sz w:val="16"/>
          <w:szCs w:val="16"/>
          <w:lang w:val="es-ES_tradnl"/>
        </w:rPr>
        <w:t>El artículo 8.1 de la Convención Americana indica: 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100">
    <w:p w:rsidR="00512B04" w:rsidRPr="00BA4843" w:rsidRDefault="00512B04" w:rsidP="00BA4843">
      <w:pPr>
        <w:pStyle w:val="FootnoteText"/>
        <w:jc w:val="both"/>
        <w:rPr>
          <w:rFonts w:asciiTheme="majorHAnsi" w:hAnsiTheme="majorHAnsi"/>
          <w:sz w:val="16"/>
          <w:szCs w:val="16"/>
          <w:lang w:val="es-ES_tradnl"/>
        </w:rPr>
      </w:pPr>
      <w:r w:rsidRPr="00BA4843">
        <w:rPr>
          <w:rStyle w:val="FootnoteReference"/>
          <w:rFonts w:asciiTheme="majorHAnsi" w:hAnsiTheme="majorHAnsi"/>
          <w:sz w:val="16"/>
          <w:szCs w:val="16"/>
        </w:rPr>
        <w:footnoteRef/>
      </w:r>
      <w:r w:rsidRPr="00BA4843">
        <w:rPr>
          <w:rFonts w:asciiTheme="majorHAnsi" w:hAnsiTheme="majorHAnsi"/>
          <w:sz w:val="16"/>
          <w:szCs w:val="16"/>
          <w:lang w:val="es-MX"/>
        </w:rPr>
        <w:t xml:space="preserve"> </w:t>
      </w:r>
      <w:r w:rsidRPr="00BA4843">
        <w:rPr>
          <w:rFonts w:asciiTheme="majorHAnsi" w:hAnsiTheme="majorHAnsi"/>
          <w:sz w:val="16"/>
          <w:szCs w:val="16"/>
          <w:lang w:val="es-ES_tradnl"/>
        </w:rPr>
        <w:t>El artículo 25.1 de la Convención Americana establece: 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101">
    <w:p w:rsidR="00512B04" w:rsidRPr="00BA4843" w:rsidRDefault="00512B04" w:rsidP="00BA4843">
      <w:pPr>
        <w:jc w:val="both"/>
        <w:rPr>
          <w:rFonts w:asciiTheme="majorHAnsi" w:hAnsiTheme="majorHAnsi"/>
          <w:sz w:val="16"/>
          <w:szCs w:val="16"/>
          <w:lang w:val="es-ES_tradnl"/>
        </w:rPr>
      </w:pPr>
      <w:r w:rsidRPr="00BA4843">
        <w:rPr>
          <w:rStyle w:val="FootnoteReference"/>
          <w:rFonts w:asciiTheme="majorHAnsi" w:hAnsiTheme="majorHAnsi"/>
          <w:sz w:val="16"/>
          <w:szCs w:val="16"/>
          <w:lang w:val="es-ES_tradnl"/>
        </w:rPr>
        <w:footnoteRef/>
      </w:r>
      <w:r w:rsidRPr="00BA4843">
        <w:rPr>
          <w:rFonts w:asciiTheme="majorHAnsi" w:hAnsiTheme="majorHAnsi"/>
          <w:sz w:val="16"/>
          <w:szCs w:val="16"/>
          <w:lang w:val="es-ES_tradnl"/>
        </w:rPr>
        <w:t xml:space="preserve"> </w:t>
      </w:r>
      <w:r w:rsidRPr="00BA4843">
        <w:rPr>
          <w:rFonts w:asciiTheme="majorHAnsi" w:eastAsia="Times New Roman" w:hAnsiTheme="majorHAnsi" w:cs="Arial"/>
          <w:sz w:val="16"/>
          <w:szCs w:val="16"/>
          <w:bdr w:val="none" w:sz="0" w:space="0" w:color="auto"/>
          <w:shd w:val="clear" w:color="auto" w:fill="FFFFFF"/>
          <w:lang w:val="es-ES_tradnl"/>
        </w:rPr>
        <w:t xml:space="preserve">Corte IDH. </w:t>
      </w:r>
      <w:r w:rsidRPr="00BA4843">
        <w:rPr>
          <w:rFonts w:asciiTheme="majorHAnsi" w:eastAsia="Times New Roman" w:hAnsiTheme="majorHAnsi" w:cs="Arial"/>
          <w:i/>
          <w:sz w:val="16"/>
          <w:szCs w:val="16"/>
          <w:bdr w:val="none" w:sz="0" w:space="0" w:color="auto"/>
          <w:shd w:val="clear" w:color="auto" w:fill="FFFFFF"/>
          <w:lang w:val="es-ES_tradnl"/>
        </w:rPr>
        <w:t>Caso </w:t>
      </w:r>
      <w:r w:rsidRPr="00BA4843">
        <w:rPr>
          <w:rFonts w:asciiTheme="majorHAnsi" w:eastAsia="Times New Roman" w:hAnsiTheme="majorHAnsi" w:cs="Arial"/>
          <w:bCs/>
          <w:i/>
          <w:sz w:val="16"/>
          <w:szCs w:val="16"/>
          <w:bdr w:val="none" w:sz="0" w:space="0" w:color="auto"/>
          <w:shd w:val="clear" w:color="auto" w:fill="FFFFFF"/>
          <w:lang w:val="es-ES_tradnl"/>
        </w:rPr>
        <w:t>Velásquez Rodríguez</w:t>
      </w:r>
      <w:r w:rsidRPr="00BA4843">
        <w:rPr>
          <w:rFonts w:asciiTheme="majorHAnsi" w:eastAsia="Times New Roman" w:hAnsiTheme="majorHAnsi" w:cs="Arial"/>
          <w:i/>
          <w:sz w:val="16"/>
          <w:szCs w:val="16"/>
          <w:bdr w:val="none" w:sz="0" w:space="0" w:color="auto"/>
          <w:shd w:val="clear" w:color="auto" w:fill="FFFFFF"/>
          <w:lang w:val="es-ES_tradnl"/>
        </w:rPr>
        <w:t> Vs. Honduras. Fondo</w:t>
      </w:r>
      <w:r w:rsidRPr="00BA4843">
        <w:rPr>
          <w:rFonts w:asciiTheme="majorHAnsi" w:eastAsia="Times New Roman" w:hAnsiTheme="majorHAnsi" w:cs="Arial"/>
          <w:sz w:val="16"/>
          <w:szCs w:val="16"/>
          <w:bdr w:val="none" w:sz="0" w:space="0" w:color="auto"/>
          <w:shd w:val="clear" w:color="auto" w:fill="FFFFFF"/>
          <w:lang w:val="es-ES_tradnl"/>
        </w:rPr>
        <w:t>. Sentencia de 29 de julio de 1988. Serie C No. 4, párr. 177.</w:t>
      </w:r>
    </w:p>
  </w:footnote>
  <w:footnote w:id="102">
    <w:p w:rsidR="00512B04" w:rsidRPr="00BA4843" w:rsidRDefault="00512B04" w:rsidP="00BA4843">
      <w:pPr>
        <w:jc w:val="both"/>
        <w:rPr>
          <w:rFonts w:asciiTheme="majorHAnsi" w:hAnsiTheme="majorHAnsi"/>
          <w:sz w:val="16"/>
          <w:szCs w:val="16"/>
          <w:lang w:val="es-ES_tradnl"/>
        </w:rPr>
      </w:pPr>
      <w:r w:rsidRPr="00BA4843">
        <w:rPr>
          <w:rStyle w:val="FootnoteReference"/>
          <w:rFonts w:asciiTheme="majorHAnsi" w:hAnsiTheme="majorHAnsi"/>
          <w:sz w:val="16"/>
          <w:szCs w:val="16"/>
          <w:lang w:val="es-ES_tradnl"/>
        </w:rPr>
        <w:footnoteRef/>
      </w:r>
      <w:r w:rsidRPr="00BA4843">
        <w:rPr>
          <w:rFonts w:asciiTheme="majorHAnsi" w:eastAsia="Times New Roman" w:hAnsiTheme="majorHAnsi"/>
          <w:sz w:val="16"/>
          <w:szCs w:val="16"/>
          <w:bdr w:val="none" w:sz="0" w:space="0" w:color="auto"/>
          <w:lang w:val="es-ES_tradnl"/>
        </w:rPr>
        <w:t>E/CN.4/1991/36, párr. 591</w:t>
      </w:r>
    </w:p>
  </w:footnote>
  <w:footnote w:id="103">
    <w:p w:rsidR="00512B04" w:rsidRPr="00BA4843" w:rsidRDefault="00512B04" w:rsidP="00BA4843">
      <w:pPr>
        <w:pStyle w:val="FootnoteText"/>
        <w:jc w:val="both"/>
        <w:rPr>
          <w:rFonts w:asciiTheme="majorHAnsi" w:hAnsiTheme="majorHAnsi"/>
          <w:sz w:val="16"/>
          <w:szCs w:val="16"/>
          <w:lang w:val="es-ES_tradnl"/>
        </w:rPr>
      </w:pPr>
      <w:r w:rsidRPr="00BA4843">
        <w:rPr>
          <w:rStyle w:val="FootnoteReference"/>
          <w:rFonts w:asciiTheme="majorHAnsi" w:hAnsiTheme="majorHAnsi"/>
          <w:sz w:val="16"/>
          <w:szCs w:val="16"/>
          <w:lang w:val="es-ES_tradnl"/>
        </w:rPr>
        <w:footnoteRef/>
      </w:r>
      <w:r w:rsidRPr="00BA4843">
        <w:rPr>
          <w:rFonts w:asciiTheme="majorHAnsi" w:hAnsiTheme="majorHAnsi"/>
          <w:sz w:val="16"/>
          <w:szCs w:val="16"/>
          <w:lang w:val="es-ES_tradnl"/>
        </w:rPr>
        <w:t xml:space="preserve"> Corte I.D.H., </w:t>
      </w:r>
      <w:r w:rsidRPr="00BA4843">
        <w:rPr>
          <w:rFonts w:asciiTheme="majorHAnsi" w:hAnsiTheme="majorHAnsi"/>
          <w:iCs/>
          <w:sz w:val="16"/>
          <w:szCs w:val="16"/>
          <w:lang w:val="es-ES_tradnl"/>
        </w:rPr>
        <w:t>Caso García Prieto y otros Vs. El Salvador.</w:t>
      </w:r>
      <w:r w:rsidRPr="00BA4843">
        <w:rPr>
          <w:rFonts w:asciiTheme="majorHAnsi" w:hAnsiTheme="majorHAnsi"/>
          <w:bCs/>
          <w:sz w:val="16"/>
          <w:szCs w:val="16"/>
          <w:lang w:val="es-ES_tradnl"/>
        </w:rPr>
        <w:t xml:space="preserve"> </w:t>
      </w:r>
      <w:hyperlink r:id="rId9" w:history="1">
        <w:r w:rsidRPr="00BA4843">
          <w:rPr>
            <w:rStyle w:val="Hyperlink"/>
            <w:rFonts w:asciiTheme="majorHAnsi" w:hAnsiTheme="majorHAnsi" w:cs="Arial"/>
            <w:color w:val="auto"/>
            <w:sz w:val="16"/>
            <w:szCs w:val="16"/>
            <w:shd w:val="clear" w:color="auto" w:fill="FFFFFF"/>
            <w:lang w:val="es-ES_tradnl"/>
          </w:rPr>
          <w:t>Excepciones Preliminares, Fondo, Reparaciones y Costas. Sentencia de 20 de noviembre de 2007. Serie C No. 168</w:t>
        </w:r>
      </w:hyperlink>
      <w:r w:rsidRPr="00BA4843">
        <w:rPr>
          <w:rFonts w:asciiTheme="majorHAnsi" w:hAnsiTheme="majorHAnsi"/>
          <w:sz w:val="16"/>
          <w:szCs w:val="16"/>
          <w:lang w:val="es-ES_tradnl"/>
        </w:rPr>
        <w:t xml:space="preserve">, párr. 101. </w:t>
      </w:r>
      <w:r w:rsidRPr="00BA4843">
        <w:rPr>
          <w:rFonts w:asciiTheme="majorHAnsi" w:hAnsiTheme="majorHAnsi"/>
          <w:iCs/>
          <w:sz w:val="16"/>
          <w:szCs w:val="16"/>
          <w:lang w:val="es-ES_tradnl"/>
        </w:rPr>
        <w:t> </w:t>
      </w:r>
    </w:p>
  </w:footnote>
  <w:footnote w:id="104">
    <w:p w:rsidR="00512B04" w:rsidRPr="00BA4843" w:rsidRDefault="00512B04" w:rsidP="00BA4843">
      <w:pPr>
        <w:pStyle w:val="FootnoteText"/>
        <w:jc w:val="both"/>
        <w:rPr>
          <w:rFonts w:asciiTheme="majorHAnsi" w:hAnsiTheme="majorHAnsi"/>
          <w:sz w:val="16"/>
          <w:szCs w:val="16"/>
          <w:lang w:val="es-ES_tradnl"/>
        </w:rPr>
      </w:pPr>
      <w:r w:rsidRPr="00BA4843">
        <w:rPr>
          <w:rStyle w:val="FootnoteReference"/>
          <w:rFonts w:asciiTheme="majorHAnsi" w:hAnsiTheme="majorHAnsi"/>
          <w:sz w:val="16"/>
          <w:szCs w:val="16"/>
          <w:lang w:val="es-ES_tradnl"/>
        </w:rPr>
        <w:footnoteRef/>
      </w:r>
      <w:r w:rsidRPr="00BA4843">
        <w:rPr>
          <w:rStyle w:val="FootnoteReference"/>
          <w:rFonts w:asciiTheme="majorHAnsi" w:hAnsiTheme="majorHAnsi"/>
          <w:sz w:val="16"/>
          <w:szCs w:val="16"/>
          <w:lang w:val="es-ES_tradnl"/>
        </w:rPr>
        <w:t xml:space="preserve"> </w:t>
      </w:r>
      <w:r w:rsidRPr="00BA4843">
        <w:rPr>
          <w:rFonts w:asciiTheme="majorHAnsi" w:hAnsiTheme="majorHAnsi"/>
          <w:sz w:val="16"/>
          <w:szCs w:val="16"/>
          <w:lang w:val="es-ES_tradnl"/>
        </w:rPr>
        <w:t xml:space="preserve">Corte I.D.H., Caso de los Hermanos Gómez Paquiyauri Vs. Perú. Sentencia de 8 de julio de 2004. Serie C No. 110, párr. 146; y Corte I.D.H., </w:t>
      </w:r>
      <w:r w:rsidRPr="00BA4843">
        <w:rPr>
          <w:rFonts w:asciiTheme="majorHAnsi" w:hAnsiTheme="majorHAnsi"/>
          <w:bCs/>
          <w:sz w:val="16"/>
          <w:szCs w:val="16"/>
          <w:lang w:val="es-ES_tradnl"/>
        </w:rPr>
        <w:t xml:space="preserve">Caso Cantoral Huamaní y García Santa Cruz Vs. Perú. </w:t>
      </w:r>
      <w:r w:rsidRPr="00BA4843">
        <w:rPr>
          <w:rFonts w:asciiTheme="majorHAnsi" w:hAnsiTheme="majorHAnsi"/>
          <w:sz w:val="16"/>
          <w:szCs w:val="16"/>
          <w:lang w:val="es-ES_tradnl"/>
        </w:rPr>
        <w:t xml:space="preserve">Sentencia de 10 de julio de 2007. Serie C No. 167, párr. 130.  </w:t>
      </w:r>
    </w:p>
  </w:footnote>
  <w:footnote w:id="105">
    <w:p w:rsidR="00512B04" w:rsidRPr="00BA4843" w:rsidRDefault="00512B04" w:rsidP="00BA4843">
      <w:pPr>
        <w:pStyle w:val="FootnoteText"/>
        <w:jc w:val="both"/>
        <w:rPr>
          <w:rFonts w:asciiTheme="majorHAnsi" w:hAnsiTheme="majorHAnsi"/>
          <w:sz w:val="16"/>
          <w:szCs w:val="16"/>
          <w:lang w:val="es-ES_tradnl"/>
        </w:rPr>
      </w:pPr>
      <w:r w:rsidRPr="00BA4843">
        <w:rPr>
          <w:rStyle w:val="FootnoteReference"/>
          <w:rFonts w:asciiTheme="majorHAnsi" w:hAnsiTheme="majorHAnsi"/>
          <w:sz w:val="16"/>
          <w:szCs w:val="16"/>
          <w:lang w:val="es-ES_tradnl"/>
        </w:rPr>
        <w:footnoteRef/>
      </w:r>
      <w:r w:rsidRPr="00BA4843">
        <w:rPr>
          <w:rFonts w:asciiTheme="majorHAnsi" w:hAnsiTheme="majorHAnsi"/>
          <w:sz w:val="16"/>
          <w:szCs w:val="16"/>
          <w:lang w:val="es-ES_tradnl"/>
        </w:rPr>
        <w:t xml:space="preserve"> Corte IDH. </w:t>
      </w:r>
      <w:r w:rsidRPr="00BA4843">
        <w:rPr>
          <w:rFonts w:asciiTheme="majorHAnsi" w:hAnsiTheme="majorHAnsi"/>
          <w:iCs/>
          <w:sz w:val="16"/>
          <w:szCs w:val="16"/>
          <w:lang w:val="es-ES_tradnl"/>
        </w:rPr>
        <w:t>Caso Zambrano Vélez y otros Vs. Ecuador.</w:t>
      </w:r>
      <w:r w:rsidRPr="00BA4843">
        <w:rPr>
          <w:rFonts w:asciiTheme="majorHAnsi" w:hAnsiTheme="majorHAnsi"/>
          <w:bCs/>
          <w:sz w:val="16"/>
          <w:szCs w:val="16"/>
          <w:lang w:val="es-ES_tradnl"/>
        </w:rPr>
        <w:t xml:space="preserve"> </w:t>
      </w:r>
      <w:r w:rsidRPr="00BA4843">
        <w:rPr>
          <w:rFonts w:asciiTheme="majorHAnsi" w:hAnsiTheme="majorHAnsi"/>
          <w:sz w:val="16"/>
          <w:szCs w:val="16"/>
          <w:lang w:val="es-ES_tradnl"/>
        </w:rPr>
        <w:t xml:space="preserve">Fondo, Reparaciones y Costas. Sentencia de 4 de julio de 2007. Serie C No. 166. Párr. 121.  </w:t>
      </w:r>
    </w:p>
  </w:footnote>
  <w:footnote w:id="106">
    <w:p w:rsidR="00512B04" w:rsidRPr="00BA4843" w:rsidRDefault="00512B04" w:rsidP="00BA4843">
      <w:pPr>
        <w:jc w:val="both"/>
        <w:rPr>
          <w:rFonts w:asciiTheme="majorHAnsi" w:hAnsiTheme="majorHAnsi"/>
          <w:sz w:val="16"/>
          <w:szCs w:val="16"/>
          <w:lang w:val="es-ES_tradnl"/>
        </w:rPr>
      </w:pPr>
      <w:r w:rsidRPr="00BA4843">
        <w:rPr>
          <w:rStyle w:val="FootnoteReference"/>
          <w:rFonts w:asciiTheme="majorHAnsi" w:hAnsiTheme="majorHAnsi"/>
          <w:sz w:val="16"/>
          <w:szCs w:val="16"/>
          <w:lang w:val="es-ES_tradnl"/>
        </w:rPr>
        <w:footnoteRef/>
      </w:r>
      <w:r w:rsidRPr="00BA4843">
        <w:rPr>
          <w:rStyle w:val="FootnoteReference"/>
          <w:rFonts w:asciiTheme="majorHAnsi" w:hAnsiTheme="majorHAnsi"/>
          <w:sz w:val="16"/>
          <w:szCs w:val="16"/>
          <w:lang w:val="es-ES_tradnl"/>
        </w:rPr>
        <w:t xml:space="preserve"> </w:t>
      </w:r>
      <w:r w:rsidRPr="00BA4843">
        <w:rPr>
          <w:rFonts w:asciiTheme="majorHAnsi" w:hAnsiTheme="majorHAnsi" w:cs="Arial"/>
          <w:sz w:val="16"/>
          <w:szCs w:val="16"/>
          <w:lang w:val="es-ES_tradnl"/>
        </w:rPr>
        <w:t xml:space="preserve">Corte I.D.H., Caso Myrna Mack Chang Vs. Guatemala. Sentencia de 25 de noviembre de 2003. Serie C No. 101, párr. 167. </w:t>
      </w:r>
      <w:r w:rsidRPr="00BA4843">
        <w:rPr>
          <w:rFonts w:asciiTheme="majorHAnsi" w:hAnsiTheme="majorHAnsi"/>
          <w:sz w:val="16"/>
          <w:szCs w:val="16"/>
          <w:lang w:val="es-ES_tradnl" w:eastAsia="es-ES"/>
        </w:rPr>
        <w:t>CIDH, Informe No. 37/00, Caso 11.481, Fondo, Monseñor Oscar Arnulfo Romero y Galdámez, El Salvador, 13 de abril de 2000, párr. 85.</w:t>
      </w:r>
    </w:p>
  </w:footnote>
  <w:footnote w:id="107">
    <w:p w:rsidR="00512B04" w:rsidRPr="00BA4843" w:rsidRDefault="00512B04" w:rsidP="00BA4843">
      <w:pPr>
        <w:autoSpaceDE w:val="0"/>
        <w:autoSpaceDN w:val="0"/>
        <w:adjustRightInd w:val="0"/>
        <w:jc w:val="both"/>
        <w:rPr>
          <w:rFonts w:asciiTheme="majorHAnsi" w:hAnsiTheme="majorHAnsi"/>
          <w:sz w:val="16"/>
          <w:szCs w:val="16"/>
          <w:lang w:val="es-ES_tradnl"/>
        </w:rPr>
      </w:pPr>
      <w:r w:rsidRPr="00BA4843">
        <w:rPr>
          <w:rStyle w:val="FootnoteReference"/>
          <w:rFonts w:asciiTheme="majorHAnsi" w:hAnsiTheme="majorHAnsi"/>
          <w:sz w:val="16"/>
          <w:szCs w:val="16"/>
          <w:lang w:val="es-ES_tradnl"/>
        </w:rPr>
        <w:footnoteRef/>
      </w:r>
      <w:r w:rsidRPr="00BA4843">
        <w:rPr>
          <w:rFonts w:asciiTheme="majorHAnsi" w:hAnsiTheme="majorHAnsi"/>
          <w:sz w:val="16"/>
          <w:szCs w:val="16"/>
          <w:lang w:val="es-ES_tradnl"/>
        </w:rPr>
        <w:t xml:space="preserve"> Corte I.D.H., </w:t>
      </w:r>
      <w:r w:rsidRPr="00BA4843">
        <w:rPr>
          <w:rFonts w:asciiTheme="majorHAnsi" w:hAnsiTheme="majorHAnsi" w:cs="ACaslonPro-Italic"/>
          <w:iCs/>
          <w:sz w:val="16"/>
          <w:szCs w:val="16"/>
          <w:lang w:val="es-ES_tradnl"/>
        </w:rPr>
        <w:t xml:space="preserve">Caso Cantoral Huamaní y García Santa Cruz Vs. Perú. </w:t>
      </w:r>
      <w:r w:rsidRPr="00BA4843">
        <w:rPr>
          <w:rFonts w:asciiTheme="majorHAnsi" w:hAnsiTheme="majorHAnsi"/>
          <w:sz w:val="16"/>
          <w:szCs w:val="16"/>
          <w:lang w:val="es-ES_tradnl"/>
        </w:rPr>
        <w:t>Sentencia del 10 de julio de 2007. Serie C No. 167,  párr. 133.</w:t>
      </w:r>
    </w:p>
  </w:footnote>
  <w:footnote w:id="108">
    <w:p w:rsidR="00512B04" w:rsidRPr="00BA4843" w:rsidRDefault="00512B04" w:rsidP="00BA4843">
      <w:pPr>
        <w:jc w:val="both"/>
        <w:rPr>
          <w:rFonts w:asciiTheme="majorHAnsi" w:hAnsiTheme="majorHAnsi"/>
          <w:sz w:val="16"/>
          <w:szCs w:val="16"/>
          <w:lang w:val="es-ES_tradnl"/>
        </w:rPr>
      </w:pPr>
      <w:r w:rsidRPr="00BA4843">
        <w:rPr>
          <w:rStyle w:val="FootnoteReference"/>
          <w:rFonts w:asciiTheme="majorHAnsi" w:hAnsiTheme="majorHAnsi"/>
          <w:sz w:val="16"/>
          <w:szCs w:val="16"/>
          <w:lang w:val="es-ES_tradnl"/>
        </w:rPr>
        <w:footnoteRef/>
      </w:r>
      <w:r w:rsidRPr="00BA4843">
        <w:rPr>
          <w:rFonts w:asciiTheme="majorHAnsi" w:hAnsiTheme="majorHAnsi"/>
          <w:sz w:val="16"/>
          <w:szCs w:val="16"/>
          <w:lang w:val="es-ES_tradnl"/>
        </w:rPr>
        <w:t xml:space="preserve"> Corte I.D.H., </w:t>
      </w:r>
      <w:r w:rsidRPr="00BA4843">
        <w:rPr>
          <w:rFonts w:asciiTheme="majorHAnsi" w:hAnsiTheme="majorHAnsi"/>
          <w:bCs/>
          <w:i/>
          <w:sz w:val="16"/>
          <w:szCs w:val="16"/>
          <w:lang w:val="es-ES_tradnl"/>
        </w:rPr>
        <w:t>Caso Cantoral Huamaní y García Santa Cruz.</w:t>
      </w:r>
      <w:r w:rsidRPr="00BA4843">
        <w:rPr>
          <w:rFonts w:asciiTheme="majorHAnsi" w:hAnsiTheme="majorHAnsi"/>
          <w:bCs/>
          <w:sz w:val="16"/>
          <w:szCs w:val="16"/>
          <w:lang w:val="es-ES_tradnl"/>
        </w:rPr>
        <w:t xml:space="preserve"> </w:t>
      </w:r>
      <w:r w:rsidRPr="00BA4843">
        <w:rPr>
          <w:rFonts w:asciiTheme="majorHAnsi" w:hAnsiTheme="majorHAnsi"/>
          <w:sz w:val="16"/>
          <w:szCs w:val="16"/>
          <w:lang w:val="es-ES_tradnl"/>
        </w:rPr>
        <w:t xml:space="preserve">Excepción Preliminar, Fondo, Reparaciones y Costas. Sentencia de 10 de julio de 2007. Serie C No. 167. Párr. 124; Corte I.D.H., </w:t>
      </w:r>
      <w:r w:rsidRPr="00BA4843">
        <w:rPr>
          <w:rFonts w:asciiTheme="majorHAnsi" w:hAnsiTheme="majorHAnsi"/>
          <w:i/>
          <w:sz w:val="16"/>
          <w:szCs w:val="16"/>
          <w:lang w:val="es-ES_tradnl"/>
        </w:rPr>
        <w:t>Caso de la Masacre de la Rochela</w:t>
      </w:r>
      <w:r w:rsidRPr="00BA4843">
        <w:rPr>
          <w:rFonts w:asciiTheme="majorHAnsi" w:hAnsiTheme="majorHAnsi"/>
          <w:sz w:val="16"/>
          <w:szCs w:val="16"/>
          <w:lang w:val="es-ES_tradnl"/>
        </w:rPr>
        <w:t>.  Sentencia de 11 de mayo de 2007.  Serie C. No. 163. Párr.</w:t>
      </w:r>
      <w:r w:rsidRPr="00BA4843">
        <w:rPr>
          <w:rFonts w:asciiTheme="majorHAnsi" w:hAnsiTheme="majorHAnsi" w:cs="Arial"/>
          <w:sz w:val="16"/>
          <w:szCs w:val="16"/>
          <w:lang w:val="es-ES_tradnl"/>
        </w:rPr>
        <w:t xml:space="preserve"> 145</w:t>
      </w:r>
      <w:r w:rsidRPr="00BA4843">
        <w:rPr>
          <w:rFonts w:asciiTheme="majorHAnsi" w:hAnsiTheme="majorHAnsi"/>
          <w:sz w:val="16"/>
          <w:szCs w:val="16"/>
          <w:lang w:val="es-ES_tradnl"/>
        </w:rPr>
        <w:t xml:space="preserve">; Corte I.D.H., </w:t>
      </w:r>
      <w:r w:rsidRPr="00BA4843">
        <w:rPr>
          <w:rFonts w:asciiTheme="majorHAnsi" w:hAnsiTheme="majorHAnsi"/>
          <w:bCs/>
          <w:i/>
          <w:sz w:val="16"/>
          <w:szCs w:val="16"/>
          <w:lang w:val="es-ES_tradnl"/>
        </w:rPr>
        <w:t>Caso del Penal Miguel Castro Castro</w:t>
      </w:r>
      <w:r w:rsidRPr="00BA4843">
        <w:rPr>
          <w:rFonts w:asciiTheme="majorHAnsi" w:hAnsiTheme="majorHAnsi"/>
          <w:bCs/>
          <w:sz w:val="16"/>
          <w:szCs w:val="16"/>
          <w:lang w:val="es-ES_tradnl"/>
        </w:rPr>
        <w:t xml:space="preserve">. </w:t>
      </w:r>
      <w:r w:rsidRPr="00BA4843">
        <w:rPr>
          <w:rFonts w:asciiTheme="majorHAnsi" w:hAnsiTheme="majorHAnsi"/>
          <w:sz w:val="16"/>
          <w:szCs w:val="16"/>
          <w:lang w:val="es-ES_tradnl"/>
        </w:rPr>
        <w:t xml:space="preserve">Sentencia de 25 de noviembre de 2006. Serie C No. 160. Párr. 381; y Corte I.D.H., </w:t>
      </w:r>
      <w:r w:rsidRPr="00BA4843">
        <w:rPr>
          <w:rFonts w:asciiTheme="majorHAnsi" w:hAnsiTheme="majorHAnsi"/>
          <w:i/>
          <w:sz w:val="16"/>
          <w:szCs w:val="16"/>
          <w:lang w:val="es-ES_tradnl"/>
        </w:rPr>
        <w:t>Caso Trabajadores Cesados del Congreso (Aguado Alfaro y otros)</w:t>
      </w:r>
      <w:r w:rsidRPr="00BA4843">
        <w:rPr>
          <w:rFonts w:asciiTheme="majorHAnsi" w:hAnsiTheme="majorHAnsi"/>
          <w:sz w:val="16"/>
          <w:szCs w:val="16"/>
          <w:lang w:val="es-ES_tradnl"/>
        </w:rPr>
        <w:t>. Sentencia de 24 de noviembre de 2006. Serie C No. 158, Párr. 106.</w:t>
      </w:r>
    </w:p>
  </w:footnote>
  <w:footnote w:id="109">
    <w:p w:rsidR="00512B04" w:rsidRPr="00BA4843" w:rsidRDefault="00512B04" w:rsidP="00BA4843">
      <w:pPr>
        <w:pStyle w:val="BlockText"/>
        <w:spacing w:line="240" w:lineRule="auto"/>
        <w:ind w:left="0" w:right="0"/>
        <w:rPr>
          <w:rFonts w:asciiTheme="majorHAnsi" w:hAnsiTheme="majorHAnsi"/>
          <w:color w:val="000000"/>
          <w:szCs w:val="16"/>
        </w:rPr>
      </w:pPr>
      <w:r w:rsidRPr="00BA4843">
        <w:rPr>
          <w:rStyle w:val="FootnoteReference"/>
          <w:rFonts w:asciiTheme="majorHAnsi" w:hAnsiTheme="majorHAnsi"/>
          <w:szCs w:val="16"/>
        </w:rPr>
        <w:footnoteRef/>
      </w:r>
      <w:r w:rsidRPr="00BA4843">
        <w:rPr>
          <w:rFonts w:asciiTheme="majorHAnsi" w:hAnsiTheme="majorHAnsi"/>
          <w:szCs w:val="16"/>
        </w:rPr>
        <w:t xml:space="preserve"> Corte I.D.H., </w:t>
      </w:r>
      <w:r w:rsidRPr="00BA4843">
        <w:rPr>
          <w:rFonts w:asciiTheme="majorHAnsi" w:hAnsiTheme="majorHAnsi"/>
          <w:bCs/>
          <w:i/>
          <w:szCs w:val="16"/>
        </w:rPr>
        <w:t>Caso García Prieto y otros.</w:t>
      </w:r>
      <w:r w:rsidRPr="00BA4843">
        <w:rPr>
          <w:rFonts w:asciiTheme="majorHAnsi" w:hAnsiTheme="majorHAnsi"/>
          <w:bCs/>
          <w:szCs w:val="16"/>
        </w:rPr>
        <w:t xml:space="preserve"> </w:t>
      </w:r>
      <w:r w:rsidRPr="00BA4843">
        <w:rPr>
          <w:rFonts w:asciiTheme="majorHAnsi" w:hAnsiTheme="majorHAnsi"/>
          <w:szCs w:val="16"/>
        </w:rPr>
        <w:t xml:space="preserve">Excepción Preliminar, Fondo, Reparaciones y Costas. Sentencia de 20 de noviembre de 2007. Serie C No. 168. Párr. 102; Corte I.D.H., </w:t>
      </w:r>
      <w:r w:rsidRPr="00BA4843">
        <w:rPr>
          <w:rFonts w:asciiTheme="majorHAnsi" w:hAnsiTheme="majorHAnsi"/>
          <w:i/>
          <w:szCs w:val="16"/>
        </w:rPr>
        <w:t>Caso de los “Niños de la Calle” (Villagrán Morales y otros).</w:t>
      </w:r>
      <w:r w:rsidRPr="00BA4843">
        <w:rPr>
          <w:rFonts w:asciiTheme="majorHAnsi" w:hAnsiTheme="majorHAnsi"/>
          <w:szCs w:val="16"/>
        </w:rPr>
        <w:t xml:space="preserve"> Sentencia de 19 de noviembre de 1999. Serie C No. 63. </w:t>
      </w:r>
      <w:r w:rsidRPr="00BA4843">
        <w:rPr>
          <w:rFonts w:asciiTheme="majorHAnsi" w:hAnsiTheme="majorHAnsi" w:cs="Arial"/>
          <w:szCs w:val="16"/>
        </w:rPr>
        <w:t>Párr. </w:t>
      </w:r>
      <w:r w:rsidRPr="00BA4843">
        <w:rPr>
          <w:rFonts w:asciiTheme="majorHAnsi" w:hAnsiTheme="majorHAnsi"/>
          <w:szCs w:val="16"/>
        </w:rPr>
        <w:t xml:space="preserve">227; y Corte I.D.H., </w:t>
      </w:r>
      <w:r w:rsidRPr="00BA4843">
        <w:rPr>
          <w:rFonts w:asciiTheme="majorHAnsi" w:hAnsiTheme="majorHAnsi"/>
          <w:bCs/>
          <w:i/>
          <w:color w:val="000000"/>
          <w:szCs w:val="16"/>
        </w:rPr>
        <w:t xml:space="preserve">Caso de las Hermanas Serrano Cruz. </w:t>
      </w:r>
      <w:r w:rsidRPr="00BA4843">
        <w:rPr>
          <w:rFonts w:asciiTheme="majorHAnsi" w:hAnsiTheme="majorHAnsi"/>
          <w:i/>
          <w:color w:val="000000"/>
          <w:szCs w:val="16"/>
        </w:rPr>
        <w:t>Fondo</w:t>
      </w:r>
      <w:r w:rsidRPr="00BA4843">
        <w:rPr>
          <w:rFonts w:asciiTheme="majorHAnsi" w:hAnsiTheme="majorHAnsi"/>
          <w:color w:val="000000"/>
          <w:szCs w:val="16"/>
        </w:rPr>
        <w:t xml:space="preserve">, </w:t>
      </w:r>
      <w:r w:rsidRPr="00BA4843">
        <w:rPr>
          <w:rFonts w:asciiTheme="majorHAnsi" w:hAnsiTheme="majorHAnsi"/>
          <w:i/>
          <w:color w:val="000000"/>
          <w:szCs w:val="16"/>
        </w:rPr>
        <w:t>Reparaciones y Costas</w:t>
      </w:r>
      <w:r w:rsidRPr="00BA4843">
        <w:rPr>
          <w:rFonts w:asciiTheme="majorHAnsi" w:hAnsiTheme="majorHAnsi"/>
          <w:color w:val="000000"/>
          <w:szCs w:val="16"/>
        </w:rPr>
        <w:t>. Sentencia de 01 de marzo de 2005. Serie C No. 120, Párr. 63.</w:t>
      </w:r>
    </w:p>
  </w:footnote>
  <w:footnote w:id="110">
    <w:p w:rsidR="00512B04" w:rsidRPr="00BA4843" w:rsidRDefault="00512B04" w:rsidP="00BA4843">
      <w:pPr>
        <w:jc w:val="both"/>
        <w:rPr>
          <w:rFonts w:asciiTheme="majorHAnsi" w:hAnsiTheme="majorHAnsi"/>
          <w:sz w:val="16"/>
          <w:szCs w:val="16"/>
          <w:lang w:val="es-MX"/>
        </w:rPr>
      </w:pPr>
      <w:r w:rsidRPr="00BA4843">
        <w:rPr>
          <w:rStyle w:val="FootnoteReference"/>
          <w:rFonts w:asciiTheme="majorHAnsi" w:hAnsiTheme="majorHAnsi"/>
          <w:sz w:val="16"/>
          <w:szCs w:val="16"/>
          <w:lang w:val="es-ES_tradnl"/>
        </w:rPr>
        <w:footnoteRef/>
      </w:r>
      <w:r w:rsidRPr="00BA4843">
        <w:rPr>
          <w:rFonts w:asciiTheme="majorHAnsi" w:hAnsiTheme="majorHAnsi"/>
          <w:sz w:val="16"/>
          <w:szCs w:val="16"/>
          <w:lang w:val="es-ES_tradnl"/>
        </w:rPr>
        <w:t xml:space="preserve"> </w:t>
      </w:r>
      <w:r w:rsidRPr="00BA4843">
        <w:rPr>
          <w:rFonts w:asciiTheme="majorHAnsi" w:hAnsiTheme="majorHAnsi"/>
          <w:sz w:val="16"/>
          <w:szCs w:val="16"/>
          <w:lang w:val="es-MX"/>
        </w:rPr>
        <w:t xml:space="preserve">CIDH, </w:t>
      </w:r>
      <w:r w:rsidRPr="00BA4843">
        <w:rPr>
          <w:rFonts w:asciiTheme="majorHAnsi" w:hAnsiTheme="majorHAnsi"/>
          <w:i/>
          <w:iCs/>
          <w:sz w:val="16"/>
          <w:szCs w:val="16"/>
          <w:lang w:val="es-MX"/>
        </w:rPr>
        <w:t xml:space="preserve">Informe Anual de la Comisión Interamericana de Derechos Humanos 1992-1993, Informe No. 28/92 Casos 10.147, 10.181,10.240, 10.262, 10.309 y 10.311 (Argentina), </w:t>
      </w:r>
      <w:r w:rsidRPr="00BA4843">
        <w:rPr>
          <w:rFonts w:asciiTheme="majorHAnsi" w:hAnsiTheme="majorHAnsi"/>
          <w:sz w:val="16"/>
          <w:szCs w:val="16"/>
          <w:lang w:val="es-MX"/>
        </w:rPr>
        <w:t xml:space="preserve">2 de octubre de 1992, párr.40; CIDH, </w:t>
      </w:r>
      <w:r w:rsidRPr="00BA4843">
        <w:rPr>
          <w:rFonts w:asciiTheme="majorHAnsi" w:hAnsiTheme="majorHAnsi"/>
          <w:i/>
          <w:iCs/>
          <w:sz w:val="16"/>
          <w:szCs w:val="16"/>
          <w:lang w:val="es-MX"/>
        </w:rPr>
        <w:t xml:space="preserve">Informe Anual de la Comisión Interamericana de Derechos Humanos 1992-1993, Informe No. 29/92 Casos 10.029, 10. 036,10.145, 10.305, 10.37, 10.373, 10.374 y 10.375  (Uruguay), </w:t>
      </w:r>
      <w:r w:rsidRPr="00BA4843">
        <w:rPr>
          <w:rFonts w:asciiTheme="majorHAnsi" w:hAnsiTheme="majorHAnsi"/>
          <w:sz w:val="16"/>
          <w:szCs w:val="16"/>
          <w:lang w:val="es-MX"/>
        </w:rPr>
        <w:t xml:space="preserve">2 de octubre de 1992, párr.50; </w:t>
      </w:r>
      <w:r w:rsidRPr="00BA4843">
        <w:rPr>
          <w:rFonts w:asciiTheme="majorHAnsi" w:hAnsiTheme="majorHAnsi"/>
          <w:sz w:val="16"/>
          <w:szCs w:val="16"/>
          <w:lang w:val="es-ES_tradnl"/>
        </w:rPr>
        <w:t xml:space="preserve">Corte I.D.H., </w:t>
      </w:r>
      <w:r w:rsidRPr="00BA4843">
        <w:rPr>
          <w:rFonts w:asciiTheme="majorHAnsi" w:hAnsiTheme="majorHAnsi"/>
          <w:bCs/>
          <w:i/>
          <w:sz w:val="16"/>
          <w:szCs w:val="16"/>
          <w:lang w:val="es-ES_tradnl"/>
        </w:rPr>
        <w:t>Caso García Prieto y otros.</w:t>
      </w:r>
      <w:r w:rsidRPr="00BA4843">
        <w:rPr>
          <w:rFonts w:asciiTheme="majorHAnsi" w:hAnsiTheme="majorHAnsi"/>
          <w:bCs/>
          <w:sz w:val="16"/>
          <w:szCs w:val="16"/>
          <w:lang w:val="es-ES_tradnl"/>
        </w:rPr>
        <w:t xml:space="preserve"> </w:t>
      </w:r>
      <w:r w:rsidRPr="00BA4843">
        <w:rPr>
          <w:rFonts w:asciiTheme="majorHAnsi" w:hAnsiTheme="majorHAnsi"/>
          <w:sz w:val="16"/>
          <w:szCs w:val="16"/>
          <w:lang w:val="es-ES_tradnl"/>
        </w:rPr>
        <w:t xml:space="preserve">Excepción Preliminar, Fondo, Reparaciones y Costas. Sentencia de 20 de noviembre de 2007. Serie C No. 168. Párr. 103; Corte I.D.H., </w:t>
      </w:r>
      <w:r w:rsidRPr="00BA4843">
        <w:rPr>
          <w:rFonts w:asciiTheme="majorHAnsi" w:hAnsiTheme="majorHAnsi"/>
          <w:i/>
          <w:sz w:val="16"/>
          <w:szCs w:val="16"/>
          <w:lang w:val="es-ES_tradnl"/>
        </w:rPr>
        <w:t>Caso Bulacio</w:t>
      </w:r>
      <w:r w:rsidRPr="00BA4843">
        <w:rPr>
          <w:rFonts w:asciiTheme="majorHAnsi" w:hAnsiTheme="majorHAnsi"/>
          <w:sz w:val="16"/>
          <w:szCs w:val="16"/>
          <w:lang w:val="es-ES_tradnl"/>
        </w:rPr>
        <w:t xml:space="preserve">. </w:t>
      </w:r>
      <w:r w:rsidRPr="00BA4843">
        <w:rPr>
          <w:rFonts w:asciiTheme="majorHAnsi" w:hAnsiTheme="majorHAnsi"/>
          <w:i/>
          <w:sz w:val="16"/>
          <w:szCs w:val="16"/>
          <w:lang w:val="es-ES_tradnl"/>
        </w:rPr>
        <w:t>Excepciones Preliminares, Fondo, Reparaciones y Costas.</w:t>
      </w:r>
      <w:r w:rsidRPr="00BA4843">
        <w:rPr>
          <w:rFonts w:asciiTheme="majorHAnsi" w:hAnsiTheme="majorHAnsi"/>
          <w:sz w:val="16"/>
          <w:szCs w:val="16"/>
          <w:lang w:val="es-ES_tradnl"/>
        </w:rPr>
        <w:t xml:space="preserve"> Sentencia de 18 de Septiembre de 2003. Serie C No. 100, Párr. 114; y Corte I.D.H., </w:t>
      </w:r>
      <w:r w:rsidRPr="00BA4843">
        <w:rPr>
          <w:rFonts w:asciiTheme="majorHAnsi" w:hAnsiTheme="majorHAnsi"/>
          <w:bCs/>
          <w:i/>
          <w:sz w:val="16"/>
          <w:szCs w:val="16"/>
          <w:lang w:val="es-ES_tradnl"/>
        </w:rPr>
        <w:t>Caso del Penal Miguel Castro Castro</w:t>
      </w:r>
      <w:r w:rsidRPr="00BA4843">
        <w:rPr>
          <w:rFonts w:asciiTheme="majorHAnsi" w:hAnsiTheme="majorHAnsi"/>
          <w:bCs/>
          <w:sz w:val="16"/>
          <w:szCs w:val="16"/>
          <w:lang w:val="es-ES_tradnl"/>
        </w:rPr>
        <w:t xml:space="preserve">. </w:t>
      </w:r>
      <w:r w:rsidRPr="00BA4843">
        <w:rPr>
          <w:rFonts w:asciiTheme="majorHAnsi" w:hAnsiTheme="majorHAnsi"/>
          <w:sz w:val="16"/>
          <w:szCs w:val="16"/>
          <w:lang w:val="es-ES_tradnl"/>
        </w:rPr>
        <w:t>Sentencia de 25 de noviembre de 2006. Serie C No. 160. Párr. 382.</w:t>
      </w:r>
    </w:p>
  </w:footnote>
  <w:footnote w:id="111">
    <w:p w:rsidR="00512B04" w:rsidRPr="00BA4843" w:rsidRDefault="00512B04" w:rsidP="00BA4843">
      <w:pPr>
        <w:pStyle w:val="FootnoteText"/>
        <w:jc w:val="both"/>
        <w:rPr>
          <w:rFonts w:asciiTheme="majorHAnsi" w:hAnsiTheme="majorHAnsi"/>
          <w:sz w:val="16"/>
          <w:szCs w:val="16"/>
          <w:lang w:val="es-ES_tradnl"/>
        </w:rPr>
      </w:pPr>
      <w:r w:rsidRPr="00BA4843">
        <w:rPr>
          <w:rStyle w:val="FootnoteReference"/>
          <w:rFonts w:asciiTheme="majorHAnsi" w:hAnsiTheme="majorHAnsi"/>
          <w:sz w:val="16"/>
          <w:szCs w:val="16"/>
          <w:lang w:val="es-ES_tradnl"/>
        </w:rPr>
        <w:footnoteRef/>
      </w:r>
      <w:r w:rsidRPr="00BA4843">
        <w:rPr>
          <w:rFonts w:asciiTheme="majorHAnsi" w:hAnsiTheme="majorHAnsi"/>
          <w:sz w:val="16"/>
          <w:szCs w:val="16"/>
          <w:lang w:val="es-ES_tradnl"/>
        </w:rPr>
        <w:t xml:space="preserve"> Corte I.D.H., </w:t>
      </w:r>
      <w:r w:rsidRPr="00BA4843">
        <w:rPr>
          <w:rFonts w:asciiTheme="majorHAnsi" w:hAnsiTheme="majorHAnsi"/>
          <w:bCs/>
          <w:i/>
          <w:sz w:val="16"/>
          <w:szCs w:val="16"/>
          <w:lang w:val="es-ES_tradnl"/>
        </w:rPr>
        <w:t>Caso Cantoral Huamaní y García Santa Cruz.</w:t>
      </w:r>
      <w:r w:rsidRPr="00BA4843">
        <w:rPr>
          <w:rFonts w:asciiTheme="majorHAnsi" w:hAnsiTheme="majorHAnsi"/>
          <w:bCs/>
          <w:sz w:val="16"/>
          <w:szCs w:val="16"/>
          <w:lang w:val="es-ES_tradnl"/>
        </w:rPr>
        <w:t xml:space="preserve"> </w:t>
      </w:r>
      <w:r w:rsidRPr="00BA4843">
        <w:rPr>
          <w:rFonts w:asciiTheme="majorHAnsi" w:hAnsiTheme="majorHAnsi"/>
          <w:sz w:val="16"/>
          <w:szCs w:val="16"/>
          <w:lang w:val="es-ES_tradnl"/>
        </w:rPr>
        <w:t>Excepción Preliminar, Fondo, Reparaciones y Costas. Sentencia de 10 de julio de 2007. Serie C No. 167. Párr. 100.</w:t>
      </w:r>
    </w:p>
  </w:footnote>
  <w:footnote w:id="112">
    <w:p w:rsidR="00512B04" w:rsidRPr="00BA4843" w:rsidRDefault="00512B04" w:rsidP="00BA4843">
      <w:pPr>
        <w:jc w:val="both"/>
        <w:rPr>
          <w:rFonts w:asciiTheme="majorHAnsi" w:hAnsiTheme="majorHAnsi"/>
          <w:sz w:val="16"/>
          <w:szCs w:val="16"/>
          <w:lang w:val="es-ES_tradnl"/>
        </w:rPr>
      </w:pPr>
      <w:r w:rsidRPr="00BA4843">
        <w:rPr>
          <w:rStyle w:val="FootnoteReference"/>
          <w:rFonts w:asciiTheme="majorHAnsi" w:hAnsiTheme="majorHAnsi"/>
          <w:sz w:val="16"/>
          <w:szCs w:val="16"/>
          <w:lang w:val="es-ES_tradnl"/>
        </w:rPr>
        <w:footnoteRef/>
      </w:r>
      <w:r w:rsidRPr="00BA4843">
        <w:rPr>
          <w:rFonts w:asciiTheme="majorHAnsi" w:hAnsiTheme="majorHAnsi"/>
          <w:sz w:val="16"/>
          <w:szCs w:val="16"/>
          <w:lang w:val="es-ES_tradnl"/>
        </w:rPr>
        <w:t xml:space="preserve"> Corte I.D.H., </w:t>
      </w:r>
      <w:r w:rsidRPr="00BA4843">
        <w:rPr>
          <w:rFonts w:asciiTheme="majorHAnsi" w:hAnsiTheme="majorHAnsi"/>
          <w:bCs/>
          <w:i/>
          <w:sz w:val="16"/>
          <w:szCs w:val="16"/>
          <w:lang w:val="es-ES_tradnl"/>
        </w:rPr>
        <w:t>Caso García Prieto y otros.</w:t>
      </w:r>
      <w:r w:rsidRPr="00BA4843">
        <w:rPr>
          <w:rFonts w:asciiTheme="majorHAnsi" w:hAnsiTheme="majorHAnsi"/>
          <w:bCs/>
          <w:sz w:val="16"/>
          <w:szCs w:val="16"/>
          <w:lang w:val="es-ES_tradnl"/>
        </w:rPr>
        <w:t xml:space="preserve"> </w:t>
      </w:r>
      <w:r w:rsidRPr="00BA4843">
        <w:rPr>
          <w:rFonts w:asciiTheme="majorHAnsi" w:hAnsiTheme="majorHAnsi"/>
          <w:sz w:val="16"/>
          <w:szCs w:val="16"/>
          <w:lang w:val="es-ES_tradnl"/>
        </w:rPr>
        <w:t xml:space="preserve">Excepción Preliminar, Fondo, Reparaciones y Costas. Sentencia de 20 de noviembre de 2007. Serie C No. 168. Párr. 101; Corte I.D.H., </w:t>
      </w:r>
      <w:r w:rsidRPr="00BA4843">
        <w:rPr>
          <w:rFonts w:asciiTheme="majorHAnsi" w:hAnsiTheme="majorHAnsi"/>
          <w:i/>
          <w:sz w:val="16"/>
          <w:szCs w:val="16"/>
          <w:lang w:val="es-ES_tradnl"/>
        </w:rPr>
        <w:t>Caso de los Hermanos Gómez Paquiyauri</w:t>
      </w:r>
      <w:r w:rsidRPr="00BA4843">
        <w:rPr>
          <w:rFonts w:asciiTheme="majorHAnsi" w:hAnsiTheme="majorHAnsi"/>
          <w:sz w:val="16"/>
          <w:szCs w:val="16"/>
          <w:lang w:val="es-ES_tradnl"/>
        </w:rPr>
        <w:t xml:space="preserve">. Sentencia de 8 de julio de 2004. Serie C No. 110. Párrs. 146; </w:t>
      </w:r>
      <w:r w:rsidRPr="00BA4843">
        <w:rPr>
          <w:rFonts w:asciiTheme="majorHAnsi" w:hAnsiTheme="majorHAnsi"/>
          <w:color w:val="000000"/>
          <w:sz w:val="16"/>
          <w:szCs w:val="16"/>
          <w:lang w:val="es-ES_tradnl"/>
        </w:rPr>
        <w:t xml:space="preserve">Corte I.D.H., </w:t>
      </w:r>
      <w:r w:rsidRPr="00BA4843">
        <w:rPr>
          <w:rFonts w:asciiTheme="majorHAnsi" w:hAnsiTheme="majorHAnsi"/>
          <w:bCs/>
          <w:i/>
          <w:color w:val="000000"/>
          <w:sz w:val="16"/>
          <w:szCs w:val="16"/>
          <w:lang w:val="es-ES_tradnl"/>
        </w:rPr>
        <w:t>Caso Cantoral Huamaní y García Santa Cruz,</w:t>
      </w:r>
      <w:r w:rsidRPr="00BA4843">
        <w:rPr>
          <w:rFonts w:asciiTheme="majorHAnsi" w:hAnsiTheme="majorHAnsi"/>
          <w:bCs/>
          <w:color w:val="000000"/>
          <w:sz w:val="16"/>
          <w:szCs w:val="16"/>
          <w:lang w:val="es-ES_tradnl"/>
        </w:rPr>
        <w:t xml:space="preserve"> </w:t>
      </w:r>
      <w:r w:rsidRPr="00BA4843">
        <w:rPr>
          <w:rFonts w:asciiTheme="majorHAnsi" w:hAnsiTheme="majorHAnsi"/>
          <w:color w:val="000000"/>
          <w:sz w:val="16"/>
          <w:szCs w:val="16"/>
          <w:lang w:val="es-ES_tradnl"/>
        </w:rPr>
        <w:t xml:space="preserve">Excepción Preliminar, Fondo, Reparaciones y Costas. Sentencia de 10 de julio de 2007. Serie C No. 167. </w:t>
      </w:r>
      <w:r w:rsidRPr="00BA4843">
        <w:rPr>
          <w:rFonts w:asciiTheme="majorHAnsi" w:hAnsiTheme="majorHAnsi"/>
          <w:sz w:val="16"/>
          <w:szCs w:val="16"/>
          <w:lang w:val="es-ES_tradnl"/>
        </w:rPr>
        <w:t xml:space="preserve">Párr. 130. </w:t>
      </w:r>
      <w:r w:rsidRPr="00BA4843">
        <w:rPr>
          <w:rFonts w:asciiTheme="majorHAnsi" w:hAnsiTheme="majorHAnsi"/>
          <w:i/>
          <w:sz w:val="16"/>
          <w:szCs w:val="16"/>
          <w:lang w:val="es-ES_tradnl"/>
        </w:rPr>
        <w:t xml:space="preserve"> </w:t>
      </w:r>
    </w:p>
  </w:footnote>
  <w:footnote w:id="113">
    <w:p w:rsidR="00512B04" w:rsidRPr="00BA4843" w:rsidRDefault="00512B04" w:rsidP="00BA4843">
      <w:pPr>
        <w:jc w:val="both"/>
        <w:rPr>
          <w:rFonts w:asciiTheme="majorHAnsi" w:hAnsiTheme="majorHAnsi"/>
          <w:sz w:val="16"/>
          <w:szCs w:val="16"/>
          <w:lang w:val="es-ES_tradnl"/>
        </w:rPr>
      </w:pPr>
      <w:r w:rsidRPr="00BA4843">
        <w:rPr>
          <w:rStyle w:val="FootnoteReference"/>
          <w:rFonts w:asciiTheme="majorHAnsi" w:hAnsiTheme="majorHAnsi"/>
          <w:sz w:val="16"/>
          <w:szCs w:val="16"/>
          <w:lang w:val="es-ES_tradnl"/>
        </w:rPr>
        <w:footnoteRef/>
      </w:r>
      <w:r w:rsidRPr="00BA4843">
        <w:rPr>
          <w:rFonts w:asciiTheme="majorHAnsi" w:hAnsiTheme="majorHAnsi"/>
          <w:sz w:val="16"/>
          <w:szCs w:val="16"/>
          <w:lang w:val="es-ES_tradnl"/>
        </w:rPr>
        <w:t xml:space="preserve"> Corte I.D.H., </w:t>
      </w:r>
      <w:r w:rsidRPr="00BA4843">
        <w:rPr>
          <w:rFonts w:asciiTheme="majorHAnsi" w:hAnsiTheme="majorHAnsi"/>
          <w:i/>
          <w:sz w:val="16"/>
          <w:szCs w:val="16"/>
          <w:lang w:val="es-ES_tradnl"/>
        </w:rPr>
        <w:t>Caso Bulacio</w:t>
      </w:r>
      <w:r w:rsidRPr="00BA4843">
        <w:rPr>
          <w:rFonts w:asciiTheme="majorHAnsi" w:hAnsiTheme="majorHAnsi"/>
          <w:sz w:val="16"/>
          <w:szCs w:val="16"/>
          <w:lang w:val="es-ES_tradnl"/>
        </w:rPr>
        <w:t xml:space="preserve">. Sentencia de 18 de septiembre de 2003. Serie C No. 100. Párr. 114; Corte I.D.H., </w:t>
      </w:r>
      <w:r w:rsidRPr="00BA4843">
        <w:rPr>
          <w:rFonts w:asciiTheme="majorHAnsi" w:hAnsiTheme="majorHAnsi"/>
          <w:i/>
          <w:sz w:val="16"/>
          <w:szCs w:val="16"/>
          <w:lang w:val="es-ES_tradnl"/>
        </w:rPr>
        <w:t>Caso de la Masacre de la Rochela</w:t>
      </w:r>
      <w:r w:rsidRPr="00BA4843">
        <w:rPr>
          <w:rFonts w:asciiTheme="majorHAnsi" w:hAnsiTheme="majorHAnsi"/>
          <w:sz w:val="16"/>
          <w:szCs w:val="16"/>
          <w:lang w:val="es-ES_tradnl"/>
        </w:rPr>
        <w:t xml:space="preserve">.  Sentencia de 11 de mayo de 2007.  Serie C. No. 163.Párr. 146; Corte I.D.H., </w:t>
      </w:r>
      <w:r w:rsidRPr="00BA4843">
        <w:rPr>
          <w:rFonts w:asciiTheme="majorHAnsi" w:hAnsiTheme="majorHAnsi"/>
          <w:bCs/>
          <w:i/>
          <w:color w:val="000000"/>
          <w:sz w:val="16"/>
          <w:szCs w:val="16"/>
          <w:lang w:val="es-ES_tradnl"/>
        </w:rPr>
        <w:t>Caso del Penal Miguel Castro Castro</w:t>
      </w:r>
      <w:r w:rsidRPr="00BA4843">
        <w:rPr>
          <w:rFonts w:asciiTheme="majorHAnsi" w:hAnsiTheme="majorHAnsi"/>
          <w:bCs/>
          <w:color w:val="000000"/>
          <w:sz w:val="16"/>
          <w:szCs w:val="16"/>
          <w:lang w:val="es-ES_tradnl"/>
        </w:rPr>
        <w:t xml:space="preserve">. </w:t>
      </w:r>
      <w:r w:rsidRPr="00BA4843">
        <w:rPr>
          <w:rFonts w:asciiTheme="majorHAnsi" w:hAnsiTheme="majorHAnsi"/>
          <w:color w:val="000000"/>
          <w:sz w:val="16"/>
          <w:szCs w:val="16"/>
          <w:lang w:val="es-ES_tradnl"/>
        </w:rPr>
        <w:t>Sentencia de 25 de noviembre de 2006. Serie C No. 160.</w:t>
      </w:r>
      <w:r w:rsidRPr="00BA4843">
        <w:rPr>
          <w:rFonts w:asciiTheme="majorHAnsi" w:hAnsiTheme="majorHAnsi"/>
          <w:sz w:val="16"/>
          <w:szCs w:val="16"/>
          <w:lang w:val="es-ES_tradnl"/>
        </w:rPr>
        <w:t xml:space="preserve"> Párr. 382.</w:t>
      </w:r>
    </w:p>
  </w:footnote>
  <w:footnote w:id="114">
    <w:p w:rsidR="00512B04" w:rsidRPr="00BA4843" w:rsidRDefault="00512B04" w:rsidP="00BA4843">
      <w:pPr>
        <w:jc w:val="both"/>
        <w:rPr>
          <w:rFonts w:asciiTheme="majorHAnsi" w:hAnsiTheme="majorHAnsi"/>
          <w:sz w:val="16"/>
          <w:szCs w:val="16"/>
          <w:lang w:val="es-ES_tradnl"/>
        </w:rPr>
      </w:pPr>
      <w:r w:rsidRPr="00BA4843">
        <w:rPr>
          <w:rStyle w:val="FootnoteReference"/>
          <w:rFonts w:asciiTheme="majorHAnsi" w:hAnsiTheme="majorHAnsi"/>
          <w:sz w:val="16"/>
          <w:szCs w:val="16"/>
          <w:lang w:val="es-ES_tradnl"/>
        </w:rPr>
        <w:footnoteRef/>
      </w:r>
      <w:r w:rsidRPr="00BA4843">
        <w:rPr>
          <w:rFonts w:asciiTheme="majorHAnsi" w:hAnsiTheme="majorHAnsi"/>
          <w:sz w:val="16"/>
          <w:szCs w:val="16"/>
          <w:lang w:val="es-ES_tradnl"/>
        </w:rPr>
        <w:t xml:space="preserve"> Corte I.D.H., </w:t>
      </w:r>
      <w:r w:rsidRPr="00BA4843">
        <w:rPr>
          <w:rFonts w:asciiTheme="majorHAnsi" w:hAnsiTheme="majorHAnsi"/>
          <w:bCs/>
          <w:i/>
          <w:sz w:val="16"/>
          <w:szCs w:val="16"/>
          <w:lang w:val="es-ES_tradnl"/>
        </w:rPr>
        <w:t>Caso García Prieto y otros.</w:t>
      </w:r>
      <w:r w:rsidRPr="00BA4843">
        <w:rPr>
          <w:rFonts w:asciiTheme="majorHAnsi" w:hAnsiTheme="majorHAnsi"/>
          <w:bCs/>
          <w:sz w:val="16"/>
          <w:szCs w:val="16"/>
          <w:lang w:val="es-ES_tradnl"/>
        </w:rPr>
        <w:t xml:space="preserve"> </w:t>
      </w:r>
      <w:r w:rsidRPr="00BA4843">
        <w:rPr>
          <w:rFonts w:asciiTheme="majorHAnsi" w:hAnsiTheme="majorHAnsi"/>
          <w:sz w:val="16"/>
          <w:szCs w:val="16"/>
          <w:lang w:val="es-ES_tradnl"/>
        </w:rPr>
        <w:t xml:space="preserve">Excepción Preliminar, Fondo, Reparaciones y Costas. Sentencia de 20 de noviembre de 2007. Serie C No. 168. Párr. 101. </w:t>
      </w:r>
      <w:r w:rsidRPr="00BA4843">
        <w:rPr>
          <w:rFonts w:asciiTheme="majorHAnsi" w:hAnsiTheme="majorHAnsi"/>
          <w:i/>
          <w:sz w:val="16"/>
          <w:szCs w:val="16"/>
          <w:lang w:val="es-ES_tradnl"/>
        </w:rPr>
        <w:t xml:space="preserve"> </w:t>
      </w:r>
    </w:p>
  </w:footnote>
  <w:footnote w:id="115">
    <w:p w:rsidR="00512B04" w:rsidRPr="00BA4843" w:rsidRDefault="00512B04" w:rsidP="00BA4843">
      <w:pPr>
        <w:jc w:val="both"/>
        <w:rPr>
          <w:rFonts w:asciiTheme="majorHAnsi" w:hAnsiTheme="majorHAnsi"/>
          <w:sz w:val="16"/>
          <w:szCs w:val="16"/>
          <w:lang w:val="es-ES_tradnl"/>
        </w:rPr>
      </w:pPr>
      <w:r w:rsidRPr="00BA4843">
        <w:rPr>
          <w:rStyle w:val="FootnoteReference"/>
          <w:rFonts w:asciiTheme="majorHAnsi" w:hAnsiTheme="majorHAnsi"/>
          <w:sz w:val="16"/>
          <w:szCs w:val="16"/>
          <w:lang w:val="es-ES_tradnl"/>
        </w:rPr>
        <w:footnoteRef/>
      </w:r>
      <w:r w:rsidRPr="00BA4843">
        <w:rPr>
          <w:rFonts w:asciiTheme="majorHAnsi" w:hAnsiTheme="majorHAnsi"/>
          <w:sz w:val="16"/>
          <w:szCs w:val="16"/>
          <w:lang w:val="es-ES_tradnl"/>
        </w:rPr>
        <w:t xml:space="preserve"> Corte I.D.H., </w:t>
      </w:r>
      <w:r w:rsidRPr="00BA4843">
        <w:rPr>
          <w:rFonts w:asciiTheme="majorHAnsi" w:hAnsiTheme="majorHAnsi"/>
          <w:i/>
          <w:sz w:val="16"/>
          <w:szCs w:val="16"/>
          <w:lang w:val="es-ES_tradnl"/>
        </w:rPr>
        <w:t>Caso Bulacio</w:t>
      </w:r>
      <w:r w:rsidRPr="00BA4843">
        <w:rPr>
          <w:rFonts w:asciiTheme="majorHAnsi" w:hAnsiTheme="majorHAnsi"/>
          <w:sz w:val="16"/>
          <w:szCs w:val="16"/>
          <w:lang w:val="es-ES_tradnl"/>
        </w:rPr>
        <w:t xml:space="preserve">. Sentencia de 18 de septiembre de 2003. Serie C No. 100. Párr. 114; Corte I.D.H., </w:t>
      </w:r>
      <w:r w:rsidRPr="00BA4843">
        <w:rPr>
          <w:rFonts w:asciiTheme="majorHAnsi" w:hAnsiTheme="majorHAnsi"/>
          <w:i/>
          <w:sz w:val="16"/>
          <w:szCs w:val="16"/>
          <w:lang w:val="es-ES_tradnl"/>
        </w:rPr>
        <w:t>Caso de la Masacre de la Rochela</w:t>
      </w:r>
      <w:r w:rsidRPr="00BA4843">
        <w:rPr>
          <w:rFonts w:asciiTheme="majorHAnsi" w:hAnsiTheme="majorHAnsi"/>
          <w:sz w:val="16"/>
          <w:szCs w:val="16"/>
          <w:lang w:val="es-ES_tradnl"/>
        </w:rPr>
        <w:t xml:space="preserve">.  Sentencia de 11 de mayo de 2007. Serie C. No. 163. Párr. 146; Corte I.D.H., </w:t>
      </w:r>
      <w:r w:rsidRPr="00BA4843">
        <w:rPr>
          <w:rFonts w:asciiTheme="majorHAnsi" w:hAnsiTheme="majorHAnsi"/>
          <w:bCs/>
          <w:i/>
          <w:color w:val="000000"/>
          <w:sz w:val="16"/>
          <w:szCs w:val="16"/>
          <w:lang w:val="es-ES_tradnl"/>
        </w:rPr>
        <w:t>Caso del Penal Miguel Castro Castro</w:t>
      </w:r>
      <w:r w:rsidRPr="00BA4843">
        <w:rPr>
          <w:rFonts w:asciiTheme="majorHAnsi" w:hAnsiTheme="majorHAnsi"/>
          <w:bCs/>
          <w:color w:val="000000"/>
          <w:sz w:val="16"/>
          <w:szCs w:val="16"/>
          <w:lang w:val="es-ES_tradnl"/>
        </w:rPr>
        <w:t xml:space="preserve">. </w:t>
      </w:r>
      <w:r w:rsidRPr="00BA4843">
        <w:rPr>
          <w:rFonts w:asciiTheme="majorHAnsi" w:hAnsiTheme="majorHAnsi"/>
          <w:color w:val="000000"/>
          <w:sz w:val="16"/>
          <w:szCs w:val="16"/>
          <w:lang w:val="es-ES_tradnl"/>
        </w:rPr>
        <w:t>Sentencia de 25 de noviembre de 2006. Serie C No. 160.</w:t>
      </w:r>
      <w:r w:rsidRPr="00BA4843">
        <w:rPr>
          <w:rFonts w:asciiTheme="majorHAnsi" w:hAnsiTheme="majorHAnsi"/>
          <w:sz w:val="16"/>
          <w:szCs w:val="16"/>
          <w:lang w:val="es-ES_tradnl"/>
        </w:rPr>
        <w:t xml:space="preserve"> Párr. 382.</w:t>
      </w:r>
    </w:p>
  </w:footnote>
  <w:footnote w:id="116">
    <w:p w:rsidR="00512B04" w:rsidRPr="00BA4843" w:rsidRDefault="00512B04" w:rsidP="00BA4843">
      <w:pPr>
        <w:jc w:val="both"/>
        <w:rPr>
          <w:rFonts w:asciiTheme="majorHAnsi" w:hAnsiTheme="majorHAnsi"/>
          <w:sz w:val="16"/>
          <w:szCs w:val="16"/>
          <w:lang w:val="es-ES_tradnl"/>
        </w:rPr>
      </w:pPr>
      <w:r w:rsidRPr="00BA4843">
        <w:rPr>
          <w:rStyle w:val="FootnoteReference"/>
          <w:rFonts w:asciiTheme="majorHAnsi" w:hAnsiTheme="majorHAnsi"/>
          <w:sz w:val="16"/>
          <w:szCs w:val="16"/>
          <w:lang w:val="es-ES_tradnl"/>
        </w:rPr>
        <w:footnoteRef/>
      </w:r>
      <w:r w:rsidRPr="00BA4843">
        <w:rPr>
          <w:rFonts w:asciiTheme="majorHAnsi" w:hAnsiTheme="majorHAnsi"/>
          <w:sz w:val="16"/>
          <w:szCs w:val="16"/>
          <w:lang w:val="es-ES_tradnl"/>
        </w:rPr>
        <w:t xml:space="preserve"> Corte I.D.H., </w:t>
      </w:r>
      <w:r w:rsidRPr="00BA4843">
        <w:rPr>
          <w:rFonts w:asciiTheme="majorHAnsi" w:hAnsiTheme="majorHAnsi"/>
          <w:bCs/>
          <w:i/>
          <w:sz w:val="16"/>
          <w:szCs w:val="16"/>
          <w:lang w:val="es-ES_tradnl"/>
        </w:rPr>
        <w:t>Caso Cantoral Huamaní y García Santa Cruz.</w:t>
      </w:r>
      <w:r w:rsidRPr="00BA4843">
        <w:rPr>
          <w:rFonts w:asciiTheme="majorHAnsi" w:hAnsiTheme="majorHAnsi"/>
          <w:bCs/>
          <w:sz w:val="16"/>
          <w:szCs w:val="16"/>
          <w:lang w:val="es-ES_tradnl"/>
        </w:rPr>
        <w:t xml:space="preserve"> </w:t>
      </w:r>
      <w:r w:rsidRPr="00BA4843">
        <w:rPr>
          <w:rFonts w:asciiTheme="majorHAnsi" w:hAnsiTheme="majorHAnsi"/>
          <w:sz w:val="16"/>
          <w:szCs w:val="16"/>
          <w:lang w:val="es-ES_tradnl"/>
        </w:rPr>
        <w:t xml:space="preserve">Excepción Preliminar, Fondo, Reparaciones y Costas. Sentencia de 10 de julio de 2007. Serie C No. 167. Párr. 130; Corte I.D.H., </w:t>
      </w:r>
      <w:r w:rsidRPr="00BA4843">
        <w:rPr>
          <w:rFonts w:asciiTheme="majorHAnsi" w:hAnsiTheme="majorHAnsi"/>
          <w:i/>
          <w:sz w:val="16"/>
          <w:szCs w:val="16"/>
          <w:lang w:val="es-ES_tradnl"/>
        </w:rPr>
        <w:t>Caso</w:t>
      </w:r>
      <w:r w:rsidRPr="00BA4843">
        <w:rPr>
          <w:rFonts w:asciiTheme="majorHAnsi" w:hAnsiTheme="majorHAnsi"/>
          <w:sz w:val="16"/>
          <w:szCs w:val="16"/>
          <w:lang w:val="es-ES_tradnl"/>
        </w:rPr>
        <w:t xml:space="preserve"> </w:t>
      </w:r>
      <w:r w:rsidRPr="00BA4843">
        <w:rPr>
          <w:rFonts w:asciiTheme="majorHAnsi" w:hAnsiTheme="majorHAnsi"/>
          <w:i/>
          <w:sz w:val="16"/>
          <w:szCs w:val="16"/>
          <w:lang w:val="es-ES_tradnl"/>
        </w:rPr>
        <w:t>de la Masacre de Pueblo Bello</w:t>
      </w:r>
      <w:r w:rsidRPr="00BA4843">
        <w:rPr>
          <w:rFonts w:asciiTheme="majorHAnsi" w:hAnsiTheme="majorHAnsi"/>
          <w:sz w:val="16"/>
          <w:szCs w:val="16"/>
          <w:lang w:val="es-ES_tradnl"/>
        </w:rPr>
        <w:t xml:space="preserve">. Sentencia de 31 de enero de 2006. Serie C No. 140. Párr. 120; y Corte I.D.H., </w:t>
      </w:r>
      <w:r w:rsidRPr="00BA4843">
        <w:rPr>
          <w:rFonts w:asciiTheme="majorHAnsi" w:hAnsiTheme="majorHAnsi"/>
          <w:i/>
          <w:sz w:val="16"/>
          <w:szCs w:val="16"/>
          <w:lang w:val="es-ES_tradnl"/>
        </w:rPr>
        <w:t>Caso Huilca Tecse</w:t>
      </w:r>
      <w:r w:rsidRPr="00BA4843">
        <w:rPr>
          <w:rFonts w:asciiTheme="majorHAnsi" w:hAnsiTheme="majorHAnsi"/>
          <w:sz w:val="16"/>
          <w:szCs w:val="16"/>
          <w:lang w:val="es-ES_tradnl"/>
        </w:rPr>
        <w:t>. Sentencia de 3 de marzo de 2005. Serie C No. 121, Párr. 66.</w:t>
      </w:r>
    </w:p>
  </w:footnote>
  <w:footnote w:id="117">
    <w:p w:rsidR="00512B04" w:rsidRPr="00BA4843" w:rsidRDefault="00512B04" w:rsidP="00BA4843">
      <w:pPr>
        <w:pStyle w:val="FootnoteText"/>
        <w:jc w:val="both"/>
        <w:rPr>
          <w:rFonts w:asciiTheme="majorHAnsi" w:hAnsiTheme="majorHAnsi"/>
          <w:sz w:val="16"/>
          <w:szCs w:val="16"/>
          <w:lang w:val="es-ES_tradnl"/>
        </w:rPr>
      </w:pPr>
      <w:r w:rsidRPr="00BA4843">
        <w:rPr>
          <w:rStyle w:val="FootnoteReference"/>
          <w:rFonts w:asciiTheme="majorHAnsi" w:hAnsiTheme="majorHAnsi"/>
          <w:sz w:val="16"/>
          <w:szCs w:val="16"/>
          <w:lang w:val="es-ES_tradnl"/>
        </w:rPr>
        <w:footnoteRef/>
      </w:r>
      <w:r w:rsidRPr="00BA4843">
        <w:rPr>
          <w:rFonts w:asciiTheme="majorHAnsi" w:hAnsiTheme="majorHAnsi"/>
          <w:sz w:val="16"/>
          <w:szCs w:val="16"/>
          <w:lang w:val="es-ES_tradnl"/>
        </w:rPr>
        <w:t xml:space="preserve"> Corte I.D.H., </w:t>
      </w:r>
      <w:r w:rsidRPr="00BA4843">
        <w:rPr>
          <w:rFonts w:asciiTheme="majorHAnsi" w:hAnsiTheme="majorHAnsi"/>
          <w:bCs/>
          <w:i/>
          <w:sz w:val="16"/>
          <w:szCs w:val="16"/>
          <w:lang w:val="es-ES_tradnl"/>
        </w:rPr>
        <w:t>Caso Zambrano Vélez y otros.</w:t>
      </w:r>
      <w:r w:rsidRPr="00BA4843">
        <w:rPr>
          <w:rFonts w:asciiTheme="majorHAnsi" w:hAnsiTheme="majorHAnsi"/>
          <w:bCs/>
          <w:sz w:val="16"/>
          <w:szCs w:val="16"/>
          <w:lang w:val="es-ES_tradnl"/>
        </w:rPr>
        <w:t xml:space="preserve"> </w:t>
      </w:r>
      <w:r w:rsidRPr="00BA4843">
        <w:rPr>
          <w:rFonts w:asciiTheme="majorHAnsi" w:hAnsiTheme="majorHAnsi"/>
          <w:sz w:val="16"/>
          <w:szCs w:val="16"/>
          <w:lang w:val="es-ES_tradnl"/>
        </w:rPr>
        <w:t>Fondo, Reparaciones y Costas. Sentencia de 4 de julio de 2007. Serie C No. 166. Párr. 122.</w:t>
      </w:r>
    </w:p>
  </w:footnote>
  <w:footnote w:id="118">
    <w:p w:rsidR="00512B04" w:rsidRPr="00BA4843" w:rsidRDefault="00512B04" w:rsidP="00BA4843">
      <w:pPr>
        <w:pStyle w:val="FootnoteText"/>
        <w:jc w:val="both"/>
        <w:rPr>
          <w:rFonts w:asciiTheme="majorHAnsi" w:hAnsiTheme="majorHAnsi"/>
          <w:sz w:val="16"/>
          <w:szCs w:val="16"/>
          <w:lang w:val="es-ES_tradnl"/>
        </w:rPr>
      </w:pPr>
      <w:r w:rsidRPr="00BA4843">
        <w:rPr>
          <w:rStyle w:val="FootnoteReference"/>
          <w:rFonts w:asciiTheme="majorHAnsi" w:hAnsiTheme="majorHAnsi"/>
          <w:sz w:val="16"/>
          <w:szCs w:val="16"/>
          <w:lang w:val="es-ES_tradnl"/>
        </w:rPr>
        <w:footnoteRef/>
      </w:r>
      <w:r w:rsidRPr="00BA4843">
        <w:rPr>
          <w:rFonts w:asciiTheme="majorHAnsi" w:hAnsiTheme="majorHAnsi"/>
          <w:sz w:val="16"/>
          <w:szCs w:val="16"/>
          <w:lang w:val="es-ES_tradnl"/>
        </w:rPr>
        <w:t xml:space="preserve"> Corte I.D.H., </w:t>
      </w:r>
      <w:r w:rsidRPr="00BA4843">
        <w:rPr>
          <w:rFonts w:asciiTheme="majorHAnsi" w:hAnsiTheme="majorHAnsi"/>
          <w:i/>
          <w:sz w:val="16"/>
          <w:szCs w:val="16"/>
          <w:lang w:val="es-ES_tradnl"/>
        </w:rPr>
        <w:t>Caso Velásquez Rodríguez</w:t>
      </w:r>
      <w:r w:rsidRPr="00BA4843">
        <w:rPr>
          <w:rFonts w:asciiTheme="majorHAnsi" w:hAnsiTheme="majorHAnsi"/>
          <w:sz w:val="16"/>
          <w:szCs w:val="16"/>
          <w:lang w:val="es-ES_tradnl"/>
        </w:rPr>
        <w:t xml:space="preserve">. Sentencia de 29 de julio de 1988. Serie C No. 4. Párr. 177; Corte I.D.H., </w:t>
      </w:r>
      <w:r w:rsidRPr="00BA4843">
        <w:rPr>
          <w:rFonts w:asciiTheme="majorHAnsi" w:hAnsiTheme="majorHAnsi"/>
          <w:bCs/>
          <w:i/>
          <w:sz w:val="16"/>
          <w:szCs w:val="16"/>
          <w:lang w:val="es-ES_tradnl"/>
        </w:rPr>
        <w:t>Caso Cantoral Huamaní y García Santa Cruz.</w:t>
      </w:r>
      <w:r w:rsidRPr="00BA4843">
        <w:rPr>
          <w:rFonts w:asciiTheme="majorHAnsi" w:hAnsiTheme="majorHAnsi"/>
          <w:bCs/>
          <w:sz w:val="16"/>
          <w:szCs w:val="16"/>
          <w:lang w:val="es-ES_tradnl"/>
        </w:rPr>
        <w:t xml:space="preserve"> </w:t>
      </w:r>
      <w:r w:rsidRPr="00BA4843">
        <w:rPr>
          <w:rFonts w:asciiTheme="majorHAnsi" w:hAnsiTheme="majorHAnsi"/>
          <w:sz w:val="16"/>
          <w:szCs w:val="16"/>
          <w:lang w:val="es-ES_tradnl"/>
        </w:rPr>
        <w:t xml:space="preserve">Excepción Preliminar, Fondo, Reparaciones y Costas. Sentencia de 10 de julio de 2007. Serie C No. 167. Párr. 131; y Corte I.D.H., </w:t>
      </w:r>
      <w:r w:rsidRPr="00BA4843">
        <w:rPr>
          <w:rFonts w:asciiTheme="majorHAnsi" w:hAnsiTheme="majorHAnsi"/>
          <w:bCs/>
          <w:i/>
          <w:sz w:val="16"/>
          <w:szCs w:val="16"/>
          <w:lang w:val="es-ES_tradnl"/>
        </w:rPr>
        <w:t>Caso Zambrano Vélez y otros.</w:t>
      </w:r>
      <w:r w:rsidRPr="00BA4843">
        <w:rPr>
          <w:rFonts w:asciiTheme="majorHAnsi" w:hAnsiTheme="majorHAnsi"/>
          <w:bCs/>
          <w:sz w:val="16"/>
          <w:szCs w:val="16"/>
          <w:lang w:val="es-ES_tradnl"/>
        </w:rPr>
        <w:t xml:space="preserve"> </w:t>
      </w:r>
      <w:r w:rsidRPr="00BA4843">
        <w:rPr>
          <w:rFonts w:asciiTheme="majorHAnsi" w:hAnsiTheme="majorHAnsi"/>
          <w:sz w:val="16"/>
          <w:szCs w:val="16"/>
          <w:lang w:val="es-ES_tradnl"/>
        </w:rPr>
        <w:t xml:space="preserve">Fondo, Reparaciones y Costas. Sentencia de 4 de julio de 2007. Serie C No. 166. Párr. 120. </w:t>
      </w:r>
    </w:p>
  </w:footnote>
  <w:footnote w:id="119">
    <w:p w:rsidR="00512B04" w:rsidRPr="00BA4843" w:rsidRDefault="00512B04" w:rsidP="00BA4843">
      <w:pPr>
        <w:jc w:val="both"/>
        <w:rPr>
          <w:rFonts w:asciiTheme="majorHAnsi" w:hAnsiTheme="majorHAnsi"/>
          <w:sz w:val="16"/>
          <w:szCs w:val="16"/>
          <w:lang w:val="es-ES_tradnl"/>
        </w:rPr>
      </w:pPr>
      <w:r w:rsidRPr="00BA4843">
        <w:rPr>
          <w:rStyle w:val="FootnoteReference"/>
          <w:rFonts w:asciiTheme="majorHAnsi" w:hAnsiTheme="majorHAnsi"/>
          <w:sz w:val="16"/>
          <w:szCs w:val="16"/>
          <w:lang w:val="es-ES_tradnl"/>
        </w:rPr>
        <w:footnoteRef/>
      </w:r>
      <w:r w:rsidRPr="00BA4843">
        <w:rPr>
          <w:rFonts w:asciiTheme="majorHAnsi" w:hAnsiTheme="majorHAnsi"/>
          <w:sz w:val="16"/>
          <w:szCs w:val="16"/>
          <w:lang w:val="es-ES_tradnl"/>
        </w:rPr>
        <w:t xml:space="preserve"> Corte I.D.H., </w:t>
      </w:r>
      <w:r w:rsidRPr="00BA4843">
        <w:rPr>
          <w:rFonts w:asciiTheme="majorHAnsi" w:hAnsiTheme="majorHAnsi"/>
          <w:i/>
          <w:sz w:val="16"/>
          <w:szCs w:val="16"/>
          <w:lang w:val="es-ES_tradnl"/>
        </w:rPr>
        <w:t>Caso Velásquez Rodríguez</w:t>
      </w:r>
      <w:r w:rsidRPr="00BA4843">
        <w:rPr>
          <w:rFonts w:asciiTheme="majorHAnsi" w:hAnsiTheme="majorHAnsi"/>
          <w:sz w:val="16"/>
          <w:szCs w:val="16"/>
          <w:lang w:val="es-ES_tradnl"/>
        </w:rPr>
        <w:t xml:space="preserve">. Sentencia de 29 de julio de 1988. Serie C No. 4. Párr. 177; Corte I.D.H., </w:t>
      </w:r>
      <w:r w:rsidRPr="00BA4843">
        <w:rPr>
          <w:rFonts w:asciiTheme="majorHAnsi" w:hAnsiTheme="majorHAnsi"/>
          <w:bCs/>
          <w:i/>
          <w:sz w:val="16"/>
          <w:szCs w:val="16"/>
          <w:lang w:val="es-ES_tradnl"/>
        </w:rPr>
        <w:t>Caso Zambrano Vélez y otros.</w:t>
      </w:r>
      <w:r w:rsidRPr="00BA4843">
        <w:rPr>
          <w:rFonts w:asciiTheme="majorHAnsi" w:hAnsiTheme="majorHAnsi"/>
          <w:bCs/>
          <w:sz w:val="16"/>
          <w:szCs w:val="16"/>
          <w:lang w:val="es-ES_tradnl"/>
        </w:rPr>
        <w:t xml:space="preserve"> </w:t>
      </w:r>
      <w:r w:rsidRPr="00BA4843">
        <w:rPr>
          <w:rFonts w:asciiTheme="majorHAnsi" w:hAnsiTheme="majorHAnsi"/>
          <w:sz w:val="16"/>
          <w:szCs w:val="16"/>
          <w:lang w:val="es-ES_tradnl"/>
        </w:rPr>
        <w:t>Fondo, Reparaciones y Costas. Sentencia de 4 de julio de 2007. Serie C No. 166. Párr. 120.</w:t>
      </w:r>
    </w:p>
  </w:footnote>
  <w:footnote w:id="120">
    <w:p w:rsidR="00512B04" w:rsidRPr="00BA4843" w:rsidRDefault="00512B04" w:rsidP="00BA4843">
      <w:pPr>
        <w:jc w:val="both"/>
        <w:rPr>
          <w:rFonts w:asciiTheme="majorHAnsi" w:hAnsiTheme="majorHAnsi"/>
          <w:sz w:val="16"/>
          <w:szCs w:val="16"/>
          <w:lang w:val="es-ES_tradnl"/>
        </w:rPr>
      </w:pPr>
      <w:r w:rsidRPr="00BA4843">
        <w:rPr>
          <w:rStyle w:val="FootnoteReference"/>
          <w:rFonts w:asciiTheme="majorHAnsi" w:hAnsiTheme="majorHAnsi"/>
          <w:sz w:val="16"/>
          <w:szCs w:val="16"/>
          <w:lang w:val="es-ES_tradnl"/>
        </w:rPr>
        <w:footnoteRef/>
      </w:r>
      <w:r w:rsidRPr="00BA4843">
        <w:rPr>
          <w:rFonts w:asciiTheme="majorHAnsi" w:hAnsiTheme="majorHAnsi"/>
          <w:sz w:val="16"/>
          <w:szCs w:val="16"/>
          <w:lang w:val="es-ES_tradnl"/>
        </w:rPr>
        <w:t xml:space="preserve"> Corte I.D.H., </w:t>
      </w:r>
      <w:r w:rsidRPr="00BA4843">
        <w:rPr>
          <w:rFonts w:asciiTheme="majorHAnsi" w:hAnsiTheme="majorHAnsi"/>
          <w:i/>
          <w:sz w:val="16"/>
          <w:szCs w:val="16"/>
          <w:lang w:val="es-ES_tradnl"/>
        </w:rPr>
        <w:t xml:space="preserve">Caso de la Masacre de las Dos Erres. </w:t>
      </w:r>
      <w:r w:rsidRPr="00BA4843">
        <w:rPr>
          <w:rFonts w:asciiTheme="majorHAnsi" w:hAnsiTheme="majorHAnsi"/>
          <w:sz w:val="16"/>
          <w:szCs w:val="16"/>
          <w:lang w:val="es-ES_tradnl"/>
        </w:rPr>
        <w:t xml:space="preserve">Sentencia de 24 de noviembre de 2009. Párr. 105; </w:t>
      </w:r>
      <w:r w:rsidRPr="00BA4843">
        <w:rPr>
          <w:rFonts w:asciiTheme="majorHAnsi" w:hAnsiTheme="majorHAnsi"/>
          <w:i/>
          <w:sz w:val="16"/>
          <w:szCs w:val="16"/>
          <w:lang w:val="es-ES_tradnl"/>
        </w:rPr>
        <w:t xml:space="preserve">Caso Bulacio Vs. Argentina. </w:t>
      </w:r>
      <w:r w:rsidRPr="00BA4843">
        <w:rPr>
          <w:rFonts w:asciiTheme="majorHAnsi" w:hAnsiTheme="majorHAnsi"/>
          <w:sz w:val="16"/>
          <w:szCs w:val="16"/>
          <w:lang w:val="es-ES_tradnl"/>
        </w:rPr>
        <w:t xml:space="preserve">Fondo, Reparaciones y Costas. Sentencia de 18 de septiembre de 2003. Serie C No. 100, párr. 114; </w:t>
      </w:r>
      <w:r w:rsidRPr="00BA4843">
        <w:rPr>
          <w:rFonts w:asciiTheme="majorHAnsi" w:hAnsiTheme="majorHAnsi"/>
          <w:i/>
          <w:sz w:val="16"/>
          <w:szCs w:val="16"/>
          <w:lang w:val="es-ES_tradnl"/>
        </w:rPr>
        <w:t xml:space="preserve">Caso Zambrano Vélez y otros Vs. Ecuador. </w:t>
      </w:r>
      <w:r w:rsidRPr="00BA4843">
        <w:rPr>
          <w:rFonts w:asciiTheme="majorHAnsi" w:hAnsiTheme="majorHAnsi"/>
          <w:sz w:val="16"/>
          <w:szCs w:val="16"/>
          <w:lang w:val="es-ES_tradnl"/>
        </w:rPr>
        <w:t>Fondo, Reparaciones y Costas. Sentencia de 4 de julio de 2007. Serie C No. 166, párr. 115.</w:t>
      </w:r>
    </w:p>
  </w:footnote>
  <w:footnote w:id="121">
    <w:p w:rsidR="00512B04" w:rsidRPr="00BA4843" w:rsidRDefault="00512B04" w:rsidP="00BA4843">
      <w:pPr>
        <w:pStyle w:val="FootnoteText"/>
        <w:jc w:val="both"/>
        <w:rPr>
          <w:rFonts w:asciiTheme="majorHAnsi" w:hAnsiTheme="majorHAnsi"/>
          <w:sz w:val="16"/>
          <w:szCs w:val="16"/>
          <w:lang w:val="es-ES_tradnl"/>
        </w:rPr>
      </w:pPr>
      <w:r w:rsidRPr="00BA4843">
        <w:rPr>
          <w:rStyle w:val="FootnoteReference"/>
          <w:rFonts w:asciiTheme="majorHAnsi" w:hAnsiTheme="majorHAnsi"/>
          <w:sz w:val="16"/>
          <w:szCs w:val="16"/>
          <w:lang w:val="es-ES_tradnl"/>
        </w:rPr>
        <w:footnoteRef/>
      </w:r>
      <w:r w:rsidRPr="00BA4843">
        <w:rPr>
          <w:rFonts w:asciiTheme="majorHAnsi" w:hAnsiTheme="majorHAnsi"/>
          <w:sz w:val="16"/>
          <w:szCs w:val="16"/>
          <w:lang w:val="es-ES_tradnl"/>
        </w:rPr>
        <w:t xml:space="preserve"> Ver. U.N. Doc E/ST/CSDHA/.12 (1991). En anteriores asuntos, la Comisión ha utilizado documentación de Naciones Unidas para evaluar las diligencias mínimas a realizarse en tales casos. Ver. CIDH. Informe 10/95. Caso. 10.580. Ecuador. 12 de septiembre de 1995. Párr. 53.</w:t>
      </w:r>
    </w:p>
  </w:footnote>
  <w:footnote w:id="122">
    <w:p w:rsidR="00512B04" w:rsidRPr="00BA4843" w:rsidRDefault="00512B04" w:rsidP="00BA4843">
      <w:pPr>
        <w:pStyle w:val="FootnoteText"/>
        <w:jc w:val="both"/>
        <w:rPr>
          <w:rFonts w:asciiTheme="majorHAnsi" w:hAnsiTheme="majorHAnsi"/>
          <w:color w:val="auto"/>
          <w:sz w:val="16"/>
          <w:szCs w:val="16"/>
          <w:lang w:val="es-ES_tradnl"/>
        </w:rPr>
      </w:pPr>
      <w:r w:rsidRPr="00BA4843">
        <w:rPr>
          <w:rStyle w:val="FootnoteReference"/>
          <w:rFonts w:asciiTheme="majorHAnsi" w:hAnsiTheme="majorHAnsi"/>
          <w:color w:val="auto"/>
          <w:sz w:val="16"/>
          <w:szCs w:val="16"/>
          <w:lang w:val="es-ES_tradnl"/>
        </w:rPr>
        <w:footnoteRef/>
      </w:r>
      <w:r w:rsidRPr="00BA4843">
        <w:rPr>
          <w:rFonts w:asciiTheme="majorHAnsi" w:hAnsiTheme="majorHAnsi"/>
          <w:color w:val="auto"/>
          <w:sz w:val="16"/>
          <w:szCs w:val="16"/>
          <w:lang w:val="es-ES_tradnl"/>
        </w:rPr>
        <w:t xml:space="preserve"> CIDH, Informe de Fondo No. 77/02, Waldemar Gerónimo Pinheiro y José Víctor dos Santos (Caso 11.506), 27 de diciembre de 2002, párr. 76. Ver también Corte I.D.H., </w:t>
      </w:r>
      <w:r w:rsidRPr="00BA4843">
        <w:rPr>
          <w:rFonts w:asciiTheme="majorHAnsi" w:hAnsiTheme="majorHAnsi"/>
          <w:i/>
          <w:iCs/>
          <w:color w:val="auto"/>
          <w:sz w:val="16"/>
          <w:szCs w:val="16"/>
          <w:lang w:val="es-ES_tradnl"/>
        </w:rPr>
        <w:t>Caso López Álvarez</w:t>
      </w:r>
      <w:r w:rsidRPr="00BA4843">
        <w:rPr>
          <w:rFonts w:asciiTheme="majorHAnsi" w:hAnsiTheme="majorHAnsi"/>
          <w:color w:val="auto"/>
          <w:sz w:val="16"/>
          <w:szCs w:val="16"/>
          <w:lang w:val="es-ES_tradnl"/>
        </w:rPr>
        <w:t xml:space="preserve">. Sentencia de 1 de febrero de 2006. Serie C No. 141, párr. 132; </w:t>
      </w:r>
      <w:r w:rsidRPr="00BA4843">
        <w:rPr>
          <w:rFonts w:asciiTheme="majorHAnsi" w:hAnsiTheme="majorHAnsi"/>
          <w:i/>
          <w:iCs/>
          <w:color w:val="auto"/>
          <w:sz w:val="16"/>
          <w:szCs w:val="16"/>
          <w:lang w:val="es-ES_tradnl"/>
        </w:rPr>
        <w:t>Caso García Asto y Ramírez Rojas</w:t>
      </w:r>
      <w:r w:rsidRPr="00BA4843">
        <w:rPr>
          <w:rFonts w:asciiTheme="majorHAnsi" w:hAnsiTheme="majorHAnsi"/>
          <w:color w:val="auto"/>
          <w:sz w:val="16"/>
          <w:szCs w:val="16"/>
          <w:lang w:val="es-ES_tradnl"/>
        </w:rPr>
        <w:t xml:space="preserve">. Sentencia de 25 de noviembre de 2005. Serie C No. 137, párr. 166; y </w:t>
      </w:r>
      <w:r w:rsidRPr="00BA4843">
        <w:rPr>
          <w:rFonts w:asciiTheme="majorHAnsi" w:hAnsiTheme="majorHAnsi"/>
          <w:i/>
          <w:iCs/>
          <w:color w:val="auto"/>
          <w:sz w:val="16"/>
          <w:szCs w:val="16"/>
          <w:lang w:val="es-ES_tradnl"/>
        </w:rPr>
        <w:t>Caso Acosta Calderón</w:t>
      </w:r>
      <w:r w:rsidRPr="00BA4843">
        <w:rPr>
          <w:rFonts w:asciiTheme="majorHAnsi" w:hAnsiTheme="majorHAnsi"/>
          <w:color w:val="auto"/>
          <w:sz w:val="16"/>
          <w:szCs w:val="16"/>
          <w:lang w:val="es-ES_tradnl"/>
        </w:rPr>
        <w:t xml:space="preserve">. Sentencia de 24 de junio de 2005. Serie C No. 129, párr. 105; ONU Doc. CCPR/C/GC/32 de 23 de agosto de 2007, Comité de Derechos Humanos, Observación General Nº 32, párr.35.  </w:t>
      </w:r>
    </w:p>
  </w:footnote>
  <w:footnote w:id="123">
    <w:p w:rsidR="00512B04" w:rsidRPr="00BA4843" w:rsidRDefault="00512B04" w:rsidP="00BA4843">
      <w:pPr>
        <w:pStyle w:val="FootnoteText"/>
        <w:jc w:val="both"/>
        <w:rPr>
          <w:rFonts w:asciiTheme="majorHAnsi" w:hAnsiTheme="majorHAnsi" w:cs="Arial"/>
          <w:color w:val="auto"/>
          <w:sz w:val="16"/>
          <w:szCs w:val="16"/>
          <w:lang w:val="es-ES_tradnl"/>
        </w:rPr>
      </w:pPr>
      <w:r w:rsidRPr="00BA4843">
        <w:rPr>
          <w:rStyle w:val="FootnoteReference"/>
          <w:rFonts w:asciiTheme="majorHAnsi" w:hAnsiTheme="majorHAnsi" w:cs="Arial"/>
          <w:color w:val="auto"/>
          <w:sz w:val="16"/>
          <w:szCs w:val="16"/>
          <w:lang w:val="es-ES_tradnl"/>
        </w:rPr>
        <w:footnoteRef/>
      </w:r>
      <w:r w:rsidRPr="00BA4843">
        <w:rPr>
          <w:rFonts w:asciiTheme="majorHAnsi" w:hAnsiTheme="majorHAnsi" w:cs="Arial"/>
          <w:color w:val="auto"/>
          <w:sz w:val="16"/>
          <w:szCs w:val="16"/>
          <w:lang w:val="es-ES_tradnl"/>
        </w:rPr>
        <w:t xml:space="preserve"> </w:t>
      </w:r>
      <w:r w:rsidRPr="00BA4843">
        <w:rPr>
          <w:rFonts w:asciiTheme="majorHAnsi" w:hAnsiTheme="majorHAnsi" w:cs="Arial"/>
          <w:i/>
          <w:color w:val="auto"/>
          <w:sz w:val="16"/>
          <w:szCs w:val="16"/>
          <w:lang w:val="es-ES_tradnl"/>
        </w:rPr>
        <w:t xml:space="preserve">Principios relativos a una eficaz prevención e investigación de las ejecuciones extralegales, arbitrarias o sumarias </w:t>
      </w:r>
      <w:r w:rsidRPr="00BA4843">
        <w:rPr>
          <w:rFonts w:asciiTheme="majorHAnsi" w:hAnsiTheme="majorHAnsi" w:cs="Arial"/>
          <w:color w:val="auto"/>
          <w:sz w:val="16"/>
          <w:szCs w:val="16"/>
          <w:lang w:val="es-ES_tradnl"/>
        </w:rPr>
        <w:t xml:space="preserve">de la Oficina del Alto Comisionado de las Naciones Unidas para los Derechos Humanos Disponible en el siguiente enlace: </w:t>
      </w:r>
      <w:hyperlink r:id="rId10" w:history="1">
        <w:r w:rsidRPr="00BA4843">
          <w:rPr>
            <w:rStyle w:val="Hyperlink"/>
            <w:rFonts w:asciiTheme="majorHAnsi" w:hAnsiTheme="majorHAnsi" w:cs="Arial"/>
            <w:color w:val="auto"/>
            <w:sz w:val="16"/>
            <w:szCs w:val="16"/>
            <w:lang w:val="es-ES_tradnl"/>
          </w:rPr>
          <w:t>http://www2.ohchr.org/spanish/law/prevencion.htm</w:t>
        </w:r>
      </w:hyperlink>
      <w:r w:rsidRPr="00BA4843">
        <w:rPr>
          <w:rFonts w:asciiTheme="majorHAnsi" w:hAnsiTheme="majorHAnsi" w:cs="Arial"/>
          <w:color w:val="auto"/>
          <w:sz w:val="16"/>
          <w:szCs w:val="16"/>
          <w:lang w:val="es-ES_tradnl"/>
        </w:rPr>
        <w:t xml:space="preserve">. </w:t>
      </w:r>
      <w:r w:rsidRPr="00BA4843">
        <w:rPr>
          <w:rFonts w:asciiTheme="majorHAnsi" w:hAnsiTheme="majorHAnsi" w:cs="Arial"/>
          <w:i/>
          <w:color w:val="auto"/>
          <w:sz w:val="16"/>
          <w:szCs w:val="16"/>
          <w:lang w:val="es-ES_tradnl"/>
        </w:rPr>
        <w:t>Manual sobre la prevención e investigación eficaces de las ejecuciones extralegales, arbitrarias o sumarias</w:t>
      </w:r>
      <w:r w:rsidRPr="00BA4843">
        <w:rPr>
          <w:rFonts w:asciiTheme="majorHAnsi" w:hAnsiTheme="majorHAnsi" w:cs="Arial"/>
          <w:color w:val="auto"/>
          <w:sz w:val="16"/>
          <w:szCs w:val="16"/>
          <w:lang w:val="es-ES_tradnl"/>
        </w:rPr>
        <w:t>.</w:t>
      </w:r>
    </w:p>
  </w:footnote>
  <w:footnote w:id="124">
    <w:p w:rsidR="00512B04" w:rsidRPr="00BA4843" w:rsidRDefault="00512B04" w:rsidP="00BA4843">
      <w:pPr>
        <w:pStyle w:val="FootnoteText"/>
        <w:jc w:val="both"/>
        <w:rPr>
          <w:rFonts w:asciiTheme="majorHAnsi" w:hAnsiTheme="majorHAnsi"/>
          <w:sz w:val="16"/>
          <w:szCs w:val="16"/>
          <w:lang w:val="es-ES_tradnl"/>
        </w:rPr>
      </w:pPr>
      <w:r w:rsidRPr="00BA4843">
        <w:rPr>
          <w:rStyle w:val="FootnoteReference"/>
          <w:rFonts w:asciiTheme="majorHAnsi" w:hAnsiTheme="majorHAnsi"/>
          <w:sz w:val="16"/>
          <w:szCs w:val="16"/>
        </w:rPr>
        <w:footnoteRef/>
      </w:r>
      <w:r w:rsidRPr="00BA4843">
        <w:rPr>
          <w:rFonts w:asciiTheme="majorHAnsi" w:hAnsiTheme="majorHAnsi"/>
          <w:sz w:val="16"/>
          <w:szCs w:val="16"/>
          <w:lang w:val="es-ES_tradnl"/>
        </w:rPr>
        <w:t xml:space="preserve">Corte IDH, </w:t>
      </w:r>
      <w:r w:rsidRPr="00BA4843">
        <w:rPr>
          <w:rFonts w:asciiTheme="majorHAnsi" w:hAnsiTheme="majorHAnsi"/>
          <w:i/>
          <w:sz w:val="16"/>
          <w:szCs w:val="16"/>
          <w:lang w:val="es-ES_tradnl"/>
        </w:rPr>
        <w:t xml:space="preserve">Caso Landaeta Mejías Vs. Venezuela, Excepciones preliminares, fondo, reparaciones y costas. </w:t>
      </w:r>
      <w:r w:rsidRPr="00BA4843">
        <w:rPr>
          <w:rFonts w:asciiTheme="majorHAnsi" w:hAnsiTheme="majorHAnsi"/>
          <w:sz w:val="16"/>
          <w:szCs w:val="16"/>
          <w:lang w:val="es-ES_tradnl"/>
        </w:rPr>
        <w:t xml:space="preserve">Sentencia de 27 de agosto de 2014, Serie C No 281, párr. </w:t>
      </w:r>
      <w:r w:rsidRPr="00BA4843">
        <w:rPr>
          <w:rFonts w:asciiTheme="majorHAnsi" w:hAnsiTheme="majorHAnsi"/>
          <w:sz w:val="16"/>
          <w:szCs w:val="16"/>
          <w:lang w:val="es-MX"/>
        </w:rPr>
        <w:t>224.</w:t>
      </w:r>
      <w:r w:rsidRPr="00BA4843">
        <w:rPr>
          <w:rFonts w:asciiTheme="majorHAnsi" w:hAnsiTheme="majorHAnsi"/>
          <w:sz w:val="16"/>
          <w:szCs w:val="16"/>
          <w:lang w:val="es-MX"/>
        </w:rPr>
        <w:tab/>
        <w:t xml:space="preserve"> </w:t>
      </w:r>
    </w:p>
  </w:footnote>
  <w:footnote w:id="125">
    <w:p w:rsidR="00512B04" w:rsidRPr="00BA4843" w:rsidRDefault="00512B04" w:rsidP="00BA4843">
      <w:pPr>
        <w:pStyle w:val="FootnoteText"/>
        <w:jc w:val="both"/>
        <w:rPr>
          <w:rFonts w:asciiTheme="majorHAnsi" w:hAnsiTheme="majorHAnsi"/>
          <w:sz w:val="16"/>
          <w:szCs w:val="16"/>
          <w:lang w:val="es-MX"/>
        </w:rPr>
      </w:pPr>
      <w:r w:rsidRPr="00BA4843">
        <w:rPr>
          <w:rStyle w:val="FootnoteReference"/>
          <w:rFonts w:asciiTheme="majorHAnsi" w:hAnsiTheme="majorHAnsi"/>
          <w:sz w:val="16"/>
          <w:szCs w:val="16"/>
        </w:rPr>
        <w:footnoteRef/>
      </w:r>
      <w:r w:rsidRPr="00BA4843">
        <w:rPr>
          <w:rStyle w:val="FootnoteReference"/>
          <w:rFonts w:asciiTheme="majorHAnsi" w:hAnsiTheme="majorHAnsi"/>
          <w:sz w:val="16"/>
          <w:szCs w:val="16"/>
          <w:lang w:val="es-MX"/>
        </w:rPr>
        <w:t xml:space="preserve"> </w:t>
      </w:r>
      <w:r w:rsidRPr="00BA4843">
        <w:rPr>
          <w:rFonts w:asciiTheme="majorHAnsi" w:hAnsiTheme="majorHAnsi"/>
          <w:sz w:val="16"/>
          <w:szCs w:val="16"/>
          <w:lang w:val="es-MX"/>
        </w:rPr>
        <w:t>El artículo 3 de la Convención Americana establece que: “Toda persona tiene derecho al reconocimiento de su personalidad jurídica”.</w:t>
      </w:r>
    </w:p>
  </w:footnote>
  <w:footnote w:id="126">
    <w:p w:rsidR="00512B04" w:rsidRPr="00BA4843" w:rsidRDefault="00512B04" w:rsidP="00BA4843">
      <w:pPr>
        <w:pStyle w:val="FootnoteText"/>
        <w:jc w:val="both"/>
        <w:rPr>
          <w:rFonts w:asciiTheme="majorHAnsi" w:hAnsiTheme="majorHAnsi"/>
          <w:sz w:val="16"/>
          <w:szCs w:val="16"/>
          <w:lang w:val="es-MX"/>
        </w:rPr>
      </w:pPr>
      <w:r w:rsidRPr="00BA4843">
        <w:rPr>
          <w:rStyle w:val="FootnoteReference"/>
          <w:rFonts w:asciiTheme="majorHAnsi" w:hAnsiTheme="majorHAnsi"/>
          <w:sz w:val="16"/>
          <w:szCs w:val="16"/>
        </w:rPr>
        <w:footnoteRef/>
      </w:r>
      <w:r w:rsidRPr="00BA4843">
        <w:rPr>
          <w:rFonts w:asciiTheme="majorHAnsi" w:hAnsiTheme="majorHAnsi"/>
          <w:sz w:val="16"/>
          <w:szCs w:val="16"/>
          <w:lang w:val="es-MX"/>
        </w:rPr>
        <w:t xml:space="preserve"> El artículo 4.1 de la Convención Americana establece que: </w:t>
      </w:r>
      <w:r w:rsidRPr="00BA4843">
        <w:rPr>
          <w:rFonts w:asciiTheme="majorHAnsi" w:hAnsiTheme="majorHAnsi"/>
          <w:sz w:val="16"/>
          <w:szCs w:val="16"/>
          <w:lang w:val="es-ES_tradnl"/>
        </w:rPr>
        <w:t>1.    Toda persona tiene derecho a que se respete su vida.  Este derecho estará protegido por la ley y, en general, a partir del momento de la concepción.  Nadie puede ser privado de la vida arbitrariamente.</w:t>
      </w:r>
    </w:p>
  </w:footnote>
  <w:footnote w:id="127">
    <w:p w:rsidR="00512B04" w:rsidRPr="00BA4843" w:rsidRDefault="00512B04" w:rsidP="00BA4843">
      <w:pPr>
        <w:pStyle w:val="NormalWeb"/>
        <w:spacing w:before="0" w:beforeAutospacing="0" w:after="0" w:afterAutospacing="0"/>
        <w:jc w:val="both"/>
        <w:rPr>
          <w:rFonts w:asciiTheme="majorHAnsi" w:hAnsiTheme="majorHAnsi"/>
          <w:sz w:val="16"/>
          <w:szCs w:val="16"/>
          <w:lang w:val="es-ES_tradnl"/>
        </w:rPr>
      </w:pPr>
      <w:r w:rsidRPr="00BA4843">
        <w:rPr>
          <w:rStyle w:val="FootnoteReference"/>
          <w:rFonts w:asciiTheme="majorHAnsi" w:hAnsiTheme="majorHAnsi"/>
          <w:sz w:val="16"/>
          <w:szCs w:val="16"/>
        </w:rPr>
        <w:footnoteRef/>
      </w:r>
      <w:r w:rsidRPr="00BA4843">
        <w:rPr>
          <w:rFonts w:asciiTheme="majorHAnsi" w:hAnsiTheme="majorHAnsi"/>
          <w:sz w:val="16"/>
          <w:szCs w:val="16"/>
          <w:lang w:val="es-ES_tradnl"/>
        </w:rPr>
        <w:t xml:space="preserve"> Los artículos 5.1 y 5.2 de la Convención Americana establecen:        1.    Toda persona tiene derecho a que se respete su integridad física, psíquica y moral. 2.    Nadie debe ser sometido a torturas ni a penas o tratos crueles, inhumanos o degradantes.  Toda persona privada de libertad será tratada con el respeto debido a la dignidad inherente al ser humano.</w:t>
      </w:r>
    </w:p>
  </w:footnote>
  <w:footnote w:id="128">
    <w:p w:rsidR="00512B04" w:rsidRPr="00BA4843" w:rsidRDefault="00512B04" w:rsidP="00BA4843">
      <w:pPr>
        <w:pStyle w:val="NormalWeb"/>
        <w:spacing w:before="0" w:beforeAutospacing="0" w:after="0" w:afterAutospacing="0"/>
        <w:jc w:val="both"/>
        <w:rPr>
          <w:rFonts w:asciiTheme="majorHAnsi" w:hAnsiTheme="majorHAnsi"/>
          <w:sz w:val="16"/>
          <w:szCs w:val="16"/>
          <w:lang w:val="es-ES_tradnl"/>
        </w:rPr>
      </w:pPr>
      <w:r w:rsidRPr="00BA4843">
        <w:rPr>
          <w:rStyle w:val="FootnoteReference"/>
          <w:rFonts w:asciiTheme="majorHAnsi" w:hAnsiTheme="majorHAnsi"/>
          <w:sz w:val="16"/>
          <w:szCs w:val="16"/>
        </w:rPr>
        <w:footnoteRef/>
      </w:r>
      <w:r w:rsidRPr="00BA4843">
        <w:rPr>
          <w:rFonts w:asciiTheme="majorHAnsi" w:hAnsiTheme="majorHAnsi"/>
          <w:sz w:val="16"/>
          <w:szCs w:val="16"/>
          <w:lang w:val="es-ES_tradnl"/>
        </w:rPr>
        <w:t xml:space="preserve"> Los artículos 7.1 – 7.5 de la Convención Americana establecen: 1.    Toda persona tiene derecho a la libertad y a la seguridad personales. 2.    Nadie puede ser privado de su libertad física, salvo por las causas y en las condiciones fijadas de antemano por las Constituciones Políticas de los Estados partes o por las leyes dictadas conforme a ellas. 3.    Nadie puede ser sometido a detención o encarcelamiento arbitrarios. 4.    Toda persona detenida o retenida debe ser informada de las razones de su detención y notificada, sin demora, del cargo o cargos formulados contra ella. 5.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w:t>
      </w:r>
    </w:p>
  </w:footnote>
  <w:footnote w:id="129">
    <w:p w:rsidR="00512B04" w:rsidRPr="00BA4843" w:rsidRDefault="00512B04" w:rsidP="00BA4843">
      <w:pPr>
        <w:pStyle w:val="FootnoteText"/>
        <w:jc w:val="both"/>
        <w:rPr>
          <w:rFonts w:asciiTheme="majorHAnsi" w:hAnsiTheme="majorHAnsi"/>
          <w:color w:val="auto"/>
          <w:sz w:val="16"/>
          <w:szCs w:val="16"/>
          <w:lang w:val="es-ES_tradnl"/>
        </w:rPr>
      </w:pPr>
      <w:r w:rsidRPr="00BA4843">
        <w:rPr>
          <w:rStyle w:val="FootnoteReference"/>
          <w:rFonts w:asciiTheme="majorHAnsi" w:hAnsiTheme="majorHAnsi"/>
          <w:color w:val="auto"/>
          <w:sz w:val="16"/>
          <w:szCs w:val="16"/>
        </w:rPr>
        <w:footnoteRef/>
      </w:r>
      <w:r w:rsidRPr="00BA4843">
        <w:rPr>
          <w:rFonts w:asciiTheme="majorHAnsi" w:hAnsiTheme="majorHAnsi"/>
          <w:color w:val="auto"/>
          <w:sz w:val="16"/>
          <w:szCs w:val="16"/>
          <w:lang w:val="es-MX"/>
        </w:rPr>
        <w:t xml:space="preserve"> </w:t>
      </w:r>
      <w:r w:rsidRPr="00BA4843">
        <w:rPr>
          <w:rFonts w:asciiTheme="majorHAnsi" w:hAnsiTheme="majorHAnsi"/>
          <w:color w:val="auto"/>
          <w:sz w:val="16"/>
          <w:szCs w:val="16"/>
          <w:lang w:val="es-ES_tradnl"/>
        </w:rPr>
        <w:t>El artículo 8.1 de la Convención Americana indica: 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130">
    <w:p w:rsidR="00512B04" w:rsidRPr="00BA4843" w:rsidRDefault="00512B04" w:rsidP="00BA4843">
      <w:pPr>
        <w:pStyle w:val="FootnoteText"/>
        <w:jc w:val="both"/>
        <w:rPr>
          <w:rFonts w:asciiTheme="majorHAnsi" w:hAnsiTheme="majorHAnsi"/>
          <w:color w:val="auto"/>
          <w:sz w:val="16"/>
          <w:szCs w:val="16"/>
          <w:lang w:val="es-ES_tradnl"/>
        </w:rPr>
      </w:pPr>
      <w:r w:rsidRPr="00BA4843">
        <w:rPr>
          <w:rStyle w:val="FootnoteReference"/>
          <w:rFonts w:asciiTheme="majorHAnsi" w:hAnsiTheme="majorHAnsi"/>
          <w:color w:val="auto"/>
          <w:sz w:val="16"/>
          <w:szCs w:val="16"/>
        </w:rPr>
        <w:footnoteRef/>
      </w:r>
      <w:r w:rsidRPr="00BA4843">
        <w:rPr>
          <w:rFonts w:asciiTheme="majorHAnsi" w:hAnsiTheme="majorHAnsi"/>
          <w:color w:val="auto"/>
          <w:sz w:val="16"/>
          <w:szCs w:val="16"/>
          <w:lang w:val="es-MX"/>
        </w:rPr>
        <w:t xml:space="preserve"> </w:t>
      </w:r>
      <w:r w:rsidRPr="00BA4843">
        <w:rPr>
          <w:rFonts w:asciiTheme="majorHAnsi" w:hAnsiTheme="majorHAnsi"/>
          <w:color w:val="auto"/>
          <w:sz w:val="16"/>
          <w:szCs w:val="16"/>
          <w:lang w:val="es-ES_tradnl"/>
        </w:rPr>
        <w:t>El artículo 25.1 de la Convención Americana establece: 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131">
    <w:p w:rsidR="00512B04" w:rsidRPr="00BA4843" w:rsidRDefault="00512B04" w:rsidP="00BA4843">
      <w:pPr>
        <w:pStyle w:val="FootnoteText"/>
        <w:jc w:val="both"/>
        <w:rPr>
          <w:rFonts w:asciiTheme="majorHAnsi" w:hAnsiTheme="majorHAnsi"/>
          <w:sz w:val="16"/>
          <w:szCs w:val="16"/>
          <w:lang w:val="es-ES_tradnl"/>
        </w:rPr>
      </w:pPr>
      <w:r w:rsidRPr="00BA4843">
        <w:rPr>
          <w:rStyle w:val="FootnoteReference"/>
          <w:rFonts w:asciiTheme="majorHAnsi" w:hAnsiTheme="majorHAnsi"/>
          <w:sz w:val="16"/>
          <w:szCs w:val="16"/>
        </w:rPr>
        <w:footnoteRef/>
      </w:r>
      <w:r w:rsidRPr="00BA4843">
        <w:rPr>
          <w:rFonts w:asciiTheme="majorHAnsi" w:hAnsiTheme="majorHAnsi"/>
          <w:sz w:val="16"/>
          <w:szCs w:val="16"/>
          <w:lang w:val="es-ES_tradnl"/>
        </w:rPr>
        <w:t xml:space="preserve"> Corte I.D.H., Caso </w:t>
      </w:r>
      <w:r w:rsidRPr="00BA4843">
        <w:rPr>
          <w:rFonts w:asciiTheme="majorHAnsi" w:hAnsiTheme="majorHAnsi"/>
          <w:sz w:val="16"/>
          <w:szCs w:val="16"/>
          <w:lang w:val="es-CR"/>
        </w:rPr>
        <w:t xml:space="preserve">Radilla Pacheco Vs. México. </w:t>
      </w:r>
      <w:r w:rsidRPr="00BA4843">
        <w:rPr>
          <w:rFonts w:asciiTheme="majorHAnsi" w:hAnsiTheme="majorHAnsi"/>
          <w:sz w:val="16"/>
          <w:szCs w:val="16"/>
          <w:lang w:val="es-ES_tradnl"/>
        </w:rPr>
        <w:t>Excepciones Preliminares, Fondo, Reparaciones y Costas. Sentencia de 23 de noviembre de 2009. Serie C No. 209,</w:t>
      </w:r>
      <w:r w:rsidRPr="00BA4843">
        <w:rPr>
          <w:rFonts w:asciiTheme="majorHAnsi" w:hAnsiTheme="majorHAnsi"/>
          <w:sz w:val="16"/>
          <w:szCs w:val="16"/>
          <w:lang w:val="es-CR"/>
        </w:rPr>
        <w:t xml:space="preserve"> párr. 139; </w:t>
      </w:r>
      <w:r w:rsidRPr="00BA4843">
        <w:rPr>
          <w:rFonts w:asciiTheme="majorHAnsi" w:hAnsiTheme="majorHAnsi"/>
          <w:sz w:val="16"/>
          <w:szCs w:val="16"/>
          <w:lang w:val="es-ES_tradnl"/>
        </w:rPr>
        <w:t>Caso Goiburú y otros Vs. Paraguay. Fondo, Reparaciones y Costas. Sentencia de 22 de septiembre de 2006. Serie C No. 153, párr. 84; y Caso Tiu Tojín Vs. Guatemala. Fondo, Reparaciones y Costas. Sentencia de 26 de noviembre de 2008. Serie C No. 190, párr. 91.</w:t>
      </w:r>
    </w:p>
  </w:footnote>
  <w:footnote w:id="132">
    <w:p w:rsidR="00512B04" w:rsidRPr="00BA4843" w:rsidRDefault="00512B04" w:rsidP="00BA4843">
      <w:pPr>
        <w:pStyle w:val="FootnoteText"/>
        <w:jc w:val="both"/>
        <w:rPr>
          <w:rFonts w:asciiTheme="majorHAnsi" w:hAnsiTheme="majorHAnsi"/>
          <w:sz w:val="16"/>
          <w:szCs w:val="16"/>
          <w:lang w:val="es-ES_tradnl"/>
        </w:rPr>
      </w:pPr>
      <w:r w:rsidRPr="00BA4843">
        <w:rPr>
          <w:rStyle w:val="FootnoteReference"/>
          <w:rFonts w:asciiTheme="majorHAnsi" w:hAnsiTheme="majorHAnsi"/>
          <w:sz w:val="16"/>
          <w:szCs w:val="16"/>
        </w:rPr>
        <w:footnoteRef/>
      </w:r>
      <w:r w:rsidRPr="008402AC">
        <w:rPr>
          <w:rFonts w:asciiTheme="majorHAnsi" w:hAnsiTheme="majorHAnsi"/>
          <w:sz w:val="16"/>
          <w:szCs w:val="16"/>
          <w:lang w:val="es-ES"/>
        </w:rPr>
        <w:t xml:space="preserve"> Corte I.D.H., Caso Gómez Palomino Vs. </w:t>
      </w:r>
      <w:r w:rsidRPr="00BA4843">
        <w:rPr>
          <w:rFonts w:asciiTheme="majorHAnsi" w:hAnsiTheme="majorHAnsi"/>
          <w:sz w:val="16"/>
          <w:szCs w:val="16"/>
          <w:lang w:val="es-ES_tradnl"/>
        </w:rPr>
        <w:t xml:space="preserve">Perú. </w:t>
      </w:r>
      <w:hyperlink r:id="rId11" w:history="1">
        <w:r w:rsidRPr="00BA4843">
          <w:rPr>
            <w:rStyle w:val="Hyperlink"/>
            <w:rFonts w:asciiTheme="majorHAnsi" w:hAnsiTheme="majorHAnsi" w:cs="Arial"/>
            <w:color w:val="auto"/>
            <w:sz w:val="16"/>
            <w:szCs w:val="16"/>
            <w:shd w:val="clear" w:color="auto" w:fill="FFFFFF"/>
            <w:lang w:val="es-MX"/>
          </w:rPr>
          <w:t>Fondo, Reparaciones y Costas. Sentencia de 22 de noviembre de 2005. Serie C No. 136</w:t>
        </w:r>
      </w:hyperlink>
      <w:r w:rsidRPr="00BA4843">
        <w:rPr>
          <w:rFonts w:asciiTheme="majorHAnsi" w:hAnsiTheme="majorHAnsi"/>
          <w:sz w:val="16"/>
          <w:szCs w:val="16"/>
          <w:lang w:val="es-ES_tradnl"/>
        </w:rPr>
        <w:t xml:space="preserve">, párr. 97; Caso Ticona Estrada Vs. </w:t>
      </w:r>
      <w:r w:rsidRPr="00BA4843">
        <w:rPr>
          <w:rFonts w:asciiTheme="majorHAnsi" w:hAnsiTheme="majorHAnsi"/>
          <w:sz w:val="16"/>
          <w:szCs w:val="16"/>
          <w:lang w:val="es-CL"/>
        </w:rPr>
        <w:t xml:space="preserve">Bolivia. Fondo, Reparaciones y Costas. Sentencia de 27 de noviembre de 2008. Serie C No. 191, párr. </w:t>
      </w:r>
      <w:r w:rsidRPr="00BA4843">
        <w:rPr>
          <w:rFonts w:asciiTheme="majorHAnsi" w:hAnsiTheme="majorHAnsi"/>
          <w:sz w:val="16"/>
          <w:szCs w:val="16"/>
          <w:lang w:val="es-ES_tradnl"/>
        </w:rPr>
        <w:t>55; y Caso Anzualdo Castro Vs. Perú. Excepción Preliminar, Fondo, Reparaciones y Costas. Sentencia de 22 de septiembre de 2009. Serie C No. 202, párr. 60.</w:t>
      </w:r>
    </w:p>
  </w:footnote>
  <w:footnote w:id="133">
    <w:p w:rsidR="00512B04" w:rsidRPr="00BA4843" w:rsidRDefault="00512B04" w:rsidP="00BA4843">
      <w:pPr>
        <w:pStyle w:val="FootnoteText"/>
        <w:jc w:val="both"/>
        <w:rPr>
          <w:rFonts w:asciiTheme="majorHAnsi" w:hAnsiTheme="majorHAnsi"/>
          <w:sz w:val="16"/>
          <w:szCs w:val="16"/>
          <w:lang w:val="es-ES_tradnl"/>
        </w:rPr>
      </w:pPr>
      <w:r w:rsidRPr="00BA4843">
        <w:rPr>
          <w:rStyle w:val="FootnoteReference"/>
          <w:rFonts w:asciiTheme="majorHAnsi" w:hAnsiTheme="majorHAnsi"/>
          <w:sz w:val="16"/>
          <w:szCs w:val="16"/>
          <w:lang w:val="es-ES_tradnl"/>
        </w:rPr>
        <w:footnoteRef/>
      </w:r>
      <w:r w:rsidRPr="00BA4843">
        <w:rPr>
          <w:rFonts w:asciiTheme="majorHAnsi" w:hAnsiTheme="majorHAnsi"/>
          <w:sz w:val="16"/>
          <w:szCs w:val="16"/>
          <w:lang w:val="es-ES_tradnl"/>
        </w:rPr>
        <w:t xml:space="preserve"> </w:t>
      </w:r>
      <w:hyperlink r:id="rId12" w:history="1">
        <w:r w:rsidRPr="00BA4843">
          <w:rPr>
            <w:rFonts w:asciiTheme="majorHAnsi" w:hAnsiTheme="majorHAnsi"/>
            <w:sz w:val="16"/>
            <w:szCs w:val="16"/>
            <w:lang w:val="es-ES_tradnl"/>
          </w:rPr>
          <w:t xml:space="preserve">Corte IDH. </w:t>
        </w:r>
        <w:r w:rsidRPr="00BA4843">
          <w:rPr>
            <w:rFonts w:asciiTheme="majorHAnsi" w:hAnsiTheme="majorHAnsi"/>
            <w:i/>
            <w:sz w:val="16"/>
            <w:szCs w:val="16"/>
            <w:lang w:val="es-ES_tradnl"/>
          </w:rPr>
          <w:t xml:space="preserve">Caso González Medina y familiares Vs. República Dominicana. </w:t>
        </w:r>
        <w:r w:rsidRPr="00BA4843">
          <w:rPr>
            <w:rFonts w:asciiTheme="majorHAnsi" w:hAnsiTheme="majorHAnsi"/>
            <w:sz w:val="16"/>
            <w:szCs w:val="16"/>
            <w:lang w:val="es-ES_tradnl"/>
          </w:rPr>
          <w:t>Excepciones Preliminares, Fondo, Reparaciones y Costas. Sentencia de 27 de febrero de 2012 Serie C No. 240</w:t>
        </w:r>
      </w:hyperlink>
      <w:r w:rsidRPr="00BA4843">
        <w:rPr>
          <w:rFonts w:asciiTheme="majorHAnsi" w:hAnsiTheme="majorHAnsi"/>
          <w:sz w:val="16"/>
          <w:szCs w:val="16"/>
          <w:lang w:val="es-ES_tradnl"/>
        </w:rPr>
        <w:t xml:space="preserve">, párr.132; </w:t>
      </w:r>
      <w:r w:rsidRPr="00BA4843">
        <w:rPr>
          <w:rFonts w:asciiTheme="majorHAnsi" w:hAnsiTheme="majorHAnsi" w:cs="Arial"/>
          <w:color w:val="auto"/>
          <w:sz w:val="16"/>
          <w:szCs w:val="16"/>
          <w:lang w:val="es-ES_tradnl"/>
        </w:rPr>
        <w:t>Corte I.D.H. Caso Kawas Fernández vs. Honduras, Sentencia del 3 de abril de 2009, Serie C N° 196, párrafo 97.</w:t>
      </w:r>
    </w:p>
  </w:footnote>
  <w:footnote w:id="134">
    <w:p w:rsidR="00512B04" w:rsidRPr="00BA4843" w:rsidRDefault="00512B04" w:rsidP="00BA484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16"/>
          <w:szCs w:val="16"/>
          <w:lang w:val="es-ES_tradnl"/>
        </w:rPr>
      </w:pPr>
      <w:r w:rsidRPr="00BA4843">
        <w:rPr>
          <w:rStyle w:val="FootnoteReference"/>
          <w:rFonts w:asciiTheme="majorHAnsi" w:hAnsiTheme="majorHAnsi"/>
          <w:sz w:val="16"/>
          <w:szCs w:val="16"/>
        </w:rPr>
        <w:footnoteRef/>
      </w:r>
      <w:r w:rsidRPr="00BA4843">
        <w:rPr>
          <w:rFonts w:asciiTheme="majorHAnsi" w:hAnsiTheme="majorHAnsi"/>
          <w:sz w:val="16"/>
          <w:szCs w:val="16"/>
          <w:lang w:val="es-MX"/>
        </w:rPr>
        <w:t xml:space="preserve"> La Comisión recuerda que en relación con las violaciones al derecho a la integridad personal en virtud de torturas,  la obligación de investigar se ve reforzada por lo dispuesto en los artículos 1, 6 y 8 de la Convención Interamericana para Prevenir y Sancionar la Tortura, de acuerdo a los cuales el Estado se encuentra obligado a “tomar […] medidas efectivas para prevenir y sancionar la tortura en el ámbito de su jurisdicción”, así como para “prevenir y sancionar […] otros tratos o penas crueles, inhumanos o degradantes”.  Asimismo, el artículo 8 de dicha Convención señala que </w:t>
      </w:r>
      <w:r w:rsidRPr="00BA4843">
        <w:rPr>
          <w:rFonts w:asciiTheme="majorHAnsi" w:hAnsiTheme="majorHAnsi"/>
          <w:sz w:val="16"/>
          <w:szCs w:val="16"/>
          <w:lang w:val="es-ES_tradnl"/>
        </w:rPr>
        <w:t>cuando exista denuncia o razón fundada para creer que se ha cometido un acto de tortura en el ámbito de su jurisdicción, los Estados partes garantizarán que sus respectivas autoridades procederán de oficio y de inmediato a realizar una investigación sobre el caso y a iniciar, cuando corresponda, el respectivo proceso penal.</w:t>
      </w:r>
    </w:p>
  </w:footnote>
  <w:footnote w:id="135">
    <w:p w:rsidR="00512B04" w:rsidRPr="00BA4843" w:rsidRDefault="00512B04" w:rsidP="00BA4843">
      <w:pPr>
        <w:jc w:val="both"/>
        <w:rPr>
          <w:rFonts w:asciiTheme="majorHAnsi" w:hAnsiTheme="majorHAnsi"/>
          <w:sz w:val="16"/>
          <w:szCs w:val="16"/>
          <w:lang w:val="es-ES_tradnl"/>
        </w:rPr>
      </w:pPr>
      <w:r w:rsidRPr="00BA4843">
        <w:rPr>
          <w:rStyle w:val="FootnoteReference"/>
          <w:rFonts w:asciiTheme="majorHAnsi" w:hAnsiTheme="majorHAnsi" w:cs="Arial"/>
          <w:sz w:val="16"/>
          <w:szCs w:val="16"/>
          <w:lang w:val="es-SV"/>
        </w:rPr>
        <w:footnoteRef/>
      </w:r>
      <w:r w:rsidRPr="00BA4843">
        <w:rPr>
          <w:rFonts w:asciiTheme="majorHAnsi" w:hAnsiTheme="majorHAnsi" w:cs="Arial"/>
          <w:sz w:val="16"/>
          <w:szCs w:val="16"/>
          <w:lang w:val="es-CL"/>
        </w:rPr>
        <w:t xml:space="preserve"> </w:t>
      </w:r>
      <w:r w:rsidRPr="00BA4843">
        <w:rPr>
          <w:rFonts w:asciiTheme="majorHAnsi" w:hAnsiTheme="majorHAnsi" w:cs="Arial"/>
          <w:sz w:val="16"/>
          <w:szCs w:val="16"/>
          <w:lang w:val="es-ES_tradnl"/>
        </w:rPr>
        <w:t xml:space="preserve">Corte I.D.H., </w:t>
      </w:r>
      <w:r w:rsidRPr="00BA4843">
        <w:rPr>
          <w:rFonts w:asciiTheme="majorHAnsi" w:hAnsiTheme="majorHAnsi" w:cs="Arial"/>
          <w:bCs/>
          <w:i/>
          <w:sz w:val="16"/>
          <w:szCs w:val="16"/>
          <w:lang w:val="es-ES_tradnl"/>
        </w:rPr>
        <w:t>Caso Cantoral Huamaní y García Santa Cruz Vs. Perú.</w:t>
      </w:r>
      <w:r w:rsidRPr="00BA4843">
        <w:rPr>
          <w:rFonts w:asciiTheme="majorHAnsi" w:hAnsiTheme="majorHAnsi" w:cs="Arial"/>
          <w:b/>
          <w:bCs/>
          <w:sz w:val="16"/>
          <w:szCs w:val="16"/>
          <w:lang w:val="es-ES_tradnl"/>
        </w:rPr>
        <w:t xml:space="preserve"> </w:t>
      </w:r>
      <w:r w:rsidRPr="00BA4843">
        <w:rPr>
          <w:rFonts w:asciiTheme="majorHAnsi" w:hAnsiTheme="majorHAnsi" w:cs="Arial"/>
          <w:sz w:val="16"/>
          <w:szCs w:val="16"/>
          <w:lang w:val="es-ES_tradnl"/>
        </w:rPr>
        <w:t xml:space="preserve">Excepción Preliminar, Fondo, Reparaciones y Costas. Sentencia de 10 de julio de 2007. Serie C No. 167. </w:t>
      </w:r>
      <w:r w:rsidRPr="00BA4843">
        <w:rPr>
          <w:rFonts w:asciiTheme="majorHAnsi" w:hAnsiTheme="majorHAnsi" w:cs="Arial"/>
          <w:sz w:val="16"/>
          <w:szCs w:val="16"/>
          <w:lang w:val="es-CL"/>
        </w:rPr>
        <w:t xml:space="preserve">párr. 112; </w:t>
      </w:r>
      <w:r w:rsidRPr="00BA4843">
        <w:rPr>
          <w:rFonts w:asciiTheme="majorHAnsi" w:hAnsiTheme="majorHAnsi" w:cs="Arial"/>
          <w:sz w:val="16"/>
          <w:szCs w:val="16"/>
          <w:lang w:val="es-ES_tradnl"/>
        </w:rPr>
        <w:t xml:space="preserve">y </w:t>
      </w:r>
      <w:r w:rsidRPr="00BA4843">
        <w:rPr>
          <w:rFonts w:asciiTheme="majorHAnsi" w:hAnsiTheme="majorHAnsi" w:cs="Arial"/>
          <w:i/>
          <w:sz w:val="16"/>
          <w:szCs w:val="16"/>
          <w:lang w:val="es-ES_tradnl"/>
        </w:rPr>
        <w:t>Caso Bueno Alves Vs. Argentina</w:t>
      </w:r>
      <w:r w:rsidRPr="00BA4843">
        <w:rPr>
          <w:rFonts w:asciiTheme="majorHAnsi" w:hAnsiTheme="majorHAnsi" w:cs="Arial"/>
          <w:sz w:val="16"/>
          <w:szCs w:val="16"/>
          <w:lang w:val="es-ES_tradnl"/>
        </w:rPr>
        <w:t xml:space="preserve">. Fondo, Reparaciones y Costas. </w:t>
      </w:r>
      <w:r w:rsidRPr="00BA4843">
        <w:rPr>
          <w:rFonts w:asciiTheme="majorHAnsi" w:hAnsiTheme="majorHAnsi" w:cs="Arial"/>
          <w:sz w:val="16"/>
          <w:szCs w:val="16"/>
          <w:lang w:val="es-ES"/>
        </w:rPr>
        <w:t xml:space="preserve">Sentencia de 11 de mayo de 2007. Serie C. No. 164. </w:t>
      </w:r>
      <w:r w:rsidRPr="00BA4843">
        <w:rPr>
          <w:rFonts w:asciiTheme="majorHAnsi" w:hAnsiTheme="majorHAnsi" w:cs="Arial"/>
          <w:sz w:val="16"/>
          <w:szCs w:val="16"/>
          <w:lang w:val="es-ES_tradnl"/>
        </w:rPr>
        <w:t>párr. 102.</w:t>
      </w:r>
      <w:r w:rsidRPr="00BA4843">
        <w:rPr>
          <w:rFonts w:asciiTheme="majorHAnsi" w:hAnsiTheme="majorHAnsi" w:cs="Arial"/>
          <w:sz w:val="16"/>
          <w:szCs w:val="16"/>
          <w:lang w:val="es-CL"/>
        </w:rPr>
        <w:t xml:space="preserve"> </w:t>
      </w:r>
    </w:p>
  </w:footnote>
  <w:footnote w:id="136">
    <w:p w:rsidR="00512B04" w:rsidRPr="00BA4843" w:rsidRDefault="00512B04" w:rsidP="00BA4843">
      <w:pPr>
        <w:jc w:val="both"/>
        <w:rPr>
          <w:rFonts w:asciiTheme="majorHAnsi" w:hAnsiTheme="majorHAnsi"/>
          <w:sz w:val="16"/>
          <w:szCs w:val="16"/>
          <w:lang w:val="es-ES_tradnl"/>
        </w:rPr>
      </w:pPr>
      <w:r w:rsidRPr="00BA4843">
        <w:rPr>
          <w:rStyle w:val="FootnoteReference"/>
          <w:rFonts w:asciiTheme="majorHAnsi" w:hAnsiTheme="majorHAnsi" w:cs="Arial"/>
          <w:sz w:val="16"/>
          <w:szCs w:val="16"/>
          <w:lang w:val="es-SV"/>
        </w:rPr>
        <w:footnoteRef/>
      </w:r>
      <w:r w:rsidRPr="00BA4843">
        <w:rPr>
          <w:rFonts w:asciiTheme="majorHAnsi" w:hAnsiTheme="majorHAnsi" w:cs="Arial"/>
          <w:sz w:val="16"/>
          <w:szCs w:val="16"/>
          <w:lang w:val="es-ES"/>
        </w:rPr>
        <w:t xml:space="preserve"> </w:t>
      </w:r>
      <w:r w:rsidRPr="00BA4843">
        <w:rPr>
          <w:rFonts w:asciiTheme="majorHAnsi" w:hAnsiTheme="majorHAnsi" w:cs="Arial"/>
          <w:sz w:val="16"/>
          <w:szCs w:val="16"/>
          <w:lang w:val="es-ES_tradnl"/>
        </w:rPr>
        <w:t xml:space="preserve">Corte I.D.H., </w:t>
      </w:r>
      <w:r w:rsidRPr="00BA4843">
        <w:rPr>
          <w:rFonts w:asciiTheme="majorHAnsi" w:hAnsiTheme="majorHAnsi" w:cs="Arial"/>
          <w:bCs/>
          <w:i/>
          <w:sz w:val="16"/>
          <w:szCs w:val="16"/>
          <w:lang w:val="es-ES_tradnl"/>
        </w:rPr>
        <w:t>Caso Cantoral Huamaní y García Santa Cruz Vs. Perú.</w:t>
      </w:r>
      <w:r w:rsidRPr="00BA4843">
        <w:rPr>
          <w:rFonts w:asciiTheme="majorHAnsi" w:hAnsiTheme="majorHAnsi" w:cs="Arial"/>
          <w:b/>
          <w:bCs/>
          <w:sz w:val="16"/>
          <w:szCs w:val="16"/>
          <w:lang w:val="es-ES_tradnl"/>
        </w:rPr>
        <w:t xml:space="preserve"> </w:t>
      </w:r>
      <w:r w:rsidRPr="00BA4843">
        <w:rPr>
          <w:rFonts w:asciiTheme="majorHAnsi" w:hAnsiTheme="majorHAnsi" w:cs="Arial"/>
          <w:sz w:val="16"/>
          <w:szCs w:val="16"/>
          <w:lang w:val="es-ES_tradnl"/>
        </w:rPr>
        <w:t xml:space="preserve">Excepción Preliminar, Fondo, Reparaciones y Costas. Sentencia de 10 de julio de 2007. Serie C No. 167. </w:t>
      </w:r>
      <w:r w:rsidRPr="00BA4843">
        <w:rPr>
          <w:rFonts w:asciiTheme="majorHAnsi" w:hAnsiTheme="majorHAnsi" w:cs="Arial"/>
          <w:sz w:val="16"/>
          <w:szCs w:val="16"/>
          <w:lang w:val="es-CL"/>
        </w:rPr>
        <w:t>párr.</w:t>
      </w:r>
      <w:r w:rsidRPr="00BA4843">
        <w:rPr>
          <w:rFonts w:asciiTheme="majorHAnsi" w:hAnsiTheme="majorHAnsi" w:cs="Arial"/>
          <w:sz w:val="16"/>
          <w:szCs w:val="16"/>
          <w:lang w:val="es-ES"/>
        </w:rPr>
        <w:t xml:space="preserve"> 112; </w:t>
      </w:r>
      <w:r w:rsidRPr="00BA4843">
        <w:rPr>
          <w:rFonts w:asciiTheme="majorHAnsi" w:hAnsiTheme="majorHAnsi" w:cs="Arial"/>
          <w:sz w:val="16"/>
          <w:szCs w:val="16"/>
          <w:lang w:val="es-ES_tradnl"/>
        </w:rPr>
        <w:t xml:space="preserve">y </w:t>
      </w:r>
      <w:r w:rsidRPr="00BA4843">
        <w:rPr>
          <w:rFonts w:asciiTheme="majorHAnsi" w:hAnsiTheme="majorHAnsi" w:cs="Arial"/>
          <w:i/>
          <w:sz w:val="16"/>
          <w:szCs w:val="16"/>
          <w:lang w:val="es-ES_tradnl"/>
        </w:rPr>
        <w:t>Caso Vargas Areco Vs. Paraguay</w:t>
      </w:r>
      <w:r w:rsidRPr="00BA4843">
        <w:rPr>
          <w:rFonts w:asciiTheme="majorHAnsi" w:hAnsiTheme="majorHAnsi" w:cs="Arial"/>
          <w:sz w:val="16"/>
          <w:szCs w:val="16"/>
          <w:lang w:val="es-ES_tradnl"/>
        </w:rPr>
        <w:t xml:space="preserve">. Sentencia de 26 de septiembre de 2006. Serie C No. 155. párr. </w:t>
      </w:r>
      <w:r w:rsidRPr="00BA4843">
        <w:rPr>
          <w:rFonts w:asciiTheme="majorHAnsi" w:hAnsiTheme="majorHAnsi" w:cs="Arial"/>
          <w:sz w:val="16"/>
          <w:szCs w:val="16"/>
          <w:lang w:val="es-ES"/>
        </w:rPr>
        <w:t>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B04" w:rsidRDefault="00512B04" w:rsidP="007449E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512B04" w:rsidRDefault="00512B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B04" w:rsidRDefault="00512B04" w:rsidP="00A50FCF">
    <w:pPr>
      <w:pStyle w:val="Header"/>
      <w:tabs>
        <w:tab w:val="clear" w:pos="4320"/>
        <w:tab w:val="clear" w:pos="8640"/>
      </w:tabs>
      <w:jc w:val="center"/>
      <w:rPr>
        <w:sz w:val="22"/>
        <w:szCs w:val="22"/>
      </w:rPr>
    </w:pPr>
    <w:r>
      <w:rPr>
        <w:noProof/>
        <w:sz w:val="22"/>
        <w:szCs w:val="22"/>
      </w:rPr>
      <w:drawing>
        <wp:inline distT="0" distB="0" distL="0" distR="0" wp14:anchorId="7F24803C" wp14:editId="36587A8E">
          <wp:extent cx="1971675" cy="104775"/>
          <wp:effectExtent l="0" t="0" r="9525" b="9525"/>
          <wp:docPr id="5" name="Picture 3" descr="Description: 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104775"/>
                  </a:xfrm>
                  <a:prstGeom prst="rect">
                    <a:avLst/>
                  </a:prstGeom>
                  <a:noFill/>
                  <a:ln>
                    <a:noFill/>
                  </a:ln>
                </pic:spPr>
              </pic:pic>
            </a:graphicData>
          </a:graphic>
        </wp:inline>
      </w:drawing>
    </w:r>
  </w:p>
  <w:p w:rsidR="00512B04" w:rsidRPr="00EC7D62" w:rsidRDefault="00D24211" w:rsidP="00A50FCF">
    <w:pPr>
      <w:pStyle w:val="Header"/>
      <w:tabs>
        <w:tab w:val="clear" w:pos="4320"/>
        <w:tab w:val="clear" w:pos="8640"/>
      </w:tabs>
      <w:jc w:val="center"/>
      <w:rPr>
        <w:sz w:val="22"/>
        <w:szCs w:val="22"/>
      </w:rPr>
    </w:pPr>
    <w:r>
      <w:rPr>
        <w:sz w:val="22"/>
        <w:szCs w:val="22"/>
      </w:rPr>
      <w:pict w14:anchorId="32C8DA0D">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472A0"/>
    <w:multiLevelType w:val="hybridMultilevel"/>
    <w:tmpl w:val="E438BA52"/>
    <w:lvl w:ilvl="0" w:tplc="AE848DD6">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62D23FE"/>
    <w:multiLevelType w:val="hybridMultilevel"/>
    <w:tmpl w:val="1C3CA652"/>
    <w:lvl w:ilvl="0" w:tplc="0B7877B6">
      <w:start w:val="9"/>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2E25A6"/>
    <w:multiLevelType w:val="hybridMultilevel"/>
    <w:tmpl w:val="6C6AB74C"/>
    <w:lvl w:ilvl="0" w:tplc="763A1FF8">
      <w:start w:val="1"/>
      <w:numFmt w:val="decimal"/>
      <w:lvlText w:val="%1."/>
      <w:lvlJc w:val="left"/>
      <w:pPr>
        <w:ind w:left="4188" w:hanging="360"/>
      </w:pPr>
      <w:rPr>
        <w:b w:val="0"/>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20D3DAE"/>
    <w:multiLevelType w:val="hybridMultilevel"/>
    <w:tmpl w:val="6E645A3A"/>
    <w:lvl w:ilvl="0" w:tplc="6EF8CC68">
      <w:start w:val="1"/>
      <w:numFmt w:val="decimal"/>
      <w:lvlText w:val="%1."/>
      <w:lvlJc w:val="left"/>
      <w:pPr>
        <w:tabs>
          <w:tab w:val="num" w:pos="1260"/>
        </w:tabs>
        <w:ind w:left="1260" w:hanging="360"/>
      </w:pPr>
      <w:rPr>
        <w:rFonts w:ascii="Calibri" w:hAnsi="Calibri" w:cs="Times New Roman" w:hint="default"/>
        <w:b w:val="0"/>
        <w:i w:val="0"/>
        <w:color w:val="auto"/>
        <w:sz w:val="22"/>
        <w:szCs w:val="22"/>
      </w:rPr>
    </w:lvl>
    <w:lvl w:ilvl="1" w:tplc="DF52F1B0">
      <w:start w:val="1"/>
      <w:numFmt w:val="bullet"/>
      <w:lvlText w:val="-"/>
      <w:lvlJc w:val="left"/>
      <w:pPr>
        <w:tabs>
          <w:tab w:val="num" w:pos="1440"/>
        </w:tabs>
        <w:ind w:left="1440" w:hanging="360"/>
      </w:pPr>
      <w:rPr>
        <w:rFonts w:ascii="Cambria" w:eastAsia="MS ??" w:hAnsi="Cambria"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9050020"/>
    <w:multiLevelType w:val="hybridMultilevel"/>
    <w:tmpl w:val="DFEA8EB0"/>
    <w:lvl w:ilvl="0" w:tplc="795E9E3A">
      <w:start w:val="1"/>
      <w:numFmt w:val="decimal"/>
      <w:lvlText w:val="%1."/>
      <w:lvlJc w:val="left"/>
      <w:pPr>
        <w:tabs>
          <w:tab w:val="num" w:pos="1429"/>
        </w:tabs>
        <w:ind w:firstLine="720"/>
      </w:pPr>
      <w:rPr>
        <w:rFonts w:ascii="Cambria" w:hAnsi="Cambria" w:cs="Times New Roman" w:hint="default"/>
        <w:b w:val="0"/>
        <w:i w:val="0"/>
        <w:sz w:val="20"/>
        <w:szCs w:val="20"/>
      </w:rPr>
    </w:lvl>
    <w:lvl w:ilvl="1" w:tplc="04090019">
      <w:start w:val="1"/>
      <w:numFmt w:val="lowerLetter"/>
      <w:lvlText w:val="%2."/>
      <w:lvlJc w:val="left"/>
      <w:pPr>
        <w:tabs>
          <w:tab w:val="num" w:pos="1440"/>
        </w:tabs>
        <w:ind w:left="1440" w:hanging="360"/>
      </w:pPr>
      <w:rPr>
        <w:rFonts w:cs="Times New Roman"/>
      </w:rPr>
    </w:lvl>
    <w:lvl w:ilvl="2" w:tplc="C66EDE0C">
      <w:start w:val="3"/>
      <w:numFmt w:val="upperRoman"/>
      <w:lvlText w:val="%3."/>
      <w:lvlJc w:val="left"/>
      <w:pPr>
        <w:tabs>
          <w:tab w:val="num" w:pos="2700"/>
        </w:tabs>
        <w:ind w:left="2700" w:hanging="720"/>
      </w:pPr>
      <w:rPr>
        <w:rFonts w:cs="Times New Roman" w:hint="default"/>
      </w:rPr>
    </w:lvl>
    <w:lvl w:ilvl="3" w:tplc="FEC09176">
      <w:start w:val="1"/>
      <w:numFmt w:val="decimal"/>
      <w:lvlText w:val="%4."/>
      <w:lvlJc w:val="left"/>
      <w:pPr>
        <w:tabs>
          <w:tab w:val="num" w:pos="2880"/>
        </w:tabs>
        <w:ind w:left="2880" w:hanging="360"/>
      </w:pPr>
      <w:rPr>
        <w:rFonts w:hint="default"/>
        <w:b/>
        <w:i w:val="0"/>
        <w:sz w:val="22"/>
        <w:szCs w:val="22"/>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A2D7385"/>
    <w:multiLevelType w:val="hybridMultilevel"/>
    <w:tmpl w:val="0F626F3A"/>
    <w:lvl w:ilvl="0" w:tplc="95568866">
      <w:start w:val="1"/>
      <w:numFmt w:val="decimal"/>
      <w:lvlText w:val="%1."/>
      <w:lvlJc w:val="left"/>
      <w:pPr>
        <w:ind w:left="4188" w:hanging="360"/>
      </w:pPr>
      <w:rPr>
        <w:b w:val="0"/>
        <w:color w:val="auto"/>
        <w:sz w:val="20"/>
        <w:szCs w:val="20"/>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3" w15:restartNumberingAfterBreak="0">
    <w:nsid w:val="1D975562"/>
    <w:multiLevelType w:val="hybridMultilevel"/>
    <w:tmpl w:val="A0D20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25F011D1"/>
    <w:multiLevelType w:val="hybridMultilevel"/>
    <w:tmpl w:val="F092BF46"/>
    <w:lvl w:ilvl="0" w:tplc="62525598">
      <w:start w:val="3"/>
      <w:numFmt w:val="decimal"/>
      <w:lvlText w:val="%1."/>
      <w:lvlJc w:val="left"/>
      <w:pPr>
        <w:ind w:left="720" w:hanging="360"/>
      </w:pPr>
      <w:rPr>
        <w:rFonts w:hint="default"/>
        <w:lang w:val="es-MX"/>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81C7E07"/>
    <w:multiLevelType w:val="hybridMultilevel"/>
    <w:tmpl w:val="0C882906"/>
    <w:lvl w:ilvl="0" w:tplc="3922365A">
      <w:start w:val="1"/>
      <w:numFmt w:val="bullet"/>
      <w:lvlText w:val="-"/>
      <w:lvlJc w:val="left"/>
      <w:pPr>
        <w:ind w:left="720" w:hanging="360"/>
      </w:pPr>
      <w:rPr>
        <w:rFonts w:ascii="Cambria" w:eastAsia="Arial Unicode MS" w:hAnsi="Cambria" w:cs="Times New Roman" w:hint="default"/>
        <w:lang w:val="es-C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2C64334F"/>
    <w:multiLevelType w:val="hybridMultilevel"/>
    <w:tmpl w:val="28140B02"/>
    <w:lvl w:ilvl="0" w:tplc="E586EDAA">
      <w:start w:val="2"/>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2F517559"/>
    <w:multiLevelType w:val="hybridMultilevel"/>
    <w:tmpl w:val="A0D20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8D20B4"/>
    <w:multiLevelType w:val="hybridMultilevel"/>
    <w:tmpl w:val="6C8233C8"/>
    <w:lvl w:ilvl="0" w:tplc="817252A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34B6688D"/>
    <w:multiLevelType w:val="hybridMultilevel"/>
    <w:tmpl w:val="2110C842"/>
    <w:lvl w:ilvl="0" w:tplc="44BE8130">
      <w:start w:val="1"/>
      <w:numFmt w:val="upperLetter"/>
      <w:lvlText w:val="%1."/>
      <w:lvlJc w:val="left"/>
      <w:pPr>
        <w:tabs>
          <w:tab w:val="num" w:pos="720"/>
        </w:tabs>
        <w:ind w:left="720" w:hanging="360"/>
      </w:pPr>
      <w:rPr>
        <w:rFonts w:cs="Times New Roman" w:hint="default"/>
      </w:rPr>
    </w:lvl>
    <w:lvl w:ilvl="1" w:tplc="4ACAA196">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37795779"/>
    <w:multiLevelType w:val="singleLevel"/>
    <w:tmpl w:val="15BAE0F8"/>
    <w:lvl w:ilvl="0">
      <w:start w:val="1"/>
      <w:numFmt w:val="decimal"/>
      <w:lvlText w:val="%1."/>
      <w:lvlJc w:val="left"/>
      <w:pPr>
        <w:tabs>
          <w:tab w:val="num" w:pos="720"/>
        </w:tabs>
        <w:ind w:left="0" w:firstLine="720"/>
      </w:pPr>
      <w:rPr>
        <w:rFonts w:hint="default"/>
        <w:b w:val="0"/>
        <w:i w:val="0"/>
        <w:sz w:val="20"/>
        <w:szCs w:val="20"/>
        <w:lang w:val="es-ES"/>
      </w:rPr>
    </w:lvl>
  </w:abstractNum>
  <w:abstractNum w:abstractNumId="3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461C5229"/>
    <w:multiLevelType w:val="hybridMultilevel"/>
    <w:tmpl w:val="F66878FA"/>
    <w:lvl w:ilvl="0" w:tplc="D90E899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4F6F1DC0"/>
    <w:multiLevelType w:val="hybridMultilevel"/>
    <w:tmpl w:val="A0D20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513B1E0A"/>
    <w:multiLevelType w:val="hybridMultilevel"/>
    <w:tmpl w:val="C2BE6908"/>
    <w:lvl w:ilvl="0" w:tplc="8710DB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7" w15:restartNumberingAfterBreak="0">
    <w:nsid w:val="5B190C2C"/>
    <w:multiLevelType w:val="hybridMultilevel"/>
    <w:tmpl w:val="7E5E4A72"/>
    <w:lvl w:ilvl="0" w:tplc="6A744390">
      <w:start w:val="1"/>
      <w:numFmt w:val="decimal"/>
      <w:lvlText w:val="%1."/>
      <w:lvlJc w:val="left"/>
      <w:pPr>
        <w:ind w:left="5760" w:hanging="72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5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9" w15:restartNumberingAfterBreak="0">
    <w:nsid w:val="5D484A83"/>
    <w:multiLevelType w:val="hybridMultilevel"/>
    <w:tmpl w:val="CC0434D0"/>
    <w:lvl w:ilvl="0" w:tplc="8C1A4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6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6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6167DDB"/>
    <w:multiLevelType w:val="hybridMultilevel"/>
    <w:tmpl w:val="45505FFA"/>
    <w:lvl w:ilvl="0" w:tplc="DB7CC252">
      <w:start w:val="1"/>
      <w:numFmt w:val="decimal"/>
      <w:lvlText w:val="%1."/>
      <w:lvlJc w:val="left"/>
      <w:pPr>
        <w:tabs>
          <w:tab w:val="num" w:pos="720"/>
        </w:tabs>
        <w:ind w:left="0" w:firstLine="0"/>
      </w:pPr>
      <w:rPr>
        <w:rFonts w:ascii="Verdana" w:hAnsi="Verdana" w:hint="default"/>
        <w:b w:val="0"/>
        <w:i w:val="0"/>
        <w:color w:val="auto"/>
        <w:sz w:val="20"/>
        <w:szCs w:val="20"/>
        <w:lang w:val="es-ES_tradnl"/>
      </w:rPr>
    </w:lvl>
    <w:lvl w:ilvl="1" w:tplc="EE2210D2">
      <w:start w:val="10"/>
      <w:numFmt w:val="upperRoman"/>
      <w:lvlText w:val="%2."/>
      <w:lvlJc w:val="left"/>
      <w:pPr>
        <w:tabs>
          <w:tab w:val="num" w:pos="1800"/>
        </w:tabs>
        <w:ind w:left="1800" w:hanging="720"/>
      </w:pPr>
      <w:rPr>
        <w:rFonts w:hint="default"/>
      </w:rPr>
    </w:lvl>
    <w:lvl w:ilvl="2" w:tplc="458A56C4">
      <w:start w:val="75"/>
      <w:numFmt w:val="decimal"/>
      <w:lvlText w:val="%3."/>
      <w:lvlJc w:val="left"/>
      <w:pPr>
        <w:tabs>
          <w:tab w:val="num" w:pos="2700"/>
        </w:tabs>
        <w:ind w:left="2700" w:hanging="720"/>
      </w:pPr>
      <w:rPr>
        <w:rFonts w:hint="default"/>
        <w:b w:val="0"/>
        <w:i w:val="0"/>
        <w:color w:val="auto"/>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2" w15:restartNumberingAfterBreak="0">
    <w:nsid w:val="7C9D54BA"/>
    <w:multiLevelType w:val="hybridMultilevel"/>
    <w:tmpl w:val="CA6C1A4E"/>
    <w:lvl w:ilvl="0" w:tplc="D4322892">
      <w:start w:val="1"/>
      <w:numFmt w:val="upperLetter"/>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7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4" w15:restartNumberingAfterBreak="0">
    <w:nsid w:val="7ECC36F6"/>
    <w:multiLevelType w:val="hybridMultilevel"/>
    <w:tmpl w:val="8F0A16AA"/>
    <w:lvl w:ilvl="0" w:tplc="FC52580C">
      <w:start w:val="1"/>
      <w:numFmt w:val="decimal"/>
      <w:lvlText w:val="%1."/>
      <w:lvlJc w:val="left"/>
      <w:pPr>
        <w:tabs>
          <w:tab w:val="num" w:pos="2160"/>
        </w:tabs>
        <w:ind w:left="2160" w:hanging="1440"/>
      </w:pPr>
      <w:rPr>
        <w:rFonts w:ascii="Univers" w:hAnsi="Univers" w:hint="default"/>
        <w:b w:val="0"/>
        <w:i w:val="0"/>
        <w:color w:val="auto"/>
        <w:sz w:val="20"/>
        <w:szCs w:val="20"/>
      </w:rPr>
    </w:lvl>
    <w:lvl w:ilvl="1" w:tplc="8818AAE4">
      <w:start w:val="4"/>
      <w:numFmt w:val="upperRoman"/>
      <w:lvlText w:val="%2."/>
      <w:lvlJc w:val="left"/>
      <w:pPr>
        <w:tabs>
          <w:tab w:val="num" w:pos="2160"/>
        </w:tabs>
        <w:ind w:left="2160" w:hanging="720"/>
      </w:pPr>
      <w:rPr>
        <w:rFonts w:hint="default"/>
        <w:b/>
      </w:rPr>
    </w:lvl>
    <w:lvl w:ilvl="2" w:tplc="ECA8A366">
      <w:start w:val="1"/>
      <w:numFmt w:val="upperLetter"/>
      <w:lvlText w:val="%3."/>
      <w:lvlJc w:val="left"/>
      <w:pPr>
        <w:tabs>
          <w:tab w:val="num" w:pos="3060"/>
        </w:tabs>
        <w:ind w:left="3060" w:hanging="720"/>
      </w:pPr>
      <w:rPr>
        <w:rFonts w:hint="default"/>
        <w:b/>
      </w:rPr>
    </w:lvl>
    <w:lvl w:ilvl="3" w:tplc="CFE897F8">
      <w:start w:val="1"/>
      <w:numFmt w:val="lowerLetter"/>
      <w:lvlText w:val="%4."/>
      <w:lvlJc w:val="left"/>
      <w:pPr>
        <w:tabs>
          <w:tab w:val="num" w:pos="3240"/>
        </w:tabs>
        <w:ind w:left="3240" w:hanging="360"/>
      </w:pPr>
      <w:rPr>
        <w:rFonts w:hint="default"/>
      </w:rPr>
    </w:lvl>
    <w:lvl w:ilvl="4" w:tplc="1D229B08">
      <w:start w:val="9"/>
      <w:numFmt w:val="bullet"/>
      <w:lvlText w:val="-"/>
      <w:lvlJc w:val="left"/>
      <w:pPr>
        <w:tabs>
          <w:tab w:val="num" w:pos="3960"/>
        </w:tabs>
        <w:ind w:left="3960" w:hanging="360"/>
      </w:pPr>
      <w:rPr>
        <w:rFonts w:ascii="Univers" w:eastAsia="Times New Roman" w:hAnsi="Univer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8"/>
  </w:num>
  <w:num w:numId="3">
    <w:abstractNumId w:val="68"/>
  </w:num>
  <w:num w:numId="4">
    <w:abstractNumId w:val="31"/>
  </w:num>
  <w:num w:numId="5">
    <w:abstractNumId w:val="61"/>
  </w:num>
  <w:num w:numId="6">
    <w:abstractNumId w:val="38"/>
  </w:num>
  <w:num w:numId="7">
    <w:abstractNumId w:val="11"/>
  </w:num>
  <w:num w:numId="8">
    <w:abstractNumId w:val="24"/>
  </w:num>
  <w:num w:numId="9">
    <w:abstractNumId w:val="55"/>
  </w:num>
  <w:num w:numId="10">
    <w:abstractNumId w:val="1"/>
  </w:num>
  <w:num w:numId="11">
    <w:abstractNumId w:val="48"/>
  </w:num>
  <w:num w:numId="12">
    <w:abstractNumId w:val="49"/>
  </w:num>
  <w:num w:numId="13">
    <w:abstractNumId w:val="56"/>
  </w:num>
  <w:num w:numId="14">
    <w:abstractNumId w:val="2"/>
  </w:num>
  <w:num w:numId="15">
    <w:abstractNumId w:val="4"/>
  </w:num>
  <w:num w:numId="16">
    <w:abstractNumId w:val="12"/>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1"/>
  </w:num>
  <w:num w:numId="24">
    <w:abstractNumId w:val="22"/>
  </w:num>
  <w:num w:numId="25">
    <w:abstractNumId w:val="26"/>
  </w:num>
  <w:num w:numId="26">
    <w:abstractNumId w:val="27"/>
  </w:num>
  <w:num w:numId="27">
    <w:abstractNumId w:val="32"/>
  </w:num>
  <w:num w:numId="28">
    <w:abstractNumId w:val="33"/>
  </w:num>
  <w:num w:numId="29">
    <w:abstractNumId w:val="34"/>
  </w:num>
  <w:num w:numId="30">
    <w:abstractNumId w:val="37"/>
  </w:num>
  <w:num w:numId="31">
    <w:abstractNumId w:val="39"/>
  </w:num>
  <w:num w:numId="32">
    <w:abstractNumId w:val="40"/>
  </w:num>
  <w:num w:numId="33">
    <w:abstractNumId w:val="41"/>
  </w:num>
  <w:num w:numId="34">
    <w:abstractNumId w:val="42"/>
  </w:num>
  <w:num w:numId="35">
    <w:abstractNumId w:val="43"/>
  </w:num>
  <w:num w:numId="36">
    <w:abstractNumId w:val="45"/>
  </w:num>
  <w:num w:numId="37">
    <w:abstractNumId w:val="46"/>
  </w:num>
  <w:num w:numId="38">
    <w:abstractNumId w:val="47"/>
  </w:num>
  <w:num w:numId="39">
    <w:abstractNumId w:val="51"/>
  </w:num>
  <w:num w:numId="40">
    <w:abstractNumId w:val="52"/>
  </w:num>
  <w:num w:numId="41">
    <w:abstractNumId w:val="60"/>
  </w:num>
  <w:num w:numId="42">
    <w:abstractNumId w:val="62"/>
  </w:num>
  <w:num w:numId="43">
    <w:abstractNumId w:val="63"/>
  </w:num>
  <w:num w:numId="44">
    <w:abstractNumId w:val="65"/>
  </w:num>
  <w:num w:numId="45">
    <w:abstractNumId w:val="67"/>
  </w:num>
  <w:num w:numId="46">
    <w:abstractNumId w:val="69"/>
  </w:num>
  <w:num w:numId="47">
    <w:abstractNumId w:val="70"/>
  </w:num>
  <w:num w:numId="48">
    <w:abstractNumId w:val="71"/>
  </w:num>
  <w:num w:numId="49">
    <w:abstractNumId w:val="73"/>
  </w:num>
  <w:num w:numId="50">
    <w:abstractNumId w:val="75"/>
  </w:num>
  <w:num w:numId="51">
    <w:abstractNumId w:val="30"/>
  </w:num>
  <w:num w:numId="52">
    <w:abstractNumId w:val="53"/>
  </w:num>
  <w:num w:numId="53">
    <w:abstractNumId w:val="64"/>
  </w:num>
  <w:num w:numId="54">
    <w:abstractNumId w:val="58"/>
  </w:num>
  <w:num w:numId="55">
    <w:abstractNumId w:val="10"/>
  </w:num>
  <w:num w:numId="56">
    <w:abstractNumId w:val="0"/>
  </w:num>
  <w:num w:numId="57">
    <w:abstractNumId w:val="72"/>
  </w:num>
  <w:num w:numId="58">
    <w:abstractNumId w:val="25"/>
  </w:num>
  <w:num w:numId="59">
    <w:abstractNumId w:val="23"/>
  </w:num>
  <w:num w:numId="60">
    <w:abstractNumId w:val="6"/>
  </w:num>
  <w:num w:numId="61">
    <w:abstractNumId w:val="44"/>
  </w:num>
  <w:num w:numId="62">
    <w:abstractNumId w:val="57"/>
  </w:num>
  <w:num w:numId="63">
    <w:abstractNumId w:val="54"/>
  </w:num>
  <w:num w:numId="64">
    <w:abstractNumId w:val="35"/>
  </w:num>
  <w:num w:numId="65">
    <w:abstractNumId w:val="35"/>
    <w:lvlOverride w:ilvl="0">
      <w:startOverride w:val="1"/>
    </w:lvlOverride>
  </w:num>
  <w:num w:numId="66">
    <w:abstractNumId w:val="59"/>
  </w:num>
  <w:num w:numId="67">
    <w:abstractNumId w:val="9"/>
  </w:num>
  <w:num w:numId="68">
    <w:abstractNumId w:val="7"/>
  </w:num>
  <w:num w:numId="69">
    <w:abstractNumId w:val="20"/>
  </w:num>
  <w:num w:numId="70">
    <w:abstractNumId w:val="66"/>
  </w:num>
  <w:num w:numId="71">
    <w:abstractNumId w:val="50"/>
  </w:num>
  <w:num w:numId="72">
    <w:abstractNumId w:val="74"/>
  </w:num>
  <w:num w:numId="73">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8"/>
  </w:num>
  <w:num w:numId="75">
    <w:abstractNumId w:val="36"/>
  </w:num>
  <w:num w:numId="76">
    <w:abstractNumId w:val="29"/>
  </w:num>
  <w:num w:numId="77">
    <w:abstractNumId w:val="13"/>
  </w:num>
  <w:num w:numId="78">
    <w:abstractNumId w:val="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36DD"/>
    <w:rsid w:val="000045CB"/>
    <w:rsid w:val="00004B89"/>
    <w:rsid w:val="00006E1F"/>
    <w:rsid w:val="000070D7"/>
    <w:rsid w:val="00013339"/>
    <w:rsid w:val="00014AA3"/>
    <w:rsid w:val="0001788C"/>
    <w:rsid w:val="00030AA1"/>
    <w:rsid w:val="00040C3A"/>
    <w:rsid w:val="00040C9B"/>
    <w:rsid w:val="00043C26"/>
    <w:rsid w:val="00050EF9"/>
    <w:rsid w:val="000520F3"/>
    <w:rsid w:val="00056D24"/>
    <w:rsid w:val="00070F73"/>
    <w:rsid w:val="000716C5"/>
    <w:rsid w:val="00073CE8"/>
    <w:rsid w:val="00075E23"/>
    <w:rsid w:val="00086003"/>
    <w:rsid w:val="00087B78"/>
    <w:rsid w:val="0009344A"/>
    <w:rsid w:val="0009537A"/>
    <w:rsid w:val="00096C8E"/>
    <w:rsid w:val="00097DE6"/>
    <w:rsid w:val="000A392E"/>
    <w:rsid w:val="000A4375"/>
    <w:rsid w:val="000A4B8C"/>
    <w:rsid w:val="000A575F"/>
    <w:rsid w:val="000A5E69"/>
    <w:rsid w:val="000A6F15"/>
    <w:rsid w:val="000A7CA0"/>
    <w:rsid w:val="000B2406"/>
    <w:rsid w:val="000B658B"/>
    <w:rsid w:val="000C1525"/>
    <w:rsid w:val="000C5341"/>
    <w:rsid w:val="000C79C0"/>
    <w:rsid w:val="000D10DB"/>
    <w:rsid w:val="000D553D"/>
    <w:rsid w:val="000D6BEC"/>
    <w:rsid w:val="000E02F3"/>
    <w:rsid w:val="000E0591"/>
    <w:rsid w:val="000E0D32"/>
    <w:rsid w:val="000E3590"/>
    <w:rsid w:val="000E5EB5"/>
    <w:rsid w:val="000E7AE5"/>
    <w:rsid w:val="000E7CAE"/>
    <w:rsid w:val="000F2E30"/>
    <w:rsid w:val="000F35ED"/>
    <w:rsid w:val="00101B97"/>
    <w:rsid w:val="00107131"/>
    <w:rsid w:val="0010736F"/>
    <w:rsid w:val="00111935"/>
    <w:rsid w:val="00113F73"/>
    <w:rsid w:val="00117205"/>
    <w:rsid w:val="001201C9"/>
    <w:rsid w:val="00121CC2"/>
    <w:rsid w:val="00133EE5"/>
    <w:rsid w:val="00134617"/>
    <w:rsid w:val="00135503"/>
    <w:rsid w:val="0013707D"/>
    <w:rsid w:val="00137748"/>
    <w:rsid w:val="00137755"/>
    <w:rsid w:val="00140999"/>
    <w:rsid w:val="00162A0F"/>
    <w:rsid w:val="00164F67"/>
    <w:rsid w:val="0016746B"/>
    <w:rsid w:val="00167A34"/>
    <w:rsid w:val="00171B98"/>
    <w:rsid w:val="00172084"/>
    <w:rsid w:val="00175F9F"/>
    <w:rsid w:val="00180E93"/>
    <w:rsid w:val="00181F97"/>
    <w:rsid w:val="001873E0"/>
    <w:rsid w:val="00192CE8"/>
    <w:rsid w:val="00195819"/>
    <w:rsid w:val="00196609"/>
    <w:rsid w:val="00197EBE"/>
    <w:rsid w:val="00197F83"/>
    <w:rsid w:val="001A0329"/>
    <w:rsid w:val="001A250A"/>
    <w:rsid w:val="001A31E1"/>
    <w:rsid w:val="001A48F1"/>
    <w:rsid w:val="001A6145"/>
    <w:rsid w:val="001A7870"/>
    <w:rsid w:val="001A7B3B"/>
    <w:rsid w:val="001B210A"/>
    <w:rsid w:val="001B3CAE"/>
    <w:rsid w:val="001B5C45"/>
    <w:rsid w:val="001B6689"/>
    <w:rsid w:val="001C0804"/>
    <w:rsid w:val="001C1B41"/>
    <w:rsid w:val="001C216B"/>
    <w:rsid w:val="001C4466"/>
    <w:rsid w:val="001C53B3"/>
    <w:rsid w:val="001D65EF"/>
    <w:rsid w:val="001E279A"/>
    <w:rsid w:val="001E307A"/>
    <w:rsid w:val="001E3B6D"/>
    <w:rsid w:val="001E3EB3"/>
    <w:rsid w:val="001F13B0"/>
    <w:rsid w:val="001F31D8"/>
    <w:rsid w:val="00203C09"/>
    <w:rsid w:val="002162F3"/>
    <w:rsid w:val="0022181D"/>
    <w:rsid w:val="002250A3"/>
    <w:rsid w:val="002267C7"/>
    <w:rsid w:val="00227124"/>
    <w:rsid w:val="00230682"/>
    <w:rsid w:val="00230F0B"/>
    <w:rsid w:val="00234E63"/>
    <w:rsid w:val="00235217"/>
    <w:rsid w:val="00237D5B"/>
    <w:rsid w:val="00246783"/>
    <w:rsid w:val="00246D1F"/>
    <w:rsid w:val="00247403"/>
    <w:rsid w:val="00247542"/>
    <w:rsid w:val="00247AE7"/>
    <w:rsid w:val="002503BA"/>
    <w:rsid w:val="00252E36"/>
    <w:rsid w:val="002532EB"/>
    <w:rsid w:val="00253D24"/>
    <w:rsid w:val="00255B9D"/>
    <w:rsid w:val="00264371"/>
    <w:rsid w:val="00265992"/>
    <w:rsid w:val="00266162"/>
    <w:rsid w:val="00266B61"/>
    <w:rsid w:val="0026712A"/>
    <w:rsid w:val="002704DB"/>
    <w:rsid w:val="00271B13"/>
    <w:rsid w:val="002813F2"/>
    <w:rsid w:val="00283BEF"/>
    <w:rsid w:val="0028547D"/>
    <w:rsid w:val="002913C9"/>
    <w:rsid w:val="0029763F"/>
    <w:rsid w:val="002A0AAE"/>
    <w:rsid w:val="002A4A59"/>
    <w:rsid w:val="002A4AFE"/>
    <w:rsid w:val="002A5820"/>
    <w:rsid w:val="002B0E1D"/>
    <w:rsid w:val="002B1D68"/>
    <w:rsid w:val="002C1BF9"/>
    <w:rsid w:val="002C4FD6"/>
    <w:rsid w:val="002C51CE"/>
    <w:rsid w:val="002C7051"/>
    <w:rsid w:val="002C762B"/>
    <w:rsid w:val="002C7C64"/>
    <w:rsid w:val="002D0FAC"/>
    <w:rsid w:val="002D147E"/>
    <w:rsid w:val="002D16F8"/>
    <w:rsid w:val="002D2B26"/>
    <w:rsid w:val="002D3553"/>
    <w:rsid w:val="002D552B"/>
    <w:rsid w:val="002D602D"/>
    <w:rsid w:val="002D6E6D"/>
    <w:rsid w:val="002D7EA2"/>
    <w:rsid w:val="002E187C"/>
    <w:rsid w:val="002E1963"/>
    <w:rsid w:val="002E1AA6"/>
    <w:rsid w:val="002E5A44"/>
    <w:rsid w:val="002F0855"/>
    <w:rsid w:val="002F17C5"/>
    <w:rsid w:val="002F46D1"/>
    <w:rsid w:val="00302733"/>
    <w:rsid w:val="00304616"/>
    <w:rsid w:val="00310205"/>
    <w:rsid w:val="00310A62"/>
    <w:rsid w:val="00311EF4"/>
    <w:rsid w:val="00314078"/>
    <w:rsid w:val="0031535D"/>
    <w:rsid w:val="0032558C"/>
    <w:rsid w:val="00326587"/>
    <w:rsid w:val="00327631"/>
    <w:rsid w:val="00327FF7"/>
    <w:rsid w:val="0033169F"/>
    <w:rsid w:val="0033233D"/>
    <w:rsid w:val="00343C8A"/>
    <w:rsid w:val="00346C95"/>
    <w:rsid w:val="0034732C"/>
    <w:rsid w:val="00354175"/>
    <w:rsid w:val="003541CD"/>
    <w:rsid w:val="00356185"/>
    <w:rsid w:val="0035649D"/>
    <w:rsid w:val="00356667"/>
    <w:rsid w:val="00357506"/>
    <w:rsid w:val="00360380"/>
    <w:rsid w:val="00364322"/>
    <w:rsid w:val="00365AA1"/>
    <w:rsid w:val="00373C98"/>
    <w:rsid w:val="00374AE7"/>
    <w:rsid w:val="00375154"/>
    <w:rsid w:val="0037519E"/>
    <w:rsid w:val="0038099F"/>
    <w:rsid w:val="00383D0C"/>
    <w:rsid w:val="00386CF0"/>
    <w:rsid w:val="00395BFA"/>
    <w:rsid w:val="0039707F"/>
    <w:rsid w:val="003A13DE"/>
    <w:rsid w:val="003A6F5C"/>
    <w:rsid w:val="003B0310"/>
    <w:rsid w:val="003B432C"/>
    <w:rsid w:val="003B4F83"/>
    <w:rsid w:val="003C496D"/>
    <w:rsid w:val="003C676B"/>
    <w:rsid w:val="003C6B2D"/>
    <w:rsid w:val="003D3BC2"/>
    <w:rsid w:val="003D5DF2"/>
    <w:rsid w:val="003E4019"/>
    <w:rsid w:val="003E6CA1"/>
    <w:rsid w:val="003E7CA2"/>
    <w:rsid w:val="00400BC0"/>
    <w:rsid w:val="0040302E"/>
    <w:rsid w:val="0040581C"/>
    <w:rsid w:val="004114F8"/>
    <w:rsid w:val="00411FAB"/>
    <w:rsid w:val="00414226"/>
    <w:rsid w:val="004165C2"/>
    <w:rsid w:val="0042028F"/>
    <w:rsid w:val="00422EF6"/>
    <w:rsid w:val="004238B3"/>
    <w:rsid w:val="00426A04"/>
    <w:rsid w:val="00431664"/>
    <w:rsid w:val="004353BE"/>
    <w:rsid w:val="00437470"/>
    <w:rsid w:val="00441ECB"/>
    <w:rsid w:val="00442108"/>
    <w:rsid w:val="00446197"/>
    <w:rsid w:val="00453CBB"/>
    <w:rsid w:val="0045523A"/>
    <w:rsid w:val="00457F25"/>
    <w:rsid w:val="00464E25"/>
    <w:rsid w:val="00466B49"/>
    <w:rsid w:val="00467B7E"/>
    <w:rsid w:val="00477592"/>
    <w:rsid w:val="0048218C"/>
    <w:rsid w:val="00483356"/>
    <w:rsid w:val="00486F1C"/>
    <w:rsid w:val="00493018"/>
    <w:rsid w:val="0049419D"/>
    <w:rsid w:val="004A0819"/>
    <w:rsid w:val="004A5140"/>
    <w:rsid w:val="004A5612"/>
    <w:rsid w:val="004B05FE"/>
    <w:rsid w:val="004B1CC4"/>
    <w:rsid w:val="004B2E5E"/>
    <w:rsid w:val="004B6F67"/>
    <w:rsid w:val="004C20D2"/>
    <w:rsid w:val="004C3EF2"/>
    <w:rsid w:val="004C4B62"/>
    <w:rsid w:val="004C529C"/>
    <w:rsid w:val="004C54C9"/>
    <w:rsid w:val="004C5C4E"/>
    <w:rsid w:val="004C765D"/>
    <w:rsid w:val="004C7705"/>
    <w:rsid w:val="004D6025"/>
    <w:rsid w:val="004E07D4"/>
    <w:rsid w:val="004E19A4"/>
    <w:rsid w:val="004E2649"/>
    <w:rsid w:val="004E6925"/>
    <w:rsid w:val="004F15B3"/>
    <w:rsid w:val="004F2A06"/>
    <w:rsid w:val="00501399"/>
    <w:rsid w:val="00504EFE"/>
    <w:rsid w:val="0050633D"/>
    <w:rsid w:val="00507BC4"/>
    <w:rsid w:val="00511CC1"/>
    <w:rsid w:val="00511FB1"/>
    <w:rsid w:val="005128E4"/>
    <w:rsid w:val="00512B04"/>
    <w:rsid w:val="005133DB"/>
    <w:rsid w:val="0052107E"/>
    <w:rsid w:val="00524E39"/>
    <w:rsid w:val="00525560"/>
    <w:rsid w:val="00527338"/>
    <w:rsid w:val="00527F24"/>
    <w:rsid w:val="0053015F"/>
    <w:rsid w:val="005325CC"/>
    <w:rsid w:val="00532D87"/>
    <w:rsid w:val="005335DA"/>
    <w:rsid w:val="00534ABA"/>
    <w:rsid w:val="005367DD"/>
    <w:rsid w:val="00543C90"/>
    <w:rsid w:val="00544C49"/>
    <w:rsid w:val="0054647D"/>
    <w:rsid w:val="00546A6D"/>
    <w:rsid w:val="0054733D"/>
    <w:rsid w:val="00547D1B"/>
    <w:rsid w:val="005516A1"/>
    <w:rsid w:val="00555848"/>
    <w:rsid w:val="005572C4"/>
    <w:rsid w:val="00560BF6"/>
    <w:rsid w:val="00561912"/>
    <w:rsid w:val="00570551"/>
    <w:rsid w:val="005713F4"/>
    <w:rsid w:val="0057402A"/>
    <w:rsid w:val="00574992"/>
    <w:rsid w:val="005771D0"/>
    <w:rsid w:val="00583C0B"/>
    <w:rsid w:val="0059191A"/>
    <w:rsid w:val="005921FF"/>
    <w:rsid w:val="00595ED1"/>
    <w:rsid w:val="005A1FE5"/>
    <w:rsid w:val="005A4EE0"/>
    <w:rsid w:val="005A6D0E"/>
    <w:rsid w:val="005B0666"/>
    <w:rsid w:val="005B21BB"/>
    <w:rsid w:val="005B455B"/>
    <w:rsid w:val="005B52B0"/>
    <w:rsid w:val="005B6806"/>
    <w:rsid w:val="005C0EB6"/>
    <w:rsid w:val="005C4225"/>
    <w:rsid w:val="005D58F3"/>
    <w:rsid w:val="005E0D50"/>
    <w:rsid w:val="005E518B"/>
    <w:rsid w:val="005E578E"/>
    <w:rsid w:val="005F0DAD"/>
    <w:rsid w:val="005F0F33"/>
    <w:rsid w:val="005F115B"/>
    <w:rsid w:val="005F1F5E"/>
    <w:rsid w:val="005F2048"/>
    <w:rsid w:val="005F2A75"/>
    <w:rsid w:val="005F3A9A"/>
    <w:rsid w:val="00600DEB"/>
    <w:rsid w:val="00602F17"/>
    <w:rsid w:val="0060350D"/>
    <w:rsid w:val="00606B61"/>
    <w:rsid w:val="006101F6"/>
    <w:rsid w:val="00610601"/>
    <w:rsid w:val="006107B1"/>
    <w:rsid w:val="00617FA4"/>
    <w:rsid w:val="00623923"/>
    <w:rsid w:val="0062487F"/>
    <w:rsid w:val="00626FD9"/>
    <w:rsid w:val="00627C9F"/>
    <w:rsid w:val="006311E9"/>
    <w:rsid w:val="00631DDB"/>
    <w:rsid w:val="00632354"/>
    <w:rsid w:val="00634908"/>
    <w:rsid w:val="006422E2"/>
    <w:rsid w:val="00642810"/>
    <w:rsid w:val="006432F9"/>
    <w:rsid w:val="00647D26"/>
    <w:rsid w:val="00652333"/>
    <w:rsid w:val="0065635A"/>
    <w:rsid w:val="0065666B"/>
    <w:rsid w:val="00657134"/>
    <w:rsid w:val="0066076B"/>
    <w:rsid w:val="00664F64"/>
    <w:rsid w:val="00670C38"/>
    <w:rsid w:val="00674631"/>
    <w:rsid w:val="0068009E"/>
    <w:rsid w:val="00684AEA"/>
    <w:rsid w:val="006857CC"/>
    <w:rsid w:val="0069138A"/>
    <w:rsid w:val="00692219"/>
    <w:rsid w:val="006922AB"/>
    <w:rsid w:val="00692F43"/>
    <w:rsid w:val="006A17D2"/>
    <w:rsid w:val="006A2074"/>
    <w:rsid w:val="006A24B8"/>
    <w:rsid w:val="006A37AF"/>
    <w:rsid w:val="006A73E6"/>
    <w:rsid w:val="006B2B5F"/>
    <w:rsid w:val="006B2D5C"/>
    <w:rsid w:val="006B6898"/>
    <w:rsid w:val="006C12AB"/>
    <w:rsid w:val="006C240F"/>
    <w:rsid w:val="006C283F"/>
    <w:rsid w:val="006C4EB1"/>
    <w:rsid w:val="006D3F2C"/>
    <w:rsid w:val="006D6DA5"/>
    <w:rsid w:val="006D7C24"/>
    <w:rsid w:val="006E0166"/>
    <w:rsid w:val="006E7B34"/>
    <w:rsid w:val="006F046B"/>
    <w:rsid w:val="006F7EC7"/>
    <w:rsid w:val="00701ED5"/>
    <w:rsid w:val="007028BA"/>
    <w:rsid w:val="0070466C"/>
    <w:rsid w:val="007048B2"/>
    <w:rsid w:val="00704E38"/>
    <w:rsid w:val="007061FF"/>
    <w:rsid w:val="00706464"/>
    <w:rsid w:val="0070697F"/>
    <w:rsid w:val="007134F9"/>
    <w:rsid w:val="00721926"/>
    <w:rsid w:val="0072199C"/>
    <w:rsid w:val="007219F6"/>
    <w:rsid w:val="00722C9F"/>
    <w:rsid w:val="00723C3D"/>
    <w:rsid w:val="007253B8"/>
    <w:rsid w:val="00735892"/>
    <w:rsid w:val="0073741F"/>
    <w:rsid w:val="00742133"/>
    <w:rsid w:val="007449EF"/>
    <w:rsid w:val="007471FE"/>
    <w:rsid w:val="00752139"/>
    <w:rsid w:val="00754EF3"/>
    <w:rsid w:val="00755409"/>
    <w:rsid w:val="00756717"/>
    <w:rsid w:val="00765D6E"/>
    <w:rsid w:val="0076643F"/>
    <w:rsid w:val="00774629"/>
    <w:rsid w:val="0077503C"/>
    <w:rsid w:val="00775A8E"/>
    <w:rsid w:val="007775CE"/>
    <w:rsid w:val="00777F63"/>
    <w:rsid w:val="00780BA0"/>
    <w:rsid w:val="0078593C"/>
    <w:rsid w:val="00791733"/>
    <w:rsid w:val="00795F8C"/>
    <w:rsid w:val="00796B1E"/>
    <w:rsid w:val="007A076E"/>
    <w:rsid w:val="007A0808"/>
    <w:rsid w:val="007A14CA"/>
    <w:rsid w:val="007A31D6"/>
    <w:rsid w:val="007A5817"/>
    <w:rsid w:val="007A6A0D"/>
    <w:rsid w:val="007B1997"/>
    <w:rsid w:val="007B60E9"/>
    <w:rsid w:val="007B6CC3"/>
    <w:rsid w:val="007B7BE5"/>
    <w:rsid w:val="007C3334"/>
    <w:rsid w:val="007C5D16"/>
    <w:rsid w:val="007C6BE8"/>
    <w:rsid w:val="007D115B"/>
    <w:rsid w:val="007D2706"/>
    <w:rsid w:val="007D2B98"/>
    <w:rsid w:val="007D5914"/>
    <w:rsid w:val="007E0FEE"/>
    <w:rsid w:val="007E21BC"/>
    <w:rsid w:val="007E3E93"/>
    <w:rsid w:val="007E5040"/>
    <w:rsid w:val="007E78E0"/>
    <w:rsid w:val="007F3726"/>
    <w:rsid w:val="007F4FB0"/>
    <w:rsid w:val="0080019C"/>
    <w:rsid w:val="00803F1C"/>
    <w:rsid w:val="0080432C"/>
    <w:rsid w:val="0080600E"/>
    <w:rsid w:val="00811D87"/>
    <w:rsid w:val="008136D9"/>
    <w:rsid w:val="0081457C"/>
    <w:rsid w:val="00817612"/>
    <w:rsid w:val="0082255E"/>
    <w:rsid w:val="00824536"/>
    <w:rsid w:val="00830065"/>
    <w:rsid w:val="008338A4"/>
    <w:rsid w:val="00837C45"/>
    <w:rsid w:val="008402AC"/>
    <w:rsid w:val="00844730"/>
    <w:rsid w:val="00844955"/>
    <w:rsid w:val="00844ED4"/>
    <w:rsid w:val="00845255"/>
    <w:rsid w:val="008457C2"/>
    <w:rsid w:val="00845FB3"/>
    <w:rsid w:val="00852989"/>
    <w:rsid w:val="00852B36"/>
    <w:rsid w:val="00857A82"/>
    <w:rsid w:val="00860E32"/>
    <w:rsid w:val="00861CA6"/>
    <w:rsid w:val="00864DF8"/>
    <w:rsid w:val="00867F76"/>
    <w:rsid w:val="00873836"/>
    <w:rsid w:val="00873C9D"/>
    <w:rsid w:val="008763DB"/>
    <w:rsid w:val="00876676"/>
    <w:rsid w:val="00876CBB"/>
    <w:rsid w:val="00880529"/>
    <w:rsid w:val="00880C58"/>
    <w:rsid w:val="00883834"/>
    <w:rsid w:val="00885737"/>
    <w:rsid w:val="00890650"/>
    <w:rsid w:val="00896589"/>
    <w:rsid w:val="00897E12"/>
    <w:rsid w:val="008A4805"/>
    <w:rsid w:val="008A6809"/>
    <w:rsid w:val="008A74D4"/>
    <w:rsid w:val="008A7E0F"/>
    <w:rsid w:val="008B038C"/>
    <w:rsid w:val="008B1018"/>
    <w:rsid w:val="008B12F5"/>
    <w:rsid w:val="008B3AE5"/>
    <w:rsid w:val="008B453D"/>
    <w:rsid w:val="008B769B"/>
    <w:rsid w:val="008C06BC"/>
    <w:rsid w:val="008C61E8"/>
    <w:rsid w:val="008D768D"/>
    <w:rsid w:val="008E1D68"/>
    <w:rsid w:val="008E3759"/>
    <w:rsid w:val="008E5FE7"/>
    <w:rsid w:val="008E6864"/>
    <w:rsid w:val="008E6B49"/>
    <w:rsid w:val="008F022E"/>
    <w:rsid w:val="008F0ACC"/>
    <w:rsid w:val="008F1853"/>
    <w:rsid w:val="008F1912"/>
    <w:rsid w:val="008F71A8"/>
    <w:rsid w:val="00902582"/>
    <w:rsid w:val="0090270B"/>
    <w:rsid w:val="009041DC"/>
    <w:rsid w:val="00911D92"/>
    <w:rsid w:val="009148E3"/>
    <w:rsid w:val="00917B5A"/>
    <w:rsid w:val="00920A58"/>
    <w:rsid w:val="00920A8C"/>
    <w:rsid w:val="009227E6"/>
    <w:rsid w:val="00931C19"/>
    <w:rsid w:val="00933023"/>
    <w:rsid w:val="00933D64"/>
    <w:rsid w:val="00934A2C"/>
    <w:rsid w:val="00936384"/>
    <w:rsid w:val="0094023A"/>
    <w:rsid w:val="00943684"/>
    <w:rsid w:val="0094397F"/>
    <w:rsid w:val="00945820"/>
    <w:rsid w:val="0094601F"/>
    <w:rsid w:val="00950A04"/>
    <w:rsid w:val="00954D80"/>
    <w:rsid w:val="0096113C"/>
    <w:rsid w:val="0096706E"/>
    <w:rsid w:val="00974F4D"/>
    <w:rsid w:val="00975C4E"/>
    <w:rsid w:val="00977143"/>
    <w:rsid w:val="00981FBA"/>
    <w:rsid w:val="0098297E"/>
    <w:rsid w:val="00986F22"/>
    <w:rsid w:val="009913F3"/>
    <w:rsid w:val="00993091"/>
    <w:rsid w:val="00997BC5"/>
    <w:rsid w:val="009A0A64"/>
    <w:rsid w:val="009A4F41"/>
    <w:rsid w:val="009A52EE"/>
    <w:rsid w:val="009B3644"/>
    <w:rsid w:val="009B381B"/>
    <w:rsid w:val="009B4503"/>
    <w:rsid w:val="009C1CC7"/>
    <w:rsid w:val="009C4A76"/>
    <w:rsid w:val="009C5145"/>
    <w:rsid w:val="009C52BC"/>
    <w:rsid w:val="009D0B36"/>
    <w:rsid w:val="009D1258"/>
    <w:rsid w:val="009D1753"/>
    <w:rsid w:val="009D244F"/>
    <w:rsid w:val="009D7611"/>
    <w:rsid w:val="009E0166"/>
    <w:rsid w:val="009E0B61"/>
    <w:rsid w:val="009E4383"/>
    <w:rsid w:val="009E4CCE"/>
    <w:rsid w:val="009E53DE"/>
    <w:rsid w:val="009E54FA"/>
    <w:rsid w:val="009E69A9"/>
    <w:rsid w:val="009F7814"/>
    <w:rsid w:val="00A034BC"/>
    <w:rsid w:val="00A04A9A"/>
    <w:rsid w:val="00A05985"/>
    <w:rsid w:val="00A077FC"/>
    <w:rsid w:val="00A106E1"/>
    <w:rsid w:val="00A12259"/>
    <w:rsid w:val="00A16EF6"/>
    <w:rsid w:val="00A17637"/>
    <w:rsid w:val="00A20076"/>
    <w:rsid w:val="00A235E4"/>
    <w:rsid w:val="00A23C91"/>
    <w:rsid w:val="00A25DD7"/>
    <w:rsid w:val="00A26CDB"/>
    <w:rsid w:val="00A26ECA"/>
    <w:rsid w:val="00A312C4"/>
    <w:rsid w:val="00A328B3"/>
    <w:rsid w:val="00A474AF"/>
    <w:rsid w:val="00A47907"/>
    <w:rsid w:val="00A50FCF"/>
    <w:rsid w:val="00A52136"/>
    <w:rsid w:val="00A528D1"/>
    <w:rsid w:val="00A54A1A"/>
    <w:rsid w:val="00A55635"/>
    <w:rsid w:val="00A5731E"/>
    <w:rsid w:val="00A60BE2"/>
    <w:rsid w:val="00A610CD"/>
    <w:rsid w:val="00A62889"/>
    <w:rsid w:val="00A6342B"/>
    <w:rsid w:val="00A64959"/>
    <w:rsid w:val="00A64B28"/>
    <w:rsid w:val="00A64D9E"/>
    <w:rsid w:val="00A67DBC"/>
    <w:rsid w:val="00A70BF3"/>
    <w:rsid w:val="00A717FC"/>
    <w:rsid w:val="00A72547"/>
    <w:rsid w:val="00A75320"/>
    <w:rsid w:val="00A76481"/>
    <w:rsid w:val="00A80013"/>
    <w:rsid w:val="00A8218B"/>
    <w:rsid w:val="00A84750"/>
    <w:rsid w:val="00A85090"/>
    <w:rsid w:val="00A85766"/>
    <w:rsid w:val="00A85A67"/>
    <w:rsid w:val="00A870B3"/>
    <w:rsid w:val="00A9328E"/>
    <w:rsid w:val="00A975AC"/>
    <w:rsid w:val="00AA09A2"/>
    <w:rsid w:val="00AA111F"/>
    <w:rsid w:val="00AA6A0E"/>
    <w:rsid w:val="00AA7162"/>
    <w:rsid w:val="00AA7996"/>
    <w:rsid w:val="00AB40A6"/>
    <w:rsid w:val="00AC19CB"/>
    <w:rsid w:val="00AC6246"/>
    <w:rsid w:val="00AC711C"/>
    <w:rsid w:val="00AC7575"/>
    <w:rsid w:val="00AD0313"/>
    <w:rsid w:val="00AD3A66"/>
    <w:rsid w:val="00AD5796"/>
    <w:rsid w:val="00AE5488"/>
    <w:rsid w:val="00AE6F91"/>
    <w:rsid w:val="00AF5571"/>
    <w:rsid w:val="00B0222F"/>
    <w:rsid w:val="00B04FAD"/>
    <w:rsid w:val="00B05E8D"/>
    <w:rsid w:val="00B070D5"/>
    <w:rsid w:val="00B07341"/>
    <w:rsid w:val="00B13E3C"/>
    <w:rsid w:val="00B17908"/>
    <w:rsid w:val="00B1793F"/>
    <w:rsid w:val="00B2472E"/>
    <w:rsid w:val="00B252AF"/>
    <w:rsid w:val="00B30539"/>
    <w:rsid w:val="00B314DB"/>
    <w:rsid w:val="00B3219F"/>
    <w:rsid w:val="00B323F5"/>
    <w:rsid w:val="00B329BE"/>
    <w:rsid w:val="00B361F2"/>
    <w:rsid w:val="00B3718B"/>
    <w:rsid w:val="00B41645"/>
    <w:rsid w:val="00B41788"/>
    <w:rsid w:val="00B4632A"/>
    <w:rsid w:val="00B47658"/>
    <w:rsid w:val="00B52A4D"/>
    <w:rsid w:val="00B530F1"/>
    <w:rsid w:val="00B532CD"/>
    <w:rsid w:val="00B53B7A"/>
    <w:rsid w:val="00B55666"/>
    <w:rsid w:val="00B658F8"/>
    <w:rsid w:val="00B65BE4"/>
    <w:rsid w:val="00B67C18"/>
    <w:rsid w:val="00B7031F"/>
    <w:rsid w:val="00B70C57"/>
    <w:rsid w:val="00B836B7"/>
    <w:rsid w:val="00B84B60"/>
    <w:rsid w:val="00B85D98"/>
    <w:rsid w:val="00B97A98"/>
    <w:rsid w:val="00BA276C"/>
    <w:rsid w:val="00BA2C8F"/>
    <w:rsid w:val="00BA4843"/>
    <w:rsid w:val="00BA6AE3"/>
    <w:rsid w:val="00BA6B99"/>
    <w:rsid w:val="00BB08C7"/>
    <w:rsid w:val="00BB306F"/>
    <w:rsid w:val="00BB3AF7"/>
    <w:rsid w:val="00BB54E5"/>
    <w:rsid w:val="00BB665B"/>
    <w:rsid w:val="00BC07EA"/>
    <w:rsid w:val="00BC572B"/>
    <w:rsid w:val="00BC6513"/>
    <w:rsid w:val="00BD331A"/>
    <w:rsid w:val="00BD4B89"/>
    <w:rsid w:val="00BD5C34"/>
    <w:rsid w:val="00BE0550"/>
    <w:rsid w:val="00BE3E19"/>
    <w:rsid w:val="00BE48D3"/>
    <w:rsid w:val="00BE4A12"/>
    <w:rsid w:val="00BE6C64"/>
    <w:rsid w:val="00BE79AB"/>
    <w:rsid w:val="00BF1E8A"/>
    <w:rsid w:val="00BF6A19"/>
    <w:rsid w:val="00BF6FD8"/>
    <w:rsid w:val="00C003C0"/>
    <w:rsid w:val="00C01374"/>
    <w:rsid w:val="00C03680"/>
    <w:rsid w:val="00C054DF"/>
    <w:rsid w:val="00C10A8B"/>
    <w:rsid w:val="00C12121"/>
    <w:rsid w:val="00C12379"/>
    <w:rsid w:val="00C20F0F"/>
    <w:rsid w:val="00C21762"/>
    <w:rsid w:val="00C21B84"/>
    <w:rsid w:val="00C24543"/>
    <w:rsid w:val="00C256A2"/>
    <w:rsid w:val="00C317EC"/>
    <w:rsid w:val="00C31A51"/>
    <w:rsid w:val="00C3255D"/>
    <w:rsid w:val="00C369A4"/>
    <w:rsid w:val="00C429EA"/>
    <w:rsid w:val="00C479D4"/>
    <w:rsid w:val="00C51515"/>
    <w:rsid w:val="00C5660B"/>
    <w:rsid w:val="00C575F9"/>
    <w:rsid w:val="00C57F36"/>
    <w:rsid w:val="00C619A2"/>
    <w:rsid w:val="00C6363B"/>
    <w:rsid w:val="00C66B72"/>
    <w:rsid w:val="00C67549"/>
    <w:rsid w:val="00C71E4A"/>
    <w:rsid w:val="00C812B4"/>
    <w:rsid w:val="00C83E8F"/>
    <w:rsid w:val="00C84565"/>
    <w:rsid w:val="00C91EAC"/>
    <w:rsid w:val="00C9567A"/>
    <w:rsid w:val="00CA1220"/>
    <w:rsid w:val="00CB212D"/>
    <w:rsid w:val="00CB234A"/>
    <w:rsid w:val="00CB2660"/>
    <w:rsid w:val="00CB397D"/>
    <w:rsid w:val="00CB3F22"/>
    <w:rsid w:val="00CB4798"/>
    <w:rsid w:val="00CB49CF"/>
    <w:rsid w:val="00CB6C8F"/>
    <w:rsid w:val="00CB7B84"/>
    <w:rsid w:val="00CC21DF"/>
    <w:rsid w:val="00CC4AD6"/>
    <w:rsid w:val="00CC5E90"/>
    <w:rsid w:val="00CD046C"/>
    <w:rsid w:val="00CD27CA"/>
    <w:rsid w:val="00CD4787"/>
    <w:rsid w:val="00CD601E"/>
    <w:rsid w:val="00CD62F6"/>
    <w:rsid w:val="00CD7566"/>
    <w:rsid w:val="00CE076C"/>
    <w:rsid w:val="00CE48AC"/>
    <w:rsid w:val="00CE4BE2"/>
    <w:rsid w:val="00CE5199"/>
    <w:rsid w:val="00CE549D"/>
    <w:rsid w:val="00CE63A8"/>
    <w:rsid w:val="00CE66D5"/>
    <w:rsid w:val="00CE7004"/>
    <w:rsid w:val="00CF1FFC"/>
    <w:rsid w:val="00CF55DB"/>
    <w:rsid w:val="00CF637A"/>
    <w:rsid w:val="00D059DE"/>
    <w:rsid w:val="00D11163"/>
    <w:rsid w:val="00D121D4"/>
    <w:rsid w:val="00D13FCE"/>
    <w:rsid w:val="00D21B4D"/>
    <w:rsid w:val="00D24211"/>
    <w:rsid w:val="00D306D1"/>
    <w:rsid w:val="00D31F7E"/>
    <w:rsid w:val="00D34786"/>
    <w:rsid w:val="00D36B6D"/>
    <w:rsid w:val="00D37BFC"/>
    <w:rsid w:val="00D37D63"/>
    <w:rsid w:val="00D4159B"/>
    <w:rsid w:val="00D47A8E"/>
    <w:rsid w:val="00D50B48"/>
    <w:rsid w:val="00D51127"/>
    <w:rsid w:val="00D51EC8"/>
    <w:rsid w:val="00D52506"/>
    <w:rsid w:val="00D52D14"/>
    <w:rsid w:val="00D530F4"/>
    <w:rsid w:val="00D60E3B"/>
    <w:rsid w:val="00D64C75"/>
    <w:rsid w:val="00D65F45"/>
    <w:rsid w:val="00D670F4"/>
    <w:rsid w:val="00D712D3"/>
    <w:rsid w:val="00D71422"/>
    <w:rsid w:val="00D72C29"/>
    <w:rsid w:val="00D72DC6"/>
    <w:rsid w:val="00D7397F"/>
    <w:rsid w:val="00D7558D"/>
    <w:rsid w:val="00D81D92"/>
    <w:rsid w:val="00D820FB"/>
    <w:rsid w:val="00D9033E"/>
    <w:rsid w:val="00D915AF"/>
    <w:rsid w:val="00D92CC2"/>
    <w:rsid w:val="00D93384"/>
    <w:rsid w:val="00D9791A"/>
    <w:rsid w:val="00DA0438"/>
    <w:rsid w:val="00DA3581"/>
    <w:rsid w:val="00DA7B5F"/>
    <w:rsid w:val="00DC11E7"/>
    <w:rsid w:val="00DC3F15"/>
    <w:rsid w:val="00DC45D1"/>
    <w:rsid w:val="00DC7023"/>
    <w:rsid w:val="00DC769A"/>
    <w:rsid w:val="00DC7C9A"/>
    <w:rsid w:val="00DD1ACC"/>
    <w:rsid w:val="00DD21E7"/>
    <w:rsid w:val="00DD3D86"/>
    <w:rsid w:val="00DD7649"/>
    <w:rsid w:val="00DE083D"/>
    <w:rsid w:val="00DF0D62"/>
    <w:rsid w:val="00DF16E9"/>
    <w:rsid w:val="00DF1EC4"/>
    <w:rsid w:val="00DF34CE"/>
    <w:rsid w:val="00DF3536"/>
    <w:rsid w:val="00DF37E2"/>
    <w:rsid w:val="00DF3996"/>
    <w:rsid w:val="00DF4109"/>
    <w:rsid w:val="00DF6028"/>
    <w:rsid w:val="00E0156B"/>
    <w:rsid w:val="00E0340B"/>
    <w:rsid w:val="00E04A24"/>
    <w:rsid w:val="00E04A90"/>
    <w:rsid w:val="00E07AAB"/>
    <w:rsid w:val="00E100BA"/>
    <w:rsid w:val="00E126B8"/>
    <w:rsid w:val="00E13B82"/>
    <w:rsid w:val="00E1481C"/>
    <w:rsid w:val="00E219C7"/>
    <w:rsid w:val="00E23C68"/>
    <w:rsid w:val="00E36729"/>
    <w:rsid w:val="00E413AC"/>
    <w:rsid w:val="00E43157"/>
    <w:rsid w:val="00E461CE"/>
    <w:rsid w:val="00E511E1"/>
    <w:rsid w:val="00E5356B"/>
    <w:rsid w:val="00E720CA"/>
    <w:rsid w:val="00E737FB"/>
    <w:rsid w:val="00E747B9"/>
    <w:rsid w:val="00E8242E"/>
    <w:rsid w:val="00E826D8"/>
    <w:rsid w:val="00E84EB5"/>
    <w:rsid w:val="00E85662"/>
    <w:rsid w:val="00E8789F"/>
    <w:rsid w:val="00E92074"/>
    <w:rsid w:val="00E97B71"/>
    <w:rsid w:val="00EA094F"/>
    <w:rsid w:val="00EA3D34"/>
    <w:rsid w:val="00EB454D"/>
    <w:rsid w:val="00EB4D83"/>
    <w:rsid w:val="00EB5CDE"/>
    <w:rsid w:val="00EB6CB8"/>
    <w:rsid w:val="00ED066B"/>
    <w:rsid w:val="00ED3B65"/>
    <w:rsid w:val="00ED6CF6"/>
    <w:rsid w:val="00ED76BE"/>
    <w:rsid w:val="00EE25D0"/>
    <w:rsid w:val="00EE4229"/>
    <w:rsid w:val="00EF03CA"/>
    <w:rsid w:val="00EF58CC"/>
    <w:rsid w:val="00EF619B"/>
    <w:rsid w:val="00F00B55"/>
    <w:rsid w:val="00F02AD1"/>
    <w:rsid w:val="00F0460C"/>
    <w:rsid w:val="00F13558"/>
    <w:rsid w:val="00F14EF1"/>
    <w:rsid w:val="00F17CEB"/>
    <w:rsid w:val="00F2142F"/>
    <w:rsid w:val="00F23D8A"/>
    <w:rsid w:val="00F253CC"/>
    <w:rsid w:val="00F26D6B"/>
    <w:rsid w:val="00F30B88"/>
    <w:rsid w:val="00F3307D"/>
    <w:rsid w:val="00F34510"/>
    <w:rsid w:val="00F34D4F"/>
    <w:rsid w:val="00F35E9B"/>
    <w:rsid w:val="00F368A4"/>
    <w:rsid w:val="00F37106"/>
    <w:rsid w:val="00F40A27"/>
    <w:rsid w:val="00F4680C"/>
    <w:rsid w:val="00F469D2"/>
    <w:rsid w:val="00F5051D"/>
    <w:rsid w:val="00F51391"/>
    <w:rsid w:val="00F519CF"/>
    <w:rsid w:val="00F56BA5"/>
    <w:rsid w:val="00F56FF0"/>
    <w:rsid w:val="00F60E22"/>
    <w:rsid w:val="00F61845"/>
    <w:rsid w:val="00F62A11"/>
    <w:rsid w:val="00F65B38"/>
    <w:rsid w:val="00F706E8"/>
    <w:rsid w:val="00F81395"/>
    <w:rsid w:val="00F81E6C"/>
    <w:rsid w:val="00F917D1"/>
    <w:rsid w:val="00F9653B"/>
    <w:rsid w:val="00FA002F"/>
    <w:rsid w:val="00FA211E"/>
    <w:rsid w:val="00FB0FC8"/>
    <w:rsid w:val="00FB2A71"/>
    <w:rsid w:val="00FB62CF"/>
    <w:rsid w:val="00FB6BF4"/>
    <w:rsid w:val="00FC181C"/>
    <w:rsid w:val="00FC3302"/>
    <w:rsid w:val="00FC7AEE"/>
    <w:rsid w:val="00FD3C3B"/>
    <w:rsid w:val="00FD6553"/>
    <w:rsid w:val="00FD6D35"/>
    <w:rsid w:val="00FE127A"/>
    <w:rsid w:val="00FE242A"/>
    <w:rsid w:val="00FE277B"/>
    <w:rsid w:val="00FE43FD"/>
    <w:rsid w:val="00FE6B45"/>
    <w:rsid w:val="00FF1C2C"/>
    <w:rsid w:val="00FF4307"/>
    <w:rsid w:val="00FF43EB"/>
    <w:rsid w:val="00FF539C"/>
    <w:rsid w:val="00FF55F3"/>
    <w:rsid w:val="00FF5851"/>
    <w:rsid w:val="00FF704C"/>
    <w:rsid w:val="00FF7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qFormat/>
    <w:rsid w:val="00180E93"/>
    <w:pPr>
      <w:keepNext/>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pPr>
    <w:rPr>
      <w:rFonts w:ascii="Cambria" w:eastAsia="Times New Roman" w:hAnsi="Cambria" w:cs="Arial"/>
      <w:b/>
      <w:bCs/>
      <w:iCs/>
      <w:sz w:val="20"/>
      <w:szCs w:val="20"/>
      <w:bdr w:val="none" w:sz="0" w:space="0" w:color="auto"/>
      <w:lang w:val="es-C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styleId="ListParagraph">
    <w:name w:val="List Paragraph"/>
    <w:aliases w:val="Colorful List - Accent 11,Párrafo de lista1,List Paragraph1,List Paragraph11"/>
    <w:link w:val="ListParagraphChar"/>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D81D92"/>
    <w:rPr>
      <w:rFonts w:ascii="Cambria" w:eastAsia="MS Gothic" w:hAnsi="Cambria" w:cs="Times New Roman"/>
      <w:b/>
      <w:bCs/>
      <w:color w:val="365F91"/>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D60E3B"/>
    <w:pPr>
      <w:tabs>
        <w:tab w:val="left" w:pos="284"/>
        <w:tab w:val="left" w:pos="720"/>
        <w:tab w:val="left" w:pos="1100"/>
        <w:tab w:val="left" w:pos="1440"/>
        <w:tab w:val="right" w:leader="dot" w:pos="9350"/>
      </w:tabs>
      <w:spacing w:after="100"/>
      <w:ind w:left="1440" w:hanging="720"/>
    </w:pPr>
  </w:style>
  <w:style w:type="paragraph" w:styleId="TOC1">
    <w:name w:val="toc 1"/>
    <w:basedOn w:val="Normal"/>
    <w:next w:val="Normal"/>
    <w:autoRedefine/>
    <w:uiPriority w:val="39"/>
    <w:unhideWhenUsed/>
    <w:rsid w:val="00DC7C9A"/>
    <w:pPr>
      <w:tabs>
        <w:tab w:val="left" w:pos="540"/>
        <w:tab w:val="left" w:pos="900"/>
        <w:tab w:val="right" w:leader="dot" w:pos="9350"/>
      </w:tabs>
      <w:spacing w:after="100"/>
    </w:pPr>
    <w:rPr>
      <w:rFonts w:ascii="Cambria" w:hAnsi="Cambria"/>
      <w:sz w:val="20"/>
    </w:rPr>
  </w:style>
  <w:style w:type="paragraph" w:styleId="TOC3">
    <w:name w:val="toc 3"/>
    <w:basedOn w:val="Normal"/>
    <w:next w:val="Normal"/>
    <w:autoRedefine/>
    <w:uiPriority w:val="39"/>
    <w:unhideWhenUsed/>
    <w:rsid w:val="008E6864"/>
    <w:pPr>
      <w:tabs>
        <w:tab w:val="left" w:pos="540"/>
        <w:tab w:val="left" w:pos="880"/>
        <w:tab w:val="right" w:leader="dot" w:pos="9350"/>
      </w:tabs>
      <w:spacing w:after="100"/>
      <w:ind w:left="851" w:hanging="311"/>
    </w:pPr>
    <w:rPr>
      <w:rFonts w:ascii="Cambria" w:hAnsi="Cambria"/>
      <w:b/>
      <w:noProof/>
      <w:sz w:val="20"/>
      <w:szCs w:val="20"/>
      <w:lang w:val="es-CR"/>
    </w:r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ootnote symbol,Footnote"/>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link w:val="Heading2"/>
    <w:rsid w:val="00180E93"/>
    <w:rPr>
      <w:rFonts w:ascii="Cambria" w:eastAsia="Times New Roman" w:hAnsi="Cambria" w:cs="Arial"/>
      <w:b/>
      <w:bCs/>
      <w:iCs/>
      <w:lang w:val="es-CO"/>
    </w:rPr>
  </w:style>
  <w:style w:type="character" w:customStyle="1" w:styleId="Heading3Char">
    <w:name w:val="Heading 3 Char"/>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BodyTextIndent3">
    <w:name w:val="Body Text Indent 3"/>
    <w:basedOn w:val="Normal"/>
    <w:link w:val="BodyTextIndent3Char"/>
    <w:uiPriority w:val="99"/>
    <w:semiHidden/>
    <w:unhideWhenUsed/>
    <w:rsid w:val="007449EF"/>
    <w:pPr>
      <w:spacing w:after="120"/>
      <w:ind w:left="360"/>
    </w:pPr>
    <w:rPr>
      <w:sz w:val="16"/>
      <w:szCs w:val="16"/>
    </w:rPr>
  </w:style>
  <w:style w:type="character" w:customStyle="1" w:styleId="BodyTextIndent3Char">
    <w:name w:val="Body Text Indent 3 Char"/>
    <w:link w:val="BodyTextIndent3"/>
    <w:uiPriority w:val="99"/>
    <w:semiHidden/>
    <w:rsid w:val="007449EF"/>
    <w:rPr>
      <w:sz w:val="16"/>
      <w:szCs w:val="16"/>
      <w:lang w:val="en-US" w:eastAsia="en-US"/>
    </w:rPr>
  </w:style>
  <w:style w:type="paragraph" w:customStyle="1" w:styleId="Style2">
    <w:name w:val="Style 2"/>
    <w:basedOn w:val="Normal"/>
    <w:link w:val="Style2Car"/>
    <w:rsid w:val="007449E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jc w:val="both"/>
    </w:pPr>
    <w:rPr>
      <w:rFonts w:eastAsia="Times New Roman"/>
      <w:bdr w:val="none" w:sz="0" w:space="0" w:color="auto"/>
    </w:rPr>
  </w:style>
  <w:style w:type="character" w:customStyle="1" w:styleId="apple-converted-space">
    <w:name w:val="apple-converted-space"/>
    <w:basedOn w:val="DefaultParagraphFont"/>
    <w:rsid w:val="007449EF"/>
  </w:style>
  <w:style w:type="character" w:styleId="CommentReference">
    <w:name w:val="annotation reference"/>
    <w:uiPriority w:val="99"/>
    <w:semiHidden/>
    <w:unhideWhenUsed/>
    <w:rsid w:val="00664F64"/>
    <w:rPr>
      <w:sz w:val="16"/>
      <w:szCs w:val="16"/>
    </w:rPr>
  </w:style>
  <w:style w:type="paragraph" w:styleId="CommentText">
    <w:name w:val="annotation text"/>
    <w:basedOn w:val="Normal"/>
    <w:link w:val="CommentTextChar"/>
    <w:uiPriority w:val="99"/>
    <w:semiHidden/>
    <w:unhideWhenUsed/>
    <w:rsid w:val="00664F64"/>
    <w:rPr>
      <w:sz w:val="20"/>
      <w:szCs w:val="20"/>
    </w:rPr>
  </w:style>
  <w:style w:type="character" w:customStyle="1" w:styleId="CommentTextChar">
    <w:name w:val="Comment Text Char"/>
    <w:link w:val="CommentText"/>
    <w:uiPriority w:val="99"/>
    <w:semiHidden/>
    <w:rsid w:val="00664F64"/>
    <w:rPr>
      <w:lang w:val="en-US" w:eastAsia="en-US"/>
    </w:rPr>
  </w:style>
  <w:style w:type="paragraph" w:styleId="CommentSubject">
    <w:name w:val="annotation subject"/>
    <w:basedOn w:val="CommentText"/>
    <w:next w:val="CommentText"/>
    <w:link w:val="CommentSubjectChar"/>
    <w:uiPriority w:val="99"/>
    <w:semiHidden/>
    <w:unhideWhenUsed/>
    <w:rsid w:val="00664F64"/>
    <w:rPr>
      <w:b/>
      <w:bCs/>
    </w:rPr>
  </w:style>
  <w:style w:type="character" w:customStyle="1" w:styleId="CommentSubjectChar">
    <w:name w:val="Comment Subject Char"/>
    <w:link w:val="CommentSubject"/>
    <w:uiPriority w:val="99"/>
    <w:semiHidden/>
    <w:rsid w:val="00664F64"/>
    <w:rPr>
      <w:b/>
      <w:bCs/>
      <w:lang w:val="en-US" w:eastAsia="en-US"/>
    </w:rPr>
  </w:style>
  <w:style w:type="paragraph" w:customStyle="1" w:styleId="Estilo20">
    <w:name w:val="Estilo20"/>
    <w:basedOn w:val="Style2"/>
    <w:link w:val="Estilo20Car"/>
    <w:qFormat/>
    <w:rsid w:val="004B1CC4"/>
    <w:pPr>
      <w:ind w:left="0" w:firstLine="720"/>
    </w:pPr>
    <w:rPr>
      <w:rFonts w:ascii="Cambria" w:hAnsi="Cambria"/>
      <w:b/>
      <w:sz w:val="20"/>
      <w:szCs w:val="20"/>
      <w:lang w:val="es-ES_tradnl"/>
    </w:rPr>
  </w:style>
  <w:style w:type="character" w:customStyle="1" w:styleId="Style2Car">
    <w:name w:val="Style 2 Car"/>
    <w:link w:val="Style2"/>
    <w:rsid w:val="004B1CC4"/>
    <w:rPr>
      <w:rFonts w:eastAsia="Times New Roman"/>
      <w:sz w:val="24"/>
      <w:szCs w:val="24"/>
      <w:bdr w:val="none" w:sz="0" w:space="0" w:color="auto"/>
      <w:lang w:val="en-US" w:eastAsia="en-US"/>
    </w:rPr>
  </w:style>
  <w:style w:type="character" w:customStyle="1" w:styleId="Estilo20Car">
    <w:name w:val="Estilo20 Car"/>
    <w:link w:val="Estilo20"/>
    <w:rsid w:val="004B1CC4"/>
    <w:rPr>
      <w:rFonts w:ascii="Cambria" w:eastAsia="Times New Roman" w:hAnsi="Cambria"/>
      <w:b/>
      <w:sz w:val="24"/>
      <w:szCs w:val="24"/>
      <w:bdr w:val="none" w:sz="0" w:space="0" w:color="auto"/>
      <w:lang w:val="es-ES_tradnl" w:eastAsia="en-US"/>
    </w:rPr>
  </w:style>
  <w:style w:type="character" w:styleId="Emphasis">
    <w:name w:val="Emphasis"/>
    <w:uiPriority w:val="20"/>
    <w:qFormat/>
    <w:rsid w:val="00181F97"/>
    <w:rPr>
      <w:i/>
      <w:iCs/>
    </w:rPr>
  </w:style>
  <w:style w:type="character" w:customStyle="1" w:styleId="FootnoteTextChar3">
    <w:name w:val="Footnote Text Char3"/>
    <w:aliases w:val="Footnote Text Char Char Char Char Char Char1,Footnote Text Char Char Char Char Char2,FA Fu Char1,Footnote reference Char1,Footnote Text Char Char Char Char2,Footnote Text Cha Char1,FA Fußnotentext Char1,FA Fuﬂnotentext Char1,Ca Char2"/>
    <w:locked/>
    <w:rsid w:val="00265992"/>
    <w:rPr>
      <w:rFonts w:ascii="Univers" w:hAnsi="Univers" w:cs="Times New Roman"/>
      <w:lang w:val="en-US" w:eastAsia="en-US" w:bidi="ar-SA"/>
    </w:rPr>
  </w:style>
  <w:style w:type="character" w:customStyle="1" w:styleId="ListParagraphChar">
    <w:name w:val="List Paragraph Char"/>
    <w:aliases w:val="Colorful List - Accent 11 Char,Párrafo de lista1 Char,List Paragraph1 Char,List Paragraph11 Char"/>
    <w:link w:val="ListParagraph"/>
    <w:uiPriority w:val="99"/>
    <w:locked/>
    <w:rsid w:val="00265992"/>
    <w:rPr>
      <w:rFonts w:ascii="Cambria" w:eastAsia="Cambria" w:hAnsi="Cambria" w:cs="Cambria"/>
      <w:color w:val="000000"/>
      <w:sz w:val="24"/>
      <w:szCs w:val="24"/>
      <w:u w:color="000000"/>
      <w:lang w:val="en-US"/>
    </w:rPr>
  </w:style>
  <w:style w:type="paragraph" w:styleId="BlockText">
    <w:name w:val="Block Text"/>
    <w:basedOn w:val="Normal"/>
    <w:rsid w:val="00CB7B8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720"/>
      <w:jc w:val="both"/>
    </w:pPr>
    <w:rPr>
      <w:rFonts w:ascii="Verdana" w:eastAsia="MS ??" w:hAnsi="Verdana"/>
      <w:sz w:val="16"/>
      <w:szCs w:val="20"/>
      <w:bdr w:val="none" w:sz="0" w:space="0" w:color="auto"/>
      <w:lang w:val="es-ES_tradnl"/>
    </w:rPr>
  </w:style>
  <w:style w:type="character" w:styleId="FollowedHyperlink">
    <w:name w:val="FollowedHyperlink"/>
    <w:uiPriority w:val="99"/>
    <w:semiHidden/>
    <w:unhideWhenUsed/>
    <w:rsid w:val="00D21B4D"/>
    <w:rPr>
      <w:color w:val="800080"/>
      <w:u w:val="single"/>
    </w:rPr>
  </w:style>
  <w:style w:type="paragraph" w:styleId="NormalWeb">
    <w:name w:val="Normal (Web)"/>
    <w:aliases w:val="Normal (Web) Char1,Normal (Web) Char Char,Normal (Web) Char1 Char,Normal (Web) Char Char Char"/>
    <w:basedOn w:val="Normal"/>
    <w:uiPriority w:val="99"/>
    <w:rsid w:val="00FE277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MS ??"/>
      <w:bdr w:val="none" w:sz="0" w:space="0" w:color="auto"/>
    </w:rPr>
  </w:style>
  <w:style w:type="character" w:customStyle="1" w:styleId="BodyTextIndentChar">
    <w:name w:val="Body Text Indent Char"/>
    <w:link w:val="BodyTextIndent"/>
    <w:rsid w:val="00FE43FD"/>
    <w:rPr>
      <w:rFonts w:eastAsia="Times New Roman"/>
      <w:color w:val="000000"/>
      <w:sz w:val="24"/>
      <w:szCs w:val="24"/>
      <w:u w:color="000000"/>
      <w:bdr w:val="nil"/>
      <w:lang w:val="es-ES_tradnl" w:eastAsia="es-ES"/>
    </w:rPr>
  </w:style>
  <w:style w:type="paragraph" w:styleId="BodyText3">
    <w:name w:val="Body Text 3"/>
    <w:basedOn w:val="Normal"/>
    <w:link w:val="BodyText3Char"/>
    <w:rsid w:val="00876CBB"/>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Univers" w:eastAsia="Times New Roman" w:hAnsi="Univers"/>
      <w:sz w:val="16"/>
      <w:szCs w:val="16"/>
      <w:bdr w:val="none" w:sz="0" w:space="0" w:color="auto"/>
      <w:lang w:val="es-ES_tradnl"/>
    </w:rPr>
  </w:style>
  <w:style w:type="character" w:customStyle="1" w:styleId="BodyText3Char">
    <w:name w:val="Body Text 3 Char"/>
    <w:link w:val="BodyText3"/>
    <w:rsid w:val="00876CBB"/>
    <w:rPr>
      <w:rFonts w:ascii="Univers" w:eastAsia="Times New Roman" w:hAnsi="Univers"/>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62065">
      <w:bodyDiv w:val="1"/>
      <w:marLeft w:val="0"/>
      <w:marRight w:val="0"/>
      <w:marTop w:val="0"/>
      <w:marBottom w:val="0"/>
      <w:divBdr>
        <w:top w:val="none" w:sz="0" w:space="0" w:color="auto"/>
        <w:left w:val="none" w:sz="0" w:space="0" w:color="auto"/>
        <w:bottom w:val="none" w:sz="0" w:space="0" w:color="auto"/>
        <w:right w:val="none" w:sz="0" w:space="0" w:color="auto"/>
      </w:divBdr>
    </w:div>
    <w:div w:id="113645783">
      <w:bodyDiv w:val="1"/>
      <w:marLeft w:val="0"/>
      <w:marRight w:val="0"/>
      <w:marTop w:val="0"/>
      <w:marBottom w:val="0"/>
      <w:divBdr>
        <w:top w:val="none" w:sz="0" w:space="0" w:color="auto"/>
        <w:left w:val="none" w:sz="0" w:space="0" w:color="auto"/>
        <w:bottom w:val="none" w:sz="0" w:space="0" w:color="auto"/>
        <w:right w:val="none" w:sz="0" w:space="0" w:color="auto"/>
      </w:divBdr>
    </w:div>
    <w:div w:id="132716474">
      <w:bodyDiv w:val="1"/>
      <w:marLeft w:val="0"/>
      <w:marRight w:val="0"/>
      <w:marTop w:val="0"/>
      <w:marBottom w:val="0"/>
      <w:divBdr>
        <w:top w:val="none" w:sz="0" w:space="0" w:color="auto"/>
        <w:left w:val="none" w:sz="0" w:space="0" w:color="auto"/>
        <w:bottom w:val="none" w:sz="0" w:space="0" w:color="auto"/>
        <w:right w:val="none" w:sz="0" w:space="0" w:color="auto"/>
      </w:divBdr>
    </w:div>
    <w:div w:id="302269597">
      <w:bodyDiv w:val="1"/>
      <w:marLeft w:val="0"/>
      <w:marRight w:val="0"/>
      <w:marTop w:val="0"/>
      <w:marBottom w:val="0"/>
      <w:divBdr>
        <w:top w:val="none" w:sz="0" w:space="0" w:color="auto"/>
        <w:left w:val="none" w:sz="0" w:space="0" w:color="auto"/>
        <w:bottom w:val="none" w:sz="0" w:space="0" w:color="auto"/>
        <w:right w:val="none" w:sz="0" w:space="0" w:color="auto"/>
      </w:divBdr>
    </w:div>
    <w:div w:id="452406275">
      <w:bodyDiv w:val="1"/>
      <w:marLeft w:val="0"/>
      <w:marRight w:val="0"/>
      <w:marTop w:val="0"/>
      <w:marBottom w:val="0"/>
      <w:divBdr>
        <w:top w:val="none" w:sz="0" w:space="0" w:color="auto"/>
        <w:left w:val="none" w:sz="0" w:space="0" w:color="auto"/>
        <w:bottom w:val="none" w:sz="0" w:space="0" w:color="auto"/>
        <w:right w:val="none" w:sz="0" w:space="0" w:color="auto"/>
      </w:divBdr>
    </w:div>
    <w:div w:id="480465210">
      <w:bodyDiv w:val="1"/>
      <w:marLeft w:val="0"/>
      <w:marRight w:val="0"/>
      <w:marTop w:val="0"/>
      <w:marBottom w:val="0"/>
      <w:divBdr>
        <w:top w:val="none" w:sz="0" w:space="0" w:color="auto"/>
        <w:left w:val="none" w:sz="0" w:space="0" w:color="auto"/>
        <w:bottom w:val="none" w:sz="0" w:space="0" w:color="auto"/>
        <w:right w:val="none" w:sz="0" w:space="0" w:color="auto"/>
      </w:divBdr>
    </w:div>
    <w:div w:id="520628313">
      <w:bodyDiv w:val="1"/>
      <w:marLeft w:val="0"/>
      <w:marRight w:val="0"/>
      <w:marTop w:val="0"/>
      <w:marBottom w:val="0"/>
      <w:divBdr>
        <w:top w:val="none" w:sz="0" w:space="0" w:color="auto"/>
        <w:left w:val="none" w:sz="0" w:space="0" w:color="auto"/>
        <w:bottom w:val="none" w:sz="0" w:space="0" w:color="auto"/>
        <w:right w:val="none" w:sz="0" w:space="0" w:color="auto"/>
      </w:divBdr>
    </w:div>
    <w:div w:id="520709013">
      <w:bodyDiv w:val="1"/>
      <w:marLeft w:val="0"/>
      <w:marRight w:val="0"/>
      <w:marTop w:val="0"/>
      <w:marBottom w:val="0"/>
      <w:divBdr>
        <w:top w:val="none" w:sz="0" w:space="0" w:color="auto"/>
        <w:left w:val="none" w:sz="0" w:space="0" w:color="auto"/>
        <w:bottom w:val="none" w:sz="0" w:space="0" w:color="auto"/>
        <w:right w:val="none" w:sz="0" w:space="0" w:color="auto"/>
      </w:divBdr>
    </w:div>
    <w:div w:id="553275293">
      <w:bodyDiv w:val="1"/>
      <w:marLeft w:val="0"/>
      <w:marRight w:val="0"/>
      <w:marTop w:val="0"/>
      <w:marBottom w:val="0"/>
      <w:divBdr>
        <w:top w:val="none" w:sz="0" w:space="0" w:color="auto"/>
        <w:left w:val="none" w:sz="0" w:space="0" w:color="auto"/>
        <w:bottom w:val="none" w:sz="0" w:space="0" w:color="auto"/>
        <w:right w:val="none" w:sz="0" w:space="0" w:color="auto"/>
      </w:divBdr>
    </w:div>
    <w:div w:id="554970315">
      <w:bodyDiv w:val="1"/>
      <w:marLeft w:val="0"/>
      <w:marRight w:val="0"/>
      <w:marTop w:val="0"/>
      <w:marBottom w:val="0"/>
      <w:divBdr>
        <w:top w:val="none" w:sz="0" w:space="0" w:color="auto"/>
        <w:left w:val="none" w:sz="0" w:space="0" w:color="auto"/>
        <w:bottom w:val="none" w:sz="0" w:space="0" w:color="auto"/>
        <w:right w:val="none" w:sz="0" w:space="0" w:color="auto"/>
      </w:divBdr>
    </w:div>
    <w:div w:id="567032017">
      <w:bodyDiv w:val="1"/>
      <w:marLeft w:val="0"/>
      <w:marRight w:val="0"/>
      <w:marTop w:val="0"/>
      <w:marBottom w:val="0"/>
      <w:divBdr>
        <w:top w:val="none" w:sz="0" w:space="0" w:color="auto"/>
        <w:left w:val="none" w:sz="0" w:space="0" w:color="auto"/>
        <w:bottom w:val="none" w:sz="0" w:space="0" w:color="auto"/>
        <w:right w:val="none" w:sz="0" w:space="0" w:color="auto"/>
      </w:divBdr>
    </w:div>
    <w:div w:id="611280794">
      <w:bodyDiv w:val="1"/>
      <w:marLeft w:val="0"/>
      <w:marRight w:val="0"/>
      <w:marTop w:val="0"/>
      <w:marBottom w:val="0"/>
      <w:divBdr>
        <w:top w:val="none" w:sz="0" w:space="0" w:color="auto"/>
        <w:left w:val="none" w:sz="0" w:space="0" w:color="auto"/>
        <w:bottom w:val="none" w:sz="0" w:space="0" w:color="auto"/>
        <w:right w:val="none" w:sz="0" w:space="0" w:color="auto"/>
      </w:divBdr>
    </w:div>
    <w:div w:id="621304759">
      <w:bodyDiv w:val="1"/>
      <w:marLeft w:val="0"/>
      <w:marRight w:val="0"/>
      <w:marTop w:val="0"/>
      <w:marBottom w:val="0"/>
      <w:divBdr>
        <w:top w:val="none" w:sz="0" w:space="0" w:color="auto"/>
        <w:left w:val="none" w:sz="0" w:space="0" w:color="auto"/>
        <w:bottom w:val="none" w:sz="0" w:space="0" w:color="auto"/>
        <w:right w:val="none" w:sz="0" w:space="0" w:color="auto"/>
      </w:divBdr>
    </w:div>
    <w:div w:id="697321129">
      <w:bodyDiv w:val="1"/>
      <w:marLeft w:val="0"/>
      <w:marRight w:val="0"/>
      <w:marTop w:val="0"/>
      <w:marBottom w:val="0"/>
      <w:divBdr>
        <w:top w:val="none" w:sz="0" w:space="0" w:color="auto"/>
        <w:left w:val="none" w:sz="0" w:space="0" w:color="auto"/>
        <w:bottom w:val="none" w:sz="0" w:space="0" w:color="auto"/>
        <w:right w:val="none" w:sz="0" w:space="0" w:color="auto"/>
      </w:divBdr>
    </w:div>
    <w:div w:id="784038542">
      <w:bodyDiv w:val="1"/>
      <w:marLeft w:val="0"/>
      <w:marRight w:val="0"/>
      <w:marTop w:val="0"/>
      <w:marBottom w:val="0"/>
      <w:divBdr>
        <w:top w:val="none" w:sz="0" w:space="0" w:color="auto"/>
        <w:left w:val="none" w:sz="0" w:space="0" w:color="auto"/>
        <w:bottom w:val="none" w:sz="0" w:space="0" w:color="auto"/>
        <w:right w:val="none" w:sz="0" w:space="0" w:color="auto"/>
      </w:divBdr>
    </w:div>
    <w:div w:id="812985282">
      <w:bodyDiv w:val="1"/>
      <w:marLeft w:val="0"/>
      <w:marRight w:val="0"/>
      <w:marTop w:val="0"/>
      <w:marBottom w:val="0"/>
      <w:divBdr>
        <w:top w:val="none" w:sz="0" w:space="0" w:color="auto"/>
        <w:left w:val="none" w:sz="0" w:space="0" w:color="auto"/>
        <w:bottom w:val="none" w:sz="0" w:space="0" w:color="auto"/>
        <w:right w:val="none" w:sz="0" w:space="0" w:color="auto"/>
      </w:divBdr>
    </w:div>
    <w:div w:id="911543849">
      <w:bodyDiv w:val="1"/>
      <w:marLeft w:val="0"/>
      <w:marRight w:val="0"/>
      <w:marTop w:val="0"/>
      <w:marBottom w:val="0"/>
      <w:divBdr>
        <w:top w:val="none" w:sz="0" w:space="0" w:color="auto"/>
        <w:left w:val="none" w:sz="0" w:space="0" w:color="auto"/>
        <w:bottom w:val="none" w:sz="0" w:space="0" w:color="auto"/>
        <w:right w:val="none" w:sz="0" w:space="0" w:color="auto"/>
      </w:divBdr>
    </w:div>
    <w:div w:id="919826925">
      <w:bodyDiv w:val="1"/>
      <w:marLeft w:val="0"/>
      <w:marRight w:val="0"/>
      <w:marTop w:val="0"/>
      <w:marBottom w:val="0"/>
      <w:divBdr>
        <w:top w:val="none" w:sz="0" w:space="0" w:color="auto"/>
        <w:left w:val="none" w:sz="0" w:space="0" w:color="auto"/>
        <w:bottom w:val="none" w:sz="0" w:space="0" w:color="auto"/>
        <w:right w:val="none" w:sz="0" w:space="0" w:color="auto"/>
      </w:divBdr>
    </w:div>
    <w:div w:id="1049188912">
      <w:bodyDiv w:val="1"/>
      <w:marLeft w:val="0"/>
      <w:marRight w:val="0"/>
      <w:marTop w:val="0"/>
      <w:marBottom w:val="0"/>
      <w:divBdr>
        <w:top w:val="none" w:sz="0" w:space="0" w:color="auto"/>
        <w:left w:val="none" w:sz="0" w:space="0" w:color="auto"/>
        <w:bottom w:val="none" w:sz="0" w:space="0" w:color="auto"/>
        <w:right w:val="none" w:sz="0" w:space="0" w:color="auto"/>
      </w:divBdr>
    </w:div>
    <w:div w:id="1059598405">
      <w:bodyDiv w:val="1"/>
      <w:marLeft w:val="0"/>
      <w:marRight w:val="0"/>
      <w:marTop w:val="0"/>
      <w:marBottom w:val="0"/>
      <w:divBdr>
        <w:top w:val="none" w:sz="0" w:space="0" w:color="auto"/>
        <w:left w:val="none" w:sz="0" w:space="0" w:color="auto"/>
        <w:bottom w:val="none" w:sz="0" w:space="0" w:color="auto"/>
        <w:right w:val="none" w:sz="0" w:space="0" w:color="auto"/>
      </w:divBdr>
    </w:div>
    <w:div w:id="1082751677">
      <w:bodyDiv w:val="1"/>
      <w:marLeft w:val="0"/>
      <w:marRight w:val="0"/>
      <w:marTop w:val="0"/>
      <w:marBottom w:val="0"/>
      <w:divBdr>
        <w:top w:val="none" w:sz="0" w:space="0" w:color="auto"/>
        <w:left w:val="none" w:sz="0" w:space="0" w:color="auto"/>
        <w:bottom w:val="none" w:sz="0" w:space="0" w:color="auto"/>
        <w:right w:val="none" w:sz="0" w:space="0" w:color="auto"/>
      </w:divBdr>
    </w:div>
    <w:div w:id="1219173941">
      <w:bodyDiv w:val="1"/>
      <w:marLeft w:val="0"/>
      <w:marRight w:val="0"/>
      <w:marTop w:val="0"/>
      <w:marBottom w:val="0"/>
      <w:divBdr>
        <w:top w:val="none" w:sz="0" w:space="0" w:color="auto"/>
        <w:left w:val="none" w:sz="0" w:space="0" w:color="auto"/>
        <w:bottom w:val="none" w:sz="0" w:space="0" w:color="auto"/>
        <w:right w:val="none" w:sz="0" w:space="0" w:color="auto"/>
      </w:divBdr>
    </w:div>
    <w:div w:id="1371421329">
      <w:bodyDiv w:val="1"/>
      <w:marLeft w:val="0"/>
      <w:marRight w:val="0"/>
      <w:marTop w:val="0"/>
      <w:marBottom w:val="0"/>
      <w:divBdr>
        <w:top w:val="none" w:sz="0" w:space="0" w:color="auto"/>
        <w:left w:val="none" w:sz="0" w:space="0" w:color="auto"/>
        <w:bottom w:val="none" w:sz="0" w:space="0" w:color="auto"/>
        <w:right w:val="none" w:sz="0" w:space="0" w:color="auto"/>
      </w:divBdr>
    </w:div>
    <w:div w:id="1464739391">
      <w:bodyDiv w:val="1"/>
      <w:marLeft w:val="0"/>
      <w:marRight w:val="0"/>
      <w:marTop w:val="0"/>
      <w:marBottom w:val="0"/>
      <w:divBdr>
        <w:top w:val="none" w:sz="0" w:space="0" w:color="auto"/>
        <w:left w:val="none" w:sz="0" w:space="0" w:color="auto"/>
        <w:bottom w:val="none" w:sz="0" w:space="0" w:color="auto"/>
        <w:right w:val="none" w:sz="0" w:space="0" w:color="auto"/>
      </w:divBdr>
    </w:div>
    <w:div w:id="1482044771">
      <w:bodyDiv w:val="1"/>
      <w:marLeft w:val="0"/>
      <w:marRight w:val="0"/>
      <w:marTop w:val="0"/>
      <w:marBottom w:val="0"/>
      <w:divBdr>
        <w:top w:val="none" w:sz="0" w:space="0" w:color="auto"/>
        <w:left w:val="none" w:sz="0" w:space="0" w:color="auto"/>
        <w:bottom w:val="none" w:sz="0" w:space="0" w:color="auto"/>
        <w:right w:val="none" w:sz="0" w:space="0" w:color="auto"/>
      </w:divBdr>
    </w:div>
    <w:div w:id="1657606562">
      <w:bodyDiv w:val="1"/>
      <w:marLeft w:val="0"/>
      <w:marRight w:val="0"/>
      <w:marTop w:val="0"/>
      <w:marBottom w:val="0"/>
      <w:divBdr>
        <w:top w:val="none" w:sz="0" w:space="0" w:color="auto"/>
        <w:left w:val="none" w:sz="0" w:space="0" w:color="auto"/>
        <w:bottom w:val="none" w:sz="0" w:space="0" w:color="auto"/>
        <w:right w:val="none" w:sz="0" w:space="0" w:color="auto"/>
      </w:divBdr>
    </w:div>
    <w:div w:id="1735542339">
      <w:bodyDiv w:val="1"/>
      <w:marLeft w:val="0"/>
      <w:marRight w:val="0"/>
      <w:marTop w:val="0"/>
      <w:marBottom w:val="0"/>
      <w:divBdr>
        <w:top w:val="none" w:sz="0" w:space="0" w:color="auto"/>
        <w:left w:val="none" w:sz="0" w:space="0" w:color="auto"/>
        <w:bottom w:val="none" w:sz="0" w:space="0" w:color="auto"/>
        <w:right w:val="none" w:sz="0" w:space="0" w:color="auto"/>
      </w:divBdr>
    </w:div>
    <w:div w:id="174051468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82212698">
      <w:bodyDiv w:val="1"/>
      <w:marLeft w:val="0"/>
      <w:marRight w:val="0"/>
      <w:marTop w:val="0"/>
      <w:marBottom w:val="0"/>
      <w:divBdr>
        <w:top w:val="none" w:sz="0" w:space="0" w:color="auto"/>
        <w:left w:val="none" w:sz="0" w:space="0" w:color="auto"/>
        <w:bottom w:val="none" w:sz="0" w:space="0" w:color="auto"/>
        <w:right w:val="none" w:sz="0" w:space="0" w:color="auto"/>
      </w:divBdr>
    </w:div>
    <w:div w:id="2142651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joomla.corteidh.or.cr:8080/joomla/es/casos-contenciosos/38-jurisprudencia/1951-corte-idh-caso-garcia-y-familiares-vs-guatemala-fondo-reparaciones-y-costas-sentencia-de-29-noviembre-de-2012-serie-c-no-258" TargetMode="External"/><Relationship Id="rId3"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7"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12"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2"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1" Type="http://schemas.openxmlformats.org/officeDocument/2006/relationships/hyperlink" Target="http://www.cidh.oas.org/annualrep/2000sp/CapituloIII/Admisible/Colombia11.726.htm" TargetMode="External"/><Relationship Id="rId6"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11" Type="http://schemas.openxmlformats.org/officeDocument/2006/relationships/hyperlink" Target="http://joomla.corteidh.or.cr:8080/joomla/es/casos-contenciosos/38-jurisprudencia/698-corte-idh-caso-gomez-palomino-vs-peru-fondo-reparaciones-y-costas-sentencia-de-22-de-noviembre-de-2005-serie-c-no-136" TargetMode="External"/><Relationship Id="rId5" Type="http://schemas.openxmlformats.org/officeDocument/2006/relationships/hyperlink" Target="ftp://ftp.camara.gov.co/camara/basedoc/codigo/codigo_procedimiento_penal_1991.html" TargetMode="External"/><Relationship Id="rId10" Type="http://schemas.openxmlformats.org/officeDocument/2006/relationships/hyperlink" Target="http://www2.ohchr.org/spanish/law/prevencion.htm" TargetMode="External"/><Relationship Id="rId4"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9" Type="http://schemas.openxmlformats.org/officeDocument/2006/relationships/hyperlink" Target="http://joomla.corteidh.or.cr:8080/joomla/es/casos-contenciosos/38-jurisprudencia/754-corte-idh-caso-garcia-prieto-y-otro-vs-el-salvador-excepciones-preliminares-fondo-reparaciones-y-costas-sentencia-de-20-de-noviembre-de-2007-serie-c-no-16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3462D-9655-4116-A6CD-E96855832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16082</Words>
  <Characters>91669</Characters>
  <Application>Microsoft Office Word</Application>
  <DocSecurity>0</DocSecurity>
  <Lines>763</Lines>
  <Paragraphs>215</Paragraphs>
  <ScaleCrop>false</ScaleCrop>
  <HeadingPairs>
    <vt:vector size="2" baseType="variant">
      <vt:variant>
        <vt:lpstr>Title</vt:lpstr>
      </vt:variant>
      <vt:variant>
        <vt:i4>1</vt:i4>
      </vt:variant>
    </vt:vector>
  </HeadingPairs>
  <TitlesOfParts>
    <vt:vector size="1" baseType="lpstr">
      <vt:lpstr>Informe No. 96/19</vt:lpstr>
    </vt:vector>
  </TitlesOfParts>
  <LinksUpToDate>false</LinksUpToDate>
  <CharactersWithSpaces>107536</CharactersWithSpaces>
  <SharedDoc>false</SharedDoc>
  <HLinks>
    <vt:vector size="186" baseType="variant">
      <vt:variant>
        <vt:i4>1835070</vt:i4>
      </vt:variant>
      <vt:variant>
        <vt:i4>110</vt:i4>
      </vt:variant>
      <vt:variant>
        <vt:i4>0</vt:i4>
      </vt:variant>
      <vt:variant>
        <vt:i4>5</vt:i4>
      </vt:variant>
      <vt:variant>
        <vt:lpwstr/>
      </vt:variant>
      <vt:variant>
        <vt:lpwstr>_Toc414371988</vt:lpwstr>
      </vt:variant>
      <vt:variant>
        <vt:i4>1835070</vt:i4>
      </vt:variant>
      <vt:variant>
        <vt:i4>104</vt:i4>
      </vt:variant>
      <vt:variant>
        <vt:i4>0</vt:i4>
      </vt:variant>
      <vt:variant>
        <vt:i4>5</vt:i4>
      </vt:variant>
      <vt:variant>
        <vt:lpwstr/>
      </vt:variant>
      <vt:variant>
        <vt:lpwstr>_Toc414371987</vt:lpwstr>
      </vt:variant>
      <vt:variant>
        <vt:i4>1835070</vt:i4>
      </vt:variant>
      <vt:variant>
        <vt:i4>98</vt:i4>
      </vt:variant>
      <vt:variant>
        <vt:i4>0</vt:i4>
      </vt:variant>
      <vt:variant>
        <vt:i4>5</vt:i4>
      </vt:variant>
      <vt:variant>
        <vt:lpwstr/>
      </vt:variant>
      <vt:variant>
        <vt:lpwstr>_Toc414371986</vt:lpwstr>
      </vt:variant>
      <vt:variant>
        <vt:i4>1835070</vt:i4>
      </vt:variant>
      <vt:variant>
        <vt:i4>92</vt:i4>
      </vt:variant>
      <vt:variant>
        <vt:i4>0</vt:i4>
      </vt:variant>
      <vt:variant>
        <vt:i4>5</vt:i4>
      </vt:variant>
      <vt:variant>
        <vt:lpwstr/>
      </vt:variant>
      <vt:variant>
        <vt:lpwstr>_Toc414371985</vt:lpwstr>
      </vt:variant>
      <vt:variant>
        <vt:i4>1835070</vt:i4>
      </vt:variant>
      <vt:variant>
        <vt:i4>86</vt:i4>
      </vt:variant>
      <vt:variant>
        <vt:i4>0</vt:i4>
      </vt:variant>
      <vt:variant>
        <vt:i4>5</vt:i4>
      </vt:variant>
      <vt:variant>
        <vt:lpwstr/>
      </vt:variant>
      <vt:variant>
        <vt:lpwstr>_Toc414371984</vt:lpwstr>
      </vt:variant>
      <vt:variant>
        <vt:i4>1835070</vt:i4>
      </vt:variant>
      <vt:variant>
        <vt:i4>80</vt:i4>
      </vt:variant>
      <vt:variant>
        <vt:i4>0</vt:i4>
      </vt:variant>
      <vt:variant>
        <vt:i4>5</vt:i4>
      </vt:variant>
      <vt:variant>
        <vt:lpwstr/>
      </vt:variant>
      <vt:variant>
        <vt:lpwstr>_Toc414371983</vt:lpwstr>
      </vt:variant>
      <vt:variant>
        <vt:i4>1835070</vt:i4>
      </vt:variant>
      <vt:variant>
        <vt:i4>74</vt:i4>
      </vt:variant>
      <vt:variant>
        <vt:i4>0</vt:i4>
      </vt:variant>
      <vt:variant>
        <vt:i4>5</vt:i4>
      </vt:variant>
      <vt:variant>
        <vt:lpwstr/>
      </vt:variant>
      <vt:variant>
        <vt:lpwstr>_Toc414371982</vt:lpwstr>
      </vt:variant>
      <vt:variant>
        <vt:i4>1835070</vt:i4>
      </vt:variant>
      <vt:variant>
        <vt:i4>68</vt:i4>
      </vt:variant>
      <vt:variant>
        <vt:i4>0</vt:i4>
      </vt:variant>
      <vt:variant>
        <vt:i4>5</vt:i4>
      </vt:variant>
      <vt:variant>
        <vt:lpwstr/>
      </vt:variant>
      <vt:variant>
        <vt:lpwstr>_Toc414371981</vt:lpwstr>
      </vt:variant>
      <vt:variant>
        <vt:i4>1835070</vt:i4>
      </vt:variant>
      <vt:variant>
        <vt:i4>62</vt:i4>
      </vt:variant>
      <vt:variant>
        <vt:i4>0</vt:i4>
      </vt:variant>
      <vt:variant>
        <vt:i4>5</vt:i4>
      </vt:variant>
      <vt:variant>
        <vt:lpwstr/>
      </vt:variant>
      <vt:variant>
        <vt:lpwstr>_Toc414371980</vt:lpwstr>
      </vt:variant>
      <vt:variant>
        <vt:i4>1245246</vt:i4>
      </vt:variant>
      <vt:variant>
        <vt:i4>56</vt:i4>
      </vt:variant>
      <vt:variant>
        <vt:i4>0</vt:i4>
      </vt:variant>
      <vt:variant>
        <vt:i4>5</vt:i4>
      </vt:variant>
      <vt:variant>
        <vt:lpwstr/>
      </vt:variant>
      <vt:variant>
        <vt:lpwstr>_Toc414371979</vt:lpwstr>
      </vt:variant>
      <vt:variant>
        <vt:i4>1245246</vt:i4>
      </vt:variant>
      <vt:variant>
        <vt:i4>50</vt:i4>
      </vt:variant>
      <vt:variant>
        <vt:i4>0</vt:i4>
      </vt:variant>
      <vt:variant>
        <vt:i4>5</vt:i4>
      </vt:variant>
      <vt:variant>
        <vt:lpwstr/>
      </vt:variant>
      <vt:variant>
        <vt:lpwstr>_Toc414371978</vt:lpwstr>
      </vt:variant>
      <vt:variant>
        <vt:i4>1245246</vt:i4>
      </vt:variant>
      <vt:variant>
        <vt:i4>44</vt:i4>
      </vt:variant>
      <vt:variant>
        <vt:i4>0</vt:i4>
      </vt:variant>
      <vt:variant>
        <vt:i4>5</vt:i4>
      </vt:variant>
      <vt:variant>
        <vt:lpwstr/>
      </vt:variant>
      <vt:variant>
        <vt:lpwstr>_Toc414371977</vt:lpwstr>
      </vt:variant>
      <vt:variant>
        <vt:i4>1245246</vt:i4>
      </vt:variant>
      <vt:variant>
        <vt:i4>38</vt:i4>
      </vt:variant>
      <vt:variant>
        <vt:i4>0</vt:i4>
      </vt:variant>
      <vt:variant>
        <vt:i4>5</vt:i4>
      </vt:variant>
      <vt:variant>
        <vt:lpwstr/>
      </vt:variant>
      <vt:variant>
        <vt:lpwstr>_Toc414371976</vt:lpwstr>
      </vt:variant>
      <vt:variant>
        <vt:i4>1245246</vt:i4>
      </vt:variant>
      <vt:variant>
        <vt:i4>32</vt:i4>
      </vt:variant>
      <vt:variant>
        <vt:i4>0</vt:i4>
      </vt:variant>
      <vt:variant>
        <vt:i4>5</vt:i4>
      </vt:variant>
      <vt:variant>
        <vt:lpwstr/>
      </vt:variant>
      <vt:variant>
        <vt:lpwstr>_Toc414371975</vt:lpwstr>
      </vt:variant>
      <vt:variant>
        <vt:i4>1245246</vt:i4>
      </vt:variant>
      <vt:variant>
        <vt:i4>26</vt:i4>
      </vt:variant>
      <vt:variant>
        <vt:i4>0</vt:i4>
      </vt:variant>
      <vt:variant>
        <vt:i4>5</vt:i4>
      </vt:variant>
      <vt:variant>
        <vt:lpwstr/>
      </vt:variant>
      <vt:variant>
        <vt:lpwstr>_Toc414371974</vt:lpwstr>
      </vt:variant>
      <vt:variant>
        <vt:i4>1245246</vt:i4>
      </vt:variant>
      <vt:variant>
        <vt:i4>20</vt:i4>
      </vt:variant>
      <vt:variant>
        <vt:i4>0</vt:i4>
      </vt:variant>
      <vt:variant>
        <vt:i4>5</vt:i4>
      </vt:variant>
      <vt:variant>
        <vt:lpwstr/>
      </vt:variant>
      <vt:variant>
        <vt:lpwstr>_Toc414371973</vt:lpwstr>
      </vt:variant>
      <vt:variant>
        <vt:i4>1245246</vt:i4>
      </vt:variant>
      <vt:variant>
        <vt:i4>14</vt:i4>
      </vt:variant>
      <vt:variant>
        <vt:i4>0</vt:i4>
      </vt:variant>
      <vt:variant>
        <vt:i4>5</vt:i4>
      </vt:variant>
      <vt:variant>
        <vt:lpwstr/>
      </vt:variant>
      <vt:variant>
        <vt:lpwstr>_Toc414371972</vt:lpwstr>
      </vt:variant>
      <vt:variant>
        <vt:i4>1245246</vt:i4>
      </vt:variant>
      <vt:variant>
        <vt:i4>8</vt:i4>
      </vt:variant>
      <vt:variant>
        <vt:i4>0</vt:i4>
      </vt:variant>
      <vt:variant>
        <vt:i4>5</vt:i4>
      </vt:variant>
      <vt:variant>
        <vt:lpwstr/>
      </vt:variant>
      <vt:variant>
        <vt:lpwstr>_Toc414371971</vt:lpwstr>
      </vt:variant>
      <vt:variant>
        <vt:i4>1245246</vt:i4>
      </vt:variant>
      <vt:variant>
        <vt:i4>2</vt:i4>
      </vt:variant>
      <vt:variant>
        <vt:i4>0</vt:i4>
      </vt:variant>
      <vt:variant>
        <vt:i4>5</vt:i4>
      </vt:variant>
      <vt:variant>
        <vt:lpwstr/>
      </vt:variant>
      <vt:variant>
        <vt:lpwstr>_Toc414371970</vt:lpwstr>
      </vt:variant>
      <vt:variant>
        <vt:i4>6553635</vt:i4>
      </vt:variant>
      <vt:variant>
        <vt:i4>33</vt:i4>
      </vt:variant>
      <vt:variant>
        <vt:i4>0</vt:i4>
      </vt:variant>
      <vt:variant>
        <vt:i4>5</vt:i4>
      </vt:variant>
      <vt:variant>
        <vt:lpwstr>http://joomla.corteidh.or.cr:8080/joomla/es/jurisprudencia-oc-avanzado/38-jurisprudencia/1572-corte-idh-caso-gonzalez-medina-y-familiares-vs-republica-dominicana-excepciones-preliminares-fondo-reparaciones-y-costas-sentencia-de-27-de-febrero-de-2012-serie-c-no-240</vt:lpwstr>
      </vt:variant>
      <vt:variant>
        <vt:lpwstr/>
      </vt:variant>
      <vt:variant>
        <vt:i4>7995500</vt:i4>
      </vt:variant>
      <vt:variant>
        <vt:i4>30</vt:i4>
      </vt:variant>
      <vt:variant>
        <vt:i4>0</vt:i4>
      </vt:variant>
      <vt:variant>
        <vt:i4>5</vt:i4>
      </vt:variant>
      <vt:variant>
        <vt:lpwstr>http://joomla.corteidh.or.cr:8080/joomla/es/casos-contenciosos/38-jurisprudencia/698-corte-idh-caso-gomez-palomino-vs-peru-fondo-reparaciones-y-costas-sentencia-de-22-de-noviembre-de-2005-serie-c-no-136</vt:lpwstr>
      </vt:variant>
      <vt:variant>
        <vt:lpwstr/>
      </vt:variant>
      <vt:variant>
        <vt:i4>1179668</vt:i4>
      </vt:variant>
      <vt:variant>
        <vt:i4>27</vt:i4>
      </vt:variant>
      <vt:variant>
        <vt:i4>0</vt:i4>
      </vt:variant>
      <vt:variant>
        <vt:i4>5</vt:i4>
      </vt:variant>
      <vt:variant>
        <vt:lpwstr>http://www2.ohchr.org/spanish/law/prevencion.htm</vt:lpwstr>
      </vt:variant>
      <vt:variant>
        <vt:lpwstr/>
      </vt:variant>
      <vt:variant>
        <vt:i4>4456477</vt:i4>
      </vt:variant>
      <vt:variant>
        <vt:i4>24</vt:i4>
      </vt:variant>
      <vt:variant>
        <vt:i4>0</vt:i4>
      </vt:variant>
      <vt:variant>
        <vt:i4>5</vt:i4>
      </vt:variant>
      <vt:variant>
        <vt:lpwstr>http://joomla.corteidh.or.cr:8080/joomla/es/casos-contenciosos/38-jurisprudencia/754-corte-idh-caso-garcia-prieto-y-otro-vs-el-salvador-excepciones-preliminares-fondo-reparaciones-y-costas-sentencia-de-20-de-noviembre-de-2007-serie-c-no-168</vt:lpwstr>
      </vt:variant>
      <vt:variant>
        <vt:lpwstr/>
      </vt:variant>
      <vt:variant>
        <vt:i4>7012408</vt:i4>
      </vt:variant>
      <vt:variant>
        <vt:i4>21</vt:i4>
      </vt:variant>
      <vt:variant>
        <vt:i4>0</vt:i4>
      </vt:variant>
      <vt:variant>
        <vt:i4>5</vt:i4>
      </vt:variant>
      <vt:variant>
        <vt:lpwstr>http://joomla.corteidh.or.cr:8080/joomla/es/casos-contenciosos/38-jurisprudencia/1951-corte-idh-caso-garcia-y-familiares-vs-guatemala-fondo-reparaciones-y-costas-sentencia-de-29-noviembre-de-2012-serie-c-no-258</vt:lpwstr>
      </vt:variant>
      <vt:variant>
        <vt:lpwstr/>
      </vt:variant>
      <vt:variant>
        <vt:i4>6553635</vt:i4>
      </vt:variant>
      <vt:variant>
        <vt:i4>18</vt:i4>
      </vt:variant>
      <vt:variant>
        <vt:i4>0</vt:i4>
      </vt:variant>
      <vt:variant>
        <vt:i4>5</vt:i4>
      </vt:variant>
      <vt:variant>
        <vt:lpwstr>http://joomla.corteidh.or.cr:8080/joomla/es/jurisprudencia-oc-avanzado/38-jurisprudencia/1572-corte-idh-caso-gonzalez-medina-y-familiares-vs-republica-dominicana-excepciones-preliminares-fondo-reparaciones-y-costas-sentencia-de-27-de-febrero-de-2012-serie-c-no-240</vt:lpwstr>
      </vt:variant>
      <vt:variant>
        <vt:lpwstr/>
      </vt:variant>
      <vt:variant>
        <vt:i4>6553635</vt:i4>
      </vt:variant>
      <vt:variant>
        <vt:i4>15</vt:i4>
      </vt:variant>
      <vt:variant>
        <vt:i4>0</vt:i4>
      </vt:variant>
      <vt:variant>
        <vt:i4>5</vt:i4>
      </vt:variant>
      <vt:variant>
        <vt:lpwstr>http://joomla.corteidh.or.cr:8080/joomla/es/jurisprudencia-oc-avanzado/38-jurisprudencia/1572-corte-idh-caso-gonzalez-medina-y-familiares-vs-republica-dominicana-excepciones-preliminares-fondo-reparaciones-y-costas-sentencia-de-27-de-febrero-de-2012-serie-c-no-240</vt:lpwstr>
      </vt:variant>
      <vt:variant>
        <vt:lpwstr/>
      </vt:variant>
      <vt:variant>
        <vt:i4>6357010</vt:i4>
      </vt:variant>
      <vt:variant>
        <vt:i4>12</vt:i4>
      </vt:variant>
      <vt:variant>
        <vt:i4>0</vt:i4>
      </vt:variant>
      <vt:variant>
        <vt:i4>5</vt:i4>
      </vt:variant>
      <vt:variant>
        <vt:lpwstr>ftp://ftp.camara.gov.co/camara/basedoc/codigo/codigo_procedimiento_penal_1991.html</vt:lpwstr>
      </vt:variant>
      <vt:variant>
        <vt:lpwstr/>
      </vt:variant>
      <vt:variant>
        <vt:i4>6553635</vt:i4>
      </vt:variant>
      <vt:variant>
        <vt:i4>9</vt:i4>
      </vt:variant>
      <vt:variant>
        <vt:i4>0</vt:i4>
      </vt:variant>
      <vt:variant>
        <vt:i4>5</vt:i4>
      </vt:variant>
      <vt:variant>
        <vt:lpwstr>http://joomla.corteidh.or.cr:8080/joomla/es/jurisprudencia-oc-avanzado/38-jurisprudencia/1572-corte-idh-caso-gonzalez-medina-y-familiares-vs-republica-dominicana-excepciones-preliminares-fondo-reparaciones-y-costas-sentencia-de-27-de-febrero-de-2012-serie-c-no-240</vt:lpwstr>
      </vt:variant>
      <vt:variant>
        <vt:lpwstr/>
      </vt:variant>
      <vt:variant>
        <vt:i4>6553635</vt:i4>
      </vt:variant>
      <vt:variant>
        <vt:i4>6</vt:i4>
      </vt:variant>
      <vt:variant>
        <vt:i4>0</vt:i4>
      </vt:variant>
      <vt:variant>
        <vt:i4>5</vt:i4>
      </vt:variant>
      <vt:variant>
        <vt:lpwstr>http://joomla.corteidh.or.cr:8080/joomla/es/jurisprudencia-oc-avanzado/38-jurisprudencia/1572-corte-idh-caso-gonzalez-medina-y-familiares-vs-republica-dominicana-excepciones-preliminares-fondo-reparaciones-y-costas-sentencia-de-27-de-febrero-de-2012-serie-c-no-240</vt:lpwstr>
      </vt:variant>
      <vt:variant>
        <vt:lpwstr/>
      </vt:variant>
      <vt:variant>
        <vt:i4>6553635</vt:i4>
      </vt:variant>
      <vt:variant>
        <vt:i4>3</vt:i4>
      </vt:variant>
      <vt:variant>
        <vt:i4>0</vt:i4>
      </vt:variant>
      <vt:variant>
        <vt:i4>5</vt:i4>
      </vt:variant>
      <vt:variant>
        <vt:lpwstr>http://joomla.corteidh.or.cr:8080/joomla/es/jurisprudencia-oc-avanzado/38-jurisprudencia/1572-corte-idh-caso-gonzalez-medina-y-familiares-vs-republica-dominicana-excepciones-preliminares-fondo-reparaciones-y-costas-sentencia-de-27-de-febrero-de-2012-serie-c-no-240</vt:lpwstr>
      </vt:variant>
      <vt:variant>
        <vt:lpwstr/>
      </vt:variant>
      <vt:variant>
        <vt:i4>5374047</vt:i4>
      </vt:variant>
      <vt:variant>
        <vt:i4>0</vt:i4>
      </vt:variant>
      <vt:variant>
        <vt:i4>0</vt:i4>
      </vt:variant>
      <vt:variant>
        <vt:i4>5</vt:i4>
      </vt:variant>
      <vt:variant>
        <vt:lpwstr>http://www.cidh.oas.org/annualrep/2000sp/CapituloIII/Admisible/Colombia11.726.htm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96/19</dc:title>
  <dc:creator/>
  <cp:lastModifiedBy/>
  <cp:revision>1</cp:revision>
  <dcterms:created xsi:type="dcterms:W3CDTF">2019-08-06T20:09:00Z</dcterms:created>
  <dcterms:modified xsi:type="dcterms:W3CDTF">2019-08-06T20:09:00Z</dcterms:modified>
</cp:coreProperties>
</file>