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4D6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Default="00B3148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3148A" w:rsidRDefault="00B3148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Pr="004E2649" w:rsidRDefault="00B3148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A3BBB">
                              <w:rPr>
                                <w:rFonts w:asciiTheme="majorHAnsi" w:hAnsiTheme="majorHAnsi" w:cs="Arial"/>
                                <w:b/>
                                <w:bCs/>
                                <w:color w:val="0D0D0D" w:themeColor="text1" w:themeTint="F2"/>
                                <w:sz w:val="36"/>
                                <w:szCs w:val="22"/>
                                <w:lang w:val="es-ES_tradnl"/>
                              </w:rPr>
                              <w:t xml:space="preserve"> </w:t>
                            </w:r>
                            <w:r w:rsidR="00306CB0">
                              <w:rPr>
                                <w:rFonts w:asciiTheme="majorHAnsi" w:hAnsiTheme="majorHAnsi" w:cs="Arial"/>
                                <w:b/>
                                <w:bCs/>
                                <w:color w:val="0D0D0D" w:themeColor="text1" w:themeTint="F2"/>
                                <w:sz w:val="36"/>
                                <w:szCs w:val="22"/>
                                <w:lang w:val="es-ES_tradnl"/>
                              </w:rPr>
                              <w:t>73</w:t>
                            </w:r>
                            <w:r w:rsidR="001A3BBB">
                              <w:rPr>
                                <w:rFonts w:asciiTheme="majorHAnsi" w:hAnsiTheme="majorHAnsi" w:cs="Arial"/>
                                <w:b/>
                                <w:bCs/>
                                <w:color w:val="0D0D0D" w:themeColor="text1" w:themeTint="F2"/>
                                <w:sz w:val="36"/>
                                <w:szCs w:val="22"/>
                                <w:lang w:val="es-ES_tradnl"/>
                              </w:rPr>
                              <w:t>/19</w:t>
                            </w:r>
                          </w:p>
                          <w:p w:rsidR="00B3148A" w:rsidRDefault="00B3148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3BBB">
                              <w:rPr>
                                <w:rFonts w:asciiTheme="majorHAnsi" w:hAnsiTheme="majorHAnsi" w:cs="Arial"/>
                                <w:b/>
                                <w:color w:val="0D0D0D" w:themeColor="text1" w:themeTint="F2"/>
                                <w:sz w:val="36"/>
                                <w:szCs w:val="22"/>
                                <w:lang w:val="es-ES_tradnl"/>
                              </w:rPr>
                              <w:t>1233</w:t>
                            </w:r>
                            <w:r w:rsidRPr="004E2649">
                              <w:rPr>
                                <w:rFonts w:asciiTheme="majorHAnsi" w:hAnsiTheme="majorHAnsi" w:cs="Arial"/>
                                <w:b/>
                                <w:color w:val="0D0D0D" w:themeColor="text1" w:themeTint="F2"/>
                                <w:sz w:val="36"/>
                                <w:szCs w:val="22"/>
                                <w:lang w:val="es-ES_tradnl"/>
                              </w:rPr>
                              <w:t>-</w:t>
                            </w:r>
                            <w:r w:rsidR="001A3BBB">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B3148A" w:rsidRPr="0010736F" w:rsidRDefault="00B3148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B3148A" w:rsidRDefault="00B3148A" w:rsidP="00997BC5">
                            <w:pPr>
                              <w:spacing w:line="276" w:lineRule="auto"/>
                              <w:rPr>
                                <w:rFonts w:asciiTheme="majorHAnsi" w:hAnsiTheme="majorHAnsi" w:cs="Arial"/>
                                <w:color w:val="0D0D0D" w:themeColor="text1" w:themeTint="F2"/>
                                <w:szCs w:val="22"/>
                                <w:lang w:val="es-ES_tradnl"/>
                              </w:rPr>
                            </w:pPr>
                            <w:bookmarkStart w:id="1" w:name="_ftnref1"/>
                          </w:p>
                          <w:p w:rsidR="00306CB0" w:rsidRDefault="00B314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SANTIAGO EFRAÍN VELÁZQUEZ COELLO </w:t>
                            </w:r>
                          </w:p>
                          <w:p w:rsidR="00B3148A" w:rsidRPr="0010736F" w:rsidRDefault="00B314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JORGE GUILLERMO ALVEAR MACÍAS</w:t>
                            </w:r>
                          </w:p>
                          <w:bookmarkEnd w:id="1"/>
                          <w:p w:rsidR="00B3148A" w:rsidRPr="0010736F" w:rsidRDefault="00B314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B3148A" w:rsidRPr="00AE5488" w:rsidRDefault="00B3148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3148A" w:rsidRPr="004E2649" w:rsidRDefault="00B3148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A3BBB">
                        <w:rPr>
                          <w:rFonts w:asciiTheme="majorHAnsi" w:hAnsiTheme="majorHAnsi" w:cs="Arial"/>
                          <w:b/>
                          <w:bCs/>
                          <w:color w:val="0D0D0D" w:themeColor="text1" w:themeTint="F2"/>
                          <w:sz w:val="36"/>
                          <w:szCs w:val="22"/>
                          <w:lang w:val="es-ES_tradnl"/>
                        </w:rPr>
                        <w:t xml:space="preserve"> </w:t>
                      </w:r>
                      <w:r w:rsidR="00306CB0">
                        <w:rPr>
                          <w:rFonts w:asciiTheme="majorHAnsi" w:hAnsiTheme="majorHAnsi" w:cs="Arial"/>
                          <w:b/>
                          <w:bCs/>
                          <w:color w:val="0D0D0D" w:themeColor="text1" w:themeTint="F2"/>
                          <w:sz w:val="36"/>
                          <w:szCs w:val="22"/>
                          <w:lang w:val="es-ES_tradnl"/>
                        </w:rPr>
                        <w:t>73</w:t>
                      </w:r>
                      <w:r w:rsidR="001A3BBB">
                        <w:rPr>
                          <w:rFonts w:asciiTheme="majorHAnsi" w:hAnsiTheme="majorHAnsi" w:cs="Arial"/>
                          <w:b/>
                          <w:bCs/>
                          <w:color w:val="0D0D0D" w:themeColor="text1" w:themeTint="F2"/>
                          <w:sz w:val="36"/>
                          <w:szCs w:val="22"/>
                          <w:lang w:val="es-ES_tradnl"/>
                        </w:rPr>
                        <w:t>/19</w:t>
                      </w:r>
                    </w:p>
                    <w:p w:rsidR="00B3148A" w:rsidRDefault="00B3148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3BBB">
                        <w:rPr>
                          <w:rFonts w:asciiTheme="majorHAnsi" w:hAnsiTheme="majorHAnsi" w:cs="Arial"/>
                          <w:b/>
                          <w:color w:val="0D0D0D" w:themeColor="text1" w:themeTint="F2"/>
                          <w:sz w:val="36"/>
                          <w:szCs w:val="22"/>
                          <w:lang w:val="es-ES_tradnl"/>
                        </w:rPr>
                        <w:t>1233</w:t>
                      </w:r>
                      <w:r w:rsidRPr="004E2649">
                        <w:rPr>
                          <w:rFonts w:asciiTheme="majorHAnsi" w:hAnsiTheme="majorHAnsi" w:cs="Arial"/>
                          <w:b/>
                          <w:color w:val="0D0D0D" w:themeColor="text1" w:themeTint="F2"/>
                          <w:sz w:val="36"/>
                          <w:szCs w:val="22"/>
                          <w:lang w:val="es-ES_tradnl"/>
                        </w:rPr>
                        <w:t>-</w:t>
                      </w:r>
                      <w:r w:rsidR="001A3BBB">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B3148A" w:rsidRPr="0010736F" w:rsidRDefault="00B3148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B3148A" w:rsidRDefault="00B3148A" w:rsidP="00997BC5">
                      <w:pPr>
                        <w:spacing w:line="276" w:lineRule="auto"/>
                        <w:rPr>
                          <w:rFonts w:asciiTheme="majorHAnsi" w:hAnsiTheme="majorHAnsi" w:cs="Arial"/>
                          <w:color w:val="0D0D0D" w:themeColor="text1" w:themeTint="F2"/>
                          <w:szCs w:val="22"/>
                          <w:lang w:val="es-ES_tradnl"/>
                        </w:rPr>
                      </w:pPr>
                      <w:bookmarkStart w:id="2" w:name="_ftnref1"/>
                    </w:p>
                    <w:p w:rsidR="00306CB0" w:rsidRDefault="00B314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SANTIAGO EFRAÍN VELÁZQUEZ COELLO </w:t>
                      </w:r>
                    </w:p>
                    <w:p w:rsidR="00B3148A" w:rsidRPr="0010736F" w:rsidRDefault="00B314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JORGE GUILLERMO ALVEAR MACÍAS</w:t>
                      </w:r>
                    </w:p>
                    <w:bookmarkEnd w:id="2"/>
                    <w:p w:rsidR="00B3148A" w:rsidRPr="0010736F" w:rsidRDefault="00B314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B3148A" w:rsidRPr="00AE5488" w:rsidRDefault="00B3148A"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Pr="004E2649" w:rsidRDefault="00B3148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3148A" w:rsidRPr="004E2649" w:rsidRDefault="00306CB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rsidR="00B3148A" w:rsidRPr="004E2649" w:rsidRDefault="00306CB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19 mayo </w:t>
                            </w:r>
                            <w:r w:rsidR="00B3148A" w:rsidRPr="004E2649">
                              <w:rPr>
                                <w:rFonts w:asciiTheme="minorHAnsi" w:hAnsiTheme="minorHAnsi"/>
                                <w:color w:val="FFFFFF" w:themeColor="background1"/>
                                <w:sz w:val="22"/>
                              </w:rPr>
                              <w:t>201</w:t>
                            </w:r>
                            <w:r>
                              <w:rPr>
                                <w:rFonts w:asciiTheme="minorHAnsi" w:hAnsiTheme="minorHAnsi"/>
                                <w:color w:val="FFFFFF" w:themeColor="background1"/>
                                <w:sz w:val="22"/>
                              </w:rPr>
                              <w:t>9</w:t>
                            </w:r>
                          </w:p>
                          <w:p w:rsidR="00B3148A" w:rsidRPr="004E2649" w:rsidRDefault="00B3148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3148A" w:rsidRPr="004E2649" w:rsidRDefault="00B3148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3148A" w:rsidRPr="004E2649" w:rsidRDefault="00306CB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rsidR="00B3148A" w:rsidRPr="004E2649" w:rsidRDefault="00306CB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19 mayo </w:t>
                      </w:r>
                      <w:r w:rsidR="00B3148A" w:rsidRPr="004E2649">
                        <w:rPr>
                          <w:rFonts w:asciiTheme="minorHAnsi" w:hAnsiTheme="minorHAnsi"/>
                          <w:color w:val="FFFFFF" w:themeColor="background1"/>
                          <w:sz w:val="22"/>
                        </w:rPr>
                        <w:t>201</w:t>
                      </w:r>
                      <w:r>
                        <w:rPr>
                          <w:rFonts w:asciiTheme="minorHAnsi" w:hAnsiTheme="minorHAnsi"/>
                          <w:color w:val="FFFFFF" w:themeColor="background1"/>
                          <w:sz w:val="22"/>
                        </w:rPr>
                        <w:t>9</w:t>
                      </w:r>
                    </w:p>
                    <w:p w:rsidR="00B3148A" w:rsidRPr="004E2649" w:rsidRDefault="00B3148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Pr="00890650" w:rsidRDefault="00B3148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6CB0">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306CB0">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A3BBB">
                              <w:rPr>
                                <w:rFonts w:asciiTheme="majorHAnsi" w:hAnsiTheme="majorHAnsi"/>
                                <w:color w:val="0D0D0D" w:themeColor="text1" w:themeTint="F2"/>
                                <w:sz w:val="18"/>
                                <w:szCs w:val="22"/>
                                <w:lang w:val="es-ES"/>
                              </w:rPr>
                              <w:t>9</w:t>
                            </w:r>
                            <w:r w:rsidR="00D02417">
                              <w:rPr>
                                <w:rFonts w:asciiTheme="majorHAnsi" w:hAnsiTheme="majorHAnsi"/>
                                <w:color w:val="0D0D0D" w:themeColor="text1" w:themeTint="F2"/>
                                <w:sz w:val="18"/>
                                <w:szCs w:val="22"/>
                                <w:lang w:val="es-ES"/>
                              </w:rPr>
                              <w:t>.</w:t>
                            </w:r>
                          </w:p>
                          <w:p w:rsidR="00B3148A" w:rsidRPr="007A5817" w:rsidRDefault="00B3148A" w:rsidP="00247403">
                            <w:pPr>
                              <w:tabs>
                                <w:tab w:val="center" w:pos="5400"/>
                              </w:tabs>
                              <w:suppressAutoHyphens/>
                              <w:spacing w:before="60"/>
                              <w:rPr>
                                <w:rFonts w:asciiTheme="minorHAnsi" w:hAnsiTheme="minorHAnsi" w:cs="Univers"/>
                                <w:color w:val="0D0D0D" w:themeColor="text1" w:themeTint="F2"/>
                                <w:sz w:val="20"/>
                                <w:szCs w:val="20"/>
                                <w:lang w:val="es-ES"/>
                              </w:rPr>
                            </w:pPr>
                          </w:p>
                          <w:p w:rsidR="00B3148A" w:rsidRPr="00167A34" w:rsidRDefault="00B3148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3148A" w:rsidRPr="00890650" w:rsidRDefault="00B3148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6CB0">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306CB0">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A3BBB">
                        <w:rPr>
                          <w:rFonts w:asciiTheme="majorHAnsi" w:hAnsiTheme="majorHAnsi"/>
                          <w:color w:val="0D0D0D" w:themeColor="text1" w:themeTint="F2"/>
                          <w:sz w:val="18"/>
                          <w:szCs w:val="22"/>
                          <w:lang w:val="es-ES"/>
                        </w:rPr>
                        <w:t>9</w:t>
                      </w:r>
                      <w:r w:rsidR="00D02417">
                        <w:rPr>
                          <w:rFonts w:asciiTheme="majorHAnsi" w:hAnsiTheme="majorHAnsi"/>
                          <w:color w:val="0D0D0D" w:themeColor="text1" w:themeTint="F2"/>
                          <w:sz w:val="18"/>
                          <w:szCs w:val="22"/>
                          <w:lang w:val="es-ES"/>
                        </w:rPr>
                        <w:t>.</w:t>
                      </w:r>
                    </w:p>
                    <w:p w:rsidR="00B3148A" w:rsidRPr="007A5817" w:rsidRDefault="00B3148A" w:rsidP="00247403">
                      <w:pPr>
                        <w:tabs>
                          <w:tab w:val="center" w:pos="5400"/>
                        </w:tabs>
                        <w:suppressAutoHyphens/>
                        <w:spacing w:before="60"/>
                        <w:rPr>
                          <w:rFonts w:asciiTheme="minorHAnsi" w:hAnsiTheme="minorHAnsi" w:cs="Univers"/>
                          <w:color w:val="0D0D0D" w:themeColor="text1" w:themeTint="F2"/>
                          <w:sz w:val="20"/>
                          <w:szCs w:val="20"/>
                          <w:lang w:val="es-ES"/>
                        </w:rPr>
                      </w:pPr>
                    </w:p>
                    <w:p w:rsidR="00B3148A" w:rsidRPr="00167A34" w:rsidRDefault="00B3148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Pr="007B05C4" w:rsidRDefault="00B3148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6CB0" w:rsidRPr="00306CB0">
                              <w:rPr>
                                <w:rFonts w:asciiTheme="majorHAnsi" w:hAnsiTheme="majorHAnsi"/>
                                <w:color w:val="595959" w:themeColor="text1" w:themeTint="A6"/>
                                <w:sz w:val="18"/>
                                <w:szCs w:val="18"/>
                                <w:lang w:val="pt-BR"/>
                              </w:rPr>
                              <w:t>73</w:t>
                            </w:r>
                            <w:r w:rsidRPr="00306CB0">
                              <w:rPr>
                                <w:rFonts w:asciiTheme="majorHAnsi" w:hAnsiTheme="majorHAnsi"/>
                                <w:color w:val="595959" w:themeColor="text1" w:themeTint="A6"/>
                                <w:sz w:val="18"/>
                                <w:szCs w:val="18"/>
                                <w:lang w:val="pt-BR"/>
                              </w:rPr>
                              <w:t>/1</w:t>
                            </w:r>
                            <w:r w:rsidR="00306CB0" w:rsidRPr="00306CB0">
                              <w:rPr>
                                <w:rFonts w:asciiTheme="majorHAnsi" w:hAnsiTheme="majorHAnsi"/>
                                <w:color w:val="595959" w:themeColor="text1" w:themeTint="A6"/>
                                <w:sz w:val="18"/>
                                <w:szCs w:val="18"/>
                                <w:lang w:val="pt-BR"/>
                              </w:rPr>
                              <w:t>9</w:t>
                            </w:r>
                            <w:r w:rsidRPr="00306CB0">
                              <w:rPr>
                                <w:rFonts w:asciiTheme="majorHAnsi" w:hAnsiTheme="majorHAnsi"/>
                                <w:color w:val="595959" w:themeColor="text1" w:themeTint="A6"/>
                                <w:sz w:val="18"/>
                                <w:szCs w:val="18"/>
                                <w:lang w:val="pt-BR"/>
                              </w:rPr>
                              <w:t xml:space="preserve">. </w:t>
                            </w:r>
                            <w:r w:rsidR="00306CB0">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Santiago Efraín Velázquez Coello y Jorge Guillermo Alvear Macías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4A3501">
                              <w:rPr>
                                <w:rFonts w:asciiTheme="majorHAnsi" w:hAnsiTheme="majorHAnsi"/>
                                <w:color w:val="595959" w:themeColor="text1" w:themeTint="A6"/>
                                <w:sz w:val="18"/>
                                <w:szCs w:val="18"/>
                                <w:lang w:val="es-ES"/>
                              </w:rPr>
                              <w:t>19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3148A" w:rsidRPr="007B05C4" w:rsidRDefault="00B3148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6CB0" w:rsidRPr="00306CB0">
                        <w:rPr>
                          <w:rFonts w:asciiTheme="majorHAnsi" w:hAnsiTheme="majorHAnsi"/>
                          <w:color w:val="595959" w:themeColor="text1" w:themeTint="A6"/>
                          <w:sz w:val="18"/>
                          <w:szCs w:val="18"/>
                          <w:lang w:val="pt-BR"/>
                        </w:rPr>
                        <w:t>73</w:t>
                      </w:r>
                      <w:r w:rsidRPr="00306CB0">
                        <w:rPr>
                          <w:rFonts w:asciiTheme="majorHAnsi" w:hAnsiTheme="majorHAnsi"/>
                          <w:color w:val="595959" w:themeColor="text1" w:themeTint="A6"/>
                          <w:sz w:val="18"/>
                          <w:szCs w:val="18"/>
                          <w:lang w:val="pt-BR"/>
                        </w:rPr>
                        <w:t>/1</w:t>
                      </w:r>
                      <w:r w:rsidR="00306CB0" w:rsidRPr="00306CB0">
                        <w:rPr>
                          <w:rFonts w:asciiTheme="majorHAnsi" w:hAnsiTheme="majorHAnsi"/>
                          <w:color w:val="595959" w:themeColor="text1" w:themeTint="A6"/>
                          <w:sz w:val="18"/>
                          <w:szCs w:val="18"/>
                          <w:lang w:val="pt-BR"/>
                        </w:rPr>
                        <w:t>9</w:t>
                      </w:r>
                      <w:r w:rsidRPr="00306CB0">
                        <w:rPr>
                          <w:rFonts w:asciiTheme="majorHAnsi" w:hAnsiTheme="majorHAnsi"/>
                          <w:color w:val="595959" w:themeColor="text1" w:themeTint="A6"/>
                          <w:sz w:val="18"/>
                          <w:szCs w:val="18"/>
                          <w:lang w:val="pt-BR"/>
                        </w:rPr>
                        <w:t xml:space="preserve">. </w:t>
                      </w:r>
                      <w:r w:rsidR="00306CB0">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Santiago Efraín Velázquez Coello y Jorge Guillermo Alvear Macías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4A3501">
                        <w:rPr>
                          <w:rFonts w:asciiTheme="majorHAnsi" w:hAnsiTheme="majorHAnsi"/>
                          <w:color w:val="595959" w:themeColor="text1" w:themeTint="A6"/>
                          <w:sz w:val="18"/>
                          <w:szCs w:val="18"/>
                          <w:lang w:val="es-ES"/>
                        </w:rPr>
                        <w:t>19 de mayo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Pr="00D72DC6" w:rsidRDefault="00B3148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3148A" w:rsidRPr="00D72DC6" w:rsidRDefault="00B3148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48A" w:rsidRPr="004B7EB6" w:rsidRDefault="00B314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3148A" w:rsidRPr="004B7EB6" w:rsidRDefault="00B314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E21DA8" w:rsidRDefault="003239B8" w:rsidP="004A6A54">
      <w:pPr>
        <w:spacing w:after="240"/>
        <w:ind w:firstLine="720"/>
        <w:jc w:val="both"/>
        <w:rPr>
          <w:rFonts w:asciiTheme="majorHAnsi" w:hAnsiTheme="majorHAnsi"/>
          <w:b/>
          <w:bCs/>
          <w:sz w:val="19"/>
          <w:szCs w:val="19"/>
          <w:lang w:val="es-ES"/>
        </w:rPr>
      </w:pPr>
      <w:r w:rsidRPr="00E21DA8">
        <w:rPr>
          <w:rFonts w:asciiTheme="majorHAnsi" w:hAnsiTheme="majorHAnsi"/>
          <w:b/>
          <w:bCs/>
          <w:sz w:val="19"/>
          <w:szCs w:val="19"/>
          <w:lang w:val="es-ES"/>
        </w:rPr>
        <w:lastRenderedPageBreak/>
        <w:t>I.</w:t>
      </w:r>
      <w:r w:rsidRPr="00E21DA8">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A3501" w:rsidTr="004A6A54">
        <w:tc>
          <w:tcPr>
            <w:tcW w:w="3600" w:type="dxa"/>
            <w:tcBorders>
              <w:top w:val="single" w:sz="4"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Parte peticionaria:</w:t>
            </w:r>
          </w:p>
        </w:tc>
        <w:tc>
          <w:tcPr>
            <w:tcW w:w="5760" w:type="dxa"/>
            <w:vAlign w:val="center"/>
          </w:tcPr>
          <w:p w:rsidR="003239B8" w:rsidRPr="00E21DA8" w:rsidRDefault="00E85147" w:rsidP="00B3148A">
            <w:pPr>
              <w:jc w:val="both"/>
              <w:rPr>
                <w:rFonts w:asciiTheme="majorHAnsi" w:hAnsiTheme="majorHAnsi"/>
                <w:bCs/>
                <w:sz w:val="19"/>
                <w:szCs w:val="19"/>
                <w:lang w:val="es-PA"/>
              </w:rPr>
            </w:pPr>
            <w:r w:rsidRPr="00E21DA8">
              <w:rPr>
                <w:rFonts w:asciiTheme="majorHAnsi" w:hAnsiTheme="majorHAnsi"/>
                <w:bCs/>
                <w:sz w:val="19"/>
                <w:szCs w:val="19"/>
                <w:lang w:val="es-PA"/>
              </w:rPr>
              <w:t xml:space="preserve">Santiago </w:t>
            </w:r>
            <w:r w:rsidR="001A3BBB" w:rsidRPr="00E21DA8">
              <w:rPr>
                <w:rFonts w:asciiTheme="majorHAnsi" w:hAnsiTheme="majorHAnsi"/>
                <w:bCs/>
                <w:sz w:val="19"/>
                <w:szCs w:val="19"/>
                <w:lang w:val="es-PA"/>
              </w:rPr>
              <w:t>Efraín</w:t>
            </w:r>
            <w:r w:rsidRPr="00E21DA8">
              <w:rPr>
                <w:rFonts w:asciiTheme="majorHAnsi" w:hAnsiTheme="majorHAnsi"/>
                <w:bCs/>
                <w:sz w:val="19"/>
                <w:szCs w:val="19"/>
                <w:lang w:val="es-PA"/>
              </w:rPr>
              <w:t xml:space="preserve"> Velázque</w:t>
            </w:r>
            <w:r w:rsidR="001A3BBB" w:rsidRPr="00E21DA8">
              <w:rPr>
                <w:rFonts w:asciiTheme="majorHAnsi" w:hAnsiTheme="majorHAnsi"/>
                <w:bCs/>
                <w:sz w:val="19"/>
                <w:szCs w:val="19"/>
                <w:lang w:val="es-PA"/>
              </w:rPr>
              <w:t>z</w:t>
            </w:r>
            <w:r w:rsidRPr="00E21DA8">
              <w:rPr>
                <w:rFonts w:asciiTheme="majorHAnsi" w:hAnsiTheme="majorHAnsi"/>
                <w:bCs/>
                <w:sz w:val="19"/>
                <w:szCs w:val="19"/>
                <w:lang w:val="es-PA"/>
              </w:rPr>
              <w:t xml:space="preserve"> Coello y Jorge Guillermo Alvear Macías</w:t>
            </w:r>
          </w:p>
        </w:tc>
      </w:tr>
      <w:tr w:rsidR="003239B8" w:rsidRPr="004A3501" w:rsidTr="004A6A54">
        <w:tc>
          <w:tcPr>
            <w:tcW w:w="3600" w:type="dxa"/>
            <w:tcBorders>
              <w:top w:val="single" w:sz="6" w:space="0" w:color="auto"/>
              <w:bottom w:val="single" w:sz="6" w:space="0" w:color="auto"/>
            </w:tcBorders>
            <w:shd w:val="clear" w:color="auto" w:fill="386294"/>
            <w:vAlign w:val="center"/>
          </w:tcPr>
          <w:p w:rsidR="003239B8" w:rsidRPr="00E21DA8" w:rsidRDefault="00F84337" w:rsidP="00B3148A">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21DA8">
                  <w:rPr>
                    <w:rFonts w:asciiTheme="majorHAnsi" w:hAnsiTheme="majorHAnsi"/>
                    <w:b/>
                    <w:bCs/>
                    <w:color w:val="FFFFFF" w:themeColor="background1"/>
                    <w:sz w:val="19"/>
                    <w:szCs w:val="19"/>
                  </w:rPr>
                  <w:t>Presunta víctima</w:t>
                </w:r>
              </w:sdtContent>
            </w:sdt>
            <w:r w:rsidR="003239B8" w:rsidRPr="00E21DA8">
              <w:rPr>
                <w:rFonts w:asciiTheme="majorHAnsi" w:hAnsiTheme="majorHAnsi"/>
                <w:b/>
                <w:bCs/>
                <w:color w:val="FFFFFF" w:themeColor="background1"/>
                <w:sz w:val="19"/>
                <w:szCs w:val="19"/>
              </w:rPr>
              <w:t>:</w:t>
            </w:r>
          </w:p>
        </w:tc>
        <w:tc>
          <w:tcPr>
            <w:tcW w:w="5760" w:type="dxa"/>
            <w:vAlign w:val="center"/>
          </w:tcPr>
          <w:p w:rsidR="003239B8" w:rsidRPr="00E21DA8" w:rsidRDefault="00E85147" w:rsidP="00B3148A">
            <w:pPr>
              <w:jc w:val="both"/>
              <w:rPr>
                <w:rFonts w:asciiTheme="majorHAnsi" w:hAnsiTheme="majorHAnsi"/>
                <w:bCs/>
                <w:sz w:val="19"/>
                <w:szCs w:val="19"/>
                <w:lang w:val="es-ES"/>
              </w:rPr>
            </w:pPr>
            <w:r w:rsidRPr="00E21DA8">
              <w:rPr>
                <w:rFonts w:asciiTheme="majorHAnsi" w:hAnsiTheme="majorHAnsi"/>
                <w:bCs/>
                <w:sz w:val="19"/>
                <w:szCs w:val="19"/>
                <w:lang w:val="es-PA"/>
              </w:rPr>
              <w:t xml:space="preserve">Santiago </w:t>
            </w:r>
            <w:r w:rsidR="001A3BBB" w:rsidRPr="00E21DA8">
              <w:rPr>
                <w:rFonts w:asciiTheme="majorHAnsi" w:hAnsiTheme="majorHAnsi"/>
                <w:bCs/>
                <w:sz w:val="19"/>
                <w:szCs w:val="19"/>
                <w:lang w:val="es-PA"/>
              </w:rPr>
              <w:t>Efraín</w:t>
            </w:r>
            <w:r w:rsidRPr="00E21DA8">
              <w:rPr>
                <w:rFonts w:asciiTheme="majorHAnsi" w:hAnsiTheme="majorHAnsi"/>
                <w:bCs/>
                <w:sz w:val="19"/>
                <w:szCs w:val="19"/>
                <w:lang w:val="es-PA"/>
              </w:rPr>
              <w:t xml:space="preserve"> Velázque</w:t>
            </w:r>
            <w:r w:rsidR="001A3BBB" w:rsidRPr="00E21DA8">
              <w:rPr>
                <w:rFonts w:asciiTheme="majorHAnsi" w:hAnsiTheme="majorHAnsi"/>
                <w:bCs/>
                <w:sz w:val="19"/>
                <w:szCs w:val="19"/>
                <w:lang w:val="es-PA"/>
              </w:rPr>
              <w:t>z</w:t>
            </w:r>
            <w:r w:rsidRPr="00E21DA8">
              <w:rPr>
                <w:rFonts w:asciiTheme="majorHAnsi" w:hAnsiTheme="majorHAnsi"/>
                <w:bCs/>
                <w:sz w:val="19"/>
                <w:szCs w:val="19"/>
                <w:lang w:val="es-PA"/>
              </w:rPr>
              <w:t xml:space="preserve"> Coello y Jorge Guillermo Alvear Macías</w:t>
            </w:r>
          </w:p>
        </w:tc>
      </w:tr>
      <w:tr w:rsidR="003239B8" w:rsidRPr="00E21DA8" w:rsidTr="004A6A54">
        <w:tc>
          <w:tcPr>
            <w:tcW w:w="3600" w:type="dxa"/>
            <w:tcBorders>
              <w:top w:val="single" w:sz="6"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Estado denunciado:</w:t>
            </w:r>
          </w:p>
        </w:tc>
        <w:tc>
          <w:tcPr>
            <w:tcW w:w="5760" w:type="dxa"/>
            <w:vAlign w:val="center"/>
          </w:tcPr>
          <w:p w:rsidR="003239B8" w:rsidRPr="00E21DA8" w:rsidRDefault="00E85147" w:rsidP="00B3148A">
            <w:pPr>
              <w:jc w:val="both"/>
              <w:rPr>
                <w:rFonts w:asciiTheme="majorHAnsi" w:hAnsiTheme="majorHAnsi"/>
                <w:bCs/>
                <w:sz w:val="19"/>
                <w:szCs w:val="19"/>
              </w:rPr>
            </w:pPr>
            <w:r w:rsidRPr="00E21DA8">
              <w:rPr>
                <w:rFonts w:asciiTheme="majorHAnsi" w:hAnsiTheme="majorHAnsi"/>
                <w:bCs/>
                <w:sz w:val="19"/>
                <w:szCs w:val="19"/>
              </w:rPr>
              <w:t>Ecuador</w:t>
            </w:r>
          </w:p>
        </w:tc>
      </w:tr>
      <w:tr w:rsidR="00223A29" w:rsidRPr="004A3501" w:rsidTr="004A6A54">
        <w:tc>
          <w:tcPr>
            <w:tcW w:w="3600" w:type="dxa"/>
            <w:tcBorders>
              <w:top w:val="single" w:sz="6" w:space="0" w:color="auto"/>
              <w:bottom w:val="single" w:sz="6" w:space="0" w:color="auto"/>
            </w:tcBorders>
            <w:shd w:val="clear" w:color="auto" w:fill="386294"/>
            <w:vAlign w:val="center"/>
          </w:tcPr>
          <w:p w:rsidR="00223A29" w:rsidRPr="00E21DA8" w:rsidRDefault="001B3A00" w:rsidP="00E4118C">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 xml:space="preserve">Derechos </w:t>
            </w:r>
            <w:r w:rsidR="00E4118C" w:rsidRPr="00E21DA8">
              <w:rPr>
                <w:rFonts w:asciiTheme="majorHAnsi" w:hAnsiTheme="majorHAnsi"/>
                <w:b/>
                <w:bCs/>
                <w:color w:val="FFFFFF" w:themeColor="background1"/>
                <w:sz w:val="19"/>
                <w:szCs w:val="19"/>
              </w:rPr>
              <w:t>invocados</w:t>
            </w:r>
            <w:r w:rsidRPr="00E21DA8">
              <w:rPr>
                <w:rFonts w:asciiTheme="majorHAnsi" w:hAnsiTheme="majorHAnsi"/>
                <w:b/>
                <w:bCs/>
                <w:color w:val="FFFFFF" w:themeColor="background1"/>
                <w:sz w:val="19"/>
                <w:szCs w:val="19"/>
              </w:rPr>
              <w:t>:</w:t>
            </w:r>
          </w:p>
        </w:tc>
        <w:tc>
          <w:tcPr>
            <w:tcW w:w="5760" w:type="dxa"/>
            <w:vAlign w:val="center"/>
          </w:tcPr>
          <w:p w:rsidR="00223A29" w:rsidRPr="00E21DA8" w:rsidRDefault="004652CA" w:rsidP="00B3148A">
            <w:pPr>
              <w:jc w:val="both"/>
              <w:rPr>
                <w:rFonts w:asciiTheme="majorHAnsi" w:hAnsiTheme="majorHAnsi"/>
                <w:bCs/>
                <w:sz w:val="19"/>
                <w:szCs w:val="19"/>
                <w:lang w:val="es-PA"/>
              </w:rPr>
            </w:pPr>
            <w:r w:rsidRPr="00E21DA8">
              <w:rPr>
                <w:rFonts w:asciiTheme="majorHAnsi" w:hAnsiTheme="majorHAnsi"/>
                <w:bCs/>
                <w:sz w:val="19"/>
                <w:szCs w:val="19"/>
                <w:lang w:val="es-PA"/>
              </w:rPr>
              <w:t xml:space="preserve">Artículos 5 (integridad personal), 8 (garantías judiciales), 9 (principio de legalidad y </w:t>
            </w:r>
            <w:r w:rsidR="00EF67E9" w:rsidRPr="00E21DA8">
              <w:rPr>
                <w:rFonts w:asciiTheme="majorHAnsi" w:hAnsiTheme="majorHAnsi"/>
                <w:bCs/>
                <w:sz w:val="19"/>
                <w:szCs w:val="19"/>
                <w:lang w:val="es-PA"/>
              </w:rPr>
              <w:t xml:space="preserve">de </w:t>
            </w:r>
            <w:r w:rsidRPr="00E21DA8">
              <w:rPr>
                <w:rFonts w:asciiTheme="majorHAnsi" w:hAnsiTheme="majorHAnsi"/>
                <w:bCs/>
                <w:sz w:val="19"/>
                <w:szCs w:val="19"/>
                <w:lang w:val="es-PA"/>
              </w:rPr>
              <w:t>retroactividad), 11 (honra y dignidad), 23 (derechos políticos), 24 (igualdad ante la ley) y 25 (protección judicial) de la Convenci</w:t>
            </w:r>
            <w:r w:rsidR="00775F1D" w:rsidRPr="00E21DA8">
              <w:rPr>
                <w:rFonts w:asciiTheme="majorHAnsi" w:hAnsiTheme="majorHAnsi"/>
                <w:bCs/>
                <w:sz w:val="19"/>
                <w:szCs w:val="19"/>
                <w:lang w:val="es-PA"/>
              </w:rPr>
              <w:t xml:space="preserve">ón Americana </w:t>
            </w:r>
            <w:r w:rsidRPr="00E21DA8">
              <w:rPr>
                <w:rFonts w:asciiTheme="majorHAnsi" w:hAnsiTheme="majorHAnsi"/>
                <w:bCs/>
                <w:sz w:val="19"/>
                <w:szCs w:val="19"/>
                <w:lang w:val="es-PA"/>
              </w:rPr>
              <w:t>Sobre Derechos Humanos</w:t>
            </w:r>
            <w:r w:rsidR="00775F1D" w:rsidRPr="00E21DA8">
              <w:rPr>
                <w:rStyle w:val="FootnoteReference"/>
                <w:rFonts w:asciiTheme="majorHAnsi" w:hAnsiTheme="majorHAnsi"/>
                <w:bCs/>
                <w:sz w:val="19"/>
                <w:szCs w:val="19"/>
                <w:lang w:val="es-PA"/>
              </w:rPr>
              <w:footnoteReference w:id="2"/>
            </w:r>
            <w:r w:rsidRPr="00E21DA8">
              <w:rPr>
                <w:rFonts w:asciiTheme="majorHAnsi" w:hAnsiTheme="majorHAnsi"/>
                <w:bCs/>
                <w:sz w:val="19"/>
                <w:szCs w:val="19"/>
                <w:lang w:val="es-PA"/>
              </w:rPr>
              <w:t xml:space="preserve"> en relación con sus artículos 1 (obligación de respetar los derechos) y 2 (deber de adoptar disposiciones de derecho interno)</w:t>
            </w:r>
          </w:p>
        </w:tc>
      </w:tr>
    </w:tbl>
    <w:p w:rsidR="003239B8" w:rsidRPr="00E21DA8" w:rsidRDefault="003239B8" w:rsidP="003239B8">
      <w:pPr>
        <w:spacing w:before="240" w:after="240"/>
        <w:ind w:firstLine="720"/>
        <w:jc w:val="both"/>
        <w:rPr>
          <w:rFonts w:asciiTheme="majorHAnsi" w:hAnsiTheme="majorHAnsi"/>
          <w:b/>
          <w:bCs/>
          <w:sz w:val="19"/>
          <w:szCs w:val="19"/>
          <w:lang w:val="es-ES"/>
        </w:rPr>
      </w:pPr>
      <w:r w:rsidRPr="00E21DA8">
        <w:rPr>
          <w:rFonts w:asciiTheme="majorHAnsi" w:hAnsiTheme="majorHAnsi"/>
          <w:b/>
          <w:bCs/>
          <w:sz w:val="19"/>
          <w:szCs w:val="19"/>
          <w:lang w:val="es-ES"/>
        </w:rPr>
        <w:t>II.</w:t>
      </w:r>
      <w:r w:rsidRPr="00E21DA8">
        <w:rPr>
          <w:rFonts w:asciiTheme="majorHAnsi" w:hAnsiTheme="majorHAnsi"/>
          <w:b/>
          <w:bCs/>
          <w:sz w:val="19"/>
          <w:szCs w:val="19"/>
          <w:lang w:val="es-ES"/>
        </w:rPr>
        <w:tab/>
        <w:t>TRÁMITE ANTE LA CIDH</w:t>
      </w:r>
      <w:r w:rsidR="008E3BFE" w:rsidRPr="00E21DA8">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21DA8" w:rsidTr="004A6A54">
        <w:tc>
          <w:tcPr>
            <w:tcW w:w="3600" w:type="dxa"/>
            <w:tcBorders>
              <w:top w:val="single" w:sz="6" w:space="0" w:color="auto"/>
              <w:bottom w:val="single" w:sz="6" w:space="0" w:color="auto"/>
            </w:tcBorders>
            <w:shd w:val="clear" w:color="auto" w:fill="386294"/>
            <w:vAlign w:val="center"/>
          </w:tcPr>
          <w:p w:rsidR="004C2312" w:rsidRPr="00E21DA8" w:rsidRDefault="004A6A54" w:rsidP="004A6A54">
            <w:pPr>
              <w:jc w:val="center"/>
              <w:rPr>
                <w:rFonts w:asciiTheme="majorHAnsi" w:hAnsiTheme="majorHAnsi"/>
                <w:b/>
                <w:bCs/>
                <w:color w:val="FFFFFF" w:themeColor="background1"/>
                <w:sz w:val="19"/>
                <w:szCs w:val="19"/>
                <w:lang w:val="es-ES"/>
              </w:rPr>
            </w:pPr>
            <w:r w:rsidRPr="00E21DA8">
              <w:rPr>
                <w:rFonts w:asciiTheme="majorHAnsi" w:hAnsiTheme="majorHAnsi"/>
                <w:b/>
                <w:bCs/>
                <w:color w:val="FFFFFF" w:themeColor="background1"/>
                <w:sz w:val="19"/>
                <w:szCs w:val="19"/>
                <w:lang w:val="es-ES"/>
              </w:rPr>
              <w:t>P</w:t>
            </w:r>
            <w:r w:rsidR="004C2312" w:rsidRPr="00E21DA8">
              <w:rPr>
                <w:rFonts w:asciiTheme="majorHAnsi" w:hAnsiTheme="majorHAnsi"/>
                <w:b/>
                <w:bCs/>
                <w:color w:val="FFFFFF" w:themeColor="background1"/>
                <w:sz w:val="19"/>
                <w:szCs w:val="19"/>
                <w:lang w:val="es-ES"/>
              </w:rPr>
              <w:t>resentación de la petición:</w:t>
            </w:r>
          </w:p>
        </w:tc>
        <w:tc>
          <w:tcPr>
            <w:tcW w:w="5760" w:type="dxa"/>
            <w:vAlign w:val="center"/>
          </w:tcPr>
          <w:p w:rsidR="004C2312" w:rsidRPr="00E21DA8" w:rsidRDefault="006D42D6" w:rsidP="00B3148A">
            <w:pPr>
              <w:jc w:val="both"/>
              <w:rPr>
                <w:rFonts w:asciiTheme="majorHAnsi" w:hAnsiTheme="majorHAnsi"/>
                <w:bCs/>
                <w:sz w:val="19"/>
                <w:szCs w:val="19"/>
                <w:lang w:val="es-ES"/>
              </w:rPr>
            </w:pPr>
            <w:r w:rsidRPr="00E21DA8">
              <w:rPr>
                <w:rFonts w:asciiTheme="majorHAnsi" w:hAnsiTheme="majorHAnsi"/>
                <w:bCs/>
                <w:sz w:val="19"/>
                <w:szCs w:val="19"/>
                <w:lang w:val="es-ES"/>
              </w:rPr>
              <w:t>5 de octubre de 2009</w:t>
            </w:r>
          </w:p>
        </w:tc>
      </w:tr>
      <w:tr w:rsidR="001E49E7" w:rsidRPr="004A3501" w:rsidTr="004A6A54">
        <w:tc>
          <w:tcPr>
            <w:tcW w:w="3600" w:type="dxa"/>
            <w:tcBorders>
              <w:top w:val="single" w:sz="6" w:space="0" w:color="auto"/>
              <w:bottom w:val="single" w:sz="6" w:space="0" w:color="auto"/>
            </w:tcBorders>
            <w:shd w:val="clear" w:color="auto" w:fill="386294"/>
            <w:vAlign w:val="center"/>
          </w:tcPr>
          <w:p w:rsidR="001E49E7" w:rsidRPr="00E21DA8" w:rsidRDefault="001E49E7" w:rsidP="001E49E7">
            <w:pPr>
              <w:jc w:val="center"/>
              <w:rPr>
                <w:rFonts w:asciiTheme="majorHAnsi" w:hAnsiTheme="majorHAnsi"/>
                <w:b/>
                <w:bCs/>
                <w:color w:val="FFFFFF" w:themeColor="background1"/>
                <w:sz w:val="19"/>
                <w:szCs w:val="19"/>
                <w:lang w:val="es-ES"/>
              </w:rPr>
            </w:pPr>
            <w:r w:rsidRPr="00E21DA8">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E21DA8" w:rsidRDefault="00E91C73" w:rsidP="00735792">
            <w:pPr>
              <w:rPr>
                <w:rFonts w:asciiTheme="majorHAnsi" w:hAnsiTheme="majorHAnsi"/>
                <w:b/>
                <w:bCs/>
                <w:color w:val="FFFFFF" w:themeColor="background1"/>
                <w:sz w:val="19"/>
                <w:szCs w:val="19"/>
                <w:lang w:val="es-AR"/>
              </w:rPr>
            </w:pPr>
            <w:r w:rsidRPr="00E21DA8">
              <w:rPr>
                <w:rFonts w:asciiTheme="majorHAnsi" w:hAnsiTheme="majorHAnsi"/>
                <w:bCs/>
                <w:sz w:val="19"/>
                <w:szCs w:val="19"/>
                <w:lang w:val="es-ES"/>
              </w:rPr>
              <w:t xml:space="preserve">15 de marzo y </w:t>
            </w:r>
            <w:r w:rsidR="00775F1D" w:rsidRPr="00E21DA8">
              <w:rPr>
                <w:rFonts w:asciiTheme="majorHAnsi" w:hAnsiTheme="majorHAnsi"/>
                <w:bCs/>
                <w:sz w:val="19"/>
                <w:szCs w:val="19"/>
                <w:lang w:val="es-ES"/>
              </w:rPr>
              <w:t>3 de octubre de 2011; 1</w:t>
            </w:r>
            <w:r w:rsidR="005B3598" w:rsidRPr="00E21DA8">
              <w:rPr>
                <w:rFonts w:asciiTheme="majorHAnsi" w:hAnsiTheme="majorHAnsi"/>
                <w:bCs/>
                <w:sz w:val="19"/>
                <w:szCs w:val="19"/>
                <w:lang w:val="es-ES"/>
              </w:rPr>
              <w:t>9 de marzo de 2012; 11 de enero</w:t>
            </w:r>
            <w:r w:rsidRPr="00E21DA8">
              <w:rPr>
                <w:rFonts w:asciiTheme="majorHAnsi" w:hAnsiTheme="majorHAnsi"/>
                <w:bCs/>
                <w:sz w:val="19"/>
                <w:szCs w:val="19"/>
                <w:lang w:val="es-ES"/>
              </w:rPr>
              <w:t>,</w:t>
            </w:r>
            <w:r w:rsidR="000C4E60" w:rsidRPr="00E21DA8">
              <w:rPr>
                <w:rFonts w:asciiTheme="majorHAnsi" w:hAnsiTheme="majorHAnsi"/>
                <w:bCs/>
                <w:sz w:val="19"/>
                <w:szCs w:val="19"/>
                <w:lang w:val="es-ES"/>
              </w:rPr>
              <w:t xml:space="preserve"> 16 de abril</w:t>
            </w:r>
            <w:r w:rsidRPr="00E21DA8">
              <w:rPr>
                <w:rFonts w:asciiTheme="majorHAnsi" w:hAnsiTheme="majorHAnsi"/>
                <w:bCs/>
                <w:sz w:val="19"/>
                <w:szCs w:val="19"/>
                <w:lang w:val="es-ES"/>
              </w:rPr>
              <w:t xml:space="preserve"> y 17 de diciembre</w:t>
            </w:r>
            <w:r w:rsidR="000C4E60" w:rsidRPr="00E21DA8">
              <w:rPr>
                <w:rFonts w:asciiTheme="majorHAnsi" w:hAnsiTheme="majorHAnsi"/>
                <w:bCs/>
                <w:sz w:val="19"/>
                <w:szCs w:val="19"/>
                <w:lang w:val="es-ES"/>
              </w:rPr>
              <w:t xml:space="preserve"> de </w:t>
            </w:r>
            <w:r w:rsidR="00775F1D" w:rsidRPr="00E21DA8">
              <w:rPr>
                <w:rFonts w:asciiTheme="majorHAnsi" w:hAnsiTheme="majorHAnsi"/>
                <w:bCs/>
                <w:sz w:val="19"/>
                <w:szCs w:val="19"/>
                <w:lang w:val="es-ES"/>
              </w:rPr>
              <w:t xml:space="preserve">2013; </w:t>
            </w:r>
            <w:r w:rsidR="000C4E60" w:rsidRPr="00E21DA8">
              <w:rPr>
                <w:rFonts w:asciiTheme="majorHAnsi" w:hAnsiTheme="majorHAnsi"/>
                <w:bCs/>
                <w:sz w:val="19"/>
                <w:szCs w:val="19"/>
                <w:lang w:val="es-ES"/>
              </w:rPr>
              <w:t>30 de junio</w:t>
            </w:r>
            <w:r w:rsidR="00735792" w:rsidRPr="00E21DA8">
              <w:rPr>
                <w:rFonts w:asciiTheme="majorHAnsi" w:hAnsiTheme="majorHAnsi"/>
                <w:bCs/>
                <w:sz w:val="19"/>
                <w:szCs w:val="19"/>
                <w:lang w:val="es-ES"/>
              </w:rPr>
              <w:t>,</w:t>
            </w:r>
            <w:r w:rsidR="000C4E60" w:rsidRPr="00E21DA8">
              <w:rPr>
                <w:rFonts w:asciiTheme="majorHAnsi" w:hAnsiTheme="majorHAnsi"/>
                <w:bCs/>
                <w:sz w:val="19"/>
                <w:szCs w:val="19"/>
                <w:lang w:val="es-ES"/>
              </w:rPr>
              <w:t xml:space="preserve"> 16 de septiembre</w:t>
            </w:r>
            <w:r w:rsidR="00735792" w:rsidRPr="00E21DA8">
              <w:rPr>
                <w:rFonts w:asciiTheme="majorHAnsi" w:hAnsiTheme="majorHAnsi"/>
                <w:bCs/>
                <w:sz w:val="19"/>
                <w:szCs w:val="19"/>
                <w:lang w:val="es-ES"/>
              </w:rPr>
              <w:t xml:space="preserve"> y 30 de octubre</w:t>
            </w:r>
            <w:r w:rsidR="00A318D9" w:rsidRPr="00E21DA8">
              <w:rPr>
                <w:rFonts w:asciiTheme="majorHAnsi" w:hAnsiTheme="majorHAnsi"/>
                <w:bCs/>
                <w:sz w:val="19"/>
                <w:szCs w:val="19"/>
                <w:lang w:val="es-ES"/>
              </w:rPr>
              <w:t xml:space="preserve"> de 2014</w:t>
            </w:r>
            <w:r w:rsidR="000C4E60" w:rsidRPr="00E21DA8">
              <w:rPr>
                <w:rFonts w:asciiTheme="majorHAnsi" w:hAnsiTheme="majorHAnsi"/>
                <w:bCs/>
                <w:sz w:val="19"/>
                <w:szCs w:val="19"/>
                <w:lang w:val="es-ES"/>
              </w:rPr>
              <w:t xml:space="preserve"> </w:t>
            </w:r>
          </w:p>
        </w:tc>
      </w:tr>
      <w:tr w:rsidR="004C2312" w:rsidRPr="00E21DA8" w:rsidTr="004A6A54">
        <w:tc>
          <w:tcPr>
            <w:tcW w:w="3600" w:type="dxa"/>
            <w:tcBorders>
              <w:top w:val="single" w:sz="6" w:space="0" w:color="auto"/>
              <w:bottom w:val="single" w:sz="6" w:space="0" w:color="auto"/>
            </w:tcBorders>
            <w:shd w:val="clear" w:color="auto" w:fill="386294"/>
            <w:vAlign w:val="center"/>
          </w:tcPr>
          <w:p w:rsidR="004C2312" w:rsidRPr="00E21DA8" w:rsidRDefault="004A6A54" w:rsidP="004A6A54">
            <w:pPr>
              <w:jc w:val="center"/>
              <w:rPr>
                <w:rFonts w:asciiTheme="majorHAnsi" w:hAnsiTheme="majorHAnsi"/>
                <w:b/>
                <w:bCs/>
                <w:color w:val="FFFFFF" w:themeColor="background1"/>
                <w:sz w:val="19"/>
                <w:szCs w:val="19"/>
                <w:lang w:val="es-ES"/>
              </w:rPr>
            </w:pPr>
            <w:r w:rsidRPr="00E21DA8">
              <w:rPr>
                <w:rFonts w:asciiTheme="majorHAnsi" w:hAnsiTheme="majorHAnsi"/>
                <w:b/>
                <w:color w:val="FFFFFF" w:themeColor="background1"/>
                <w:sz w:val="19"/>
                <w:szCs w:val="19"/>
                <w:lang w:val="es-ES"/>
              </w:rPr>
              <w:t>N</w:t>
            </w:r>
            <w:r w:rsidR="004C2312" w:rsidRPr="00E21DA8">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E21DA8" w:rsidRDefault="00A318D9" w:rsidP="00B3148A">
            <w:pPr>
              <w:jc w:val="both"/>
              <w:rPr>
                <w:rFonts w:asciiTheme="majorHAnsi" w:hAnsiTheme="majorHAnsi"/>
                <w:bCs/>
                <w:sz w:val="19"/>
                <w:szCs w:val="19"/>
                <w:lang w:val="es-ES"/>
              </w:rPr>
            </w:pPr>
            <w:r w:rsidRPr="00E21DA8">
              <w:rPr>
                <w:rFonts w:asciiTheme="majorHAnsi" w:hAnsiTheme="majorHAnsi"/>
                <w:bCs/>
                <w:sz w:val="19"/>
                <w:szCs w:val="19"/>
                <w:lang w:val="es-ES"/>
              </w:rPr>
              <w:t>26 de mayo de 2015</w:t>
            </w:r>
          </w:p>
        </w:tc>
      </w:tr>
      <w:tr w:rsidR="004C2312" w:rsidRPr="00E21DA8" w:rsidTr="004A6A54">
        <w:tc>
          <w:tcPr>
            <w:tcW w:w="3600" w:type="dxa"/>
            <w:tcBorders>
              <w:top w:val="single" w:sz="6" w:space="0" w:color="auto"/>
              <w:bottom w:val="single" w:sz="6" w:space="0" w:color="auto"/>
            </w:tcBorders>
            <w:shd w:val="clear" w:color="auto" w:fill="386294"/>
            <w:vAlign w:val="center"/>
          </w:tcPr>
          <w:p w:rsidR="004C2312" w:rsidRPr="00E21DA8" w:rsidRDefault="004A6A54" w:rsidP="004A6A54">
            <w:pPr>
              <w:jc w:val="center"/>
              <w:rPr>
                <w:rFonts w:asciiTheme="majorHAnsi" w:hAnsiTheme="majorHAnsi"/>
                <w:b/>
                <w:bCs/>
                <w:color w:val="FFFFFF" w:themeColor="background1"/>
                <w:sz w:val="19"/>
                <w:szCs w:val="19"/>
                <w:lang w:val="es-ES"/>
              </w:rPr>
            </w:pPr>
            <w:r w:rsidRPr="00E21DA8">
              <w:rPr>
                <w:rFonts w:asciiTheme="majorHAnsi" w:hAnsiTheme="majorHAnsi"/>
                <w:b/>
                <w:color w:val="FFFFFF" w:themeColor="background1"/>
                <w:sz w:val="19"/>
                <w:szCs w:val="19"/>
                <w:lang w:val="es-ES"/>
              </w:rPr>
              <w:t>P</w:t>
            </w:r>
            <w:r w:rsidR="004C2312" w:rsidRPr="00E21DA8">
              <w:rPr>
                <w:rFonts w:asciiTheme="majorHAnsi" w:hAnsiTheme="majorHAnsi"/>
                <w:b/>
                <w:color w:val="FFFFFF" w:themeColor="background1"/>
                <w:sz w:val="19"/>
                <w:szCs w:val="19"/>
                <w:lang w:val="es-ES"/>
              </w:rPr>
              <w:t>rimera respuesta del Estado:</w:t>
            </w:r>
          </w:p>
        </w:tc>
        <w:tc>
          <w:tcPr>
            <w:tcW w:w="5760" w:type="dxa"/>
            <w:vAlign w:val="center"/>
          </w:tcPr>
          <w:p w:rsidR="004C2312" w:rsidRPr="00E21DA8" w:rsidRDefault="00827DE5" w:rsidP="00B3148A">
            <w:pPr>
              <w:jc w:val="both"/>
              <w:rPr>
                <w:rFonts w:asciiTheme="majorHAnsi" w:hAnsiTheme="majorHAnsi"/>
                <w:bCs/>
                <w:sz w:val="19"/>
                <w:szCs w:val="19"/>
                <w:lang w:val="es-ES"/>
              </w:rPr>
            </w:pPr>
            <w:r w:rsidRPr="00E21DA8">
              <w:rPr>
                <w:rFonts w:asciiTheme="majorHAnsi" w:hAnsiTheme="majorHAnsi"/>
                <w:bCs/>
                <w:sz w:val="19"/>
                <w:szCs w:val="19"/>
                <w:lang w:val="es-ES"/>
              </w:rPr>
              <w:t>29 de septiembre de 2015</w:t>
            </w:r>
          </w:p>
        </w:tc>
      </w:tr>
      <w:tr w:rsidR="004C2312" w:rsidRPr="004A3501" w:rsidTr="004A6A54">
        <w:tc>
          <w:tcPr>
            <w:tcW w:w="3600" w:type="dxa"/>
            <w:tcBorders>
              <w:top w:val="single" w:sz="6" w:space="0" w:color="auto"/>
              <w:bottom w:val="single" w:sz="6" w:space="0" w:color="auto"/>
            </w:tcBorders>
            <w:shd w:val="clear" w:color="auto" w:fill="386294"/>
            <w:vAlign w:val="center"/>
          </w:tcPr>
          <w:p w:rsidR="004C2312" w:rsidRPr="00E21DA8" w:rsidRDefault="008E3BFE" w:rsidP="008E3BFE">
            <w:pPr>
              <w:jc w:val="center"/>
              <w:rPr>
                <w:rFonts w:asciiTheme="majorHAnsi" w:hAnsiTheme="majorHAnsi"/>
                <w:b/>
                <w:bCs/>
                <w:color w:val="FFFFFF" w:themeColor="background1"/>
                <w:sz w:val="19"/>
                <w:szCs w:val="19"/>
                <w:lang w:val="es-ES"/>
              </w:rPr>
            </w:pPr>
            <w:r w:rsidRPr="00E21DA8">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E21DA8" w:rsidRDefault="00A318D9" w:rsidP="00B3148A">
            <w:pPr>
              <w:jc w:val="both"/>
              <w:rPr>
                <w:rFonts w:asciiTheme="majorHAnsi" w:hAnsiTheme="majorHAnsi"/>
                <w:bCs/>
                <w:sz w:val="19"/>
                <w:szCs w:val="19"/>
                <w:lang w:val="es-ES"/>
              </w:rPr>
            </w:pPr>
            <w:r w:rsidRPr="00E21DA8">
              <w:rPr>
                <w:rFonts w:asciiTheme="majorHAnsi" w:hAnsiTheme="majorHAnsi"/>
                <w:bCs/>
                <w:sz w:val="19"/>
                <w:szCs w:val="19"/>
                <w:lang w:val="es-ES"/>
              </w:rPr>
              <w:t>3 de junio y 19 de agosto de 2015</w:t>
            </w:r>
            <w:r w:rsidR="005B3598" w:rsidRPr="00E21DA8">
              <w:rPr>
                <w:rFonts w:asciiTheme="majorHAnsi" w:hAnsiTheme="majorHAnsi"/>
                <w:bCs/>
                <w:sz w:val="19"/>
                <w:szCs w:val="19"/>
                <w:lang w:val="es-ES"/>
              </w:rPr>
              <w:t xml:space="preserve">; </w:t>
            </w:r>
            <w:r w:rsidR="0051101B" w:rsidRPr="00E21DA8">
              <w:rPr>
                <w:rFonts w:asciiTheme="majorHAnsi" w:hAnsiTheme="majorHAnsi"/>
                <w:bCs/>
                <w:sz w:val="19"/>
                <w:szCs w:val="19"/>
                <w:lang w:val="es-ES"/>
              </w:rPr>
              <w:t>14 de octubre</w:t>
            </w:r>
            <w:r w:rsidR="0070747C" w:rsidRPr="00E21DA8">
              <w:rPr>
                <w:rFonts w:asciiTheme="majorHAnsi" w:hAnsiTheme="majorHAnsi"/>
                <w:bCs/>
                <w:sz w:val="19"/>
                <w:szCs w:val="19"/>
                <w:lang w:val="es-ES"/>
              </w:rPr>
              <w:t xml:space="preserve"> y 13 de diciembre</w:t>
            </w:r>
            <w:r w:rsidR="0051101B" w:rsidRPr="00E21DA8">
              <w:rPr>
                <w:rFonts w:asciiTheme="majorHAnsi" w:hAnsiTheme="majorHAnsi"/>
                <w:bCs/>
                <w:sz w:val="19"/>
                <w:szCs w:val="19"/>
                <w:lang w:val="es-ES"/>
              </w:rPr>
              <w:t xml:space="preserve"> de 2016</w:t>
            </w:r>
          </w:p>
        </w:tc>
      </w:tr>
      <w:tr w:rsidR="004C2312" w:rsidRPr="004A3501" w:rsidTr="004A6A54">
        <w:tc>
          <w:tcPr>
            <w:tcW w:w="3600" w:type="dxa"/>
            <w:tcBorders>
              <w:top w:val="single" w:sz="6" w:space="0" w:color="auto"/>
              <w:bottom w:val="single" w:sz="6" w:space="0" w:color="auto"/>
            </w:tcBorders>
            <w:shd w:val="clear" w:color="auto" w:fill="386294"/>
            <w:vAlign w:val="center"/>
          </w:tcPr>
          <w:p w:rsidR="004C2312" w:rsidRPr="00E21DA8" w:rsidRDefault="004C2312" w:rsidP="008E3BFE">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Observaciones adicionales del Estado:</w:t>
            </w:r>
          </w:p>
        </w:tc>
        <w:tc>
          <w:tcPr>
            <w:tcW w:w="5760" w:type="dxa"/>
            <w:vAlign w:val="center"/>
          </w:tcPr>
          <w:p w:rsidR="004C2312" w:rsidRPr="00E21DA8" w:rsidRDefault="00E57EE2" w:rsidP="001A3BBB">
            <w:pPr>
              <w:jc w:val="both"/>
              <w:rPr>
                <w:rFonts w:asciiTheme="majorHAnsi" w:hAnsiTheme="majorHAnsi"/>
                <w:bCs/>
                <w:sz w:val="19"/>
                <w:szCs w:val="19"/>
                <w:lang w:val="es-PA"/>
              </w:rPr>
            </w:pPr>
            <w:r w:rsidRPr="00E21DA8">
              <w:rPr>
                <w:rFonts w:asciiTheme="majorHAnsi" w:hAnsiTheme="majorHAnsi"/>
                <w:bCs/>
                <w:sz w:val="19"/>
                <w:szCs w:val="19"/>
                <w:lang w:val="es-PA"/>
              </w:rPr>
              <w:t xml:space="preserve">21 de noviembre de 2016; </w:t>
            </w:r>
            <w:r w:rsidR="008179CE" w:rsidRPr="00E21DA8">
              <w:rPr>
                <w:rFonts w:asciiTheme="majorHAnsi" w:hAnsiTheme="majorHAnsi"/>
                <w:bCs/>
                <w:sz w:val="19"/>
                <w:szCs w:val="19"/>
                <w:lang w:val="es-PA"/>
              </w:rPr>
              <w:t>24 de febrero de 2017</w:t>
            </w:r>
            <w:r w:rsidR="0070747C" w:rsidRPr="00E21DA8">
              <w:rPr>
                <w:rFonts w:asciiTheme="majorHAnsi" w:hAnsiTheme="majorHAnsi"/>
                <w:bCs/>
                <w:sz w:val="19"/>
                <w:szCs w:val="19"/>
                <w:lang w:val="es-PA"/>
              </w:rPr>
              <w:t xml:space="preserve"> y 15 de junio de 2018</w:t>
            </w:r>
          </w:p>
        </w:tc>
      </w:tr>
    </w:tbl>
    <w:p w:rsidR="003239B8" w:rsidRPr="00E21DA8" w:rsidRDefault="003239B8" w:rsidP="003239B8">
      <w:pPr>
        <w:spacing w:before="240" w:after="240"/>
        <w:ind w:firstLine="720"/>
        <w:jc w:val="both"/>
        <w:rPr>
          <w:rFonts w:asciiTheme="majorHAnsi" w:hAnsiTheme="majorHAnsi"/>
          <w:b/>
          <w:bCs/>
          <w:sz w:val="19"/>
          <w:szCs w:val="19"/>
          <w:lang w:val="es-ES"/>
        </w:rPr>
      </w:pPr>
      <w:r w:rsidRPr="00E21DA8">
        <w:rPr>
          <w:rFonts w:asciiTheme="majorHAnsi" w:hAnsiTheme="majorHAnsi"/>
          <w:b/>
          <w:bCs/>
          <w:sz w:val="19"/>
          <w:szCs w:val="19"/>
          <w:lang w:val="es-ES"/>
        </w:rPr>
        <w:t xml:space="preserve">III. </w:t>
      </w:r>
      <w:r w:rsidRPr="00E21DA8">
        <w:rPr>
          <w:rFonts w:asciiTheme="majorHAnsi" w:hAnsiTheme="majorHAnsi"/>
          <w:b/>
          <w:bCs/>
          <w:sz w:val="19"/>
          <w:szCs w:val="19"/>
          <w:lang w:val="es-ES"/>
        </w:rPr>
        <w:tab/>
        <w:t>COMPETENCIA</w:t>
      </w:r>
      <w:r w:rsidR="00EE00E9" w:rsidRPr="00E21DA8">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21DA8" w:rsidTr="004A6A54">
        <w:trPr>
          <w:cantSplit/>
        </w:trPr>
        <w:tc>
          <w:tcPr>
            <w:tcW w:w="3600" w:type="dxa"/>
            <w:tcBorders>
              <w:top w:val="single" w:sz="4"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i/>
                <w:color w:val="FFFFFF" w:themeColor="background1"/>
                <w:sz w:val="19"/>
                <w:szCs w:val="19"/>
              </w:rPr>
            </w:pPr>
            <w:r w:rsidRPr="00E21DA8">
              <w:rPr>
                <w:rFonts w:asciiTheme="majorHAnsi" w:hAnsiTheme="majorHAnsi"/>
                <w:b/>
                <w:bCs/>
                <w:color w:val="FFFFFF" w:themeColor="background1"/>
                <w:sz w:val="19"/>
                <w:szCs w:val="19"/>
              </w:rPr>
              <w:t>Competencia</w:t>
            </w:r>
            <w:r w:rsidRPr="00E21DA8">
              <w:rPr>
                <w:rFonts w:asciiTheme="majorHAnsi" w:hAnsiTheme="majorHAnsi"/>
                <w:b/>
                <w:bCs/>
                <w:i/>
                <w:color w:val="FFFFFF" w:themeColor="background1"/>
                <w:sz w:val="19"/>
                <w:szCs w:val="19"/>
              </w:rPr>
              <w:t xml:space="preserve"> Ratione personae:</w:t>
            </w:r>
          </w:p>
        </w:tc>
        <w:tc>
          <w:tcPr>
            <w:tcW w:w="5760" w:type="dxa"/>
            <w:vAlign w:val="center"/>
          </w:tcPr>
          <w:p w:rsidR="003239B8" w:rsidRPr="00E21DA8" w:rsidRDefault="0070747C" w:rsidP="00B3148A">
            <w:pPr>
              <w:rPr>
                <w:rFonts w:asciiTheme="majorHAnsi" w:hAnsiTheme="majorHAnsi"/>
                <w:bCs/>
                <w:sz w:val="19"/>
                <w:szCs w:val="19"/>
              </w:rPr>
            </w:pPr>
            <w:r w:rsidRPr="00E21DA8">
              <w:rPr>
                <w:rFonts w:asciiTheme="majorHAnsi" w:hAnsiTheme="majorHAnsi"/>
                <w:bCs/>
                <w:sz w:val="19"/>
                <w:szCs w:val="19"/>
              </w:rPr>
              <w:t>Sí</w:t>
            </w:r>
          </w:p>
        </w:tc>
      </w:tr>
      <w:tr w:rsidR="003239B8" w:rsidRPr="00E21DA8" w:rsidTr="004A6A54">
        <w:trPr>
          <w:cantSplit/>
        </w:trPr>
        <w:tc>
          <w:tcPr>
            <w:tcW w:w="3600" w:type="dxa"/>
            <w:tcBorders>
              <w:top w:val="single" w:sz="6"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Competencia</w:t>
            </w:r>
            <w:r w:rsidRPr="00E21DA8">
              <w:rPr>
                <w:rFonts w:asciiTheme="majorHAnsi" w:hAnsiTheme="majorHAnsi"/>
                <w:b/>
                <w:bCs/>
                <w:i/>
                <w:color w:val="FFFFFF" w:themeColor="background1"/>
                <w:sz w:val="19"/>
                <w:szCs w:val="19"/>
              </w:rPr>
              <w:t xml:space="preserve"> Ratione loci</w:t>
            </w:r>
            <w:r w:rsidRPr="00E21DA8">
              <w:rPr>
                <w:rFonts w:asciiTheme="majorHAnsi" w:hAnsiTheme="majorHAnsi"/>
                <w:b/>
                <w:bCs/>
                <w:color w:val="FFFFFF" w:themeColor="background1"/>
                <w:sz w:val="19"/>
                <w:szCs w:val="19"/>
              </w:rPr>
              <w:t>:</w:t>
            </w:r>
          </w:p>
        </w:tc>
        <w:tc>
          <w:tcPr>
            <w:tcW w:w="5760" w:type="dxa"/>
            <w:vAlign w:val="center"/>
          </w:tcPr>
          <w:p w:rsidR="003239B8" w:rsidRPr="00E21DA8" w:rsidRDefault="0070747C" w:rsidP="00B3148A">
            <w:pPr>
              <w:rPr>
                <w:rFonts w:asciiTheme="majorHAnsi" w:hAnsiTheme="majorHAnsi"/>
                <w:bCs/>
                <w:sz w:val="19"/>
                <w:szCs w:val="19"/>
              </w:rPr>
            </w:pPr>
            <w:r w:rsidRPr="00E21DA8">
              <w:rPr>
                <w:rFonts w:asciiTheme="majorHAnsi" w:hAnsiTheme="majorHAnsi"/>
                <w:bCs/>
                <w:sz w:val="19"/>
                <w:szCs w:val="19"/>
              </w:rPr>
              <w:t>Sí</w:t>
            </w:r>
          </w:p>
        </w:tc>
      </w:tr>
      <w:tr w:rsidR="003239B8" w:rsidRPr="00E21DA8" w:rsidTr="004A6A54">
        <w:trPr>
          <w:cantSplit/>
        </w:trPr>
        <w:tc>
          <w:tcPr>
            <w:tcW w:w="3600" w:type="dxa"/>
            <w:tcBorders>
              <w:top w:val="single" w:sz="6"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Competencia</w:t>
            </w:r>
            <w:r w:rsidRPr="00E21DA8">
              <w:rPr>
                <w:rFonts w:asciiTheme="majorHAnsi" w:hAnsiTheme="majorHAnsi"/>
                <w:b/>
                <w:bCs/>
                <w:i/>
                <w:color w:val="FFFFFF" w:themeColor="background1"/>
                <w:sz w:val="19"/>
                <w:szCs w:val="19"/>
              </w:rPr>
              <w:t xml:space="preserve"> Ratione temporis</w:t>
            </w:r>
            <w:r w:rsidRPr="00E21DA8">
              <w:rPr>
                <w:rFonts w:asciiTheme="majorHAnsi" w:hAnsiTheme="majorHAnsi"/>
                <w:b/>
                <w:bCs/>
                <w:color w:val="FFFFFF" w:themeColor="background1"/>
                <w:sz w:val="19"/>
                <w:szCs w:val="19"/>
              </w:rPr>
              <w:t>:</w:t>
            </w:r>
          </w:p>
        </w:tc>
        <w:tc>
          <w:tcPr>
            <w:tcW w:w="5760" w:type="dxa"/>
            <w:vAlign w:val="center"/>
          </w:tcPr>
          <w:p w:rsidR="003239B8" w:rsidRPr="00E21DA8" w:rsidRDefault="0070747C" w:rsidP="00B3148A">
            <w:pPr>
              <w:rPr>
                <w:rFonts w:asciiTheme="majorHAnsi" w:hAnsiTheme="majorHAnsi"/>
                <w:bCs/>
                <w:sz w:val="19"/>
                <w:szCs w:val="19"/>
              </w:rPr>
            </w:pPr>
            <w:r w:rsidRPr="00E21DA8">
              <w:rPr>
                <w:rFonts w:asciiTheme="majorHAnsi" w:hAnsiTheme="majorHAnsi"/>
                <w:bCs/>
                <w:sz w:val="19"/>
                <w:szCs w:val="19"/>
              </w:rPr>
              <w:t>Sí</w:t>
            </w:r>
          </w:p>
        </w:tc>
      </w:tr>
      <w:tr w:rsidR="00EF67E9" w:rsidRPr="004A3501" w:rsidTr="004A6A54">
        <w:trPr>
          <w:cantSplit/>
        </w:trPr>
        <w:tc>
          <w:tcPr>
            <w:tcW w:w="3600" w:type="dxa"/>
            <w:tcBorders>
              <w:top w:val="single" w:sz="6" w:space="0" w:color="auto"/>
              <w:bottom w:val="single" w:sz="6" w:space="0" w:color="auto"/>
            </w:tcBorders>
            <w:shd w:val="clear" w:color="auto" w:fill="386294"/>
            <w:vAlign w:val="center"/>
          </w:tcPr>
          <w:p w:rsidR="00EF67E9" w:rsidRPr="00E21DA8" w:rsidRDefault="00EF67E9" w:rsidP="00B3148A">
            <w:pPr>
              <w:jc w:val="center"/>
              <w:rPr>
                <w:rFonts w:asciiTheme="majorHAnsi" w:hAnsiTheme="majorHAnsi"/>
                <w:b/>
                <w:bCs/>
                <w:color w:val="FFFFFF" w:themeColor="background1"/>
                <w:sz w:val="19"/>
                <w:szCs w:val="19"/>
              </w:rPr>
            </w:pPr>
            <w:r w:rsidRPr="00E21DA8">
              <w:rPr>
                <w:rFonts w:asciiTheme="majorHAnsi" w:hAnsiTheme="majorHAnsi"/>
                <w:b/>
                <w:bCs/>
                <w:color w:val="FFFFFF" w:themeColor="background1"/>
                <w:sz w:val="19"/>
                <w:szCs w:val="19"/>
              </w:rPr>
              <w:t>Competencia</w:t>
            </w:r>
            <w:r w:rsidRPr="00E21DA8">
              <w:rPr>
                <w:rFonts w:asciiTheme="majorHAnsi" w:hAnsiTheme="majorHAnsi"/>
                <w:b/>
                <w:bCs/>
                <w:i/>
                <w:color w:val="FFFFFF" w:themeColor="background1"/>
                <w:sz w:val="19"/>
                <w:szCs w:val="19"/>
              </w:rPr>
              <w:t xml:space="preserve"> Ratione materiae</w:t>
            </w:r>
            <w:r w:rsidRPr="00E21DA8">
              <w:rPr>
                <w:rFonts w:asciiTheme="majorHAnsi" w:hAnsiTheme="majorHAnsi"/>
                <w:b/>
                <w:bCs/>
                <w:color w:val="FFFFFF" w:themeColor="background1"/>
                <w:sz w:val="19"/>
                <w:szCs w:val="19"/>
              </w:rPr>
              <w:t>:</w:t>
            </w:r>
          </w:p>
        </w:tc>
        <w:tc>
          <w:tcPr>
            <w:tcW w:w="5760" w:type="dxa"/>
            <w:vAlign w:val="center"/>
          </w:tcPr>
          <w:p w:rsidR="00EF67E9" w:rsidRPr="00E21DA8" w:rsidRDefault="00EF67E9" w:rsidP="00B3148A">
            <w:pPr>
              <w:jc w:val="both"/>
              <w:rPr>
                <w:rFonts w:asciiTheme="majorHAnsi" w:hAnsiTheme="majorHAnsi"/>
                <w:bCs/>
                <w:sz w:val="19"/>
                <w:szCs w:val="19"/>
                <w:lang w:val="es-ES"/>
              </w:rPr>
            </w:pPr>
            <w:r w:rsidRPr="00E21DA8">
              <w:rPr>
                <w:rFonts w:asciiTheme="majorHAnsi" w:hAnsiTheme="majorHAnsi"/>
                <w:bCs/>
                <w:sz w:val="19"/>
                <w:szCs w:val="19"/>
                <w:lang w:val="es-ES"/>
              </w:rPr>
              <w:t>Sí, Convención Americana (depósito del instrumento de ratificación realizado el 28 de diciembre de 1977)</w:t>
            </w:r>
          </w:p>
        </w:tc>
      </w:tr>
    </w:tbl>
    <w:p w:rsidR="003239B8" w:rsidRPr="00E21DA8" w:rsidRDefault="003239B8" w:rsidP="003239B8">
      <w:pPr>
        <w:spacing w:before="240" w:after="240"/>
        <w:ind w:firstLine="720"/>
        <w:jc w:val="both"/>
        <w:rPr>
          <w:rFonts w:asciiTheme="majorHAnsi" w:hAnsiTheme="majorHAnsi"/>
          <w:b/>
          <w:bCs/>
          <w:sz w:val="19"/>
          <w:szCs w:val="19"/>
          <w:lang w:val="es-ES"/>
        </w:rPr>
      </w:pPr>
      <w:r w:rsidRPr="00E21DA8">
        <w:rPr>
          <w:rFonts w:asciiTheme="majorHAnsi" w:hAnsiTheme="majorHAnsi"/>
          <w:b/>
          <w:bCs/>
          <w:sz w:val="19"/>
          <w:szCs w:val="19"/>
          <w:lang w:val="es-ES"/>
        </w:rPr>
        <w:t xml:space="preserve">IV. </w:t>
      </w:r>
      <w:r w:rsidRPr="00E21DA8">
        <w:rPr>
          <w:rFonts w:asciiTheme="majorHAnsi" w:hAnsiTheme="majorHAnsi"/>
          <w:b/>
          <w:bCs/>
          <w:sz w:val="19"/>
          <w:szCs w:val="19"/>
          <w:lang w:val="es-ES"/>
        </w:rPr>
        <w:tab/>
      </w:r>
      <w:r w:rsidR="00EE00E9" w:rsidRPr="00E21DA8">
        <w:rPr>
          <w:rFonts w:asciiTheme="majorHAnsi" w:hAnsiTheme="majorHAnsi"/>
          <w:b/>
          <w:bCs/>
          <w:sz w:val="19"/>
          <w:szCs w:val="19"/>
          <w:lang w:val="es-ES"/>
        </w:rPr>
        <w:t>DUPLICACIÓN</w:t>
      </w:r>
      <w:r w:rsidR="00EE00E9" w:rsidRPr="00E21DA8">
        <w:rPr>
          <w:rFonts w:asciiTheme="majorHAnsi" w:hAnsiTheme="majorHAnsi"/>
          <w:b/>
          <w:bCs/>
          <w:color w:val="FFFFFF" w:themeColor="background1"/>
          <w:sz w:val="19"/>
          <w:szCs w:val="19"/>
          <w:lang w:val="es-ES"/>
        </w:rPr>
        <w:t xml:space="preserve"> </w:t>
      </w:r>
      <w:r w:rsidR="00EE00E9" w:rsidRPr="00E21DA8">
        <w:rPr>
          <w:rFonts w:asciiTheme="majorHAnsi" w:hAnsiTheme="majorHAnsi"/>
          <w:b/>
          <w:bCs/>
          <w:sz w:val="19"/>
          <w:szCs w:val="19"/>
          <w:lang w:val="es-ES"/>
        </w:rPr>
        <w:t>DE PROCEDIMIENTOS Y COSA JUZGADA</w:t>
      </w:r>
      <w:r w:rsidR="00EE00E9" w:rsidRPr="00E21DA8">
        <w:rPr>
          <w:rFonts w:asciiTheme="majorHAnsi" w:hAnsiTheme="majorHAnsi"/>
          <w:b/>
          <w:bCs/>
          <w:i/>
          <w:sz w:val="19"/>
          <w:szCs w:val="19"/>
          <w:lang w:val="es-ES"/>
        </w:rPr>
        <w:t xml:space="preserve"> </w:t>
      </w:r>
      <w:r w:rsidR="00EE00E9" w:rsidRPr="00E21DA8">
        <w:rPr>
          <w:rFonts w:asciiTheme="majorHAnsi" w:hAnsiTheme="majorHAnsi"/>
          <w:b/>
          <w:bCs/>
          <w:sz w:val="19"/>
          <w:szCs w:val="19"/>
          <w:lang w:val="es-ES"/>
        </w:rPr>
        <w:t xml:space="preserve">INTERNACIONAL, </w:t>
      </w:r>
      <w:r w:rsidRPr="00E21DA8">
        <w:rPr>
          <w:rFonts w:asciiTheme="majorHAnsi" w:hAnsiTheme="majorHAnsi"/>
          <w:b/>
          <w:bCs/>
          <w:sz w:val="19"/>
          <w:szCs w:val="19"/>
          <w:lang w:val="es-ES"/>
        </w:rPr>
        <w:t xml:space="preserve"> CARACTERIZACIÓN, </w:t>
      </w:r>
      <w:r w:rsidRPr="00E21DA8">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21DA8" w:rsidTr="004A6A54">
        <w:trPr>
          <w:cantSplit/>
        </w:trPr>
        <w:tc>
          <w:tcPr>
            <w:tcW w:w="3600" w:type="dxa"/>
            <w:tcBorders>
              <w:top w:val="single" w:sz="4" w:space="0" w:color="auto"/>
              <w:bottom w:val="single" w:sz="6" w:space="0" w:color="auto"/>
            </w:tcBorders>
            <w:shd w:val="clear" w:color="auto" w:fill="386294"/>
            <w:vAlign w:val="center"/>
          </w:tcPr>
          <w:p w:rsidR="00EE00E9" w:rsidRPr="00E21DA8" w:rsidRDefault="00EE00E9" w:rsidP="00B3148A">
            <w:pPr>
              <w:jc w:val="center"/>
              <w:rPr>
                <w:rFonts w:asciiTheme="majorHAnsi" w:hAnsiTheme="majorHAnsi"/>
                <w:b/>
                <w:bCs/>
                <w:color w:val="FFFFFF" w:themeColor="background1"/>
                <w:sz w:val="19"/>
                <w:szCs w:val="19"/>
                <w:lang w:val="es-ES"/>
              </w:rPr>
            </w:pPr>
            <w:r w:rsidRPr="00E21DA8">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E21DA8" w:rsidRDefault="00EF67E9" w:rsidP="00B3148A">
            <w:pPr>
              <w:jc w:val="both"/>
              <w:rPr>
                <w:rFonts w:asciiTheme="majorHAnsi" w:hAnsiTheme="majorHAnsi"/>
                <w:bCs/>
                <w:sz w:val="19"/>
                <w:szCs w:val="19"/>
                <w:lang w:val="es-ES"/>
              </w:rPr>
            </w:pPr>
            <w:r w:rsidRPr="00E21DA8">
              <w:rPr>
                <w:rFonts w:asciiTheme="majorHAnsi" w:hAnsiTheme="majorHAnsi"/>
                <w:bCs/>
                <w:sz w:val="19"/>
                <w:szCs w:val="19"/>
                <w:lang w:val="es-ES"/>
              </w:rPr>
              <w:t>No</w:t>
            </w:r>
          </w:p>
        </w:tc>
      </w:tr>
      <w:tr w:rsidR="003239B8" w:rsidRPr="004A3501" w:rsidTr="004A6A54">
        <w:trPr>
          <w:cantSplit/>
        </w:trPr>
        <w:tc>
          <w:tcPr>
            <w:tcW w:w="3600" w:type="dxa"/>
            <w:tcBorders>
              <w:top w:val="single" w:sz="4"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i/>
                <w:color w:val="FFFFFF" w:themeColor="background1"/>
                <w:sz w:val="19"/>
                <w:szCs w:val="19"/>
              </w:rPr>
            </w:pPr>
            <w:r w:rsidRPr="00E21DA8">
              <w:rPr>
                <w:rFonts w:asciiTheme="majorHAnsi" w:hAnsiTheme="majorHAnsi"/>
                <w:b/>
                <w:bCs/>
                <w:color w:val="FFFFFF" w:themeColor="background1"/>
                <w:sz w:val="19"/>
                <w:szCs w:val="19"/>
              </w:rPr>
              <w:t>Derechos declarados admisibles</w:t>
            </w:r>
            <w:r w:rsidRPr="00E21DA8">
              <w:rPr>
                <w:rFonts w:asciiTheme="majorHAnsi" w:hAnsiTheme="majorHAnsi"/>
                <w:b/>
                <w:bCs/>
                <w:i/>
                <w:color w:val="FFFFFF" w:themeColor="background1"/>
                <w:sz w:val="19"/>
                <w:szCs w:val="19"/>
              </w:rPr>
              <w:t>:</w:t>
            </w:r>
          </w:p>
        </w:tc>
        <w:tc>
          <w:tcPr>
            <w:tcW w:w="5760" w:type="dxa"/>
            <w:vAlign w:val="center"/>
          </w:tcPr>
          <w:p w:rsidR="003239B8" w:rsidRPr="00E21DA8" w:rsidRDefault="00EF67E9" w:rsidP="00765CFE">
            <w:pPr>
              <w:jc w:val="both"/>
              <w:rPr>
                <w:rFonts w:asciiTheme="majorHAnsi" w:hAnsiTheme="majorHAnsi"/>
                <w:bCs/>
                <w:sz w:val="19"/>
                <w:szCs w:val="19"/>
                <w:lang w:val="es-PA"/>
              </w:rPr>
            </w:pPr>
            <w:r w:rsidRPr="00E21DA8">
              <w:rPr>
                <w:rFonts w:asciiTheme="majorHAnsi" w:hAnsiTheme="majorHAnsi"/>
                <w:bCs/>
                <w:sz w:val="19"/>
                <w:szCs w:val="19"/>
                <w:lang w:val="es-PA"/>
              </w:rPr>
              <w:t>Artículos 5 (integridad personal), 8 (garantías judiciales), 9 (principio de legalidad y de retroactividad),</w:t>
            </w:r>
            <w:r w:rsidR="006F5AEE" w:rsidRPr="00E21DA8">
              <w:rPr>
                <w:rFonts w:asciiTheme="majorHAnsi" w:hAnsiTheme="majorHAnsi"/>
                <w:bCs/>
                <w:sz w:val="19"/>
                <w:szCs w:val="19"/>
                <w:lang w:val="es-PA"/>
              </w:rPr>
              <w:t xml:space="preserve"> 11 (honra y dignidad)</w:t>
            </w:r>
            <w:r w:rsidR="001A3BBB" w:rsidRPr="00E21DA8">
              <w:rPr>
                <w:rFonts w:asciiTheme="majorHAnsi" w:hAnsiTheme="majorHAnsi"/>
                <w:bCs/>
                <w:sz w:val="19"/>
                <w:szCs w:val="19"/>
                <w:lang w:val="es-PA"/>
              </w:rPr>
              <w:t>,</w:t>
            </w:r>
            <w:r w:rsidRPr="00E21DA8">
              <w:rPr>
                <w:rFonts w:asciiTheme="majorHAnsi" w:hAnsiTheme="majorHAnsi"/>
                <w:bCs/>
                <w:sz w:val="19"/>
                <w:szCs w:val="19"/>
                <w:lang w:val="es-PA"/>
              </w:rPr>
              <w:t xml:space="preserve"> 23 (derechos políticos), 25 (protección judicial) y 26 (</w:t>
            </w:r>
            <w:r w:rsidR="00765CFE">
              <w:rPr>
                <w:rFonts w:asciiTheme="majorHAnsi" w:hAnsiTheme="majorHAnsi"/>
                <w:bCs/>
                <w:sz w:val="19"/>
                <w:szCs w:val="19"/>
                <w:lang w:val="es-PA"/>
              </w:rPr>
              <w:t>derechos económicos, sociales y culturales</w:t>
            </w:r>
            <w:r w:rsidRPr="00E21DA8">
              <w:rPr>
                <w:rFonts w:asciiTheme="majorHAnsi" w:hAnsiTheme="majorHAnsi"/>
                <w:bCs/>
                <w:sz w:val="19"/>
                <w:szCs w:val="19"/>
                <w:lang w:val="es-PA"/>
              </w:rPr>
              <w:t>) de la Convención Americana en relación con sus artículos 1.1 (obligación de respetar los derechos) y 2 (deber de adoptar disposiciones de derecho interno)</w:t>
            </w:r>
          </w:p>
        </w:tc>
      </w:tr>
      <w:tr w:rsidR="003239B8" w:rsidRPr="004A3501" w:rsidTr="004A6A54">
        <w:trPr>
          <w:cantSplit/>
        </w:trPr>
        <w:tc>
          <w:tcPr>
            <w:tcW w:w="3600" w:type="dxa"/>
            <w:tcBorders>
              <w:top w:val="single" w:sz="6"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color w:val="FFFFFF" w:themeColor="background1"/>
                <w:sz w:val="19"/>
                <w:szCs w:val="19"/>
                <w:lang w:val="es-ES"/>
              </w:rPr>
            </w:pPr>
            <w:r w:rsidRPr="00E21DA8">
              <w:rPr>
                <w:rFonts w:asciiTheme="majorHAnsi" w:hAnsiTheme="majorHAnsi"/>
                <w:b/>
                <w:bCs/>
                <w:color w:val="FFFFFF" w:themeColor="background1"/>
                <w:sz w:val="19"/>
                <w:szCs w:val="19"/>
                <w:lang w:val="es-ES"/>
              </w:rPr>
              <w:t>Agotamiento de recursos internos</w:t>
            </w:r>
            <w:r w:rsidR="00EE00E9" w:rsidRPr="00E21DA8">
              <w:rPr>
                <w:rFonts w:asciiTheme="majorHAnsi" w:hAnsiTheme="majorHAnsi"/>
                <w:b/>
                <w:bCs/>
                <w:color w:val="FFFFFF" w:themeColor="background1"/>
                <w:sz w:val="19"/>
                <w:szCs w:val="19"/>
                <w:lang w:val="es-ES"/>
              </w:rPr>
              <w:t xml:space="preserve"> o procedencia de una excepción</w:t>
            </w:r>
            <w:r w:rsidRPr="00E21DA8">
              <w:rPr>
                <w:rFonts w:asciiTheme="majorHAnsi" w:hAnsiTheme="majorHAnsi"/>
                <w:b/>
                <w:bCs/>
                <w:color w:val="FFFFFF" w:themeColor="background1"/>
                <w:sz w:val="19"/>
                <w:szCs w:val="19"/>
                <w:lang w:val="es-ES"/>
              </w:rPr>
              <w:t>:</w:t>
            </w:r>
          </w:p>
        </w:tc>
        <w:tc>
          <w:tcPr>
            <w:tcW w:w="5760" w:type="dxa"/>
            <w:vAlign w:val="center"/>
          </w:tcPr>
          <w:p w:rsidR="003239B8" w:rsidRPr="00E21DA8" w:rsidRDefault="0064240D" w:rsidP="00B3148A">
            <w:pPr>
              <w:rPr>
                <w:rFonts w:asciiTheme="majorHAnsi" w:hAnsiTheme="majorHAnsi"/>
                <w:bCs/>
                <w:sz w:val="19"/>
                <w:szCs w:val="19"/>
                <w:lang w:val="es-ES"/>
              </w:rPr>
            </w:pPr>
            <w:r w:rsidRPr="00E21DA8">
              <w:rPr>
                <w:rFonts w:asciiTheme="majorHAnsi" w:hAnsiTheme="majorHAnsi"/>
                <w:bCs/>
                <w:sz w:val="19"/>
                <w:szCs w:val="19"/>
                <w:lang w:val="es-ES"/>
              </w:rPr>
              <w:t>Sí, en los términos de la sección VI</w:t>
            </w:r>
          </w:p>
        </w:tc>
      </w:tr>
      <w:tr w:rsidR="003239B8" w:rsidRPr="004A3501" w:rsidTr="004A6A54">
        <w:trPr>
          <w:cantSplit/>
        </w:trPr>
        <w:tc>
          <w:tcPr>
            <w:tcW w:w="3600" w:type="dxa"/>
            <w:tcBorders>
              <w:top w:val="single" w:sz="6" w:space="0" w:color="auto"/>
              <w:bottom w:val="single" w:sz="6" w:space="0" w:color="auto"/>
            </w:tcBorders>
            <w:shd w:val="clear" w:color="auto" w:fill="386294"/>
            <w:vAlign w:val="center"/>
          </w:tcPr>
          <w:p w:rsidR="003239B8" w:rsidRPr="00E21DA8" w:rsidRDefault="003239B8" w:rsidP="00B3148A">
            <w:pPr>
              <w:jc w:val="center"/>
              <w:rPr>
                <w:rFonts w:asciiTheme="majorHAnsi" w:hAnsiTheme="majorHAnsi"/>
                <w:b/>
                <w:bCs/>
                <w:color w:val="FFFFFF" w:themeColor="background1"/>
                <w:sz w:val="19"/>
                <w:szCs w:val="19"/>
                <w:lang w:val="es-PA"/>
              </w:rPr>
            </w:pPr>
            <w:r w:rsidRPr="00E21DA8">
              <w:rPr>
                <w:rFonts w:asciiTheme="majorHAnsi" w:hAnsiTheme="majorHAnsi"/>
                <w:b/>
                <w:bCs/>
                <w:color w:val="FFFFFF" w:themeColor="background1"/>
                <w:sz w:val="19"/>
                <w:szCs w:val="19"/>
                <w:lang w:val="es-PA"/>
              </w:rPr>
              <w:t>Presentación dentro de plazo:</w:t>
            </w:r>
          </w:p>
        </w:tc>
        <w:tc>
          <w:tcPr>
            <w:tcW w:w="5760" w:type="dxa"/>
            <w:vAlign w:val="center"/>
          </w:tcPr>
          <w:p w:rsidR="003239B8" w:rsidRPr="00E21DA8" w:rsidRDefault="0064240D" w:rsidP="00B3148A">
            <w:pPr>
              <w:rPr>
                <w:rFonts w:asciiTheme="majorHAnsi" w:hAnsiTheme="majorHAnsi"/>
                <w:bCs/>
                <w:sz w:val="19"/>
                <w:szCs w:val="19"/>
                <w:lang w:val="es-PA"/>
              </w:rPr>
            </w:pPr>
            <w:r w:rsidRPr="00E21DA8">
              <w:rPr>
                <w:rFonts w:asciiTheme="majorHAnsi" w:hAnsiTheme="majorHAnsi"/>
                <w:bCs/>
                <w:sz w:val="19"/>
                <w:szCs w:val="19"/>
                <w:lang w:val="es-PA"/>
              </w:rPr>
              <w:t>Sí, en los términos de la sección VI</w:t>
            </w:r>
          </w:p>
        </w:tc>
      </w:tr>
    </w:tbl>
    <w:p w:rsidR="00765CFE" w:rsidRDefault="00765CFE" w:rsidP="003239B8">
      <w:pPr>
        <w:spacing w:before="240" w:after="240"/>
        <w:ind w:firstLine="720"/>
        <w:jc w:val="both"/>
        <w:rPr>
          <w:rFonts w:asciiTheme="majorHAnsi" w:hAnsiTheme="majorHAnsi"/>
          <w:b/>
          <w:sz w:val="20"/>
          <w:szCs w:val="20"/>
          <w:lang w:val="es-UY"/>
        </w:rPr>
      </w:pPr>
    </w:p>
    <w:p w:rsidR="00765CFE" w:rsidRDefault="00765CFE"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824C9B" w:rsidRDefault="0014692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14692F">
        <w:rPr>
          <w:rFonts w:ascii="Cambria" w:hAnsi="Cambria"/>
          <w:sz w:val="20"/>
          <w:szCs w:val="20"/>
          <w:lang w:val="es-PA"/>
        </w:rPr>
        <w:t>Santiago Efraín Velázquez Coello y Jorge</w:t>
      </w:r>
      <w:r>
        <w:rPr>
          <w:rFonts w:ascii="Cambria" w:hAnsi="Cambria"/>
          <w:sz w:val="20"/>
          <w:szCs w:val="20"/>
          <w:lang w:val="es-PA"/>
        </w:rPr>
        <w:t xml:space="preserve"> Guillermo Alvear Macías </w:t>
      </w:r>
      <w:r w:rsidR="005A7476">
        <w:rPr>
          <w:rFonts w:ascii="Cambria" w:hAnsi="Cambria"/>
          <w:sz w:val="20"/>
          <w:szCs w:val="20"/>
          <w:lang w:val="es-PA"/>
        </w:rPr>
        <w:t>señalan que</w:t>
      </w:r>
      <w:r w:rsidR="00250D91">
        <w:rPr>
          <w:rFonts w:ascii="Cambria" w:hAnsi="Cambria"/>
          <w:sz w:val="20"/>
          <w:szCs w:val="20"/>
          <w:lang w:val="es-PA"/>
        </w:rPr>
        <w:t xml:space="preserve"> el 22 de febrero de 2006</w:t>
      </w:r>
      <w:r w:rsidR="005A7476">
        <w:rPr>
          <w:rFonts w:ascii="Cambria" w:hAnsi="Cambria"/>
          <w:sz w:val="20"/>
          <w:szCs w:val="20"/>
          <w:lang w:val="es-PA"/>
        </w:rPr>
        <w:t xml:space="preserve"> </w:t>
      </w:r>
      <w:r w:rsidR="00156285">
        <w:rPr>
          <w:rFonts w:ascii="Cambria" w:hAnsi="Cambria"/>
          <w:sz w:val="20"/>
          <w:szCs w:val="20"/>
          <w:lang w:val="es-PA"/>
        </w:rPr>
        <w:t>el Congreso Nacional emitió resolución designándoles</w:t>
      </w:r>
      <w:r w:rsidR="00BF17E0">
        <w:rPr>
          <w:rFonts w:ascii="Cambria" w:hAnsi="Cambria"/>
          <w:sz w:val="20"/>
          <w:szCs w:val="20"/>
          <w:lang w:val="es-PA"/>
        </w:rPr>
        <w:t xml:space="preserve"> para ocupar el cargo de</w:t>
      </w:r>
      <w:r w:rsidR="00156285">
        <w:rPr>
          <w:rFonts w:ascii="Cambria" w:hAnsi="Cambria"/>
          <w:sz w:val="20"/>
          <w:szCs w:val="20"/>
          <w:lang w:val="es-PA"/>
        </w:rPr>
        <w:t xml:space="preserve"> vocales del Tribunal Constitucional </w:t>
      </w:r>
      <w:r w:rsidR="00BF17E0">
        <w:rPr>
          <w:rFonts w:ascii="Cambria" w:hAnsi="Cambria"/>
          <w:sz w:val="20"/>
          <w:szCs w:val="20"/>
          <w:lang w:val="es-PA"/>
        </w:rPr>
        <w:t>por un periodo de cuatro años, en conformidad con el artículo 275 de la Constitución.</w:t>
      </w:r>
    </w:p>
    <w:p w:rsidR="00A11E44" w:rsidRDefault="00BF17E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 </w:t>
      </w:r>
      <w:r w:rsidR="00824C9B">
        <w:rPr>
          <w:rFonts w:ascii="Cambria" w:hAnsi="Cambria"/>
          <w:sz w:val="20"/>
          <w:szCs w:val="20"/>
          <w:lang w:val="es-PA"/>
        </w:rPr>
        <w:t xml:space="preserve">Los peticionarios relatan que </w:t>
      </w:r>
      <w:r w:rsidR="00B2519D">
        <w:rPr>
          <w:rFonts w:ascii="Cambria" w:hAnsi="Cambria"/>
          <w:sz w:val="20"/>
          <w:szCs w:val="20"/>
          <w:lang w:val="es-PA"/>
        </w:rPr>
        <w:t>el 23 de abril de 2007 el tribunal que integraban acept</w:t>
      </w:r>
      <w:r w:rsidR="00824C9B">
        <w:rPr>
          <w:rFonts w:ascii="Cambria" w:hAnsi="Cambria"/>
          <w:sz w:val="20"/>
          <w:szCs w:val="20"/>
          <w:lang w:val="es-PA"/>
        </w:rPr>
        <w:t>ó</w:t>
      </w:r>
      <w:r w:rsidR="001801A8">
        <w:rPr>
          <w:rFonts w:ascii="Cambria" w:hAnsi="Cambria"/>
          <w:sz w:val="20"/>
          <w:szCs w:val="20"/>
          <w:lang w:val="es-PA"/>
        </w:rPr>
        <w:t xml:space="preserve"> un recurso de amparo interpuesto por </w:t>
      </w:r>
      <w:r w:rsidR="00824C9B">
        <w:rPr>
          <w:rFonts w:ascii="Cambria" w:hAnsi="Cambria"/>
          <w:sz w:val="20"/>
          <w:szCs w:val="20"/>
          <w:lang w:val="es-PA"/>
        </w:rPr>
        <w:t>50 diputados</w:t>
      </w:r>
      <w:r w:rsidR="004C27AF">
        <w:rPr>
          <w:rFonts w:ascii="Cambria" w:hAnsi="Cambria"/>
          <w:sz w:val="20"/>
          <w:szCs w:val="20"/>
          <w:lang w:val="es-PA"/>
        </w:rPr>
        <w:t xml:space="preserve"> opositores al presidente</w:t>
      </w:r>
      <w:r w:rsidR="005D10BF">
        <w:rPr>
          <w:rFonts w:ascii="Cambria" w:hAnsi="Cambria"/>
          <w:sz w:val="20"/>
          <w:szCs w:val="20"/>
          <w:lang w:val="es-PA"/>
        </w:rPr>
        <w:t>,</w:t>
      </w:r>
      <w:r w:rsidR="00824C9B">
        <w:rPr>
          <w:rFonts w:ascii="Cambria" w:hAnsi="Cambria"/>
          <w:sz w:val="20"/>
          <w:szCs w:val="20"/>
          <w:lang w:val="es-PA"/>
        </w:rPr>
        <w:t xml:space="preserve"> quienes </w:t>
      </w:r>
      <w:r w:rsidR="001801A8">
        <w:rPr>
          <w:rFonts w:ascii="Cambria" w:hAnsi="Cambria"/>
          <w:sz w:val="20"/>
          <w:szCs w:val="20"/>
          <w:lang w:val="es-PA"/>
        </w:rPr>
        <w:t xml:space="preserve">habían sido destituidos de sus funciones por el Tribunal Supremo </w:t>
      </w:r>
      <w:r w:rsidR="00B2519D">
        <w:rPr>
          <w:rFonts w:ascii="Cambria" w:hAnsi="Cambria"/>
          <w:sz w:val="20"/>
          <w:szCs w:val="20"/>
          <w:lang w:val="es-PA"/>
        </w:rPr>
        <w:t>Electoral</w:t>
      </w:r>
      <w:r w:rsidR="00824C9B">
        <w:rPr>
          <w:rFonts w:ascii="Cambria" w:hAnsi="Cambria"/>
          <w:sz w:val="20"/>
          <w:szCs w:val="20"/>
          <w:lang w:val="es-PA"/>
        </w:rPr>
        <w:t xml:space="preserve">, </w:t>
      </w:r>
      <w:r w:rsidR="00B2519D">
        <w:rPr>
          <w:rFonts w:ascii="Cambria" w:hAnsi="Cambria"/>
          <w:sz w:val="20"/>
          <w:szCs w:val="20"/>
          <w:lang w:val="es-PA"/>
        </w:rPr>
        <w:t xml:space="preserve">disponiendo que estos fueran reintegrados a sus cargos. </w:t>
      </w:r>
      <w:r w:rsidR="004C27AF">
        <w:rPr>
          <w:rFonts w:ascii="Cambria" w:hAnsi="Cambria"/>
          <w:sz w:val="20"/>
          <w:szCs w:val="20"/>
          <w:lang w:val="es-PA"/>
        </w:rPr>
        <w:t>Indican que tan pronto se adoptó esta decisión</w:t>
      </w:r>
      <w:r w:rsidR="0081748D">
        <w:rPr>
          <w:rFonts w:ascii="Cambria" w:hAnsi="Cambria"/>
          <w:sz w:val="20"/>
          <w:szCs w:val="20"/>
          <w:lang w:val="es-PA"/>
        </w:rPr>
        <w:t>,</w:t>
      </w:r>
      <w:r w:rsidR="004C27AF">
        <w:rPr>
          <w:rFonts w:ascii="Cambria" w:hAnsi="Cambria"/>
          <w:sz w:val="20"/>
          <w:szCs w:val="20"/>
          <w:lang w:val="es-PA"/>
        </w:rPr>
        <w:t xml:space="preserve"> el edificio donde se encontraban fue invadido por personas qu</w:t>
      </w:r>
      <w:r w:rsidR="00E21DA8">
        <w:rPr>
          <w:rFonts w:ascii="Cambria" w:hAnsi="Cambria"/>
          <w:sz w:val="20"/>
          <w:szCs w:val="20"/>
          <w:lang w:val="es-PA"/>
        </w:rPr>
        <w:t>e</w:t>
      </w:r>
      <w:r w:rsidR="004C27AF">
        <w:rPr>
          <w:rFonts w:ascii="Cambria" w:hAnsi="Cambria"/>
          <w:sz w:val="20"/>
          <w:szCs w:val="20"/>
          <w:lang w:val="es-PA"/>
        </w:rPr>
        <w:t xml:space="preserve"> llegaron</w:t>
      </w:r>
      <w:r w:rsidR="00082751">
        <w:rPr>
          <w:rFonts w:ascii="Cambria" w:hAnsi="Cambria"/>
          <w:sz w:val="20"/>
          <w:szCs w:val="20"/>
          <w:lang w:val="es-PA"/>
        </w:rPr>
        <w:t xml:space="preserve"> </w:t>
      </w:r>
      <w:r w:rsidR="004C27AF">
        <w:rPr>
          <w:rFonts w:ascii="Cambria" w:hAnsi="Cambria"/>
          <w:sz w:val="20"/>
          <w:szCs w:val="20"/>
          <w:lang w:val="es-PA"/>
        </w:rPr>
        <w:t>a la sala de sesiones del pleno del tribun</w:t>
      </w:r>
      <w:r w:rsidR="00082751">
        <w:rPr>
          <w:rFonts w:ascii="Cambria" w:hAnsi="Cambria"/>
          <w:sz w:val="20"/>
          <w:szCs w:val="20"/>
          <w:lang w:val="es-PA"/>
        </w:rPr>
        <w:t>al</w:t>
      </w:r>
      <w:r w:rsidR="00C46A94">
        <w:rPr>
          <w:rFonts w:ascii="Cambria" w:hAnsi="Cambria"/>
          <w:sz w:val="20"/>
          <w:szCs w:val="20"/>
          <w:lang w:val="es-PA"/>
        </w:rPr>
        <w:t>,</w:t>
      </w:r>
      <w:r w:rsidR="00930B4F">
        <w:rPr>
          <w:rFonts w:ascii="Cambria" w:hAnsi="Cambria"/>
          <w:sz w:val="20"/>
          <w:szCs w:val="20"/>
          <w:lang w:val="es-PA"/>
        </w:rPr>
        <w:t xml:space="preserve"> armados con palos y objetos contundentes</w:t>
      </w:r>
      <w:r w:rsidR="00082751">
        <w:rPr>
          <w:rFonts w:ascii="Cambria" w:hAnsi="Cambria"/>
          <w:sz w:val="20"/>
          <w:szCs w:val="20"/>
          <w:lang w:val="es-PA"/>
        </w:rPr>
        <w:t>. Señalan que estas personas gritaban insultos y consignas contra los miembros del tribunal y que los amenazaron directamente con que los “iban a lanzar des</w:t>
      </w:r>
      <w:r w:rsidR="006F5AEE">
        <w:rPr>
          <w:rFonts w:ascii="Cambria" w:hAnsi="Cambria"/>
          <w:sz w:val="20"/>
          <w:szCs w:val="20"/>
          <w:lang w:val="es-PA"/>
        </w:rPr>
        <w:t>de el balcón y luego quemarnos”. Indica</w:t>
      </w:r>
      <w:r w:rsidR="00015461">
        <w:rPr>
          <w:rFonts w:ascii="Cambria" w:hAnsi="Cambria"/>
          <w:sz w:val="20"/>
          <w:szCs w:val="20"/>
          <w:lang w:val="es-PA"/>
        </w:rPr>
        <w:t>n</w:t>
      </w:r>
      <w:r w:rsidR="00107DF9">
        <w:rPr>
          <w:rFonts w:ascii="Cambria" w:hAnsi="Cambria"/>
          <w:sz w:val="20"/>
          <w:szCs w:val="20"/>
          <w:lang w:val="es-PA"/>
        </w:rPr>
        <w:t xml:space="preserve"> que los invasores también sustrajeron las grabaciones de la sesión de ese día y documentos secretariales, entre otros, las excusas presentadas por dos integrantes del tribunal que no participaron de la sesión. </w:t>
      </w:r>
      <w:r w:rsidR="00AF2CAD">
        <w:rPr>
          <w:rFonts w:ascii="Cambria" w:hAnsi="Cambria"/>
          <w:sz w:val="20"/>
          <w:szCs w:val="20"/>
          <w:lang w:val="es-PA"/>
        </w:rPr>
        <w:t xml:space="preserve"> </w:t>
      </w:r>
    </w:p>
    <w:p w:rsidR="00C76ABC" w:rsidRPr="00773272" w:rsidRDefault="005709E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73272">
        <w:rPr>
          <w:rFonts w:ascii="Cambria" w:hAnsi="Cambria"/>
          <w:sz w:val="20"/>
          <w:szCs w:val="20"/>
          <w:lang w:val="es-PA"/>
        </w:rPr>
        <w:t xml:space="preserve">Alegan que, dado el ambiente de conflictividad que se vivía en el país, </w:t>
      </w:r>
      <w:r w:rsidR="004E244A" w:rsidRPr="00773272">
        <w:rPr>
          <w:rFonts w:ascii="Cambria" w:hAnsi="Cambria"/>
          <w:sz w:val="20"/>
          <w:szCs w:val="20"/>
          <w:lang w:val="es-PA"/>
        </w:rPr>
        <w:t>el Estado debió tomar medidas para precautelar la integridad física, psíquica y moral de los miembros del tribunal pero que la</w:t>
      </w:r>
      <w:r w:rsidRPr="00773272">
        <w:rPr>
          <w:rFonts w:ascii="Cambria" w:hAnsi="Cambria"/>
          <w:sz w:val="20"/>
          <w:szCs w:val="20"/>
          <w:lang w:val="es-PA"/>
        </w:rPr>
        <w:t xml:space="preserve"> fuerza pública no realizó esfuerzo </w:t>
      </w:r>
      <w:r w:rsidR="00C46A94" w:rsidRPr="00773272">
        <w:rPr>
          <w:rFonts w:ascii="Cambria" w:hAnsi="Cambria"/>
          <w:sz w:val="20"/>
          <w:szCs w:val="20"/>
          <w:lang w:val="es-PA"/>
        </w:rPr>
        <w:t xml:space="preserve">alguno </w:t>
      </w:r>
      <w:r w:rsidRPr="00773272">
        <w:rPr>
          <w:rFonts w:ascii="Cambria" w:hAnsi="Cambria"/>
          <w:sz w:val="20"/>
          <w:szCs w:val="20"/>
          <w:lang w:val="es-PA"/>
        </w:rPr>
        <w:t>para proteger</w:t>
      </w:r>
      <w:r w:rsidR="004E244A" w:rsidRPr="00773272">
        <w:rPr>
          <w:rFonts w:ascii="Cambria" w:hAnsi="Cambria"/>
          <w:sz w:val="20"/>
          <w:szCs w:val="20"/>
          <w:lang w:val="es-PA"/>
        </w:rPr>
        <w:t>los, por el contrario, permitió el ingreso de los manifestantes a las diversas dependencias y oficinas del tribunal. Resaltan que los policías presentes</w:t>
      </w:r>
      <w:r w:rsidR="0071140F" w:rsidRPr="00773272">
        <w:rPr>
          <w:rFonts w:ascii="Cambria" w:hAnsi="Cambria"/>
          <w:sz w:val="20"/>
          <w:szCs w:val="20"/>
          <w:lang w:val="es-PA"/>
        </w:rPr>
        <w:t xml:space="preserve"> no intentaron detener a los agresores y que, </w:t>
      </w:r>
      <w:r w:rsidR="002561A7" w:rsidRPr="00773272">
        <w:rPr>
          <w:rFonts w:ascii="Cambria" w:hAnsi="Cambria"/>
          <w:sz w:val="20"/>
          <w:szCs w:val="20"/>
          <w:lang w:val="es-PA"/>
        </w:rPr>
        <w:t>fue</w:t>
      </w:r>
      <w:r w:rsidR="00313DD8" w:rsidRPr="00773272">
        <w:rPr>
          <w:rFonts w:ascii="Cambria" w:hAnsi="Cambria"/>
          <w:sz w:val="20"/>
          <w:szCs w:val="20"/>
          <w:lang w:val="es-PA"/>
        </w:rPr>
        <w:t xml:space="preserve"> sólo ante la presencia de la prensa y la reiterada insistencia que </w:t>
      </w:r>
      <w:r w:rsidR="002561A7" w:rsidRPr="00773272">
        <w:rPr>
          <w:rFonts w:ascii="Cambria" w:hAnsi="Cambria"/>
          <w:sz w:val="20"/>
          <w:szCs w:val="20"/>
          <w:lang w:val="es-PA"/>
        </w:rPr>
        <w:t xml:space="preserve">les </w:t>
      </w:r>
      <w:r w:rsidR="00313DD8" w:rsidRPr="00773272">
        <w:rPr>
          <w:rFonts w:ascii="Cambria" w:hAnsi="Cambria"/>
          <w:sz w:val="20"/>
          <w:szCs w:val="20"/>
          <w:lang w:val="es-PA"/>
        </w:rPr>
        <w:t>brindó asistencia para que p</w:t>
      </w:r>
      <w:r w:rsidR="005B3598" w:rsidRPr="00773272">
        <w:rPr>
          <w:rFonts w:ascii="Cambria" w:hAnsi="Cambria"/>
          <w:sz w:val="20"/>
          <w:szCs w:val="20"/>
          <w:lang w:val="es-PA"/>
        </w:rPr>
        <w:t xml:space="preserve">udieran abandonar el edificio. </w:t>
      </w:r>
      <w:r w:rsidR="00313DD8" w:rsidRPr="00773272">
        <w:rPr>
          <w:rFonts w:ascii="Cambria" w:hAnsi="Cambria"/>
          <w:sz w:val="20"/>
          <w:szCs w:val="20"/>
          <w:lang w:val="es-PA"/>
        </w:rPr>
        <w:t>Agregan que</w:t>
      </w:r>
      <w:r w:rsidR="00C76ABC" w:rsidRPr="00773272">
        <w:rPr>
          <w:rFonts w:ascii="Cambria" w:hAnsi="Cambria"/>
          <w:sz w:val="20"/>
          <w:szCs w:val="20"/>
          <w:lang w:val="es-PA"/>
        </w:rPr>
        <w:t xml:space="preserve">, a diferencia de los demás, </w:t>
      </w:r>
      <w:r w:rsidR="00313DD8" w:rsidRPr="00773272">
        <w:rPr>
          <w:rFonts w:ascii="Cambria" w:hAnsi="Cambria"/>
          <w:sz w:val="20"/>
          <w:szCs w:val="20"/>
          <w:lang w:val="es-PA"/>
        </w:rPr>
        <w:t>dos</w:t>
      </w:r>
      <w:r w:rsidR="00C76ABC" w:rsidRPr="00773272">
        <w:rPr>
          <w:rFonts w:ascii="Cambria" w:hAnsi="Cambria"/>
          <w:sz w:val="20"/>
          <w:szCs w:val="20"/>
          <w:lang w:val="es-PA"/>
        </w:rPr>
        <w:t xml:space="preserve"> </w:t>
      </w:r>
      <w:r w:rsidR="00313DD8" w:rsidRPr="00773272">
        <w:rPr>
          <w:rFonts w:ascii="Cambria" w:hAnsi="Cambria"/>
          <w:sz w:val="20"/>
          <w:szCs w:val="20"/>
          <w:lang w:val="es-PA"/>
        </w:rPr>
        <w:t xml:space="preserve">integrantes del </w:t>
      </w:r>
      <w:r w:rsidR="00C76ABC" w:rsidRPr="00773272">
        <w:rPr>
          <w:rFonts w:ascii="Cambria" w:hAnsi="Cambria"/>
          <w:sz w:val="20"/>
          <w:szCs w:val="20"/>
          <w:lang w:val="es-PA"/>
        </w:rPr>
        <w:t xml:space="preserve">tribunal que tenían afinidad con las fuerzas políticas </w:t>
      </w:r>
      <w:r w:rsidR="005B3598" w:rsidRPr="00773272">
        <w:rPr>
          <w:rFonts w:ascii="Cambria" w:hAnsi="Cambria"/>
          <w:sz w:val="20"/>
          <w:szCs w:val="20"/>
          <w:lang w:val="es-PA"/>
        </w:rPr>
        <w:t>de gobierno no fueron agredidos.</w:t>
      </w:r>
      <w:r w:rsidR="00773272">
        <w:rPr>
          <w:rFonts w:ascii="Cambria" w:hAnsi="Cambria"/>
          <w:sz w:val="20"/>
          <w:szCs w:val="20"/>
          <w:lang w:val="es-PA"/>
        </w:rPr>
        <w:t xml:space="preserve"> </w:t>
      </w:r>
      <w:r w:rsidR="009D2A59" w:rsidRPr="00773272">
        <w:rPr>
          <w:rFonts w:ascii="Cambria" w:hAnsi="Cambria"/>
          <w:sz w:val="20"/>
          <w:szCs w:val="20"/>
          <w:lang w:val="es-PA"/>
        </w:rPr>
        <w:t xml:space="preserve">Señalan que los eventos se encuentran plenamente documentados </w:t>
      </w:r>
      <w:r w:rsidR="00773272" w:rsidRPr="00773272">
        <w:rPr>
          <w:rFonts w:ascii="Cambria" w:hAnsi="Cambria"/>
          <w:sz w:val="20"/>
          <w:szCs w:val="20"/>
          <w:lang w:val="es-PA"/>
        </w:rPr>
        <w:t>por la prensa</w:t>
      </w:r>
      <w:r w:rsidR="00773272">
        <w:rPr>
          <w:rFonts w:ascii="Cambria" w:hAnsi="Cambria"/>
          <w:sz w:val="20"/>
          <w:szCs w:val="20"/>
          <w:lang w:val="es-PA"/>
        </w:rPr>
        <w:t xml:space="preserve"> y que</w:t>
      </w:r>
      <w:r w:rsidR="00BA4E58" w:rsidRPr="00773272">
        <w:rPr>
          <w:rFonts w:ascii="Cambria" w:hAnsi="Cambria"/>
          <w:sz w:val="20"/>
          <w:szCs w:val="20"/>
          <w:lang w:val="es-PA"/>
        </w:rPr>
        <w:t xml:space="preserve"> muchas de las personas que participaron en la agresión eran claramente distinguibles </w:t>
      </w:r>
      <w:r w:rsidR="005D10BF" w:rsidRPr="00773272">
        <w:rPr>
          <w:rFonts w:ascii="Cambria" w:hAnsi="Cambria"/>
          <w:sz w:val="20"/>
          <w:szCs w:val="20"/>
          <w:lang w:val="es-PA"/>
        </w:rPr>
        <w:t>y</w:t>
      </w:r>
      <w:r w:rsidR="00026E5D" w:rsidRPr="00773272">
        <w:rPr>
          <w:rFonts w:ascii="Cambria" w:hAnsi="Cambria"/>
          <w:sz w:val="20"/>
          <w:szCs w:val="20"/>
          <w:lang w:val="es-PA"/>
        </w:rPr>
        <w:t xml:space="preserve"> que, aunque los hechos constituyen delitos perseguibles de oficio, </w:t>
      </w:r>
      <w:r w:rsidR="001E6C72" w:rsidRPr="00773272">
        <w:rPr>
          <w:rFonts w:ascii="Cambria" w:hAnsi="Cambria"/>
          <w:sz w:val="20"/>
          <w:szCs w:val="20"/>
          <w:lang w:val="es-PA"/>
        </w:rPr>
        <w:t xml:space="preserve">el Estado no ha investigado ni sancionado autores, cómplices </w:t>
      </w:r>
      <w:r w:rsidR="00773272">
        <w:rPr>
          <w:rFonts w:ascii="Cambria" w:hAnsi="Cambria"/>
          <w:sz w:val="20"/>
          <w:szCs w:val="20"/>
          <w:lang w:val="es-PA"/>
        </w:rPr>
        <w:t>o</w:t>
      </w:r>
      <w:r w:rsidR="001E6C72" w:rsidRPr="00773272">
        <w:rPr>
          <w:rFonts w:ascii="Cambria" w:hAnsi="Cambria"/>
          <w:sz w:val="20"/>
          <w:szCs w:val="20"/>
          <w:lang w:val="es-PA"/>
        </w:rPr>
        <w:t xml:space="preserve"> </w:t>
      </w:r>
      <w:r w:rsidR="005B3598" w:rsidRPr="00773272">
        <w:rPr>
          <w:rFonts w:ascii="Cambria" w:hAnsi="Cambria"/>
          <w:sz w:val="20"/>
          <w:szCs w:val="20"/>
          <w:lang w:val="es-PA"/>
        </w:rPr>
        <w:t xml:space="preserve">encubridores. </w:t>
      </w:r>
    </w:p>
    <w:p w:rsidR="00873B7F" w:rsidRPr="006D607A" w:rsidRDefault="0069500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873B7F">
        <w:rPr>
          <w:rFonts w:ascii="Cambria" w:hAnsi="Cambria"/>
          <w:sz w:val="20"/>
          <w:szCs w:val="20"/>
          <w:lang w:val="es-PA"/>
        </w:rPr>
        <w:t>P</w:t>
      </w:r>
      <w:r w:rsidR="00873B7F" w:rsidRPr="00873B7F">
        <w:rPr>
          <w:rFonts w:ascii="Cambria" w:hAnsi="Cambria"/>
          <w:sz w:val="20"/>
          <w:szCs w:val="20"/>
          <w:lang w:val="es-PA"/>
        </w:rPr>
        <w:t>or otra parte, los peticionari</w:t>
      </w:r>
      <w:r w:rsidR="00873B7F">
        <w:rPr>
          <w:rFonts w:ascii="Cambria" w:hAnsi="Cambria"/>
          <w:sz w:val="20"/>
          <w:szCs w:val="20"/>
          <w:lang w:val="es-PA"/>
        </w:rPr>
        <w:t xml:space="preserve">os aducen que </w:t>
      </w:r>
      <w:r w:rsidR="00A41922">
        <w:rPr>
          <w:rFonts w:ascii="Cambria" w:hAnsi="Cambria"/>
          <w:sz w:val="20"/>
          <w:szCs w:val="20"/>
          <w:lang w:val="es-PA"/>
        </w:rPr>
        <w:t>su decisión de conceder el amparo solicitado por los diputado</w:t>
      </w:r>
      <w:r w:rsidR="00D41CCE">
        <w:rPr>
          <w:rFonts w:ascii="Cambria" w:hAnsi="Cambria"/>
          <w:sz w:val="20"/>
          <w:szCs w:val="20"/>
          <w:lang w:val="es-PA"/>
        </w:rPr>
        <w:t>s</w:t>
      </w:r>
      <w:r w:rsidR="00A41922">
        <w:rPr>
          <w:rFonts w:ascii="Cambria" w:hAnsi="Cambria"/>
          <w:sz w:val="20"/>
          <w:szCs w:val="20"/>
          <w:lang w:val="es-PA"/>
        </w:rPr>
        <w:t xml:space="preserve"> fue recibida con hostilidad por las autoridades del gobierno. </w:t>
      </w:r>
      <w:r w:rsidR="00773272">
        <w:rPr>
          <w:rFonts w:ascii="Cambria" w:hAnsi="Cambria"/>
          <w:sz w:val="20"/>
          <w:szCs w:val="20"/>
          <w:lang w:val="es-PA"/>
        </w:rPr>
        <w:t>A</w:t>
      </w:r>
      <w:r w:rsidR="0039119B">
        <w:rPr>
          <w:rFonts w:ascii="Cambria" w:hAnsi="Cambria"/>
          <w:sz w:val="20"/>
          <w:szCs w:val="20"/>
          <w:lang w:val="es-PA"/>
        </w:rPr>
        <w:t>legan</w:t>
      </w:r>
      <w:r w:rsidR="00773272">
        <w:rPr>
          <w:rFonts w:ascii="Cambria" w:hAnsi="Cambria"/>
          <w:sz w:val="20"/>
          <w:szCs w:val="20"/>
          <w:lang w:val="es-PA"/>
        </w:rPr>
        <w:t>, por ejemplo,</w:t>
      </w:r>
      <w:r w:rsidR="0039119B">
        <w:rPr>
          <w:rFonts w:ascii="Cambria" w:hAnsi="Cambria"/>
          <w:sz w:val="20"/>
          <w:szCs w:val="20"/>
          <w:lang w:val="es-PA"/>
        </w:rPr>
        <w:t xml:space="preserve"> que el</w:t>
      </w:r>
      <w:r w:rsidR="00A41922">
        <w:rPr>
          <w:rFonts w:ascii="Cambria" w:hAnsi="Cambria"/>
          <w:sz w:val="20"/>
          <w:szCs w:val="20"/>
          <w:lang w:val="es-PA"/>
        </w:rPr>
        <w:t xml:space="preserve"> presidente Correa realizó declaraciones el 23 de abril de 2007 indicando que el Congreso cesaría a los vocales del Tribunal Constituciona</w:t>
      </w:r>
      <w:r w:rsidR="0039119B">
        <w:rPr>
          <w:rFonts w:ascii="Cambria" w:hAnsi="Cambria"/>
          <w:sz w:val="20"/>
          <w:szCs w:val="20"/>
          <w:lang w:val="es-PA"/>
        </w:rPr>
        <w:t>l,</w:t>
      </w:r>
      <w:r w:rsidR="00A41922">
        <w:rPr>
          <w:rFonts w:ascii="Cambria" w:hAnsi="Cambria"/>
          <w:sz w:val="20"/>
          <w:szCs w:val="20"/>
          <w:lang w:val="es-PA"/>
        </w:rPr>
        <w:t xml:space="preserve"> y</w:t>
      </w:r>
      <w:r w:rsidR="0039119B">
        <w:rPr>
          <w:rFonts w:ascii="Cambria" w:hAnsi="Cambria"/>
          <w:sz w:val="20"/>
          <w:szCs w:val="20"/>
          <w:lang w:val="es-PA"/>
        </w:rPr>
        <w:t xml:space="preserve"> advirtiendo</w:t>
      </w:r>
      <w:r w:rsidR="00A41922">
        <w:rPr>
          <w:rFonts w:ascii="Cambria" w:hAnsi="Cambria"/>
          <w:sz w:val="20"/>
          <w:szCs w:val="20"/>
          <w:lang w:val="es-PA"/>
        </w:rPr>
        <w:t xml:space="preserve"> que si los diputados favorecidos por el amparo intentaban ingresar al Congreso</w:t>
      </w:r>
      <w:r w:rsidR="005D10BF">
        <w:rPr>
          <w:rFonts w:ascii="Cambria" w:hAnsi="Cambria"/>
          <w:sz w:val="20"/>
          <w:szCs w:val="20"/>
          <w:lang w:val="es-PA"/>
        </w:rPr>
        <w:t>,</w:t>
      </w:r>
      <w:r w:rsidR="00A41922">
        <w:rPr>
          <w:rFonts w:ascii="Cambria" w:hAnsi="Cambria"/>
          <w:sz w:val="20"/>
          <w:szCs w:val="20"/>
          <w:lang w:val="es-PA"/>
        </w:rPr>
        <w:t xml:space="preserve"> ser</w:t>
      </w:r>
      <w:r w:rsidR="005D10BF">
        <w:rPr>
          <w:rFonts w:ascii="Cambria" w:hAnsi="Cambria"/>
          <w:sz w:val="20"/>
          <w:szCs w:val="20"/>
          <w:lang w:val="es-PA"/>
        </w:rPr>
        <w:t>ían</w:t>
      </w:r>
      <w:r w:rsidR="00A41922">
        <w:rPr>
          <w:rFonts w:ascii="Cambria" w:hAnsi="Cambria"/>
          <w:sz w:val="20"/>
          <w:szCs w:val="20"/>
          <w:lang w:val="es-PA"/>
        </w:rPr>
        <w:t xml:space="preserve"> apresados. </w:t>
      </w:r>
      <w:r w:rsidR="0039119B">
        <w:rPr>
          <w:rFonts w:ascii="Cambria" w:hAnsi="Cambria"/>
          <w:sz w:val="20"/>
          <w:szCs w:val="20"/>
          <w:lang w:val="es-PA"/>
        </w:rPr>
        <w:t>En adición, indican</w:t>
      </w:r>
      <w:r w:rsidR="006D607A">
        <w:rPr>
          <w:rFonts w:ascii="Cambria" w:hAnsi="Cambria"/>
          <w:sz w:val="20"/>
          <w:szCs w:val="20"/>
          <w:lang w:val="es-PA"/>
        </w:rPr>
        <w:t xml:space="preserve"> que un diputado interpuso en su contra una denuncia cuyo verdadero motivo era evitar que se pudiera restituir a los diputados favorecidos por el amparo. </w:t>
      </w:r>
    </w:p>
    <w:p w:rsidR="008F69CF" w:rsidRPr="00AC3AB6" w:rsidRDefault="00634D4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AC3AB6">
        <w:rPr>
          <w:rFonts w:ascii="Cambria" w:hAnsi="Cambria"/>
          <w:sz w:val="20"/>
          <w:szCs w:val="20"/>
          <w:lang w:val="es-UY"/>
        </w:rPr>
        <w:t>E</w:t>
      </w:r>
      <w:r w:rsidR="0059518F" w:rsidRPr="00AC3AB6">
        <w:rPr>
          <w:rFonts w:ascii="Cambria" w:hAnsi="Cambria"/>
          <w:sz w:val="20"/>
          <w:szCs w:val="20"/>
          <w:lang w:val="es-PA"/>
        </w:rPr>
        <w:t xml:space="preserve">l 24 de abril de 2007 el Congreso Nacional emitió una resolución por la cual </w:t>
      </w:r>
      <w:r w:rsidR="0039119B" w:rsidRPr="00AC3AB6">
        <w:rPr>
          <w:rFonts w:ascii="Cambria" w:hAnsi="Cambria"/>
          <w:sz w:val="20"/>
          <w:szCs w:val="20"/>
          <w:lang w:val="es-PA"/>
        </w:rPr>
        <w:t xml:space="preserve">se </w:t>
      </w:r>
      <w:r w:rsidR="0059518F" w:rsidRPr="00AC3AB6">
        <w:rPr>
          <w:rFonts w:ascii="Cambria" w:hAnsi="Cambria"/>
          <w:sz w:val="20"/>
          <w:szCs w:val="20"/>
          <w:lang w:val="es-PA"/>
        </w:rPr>
        <w:t xml:space="preserve">“declararon concluidos” los periodos de los vocales del Tribunal Constitucional, cesando de sus funciones tanto a los titulares como a sus suplentes. </w:t>
      </w:r>
      <w:r w:rsidRPr="00AC3AB6">
        <w:rPr>
          <w:rFonts w:ascii="Cambria" w:hAnsi="Cambria"/>
          <w:sz w:val="20"/>
          <w:szCs w:val="20"/>
          <w:lang w:val="es-PA"/>
        </w:rPr>
        <w:t>Los peticionarios a</w:t>
      </w:r>
      <w:r w:rsidR="005F0E01" w:rsidRPr="00AC3AB6">
        <w:rPr>
          <w:rFonts w:ascii="Cambria" w:hAnsi="Cambria"/>
          <w:sz w:val="20"/>
          <w:szCs w:val="20"/>
          <w:lang w:val="es-PA"/>
        </w:rPr>
        <w:t xml:space="preserve">legan que, aunque esta resolución fue difundida a través de los medios de comunicación, nunca les fue notificada y que fue publicada en el Registro Oficial </w:t>
      </w:r>
      <w:r w:rsidR="0039119B" w:rsidRPr="00AC3AB6">
        <w:rPr>
          <w:rFonts w:ascii="Cambria" w:hAnsi="Cambria"/>
          <w:sz w:val="20"/>
          <w:szCs w:val="20"/>
          <w:lang w:val="es-PA"/>
        </w:rPr>
        <w:t>hasta el 14 de agosto de 2007</w:t>
      </w:r>
      <w:r w:rsidR="005F0E01" w:rsidRPr="00AC3AB6">
        <w:rPr>
          <w:rFonts w:ascii="Cambria" w:hAnsi="Cambria"/>
          <w:sz w:val="20"/>
          <w:szCs w:val="20"/>
          <w:lang w:val="es-PA"/>
        </w:rPr>
        <w:t>.</w:t>
      </w:r>
      <w:r w:rsidR="00D73ACE" w:rsidRPr="00AC3AB6">
        <w:rPr>
          <w:rFonts w:ascii="Cambria" w:hAnsi="Cambria"/>
          <w:sz w:val="20"/>
          <w:szCs w:val="20"/>
          <w:lang w:val="es-PA"/>
        </w:rPr>
        <w:t xml:space="preserve"> </w:t>
      </w:r>
      <w:r w:rsidRPr="00AC3AB6">
        <w:rPr>
          <w:rFonts w:ascii="Cambria" w:hAnsi="Cambria"/>
          <w:sz w:val="20"/>
          <w:szCs w:val="20"/>
          <w:lang w:val="es-PA"/>
        </w:rPr>
        <w:t>C</w:t>
      </w:r>
      <w:r w:rsidR="00785237" w:rsidRPr="00AC3AB6">
        <w:rPr>
          <w:rFonts w:ascii="Cambria" w:hAnsi="Cambria"/>
          <w:sz w:val="20"/>
          <w:szCs w:val="20"/>
          <w:lang w:val="es-PA"/>
        </w:rPr>
        <w:t>onsideran que esta resolución fue inconstitucional y contraria a los derechos contenidos en la Convención Amer</w:t>
      </w:r>
      <w:r w:rsidRPr="00AC3AB6">
        <w:rPr>
          <w:rFonts w:ascii="Cambria" w:hAnsi="Cambria"/>
          <w:sz w:val="20"/>
          <w:szCs w:val="20"/>
          <w:lang w:val="es-PA"/>
        </w:rPr>
        <w:t>icana</w:t>
      </w:r>
      <w:r w:rsidR="00AC3AB6">
        <w:rPr>
          <w:rStyle w:val="FootnoteReference"/>
          <w:rFonts w:ascii="Cambria" w:hAnsi="Cambria"/>
          <w:sz w:val="20"/>
          <w:szCs w:val="20"/>
          <w:lang w:val="es-PA"/>
        </w:rPr>
        <w:footnoteReference w:id="4"/>
      </w:r>
      <w:r w:rsidR="00AC3AB6">
        <w:rPr>
          <w:rFonts w:ascii="Cambria" w:hAnsi="Cambria"/>
          <w:sz w:val="20"/>
          <w:szCs w:val="20"/>
          <w:lang w:val="es-PA"/>
        </w:rPr>
        <w:t xml:space="preserve">.  </w:t>
      </w:r>
      <w:r w:rsidR="00D73ACE" w:rsidRPr="00AC3AB6">
        <w:rPr>
          <w:rFonts w:ascii="Cambria" w:hAnsi="Cambria"/>
          <w:sz w:val="20"/>
          <w:szCs w:val="20"/>
          <w:lang w:val="es-UY"/>
        </w:rPr>
        <w:t xml:space="preserve">En adición, los peticionarios aducen que el verdadero motivo de la decisión de </w:t>
      </w:r>
      <w:r w:rsidR="00D73ACE" w:rsidRPr="00AC3AB6">
        <w:rPr>
          <w:rFonts w:ascii="Cambria" w:hAnsi="Cambria"/>
          <w:sz w:val="20"/>
          <w:szCs w:val="20"/>
          <w:lang w:val="es-UY"/>
        </w:rPr>
        <w:lastRenderedPageBreak/>
        <w:t xml:space="preserve">“declarar concluidos” sus periodos era impedir que se ejecutara </w:t>
      </w:r>
      <w:r w:rsidR="00E1793B" w:rsidRPr="00AC3AB6">
        <w:rPr>
          <w:rFonts w:ascii="Cambria" w:hAnsi="Cambria"/>
          <w:sz w:val="20"/>
          <w:szCs w:val="20"/>
          <w:lang w:val="es-UY"/>
        </w:rPr>
        <w:t xml:space="preserve">su decisión y los diputados destituidos regresaran al Congreso. </w:t>
      </w:r>
      <w:r w:rsidR="00623CE6" w:rsidRPr="00AC3AB6">
        <w:rPr>
          <w:rFonts w:ascii="Cambria" w:hAnsi="Cambria"/>
          <w:sz w:val="20"/>
          <w:szCs w:val="20"/>
          <w:lang w:val="es-UY"/>
        </w:rPr>
        <w:t>Resaltan que</w:t>
      </w:r>
      <w:r w:rsidR="008070CD" w:rsidRPr="00AC3AB6">
        <w:rPr>
          <w:rFonts w:ascii="Cambria" w:hAnsi="Cambria"/>
          <w:sz w:val="20"/>
          <w:szCs w:val="20"/>
          <w:lang w:val="es-UY"/>
        </w:rPr>
        <w:t xml:space="preserve"> uno de los vocales que votó en contra de la decisión </w:t>
      </w:r>
      <w:r w:rsidRPr="00AC3AB6">
        <w:rPr>
          <w:rFonts w:ascii="Cambria" w:hAnsi="Cambria"/>
          <w:sz w:val="20"/>
          <w:szCs w:val="20"/>
          <w:lang w:val="es-UY"/>
        </w:rPr>
        <w:t xml:space="preserve">fue designado nuevamente para el mismo puesto </w:t>
      </w:r>
      <w:r w:rsidR="008070CD" w:rsidRPr="00AC3AB6">
        <w:rPr>
          <w:rFonts w:ascii="Cambria" w:hAnsi="Cambria"/>
          <w:sz w:val="20"/>
          <w:szCs w:val="20"/>
          <w:lang w:val="es-UY"/>
        </w:rPr>
        <w:t>y que</w:t>
      </w:r>
      <w:r w:rsidR="00623CE6" w:rsidRPr="00AC3AB6">
        <w:rPr>
          <w:rFonts w:ascii="Cambria" w:hAnsi="Cambria"/>
          <w:sz w:val="20"/>
          <w:szCs w:val="20"/>
          <w:lang w:val="es-UY"/>
        </w:rPr>
        <w:t xml:space="preserve"> la decisión fue </w:t>
      </w:r>
      <w:r w:rsidR="0062762F" w:rsidRPr="00AC3AB6">
        <w:rPr>
          <w:rFonts w:ascii="Cambria" w:hAnsi="Cambria"/>
          <w:sz w:val="20"/>
          <w:szCs w:val="20"/>
          <w:lang w:val="es-UY"/>
        </w:rPr>
        <w:t>eventualmente</w:t>
      </w:r>
      <w:r w:rsidR="008070CD" w:rsidRPr="00AC3AB6">
        <w:rPr>
          <w:rFonts w:ascii="Cambria" w:hAnsi="Cambria"/>
          <w:sz w:val="20"/>
          <w:szCs w:val="20"/>
          <w:lang w:val="es-UY"/>
        </w:rPr>
        <w:t xml:space="preserve"> dejada sin efecto por los vocales que </w:t>
      </w:r>
      <w:r w:rsidR="0062762F" w:rsidRPr="00AC3AB6">
        <w:rPr>
          <w:rFonts w:ascii="Cambria" w:hAnsi="Cambria"/>
          <w:sz w:val="20"/>
          <w:szCs w:val="20"/>
          <w:lang w:val="es-UY"/>
        </w:rPr>
        <w:t>les reemplazaron</w:t>
      </w:r>
      <w:r w:rsidRPr="00AC3AB6">
        <w:rPr>
          <w:rFonts w:ascii="Cambria" w:hAnsi="Cambria"/>
          <w:sz w:val="20"/>
          <w:szCs w:val="20"/>
          <w:lang w:val="es-UY"/>
        </w:rPr>
        <w:t>,</w:t>
      </w:r>
      <w:r w:rsidR="008070CD" w:rsidRPr="00AC3AB6">
        <w:rPr>
          <w:rFonts w:ascii="Cambria" w:hAnsi="Cambria"/>
          <w:sz w:val="20"/>
          <w:szCs w:val="20"/>
          <w:lang w:val="es-UY"/>
        </w:rPr>
        <w:t xml:space="preserve"> con fundamento precisamente en la ausencia de los documentos que fueron sustraídos por los manifestantes durante los ev</w:t>
      </w:r>
      <w:r w:rsidRPr="00AC3AB6">
        <w:rPr>
          <w:rFonts w:ascii="Cambria" w:hAnsi="Cambria"/>
          <w:sz w:val="20"/>
          <w:szCs w:val="20"/>
          <w:lang w:val="es-UY"/>
        </w:rPr>
        <w:t xml:space="preserve">entos del 23 de abril, </w:t>
      </w:r>
      <w:r w:rsidR="008070CD" w:rsidRPr="00AC3AB6">
        <w:rPr>
          <w:rFonts w:ascii="Cambria" w:hAnsi="Cambria"/>
          <w:sz w:val="20"/>
          <w:szCs w:val="20"/>
          <w:lang w:val="es-UY"/>
        </w:rPr>
        <w:t xml:space="preserve">sin haber sido nunca investigada </w:t>
      </w:r>
      <w:r w:rsidR="00E238C9" w:rsidRPr="00AC3AB6">
        <w:rPr>
          <w:rFonts w:ascii="Cambria" w:hAnsi="Cambria"/>
          <w:sz w:val="20"/>
          <w:szCs w:val="20"/>
          <w:lang w:val="es-UY"/>
        </w:rPr>
        <w:t xml:space="preserve">su </w:t>
      </w:r>
      <w:r w:rsidR="008070CD" w:rsidRPr="00AC3AB6">
        <w:rPr>
          <w:rFonts w:ascii="Cambria" w:hAnsi="Cambria"/>
          <w:sz w:val="20"/>
          <w:szCs w:val="20"/>
          <w:lang w:val="es-UY"/>
        </w:rPr>
        <w:t>desaparición.</w:t>
      </w:r>
    </w:p>
    <w:p w:rsidR="009B380B" w:rsidRDefault="00E54AF5" w:rsidP="009B38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El 23 de noviembre de 2007, l</w:t>
      </w:r>
      <w:r w:rsidR="00634D45">
        <w:rPr>
          <w:rFonts w:ascii="Cambria" w:hAnsi="Cambria"/>
          <w:sz w:val="20"/>
          <w:szCs w:val="20"/>
          <w:lang w:val="es-UY"/>
        </w:rPr>
        <w:t xml:space="preserve">os peticionarios interpusieron una acción de amparo contra la resolución del </w:t>
      </w:r>
      <w:r w:rsidR="00C51ADA">
        <w:rPr>
          <w:rFonts w:ascii="Cambria" w:hAnsi="Cambria"/>
          <w:sz w:val="20"/>
          <w:szCs w:val="20"/>
          <w:lang w:val="es-UY"/>
        </w:rPr>
        <w:t>Congreso</w:t>
      </w:r>
      <w:r w:rsidR="00773272">
        <w:rPr>
          <w:rFonts w:ascii="Cambria" w:hAnsi="Cambria"/>
          <w:sz w:val="20"/>
          <w:szCs w:val="20"/>
          <w:lang w:val="es-UY"/>
        </w:rPr>
        <w:t>.  Ésta</w:t>
      </w:r>
      <w:r w:rsidR="00C51ADA">
        <w:rPr>
          <w:rFonts w:ascii="Cambria" w:hAnsi="Cambria"/>
          <w:sz w:val="20"/>
          <w:szCs w:val="20"/>
          <w:lang w:val="es-UY"/>
        </w:rPr>
        <w:t xml:space="preserve"> fue nega</w:t>
      </w:r>
      <w:r w:rsidR="0062762F">
        <w:rPr>
          <w:rFonts w:ascii="Cambria" w:hAnsi="Cambria"/>
          <w:sz w:val="20"/>
          <w:szCs w:val="20"/>
          <w:lang w:val="es-UY"/>
        </w:rPr>
        <w:t xml:space="preserve">da </w:t>
      </w:r>
      <w:r w:rsidR="00C51ADA">
        <w:rPr>
          <w:rFonts w:ascii="Cambria" w:hAnsi="Cambria"/>
          <w:sz w:val="20"/>
          <w:szCs w:val="20"/>
          <w:lang w:val="es-UY"/>
        </w:rPr>
        <w:t>el 19 de diciembre de 200</w:t>
      </w:r>
      <w:r w:rsidR="003306A1">
        <w:rPr>
          <w:rFonts w:ascii="Cambria" w:hAnsi="Cambria"/>
          <w:sz w:val="20"/>
          <w:szCs w:val="20"/>
          <w:lang w:val="es-UY"/>
        </w:rPr>
        <w:t>7 con fundamento en que el amparo</w:t>
      </w:r>
      <w:r w:rsidR="00773272">
        <w:rPr>
          <w:rFonts w:ascii="Cambria" w:hAnsi="Cambria"/>
          <w:sz w:val="20"/>
          <w:szCs w:val="20"/>
          <w:lang w:val="es-UY"/>
        </w:rPr>
        <w:t xml:space="preserve"> </w:t>
      </w:r>
      <w:r w:rsidR="003306A1">
        <w:rPr>
          <w:rFonts w:ascii="Cambria" w:hAnsi="Cambria"/>
          <w:sz w:val="20"/>
          <w:szCs w:val="20"/>
          <w:lang w:val="es-UY"/>
        </w:rPr>
        <w:t>procedía contra</w:t>
      </w:r>
      <w:r w:rsidR="00073462">
        <w:rPr>
          <w:rFonts w:ascii="Cambria" w:hAnsi="Cambria"/>
          <w:sz w:val="20"/>
          <w:szCs w:val="20"/>
          <w:lang w:val="es-UY"/>
        </w:rPr>
        <w:t xml:space="preserve"> un</w:t>
      </w:r>
      <w:r w:rsidR="003306A1">
        <w:rPr>
          <w:rFonts w:ascii="Cambria" w:hAnsi="Cambria"/>
          <w:sz w:val="20"/>
          <w:szCs w:val="20"/>
          <w:lang w:val="es-UY"/>
        </w:rPr>
        <w:t xml:space="preserve"> </w:t>
      </w:r>
      <w:r w:rsidR="006A3324">
        <w:rPr>
          <w:rFonts w:ascii="Cambria" w:hAnsi="Cambria"/>
          <w:sz w:val="20"/>
          <w:szCs w:val="20"/>
          <w:lang w:val="es-UY"/>
        </w:rPr>
        <w:t>acto</w:t>
      </w:r>
      <w:r w:rsidR="00073462">
        <w:rPr>
          <w:rFonts w:ascii="Cambria" w:hAnsi="Cambria"/>
          <w:sz w:val="20"/>
          <w:szCs w:val="20"/>
          <w:lang w:val="es-UY"/>
        </w:rPr>
        <w:t xml:space="preserve"> u omisión</w:t>
      </w:r>
      <w:r w:rsidR="003306A1">
        <w:rPr>
          <w:rFonts w:ascii="Cambria" w:hAnsi="Cambria"/>
          <w:sz w:val="20"/>
          <w:szCs w:val="20"/>
          <w:lang w:val="es-UY"/>
        </w:rPr>
        <w:t xml:space="preserve"> </w:t>
      </w:r>
      <w:r w:rsidR="00773272">
        <w:rPr>
          <w:rFonts w:ascii="Cambria" w:hAnsi="Cambria"/>
          <w:sz w:val="20"/>
          <w:szCs w:val="20"/>
          <w:lang w:val="es-UY"/>
        </w:rPr>
        <w:t>ilegítima</w:t>
      </w:r>
      <w:r w:rsidR="003306A1">
        <w:rPr>
          <w:rFonts w:ascii="Cambria" w:hAnsi="Cambria"/>
          <w:sz w:val="20"/>
          <w:szCs w:val="20"/>
          <w:lang w:val="es-UY"/>
        </w:rPr>
        <w:t xml:space="preserve"> de una autoridad pública que “</w:t>
      </w:r>
      <w:r w:rsidR="00073462">
        <w:rPr>
          <w:rFonts w:ascii="Cambria" w:hAnsi="Cambria"/>
          <w:sz w:val="20"/>
          <w:szCs w:val="20"/>
          <w:lang w:val="es-UY"/>
        </w:rPr>
        <w:t>de modo inminente, amenace con causar un daño grave”. El juzgado co</w:t>
      </w:r>
      <w:r w:rsidR="00014BA9">
        <w:rPr>
          <w:rFonts w:ascii="Cambria" w:hAnsi="Cambria"/>
          <w:sz w:val="20"/>
          <w:szCs w:val="20"/>
          <w:lang w:val="es-UY"/>
        </w:rPr>
        <w:t>nsideró que “se ha planteado la acción de amparo a los siete meses, por lo que ha desaparecido el daño grave inminente”</w:t>
      </w:r>
      <w:r w:rsidR="00E94B0B">
        <w:rPr>
          <w:rFonts w:ascii="Cambria" w:hAnsi="Cambria"/>
          <w:sz w:val="20"/>
          <w:szCs w:val="20"/>
          <w:lang w:val="es-UY"/>
        </w:rPr>
        <w:t>. Los peticionarios apelaron ante la Corte Constitucional</w:t>
      </w:r>
      <w:r w:rsidR="00773272">
        <w:rPr>
          <w:rFonts w:ascii="Cambria" w:hAnsi="Cambria"/>
          <w:sz w:val="20"/>
          <w:szCs w:val="20"/>
          <w:lang w:val="es-UY"/>
        </w:rPr>
        <w:t>,</w:t>
      </w:r>
      <w:r w:rsidR="00E94B0B">
        <w:rPr>
          <w:rFonts w:ascii="Cambria" w:hAnsi="Cambria"/>
          <w:sz w:val="20"/>
          <w:szCs w:val="20"/>
          <w:lang w:val="es-UY"/>
        </w:rPr>
        <w:t xml:space="preserve"> qu</w:t>
      </w:r>
      <w:r w:rsidR="002E1B6A">
        <w:rPr>
          <w:rFonts w:ascii="Cambria" w:hAnsi="Cambria"/>
          <w:sz w:val="20"/>
          <w:szCs w:val="20"/>
          <w:lang w:val="es-UY"/>
        </w:rPr>
        <w:t>e</w:t>
      </w:r>
      <w:r w:rsidR="00E94B0B">
        <w:rPr>
          <w:rFonts w:ascii="Cambria" w:hAnsi="Cambria"/>
          <w:sz w:val="20"/>
          <w:szCs w:val="20"/>
          <w:lang w:val="es-UY"/>
        </w:rPr>
        <w:t xml:space="preserve"> </w:t>
      </w:r>
      <w:r>
        <w:rPr>
          <w:rFonts w:ascii="Cambria" w:hAnsi="Cambria"/>
          <w:sz w:val="20"/>
          <w:szCs w:val="20"/>
          <w:lang w:val="es-UY"/>
        </w:rPr>
        <w:t>rechazó la acción el 26 de mayo de 2009</w:t>
      </w:r>
      <w:r w:rsidR="0056660D">
        <w:rPr>
          <w:rFonts w:ascii="Cambria" w:hAnsi="Cambria"/>
          <w:sz w:val="20"/>
          <w:szCs w:val="20"/>
          <w:lang w:val="es-UY"/>
        </w:rPr>
        <w:t xml:space="preserve"> bajo el mismo fundamento.</w:t>
      </w:r>
      <w:r w:rsidR="009B380B">
        <w:rPr>
          <w:rFonts w:ascii="Cambria" w:hAnsi="Cambria"/>
          <w:sz w:val="20"/>
          <w:szCs w:val="20"/>
          <w:lang w:val="es-UY"/>
        </w:rPr>
        <w:t xml:space="preserve">  </w:t>
      </w:r>
      <w:r w:rsidR="00773272">
        <w:rPr>
          <w:rFonts w:ascii="Cambria" w:hAnsi="Cambria"/>
          <w:sz w:val="20"/>
          <w:szCs w:val="20"/>
          <w:lang w:val="es-UY"/>
        </w:rPr>
        <w:t>A</w:t>
      </w:r>
      <w:r w:rsidR="009B380B">
        <w:rPr>
          <w:rFonts w:ascii="Cambria" w:hAnsi="Cambria"/>
          <w:sz w:val="20"/>
          <w:szCs w:val="20"/>
          <w:lang w:val="es-UY"/>
        </w:rPr>
        <w:t>legan que la Corte que conoció el amparo en apelación se encontraba conformada por las personas que les reemplazaron en sus funciones, quienes hubiesen perdido sus cargos de haber concedido el amparo y, por lo tanto, no eran imparciales.</w:t>
      </w:r>
    </w:p>
    <w:p w:rsidR="005F0E01" w:rsidRPr="002A2314" w:rsidRDefault="00B73F4D" w:rsidP="007852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A2314">
        <w:rPr>
          <w:rFonts w:ascii="Cambria" w:hAnsi="Cambria"/>
          <w:sz w:val="20"/>
          <w:szCs w:val="20"/>
          <w:lang w:val="es-UY"/>
        </w:rPr>
        <w:t>Los peticionarios indican que no interp</w:t>
      </w:r>
      <w:r w:rsidR="00773272">
        <w:rPr>
          <w:rFonts w:ascii="Cambria" w:hAnsi="Cambria"/>
          <w:sz w:val="20"/>
          <w:szCs w:val="20"/>
          <w:lang w:val="es-UY"/>
        </w:rPr>
        <w:t>usieron</w:t>
      </w:r>
      <w:r w:rsidRPr="002A2314">
        <w:rPr>
          <w:rFonts w:ascii="Cambria" w:hAnsi="Cambria"/>
          <w:sz w:val="20"/>
          <w:szCs w:val="20"/>
          <w:lang w:val="es-UY"/>
        </w:rPr>
        <w:t xml:space="preserve"> un recurso subjetivo o de plena jurisdicción porque</w:t>
      </w:r>
      <w:r w:rsidR="00B90D03" w:rsidRPr="002A2314">
        <w:rPr>
          <w:rFonts w:ascii="Cambria" w:hAnsi="Cambria"/>
          <w:sz w:val="20"/>
          <w:szCs w:val="20"/>
          <w:lang w:val="es-UY"/>
        </w:rPr>
        <w:t xml:space="preserve"> no era clara la procedencia de este contra decisiones del Congreso y porque é</w:t>
      </w:r>
      <w:r w:rsidRPr="002A2314">
        <w:rPr>
          <w:rFonts w:ascii="Cambria" w:hAnsi="Cambria"/>
          <w:sz w:val="20"/>
          <w:szCs w:val="20"/>
          <w:lang w:val="es-UY"/>
        </w:rPr>
        <w:t>ste no era adecuado ni</w:t>
      </w:r>
      <w:r w:rsidR="001170E0" w:rsidRPr="002A2314">
        <w:rPr>
          <w:rFonts w:ascii="Cambria" w:hAnsi="Cambria"/>
          <w:sz w:val="20"/>
          <w:szCs w:val="20"/>
          <w:lang w:val="es-UY"/>
        </w:rPr>
        <w:t xml:space="preserve"> efectivo para</w:t>
      </w:r>
      <w:r w:rsidR="00B90D03" w:rsidRPr="002A2314">
        <w:rPr>
          <w:rFonts w:ascii="Cambria" w:hAnsi="Cambria"/>
          <w:sz w:val="20"/>
          <w:szCs w:val="20"/>
          <w:lang w:val="es-UY"/>
        </w:rPr>
        <w:t xml:space="preserve"> remediar</w:t>
      </w:r>
      <w:r w:rsidR="001170E0" w:rsidRPr="002A2314">
        <w:rPr>
          <w:rFonts w:ascii="Cambria" w:hAnsi="Cambria"/>
          <w:sz w:val="20"/>
          <w:szCs w:val="20"/>
          <w:lang w:val="es-UY"/>
        </w:rPr>
        <w:t xml:space="preserve"> su situación. Alegan que el mismo</w:t>
      </w:r>
      <w:r w:rsidR="002F6F92" w:rsidRPr="002A2314">
        <w:rPr>
          <w:rFonts w:ascii="Cambria" w:hAnsi="Cambria"/>
          <w:sz w:val="20"/>
          <w:szCs w:val="20"/>
          <w:lang w:val="es-UY"/>
        </w:rPr>
        <w:t xml:space="preserve"> </w:t>
      </w:r>
      <w:r w:rsidR="001170E0" w:rsidRPr="002A2314">
        <w:rPr>
          <w:rFonts w:ascii="Cambria" w:hAnsi="Cambria"/>
          <w:sz w:val="20"/>
          <w:szCs w:val="20"/>
          <w:lang w:val="es-UY"/>
        </w:rPr>
        <w:t>no proveía la oportunidad de suspender los efectos del acto impugnado</w:t>
      </w:r>
      <w:r w:rsidR="002F6F92" w:rsidRPr="002A2314">
        <w:rPr>
          <w:rFonts w:ascii="Cambria" w:hAnsi="Cambria"/>
          <w:sz w:val="20"/>
          <w:szCs w:val="20"/>
          <w:lang w:val="es-UY"/>
        </w:rPr>
        <w:t xml:space="preserve"> y</w:t>
      </w:r>
      <w:r w:rsidR="00B90D03" w:rsidRPr="002A2314">
        <w:rPr>
          <w:rFonts w:ascii="Cambria" w:hAnsi="Cambria"/>
          <w:sz w:val="20"/>
          <w:szCs w:val="20"/>
          <w:lang w:val="es-UY"/>
        </w:rPr>
        <w:t xml:space="preserve"> que</w:t>
      </w:r>
      <w:r w:rsidR="002F6F92" w:rsidRPr="002A2314">
        <w:rPr>
          <w:rFonts w:ascii="Cambria" w:hAnsi="Cambria"/>
          <w:sz w:val="20"/>
          <w:szCs w:val="20"/>
          <w:lang w:val="es-UY"/>
        </w:rPr>
        <w:t xml:space="preserve"> obliga a</w:t>
      </w:r>
      <w:r w:rsidR="00B90D03" w:rsidRPr="002A2314">
        <w:rPr>
          <w:rFonts w:ascii="Cambria" w:hAnsi="Cambria"/>
          <w:sz w:val="20"/>
          <w:szCs w:val="20"/>
          <w:lang w:val="es-UY"/>
        </w:rPr>
        <w:t xml:space="preserve"> agotar</w:t>
      </w:r>
      <w:r w:rsidR="002F6F92" w:rsidRPr="002A2314">
        <w:rPr>
          <w:rFonts w:ascii="Cambria" w:hAnsi="Cambria"/>
          <w:sz w:val="20"/>
          <w:szCs w:val="20"/>
          <w:lang w:val="es-UY"/>
        </w:rPr>
        <w:t xml:space="preserve"> la casación</w:t>
      </w:r>
      <w:r w:rsidR="00B90D03" w:rsidRPr="002A2314">
        <w:rPr>
          <w:rFonts w:ascii="Cambria" w:hAnsi="Cambria"/>
          <w:sz w:val="20"/>
          <w:szCs w:val="20"/>
          <w:lang w:val="es-UY"/>
        </w:rPr>
        <w:t>,</w:t>
      </w:r>
      <w:r w:rsidR="002F6F92" w:rsidRPr="002A2314">
        <w:rPr>
          <w:rFonts w:ascii="Cambria" w:hAnsi="Cambria"/>
          <w:sz w:val="20"/>
          <w:szCs w:val="20"/>
          <w:lang w:val="es-UY"/>
        </w:rPr>
        <w:t xml:space="preserve"> </w:t>
      </w:r>
      <w:r w:rsidR="00B90D03" w:rsidRPr="002A2314">
        <w:rPr>
          <w:rFonts w:ascii="Cambria" w:hAnsi="Cambria"/>
          <w:sz w:val="20"/>
          <w:szCs w:val="20"/>
          <w:lang w:val="es-UY"/>
        </w:rPr>
        <w:t xml:space="preserve">tendiendo </w:t>
      </w:r>
      <w:r w:rsidR="002F6F92" w:rsidRPr="002A2314">
        <w:rPr>
          <w:rFonts w:ascii="Cambria" w:hAnsi="Cambria"/>
          <w:sz w:val="20"/>
          <w:szCs w:val="20"/>
          <w:lang w:val="es-UY"/>
        </w:rPr>
        <w:t>a demorar alrededor de cinco años su tramitación</w:t>
      </w:r>
      <w:r w:rsidR="001170E0" w:rsidRPr="002A2314">
        <w:rPr>
          <w:rFonts w:ascii="Cambria" w:hAnsi="Cambria"/>
          <w:sz w:val="20"/>
          <w:szCs w:val="20"/>
          <w:lang w:val="es-UY"/>
        </w:rPr>
        <w:t>. Agregan que tuvieron conocimiento que otro</w:t>
      </w:r>
      <w:r w:rsidR="00BD51E3" w:rsidRPr="002A2314">
        <w:rPr>
          <w:rFonts w:ascii="Cambria" w:hAnsi="Cambria"/>
          <w:sz w:val="20"/>
          <w:szCs w:val="20"/>
          <w:lang w:val="es-UY"/>
        </w:rPr>
        <w:t xml:space="preserve"> de</w:t>
      </w:r>
      <w:r w:rsidR="001170E0" w:rsidRPr="002A2314">
        <w:rPr>
          <w:rFonts w:ascii="Cambria" w:hAnsi="Cambria"/>
          <w:sz w:val="20"/>
          <w:szCs w:val="20"/>
          <w:lang w:val="es-UY"/>
        </w:rPr>
        <w:t xml:space="preserve"> los vocales </w:t>
      </w:r>
      <w:r w:rsidR="00BD51E3" w:rsidRPr="002A2314">
        <w:rPr>
          <w:rFonts w:ascii="Cambria" w:hAnsi="Cambria"/>
          <w:sz w:val="20"/>
          <w:szCs w:val="20"/>
          <w:lang w:val="es-UY"/>
        </w:rPr>
        <w:t>cesado presentó un recurso de plena jurisdicción</w:t>
      </w:r>
      <w:r w:rsidR="009C132E" w:rsidRPr="002A2314">
        <w:rPr>
          <w:rFonts w:ascii="Cambria" w:hAnsi="Cambria"/>
          <w:sz w:val="20"/>
          <w:szCs w:val="20"/>
          <w:lang w:val="es-UY"/>
        </w:rPr>
        <w:t xml:space="preserve"> ante lo Contencioso Administrativo el cual fue rechazado, concluyendo el tribunal que la resolución del Congreso “no es de aquellos actos que están sujetos a la tutela contenciosa administrativa”</w:t>
      </w:r>
      <w:r w:rsidR="00BF0C2D" w:rsidRPr="002A2314">
        <w:rPr>
          <w:rFonts w:ascii="Cambria" w:hAnsi="Cambria"/>
          <w:sz w:val="20"/>
          <w:szCs w:val="20"/>
          <w:lang w:val="es-UY"/>
        </w:rPr>
        <w:t>. Argumenta</w:t>
      </w:r>
      <w:r w:rsidR="00E3325D" w:rsidRPr="002A2314">
        <w:rPr>
          <w:rFonts w:ascii="Cambria" w:hAnsi="Cambria"/>
          <w:sz w:val="20"/>
          <w:szCs w:val="20"/>
          <w:lang w:val="es-UY"/>
        </w:rPr>
        <w:t>n</w:t>
      </w:r>
      <w:r w:rsidR="00BF0C2D" w:rsidRPr="002A2314">
        <w:rPr>
          <w:rFonts w:ascii="Cambria" w:hAnsi="Cambria"/>
          <w:sz w:val="20"/>
          <w:szCs w:val="20"/>
          <w:lang w:val="es-UY"/>
        </w:rPr>
        <w:t xml:space="preserve"> que, de haber interpuesto un recurso de plena jurisdicción éste hubiese sido decidido por el mismo tribunal que negó el del </w:t>
      </w:r>
      <w:r w:rsidR="008022A4" w:rsidRPr="002A2314">
        <w:rPr>
          <w:rFonts w:ascii="Cambria" w:hAnsi="Cambria"/>
          <w:sz w:val="20"/>
          <w:szCs w:val="20"/>
          <w:lang w:val="es-UY"/>
        </w:rPr>
        <w:t>otro vocal</w:t>
      </w:r>
      <w:r w:rsidR="00881E8E">
        <w:rPr>
          <w:rFonts w:ascii="Cambria" w:hAnsi="Cambria"/>
          <w:sz w:val="20"/>
          <w:szCs w:val="20"/>
          <w:lang w:val="es-UY"/>
        </w:rPr>
        <w:t xml:space="preserve"> y</w:t>
      </w:r>
      <w:r w:rsidR="00BF0C2D" w:rsidRPr="002A2314">
        <w:rPr>
          <w:rFonts w:ascii="Cambria" w:hAnsi="Cambria"/>
          <w:sz w:val="20"/>
          <w:szCs w:val="20"/>
          <w:lang w:val="es-UY"/>
        </w:rPr>
        <w:t xml:space="preserve"> era evidente que no tenía posibilidades de éxito. </w:t>
      </w:r>
      <w:r w:rsidR="006F228E" w:rsidRPr="002A2314">
        <w:rPr>
          <w:rFonts w:ascii="Cambria" w:hAnsi="Cambria"/>
          <w:sz w:val="20"/>
          <w:szCs w:val="20"/>
          <w:lang w:val="es-UY"/>
        </w:rPr>
        <w:t xml:space="preserve">En adición, señalan que la Procuraduría argumentó </w:t>
      </w:r>
      <w:r w:rsidR="00AB4AC9" w:rsidRPr="002A2314">
        <w:rPr>
          <w:rFonts w:ascii="Cambria" w:hAnsi="Cambria"/>
          <w:sz w:val="20"/>
          <w:szCs w:val="20"/>
          <w:lang w:val="es-UY"/>
        </w:rPr>
        <w:t>que la resolución impugnada</w:t>
      </w:r>
      <w:r w:rsidR="006F228E" w:rsidRPr="002A2314">
        <w:rPr>
          <w:rFonts w:ascii="Cambria" w:hAnsi="Cambria"/>
          <w:sz w:val="20"/>
          <w:szCs w:val="20"/>
          <w:lang w:val="es-UY"/>
        </w:rPr>
        <w:t xml:space="preserve"> no era un acto administrativo sino una interpretación sobre resoluciones del Congreso con base en “razones políticas”, por lo que </w:t>
      </w:r>
      <w:r w:rsidR="008E37E7" w:rsidRPr="002A2314">
        <w:rPr>
          <w:rFonts w:ascii="Cambria" w:hAnsi="Cambria"/>
          <w:sz w:val="20"/>
          <w:szCs w:val="20"/>
          <w:lang w:val="es-UY"/>
        </w:rPr>
        <w:t xml:space="preserve">el Estado </w:t>
      </w:r>
      <w:r w:rsidR="00881E8E">
        <w:rPr>
          <w:rFonts w:ascii="Cambria" w:hAnsi="Cambria"/>
          <w:sz w:val="20"/>
          <w:szCs w:val="20"/>
          <w:lang w:val="es-UY"/>
        </w:rPr>
        <w:t xml:space="preserve">no puede </w:t>
      </w:r>
      <w:r w:rsidR="008E37E7" w:rsidRPr="002A2314">
        <w:rPr>
          <w:rFonts w:ascii="Cambria" w:hAnsi="Cambria"/>
          <w:sz w:val="20"/>
          <w:szCs w:val="20"/>
          <w:lang w:val="es-UY"/>
        </w:rPr>
        <w:t>aleg</w:t>
      </w:r>
      <w:r w:rsidR="00881E8E">
        <w:rPr>
          <w:rFonts w:ascii="Cambria" w:hAnsi="Cambria"/>
          <w:sz w:val="20"/>
          <w:szCs w:val="20"/>
          <w:lang w:val="es-UY"/>
        </w:rPr>
        <w:t>ar</w:t>
      </w:r>
      <w:r w:rsidR="008E37E7" w:rsidRPr="002A2314">
        <w:rPr>
          <w:rFonts w:ascii="Cambria" w:hAnsi="Cambria"/>
          <w:sz w:val="20"/>
          <w:szCs w:val="20"/>
          <w:lang w:val="es-UY"/>
        </w:rPr>
        <w:t xml:space="preserve"> que dicha resolución constituía un acto administrativo</w:t>
      </w:r>
      <w:r w:rsidR="008022A4" w:rsidRPr="002A2314">
        <w:rPr>
          <w:rFonts w:ascii="Cambria" w:hAnsi="Cambria"/>
          <w:sz w:val="20"/>
          <w:szCs w:val="20"/>
          <w:lang w:val="es-UY"/>
        </w:rPr>
        <w:t xml:space="preserve"> </w:t>
      </w:r>
      <w:r w:rsidR="008E37E7" w:rsidRPr="002A2314">
        <w:rPr>
          <w:rFonts w:ascii="Cambria" w:hAnsi="Cambria"/>
          <w:sz w:val="20"/>
          <w:szCs w:val="20"/>
          <w:lang w:val="es-UY"/>
        </w:rPr>
        <w:t xml:space="preserve">impugnable por vía contenciosa administrativa. </w:t>
      </w:r>
    </w:p>
    <w:p w:rsidR="008E37E7" w:rsidRDefault="00D57ACD" w:rsidP="007852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El Estado, por su parte, solicita que la petición sea declarada inadmisible por no </w:t>
      </w:r>
      <w:r w:rsidR="00881E8E">
        <w:rPr>
          <w:rFonts w:ascii="Cambria" w:hAnsi="Cambria"/>
          <w:sz w:val="20"/>
          <w:szCs w:val="20"/>
          <w:lang w:val="es-UY"/>
        </w:rPr>
        <w:t>cumplir con</w:t>
      </w:r>
      <w:r>
        <w:rPr>
          <w:rFonts w:ascii="Cambria" w:hAnsi="Cambria"/>
          <w:sz w:val="20"/>
          <w:szCs w:val="20"/>
          <w:lang w:val="es-UY"/>
        </w:rPr>
        <w:t xml:space="preserve"> el requisito de agotamiento de los recursos internos contenido</w:t>
      </w:r>
      <w:r w:rsidR="00AB4AC9">
        <w:rPr>
          <w:rFonts w:ascii="Cambria" w:hAnsi="Cambria"/>
          <w:sz w:val="20"/>
          <w:szCs w:val="20"/>
          <w:lang w:val="es-UY"/>
        </w:rPr>
        <w:t xml:space="preserve">, haciendo énfasis en que </w:t>
      </w:r>
      <w:r w:rsidR="00881E8E">
        <w:rPr>
          <w:rFonts w:ascii="Cambria" w:hAnsi="Cambria"/>
          <w:sz w:val="20"/>
          <w:szCs w:val="20"/>
          <w:lang w:val="es-UY"/>
        </w:rPr>
        <w:t>e</w:t>
      </w:r>
      <w:r w:rsidR="00AB4AC9">
        <w:rPr>
          <w:rFonts w:ascii="Cambria" w:hAnsi="Cambria"/>
          <w:sz w:val="20"/>
          <w:szCs w:val="20"/>
          <w:lang w:val="es-UY"/>
        </w:rPr>
        <w:t>ste requisito no es un mero formalismo de procedibilidad sino una condición esencial que</w:t>
      </w:r>
      <w:r w:rsidR="00881E8E">
        <w:rPr>
          <w:rFonts w:ascii="Cambria" w:hAnsi="Cambria"/>
          <w:sz w:val="20"/>
          <w:szCs w:val="20"/>
          <w:lang w:val="es-UY"/>
        </w:rPr>
        <w:t>,</w:t>
      </w:r>
      <w:r w:rsidR="00AB4AC9">
        <w:rPr>
          <w:rFonts w:ascii="Cambria" w:hAnsi="Cambria"/>
          <w:sz w:val="20"/>
          <w:szCs w:val="20"/>
          <w:lang w:val="es-UY"/>
        </w:rPr>
        <w:t xml:space="preserve"> </w:t>
      </w:r>
      <w:r w:rsidR="0056660D">
        <w:rPr>
          <w:rFonts w:ascii="Cambria" w:hAnsi="Cambria"/>
          <w:sz w:val="20"/>
          <w:szCs w:val="20"/>
          <w:lang w:val="es-UY"/>
        </w:rPr>
        <w:t xml:space="preserve">de </w:t>
      </w:r>
      <w:r w:rsidR="00AB4AC9">
        <w:rPr>
          <w:rFonts w:ascii="Cambria" w:hAnsi="Cambria"/>
          <w:sz w:val="20"/>
          <w:szCs w:val="20"/>
          <w:lang w:val="es-UY"/>
        </w:rPr>
        <w:t xml:space="preserve">no </w:t>
      </w:r>
      <w:r w:rsidR="00C50B51">
        <w:rPr>
          <w:rFonts w:ascii="Cambria" w:hAnsi="Cambria"/>
          <w:sz w:val="20"/>
          <w:szCs w:val="20"/>
          <w:lang w:val="es-UY"/>
        </w:rPr>
        <w:t>observarse</w:t>
      </w:r>
      <w:r w:rsidR="00881E8E">
        <w:rPr>
          <w:rFonts w:ascii="Cambria" w:hAnsi="Cambria"/>
          <w:sz w:val="20"/>
          <w:szCs w:val="20"/>
          <w:lang w:val="es-UY"/>
        </w:rPr>
        <w:t>,</w:t>
      </w:r>
      <w:r w:rsidR="00AB4AC9">
        <w:rPr>
          <w:rFonts w:ascii="Cambria" w:hAnsi="Cambria"/>
          <w:sz w:val="20"/>
          <w:szCs w:val="20"/>
          <w:lang w:val="es-UY"/>
        </w:rPr>
        <w:t xml:space="preserve"> impide al Estado cumplir con su rol como primer responsable por la tutela de los derechos humanos en su jurisdicción.</w:t>
      </w:r>
    </w:p>
    <w:p w:rsidR="00566CA5" w:rsidRDefault="00D57ACD" w:rsidP="007852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El Estado alega que los peticionarios omitieron presentar el recurso subjetivo de plena jurisdicción, que estaba previsto en la legislación vigente </w:t>
      </w:r>
      <w:r w:rsidR="000747CA">
        <w:rPr>
          <w:rFonts w:ascii="Cambria" w:hAnsi="Cambria"/>
          <w:sz w:val="20"/>
          <w:szCs w:val="20"/>
          <w:lang w:val="es-UY"/>
        </w:rPr>
        <w:t xml:space="preserve">y era adecuado y efectivo para que el reclamo de los peticionarios fuera atendido a nivel doméstico. </w:t>
      </w:r>
      <w:r w:rsidR="00516D39">
        <w:rPr>
          <w:rFonts w:ascii="Cambria" w:hAnsi="Cambria"/>
          <w:sz w:val="20"/>
          <w:szCs w:val="20"/>
          <w:lang w:val="es-UY"/>
        </w:rPr>
        <w:t xml:space="preserve">Señalan que la resolución del Congreso que declaró concluidos los periodos de los peticionarios </w:t>
      </w:r>
      <w:r w:rsidR="00871C3B">
        <w:rPr>
          <w:rFonts w:ascii="Cambria" w:hAnsi="Cambria"/>
          <w:sz w:val="20"/>
          <w:szCs w:val="20"/>
          <w:lang w:val="es-UY"/>
        </w:rPr>
        <w:t>no fue un acto normativo general sino una declaración que generó efectos jurídicos para individuos determinados, por lo que calificaba como un acto administrativo</w:t>
      </w:r>
      <w:r w:rsidR="00DF0CB3">
        <w:rPr>
          <w:rFonts w:ascii="Cambria" w:hAnsi="Cambria"/>
          <w:sz w:val="20"/>
          <w:szCs w:val="20"/>
          <w:lang w:val="es-UY"/>
        </w:rPr>
        <w:t xml:space="preserve"> impugnable por la vía administrativa</w:t>
      </w:r>
      <w:r w:rsidR="00C50B51">
        <w:rPr>
          <w:rFonts w:ascii="Cambria" w:hAnsi="Cambria"/>
          <w:sz w:val="20"/>
          <w:szCs w:val="20"/>
          <w:lang w:val="es-UY"/>
        </w:rPr>
        <w:t xml:space="preserve">. </w:t>
      </w:r>
      <w:r w:rsidR="003037A4">
        <w:rPr>
          <w:rFonts w:ascii="Cambria" w:hAnsi="Cambria"/>
          <w:sz w:val="20"/>
          <w:szCs w:val="20"/>
          <w:lang w:val="es-UY"/>
        </w:rPr>
        <w:t>Cita varios ejemplos</w:t>
      </w:r>
      <w:r w:rsidR="00123470">
        <w:rPr>
          <w:rFonts w:ascii="Cambria" w:hAnsi="Cambria"/>
          <w:sz w:val="20"/>
          <w:szCs w:val="20"/>
          <w:lang w:val="es-UY"/>
        </w:rPr>
        <w:t xml:space="preserve"> de casos en que el recurso subjetivo de plena jurisdicción fue efectivo, incluso contra decisiones </w:t>
      </w:r>
      <w:r w:rsidR="00152D0D">
        <w:rPr>
          <w:rFonts w:ascii="Cambria" w:hAnsi="Cambria"/>
          <w:sz w:val="20"/>
          <w:szCs w:val="20"/>
          <w:lang w:val="es-UY"/>
        </w:rPr>
        <w:t xml:space="preserve">administrativas del poder legislativo. </w:t>
      </w:r>
      <w:r w:rsidR="00D36668">
        <w:rPr>
          <w:rFonts w:ascii="Cambria" w:hAnsi="Cambria"/>
          <w:sz w:val="20"/>
          <w:szCs w:val="20"/>
          <w:lang w:val="es-UY"/>
        </w:rPr>
        <w:t>Considera</w:t>
      </w:r>
      <w:r w:rsidR="00152D0D">
        <w:rPr>
          <w:rFonts w:ascii="Cambria" w:hAnsi="Cambria"/>
          <w:sz w:val="20"/>
          <w:szCs w:val="20"/>
          <w:lang w:val="es-UY"/>
        </w:rPr>
        <w:t xml:space="preserve"> que el señor Loayza es una persona extraña al proceso por lo que </w:t>
      </w:r>
      <w:r w:rsidR="00D36668">
        <w:rPr>
          <w:rFonts w:ascii="Cambria" w:hAnsi="Cambria"/>
          <w:sz w:val="20"/>
          <w:szCs w:val="20"/>
          <w:lang w:val="es-UY"/>
        </w:rPr>
        <w:t xml:space="preserve">el que éste haya intentado sin éxito un recurso de plena jurisdicción no excusa la falta de agotamiento de este recurso por parte de los peticionarios sino que, por el contrario, evidencia </w:t>
      </w:r>
      <w:r w:rsidR="00F632D9">
        <w:rPr>
          <w:rFonts w:ascii="Cambria" w:hAnsi="Cambria"/>
          <w:sz w:val="20"/>
          <w:szCs w:val="20"/>
          <w:lang w:val="es-UY"/>
        </w:rPr>
        <w:t>su pertinencia procesal</w:t>
      </w:r>
      <w:r w:rsidR="00D36668">
        <w:rPr>
          <w:rFonts w:ascii="Cambria" w:hAnsi="Cambria"/>
          <w:sz w:val="20"/>
          <w:szCs w:val="20"/>
          <w:lang w:val="es-UY"/>
        </w:rPr>
        <w:t>.</w:t>
      </w:r>
      <w:r w:rsidR="00566CA5">
        <w:rPr>
          <w:rFonts w:ascii="Cambria" w:hAnsi="Cambria"/>
          <w:sz w:val="20"/>
          <w:szCs w:val="20"/>
          <w:lang w:val="es-UY"/>
        </w:rPr>
        <w:t xml:space="preserve"> Resalta que</w:t>
      </w:r>
      <w:r w:rsidR="00881E8E">
        <w:rPr>
          <w:rFonts w:ascii="Cambria" w:hAnsi="Cambria"/>
          <w:sz w:val="20"/>
          <w:szCs w:val="20"/>
          <w:lang w:val="es-UY"/>
        </w:rPr>
        <w:t xml:space="preserve"> </w:t>
      </w:r>
      <w:r w:rsidR="00566CA5">
        <w:rPr>
          <w:rFonts w:ascii="Cambria" w:hAnsi="Cambria"/>
          <w:sz w:val="20"/>
          <w:szCs w:val="20"/>
          <w:lang w:val="es-UY"/>
        </w:rPr>
        <w:t xml:space="preserve">los peticionarios no pueden excusar su falta de agotamiento de los recursos internos con su mera percepción de que son ineficaces. </w:t>
      </w:r>
    </w:p>
    <w:p w:rsidR="00D57ACD" w:rsidRDefault="00E91995" w:rsidP="007852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 </w:t>
      </w:r>
      <w:r w:rsidR="00D36668">
        <w:rPr>
          <w:rFonts w:ascii="Cambria" w:hAnsi="Cambria"/>
          <w:sz w:val="20"/>
          <w:szCs w:val="20"/>
          <w:lang w:val="es-UY"/>
        </w:rPr>
        <w:t>Señala que, en todo caso, el señor Loayza no intentó el recurso de casaci</w:t>
      </w:r>
      <w:r w:rsidR="00D05BE6">
        <w:rPr>
          <w:rFonts w:ascii="Cambria" w:hAnsi="Cambria"/>
          <w:sz w:val="20"/>
          <w:szCs w:val="20"/>
          <w:lang w:val="es-UY"/>
        </w:rPr>
        <w:t>ón, el cual</w:t>
      </w:r>
      <w:r w:rsidR="00511061">
        <w:rPr>
          <w:rFonts w:ascii="Cambria" w:hAnsi="Cambria"/>
          <w:sz w:val="20"/>
          <w:szCs w:val="20"/>
          <w:lang w:val="es-UY"/>
        </w:rPr>
        <w:t xml:space="preserve"> </w:t>
      </w:r>
      <w:r w:rsidR="002F6F92">
        <w:rPr>
          <w:rFonts w:ascii="Cambria" w:hAnsi="Cambria"/>
          <w:sz w:val="20"/>
          <w:szCs w:val="20"/>
          <w:lang w:val="es-UY"/>
        </w:rPr>
        <w:t xml:space="preserve">hubiera constituido un recurso efectivo para tutelar derechos </w:t>
      </w:r>
      <w:r w:rsidR="00566CA5">
        <w:rPr>
          <w:rFonts w:ascii="Cambria" w:hAnsi="Cambria"/>
          <w:sz w:val="20"/>
          <w:szCs w:val="20"/>
          <w:lang w:val="es-UY"/>
        </w:rPr>
        <w:t>y para controlar la legalidad de la decisión del tribunal de primer</w:t>
      </w:r>
      <w:r w:rsidR="00C50B51">
        <w:rPr>
          <w:rFonts w:ascii="Cambria" w:hAnsi="Cambria"/>
          <w:sz w:val="20"/>
          <w:szCs w:val="20"/>
          <w:lang w:val="es-UY"/>
        </w:rPr>
        <w:t>a instancia</w:t>
      </w:r>
      <w:r w:rsidR="00566CA5">
        <w:rPr>
          <w:rFonts w:ascii="Cambria" w:hAnsi="Cambria"/>
          <w:sz w:val="20"/>
          <w:szCs w:val="20"/>
          <w:lang w:val="es-UY"/>
        </w:rPr>
        <w:t>.</w:t>
      </w:r>
      <w:r w:rsidR="002F6F92">
        <w:rPr>
          <w:rFonts w:ascii="Cambria" w:hAnsi="Cambria"/>
          <w:sz w:val="20"/>
          <w:szCs w:val="20"/>
          <w:lang w:val="es-UY"/>
        </w:rPr>
        <w:t xml:space="preserve"> </w:t>
      </w:r>
      <w:r w:rsidR="00566CA5">
        <w:rPr>
          <w:rFonts w:ascii="Cambria" w:hAnsi="Cambria"/>
          <w:sz w:val="20"/>
          <w:szCs w:val="20"/>
          <w:lang w:val="es-UY"/>
        </w:rPr>
        <w:t xml:space="preserve">Cita varios ejemplos de casos en que la casación fue efectiva para corregir errores cometidos por tribunales inferiores </w:t>
      </w:r>
      <w:r w:rsidR="003A17D7">
        <w:rPr>
          <w:rFonts w:ascii="Cambria" w:hAnsi="Cambria"/>
          <w:sz w:val="20"/>
          <w:szCs w:val="20"/>
          <w:lang w:val="es-UY"/>
        </w:rPr>
        <w:t xml:space="preserve">en la resolución de acciones de plena jurisdicción. Indica que, de haber </w:t>
      </w:r>
      <w:r w:rsidR="0066187B">
        <w:rPr>
          <w:rFonts w:ascii="Cambria" w:hAnsi="Cambria"/>
          <w:sz w:val="20"/>
          <w:szCs w:val="20"/>
          <w:lang w:val="es-UY"/>
        </w:rPr>
        <w:t>resultado</w:t>
      </w:r>
      <w:r w:rsidR="003A17D7">
        <w:rPr>
          <w:rFonts w:ascii="Cambria" w:hAnsi="Cambria"/>
          <w:sz w:val="20"/>
          <w:szCs w:val="20"/>
          <w:lang w:val="es-UY"/>
        </w:rPr>
        <w:t xml:space="preserve"> </w:t>
      </w:r>
      <w:r w:rsidR="0066187B">
        <w:rPr>
          <w:rFonts w:ascii="Cambria" w:hAnsi="Cambria"/>
          <w:sz w:val="20"/>
          <w:szCs w:val="20"/>
          <w:lang w:val="es-UY"/>
        </w:rPr>
        <w:t>su</w:t>
      </w:r>
      <w:r w:rsidR="003A17D7">
        <w:rPr>
          <w:rFonts w:ascii="Cambria" w:hAnsi="Cambria"/>
          <w:sz w:val="20"/>
          <w:szCs w:val="20"/>
          <w:lang w:val="es-UY"/>
        </w:rPr>
        <w:t xml:space="preserve"> acción de plena jurisdicción</w:t>
      </w:r>
      <w:r w:rsidR="0066187B">
        <w:rPr>
          <w:rFonts w:ascii="Cambria" w:hAnsi="Cambria"/>
          <w:sz w:val="20"/>
          <w:szCs w:val="20"/>
          <w:lang w:val="es-UY"/>
        </w:rPr>
        <w:t xml:space="preserve"> en una resolución inhibitoria</w:t>
      </w:r>
      <w:r w:rsidR="003A17D7">
        <w:rPr>
          <w:rFonts w:ascii="Cambria" w:hAnsi="Cambria"/>
          <w:sz w:val="20"/>
          <w:szCs w:val="20"/>
          <w:lang w:val="es-UY"/>
        </w:rPr>
        <w:t xml:space="preserve">, los peticionarios hubieran </w:t>
      </w:r>
      <w:r w:rsidR="0066187B">
        <w:rPr>
          <w:rFonts w:ascii="Cambria" w:hAnsi="Cambria"/>
          <w:sz w:val="20"/>
          <w:szCs w:val="20"/>
          <w:lang w:val="es-UY"/>
        </w:rPr>
        <w:t>podido recurrir esta decisión a través de la casación</w:t>
      </w:r>
      <w:r w:rsidR="003A17D7">
        <w:rPr>
          <w:rFonts w:ascii="Cambria" w:hAnsi="Cambria"/>
          <w:sz w:val="20"/>
          <w:szCs w:val="20"/>
          <w:lang w:val="es-UY"/>
        </w:rPr>
        <w:t>. Argumenta que la casación no se puede considerar una carga procesal innecesaria y que las aseveraciones de los peticionaros respecto a que la resolución de la mism</w:t>
      </w:r>
      <w:r w:rsidR="004A2EBF">
        <w:rPr>
          <w:rFonts w:ascii="Cambria" w:hAnsi="Cambria"/>
          <w:sz w:val="20"/>
          <w:szCs w:val="20"/>
          <w:lang w:val="es-UY"/>
        </w:rPr>
        <w:t>a demora mucho tiempo no están corroboradas ni tienen fundamento. Resaltando que</w:t>
      </w:r>
      <w:r w:rsidR="0066187B">
        <w:rPr>
          <w:rFonts w:ascii="Cambria" w:hAnsi="Cambria"/>
          <w:sz w:val="20"/>
          <w:szCs w:val="20"/>
          <w:lang w:val="es-UY"/>
        </w:rPr>
        <w:t>,</w:t>
      </w:r>
      <w:r w:rsidR="004A2EBF">
        <w:rPr>
          <w:rFonts w:ascii="Cambria" w:hAnsi="Cambria"/>
          <w:sz w:val="20"/>
          <w:szCs w:val="20"/>
          <w:lang w:val="es-UY"/>
        </w:rPr>
        <w:t xml:space="preserve"> de acuerdo a los estándares del sistema interamericano</w:t>
      </w:r>
      <w:r w:rsidR="0066187B">
        <w:rPr>
          <w:rFonts w:ascii="Cambria" w:hAnsi="Cambria"/>
          <w:sz w:val="20"/>
          <w:szCs w:val="20"/>
          <w:lang w:val="es-UY"/>
        </w:rPr>
        <w:t>,</w:t>
      </w:r>
      <w:r w:rsidR="004A2EBF">
        <w:rPr>
          <w:rFonts w:ascii="Cambria" w:hAnsi="Cambria"/>
          <w:sz w:val="20"/>
          <w:szCs w:val="20"/>
          <w:lang w:val="es-UY"/>
        </w:rPr>
        <w:t xml:space="preserve"> el examen de lo que constituye “plazo razonable” debe realizarse caso por caso, de acuerdo a la complejidad de cada uno. Considera que la casación es indispensable para valorar el </w:t>
      </w:r>
      <w:r w:rsidR="004A2EBF">
        <w:rPr>
          <w:rFonts w:ascii="Cambria" w:hAnsi="Cambria"/>
          <w:sz w:val="20"/>
          <w:szCs w:val="20"/>
          <w:lang w:val="es-UY"/>
        </w:rPr>
        <w:lastRenderedPageBreak/>
        <w:t xml:space="preserve">rendimiento procesal del recurso de plena jurisdicción por lo que los peticionarios no pueden argumentar </w:t>
      </w:r>
      <w:r w:rsidR="00AB0850">
        <w:rPr>
          <w:rFonts w:ascii="Cambria" w:hAnsi="Cambria"/>
          <w:sz w:val="20"/>
          <w:szCs w:val="20"/>
          <w:lang w:val="es-UY"/>
        </w:rPr>
        <w:t>la</w:t>
      </w:r>
      <w:r w:rsidR="004A2EBF">
        <w:rPr>
          <w:rFonts w:ascii="Cambria" w:hAnsi="Cambria"/>
          <w:sz w:val="20"/>
          <w:szCs w:val="20"/>
          <w:lang w:val="es-UY"/>
        </w:rPr>
        <w:t xml:space="preserve"> falta de eficacia e idoneidad </w:t>
      </w:r>
      <w:r w:rsidR="00AB0850">
        <w:rPr>
          <w:rFonts w:ascii="Cambria" w:hAnsi="Cambria"/>
          <w:sz w:val="20"/>
          <w:szCs w:val="20"/>
          <w:lang w:val="es-UY"/>
        </w:rPr>
        <w:t>de éste en</w:t>
      </w:r>
      <w:r w:rsidR="004A2EBF">
        <w:rPr>
          <w:rFonts w:ascii="Cambria" w:hAnsi="Cambria"/>
          <w:sz w:val="20"/>
          <w:szCs w:val="20"/>
          <w:lang w:val="es-UY"/>
        </w:rPr>
        <w:t xml:space="preserve"> base a un caso aislado en el que no se utilizó el recurso de casación. </w:t>
      </w:r>
      <w:r w:rsidR="00AB0850">
        <w:rPr>
          <w:rFonts w:ascii="Cambria" w:hAnsi="Cambria"/>
          <w:sz w:val="20"/>
          <w:szCs w:val="20"/>
          <w:lang w:val="es-UY"/>
        </w:rPr>
        <w:t xml:space="preserve"> </w:t>
      </w:r>
    </w:p>
    <w:p w:rsidR="00AB0850" w:rsidRDefault="00AB0850" w:rsidP="007852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También alega que el principio de Estoppel sólo aplica con respecto a actuaciones </w:t>
      </w:r>
      <w:r w:rsidR="001C48A1">
        <w:rPr>
          <w:rFonts w:ascii="Cambria" w:hAnsi="Cambria"/>
          <w:sz w:val="20"/>
          <w:szCs w:val="20"/>
          <w:lang w:val="es-UY"/>
        </w:rPr>
        <w:t xml:space="preserve">que se </w:t>
      </w:r>
      <w:r w:rsidR="008978B9">
        <w:rPr>
          <w:rFonts w:ascii="Cambria" w:hAnsi="Cambria"/>
          <w:sz w:val="20"/>
          <w:szCs w:val="20"/>
          <w:lang w:val="es-UY"/>
        </w:rPr>
        <w:t xml:space="preserve">den </w:t>
      </w:r>
      <w:r w:rsidR="001C48A1">
        <w:rPr>
          <w:rFonts w:ascii="Cambria" w:hAnsi="Cambria"/>
          <w:sz w:val="20"/>
          <w:szCs w:val="20"/>
          <w:lang w:val="es-UY"/>
        </w:rPr>
        <w:t>dentro de un mismo proceso, por lo que no es apl</w:t>
      </w:r>
      <w:r w:rsidR="008978B9">
        <w:rPr>
          <w:rFonts w:ascii="Cambria" w:hAnsi="Cambria"/>
          <w:sz w:val="20"/>
          <w:szCs w:val="20"/>
          <w:lang w:val="es-UY"/>
        </w:rPr>
        <w:t>icable a la contradicción que según los peticionarios existe</w:t>
      </w:r>
      <w:r w:rsidR="001C48A1">
        <w:rPr>
          <w:rFonts w:ascii="Cambria" w:hAnsi="Cambria"/>
          <w:sz w:val="20"/>
          <w:szCs w:val="20"/>
          <w:lang w:val="es-UY"/>
        </w:rPr>
        <w:t xml:space="preserve"> entre las postura de un agente estatal en el proceso doméstico de amparo y la del Estado en sede internacional. Señalando además que ambos procesos eran de distinta naturaleza y perseguían fines distintos. </w:t>
      </w:r>
    </w:p>
    <w:p w:rsidR="001B5426" w:rsidRDefault="002D54FE" w:rsidP="001B54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Por otra parte, a</w:t>
      </w:r>
      <w:r w:rsidR="00C60002">
        <w:rPr>
          <w:rFonts w:ascii="Cambria" w:hAnsi="Cambria"/>
          <w:sz w:val="20"/>
          <w:szCs w:val="20"/>
          <w:lang w:val="es-UY"/>
        </w:rPr>
        <w:t>rgumenta</w:t>
      </w:r>
      <w:r>
        <w:rPr>
          <w:rFonts w:ascii="Cambria" w:hAnsi="Cambria"/>
          <w:sz w:val="20"/>
          <w:szCs w:val="20"/>
          <w:lang w:val="es-UY"/>
        </w:rPr>
        <w:t xml:space="preserve"> que la acción de amparo constituía un recurso efectivo e idóneo para</w:t>
      </w:r>
      <w:r w:rsidR="00201582">
        <w:rPr>
          <w:rFonts w:ascii="Cambria" w:hAnsi="Cambria"/>
          <w:sz w:val="20"/>
          <w:szCs w:val="20"/>
          <w:lang w:val="es-UY"/>
        </w:rPr>
        <w:t xml:space="preserve"> que las pretensiones de los peticionarios fueran atendidas a nivel doméstico,</w:t>
      </w:r>
      <w:r>
        <w:rPr>
          <w:rFonts w:ascii="Cambria" w:hAnsi="Cambria"/>
          <w:sz w:val="20"/>
          <w:szCs w:val="20"/>
          <w:lang w:val="es-UY"/>
        </w:rPr>
        <w:t xml:space="preserve"> y que no es imputable al Estado que estos, negligentemente, lo hayan </w:t>
      </w:r>
      <w:r w:rsidR="00201582">
        <w:rPr>
          <w:rFonts w:ascii="Cambria" w:hAnsi="Cambria"/>
          <w:sz w:val="20"/>
          <w:szCs w:val="20"/>
          <w:lang w:val="es-UY"/>
        </w:rPr>
        <w:t>interpuesto extempor</w:t>
      </w:r>
      <w:r w:rsidR="00C60002">
        <w:rPr>
          <w:rFonts w:ascii="Cambria" w:hAnsi="Cambria"/>
          <w:sz w:val="20"/>
          <w:szCs w:val="20"/>
          <w:lang w:val="es-UY"/>
        </w:rPr>
        <w:t>áneamente</w:t>
      </w:r>
      <w:r w:rsidR="009B380B">
        <w:rPr>
          <w:rStyle w:val="FootnoteReference"/>
          <w:rFonts w:ascii="Cambria" w:hAnsi="Cambria"/>
          <w:sz w:val="20"/>
          <w:szCs w:val="20"/>
          <w:lang w:val="es-UY"/>
        </w:rPr>
        <w:footnoteReference w:id="5"/>
      </w:r>
      <w:r w:rsidR="00C60002">
        <w:rPr>
          <w:rFonts w:ascii="Cambria" w:hAnsi="Cambria"/>
          <w:sz w:val="20"/>
          <w:szCs w:val="20"/>
          <w:lang w:val="es-UY"/>
        </w:rPr>
        <w:t>. Indica</w:t>
      </w:r>
      <w:r w:rsidR="00CD2FF4">
        <w:rPr>
          <w:rFonts w:ascii="Cambria" w:hAnsi="Cambria"/>
          <w:sz w:val="20"/>
          <w:szCs w:val="20"/>
          <w:lang w:val="es-UY"/>
        </w:rPr>
        <w:t xml:space="preserve"> que</w:t>
      </w:r>
      <w:r w:rsidR="008B12B7">
        <w:rPr>
          <w:rFonts w:ascii="Cambria" w:hAnsi="Cambria"/>
          <w:sz w:val="20"/>
          <w:szCs w:val="20"/>
          <w:lang w:val="es-UY"/>
        </w:rPr>
        <w:t xml:space="preserve"> </w:t>
      </w:r>
      <w:r w:rsidR="006A23EB">
        <w:rPr>
          <w:rFonts w:ascii="Cambria" w:hAnsi="Cambria"/>
          <w:sz w:val="20"/>
          <w:szCs w:val="20"/>
          <w:lang w:val="es-UY"/>
        </w:rPr>
        <w:t>era imposible, conforme la normativa aplicable, que los tribunales domésticos procedieran al examen de fondo de la acción de amparo interpuesta por los peticionarios por</w:t>
      </w:r>
      <w:r w:rsidR="008B12B7">
        <w:rPr>
          <w:rFonts w:ascii="Cambria" w:hAnsi="Cambria"/>
          <w:sz w:val="20"/>
          <w:szCs w:val="20"/>
          <w:lang w:val="es-UY"/>
        </w:rPr>
        <w:t xml:space="preserve">que estos </w:t>
      </w:r>
      <w:r w:rsidR="006A23EB">
        <w:rPr>
          <w:rFonts w:ascii="Cambria" w:hAnsi="Cambria"/>
          <w:sz w:val="20"/>
          <w:szCs w:val="20"/>
          <w:lang w:val="es-UY"/>
        </w:rPr>
        <w:t xml:space="preserve">la presentaron </w:t>
      </w:r>
      <w:r w:rsidR="008B12B7">
        <w:rPr>
          <w:rFonts w:ascii="Cambria" w:hAnsi="Cambria"/>
          <w:sz w:val="20"/>
          <w:szCs w:val="20"/>
          <w:lang w:val="es-UY"/>
        </w:rPr>
        <w:t>siete meses luego de haber sido dictado el acto impugnado</w:t>
      </w:r>
      <w:r w:rsidR="006A23EB">
        <w:rPr>
          <w:rFonts w:ascii="Cambria" w:hAnsi="Cambria"/>
          <w:sz w:val="20"/>
          <w:szCs w:val="20"/>
          <w:lang w:val="es-UY"/>
        </w:rPr>
        <w:t xml:space="preserve">, cuando el daño aducido por estos ya no podía ser considerado de ninguna manera inminente. </w:t>
      </w:r>
      <w:r w:rsidR="009B7F47">
        <w:rPr>
          <w:rFonts w:ascii="Cambria" w:hAnsi="Cambria"/>
          <w:sz w:val="20"/>
          <w:szCs w:val="20"/>
          <w:lang w:val="es-UY"/>
        </w:rPr>
        <w:t>Alega, citando ejemplos,</w:t>
      </w:r>
      <w:r w:rsidR="006A23EB">
        <w:rPr>
          <w:rFonts w:ascii="Cambria" w:hAnsi="Cambria"/>
          <w:sz w:val="20"/>
          <w:szCs w:val="20"/>
          <w:lang w:val="es-UY"/>
        </w:rPr>
        <w:t xml:space="preserve"> que esta no fue una decisión caprichosa ni aislada sino el resultado de una larga línea jurisprudencial relativa al concepto de daño inminente</w:t>
      </w:r>
      <w:r w:rsidR="009B7F47">
        <w:rPr>
          <w:rFonts w:ascii="Cambria" w:hAnsi="Cambria"/>
          <w:sz w:val="20"/>
          <w:szCs w:val="20"/>
          <w:lang w:val="es-UY"/>
        </w:rPr>
        <w:t xml:space="preserve">. Resalta que los peticionarios en su calidad de vocales de la Corte Constitucional contribuyeron a este desarrollo jurisprudencial por lo que </w:t>
      </w:r>
      <w:r w:rsidR="0044751D">
        <w:rPr>
          <w:rFonts w:ascii="Cambria" w:hAnsi="Cambria"/>
          <w:sz w:val="20"/>
          <w:szCs w:val="20"/>
          <w:lang w:val="es-UY"/>
        </w:rPr>
        <w:t xml:space="preserve">no podían “desconocer sus propios fallos”. Hace énfasis en dos </w:t>
      </w:r>
      <w:r w:rsidR="001B5426">
        <w:rPr>
          <w:rFonts w:ascii="Cambria" w:hAnsi="Cambria"/>
          <w:sz w:val="20"/>
          <w:szCs w:val="20"/>
          <w:lang w:val="es-UY"/>
        </w:rPr>
        <w:t>decisiones del Tribunal Constitucional, firmadas por el peticionario</w:t>
      </w:r>
      <w:r w:rsidR="00A57506">
        <w:rPr>
          <w:rFonts w:ascii="Cambria" w:hAnsi="Cambria"/>
          <w:sz w:val="20"/>
          <w:szCs w:val="20"/>
          <w:lang w:val="es-UY"/>
        </w:rPr>
        <w:t xml:space="preserve"> </w:t>
      </w:r>
      <w:r w:rsidR="001B5426">
        <w:rPr>
          <w:rFonts w:ascii="Cambria" w:hAnsi="Cambria"/>
          <w:sz w:val="20"/>
          <w:szCs w:val="20"/>
          <w:lang w:val="es-UY"/>
        </w:rPr>
        <w:t>Velázquez Coello en calidad de presidente del tribunal</w:t>
      </w:r>
      <w:r w:rsidR="00C117EC">
        <w:rPr>
          <w:rFonts w:ascii="Cambria" w:hAnsi="Cambria"/>
          <w:sz w:val="20"/>
          <w:szCs w:val="20"/>
          <w:lang w:val="es-UY"/>
        </w:rPr>
        <w:t>,</w:t>
      </w:r>
      <w:r w:rsidR="001B5426">
        <w:rPr>
          <w:rFonts w:ascii="Cambria" w:hAnsi="Cambria"/>
          <w:sz w:val="20"/>
          <w:szCs w:val="20"/>
          <w:lang w:val="es-UY"/>
        </w:rPr>
        <w:t xml:space="preserve"> en las que acciones de amparo fueron negadas en base al tiempo transcurrido entre la emisión del acto impugnado y la interposición de la acción (siete meses en un caso y </w:t>
      </w:r>
      <w:r w:rsidR="00C117EC">
        <w:rPr>
          <w:rFonts w:ascii="Cambria" w:hAnsi="Cambria"/>
          <w:sz w:val="20"/>
          <w:szCs w:val="20"/>
          <w:lang w:val="es-UY"/>
        </w:rPr>
        <w:t>diez</w:t>
      </w:r>
      <w:r w:rsidR="001B5426">
        <w:rPr>
          <w:rFonts w:ascii="Cambria" w:hAnsi="Cambria"/>
          <w:sz w:val="20"/>
          <w:szCs w:val="20"/>
          <w:lang w:val="es-UY"/>
        </w:rPr>
        <w:t xml:space="preserve"> en otro)</w:t>
      </w:r>
      <w:r w:rsidR="00C117EC">
        <w:rPr>
          <w:rStyle w:val="FootnoteReference"/>
          <w:rFonts w:ascii="Cambria" w:hAnsi="Cambria"/>
          <w:sz w:val="20"/>
          <w:szCs w:val="20"/>
          <w:lang w:val="es-UY"/>
        </w:rPr>
        <w:footnoteReference w:id="6"/>
      </w:r>
      <w:r w:rsidR="001B5426">
        <w:rPr>
          <w:rFonts w:ascii="Cambria" w:hAnsi="Cambria"/>
          <w:sz w:val="20"/>
          <w:szCs w:val="20"/>
          <w:lang w:val="es-UY"/>
        </w:rPr>
        <w:t xml:space="preserve">. </w:t>
      </w:r>
      <w:r w:rsidR="00C117EC">
        <w:rPr>
          <w:rFonts w:ascii="Cambria" w:hAnsi="Cambria"/>
          <w:sz w:val="20"/>
          <w:szCs w:val="20"/>
          <w:lang w:val="es-UY"/>
        </w:rPr>
        <w:t>Considera que los peticionarios han abusado el derecho de petición e intentado “construir” un caso ante el sistema interamericano</w:t>
      </w:r>
      <w:r w:rsidR="00D36358">
        <w:rPr>
          <w:rFonts w:ascii="Cambria" w:hAnsi="Cambria"/>
          <w:sz w:val="20"/>
          <w:szCs w:val="20"/>
          <w:lang w:val="es-UY"/>
        </w:rPr>
        <w:t xml:space="preserve"> de manera ilegítima</w:t>
      </w:r>
      <w:r w:rsidR="00C117EC">
        <w:rPr>
          <w:rFonts w:ascii="Cambria" w:hAnsi="Cambria"/>
          <w:sz w:val="20"/>
          <w:szCs w:val="20"/>
          <w:lang w:val="es-UY"/>
        </w:rPr>
        <w:t xml:space="preserve"> </w:t>
      </w:r>
      <w:r w:rsidR="00D36358">
        <w:rPr>
          <w:rFonts w:ascii="Cambria" w:hAnsi="Cambria"/>
          <w:sz w:val="20"/>
          <w:szCs w:val="20"/>
          <w:lang w:val="es-UY"/>
        </w:rPr>
        <w:t xml:space="preserve">al interponer una acción de amparo que sabían era extemporánea </w:t>
      </w:r>
      <w:r w:rsidR="00AB4AC9">
        <w:rPr>
          <w:rFonts w:ascii="Cambria" w:hAnsi="Cambria"/>
          <w:sz w:val="20"/>
          <w:szCs w:val="20"/>
          <w:lang w:val="es-UY"/>
        </w:rPr>
        <w:t>con el fin de</w:t>
      </w:r>
      <w:r w:rsidR="00D36358">
        <w:rPr>
          <w:rFonts w:ascii="Cambria" w:hAnsi="Cambria"/>
          <w:sz w:val="20"/>
          <w:szCs w:val="20"/>
          <w:lang w:val="es-UY"/>
        </w:rPr>
        <w:t xml:space="preserve"> aparentar un supuesto agotamiento de recursos internos.  </w:t>
      </w:r>
      <w:r w:rsidR="00C117EC">
        <w:rPr>
          <w:rFonts w:ascii="Cambria" w:hAnsi="Cambria"/>
          <w:sz w:val="20"/>
          <w:szCs w:val="20"/>
          <w:lang w:val="es-UY"/>
        </w:rPr>
        <w:t xml:space="preserve"> </w:t>
      </w:r>
    </w:p>
    <w:p w:rsidR="001B5426" w:rsidRPr="001B5426" w:rsidRDefault="002A2314" w:rsidP="001B54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A</w:t>
      </w:r>
      <w:r w:rsidR="003507D5">
        <w:rPr>
          <w:rFonts w:ascii="Cambria" w:hAnsi="Cambria"/>
          <w:sz w:val="20"/>
          <w:szCs w:val="20"/>
          <w:lang w:val="es-UY"/>
        </w:rPr>
        <w:t>lega que no existía ninguna situación de anormalidad jurídica en el Estado al momento de los hechos. Argumenta que los recortes noticiosos y artículos de opinión con que los peticionarios pretenden dar cuenta de la supuesta situación de anormalidad y</w:t>
      </w:r>
      <w:r w:rsidR="0017121C">
        <w:rPr>
          <w:rFonts w:ascii="Cambria" w:hAnsi="Cambria"/>
          <w:sz w:val="20"/>
          <w:szCs w:val="20"/>
          <w:lang w:val="es-UY"/>
        </w:rPr>
        <w:t xml:space="preserve"> demostrar la comisión </w:t>
      </w:r>
      <w:r w:rsidR="00657A0B">
        <w:rPr>
          <w:rFonts w:ascii="Cambria" w:hAnsi="Cambria"/>
          <w:sz w:val="20"/>
          <w:szCs w:val="20"/>
          <w:lang w:val="es-UY"/>
        </w:rPr>
        <w:t xml:space="preserve">de violaciones a los derechos humanos imputables al estado no cumplen con los parámetros mínimos para ser considerados prueba documental. </w:t>
      </w:r>
      <w:r w:rsidR="007356AF">
        <w:rPr>
          <w:rFonts w:ascii="Cambria" w:hAnsi="Cambria"/>
          <w:sz w:val="20"/>
          <w:szCs w:val="20"/>
          <w:lang w:val="es-UY"/>
        </w:rPr>
        <w:t>Señala</w:t>
      </w:r>
      <w:r w:rsidR="00657A0B">
        <w:rPr>
          <w:rFonts w:ascii="Cambria" w:hAnsi="Cambria"/>
          <w:sz w:val="20"/>
          <w:szCs w:val="20"/>
          <w:lang w:val="es-UY"/>
        </w:rPr>
        <w:t xml:space="preserve"> que los peticionaros </w:t>
      </w:r>
      <w:r w:rsidR="007356AF">
        <w:rPr>
          <w:rFonts w:ascii="Cambria" w:hAnsi="Cambria"/>
          <w:sz w:val="20"/>
          <w:szCs w:val="20"/>
          <w:lang w:val="es-UY"/>
        </w:rPr>
        <w:t>en su escrito de 13 de noviembre de 2016 respondieron a los argumentos presentados por el Estado en escrito de 12 de noviembre de 2016 señalando que “no es necesar</w:t>
      </w:r>
      <w:r w:rsidR="00C50B51">
        <w:rPr>
          <w:rFonts w:ascii="Cambria" w:hAnsi="Cambria"/>
          <w:sz w:val="20"/>
          <w:szCs w:val="20"/>
          <w:lang w:val="es-UY"/>
        </w:rPr>
        <w:t xml:space="preserve">io rebatirlos punto por punto”. </w:t>
      </w:r>
      <w:r w:rsidR="007356AF">
        <w:rPr>
          <w:rFonts w:ascii="Cambria" w:hAnsi="Cambria"/>
          <w:sz w:val="20"/>
          <w:szCs w:val="20"/>
          <w:lang w:val="es-UY"/>
        </w:rPr>
        <w:t xml:space="preserve">Consideran que esta afirmación constituye una renuncia expresa a presentar observaciones </w:t>
      </w:r>
      <w:r w:rsidR="00CC1365">
        <w:rPr>
          <w:rFonts w:ascii="Cambria" w:hAnsi="Cambria"/>
          <w:sz w:val="20"/>
          <w:szCs w:val="20"/>
          <w:lang w:val="es-UY"/>
        </w:rPr>
        <w:t>lo que produce el efecto jurídico de dar por probados los elementos jurídicos y fácticos establecidos por el Estado y no controvertidos por los peticionarios</w:t>
      </w:r>
      <w:r w:rsidR="008022A4">
        <w:rPr>
          <w:rStyle w:val="FootnoteReference"/>
          <w:rFonts w:ascii="Cambria" w:hAnsi="Cambria"/>
          <w:sz w:val="20"/>
          <w:szCs w:val="20"/>
          <w:lang w:val="es-UY"/>
        </w:rPr>
        <w:footnoteReference w:id="7"/>
      </w:r>
      <w:r w:rsidR="00CC1365">
        <w:rPr>
          <w:rFonts w:ascii="Cambria" w:hAnsi="Cambria"/>
          <w:sz w:val="20"/>
          <w:szCs w:val="20"/>
          <w:lang w:val="es-UY"/>
        </w:rPr>
        <w:t>.</w:t>
      </w:r>
    </w:p>
    <w:p w:rsidR="004A3501" w:rsidRDefault="004A3501" w:rsidP="00C117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color w:val="000000"/>
          <w:sz w:val="20"/>
          <w:szCs w:val="20"/>
          <w:u w:color="000000"/>
          <w:lang w:val="es-ES" w:eastAsia="es-ES"/>
        </w:rPr>
      </w:pPr>
    </w:p>
    <w:p w:rsidR="004A3501" w:rsidRDefault="004A3501" w:rsidP="00C117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color w:val="000000"/>
          <w:sz w:val="20"/>
          <w:szCs w:val="20"/>
          <w:u w:color="000000"/>
          <w:lang w:val="es-ES" w:eastAsia="es-ES"/>
        </w:rPr>
      </w:pPr>
    </w:p>
    <w:p w:rsidR="003239B8" w:rsidRPr="00873B7F" w:rsidRDefault="003239B8" w:rsidP="00C117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873B7F">
        <w:rPr>
          <w:rFonts w:asciiTheme="majorHAnsi" w:eastAsia="Cambria" w:hAnsiTheme="majorHAnsi" w:cs="Cambria"/>
          <w:b/>
          <w:bCs/>
          <w:color w:val="000000"/>
          <w:sz w:val="20"/>
          <w:szCs w:val="20"/>
          <w:u w:color="000000"/>
          <w:lang w:val="es-ES" w:eastAsia="es-ES"/>
        </w:rPr>
        <w:lastRenderedPageBreak/>
        <w:t>VI.</w:t>
      </w:r>
      <w:r w:rsidRPr="00873B7F">
        <w:rPr>
          <w:rFonts w:asciiTheme="majorHAnsi" w:eastAsia="Cambria" w:hAnsiTheme="majorHAnsi" w:cs="Cambria"/>
          <w:b/>
          <w:bCs/>
          <w:color w:val="000000"/>
          <w:sz w:val="20"/>
          <w:szCs w:val="20"/>
          <w:u w:color="000000"/>
          <w:lang w:val="es-ES" w:eastAsia="es-ES"/>
        </w:rPr>
        <w:tab/>
      </w:r>
      <w:r w:rsidR="004A6A54" w:rsidRPr="002A2314">
        <w:rPr>
          <w:rFonts w:asciiTheme="majorHAnsi" w:hAnsiTheme="majorHAnsi"/>
          <w:b/>
          <w:bCs/>
          <w:sz w:val="19"/>
          <w:szCs w:val="19"/>
          <w:lang w:val="es-ES_tradnl"/>
        </w:rPr>
        <w:t xml:space="preserve">ANÁLISIS DE </w:t>
      </w:r>
      <w:r w:rsidR="00C21FEF" w:rsidRPr="002A2314">
        <w:rPr>
          <w:rFonts w:asciiTheme="majorHAnsi" w:hAnsiTheme="majorHAnsi"/>
          <w:b/>
          <w:sz w:val="19"/>
          <w:szCs w:val="19"/>
          <w:lang w:val="es-ES"/>
        </w:rPr>
        <w:t>AGOTAMIENTO DE LOS RECURSOS INTERNOS Y PLAZO DE PRESENTACIÓN</w:t>
      </w:r>
      <w:r w:rsidR="00C21FEF" w:rsidRPr="00873B7F">
        <w:rPr>
          <w:rFonts w:asciiTheme="majorHAnsi" w:eastAsia="Cambria" w:hAnsiTheme="majorHAnsi" w:cs="Cambria"/>
          <w:b/>
          <w:bCs/>
          <w:color w:val="000000"/>
          <w:sz w:val="20"/>
          <w:szCs w:val="20"/>
          <w:u w:color="000000"/>
          <w:lang w:val="es-ES" w:eastAsia="es-ES"/>
        </w:rPr>
        <w:t xml:space="preserve"> </w:t>
      </w:r>
    </w:p>
    <w:p w:rsidR="00BD1C0A" w:rsidRPr="00A67452" w:rsidRDefault="00BD1C0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765E5">
        <w:rPr>
          <w:rFonts w:asciiTheme="majorHAnsi" w:hAnsiTheme="majorHAnsi"/>
          <w:sz w:val="20"/>
          <w:szCs w:val="20"/>
          <w:lang w:val="es-ES"/>
        </w:rPr>
        <w:t>Respecto a los alegatos de los peticionarios relativos a presuntas violaciones a los derechos humanos en el contexto de los eventos del 23 de abril de 2007 y la posterior falta de investigaci</w:t>
      </w:r>
      <w:r w:rsidR="009765E5">
        <w:rPr>
          <w:rFonts w:asciiTheme="majorHAnsi" w:hAnsiTheme="majorHAnsi"/>
          <w:sz w:val="20"/>
          <w:szCs w:val="20"/>
          <w:lang w:val="es-ES"/>
        </w:rPr>
        <w:t>ón de las mismas, la Comisión recuerda su reiterada posición en el sentido que</w:t>
      </w:r>
      <w:r w:rsidR="009765E5" w:rsidRPr="009765E5">
        <w:rPr>
          <w:rFonts w:asciiTheme="majorHAnsi" w:hAnsiTheme="majorHAnsi" w:cs="Calibri"/>
          <w:sz w:val="20"/>
          <w:szCs w:val="20"/>
          <w:lang w:val="es-ES"/>
        </w:rPr>
        <w:t xml:space="preserve"> </w:t>
      </w:r>
      <w:r w:rsidR="009765E5">
        <w:rPr>
          <w:rFonts w:asciiTheme="majorHAnsi" w:hAnsiTheme="majorHAnsi" w:cs="Calibri"/>
          <w:sz w:val="20"/>
          <w:szCs w:val="20"/>
          <w:lang w:val="es-ES"/>
        </w:rPr>
        <w:t>“</w:t>
      </w:r>
      <w:r w:rsidR="009765E5" w:rsidRPr="009765E5">
        <w:rPr>
          <w:rFonts w:asciiTheme="majorHAnsi" w:hAnsiTheme="majorHAnsi" w:cs="Calibri"/>
          <w:sz w:val="20"/>
          <w:szCs w:val="20"/>
          <w:lang w:val="es-ES"/>
        </w:rPr>
        <w:t>en casos donde se alega que se cometió un presunto delito perseguible de oficio, el proceso interno que debe ser agotado es la investigación penal, la cual debe ser asumida e impulsada por el Estado</w:t>
      </w:r>
      <w:r w:rsidR="009765E5">
        <w:rPr>
          <w:rFonts w:asciiTheme="majorHAnsi" w:hAnsiTheme="majorHAnsi" w:cs="Calibri"/>
          <w:sz w:val="20"/>
          <w:szCs w:val="20"/>
          <w:lang w:val="es-ES"/>
        </w:rPr>
        <w:t>”</w:t>
      </w:r>
      <w:r w:rsidR="009765E5">
        <w:rPr>
          <w:rStyle w:val="FootnoteReference"/>
          <w:rFonts w:asciiTheme="majorHAnsi" w:hAnsiTheme="majorHAnsi" w:cs="Calibri"/>
          <w:sz w:val="20"/>
          <w:szCs w:val="20"/>
          <w:lang w:val="es-ES"/>
        </w:rPr>
        <w:footnoteReference w:id="8"/>
      </w:r>
      <w:r w:rsidR="009765E5">
        <w:rPr>
          <w:rFonts w:asciiTheme="majorHAnsi" w:hAnsiTheme="majorHAnsi" w:cs="Calibri"/>
          <w:sz w:val="20"/>
          <w:szCs w:val="20"/>
          <w:lang w:val="es-ES"/>
        </w:rPr>
        <w:t>.</w:t>
      </w:r>
      <w:r w:rsidR="008B63ED">
        <w:rPr>
          <w:rFonts w:asciiTheme="majorHAnsi" w:hAnsiTheme="majorHAnsi" w:cs="Calibri"/>
          <w:sz w:val="20"/>
          <w:szCs w:val="20"/>
          <w:lang w:val="es-ES"/>
        </w:rPr>
        <w:t xml:space="preserve"> La Comisión </w:t>
      </w:r>
      <w:r w:rsidR="00160F37">
        <w:rPr>
          <w:rFonts w:asciiTheme="majorHAnsi" w:hAnsiTheme="majorHAnsi" w:cs="Calibri"/>
          <w:sz w:val="20"/>
          <w:szCs w:val="20"/>
          <w:lang w:val="es-ES"/>
        </w:rPr>
        <w:t>considera que, dados los múltiples señalamientos realizados a travé</w:t>
      </w:r>
      <w:r w:rsidR="00397E6E">
        <w:rPr>
          <w:rFonts w:asciiTheme="majorHAnsi" w:hAnsiTheme="majorHAnsi" w:cs="Calibri"/>
          <w:sz w:val="20"/>
          <w:szCs w:val="20"/>
          <w:lang w:val="es-ES"/>
        </w:rPr>
        <w:t>s de los medios de comunicación, se debe concluir que</w:t>
      </w:r>
      <w:r w:rsidR="00160F37">
        <w:rPr>
          <w:rFonts w:asciiTheme="majorHAnsi" w:hAnsiTheme="majorHAnsi" w:cs="Calibri"/>
          <w:sz w:val="20"/>
          <w:szCs w:val="20"/>
          <w:lang w:val="es-ES"/>
        </w:rPr>
        <w:t xml:space="preserve"> el Estado</w:t>
      </w:r>
      <w:r w:rsidR="00397E6E">
        <w:rPr>
          <w:rFonts w:asciiTheme="majorHAnsi" w:hAnsiTheme="majorHAnsi" w:cs="Calibri"/>
          <w:sz w:val="20"/>
          <w:szCs w:val="20"/>
          <w:lang w:val="es-ES"/>
        </w:rPr>
        <w:t xml:space="preserve">, </w:t>
      </w:r>
      <w:r w:rsidR="00397E6E" w:rsidRPr="00CA3B03">
        <w:rPr>
          <w:rFonts w:asciiTheme="majorHAnsi" w:hAnsiTheme="majorHAnsi" w:cs="Calibri"/>
          <w:sz w:val="20"/>
          <w:szCs w:val="20"/>
          <w:lang w:val="es-ES"/>
        </w:rPr>
        <w:t xml:space="preserve">como mínimo, </w:t>
      </w:r>
      <w:r w:rsidR="00160F37" w:rsidRPr="00CA3B03">
        <w:rPr>
          <w:rFonts w:asciiTheme="majorHAnsi" w:hAnsiTheme="majorHAnsi" w:cs="Calibri"/>
          <w:sz w:val="20"/>
          <w:szCs w:val="20"/>
          <w:lang w:val="es-ES"/>
        </w:rPr>
        <w:t xml:space="preserve">tuvo conocimiento de las alegaciones respecto a que serias violaciones a los derechos humanos fueron cometidas el 23 de abril de </w:t>
      </w:r>
      <w:r w:rsidR="0085146C" w:rsidRPr="00CA3B03">
        <w:rPr>
          <w:rFonts w:asciiTheme="majorHAnsi" w:hAnsiTheme="majorHAnsi" w:cs="Calibri"/>
          <w:sz w:val="20"/>
          <w:szCs w:val="20"/>
          <w:lang w:val="es-ES"/>
        </w:rPr>
        <w:t>2</w:t>
      </w:r>
      <w:r w:rsidR="00AF7CB6" w:rsidRPr="00CA3B03">
        <w:rPr>
          <w:rFonts w:asciiTheme="majorHAnsi" w:hAnsiTheme="majorHAnsi" w:cs="Calibri"/>
          <w:sz w:val="20"/>
          <w:szCs w:val="20"/>
          <w:lang w:val="es-ES"/>
        </w:rPr>
        <w:t>007,</w:t>
      </w:r>
      <w:r w:rsidR="0085146C" w:rsidRPr="00CA3B03">
        <w:rPr>
          <w:rFonts w:asciiTheme="majorHAnsi" w:hAnsiTheme="majorHAnsi" w:cs="Calibri"/>
          <w:sz w:val="20"/>
          <w:szCs w:val="20"/>
          <w:lang w:val="es-ES"/>
        </w:rPr>
        <w:t xml:space="preserve"> por lo que</w:t>
      </w:r>
      <w:r w:rsidR="00397E6E" w:rsidRPr="00CA3B03">
        <w:rPr>
          <w:rFonts w:asciiTheme="majorHAnsi" w:hAnsiTheme="majorHAnsi" w:cs="Calibri"/>
          <w:sz w:val="20"/>
          <w:szCs w:val="20"/>
          <w:lang w:val="es-ES"/>
        </w:rPr>
        <w:t xml:space="preserve"> </w:t>
      </w:r>
      <w:r w:rsidR="0085146C" w:rsidRPr="00CA3B03">
        <w:rPr>
          <w:rFonts w:asciiTheme="majorHAnsi" w:hAnsiTheme="majorHAnsi" w:cs="Calibri"/>
          <w:sz w:val="20"/>
          <w:szCs w:val="20"/>
          <w:lang w:val="es-ES"/>
        </w:rPr>
        <w:t>estaba obligado</w:t>
      </w:r>
      <w:r w:rsidR="00397E6E" w:rsidRPr="00CA3B03">
        <w:rPr>
          <w:rFonts w:asciiTheme="majorHAnsi" w:hAnsiTheme="majorHAnsi" w:cs="Calibri"/>
          <w:sz w:val="20"/>
          <w:szCs w:val="20"/>
          <w:lang w:val="es-ES"/>
        </w:rPr>
        <w:t xml:space="preserve"> </w:t>
      </w:r>
      <w:r w:rsidR="0085146C" w:rsidRPr="00CA3B03">
        <w:rPr>
          <w:rFonts w:asciiTheme="majorHAnsi" w:hAnsiTheme="majorHAnsi" w:cs="Calibri"/>
          <w:sz w:val="20"/>
          <w:szCs w:val="20"/>
          <w:lang w:val="es-ES"/>
        </w:rPr>
        <w:t>a adelantar las investiga</w:t>
      </w:r>
      <w:r w:rsidR="0085146C">
        <w:rPr>
          <w:rFonts w:asciiTheme="majorHAnsi" w:hAnsiTheme="majorHAnsi" w:cs="Calibri"/>
          <w:sz w:val="20"/>
          <w:szCs w:val="20"/>
          <w:lang w:val="es-ES"/>
        </w:rPr>
        <w:t xml:space="preserve">ciones pertinentes para </w:t>
      </w:r>
      <w:r w:rsidR="005F0CBE">
        <w:rPr>
          <w:rFonts w:asciiTheme="majorHAnsi" w:hAnsiTheme="majorHAnsi" w:cs="Calibri"/>
          <w:sz w:val="20"/>
          <w:szCs w:val="20"/>
          <w:lang w:val="es-ES"/>
        </w:rPr>
        <w:t>determinar si estas en efecto ocurrieron y, de ser así para identificar y sancionar a los responsables</w:t>
      </w:r>
      <w:r w:rsidR="00C34767">
        <w:rPr>
          <w:rFonts w:asciiTheme="majorHAnsi" w:hAnsiTheme="majorHAnsi" w:cs="Calibri"/>
          <w:sz w:val="20"/>
          <w:szCs w:val="20"/>
          <w:lang w:val="es-ES"/>
        </w:rPr>
        <w:t xml:space="preserve">. </w:t>
      </w:r>
      <w:r w:rsidR="0085146C">
        <w:rPr>
          <w:rFonts w:asciiTheme="majorHAnsi" w:hAnsiTheme="majorHAnsi" w:cs="Calibri"/>
          <w:sz w:val="20"/>
          <w:szCs w:val="20"/>
          <w:lang w:val="es-ES"/>
        </w:rPr>
        <w:t xml:space="preserve">Dado que han transcurrido más de 11 años desde los eventos y el Estado no ha indicado que </w:t>
      </w:r>
      <w:r w:rsidR="005F0CBE">
        <w:rPr>
          <w:rFonts w:asciiTheme="majorHAnsi" w:hAnsiTheme="majorHAnsi" w:cs="Calibri"/>
          <w:sz w:val="20"/>
          <w:szCs w:val="20"/>
          <w:lang w:val="es-ES"/>
        </w:rPr>
        <w:t xml:space="preserve">haya </w:t>
      </w:r>
      <w:r w:rsidR="0085146C">
        <w:rPr>
          <w:rFonts w:asciiTheme="majorHAnsi" w:hAnsiTheme="majorHAnsi" w:cs="Calibri"/>
          <w:sz w:val="20"/>
          <w:szCs w:val="20"/>
          <w:lang w:val="es-ES"/>
        </w:rPr>
        <w:t>realizado investigaciones o esfuerzos encaminados al e</w:t>
      </w:r>
      <w:r w:rsidR="005F0CBE">
        <w:rPr>
          <w:rFonts w:asciiTheme="majorHAnsi" w:hAnsiTheme="majorHAnsi" w:cs="Calibri"/>
          <w:sz w:val="20"/>
          <w:szCs w:val="20"/>
          <w:lang w:val="es-ES"/>
        </w:rPr>
        <w:t xml:space="preserve">sclarecimiento de los hechos, la Comisión considera que </w:t>
      </w:r>
      <w:r w:rsidR="00AF7CB6">
        <w:rPr>
          <w:rFonts w:asciiTheme="majorHAnsi" w:hAnsiTheme="majorHAnsi" w:cs="Calibri"/>
          <w:sz w:val="20"/>
          <w:szCs w:val="20"/>
          <w:lang w:val="es-ES"/>
        </w:rPr>
        <w:t xml:space="preserve">este punto de la petición es admisible al serle aplicable </w:t>
      </w:r>
      <w:r w:rsidR="005F0CBE">
        <w:rPr>
          <w:rFonts w:asciiTheme="majorHAnsi" w:hAnsiTheme="majorHAnsi" w:cs="Calibri"/>
          <w:sz w:val="20"/>
          <w:szCs w:val="20"/>
          <w:lang w:val="es-ES"/>
        </w:rPr>
        <w:t xml:space="preserve">la excepción al agotamiento de los recursos internos contenida en artículo 46(2)(c) de la Convención Americana </w:t>
      </w:r>
      <w:r w:rsidR="00AF7CB6">
        <w:rPr>
          <w:rFonts w:asciiTheme="majorHAnsi" w:hAnsiTheme="majorHAnsi" w:cs="Calibri"/>
          <w:sz w:val="20"/>
          <w:szCs w:val="20"/>
          <w:lang w:val="es-ES"/>
        </w:rPr>
        <w:t>y haber sido presentado dentro de plazo razonable en conformidad con el artículo 32(2) del Reglamento de la Comisión.</w:t>
      </w:r>
    </w:p>
    <w:p w:rsidR="00B713FC" w:rsidRPr="0030785A" w:rsidRDefault="00A67452" w:rsidP="003078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713FC">
        <w:rPr>
          <w:rFonts w:asciiTheme="majorHAnsi" w:hAnsiTheme="majorHAnsi" w:cs="Calibri"/>
          <w:sz w:val="20"/>
          <w:szCs w:val="20"/>
          <w:lang w:val="es-ES"/>
        </w:rPr>
        <w:t xml:space="preserve">En cuanto a los alegatos de los peticionarios relativos a la resolución del Congreso Nacional que declaró concluidos sus periodos, </w:t>
      </w:r>
      <w:r w:rsidR="00B713FC" w:rsidRPr="00B713FC">
        <w:rPr>
          <w:rFonts w:asciiTheme="majorHAnsi" w:hAnsiTheme="majorHAnsi" w:cs="Calibri"/>
          <w:sz w:val="20"/>
          <w:szCs w:val="20"/>
          <w:lang w:val="es-ES"/>
        </w:rPr>
        <w:t xml:space="preserve"> la Comisión observa que los peticionarios interpusieron una acción de amparo la que fue </w:t>
      </w:r>
      <w:r w:rsidR="0030785A">
        <w:rPr>
          <w:rFonts w:asciiTheme="majorHAnsi" w:hAnsiTheme="majorHAnsi" w:cs="Calibri"/>
          <w:sz w:val="20"/>
          <w:szCs w:val="20"/>
          <w:lang w:val="es-ES"/>
        </w:rPr>
        <w:t>rechazada</w:t>
      </w:r>
      <w:r w:rsidR="00B713FC" w:rsidRPr="00B713FC">
        <w:rPr>
          <w:rFonts w:asciiTheme="majorHAnsi" w:hAnsiTheme="majorHAnsi" w:cs="Calibri"/>
          <w:sz w:val="20"/>
          <w:szCs w:val="20"/>
          <w:lang w:val="es-ES"/>
        </w:rPr>
        <w:t xml:space="preserve"> en primera y segunda instancia y explicaron las razones por las que optaron por no interponer un recurso de plena jurisdicción. </w:t>
      </w:r>
      <w:r w:rsidR="009B7581" w:rsidRPr="0030785A">
        <w:rPr>
          <w:rFonts w:asciiTheme="majorHAnsi" w:hAnsiTheme="majorHAnsi" w:cs="Calibri"/>
          <w:sz w:val="20"/>
          <w:szCs w:val="20"/>
          <w:lang w:val="es-ES"/>
        </w:rPr>
        <w:t>E</w:t>
      </w:r>
      <w:r w:rsidR="00B713FC" w:rsidRPr="0030785A">
        <w:rPr>
          <w:rFonts w:asciiTheme="majorHAnsi" w:hAnsiTheme="majorHAnsi" w:cs="Calibri"/>
          <w:sz w:val="20"/>
          <w:szCs w:val="20"/>
          <w:lang w:val="es-ES"/>
        </w:rPr>
        <w:t xml:space="preserve">l Estado alega </w:t>
      </w:r>
      <w:r w:rsidR="009B7581" w:rsidRPr="0030785A">
        <w:rPr>
          <w:rFonts w:asciiTheme="majorHAnsi" w:hAnsiTheme="majorHAnsi" w:cs="Calibri"/>
          <w:sz w:val="20"/>
          <w:szCs w:val="20"/>
          <w:lang w:val="es-ES"/>
        </w:rPr>
        <w:t xml:space="preserve">que no tuvo la oportunidad de examinar adecuadamente el reclamo de los peticionarios en fuero interno porque no se presentó el recurso de plena </w:t>
      </w:r>
      <w:r w:rsidR="009B7581" w:rsidRPr="00F25C03">
        <w:rPr>
          <w:rFonts w:asciiTheme="majorHAnsi" w:hAnsiTheme="majorHAnsi" w:cs="Calibri"/>
          <w:sz w:val="20"/>
          <w:szCs w:val="20"/>
          <w:lang w:val="es-ES"/>
        </w:rPr>
        <w:t>jurisdicción y la acción de amparo fue interpuesta extemporáneamente.</w:t>
      </w:r>
      <w:r w:rsidR="0030785A" w:rsidRPr="00F25C03">
        <w:rPr>
          <w:rFonts w:asciiTheme="majorHAnsi" w:hAnsiTheme="majorHAnsi" w:cs="Calibri"/>
          <w:sz w:val="20"/>
          <w:szCs w:val="20"/>
          <w:lang w:val="es-ES"/>
        </w:rPr>
        <w:t xml:space="preserve"> Al respecto la Comisión recuerda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30785A" w:rsidRPr="00F25C03">
        <w:rPr>
          <w:rStyle w:val="FootnoteReference"/>
          <w:rFonts w:asciiTheme="majorHAnsi" w:hAnsiTheme="majorHAnsi" w:cs="Calibri"/>
          <w:sz w:val="20"/>
          <w:szCs w:val="20"/>
          <w:lang w:val="es-ES"/>
        </w:rPr>
        <w:footnoteReference w:id="9"/>
      </w:r>
      <w:r w:rsidR="0030785A" w:rsidRPr="00F25C03">
        <w:rPr>
          <w:rFonts w:asciiTheme="majorHAnsi" w:hAnsiTheme="majorHAnsi" w:cs="Calibri"/>
          <w:sz w:val="20"/>
          <w:szCs w:val="20"/>
          <w:lang w:val="es-ES"/>
        </w:rPr>
        <w:t>.</w:t>
      </w:r>
    </w:p>
    <w:p w:rsidR="00640364" w:rsidRPr="000A7D01" w:rsidRDefault="009B7581" w:rsidP="00A674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t xml:space="preserve">En cuanto al recurso de plena jurisdicción </w:t>
      </w:r>
      <w:r w:rsidR="0030785A">
        <w:rPr>
          <w:rFonts w:ascii="Cambria" w:hAnsi="Cambria"/>
          <w:sz w:val="20"/>
          <w:szCs w:val="20"/>
          <w:lang w:val="es-ES"/>
        </w:rPr>
        <w:t>l</w:t>
      </w:r>
      <w:r w:rsidR="00665A28" w:rsidRPr="00A67452">
        <w:rPr>
          <w:rFonts w:ascii="Cambria" w:hAnsi="Cambria"/>
          <w:sz w:val="20"/>
          <w:szCs w:val="20"/>
          <w:lang w:val="es-ES"/>
        </w:rPr>
        <w:t>a Comisión observa que el Estado ha explicado las razones por las que</w:t>
      </w:r>
      <w:r w:rsidR="0098063F">
        <w:rPr>
          <w:rFonts w:ascii="Cambria" w:hAnsi="Cambria"/>
          <w:sz w:val="20"/>
          <w:szCs w:val="20"/>
          <w:lang w:val="es-ES"/>
        </w:rPr>
        <w:t xml:space="preserve"> esta</w:t>
      </w:r>
      <w:r w:rsidR="00665A28" w:rsidRPr="00A67452">
        <w:rPr>
          <w:rFonts w:ascii="Cambria" w:hAnsi="Cambria"/>
          <w:sz w:val="20"/>
          <w:szCs w:val="20"/>
          <w:lang w:val="es-ES"/>
        </w:rPr>
        <w:t xml:space="preserve"> resolución </w:t>
      </w:r>
      <w:r w:rsidR="00BD3707" w:rsidRPr="00A67452">
        <w:rPr>
          <w:rFonts w:ascii="Cambria" w:hAnsi="Cambria"/>
          <w:sz w:val="20"/>
          <w:szCs w:val="20"/>
          <w:lang w:val="es-ES"/>
        </w:rPr>
        <w:t>podía ser considerada un acto administrativo impugnable a través de</w:t>
      </w:r>
      <w:r>
        <w:rPr>
          <w:rFonts w:ascii="Cambria" w:hAnsi="Cambria"/>
          <w:sz w:val="20"/>
          <w:szCs w:val="20"/>
          <w:lang w:val="es-ES"/>
        </w:rPr>
        <w:t xml:space="preserve"> este recurso</w:t>
      </w:r>
      <w:r w:rsidR="00BD3707" w:rsidRPr="00A67452">
        <w:rPr>
          <w:rFonts w:ascii="Cambria" w:hAnsi="Cambria"/>
          <w:sz w:val="20"/>
          <w:szCs w:val="20"/>
          <w:lang w:val="es-ES"/>
        </w:rPr>
        <w:t xml:space="preserve">. Los peticionarios han alegado que la procedencia del recurso contra </w:t>
      </w:r>
      <w:r>
        <w:rPr>
          <w:rFonts w:ascii="Cambria" w:hAnsi="Cambria"/>
          <w:sz w:val="20"/>
          <w:szCs w:val="20"/>
          <w:lang w:val="es-ES"/>
        </w:rPr>
        <w:t xml:space="preserve">una resolución del Congreso Nacional no </w:t>
      </w:r>
      <w:r w:rsidR="00BD3707" w:rsidRPr="00A67452">
        <w:rPr>
          <w:rFonts w:ascii="Cambria" w:hAnsi="Cambria"/>
          <w:sz w:val="20"/>
          <w:szCs w:val="20"/>
          <w:lang w:val="es-ES"/>
        </w:rPr>
        <w:t>era clara, estando demostrado que en el caso de</w:t>
      </w:r>
      <w:r w:rsidR="001749B3">
        <w:rPr>
          <w:rFonts w:ascii="Cambria" w:hAnsi="Cambria"/>
          <w:sz w:val="20"/>
          <w:szCs w:val="20"/>
          <w:lang w:val="es-ES"/>
        </w:rPr>
        <w:t xml:space="preserve">l vocal que </w:t>
      </w:r>
      <w:r w:rsidR="00526708">
        <w:rPr>
          <w:rFonts w:ascii="Cambria" w:hAnsi="Cambria"/>
          <w:sz w:val="20"/>
          <w:szCs w:val="20"/>
          <w:lang w:val="es-ES"/>
        </w:rPr>
        <w:t>recurrió</w:t>
      </w:r>
      <w:r w:rsidR="00BD3707" w:rsidRPr="00A67452">
        <w:rPr>
          <w:rFonts w:ascii="Cambria" w:hAnsi="Cambria"/>
          <w:sz w:val="20"/>
          <w:szCs w:val="20"/>
          <w:lang w:val="es-ES"/>
        </w:rPr>
        <w:t xml:space="preserve"> el tribunal consideró no ser competente para conocer la acción. </w:t>
      </w:r>
      <w:r w:rsidR="007A0A92">
        <w:rPr>
          <w:rFonts w:ascii="Cambria" w:hAnsi="Cambria"/>
          <w:sz w:val="20"/>
          <w:szCs w:val="20"/>
          <w:lang w:val="es-ES"/>
        </w:rPr>
        <w:t>E</w:t>
      </w:r>
      <w:r w:rsidR="00BD3707" w:rsidRPr="00A67452">
        <w:rPr>
          <w:rFonts w:ascii="Cambria" w:hAnsi="Cambria"/>
          <w:sz w:val="20"/>
          <w:szCs w:val="20"/>
          <w:lang w:val="es-ES"/>
        </w:rPr>
        <w:t xml:space="preserve">l Estado ha señalado que </w:t>
      </w:r>
      <w:r w:rsidR="008B63ED" w:rsidRPr="00A67452">
        <w:rPr>
          <w:rFonts w:ascii="Cambria" w:hAnsi="Cambria"/>
          <w:sz w:val="20"/>
          <w:szCs w:val="20"/>
          <w:lang w:val="es-ES"/>
        </w:rPr>
        <w:t>e</w:t>
      </w:r>
      <w:r w:rsidR="00BD3707" w:rsidRPr="00A67452">
        <w:rPr>
          <w:rFonts w:ascii="Cambria" w:hAnsi="Cambria"/>
          <w:sz w:val="20"/>
          <w:szCs w:val="20"/>
          <w:lang w:val="es-ES"/>
        </w:rPr>
        <w:t>sta era una decisión aislada la cual no había sido confirmada mediante casaci</w:t>
      </w:r>
      <w:r w:rsidR="007A0A92">
        <w:rPr>
          <w:rFonts w:ascii="Cambria" w:hAnsi="Cambria"/>
          <w:sz w:val="20"/>
          <w:szCs w:val="20"/>
          <w:lang w:val="es-ES"/>
        </w:rPr>
        <w:t>ón. Sin embargo,</w:t>
      </w:r>
      <w:r w:rsidR="00BD3707" w:rsidRPr="00A67452">
        <w:rPr>
          <w:rFonts w:ascii="Cambria" w:hAnsi="Cambria"/>
          <w:sz w:val="20"/>
          <w:szCs w:val="20"/>
          <w:lang w:val="es-ES"/>
        </w:rPr>
        <w:t xml:space="preserve"> </w:t>
      </w:r>
      <w:r w:rsidR="0098063F">
        <w:rPr>
          <w:rFonts w:ascii="Cambria" w:hAnsi="Cambria"/>
          <w:sz w:val="20"/>
          <w:szCs w:val="20"/>
          <w:lang w:val="es-ES"/>
        </w:rPr>
        <w:t>en atención a las características de este caso,</w:t>
      </w:r>
      <w:r w:rsidR="007A0A92">
        <w:rPr>
          <w:rFonts w:ascii="Cambria" w:hAnsi="Cambria"/>
          <w:sz w:val="20"/>
          <w:szCs w:val="20"/>
          <w:lang w:val="es-ES"/>
        </w:rPr>
        <w:t xml:space="preserve"> la Comisión considera</w:t>
      </w:r>
      <w:r w:rsidR="0098063F">
        <w:rPr>
          <w:rFonts w:ascii="Cambria" w:hAnsi="Cambria"/>
          <w:sz w:val="20"/>
          <w:szCs w:val="20"/>
          <w:lang w:val="es-ES"/>
        </w:rPr>
        <w:t xml:space="preserve"> </w:t>
      </w:r>
      <w:r>
        <w:rPr>
          <w:rFonts w:ascii="Cambria" w:hAnsi="Cambria"/>
          <w:sz w:val="20"/>
          <w:szCs w:val="20"/>
          <w:lang w:val="es-ES"/>
        </w:rPr>
        <w:t xml:space="preserve">que </w:t>
      </w:r>
      <w:r w:rsidR="0030785A">
        <w:rPr>
          <w:rFonts w:ascii="Cambria" w:hAnsi="Cambria"/>
          <w:sz w:val="20"/>
          <w:szCs w:val="20"/>
          <w:lang w:val="es-ES"/>
        </w:rPr>
        <w:t>no era</w:t>
      </w:r>
      <w:r w:rsidR="007A0A92">
        <w:rPr>
          <w:rFonts w:ascii="Cambria" w:hAnsi="Cambria"/>
          <w:sz w:val="20"/>
          <w:szCs w:val="20"/>
          <w:lang w:val="es-ES"/>
        </w:rPr>
        <w:t xml:space="preserve"> razonable</w:t>
      </w:r>
      <w:r>
        <w:rPr>
          <w:rFonts w:ascii="Cambria" w:hAnsi="Cambria"/>
          <w:sz w:val="20"/>
          <w:szCs w:val="20"/>
          <w:lang w:val="es-ES"/>
        </w:rPr>
        <w:t xml:space="preserve"> </w:t>
      </w:r>
      <w:r w:rsidR="007A0A92">
        <w:rPr>
          <w:rFonts w:ascii="Cambria" w:hAnsi="Cambria"/>
          <w:sz w:val="20"/>
          <w:szCs w:val="20"/>
          <w:lang w:val="es-ES"/>
        </w:rPr>
        <w:t xml:space="preserve">exigir </w:t>
      </w:r>
      <w:r w:rsidR="0030785A">
        <w:rPr>
          <w:rFonts w:ascii="Cambria" w:hAnsi="Cambria"/>
          <w:sz w:val="20"/>
          <w:szCs w:val="20"/>
          <w:lang w:val="es-ES"/>
        </w:rPr>
        <w:t>a</w:t>
      </w:r>
      <w:r>
        <w:rPr>
          <w:rFonts w:ascii="Cambria" w:hAnsi="Cambria"/>
          <w:sz w:val="20"/>
          <w:szCs w:val="20"/>
          <w:lang w:val="es-ES"/>
        </w:rPr>
        <w:t xml:space="preserve"> los peticionarios</w:t>
      </w:r>
      <w:r w:rsidR="0030785A">
        <w:rPr>
          <w:rFonts w:ascii="Cambria" w:hAnsi="Cambria"/>
          <w:sz w:val="20"/>
          <w:szCs w:val="20"/>
          <w:lang w:val="es-ES"/>
        </w:rPr>
        <w:t xml:space="preserve"> que</w:t>
      </w:r>
      <w:r w:rsidR="007A0A92">
        <w:rPr>
          <w:rFonts w:ascii="Cambria" w:hAnsi="Cambria"/>
          <w:sz w:val="20"/>
          <w:szCs w:val="20"/>
          <w:lang w:val="es-ES"/>
        </w:rPr>
        <w:t xml:space="preserve"> </w:t>
      </w:r>
      <w:r>
        <w:rPr>
          <w:rFonts w:ascii="Cambria" w:hAnsi="Cambria"/>
          <w:sz w:val="20"/>
          <w:szCs w:val="20"/>
          <w:lang w:val="es-ES"/>
        </w:rPr>
        <w:t xml:space="preserve">agotaran una acción </w:t>
      </w:r>
      <w:r w:rsidR="007A0A92">
        <w:rPr>
          <w:rFonts w:ascii="Cambria" w:hAnsi="Cambria"/>
          <w:sz w:val="20"/>
          <w:szCs w:val="20"/>
          <w:lang w:val="es-ES"/>
        </w:rPr>
        <w:t>ante el mismo tribunal que ya se había declarado incompetente para conocer una acción idén</w:t>
      </w:r>
      <w:r w:rsidR="00C34767">
        <w:rPr>
          <w:rFonts w:ascii="Cambria" w:hAnsi="Cambria"/>
          <w:sz w:val="20"/>
          <w:szCs w:val="20"/>
          <w:lang w:val="es-ES"/>
        </w:rPr>
        <w:t>tica contra la misma resolución</w:t>
      </w:r>
      <w:r w:rsidR="007A0A92">
        <w:rPr>
          <w:rStyle w:val="FootnoteReference"/>
          <w:rFonts w:ascii="Cambria" w:hAnsi="Cambria"/>
          <w:sz w:val="20"/>
          <w:szCs w:val="20"/>
          <w:lang w:val="es-ES"/>
        </w:rPr>
        <w:footnoteReference w:id="10"/>
      </w:r>
      <w:r w:rsidR="00C34767">
        <w:rPr>
          <w:rFonts w:ascii="Cambria" w:hAnsi="Cambria"/>
          <w:sz w:val="20"/>
          <w:szCs w:val="20"/>
          <w:lang w:val="es-ES"/>
        </w:rPr>
        <w:t>.</w:t>
      </w:r>
    </w:p>
    <w:p w:rsidR="00775050" w:rsidRPr="00775050" w:rsidRDefault="000A7D01" w:rsidP="00A674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t xml:space="preserve">En  cuanto a la acción de amparo, la Comisión observa que la legislación doméstica no prescribía un plazo para su presentación pero requería que el daño contra el cual se </w:t>
      </w:r>
      <w:r w:rsidR="0030785A">
        <w:rPr>
          <w:rFonts w:ascii="Cambria" w:hAnsi="Cambria"/>
          <w:sz w:val="20"/>
          <w:szCs w:val="20"/>
          <w:lang w:val="es-ES"/>
        </w:rPr>
        <w:t>solicitaba</w:t>
      </w:r>
      <w:r>
        <w:rPr>
          <w:rFonts w:ascii="Cambria" w:hAnsi="Cambria"/>
          <w:sz w:val="20"/>
          <w:szCs w:val="20"/>
          <w:lang w:val="es-ES"/>
        </w:rPr>
        <w:t xml:space="preserve"> amparo fuese de naturaleza “inminente”. El Estado ha hecho referencia a una larga línea jurisprudencial, la que incluye fallos dictados por los propios peticionarios, bajo la cual acciones de amparo se habr</w:t>
      </w:r>
      <w:r w:rsidR="0030785A">
        <w:rPr>
          <w:rFonts w:ascii="Cambria" w:hAnsi="Cambria"/>
          <w:sz w:val="20"/>
          <w:szCs w:val="20"/>
          <w:lang w:val="es-ES"/>
        </w:rPr>
        <w:t xml:space="preserve">ían declarado inadmisibles </w:t>
      </w:r>
      <w:r>
        <w:rPr>
          <w:rFonts w:ascii="Cambria" w:hAnsi="Cambria"/>
          <w:sz w:val="20"/>
          <w:szCs w:val="20"/>
          <w:lang w:val="es-ES"/>
        </w:rPr>
        <w:t>en base al tiempo transcurrido entre la emisión del acto impugnado y la interposición de la acción.</w:t>
      </w:r>
      <w:r w:rsidR="002F6176">
        <w:rPr>
          <w:rFonts w:ascii="Cambria" w:hAnsi="Cambria"/>
          <w:sz w:val="20"/>
          <w:szCs w:val="20"/>
          <w:lang w:val="es-ES"/>
        </w:rPr>
        <w:t xml:space="preserve"> Los peticionarios</w:t>
      </w:r>
      <w:r w:rsidR="00D14DBE">
        <w:rPr>
          <w:rFonts w:ascii="Cambria" w:hAnsi="Cambria"/>
          <w:sz w:val="20"/>
          <w:szCs w:val="20"/>
          <w:lang w:val="es-ES"/>
        </w:rPr>
        <w:t xml:space="preserve"> alegan</w:t>
      </w:r>
      <w:r w:rsidR="002F6176">
        <w:rPr>
          <w:rFonts w:ascii="Cambria" w:hAnsi="Cambria"/>
          <w:sz w:val="20"/>
          <w:szCs w:val="20"/>
          <w:lang w:val="es-ES"/>
        </w:rPr>
        <w:t xml:space="preserve"> que</w:t>
      </w:r>
      <w:r w:rsidR="0030785A">
        <w:rPr>
          <w:rFonts w:ascii="Cambria" w:hAnsi="Cambria"/>
          <w:sz w:val="20"/>
          <w:szCs w:val="20"/>
          <w:lang w:val="es-ES"/>
        </w:rPr>
        <w:t xml:space="preserve"> </w:t>
      </w:r>
      <w:r w:rsidR="00D14DBE">
        <w:rPr>
          <w:rFonts w:ascii="Cambria" w:hAnsi="Cambria"/>
          <w:sz w:val="20"/>
          <w:szCs w:val="20"/>
          <w:lang w:val="es-ES"/>
        </w:rPr>
        <w:t>el daño respecto al cual buscaban amparo se mantenía vigente al momento d</w:t>
      </w:r>
      <w:r w:rsidR="00C34767">
        <w:rPr>
          <w:rFonts w:ascii="Cambria" w:hAnsi="Cambria"/>
          <w:sz w:val="20"/>
          <w:szCs w:val="20"/>
          <w:lang w:val="es-ES"/>
        </w:rPr>
        <w:t xml:space="preserve">e interponerse la acción y que </w:t>
      </w:r>
      <w:r w:rsidR="0030785A">
        <w:rPr>
          <w:rFonts w:ascii="Cambria" w:hAnsi="Cambria"/>
          <w:sz w:val="20"/>
          <w:szCs w:val="20"/>
          <w:lang w:val="es-ES"/>
        </w:rPr>
        <w:t>la jurisprudencia no establecía un</w:t>
      </w:r>
      <w:r w:rsidR="00631515">
        <w:rPr>
          <w:rFonts w:ascii="Cambria" w:hAnsi="Cambria"/>
          <w:sz w:val="20"/>
          <w:szCs w:val="20"/>
          <w:lang w:val="es-ES"/>
        </w:rPr>
        <w:t xml:space="preserve"> tiempo rígido de prescripción para la acción de amparo</w:t>
      </w:r>
      <w:r w:rsidR="0030785A">
        <w:rPr>
          <w:rFonts w:ascii="Cambria" w:hAnsi="Cambria"/>
          <w:sz w:val="20"/>
          <w:szCs w:val="20"/>
          <w:lang w:val="es-ES"/>
        </w:rPr>
        <w:t xml:space="preserve"> sino que obligaba a los juzgadores a examinar el requisito de inminencia</w:t>
      </w:r>
      <w:r w:rsidR="00631515">
        <w:rPr>
          <w:rFonts w:ascii="Cambria" w:hAnsi="Cambria"/>
          <w:sz w:val="20"/>
          <w:szCs w:val="20"/>
          <w:lang w:val="es-ES"/>
        </w:rPr>
        <w:t xml:space="preserve"> aplicando la sana crítica conforme a las circunstancias y entorno de cada caso. También han indicado que no</w:t>
      </w:r>
      <w:r w:rsidR="002F6176">
        <w:rPr>
          <w:rFonts w:ascii="Cambria" w:hAnsi="Cambria"/>
          <w:sz w:val="20"/>
          <w:szCs w:val="20"/>
          <w:lang w:val="es-ES"/>
        </w:rPr>
        <w:t xml:space="preserve"> </w:t>
      </w:r>
      <w:r w:rsidR="00631515">
        <w:rPr>
          <w:rFonts w:ascii="Cambria" w:hAnsi="Cambria"/>
          <w:sz w:val="20"/>
          <w:szCs w:val="20"/>
          <w:lang w:val="es-ES"/>
        </w:rPr>
        <w:t xml:space="preserve">tuvieron </w:t>
      </w:r>
      <w:r w:rsidR="002F6176">
        <w:rPr>
          <w:rFonts w:ascii="Cambria" w:hAnsi="Cambria"/>
          <w:sz w:val="20"/>
          <w:szCs w:val="20"/>
          <w:lang w:val="es-ES"/>
        </w:rPr>
        <w:t>acceso a la resolución</w:t>
      </w:r>
      <w:r w:rsidR="0030785A">
        <w:rPr>
          <w:rFonts w:ascii="Cambria" w:hAnsi="Cambria"/>
          <w:sz w:val="20"/>
          <w:szCs w:val="20"/>
          <w:lang w:val="es-ES"/>
        </w:rPr>
        <w:t xml:space="preserve"> del Congreso Nacional, de </w:t>
      </w:r>
      <w:r w:rsidR="002F6176">
        <w:rPr>
          <w:rFonts w:ascii="Cambria" w:hAnsi="Cambria"/>
          <w:sz w:val="20"/>
          <w:szCs w:val="20"/>
          <w:lang w:val="es-ES"/>
        </w:rPr>
        <w:t>la que debían aportar copia como condición para la admisibilidad de la acción, sino hasta que ésta fue publicada en el Registro Oficial</w:t>
      </w:r>
      <w:r w:rsidR="0030785A">
        <w:rPr>
          <w:rFonts w:ascii="Cambria" w:hAnsi="Cambria"/>
          <w:sz w:val="20"/>
          <w:szCs w:val="20"/>
          <w:lang w:val="es-ES"/>
        </w:rPr>
        <w:t xml:space="preserve"> tres meses (no siete) antes de la interposición de su acción de amparo.</w:t>
      </w:r>
      <w:r w:rsidR="00775050" w:rsidRPr="00775050">
        <w:rPr>
          <w:rFonts w:ascii="Cambria" w:hAnsi="Cambria"/>
          <w:sz w:val="20"/>
          <w:szCs w:val="20"/>
          <w:lang w:val="es-ES"/>
        </w:rPr>
        <w:t xml:space="preserve"> </w:t>
      </w:r>
    </w:p>
    <w:p w:rsidR="00941E77" w:rsidRPr="00941E77" w:rsidRDefault="00775050" w:rsidP="00A674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lastRenderedPageBreak/>
        <w:t>N</w:t>
      </w:r>
      <w:r w:rsidR="00574D71">
        <w:rPr>
          <w:rFonts w:ascii="Cambria" w:hAnsi="Cambria"/>
          <w:sz w:val="20"/>
          <w:szCs w:val="20"/>
          <w:lang w:val="es-ES"/>
        </w:rPr>
        <w:t xml:space="preserve">o corresponde a la Comisión </w:t>
      </w:r>
      <w:r w:rsidR="00B75508">
        <w:rPr>
          <w:rFonts w:ascii="Cambria" w:hAnsi="Cambria"/>
          <w:sz w:val="20"/>
          <w:szCs w:val="20"/>
          <w:lang w:val="es-ES"/>
        </w:rPr>
        <w:t>reemplazar</w:t>
      </w:r>
      <w:r w:rsidR="0044071D">
        <w:rPr>
          <w:rFonts w:ascii="Cambria" w:hAnsi="Cambria"/>
          <w:sz w:val="20"/>
          <w:szCs w:val="20"/>
          <w:lang w:val="es-ES"/>
        </w:rPr>
        <w:t xml:space="preserve"> con el suyo</w:t>
      </w:r>
      <w:r w:rsidR="00B75508">
        <w:rPr>
          <w:rFonts w:ascii="Cambria" w:hAnsi="Cambria"/>
          <w:sz w:val="20"/>
          <w:szCs w:val="20"/>
          <w:lang w:val="es-ES"/>
        </w:rPr>
        <w:t xml:space="preserve"> el criterio de las autoridades domésticas respecto a la procedibilidad de la acción de amparo</w:t>
      </w:r>
      <w:r w:rsidR="009F18DA">
        <w:rPr>
          <w:rFonts w:ascii="Cambria" w:hAnsi="Cambria"/>
          <w:sz w:val="20"/>
          <w:szCs w:val="20"/>
          <w:lang w:val="es-ES"/>
        </w:rPr>
        <w:t xml:space="preserve"> interpuesta por los peticionarios</w:t>
      </w:r>
      <w:r w:rsidR="00B75508">
        <w:rPr>
          <w:rFonts w:ascii="Cambria" w:hAnsi="Cambria"/>
          <w:sz w:val="20"/>
          <w:szCs w:val="20"/>
          <w:lang w:val="es-ES"/>
        </w:rPr>
        <w:t xml:space="preserve">. </w:t>
      </w:r>
      <w:r>
        <w:rPr>
          <w:rFonts w:ascii="Cambria" w:hAnsi="Cambria"/>
          <w:sz w:val="20"/>
          <w:szCs w:val="20"/>
          <w:lang w:val="es-ES"/>
        </w:rPr>
        <w:t xml:space="preserve">Sin embargo, en base a los elementos de hecho y de derecho presentados por ambas partes, considera que la presentación de la acción de amparo </w:t>
      </w:r>
      <w:r w:rsidR="00B75508">
        <w:rPr>
          <w:rFonts w:ascii="Cambria" w:hAnsi="Cambria"/>
          <w:sz w:val="20"/>
          <w:szCs w:val="20"/>
          <w:lang w:val="es-ES"/>
        </w:rPr>
        <w:t>por parte los peticionario</w:t>
      </w:r>
      <w:r w:rsidR="00C415F8">
        <w:rPr>
          <w:rFonts w:ascii="Cambria" w:hAnsi="Cambria"/>
          <w:sz w:val="20"/>
          <w:szCs w:val="20"/>
          <w:lang w:val="es-ES"/>
        </w:rPr>
        <w:t>s</w:t>
      </w:r>
      <w:r w:rsidR="00B75508">
        <w:rPr>
          <w:rFonts w:ascii="Cambria" w:hAnsi="Cambria"/>
          <w:sz w:val="20"/>
          <w:szCs w:val="20"/>
          <w:lang w:val="es-ES"/>
        </w:rPr>
        <w:t>, al momento en que se hizo, no fue irrazonable y constituía una vía válida para</w:t>
      </w:r>
      <w:r w:rsidR="00941E77">
        <w:rPr>
          <w:rFonts w:ascii="Cambria" w:hAnsi="Cambria"/>
          <w:sz w:val="20"/>
          <w:szCs w:val="20"/>
          <w:lang w:val="es-ES"/>
        </w:rPr>
        <w:t xml:space="preserve"> que</w:t>
      </w:r>
      <w:r w:rsidR="00B75508">
        <w:rPr>
          <w:rFonts w:ascii="Cambria" w:hAnsi="Cambria"/>
          <w:sz w:val="20"/>
          <w:szCs w:val="20"/>
          <w:lang w:val="es-ES"/>
        </w:rPr>
        <w:t xml:space="preserve"> sus pretensiones fueran atendidas a nivel doméstico. </w:t>
      </w:r>
      <w:r w:rsidR="00C415F8">
        <w:rPr>
          <w:rFonts w:ascii="Cambria" w:hAnsi="Cambria"/>
          <w:sz w:val="20"/>
          <w:szCs w:val="20"/>
          <w:lang w:val="es-ES"/>
        </w:rPr>
        <w:t xml:space="preserve">En adición, y sin prejuzgar sobre el fondo, la Comisión no puede </w:t>
      </w:r>
      <w:r w:rsidR="00941E77">
        <w:rPr>
          <w:rFonts w:ascii="Cambria" w:hAnsi="Cambria"/>
          <w:sz w:val="20"/>
          <w:szCs w:val="20"/>
          <w:lang w:val="es-ES"/>
        </w:rPr>
        <w:t>descartar prima facie</w:t>
      </w:r>
      <w:r w:rsidR="00C415F8">
        <w:rPr>
          <w:rFonts w:ascii="Cambria" w:hAnsi="Cambria"/>
          <w:sz w:val="20"/>
          <w:szCs w:val="20"/>
          <w:lang w:val="es-ES"/>
        </w:rPr>
        <w:t xml:space="preserve"> los argumentos de los peticionarios respecto a</w:t>
      </w:r>
      <w:r w:rsidR="00941E77">
        <w:rPr>
          <w:rFonts w:ascii="Cambria" w:hAnsi="Cambria"/>
          <w:sz w:val="20"/>
          <w:szCs w:val="20"/>
          <w:lang w:val="es-ES"/>
        </w:rPr>
        <w:t xml:space="preserve"> la falta de </w:t>
      </w:r>
      <w:r w:rsidR="00D14DBE">
        <w:rPr>
          <w:rFonts w:ascii="Cambria" w:hAnsi="Cambria"/>
          <w:sz w:val="20"/>
          <w:szCs w:val="20"/>
          <w:lang w:val="es-ES"/>
        </w:rPr>
        <w:t xml:space="preserve">imparcialidad del </w:t>
      </w:r>
      <w:r w:rsidR="00941E77">
        <w:rPr>
          <w:rFonts w:ascii="Cambria" w:hAnsi="Cambria"/>
          <w:sz w:val="20"/>
          <w:szCs w:val="20"/>
          <w:lang w:val="es-ES"/>
        </w:rPr>
        <w:t>tribunal que rechazó la acción en segunda instancia y a</w:t>
      </w:r>
      <w:r w:rsidR="00C415F8">
        <w:rPr>
          <w:rFonts w:ascii="Cambria" w:hAnsi="Cambria"/>
          <w:sz w:val="20"/>
          <w:szCs w:val="20"/>
          <w:lang w:val="es-ES"/>
        </w:rPr>
        <w:t xml:space="preserve"> que habrían sido disuadidos de interponer la ac</w:t>
      </w:r>
      <w:r w:rsidR="0044071D">
        <w:rPr>
          <w:rFonts w:ascii="Cambria" w:hAnsi="Cambria"/>
          <w:sz w:val="20"/>
          <w:szCs w:val="20"/>
          <w:lang w:val="es-ES"/>
        </w:rPr>
        <w:t>ción de manera más temprana por declaraciones</w:t>
      </w:r>
      <w:r w:rsidR="00C415F8">
        <w:rPr>
          <w:rFonts w:ascii="Cambria" w:hAnsi="Cambria"/>
          <w:sz w:val="20"/>
          <w:szCs w:val="20"/>
          <w:lang w:val="es-ES"/>
        </w:rPr>
        <w:t xml:space="preserve"> provenientes de agentes estatales que les hubieran generado un temor</w:t>
      </w:r>
      <w:r w:rsidR="00941E77">
        <w:rPr>
          <w:rFonts w:ascii="Cambria" w:hAnsi="Cambria"/>
          <w:sz w:val="20"/>
          <w:szCs w:val="20"/>
          <w:lang w:val="es-ES"/>
        </w:rPr>
        <w:t xml:space="preserve"> fundado</w:t>
      </w:r>
      <w:r w:rsidR="00C415F8">
        <w:rPr>
          <w:rFonts w:ascii="Cambria" w:hAnsi="Cambria"/>
          <w:sz w:val="20"/>
          <w:szCs w:val="20"/>
          <w:lang w:val="es-ES"/>
        </w:rPr>
        <w:t xml:space="preserve"> a represalias.   </w:t>
      </w:r>
      <w:r>
        <w:rPr>
          <w:rFonts w:ascii="Cambria" w:hAnsi="Cambria"/>
          <w:sz w:val="20"/>
          <w:szCs w:val="20"/>
          <w:lang w:val="es-ES"/>
        </w:rPr>
        <w:t xml:space="preserve">  </w:t>
      </w:r>
      <w:r w:rsidR="00574D71">
        <w:rPr>
          <w:rFonts w:ascii="Cambria" w:hAnsi="Cambria"/>
          <w:sz w:val="20"/>
          <w:szCs w:val="20"/>
          <w:lang w:val="es-ES"/>
        </w:rPr>
        <w:t xml:space="preserve"> </w:t>
      </w:r>
    </w:p>
    <w:p w:rsidR="000A7D01" w:rsidRPr="00A67452" w:rsidRDefault="00941E77" w:rsidP="00A674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t xml:space="preserve">Por lo anterior, la Comisión considera que los argumentos presentados por el Estado no son suficientes para </w:t>
      </w:r>
      <w:r w:rsidR="00B60DF7">
        <w:rPr>
          <w:rFonts w:ascii="Cambria" w:hAnsi="Cambria"/>
          <w:sz w:val="20"/>
          <w:szCs w:val="20"/>
          <w:lang w:val="es-ES"/>
        </w:rPr>
        <w:t xml:space="preserve">descalificar que los peticionarios hayan agotado los recursos internos conforme al artículo 46(1)(a) de la Convención Americana mediante la interposición de la acción de amparo. </w:t>
      </w:r>
      <w:r w:rsidR="009F18DA">
        <w:rPr>
          <w:rFonts w:ascii="Cambria" w:hAnsi="Cambria"/>
          <w:sz w:val="20"/>
          <w:szCs w:val="20"/>
          <w:lang w:val="es-ES"/>
        </w:rPr>
        <w:t>Por otra parte, dado</w:t>
      </w:r>
      <w:r w:rsidR="00B60DF7">
        <w:rPr>
          <w:rFonts w:ascii="Cambria" w:hAnsi="Cambria"/>
          <w:sz w:val="20"/>
          <w:szCs w:val="20"/>
          <w:lang w:val="es-ES"/>
        </w:rPr>
        <w:t xml:space="preserve"> que la decisión final respecto a la acción de amparo fue la</w:t>
      </w:r>
      <w:r w:rsidR="009F18DA">
        <w:rPr>
          <w:rFonts w:ascii="Cambria" w:hAnsi="Cambria"/>
          <w:sz w:val="20"/>
          <w:szCs w:val="20"/>
          <w:lang w:val="es-ES"/>
        </w:rPr>
        <w:t xml:space="preserve"> emitida por la Corte Constitucional el </w:t>
      </w:r>
      <w:r w:rsidR="009F18DA">
        <w:rPr>
          <w:rFonts w:ascii="Cambria" w:hAnsi="Cambria"/>
          <w:sz w:val="20"/>
          <w:szCs w:val="20"/>
          <w:lang w:val="es-UY"/>
        </w:rPr>
        <w:t xml:space="preserve">26 de mayo de 2009 y la petición fue presentada el 5 de octubre de 2009 la Comisión estima que esta cumple con el requisito del artículo 46(1)(b) de la Convención Americana y, por lo tanto, es admisible.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Pr="00B3148A" w:rsidRDefault="0093068B"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considera que de ser ciertos lo</w:t>
      </w:r>
      <w:r w:rsidR="00125D78">
        <w:rPr>
          <w:rFonts w:ascii="Cambria" w:hAnsi="Cambria"/>
          <w:sz w:val="20"/>
          <w:szCs w:val="20"/>
          <w:lang w:val="es-ES"/>
        </w:rPr>
        <w:t xml:space="preserve"> alegado</w:t>
      </w:r>
      <w:r>
        <w:rPr>
          <w:rFonts w:ascii="Cambria" w:hAnsi="Cambria"/>
          <w:sz w:val="20"/>
          <w:szCs w:val="20"/>
          <w:lang w:val="es-ES"/>
        </w:rPr>
        <w:t xml:space="preserve"> por los peticionarios </w:t>
      </w:r>
      <w:r w:rsidR="00125D78">
        <w:rPr>
          <w:rFonts w:ascii="Cambria" w:hAnsi="Cambria"/>
          <w:sz w:val="20"/>
          <w:szCs w:val="20"/>
          <w:lang w:val="es-ES"/>
        </w:rPr>
        <w:t>respecto a que</w:t>
      </w:r>
      <w:r w:rsidR="00FD23A3">
        <w:rPr>
          <w:rFonts w:ascii="Cambria" w:hAnsi="Cambria"/>
          <w:sz w:val="20"/>
          <w:szCs w:val="20"/>
          <w:lang w:val="es-ES"/>
        </w:rPr>
        <w:t xml:space="preserve"> el 23 de abril de 2007</w:t>
      </w:r>
      <w:r w:rsidR="00125D78">
        <w:rPr>
          <w:rFonts w:ascii="Cambria" w:hAnsi="Cambria"/>
          <w:sz w:val="20"/>
          <w:szCs w:val="20"/>
          <w:lang w:val="es-ES"/>
        </w:rPr>
        <w:t xml:space="preserve"> ocurrieron atentados en su contra de los cuales el Estado tendría co</w:t>
      </w:r>
      <w:r w:rsidR="00787ED1">
        <w:rPr>
          <w:rFonts w:ascii="Cambria" w:hAnsi="Cambria"/>
          <w:sz w:val="20"/>
          <w:szCs w:val="20"/>
          <w:lang w:val="es-ES"/>
        </w:rPr>
        <w:t>nocimiento</w:t>
      </w:r>
      <w:r w:rsidR="00FD23A3">
        <w:rPr>
          <w:rFonts w:ascii="Cambria" w:hAnsi="Cambria"/>
          <w:sz w:val="20"/>
          <w:szCs w:val="20"/>
          <w:lang w:val="es-ES"/>
        </w:rPr>
        <w:t xml:space="preserve"> y </w:t>
      </w:r>
      <w:r w:rsidR="00787ED1">
        <w:rPr>
          <w:rFonts w:ascii="Cambria" w:hAnsi="Cambria"/>
          <w:sz w:val="20"/>
          <w:szCs w:val="20"/>
          <w:lang w:val="es-ES"/>
        </w:rPr>
        <w:t xml:space="preserve">no habría actuado para protegerles ni para </w:t>
      </w:r>
      <w:r w:rsidR="00FD23A3">
        <w:rPr>
          <w:rFonts w:ascii="Cambria" w:hAnsi="Cambria"/>
          <w:sz w:val="20"/>
          <w:szCs w:val="20"/>
          <w:lang w:val="es-ES"/>
        </w:rPr>
        <w:t>investigar o intentar</w:t>
      </w:r>
      <w:r w:rsidR="00125D78">
        <w:rPr>
          <w:rFonts w:ascii="Cambria" w:hAnsi="Cambria"/>
          <w:sz w:val="20"/>
          <w:szCs w:val="20"/>
          <w:lang w:val="es-ES"/>
        </w:rPr>
        <w:t xml:space="preserve"> sancionar a los responsables; a que </w:t>
      </w:r>
      <w:r w:rsidR="00787ED1">
        <w:rPr>
          <w:rFonts w:ascii="Cambria" w:hAnsi="Cambria"/>
          <w:sz w:val="20"/>
          <w:szCs w:val="20"/>
          <w:lang w:val="es-ES"/>
        </w:rPr>
        <w:t>fueron sujetos a una destitución disfrazada por parte de una autoridad que no era competente y sin seguírseles ningún tipo de proceso</w:t>
      </w:r>
      <w:r w:rsidR="0044071D">
        <w:rPr>
          <w:rFonts w:ascii="Cambria" w:hAnsi="Cambria"/>
          <w:sz w:val="20"/>
          <w:szCs w:val="20"/>
          <w:lang w:val="es-ES"/>
        </w:rPr>
        <w:t>, en contravención a su independencia judicial</w:t>
      </w:r>
      <w:r w:rsidR="00787ED1">
        <w:rPr>
          <w:rFonts w:ascii="Cambria" w:hAnsi="Cambria"/>
          <w:sz w:val="20"/>
          <w:szCs w:val="20"/>
          <w:lang w:val="es-ES"/>
        </w:rPr>
        <w:t>; y a que su acción de amparo fue atendida en segunda instancia por un tribunal que</w:t>
      </w:r>
      <w:r w:rsidR="00765CFE">
        <w:rPr>
          <w:rFonts w:ascii="Cambria" w:hAnsi="Cambria"/>
          <w:sz w:val="20"/>
          <w:szCs w:val="20"/>
          <w:lang w:val="es-ES"/>
        </w:rPr>
        <w:t xml:space="preserve"> no</w:t>
      </w:r>
      <w:r w:rsidR="00787ED1">
        <w:rPr>
          <w:rFonts w:ascii="Cambria" w:hAnsi="Cambria"/>
          <w:sz w:val="20"/>
          <w:szCs w:val="20"/>
          <w:lang w:val="es-ES"/>
        </w:rPr>
        <w:t xml:space="preserve"> cumplía con el requisito de imparcialidad</w:t>
      </w:r>
      <w:r w:rsidR="00B3148A">
        <w:rPr>
          <w:rFonts w:ascii="Cambria" w:hAnsi="Cambria"/>
          <w:sz w:val="20"/>
          <w:szCs w:val="20"/>
          <w:lang w:val="es-ES"/>
        </w:rPr>
        <w:t>;</w:t>
      </w:r>
      <w:r w:rsidR="00960849">
        <w:rPr>
          <w:rFonts w:ascii="Cambria" w:hAnsi="Cambria"/>
          <w:sz w:val="20"/>
          <w:szCs w:val="20"/>
          <w:lang w:val="es-ES"/>
        </w:rPr>
        <w:t xml:space="preserve"> esto</w:t>
      </w:r>
      <w:r w:rsidR="00B3148A">
        <w:rPr>
          <w:rFonts w:ascii="Cambria" w:hAnsi="Cambria"/>
          <w:sz w:val="20"/>
          <w:szCs w:val="20"/>
          <w:lang w:val="es-ES"/>
        </w:rPr>
        <w:t xml:space="preserve"> podría caracterizar violaciones a los artículos </w:t>
      </w:r>
      <w:r w:rsidR="00B3148A" w:rsidRPr="00EF67E9">
        <w:rPr>
          <w:rFonts w:ascii="Cambria" w:hAnsi="Cambria"/>
          <w:bCs/>
          <w:sz w:val="20"/>
          <w:szCs w:val="20"/>
          <w:lang w:val="es-PA"/>
        </w:rPr>
        <w:t>5 (integridad personal), 8 (garantías judiciales), 9 (principio de legalidad</w:t>
      </w:r>
      <w:r w:rsidR="00B3148A">
        <w:rPr>
          <w:rFonts w:ascii="Cambria" w:hAnsi="Cambria"/>
          <w:bCs/>
          <w:sz w:val="20"/>
          <w:szCs w:val="20"/>
          <w:lang w:val="es-PA"/>
        </w:rPr>
        <w:t xml:space="preserve"> y de retroactividad), 11 (honra y dignidad). 23 (derechos políticos), 25 (protección judicial) y 26 (derechos económicos, sociales y culturales) de la Convención Americana en relación con sus artículos 1.1 (obligación de respetar los derechos) y 2 (deber de adoptar disposiciones de derecho interno).</w:t>
      </w:r>
    </w:p>
    <w:p w:rsidR="00B3148A" w:rsidRPr="00024AC0" w:rsidRDefault="00B3148A" w:rsidP="00B3148A">
      <w:pPr>
        <w:pStyle w:val="ListParagraph"/>
        <w:numPr>
          <w:ilvl w:val="0"/>
          <w:numId w:val="103"/>
        </w:numPr>
        <w:jc w:val="both"/>
        <w:rPr>
          <w:b/>
          <w:sz w:val="20"/>
          <w:szCs w:val="20"/>
          <w:lang w:val="es-ES"/>
        </w:rPr>
      </w:pPr>
      <w:r w:rsidRPr="00776501">
        <w:rPr>
          <w:sz w:val="20"/>
          <w:szCs w:val="20"/>
          <w:lang w:val="es-ES_tradnl"/>
        </w:rPr>
        <w:t>En cuanto al reclamo sobre la presu</w:t>
      </w:r>
      <w:r>
        <w:rPr>
          <w:sz w:val="20"/>
          <w:szCs w:val="20"/>
          <w:lang w:val="es-ES_tradnl"/>
        </w:rPr>
        <w:t>nta violación de</w:t>
      </w:r>
      <w:r w:rsidR="00024AC0">
        <w:rPr>
          <w:sz w:val="20"/>
          <w:szCs w:val="20"/>
          <w:lang w:val="es-ES_tradnl"/>
        </w:rPr>
        <w:t>l</w:t>
      </w:r>
      <w:r w:rsidR="0044071D">
        <w:rPr>
          <w:sz w:val="20"/>
          <w:szCs w:val="20"/>
          <w:lang w:val="es-ES_tradnl"/>
        </w:rPr>
        <w:t xml:space="preserve"> artículo</w:t>
      </w:r>
      <w:r>
        <w:rPr>
          <w:sz w:val="20"/>
          <w:szCs w:val="20"/>
          <w:lang w:val="es-ES_tradnl"/>
        </w:rPr>
        <w:t xml:space="preserve"> </w:t>
      </w:r>
      <w:r w:rsidR="00024AC0">
        <w:rPr>
          <w:sz w:val="20"/>
          <w:szCs w:val="20"/>
          <w:lang w:val="es-ES_tradnl"/>
        </w:rPr>
        <w:t>24</w:t>
      </w:r>
      <w:r>
        <w:rPr>
          <w:sz w:val="20"/>
          <w:szCs w:val="20"/>
          <w:lang w:val="es-ES_tradnl"/>
        </w:rPr>
        <w:t xml:space="preserve"> (</w:t>
      </w:r>
      <w:r w:rsidR="00024AC0">
        <w:rPr>
          <w:sz w:val="20"/>
          <w:szCs w:val="20"/>
          <w:lang w:val="es-ES_tradnl"/>
        </w:rPr>
        <w:t>igualdad ante la ley</w:t>
      </w:r>
      <w:r w:rsidRPr="00776501">
        <w:rPr>
          <w:sz w:val="20"/>
          <w:szCs w:val="20"/>
          <w:lang w:val="es-ES_tradnl"/>
        </w:rPr>
        <w:t>)</w:t>
      </w:r>
      <w:r>
        <w:rPr>
          <w:sz w:val="20"/>
          <w:szCs w:val="20"/>
          <w:lang w:val="es-ES_tradnl"/>
        </w:rPr>
        <w:t xml:space="preserve"> </w:t>
      </w:r>
      <w:r w:rsidRPr="00776501">
        <w:rPr>
          <w:sz w:val="20"/>
          <w:szCs w:val="20"/>
          <w:lang w:val="es-ES_tradnl"/>
        </w:rPr>
        <w:t xml:space="preserve">de la Convención Americana; la Comisión observa que </w:t>
      </w:r>
      <w:r>
        <w:rPr>
          <w:sz w:val="20"/>
          <w:szCs w:val="20"/>
          <w:lang w:val="es-ES_tradnl"/>
        </w:rPr>
        <w:t>el peticionario</w:t>
      </w:r>
      <w:r w:rsidRPr="00776501">
        <w:rPr>
          <w:sz w:val="20"/>
          <w:szCs w:val="20"/>
          <w:lang w:val="es-ES_tradnl"/>
        </w:rPr>
        <w:t xml:space="preserve"> no han ofrecido alegatos o sustento suficiente que permita considerar </w:t>
      </w:r>
      <w:r w:rsidRPr="00776501">
        <w:rPr>
          <w:i/>
          <w:sz w:val="20"/>
          <w:szCs w:val="20"/>
          <w:lang w:val="es-ES_tradnl"/>
        </w:rPr>
        <w:t>prima facie</w:t>
      </w:r>
      <w:r w:rsidRPr="00776501">
        <w:rPr>
          <w:sz w:val="20"/>
          <w:szCs w:val="20"/>
          <w:lang w:val="es-ES_tradnl"/>
        </w:rPr>
        <w:t xml:space="preserve"> su posible violación.</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024AC0">
        <w:rPr>
          <w:rFonts w:asciiTheme="majorHAnsi" w:hAnsiTheme="majorHAnsi"/>
          <w:sz w:val="20"/>
          <w:szCs w:val="20"/>
          <w:lang w:val="es-ES"/>
        </w:rPr>
        <w:t>los artículos 5, 8, 9, 11, 23, 25 y 26 de la Convención Americana en relación con sus artículos 1.1. y 2</w:t>
      </w:r>
      <w:r w:rsidR="00A758AA">
        <w:rPr>
          <w:rFonts w:asciiTheme="majorHAnsi" w:hAnsiTheme="majorHAnsi"/>
          <w:sz w:val="20"/>
          <w:szCs w:val="20"/>
          <w:lang w:val="es-ES"/>
        </w:rPr>
        <w:t>;</w:t>
      </w:r>
    </w:p>
    <w:p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44071D">
        <w:rPr>
          <w:rFonts w:eastAsia="Arial Unicode MS" w:cs="Times New Roman"/>
          <w:color w:val="000000" w:themeColor="text1"/>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024AC0">
        <w:rPr>
          <w:rFonts w:eastAsia="Arial Unicode MS" w:cs="Times New Roman"/>
          <w:color w:val="auto"/>
          <w:sz w:val="20"/>
          <w:szCs w:val="20"/>
          <w:lang w:val="es-ES" w:eastAsia="en-US"/>
        </w:rPr>
        <w:t>el artículo 24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rsidR="000419AD" w:rsidRPr="000419AD" w:rsidRDefault="000419AD" w:rsidP="000419AD">
      <w:pPr>
        <w:pStyle w:val="ListParagraph"/>
        <w:rPr>
          <w:rFonts w:eastAsia="Arial Unicode MS" w:cs="Times New Roman"/>
          <w:color w:val="auto"/>
          <w:sz w:val="20"/>
          <w:szCs w:val="20"/>
          <w:lang w:val="es-ES" w:eastAsia="en-US"/>
        </w:rPr>
      </w:pP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4A3501" w:rsidRDefault="004A3501" w:rsidP="004A35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19</w:t>
      </w:r>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r>
        <w:rPr>
          <w:rFonts w:ascii="Cambria" w:hAnsi="Cambria"/>
          <w:sz w:val="20"/>
          <w:szCs w:val="20"/>
          <w:lang w:val="es-ES"/>
        </w:rPr>
        <w:tab/>
      </w:r>
    </w:p>
    <w:p w:rsidR="004A3501" w:rsidRDefault="004A3501" w:rsidP="004A35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8D768D" w:rsidRPr="007253B8" w:rsidRDefault="004A3501" w:rsidP="00D024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Cambria" w:hAnsi="Cambria"/>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37" w:rsidRDefault="00F84337">
      <w:r>
        <w:separator/>
      </w:r>
    </w:p>
  </w:endnote>
  <w:endnote w:type="continuationSeparator" w:id="0">
    <w:p w:rsidR="00F84337" w:rsidRDefault="00F8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E" w:rsidRDefault="007F6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3148A" w:rsidRPr="00934A2C" w:rsidRDefault="00B3148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6B1E">
          <w:rPr>
            <w:noProof/>
            <w:sz w:val="16"/>
            <w:szCs w:val="22"/>
          </w:rPr>
          <w:t>6</w:t>
        </w:r>
        <w:r w:rsidRPr="00934A2C">
          <w:rPr>
            <w:noProof/>
            <w:sz w:val="16"/>
            <w:szCs w:val="22"/>
          </w:rPr>
          <w:fldChar w:fldCharType="end"/>
        </w:r>
      </w:p>
    </w:sdtContent>
  </w:sdt>
  <w:p w:rsidR="00B3148A" w:rsidRDefault="00B31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A" w:rsidRPr="00934A2C" w:rsidRDefault="00B3148A">
    <w:pPr>
      <w:pStyle w:val="Footer"/>
      <w:jc w:val="center"/>
      <w:rPr>
        <w:sz w:val="16"/>
        <w:szCs w:val="22"/>
      </w:rPr>
    </w:pPr>
  </w:p>
  <w:p w:rsidR="00B3148A" w:rsidRDefault="00B31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37" w:rsidRPr="000F35ED" w:rsidRDefault="00F8433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84337" w:rsidRPr="000F35ED" w:rsidRDefault="00F84337" w:rsidP="000F35ED">
      <w:pPr>
        <w:rPr>
          <w:rFonts w:asciiTheme="majorHAnsi" w:hAnsiTheme="majorHAnsi"/>
          <w:sz w:val="16"/>
          <w:szCs w:val="16"/>
        </w:rPr>
      </w:pPr>
      <w:r w:rsidRPr="000F35ED">
        <w:rPr>
          <w:rFonts w:asciiTheme="majorHAnsi" w:hAnsiTheme="majorHAnsi"/>
          <w:sz w:val="16"/>
          <w:szCs w:val="16"/>
        </w:rPr>
        <w:separator/>
      </w:r>
    </w:p>
    <w:p w:rsidR="00F84337" w:rsidRPr="000F35ED" w:rsidRDefault="00F8433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84337" w:rsidRPr="000F35ED" w:rsidRDefault="00F8433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3148A" w:rsidRPr="009B380B" w:rsidRDefault="00B3148A" w:rsidP="00775F1D">
      <w:pPr>
        <w:pStyle w:val="FootnoteText"/>
        <w:ind w:firstLine="720"/>
        <w:rPr>
          <w:rFonts w:asciiTheme="majorHAnsi" w:hAnsiTheme="majorHAnsi"/>
          <w:sz w:val="16"/>
          <w:szCs w:val="16"/>
          <w:lang w:val="es-PA"/>
        </w:rPr>
      </w:pPr>
      <w:r w:rsidRPr="009B380B">
        <w:rPr>
          <w:rStyle w:val="FootnoteReference"/>
          <w:rFonts w:asciiTheme="majorHAnsi" w:hAnsiTheme="majorHAnsi"/>
          <w:sz w:val="16"/>
          <w:szCs w:val="16"/>
        </w:rPr>
        <w:footnoteRef/>
      </w:r>
      <w:r w:rsidRPr="009B380B">
        <w:rPr>
          <w:rFonts w:asciiTheme="majorHAnsi" w:hAnsiTheme="majorHAnsi"/>
          <w:sz w:val="16"/>
          <w:szCs w:val="16"/>
          <w:lang w:val="es-PA"/>
        </w:rPr>
        <w:t xml:space="preserve"> En adelante, “la Convención” o “Convención Americana”</w:t>
      </w:r>
    </w:p>
  </w:footnote>
  <w:footnote w:id="3">
    <w:p w:rsidR="00B3148A" w:rsidRPr="009B380B" w:rsidRDefault="00B3148A" w:rsidP="000337EF">
      <w:pPr>
        <w:pStyle w:val="FootnoteText"/>
        <w:spacing w:after="120"/>
        <w:ind w:firstLine="720"/>
        <w:jc w:val="both"/>
        <w:rPr>
          <w:rFonts w:asciiTheme="majorHAnsi" w:hAnsiTheme="majorHAnsi"/>
          <w:sz w:val="16"/>
          <w:szCs w:val="16"/>
          <w:lang w:val="es-ES"/>
        </w:rPr>
      </w:pPr>
      <w:r w:rsidRPr="009B380B">
        <w:rPr>
          <w:rStyle w:val="FootnoteReference"/>
          <w:rFonts w:asciiTheme="majorHAnsi" w:hAnsiTheme="majorHAnsi"/>
          <w:sz w:val="16"/>
          <w:szCs w:val="16"/>
        </w:rPr>
        <w:footnoteRef/>
      </w:r>
      <w:r w:rsidRPr="009B380B">
        <w:rPr>
          <w:rFonts w:asciiTheme="majorHAnsi" w:hAnsiTheme="majorHAnsi"/>
          <w:sz w:val="16"/>
          <w:szCs w:val="16"/>
          <w:lang w:val="es-ES"/>
        </w:rPr>
        <w:t xml:space="preserve"> Las observaciones de cada parte fueron debidamente trasladadas a la parte contraria.</w:t>
      </w:r>
    </w:p>
  </w:footnote>
  <w:footnote w:id="4">
    <w:p w:rsidR="00AC3AB6" w:rsidRPr="009B380B" w:rsidRDefault="00AC3AB6" w:rsidP="00765C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16"/>
          <w:szCs w:val="16"/>
          <w:lang w:val="es-UY"/>
        </w:rPr>
      </w:pPr>
      <w:r w:rsidRPr="009B380B">
        <w:rPr>
          <w:rStyle w:val="FootnoteReference"/>
          <w:rFonts w:asciiTheme="majorHAnsi" w:hAnsiTheme="majorHAnsi"/>
          <w:sz w:val="16"/>
          <w:szCs w:val="16"/>
        </w:rPr>
        <w:footnoteRef/>
      </w:r>
      <w:r w:rsidRPr="009B380B">
        <w:rPr>
          <w:rFonts w:asciiTheme="majorHAnsi" w:hAnsiTheme="majorHAnsi"/>
          <w:sz w:val="16"/>
          <w:szCs w:val="16"/>
          <w:lang w:val="es-CR"/>
        </w:rPr>
        <w:t xml:space="preserve"> E</w:t>
      </w:r>
      <w:r w:rsidRPr="009B380B">
        <w:rPr>
          <w:rFonts w:asciiTheme="majorHAnsi" w:hAnsiTheme="majorHAnsi"/>
          <w:sz w:val="16"/>
          <w:szCs w:val="16"/>
          <w:lang w:val="es-PA"/>
        </w:rPr>
        <w:t xml:space="preserve">ntre otras razones, porque: (1) El Congreso Nacional sólo era competente de acuerdo al artículo 130 numeral 11 de la Constitución para “nombrar a los vocales del Tribunal Constitucional, conocer sus excusas o renuncias y designar sus reemplazos” no para “declarar concluidos” sus periodos, figura que no estaba contemplada en el ordenamiento jurídico; (2) la norma constitucional que establecía que su periodo era de 4 años era clara y no requería interpretación y, aunque se hubiera requerido, no se siguió el proceso establecido por la propia constitución para la interpretación; (3) la resolución no cumplió con el requisito de motivación pues aunque se citó algunas normas jurídicas estas eran inaplicables y no se explicó en la resolución cuál era su pertinencia, lo que era requerido por la norma constitucional; (4) al adoptar la resolución el Congreso Nacional estaba indebidamente integrado pues no participaron los diputados destituidos pese que a estaba vigente la decisión que concedía amparo a su favor, no siendo sino hasta el 24 de julio de 2007 que los nuevos integrantes del Tribunal Constitucional dejaron sin efecto esa decisión; (5) la resolución representó una sanción de destitución aplicada sin seguir el debido proceso requerido por la Constitución, desconociendo su derecho a la defensa y vulnerándoseles su derecho a la igualdad en comparación con otros funcionarios de alto rango a los que en el pasado si se les aplicó el procedimiento de “juicio político” previsto en la Constitución; (6) si se aceptase que los vocales del Tribunal Constitucional podían ser cesados por una simple resolución del Congreso eso vulneraría su derecho a la igualdad con respecto al resto de los operadores de justicia los que no podían ser destituidos sin seguírseles primero un proceso administrativo; y (7) la decisión generó injustificadamente un vacío en la justicia constitucional del país pues, aun en el caso de que verdaderamente hubiesen vencidos sus periodos, los procedente era que permanecieran en funciones hasta que se designaran sus reemplazos. </w:t>
      </w:r>
    </w:p>
  </w:footnote>
  <w:footnote w:id="5">
    <w:p w:rsidR="009B380B" w:rsidRPr="009B380B" w:rsidRDefault="009B380B" w:rsidP="00765CF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UY"/>
        </w:rPr>
      </w:pPr>
      <w:r w:rsidRPr="009B380B">
        <w:rPr>
          <w:rStyle w:val="FootnoteReference"/>
          <w:rFonts w:asciiTheme="majorHAnsi" w:hAnsiTheme="majorHAnsi"/>
          <w:sz w:val="16"/>
          <w:szCs w:val="16"/>
        </w:rPr>
        <w:footnoteRef/>
      </w:r>
      <w:r w:rsidRPr="009B380B">
        <w:rPr>
          <w:rFonts w:asciiTheme="majorHAnsi" w:hAnsiTheme="majorHAnsi"/>
          <w:sz w:val="16"/>
          <w:szCs w:val="16"/>
          <w:lang w:val="es-CR"/>
        </w:rPr>
        <w:t xml:space="preserve"> </w:t>
      </w:r>
      <w:r w:rsidRPr="009B380B">
        <w:rPr>
          <w:rFonts w:asciiTheme="majorHAnsi" w:hAnsiTheme="majorHAnsi"/>
          <w:sz w:val="16"/>
          <w:szCs w:val="16"/>
          <w:lang w:val="es-UY"/>
        </w:rPr>
        <w:t xml:space="preserve">Los peticionarios alegan que, contrario a lo aducido por el Estado, su acción de amparo no fue presentada extemporáneamente, entre otras razones porque (1) no fueron notificados de la resolución impugnada sino hasta que ésta fue publicada en el </w:t>
      </w:r>
      <w:r w:rsidRPr="009B380B">
        <w:rPr>
          <w:rFonts w:asciiTheme="majorHAnsi" w:hAnsiTheme="majorHAnsi"/>
          <w:sz w:val="16"/>
          <w:szCs w:val="16"/>
          <w:lang w:val="es-PA"/>
        </w:rPr>
        <w:t>Registro Oficial el 14 de agosto de 2007, tres meses (y no siete) antes de la interposición de su acción de amparo, no pudieron interponer le acción antes de este momento pues la ley les requería proveer copia de la resolución impugnada</w:t>
      </w:r>
      <w:r w:rsidRPr="009B380B">
        <w:rPr>
          <w:rFonts w:asciiTheme="majorHAnsi" w:hAnsiTheme="majorHAnsi"/>
          <w:sz w:val="16"/>
          <w:szCs w:val="16"/>
          <w:lang w:val="es-UY"/>
        </w:rPr>
        <w:t xml:space="preserve">; (2) ni la Constitución Política ni la ley vigente en la época restringían la acción de amparo a un tiempo determinado, siendo la acción imprescriptible y requiriéndose examinar cada caso conforme a las reglas de la sana crítica conforme a sus circunstancias y entorno, cosa que los tribunales domésticos no hicieron; (3) los daños causados por la resolución impugnada se seguían produciendo al momento de decidir el juez de primera instancia; (4) “cuando el texto constitucional se refería al daño inminente no lo hacía en consideración de la temporalidad del daño sino a los efectos del acto”; (5) si bien existían múltiples antecedentes respecto a acciones de amparo que habían sido desestimadas por falta de inminencia del daño, incluidas decisiones en las que ellos participaron, los casos eran de naturaleza distinta y en todo caso no constituían precedentes de obligatorio cumplimiento; (6) al momento de los hechos se vivía en Ecuador una situación anormal de inseguridad e inestabilidad, ampliamente documentada en reportajes periodísticos, la que debió ser valorada por los tribunales domésticos y la que distinguía su caso de las decisiones emitidas por la justicia constitucional en contexto de normalidad; (7) fueron disuadidos de interponer la acción de manera más temprana por la denuncia penal interpuesta en su contra y las amenazas provenientes de las declaraciones del Tribunal Supremo Electoral y el presidente Correa, en un contexto en el que circulaban persistentes rumores respecto a que en cualquier momento se ordenaría su detención. </w:t>
      </w:r>
    </w:p>
  </w:footnote>
  <w:footnote w:id="6">
    <w:p w:rsidR="00B3148A" w:rsidRPr="009B380B" w:rsidRDefault="00B3148A" w:rsidP="00765CFE">
      <w:pPr>
        <w:pStyle w:val="FootnoteText"/>
        <w:ind w:firstLine="720"/>
        <w:jc w:val="both"/>
        <w:rPr>
          <w:rFonts w:asciiTheme="majorHAnsi" w:hAnsiTheme="majorHAnsi"/>
          <w:sz w:val="16"/>
          <w:szCs w:val="16"/>
          <w:lang w:val="es-PA"/>
        </w:rPr>
      </w:pPr>
      <w:r w:rsidRPr="009B380B">
        <w:rPr>
          <w:rStyle w:val="FootnoteReference"/>
          <w:rFonts w:asciiTheme="majorHAnsi" w:hAnsiTheme="majorHAnsi"/>
          <w:sz w:val="16"/>
          <w:szCs w:val="16"/>
        </w:rPr>
        <w:footnoteRef/>
      </w:r>
      <w:r w:rsidRPr="009B380B">
        <w:rPr>
          <w:rFonts w:asciiTheme="majorHAnsi" w:hAnsiTheme="majorHAnsi"/>
          <w:sz w:val="16"/>
          <w:szCs w:val="16"/>
          <w:lang w:val="es-PA"/>
        </w:rPr>
        <w:t xml:space="preserve"> Los casos signados No. 0559-2005-RA y 0617-2005-RA</w:t>
      </w:r>
    </w:p>
  </w:footnote>
  <w:footnote w:id="7">
    <w:p w:rsidR="008022A4" w:rsidRPr="009B380B" w:rsidRDefault="008022A4" w:rsidP="00765CF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
        </w:rPr>
      </w:pPr>
      <w:r w:rsidRPr="009B380B">
        <w:rPr>
          <w:rStyle w:val="FootnoteReference"/>
          <w:rFonts w:asciiTheme="majorHAnsi" w:hAnsiTheme="majorHAnsi"/>
          <w:sz w:val="16"/>
          <w:szCs w:val="16"/>
        </w:rPr>
        <w:footnoteRef/>
      </w:r>
      <w:r w:rsidRPr="009B380B">
        <w:rPr>
          <w:rFonts w:asciiTheme="majorHAnsi" w:hAnsiTheme="majorHAnsi"/>
          <w:sz w:val="16"/>
          <w:szCs w:val="16"/>
          <w:lang w:val="es-PA"/>
        </w:rPr>
        <w:t xml:space="preserve"> </w:t>
      </w:r>
      <w:r w:rsidRPr="009B380B">
        <w:rPr>
          <w:rFonts w:asciiTheme="majorHAnsi" w:hAnsiTheme="majorHAnsi"/>
          <w:sz w:val="16"/>
          <w:szCs w:val="16"/>
          <w:lang w:val="es-ES"/>
        </w:rPr>
        <w:t>Luego de examinar lo argumentado por el Estado, la Comisión considera que del escrito presentado por los peticionarios el 13 de noviembre de 2016 no se desprende en ninguna forma la aceptación por parte de estos de los hechos ni los alegatos presentados por el Estado.</w:t>
      </w:r>
    </w:p>
  </w:footnote>
  <w:footnote w:id="8">
    <w:p w:rsidR="00B3148A" w:rsidRPr="009B380B" w:rsidRDefault="00B3148A" w:rsidP="00C34767">
      <w:pPr>
        <w:pStyle w:val="FootnoteText"/>
        <w:ind w:firstLine="720"/>
        <w:jc w:val="both"/>
        <w:rPr>
          <w:rFonts w:asciiTheme="majorHAnsi" w:hAnsiTheme="majorHAnsi"/>
          <w:sz w:val="16"/>
          <w:szCs w:val="16"/>
          <w:lang w:val="es-PA"/>
        </w:rPr>
      </w:pPr>
      <w:r w:rsidRPr="009B380B">
        <w:rPr>
          <w:rStyle w:val="FootnoteReference"/>
          <w:rFonts w:asciiTheme="majorHAnsi" w:hAnsiTheme="majorHAnsi"/>
          <w:sz w:val="16"/>
          <w:szCs w:val="16"/>
        </w:rPr>
        <w:footnoteRef/>
      </w:r>
      <w:r w:rsidRPr="009B380B">
        <w:rPr>
          <w:rFonts w:asciiTheme="majorHAnsi" w:hAnsiTheme="majorHAnsi"/>
          <w:sz w:val="16"/>
          <w:szCs w:val="16"/>
          <w:lang w:val="es-PA"/>
        </w:rPr>
        <w:t xml:space="preserve"> </w:t>
      </w:r>
      <w:r w:rsidRPr="009B380B">
        <w:rPr>
          <w:rFonts w:asciiTheme="majorHAnsi" w:hAnsiTheme="majorHAnsi"/>
          <w:sz w:val="16"/>
          <w:szCs w:val="16"/>
          <w:lang w:val="es-ES"/>
        </w:rPr>
        <w:t>CIDH, Informe No. 144/17. Petición 49-12. Ernestina Ascencio Rosario y otras. Méxic</w:t>
      </w:r>
      <w:r w:rsidR="00C34767" w:rsidRPr="009B380B">
        <w:rPr>
          <w:rFonts w:asciiTheme="majorHAnsi" w:hAnsiTheme="majorHAnsi"/>
          <w:sz w:val="16"/>
          <w:szCs w:val="16"/>
          <w:lang w:val="es-ES"/>
        </w:rPr>
        <w:t xml:space="preserve">o. 26 de octubre de 2017, párr. </w:t>
      </w:r>
      <w:r w:rsidRPr="009B380B">
        <w:rPr>
          <w:rFonts w:asciiTheme="majorHAnsi" w:hAnsiTheme="majorHAnsi"/>
          <w:sz w:val="16"/>
          <w:szCs w:val="16"/>
          <w:lang w:val="es-ES"/>
        </w:rPr>
        <w:t>6.</w:t>
      </w:r>
    </w:p>
  </w:footnote>
  <w:footnote w:id="9">
    <w:p w:rsidR="00B3148A" w:rsidRPr="009B380B" w:rsidRDefault="00B3148A" w:rsidP="00941E77">
      <w:pPr>
        <w:pStyle w:val="FootnoteText"/>
        <w:ind w:firstLine="720"/>
        <w:rPr>
          <w:rFonts w:asciiTheme="majorHAnsi" w:hAnsiTheme="majorHAnsi"/>
          <w:color w:val="000000" w:themeColor="text1"/>
          <w:sz w:val="16"/>
          <w:szCs w:val="16"/>
          <w:lang w:val="es-PA"/>
        </w:rPr>
      </w:pPr>
      <w:r w:rsidRPr="009B380B">
        <w:rPr>
          <w:rStyle w:val="FootnoteReference"/>
          <w:rFonts w:asciiTheme="majorHAnsi" w:hAnsiTheme="majorHAnsi"/>
          <w:color w:val="000000" w:themeColor="text1"/>
          <w:sz w:val="16"/>
          <w:szCs w:val="16"/>
        </w:rPr>
        <w:footnoteRef/>
      </w:r>
      <w:r w:rsidRPr="009B380B">
        <w:rPr>
          <w:rFonts w:asciiTheme="majorHAnsi" w:hAnsiTheme="majorHAnsi"/>
          <w:color w:val="000000" w:themeColor="text1"/>
          <w:sz w:val="16"/>
          <w:szCs w:val="16"/>
          <w:lang w:val="es-PA"/>
        </w:rPr>
        <w:t xml:space="preserve"> </w:t>
      </w:r>
      <w:r w:rsidRPr="009B380B">
        <w:rPr>
          <w:rFonts w:asciiTheme="majorHAnsi" w:hAnsiTheme="majorHAnsi"/>
          <w:color w:val="000000" w:themeColor="text1"/>
          <w:sz w:val="16"/>
          <w:szCs w:val="16"/>
          <w:lang w:val="es-ES"/>
        </w:rPr>
        <w:t>CIDH, Informe No. 16/18. Admisibilidad. Victoria Piedad Palacios Tejada de Saavedra. Perú. 24 de febrero de 2018, párr. 12.</w:t>
      </w:r>
    </w:p>
  </w:footnote>
  <w:footnote w:id="10">
    <w:p w:rsidR="00B3148A" w:rsidRPr="009B380B" w:rsidRDefault="00B3148A" w:rsidP="00941E77">
      <w:pPr>
        <w:pStyle w:val="FootnoteText"/>
        <w:ind w:firstLine="720"/>
        <w:rPr>
          <w:rFonts w:asciiTheme="majorHAnsi" w:hAnsiTheme="majorHAnsi"/>
          <w:sz w:val="16"/>
          <w:szCs w:val="16"/>
          <w:lang w:val="es-PA"/>
        </w:rPr>
      </w:pPr>
      <w:r w:rsidRPr="009B380B">
        <w:rPr>
          <w:rStyle w:val="FootnoteReference"/>
          <w:rFonts w:asciiTheme="majorHAnsi" w:hAnsiTheme="majorHAnsi"/>
          <w:color w:val="000000" w:themeColor="text1"/>
          <w:sz w:val="16"/>
          <w:szCs w:val="16"/>
        </w:rPr>
        <w:footnoteRef/>
      </w:r>
      <w:r w:rsidRPr="009B380B">
        <w:rPr>
          <w:rFonts w:asciiTheme="majorHAnsi" w:hAnsiTheme="majorHAnsi"/>
          <w:color w:val="000000" w:themeColor="text1"/>
          <w:sz w:val="16"/>
          <w:szCs w:val="16"/>
          <w:lang w:val="es-PA"/>
        </w:rPr>
        <w:t xml:space="preserve"> Ver, CIDH, </w:t>
      </w:r>
      <w:r w:rsidRPr="009B380B">
        <w:rPr>
          <w:rFonts w:asciiTheme="majorHAnsi" w:hAnsiTheme="majorHAnsi"/>
          <w:color w:val="000000" w:themeColor="text1"/>
          <w:sz w:val="16"/>
          <w:szCs w:val="16"/>
          <w:lang w:val="es-ES"/>
        </w:rPr>
        <w:t>Informe Nº 18/12 (Admisibilidad), Petición 161-06, Adolescentes condenados a cadena perpetua sin libertad condicional, Estado Unidos, 20 de marzo de 2012,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A" w:rsidRDefault="00B3148A" w:rsidP="00B3148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3148A" w:rsidRDefault="00B31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8A" w:rsidRDefault="00B3148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3148A" w:rsidRPr="00EC7D62" w:rsidRDefault="00F8433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E" w:rsidRDefault="007F6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4BA9"/>
    <w:rsid w:val="00015461"/>
    <w:rsid w:val="0001788C"/>
    <w:rsid w:val="00024AC0"/>
    <w:rsid w:val="00026E5D"/>
    <w:rsid w:val="000337EF"/>
    <w:rsid w:val="00040C3A"/>
    <w:rsid w:val="000419AD"/>
    <w:rsid w:val="00050DA3"/>
    <w:rsid w:val="000716C5"/>
    <w:rsid w:val="00073462"/>
    <w:rsid w:val="000747CA"/>
    <w:rsid w:val="00075E23"/>
    <w:rsid w:val="00082751"/>
    <w:rsid w:val="0009344A"/>
    <w:rsid w:val="000A392E"/>
    <w:rsid w:val="000A575F"/>
    <w:rsid w:val="000A7D01"/>
    <w:rsid w:val="000C4E60"/>
    <w:rsid w:val="000D10DB"/>
    <w:rsid w:val="000E34A9"/>
    <w:rsid w:val="000E5EB5"/>
    <w:rsid w:val="000F35ED"/>
    <w:rsid w:val="00107131"/>
    <w:rsid w:val="0010736F"/>
    <w:rsid w:val="00107DF9"/>
    <w:rsid w:val="001138C3"/>
    <w:rsid w:val="00113F73"/>
    <w:rsid w:val="001170E0"/>
    <w:rsid w:val="00121CC2"/>
    <w:rsid w:val="00123470"/>
    <w:rsid w:val="00125D78"/>
    <w:rsid w:val="00127D7E"/>
    <w:rsid w:val="00133EE5"/>
    <w:rsid w:val="00141C6C"/>
    <w:rsid w:val="0014692F"/>
    <w:rsid w:val="00152D0D"/>
    <w:rsid w:val="00156285"/>
    <w:rsid w:val="00160F37"/>
    <w:rsid w:val="00167A34"/>
    <w:rsid w:val="0017121C"/>
    <w:rsid w:val="001749B3"/>
    <w:rsid w:val="001801A8"/>
    <w:rsid w:val="001931EF"/>
    <w:rsid w:val="001A3BBB"/>
    <w:rsid w:val="001A7870"/>
    <w:rsid w:val="001B3A00"/>
    <w:rsid w:val="001B3A79"/>
    <w:rsid w:val="001B5426"/>
    <w:rsid w:val="001C1B41"/>
    <w:rsid w:val="001C48A1"/>
    <w:rsid w:val="001D010C"/>
    <w:rsid w:val="001D65EF"/>
    <w:rsid w:val="001E49E7"/>
    <w:rsid w:val="001E6C72"/>
    <w:rsid w:val="001F58DE"/>
    <w:rsid w:val="001F7201"/>
    <w:rsid w:val="001F76DC"/>
    <w:rsid w:val="00201582"/>
    <w:rsid w:val="00223A29"/>
    <w:rsid w:val="002250A3"/>
    <w:rsid w:val="00235217"/>
    <w:rsid w:val="00246D1F"/>
    <w:rsid w:val="00247403"/>
    <w:rsid w:val="00247542"/>
    <w:rsid w:val="00250D91"/>
    <w:rsid w:val="002561A7"/>
    <w:rsid w:val="00265580"/>
    <w:rsid w:val="00266B61"/>
    <w:rsid w:val="0026712A"/>
    <w:rsid w:val="002704DB"/>
    <w:rsid w:val="002A0AAE"/>
    <w:rsid w:val="002A2314"/>
    <w:rsid w:val="002A5820"/>
    <w:rsid w:val="002D2B26"/>
    <w:rsid w:val="002D54FE"/>
    <w:rsid w:val="002D7EA2"/>
    <w:rsid w:val="002E187C"/>
    <w:rsid w:val="002E1B6A"/>
    <w:rsid w:val="002E4349"/>
    <w:rsid w:val="002E5BFA"/>
    <w:rsid w:val="002F6176"/>
    <w:rsid w:val="002F6F92"/>
    <w:rsid w:val="00302733"/>
    <w:rsid w:val="0030342B"/>
    <w:rsid w:val="003037A4"/>
    <w:rsid w:val="00306CB0"/>
    <w:rsid w:val="0030785A"/>
    <w:rsid w:val="00313DD8"/>
    <w:rsid w:val="00314078"/>
    <w:rsid w:val="0031535D"/>
    <w:rsid w:val="003239B8"/>
    <w:rsid w:val="003306A1"/>
    <w:rsid w:val="0033169F"/>
    <w:rsid w:val="00344977"/>
    <w:rsid w:val="00346C95"/>
    <w:rsid w:val="003507D5"/>
    <w:rsid w:val="00356185"/>
    <w:rsid w:val="00360380"/>
    <w:rsid w:val="00363D8B"/>
    <w:rsid w:val="0037519E"/>
    <w:rsid w:val="00386CF0"/>
    <w:rsid w:val="0039119B"/>
    <w:rsid w:val="00397E6E"/>
    <w:rsid w:val="003A17D7"/>
    <w:rsid w:val="003B5B65"/>
    <w:rsid w:val="003B70FB"/>
    <w:rsid w:val="003C676B"/>
    <w:rsid w:val="003D3BC2"/>
    <w:rsid w:val="003E6CA1"/>
    <w:rsid w:val="004065A8"/>
    <w:rsid w:val="004165C2"/>
    <w:rsid w:val="0044071D"/>
    <w:rsid w:val="00441ECB"/>
    <w:rsid w:val="00445193"/>
    <w:rsid w:val="0044751D"/>
    <w:rsid w:val="00462C1B"/>
    <w:rsid w:val="00463DD0"/>
    <w:rsid w:val="004652CA"/>
    <w:rsid w:val="00467B7E"/>
    <w:rsid w:val="00473BB4"/>
    <w:rsid w:val="00477592"/>
    <w:rsid w:val="00486F1C"/>
    <w:rsid w:val="0049419D"/>
    <w:rsid w:val="004A0150"/>
    <w:rsid w:val="004A2565"/>
    <w:rsid w:val="004A2EBF"/>
    <w:rsid w:val="004A3501"/>
    <w:rsid w:val="004A6A54"/>
    <w:rsid w:val="004C20D2"/>
    <w:rsid w:val="004C2312"/>
    <w:rsid w:val="004C27AF"/>
    <w:rsid w:val="004C4B62"/>
    <w:rsid w:val="004C54C9"/>
    <w:rsid w:val="004D4ABA"/>
    <w:rsid w:val="004D6025"/>
    <w:rsid w:val="004E244A"/>
    <w:rsid w:val="004E2649"/>
    <w:rsid w:val="00501399"/>
    <w:rsid w:val="0050633D"/>
    <w:rsid w:val="00507BC4"/>
    <w:rsid w:val="0051101B"/>
    <w:rsid w:val="00511061"/>
    <w:rsid w:val="005128E4"/>
    <w:rsid w:val="005133DB"/>
    <w:rsid w:val="00516D39"/>
    <w:rsid w:val="00525560"/>
    <w:rsid w:val="00526708"/>
    <w:rsid w:val="00544C49"/>
    <w:rsid w:val="005516A1"/>
    <w:rsid w:val="00563557"/>
    <w:rsid w:val="0056660D"/>
    <w:rsid w:val="00566CA5"/>
    <w:rsid w:val="00570289"/>
    <w:rsid w:val="005709E3"/>
    <w:rsid w:val="0057402A"/>
    <w:rsid w:val="00574D71"/>
    <w:rsid w:val="005771D0"/>
    <w:rsid w:val="00580A5D"/>
    <w:rsid w:val="0059191A"/>
    <w:rsid w:val="005921FF"/>
    <w:rsid w:val="0059518F"/>
    <w:rsid w:val="005A24ED"/>
    <w:rsid w:val="005A37D2"/>
    <w:rsid w:val="005A6D0E"/>
    <w:rsid w:val="005A7476"/>
    <w:rsid w:val="005B3598"/>
    <w:rsid w:val="005B52B0"/>
    <w:rsid w:val="005B6806"/>
    <w:rsid w:val="005C4225"/>
    <w:rsid w:val="005D10BF"/>
    <w:rsid w:val="005F0CBE"/>
    <w:rsid w:val="005F0DAD"/>
    <w:rsid w:val="005F0E01"/>
    <w:rsid w:val="005F0F33"/>
    <w:rsid w:val="00600DEB"/>
    <w:rsid w:val="00605C8D"/>
    <w:rsid w:val="006218E4"/>
    <w:rsid w:val="00623CE6"/>
    <w:rsid w:val="0062762F"/>
    <w:rsid w:val="00627C9F"/>
    <w:rsid w:val="006311E9"/>
    <w:rsid w:val="00631515"/>
    <w:rsid w:val="00632354"/>
    <w:rsid w:val="00634D45"/>
    <w:rsid w:val="00640364"/>
    <w:rsid w:val="0064240D"/>
    <w:rsid w:val="00642810"/>
    <w:rsid w:val="00652333"/>
    <w:rsid w:val="00657A0B"/>
    <w:rsid w:val="0066187B"/>
    <w:rsid w:val="00663E1A"/>
    <w:rsid w:val="00665A28"/>
    <w:rsid w:val="0068009E"/>
    <w:rsid w:val="00692219"/>
    <w:rsid w:val="00695005"/>
    <w:rsid w:val="006A17D2"/>
    <w:rsid w:val="006A23EB"/>
    <w:rsid w:val="006A3324"/>
    <w:rsid w:val="006A73E6"/>
    <w:rsid w:val="006B2D5C"/>
    <w:rsid w:val="006C4EB1"/>
    <w:rsid w:val="006C52D1"/>
    <w:rsid w:val="006D42D6"/>
    <w:rsid w:val="006D607A"/>
    <w:rsid w:val="006E0166"/>
    <w:rsid w:val="006E1873"/>
    <w:rsid w:val="006E7B34"/>
    <w:rsid w:val="006F228E"/>
    <w:rsid w:val="006F5AEE"/>
    <w:rsid w:val="0070697F"/>
    <w:rsid w:val="0070747C"/>
    <w:rsid w:val="0071140F"/>
    <w:rsid w:val="00713EAE"/>
    <w:rsid w:val="00715C49"/>
    <w:rsid w:val="0072199C"/>
    <w:rsid w:val="00722C9F"/>
    <w:rsid w:val="007253B8"/>
    <w:rsid w:val="007356AF"/>
    <w:rsid w:val="00735792"/>
    <w:rsid w:val="0073741F"/>
    <w:rsid w:val="00765CFE"/>
    <w:rsid w:val="0076643F"/>
    <w:rsid w:val="00773272"/>
    <w:rsid w:val="00775050"/>
    <w:rsid w:val="00775F1D"/>
    <w:rsid w:val="00777F63"/>
    <w:rsid w:val="00785237"/>
    <w:rsid w:val="00787ED1"/>
    <w:rsid w:val="007A0A92"/>
    <w:rsid w:val="007A5817"/>
    <w:rsid w:val="007B05C4"/>
    <w:rsid w:val="007B60E9"/>
    <w:rsid w:val="007B6CC3"/>
    <w:rsid w:val="007C3334"/>
    <w:rsid w:val="007D2B98"/>
    <w:rsid w:val="007D4810"/>
    <w:rsid w:val="007E21BC"/>
    <w:rsid w:val="007E7C82"/>
    <w:rsid w:val="007F588D"/>
    <w:rsid w:val="007F6B1E"/>
    <w:rsid w:val="008022A4"/>
    <w:rsid w:val="00803F1C"/>
    <w:rsid w:val="0080600E"/>
    <w:rsid w:val="008070CD"/>
    <w:rsid w:val="0081748D"/>
    <w:rsid w:val="00817612"/>
    <w:rsid w:val="008179CE"/>
    <w:rsid w:val="00824C9B"/>
    <w:rsid w:val="00827DE5"/>
    <w:rsid w:val="008338A4"/>
    <w:rsid w:val="00834D49"/>
    <w:rsid w:val="00837723"/>
    <w:rsid w:val="00837C45"/>
    <w:rsid w:val="00844730"/>
    <w:rsid w:val="008457C2"/>
    <w:rsid w:val="0085146C"/>
    <w:rsid w:val="00857A82"/>
    <w:rsid w:val="00871C3B"/>
    <w:rsid w:val="00873836"/>
    <w:rsid w:val="00873B7F"/>
    <w:rsid w:val="00874EF9"/>
    <w:rsid w:val="00881E8E"/>
    <w:rsid w:val="00885737"/>
    <w:rsid w:val="0088585B"/>
    <w:rsid w:val="00890650"/>
    <w:rsid w:val="008978B9"/>
    <w:rsid w:val="00897E12"/>
    <w:rsid w:val="008A7E0F"/>
    <w:rsid w:val="008B12B7"/>
    <w:rsid w:val="008B12F5"/>
    <w:rsid w:val="008B1E14"/>
    <w:rsid w:val="008B63ED"/>
    <w:rsid w:val="008C38CB"/>
    <w:rsid w:val="008D768D"/>
    <w:rsid w:val="008E3759"/>
    <w:rsid w:val="008E37E7"/>
    <w:rsid w:val="008E3BFE"/>
    <w:rsid w:val="008F1912"/>
    <w:rsid w:val="008F69CF"/>
    <w:rsid w:val="0090270B"/>
    <w:rsid w:val="009041DC"/>
    <w:rsid w:val="00917B5A"/>
    <w:rsid w:val="00920A58"/>
    <w:rsid w:val="00920A8C"/>
    <w:rsid w:val="009217D7"/>
    <w:rsid w:val="0093068B"/>
    <w:rsid w:val="00930B4F"/>
    <w:rsid w:val="00934A2C"/>
    <w:rsid w:val="00941E77"/>
    <w:rsid w:val="00960849"/>
    <w:rsid w:val="0096706E"/>
    <w:rsid w:val="00972EF3"/>
    <w:rsid w:val="00974491"/>
    <w:rsid w:val="00975C4E"/>
    <w:rsid w:val="009765E5"/>
    <w:rsid w:val="0098063F"/>
    <w:rsid w:val="00981FBA"/>
    <w:rsid w:val="00984A8E"/>
    <w:rsid w:val="009907B9"/>
    <w:rsid w:val="00997BC5"/>
    <w:rsid w:val="009A4F41"/>
    <w:rsid w:val="009B380B"/>
    <w:rsid w:val="009B381B"/>
    <w:rsid w:val="009B7581"/>
    <w:rsid w:val="009B7F47"/>
    <w:rsid w:val="009C132E"/>
    <w:rsid w:val="009D1753"/>
    <w:rsid w:val="009D2A59"/>
    <w:rsid w:val="009D7611"/>
    <w:rsid w:val="009E0B61"/>
    <w:rsid w:val="009E53DE"/>
    <w:rsid w:val="009F18DA"/>
    <w:rsid w:val="00A11E44"/>
    <w:rsid w:val="00A318D9"/>
    <w:rsid w:val="00A328B3"/>
    <w:rsid w:val="00A41922"/>
    <w:rsid w:val="00A50FCF"/>
    <w:rsid w:val="00A528D1"/>
    <w:rsid w:val="00A57506"/>
    <w:rsid w:val="00A610CD"/>
    <w:rsid w:val="00A67452"/>
    <w:rsid w:val="00A758AA"/>
    <w:rsid w:val="00A77DEA"/>
    <w:rsid w:val="00AA09A2"/>
    <w:rsid w:val="00AA7996"/>
    <w:rsid w:val="00AA7FC5"/>
    <w:rsid w:val="00AB0850"/>
    <w:rsid w:val="00AB4AC9"/>
    <w:rsid w:val="00AC19CB"/>
    <w:rsid w:val="00AC3AB6"/>
    <w:rsid w:val="00AC4383"/>
    <w:rsid w:val="00AE5488"/>
    <w:rsid w:val="00AE6F91"/>
    <w:rsid w:val="00AF2CAD"/>
    <w:rsid w:val="00AF5571"/>
    <w:rsid w:val="00AF7CB6"/>
    <w:rsid w:val="00B07341"/>
    <w:rsid w:val="00B2519D"/>
    <w:rsid w:val="00B30539"/>
    <w:rsid w:val="00B3148A"/>
    <w:rsid w:val="00B314DB"/>
    <w:rsid w:val="00B361F2"/>
    <w:rsid w:val="00B3718B"/>
    <w:rsid w:val="00B43735"/>
    <w:rsid w:val="00B4632A"/>
    <w:rsid w:val="00B530F1"/>
    <w:rsid w:val="00B60DF7"/>
    <w:rsid w:val="00B713FC"/>
    <w:rsid w:val="00B73F4D"/>
    <w:rsid w:val="00B75508"/>
    <w:rsid w:val="00B7629F"/>
    <w:rsid w:val="00B8395F"/>
    <w:rsid w:val="00B90D03"/>
    <w:rsid w:val="00BA276C"/>
    <w:rsid w:val="00BA410F"/>
    <w:rsid w:val="00BA4E58"/>
    <w:rsid w:val="00BB306F"/>
    <w:rsid w:val="00BC1EE3"/>
    <w:rsid w:val="00BD1C0A"/>
    <w:rsid w:val="00BD3707"/>
    <w:rsid w:val="00BD4B89"/>
    <w:rsid w:val="00BD51E3"/>
    <w:rsid w:val="00BD5922"/>
    <w:rsid w:val="00BF02CB"/>
    <w:rsid w:val="00BF0C2D"/>
    <w:rsid w:val="00BF17E0"/>
    <w:rsid w:val="00BF6FD8"/>
    <w:rsid w:val="00C03680"/>
    <w:rsid w:val="00C054DF"/>
    <w:rsid w:val="00C117EC"/>
    <w:rsid w:val="00C21762"/>
    <w:rsid w:val="00C21FEF"/>
    <w:rsid w:val="00C24543"/>
    <w:rsid w:val="00C256A2"/>
    <w:rsid w:val="00C34767"/>
    <w:rsid w:val="00C415F8"/>
    <w:rsid w:val="00C46A94"/>
    <w:rsid w:val="00C50B51"/>
    <w:rsid w:val="00C51515"/>
    <w:rsid w:val="00C51ADA"/>
    <w:rsid w:val="00C5660B"/>
    <w:rsid w:val="00C60002"/>
    <w:rsid w:val="00C66B72"/>
    <w:rsid w:val="00C76ABC"/>
    <w:rsid w:val="00C87AC4"/>
    <w:rsid w:val="00C9567A"/>
    <w:rsid w:val="00CA3B03"/>
    <w:rsid w:val="00CB212D"/>
    <w:rsid w:val="00CB2660"/>
    <w:rsid w:val="00CC1365"/>
    <w:rsid w:val="00CC5E90"/>
    <w:rsid w:val="00CD046C"/>
    <w:rsid w:val="00CD1818"/>
    <w:rsid w:val="00CD2FF4"/>
    <w:rsid w:val="00CE076C"/>
    <w:rsid w:val="00CE5199"/>
    <w:rsid w:val="00CE66D5"/>
    <w:rsid w:val="00CF637A"/>
    <w:rsid w:val="00D02417"/>
    <w:rsid w:val="00D059DE"/>
    <w:rsid w:val="00D05ABD"/>
    <w:rsid w:val="00D05BE6"/>
    <w:rsid w:val="00D13FCE"/>
    <w:rsid w:val="00D14DBE"/>
    <w:rsid w:val="00D306D1"/>
    <w:rsid w:val="00D30800"/>
    <w:rsid w:val="00D34786"/>
    <w:rsid w:val="00D36358"/>
    <w:rsid w:val="00D36668"/>
    <w:rsid w:val="00D37BFC"/>
    <w:rsid w:val="00D41CCE"/>
    <w:rsid w:val="00D45ABC"/>
    <w:rsid w:val="00D47A8E"/>
    <w:rsid w:val="00D52D14"/>
    <w:rsid w:val="00D57ACD"/>
    <w:rsid w:val="00D712D3"/>
    <w:rsid w:val="00D71422"/>
    <w:rsid w:val="00D72DC6"/>
    <w:rsid w:val="00D73ACE"/>
    <w:rsid w:val="00D7558D"/>
    <w:rsid w:val="00D8090D"/>
    <w:rsid w:val="00D81D92"/>
    <w:rsid w:val="00D876F9"/>
    <w:rsid w:val="00D937F9"/>
    <w:rsid w:val="00DA7B5F"/>
    <w:rsid w:val="00DC11E7"/>
    <w:rsid w:val="00DC7023"/>
    <w:rsid w:val="00DC769A"/>
    <w:rsid w:val="00DD3D86"/>
    <w:rsid w:val="00DE326F"/>
    <w:rsid w:val="00DE3B82"/>
    <w:rsid w:val="00DF0CB3"/>
    <w:rsid w:val="00DF1EC4"/>
    <w:rsid w:val="00E0340B"/>
    <w:rsid w:val="00E04A90"/>
    <w:rsid w:val="00E0551F"/>
    <w:rsid w:val="00E1793B"/>
    <w:rsid w:val="00E219C7"/>
    <w:rsid w:val="00E21DA8"/>
    <w:rsid w:val="00E238C9"/>
    <w:rsid w:val="00E3325D"/>
    <w:rsid w:val="00E33966"/>
    <w:rsid w:val="00E4118C"/>
    <w:rsid w:val="00E43157"/>
    <w:rsid w:val="00E461CE"/>
    <w:rsid w:val="00E54AF5"/>
    <w:rsid w:val="00E55BF7"/>
    <w:rsid w:val="00E57EE2"/>
    <w:rsid w:val="00E63BEB"/>
    <w:rsid w:val="00E720CA"/>
    <w:rsid w:val="00E84EB5"/>
    <w:rsid w:val="00E85147"/>
    <w:rsid w:val="00E85662"/>
    <w:rsid w:val="00E8789F"/>
    <w:rsid w:val="00E91995"/>
    <w:rsid w:val="00E91C73"/>
    <w:rsid w:val="00E948D5"/>
    <w:rsid w:val="00E94B0B"/>
    <w:rsid w:val="00E97B71"/>
    <w:rsid w:val="00EA3D34"/>
    <w:rsid w:val="00EB454D"/>
    <w:rsid w:val="00EC33A0"/>
    <w:rsid w:val="00ED549D"/>
    <w:rsid w:val="00ED76BE"/>
    <w:rsid w:val="00EE00E9"/>
    <w:rsid w:val="00EF619B"/>
    <w:rsid w:val="00EF67E9"/>
    <w:rsid w:val="00F00B55"/>
    <w:rsid w:val="00F02AD1"/>
    <w:rsid w:val="00F253CC"/>
    <w:rsid w:val="00F25C03"/>
    <w:rsid w:val="00F37106"/>
    <w:rsid w:val="00F46A6B"/>
    <w:rsid w:val="00F519CF"/>
    <w:rsid w:val="00F51CA6"/>
    <w:rsid w:val="00F56BA5"/>
    <w:rsid w:val="00F60E22"/>
    <w:rsid w:val="00F632D9"/>
    <w:rsid w:val="00F81395"/>
    <w:rsid w:val="00F81BB8"/>
    <w:rsid w:val="00F84337"/>
    <w:rsid w:val="00F917D1"/>
    <w:rsid w:val="00F951BB"/>
    <w:rsid w:val="00F9653B"/>
    <w:rsid w:val="00FB62CF"/>
    <w:rsid w:val="00FB6E90"/>
    <w:rsid w:val="00FD09CE"/>
    <w:rsid w:val="00FD23A3"/>
    <w:rsid w:val="00FD3C3B"/>
    <w:rsid w:val="00FE07DD"/>
    <w:rsid w:val="00FE657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29F"/>
    <w:rPr>
      <w:sz w:val="16"/>
      <w:szCs w:val="16"/>
    </w:rPr>
  </w:style>
  <w:style w:type="paragraph" w:styleId="CommentText">
    <w:name w:val="annotation text"/>
    <w:basedOn w:val="Normal"/>
    <w:link w:val="CommentTextChar"/>
    <w:uiPriority w:val="99"/>
    <w:semiHidden/>
    <w:unhideWhenUsed/>
    <w:rsid w:val="00B7629F"/>
    <w:rPr>
      <w:sz w:val="20"/>
      <w:szCs w:val="20"/>
    </w:rPr>
  </w:style>
  <w:style w:type="character" w:customStyle="1" w:styleId="CommentTextChar">
    <w:name w:val="Comment Text Char"/>
    <w:basedOn w:val="DefaultParagraphFont"/>
    <w:link w:val="CommentText"/>
    <w:uiPriority w:val="99"/>
    <w:semiHidden/>
    <w:rsid w:val="00B7629F"/>
    <w:rPr>
      <w:lang w:val="en-US" w:eastAsia="en-US"/>
    </w:rPr>
  </w:style>
  <w:style w:type="paragraph" w:styleId="CommentSubject">
    <w:name w:val="annotation subject"/>
    <w:basedOn w:val="CommentText"/>
    <w:next w:val="CommentText"/>
    <w:link w:val="CommentSubjectChar"/>
    <w:uiPriority w:val="99"/>
    <w:semiHidden/>
    <w:unhideWhenUsed/>
    <w:rsid w:val="00B7629F"/>
    <w:rPr>
      <w:b/>
      <w:bCs/>
    </w:rPr>
  </w:style>
  <w:style w:type="character" w:customStyle="1" w:styleId="CommentSubjectChar">
    <w:name w:val="Comment Subject Char"/>
    <w:basedOn w:val="CommentTextChar"/>
    <w:link w:val="CommentSubject"/>
    <w:uiPriority w:val="99"/>
    <w:semiHidden/>
    <w:rsid w:val="00B762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B4CE1"/>
    <w:rsid w:val="002E3914"/>
    <w:rsid w:val="00394049"/>
    <w:rsid w:val="003A1FB1"/>
    <w:rsid w:val="004F2DF8"/>
    <w:rsid w:val="0060264A"/>
    <w:rsid w:val="00624B73"/>
    <w:rsid w:val="009A261B"/>
    <w:rsid w:val="00A173B4"/>
    <w:rsid w:val="00A46F9D"/>
    <w:rsid w:val="00AC15A4"/>
    <w:rsid w:val="00B0336C"/>
    <w:rsid w:val="00B144D5"/>
    <w:rsid w:val="00BD0E43"/>
    <w:rsid w:val="00CD0266"/>
    <w:rsid w:val="00DE7283"/>
    <w:rsid w:val="00E0042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4C8E-89D6-411D-8C4D-BF89F834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3563</Words>
  <Characters>19101</Characters>
  <Application>Microsoft Office Word</Application>
  <DocSecurity>0</DocSecurity>
  <Lines>367</Lines>
  <Paragraphs>98</Paragraphs>
  <ScaleCrop>false</ScaleCrop>
  <Company/>
  <LinksUpToDate>false</LinksUpToDate>
  <CharactersWithSpaces>22566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73/19</dc:title>
  <dc:creator/>
  <cp:lastModifiedBy/>
  <cp:revision>1</cp:revision>
  <dcterms:created xsi:type="dcterms:W3CDTF">2019-10-15T20:24:00Z</dcterms:created>
  <dcterms:modified xsi:type="dcterms:W3CDTF">2019-10-15T20:24:00Z</dcterms:modified>
</cp:coreProperties>
</file>