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AC4C8A" w:rsidRDefault="00D306D1" w:rsidP="00627C9F">
      <w:pPr>
        <w:jc w:val="both"/>
        <w:rPr>
          <w:rFonts w:asciiTheme="majorHAnsi" w:hAnsiTheme="majorHAnsi" w:cs="Univers"/>
          <w:b/>
          <w:bCs/>
          <w:sz w:val="22"/>
          <w:szCs w:val="22"/>
          <w:lang w:val="es-ES"/>
        </w:rPr>
      </w:pPr>
      <w:bookmarkStart w:id="0" w:name="_GoBack"/>
      <w:bookmarkEnd w:id="0"/>
      <w:r w:rsidRPr="00AC4C8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644B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C4C8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AC4C8A" w:rsidRDefault="00040C3A" w:rsidP="00040C3A">
      <w:pPr>
        <w:tabs>
          <w:tab w:val="center" w:pos="5400"/>
        </w:tabs>
        <w:suppressAutoHyphens/>
        <w:jc w:val="both"/>
        <w:rPr>
          <w:rFonts w:asciiTheme="majorHAnsi" w:hAnsiTheme="majorHAnsi"/>
          <w:sz w:val="22"/>
          <w:szCs w:val="22"/>
          <w:lang w:val="es-ES"/>
        </w:rPr>
      </w:pPr>
    </w:p>
    <w:p w:rsidR="00040C3A" w:rsidRPr="00AC4C8A" w:rsidRDefault="00040C3A" w:rsidP="00040C3A">
      <w:pPr>
        <w:tabs>
          <w:tab w:val="center" w:pos="5400"/>
        </w:tabs>
        <w:suppressAutoHyphens/>
        <w:jc w:val="both"/>
        <w:rPr>
          <w:rFonts w:asciiTheme="majorHAnsi" w:hAnsiTheme="majorHAnsi"/>
          <w:sz w:val="22"/>
          <w:szCs w:val="22"/>
          <w:lang w:val="es-ES"/>
        </w:rPr>
      </w:pPr>
    </w:p>
    <w:p w:rsidR="005128E4" w:rsidRPr="00AC4C8A" w:rsidRDefault="005128E4" w:rsidP="00040C3A">
      <w:pPr>
        <w:tabs>
          <w:tab w:val="center" w:pos="5400"/>
        </w:tabs>
        <w:suppressAutoHyphens/>
        <w:rPr>
          <w:rFonts w:asciiTheme="majorHAnsi" w:hAnsiTheme="majorHAnsi"/>
          <w:sz w:val="22"/>
          <w:szCs w:val="22"/>
          <w:lang w:val="es-ES"/>
        </w:rPr>
      </w:pPr>
    </w:p>
    <w:p w:rsidR="005128E4" w:rsidRPr="00AC4C8A" w:rsidRDefault="005128E4" w:rsidP="00040C3A">
      <w:pPr>
        <w:tabs>
          <w:tab w:val="center" w:pos="5400"/>
        </w:tabs>
        <w:suppressAutoHyphens/>
        <w:rPr>
          <w:rFonts w:asciiTheme="majorHAnsi" w:hAnsiTheme="majorHAnsi"/>
          <w:sz w:val="22"/>
          <w:szCs w:val="22"/>
          <w:lang w:val="es-ES"/>
        </w:rPr>
      </w:pPr>
    </w:p>
    <w:p w:rsidR="005128E4" w:rsidRPr="00AC4C8A" w:rsidRDefault="005128E4" w:rsidP="00040C3A">
      <w:pPr>
        <w:tabs>
          <w:tab w:val="center" w:pos="5400"/>
        </w:tabs>
        <w:suppressAutoHyphens/>
        <w:rPr>
          <w:rFonts w:asciiTheme="majorHAnsi" w:hAnsiTheme="majorHAnsi"/>
          <w:sz w:val="22"/>
          <w:szCs w:val="22"/>
          <w:lang w:val="es-ES"/>
        </w:rPr>
      </w:pPr>
    </w:p>
    <w:p w:rsidR="00040C3A" w:rsidRPr="00AC4C8A" w:rsidRDefault="00040C3A" w:rsidP="005128E4">
      <w:pPr>
        <w:tabs>
          <w:tab w:val="center" w:pos="5400"/>
        </w:tabs>
        <w:suppressAutoHyphens/>
        <w:jc w:val="center"/>
        <w:rPr>
          <w:rFonts w:asciiTheme="majorHAnsi" w:hAnsiTheme="majorHAnsi"/>
          <w:sz w:val="22"/>
          <w:szCs w:val="22"/>
          <w:lang w:val="es-ES"/>
        </w:rPr>
      </w:pPr>
    </w:p>
    <w:p w:rsidR="00040C3A" w:rsidRPr="00AC4C8A" w:rsidRDefault="00040C3A" w:rsidP="005128E4">
      <w:pPr>
        <w:tabs>
          <w:tab w:val="center" w:pos="5400"/>
        </w:tabs>
        <w:suppressAutoHyphens/>
        <w:jc w:val="center"/>
        <w:rPr>
          <w:rFonts w:asciiTheme="majorHAnsi" w:hAnsiTheme="majorHAnsi"/>
          <w:sz w:val="22"/>
          <w:szCs w:val="22"/>
          <w:lang w:val="es-ES"/>
        </w:rPr>
      </w:pPr>
    </w:p>
    <w:p w:rsidR="005B52B0" w:rsidRPr="00AC4C8A" w:rsidRDefault="005B52B0" w:rsidP="005128E4">
      <w:pPr>
        <w:tabs>
          <w:tab w:val="center" w:pos="5400"/>
        </w:tabs>
        <w:suppressAutoHyphens/>
        <w:jc w:val="center"/>
        <w:rPr>
          <w:rFonts w:asciiTheme="majorHAnsi" w:hAnsiTheme="majorHAnsi"/>
          <w:sz w:val="22"/>
          <w:szCs w:val="22"/>
          <w:lang w:val="es-ES"/>
        </w:rPr>
      </w:pPr>
    </w:p>
    <w:p w:rsidR="005B52B0" w:rsidRPr="00AC4C8A" w:rsidRDefault="005B52B0" w:rsidP="005128E4">
      <w:pPr>
        <w:tabs>
          <w:tab w:val="center" w:pos="5400"/>
        </w:tabs>
        <w:suppressAutoHyphens/>
        <w:jc w:val="center"/>
        <w:rPr>
          <w:rFonts w:asciiTheme="majorHAnsi" w:hAnsiTheme="majorHAnsi"/>
          <w:sz w:val="22"/>
          <w:szCs w:val="22"/>
          <w:lang w:val="es-ES"/>
        </w:rPr>
      </w:pPr>
    </w:p>
    <w:p w:rsidR="005B52B0" w:rsidRPr="00AC4C8A" w:rsidRDefault="005B52B0" w:rsidP="005128E4">
      <w:pPr>
        <w:tabs>
          <w:tab w:val="center" w:pos="5400"/>
        </w:tabs>
        <w:suppressAutoHyphens/>
        <w:jc w:val="center"/>
        <w:rPr>
          <w:rFonts w:asciiTheme="majorHAnsi" w:hAnsiTheme="majorHAnsi"/>
          <w:sz w:val="22"/>
          <w:szCs w:val="22"/>
          <w:lang w:val="es-ES"/>
        </w:rPr>
      </w:pPr>
    </w:p>
    <w:p w:rsidR="00040C3A" w:rsidRPr="00AC4C8A" w:rsidRDefault="00040C3A" w:rsidP="00040C3A">
      <w:pPr>
        <w:tabs>
          <w:tab w:val="center" w:pos="5400"/>
        </w:tabs>
        <w:suppressAutoHyphens/>
        <w:jc w:val="center"/>
        <w:rPr>
          <w:rFonts w:asciiTheme="majorHAnsi" w:hAnsiTheme="majorHAnsi"/>
          <w:sz w:val="22"/>
          <w:szCs w:val="22"/>
          <w:lang w:val="es-ES"/>
        </w:rPr>
      </w:pPr>
    </w:p>
    <w:p w:rsidR="00040C3A" w:rsidRPr="00AC4C8A" w:rsidRDefault="00040C3A" w:rsidP="00040C3A">
      <w:pPr>
        <w:tabs>
          <w:tab w:val="center" w:pos="5400"/>
        </w:tabs>
        <w:suppressAutoHyphens/>
        <w:jc w:val="center"/>
        <w:rPr>
          <w:rFonts w:asciiTheme="majorHAnsi" w:hAnsiTheme="majorHAnsi"/>
          <w:sz w:val="22"/>
          <w:szCs w:val="22"/>
          <w:lang w:val="es-ES"/>
        </w:rPr>
      </w:pPr>
    </w:p>
    <w:p w:rsidR="00040C3A" w:rsidRPr="00AC4C8A" w:rsidRDefault="003D3BC2" w:rsidP="00040C3A">
      <w:pPr>
        <w:tabs>
          <w:tab w:val="center" w:pos="5400"/>
        </w:tabs>
        <w:suppressAutoHyphens/>
        <w:jc w:val="center"/>
        <w:rPr>
          <w:rFonts w:asciiTheme="majorHAnsi" w:hAnsiTheme="majorHAnsi"/>
          <w:sz w:val="22"/>
          <w:szCs w:val="22"/>
          <w:lang w:val="es-ES"/>
        </w:rPr>
      </w:pPr>
      <w:r w:rsidRPr="00AC4C8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C3702">
                              <w:rPr>
                                <w:rFonts w:asciiTheme="majorHAnsi" w:hAnsiTheme="majorHAnsi" w:cs="Arial"/>
                                <w:b/>
                                <w:bCs/>
                                <w:color w:val="0D0D0D" w:themeColor="text1" w:themeTint="F2"/>
                                <w:sz w:val="36"/>
                                <w:szCs w:val="22"/>
                                <w:lang w:val="es-ES_tradnl"/>
                              </w:rPr>
                              <w:t>22</w:t>
                            </w:r>
                            <w:r w:rsidR="007B05C4">
                              <w:rPr>
                                <w:rFonts w:asciiTheme="majorHAnsi" w:hAnsiTheme="majorHAnsi" w:cs="Arial"/>
                                <w:b/>
                                <w:bCs/>
                                <w:color w:val="0D0D0D" w:themeColor="text1" w:themeTint="F2"/>
                                <w:sz w:val="36"/>
                                <w:szCs w:val="22"/>
                                <w:lang w:val="es-ES_tradnl"/>
                              </w:rPr>
                              <w:t>/1</w:t>
                            </w:r>
                            <w:r w:rsidR="008639B7">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84E4B">
                              <w:rPr>
                                <w:rFonts w:asciiTheme="majorHAnsi" w:hAnsiTheme="majorHAnsi" w:cs="Arial"/>
                                <w:b/>
                                <w:color w:val="0D0D0D" w:themeColor="text1" w:themeTint="F2"/>
                                <w:sz w:val="36"/>
                                <w:szCs w:val="22"/>
                                <w:lang w:val="es-ES_tradnl"/>
                              </w:rPr>
                              <w:t>521-08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B84E4B" w:rsidRDefault="00B84E4B"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es-ES_tradnl"/>
                              </w:rPr>
                              <w:t>LAURA SUSANA HARO J</w:t>
                            </w:r>
                            <w:r>
                              <w:rPr>
                                <w:rFonts w:asciiTheme="majorHAnsi" w:hAnsiTheme="majorHAnsi" w:cs="Arial"/>
                                <w:color w:val="0D0D0D" w:themeColor="text1" w:themeTint="F2"/>
                                <w:szCs w:val="22"/>
                                <w:lang w:val="pt-BR"/>
                              </w:rPr>
                              <w:t>ÁCOME</w:t>
                            </w:r>
                          </w:p>
                          <w:bookmarkEnd w:id="1"/>
                          <w:p w:rsidR="005B52B0" w:rsidRPr="0010736F" w:rsidRDefault="00B84E4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C3702">
                        <w:rPr>
                          <w:rFonts w:asciiTheme="majorHAnsi" w:hAnsiTheme="majorHAnsi" w:cs="Arial"/>
                          <w:b/>
                          <w:bCs/>
                          <w:color w:val="0D0D0D" w:themeColor="text1" w:themeTint="F2"/>
                          <w:sz w:val="36"/>
                          <w:szCs w:val="22"/>
                          <w:lang w:val="es-ES_tradnl"/>
                        </w:rPr>
                        <w:t>22</w:t>
                      </w:r>
                      <w:r w:rsidR="007B05C4">
                        <w:rPr>
                          <w:rFonts w:asciiTheme="majorHAnsi" w:hAnsiTheme="majorHAnsi" w:cs="Arial"/>
                          <w:b/>
                          <w:bCs/>
                          <w:color w:val="0D0D0D" w:themeColor="text1" w:themeTint="F2"/>
                          <w:sz w:val="36"/>
                          <w:szCs w:val="22"/>
                          <w:lang w:val="es-ES_tradnl"/>
                        </w:rPr>
                        <w:t>/1</w:t>
                      </w:r>
                      <w:r w:rsidR="008639B7">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84E4B">
                        <w:rPr>
                          <w:rFonts w:asciiTheme="majorHAnsi" w:hAnsiTheme="majorHAnsi" w:cs="Arial"/>
                          <w:b/>
                          <w:color w:val="0D0D0D" w:themeColor="text1" w:themeTint="F2"/>
                          <w:sz w:val="36"/>
                          <w:szCs w:val="22"/>
                          <w:lang w:val="es-ES_tradnl"/>
                        </w:rPr>
                        <w:t>521-08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B84E4B" w:rsidRDefault="00B84E4B"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es-ES_tradnl"/>
                        </w:rPr>
                        <w:t>LAURA SUSANA HARO J</w:t>
                      </w:r>
                      <w:r>
                        <w:rPr>
                          <w:rFonts w:asciiTheme="majorHAnsi" w:hAnsiTheme="majorHAnsi" w:cs="Arial"/>
                          <w:color w:val="0D0D0D" w:themeColor="text1" w:themeTint="F2"/>
                          <w:szCs w:val="22"/>
                          <w:lang w:val="pt-BR"/>
                        </w:rPr>
                        <w:t>ÁCOME</w:t>
                      </w:r>
                    </w:p>
                    <w:bookmarkEnd w:id="2"/>
                    <w:p w:rsidR="005B52B0" w:rsidRPr="0010736F" w:rsidRDefault="00B84E4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5B52B0" w:rsidRPr="00AE5488" w:rsidRDefault="005B52B0" w:rsidP="007A5817">
                      <w:pPr>
                        <w:rPr>
                          <w:color w:val="0D0D0D" w:themeColor="text1" w:themeTint="F2"/>
                          <w:lang w:val="es-ES_tradnl"/>
                        </w:rPr>
                      </w:pPr>
                    </w:p>
                  </w:txbxContent>
                </v:textbox>
              </v:shape>
            </w:pict>
          </mc:Fallback>
        </mc:AlternateContent>
      </w:r>
      <w:r w:rsidR="004E2649" w:rsidRPr="00AC4C8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DC370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w:t>
                            </w:r>
                          </w:p>
                          <w:p w:rsidR="00627C9F" w:rsidRPr="004E2649" w:rsidRDefault="00DC370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12 </w:t>
                            </w:r>
                            <w:proofErr w:type="spellStart"/>
                            <w:r>
                              <w:rPr>
                                <w:rFonts w:asciiTheme="minorHAnsi" w:hAnsiTheme="minorHAnsi"/>
                                <w:color w:val="FFFFFF" w:themeColor="background1"/>
                                <w:sz w:val="22"/>
                              </w:rPr>
                              <w:t>marzo</w:t>
                            </w:r>
                            <w:proofErr w:type="spellEnd"/>
                            <w:r w:rsidR="00627C9F" w:rsidRPr="004E2649">
                              <w:rPr>
                                <w:rFonts w:asciiTheme="minorHAnsi" w:hAnsiTheme="minorHAnsi"/>
                                <w:color w:val="FFFFFF" w:themeColor="background1"/>
                                <w:sz w:val="22"/>
                              </w:rPr>
                              <w:t xml:space="preserve"> 201</w:t>
                            </w:r>
                            <w:r w:rsidR="00CD2BFC">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DC370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w:t>
                      </w:r>
                    </w:p>
                    <w:p w:rsidR="00627C9F" w:rsidRPr="004E2649" w:rsidRDefault="00DC370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12 </w:t>
                      </w:r>
                      <w:proofErr w:type="spellStart"/>
                      <w:r>
                        <w:rPr>
                          <w:rFonts w:asciiTheme="minorHAnsi" w:hAnsiTheme="minorHAnsi"/>
                          <w:color w:val="FFFFFF" w:themeColor="background1"/>
                          <w:sz w:val="22"/>
                        </w:rPr>
                        <w:t>marzo</w:t>
                      </w:r>
                      <w:proofErr w:type="spellEnd"/>
                      <w:r w:rsidR="00627C9F" w:rsidRPr="004E2649">
                        <w:rPr>
                          <w:rFonts w:asciiTheme="minorHAnsi" w:hAnsiTheme="minorHAnsi"/>
                          <w:color w:val="FFFFFF" w:themeColor="background1"/>
                          <w:sz w:val="22"/>
                        </w:rPr>
                        <w:t xml:space="preserve"> 201</w:t>
                      </w:r>
                      <w:r w:rsidR="00CD2BFC">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AC4C8A" w:rsidRDefault="00040C3A" w:rsidP="00040C3A">
      <w:pPr>
        <w:tabs>
          <w:tab w:val="center" w:pos="5400"/>
        </w:tabs>
        <w:suppressAutoHyphens/>
        <w:jc w:val="center"/>
        <w:rPr>
          <w:rFonts w:asciiTheme="majorHAnsi" w:hAnsiTheme="majorHAnsi"/>
          <w:sz w:val="22"/>
          <w:szCs w:val="22"/>
          <w:lang w:val="es-ES"/>
        </w:rPr>
      </w:pPr>
    </w:p>
    <w:p w:rsidR="00040C3A" w:rsidRPr="00AC4C8A" w:rsidRDefault="00040C3A" w:rsidP="00040C3A">
      <w:pPr>
        <w:tabs>
          <w:tab w:val="center" w:pos="5400"/>
        </w:tabs>
        <w:suppressAutoHyphens/>
        <w:jc w:val="center"/>
        <w:rPr>
          <w:rFonts w:asciiTheme="majorHAnsi" w:hAnsiTheme="majorHAnsi"/>
          <w:sz w:val="22"/>
          <w:szCs w:val="22"/>
          <w:lang w:val="es-ES"/>
        </w:rPr>
      </w:pPr>
    </w:p>
    <w:p w:rsidR="00040C3A" w:rsidRPr="00AC4C8A" w:rsidRDefault="00040C3A" w:rsidP="00040C3A">
      <w:pPr>
        <w:tabs>
          <w:tab w:val="center" w:pos="5400"/>
        </w:tabs>
        <w:suppressAutoHyphens/>
        <w:jc w:val="center"/>
        <w:rPr>
          <w:rFonts w:asciiTheme="majorHAnsi" w:hAnsiTheme="majorHAnsi" w:cs="Arial"/>
          <w:sz w:val="22"/>
          <w:szCs w:val="22"/>
          <w:lang w:val="es-ES"/>
        </w:rPr>
      </w:pPr>
    </w:p>
    <w:p w:rsidR="00040C3A" w:rsidRPr="00AC4C8A" w:rsidRDefault="00040C3A" w:rsidP="00040C3A">
      <w:pPr>
        <w:tabs>
          <w:tab w:val="center" w:pos="5400"/>
        </w:tabs>
        <w:suppressAutoHyphens/>
        <w:jc w:val="center"/>
        <w:rPr>
          <w:rFonts w:asciiTheme="majorHAnsi" w:hAnsiTheme="majorHAnsi"/>
          <w:sz w:val="22"/>
          <w:szCs w:val="22"/>
          <w:lang w:val="es-ES"/>
        </w:rPr>
      </w:pPr>
    </w:p>
    <w:p w:rsidR="00040C3A" w:rsidRPr="00AC4C8A" w:rsidRDefault="00040C3A" w:rsidP="00040C3A">
      <w:pPr>
        <w:tabs>
          <w:tab w:val="center" w:pos="5400"/>
        </w:tabs>
        <w:suppressAutoHyphens/>
        <w:jc w:val="center"/>
        <w:rPr>
          <w:rFonts w:asciiTheme="majorHAnsi" w:hAnsiTheme="majorHAnsi"/>
          <w:sz w:val="22"/>
          <w:szCs w:val="22"/>
          <w:lang w:val="es-ES"/>
        </w:rPr>
      </w:pPr>
    </w:p>
    <w:p w:rsidR="00040C3A" w:rsidRPr="00AC4C8A" w:rsidRDefault="00040C3A" w:rsidP="00040C3A">
      <w:pPr>
        <w:tabs>
          <w:tab w:val="center" w:pos="5400"/>
        </w:tabs>
        <w:suppressAutoHyphens/>
        <w:jc w:val="center"/>
        <w:rPr>
          <w:rFonts w:asciiTheme="majorHAnsi" w:hAnsiTheme="majorHAnsi"/>
          <w:sz w:val="22"/>
          <w:szCs w:val="22"/>
          <w:lang w:val="es-ES"/>
        </w:rPr>
      </w:pPr>
    </w:p>
    <w:p w:rsidR="00040C3A" w:rsidRPr="00AC4C8A" w:rsidRDefault="00040C3A" w:rsidP="00040C3A">
      <w:pPr>
        <w:tabs>
          <w:tab w:val="center" w:pos="5400"/>
        </w:tabs>
        <w:suppressAutoHyphens/>
        <w:jc w:val="center"/>
        <w:rPr>
          <w:rFonts w:asciiTheme="majorHAnsi" w:hAnsiTheme="majorHAnsi"/>
          <w:sz w:val="22"/>
          <w:szCs w:val="22"/>
          <w:lang w:val="es-ES"/>
        </w:rPr>
      </w:pPr>
    </w:p>
    <w:p w:rsidR="005128E4" w:rsidRPr="00AC4C8A" w:rsidRDefault="005128E4" w:rsidP="00040C3A">
      <w:pPr>
        <w:tabs>
          <w:tab w:val="center" w:pos="5400"/>
        </w:tabs>
        <w:suppressAutoHyphens/>
        <w:jc w:val="center"/>
        <w:rPr>
          <w:rFonts w:asciiTheme="majorHAnsi" w:hAnsiTheme="majorHAnsi"/>
          <w:sz w:val="22"/>
          <w:szCs w:val="22"/>
          <w:lang w:val="es-ES"/>
        </w:rPr>
      </w:pPr>
    </w:p>
    <w:p w:rsidR="00040C3A" w:rsidRPr="00AC4C8A" w:rsidRDefault="00040C3A" w:rsidP="00040C3A">
      <w:pPr>
        <w:tabs>
          <w:tab w:val="center" w:pos="5400"/>
        </w:tabs>
        <w:suppressAutoHyphens/>
        <w:jc w:val="center"/>
        <w:rPr>
          <w:rFonts w:asciiTheme="majorHAnsi" w:hAnsiTheme="majorHAnsi"/>
          <w:sz w:val="22"/>
          <w:szCs w:val="22"/>
          <w:lang w:val="es-ES"/>
        </w:rPr>
      </w:pPr>
    </w:p>
    <w:p w:rsidR="005128E4" w:rsidRPr="00AC4C8A" w:rsidRDefault="005128E4" w:rsidP="00040C3A">
      <w:pPr>
        <w:tabs>
          <w:tab w:val="center" w:pos="5400"/>
        </w:tabs>
        <w:suppressAutoHyphens/>
        <w:jc w:val="center"/>
        <w:rPr>
          <w:rFonts w:asciiTheme="majorHAnsi" w:hAnsiTheme="majorHAnsi"/>
          <w:sz w:val="22"/>
          <w:szCs w:val="22"/>
          <w:lang w:val="es-ES"/>
        </w:rPr>
      </w:pPr>
    </w:p>
    <w:p w:rsidR="005128E4" w:rsidRPr="00AC4C8A" w:rsidRDefault="005128E4" w:rsidP="00040C3A">
      <w:pPr>
        <w:tabs>
          <w:tab w:val="center" w:pos="5400"/>
        </w:tabs>
        <w:suppressAutoHyphens/>
        <w:jc w:val="center"/>
        <w:rPr>
          <w:rFonts w:asciiTheme="majorHAnsi" w:hAnsiTheme="majorHAnsi"/>
          <w:sz w:val="22"/>
          <w:szCs w:val="22"/>
          <w:lang w:val="es-ES"/>
        </w:rPr>
      </w:pPr>
    </w:p>
    <w:p w:rsidR="005128E4" w:rsidRPr="00AC4C8A" w:rsidRDefault="005128E4" w:rsidP="00040C3A">
      <w:pPr>
        <w:tabs>
          <w:tab w:val="center" w:pos="5400"/>
        </w:tabs>
        <w:suppressAutoHyphens/>
        <w:jc w:val="center"/>
        <w:rPr>
          <w:rFonts w:asciiTheme="majorHAnsi" w:hAnsiTheme="majorHAnsi"/>
          <w:sz w:val="22"/>
          <w:szCs w:val="22"/>
          <w:lang w:val="es-ES"/>
        </w:rPr>
      </w:pPr>
    </w:p>
    <w:p w:rsidR="00040C3A" w:rsidRPr="00AC4C8A" w:rsidRDefault="00040C3A" w:rsidP="00040C3A">
      <w:pPr>
        <w:tabs>
          <w:tab w:val="center" w:pos="5400"/>
        </w:tabs>
        <w:suppressAutoHyphens/>
        <w:jc w:val="center"/>
        <w:rPr>
          <w:rFonts w:asciiTheme="majorHAnsi" w:hAnsiTheme="majorHAnsi"/>
          <w:sz w:val="22"/>
          <w:szCs w:val="22"/>
          <w:lang w:val="es-ES"/>
        </w:rPr>
      </w:pPr>
    </w:p>
    <w:p w:rsidR="00040C3A" w:rsidRPr="00AC4C8A" w:rsidRDefault="00040C3A" w:rsidP="00040C3A">
      <w:pPr>
        <w:tabs>
          <w:tab w:val="center" w:pos="5400"/>
        </w:tabs>
        <w:suppressAutoHyphens/>
        <w:jc w:val="center"/>
        <w:rPr>
          <w:rFonts w:asciiTheme="majorHAnsi" w:hAnsiTheme="majorHAnsi"/>
          <w:sz w:val="22"/>
          <w:szCs w:val="22"/>
          <w:lang w:val="es-ES"/>
        </w:rPr>
      </w:pP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90270B" w:rsidP="00040C3A">
      <w:pPr>
        <w:tabs>
          <w:tab w:val="center" w:pos="5400"/>
        </w:tabs>
        <w:suppressAutoHyphens/>
        <w:jc w:val="center"/>
        <w:rPr>
          <w:rFonts w:asciiTheme="majorHAnsi" w:hAnsiTheme="majorHAnsi"/>
          <w:sz w:val="18"/>
          <w:szCs w:val="22"/>
          <w:lang w:val="es-ES"/>
        </w:rPr>
      </w:pPr>
      <w:r w:rsidRPr="00AC4C8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C3702">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DC3702">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639B7">
                              <w:rPr>
                                <w:rFonts w:asciiTheme="majorHAnsi" w:hAnsiTheme="majorHAnsi"/>
                                <w:color w:val="0D0D0D" w:themeColor="text1" w:themeTint="F2"/>
                                <w:sz w:val="18"/>
                                <w:szCs w:val="22"/>
                                <w:lang w:val="es-ES"/>
                              </w:rPr>
                              <w:t>9</w:t>
                            </w:r>
                            <w:r w:rsidR="005648AE">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C3702">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DC3702">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639B7">
                        <w:rPr>
                          <w:rFonts w:asciiTheme="majorHAnsi" w:hAnsiTheme="majorHAnsi"/>
                          <w:color w:val="0D0D0D" w:themeColor="text1" w:themeTint="F2"/>
                          <w:sz w:val="18"/>
                          <w:szCs w:val="22"/>
                          <w:lang w:val="es-ES"/>
                        </w:rPr>
                        <w:t>9</w:t>
                      </w:r>
                      <w:r w:rsidR="005648AE">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A50FCF" w:rsidP="00040C3A">
      <w:pPr>
        <w:tabs>
          <w:tab w:val="center" w:pos="5400"/>
        </w:tabs>
        <w:suppressAutoHyphens/>
        <w:jc w:val="center"/>
        <w:rPr>
          <w:rFonts w:asciiTheme="majorHAnsi" w:hAnsiTheme="majorHAnsi"/>
          <w:sz w:val="18"/>
          <w:szCs w:val="22"/>
          <w:lang w:val="es-ES"/>
        </w:rPr>
      </w:pPr>
    </w:p>
    <w:p w:rsidR="00A50FCF" w:rsidRPr="00AC4C8A" w:rsidRDefault="0090270B" w:rsidP="00040C3A">
      <w:pPr>
        <w:tabs>
          <w:tab w:val="center" w:pos="5400"/>
        </w:tabs>
        <w:suppressAutoHyphens/>
        <w:jc w:val="center"/>
        <w:rPr>
          <w:rFonts w:asciiTheme="majorHAnsi" w:hAnsiTheme="majorHAnsi"/>
          <w:sz w:val="18"/>
          <w:szCs w:val="22"/>
          <w:lang w:val="es-ES"/>
        </w:rPr>
      </w:pPr>
      <w:r w:rsidRPr="00AC4C8A">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C3702" w:rsidRPr="00DC3702">
                              <w:rPr>
                                <w:rFonts w:asciiTheme="majorHAnsi" w:hAnsiTheme="majorHAnsi"/>
                                <w:color w:val="595959" w:themeColor="text1" w:themeTint="A6"/>
                                <w:sz w:val="18"/>
                                <w:szCs w:val="18"/>
                                <w:lang w:val="pt-BR"/>
                              </w:rPr>
                              <w:t>22</w:t>
                            </w:r>
                            <w:r w:rsidR="007B05C4" w:rsidRPr="00DC3702">
                              <w:rPr>
                                <w:rFonts w:asciiTheme="majorHAnsi" w:hAnsiTheme="majorHAnsi"/>
                                <w:color w:val="595959" w:themeColor="text1" w:themeTint="A6"/>
                                <w:sz w:val="18"/>
                                <w:szCs w:val="18"/>
                                <w:lang w:val="pt-BR"/>
                              </w:rPr>
                              <w:t>/</w:t>
                            </w:r>
                            <w:r w:rsidR="00B84E4B" w:rsidRPr="00DC3702">
                              <w:rPr>
                                <w:rFonts w:asciiTheme="majorHAnsi" w:hAnsiTheme="majorHAnsi"/>
                                <w:color w:val="595959" w:themeColor="text1" w:themeTint="A6"/>
                                <w:sz w:val="18"/>
                                <w:szCs w:val="18"/>
                                <w:lang w:val="pt-BR"/>
                              </w:rPr>
                              <w:t>1</w:t>
                            </w:r>
                            <w:r w:rsidR="00DC3702" w:rsidRPr="00DC3702">
                              <w:rPr>
                                <w:rFonts w:asciiTheme="majorHAnsi" w:hAnsiTheme="majorHAnsi"/>
                                <w:color w:val="595959" w:themeColor="text1" w:themeTint="A6"/>
                                <w:sz w:val="18"/>
                                <w:szCs w:val="18"/>
                                <w:lang w:val="pt-BR"/>
                              </w:rPr>
                              <w:t>9</w:t>
                            </w:r>
                            <w:r w:rsidRPr="00DC3702">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B84E4B">
                              <w:rPr>
                                <w:rFonts w:asciiTheme="majorHAnsi" w:hAnsiTheme="majorHAnsi"/>
                                <w:color w:val="595959" w:themeColor="text1" w:themeTint="A6"/>
                                <w:sz w:val="18"/>
                                <w:szCs w:val="18"/>
                                <w:lang w:val="es-ES"/>
                              </w:rPr>
                              <w:t>521-08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w:t>
                            </w:r>
                            <w:r w:rsidR="00AA68C7">
                              <w:rPr>
                                <w:rFonts w:asciiTheme="majorHAnsi" w:hAnsiTheme="majorHAnsi"/>
                                <w:color w:val="595959" w:themeColor="text1" w:themeTint="A6"/>
                                <w:sz w:val="18"/>
                                <w:szCs w:val="18"/>
                                <w:lang w:val="es-ES_tradnl"/>
                              </w:rPr>
                              <w:t>dmisibilidad</w:t>
                            </w:r>
                            <w:r w:rsidR="00B84E4B">
                              <w:rPr>
                                <w:rFonts w:asciiTheme="majorHAnsi" w:hAnsiTheme="majorHAnsi"/>
                                <w:color w:val="595959" w:themeColor="text1" w:themeTint="A6"/>
                                <w:sz w:val="18"/>
                                <w:szCs w:val="18"/>
                                <w:lang w:val="es-ES_tradnl"/>
                              </w:rPr>
                              <w:t>. Laura Susana Haro Jácome</w:t>
                            </w:r>
                            <w:r w:rsidRPr="00890650">
                              <w:rPr>
                                <w:rFonts w:asciiTheme="majorHAnsi" w:hAnsiTheme="majorHAnsi"/>
                                <w:color w:val="595959" w:themeColor="text1" w:themeTint="A6"/>
                                <w:sz w:val="18"/>
                                <w:szCs w:val="18"/>
                                <w:lang w:val="es-ES_tradnl"/>
                              </w:rPr>
                              <w:t xml:space="preserve">. </w:t>
                            </w:r>
                            <w:r w:rsidR="00B84E4B">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DC3702">
                              <w:rPr>
                                <w:rFonts w:asciiTheme="majorHAnsi" w:hAnsiTheme="majorHAnsi"/>
                                <w:color w:val="595959" w:themeColor="text1" w:themeTint="A6"/>
                                <w:sz w:val="18"/>
                                <w:szCs w:val="18"/>
                                <w:lang w:val="es-ES"/>
                              </w:rPr>
                              <w:t>12 de marzo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C3702" w:rsidRPr="00DC3702">
                        <w:rPr>
                          <w:rFonts w:asciiTheme="majorHAnsi" w:hAnsiTheme="majorHAnsi"/>
                          <w:color w:val="595959" w:themeColor="text1" w:themeTint="A6"/>
                          <w:sz w:val="18"/>
                          <w:szCs w:val="18"/>
                          <w:lang w:val="pt-BR"/>
                        </w:rPr>
                        <w:t>22</w:t>
                      </w:r>
                      <w:r w:rsidR="007B05C4" w:rsidRPr="00DC3702">
                        <w:rPr>
                          <w:rFonts w:asciiTheme="majorHAnsi" w:hAnsiTheme="majorHAnsi"/>
                          <w:color w:val="595959" w:themeColor="text1" w:themeTint="A6"/>
                          <w:sz w:val="18"/>
                          <w:szCs w:val="18"/>
                          <w:lang w:val="pt-BR"/>
                        </w:rPr>
                        <w:t>/</w:t>
                      </w:r>
                      <w:r w:rsidR="00B84E4B" w:rsidRPr="00DC3702">
                        <w:rPr>
                          <w:rFonts w:asciiTheme="majorHAnsi" w:hAnsiTheme="majorHAnsi"/>
                          <w:color w:val="595959" w:themeColor="text1" w:themeTint="A6"/>
                          <w:sz w:val="18"/>
                          <w:szCs w:val="18"/>
                          <w:lang w:val="pt-BR"/>
                        </w:rPr>
                        <w:t>1</w:t>
                      </w:r>
                      <w:r w:rsidR="00DC3702" w:rsidRPr="00DC3702">
                        <w:rPr>
                          <w:rFonts w:asciiTheme="majorHAnsi" w:hAnsiTheme="majorHAnsi"/>
                          <w:color w:val="595959" w:themeColor="text1" w:themeTint="A6"/>
                          <w:sz w:val="18"/>
                          <w:szCs w:val="18"/>
                          <w:lang w:val="pt-BR"/>
                        </w:rPr>
                        <w:t>9</w:t>
                      </w:r>
                      <w:r w:rsidRPr="00DC3702">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B84E4B">
                        <w:rPr>
                          <w:rFonts w:asciiTheme="majorHAnsi" w:hAnsiTheme="majorHAnsi"/>
                          <w:color w:val="595959" w:themeColor="text1" w:themeTint="A6"/>
                          <w:sz w:val="18"/>
                          <w:szCs w:val="18"/>
                          <w:lang w:val="es-ES"/>
                        </w:rPr>
                        <w:t>521-08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w:t>
                      </w:r>
                      <w:r w:rsidR="00AA68C7">
                        <w:rPr>
                          <w:rFonts w:asciiTheme="majorHAnsi" w:hAnsiTheme="majorHAnsi"/>
                          <w:color w:val="595959" w:themeColor="text1" w:themeTint="A6"/>
                          <w:sz w:val="18"/>
                          <w:szCs w:val="18"/>
                          <w:lang w:val="es-ES_tradnl"/>
                        </w:rPr>
                        <w:t>dmisibilidad</w:t>
                      </w:r>
                      <w:r w:rsidR="00B84E4B">
                        <w:rPr>
                          <w:rFonts w:asciiTheme="majorHAnsi" w:hAnsiTheme="majorHAnsi"/>
                          <w:color w:val="595959" w:themeColor="text1" w:themeTint="A6"/>
                          <w:sz w:val="18"/>
                          <w:szCs w:val="18"/>
                          <w:lang w:val="es-ES_tradnl"/>
                        </w:rPr>
                        <w:t>. Laura Susana Haro Jácome</w:t>
                      </w:r>
                      <w:r w:rsidRPr="00890650">
                        <w:rPr>
                          <w:rFonts w:asciiTheme="majorHAnsi" w:hAnsiTheme="majorHAnsi"/>
                          <w:color w:val="595959" w:themeColor="text1" w:themeTint="A6"/>
                          <w:sz w:val="18"/>
                          <w:szCs w:val="18"/>
                          <w:lang w:val="es-ES_tradnl"/>
                        </w:rPr>
                        <w:t xml:space="preserve">. </w:t>
                      </w:r>
                      <w:r w:rsidR="00B84E4B">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DC3702">
                        <w:rPr>
                          <w:rFonts w:asciiTheme="majorHAnsi" w:hAnsiTheme="majorHAnsi"/>
                          <w:color w:val="595959" w:themeColor="text1" w:themeTint="A6"/>
                          <w:sz w:val="18"/>
                          <w:szCs w:val="18"/>
                          <w:lang w:val="es-ES"/>
                        </w:rPr>
                        <w:t>12 de marzo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AC4C8A" w:rsidRDefault="00A50FCF" w:rsidP="00040C3A">
      <w:pPr>
        <w:tabs>
          <w:tab w:val="center" w:pos="5400"/>
        </w:tabs>
        <w:suppressAutoHyphens/>
        <w:jc w:val="center"/>
        <w:rPr>
          <w:rFonts w:asciiTheme="majorHAnsi" w:hAnsiTheme="majorHAnsi"/>
          <w:sz w:val="18"/>
          <w:szCs w:val="22"/>
          <w:lang w:val="es-ES"/>
        </w:rPr>
      </w:pPr>
    </w:p>
    <w:p w:rsidR="0090270B" w:rsidRPr="00AC4C8A" w:rsidRDefault="00D306D1" w:rsidP="005516A1">
      <w:pPr>
        <w:tabs>
          <w:tab w:val="center" w:pos="5400"/>
        </w:tabs>
        <w:suppressAutoHyphens/>
        <w:jc w:val="center"/>
        <w:rPr>
          <w:rFonts w:asciiTheme="majorHAnsi" w:hAnsiTheme="majorHAnsi"/>
          <w:b/>
          <w:sz w:val="20"/>
          <w:lang w:val="es-ES"/>
        </w:rPr>
      </w:pPr>
      <w:r w:rsidRPr="00AC4C8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C4C8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AC4C8A" w:rsidRDefault="004A6A54" w:rsidP="005516A1">
      <w:pPr>
        <w:tabs>
          <w:tab w:val="center" w:pos="5400"/>
        </w:tabs>
        <w:suppressAutoHyphens/>
        <w:jc w:val="center"/>
        <w:rPr>
          <w:rFonts w:asciiTheme="majorHAnsi" w:hAnsiTheme="majorHAnsi"/>
          <w:b/>
          <w:sz w:val="20"/>
          <w:lang w:val="es-ES"/>
        </w:rPr>
        <w:sectPr w:rsidR="0070697F" w:rsidRPr="00AC4C8A"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AC4C8A">
        <w:rPr>
          <w:rFonts w:asciiTheme="majorHAnsi" w:hAnsiTheme="majorHAnsi"/>
          <w:b/>
          <w:sz w:val="20"/>
          <w:lang w:val="es-ES"/>
        </w:rPr>
        <w:tab/>
      </w:r>
    </w:p>
    <w:p w:rsidR="003239B8" w:rsidRPr="00BD2EEE" w:rsidRDefault="003239B8" w:rsidP="004A6A54">
      <w:pPr>
        <w:spacing w:after="240"/>
        <w:ind w:firstLine="720"/>
        <w:jc w:val="both"/>
        <w:rPr>
          <w:rFonts w:asciiTheme="majorHAnsi" w:hAnsiTheme="majorHAnsi"/>
          <w:b/>
          <w:bCs/>
          <w:sz w:val="19"/>
          <w:szCs w:val="19"/>
          <w:lang w:val="es-ES"/>
        </w:rPr>
      </w:pPr>
      <w:r w:rsidRPr="00BD2EEE">
        <w:rPr>
          <w:rFonts w:asciiTheme="majorHAnsi" w:hAnsiTheme="majorHAnsi"/>
          <w:b/>
          <w:bCs/>
          <w:sz w:val="19"/>
          <w:szCs w:val="19"/>
          <w:lang w:val="es-ES"/>
        </w:rPr>
        <w:lastRenderedPageBreak/>
        <w:t>I.</w:t>
      </w:r>
      <w:r w:rsidRPr="00BD2EEE">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D2EEE" w:rsidTr="004A6A54">
        <w:tc>
          <w:tcPr>
            <w:tcW w:w="3600" w:type="dxa"/>
            <w:tcBorders>
              <w:top w:val="single" w:sz="4" w:space="0" w:color="auto"/>
              <w:bottom w:val="single" w:sz="6" w:space="0" w:color="auto"/>
            </w:tcBorders>
            <w:shd w:val="clear" w:color="auto" w:fill="386294"/>
            <w:vAlign w:val="center"/>
          </w:tcPr>
          <w:p w:rsidR="003239B8" w:rsidRPr="00BD2EEE" w:rsidRDefault="003239B8" w:rsidP="008D2290">
            <w:pPr>
              <w:jc w:val="center"/>
              <w:rPr>
                <w:rFonts w:asciiTheme="majorHAnsi" w:hAnsiTheme="majorHAnsi"/>
                <w:b/>
                <w:bCs/>
                <w:color w:val="FFFFFF" w:themeColor="background1"/>
                <w:sz w:val="19"/>
                <w:szCs w:val="19"/>
                <w:lang w:val="es-ES"/>
              </w:rPr>
            </w:pPr>
            <w:r w:rsidRPr="00BD2EEE">
              <w:rPr>
                <w:rFonts w:asciiTheme="majorHAnsi" w:hAnsiTheme="majorHAnsi"/>
                <w:b/>
                <w:bCs/>
                <w:color w:val="FFFFFF" w:themeColor="background1"/>
                <w:sz w:val="19"/>
                <w:szCs w:val="19"/>
                <w:lang w:val="es-ES"/>
              </w:rPr>
              <w:t>Parte peticionaria:</w:t>
            </w:r>
          </w:p>
        </w:tc>
        <w:tc>
          <w:tcPr>
            <w:tcW w:w="5760" w:type="dxa"/>
            <w:vAlign w:val="center"/>
          </w:tcPr>
          <w:p w:rsidR="003239B8" w:rsidRPr="00BD2EEE" w:rsidRDefault="004A79B6" w:rsidP="008D2290">
            <w:pPr>
              <w:jc w:val="both"/>
              <w:rPr>
                <w:rFonts w:asciiTheme="majorHAnsi" w:hAnsiTheme="majorHAnsi"/>
                <w:bCs/>
                <w:sz w:val="19"/>
                <w:szCs w:val="19"/>
                <w:lang w:val="es-ES"/>
              </w:rPr>
            </w:pPr>
            <w:r w:rsidRPr="00BD2EEE">
              <w:rPr>
                <w:rFonts w:asciiTheme="majorHAnsi" w:hAnsiTheme="majorHAnsi"/>
                <w:bCs/>
                <w:sz w:val="19"/>
                <w:szCs w:val="19"/>
                <w:lang w:val="es-ES"/>
              </w:rPr>
              <w:t>Laura Susana Haro Jácome</w:t>
            </w:r>
            <w:r w:rsidRPr="00BD2EEE">
              <w:rPr>
                <w:rStyle w:val="FootnoteReference"/>
                <w:rFonts w:asciiTheme="majorHAnsi" w:hAnsiTheme="majorHAnsi"/>
                <w:bCs/>
                <w:sz w:val="19"/>
                <w:szCs w:val="19"/>
                <w:lang w:val="es-ES"/>
              </w:rPr>
              <w:footnoteReference w:id="2"/>
            </w:r>
          </w:p>
        </w:tc>
      </w:tr>
      <w:tr w:rsidR="003239B8" w:rsidRPr="00BD2EEE" w:rsidTr="004A6A54">
        <w:tc>
          <w:tcPr>
            <w:tcW w:w="3600" w:type="dxa"/>
            <w:tcBorders>
              <w:top w:val="single" w:sz="6" w:space="0" w:color="auto"/>
              <w:bottom w:val="single" w:sz="6" w:space="0" w:color="auto"/>
            </w:tcBorders>
            <w:shd w:val="clear" w:color="auto" w:fill="386294"/>
            <w:vAlign w:val="center"/>
          </w:tcPr>
          <w:p w:rsidR="003239B8" w:rsidRPr="00BD2EEE" w:rsidRDefault="00DC5FAB" w:rsidP="008D2290">
            <w:pPr>
              <w:jc w:val="center"/>
              <w:rPr>
                <w:rFonts w:asciiTheme="majorHAnsi" w:hAnsiTheme="majorHAnsi"/>
                <w:b/>
                <w:bCs/>
                <w:color w:val="FFFFFF" w:themeColor="background1"/>
                <w:sz w:val="19"/>
                <w:szCs w:val="19"/>
                <w:lang w:val="es-ES"/>
              </w:rPr>
            </w:pPr>
            <w:sdt>
              <w:sdtPr>
                <w:rPr>
                  <w:rFonts w:asciiTheme="majorHAnsi" w:hAnsiTheme="majorHAnsi"/>
                  <w:b/>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D2EEE">
                  <w:rPr>
                    <w:rFonts w:asciiTheme="majorHAnsi" w:hAnsiTheme="majorHAnsi"/>
                    <w:b/>
                    <w:bCs/>
                    <w:color w:val="FFFFFF" w:themeColor="background1"/>
                    <w:sz w:val="19"/>
                    <w:szCs w:val="19"/>
                    <w:lang w:val="es-ES"/>
                  </w:rPr>
                  <w:t>Presunta víctima</w:t>
                </w:r>
              </w:sdtContent>
            </w:sdt>
            <w:r w:rsidR="003239B8" w:rsidRPr="00BD2EEE">
              <w:rPr>
                <w:rFonts w:asciiTheme="majorHAnsi" w:hAnsiTheme="majorHAnsi"/>
                <w:b/>
                <w:bCs/>
                <w:color w:val="FFFFFF" w:themeColor="background1"/>
                <w:sz w:val="19"/>
                <w:szCs w:val="19"/>
                <w:lang w:val="es-ES"/>
              </w:rPr>
              <w:t>:</w:t>
            </w:r>
          </w:p>
        </w:tc>
        <w:tc>
          <w:tcPr>
            <w:tcW w:w="5760" w:type="dxa"/>
            <w:vAlign w:val="center"/>
          </w:tcPr>
          <w:p w:rsidR="003239B8" w:rsidRPr="00BD2EEE" w:rsidRDefault="00B84E4B" w:rsidP="008D2290">
            <w:pPr>
              <w:jc w:val="both"/>
              <w:rPr>
                <w:rFonts w:asciiTheme="majorHAnsi" w:hAnsiTheme="majorHAnsi"/>
                <w:bCs/>
                <w:sz w:val="19"/>
                <w:szCs w:val="19"/>
                <w:lang w:val="es-ES"/>
              </w:rPr>
            </w:pPr>
            <w:r w:rsidRPr="00BD2EEE">
              <w:rPr>
                <w:rFonts w:asciiTheme="majorHAnsi" w:hAnsiTheme="majorHAnsi"/>
                <w:bCs/>
                <w:sz w:val="19"/>
                <w:szCs w:val="19"/>
                <w:lang w:val="es-ES"/>
              </w:rPr>
              <w:t>Laura Susana Haro Jácome</w:t>
            </w:r>
          </w:p>
        </w:tc>
      </w:tr>
      <w:tr w:rsidR="003239B8" w:rsidRPr="00BD2EEE" w:rsidTr="004A6A54">
        <w:tc>
          <w:tcPr>
            <w:tcW w:w="3600" w:type="dxa"/>
            <w:tcBorders>
              <w:top w:val="single" w:sz="6" w:space="0" w:color="auto"/>
              <w:bottom w:val="single" w:sz="6" w:space="0" w:color="auto"/>
            </w:tcBorders>
            <w:shd w:val="clear" w:color="auto" w:fill="386294"/>
            <w:vAlign w:val="center"/>
          </w:tcPr>
          <w:p w:rsidR="003239B8" w:rsidRPr="00BD2EEE" w:rsidRDefault="003239B8" w:rsidP="008D2290">
            <w:pPr>
              <w:jc w:val="center"/>
              <w:rPr>
                <w:rFonts w:asciiTheme="majorHAnsi" w:hAnsiTheme="majorHAnsi"/>
                <w:b/>
                <w:bCs/>
                <w:color w:val="FFFFFF" w:themeColor="background1"/>
                <w:sz w:val="19"/>
                <w:szCs w:val="19"/>
                <w:lang w:val="es-ES"/>
              </w:rPr>
            </w:pPr>
            <w:r w:rsidRPr="00BD2EEE">
              <w:rPr>
                <w:rFonts w:asciiTheme="majorHAnsi" w:hAnsiTheme="majorHAnsi"/>
                <w:b/>
                <w:bCs/>
                <w:color w:val="FFFFFF" w:themeColor="background1"/>
                <w:sz w:val="19"/>
                <w:szCs w:val="19"/>
                <w:lang w:val="es-ES"/>
              </w:rPr>
              <w:t>Estado denunciado:</w:t>
            </w:r>
          </w:p>
        </w:tc>
        <w:tc>
          <w:tcPr>
            <w:tcW w:w="5760" w:type="dxa"/>
            <w:vAlign w:val="center"/>
          </w:tcPr>
          <w:p w:rsidR="003239B8" w:rsidRPr="00BD2EEE" w:rsidRDefault="00B84E4B" w:rsidP="00D54B18">
            <w:pPr>
              <w:jc w:val="both"/>
              <w:rPr>
                <w:rFonts w:asciiTheme="majorHAnsi" w:hAnsiTheme="majorHAnsi"/>
                <w:bCs/>
                <w:sz w:val="19"/>
                <w:szCs w:val="19"/>
                <w:lang w:val="es-ES"/>
              </w:rPr>
            </w:pPr>
            <w:r w:rsidRPr="00BD2EEE">
              <w:rPr>
                <w:rFonts w:asciiTheme="majorHAnsi" w:hAnsiTheme="majorHAnsi"/>
                <w:bCs/>
                <w:sz w:val="19"/>
                <w:szCs w:val="19"/>
                <w:lang w:val="es-ES"/>
              </w:rPr>
              <w:t>Ecuador</w:t>
            </w:r>
          </w:p>
        </w:tc>
      </w:tr>
      <w:tr w:rsidR="00223A29" w:rsidRPr="00BD2EEE" w:rsidTr="004A6A54">
        <w:tc>
          <w:tcPr>
            <w:tcW w:w="3600" w:type="dxa"/>
            <w:tcBorders>
              <w:top w:val="single" w:sz="6" w:space="0" w:color="auto"/>
              <w:bottom w:val="single" w:sz="6" w:space="0" w:color="auto"/>
            </w:tcBorders>
            <w:shd w:val="clear" w:color="auto" w:fill="386294"/>
            <w:vAlign w:val="center"/>
          </w:tcPr>
          <w:p w:rsidR="00223A29" w:rsidRPr="00BD2EEE" w:rsidRDefault="001B3A00" w:rsidP="00E4118C">
            <w:pPr>
              <w:jc w:val="center"/>
              <w:rPr>
                <w:rFonts w:asciiTheme="majorHAnsi" w:hAnsiTheme="majorHAnsi"/>
                <w:b/>
                <w:bCs/>
                <w:color w:val="FFFFFF" w:themeColor="background1"/>
                <w:sz w:val="19"/>
                <w:szCs w:val="19"/>
                <w:lang w:val="es-ES"/>
              </w:rPr>
            </w:pPr>
            <w:r w:rsidRPr="00BD2EEE">
              <w:rPr>
                <w:rFonts w:asciiTheme="majorHAnsi" w:hAnsiTheme="majorHAnsi"/>
                <w:b/>
                <w:bCs/>
                <w:color w:val="FFFFFF" w:themeColor="background1"/>
                <w:sz w:val="19"/>
                <w:szCs w:val="19"/>
                <w:lang w:val="es-ES"/>
              </w:rPr>
              <w:t xml:space="preserve">Derechos </w:t>
            </w:r>
            <w:r w:rsidR="00E4118C" w:rsidRPr="00BD2EEE">
              <w:rPr>
                <w:rFonts w:asciiTheme="majorHAnsi" w:hAnsiTheme="majorHAnsi"/>
                <w:b/>
                <w:bCs/>
                <w:color w:val="FFFFFF" w:themeColor="background1"/>
                <w:sz w:val="19"/>
                <w:szCs w:val="19"/>
                <w:lang w:val="es-ES"/>
              </w:rPr>
              <w:t>invocados</w:t>
            </w:r>
            <w:r w:rsidRPr="00BD2EEE">
              <w:rPr>
                <w:rFonts w:asciiTheme="majorHAnsi" w:hAnsiTheme="majorHAnsi"/>
                <w:b/>
                <w:bCs/>
                <w:color w:val="FFFFFF" w:themeColor="background1"/>
                <w:sz w:val="19"/>
                <w:szCs w:val="19"/>
                <w:lang w:val="es-ES"/>
              </w:rPr>
              <w:t>:</w:t>
            </w:r>
          </w:p>
        </w:tc>
        <w:tc>
          <w:tcPr>
            <w:tcW w:w="5760" w:type="dxa"/>
            <w:vAlign w:val="center"/>
          </w:tcPr>
          <w:p w:rsidR="00223A29" w:rsidRPr="00BD2EEE" w:rsidRDefault="0064039E" w:rsidP="00BD2EEE">
            <w:pPr>
              <w:jc w:val="both"/>
              <w:rPr>
                <w:rFonts w:asciiTheme="majorHAnsi" w:hAnsiTheme="majorHAnsi"/>
                <w:bCs/>
                <w:sz w:val="19"/>
                <w:szCs w:val="19"/>
                <w:lang w:val="es-ES"/>
              </w:rPr>
            </w:pPr>
            <w:r w:rsidRPr="00BD2EEE">
              <w:rPr>
                <w:rFonts w:asciiTheme="majorHAnsi" w:hAnsiTheme="majorHAnsi"/>
                <w:bCs/>
                <w:sz w:val="19"/>
                <w:szCs w:val="19"/>
                <w:lang w:val="es-ES"/>
              </w:rPr>
              <w:t xml:space="preserve">No especifica </w:t>
            </w:r>
          </w:p>
        </w:tc>
      </w:tr>
    </w:tbl>
    <w:p w:rsidR="003239B8" w:rsidRPr="00BD2EEE" w:rsidRDefault="003239B8" w:rsidP="003239B8">
      <w:pPr>
        <w:spacing w:before="240" w:after="240"/>
        <w:ind w:firstLine="720"/>
        <w:jc w:val="both"/>
        <w:rPr>
          <w:rFonts w:asciiTheme="majorHAnsi" w:hAnsiTheme="majorHAnsi"/>
          <w:b/>
          <w:bCs/>
          <w:sz w:val="19"/>
          <w:szCs w:val="19"/>
          <w:lang w:val="es-ES"/>
        </w:rPr>
      </w:pPr>
      <w:r w:rsidRPr="00BD2EEE">
        <w:rPr>
          <w:rFonts w:asciiTheme="majorHAnsi" w:hAnsiTheme="majorHAnsi"/>
          <w:b/>
          <w:bCs/>
          <w:sz w:val="19"/>
          <w:szCs w:val="19"/>
          <w:lang w:val="es-ES"/>
        </w:rPr>
        <w:t>II.</w:t>
      </w:r>
      <w:r w:rsidRPr="00BD2EEE">
        <w:rPr>
          <w:rFonts w:asciiTheme="majorHAnsi" w:hAnsiTheme="majorHAnsi"/>
          <w:b/>
          <w:bCs/>
          <w:sz w:val="19"/>
          <w:szCs w:val="19"/>
          <w:lang w:val="es-ES"/>
        </w:rPr>
        <w:tab/>
        <w:t>TRÁMITE ANTE LA CIDH</w:t>
      </w:r>
      <w:r w:rsidR="008E3BFE" w:rsidRPr="00BD2EEE">
        <w:rPr>
          <w:rStyle w:val="FootnoteReference"/>
          <w:rFonts w:asciiTheme="majorHAnsi" w:hAnsiTheme="majorHAnsi"/>
          <w:b/>
          <w:sz w:val="19"/>
          <w:szCs w:val="19"/>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D2EEE" w:rsidTr="004A6A54">
        <w:tc>
          <w:tcPr>
            <w:tcW w:w="3600" w:type="dxa"/>
            <w:tcBorders>
              <w:top w:val="single" w:sz="6" w:space="0" w:color="auto"/>
              <w:bottom w:val="single" w:sz="6" w:space="0" w:color="auto"/>
            </w:tcBorders>
            <w:shd w:val="clear" w:color="auto" w:fill="386294"/>
            <w:vAlign w:val="center"/>
          </w:tcPr>
          <w:p w:rsidR="004C2312" w:rsidRPr="00BD2EEE" w:rsidRDefault="004A6A54" w:rsidP="004A6A54">
            <w:pPr>
              <w:jc w:val="center"/>
              <w:rPr>
                <w:rFonts w:asciiTheme="majorHAnsi" w:hAnsiTheme="majorHAnsi"/>
                <w:b/>
                <w:bCs/>
                <w:color w:val="FFFFFF" w:themeColor="background1"/>
                <w:sz w:val="19"/>
                <w:szCs w:val="19"/>
                <w:lang w:val="es-ES"/>
              </w:rPr>
            </w:pPr>
            <w:r w:rsidRPr="00BD2EEE">
              <w:rPr>
                <w:rFonts w:asciiTheme="majorHAnsi" w:hAnsiTheme="majorHAnsi"/>
                <w:b/>
                <w:bCs/>
                <w:color w:val="FFFFFF" w:themeColor="background1"/>
                <w:sz w:val="19"/>
                <w:szCs w:val="19"/>
                <w:lang w:val="es-ES"/>
              </w:rPr>
              <w:t>P</w:t>
            </w:r>
            <w:r w:rsidR="004C2312" w:rsidRPr="00BD2EEE">
              <w:rPr>
                <w:rFonts w:asciiTheme="majorHAnsi" w:hAnsiTheme="majorHAnsi"/>
                <w:b/>
                <w:bCs/>
                <w:color w:val="FFFFFF" w:themeColor="background1"/>
                <w:sz w:val="19"/>
                <w:szCs w:val="19"/>
                <w:lang w:val="es-ES"/>
              </w:rPr>
              <w:t>resentación de la petición:</w:t>
            </w:r>
          </w:p>
        </w:tc>
        <w:tc>
          <w:tcPr>
            <w:tcW w:w="5760" w:type="dxa"/>
            <w:vAlign w:val="center"/>
          </w:tcPr>
          <w:p w:rsidR="004C2312" w:rsidRPr="00BD2EEE" w:rsidRDefault="006D1C69" w:rsidP="002625EA">
            <w:pPr>
              <w:jc w:val="both"/>
              <w:rPr>
                <w:rFonts w:asciiTheme="majorHAnsi" w:hAnsiTheme="majorHAnsi"/>
                <w:bCs/>
                <w:sz w:val="19"/>
                <w:szCs w:val="19"/>
                <w:lang w:val="es-ES"/>
              </w:rPr>
            </w:pPr>
            <w:r w:rsidRPr="00BD2EEE">
              <w:rPr>
                <w:rFonts w:asciiTheme="majorHAnsi" w:hAnsiTheme="majorHAnsi"/>
                <w:bCs/>
                <w:sz w:val="19"/>
                <w:szCs w:val="19"/>
                <w:lang w:val="es-ES"/>
              </w:rPr>
              <w:t>26 de abril de 2008</w:t>
            </w:r>
          </w:p>
        </w:tc>
      </w:tr>
      <w:tr w:rsidR="001E49E7" w:rsidRPr="005648AE" w:rsidTr="004A6A54">
        <w:tc>
          <w:tcPr>
            <w:tcW w:w="3600" w:type="dxa"/>
            <w:tcBorders>
              <w:top w:val="single" w:sz="6" w:space="0" w:color="auto"/>
              <w:bottom w:val="single" w:sz="6" w:space="0" w:color="auto"/>
            </w:tcBorders>
            <w:shd w:val="clear" w:color="auto" w:fill="386294"/>
            <w:vAlign w:val="center"/>
          </w:tcPr>
          <w:p w:rsidR="001E49E7" w:rsidRPr="00BD2EEE" w:rsidRDefault="001E49E7" w:rsidP="001E49E7">
            <w:pPr>
              <w:jc w:val="center"/>
              <w:rPr>
                <w:rFonts w:asciiTheme="majorHAnsi" w:hAnsiTheme="majorHAnsi"/>
                <w:b/>
                <w:bCs/>
                <w:color w:val="FFFFFF" w:themeColor="background1"/>
                <w:sz w:val="19"/>
                <w:szCs w:val="19"/>
                <w:lang w:val="es-ES"/>
              </w:rPr>
            </w:pPr>
            <w:r w:rsidRPr="00BD2EEE">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BD2EEE" w:rsidRDefault="0082139D" w:rsidP="00AC4C8A">
            <w:pPr>
              <w:jc w:val="both"/>
              <w:rPr>
                <w:rFonts w:asciiTheme="majorHAnsi" w:hAnsiTheme="majorHAnsi"/>
                <w:bCs/>
                <w:color w:val="FFFFFF" w:themeColor="background1"/>
                <w:sz w:val="19"/>
                <w:szCs w:val="19"/>
                <w:lang w:val="es-ES"/>
              </w:rPr>
            </w:pPr>
            <w:r w:rsidRPr="00BD2EEE">
              <w:rPr>
                <w:rFonts w:asciiTheme="majorHAnsi" w:hAnsiTheme="majorHAnsi"/>
                <w:bCs/>
                <w:sz w:val="19"/>
                <w:szCs w:val="19"/>
                <w:lang w:val="es-ES"/>
              </w:rPr>
              <w:t>8 de junio de 2011; 25 de febrero de 2014</w:t>
            </w:r>
            <w:r w:rsidR="002C2B55" w:rsidRPr="00BD2EEE">
              <w:rPr>
                <w:rFonts w:asciiTheme="majorHAnsi" w:hAnsiTheme="majorHAnsi"/>
                <w:bCs/>
                <w:sz w:val="19"/>
                <w:szCs w:val="19"/>
                <w:lang w:val="es-ES"/>
              </w:rPr>
              <w:t>; 28 de diciembre de 2015</w:t>
            </w:r>
          </w:p>
        </w:tc>
      </w:tr>
      <w:tr w:rsidR="004C2312" w:rsidRPr="00BD2EEE" w:rsidTr="004A6A54">
        <w:tc>
          <w:tcPr>
            <w:tcW w:w="3600" w:type="dxa"/>
            <w:tcBorders>
              <w:top w:val="single" w:sz="6" w:space="0" w:color="auto"/>
              <w:bottom w:val="single" w:sz="6" w:space="0" w:color="auto"/>
            </w:tcBorders>
            <w:shd w:val="clear" w:color="auto" w:fill="386294"/>
            <w:vAlign w:val="center"/>
          </w:tcPr>
          <w:p w:rsidR="004C2312" w:rsidRPr="00BD2EEE" w:rsidRDefault="004A6A54" w:rsidP="004A6A54">
            <w:pPr>
              <w:jc w:val="center"/>
              <w:rPr>
                <w:rFonts w:asciiTheme="majorHAnsi" w:hAnsiTheme="majorHAnsi"/>
                <w:b/>
                <w:bCs/>
                <w:color w:val="FFFFFF" w:themeColor="background1"/>
                <w:sz w:val="19"/>
                <w:szCs w:val="19"/>
                <w:lang w:val="es-ES"/>
              </w:rPr>
            </w:pPr>
            <w:r w:rsidRPr="00BD2EEE">
              <w:rPr>
                <w:rFonts w:asciiTheme="majorHAnsi" w:hAnsiTheme="majorHAnsi"/>
                <w:b/>
                <w:color w:val="FFFFFF" w:themeColor="background1"/>
                <w:sz w:val="19"/>
                <w:szCs w:val="19"/>
                <w:lang w:val="es-ES"/>
              </w:rPr>
              <w:t>N</w:t>
            </w:r>
            <w:r w:rsidR="004C2312" w:rsidRPr="00BD2EEE">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BD2EEE" w:rsidRDefault="00F20144" w:rsidP="008D2290">
            <w:pPr>
              <w:jc w:val="both"/>
              <w:rPr>
                <w:rFonts w:asciiTheme="majorHAnsi" w:hAnsiTheme="majorHAnsi"/>
                <w:bCs/>
                <w:sz w:val="19"/>
                <w:szCs w:val="19"/>
                <w:lang w:val="es-ES"/>
              </w:rPr>
            </w:pPr>
            <w:r w:rsidRPr="00BD2EEE">
              <w:rPr>
                <w:rFonts w:asciiTheme="majorHAnsi" w:hAnsiTheme="majorHAnsi"/>
                <w:bCs/>
                <w:sz w:val="19"/>
                <w:szCs w:val="19"/>
                <w:lang w:val="es-ES"/>
              </w:rPr>
              <w:t>3 de marzo de 2017</w:t>
            </w:r>
          </w:p>
        </w:tc>
      </w:tr>
      <w:tr w:rsidR="004C2312" w:rsidRPr="00BD2EEE" w:rsidTr="004A6A54">
        <w:tc>
          <w:tcPr>
            <w:tcW w:w="3600" w:type="dxa"/>
            <w:tcBorders>
              <w:top w:val="single" w:sz="6" w:space="0" w:color="auto"/>
              <w:bottom w:val="single" w:sz="6" w:space="0" w:color="auto"/>
            </w:tcBorders>
            <w:shd w:val="clear" w:color="auto" w:fill="386294"/>
            <w:vAlign w:val="center"/>
          </w:tcPr>
          <w:p w:rsidR="004C2312" w:rsidRPr="00BD2EEE" w:rsidRDefault="004A6A54" w:rsidP="004A6A54">
            <w:pPr>
              <w:jc w:val="center"/>
              <w:rPr>
                <w:rFonts w:asciiTheme="majorHAnsi" w:hAnsiTheme="majorHAnsi"/>
                <w:b/>
                <w:bCs/>
                <w:color w:val="FFFFFF" w:themeColor="background1"/>
                <w:sz w:val="19"/>
                <w:szCs w:val="19"/>
                <w:lang w:val="es-ES"/>
              </w:rPr>
            </w:pPr>
            <w:r w:rsidRPr="00BD2EEE">
              <w:rPr>
                <w:rFonts w:asciiTheme="majorHAnsi" w:hAnsiTheme="majorHAnsi"/>
                <w:b/>
                <w:color w:val="FFFFFF" w:themeColor="background1"/>
                <w:sz w:val="19"/>
                <w:szCs w:val="19"/>
                <w:lang w:val="es-ES"/>
              </w:rPr>
              <w:t>P</w:t>
            </w:r>
            <w:r w:rsidR="004C2312" w:rsidRPr="00BD2EEE">
              <w:rPr>
                <w:rFonts w:asciiTheme="majorHAnsi" w:hAnsiTheme="majorHAnsi"/>
                <w:b/>
                <w:color w:val="FFFFFF" w:themeColor="background1"/>
                <w:sz w:val="19"/>
                <w:szCs w:val="19"/>
                <w:lang w:val="es-ES"/>
              </w:rPr>
              <w:t>rimera respuesta del Estado:</w:t>
            </w:r>
          </w:p>
        </w:tc>
        <w:tc>
          <w:tcPr>
            <w:tcW w:w="5760" w:type="dxa"/>
            <w:vAlign w:val="center"/>
          </w:tcPr>
          <w:p w:rsidR="004C2312" w:rsidRPr="00BD2EEE" w:rsidRDefault="00F20144" w:rsidP="008D2290">
            <w:pPr>
              <w:jc w:val="both"/>
              <w:rPr>
                <w:rFonts w:asciiTheme="majorHAnsi" w:hAnsiTheme="majorHAnsi"/>
                <w:bCs/>
                <w:sz w:val="19"/>
                <w:szCs w:val="19"/>
                <w:lang w:val="es-ES"/>
              </w:rPr>
            </w:pPr>
            <w:r w:rsidRPr="00BD2EEE">
              <w:rPr>
                <w:rFonts w:asciiTheme="majorHAnsi" w:hAnsiTheme="majorHAnsi"/>
                <w:bCs/>
                <w:sz w:val="19"/>
                <w:szCs w:val="19"/>
                <w:lang w:val="es-ES"/>
              </w:rPr>
              <w:t>29 de junio de 2017</w:t>
            </w:r>
          </w:p>
        </w:tc>
      </w:tr>
      <w:tr w:rsidR="004C2312" w:rsidRPr="00BD2EEE" w:rsidTr="004A6A54">
        <w:tc>
          <w:tcPr>
            <w:tcW w:w="3600" w:type="dxa"/>
            <w:tcBorders>
              <w:top w:val="single" w:sz="6" w:space="0" w:color="auto"/>
              <w:bottom w:val="single" w:sz="6" w:space="0" w:color="auto"/>
            </w:tcBorders>
            <w:shd w:val="clear" w:color="auto" w:fill="386294"/>
            <w:vAlign w:val="center"/>
          </w:tcPr>
          <w:p w:rsidR="004C2312" w:rsidRPr="00BD2EEE" w:rsidRDefault="008E3BFE" w:rsidP="008E3BFE">
            <w:pPr>
              <w:jc w:val="center"/>
              <w:rPr>
                <w:rFonts w:asciiTheme="majorHAnsi" w:hAnsiTheme="majorHAnsi"/>
                <w:b/>
                <w:bCs/>
                <w:color w:val="FFFFFF" w:themeColor="background1"/>
                <w:sz w:val="19"/>
                <w:szCs w:val="19"/>
                <w:lang w:val="es-ES"/>
              </w:rPr>
            </w:pPr>
            <w:r w:rsidRPr="00BD2EEE">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BD2EEE" w:rsidRDefault="00F20144" w:rsidP="008D2290">
            <w:pPr>
              <w:jc w:val="both"/>
              <w:rPr>
                <w:rFonts w:asciiTheme="majorHAnsi" w:hAnsiTheme="majorHAnsi"/>
                <w:bCs/>
                <w:sz w:val="19"/>
                <w:szCs w:val="19"/>
                <w:lang w:val="es-ES"/>
              </w:rPr>
            </w:pPr>
            <w:r w:rsidRPr="00BD2EEE">
              <w:rPr>
                <w:rFonts w:asciiTheme="majorHAnsi" w:hAnsiTheme="majorHAnsi"/>
                <w:bCs/>
                <w:sz w:val="19"/>
                <w:szCs w:val="19"/>
                <w:lang w:val="es-ES"/>
              </w:rPr>
              <w:t>28 de agosto de 2017</w:t>
            </w:r>
          </w:p>
        </w:tc>
      </w:tr>
      <w:tr w:rsidR="004C2312" w:rsidRPr="005648AE" w:rsidTr="004A6A54">
        <w:tc>
          <w:tcPr>
            <w:tcW w:w="3600" w:type="dxa"/>
            <w:tcBorders>
              <w:top w:val="single" w:sz="6" w:space="0" w:color="auto"/>
              <w:bottom w:val="single" w:sz="6" w:space="0" w:color="auto"/>
            </w:tcBorders>
            <w:shd w:val="clear" w:color="auto" w:fill="386294"/>
            <w:vAlign w:val="center"/>
          </w:tcPr>
          <w:p w:rsidR="004C2312" w:rsidRPr="00BD2EEE" w:rsidRDefault="004C2312" w:rsidP="008E3BFE">
            <w:pPr>
              <w:jc w:val="center"/>
              <w:rPr>
                <w:rFonts w:asciiTheme="majorHAnsi" w:hAnsiTheme="majorHAnsi"/>
                <w:b/>
                <w:bCs/>
                <w:color w:val="FFFFFF" w:themeColor="background1"/>
                <w:sz w:val="19"/>
                <w:szCs w:val="19"/>
                <w:lang w:val="es-ES"/>
              </w:rPr>
            </w:pPr>
            <w:r w:rsidRPr="00BD2EEE">
              <w:rPr>
                <w:rFonts w:asciiTheme="majorHAnsi" w:hAnsiTheme="majorHAnsi"/>
                <w:b/>
                <w:bCs/>
                <w:color w:val="FFFFFF" w:themeColor="background1"/>
                <w:sz w:val="19"/>
                <w:szCs w:val="19"/>
                <w:lang w:val="es-ES"/>
              </w:rPr>
              <w:t>Observaciones adicionales del Estado:</w:t>
            </w:r>
          </w:p>
        </w:tc>
        <w:tc>
          <w:tcPr>
            <w:tcW w:w="5760" w:type="dxa"/>
            <w:vAlign w:val="center"/>
          </w:tcPr>
          <w:p w:rsidR="004C2312" w:rsidRPr="00BD2EEE" w:rsidRDefault="00F20144" w:rsidP="008D2290">
            <w:pPr>
              <w:jc w:val="both"/>
              <w:rPr>
                <w:rFonts w:asciiTheme="majorHAnsi" w:hAnsiTheme="majorHAnsi"/>
                <w:bCs/>
                <w:sz w:val="19"/>
                <w:szCs w:val="19"/>
                <w:lang w:val="es-ES"/>
              </w:rPr>
            </w:pPr>
            <w:r w:rsidRPr="00BD2EEE">
              <w:rPr>
                <w:rFonts w:asciiTheme="majorHAnsi" w:hAnsiTheme="majorHAnsi"/>
                <w:bCs/>
                <w:sz w:val="19"/>
                <w:szCs w:val="19"/>
                <w:lang w:val="es-ES"/>
              </w:rPr>
              <w:t xml:space="preserve">18 de enero </w:t>
            </w:r>
            <w:r w:rsidR="006B2998" w:rsidRPr="00BD2EEE">
              <w:rPr>
                <w:rFonts w:asciiTheme="majorHAnsi" w:hAnsiTheme="majorHAnsi"/>
                <w:bCs/>
                <w:sz w:val="19"/>
                <w:szCs w:val="19"/>
                <w:lang w:val="es-ES"/>
              </w:rPr>
              <w:t xml:space="preserve">y 7 de febrero </w:t>
            </w:r>
            <w:r w:rsidRPr="00BD2EEE">
              <w:rPr>
                <w:rFonts w:asciiTheme="majorHAnsi" w:hAnsiTheme="majorHAnsi"/>
                <w:bCs/>
                <w:sz w:val="19"/>
                <w:szCs w:val="19"/>
                <w:lang w:val="es-ES"/>
              </w:rPr>
              <w:t>de 2018</w:t>
            </w:r>
          </w:p>
        </w:tc>
      </w:tr>
    </w:tbl>
    <w:p w:rsidR="003239B8" w:rsidRPr="00BD2EEE" w:rsidRDefault="003239B8" w:rsidP="003239B8">
      <w:pPr>
        <w:spacing w:before="240" w:after="240"/>
        <w:ind w:firstLine="720"/>
        <w:jc w:val="both"/>
        <w:rPr>
          <w:rFonts w:asciiTheme="majorHAnsi" w:hAnsiTheme="majorHAnsi"/>
          <w:b/>
          <w:bCs/>
          <w:sz w:val="19"/>
          <w:szCs w:val="19"/>
          <w:lang w:val="es-ES"/>
        </w:rPr>
      </w:pPr>
      <w:r w:rsidRPr="00BD2EEE">
        <w:rPr>
          <w:rFonts w:asciiTheme="majorHAnsi" w:hAnsiTheme="majorHAnsi"/>
          <w:b/>
          <w:bCs/>
          <w:sz w:val="19"/>
          <w:szCs w:val="19"/>
          <w:lang w:val="es-ES"/>
        </w:rPr>
        <w:t xml:space="preserve">III. </w:t>
      </w:r>
      <w:r w:rsidRPr="00BD2EEE">
        <w:rPr>
          <w:rFonts w:asciiTheme="majorHAnsi" w:hAnsiTheme="majorHAnsi"/>
          <w:b/>
          <w:bCs/>
          <w:sz w:val="19"/>
          <w:szCs w:val="19"/>
          <w:lang w:val="es-ES"/>
        </w:rPr>
        <w:tab/>
        <w:t>COMPETENCIA</w:t>
      </w:r>
      <w:r w:rsidR="00EE00E9" w:rsidRPr="00BD2EEE">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D2EEE" w:rsidTr="004A6A54">
        <w:trPr>
          <w:cantSplit/>
        </w:trPr>
        <w:tc>
          <w:tcPr>
            <w:tcW w:w="3600" w:type="dxa"/>
            <w:tcBorders>
              <w:top w:val="single" w:sz="4" w:space="0" w:color="auto"/>
              <w:bottom w:val="single" w:sz="6" w:space="0" w:color="auto"/>
            </w:tcBorders>
            <w:shd w:val="clear" w:color="auto" w:fill="386294"/>
            <w:vAlign w:val="center"/>
          </w:tcPr>
          <w:p w:rsidR="003239B8" w:rsidRPr="00BD2EEE" w:rsidRDefault="003239B8" w:rsidP="008D2290">
            <w:pPr>
              <w:jc w:val="center"/>
              <w:rPr>
                <w:rFonts w:asciiTheme="majorHAnsi" w:hAnsiTheme="majorHAnsi"/>
                <w:b/>
                <w:bCs/>
                <w:i/>
                <w:color w:val="FFFFFF" w:themeColor="background1"/>
                <w:sz w:val="19"/>
                <w:szCs w:val="19"/>
                <w:lang w:val="es-ES"/>
              </w:rPr>
            </w:pPr>
            <w:r w:rsidRPr="00BD2EEE">
              <w:rPr>
                <w:rFonts w:asciiTheme="majorHAnsi" w:hAnsiTheme="majorHAnsi"/>
                <w:b/>
                <w:bCs/>
                <w:color w:val="FFFFFF" w:themeColor="background1"/>
                <w:sz w:val="19"/>
                <w:szCs w:val="19"/>
                <w:lang w:val="es-ES"/>
              </w:rPr>
              <w:t>Competencia</w:t>
            </w:r>
            <w:r w:rsidRPr="00BD2EEE">
              <w:rPr>
                <w:rFonts w:asciiTheme="majorHAnsi" w:hAnsiTheme="majorHAnsi"/>
                <w:b/>
                <w:bCs/>
                <w:i/>
                <w:color w:val="FFFFFF" w:themeColor="background1"/>
                <w:sz w:val="19"/>
                <w:szCs w:val="19"/>
                <w:lang w:val="es-ES"/>
              </w:rPr>
              <w:t xml:space="preserve"> </w:t>
            </w:r>
            <w:proofErr w:type="spellStart"/>
            <w:r w:rsidRPr="00BD2EEE">
              <w:rPr>
                <w:rFonts w:asciiTheme="majorHAnsi" w:hAnsiTheme="majorHAnsi"/>
                <w:b/>
                <w:bCs/>
                <w:i/>
                <w:color w:val="FFFFFF" w:themeColor="background1"/>
                <w:sz w:val="19"/>
                <w:szCs w:val="19"/>
                <w:lang w:val="es-ES"/>
              </w:rPr>
              <w:t>Ratione</w:t>
            </w:r>
            <w:proofErr w:type="spellEnd"/>
            <w:r w:rsidRPr="00BD2EEE">
              <w:rPr>
                <w:rFonts w:asciiTheme="majorHAnsi" w:hAnsiTheme="majorHAnsi"/>
                <w:b/>
                <w:bCs/>
                <w:i/>
                <w:color w:val="FFFFFF" w:themeColor="background1"/>
                <w:sz w:val="19"/>
                <w:szCs w:val="19"/>
                <w:lang w:val="es-ES"/>
              </w:rPr>
              <w:t xml:space="preserve"> </w:t>
            </w:r>
            <w:proofErr w:type="spellStart"/>
            <w:r w:rsidRPr="00BD2EEE">
              <w:rPr>
                <w:rFonts w:asciiTheme="majorHAnsi" w:hAnsiTheme="majorHAnsi"/>
                <w:b/>
                <w:bCs/>
                <w:i/>
                <w:color w:val="FFFFFF" w:themeColor="background1"/>
                <w:sz w:val="19"/>
                <w:szCs w:val="19"/>
                <w:lang w:val="es-ES"/>
              </w:rPr>
              <w:t>personae</w:t>
            </w:r>
            <w:proofErr w:type="spellEnd"/>
            <w:r w:rsidRPr="00BD2EEE">
              <w:rPr>
                <w:rFonts w:asciiTheme="majorHAnsi" w:hAnsiTheme="majorHAnsi"/>
                <w:b/>
                <w:bCs/>
                <w:i/>
                <w:color w:val="FFFFFF" w:themeColor="background1"/>
                <w:sz w:val="19"/>
                <w:szCs w:val="19"/>
                <w:lang w:val="es-ES"/>
              </w:rPr>
              <w:t>:</w:t>
            </w:r>
          </w:p>
        </w:tc>
        <w:tc>
          <w:tcPr>
            <w:tcW w:w="5760" w:type="dxa"/>
            <w:vAlign w:val="center"/>
          </w:tcPr>
          <w:p w:rsidR="003239B8" w:rsidRPr="00BD2EEE" w:rsidRDefault="00D54B18" w:rsidP="008D2290">
            <w:pPr>
              <w:rPr>
                <w:rFonts w:asciiTheme="majorHAnsi" w:hAnsiTheme="majorHAnsi"/>
                <w:bCs/>
                <w:sz w:val="19"/>
                <w:szCs w:val="19"/>
                <w:lang w:val="es-ES"/>
              </w:rPr>
            </w:pPr>
            <w:r w:rsidRPr="00BD2EEE">
              <w:rPr>
                <w:rFonts w:asciiTheme="majorHAnsi" w:hAnsiTheme="majorHAnsi"/>
                <w:bCs/>
                <w:sz w:val="19"/>
                <w:szCs w:val="19"/>
                <w:lang w:val="es-ES"/>
              </w:rPr>
              <w:t>Sí</w:t>
            </w:r>
          </w:p>
        </w:tc>
      </w:tr>
      <w:tr w:rsidR="003239B8" w:rsidRPr="00BD2EEE" w:rsidTr="004A6A54">
        <w:trPr>
          <w:cantSplit/>
        </w:trPr>
        <w:tc>
          <w:tcPr>
            <w:tcW w:w="3600" w:type="dxa"/>
            <w:tcBorders>
              <w:top w:val="single" w:sz="6" w:space="0" w:color="auto"/>
              <w:bottom w:val="single" w:sz="6" w:space="0" w:color="auto"/>
            </w:tcBorders>
            <w:shd w:val="clear" w:color="auto" w:fill="386294"/>
            <w:vAlign w:val="center"/>
          </w:tcPr>
          <w:p w:rsidR="003239B8" w:rsidRPr="00BD2EEE" w:rsidRDefault="003239B8" w:rsidP="008D2290">
            <w:pPr>
              <w:jc w:val="center"/>
              <w:rPr>
                <w:rFonts w:asciiTheme="majorHAnsi" w:hAnsiTheme="majorHAnsi"/>
                <w:b/>
                <w:bCs/>
                <w:color w:val="FFFFFF" w:themeColor="background1"/>
                <w:sz w:val="19"/>
                <w:szCs w:val="19"/>
                <w:lang w:val="es-ES"/>
              </w:rPr>
            </w:pPr>
            <w:r w:rsidRPr="00BD2EEE">
              <w:rPr>
                <w:rFonts w:asciiTheme="majorHAnsi" w:hAnsiTheme="majorHAnsi"/>
                <w:b/>
                <w:bCs/>
                <w:color w:val="FFFFFF" w:themeColor="background1"/>
                <w:sz w:val="19"/>
                <w:szCs w:val="19"/>
                <w:lang w:val="es-ES"/>
              </w:rPr>
              <w:t>Competencia</w:t>
            </w:r>
            <w:r w:rsidRPr="00BD2EEE">
              <w:rPr>
                <w:rFonts w:asciiTheme="majorHAnsi" w:hAnsiTheme="majorHAnsi"/>
                <w:b/>
                <w:bCs/>
                <w:i/>
                <w:color w:val="FFFFFF" w:themeColor="background1"/>
                <w:sz w:val="19"/>
                <w:szCs w:val="19"/>
                <w:lang w:val="es-ES"/>
              </w:rPr>
              <w:t xml:space="preserve"> </w:t>
            </w:r>
            <w:proofErr w:type="spellStart"/>
            <w:r w:rsidRPr="00BD2EEE">
              <w:rPr>
                <w:rFonts w:asciiTheme="majorHAnsi" w:hAnsiTheme="majorHAnsi"/>
                <w:b/>
                <w:bCs/>
                <w:i/>
                <w:color w:val="FFFFFF" w:themeColor="background1"/>
                <w:sz w:val="19"/>
                <w:szCs w:val="19"/>
                <w:lang w:val="es-ES"/>
              </w:rPr>
              <w:t>Ratione</w:t>
            </w:r>
            <w:proofErr w:type="spellEnd"/>
            <w:r w:rsidRPr="00BD2EEE">
              <w:rPr>
                <w:rFonts w:asciiTheme="majorHAnsi" w:hAnsiTheme="majorHAnsi"/>
                <w:b/>
                <w:bCs/>
                <w:i/>
                <w:color w:val="FFFFFF" w:themeColor="background1"/>
                <w:sz w:val="19"/>
                <w:szCs w:val="19"/>
                <w:lang w:val="es-ES"/>
              </w:rPr>
              <w:t xml:space="preserve"> </w:t>
            </w:r>
            <w:proofErr w:type="spellStart"/>
            <w:r w:rsidRPr="00BD2EEE">
              <w:rPr>
                <w:rFonts w:asciiTheme="majorHAnsi" w:hAnsiTheme="majorHAnsi"/>
                <w:b/>
                <w:bCs/>
                <w:i/>
                <w:color w:val="FFFFFF" w:themeColor="background1"/>
                <w:sz w:val="19"/>
                <w:szCs w:val="19"/>
                <w:lang w:val="es-ES"/>
              </w:rPr>
              <w:t>loci</w:t>
            </w:r>
            <w:proofErr w:type="spellEnd"/>
            <w:r w:rsidRPr="00BD2EEE">
              <w:rPr>
                <w:rFonts w:asciiTheme="majorHAnsi" w:hAnsiTheme="majorHAnsi"/>
                <w:b/>
                <w:bCs/>
                <w:color w:val="FFFFFF" w:themeColor="background1"/>
                <w:sz w:val="19"/>
                <w:szCs w:val="19"/>
                <w:lang w:val="es-ES"/>
              </w:rPr>
              <w:t>:</w:t>
            </w:r>
          </w:p>
        </w:tc>
        <w:tc>
          <w:tcPr>
            <w:tcW w:w="5760" w:type="dxa"/>
            <w:vAlign w:val="center"/>
          </w:tcPr>
          <w:p w:rsidR="003239B8" w:rsidRPr="00BD2EEE" w:rsidRDefault="00D54B18" w:rsidP="008D2290">
            <w:pPr>
              <w:rPr>
                <w:rFonts w:asciiTheme="majorHAnsi" w:hAnsiTheme="majorHAnsi"/>
                <w:bCs/>
                <w:sz w:val="19"/>
                <w:szCs w:val="19"/>
                <w:lang w:val="es-ES"/>
              </w:rPr>
            </w:pPr>
            <w:r w:rsidRPr="00BD2EEE">
              <w:rPr>
                <w:rFonts w:asciiTheme="majorHAnsi" w:hAnsiTheme="majorHAnsi"/>
                <w:bCs/>
                <w:sz w:val="19"/>
                <w:szCs w:val="19"/>
                <w:lang w:val="es-ES"/>
              </w:rPr>
              <w:t>Sí</w:t>
            </w:r>
          </w:p>
        </w:tc>
      </w:tr>
      <w:tr w:rsidR="003239B8" w:rsidRPr="00BD2EEE" w:rsidTr="004A6A54">
        <w:trPr>
          <w:cantSplit/>
        </w:trPr>
        <w:tc>
          <w:tcPr>
            <w:tcW w:w="3600" w:type="dxa"/>
            <w:tcBorders>
              <w:top w:val="single" w:sz="6" w:space="0" w:color="auto"/>
              <w:bottom w:val="single" w:sz="6" w:space="0" w:color="auto"/>
            </w:tcBorders>
            <w:shd w:val="clear" w:color="auto" w:fill="386294"/>
            <w:vAlign w:val="center"/>
          </w:tcPr>
          <w:p w:rsidR="003239B8" w:rsidRPr="00BD2EEE" w:rsidRDefault="003239B8" w:rsidP="008D2290">
            <w:pPr>
              <w:jc w:val="center"/>
              <w:rPr>
                <w:rFonts w:asciiTheme="majorHAnsi" w:hAnsiTheme="majorHAnsi"/>
                <w:b/>
                <w:bCs/>
                <w:color w:val="FFFFFF" w:themeColor="background1"/>
                <w:sz w:val="19"/>
                <w:szCs w:val="19"/>
                <w:lang w:val="es-ES"/>
              </w:rPr>
            </w:pPr>
            <w:r w:rsidRPr="00BD2EEE">
              <w:rPr>
                <w:rFonts w:asciiTheme="majorHAnsi" w:hAnsiTheme="majorHAnsi"/>
                <w:b/>
                <w:bCs/>
                <w:color w:val="FFFFFF" w:themeColor="background1"/>
                <w:sz w:val="19"/>
                <w:szCs w:val="19"/>
                <w:lang w:val="es-ES"/>
              </w:rPr>
              <w:t>Competencia</w:t>
            </w:r>
            <w:r w:rsidRPr="00BD2EEE">
              <w:rPr>
                <w:rFonts w:asciiTheme="majorHAnsi" w:hAnsiTheme="majorHAnsi"/>
                <w:b/>
                <w:bCs/>
                <w:i/>
                <w:color w:val="FFFFFF" w:themeColor="background1"/>
                <w:sz w:val="19"/>
                <w:szCs w:val="19"/>
                <w:lang w:val="es-ES"/>
              </w:rPr>
              <w:t xml:space="preserve"> </w:t>
            </w:r>
            <w:proofErr w:type="spellStart"/>
            <w:r w:rsidRPr="00BD2EEE">
              <w:rPr>
                <w:rFonts w:asciiTheme="majorHAnsi" w:hAnsiTheme="majorHAnsi"/>
                <w:b/>
                <w:bCs/>
                <w:i/>
                <w:color w:val="FFFFFF" w:themeColor="background1"/>
                <w:sz w:val="19"/>
                <w:szCs w:val="19"/>
                <w:lang w:val="es-ES"/>
              </w:rPr>
              <w:t>Ratione</w:t>
            </w:r>
            <w:proofErr w:type="spellEnd"/>
            <w:r w:rsidRPr="00BD2EEE">
              <w:rPr>
                <w:rFonts w:asciiTheme="majorHAnsi" w:hAnsiTheme="majorHAnsi"/>
                <w:b/>
                <w:bCs/>
                <w:i/>
                <w:color w:val="FFFFFF" w:themeColor="background1"/>
                <w:sz w:val="19"/>
                <w:szCs w:val="19"/>
                <w:lang w:val="es-ES"/>
              </w:rPr>
              <w:t xml:space="preserve"> </w:t>
            </w:r>
            <w:proofErr w:type="spellStart"/>
            <w:r w:rsidRPr="00BD2EEE">
              <w:rPr>
                <w:rFonts w:asciiTheme="majorHAnsi" w:hAnsiTheme="majorHAnsi"/>
                <w:b/>
                <w:bCs/>
                <w:i/>
                <w:color w:val="FFFFFF" w:themeColor="background1"/>
                <w:sz w:val="19"/>
                <w:szCs w:val="19"/>
                <w:lang w:val="es-ES"/>
              </w:rPr>
              <w:t>temporis</w:t>
            </w:r>
            <w:proofErr w:type="spellEnd"/>
            <w:r w:rsidRPr="00BD2EEE">
              <w:rPr>
                <w:rFonts w:asciiTheme="majorHAnsi" w:hAnsiTheme="majorHAnsi"/>
                <w:b/>
                <w:bCs/>
                <w:color w:val="FFFFFF" w:themeColor="background1"/>
                <w:sz w:val="19"/>
                <w:szCs w:val="19"/>
                <w:lang w:val="es-ES"/>
              </w:rPr>
              <w:t>:</w:t>
            </w:r>
          </w:p>
        </w:tc>
        <w:tc>
          <w:tcPr>
            <w:tcW w:w="5760" w:type="dxa"/>
            <w:vAlign w:val="center"/>
          </w:tcPr>
          <w:p w:rsidR="003239B8" w:rsidRPr="00BD2EEE" w:rsidRDefault="00D54B18" w:rsidP="008D2290">
            <w:pPr>
              <w:rPr>
                <w:rFonts w:asciiTheme="majorHAnsi" w:hAnsiTheme="majorHAnsi"/>
                <w:bCs/>
                <w:sz w:val="19"/>
                <w:szCs w:val="19"/>
                <w:lang w:val="es-ES"/>
              </w:rPr>
            </w:pPr>
            <w:r w:rsidRPr="00BD2EEE">
              <w:rPr>
                <w:rFonts w:asciiTheme="majorHAnsi" w:hAnsiTheme="majorHAnsi"/>
                <w:bCs/>
                <w:sz w:val="19"/>
                <w:szCs w:val="19"/>
                <w:lang w:val="es-ES"/>
              </w:rPr>
              <w:t>Sí</w:t>
            </w:r>
          </w:p>
        </w:tc>
      </w:tr>
      <w:tr w:rsidR="003239B8" w:rsidRPr="005648AE" w:rsidTr="004A6A54">
        <w:trPr>
          <w:cantSplit/>
        </w:trPr>
        <w:tc>
          <w:tcPr>
            <w:tcW w:w="3600" w:type="dxa"/>
            <w:tcBorders>
              <w:top w:val="single" w:sz="6" w:space="0" w:color="auto"/>
              <w:bottom w:val="single" w:sz="6" w:space="0" w:color="auto"/>
            </w:tcBorders>
            <w:shd w:val="clear" w:color="auto" w:fill="386294"/>
            <w:vAlign w:val="center"/>
          </w:tcPr>
          <w:p w:rsidR="003239B8" w:rsidRPr="00BD2EEE" w:rsidRDefault="003239B8" w:rsidP="008D2290">
            <w:pPr>
              <w:jc w:val="center"/>
              <w:rPr>
                <w:rFonts w:asciiTheme="majorHAnsi" w:hAnsiTheme="majorHAnsi"/>
                <w:b/>
                <w:bCs/>
                <w:color w:val="FFFFFF" w:themeColor="background1"/>
                <w:sz w:val="19"/>
                <w:szCs w:val="19"/>
                <w:lang w:val="es-ES"/>
              </w:rPr>
            </w:pPr>
            <w:r w:rsidRPr="00BD2EEE">
              <w:rPr>
                <w:rFonts w:asciiTheme="majorHAnsi" w:hAnsiTheme="majorHAnsi"/>
                <w:b/>
                <w:bCs/>
                <w:color w:val="FFFFFF" w:themeColor="background1"/>
                <w:sz w:val="19"/>
                <w:szCs w:val="19"/>
                <w:lang w:val="es-ES"/>
              </w:rPr>
              <w:t>Competencia</w:t>
            </w:r>
            <w:r w:rsidRPr="00BD2EEE">
              <w:rPr>
                <w:rFonts w:asciiTheme="majorHAnsi" w:hAnsiTheme="majorHAnsi"/>
                <w:b/>
                <w:bCs/>
                <w:i/>
                <w:color w:val="FFFFFF" w:themeColor="background1"/>
                <w:sz w:val="19"/>
                <w:szCs w:val="19"/>
                <w:lang w:val="es-ES"/>
              </w:rPr>
              <w:t xml:space="preserve"> </w:t>
            </w:r>
            <w:proofErr w:type="spellStart"/>
            <w:r w:rsidRPr="00BD2EEE">
              <w:rPr>
                <w:rFonts w:asciiTheme="majorHAnsi" w:hAnsiTheme="majorHAnsi"/>
                <w:b/>
                <w:bCs/>
                <w:i/>
                <w:color w:val="FFFFFF" w:themeColor="background1"/>
                <w:sz w:val="19"/>
                <w:szCs w:val="19"/>
                <w:lang w:val="es-ES"/>
              </w:rPr>
              <w:t>Ratione</w:t>
            </w:r>
            <w:proofErr w:type="spellEnd"/>
            <w:r w:rsidRPr="00BD2EEE">
              <w:rPr>
                <w:rFonts w:asciiTheme="majorHAnsi" w:hAnsiTheme="majorHAnsi"/>
                <w:b/>
                <w:bCs/>
                <w:i/>
                <w:color w:val="FFFFFF" w:themeColor="background1"/>
                <w:sz w:val="19"/>
                <w:szCs w:val="19"/>
                <w:lang w:val="es-ES"/>
              </w:rPr>
              <w:t xml:space="preserve"> </w:t>
            </w:r>
            <w:proofErr w:type="spellStart"/>
            <w:r w:rsidRPr="00BD2EEE">
              <w:rPr>
                <w:rFonts w:asciiTheme="majorHAnsi" w:hAnsiTheme="majorHAnsi"/>
                <w:b/>
                <w:bCs/>
                <w:i/>
                <w:color w:val="FFFFFF" w:themeColor="background1"/>
                <w:sz w:val="19"/>
                <w:szCs w:val="19"/>
                <w:lang w:val="es-ES"/>
              </w:rPr>
              <w:t>materia</w:t>
            </w:r>
            <w:r w:rsidR="00EE00E9" w:rsidRPr="00BD2EEE">
              <w:rPr>
                <w:rFonts w:asciiTheme="majorHAnsi" w:hAnsiTheme="majorHAnsi"/>
                <w:b/>
                <w:bCs/>
                <w:i/>
                <w:color w:val="FFFFFF" w:themeColor="background1"/>
                <w:sz w:val="19"/>
                <w:szCs w:val="19"/>
                <w:lang w:val="es-ES"/>
              </w:rPr>
              <w:t>e</w:t>
            </w:r>
            <w:proofErr w:type="spellEnd"/>
            <w:r w:rsidRPr="00BD2EEE">
              <w:rPr>
                <w:rFonts w:asciiTheme="majorHAnsi" w:hAnsiTheme="majorHAnsi"/>
                <w:b/>
                <w:bCs/>
                <w:color w:val="FFFFFF" w:themeColor="background1"/>
                <w:sz w:val="19"/>
                <w:szCs w:val="19"/>
                <w:lang w:val="es-ES"/>
              </w:rPr>
              <w:t>:</w:t>
            </w:r>
          </w:p>
        </w:tc>
        <w:tc>
          <w:tcPr>
            <w:tcW w:w="5760" w:type="dxa"/>
            <w:vAlign w:val="center"/>
          </w:tcPr>
          <w:p w:rsidR="003239B8" w:rsidRPr="00BD2EEE" w:rsidRDefault="00AC4C8A" w:rsidP="001C2C84">
            <w:pPr>
              <w:jc w:val="both"/>
              <w:rPr>
                <w:rFonts w:asciiTheme="majorHAnsi" w:hAnsiTheme="majorHAnsi"/>
                <w:bCs/>
                <w:sz w:val="19"/>
                <w:szCs w:val="19"/>
                <w:lang w:val="es-ES"/>
              </w:rPr>
            </w:pPr>
            <w:r w:rsidRPr="00BD2EEE">
              <w:rPr>
                <w:rFonts w:asciiTheme="majorHAnsi" w:hAnsiTheme="majorHAnsi"/>
                <w:bCs/>
                <w:sz w:val="19"/>
                <w:szCs w:val="19"/>
                <w:lang w:val="es-ES"/>
              </w:rPr>
              <w:t xml:space="preserve">Sí, </w:t>
            </w:r>
            <w:r w:rsidR="004C6DF6" w:rsidRPr="00BD2EEE">
              <w:rPr>
                <w:rFonts w:asciiTheme="majorHAnsi" w:hAnsiTheme="majorHAnsi"/>
                <w:bCs/>
                <w:sz w:val="19"/>
                <w:szCs w:val="19"/>
                <w:lang w:val="es-ES"/>
              </w:rPr>
              <w:t xml:space="preserve">Convención Americana </w:t>
            </w:r>
            <w:r w:rsidR="001C2C84" w:rsidRPr="00BD2EEE">
              <w:rPr>
                <w:rFonts w:asciiTheme="majorHAnsi" w:hAnsiTheme="majorHAnsi"/>
                <w:bCs/>
                <w:sz w:val="19"/>
                <w:szCs w:val="19"/>
                <w:lang w:val="es-ES"/>
              </w:rPr>
              <w:t>sobre</w:t>
            </w:r>
            <w:r w:rsidR="00BD2EEE" w:rsidRPr="00BD2EEE">
              <w:rPr>
                <w:rFonts w:asciiTheme="majorHAnsi" w:hAnsiTheme="majorHAnsi"/>
                <w:bCs/>
                <w:sz w:val="19"/>
                <w:szCs w:val="19"/>
                <w:lang w:val="es-ES"/>
              </w:rPr>
              <w:t xml:space="preserve"> Derechos Humanos</w:t>
            </w:r>
            <w:r w:rsidR="0064039E" w:rsidRPr="00BD2EEE">
              <w:rPr>
                <w:rStyle w:val="FootnoteReference"/>
                <w:rFonts w:asciiTheme="majorHAnsi" w:hAnsiTheme="majorHAnsi"/>
                <w:bCs/>
                <w:sz w:val="19"/>
                <w:szCs w:val="19"/>
                <w:lang w:val="es-ES"/>
              </w:rPr>
              <w:footnoteReference w:id="4"/>
            </w:r>
            <w:r w:rsidR="0064039E" w:rsidRPr="00BD2EEE">
              <w:rPr>
                <w:rFonts w:asciiTheme="majorHAnsi" w:hAnsiTheme="majorHAnsi"/>
                <w:bCs/>
                <w:sz w:val="19"/>
                <w:szCs w:val="19"/>
                <w:lang w:val="es-ES"/>
              </w:rPr>
              <w:t xml:space="preserve"> </w:t>
            </w:r>
            <w:r w:rsidR="004C6DF6" w:rsidRPr="00BD2EEE">
              <w:rPr>
                <w:rFonts w:asciiTheme="majorHAnsi" w:hAnsiTheme="majorHAnsi"/>
                <w:bCs/>
                <w:sz w:val="19"/>
                <w:szCs w:val="19"/>
                <w:lang w:val="es-ES"/>
              </w:rPr>
              <w:t>(instrumento de ratificación depositado el 28 de diciembre de 1977)</w:t>
            </w:r>
          </w:p>
        </w:tc>
      </w:tr>
    </w:tbl>
    <w:p w:rsidR="003239B8" w:rsidRPr="00BD2EEE" w:rsidRDefault="003239B8" w:rsidP="003239B8">
      <w:pPr>
        <w:spacing w:before="240" w:after="240"/>
        <w:ind w:firstLine="720"/>
        <w:jc w:val="both"/>
        <w:rPr>
          <w:rFonts w:asciiTheme="majorHAnsi" w:hAnsiTheme="majorHAnsi"/>
          <w:b/>
          <w:bCs/>
          <w:sz w:val="19"/>
          <w:szCs w:val="19"/>
          <w:lang w:val="es-ES"/>
        </w:rPr>
      </w:pPr>
      <w:r w:rsidRPr="00BD2EEE">
        <w:rPr>
          <w:rFonts w:asciiTheme="majorHAnsi" w:hAnsiTheme="majorHAnsi"/>
          <w:b/>
          <w:bCs/>
          <w:sz w:val="19"/>
          <w:szCs w:val="19"/>
          <w:lang w:val="es-ES"/>
        </w:rPr>
        <w:t xml:space="preserve">IV. </w:t>
      </w:r>
      <w:r w:rsidRPr="00BD2EEE">
        <w:rPr>
          <w:rFonts w:asciiTheme="majorHAnsi" w:hAnsiTheme="majorHAnsi"/>
          <w:b/>
          <w:bCs/>
          <w:sz w:val="19"/>
          <w:szCs w:val="19"/>
          <w:lang w:val="es-ES"/>
        </w:rPr>
        <w:tab/>
      </w:r>
      <w:r w:rsidR="00EE00E9" w:rsidRPr="00BD2EEE">
        <w:rPr>
          <w:rFonts w:asciiTheme="majorHAnsi" w:hAnsiTheme="majorHAnsi"/>
          <w:b/>
          <w:bCs/>
          <w:sz w:val="19"/>
          <w:szCs w:val="19"/>
          <w:lang w:val="es-ES"/>
        </w:rPr>
        <w:t>DUPLICACIÓN</w:t>
      </w:r>
      <w:r w:rsidR="00EE00E9" w:rsidRPr="00BD2EEE">
        <w:rPr>
          <w:rFonts w:asciiTheme="majorHAnsi" w:hAnsiTheme="majorHAnsi"/>
          <w:b/>
          <w:bCs/>
          <w:color w:val="FFFFFF" w:themeColor="background1"/>
          <w:sz w:val="19"/>
          <w:szCs w:val="19"/>
          <w:lang w:val="es-ES"/>
        </w:rPr>
        <w:t xml:space="preserve"> </w:t>
      </w:r>
      <w:r w:rsidR="00EE00E9" w:rsidRPr="00BD2EEE">
        <w:rPr>
          <w:rFonts w:asciiTheme="majorHAnsi" w:hAnsiTheme="majorHAnsi"/>
          <w:b/>
          <w:bCs/>
          <w:sz w:val="19"/>
          <w:szCs w:val="19"/>
          <w:lang w:val="es-ES"/>
        </w:rPr>
        <w:t>DE PROCEDIMIENTOS Y COSA JUZGADA</w:t>
      </w:r>
      <w:r w:rsidR="00EE00E9" w:rsidRPr="00BD2EEE">
        <w:rPr>
          <w:rFonts w:asciiTheme="majorHAnsi" w:hAnsiTheme="majorHAnsi"/>
          <w:b/>
          <w:bCs/>
          <w:i/>
          <w:sz w:val="19"/>
          <w:szCs w:val="19"/>
          <w:lang w:val="es-ES"/>
        </w:rPr>
        <w:t xml:space="preserve"> </w:t>
      </w:r>
      <w:r w:rsidR="00EE00E9" w:rsidRPr="00BD2EEE">
        <w:rPr>
          <w:rFonts w:asciiTheme="majorHAnsi" w:hAnsiTheme="majorHAnsi"/>
          <w:b/>
          <w:bCs/>
          <w:sz w:val="19"/>
          <w:szCs w:val="19"/>
          <w:lang w:val="es-ES"/>
        </w:rPr>
        <w:t xml:space="preserve">INTERNACIONAL, </w:t>
      </w:r>
      <w:r w:rsidRPr="00BD2EEE">
        <w:rPr>
          <w:rFonts w:asciiTheme="majorHAnsi" w:hAnsiTheme="majorHAnsi"/>
          <w:b/>
          <w:bCs/>
          <w:sz w:val="19"/>
          <w:szCs w:val="19"/>
          <w:lang w:val="es-ES"/>
        </w:rPr>
        <w:t xml:space="preserve"> CARACTERIZACIÓN, </w:t>
      </w:r>
      <w:r w:rsidRPr="00BD2EEE">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BD2EEE" w:rsidTr="004A6A54">
        <w:trPr>
          <w:cantSplit/>
        </w:trPr>
        <w:tc>
          <w:tcPr>
            <w:tcW w:w="3600" w:type="dxa"/>
            <w:tcBorders>
              <w:top w:val="single" w:sz="4" w:space="0" w:color="auto"/>
              <w:bottom w:val="single" w:sz="6" w:space="0" w:color="auto"/>
            </w:tcBorders>
            <w:shd w:val="clear" w:color="auto" w:fill="386294"/>
            <w:vAlign w:val="center"/>
          </w:tcPr>
          <w:p w:rsidR="00EE00E9" w:rsidRPr="00BD2EEE" w:rsidRDefault="00EE00E9" w:rsidP="008D2290">
            <w:pPr>
              <w:jc w:val="center"/>
              <w:rPr>
                <w:rFonts w:asciiTheme="majorHAnsi" w:hAnsiTheme="majorHAnsi"/>
                <w:b/>
                <w:bCs/>
                <w:color w:val="FFFFFF" w:themeColor="background1"/>
                <w:sz w:val="19"/>
                <w:szCs w:val="19"/>
                <w:lang w:val="es-ES"/>
              </w:rPr>
            </w:pPr>
            <w:r w:rsidRPr="00BD2EEE">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BD2EEE" w:rsidRDefault="00AC4C8A" w:rsidP="008D2290">
            <w:pPr>
              <w:jc w:val="both"/>
              <w:rPr>
                <w:rFonts w:asciiTheme="majorHAnsi" w:hAnsiTheme="majorHAnsi"/>
                <w:bCs/>
                <w:sz w:val="19"/>
                <w:szCs w:val="19"/>
                <w:lang w:val="es-ES"/>
              </w:rPr>
            </w:pPr>
            <w:r w:rsidRPr="00BD2EEE">
              <w:rPr>
                <w:rFonts w:asciiTheme="majorHAnsi" w:hAnsiTheme="majorHAnsi"/>
                <w:bCs/>
                <w:sz w:val="19"/>
                <w:szCs w:val="19"/>
                <w:lang w:val="es-ES"/>
              </w:rPr>
              <w:t>No</w:t>
            </w:r>
          </w:p>
        </w:tc>
      </w:tr>
      <w:tr w:rsidR="003239B8" w:rsidRPr="005648AE" w:rsidTr="004A6A54">
        <w:trPr>
          <w:cantSplit/>
        </w:trPr>
        <w:tc>
          <w:tcPr>
            <w:tcW w:w="3600" w:type="dxa"/>
            <w:tcBorders>
              <w:top w:val="single" w:sz="4" w:space="0" w:color="auto"/>
              <w:bottom w:val="single" w:sz="6" w:space="0" w:color="auto"/>
            </w:tcBorders>
            <w:shd w:val="clear" w:color="auto" w:fill="386294"/>
            <w:vAlign w:val="center"/>
          </w:tcPr>
          <w:p w:rsidR="003239B8" w:rsidRPr="00BD2EEE" w:rsidRDefault="003239B8" w:rsidP="008D2290">
            <w:pPr>
              <w:jc w:val="center"/>
              <w:rPr>
                <w:rFonts w:asciiTheme="majorHAnsi" w:hAnsiTheme="majorHAnsi"/>
                <w:b/>
                <w:bCs/>
                <w:i/>
                <w:color w:val="FFFFFF" w:themeColor="background1"/>
                <w:sz w:val="19"/>
                <w:szCs w:val="19"/>
                <w:lang w:val="es-ES"/>
              </w:rPr>
            </w:pPr>
            <w:r w:rsidRPr="00BD2EEE">
              <w:rPr>
                <w:rFonts w:asciiTheme="majorHAnsi" w:hAnsiTheme="majorHAnsi"/>
                <w:b/>
                <w:bCs/>
                <w:color w:val="FFFFFF" w:themeColor="background1"/>
                <w:sz w:val="19"/>
                <w:szCs w:val="19"/>
                <w:lang w:val="es-ES"/>
              </w:rPr>
              <w:t>Derechos declarados admisibles</w:t>
            </w:r>
            <w:r w:rsidRPr="00BD2EEE">
              <w:rPr>
                <w:rFonts w:asciiTheme="majorHAnsi" w:hAnsiTheme="majorHAnsi"/>
                <w:b/>
                <w:bCs/>
                <w:i/>
                <w:color w:val="FFFFFF" w:themeColor="background1"/>
                <w:sz w:val="19"/>
                <w:szCs w:val="19"/>
                <w:lang w:val="es-ES"/>
              </w:rPr>
              <w:t>:</w:t>
            </w:r>
          </w:p>
        </w:tc>
        <w:tc>
          <w:tcPr>
            <w:tcW w:w="5760" w:type="dxa"/>
            <w:vAlign w:val="center"/>
          </w:tcPr>
          <w:p w:rsidR="003239B8" w:rsidRPr="00BD2EEE" w:rsidRDefault="008A3589" w:rsidP="008639B7">
            <w:pPr>
              <w:jc w:val="both"/>
              <w:rPr>
                <w:rFonts w:asciiTheme="majorHAnsi" w:hAnsiTheme="majorHAnsi"/>
                <w:bCs/>
                <w:sz w:val="19"/>
                <w:szCs w:val="19"/>
                <w:lang w:val="es-ES"/>
              </w:rPr>
            </w:pPr>
            <w:r w:rsidRPr="00BD2EEE">
              <w:rPr>
                <w:rFonts w:asciiTheme="majorHAnsi" w:hAnsiTheme="majorHAnsi"/>
                <w:bCs/>
                <w:sz w:val="19"/>
                <w:szCs w:val="19"/>
                <w:lang w:val="es-ES"/>
              </w:rPr>
              <w:t>Artículos</w:t>
            </w:r>
            <w:r w:rsidR="004B2A25" w:rsidRPr="00BD2EEE">
              <w:rPr>
                <w:rFonts w:asciiTheme="majorHAnsi" w:hAnsiTheme="majorHAnsi"/>
                <w:bCs/>
                <w:sz w:val="19"/>
                <w:szCs w:val="19"/>
                <w:lang w:val="es-ES"/>
              </w:rPr>
              <w:t xml:space="preserve"> 8 (garantías judiciales),</w:t>
            </w:r>
            <w:r w:rsidRPr="00BD2EEE">
              <w:rPr>
                <w:rFonts w:asciiTheme="majorHAnsi" w:hAnsiTheme="majorHAnsi"/>
                <w:bCs/>
                <w:sz w:val="19"/>
                <w:szCs w:val="19"/>
                <w:lang w:val="es-ES"/>
              </w:rPr>
              <w:t xml:space="preserve"> 25 (protección judicial) y 26 (</w:t>
            </w:r>
            <w:r w:rsidR="0064039E" w:rsidRPr="00BD2EEE">
              <w:rPr>
                <w:rFonts w:asciiTheme="majorHAnsi" w:hAnsiTheme="majorHAnsi"/>
                <w:bCs/>
                <w:sz w:val="19"/>
                <w:szCs w:val="19"/>
                <w:lang w:val="es-ES"/>
              </w:rPr>
              <w:t>derechos ec</w:t>
            </w:r>
            <w:r w:rsidR="00E84944" w:rsidRPr="00BD2EEE">
              <w:rPr>
                <w:rFonts w:asciiTheme="majorHAnsi" w:hAnsiTheme="majorHAnsi"/>
                <w:bCs/>
                <w:sz w:val="19"/>
                <w:szCs w:val="19"/>
                <w:lang w:val="es-ES"/>
              </w:rPr>
              <w:t>onómicos, sociales y culturales</w:t>
            </w:r>
            <w:r w:rsidRPr="00BD2EEE">
              <w:rPr>
                <w:rFonts w:asciiTheme="majorHAnsi" w:hAnsiTheme="majorHAnsi"/>
                <w:bCs/>
                <w:sz w:val="19"/>
                <w:szCs w:val="19"/>
                <w:lang w:val="es-ES"/>
              </w:rPr>
              <w:t>) de la Convención Americana</w:t>
            </w:r>
            <w:r w:rsidR="00383AC7" w:rsidRPr="00BD2EEE">
              <w:rPr>
                <w:rFonts w:asciiTheme="majorHAnsi" w:hAnsiTheme="majorHAnsi"/>
                <w:bCs/>
                <w:sz w:val="19"/>
                <w:szCs w:val="19"/>
                <w:lang w:val="es-ES"/>
              </w:rPr>
              <w:t>, en relación con su artículo 1 (oblig</w:t>
            </w:r>
            <w:r w:rsidR="00E84944" w:rsidRPr="00BD2EEE">
              <w:rPr>
                <w:rFonts w:asciiTheme="majorHAnsi" w:hAnsiTheme="majorHAnsi"/>
                <w:bCs/>
                <w:sz w:val="19"/>
                <w:szCs w:val="19"/>
                <w:lang w:val="es-ES"/>
              </w:rPr>
              <w:t>ación de respetar los derechos)</w:t>
            </w:r>
            <w:r w:rsidR="00277F13" w:rsidRPr="002609DD">
              <w:rPr>
                <w:rFonts w:asciiTheme="majorHAnsi" w:hAnsiTheme="majorHAnsi"/>
                <w:bCs/>
                <w:sz w:val="19"/>
                <w:szCs w:val="19"/>
                <w:lang w:val="es-ES"/>
              </w:rPr>
              <w:t xml:space="preserve"> y 2 (deber de adoptar disposiciones de derecho interno)</w:t>
            </w:r>
          </w:p>
        </w:tc>
      </w:tr>
      <w:tr w:rsidR="003239B8" w:rsidRPr="005648AE" w:rsidTr="004A6A54">
        <w:trPr>
          <w:cantSplit/>
        </w:trPr>
        <w:tc>
          <w:tcPr>
            <w:tcW w:w="3600" w:type="dxa"/>
            <w:tcBorders>
              <w:top w:val="single" w:sz="6" w:space="0" w:color="auto"/>
              <w:bottom w:val="single" w:sz="6" w:space="0" w:color="auto"/>
            </w:tcBorders>
            <w:shd w:val="clear" w:color="auto" w:fill="386294"/>
            <w:vAlign w:val="center"/>
          </w:tcPr>
          <w:p w:rsidR="003239B8" w:rsidRPr="00BD2EEE" w:rsidRDefault="003239B8" w:rsidP="008D2290">
            <w:pPr>
              <w:jc w:val="center"/>
              <w:rPr>
                <w:rFonts w:asciiTheme="majorHAnsi" w:hAnsiTheme="majorHAnsi"/>
                <w:b/>
                <w:bCs/>
                <w:color w:val="FFFFFF" w:themeColor="background1"/>
                <w:sz w:val="19"/>
                <w:szCs w:val="19"/>
                <w:lang w:val="es-ES"/>
              </w:rPr>
            </w:pPr>
            <w:r w:rsidRPr="00BD2EEE">
              <w:rPr>
                <w:rFonts w:asciiTheme="majorHAnsi" w:hAnsiTheme="majorHAnsi"/>
                <w:b/>
                <w:bCs/>
                <w:color w:val="FFFFFF" w:themeColor="background1"/>
                <w:sz w:val="19"/>
                <w:szCs w:val="19"/>
                <w:lang w:val="es-ES"/>
              </w:rPr>
              <w:t>Agotamiento de recursos internos</w:t>
            </w:r>
            <w:r w:rsidR="00EE00E9" w:rsidRPr="00BD2EEE">
              <w:rPr>
                <w:rFonts w:asciiTheme="majorHAnsi" w:hAnsiTheme="majorHAnsi"/>
                <w:b/>
                <w:bCs/>
                <w:color w:val="FFFFFF" w:themeColor="background1"/>
                <w:sz w:val="19"/>
                <w:szCs w:val="19"/>
                <w:lang w:val="es-ES"/>
              </w:rPr>
              <w:t xml:space="preserve"> o procedencia de una excepción</w:t>
            </w:r>
            <w:r w:rsidRPr="00BD2EEE">
              <w:rPr>
                <w:rFonts w:asciiTheme="majorHAnsi" w:hAnsiTheme="majorHAnsi"/>
                <w:b/>
                <w:bCs/>
                <w:color w:val="FFFFFF" w:themeColor="background1"/>
                <w:sz w:val="19"/>
                <w:szCs w:val="19"/>
                <w:lang w:val="es-ES"/>
              </w:rPr>
              <w:t>:</w:t>
            </w:r>
          </w:p>
        </w:tc>
        <w:tc>
          <w:tcPr>
            <w:tcW w:w="5760" w:type="dxa"/>
            <w:vAlign w:val="center"/>
          </w:tcPr>
          <w:p w:rsidR="003239B8" w:rsidRPr="00BD2EEE" w:rsidRDefault="00E84944" w:rsidP="00E84944">
            <w:pPr>
              <w:rPr>
                <w:rFonts w:asciiTheme="majorHAnsi" w:hAnsiTheme="majorHAnsi"/>
                <w:bCs/>
                <w:sz w:val="19"/>
                <w:szCs w:val="19"/>
                <w:lang w:val="es-ES"/>
              </w:rPr>
            </w:pPr>
            <w:r w:rsidRPr="00BD2EEE">
              <w:rPr>
                <w:rFonts w:asciiTheme="majorHAnsi" w:hAnsiTheme="majorHAnsi"/>
                <w:bCs/>
                <w:sz w:val="19"/>
                <w:szCs w:val="19"/>
                <w:lang w:val="es-ES"/>
              </w:rPr>
              <w:t xml:space="preserve">Sí, aplica excepción artículo 46.2.c de la Convención </w:t>
            </w:r>
          </w:p>
        </w:tc>
      </w:tr>
      <w:tr w:rsidR="003239B8" w:rsidRPr="005648AE" w:rsidTr="004A6A54">
        <w:trPr>
          <w:cantSplit/>
        </w:trPr>
        <w:tc>
          <w:tcPr>
            <w:tcW w:w="3600" w:type="dxa"/>
            <w:tcBorders>
              <w:top w:val="single" w:sz="6" w:space="0" w:color="auto"/>
              <w:bottom w:val="single" w:sz="6" w:space="0" w:color="auto"/>
            </w:tcBorders>
            <w:shd w:val="clear" w:color="auto" w:fill="386294"/>
            <w:vAlign w:val="center"/>
          </w:tcPr>
          <w:p w:rsidR="003239B8" w:rsidRPr="00BD2EEE" w:rsidRDefault="003239B8" w:rsidP="008D2290">
            <w:pPr>
              <w:jc w:val="center"/>
              <w:rPr>
                <w:rFonts w:asciiTheme="majorHAnsi" w:hAnsiTheme="majorHAnsi"/>
                <w:b/>
                <w:bCs/>
                <w:color w:val="FFFFFF" w:themeColor="background1"/>
                <w:sz w:val="19"/>
                <w:szCs w:val="19"/>
                <w:lang w:val="es-ES"/>
              </w:rPr>
            </w:pPr>
            <w:r w:rsidRPr="00BD2EEE">
              <w:rPr>
                <w:rFonts w:asciiTheme="majorHAnsi" w:hAnsiTheme="majorHAnsi"/>
                <w:b/>
                <w:bCs/>
                <w:color w:val="FFFFFF" w:themeColor="background1"/>
                <w:sz w:val="19"/>
                <w:szCs w:val="19"/>
                <w:lang w:val="es-ES"/>
              </w:rPr>
              <w:t>Presentación dentro de plazo:</w:t>
            </w:r>
          </w:p>
        </w:tc>
        <w:tc>
          <w:tcPr>
            <w:tcW w:w="5760" w:type="dxa"/>
            <w:vAlign w:val="center"/>
          </w:tcPr>
          <w:p w:rsidR="003239B8" w:rsidRPr="00BD2EEE" w:rsidRDefault="00AC4C8A" w:rsidP="008D2290">
            <w:pPr>
              <w:rPr>
                <w:rFonts w:asciiTheme="majorHAnsi" w:hAnsiTheme="majorHAnsi"/>
                <w:bCs/>
                <w:sz w:val="19"/>
                <w:szCs w:val="19"/>
                <w:lang w:val="es-ES"/>
              </w:rPr>
            </w:pPr>
            <w:r w:rsidRPr="00BD2EEE">
              <w:rPr>
                <w:rFonts w:asciiTheme="majorHAnsi" w:hAnsiTheme="majorHAnsi"/>
                <w:bCs/>
                <w:sz w:val="19"/>
                <w:szCs w:val="19"/>
                <w:lang w:val="es-ES"/>
              </w:rPr>
              <w:t>Sí</w:t>
            </w:r>
            <w:r w:rsidR="00E84944" w:rsidRPr="00BD2EEE">
              <w:rPr>
                <w:rFonts w:asciiTheme="majorHAnsi" w:hAnsiTheme="majorHAnsi"/>
                <w:bCs/>
                <w:sz w:val="19"/>
                <w:szCs w:val="19"/>
                <w:lang w:val="es-ES"/>
              </w:rPr>
              <w:t>, en los términos de la sección VI</w:t>
            </w:r>
          </w:p>
        </w:tc>
      </w:tr>
    </w:tbl>
    <w:p w:rsidR="003239B8" w:rsidRPr="00AC4C8A" w:rsidRDefault="00223A29" w:rsidP="003239B8">
      <w:pPr>
        <w:spacing w:before="240" w:after="240"/>
        <w:ind w:firstLine="720"/>
        <w:jc w:val="both"/>
        <w:rPr>
          <w:rFonts w:asciiTheme="majorHAnsi" w:hAnsiTheme="majorHAnsi"/>
          <w:b/>
          <w:sz w:val="20"/>
          <w:szCs w:val="20"/>
          <w:lang w:val="es-ES"/>
        </w:rPr>
      </w:pPr>
      <w:r w:rsidRPr="00AC4C8A">
        <w:rPr>
          <w:rFonts w:asciiTheme="majorHAnsi" w:hAnsiTheme="majorHAnsi"/>
          <w:b/>
          <w:sz w:val="20"/>
          <w:szCs w:val="20"/>
          <w:lang w:val="es-ES"/>
        </w:rPr>
        <w:t xml:space="preserve">V. </w:t>
      </w:r>
      <w:r w:rsidRPr="00AC4C8A">
        <w:rPr>
          <w:rFonts w:asciiTheme="majorHAnsi" w:hAnsiTheme="majorHAnsi"/>
          <w:b/>
          <w:sz w:val="20"/>
          <w:szCs w:val="20"/>
          <w:lang w:val="es-ES"/>
        </w:rPr>
        <w:tab/>
      </w:r>
      <w:r w:rsidR="003239B8" w:rsidRPr="00AC4C8A">
        <w:rPr>
          <w:rFonts w:asciiTheme="majorHAnsi" w:hAnsiTheme="majorHAnsi"/>
          <w:b/>
          <w:sz w:val="20"/>
          <w:szCs w:val="20"/>
          <w:lang w:val="es-ES"/>
        </w:rPr>
        <w:t xml:space="preserve">HECHOS ALEGADOS </w:t>
      </w:r>
    </w:p>
    <w:p w:rsidR="001C2C84" w:rsidRPr="001E0753" w:rsidRDefault="00AA68C7" w:rsidP="001E0753">
      <w:pPr>
        <w:pStyle w:val="ListParagraph"/>
        <w:numPr>
          <w:ilvl w:val="0"/>
          <w:numId w:val="103"/>
        </w:numPr>
        <w:spacing w:after="240"/>
        <w:jc w:val="both"/>
        <w:rPr>
          <w:rFonts w:asciiTheme="majorHAnsi" w:hAnsiTheme="majorHAnsi"/>
          <w:sz w:val="20"/>
          <w:szCs w:val="20"/>
          <w:lang w:val="es-ES"/>
        </w:rPr>
      </w:pPr>
      <w:r>
        <w:rPr>
          <w:sz w:val="20"/>
          <w:szCs w:val="20"/>
          <w:lang w:val="es-ES"/>
        </w:rPr>
        <w:t>Laura Susana Haro Jácome</w:t>
      </w:r>
      <w:r w:rsidR="001A6974" w:rsidRPr="007228C7">
        <w:rPr>
          <w:sz w:val="20"/>
          <w:szCs w:val="20"/>
          <w:lang w:val="es-ES"/>
        </w:rPr>
        <w:t xml:space="preserve"> (en adelante “la presunta víctima” o “señora Haro”)</w:t>
      </w:r>
      <w:r w:rsidR="001E0753">
        <w:rPr>
          <w:sz w:val="20"/>
          <w:szCs w:val="20"/>
          <w:lang w:val="es-ES"/>
        </w:rPr>
        <w:t xml:space="preserve"> </w:t>
      </w:r>
      <w:r w:rsidR="001A6974">
        <w:rPr>
          <w:sz w:val="20"/>
          <w:szCs w:val="20"/>
          <w:lang w:val="es-ES"/>
        </w:rPr>
        <w:t xml:space="preserve">afirma que </w:t>
      </w:r>
      <w:r w:rsidR="001E0753" w:rsidRPr="001C2C84">
        <w:rPr>
          <w:rFonts w:asciiTheme="majorHAnsi" w:hAnsiTheme="majorHAnsi"/>
          <w:sz w:val="20"/>
          <w:szCs w:val="20"/>
          <w:lang w:val="es-ES"/>
        </w:rPr>
        <w:t xml:space="preserve">actuaba como </w:t>
      </w:r>
      <w:r w:rsidR="001E0753" w:rsidRPr="001C2C84">
        <w:rPr>
          <w:sz w:val="20"/>
          <w:szCs w:val="20"/>
          <w:lang w:val="es-ES"/>
        </w:rPr>
        <w:t>Abogada Jefa de Patrocinio Judicial</w:t>
      </w:r>
      <w:r w:rsidR="001E0753">
        <w:rPr>
          <w:sz w:val="20"/>
          <w:szCs w:val="20"/>
          <w:lang w:val="es-ES"/>
        </w:rPr>
        <w:t xml:space="preserve"> en el </w:t>
      </w:r>
      <w:r w:rsidR="001E0753" w:rsidRPr="001C2C84">
        <w:rPr>
          <w:rFonts w:asciiTheme="majorHAnsi" w:hAnsiTheme="majorHAnsi"/>
          <w:sz w:val="20"/>
          <w:szCs w:val="20"/>
          <w:lang w:val="es-ES"/>
        </w:rPr>
        <w:t>Instituto Nacional de Desarrollo Agrario (en adelante “INDA”)</w:t>
      </w:r>
      <w:r w:rsidR="001E0753">
        <w:rPr>
          <w:rFonts w:asciiTheme="majorHAnsi" w:hAnsiTheme="majorHAnsi"/>
          <w:sz w:val="20"/>
          <w:szCs w:val="20"/>
          <w:lang w:val="es-ES"/>
        </w:rPr>
        <w:t xml:space="preserve"> y que </w:t>
      </w:r>
      <w:r w:rsidR="001C2C84" w:rsidRPr="001E0753">
        <w:rPr>
          <w:rFonts w:asciiTheme="majorHAnsi" w:hAnsiTheme="majorHAnsi"/>
          <w:sz w:val="20"/>
          <w:szCs w:val="20"/>
          <w:lang w:val="es-ES"/>
        </w:rPr>
        <w:t xml:space="preserve">el 18 de octubre de 2000, el director </w:t>
      </w:r>
      <w:r w:rsidR="001E0753">
        <w:rPr>
          <w:rFonts w:asciiTheme="majorHAnsi" w:hAnsiTheme="majorHAnsi"/>
          <w:sz w:val="20"/>
          <w:szCs w:val="20"/>
          <w:lang w:val="es-ES"/>
        </w:rPr>
        <w:t xml:space="preserve">del órgano </w:t>
      </w:r>
      <w:r w:rsidR="001C2C84" w:rsidRPr="001E0753">
        <w:rPr>
          <w:rFonts w:asciiTheme="majorHAnsi" w:hAnsiTheme="majorHAnsi"/>
          <w:sz w:val="20"/>
          <w:szCs w:val="20"/>
          <w:lang w:val="es-ES"/>
        </w:rPr>
        <w:t xml:space="preserve">dispuso </w:t>
      </w:r>
      <w:r w:rsidR="000B4B2C">
        <w:rPr>
          <w:rFonts w:asciiTheme="majorHAnsi" w:hAnsiTheme="majorHAnsi"/>
          <w:sz w:val="20"/>
          <w:szCs w:val="20"/>
          <w:lang w:val="es-ES"/>
        </w:rPr>
        <w:t xml:space="preserve">arbitrariamente </w:t>
      </w:r>
      <w:r w:rsidR="001E0753">
        <w:rPr>
          <w:rFonts w:asciiTheme="majorHAnsi" w:hAnsiTheme="majorHAnsi"/>
          <w:sz w:val="20"/>
          <w:szCs w:val="20"/>
          <w:lang w:val="es-ES"/>
        </w:rPr>
        <w:t>su</w:t>
      </w:r>
      <w:r w:rsidR="001C2C84" w:rsidRPr="001E0753">
        <w:rPr>
          <w:rFonts w:asciiTheme="majorHAnsi" w:hAnsiTheme="majorHAnsi"/>
          <w:sz w:val="20"/>
          <w:szCs w:val="20"/>
          <w:lang w:val="es-ES"/>
        </w:rPr>
        <w:t xml:space="preserve"> traslado administrativo a </w:t>
      </w:r>
      <w:r w:rsidR="008639B7">
        <w:rPr>
          <w:rFonts w:asciiTheme="majorHAnsi" w:hAnsiTheme="majorHAnsi"/>
          <w:sz w:val="20"/>
          <w:szCs w:val="20"/>
          <w:lang w:val="es-ES"/>
        </w:rPr>
        <w:t>otra</w:t>
      </w:r>
      <w:r w:rsidR="008639B7" w:rsidRPr="001E0753">
        <w:rPr>
          <w:rFonts w:asciiTheme="majorHAnsi" w:hAnsiTheme="majorHAnsi"/>
          <w:sz w:val="20"/>
          <w:szCs w:val="20"/>
          <w:lang w:val="es-ES"/>
        </w:rPr>
        <w:t xml:space="preserve"> </w:t>
      </w:r>
      <w:r w:rsidR="001C2C84" w:rsidRPr="001E0753">
        <w:rPr>
          <w:rFonts w:asciiTheme="majorHAnsi" w:hAnsiTheme="majorHAnsi"/>
          <w:sz w:val="20"/>
          <w:szCs w:val="20"/>
          <w:lang w:val="es-ES"/>
        </w:rPr>
        <w:t>provincia</w:t>
      </w:r>
      <w:r w:rsidR="00110FA9">
        <w:rPr>
          <w:rFonts w:asciiTheme="majorHAnsi" w:hAnsiTheme="majorHAnsi"/>
          <w:sz w:val="20"/>
          <w:szCs w:val="20"/>
          <w:lang w:val="es-ES"/>
        </w:rPr>
        <w:t xml:space="preserve">, donde </w:t>
      </w:r>
      <w:r w:rsidR="002609DD">
        <w:rPr>
          <w:rFonts w:asciiTheme="majorHAnsi" w:hAnsiTheme="majorHAnsi"/>
          <w:sz w:val="20"/>
          <w:szCs w:val="20"/>
          <w:lang w:val="es-ES"/>
        </w:rPr>
        <w:t>ni siquiera</w:t>
      </w:r>
      <w:r w:rsidR="008B327A">
        <w:rPr>
          <w:rFonts w:asciiTheme="majorHAnsi" w:hAnsiTheme="majorHAnsi"/>
          <w:sz w:val="20"/>
          <w:szCs w:val="20"/>
          <w:lang w:val="es-ES"/>
        </w:rPr>
        <w:t xml:space="preserve"> había una sede del INDA. </w:t>
      </w:r>
      <w:r w:rsidR="001C2C84" w:rsidRPr="001E0753">
        <w:rPr>
          <w:rFonts w:asciiTheme="majorHAnsi" w:hAnsiTheme="majorHAnsi"/>
          <w:sz w:val="20"/>
          <w:szCs w:val="20"/>
          <w:lang w:val="es-ES"/>
        </w:rPr>
        <w:t xml:space="preserve"> Según alega, </w:t>
      </w:r>
      <w:r w:rsidR="00110FA9">
        <w:rPr>
          <w:rFonts w:asciiTheme="majorHAnsi" w:hAnsiTheme="majorHAnsi"/>
          <w:sz w:val="20"/>
          <w:szCs w:val="20"/>
          <w:lang w:val="es-ES"/>
        </w:rPr>
        <w:t>el traslado provocaría</w:t>
      </w:r>
      <w:r w:rsidR="001C2C84" w:rsidRPr="001E0753">
        <w:rPr>
          <w:rFonts w:asciiTheme="majorHAnsi" w:hAnsiTheme="majorHAnsi"/>
          <w:sz w:val="20"/>
          <w:szCs w:val="20"/>
          <w:lang w:val="es-ES"/>
        </w:rPr>
        <w:t xml:space="preserve"> el alejamiento de su familia y la renuncia de su derecho a la educación, puesto que a la época realizaba su</w:t>
      </w:r>
      <w:r>
        <w:rPr>
          <w:rFonts w:asciiTheme="majorHAnsi" w:hAnsiTheme="majorHAnsi"/>
          <w:sz w:val="20"/>
          <w:szCs w:val="20"/>
          <w:lang w:val="es-ES"/>
        </w:rPr>
        <w:t>s estudios de</w:t>
      </w:r>
      <w:r w:rsidR="001C2C84" w:rsidRPr="001E0753">
        <w:rPr>
          <w:rFonts w:asciiTheme="majorHAnsi" w:hAnsiTheme="majorHAnsi"/>
          <w:sz w:val="20"/>
          <w:szCs w:val="20"/>
          <w:lang w:val="es-ES"/>
        </w:rPr>
        <w:t xml:space="preserve"> posgrado.</w:t>
      </w:r>
    </w:p>
    <w:p w:rsidR="001C2C84" w:rsidRPr="00150BD0" w:rsidRDefault="001C2C84" w:rsidP="001C2C84">
      <w:pPr>
        <w:pStyle w:val="ListParagraph"/>
        <w:numPr>
          <w:ilvl w:val="0"/>
          <w:numId w:val="103"/>
        </w:numPr>
        <w:spacing w:after="240"/>
        <w:jc w:val="both"/>
        <w:rPr>
          <w:rFonts w:asciiTheme="majorHAnsi" w:hAnsiTheme="majorHAnsi"/>
          <w:color w:val="auto"/>
          <w:sz w:val="20"/>
          <w:szCs w:val="20"/>
          <w:lang w:val="es-ES"/>
        </w:rPr>
      </w:pPr>
      <w:r w:rsidRPr="00150BD0">
        <w:rPr>
          <w:rFonts w:asciiTheme="majorHAnsi" w:hAnsiTheme="majorHAnsi"/>
          <w:color w:val="auto"/>
          <w:sz w:val="20"/>
          <w:szCs w:val="20"/>
          <w:lang w:val="es-ES"/>
        </w:rPr>
        <w:t xml:space="preserve">Contra </w:t>
      </w:r>
      <w:r w:rsidR="00AA68C7" w:rsidRPr="00150BD0">
        <w:rPr>
          <w:rFonts w:asciiTheme="majorHAnsi" w:hAnsiTheme="majorHAnsi"/>
          <w:color w:val="auto"/>
          <w:sz w:val="20"/>
          <w:szCs w:val="20"/>
          <w:lang w:val="es-ES"/>
        </w:rPr>
        <w:t>la</w:t>
      </w:r>
      <w:r w:rsidRPr="00150BD0">
        <w:rPr>
          <w:rFonts w:asciiTheme="majorHAnsi" w:hAnsiTheme="majorHAnsi"/>
          <w:color w:val="auto"/>
          <w:sz w:val="20"/>
          <w:szCs w:val="20"/>
          <w:lang w:val="es-ES"/>
        </w:rPr>
        <w:t xml:space="preserve"> </w:t>
      </w:r>
      <w:r w:rsidR="001E0753" w:rsidRPr="00150BD0">
        <w:rPr>
          <w:rFonts w:asciiTheme="majorHAnsi" w:hAnsiTheme="majorHAnsi"/>
          <w:color w:val="auto"/>
          <w:sz w:val="20"/>
          <w:szCs w:val="20"/>
          <w:lang w:val="es-ES"/>
        </w:rPr>
        <w:t>resolución</w:t>
      </w:r>
      <w:r w:rsidRPr="00150BD0">
        <w:rPr>
          <w:rFonts w:asciiTheme="majorHAnsi" w:hAnsiTheme="majorHAnsi"/>
          <w:color w:val="auto"/>
          <w:sz w:val="20"/>
          <w:szCs w:val="20"/>
          <w:lang w:val="es-ES"/>
        </w:rPr>
        <w:t xml:space="preserve"> administrativa</w:t>
      </w:r>
      <w:r w:rsidR="00AA68C7" w:rsidRPr="00150BD0">
        <w:rPr>
          <w:rFonts w:asciiTheme="majorHAnsi" w:hAnsiTheme="majorHAnsi"/>
          <w:color w:val="auto"/>
          <w:sz w:val="20"/>
          <w:szCs w:val="20"/>
          <w:lang w:val="es-ES"/>
        </w:rPr>
        <w:t xml:space="preserve"> de traslado</w:t>
      </w:r>
      <w:r w:rsidRPr="00150BD0">
        <w:rPr>
          <w:rFonts w:asciiTheme="majorHAnsi" w:hAnsiTheme="majorHAnsi"/>
          <w:color w:val="auto"/>
          <w:sz w:val="20"/>
          <w:szCs w:val="20"/>
          <w:lang w:val="es-ES"/>
        </w:rPr>
        <w:t xml:space="preserve">, la presunta víctima presentó </w:t>
      </w:r>
      <w:r w:rsidRPr="002609DD">
        <w:rPr>
          <w:rFonts w:asciiTheme="majorHAnsi" w:hAnsiTheme="majorHAnsi"/>
          <w:color w:val="auto"/>
          <w:sz w:val="20"/>
          <w:szCs w:val="20"/>
          <w:lang w:val="es-ES"/>
        </w:rPr>
        <w:t>recurso de amparo constitucional</w:t>
      </w:r>
      <w:r w:rsidRPr="00110FA9">
        <w:rPr>
          <w:rFonts w:asciiTheme="majorHAnsi" w:hAnsiTheme="majorHAnsi"/>
          <w:color w:val="auto"/>
          <w:sz w:val="20"/>
          <w:szCs w:val="20"/>
          <w:lang w:val="es-ES"/>
        </w:rPr>
        <w:t>,</w:t>
      </w:r>
      <w:r w:rsidRPr="00150BD0">
        <w:rPr>
          <w:rFonts w:asciiTheme="majorHAnsi" w:hAnsiTheme="majorHAnsi"/>
          <w:color w:val="auto"/>
          <w:sz w:val="20"/>
          <w:szCs w:val="20"/>
          <w:lang w:val="es-ES"/>
        </w:rPr>
        <w:t xml:space="preserve"> que fue decidido en su favor por la Sala Tercera del Tribunal Constitucional </w:t>
      </w:r>
      <w:r w:rsidR="00717D1F" w:rsidRPr="00150BD0">
        <w:rPr>
          <w:rFonts w:asciiTheme="majorHAnsi" w:hAnsiTheme="majorHAnsi"/>
          <w:color w:val="auto"/>
          <w:sz w:val="20"/>
          <w:szCs w:val="20"/>
          <w:lang w:val="es-ES"/>
        </w:rPr>
        <w:t xml:space="preserve">(en </w:t>
      </w:r>
      <w:r w:rsidR="00717D1F" w:rsidRPr="00150BD0">
        <w:rPr>
          <w:rFonts w:asciiTheme="majorHAnsi" w:hAnsiTheme="majorHAnsi"/>
          <w:color w:val="auto"/>
          <w:sz w:val="20"/>
          <w:szCs w:val="20"/>
          <w:lang w:val="es-ES"/>
        </w:rPr>
        <w:lastRenderedPageBreak/>
        <w:t xml:space="preserve">adelante “TC”) </w:t>
      </w:r>
      <w:r w:rsidRPr="00150BD0">
        <w:rPr>
          <w:rFonts w:asciiTheme="majorHAnsi" w:hAnsiTheme="majorHAnsi"/>
          <w:color w:val="auto"/>
          <w:sz w:val="20"/>
          <w:szCs w:val="20"/>
          <w:lang w:val="es-ES"/>
        </w:rPr>
        <w:t>el 24 de agosto de 2001.</w:t>
      </w:r>
      <w:r w:rsidR="00AA68C7" w:rsidRPr="00150BD0">
        <w:rPr>
          <w:rFonts w:asciiTheme="majorHAnsi" w:hAnsiTheme="majorHAnsi"/>
          <w:color w:val="auto"/>
          <w:sz w:val="20"/>
          <w:szCs w:val="20"/>
          <w:lang w:val="es-ES"/>
        </w:rPr>
        <w:t xml:space="preserve"> Sin embargo,</w:t>
      </w:r>
      <w:r w:rsidRPr="00150BD0">
        <w:rPr>
          <w:rFonts w:asciiTheme="majorHAnsi" w:hAnsiTheme="majorHAnsi"/>
          <w:color w:val="auto"/>
          <w:sz w:val="20"/>
          <w:szCs w:val="20"/>
          <w:lang w:val="es-ES"/>
        </w:rPr>
        <w:t xml:space="preserve"> señala que, anticipándose </w:t>
      </w:r>
      <w:r w:rsidR="00110FA9">
        <w:rPr>
          <w:rFonts w:asciiTheme="majorHAnsi" w:hAnsiTheme="majorHAnsi"/>
          <w:color w:val="auto"/>
          <w:sz w:val="20"/>
          <w:szCs w:val="20"/>
          <w:lang w:val="es-ES"/>
        </w:rPr>
        <w:t>a la</w:t>
      </w:r>
      <w:r w:rsidRPr="00150BD0">
        <w:rPr>
          <w:rFonts w:asciiTheme="majorHAnsi" w:hAnsiTheme="majorHAnsi"/>
          <w:color w:val="auto"/>
          <w:sz w:val="20"/>
          <w:szCs w:val="20"/>
          <w:lang w:val="es-ES"/>
        </w:rPr>
        <w:t xml:space="preserve"> decisión, el director del INDA determinó </w:t>
      </w:r>
      <w:r w:rsidR="00AA68C7" w:rsidRPr="00150BD0">
        <w:rPr>
          <w:rFonts w:asciiTheme="majorHAnsi" w:hAnsiTheme="majorHAnsi"/>
          <w:color w:val="auto"/>
          <w:sz w:val="20"/>
          <w:szCs w:val="20"/>
          <w:lang w:val="es-ES"/>
        </w:rPr>
        <w:t>su</w:t>
      </w:r>
      <w:r w:rsidRPr="00150BD0">
        <w:rPr>
          <w:rFonts w:asciiTheme="majorHAnsi" w:hAnsiTheme="majorHAnsi"/>
          <w:color w:val="auto"/>
          <w:sz w:val="20"/>
          <w:szCs w:val="20"/>
          <w:lang w:val="es-ES"/>
        </w:rPr>
        <w:t xml:space="preserve"> destitución el 8 de diciembre de 2000. </w:t>
      </w:r>
      <w:r w:rsidR="00110FA9">
        <w:rPr>
          <w:rFonts w:asciiTheme="majorHAnsi" w:hAnsiTheme="majorHAnsi"/>
          <w:color w:val="auto"/>
          <w:sz w:val="20"/>
          <w:szCs w:val="20"/>
          <w:lang w:val="es-ES"/>
        </w:rPr>
        <w:t xml:space="preserve"> </w:t>
      </w:r>
      <w:r w:rsidR="008E4FE7">
        <w:rPr>
          <w:rFonts w:asciiTheme="majorHAnsi" w:hAnsiTheme="majorHAnsi"/>
          <w:color w:val="auto"/>
          <w:sz w:val="20"/>
          <w:szCs w:val="20"/>
          <w:lang w:val="es-ES"/>
        </w:rPr>
        <w:t>Sos</w:t>
      </w:r>
      <w:r w:rsidR="00CD2BFC">
        <w:rPr>
          <w:rFonts w:asciiTheme="majorHAnsi" w:hAnsiTheme="majorHAnsi"/>
          <w:color w:val="auto"/>
          <w:sz w:val="20"/>
          <w:szCs w:val="20"/>
          <w:lang w:val="es-ES"/>
        </w:rPr>
        <w:t>tiene que u</w:t>
      </w:r>
      <w:r w:rsidR="00110FA9">
        <w:rPr>
          <w:rFonts w:asciiTheme="majorHAnsi" w:hAnsiTheme="majorHAnsi"/>
          <w:color w:val="auto"/>
          <w:sz w:val="20"/>
          <w:szCs w:val="20"/>
          <w:lang w:val="es-ES"/>
        </w:rPr>
        <w:t xml:space="preserve">na vez que se resolvió el amparo a su favor, </w:t>
      </w:r>
      <w:r w:rsidRPr="00150BD0">
        <w:rPr>
          <w:rFonts w:asciiTheme="majorHAnsi" w:hAnsiTheme="majorHAnsi"/>
          <w:color w:val="auto"/>
          <w:sz w:val="20"/>
          <w:szCs w:val="20"/>
          <w:lang w:val="es-ES"/>
        </w:rPr>
        <w:t xml:space="preserve">la presunta víctima ha intentado su restitución a su antiguo puesto de trabajo. </w:t>
      </w:r>
      <w:r w:rsidR="00B26F51" w:rsidRPr="00150BD0">
        <w:rPr>
          <w:rFonts w:asciiTheme="majorHAnsi" w:hAnsiTheme="majorHAnsi"/>
          <w:color w:val="auto"/>
          <w:sz w:val="20"/>
          <w:szCs w:val="20"/>
          <w:lang w:val="es-ES"/>
        </w:rPr>
        <w:t>Señala</w:t>
      </w:r>
      <w:r w:rsidRPr="00150BD0">
        <w:rPr>
          <w:rFonts w:asciiTheme="majorHAnsi" w:hAnsiTheme="majorHAnsi"/>
          <w:color w:val="auto"/>
          <w:sz w:val="20"/>
          <w:szCs w:val="20"/>
          <w:lang w:val="es-ES"/>
        </w:rPr>
        <w:t xml:space="preserve"> que contra la decisión de destitución, presentó </w:t>
      </w:r>
      <w:r w:rsidRPr="002609DD">
        <w:rPr>
          <w:rFonts w:asciiTheme="majorHAnsi" w:hAnsiTheme="majorHAnsi"/>
          <w:color w:val="auto"/>
          <w:sz w:val="20"/>
          <w:szCs w:val="20"/>
          <w:lang w:val="es-ES"/>
        </w:rPr>
        <w:t>recurso de nulidad</w:t>
      </w:r>
      <w:r w:rsidRPr="00150BD0">
        <w:rPr>
          <w:rFonts w:asciiTheme="majorHAnsi" w:hAnsiTheme="majorHAnsi"/>
          <w:color w:val="auto"/>
          <w:sz w:val="20"/>
          <w:szCs w:val="20"/>
          <w:lang w:val="es-ES"/>
        </w:rPr>
        <w:t xml:space="preserve"> ante el Tribunal Distrital de lo Contencioso Administrativo</w:t>
      </w:r>
      <w:r w:rsidR="00063323" w:rsidRPr="00150BD0">
        <w:rPr>
          <w:rFonts w:asciiTheme="majorHAnsi" w:hAnsiTheme="majorHAnsi"/>
          <w:color w:val="auto"/>
          <w:sz w:val="20"/>
          <w:szCs w:val="20"/>
          <w:lang w:val="es-ES"/>
        </w:rPr>
        <w:t xml:space="preserve"> (en adelante “TDCA”)</w:t>
      </w:r>
      <w:r w:rsidRPr="00150BD0">
        <w:rPr>
          <w:rFonts w:asciiTheme="majorHAnsi" w:hAnsiTheme="majorHAnsi"/>
          <w:color w:val="auto"/>
          <w:sz w:val="20"/>
          <w:szCs w:val="20"/>
          <w:lang w:val="es-ES"/>
        </w:rPr>
        <w:t xml:space="preserve">, el cual fue juzgado parcialmente procedente el 24 de noviembre de 2003, es decir, en la oportunidad se determinó su restitución, pero no </w:t>
      </w:r>
      <w:r w:rsidR="002606DD" w:rsidRPr="00150BD0">
        <w:rPr>
          <w:rFonts w:asciiTheme="majorHAnsi" w:hAnsiTheme="majorHAnsi"/>
          <w:color w:val="auto"/>
          <w:sz w:val="20"/>
          <w:szCs w:val="20"/>
          <w:lang w:val="es-ES"/>
        </w:rPr>
        <w:t>una</w:t>
      </w:r>
      <w:r w:rsidRPr="00150BD0">
        <w:rPr>
          <w:rFonts w:asciiTheme="majorHAnsi" w:hAnsiTheme="majorHAnsi"/>
          <w:color w:val="auto"/>
          <w:sz w:val="20"/>
          <w:szCs w:val="20"/>
          <w:lang w:val="es-ES"/>
        </w:rPr>
        <w:t xml:space="preserve"> reparación por los daños sufridos. Así, </w:t>
      </w:r>
      <w:r w:rsidR="008E4FE7">
        <w:rPr>
          <w:rFonts w:asciiTheme="majorHAnsi" w:hAnsiTheme="majorHAnsi"/>
          <w:color w:val="auto"/>
          <w:sz w:val="20"/>
          <w:szCs w:val="20"/>
          <w:lang w:val="es-ES"/>
        </w:rPr>
        <w:t xml:space="preserve">indica que </w:t>
      </w:r>
      <w:r w:rsidRPr="00150BD0">
        <w:rPr>
          <w:rFonts w:asciiTheme="majorHAnsi" w:hAnsiTheme="majorHAnsi"/>
          <w:color w:val="auto"/>
          <w:sz w:val="20"/>
          <w:szCs w:val="20"/>
          <w:lang w:val="es-ES"/>
        </w:rPr>
        <w:t xml:space="preserve"> interpuso </w:t>
      </w:r>
      <w:r w:rsidRPr="002609DD">
        <w:rPr>
          <w:rFonts w:asciiTheme="majorHAnsi" w:hAnsiTheme="majorHAnsi"/>
          <w:color w:val="auto"/>
          <w:sz w:val="20"/>
          <w:szCs w:val="20"/>
          <w:lang w:val="es-ES"/>
        </w:rPr>
        <w:t>recurso de casación</w:t>
      </w:r>
      <w:r w:rsidRPr="00150BD0">
        <w:rPr>
          <w:rFonts w:asciiTheme="majorHAnsi" w:hAnsiTheme="majorHAnsi"/>
          <w:color w:val="auto"/>
          <w:sz w:val="20"/>
          <w:szCs w:val="20"/>
          <w:lang w:val="es-ES"/>
        </w:rPr>
        <w:t xml:space="preserve"> ante la Corte Suprema de Justicia (en adelante “CSJ”) con el fin qu</w:t>
      </w:r>
      <w:r w:rsidR="002606DD" w:rsidRPr="00150BD0">
        <w:rPr>
          <w:rFonts w:asciiTheme="majorHAnsi" w:hAnsiTheme="majorHAnsi"/>
          <w:color w:val="auto"/>
          <w:sz w:val="20"/>
          <w:szCs w:val="20"/>
          <w:lang w:val="es-ES"/>
        </w:rPr>
        <w:t>e se reconociera su derecho a</w:t>
      </w:r>
      <w:r w:rsidRPr="00150BD0">
        <w:rPr>
          <w:rFonts w:asciiTheme="majorHAnsi" w:hAnsiTheme="majorHAnsi"/>
          <w:color w:val="auto"/>
          <w:sz w:val="20"/>
          <w:szCs w:val="20"/>
          <w:lang w:val="es-ES"/>
        </w:rPr>
        <w:t xml:space="preserve"> reparación, lo que fue denegado por la Sala del Contencioso Administrativo de la CSJ el 29 de enero de 2008.</w:t>
      </w:r>
    </w:p>
    <w:p w:rsidR="001C2C84" w:rsidRPr="00150BD0" w:rsidRDefault="002606DD" w:rsidP="001C2C84">
      <w:pPr>
        <w:pStyle w:val="ListParagraph"/>
        <w:numPr>
          <w:ilvl w:val="0"/>
          <w:numId w:val="103"/>
        </w:numPr>
        <w:spacing w:after="240"/>
        <w:jc w:val="both"/>
        <w:rPr>
          <w:color w:val="auto"/>
          <w:sz w:val="20"/>
          <w:szCs w:val="20"/>
          <w:lang w:val="es-ES"/>
        </w:rPr>
      </w:pPr>
      <w:r w:rsidRPr="00150BD0">
        <w:rPr>
          <w:rFonts w:asciiTheme="majorHAnsi" w:hAnsiTheme="majorHAnsi"/>
          <w:color w:val="auto"/>
          <w:sz w:val="20"/>
          <w:szCs w:val="20"/>
          <w:lang w:val="es-ES"/>
        </w:rPr>
        <w:t xml:space="preserve">La presunta víctima señala </w:t>
      </w:r>
      <w:r w:rsidR="001C2C84" w:rsidRPr="00150BD0">
        <w:rPr>
          <w:rFonts w:asciiTheme="majorHAnsi" w:hAnsiTheme="majorHAnsi"/>
          <w:color w:val="auto"/>
          <w:sz w:val="20"/>
          <w:szCs w:val="20"/>
          <w:lang w:val="es-ES"/>
        </w:rPr>
        <w:t xml:space="preserve">que el Estado </w:t>
      </w:r>
      <w:r w:rsidRPr="00150BD0">
        <w:rPr>
          <w:rFonts w:asciiTheme="majorHAnsi" w:hAnsiTheme="majorHAnsi"/>
          <w:color w:val="auto"/>
          <w:sz w:val="20"/>
          <w:szCs w:val="20"/>
          <w:lang w:val="es-ES"/>
        </w:rPr>
        <w:t>internamente defiende que el INDA fue extinto</w:t>
      </w:r>
      <w:r w:rsidR="001C2C84" w:rsidRPr="00150BD0">
        <w:rPr>
          <w:rFonts w:asciiTheme="majorHAnsi" w:hAnsiTheme="majorHAnsi"/>
          <w:color w:val="auto"/>
          <w:sz w:val="20"/>
          <w:szCs w:val="20"/>
          <w:lang w:val="es-ES"/>
        </w:rPr>
        <w:t xml:space="preserve"> por el Decreto Ejecutivo nº 373/2010 y que, por tanto, se debe volver al inicio del proceso contra el nuevo órgano encargado de esta agenda, </w:t>
      </w:r>
      <w:r w:rsidRPr="00150BD0">
        <w:rPr>
          <w:rFonts w:asciiTheme="majorHAnsi" w:hAnsiTheme="majorHAnsi"/>
          <w:color w:val="auto"/>
          <w:sz w:val="20"/>
          <w:szCs w:val="20"/>
          <w:lang w:val="es-ES"/>
        </w:rPr>
        <w:t xml:space="preserve">es decir, </w:t>
      </w:r>
      <w:r w:rsidR="001C2C84" w:rsidRPr="00150BD0">
        <w:rPr>
          <w:rFonts w:asciiTheme="majorHAnsi" w:hAnsiTheme="majorHAnsi"/>
          <w:color w:val="auto"/>
          <w:sz w:val="20"/>
          <w:szCs w:val="20"/>
          <w:lang w:val="es-ES"/>
        </w:rPr>
        <w:t>la Subsecretaria de Tierras y Reforma Agraria del Ministerio de Agricultura, Ganadería, Acuacultur</w:t>
      </w:r>
      <w:r w:rsidRPr="00150BD0">
        <w:rPr>
          <w:rFonts w:asciiTheme="majorHAnsi" w:hAnsiTheme="majorHAnsi"/>
          <w:color w:val="auto"/>
          <w:sz w:val="20"/>
          <w:szCs w:val="20"/>
          <w:lang w:val="es-ES"/>
        </w:rPr>
        <w:t>a y Pesca (en adelante “MAGAP”). La señora Haro menciona su inconformidad con dicho alega</w:t>
      </w:r>
      <w:r w:rsidR="008E4FE7">
        <w:rPr>
          <w:rFonts w:asciiTheme="majorHAnsi" w:hAnsiTheme="majorHAnsi"/>
          <w:color w:val="auto"/>
          <w:sz w:val="20"/>
          <w:szCs w:val="20"/>
          <w:lang w:val="es-ES"/>
        </w:rPr>
        <w:t>t</w:t>
      </w:r>
      <w:r w:rsidRPr="00150BD0">
        <w:rPr>
          <w:rFonts w:asciiTheme="majorHAnsi" w:hAnsiTheme="majorHAnsi"/>
          <w:color w:val="auto"/>
          <w:sz w:val="20"/>
          <w:szCs w:val="20"/>
          <w:lang w:val="es-ES"/>
        </w:rPr>
        <w:t xml:space="preserve">o dado que ya existe </w:t>
      </w:r>
      <w:r w:rsidR="001C2C84" w:rsidRPr="00150BD0">
        <w:rPr>
          <w:rFonts w:asciiTheme="majorHAnsi" w:hAnsiTheme="majorHAnsi"/>
          <w:color w:val="auto"/>
          <w:sz w:val="20"/>
          <w:szCs w:val="20"/>
          <w:lang w:val="es-ES"/>
        </w:rPr>
        <w:t xml:space="preserve">cosa juzgada sobre el tema por la Corte Suprema de Justicia. </w:t>
      </w:r>
      <w:r w:rsidR="008E4FE7">
        <w:rPr>
          <w:rFonts w:asciiTheme="majorHAnsi" w:hAnsiTheme="majorHAnsi"/>
          <w:color w:val="auto"/>
          <w:sz w:val="20"/>
          <w:szCs w:val="20"/>
          <w:lang w:val="es-ES"/>
        </w:rPr>
        <w:t xml:space="preserve"> Asimismo, </w:t>
      </w:r>
      <w:r w:rsidRPr="00150BD0">
        <w:rPr>
          <w:color w:val="auto"/>
          <w:sz w:val="20"/>
          <w:szCs w:val="20"/>
          <w:lang w:val="es-ES"/>
        </w:rPr>
        <w:t xml:space="preserve"> señala que </w:t>
      </w:r>
      <w:r w:rsidR="001C2C84" w:rsidRPr="00150BD0">
        <w:rPr>
          <w:color w:val="auto"/>
          <w:sz w:val="20"/>
          <w:szCs w:val="20"/>
          <w:lang w:val="es-ES"/>
        </w:rPr>
        <w:t>en dado momento se sintió am</w:t>
      </w:r>
      <w:r w:rsidR="00092FFE" w:rsidRPr="00150BD0">
        <w:rPr>
          <w:color w:val="auto"/>
          <w:sz w:val="20"/>
          <w:szCs w:val="20"/>
          <w:lang w:val="es-ES"/>
        </w:rPr>
        <w:t>enazada y que fue impedida</w:t>
      </w:r>
      <w:r w:rsidR="001C2C84" w:rsidRPr="00150BD0">
        <w:rPr>
          <w:color w:val="auto"/>
          <w:sz w:val="20"/>
          <w:szCs w:val="20"/>
          <w:lang w:val="es-ES"/>
        </w:rPr>
        <w:t xml:space="preserve"> de trabajar como abogada patrocinadora de terceros ante el órgano</w:t>
      </w:r>
      <w:r w:rsidRPr="00150BD0">
        <w:rPr>
          <w:rStyle w:val="FootnoteReference"/>
          <w:color w:val="auto"/>
          <w:sz w:val="20"/>
          <w:szCs w:val="20"/>
          <w:lang w:val="es-ES"/>
        </w:rPr>
        <w:footnoteReference w:id="5"/>
      </w:r>
      <w:r w:rsidR="001C2C84" w:rsidRPr="00150BD0">
        <w:rPr>
          <w:color w:val="auto"/>
          <w:sz w:val="20"/>
          <w:szCs w:val="20"/>
          <w:lang w:val="es-ES"/>
        </w:rPr>
        <w:t>.</w:t>
      </w:r>
    </w:p>
    <w:p w:rsidR="001C2C84" w:rsidRPr="00150BD0" w:rsidRDefault="0019605B" w:rsidP="001C2C84">
      <w:pPr>
        <w:pStyle w:val="ListParagraph"/>
        <w:numPr>
          <w:ilvl w:val="0"/>
          <w:numId w:val="103"/>
        </w:numPr>
        <w:spacing w:after="240"/>
        <w:jc w:val="both"/>
        <w:rPr>
          <w:color w:val="auto"/>
          <w:sz w:val="20"/>
          <w:szCs w:val="20"/>
          <w:lang w:val="es-ES"/>
        </w:rPr>
      </w:pPr>
      <w:r w:rsidRPr="00150BD0">
        <w:rPr>
          <w:rFonts w:asciiTheme="majorHAnsi" w:hAnsiTheme="majorHAnsi"/>
          <w:color w:val="auto"/>
          <w:sz w:val="20"/>
          <w:szCs w:val="20"/>
          <w:lang w:val="es-ES"/>
        </w:rPr>
        <w:t xml:space="preserve">Por último, afirma que </w:t>
      </w:r>
      <w:r w:rsidR="001C2C84" w:rsidRPr="00150BD0">
        <w:rPr>
          <w:rFonts w:asciiTheme="majorHAnsi" w:hAnsiTheme="majorHAnsi"/>
          <w:color w:val="auto"/>
          <w:sz w:val="20"/>
          <w:szCs w:val="20"/>
          <w:lang w:val="es-ES"/>
        </w:rPr>
        <w:t xml:space="preserve">el 14 de julio de 2009, la Sala Primera del Tribunal Contencioso Administrativo dispuso el cumplimiento inmediato de la sentencia de 24 de noviembre de 2003, </w:t>
      </w:r>
      <w:r w:rsidR="008E4FE7">
        <w:rPr>
          <w:rFonts w:asciiTheme="majorHAnsi" w:hAnsiTheme="majorHAnsi"/>
          <w:color w:val="auto"/>
          <w:sz w:val="20"/>
          <w:szCs w:val="20"/>
          <w:lang w:val="es-ES"/>
        </w:rPr>
        <w:t xml:space="preserve">que había sido </w:t>
      </w:r>
      <w:r w:rsidR="001C2C84" w:rsidRPr="00150BD0">
        <w:rPr>
          <w:rFonts w:asciiTheme="majorHAnsi" w:hAnsiTheme="majorHAnsi"/>
          <w:color w:val="auto"/>
          <w:sz w:val="20"/>
          <w:szCs w:val="20"/>
          <w:lang w:val="es-ES"/>
        </w:rPr>
        <w:t xml:space="preserve">ratificada por la Sala de lo Contencioso Administrativo de la </w:t>
      </w:r>
      <w:r w:rsidRPr="00150BD0">
        <w:rPr>
          <w:rFonts w:asciiTheme="majorHAnsi" w:hAnsiTheme="majorHAnsi"/>
          <w:color w:val="auto"/>
          <w:sz w:val="20"/>
          <w:szCs w:val="20"/>
          <w:lang w:val="es-ES"/>
        </w:rPr>
        <w:t>CSJ</w:t>
      </w:r>
      <w:r w:rsidR="001C2C84" w:rsidRPr="00150BD0">
        <w:rPr>
          <w:rFonts w:asciiTheme="majorHAnsi" w:hAnsiTheme="majorHAnsi"/>
          <w:color w:val="auto"/>
          <w:sz w:val="20"/>
          <w:szCs w:val="20"/>
          <w:lang w:val="es-ES"/>
        </w:rPr>
        <w:t xml:space="preserve"> </w:t>
      </w:r>
      <w:r w:rsidR="008E4FE7">
        <w:rPr>
          <w:rFonts w:asciiTheme="majorHAnsi" w:hAnsiTheme="majorHAnsi"/>
          <w:color w:val="auto"/>
          <w:sz w:val="20"/>
          <w:szCs w:val="20"/>
          <w:lang w:val="es-ES"/>
        </w:rPr>
        <w:t xml:space="preserve">desde </w:t>
      </w:r>
      <w:r w:rsidR="001C2C84" w:rsidRPr="00150BD0">
        <w:rPr>
          <w:rFonts w:asciiTheme="majorHAnsi" w:hAnsiTheme="majorHAnsi"/>
          <w:color w:val="auto"/>
          <w:sz w:val="20"/>
          <w:szCs w:val="20"/>
          <w:lang w:val="es-ES"/>
        </w:rPr>
        <w:t xml:space="preserve">el 29 de enero  2008. Ante la falta de cumplimiento, la </w:t>
      </w:r>
      <w:r w:rsidRPr="00150BD0">
        <w:rPr>
          <w:rFonts w:asciiTheme="majorHAnsi" w:hAnsiTheme="majorHAnsi"/>
          <w:color w:val="auto"/>
          <w:sz w:val="20"/>
          <w:szCs w:val="20"/>
          <w:lang w:val="es-ES"/>
        </w:rPr>
        <w:t>señora Haro</w:t>
      </w:r>
      <w:r w:rsidR="001C2C84" w:rsidRPr="00150BD0">
        <w:rPr>
          <w:rFonts w:asciiTheme="majorHAnsi" w:hAnsiTheme="majorHAnsi"/>
          <w:color w:val="auto"/>
          <w:sz w:val="20"/>
          <w:szCs w:val="20"/>
          <w:lang w:val="es-ES"/>
        </w:rPr>
        <w:t xml:space="preserve"> afirma que solicitó el enjuiciamiento penal del director del INDA por desacato. </w:t>
      </w:r>
      <w:r w:rsidR="00326573">
        <w:rPr>
          <w:rFonts w:asciiTheme="majorHAnsi" w:hAnsiTheme="majorHAnsi"/>
          <w:color w:val="auto"/>
          <w:sz w:val="20"/>
          <w:szCs w:val="20"/>
          <w:lang w:val="es-ES"/>
        </w:rPr>
        <w:t xml:space="preserve"> Mediante </w:t>
      </w:r>
      <w:r w:rsidR="001C2C84" w:rsidRPr="00150BD0">
        <w:rPr>
          <w:rFonts w:asciiTheme="majorHAnsi" w:hAnsiTheme="majorHAnsi"/>
          <w:color w:val="auto"/>
          <w:sz w:val="20"/>
          <w:szCs w:val="20"/>
          <w:lang w:val="es-ES"/>
        </w:rPr>
        <w:t xml:space="preserve">decisión de 21 de mayo de 2013, el Tribunal Contencioso Administrativo </w:t>
      </w:r>
      <w:r w:rsidR="00326573">
        <w:rPr>
          <w:rFonts w:asciiTheme="majorHAnsi" w:hAnsiTheme="majorHAnsi"/>
          <w:color w:val="auto"/>
          <w:sz w:val="20"/>
          <w:szCs w:val="20"/>
          <w:lang w:val="es-ES"/>
        </w:rPr>
        <w:t>dispuso</w:t>
      </w:r>
      <w:r w:rsidR="001C2C84" w:rsidRPr="00150BD0">
        <w:rPr>
          <w:rFonts w:asciiTheme="majorHAnsi" w:hAnsiTheme="majorHAnsi"/>
          <w:color w:val="auto"/>
          <w:sz w:val="20"/>
          <w:szCs w:val="20"/>
          <w:lang w:val="es-ES"/>
        </w:rPr>
        <w:t xml:space="preserve">, una vez más, el cumplimiento de la sentencia del 24 de noviembre de 2003 en el término de 8 días. </w:t>
      </w:r>
      <w:r w:rsidR="00326573">
        <w:rPr>
          <w:rFonts w:asciiTheme="majorHAnsi" w:hAnsiTheme="majorHAnsi"/>
          <w:color w:val="auto"/>
          <w:sz w:val="20"/>
          <w:szCs w:val="20"/>
          <w:lang w:val="es-ES"/>
        </w:rPr>
        <w:t xml:space="preserve"> La presunta víctima señala </w:t>
      </w:r>
      <w:r w:rsidR="00326573" w:rsidRPr="006E1683">
        <w:rPr>
          <w:rFonts w:asciiTheme="majorHAnsi" w:hAnsiTheme="majorHAnsi"/>
          <w:color w:val="auto"/>
          <w:sz w:val="20"/>
          <w:szCs w:val="20"/>
          <w:lang w:val="es-ES"/>
        </w:rPr>
        <w:t xml:space="preserve">que </w:t>
      </w:r>
      <w:r w:rsidR="001C2C84" w:rsidRPr="006E1683">
        <w:rPr>
          <w:rFonts w:asciiTheme="majorHAnsi" w:hAnsiTheme="majorHAnsi"/>
          <w:color w:val="auto"/>
          <w:sz w:val="20"/>
          <w:szCs w:val="20"/>
          <w:lang w:val="es-ES"/>
        </w:rPr>
        <w:t xml:space="preserve">el 19 de marzo de 2014, se le </w:t>
      </w:r>
      <w:r w:rsidR="00326573" w:rsidRPr="006E1683">
        <w:rPr>
          <w:rFonts w:asciiTheme="majorHAnsi" w:hAnsiTheme="majorHAnsi"/>
          <w:color w:val="auto"/>
          <w:sz w:val="20"/>
          <w:szCs w:val="20"/>
          <w:lang w:val="es-ES"/>
        </w:rPr>
        <w:t>intentó</w:t>
      </w:r>
      <w:r w:rsidR="00326573" w:rsidRPr="00150BD0">
        <w:rPr>
          <w:rFonts w:asciiTheme="majorHAnsi" w:hAnsiTheme="majorHAnsi"/>
          <w:color w:val="auto"/>
          <w:sz w:val="20"/>
          <w:szCs w:val="20"/>
          <w:lang w:val="es-ES"/>
        </w:rPr>
        <w:t xml:space="preserve"> </w:t>
      </w:r>
      <w:r w:rsidR="001C2C84" w:rsidRPr="00150BD0">
        <w:rPr>
          <w:rFonts w:asciiTheme="majorHAnsi" w:hAnsiTheme="majorHAnsi"/>
          <w:color w:val="auto"/>
          <w:sz w:val="20"/>
          <w:szCs w:val="20"/>
          <w:lang w:val="es-ES"/>
        </w:rPr>
        <w:t>incorporar al MAGAP</w:t>
      </w:r>
      <w:r w:rsidR="00326573">
        <w:rPr>
          <w:rFonts w:asciiTheme="majorHAnsi" w:hAnsiTheme="majorHAnsi"/>
          <w:color w:val="auto"/>
          <w:sz w:val="20"/>
          <w:szCs w:val="20"/>
          <w:lang w:val="es-ES"/>
        </w:rPr>
        <w:t xml:space="preserve"> </w:t>
      </w:r>
      <w:r w:rsidR="001C2C84" w:rsidRPr="00150BD0">
        <w:rPr>
          <w:rFonts w:asciiTheme="majorHAnsi" w:hAnsiTheme="majorHAnsi"/>
          <w:color w:val="auto"/>
          <w:sz w:val="20"/>
          <w:szCs w:val="20"/>
          <w:lang w:val="es-ES"/>
        </w:rPr>
        <w:t xml:space="preserve"> en</w:t>
      </w:r>
      <w:r w:rsidR="00326573">
        <w:rPr>
          <w:rFonts w:asciiTheme="majorHAnsi" w:hAnsiTheme="majorHAnsi"/>
          <w:color w:val="auto"/>
          <w:sz w:val="20"/>
          <w:szCs w:val="20"/>
          <w:lang w:val="es-ES"/>
        </w:rPr>
        <w:t xml:space="preserve"> un</w:t>
      </w:r>
      <w:r w:rsidR="001C2C84" w:rsidRPr="00150BD0">
        <w:rPr>
          <w:rFonts w:asciiTheme="majorHAnsi" w:hAnsiTheme="majorHAnsi"/>
          <w:color w:val="auto"/>
          <w:sz w:val="20"/>
          <w:szCs w:val="20"/>
          <w:lang w:val="es-ES"/>
        </w:rPr>
        <w:t xml:space="preserve"> puesto </w:t>
      </w:r>
      <w:r w:rsidR="001C2C84" w:rsidRPr="00150BD0">
        <w:rPr>
          <w:color w:val="auto"/>
          <w:sz w:val="20"/>
          <w:szCs w:val="20"/>
          <w:lang w:val="es-ES"/>
        </w:rPr>
        <w:t xml:space="preserve">inferior al que ejercía </w:t>
      </w:r>
      <w:r w:rsidRPr="00150BD0">
        <w:rPr>
          <w:color w:val="auto"/>
          <w:sz w:val="20"/>
          <w:szCs w:val="20"/>
          <w:lang w:val="es-ES"/>
        </w:rPr>
        <w:t xml:space="preserve">en el momento de la destitución, </w:t>
      </w:r>
      <w:r w:rsidR="00326573">
        <w:rPr>
          <w:color w:val="auto"/>
          <w:sz w:val="20"/>
          <w:szCs w:val="20"/>
          <w:lang w:val="es-ES"/>
        </w:rPr>
        <w:t>por lo que no aceptó</w:t>
      </w:r>
      <w:r w:rsidRPr="00150BD0">
        <w:rPr>
          <w:color w:val="auto"/>
          <w:sz w:val="20"/>
          <w:szCs w:val="20"/>
          <w:lang w:val="es-ES"/>
        </w:rPr>
        <w:t>.</w:t>
      </w:r>
    </w:p>
    <w:p w:rsidR="00326573" w:rsidRDefault="009D65A0" w:rsidP="00717D1F">
      <w:pPr>
        <w:pStyle w:val="ListParagraph"/>
        <w:numPr>
          <w:ilvl w:val="0"/>
          <w:numId w:val="103"/>
        </w:numPr>
        <w:spacing w:after="240"/>
        <w:jc w:val="both"/>
        <w:rPr>
          <w:color w:val="auto"/>
          <w:sz w:val="20"/>
          <w:szCs w:val="20"/>
          <w:lang w:val="es-ES"/>
        </w:rPr>
      </w:pPr>
      <w:r w:rsidRPr="00150BD0">
        <w:rPr>
          <w:color w:val="auto"/>
          <w:sz w:val="20"/>
          <w:szCs w:val="20"/>
          <w:lang w:val="es-ES"/>
        </w:rPr>
        <w:t xml:space="preserve">El Estado, </w:t>
      </w:r>
      <w:r w:rsidR="00485B1A" w:rsidRPr="00150BD0">
        <w:rPr>
          <w:color w:val="auto"/>
          <w:sz w:val="20"/>
          <w:szCs w:val="20"/>
          <w:lang w:val="es-ES"/>
        </w:rPr>
        <w:t xml:space="preserve">afirma que la petición de la señora Haro </w:t>
      </w:r>
      <w:r w:rsidR="00326573">
        <w:rPr>
          <w:color w:val="auto"/>
          <w:sz w:val="20"/>
          <w:szCs w:val="20"/>
          <w:lang w:val="es-ES"/>
        </w:rPr>
        <w:t>refiere a</w:t>
      </w:r>
      <w:r w:rsidR="00485B1A" w:rsidRPr="00150BD0">
        <w:rPr>
          <w:color w:val="auto"/>
          <w:sz w:val="20"/>
          <w:szCs w:val="20"/>
          <w:lang w:val="es-ES"/>
        </w:rPr>
        <w:t xml:space="preserve"> dos resoluciones administrativas independientes</w:t>
      </w:r>
      <w:r w:rsidR="00717D1F" w:rsidRPr="00150BD0">
        <w:rPr>
          <w:color w:val="auto"/>
          <w:sz w:val="20"/>
          <w:szCs w:val="20"/>
          <w:lang w:val="es-ES"/>
        </w:rPr>
        <w:t>, analizadas en ámbitos judiciales distintos</w:t>
      </w:r>
      <w:r w:rsidR="00326573">
        <w:rPr>
          <w:color w:val="auto"/>
          <w:sz w:val="20"/>
          <w:szCs w:val="20"/>
          <w:lang w:val="es-ES"/>
        </w:rPr>
        <w:t>.</w:t>
      </w:r>
      <w:r w:rsidR="00485B1A" w:rsidRPr="00150BD0">
        <w:rPr>
          <w:color w:val="auto"/>
          <w:sz w:val="20"/>
          <w:szCs w:val="20"/>
          <w:lang w:val="es-ES"/>
        </w:rPr>
        <w:t xml:space="preserve"> La primera</w:t>
      </w:r>
      <w:r w:rsidR="00717D1F" w:rsidRPr="00150BD0">
        <w:rPr>
          <w:color w:val="auto"/>
          <w:sz w:val="20"/>
          <w:szCs w:val="20"/>
          <w:lang w:val="es-ES"/>
        </w:rPr>
        <w:t xml:space="preserve"> tuvo como objeto el traslado de la presunta víctima a otra provincia del país y fue </w:t>
      </w:r>
      <w:r w:rsidR="00485B1A" w:rsidRPr="00150BD0">
        <w:rPr>
          <w:color w:val="auto"/>
          <w:sz w:val="20"/>
          <w:szCs w:val="20"/>
          <w:lang w:val="es-ES"/>
        </w:rPr>
        <w:t>puesta bajo conocimiento de la Tercera S</w:t>
      </w:r>
      <w:r w:rsidR="00717D1F" w:rsidRPr="00150BD0">
        <w:rPr>
          <w:color w:val="auto"/>
          <w:sz w:val="20"/>
          <w:szCs w:val="20"/>
          <w:lang w:val="es-ES"/>
        </w:rPr>
        <w:t>ala del TC por un recurso de amparo</w:t>
      </w:r>
      <w:r w:rsidR="00C84795" w:rsidRPr="00150BD0">
        <w:rPr>
          <w:color w:val="auto"/>
          <w:sz w:val="20"/>
          <w:szCs w:val="20"/>
          <w:lang w:val="es-ES"/>
        </w:rPr>
        <w:t xml:space="preserve"> en sede de apelación</w:t>
      </w:r>
      <w:r w:rsidR="00717D1F" w:rsidRPr="00150BD0">
        <w:rPr>
          <w:color w:val="auto"/>
          <w:sz w:val="20"/>
          <w:szCs w:val="20"/>
          <w:lang w:val="es-ES"/>
        </w:rPr>
        <w:t>. Señala que el mencionado tribunal decidió favorablemente a la señora Haro</w:t>
      </w:r>
      <w:r w:rsidR="00C84795" w:rsidRPr="00150BD0">
        <w:rPr>
          <w:color w:val="auto"/>
          <w:sz w:val="20"/>
          <w:szCs w:val="20"/>
          <w:lang w:val="es-ES"/>
        </w:rPr>
        <w:t xml:space="preserve"> por decisión dictada el 24 de agosto de 2001</w:t>
      </w:r>
      <w:r w:rsidR="00717D1F" w:rsidRPr="00150BD0">
        <w:rPr>
          <w:color w:val="auto"/>
          <w:sz w:val="20"/>
          <w:szCs w:val="20"/>
          <w:lang w:val="es-ES"/>
        </w:rPr>
        <w:t xml:space="preserve">, </w:t>
      </w:r>
      <w:r w:rsidR="00C84795" w:rsidRPr="00150BD0">
        <w:rPr>
          <w:color w:val="auto"/>
          <w:sz w:val="20"/>
          <w:szCs w:val="20"/>
          <w:lang w:val="es-ES"/>
        </w:rPr>
        <w:t>declarando ileg</w:t>
      </w:r>
      <w:r w:rsidR="00326573">
        <w:rPr>
          <w:color w:val="auto"/>
          <w:sz w:val="20"/>
          <w:szCs w:val="20"/>
          <w:lang w:val="es-ES"/>
        </w:rPr>
        <w:t>í</w:t>
      </w:r>
      <w:r w:rsidR="00C84795" w:rsidRPr="00150BD0">
        <w:rPr>
          <w:color w:val="auto"/>
          <w:sz w:val="20"/>
          <w:szCs w:val="20"/>
          <w:lang w:val="es-ES"/>
        </w:rPr>
        <w:t>tima</w:t>
      </w:r>
      <w:r w:rsidR="00717D1F" w:rsidRPr="00150BD0">
        <w:rPr>
          <w:color w:val="auto"/>
          <w:sz w:val="20"/>
          <w:szCs w:val="20"/>
          <w:lang w:val="es-ES"/>
        </w:rPr>
        <w:t xml:space="preserve"> </w:t>
      </w:r>
      <w:r w:rsidR="00C84795" w:rsidRPr="00150BD0">
        <w:rPr>
          <w:color w:val="auto"/>
          <w:sz w:val="20"/>
          <w:szCs w:val="20"/>
          <w:lang w:val="es-ES"/>
        </w:rPr>
        <w:t>la resolución administrativa</w:t>
      </w:r>
      <w:r w:rsidR="00717D1F" w:rsidRPr="00150BD0">
        <w:rPr>
          <w:color w:val="auto"/>
          <w:sz w:val="20"/>
          <w:szCs w:val="20"/>
          <w:lang w:val="es-ES"/>
        </w:rPr>
        <w:t xml:space="preserve">. </w:t>
      </w:r>
      <w:r w:rsidR="00C84795" w:rsidRPr="00150BD0">
        <w:rPr>
          <w:color w:val="auto"/>
          <w:sz w:val="20"/>
          <w:szCs w:val="20"/>
          <w:lang w:val="es-ES"/>
        </w:rPr>
        <w:t xml:space="preserve">Informa el Estado que con fecha 2 de octubre de 2001, el juez de primera instancia determinó el archivo del proceso en virtud del cumplimiento de la resolución del Tribunal Constitucional. </w:t>
      </w:r>
    </w:p>
    <w:p w:rsidR="00717D1F" w:rsidRPr="00150BD0" w:rsidRDefault="00326573" w:rsidP="00717D1F">
      <w:pPr>
        <w:pStyle w:val="ListParagraph"/>
        <w:numPr>
          <w:ilvl w:val="0"/>
          <w:numId w:val="103"/>
        </w:numPr>
        <w:spacing w:after="240"/>
        <w:jc w:val="both"/>
        <w:rPr>
          <w:color w:val="auto"/>
          <w:sz w:val="20"/>
          <w:szCs w:val="20"/>
          <w:lang w:val="es-ES"/>
        </w:rPr>
      </w:pPr>
      <w:r>
        <w:rPr>
          <w:color w:val="auto"/>
          <w:sz w:val="20"/>
          <w:szCs w:val="20"/>
          <w:lang w:val="es-ES"/>
        </w:rPr>
        <w:t xml:space="preserve">El Estado afirma que la </w:t>
      </w:r>
      <w:r w:rsidR="00717D1F" w:rsidRPr="00150BD0">
        <w:rPr>
          <w:color w:val="auto"/>
          <w:sz w:val="20"/>
          <w:szCs w:val="20"/>
          <w:lang w:val="es-ES"/>
        </w:rPr>
        <w:t xml:space="preserve">segunda resolución fue consecuencia de un procedimiento sumario administrativo que dio lugar a la destitución de la presunta víctima. En contra </w:t>
      </w:r>
      <w:r>
        <w:rPr>
          <w:color w:val="auto"/>
          <w:sz w:val="20"/>
          <w:szCs w:val="20"/>
          <w:lang w:val="es-ES"/>
        </w:rPr>
        <w:t xml:space="preserve">de </w:t>
      </w:r>
      <w:r w:rsidR="00717D1F" w:rsidRPr="00150BD0">
        <w:rPr>
          <w:color w:val="auto"/>
          <w:sz w:val="20"/>
          <w:szCs w:val="20"/>
          <w:lang w:val="es-ES"/>
        </w:rPr>
        <w:t xml:space="preserve">dicha resolución, </w:t>
      </w:r>
      <w:r w:rsidR="0019605B" w:rsidRPr="00150BD0">
        <w:rPr>
          <w:color w:val="auto"/>
          <w:sz w:val="20"/>
          <w:szCs w:val="20"/>
          <w:lang w:val="es-ES"/>
        </w:rPr>
        <w:t>señala</w:t>
      </w:r>
      <w:r w:rsidR="00717D1F" w:rsidRPr="00150BD0">
        <w:rPr>
          <w:color w:val="auto"/>
          <w:sz w:val="20"/>
          <w:szCs w:val="20"/>
          <w:lang w:val="es-ES"/>
        </w:rPr>
        <w:t xml:space="preserve"> que la señora Haro </w:t>
      </w:r>
      <w:r w:rsidR="00C84795" w:rsidRPr="00150BD0">
        <w:rPr>
          <w:color w:val="auto"/>
          <w:sz w:val="20"/>
          <w:szCs w:val="20"/>
          <w:lang w:val="es-ES"/>
        </w:rPr>
        <w:t xml:space="preserve">presentó recurso de plena jurisdicción o subjetivo al TDCA el 3 de abril de 2001, </w:t>
      </w:r>
      <w:r w:rsidRPr="00150BD0">
        <w:rPr>
          <w:color w:val="auto"/>
          <w:sz w:val="20"/>
          <w:szCs w:val="20"/>
          <w:lang w:val="es-ES"/>
        </w:rPr>
        <w:t>qu</w:t>
      </w:r>
      <w:r>
        <w:rPr>
          <w:color w:val="auto"/>
          <w:sz w:val="20"/>
          <w:szCs w:val="20"/>
          <w:lang w:val="es-ES"/>
        </w:rPr>
        <w:t>e</w:t>
      </w:r>
      <w:r w:rsidRPr="00150BD0">
        <w:rPr>
          <w:color w:val="auto"/>
          <w:sz w:val="20"/>
          <w:szCs w:val="20"/>
          <w:lang w:val="es-ES"/>
        </w:rPr>
        <w:t xml:space="preserve"> </w:t>
      </w:r>
      <w:r w:rsidR="00C84795" w:rsidRPr="00150BD0">
        <w:rPr>
          <w:color w:val="auto"/>
          <w:sz w:val="20"/>
          <w:szCs w:val="20"/>
          <w:lang w:val="es-ES"/>
        </w:rPr>
        <w:t xml:space="preserve">declaró el acto como ilegal por decisión dictada el 24 de noviembre de 2003. El Estado </w:t>
      </w:r>
      <w:r w:rsidR="0019605B" w:rsidRPr="00150BD0">
        <w:rPr>
          <w:color w:val="auto"/>
          <w:sz w:val="20"/>
          <w:szCs w:val="20"/>
          <w:lang w:val="es-ES"/>
        </w:rPr>
        <w:t>afirma</w:t>
      </w:r>
      <w:r w:rsidR="00C84795" w:rsidRPr="00150BD0">
        <w:rPr>
          <w:color w:val="auto"/>
          <w:sz w:val="20"/>
          <w:szCs w:val="20"/>
          <w:lang w:val="es-ES"/>
        </w:rPr>
        <w:t xml:space="preserve"> que las partes solicitaron aclaración y ampliaci</w:t>
      </w:r>
      <w:r w:rsidR="00823955" w:rsidRPr="00150BD0">
        <w:rPr>
          <w:color w:val="auto"/>
          <w:sz w:val="20"/>
          <w:szCs w:val="20"/>
          <w:lang w:val="es-ES"/>
        </w:rPr>
        <w:t>ón</w:t>
      </w:r>
      <w:r w:rsidR="0019605B" w:rsidRPr="00150BD0">
        <w:rPr>
          <w:color w:val="auto"/>
          <w:sz w:val="20"/>
          <w:szCs w:val="20"/>
          <w:lang w:val="es-ES"/>
        </w:rPr>
        <w:t>,</w:t>
      </w:r>
      <w:r w:rsidR="00823955" w:rsidRPr="00150BD0">
        <w:rPr>
          <w:color w:val="auto"/>
          <w:sz w:val="20"/>
          <w:szCs w:val="20"/>
          <w:lang w:val="es-ES"/>
        </w:rPr>
        <w:t xml:space="preserve"> y que </w:t>
      </w:r>
      <w:r w:rsidR="00C84795" w:rsidRPr="00150BD0">
        <w:rPr>
          <w:color w:val="auto"/>
          <w:sz w:val="20"/>
          <w:szCs w:val="20"/>
          <w:lang w:val="es-ES"/>
        </w:rPr>
        <w:t xml:space="preserve">el 3 de junio de 2005, la Primera Sala del TDCA </w:t>
      </w:r>
      <w:r w:rsidR="00823955" w:rsidRPr="00150BD0">
        <w:rPr>
          <w:color w:val="auto"/>
          <w:sz w:val="20"/>
          <w:szCs w:val="20"/>
          <w:lang w:val="es-ES"/>
        </w:rPr>
        <w:t xml:space="preserve">rechazó los pedidos de ambas. El 8 de junio de 2005, la señora Haro recurrió la sentencia de 24 de noviembre de 2003 e interpuso recurso de casación, llevando la causa al conocimiento de la CSJ. El Estado alega que el 29 de enero de 2008, la Sala de lo Contencioso Administrativo de la CSJ decidió sobre los recursos presentados por las dos partes y desestimó al recurso de casación presentado por el INDA por extemporáneo y el presentado por la presunta víctima </w:t>
      </w:r>
      <w:r w:rsidR="0019605B" w:rsidRPr="00150BD0">
        <w:rPr>
          <w:color w:val="auto"/>
          <w:sz w:val="20"/>
          <w:szCs w:val="20"/>
          <w:lang w:val="es-ES"/>
        </w:rPr>
        <w:t>por una</w:t>
      </w:r>
      <w:r w:rsidR="00823955" w:rsidRPr="00150BD0">
        <w:rPr>
          <w:color w:val="auto"/>
          <w:sz w:val="20"/>
          <w:szCs w:val="20"/>
          <w:lang w:val="es-ES"/>
        </w:rPr>
        <w:t xml:space="preserve"> cuestión de forma. Esta decisión, según el Estado, ratificó la decisión adoptada el 24 de noviembre de 2003. </w:t>
      </w:r>
    </w:p>
    <w:p w:rsidR="00F035E0" w:rsidRPr="00150BD0" w:rsidRDefault="00823955" w:rsidP="00CE5FEA">
      <w:pPr>
        <w:pStyle w:val="ListParagraph"/>
        <w:numPr>
          <w:ilvl w:val="0"/>
          <w:numId w:val="103"/>
        </w:numPr>
        <w:spacing w:after="240"/>
        <w:jc w:val="both"/>
        <w:rPr>
          <w:color w:val="auto"/>
          <w:sz w:val="20"/>
          <w:szCs w:val="20"/>
          <w:lang w:val="es-ES"/>
        </w:rPr>
      </w:pPr>
      <w:r w:rsidRPr="00150BD0">
        <w:rPr>
          <w:color w:val="auto"/>
          <w:sz w:val="20"/>
          <w:szCs w:val="20"/>
          <w:lang w:val="es-ES"/>
        </w:rPr>
        <w:t xml:space="preserve">En 2009 se inició la </w:t>
      </w:r>
      <w:r w:rsidRPr="006E1683">
        <w:rPr>
          <w:color w:val="auto"/>
          <w:sz w:val="20"/>
          <w:szCs w:val="20"/>
          <w:lang w:val="es-ES"/>
        </w:rPr>
        <w:t>etapa de ejecución de la sentencia.</w:t>
      </w:r>
      <w:r w:rsidRPr="00150BD0">
        <w:rPr>
          <w:color w:val="auto"/>
          <w:sz w:val="20"/>
          <w:szCs w:val="20"/>
          <w:lang w:val="es-ES"/>
        </w:rPr>
        <w:t xml:space="preserve"> Sin embargo, </w:t>
      </w:r>
      <w:r w:rsidR="0019605B" w:rsidRPr="00150BD0">
        <w:rPr>
          <w:color w:val="auto"/>
          <w:sz w:val="20"/>
          <w:szCs w:val="20"/>
          <w:lang w:val="es-ES"/>
        </w:rPr>
        <w:t>apunta</w:t>
      </w:r>
      <w:r w:rsidRPr="00150BD0">
        <w:rPr>
          <w:color w:val="auto"/>
          <w:sz w:val="20"/>
          <w:szCs w:val="20"/>
          <w:lang w:val="es-ES"/>
        </w:rPr>
        <w:t xml:space="preserve"> que la estructura organizacional del INDA </w:t>
      </w:r>
      <w:r w:rsidR="0019605B" w:rsidRPr="00150BD0">
        <w:rPr>
          <w:color w:val="auto"/>
          <w:sz w:val="20"/>
          <w:szCs w:val="20"/>
          <w:lang w:val="es-ES"/>
        </w:rPr>
        <w:t>ha sido</w:t>
      </w:r>
      <w:r w:rsidRPr="00150BD0">
        <w:rPr>
          <w:color w:val="auto"/>
          <w:sz w:val="20"/>
          <w:szCs w:val="20"/>
          <w:lang w:val="es-ES"/>
        </w:rPr>
        <w:t xml:space="preserve"> cambiada y que el cargo y funciones ejercidas por la señora Haro ya no existe. Ante tal hecho, el Estado alega que el director del INDA </w:t>
      </w:r>
      <w:r w:rsidR="00F545DD" w:rsidRPr="00150BD0">
        <w:rPr>
          <w:color w:val="auto"/>
          <w:sz w:val="20"/>
          <w:szCs w:val="20"/>
          <w:lang w:val="es-ES"/>
        </w:rPr>
        <w:t>solicitó al TDCA que determinara un monto indemnizatorio a favor de la presunta víctima</w:t>
      </w:r>
      <w:r w:rsidR="00076F4E" w:rsidRPr="00150BD0">
        <w:rPr>
          <w:color w:val="auto"/>
          <w:sz w:val="20"/>
          <w:szCs w:val="20"/>
          <w:lang w:val="es-ES"/>
        </w:rPr>
        <w:t>, quien se negó a recibirlo. Por ese motivo, según el Estado, el proceso sigue pendiente ante la jurisdicción contenciosa administrativa</w:t>
      </w:r>
      <w:r w:rsidR="00CE5FEA" w:rsidRPr="00150BD0">
        <w:rPr>
          <w:color w:val="auto"/>
          <w:sz w:val="20"/>
          <w:szCs w:val="20"/>
          <w:lang w:val="es-ES"/>
        </w:rPr>
        <w:t>.</w:t>
      </w:r>
    </w:p>
    <w:p w:rsidR="003239B8" w:rsidRPr="00150BD0" w:rsidRDefault="003239B8" w:rsidP="008E0AED">
      <w:pPr>
        <w:spacing w:before="240" w:after="240"/>
        <w:ind w:firstLine="720"/>
        <w:jc w:val="both"/>
        <w:rPr>
          <w:rFonts w:ascii="Cambria" w:hAnsi="Cambria"/>
          <w:sz w:val="20"/>
          <w:szCs w:val="20"/>
          <w:lang w:val="es-ES"/>
        </w:rPr>
      </w:pPr>
      <w:r w:rsidRPr="00150BD0">
        <w:rPr>
          <w:rFonts w:asciiTheme="majorHAnsi" w:eastAsia="Cambria" w:hAnsiTheme="majorHAnsi" w:cs="Cambria"/>
          <w:b/>
          <w:bCs/>
          <w:sz w:val="20"/>
          <w:szCs w:val="20"/>
          <w:u w:color="000000"/>
          <w:lang w:val="es-ES" w:eastAsia="es-ES"/>
        </w:rPr>
        <w:lastRenderedPageBreak/>
        <w:t>VI.</w:t>
      </w:r>
      <w:r w:rsidRPr="00150BD0">
        <w:rPr>
          <w:rFonts w:asciiTheme="majorHAnsi" w:eastAsia="Cambria" w:hAnsiTheme="majorHAnsi" w:cs="Cambria"/>
          <w:b/>
          <w:bCs/>
          <w:sz w:val="20"/>
          <w:szCs w:val="20"/>
          <w:u w:color="000000"/>
          <w:lang w:val="es-ES" w:eastAsia="es-ES"/>
        </w:rPr>
        <w:tab/>
      </w:r>
      <w:r w:rsidR="004A6A54" w:rsidRPr="00150BD0">
        <w:rPr>
          <w:rFonts w:asciiTheme="majorHAnsi" w:hAnsiTheme="majorHAnsi"/>
          <w:b/>
          <w:bCs/>
          <w:sz w:val="20"/>
          <w:szCs w:val="20"/>
          <w:lang w:val="es-ES"/>
        </w:rPr>
        <w:t xml:space="preserve">ANÁLISIS DE </w:t>
      </w:r>
      <w:r w:rsidR="00C21FEF" w:rsidRPr="00150BD0">
        <w:rPr>
          <w:rFonts w:asciiTheme="majorHAnsi" w:hAnsiTheme="majorHAnsi"/>
          <w:b/>
          <w:sz w:val="20"/>
          <w:szCs w:val="20"/>
          <w:lang w:val="es-ES"/>
        </w:rPr>
        <w:t>AGOTAMIENTO DE LOS RECURSOS INTERNOS Y PLAZO DE PRESENTACIÓN</w:t>
      </w:r>
      <w:r w:rsidR="00C21FEF" w:rsidRPr="00150BD0">
        <w:rPr>
          <w:rFonts w:asciiTheme="majorHAnsi" w:eastAsia="Cambria" w:hAnsiTheme="majorHAnsi" w:cs="Cambria"/>
          <w:b/>
          <w:bCs/>
          <w:sz w:val="20"/>
          <w:szCs w:val="20"/>
          <w:u w:color="000000"/>
          <w:lang w:val="es-ES" w:eastAsia="es-ES"/>
        </w:rPr>
        <w:t xml:space="preserve"> </w:t>
      </w:r>
    </w:p>
    <w:p w:rsidR="004B6918" w:rsidRDefault="00462AA9"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50BD0">
        <w:rPr>
          <w:rFonts w:ascii="Cambria" w:hAnsi="Cambria"/>
          <w:sz w:val="20"/>
          <w:szCs w:val="20"/>
          <w:lang w:val="es-ES"/>
        </w:rPr>
        <w:t>Acerca del agotamiento de los recursos internos, la presunta v</w:t>
      </w:r>
      <w:r w:rsidR="00CE5FEA" w:rsidRPr="00150BD0">
        <w:rPr>
          <w:rFonts w:ascii="Cambria" w:hAnsi="Cambria"/>
          <w:sz w:val="20"/>
          <w:szCs w:val="20"/>
          <w:lang w:val="es-ES"/>
        </w:rPr>
        <w:t xml:space="preserve">íctima afirma que a pesar de las decisiones de las autoridades judiciales acerca de la ilegitimidad e ilegalidad de </w:t>
      </w:r>
      <w:r w:rsidR="00124307" w:rsidRPr="00150BD0">
        <w:rPr>
          <w:rFonts w:ascii="Cambria" w:hAnsi="Cambria"/>
          <w:sz w:val="20"/>
          <w:szCs w:val="20"/>
          <w:lang w:val="es-ES"/>
        </w:rPr>
        <w:t>ambas</w:t>
      </w:r>
      <w:r w:rsidR="00CE5FEA" w:rsidRPr="00150BD0">
        <w:rPr>
          <w:rFonts w:ascii="Cambria" w:hAnsi="Cambria"/>
          <w:sz w:val="20"/>
          <w:szCs w:val="20"/>
          <w:lang w:val="es-ES"/>
        </w:rPr>
        <w:t xml:space="preserve"> resoluciones administrativas, </w:t>
      </w:r>
      <w:r w:rsidR="0047650A" w:rsidRPr="00150BD0">
        <w:rPr>
          <w:rFonts w:ascii="Cambria" w:hAnsi="Cambria"/>
          <w:sz w:val="20"/>
          <w:szCs w:val="20"/>
          <w:lang w:val="es-ES"/>
        </w:rPr>
        <w:t xml:space="preserve">ella </w:t>
      </w:r>
      <w:r w:rsidR="00C527BB" w:rsidRPr="00150BD0">
        <w:rPr>
          <w:rFonts w:ascii="Cambria" w:hAnsi="Cambria"/>
          <w:sz w:val="20"/>
          <w:szCs w:val="20"/>
          <w:lang w:val="es-ES"/>
        </w:rPr>
        <w:t>nunca ha sido reincorporada al puesto y funciones que antes ejercía. Señala que ha presentado diferentes escritos a las autoridades judiciales para lograr la debida ejecuci</w:t>
      </w:r>
      <w:r w:rsidR="00CE5FEA" w:rsidRPr="00150BD0">
        <w:rPr>
          <w:rFonts w:ascii="Cambria" w:hAnsi="Cambria"/>
          <w:sz w:val="20"/>
          <w:szCs w:val="20"/>
          <w:lang w:val="es-ES"/>
        </w:rPr>
        <w:t>ón de las decisiones adoptadas,</w:t>
      </w:r>
      <w:r w:rsidR="00C527BB" w:rsidRPr="00150BD0">
        <w:rPr>
          <w:rFonts w:ascii="Cambria" w:hAnsi="Cambria"/>
          <w:sz w:val="20"/>
          <w:szCs w:val="20"/>
          <w:lang w:val="es-ES"/>
        </w:rPr>
        <w:t xml:space="preserve"> </w:t>
      </w:r>
      <w:r w:rsidR="00124307" w:rsidRPr="00150BD0">
        <w:rPr>
          <w:rFonts w:ascii="Cambria" w:hAnsi="Cambria"/>
          <w:sz w:val="20"/>
          <w:szCs w:val="20"/>
          <w:lang w:val="es-ES"/>
        </w:rPr>
        <w:t xml:space="preserve">pero </w:t>
      </w:r>
      <w:r w:rsidR="00C527BB" w:rsidRPr="00150BD0">
        <w:rPr>
          <w:rFonts w:ascii="Cambria" w:hAnsi="Cambria"/>
          <w:sz w:val="20"/>
          <w:szCs w:val="20"/>
          <w:lang w:val="es-ES"/>
        </w:rPr>
        <w:t xml:space="preserve">sin obtener éxito. </w:t>
      </w:r>
      <w:r w:rsidR="008665B8" w:rsidRPr="00150BD0">
        <w:rPr>
          <w:rFonts w:ascii="Cambria" w:hAnsi="Cambria"/>
          <w:sz w:val="20"/>
          <w:szCs w:val="20"/>
          <w:lang w:val="es-ES"/>
        </w:rPr>
        <w:t>El Estado</w:t>
      </w:r>
      <w:r w:rsidR="00C527BB" w:rsidRPr="00150BD0">
        <w:rPr>
          <w:rFonts w:ascii="Cambria" w:hAnsi="Cambria"/>
          <w:sz w:val="20"/>
          <w:szCs w:val="20"/>
          <w:lang w:val="es-ES"/>
        </w:rPr>
        <w:t xml:space="preserve">, por su parte, </w:t>
      </w:r>
      <w:r w:rsidR="008665B8" w:rsidRPr="00150BD0">
        <w:rPr>
          <w:rFonts w:ascii="Cambria" w:hAnsi="Cambria"/>
          <w:sz w:val="20"/>
          <w:szCs w:val="20"/>
          <w:lang w:val="es-ES"/>
        </w:rPr>
        <w:t xml:space="preserve">señala que en relación al recurso de amparo, </w:t>
      </w:r>
      <w:r w:rsidR="0093455C" w:rsidRPr="00150BD0">
        <w:rPr>
          <w:rFonts w:ascii="Cambria" w:hAnsi="Cambria"/>
          <w:sz w:val="20"/>
          <w:szCs w:val="20"/>
          <w:lang w:val="es-ES"/>
        </w:rPr>
        <w:t>la presunta víctima no ha respetado el plazo de seis meses previsto en los artículos 46.1.b de la Convención Americana.</w:t>
      </w:r>
      <w:r w:rsidR="00903665" w:rsidRPr="00150BD0">
        <w:rPr>
          <w:rFonts w:ascii="Cambria" w:hAnsi="Cambria"/>
          <w:sz w:val="20"/>
          <w:szCs w:val="20"/>
          <w:lang w:val="es-ES"/>
        </w:rPr>
        <w:t xml:space="preserve"> </w:t>
      </w:r>
      <w:r w:rsidR="0047650A" w:rsidRPr="00150BD0">
        <w:rPr>
          <w:rFonts w:ascii="Cambria" w:hAnsi="Cambria"/>
          <w:sz w:val="20"/>
          <w:szCs w:val="20"/>
          <w:lang w:val="es-ES"/>
        </w:rPr>
        <w:t>Señala también</w:t>
      </w:r>
      <w:r w:rsidR="00BE6901" w:rsidRPr="00150BD0">
        <w:rPr>
          <w:rFonts w:ascii="Cambria" w:hAnsi="Cambria"/>
          <w:sz w:val="20"/>
          <w:szCs w:val="20"/>
          <w:lang w:val="es-ES"/>
        </w:rPr>
        <w:t xml:space="preserve"> la falta de caracterización de violación de la Convención, ya que el traslado de la señora Haro nunca se efectuó.</w:t>
      </w:r>
      <w:r w:rsidR="004B6918" w:rsidRPr="00150BD0">
        <w:rPr>
          <w:rFonts w:ascii="Cambria" w:hAnsi="Cambria"/>
          <w:sz w:val="20"/>
          <w:szCs w:val="20"/>
          <w:lang w:val="es-ES"/>
        </w:rPr>
        <w:t xml:space="preserve"> </w:t>
      </w:r>
      <w:r w:rsidR="00BE6901" w:rsidRPr="00150BD0">
        <w:rPr>
          <w:rFonts w:ascii="Cambria" w:hAnsi="Cambria"/>
          <w:sz w:val="20"/>
          <w:szCs w:val="20"/>
          <w:lang w:val="es-ES"/>
        </w:rPr>
        <w:t xml:space="preserve">En relación al proceso en lo contencioso administrativo, el Estado alega que la petición no cumple con el </w:t>
      </w:r>
      <w:r w:rsidR="0090429D" w:rsidRPr="00150BD0">
        <w:rPr>
          <w:rFonts w:ascii="Cambria" w:hAnsi="Cambria"/>
          <w:sz w:val="20"/>
          <w:szCs w:val="20"/>
          <w:lang w:val="es-ES"/>
        </w:rPr>
        <w:t xml:space="preserve">requisito </w:t>
      </w:r>
      <w:r w:rsidRPr="00150BD0">
        <w:rPr>
          <w:rFonts w:ascii="Cambria" w:hAnsi="Cambria"/>
          <w:sz w:val="20"/>
          <w:szCs w:val="20"/>
          <w:lang w:val="es-ES"/>
        </w:rPr>
        <w:t xml:space="preserve">de agotamiento de los recursos internos. En ese sentido, afirma </w:t>
      </w:r>
      <w:r w:rsidR="00EC1C6F">
        <w:rPr>
          <w:rFonts w:ascii="Cambria" w:hAnsi="Cambria"/>
          <w:sz w:val="20"/>
          <w:szCs w:val="20"/>
          <w:lang w:val="es-ES"/>
        </w:rPr>
        <w:t xml:space="preserve">sin dar mayor detalle </w:t>
      </w:r>
      <w:r w:rsidRPr="00150BD0">
        <w:rPr>
          <w:rFonts w:ascii="Cambria" w:hAnsi="Cambria"/>
          <w:sz w:val="20"/>
          <w:szCs w:val="20"/>
          <w:lang w:val="es-ES"/>
        </w:rPr>
        <w:t>que el proceso sigue en fase de ejecución y, por lo tanto, no cabe análisis por el Sistema Interamericano de Derechos Humanos que es, en su esencia, subsidiario a la jurisdicción nacional.</w:t>
      </w:r>
    </w:p>
    <w:p w:rsidR="00F335F2" w:rsidRPr="00EE7F20" w:rsidRDefault="00AC621E" w:rsidP="00EE7F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Sobre el tema</w:t>
      </w:r>
      <w:r w:rsidR="00F335F2" w:rsidRPr="00150BD0">
        <w:rPr>
          <w:rFonts w:ascii="Cambria" w:hAnsi="Cambria"/>
          <w:sz w:val="20"/>
          <w:szCs w:val="20"/>
          <w:lang w:val="es-ES"/>
        </w:rPr>
        <w:t xml:space="preserve">, la Comisión observa que estos fueron agotados por la presunta víctima con la decisión dictada el </w:t>
      </w:r>
      <w:r w:rsidR="00F335F2" w:rsidRPr="00150BD0">
        <w:rPr>
          <w:rFonts w:asciiTheme="majorHAnsi" w:hAnsiTheme="majorHAnsi"/>
          <w:sz w:val="20"/>
          <w:szCs w:val="20"/>
          <w:lang w:val="es-ES"/>
        </w:rPr>
        <w:t>29 de enero de 2008 por la Sala del Contencioso Administrativo de la CSJ, satisfaciendo el requisito previsto en el artículo 46.1.a de la Convención Americana.</w:t>
      </w:r>
      <w:r w:rsidR="00EE7F20">
        <w:rPr>
          <w:rFonts w:ascii="Cambria" w:hAnsi="Cambria"/>
          <w:sz w:val="20"/>
          <w:szCs w:val="20"/>
          <w:lang w:val="es-ES"/>
        </w:rPr>
        <w:t xml:space="preserve"> </w:t>
      </w:r>
      <w:r w:rsidR="00EE7F20" w:rsidRPr="00EE7F20">
        <w:rPr>
          <w:rFonts w:ascii="Cambria" w:hAnsi="Cambria"/>
          <w:sz w:val="20"/>
          <w:szCs w:val="20"/>
          <w:lang w:val="es-ES"/>
        </w:rPr>
        <w:t>Sin embargo</w:t>
      </w:r>
      <w:r w:rsidR="003639B9" w:rsidRPr="00EE7F20">
        <w:rPr>
          <w:rFonts w:ascii="Cambria" w:hAnsi="Cambria"/>
          <w:sz w:val="20"/>
          <w:szCs w:val="20"/>
          <w:lang w:val="es-ES"/>
        </w:rPr>
        <w:t xml:space="preserve">, de la información proporcionada, se puede concluir </w:t>
      </w:r>
      <w:r w:rsidR="003639B9" w:rsidRPr="00EE7F20">
        <w:rPr>
          <w:rFonts w:ascii="Cambria" w:hAnsi="Cambria"/>
          <w:i/>
          <w:sz w:val="20"/>
          <w:szCs w:val="20"/>
          <w:lang w:val="es-ES"/>
        </w:rPr>
        <w:t>prima facie</w:t>
      </w:r>
      <w:r w:rsidR="003639B9" w:rsidRPr="00EE7F20">
        <w:rPr>
          <w:rFonts w:ascii="Cambria" w:hAnsi="Cambria"/>
          <w:sz w:val="20"/>
          <w:szCs w:val="20"/>
          <w:lang w:val="es-ES"/>
        </w:rPr>
        <w:t xml:space="preserve"> que la presunta víctima ha presentado las acciones judiciales disponibles a nivel interno para hacer cumplir la sentencia, sin que dichos recursos resultaran eficaces. En casos de alegado incumplimiento de resoluciones judiciales, la Comisión ha sostenido que, habiendo sido reportada esa situación bajo los mecanismos previstos en la legislación interna, corresponde al órgano judicial competente adoptar las medidas necesarias para que la resolución sea ejecutada</w:t>
      </w:r>
      <w:r w:rsidR="003639B9" w:rsidRPr="003639B9">
        <w:rPr>
          <w:rFonts w:ascii="Cambria" w:hAnsi="Cambria"/>
          <w:sz w:val="20"/>
          <w:szCs w:val="20"/>
          <w:vertAlign w:val="superscript"/>
          <w:lang w:val="es-ES"/>
        </w:rPr>
        <w:footnoteReference w:id="6"/>
      </w:r>
      <w:r w:rsidR="003639B9" w:rsidRPr="00EE7F20">
        <w:rPr>
          <w:rFonts w:ascii="Cambria" w:hAnsi="Cambria"/>
          <w:sz w:val="20"/>
          <w:szCs w:val="20"/>
          <w:lang w:val="es-ES"/>
        </w:rPr>
        <w:t>.</w:t>
      </w:r>
    </w:p>
    <w:p w:rsidR="00F335F2" w:rsidRDefault="00F335F2" w:rsidP="004B2A2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Por fin, l</w:t>
      </w:r>
      <w:r w:rsidR="008A3589" w:rsidRPr="00150BD0">
        <w:rPr>
          <w:rFonts w:ascii="Cambria" w:hAnsi="Cambria"/>
          <w:sz w:val="20"/>
          <w:szCs w:val="20"/>
          <w:lang w:val="es-ES"/>
        </w:rPr>
        <w:t>a</w:t>
      </w:r>
      <w:r w:rsidR="00AF15E7" w:rsidRPr="00150BD0">
        <w:rPr>
          <w:rFonts w:ascii="Cambria" w:hAnsi="Cambria"/>
          <w:sz w:val="20"/>
          <w:szCs w:val="20"/>
          <w:lang w:val="es-ES"/>
        </w:rPr>
        <w:t xml:space="preserve"> Comisión concluye que la petición se ha presentado dentro de un plazo razonable con fundament</w:t>
      </w:r>
      <w:r w:rsidR="00277F13">
        <w:rPr>
          <w:rFonts w:ascii="Cambria" w:hAnsi="Cambria"/>
          <w:sz w:val="20"/>
          <w:szCs w:val="20"/>
          <w:lang w:val="es-ES"/>
        </w:rPr>
        <w:t>o</w:t>
      </w:r>
      <w:r w:rsidR="00AF15E7" w:rsidRPr="00150BD0">
        <w:rPr>
          <w:rFonts w:ascii="Cambria" w:hAnsi="Cambria"/>
          <w:sz w:val="20"/>
          <w:szCs w:val="20"/>
          <w:lang w:val="es-ES"/>
        </w:rPr>
        <w:t xml:space="preserve"> en el artículo 32.2 de su Reglamento. Ello, dado que si bien los hechos han tenido lugar desde </w:t>
      </w:r>
      <w:r w:rsidR="008A3589" w:rsidRPr="00150BD0">
        <w:rPr>
          <w:rFonts w:ascii="Cambria" w:hAnsi="Cambria"/>
          <w:sz w:val="20"/>
          <w:szCs w:val="20"/>
          <w:lang w:val="es-ES"/>
        </w:rPr>
        <w:t>2000 y la petición fue recibida en 2008</w:t>
      </w:r>
      <w:r w:rsidR="00AF15E7" w:rsidRPr="00150BD0">
        <w:rPr>
          <w:rFonts w:ascii="Cambria" w:hAnsi="Cambria"/>
          <w:sz w:val="20"/>
          <w:szCs w:val="20"/>
          <w:lang w:val="es-ES"/>
        </w:rPr>
        <w:t xml:space="preserve">, </w:t>
      </w:r>
      <w:r w:rsidR="00277F13">
        <w:rPr>
          <w:rFonts w:ascii="Cambria" w:hAnsi="Cambria"/>
          <w:sz w:val="20"/>
          <w:szCs w:val="20"/>
          <w:lang w:val="es-ES"/>
        </w:rPr>
        <w:t xml:space="preserve">el Estado mismo informa que las sentencias se encuentran en etapa de ejecución y por lo tanto, </w:t>
      </w:r>
      <w:r w:rsidR="00AF15E7" w:rsidRPr="00150BD0">
        <w:rPr>
          <w:rFonts w:ascii="Cambria" w:hAnsi="Cambria"/>
          <w:sz w:val="20"/>
          <w:szCs w:val="20"/>
          <w:lang w:val="es-ES"/>
        </w:rPr>
        <w:t xml:space="preserve">sus efectos, se extenderían hasta el presente. </w:t>
      </w:r>
      <w:r w:rsidR="004B2A25" w:rsidRPr="00150BD0">
        <w:rPr>
          <w:rFonts w:ascii="Cambria" w:hAnsi="Cambria"/>
          <w:sz w:val="20"/>
          <w:szCs w:val="20"/>
          <w:lang w:val="es-ES"/>
        </w:rPr>
        <w:t xml:space="preserve">Por lo tanto, en vista del contexto y las características de los hechos incluidos en el presente informe, la Comisión considera que la petición fue presentada dentro de un plazo razonable y que debe darse por satisfecho el requisito de admisibilidad referente al plazo de presentación. </w:t>
      </w:r>
    </w:p>
    <w:p w:rsidR="003239B8" w:rsidRPr="00150BD0" w:rsidRDefault="003239B8" w:rsidP="003239B8">
      <w:pPr>
        <w:pStyle w:val="ListParagraph"/>
        <w:spacing w:before="240" w:after="240"/>
        <w:jc w:val="both"/>
        <w:rPr>
          <w:rFonts w:asciiTheme="majorHAnsi" w:hAnsiTheme="majorHAnsi"/>
          <w:b/>
          <w:color w:val="auto"/>
          <w:sz w:val="20"/>
          <w:szCs w:val="20"/>
          <w:lang w:val="es-ES"/>
        </w:rPr>
      </w:pPr>
      <w:r w:rsidRPr="00150BD0">
        <w:rPr>
          <w:rFonts w:asciiTheme="majorHAnsi" w:hAnsiTheme="majorHAnsi"/>
          <w:b/>
          <w:bCs/>
          <w:color w:val="auto"/>
          <w:sz w:val="20"/>
          <w:szCs w:val="20"/>
          <w:lang w:val="es-ES"/>
        </w:rPr>
        <w:t>VII.</w:t>
      </w:r>
      <w:r w:rsidRPr="00150BD0">
        <w:rPr>
          <w:rFonts w:asciiTheme="majorHAnsi" w:hAnsiTheme="majorHAnsi"/>
          <w:b/>
          <w:bCs/>
          <w:color w:val="auto"/>
          <w:sz w:val="20"/>
          <w:szCs w:val="20"/>
          <w:lang w:val="es-ES"/>
        </w:rPr>
        <w:tab/>
      </w:r>
      <w:r w:rsidR="004A6A54" w:rsidRPr="00150BD0">
        <w:rPr>
          <w:rFonts w:asciiTheme="majorHAnsi" w:hAnsiTheme="majorHAnsi"/>
          <w:b/>
          <w:bCs/>
          <w:color w:val="auto"/>
          <w:sz w:val="20"/>
          <w:szCs w:val="20"/>
          <w:lang w:val="es-ES"/>
        </w:rPr>
        <w:t xml:space="preserve">ANÁLISIS DE </w:t>
      </w:r>
      <w:r w:rsidR="00C21FEF" w:rsidRPr="00150BD0">
        <w:rPr>
          <w:rFonts w:asciiTheme="majorHAnsi" w:hAnsiTheme="majorHAnsi"/>
          <w:b/>
          <w:bCs/>
          <w:color w:val="auto"/>
          <w:sz w:val="20"/>
          <w:szCs w:val="20"/>
          <w:lang w:val="es-ES"/>
        </w:rPr>
        <w:t>CARACTERIZACIÓN DE LOS HECHOS ALEGADOS</w:t>
      </w:r>
    </w:p>
    <w:p w:rsidR="00A11E44" w:rsidRPr="00150BD0" w:rsidRDefault="008A3589" w:rsidP="008A358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auto"/>
          <w:sz w:val="20"/>
          <w:szCs w:val="20"/>
          <w:lang w:val="es-ES"/>
        </w:rPr>
      </w:pPr>
      <w:r w:rsidRPr="00150BD0">
        <w:rPr>
          <w:color w:val="auto"/>
          <w:sz w:val="20"/>
          <w:szCs w:val="20"/>
          <w:lang w:val="es-ES"/>
        </w:rPr>
        <w:t>En vista de los elementos de hecho y de derecho expuestos por las partes y la naturaleza del asunto puesto bajo su conocimiento, la Comisión considera que, de ser probados, podrían caracterizar posibles violaciones de los artículos</w:t>
      </w:r>
      <w:r w:rsidR="004B2A25" w:rsidRPr="00150BD0">
        <w:rPr>
          <w:color w:val="auto"/>
          <w:sz w:val="20"/>
          <w:szCs w:val="20"/>
          <w:lang w:val="es-ES"/>
        </w:rPr>
        <w:t xml:space="preserve"> 8 (garantías judiciales),</w:t>
      </w:r>
      <w:r w:rsidRPr="00150BD0">
        <w:rPr>
          <w:color w:val="auto"/>
          <w:sz w:val="20"/>
          <w:szCs w:val="20"/>
          <w:lang w:val="es-ES"/>
        </w:rPr>
        <w:t xml:space="preserve"> </w:t>
      </w:r>
      <w:r w:rsidRPr="00150BD0">
        <w:rPr>
          <w:bCs/>
          <w:color w:val="auto"/>
          <w:sz w:val="20"/>
          <w:szCs w:val="20"/>
          <w:lang w:val="es-ES"/>
        </w:rPr>
        <w:t>25 (protección judicial) y 26 (</w:t>
      </w:r>
      <w:r w:rsidR="00383AC7" w:rsidRPr="00150BD0">
        <w:rPr>
          <w:bCs/>
          <w:color w:val="auto"/>
          <w:sz w:val="20"/>
          <w:szCs w:val="20"/>
          <w:lang w:val="es-ES"/>
        </w:rPr>
        <w:t>derechos económicos, sociales, culturales y ambientales</w:t>
      </w:r>
      <w:r w:rsidRPr="00150BD0">
        <w:rPr>
          <w:bCs/>
          <w:color w:val="auto"/>
          <w:sz w:val="20"/>
          <w:szCs w:val="20"/>
          <w:lang w:val="es-ES"/>
        </w:rPr>
        <w:t xml:space="preserve">), todos en relación con artículos 1.1 (obligación de respetar los derechos) </w:t>
      </w:r>
      <w:r w:rsidR="00277F13">
        <w:rPr>
          <w:bCs/>
          <w:color w:val="auto"/>
          <w:sz w:val="20"/>
          <w:szCs w:val="20"/>
          <w:lang w:val="es-ES"/>
        </w:rPr>
        <w:t xml:space="preserve">y 2 (deber de adoptar disposiciones de derecho interno) </w:t>
      </w:r>
      <w:r w:rsidRPr="00150BD0">
        <w:rPr>
          <w:bCs/>
          <w:color w:val="auto"/>
          <w:sz w:val="20"/>
          <w:szCs w:val="20"/>
          <w:lang w:val="es-ES"/>
        </w:rPr>
        <w:t>d</w:t>
      </w:r>
      <w:r w:rsidRPr="00150BD0">
        <w:rPr>
          <w:color w:val="auto"/>
          <w:sz w:val="20"/>
          <w:szCs w:val="20"/>
          <w:lang w:val="es-ES"/>
        </w:rPr>
        <w:t>e la Convención Americana.</w:t>
      </w:r>
    </w:p>
    <w:p w:rsidR="003239B8" w:rsidRPr="00150BD0" w:rsidRDefault="003239B8" w:rsidP="003239B8">
      <w:pPr>
        <w:pStyle w:val="ListParagraph"/>
        <w:spacing w:before="240" w:after="240"/>
        <w:jc w:val="both"/>
        <w:rPr>
          <w:rFonts w:asciiTheme="majorHAnsi" w:hAnsiTheme="majorHAnsi"/>
          <w:b/>
          <w:bCs/>
          <w:color w:val="auto"/>
          <w:sz w:val="20"/>
          <w:szCs w:val="20"/>
          <w:lang w:val="es-ES"/>
        </w:rPr>
      </w:pPr>
      <w:r w:rsidRPr="00150BD0">
        <w:rPr>
          <w:rFonts w:asciiTheme="majorHAnsi" w:hAnsiTheme="majorHAnsi"/>
          <w:b/>
          <w:bCs/>
          <w:color w:val="auto"/>
          <w:sz w:val="20"/>
          <w:szCs w:val="20"/>
          <w:lang w:val="es-ES"/>
        </w:rPr>
        <w:t xml:space="preserve">VIII. </w:t>
      </w:r>
      <w:r w:rsidRPr="00150BD0">
        <w:rPr>
          <w:rFonts w:asciiTheme="majorHAnsi" w:hAnsiTheme="majorHAnsi"/>
          <w:b/>
          <w:bCs/>
          <w:color w:val="auto"/>
          <w:sz w:val="20"/>
          <w:szCs w:val="20"/>
          <w:lang w:val="es-ES"/>
        </w:rPr>
        <w:tab/>
        <w:t>DECISIÓN</w:t>
      </w:r>
    </w:p>
    <w:p w:rsidR="000419AD" w:rsidRPr="008A3589"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C4C8A">
        <w:rPr>
          <w:rFonts w:asciiTheme="majorHAnsi" w:hAnsiTheme="majorHAnsi"/>
          <w:sz w:val="20"/>
          <w:szCs w:val="20"/>
          <w:lang w:val="es-ES"/>
        </w:rPr>
        <w:t xml:space="preserve">Declarar admisible la presente petición en relación con </w:t>
      </w:r>
      <w:r w:rsidR="00383AC7">
        <w:rPr>
          <w:rFonts w:asciiTheme="majorHAnsi" w:hAnsiTheme="majorHAnsi"/>
          <w:sz w:val="20"/>
          <w:szCs w:val="20"/>
          <w:lang w:val="es-ES"/>
        </w:rPr>
        <w:t>los artículos</w:t>
      </w:r>
      <w:r w:rsidR="004B2A25">
        <w:rPr>
          <w:rFonts w:asciiTheme="majorHAnsi" w:hAnsiTheme="majorHAnsi"/>
          <w:sz w:val="20"/>
          <w:szCs w:val="20"/>
          <w:lang w:val="es-ES"/>
        </w:rPr>
        <w:t xml:space="preserve"> </w:t>
      </w:r>
      <w:r w:rsidR="001D08EC">
        <w:rPr>
          <w:rFonts w:asciiTheme="majorHAnsi" w:hAnsiTheme="majorHAnsi"/>
          <w:sz w:val="20"/>
          <w:szCs w:val="20"/>
          <w:lang w:val="es-ES"/>
        </w:rPr>
        <w:t xml:space="preserve">1.1, 2, </w:t>
      </w:r>
      <w:r w:rsidR="004B2A25">
        <w:rPr>
          <w:rFonts w:asciiTheme="majorHAnsi" w:hAnsiTheme="majorHAnsi"/>
          <w:sz w:val="20"/>
          <w:szCs w:val="20"/>
          <w:lang w:val="es-ES"/>
        </w:rPr>
        <w:t>8,</w:t>
      </w:r>
      <w:r w:rsidR="00383AC7">
        <w:rPr>
          <w:rFonts w:asciiTheme="majorHAnsi" w:hAnsiTheme="majorHAnsi"/>
          <w:sz w:val="20"/>
          <w:szCs w:val="20"/>
          <w:lang w:val="es-ES"/>
        </w:rPr>
        <w:t xml:space="preserve"> 2</w:t>
      </w:r>
      <w:r w:rsidR="004B2A25">
        <w:rPr>
          <w:rFonts w:asciiTheme="majorHAnsi" w:hAnsiTheme="majorHAnsi"/>
          <w:sz w:val="20"/>
          <w:szCs w:val="20"/>
          <w:lang w:val="es-ES"/>
        </w:rPr>
        <w:t>5</w:t>
      </w:r>
      <w:r w:rsidR="00383AC7">
        <w:rPr>
          <w:rFonts w:asciiTheme="majorHAnsi" w:hAnsiTheme="majorHAnsi"/>
          <w:sz w:val="20"/>
          <w:szCs w:val="20"/>
          <w:lang w:val="es-ES"/>
        </w:rPr>
        <w:t xml:space="preserve"> y 26;</w:t>
      </w:r>
    </w:p>
    <w:p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C4C8A">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w:t>
      </w:r>
      <w:r w:rsidR="001C2C84">
        <w:rPr>
          <w:rFonts w:asciiTheme="majorHAnsi" w:hAnsiTheme="majorHAnsi"/>
          <w:sz w:val="20"/>
          <w:szCs w:val="20"/>
          <w:lang w:val="es-ES"/>
        </w:rPr>
        <w:t>ación de los Estados Americanos.</w:t>
      </w:r>
    </w:p>
    <w:p w:rsidR="00F042C3" w:rsidRDefault="00F042C3" w:rsidP="00F042C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cs="Arial"/>
          <w:noProof/>
          <w:spacing w:val="-2"/>
          <w:sz w:val="20"/>
          <w:szCs w:val="20"/>
          <w:lang w:val="es-CL"/>
        </w:rPr>
        <w:t>1</w:t>
      </w:r>
      <w:r w:rsidR="006A0464">
        <w:rPr>
          <w:rFonts w:ascii="Cambria" w:hAnsi="Cambria"/>
          <w:sz w:val="20"/>
          <w:szCs w:val="20"/>
          <w:lang w:val="es-ES"/>
        </w:rPr>
        <w:t>2</w:t>
      </w:r>
      <w:r w:rsidRPr="002B7B81">
        <w:rPr>
          <w:rFonts w:ascii="Cambria" w:hAnsi="Cambria"/>
          <w:sz w:val="20"/>
          <w:szCs w:val="20"/>
          <w:lang w:val="es-ES"/>
        </w:rPr>
        <w:t xml:space="preserve"> días del mes de </w:t>
      </w:r>
      <w:r>
        <w:rPr>
          <w:rFonts w:ascii="Cambria" w:hAnsi="Cambria" w:cs="Arial"/>
          <w:noProof/>
          <w:spacing w:val="-2"/>
          <w:sz w:val="20"/>
          <w:szCs w:val="20"/>
          <w:lang w:val="es-CL"/>
        </w:rPr>
        <w:t>marzo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Troitiño, Presidenta; </w:t>
      </w:r>
      <w:r w:rsidRPr="00307503">
        <w:rPr>
          <w:rFonts w:ascii="Cambria" w:hAnsi="Cambria"/>
          <w:sz w:val="20"/>
          <w:szCs w:val="20"/>
          <w:lang w:val="es-ES"/>
        </w:rPr>
        <w:t>Joel Hernández García</w:t>
      </w:r>
      <w:r>
        <w:rPr>
          <w:rFonts w:ascii="Cambria" w:hAnsi="Cambria"/>
          <w:sz w:val="20"/>
          <w:szCs w:val="20"/>
          <w:lang w:val="es-ES"/>
        </w:rPr>
        <w:t xml:space="preserve">, </w:t>
      </w:r>
      <w:r w:rsidRPr="00307503">
        <w:rPr>
          <w:rFonts w:ascii="Cambria" w:hAnsi="Cambria"/>
          <w:spacing w:val="-2"/>
          <w:sz w:val="20"/>
          <w:szCs w:val="20"/>
          <w:lang w:val="es-ES"/>
        </w:rPr>
        <w:t>Primer Vicepresident</w:t>
      </w:r>
      <w:r>
        <w:rPr>
          <w:rFonts w:ascii="Cambria" w:hAnsi="Cambria"/>
          <w:spacing w:val="-2"/>
          <w:sz w:val="20"/>
          <w:szCs w:val="20"/>
          <w:lang w:val="es-ES"/>
        </w:rPr>
        <w:t>e;</w:t>
      </w:r>
      <w:r w:rsidRPr="00307503">
        <w:rPr>
          <w:rFonts w:ascii="Cambria" w:hAnsi="Cambria"/>
          <w:spacing w:val="-2"/>
          <w:sz w:val="20"/>
          <w:szCs w:val="20"/>
          <w:lang w:val="es-ES"/>
        </w:rPr>
        <w:t xml:space="preserve"> </w:t>
      </w:r>
      <w:r w:rsidRPr="002B7B81">
        <w:rPr>
          <w:rFonts w:ascii="Cambria" w:hAnsi="Cambria"/>
          <w:sz w:val="20"/>
          <w:szCs w:val="20"/>
          <w:lang w:val="es-ES"/>
        </w:rPr>
        <w:t>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w:t>
      </w:r>
      <w:proofErr w:type="spellStart"/>
      <w:r w:rsidRPr="002B7B81">
        <w:rPr>
          <w:rFonts w:ascii="Cambria" w:hAnsi="Cambria"/>
          <w:sz w:val="20"/>
          <w:szCs w:val="20"/>
          <w:lang w:val="es-ES"/>
        </w:rPr>
        <w:t>May</w:t>
      </w:r>
      <w:proofErr w:type="spellEnd"/>
      <w:r w:rsidRPr="002B7B81">
        <w:rPr>
          <w:rFonts w:ascii="Cambria" w:hAnsi="Cambria"/>
          <w:sz w:val="20"/>
          <w:szCs w:val="20"/>
          <w:lang w:val="es-ES"/>
        </w:rPr>
        <w:t xml:space="preserve">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w:t>
      </w:r>
      <w:r>
        <w:rPr>
          <w:rFonts w:ascii="Cambria" w:hAnsi="Cambria"/>
          <w:sz w:val="20"/>
          <w:szCs w:val="20"/>
          <w:lang w:val="es-ES"/>
        </w:rPr>
        <w:t>Luis Ernesto Vargas Silva</w:t>
      </w:r>
      <w:r w:rsidRPr="002B7B81">
        <w:rPr>
          <w:rFonts w:ascii="Cambria" w:hAnsi="Cambria"/>
          <w:sz w:val="20"/>
          <w:szCs w:val="20"/>
          <w:lang w:val="es-ES"/>
        </w:rPr>
        <w:t xml:space="preserve"> y Flávia Piovesan, Miembros de la Comisión.</w:t>
      </w:r>
    </w:p>
    <w:sectPr w:rsidR="00F042C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FAB" w:rsidRDefault="00DC5FAB">
      <w:r>
        <w:separator/>
      </w:r>
    </w:p>
  </w:endnote>
  <w:endnote w:type="continuationSeparator" w:id="0">
    <w:p w:rsidR="00DC5FAB" w:rsidRDefault="00DC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E4" w:rsidRDefault="001A6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A60E4">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FAB" w:rsidRPr="000F35ED" w:rsidRDefault="00DC5FA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C5FAB" w:rsidRPr="000F35ED" w:rsidRDefault="00DC5FAB" w:rsidP="000F35ED">
      <w:pPr>
        <w:rPr>
          <w:rFonts w:asciiTheme="majorHAnsi" w:hAnsiTheme="majorHAnsi"/>
          <w:sz w:val="16"/>
          <w:szCs w:val="16"/>
        </w:rPr>
      </w:pPr>
      <w:r w:rsidRPr="000F35ED">
        <w:rPr>
          <w:rFonts w:asciiTheme="majorHAnsi" w:hAnsiTheme="majorHAnsi"/>
          <w:sz w:val="16"/>
          <w:szCs w:val="16"/>
        </w:rPr>
        <w:separator/>
      </w:r>
    </w:p>
    <w:p w:rsidR="00DC5FAB" w:rsidRPr="000F35ED" w:rsidRDefault="00DC5FA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DC5FAB" w:rsidRPr="000F35ED" w:rsidRDefault="00DC5FA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A79B6" w:rsidRPr="009C6949" w:rsidRDefault="004A79B6" w:rsidP="0019605B">
      <w:pPr>
        <w:pStyle w:val="FootnoteText"/>
        <w:ind w:firstLine="720"/>
        <w:jc w:val="both"/>
        <w:rPr>
          <w:rFonts w:asciiTheme="majorHAnsi" w:hAnsiTheme="majorHAnsi"/>
          <w:color w:val="auto"/>
          <w:sz w:val="16"/>
          <w:szCs w:val="16"/>
          <w:lang w:val="es-ES"/>
        </w:rPr>
      </w:pPr>
      <w:r w:rsidRPr="009C6949">
        <w:rPr>
          <w:rStyle w:val="FootnoteReference"/>
          <w:rFonts w:asciiTheme="majorHAnsi" w:hAnsiTheme="majorHAnsi"/>
          <w:color w:val="auto"/>
          <w:sz w:val="16"/>
          <w:szCs w:val="16"/>
          <w:lang w:val="es-ES"/>
        </w:rPr>
        <w:footnoteRef/>
      </w:r>
      <w:r w:rsidRPr="009C6949">
        <w:rPr>
          <w:rFonts w:asciiTheme="majorHAnsi" w:hAnsiTheme="majorHAnsi"/>
          <w:color w:val="auto"/>
          <w:sz w:val="16"/>
          <w:szCs w:val="16"/>
          <w:lang w:val="es-ES"/>
        </w:rPr>
        <w:t xml:space="preserve"> La organización </w:t>
      </w:r>
      <w:r w:rsidRPr="009C6949">
        <w:rPr>
          <w:rFonts w:asciiTheme="majorHAnsi" w:hAnsiTheme="majorHAnsi"/>
          <w:bCs/>
          <w:color w:val="auto"/>
          <w:sz w:val="16"/>
          <w:szCs w:val="16"/>
          <w:lang w:val="es-ES"/>
        </w:rPr>
        <w:t>Fundación para el Desarrollo de la Legislación Global – FUDEGLO fue indicada como peticionaria en el primer escrito enviado. Sin embargo, la presunta víctima es quien ha enviado todos los escritos posteriores.</w:t>
      </w:r>
    </w:p>
  </w:footnote>
  <w:footnote w:id="3">
    <w:p w:rsidR="008E3BFE" w:rsidRPr="009C6949" w:rsidRDefault="008E3BFE" w:rsidP="0019605B">
      <w:pPr>
        <w:pStyle w:val="FootnoteText"/>
        <w:ind w:firstLine="720"/>
        <w:jc w:val="both"/>
        <w:rPr>
          <w:rFonts w:asciiTheme="majorHAnsi" w:hAnsiTheme="majorHAnsi"/>
          <w:color w:val="auto"/>
          <w:sz w:val="16"/>
          <w:szCs w:val="16"/>
          <w:lang w:val="es-ES"/>
        </w:rPr>
      </w:pPr>
      <w:r w:rsidRPr="009C6949">
        <w:rPr>
          <w:rStyle w:val="FootnoteReference"/>
          <w:rFonts w:asciiTheme="majorHAnsi" w:hAnsiTheme="majorHAnsi"/>
          <w:color w:val="auto"/>
          <w:sz w:val="16"/>
          <w:szCs w:val="16"/>
          <w:lang w:val="es-ES"/>
        </w:rPr>
        <w:footnoteRef/>
      </w:r>
      <w:r w:rsidRPr="009C6949">
        <w:rPr>
          <w:rFonts w:asciiTheme="majorHAnsi" w:hAnsiTheme="majorHAnsi"/>
          <w:color w:val="auto"/>
          <w:sz w:val="16"/>
          <w:szCs w:val="16"/>
          <w:lang w:val="es-ES"/>
        </w:rPr>
        <w:t xml:space="preserve"> Las observaciones de cada parte fueron debidamente trasladadas a la parte contraria.</w:t>
      </w:r>
    </w:p>
  </w:footnote>
  <w:footnote w:id="4">
    <w:p w:rsidR="0064039E" w:rsidRPr="009C6949" w:rsidRDefault="0064039E" w:rsidP="0019605B">
      <w:pPr>
        <w:pStyle w:val="FootnoteText"/>
        <w:ind w:firstLine="720"/>
        <w:jc w:val="both"/>
        <w:rPr>
          <w:rFonts w:asciiTheme="majorHAnsi" w:hAnsiTheme="majorHAnsi"/>
          <w:color w:val="auto"/>
          <w:sz w:val="16"/>
          <w:szCs w:val="16"/>
          <w:lang w:val="es-ES"/>
        </w:rPr>
      </w:pPr>
      <w:r w:rsidRPr="009C6949">
        <w:rPr>
          <w:rStyle w:val="FootnoteReference"/>
          <w:rFonts w:asciiTheme="majorHAnsi" w:hAnsiTheme="majorHAnsi"/>
          <w:color w:val="auto"/>
          <w:sz w:val="16"/>
          <w:szCs w:val="16"/>
          <w:lang w:val="es-ES"/>
        </w:rPr>
        <w:footnoteRef/>
      </w:r>
      <w:r w:rsidRPr="009C6949">
        <w:rPr>
          <w:rFonts w:asciiTheme="majorHAnsi" w:hAnsiTheme="majorHAnsi"/>
          <w:color w:val="auto"/>
          <w:sz w:val="16"/>
          <w:szCs w:val="16"/>
          <w:lang w:val="es-ES"/>
        </w:rPr>
        <w:t xml:space="preserve"> En adelante “la Convención Americana”.</w:t>
      </w:r>
    </w:p>
  </w:footnote>
  <w:footnote w:id="5">
    <w:p w:rsidR="002606DD" w:rsidRPr="009C6949" w:rsidRDefault="002606DD" w:rsidP="0019605B">
      <w:pPr>
        <w:pStyle w:val="FootnoteText"/>
        <w:ind w:firstLine="720"/>
        <w:jc w:val="both"/>
        <w:rPr>
          <w:rFonts w:asciiTheme="majorHAnsi" w:hAnsiTheme="majorHAnsi"/>
          <w:color w:val="auto"/>
          <w:sz w:val="16"/>
          <w:szCs w:val="16"/>
          <w:lang w:val="es-ES"/>
        </w:rPr>
      </w:pPr>
      <w:r w:rsidRPr="009C6949">
        <w:rPr>
          <w:rStyle w:val="FootnoteReference"/>
          <w:rFonts w:asciiTheme="majorHAnsi" w:hAnsiTheme="majorHAnsi"/>
          <w:color w:val="auto"/>
          <w:sz w:val="16"/>
          <w:szCs w:val="16"/>
          <w:lang w:val="es-ES"/>
        </w:rPr>
        <w:footnoteRef/>
      </w:r>
      <w:r w:rsidRPr="009C6949">
        <w:rPr>
          <w:rFonts w:asciiTheme="majorHAnsi" w:hAnsiTheme="majorHAnsi"/>
          <w:color w:val="auto"/>
          <w:sz w:val="16"/>
          <w:szCs w:val="16"/>
          <w:lang w:val="es-ES"/>
        </w:rPr>
        <w:t xml:space="preserve"> </w:t>
      </w:r>
      <w:r w:rsidR="008E4FE7" w:rsidRPr="009C6949">
        <w:rPr>
          <w:rFonts w:asciiTheme="majorHAnsi" w:hAnsiTheme="majorHAnsi"/>
          <w:color w:val="auto"/>
          <w:sz w:val="16"/>
          <w:szCs w:val="16"/>
          <w:lang w:val="es-ES"/>
        </w:rPr>
        <w:t>La presunta víctima no informa si interpuso denuncia o acción alguna respecto de estos alegatos</w:t>
      </w:r>
      <w:r w:rsidR="0019605B" w:rsidRPr="009C6949">
        <w:rPr>
          <w:rFonts w:asciiTheme="majorHAnsi" w:hAnsiTheme="majorHAnsi"/>
          <w:color w:val="auto"/>
          <w:sz w:val="16"/>
          <w:szCs w:val="16"/>
          <w:lang w:val="es-ES"/>
        </w:rPr>
        <w:t>.</w:t>
      </w:r>
      <w:r w:rsidRPr="009C6949">
        <w:rPr>
          <w:rFonts w:asciiTheme="majorHAnsi" w:hAnsiTheme="majorHAnsi"/>
          <w:color w:val="auto"/>
          <w:sz w:val="16"/>
          <w:szCs w:val="16"/>
          <w:lang w:val="es-ES"/>
        </w:rPr>
        <w:t xml:space="preserve"> </w:t>
      </w:r>
    </w:p>
  </w:footnote>
  <w:footnote w:id="6">
    <w:p w:rsidR="003639B9" w:rsidRPr="009C6949" w:rsidRDefault="003639B9" w:rsidP="003639B9">
      <w:pPr>
        <w:pStyle w:val="FootnoteText"/>
        <w:ind w:firstLine="720"/>
        <w:jc w:val="both"/>
        <w:rPr>
          <w:rFonts w:asciiTheme="majorHAnsi" w:hAnsiTheme="majorHAnsi"/>
          <w:color w:val="auto"/>
          <w:sz w:val="16"/>
          <w:szCs w:val="16"/>
          <w:lang w:val="es-ES"/>
        </w:rPr>
      </w:pPr>
      <w:r w:rsidRPr="009C6949">
        <w:rPr>
          <w:rStyle w:val="FootnoteReference"/>
          <w:rFonts w:asciiTheme="majorHAnsi" w:hAnsiTheme="majorHAnsi"/>
          <w:color w:val="auto"/>
          <w:sz w:val="16"/>
          <w:szCs w:val="16"/>
        </w:rPr>
        <w:footnoteRef/>
      </w:r>
      <w:r w:rsidRPr="009C6949">
        <w:rPr>
          <w:rFonts w:asciiTheme="majorHAnsi" w:hAnsiTheme="majorHAnsi"/>
          <w:color w:val="auto"/>
          <w:sz w:val="16"/>
          <w:szCs w:val="16"/>
          <w:lang w:val="es-ES"/>
        </w:rPr>
        <w:t xml:space="preserve"> </w:t>
      </w:r>
      <w:r w:rsidR="009C6949">
        <w:rPr>
          <w:rFonts w:asciiTheme="majorHAnsi" w:hAnsiTheme="majorHAnsi"/>
          <w:color w:val="auto"/>
          <w:sz w:val="16"/>
          <w:szCs w:val="16"/>
          <w:lang w:val="es-ES_tradnl"/>
        </w:rPr>
        <w:t>CIDH, Informe Nº 106/10, Admisibilidad</w:t>
      </w:r>
      <w:r w:rsidRPr="009C6949">
        <w:rPr>
          <w:rFonts w:asciiTheme="majorHAnsi" w:hAnsiTheme="majorHAnsi"/>
          <w:color w:val="auto"/>
          <w:sz w:val="16"/>
          <w:szCs w:val="16"/>
          <w:lang w:val="es-ES_tradnl"/>
        </w:rPr>
        <w:t>, Petición 147-98, Oscar Muelle Flores, Perú, 16 de julio de 2010, párr.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DC5FA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E4" w:rsidRDefault="001A6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docVars>
    <w:docVar w:name="__Grammarly_42____i" w:val="H4sIAAAAAAAEAKtWckksSQxILCpxzi/NK1GyMqwFAAEhoTITAAAA"/>
    <w:docVar w:name="__Grammarly_42___1" w:val="H4sIAAAAAAAEAKtWcslP9kxRslIyNDa0MDW2MDcwMTS3tDQ0sTBX0lEKTi0uzszPAykwrQUA3oMwBSwAAAA="/>
  </w:docVars>
  <w:rsids>
    <w:rsidRoot w:val="006B2D5C"/>
    <w:rsid w:val="0000036F"/>
    <w:rsid w:val="00000CDA"/>
    <w:rsid w:val="00006E1F"/>
    <w:rsid w:val="000070D7"/>
    <w:rsid w:val="0001788C"/>
    <w:rsid w:val="000263E8"/>
    <w:rsid w:val="000337EF"/>
    <w:rsid w:val="00040C3A"/>
    <w:rsid w:val="000419AD"/>
    <w:rsid w:val="000433C9"/>
    <w:rsid w:val="00052C6E"/>
    <w:rsid w:val="00063323"/>
    <w:rsid w:val="000716C5"/>
    <w:rsid w:val="00075E23"/>
    <w:rsid w:val="00076F4E"/>
    <w:rsid w:val="00092FFE"/>
    <w:rsid w:val="0009344A"/>
    <w:rsid w:val="000A392E"/>
    <w:rsid w:val="000A575F"/>
    <w:rsid w:val="000B15E2"/>
    <w:rsid w:val="000B4B2C"/>
    <w:rsid w:val="000C1A77"/>
    <w:rsid w:val="000D10DB"/>
    <w:rsid w:val="000E5EB5"/>
    <w:rsid w:val="000F35ED"/>
    <w:rsid w:val="00107131"/>
    <w:rsid w:val="0010736F"/>
    <w:rsid w:val="00110FA9"/>
    <w:rsid w:val="00113F73"/>
    <w:rsid w:val="00120DFC"/>
    <w:rsid w:val="00121CC2"/>
    <w:rsid w:val="00124307"/>
    <w:rsid w:val="00133EE5"/>
    <w:rsid w:val="00150BD0"/>
    <w:rsid w:val="00167A34"/>
    <w:rsid w:val="0017733B"/>
    <w:rsid w:val="0019605B"/>
    <w:rsid w:val="001A0626"/>
    <w:rsid w:val="001A60E4"/>
    <w:rsid w:val="001A6974"/>
    <w:rsid w:val="001A7870"/>
    <w:rsid w:val="001B3A00"/>
    <w:rsid w:val="001C1B41"/>
    <w:rsid w:val="001C2C84"/>
    <w:rsid w:val="001D08EC"/>
    <w:rsid w:val="001D65EF"/>
    <w:rsid w:val="001E0753"/>
    <w:rsid w:val="001E44C1"/>
    <w:rsid w:val="001E49E7"/>
    <w:rsid w:val="001F2900"/>
    <w:rsid w:val="001F7201"/>
    <w:rsid w:val="00223A29"/>
    <w:rsid w:val="002250A3"/>
    <w:rsid w:val="00235217"/>
    <w:rsid w:val="00246D1F"/>
    <w:rsid w:val="00247403"/>
    <w:rsid w:val="00247542"/>
    <w:rsid w:val="002606DD"/>
    <w:rsid w:val="002609DD"/>
    <w:rsid w:val="0026507D"/>
    <w:rsid w:val="00266B61"/>
    <w:rsid w:val="0026712A"/>
    <w:rsid w:val="002704DB"/>
    <w:rsid w:val="00277F13"/>
    <w:rsid w:val="002A0AAE"/>
    <w:rsid w:val="002A5820"/>
    <w:rsid w:val="002C0C5E"/>
    <w:rsid w:val="002C2B55"/>
    <w:rsid w:val="002D2B26"/>
    <w:rsid w:val="002D7EA2"/>
    <w:rsid w:val="002E187C"/>
    <w:rsid w:val="00302733"/>
    <w:rsid w:val="00314078"/>
    <w:rsid w:val="0031535D"/>
    <w:rsid w:val="00321509"/>
    <w:rsid w:val="003239B8"/>
    <w:rsid w:val="00326573"/>
    <w:rsid w:val="0033169F"/>
    <w:rsid w:val="00344977"/>
    <w:rsid w:val="00346C95"/>
    <w:rsid w:val="00356185"/>
    <w:rsid w:val="00360380"/>
    <w:rsid w:val="003639B9"/>
    <w:rsid w:val="0037519E"/>
    <w:rsid w:val="00383AC7"/>
    <w:rsid w:val="00386CF0"/>
    <w:rsid w:val="0039780B"/>
    <w:rsid w:val="003B70FB"/>
    <w:rsid w:val="003C676B"/>
    <w:rsid w:val="003D3BC2"/>
    <w:rsid w:val="003E6CA1"/>
    <w:rsid w:val="004065A8"/>
    <w:rsid w:val="004165C2"/>
    <w:rsid w:val="00435C6F"/>
    <w:rsid w:val="00441ECB"/>
    <w:rsid w:val="00445193"/>
    <w:rsid w:val="00450DC6"/>
    <w:rsid w:val="00462AA9"/>
    <w:rsid w:val="00462C1B"/>
    <w:rsid w:val="00465192"/>
    <w:rsid w:val="00467B7E"/>
    <w:rsid w:val="00473BB4"/>
    <w:rsid w:val="0047650A"/>
    <w:rsid w:val="00477592"/>
    <w:rsid w:val="00485B1A"/>
    <w:rsid w:val="00486F1C"/>
    <w:rsid w:val="0049419D"/>
    <w:rsid w:val="004A6A54"/>
    <w:rsid w:val="004A79B6"/>
    <w:rsid w:val="004B2A25"/>
    <w:rsid w:val="004B6918"/>
    <w:rsid w:val="004C20D2"/>
    <w:rsid w:val="004C2312"/>
    <w:rsid w:val="004C4B62"/>
    <w:rsid w:val="004C54C9"/>
    <w:rsid w:val="004C6DF6"/>
    <w:rsid w:val="004D4ABA"/>
    <w:rsid w:val="004D6025"/>
    <w:rsid w:val="004E2649"/>
    <w:rsid w:val="004E28CE"/>
    <w:rsid w:val="00501399"/>
    <w:rsid w:val="0050633D"/>
    <w:rsid w:val="00507BC4"/>
    <w:rsid w:val="005128E4"/>
    <w:rsid w:val="005133DB"/>
    <w:rsid w:val="00525560"/>
    <w:rsid w:val="00544C49"/>
    <w:rsid w:val="005516A1"/>
    <w:rsid w:val="00563557"/>
    <w:rsid w:val="005648AE"/>
    <w:rsid w:val="0057402A"/>
    <w:rsid w:val="005771D0"/>
    <w:rsid w:val="0059191A"/>
    <w:rsid w:val="005921FF"/>
    <w:rsid w:val="005A24ED"/>
    <w:rsid w:val="005A6D0E"/>
    <w:rsid w:val="005B52B0"/>
    <w:rsid w:val="005B6806"/>
    <w:rsid w:val="005C4225"/>
    <w:rsid w:val="005F0DAD"/>
    <w:rsid w:val="005F0F33"/>
    <w:rsid w:val="00600DEB"/>
    <w:rsid w:val="00627C9F"/>
    <w:rsid w:val="006311E9"/>
    <w:rsid w:val="00632354"/>
    <w:rsid w:val="0064039E"/>
    <w:rsid w:val="00642810"/>
    <w:rsid w:val="00652333"/>
    <w:rsid w:val="00655669"/>
    <w:rsid w:val="0068009E"/>
    <w:rsid w:val="00692219"/>
    <w:rsid w:val="006A0464"/>
    <w:rsid w:val="006A17D2"/>
    <w:rsid w:val="006A6E9C"/>
    <w:rsid w:val="006A73E6"/>
    <w:rsid w:val="006B2998"/>
    <w:rsid w:val="006B2D5C"/>
    <w:rsid w:val="006B7D58"/>
    <w:rsid w:val="006C4EB1"/>
    <w:rsid w:val="006C6946"/>
    <w:rsid w:val="006D1C69"/>
    <w:rsid w:val="006E0166"/>
    <w:rsid w:val="006E1683"/>
    <w:rsid w:val="006E7B34"/>
    <w:rsid w:val="0070697F"/>
    <w:rsid w:val="00717D1F"/>
    <w:rsid w:val="0072199C"/>
    <w:rsid w:val="007228C7"/>
    <w:rsid w:val="00722C9F"/>
    <w:rsid w:val="007253B8"/>
    <w:rsid w:val="007366C0"/>
    <w:rsid w:val="0073741F"/>
    <w:rsid w:val="00754D26"/>
    <w:rsid w:val="007636B2"/>
    <w:rsid w:val="0076643F"/>
    <w:rsid w:val="007729DE"/>
    <w:rsid w:val="00777F63"/>
    <w:rsid w:val="007A318F"/>
    <w:rsid w:val="007A5817"/>
    <w:rsid w:val="007B05C4"/>
    <w:rsid w:val="007B60E9"/>
    <w:rsid w:val="007B6CC3"/>
    <w:rsid w:val="007B76D3"/>
    <w:rsid w:val="007C3334"/>
    <w:rsid w:val="007C4710"/>
    <w:rsid w:val="007D2B98"/>
    <w:rsid w:val="007E21BC"/>
    <w:rsid w:val="007E7C82"/>
    <w:rsid w:val="007F588D"/>
    <w:rsid w:val="007F6D2C"/>
    <w:rsid w:val="00803F1C"/>
    <w:rsid w:val="0080600E"/>
    <w:rsid w:val="00817612"/>
    <w:rsid w:val="0082139D"/>
    <w:rsid w:val="00823955"/>
    <w:rsid w:val="00831A8F"/>
    <w:rsid w:val="008338A4"/>
    <w:rsid w:val="00834D49"/>
    <w:rsid w:val="00837C45"/>
    <w:rsid w:val="00841256"/>
    <w:rsid w:val="00844730"/>
    <w:rsid w:val="008457C2"/>
    <w:rsid w:val="008546EB"/>
    <w:rsid w:val="00857A82"/>
    <w:rsid w:val="008639B7"/>
    <w:rsid w:val="008665B8"/>
    <w:rsid w:val="00873836"/>
    <w:rsid w:val="00880586"/>
    <w:rsid w:val="008850BD"/>
    <w:rsid w:val="00885737"/>
    <w:rsid w:val="00890650"/>
    <w:rsid w:val="0089746C"/>
    <w:rsid w:val="00897E12"/>
    <w:rsid w:val="008A3589"/>
    <w:rsid w:val="008A3727"/>
    <w:rsid w:val="008A7E0F"/>
    <w:rsid w:val="008B12F5"/>
    <w:rsid w:val="008B327A"/>
    <w:rsid w:val="008B493C"/>
    <w:rsid w:val="008D4E88"/>
    <w:rsid w:val="008D768D"/>
    <w:rsid w:val="008E0AED"/>
    <w:rsid w:val="008E3759"/>
    <w:rsid w:val="008E3BFE"/>
    <w:rsid w:val="008E4FE7"/>
    <w:rsid w:val="008F1912"/>
    <w:rsid w:val="0090270B"/>
    <w:rsid w:val="00903665"/>
    <w:rsid w:val="009041DC"/>
    <w:rsid w:val="0090429D"/>
    <w:rsid w:val="009122E7"/>
    <w:rsid w:val="00917B5A"/>
    <w:rsid w:val="00920A58"/>
    <w:rsid w:val="00920A8C"/>
    <w:rsid w:val="0093455C"/>
    <w:rsid w:val="00934A2C"/>
    <w:rsid w:val="00952A2B"/>
    <w:rsid w:val="0096706E"/>
    <w:rsid w:val="00974491"/>
    <w:rsid w:val="00975C4E"/>
    <w:rsid w:val="00981FBA"/>
    <w:rsid w:val="00997BC5"/>
    <w:rsid w:val="009A4F41"/>
    <w:rsid w:val="009B381B"/>
    <w:rsid w:val="009C6949"/>
    <w:rsid w:val="009D1753"/>
    <w:rsid w:val="009D65A0"/>
    <w:rsid w:val="009D7611"/>
    <w:rsid w:val="009E0B61"/>
    <w:rsid w:val="009E53DE"/>
    <w:rsid w:val="00A00FCA"/>
    <w:rsid w:val="00A11212"/>
    <w:rsid w:val="00A11E44"/>
    <w:rsid w:val="00A328B3"/>
    <w:rsid w:val="00A50FCF"/>
    <w:rsid w:val="00A528D1"/>
    <w:rsid w:val="00A610CD"/>
    <w:rsid w:val="00A758AA"/>
    <w:rsid w:val="00A7646F"/>
    <w:rsid w:val="00A9799E"/>
    <w:rsid w:val="00AA09A2"/>
    <w:rsid w:val="00AA68C7"/>
    <w:rsid w:val="00AA7996"/>
    <w:rsid w:val="00AC19CB"/>
    <w:rsid w:val="00AC4C8A"/>
    <w:rsid w:val="00AC621E"/>
    <w:rsid w:val="00AE5488"/>
    <w:rsid w:val="00AE6F91"/>
    <w:rsid w:val="00AF15E7"/>
    <w:rsid w:val="00AF4886"/>
    <w:rsid w:val="00AF5571"/>
    <w:rsid w:val="00B07341"/>
    <w:rsid w:val="00B26F51"/>
    <w:rsid w:val="00B30539"/>
    <w:rsid w:val="00B314DB"/>
    <w:rsid w:val="00B3584D"/>
    <w:rsid w:val="00B361F2"/>
    <w:rsid w:val="00B3718B"/>
    <w:rsid w:val="00B4632A"/>
    <w:rsid w:val="00B530F1"/>
    <w:rsid w:val="00B56C4A"/>
    <w:rsid w:val="00B84E4B"/>
    <w:rsid w:val="00B8520B"/>
    <w:rsid w:val="00BA276C"/>
    <w:rsid w:val="00BB306F"/>
    <w:rsid w:val="00BB3A6F"/>
    <w:rsid w:val="00BB7E33"/>
    <w:rsid w:val="00BD2EEE"/>
    <w:rsid w:val="00BD4B89"/>
    <w:rsid w:val="00BD5922"/>
    <w:rsid w:val="00BE6901"/>
    <w:rsid w:val="00BF02CB"/>
    <w:rsid w:val="00BF6FD8"/>
    <w:rsid w:val="00C03680"/>
    <w:rsid w:val="00C04489"/>
    <w:rsid w:val="00C054DF"/>
    <w:rsid w:val="00C05994"/>
    <w:rsid w:val="00C163A3"/>
    <w:rsid w:val="00C21762"/>
    <w:rsid w:val="00C21FEF"/>
    <w:rsid w:val="00C24543"/>
    <w:rsid w:val="00C256A2"/>
    <w:rsid w:val="00C51515"/>
    <w:rsid w:val="00C527BB"/>
    <w:rsid w:val="00C5660B"/>
    <w:rsid w:val="00C66B72"/>
    <w:rsid w:val="00C84795"/>
    <w:rsid w:val="00C87AC4"/>
    <w:rsid w:val="00C9567A"/>
    <w:rsid w:val="00CB212D"/>
    <w:rsid w:val="00CB2660"/>
    <w:rsid w:val="00CC5E90"/>
    <w:rsid w:val="00CD046C"/>
    <w:rsid w:val="00CD2BFC"/>
    <w:rsid w:val="00CE076C"/>
    <w:rsid w:val="00CE5199"/>
    <w:rsid w:val="00CE5FEA"/>
    <w:rsid w:val="00CE66D5"/>
    <w:rsid w:val="00CF637A"/>
    <w:rsid w:val="00D059DE"/>
    <w:rsid w:val="00D05ABD"/>
    <w:rsid w:val="00D13FCE"/>
    <w:rsid w:val="00D26D3C"/>
    <w:rsid w:val="00D306D1"/>
    <w:rsid w:val="00D30800"/>
    <w:rsid w:val="00D34786"/>
    <w:rsid w:val="00D37BFC"/>
    <w:rsid w:val="00D47A8E"/>
    <w:rsid w:val="00D502C9"/>
    <w:rsid w:val="00D52D14"/>
    <w:rsid w:val="00D54B18"/>
    <w:rsid w:val="00D712D3"/>
    <w:rsid w:val="00D71422"/>
    <w:rsid w:val="00D72DC6"/>
    <w:rsid w:val="00D7558D"/>
    <w:rsid w:val="00D81D92"/>
    <w:rsid w:val="00D876F9"/>
    <w:rsid w:val="00DA46DA"/>
    <w:rsid w:val="00DA7B5F"/>
    <w:rsid w:val="00DC11E7"/>
    <w:rsid w:val="00DC3702"/>
    <w:rsid w:val="00DC5FAB"/>
    <w:rsid w:val="00DC7023"/>
    <w:rsid w:val="00DC769A"/>
    <w:rsid w:val="00DD3D86"/>
    <w:rsid w:val="00DD4AD2"/>
    <w:rsid w:val="00DF1EC4"/>
    <w:rsid w:val="00E0340B"/>
    <w:rsid w:val="00E04A90"/>
    <w:rsid w:val="00E0551F"/>
    <w:rsid w:val="00E219C7"/>
    <w:rsid w:val="00E4118C"/>
    <w:rsid w:val="00E43157"/>
    <w:rsid w:val="00E461CE"/>
    <w:rsid w:val="00E720CA"/>
    <w:rsid w:val="00E84944"/>
    <w:rsid w:val="00E84EB5"/>
    <w:rsid w:val="00E85662"/>
    <w:rsid w:val="00E8789F"/>
    <w:rsid w:val="00E95570"/>
    <w:rsid w:val="00E97B71"/>
    <w:rsid w:val="00EA3D34"/>
    <w:rsid w:val="00EA5F7E"/>
    <w:rsid w:val="00EB1F5F"/>
    <w:rsid w:val="00EB454D"/>
    <w:rsid w:val="00EC1C6F"/>
    <w:rsid w:val="00ED549D"/>
    <w:rsid w:val="00ED76BE"/>
    <w:rsid w:val="00EE00E9"/>
    <w:rsid w:val="00EE7F20"/>
    <w:rsid w:val="00EF619B"/>
    <w:rsid w:val="00F00B55"/>
    <w:rsid w:val="00F02AD1"/>
    <w:rsid w:val="00F035E0"/>
    <w:rsid w:val="00F042C3"/>
    <w:rsid w:val="00F11B5D"/>
    <w:rsid w:val="00F20144"/>
    <w:rsid w:val="00F253CC"/>
    <w:rsid w:val="00F335F2"/>
    <w:rsid w:val="00F37106"/>
    <w:rsid w:val="00F44519"/>
    <w:rsid w:val="00F47020"/>
    <w:rsid w:val="00F519CF"/>
    <w:rsid w:val="00F545DD"/>
    <w:rsid w:val="00F56BA5"/>
    <w:rsid w:val="00F60E22"/>
    <w:rsid w:val="00F81395"/>
    <w:rsid w:val="00F81BB8"/>
    <w:rsid w:val="00F917D1"/>
    <w:rsid w:val="00F9653B"/>
    <w:rsid w:val="00FA6516"/>
    <w:rsid w:val="00FB5F5F"/>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2BFC"/>
    <w:rPr>
      <w:sz w:val="16"/>
      <w:szCs w:val="16"/>
    </w:rPr>
  </w:style>
  <w:style w:type="paragraph" w:styleId="CommentText">
    <w:name w:val="annotation text"/>
    <w:basedOn w:val="Normal"/>
    <w:link w:val="CommentTextChar"/>
    <w:uiPriority w:val="99"/>
    <w:semiHidden/>
    <w:unhideWhenUsed/>
    <w:rsid w:val="00CD2BFC"/>
    <w:rPr>
      <w:sz w:val="20"/>
      <w:szCs w:val="20"/>
    </w:rPr>
  </w:style>
  <w:style w:type="character" w:customStyle="1" w:styleId="CommentTextChar">
    <w:name w:val="Comment Text Char"/>
    <w:basedOn w:val="DefaultParagraphFont"/>
    <w:link w:val="CommentText"/>
    <w:uiPriority w:val="99"/>
    <w:semiHidden/>
    <w:rsid w:val="00CD2BFC"/>
    <w:rPr>
      <w:lang w:val="en-US" w:eastAsia="en-US"/>
    </w:rPr>
  </w:style>
  <w:style w:type="paragraph" w:styleId="CommentSubject">
    <w:name w:val="annotation subject"/>
    <w:basedOn w:val="CommentText"/>
    <w:next w:val="CommentText"/>
    <w:link w:val="CommentSubjectChar"/>
    <w:uiPriority w:val="99"/>
    <w:semiHidden/>
    <w:unhideWhenUsed/>
    <w:rsid w:val="00CD2BFC"/>
    <w:rPr>
      <w:b/>
      <w:bCs/>
    </w:rPr>
  </w:style>
  <w:style w:type="character" w:customStyle="1" w:styleId="CommentSubjectChar">
    <w:name w:val="Comment Subject Char"/>
    <w:basedOn w:val="CommentTextChar"/>
    <w:link w:val="CommentSubject"/>
    <w:uiPriority w:val="99"/>
    <w:semiHidden/>
    <w:rsid w:val="00CD2BF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A527C"/>
    <w:rsid w:val="00200821"/>
    <w:rsid w:val="00257F65"/>
    <w:rsid w:val="00394049"/>
    <w:rsid w:val="004F2DF8"/>
    <w:rsid w:val="0052720A"/>
    <w:rsid w:val="005E6DB6"/>
    <w:rsid w:val="007A1934"/>
    <w:rsid w:val="007F1086"/>
    <w:rsid w:val="009A261B"/>
    <w:rsid w:val="00AC15A4"/>
    <w:rsid w:val="00B0336C"/>
    <w:rsid w:val="00E54F59"/>
    <w:rsid w:val="00E87E2B"/>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1726-8EA1-4891-AE2E-C32858C1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1790</Words>
  <Characters>9242</Characters>
  <Application>Microsoft Office Word</Application>
  <DocSecurity>0</DocSecurity>
  <Lines>168</Lines>
  <Paragraphs>47</Paragraphs>
  <ScaleCrop>false</ScaleCrop>
  <Company/>
  <LinksUpToDate>false</LinksUpToDate>
  <CharactersWithSpaces>10985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22/19</dc:title>
  <dc:creator/>
  <cp:lastModifiedBy/>
  <cp:revision>1</cp:revision>
  <dcterms:created xsi:type="dcterms:W3CDTF">2019-04-12T11:56:00Z</dcterms:created>
  <dcterms:modified xsi:type="dcterms:W3CDTF">2019-04-12T11:57:00Z</dcterms:modified>
</cp:coreProperties>
</file>