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0C3A" w:rsidRPr="00C05D06" w:rsidRDefault="00935AD7" w:rsidP="007B3C6B">
      <w:pPr>
        <w:tabs>
          <w:tab w:val="left" w:pos="1440"/>
        </w:tabs>
        <w:ind w:firstLine="720"/>
        <w:jc w:val="both"/>
        <w:rPr>
          <w:rFonts w:ascii="Cambria" w:hAnsi="Cambria" w:cs="Univers"/>
          <w:b/>
          <w:bCs/>
          <w:sz w:val="20"/>
          <w:szCs w:val="20"/>
          <w:lang w:val="es-ES_tradnl"/>
        </w:rPr>
      </w:pPr>
      <w:r>
        <w:rPr>
          <w:noProof/>
        </w:rPr>
        <mc:AlternateContent>
          <mc:Choice Requires="wps">
            <w:drawing>
              <wp:anchor distT="0" distB="0" distL="114300" distR="114300" simplePos="0" relativeHeight="251654656" behindDoc="0" locked="0" layoutInCell="1" allowOverlap="1">
                <wp:simplePos x="0" y="0"/>
                <wp:positionH relativeFrom="column">
                  <wp:posOffset>-415925</wp:posOffset>
                </wp:positionH>
                <wp:positionV relativeFrom="paragraph">
                  <wp:posOffset>-439420</wp:posOffset>
                </wp:positionV>
                <wp:extent cx="1543050" cy="9096375"/>
                <wp:effectExtent l="0" t="0" r="0" b="9525"/>
                <wp:wrapNone/>
                <wp:docPr id="6"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43050" cy="9096375"/>
                        </a:xfrm>
                        <a:prstGeom prst="rect">
                          <a:avLst/>
                        </a:prstGeom>
                        <a:solidFill>
                          <a:srgbClr val="4A7194"/>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B465BA" id="Rectangle 1" o:spid="_x0000_s1026" style="position:absolute;margin-left:-32.75pt;margin-top:-34.6pt;width:121.5pt;height:716.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" fillcolor="#4a7194" stroked="f" strokeweight="2pt">
                <v:path arrowok="t"/>
              </v:rect>
            </w:pict>
          </mc:Fallback>
        </mc:AlternateContent>
      </w:r>
      <w:r>
        <w:rPr>
          <w:noProof/>
        </w:rPr>
        <mc:AlternateContent>
          <mc:Choice Requires="wps">
            <w:drawing>
              <wp:anchor distT="0" distB="0" distL="114300" distR="114300" simplePos="0" relativeHeight="251658752" behindDoc="0" locked="0" layoutInCell="1" allowOverlap="1">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48275" cy="902335"/>
                        </a:xfrm>
                        <a:prstGeom prst="rect">
                          <a:avLst/>
                        </a:prstGeom>
                        <a:noFill/>
                        <a:ln w="6350">
                          <a:noFill/>
                        </a:ln>
                        <a:effectLst/>
                      </wps:spPr>
                      <wps:txbx>
                        <w:txbxContent>
                          <w:p w:rsidR="006A3859" w:rsidRDefault="00935AD7" w:rsidP="00AE5488">
                            <w:r>
                              <w:rPr>
                                <w:noProof/>
                              </w:rPr>
                              <w:drawing>
                                <wp:inline distT="0" distB="0" distL="0" distR="0">
                                  <wp:extent cx="2647950" cy="514350"/>
                                  <wp:effectExtent l="0" t="0" r="0" b="0"/>
                                  <wp:docPr id="3" name="Picture 12" descr="cidh-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idh-e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47950" cy="514350"/>
                                          </a:xfrm>
                                          <a:prstGeom prst="rect">
                                            <a:avLst/>
                                          </a:prstGeom>
                                          <a:noFill/>
                                          <a:ln>
                                            <a:noFill/>
                                          </a:ln>
                                        </pic:spPr>
                                      </pic:pic>
                                    </a:graphicData>
                                  </a:graphic>
                                </wp:inline>
                              </w:drawing>
                            </w:r>
                            <w:r w:rsidR="006A3859">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" filled="f" stroked="f" strokeweight=".5pt">
                <v:path arrowok="t"/>
                <v:textbox>
                  <w:txbxContent>
                    <w:p w:rsidR="006A3859" w:rsidRDefault="00935AD7" w:rsidP="00AE5488">
                      <w:r>
                        <w:rPr>
                          <w:noProof/>
                        </w:rPr>
                        <w:drawing>
                          <wp:inline distT="0" distB="0" distL="0" distR="0">
                            <wp:extent cx="2647950" cy="514350"/>
                            <wp:effectExtent l="0" t="0" r="0" b="0"/>
                            <wp:docPr id="3" name="Picture 12" descr="cidh-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idh-e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47950" cy="514350"/>
                                    </a:xfrm>
                                    <a:prstGeom prst="rect">
                                      <a:avLst/>
                                    </a:prstGeom>
                                    <a:noFill/>
                                    <a:ln>
                                      <a:noFill/>
                                    </a:ln>
                                  </pic:spPr>
                                </pic:pic>
                              </a:graphicData>
                            </a:graphic>
                          </wp:inline>
                        </w:drawing>
                      </w:r>
                      <w:r w:rsidR="006A3859">
                        <w:tab/>
                        <w:t xml:space="preserve">                              </w:t>
                      </w:r>
                    </w:p>
                  </w:txbxContent>
                </v:textbox>
              </v:shape>
            </w:pict>
          </mc:Fallback>
        </mc:AlternateContent>
      </w:r>
    </w:p>
    <w:p w:rsidR="00040C3A" w:rsidRPr="00C05D06" w:rsidRDefault="00040C3A" w:rsidP="007B3C6B">
      <w:pPr>
        <w:tabs>
          <w:tab w:val="left" w:pos="1440"/>
          <w:tab w:val="center" w:pos="5400"/>
        </w:tabs>
        <w:suppressAutoHyphens/>
        <w:ind w:firstLine="720"/>
        <w:jc w:val="both"/>
        <w:rPr>
          <w:rFonts w:ascii="Cambria" w:hAnsi="Cambria"/>
          <w:sz w:val="20"/>
          <w:szCs w:val="20"/>
          <w:lang w:val="es-ES"/>
        </w:rPr>
      </w:pPr>
    </w:p>
    <w:p w:rsidR="00040C3A" w:rsidRPr="00C05D06" w:rsidRDefault="00040C3A" w:rsidP="007B3C6B">
      <w:pPr>
        <w:tabs>
          <w:tab w:val="left" w:pos="1440"/>
          <w:tab w:val="center" w:pos="5400"/>
        </w:tabs>
        <w:suppressAutoHyphens/>
        <w:ind w:firstLine="720"/>
        <w:jc w:val="both"/>
        <w:rPr>
          <w:rFonts w:ascii="Cambria" w:hAnsi="Cambria"/>
          <w:sz w:val="20"/>
          <w:szCs w:val="20"/>
          <w:lang w:val="es-ES"/>
        </w:rPr>
      </w:pPr>
    </w:p>
    <w:p w:rsidR="005128E4" w:rsidRPr="00C05D06" w:rsidRDefault="005128E4" w:rsidP="007B3C6B">
      <w:pPr>
        <w:tabs>
          <w:tab w:val="left" w:pos="1440"/>
          <w:tab w:val="center" w:pos="5400"/>
        </w:tabs>
        <w:suppressAutoHyphens/>
        <w:ind w:firstLine="720"/>
        <w:rPr>
          <w:rFonts w:ascii="Cambria" w:hAnsi="Cambria"/>
          <w:sz w:val="20"/>
          <w:szCs w:val="20"/>
          <w:lang w:val="es-ES_tradnl"/>
        </w:rPr>
      </w:pPr>
    </w:p>
    <w:p w:rsidR="005128E4" w:rsidRPr="00C05D06" w:rsidRDefault="005128E4" w:rsidP="007B3C6B">
      <w:pPr>
        <w:tabs>
          <w:tab w:val="left" w:pos="1440"/>
          <w:tab w:val="center" w:pos="5400"/>
        </w:tabs>
        <w:suppressAutoHyphens/>
        <w:ind w:firstLine="720"/>
        <w:rPr>
          <w:rFonts w:ascii="Cambria" w:hAnsi="Cambria"/>
          <w:sz w:val="20"/>
          <w:szCs w:val="20"/>
          <w:lang w:val="es-ES_tradnl"/>
        </w:rPr>
      </w:pPr>
    </w:p>
    <w:p w:rsidR="005128E4" w:rsidRPr="00C05D06" w:rsidRDefault="005128E4" w:rsidP="007B3C6B">
      <w:pPr>
        <w:tabs>
          <w:tab w:val="left" w:pos="1440"/>
          <w:tab w:val="center" w:pos="5400"/>
        </w:tabs>
        <w:suppressAutoHyphens/>
        <w:ind w:firstLine="720"/>
        <w:rPr>
          <w:rFonts w:ascii="Cambria" w:hAnsi="Cambria"/>
          <w:sz w:val="20"/>
          <w:szCs w:val="20"/>
          <w:lang w:val="es-ES_tradnl"/>
        </w:rPr>
      </w:pPr>
    </w:p>
    <w:p w:rsidR="00040C3A" w:rsidRPr="00C05D06" w:rsidRDefault="00040C3A" w:rsidP="007B3C6B">
      <w:pPr>
        <w:tabs>
          <w:tab w:val="left" w:pos="1440"/>
          <w:tab w:val="center" w:pos="5400"/>
        </w:tabs>
        <w:suppressAutoHyphens/>
        <w:ind w:firstLine="720"/>
        <w:jc w:val="center"/>
        <w:rPr>
          <w:rFonts w:ascii="Cambria" w:hAnsi="Cambria"/>
          <w:sz w:val="20"/>
          <w:szCs w:val="20"/>
          <w:lang w:val="es-ES_tradnl"/>
        </w:rPr>
      </w:pPr>
    </w:p>
    <w:p w:rsidR="00040C3A" w:rsidRPr="00C05D06" w:rsidRDefault="00040C3A" w:rsidP="007B3C6B">
      <w:pPr>
        <w:tabs>
          <w:tab w:val="left" w:pos="1440"/>
          <w:tab w:val="center" w:pos="5400"/>
        </w:tabs>
        <w:suppressAutoHyphens/>
        <w:ind w:firstLine="720"/>
        <w:jc w:val="center"/>
        <w:rPr>
          <w:rFonts w:ascii="Cambria" w:hAnsi="Cambria"/>
          <w:sz w:val="20"/>
          <w:szCs w:val="20"/>
          <w:lang w:val="es-ES_tradnl"/>
        </w:rPr>
      </w:pPr>
    </w:p>
    <w:p w:rsidR="005B52B0" w:rsidRPr="00C05D06" w:rsidRDefault="005B52B0" w:rsidP="007B3C6B">
      <w:pPr>
        <w:tabs>
          <w:tab w:val="left" w:pos="1440"/>
          <w:tab w:val="center" w:pos="5400"/>
        </w:tabs>
        <w:suppressAutoHyphens/>
        <w:ind w:firstLine="720"/>
        <w:jc w:val="center"/>
        <w:rPr>
          <w:rFonts w:ascii="Cambria" w:hAnsi="Cambria"/>
          <w:sz w:val="20"/>
          <w:szCs w:val="20"/>
          <w:lang w:val="es-ES_tradnl"/>
        </w:rPr>
      </w:pPr>
    </w:p>
    <w:p w:rsidR="005B52B0" w:rsidRPr="00C05D06" w:rsidRDefault="005B52B0" w:rsidP="007B3C6B">
      <w:pPr>
        <w:tabs>
          <w:tab w:val="left" w:pos="1440"/>
          <w:tab w:val="center" w:pos="5400"/>
        </w:tabs>
        <w:suppressAutoHyphens/>
        <w:ind w:firstLine="720"/>
        <w:jc w:val="center"/>
        <w:rPr>
          <w:rFonts w:ascii="Cambria" w:hAnsi="Cambria"/>
          <w:sz w:val="20"/>
          <w:szCs w:val="20"/>
          <w:lang w:val="es-ES_tradnl"/>
        </w:rPr>
      </w:pPr>
    </w:p>
    <w:p w:rsidR="005B52B0" w:rsidRPr="00C05D06" w:rsidRDefault="005B52B0" w:rsidP="007B3C6B">
      <w:pPr>
        <w:tabs>
          <w:tab w:val="left" w:pos="1440"/>
          <w:tab w:val="center" w:pos="5400"/>
        </w:tabs>
        <w:suppressAutoHyphens/>
        <w:ind w:firstLine="720"/>
        <w:jc w:val="center"/>
        <w:rPr>
          <w:rFonts w:ascii="Cambria" w:hAnsi="Cambria"/>
          <w:sz w:val="20"/>
          <w:szCs w:val="20"/>
          <w:lang w:val="es-ES_tradnl"/>
        </w:rPr>
      </w:pPr>
    </w:p>
    <w:p w:rsidR="00040C3A" w:rsidRPr="00C05D06" w:rsidRDefault="00040C3A" w:rsidP="007B3C6B">
      <w:pPr>
        <w:tabs>
          <w:tab w:val="left" w:pos="1440"/>
          <w:tab w:val="center" w:pos="5400"/>
        </w:tabs>
        <w:suppressAutoHyphens/>
        <w:ind w:firstLine="720"/>
        <w:jc w:val="center"/>
        <w:rPr>
          <w:rFonts w:ascii="Cambria" w:hAnsi="Cambria"/>
          <w:sz w:val="20"/>
          <w:szCs w:val="20"/>
          <w:lang w:val="es-ES_tradnl"/>
        </w:rPr>
      </w:pPr>
    </w:p>
    <w:p w:rsidR="00040C3A" w:rsidRPr="00C05D06" w:rsidRDefault="00040C3A" w:rsidP="007B3C6B">
      <w:pPr>
        <w:tabs>
          <w:tab w:val="left" w:pos="1440"/>
          <w:tab w:val="center" w:pos="5400"/>
        </w:tabs>
        <w:suppressAutoHyphens/>
        <w:ind w:firstLine="720"/>
        <w:jc w:val="center"/>
        <w:rPr>
          <w:rFonts w:ascii="Cambria" w:hAnsi="Cambria"/>
          <w:sz w:val="20"/>
          <w:szCs w:val="20"/>
          <w:lang w:val="es-ES_tradnl"/>
        </w:rPr>
      </w:pPr>
    </w:p>
    <w:p w:rsidR="00040C3A" w:rsidRPr="00C05D06" w:rsidRDefault="00935AD7" w:rsidP="007B3C6B">
      <w:pPr>
        <w:tabs>
          <w:tab w:val="left" w:pos="1440"/>
          <w:tab w:val="center" w:pos="5400"/>
        </w:tabs>
        <w:suppressAutoHyphens/>
        <w:ind w:firstLine="720"/>
        <w:jc w:val="center"/>
        <w:rPr>
          <w:rFonts w:ascii="Cambria" w:hAnsi="Cambria"/>
          <w:sz w:val="20"/>
          <w:szCs w:val="20"/>
          <w:lang w:val="es-ES_tradnl"/>
        </w:rPr>
      </w:pPr>
      <w:r>
        <w:rPr>
          <w:noProof/>
        </w:rPr>
        <mc:AlternateContent>
          <mc:Choice Requires="wps">
            <w:drawing>
              <wp:anchor distT="0" distB="0" distL="114300" distR="114300" simplePos="0" relativeHeight="251655680" behindDoc="0" locked="0" layoutInCell="1" allowOverlap="1">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41190" cy="2181225"/>
                        </a:xfrm>
                        <a:prstGeom prst="rect">
                          <a:avLst/>
                        </a:prstGeom>
                        <a:noFill/>
                        <a:ln w="6350">
                          <a:noFill/>
                        </a:ln>
                        <a:effectLst/>
                      </wps:spPr>
                      <wps:txbx>
                        <w:txbxContent>
                          <w:p w:rsidR="006A3859" w:rsidRPr="00C05D06" w:rsidRDefault="006A3859" w:rsidP="00997BC5">
                            <w:pPr>
                              <w:spacing w:line="276" w:lineRule="auto"/>
                              <w:rPr>
                                <w:rFonts w:ascii="Cambria" w:hAnsi="Cambria" w:cs="Arial"/>
                                <w:b/>
                                <w:bCs/>
                                <w:color w:val="0D0D0D"/>
                                <w:sz w:val="36"/>
                                <w:szCs w:val="22"/>
                                <w:lang w:val="es-CR"/>
                              </w:rPr>
                            </w:pPr>
                            <w:r w:rsidRPr="00C05D06">
                              <w:rPr>
                                <w:rFonts w:ascii="Cambria" w:hAnsi="Cambria" w:cs="Arial"/>
                                <w:b/>
                                <w:bCs/>
                                <w:color w:val="0D0D0D"/>
                                <w:sz w:val="36"/>
                                <w:szCs w:val="22"/>
                                <w:lang w:val="es-CR"/>
                              </w:rPr>
                              <w:t xml:space="preserve">INFORME </w:t>
                            </w:r>
                            <w:r w:rsidRPr="00C05D06">
                              <w:rPr>
                                <w:rFonts w:ascii="Cambria" w:hAnsi="Cambria" w:cs="Arial"/>
                                <w:b/>
                                <w:bCs/>
                                <w:color w:val="0D0D0D"/>
                                <w:sz w:val="36"/>
                                <w:szCs w:val="40"/>
                                <w:lang w:val="es-CR"/>
                              </w:rPr>
                              <w:t>No.</w:t>
                            </w:r>
                            <w:r w:rsidRPr="00C05D06">
                              <w:rPr>
                                <w:rFonts w:ascii="Cambria" w:hAnsi="Cambria" w:cs="Arial"/>
                                <w:b/>
                                <w:bCs/>
                                <w:color w:val="0D0D0D"/>
                                <w:sz w:val="36"/>
                                <w:szCs w:val="22"/>
                                <w:lang w:val="es-CR"/>
                              </w:rPr>
                              <w:t xml:space="preserve"> </w:t>
                            </w:r>
                            <w:r w:rsidR="00360085">
                              <w:rPr>
                                <w:rFonts w:ascii="Cambria" w:hAnsi="Cambria" w:cs="Arial"/>
                                <w:b/>
                                <w:bCs/>
                                <w:color w:val="0D0D0D"/>
                                <w:sz w:val="36"/>
                                <w:szCs w:val="22"/>
                                <w:lang w:val="es-CR"/>
                              </w:rPr>
                              <w:t>92</w:t>
                            </w:r>
                            <w:r w:rsidRPr="00C05D06">
                              <w:rPr>
                                <w:rFonts w:ascii="Cambria" w:hAnsi="Cambria" w:cs="Arial"/>
                                <w:b/>
                                <w:bCs/>
                                <w:color w:val="0D0D0D"/>
                                <w:sz w:val="36"/>
                                <w:szCs w:val="22"/>
                                <w:lang w:val="es-CR"/>
                              </w:rPr>
                              <w:t>/1</w:t>
                            </w:r>
                            <w:r w:rsidR="002A67A8">
                              <w:rPr>
                                <w:rFonts w:ascii="Cambria" w:hAnsi="Cambria" w:cs="Arial"/>
                                <w:b/>
                                <w:bCs/>
                                <w:color w:val="0D0D0D"/>
                                <w:sz w:val="36"/>
                                <w:szCs w:val="22"/>
                                <w:lang w:val="es-CR"/>
                              </w:rPr>
                              <w:t>9</w:t>
                            </w:r>
                          </w:p>
                          <w:p w:rsidR="006A3859" w:rsidRPr="00C05D06" w:rsidRDefault="006A3859" w:rsidP="00997BC5">
                            <w:pPr>
                              <w:spacing w:line="276" w:lineRule="auto"/>
                              <w:rPr>
                                <w:rFonts w:ascii="Cambria" w:hAnsi="Cambria" w:cs="Arial"/>
                                <w:b/>
                                <w:color w:val="0D0D0D"/>
                                <w:sz w:val="36"/>
                                <w:szCs w:val="22"/>
                                <w:lang w:val="es-CR"/>
                              </w:rPr>
                            </w:pPr>
                            <w:r w:rsidRPr="00C05D06">
                              <w:rPr>
                                <w:rFonts w:ascii="Cambria" w:hAnsi="Cambria" w:cs="Arial"/>
                                <w:b/>
                                <w:color w:val="0D0D0D"/>
                                <w:sz w:val="36"/>
                                <w:szCs w:val="22"/>
                                <w:lang w:val="es-CR"/>
                              </w:rPr>
                              <w:t>CASO 11.624</w:t>
                            </w:r>
                          </w:p>
                          <w:p w:rsidR="006A3859" w:rsidRPr="00C05D06" w:rsidRDefault="006A3859" w:rsidP="007B3C6B">
                            <w:pPr>
                              <w:spacing w:line="276" w:lineRule="auto"/>
                              <w:rPr>
                                <w:rFonts w:ascii="Cambria" w:hAnsi="Cambria" w:cs="Arial"/>
                                <w:color w:val="0D0D0D"/>
                                <w:szCs w:val="22"/>
                                <w:lang w:val="es-ES_tradnl"/>
                              </w:rPr>
                            </w:pPr>
                            <w:r w:rsidRPr="00C05D06">
                              <w:rPr>
                                <w:rFonts w:ascii="Cambria" w:hAnsi="Cambria" w:cs="Arial"/>
                                <w:color w:val="0D0D0D"/>
                                <w:szCs w:val="22"/>
                                <w:lang w:val="es-ES_tradnl"/>
                              </w:rPr>
                              <w:t>INFORME DE ADMISIBILIDAD Y FONDO</w:t>
                            </w:r>
                            <w:r w:rsidR="00982DD0">
                              <w:rPr>
                                <w:rFonts w:ascii="Cambria" w:hAnsi="Cambria" w:cs="Arial"/>
                                <w:color w:val="0D0D0D"/>
                                <w:szCs w:val="22"/>
                                <w:lang w:val="es-ES_tradnl"/>
                              </w:rPr>
                              <w:t xml:space="preserve"> (</w:t>
                            </w:r>
                            <w:r w:rsidR="00E935B6">
                              <w:rPr>
                                <w:rFonts w:ascii="Cambria" w:hAnsi="Cambria" w:cs="Arial"/>
                                <w:color w:val="0D0D0D"/>
                                <w:szCs w:val="22"/>
                                <w:lang w:val="es-ES_tradnl"/>
                              </w:rPr>
                              <w:t>PUBLICACIÓN</w:t>
                            </w:r>
                            <w:r w:rsidR="00982DD0">
                              <w:rPr>
                                <w:rFonts w:ascii="Cambria" w:hAnsi="Cambria" w:cs="Arial"/>
                                <w:color w:val="0D0D0D"/>
                                <w:szCs w:val="22"/>
                                <w:lang w:val="es-ES_tradnl"/>
                              </w:rPr>
                              <w:t>)</w:t>
                            </w:r>
                          </w:p>
                          <w:p w:rsidR="006A3859" w:rsidRPr="00C05D06" w:rsidRDefault="006A3859" w:rsidP="00997BC5">
                            <w:pPr>
                              <w:spacing w:line="276" w:lineRule="auto"/>
                              <w:rPr>
                                <w:rFonts w:ascii="Cambria" w:hAnsi="Cambria" w:cs="Arial"/>
                                <w:color w:val="0D0D0D"/>
                                <w:szCs w:val="22"/>
                                <w:lang w:val="es-ES_tradnl"/>
                              </w:rPr>
                            </w:pPr>
                            <w:bookmarkStart w:id="0" w:name="_ftnref1"/>
                          </w:p>
                          <w:p w:rsidR="006A3859" w:rsidRPr="00C05D06" w:rsidRDefault="006A3859" w:rsidP="00997BC5">
                            <w:pPr>
                              <w:spacing w:line="276" w:lineRule="auto"/>
                              <w:rPr>
                                <w:rFonts w:ascii="Cambria" w:hAnsi="Cambria" w:cs="Arial"/>
                                <w:color w:val="0D0D0D"/>
                                <w:szCs w:val="22"/>
                                <w:lang w:val="es-CR"/>
                              </w:rPr>
                            </w:pPr>
                            <w:r w:rsidRPr="00C05D06">
                              <w:rPr>
                                <w:rFonts w:ascii="Cambria" w:hAnsi="Cambria" w:cs="Arial"/>
                                <w:color w:val="0D0D0D"/>
                                <w:szCs w:val="22"/>
                                <w:lang w:val="es-ES_tradnl"/>
                              </w:rPr>
                              <w:t>JORGE DARWIN GARC</w:t>
                            </w:r>
                            <w:r w:rsidRPr="00C05D06">
                              <w:rPr>
                                <w:rFonts w:ascii="Cambria" w:hAnsi="Cambria" w:cs="Arial"/>
                                <w:color w:val="0D0D0D"/>
                                <w:szCs w:val="22"/>
                                <w:lang w:val="es-CR"/>
                              </w:rPr>
                              <w:t>ÍA Y FAMILIA</w:t>
                            </w:r>
                          </w:p>
                          <w:bookmarkEnd w:id="0"/>
                          <w:p w:rsidR="006A3859" w:rsidRPr="00C05D06" w:rsidRDefault="006A3859" w:rsidP="00997BC5">
                            <w:pPr>
                              <w:spacing w:line="276" w:lineRule="auto"/>
                              <w:rPr>
                                <w:rFonts w:ascii="Cambria" w:hAnsi="Cambria" w:cs="Arial"/>
                                <w:color w:val="0D0D0D"/>
                                <w:szCs w:val="22"/>
                                <w:lang w:val="es-ES"/>
                              </w:rPr>
                            </w:pPr>
                            <w:r w:rsidRPr="00C05D06">
                              <w:rPr>
                                <w:rFonts w:ascii="Cambria" w:hAnsi="Cambria" w:cs="Arial"/>
                                <w:color w:val="0D0D0D"/>
                                <w:szCs w:val="22"/>
                                <w:lang w:val="es-ES_tradnl"/>
                              </w:rPr>
                              <w:t>ECUADOR</w:t>
                            </w:r>
                          </w:p>
                          <w:p w:rsidR="006A3859" w:rsidRPr="00C05D06" w:rsidRDefault="006A3859" w:rsidP="007A5817">
                            <w:pPr>
                              <w:rPr>
                                <w:color w:val="0D0D0D"/>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left:0;text-align:left;margin-left:106.5pt;margin-top:8.45pt;width:349.7pt;height:171.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" filled="f" stroked="f" strokeweight=".5pt">
                <v:path arrowok="t"/>
                <v:textbox>
                  <w:txbxContent>
                    <w:p w:rsidR="006A3859" w:rsidRPr="00C05D06" w:rsidRDefault="006A3859" w:rsidP="00997BC5">
                      <w:pPr>
                        <w:spacing w:line="276" w:lineRule="auto"/>
                        <w:rPr>
                          <w:rFonts w:ascii="Cambria" w:hAnsi="Cambria" w:cs="Arial"/>
                          <w:b/>
                          <w:bCs/>
                          <w:color w:val="0D0D0D"/>
                          <w:sz w:val="36"/>
                          <w:szCs w:val="22"/>
                          <w:lang w:val="es-CR"/>
                        </w:rPr>
                      </w:pPr>
                      <w:r w:rsidRPr="00C05D06">
                        <w:rPr>
                          <w:rFonts w:ascii="Cambria" w:hAnsi="Cambria" w:cs="Arial"/>
                          <w:b/>
                          <w:bCs/>
                          <w:color w:val="0D0D0D"/>
                          <w:sz w:val="36"/>
                          <w:szCs w:val="22"/>
                          <w:lang w:val="es-CR"/>
                        </w:rPr>
                        <w:t xml:space="preserve">INFORME </w:t>
                      </w:r>
                      <w:r w:rsidRPr="00C05D06">
                        <w:rPr>
                          <w:rFonts w:ascii="Cambria" w:hAnsi="Cambria" w:cs="Arial"/>
                          <w:b/>
                          <w:bCs/>
                          <w:color w:val="0D0D0D"/>
                          <w:sz w:val="36"/>
                          <w:szCs w:val="40"/>
                          <w:lang w:val="es-CR"/>
                        </w:rPr>
                        <w:t>No.</w:t>
                      </w:r>
                      <w:r w:rsidRPr="00C05D06">
                        <w:rPr>
                          <w:rFonts w:ascii="Cambria" w:hAnsi="Cambria" w:cs="Arial"/>
                          <w:b/>
                          <w:bCs/>
                          <w:color w:val="0D0D0D"/>
                          <w:sz w:val="36"/>
                          <w:szCs w:val="22"/>
                          <w:lang w:val="es-CR"/>
                        </w:rPr>
                        <w:t xml:space="preserve"> </w:t>
                      </w:r>
                      <w:r w:rsidR="00360085">
                        <w:rPr>
                          <w:rFonts w:ascii="Cambria" w:hAnsi="Cambria" w:cs="Arial"/>
                          <w:b/>
                          <w:bCs/>
                          <w:color w:val="0D0D0D"/>
                          <w:sz w:val="36"/>
                          <w:szCs w:val="22"/>
                          <w:lang w:val="es-CR"/>
                        </w:rPr>
                        <w:t>92</w:t>
                      </w:r>
                      <w:r w:rsidRPr="00C05D06">
                        <w:rPr>
                          <w:rFonts w:ascii="Cambria" w:hAnsi="Cambria" w:cs="Arial"/>
                          <w:b/>
                          <w:bCs/>
                          <w:color w:val="0D0D0D"/>
                          <w:sz w:val="36"/>
                          <w:szCs w:val="22"/>
                          <w:lang w:val="es-CR"/>
                        </w:rPr>
                        <w:t>/1</w:t>
                      </w:r>
                      <w:r w:rsidR="002A67A8">
                        <w:rPr>
                          <w:rFonts w:ascii="Cambria" w:hAnsi="Cambria" w:cs="Arial"/>
                          <w:b/>
                          <w:bCs/>
                          <w:color w:val="0D0D0D"/>
                          <w:sz w:val="36"/>
                          <w:szCs w:val="22"/>
                          <w:lang w:val="es-CR"/>
                        </w:rPr>
                        <w:t>9</w:t>
                      </w:r>
                    </w:p>
                    <w:p w:rsidR="006A3859" w:rsidRPr="00C05D06" w:rsidRDefault="006A3859" w:rsidP="00997BC5">
                      <w:pPr>
                        <w:spacing w:line="276" w:lineRule="auto"/>
                        <w:rPr>
                          <w:rFonts w:ascii="Cambria" w:hAnsi="Cambria" w:cs="Arial"/>
                          <w:b/>
                          <w:color w:val="0D0D0D"/>
                          <w:sz w:val="36"/>
                          <w:szCs w:val="22"/>
                          <w:lang w:val="es-CR"/>
                        </w:rPr>
                      </w:pPr>
                      <w:r w:rsidRPr="00C05D06">
                        <w:rPr>
                          <w:rFonts w:ascii="Cambria" w:hAnsi="Cambria" w:cs="Arial"/>
                          <w:b/>
                          <w:color w:val="0D0D0D"/>
                          <w:sz w:val="36"/>
                          <w:szCs w:val="22"/>
                          <w:lang w:val="es-CR"/>
                        </w:rPr>
                        <w:t>CASO 11.624</w:t>
                      </w:r>
                    </w:p>
                    <w:p w:rsidR="006A3859" w:rsidRPr="00C05D06" w:rsidRDefault="006A3859" w:rsidP="007B3C6B">
                      <w:pPr>
                        <w:spacing w:line="276" w:lineRule="auto"/>
                        <w:rPr>
                          <w:rFonts w:ascii="Cambria" w:hAnsi="Cambria" w:cs="Arial"/>
                          <w:color w:val="0D0D0D"/>
                          <w:szCs w:val="22"/>
                          <w:lang w:val="es-ES_tradnl"/>
                        </w:rPr>
                      </w:pPr>
                      <w:r w:rsidRPr="00C05D06">
                        <w:rPr>
                          <w:rFonts w:ascii="Cambria" w:hAnsi="Cambria" w:cs="Arial"/>
                          <w:color w:val="0D0D0D"/>
                          <w:szCs w:val="22"/>
                          <w:lang w:val="es-ES_tradnl"/>
                        </w:rPr>
                        <w:t>INFORME DE ADMISIBILIDAD Y FONDO</w:t>
                      </w:r>
                      <w:r w:rsidR="00982DD0">
                        <w:rPr>
                          <w:rFonts w:ascii="Cambria" w:hAnsi="Cambria" w:cs="Arial"/>
                          <w:color w:val="0D0D0D"/>
                          <w:szCs w:val="22"/>
                          <w:lang w:val="es-ES_tradnl"/>
                        </w:rPr>
                        <w:t xml:space="preserve"> (</w:t>
                      </w:r>
                      <w:r w:rsidR="00E935B6">
                        <w:rPr>
                          <w:rFonts w:ascii="Cambria" w:hAnsi="Cambria" w:cs="Arial"/>
                          <w:color w:val="0D0D0D"/>
                          <w:szCs w:val="22"/>
                          <w:lang w:val="es-ES_tradnl"/>
                        </w:rPr>
                        <w:t>PUBLICACIÓN</w:t>
                      </w:r>
                      <w:r w:rsidR="00982DD0">
                        <w:rPr>
                          <w:rFonts w:ascii="Cambria" w:hAnsi="Cambria" w:cs="Arial"/>
                          <w:color w:val="0D0D0D"/>
                          <w:szCs w:val="22"/>
                          <w:lang w:val="es-ES_tradnl"/>
                        </w:rPr>
                        <w:t>)</w:t>
                      </w:r>
                    </w:p>
                    <w:p w:rsidR="006A3859" w:rsidRPr="00C05D06" w:rsidRDefault="006A3859" w:rsidP="00997BC5">
                      <w:pPr>
                        <w:spacing w:line="276" w:lineRule="auto"/>
                        <w:rPr>
                          <w:rFonts w:ascii="Cambria" w:hAnsi="Cambria" w:cs="Arial"/>
                          <w:color w:val="0D0D0D"/>
                          <w:szCs w:val="22"/>
                          <w:lang w:val="es-ES_tradnl"/>
                        </w:rPr>
                      </w:pPr>
                      <w:bookmarkStart w:id="2" w:name="_ftnref1"/>
                    </w:p>
                    <w:p w:rsidR="006A3859" w:rsidRPr="00C05D06" w:rsidRDefault="006A3859" w:rsidP="00997BC5">
                      <w:pPr>
                        <w:spacing w:line="276" w:lineRule="auto"/>
                        <w:rPr>
                          <w:rFonts w:ascii="Cambria" w:hAnsi="Cambria" w:cs="Arial"/>
                          <w:color w:val="0D0D0D"/>
                          <w:szCs w:val="22"/>
                          <w:lang w:val="es-CR"/>
                        </w:rPr>
                      </w:pPr>
                      <w:r w:rsidRPr="00C05D06">
                        <w:rPr>
                          <w:rFonts w:ascii="Cambria" w:hAnsi="Cambria" w:cs="Arial"/>
                          <w:color w:val="0D0D0D"/>
                          <w:szCs w:val="22"/>
                          <w:lang w:val="es-ES_tradnl"/>
                        </w:rPr>
                        <w:t>JORGE DARWIN GARC</w:t>
                      </w:r>
                      <w:r w:rsidRPr="00C05D06">
                        <w:rPr>
                          <w:rFonts w:ascii="Cambria" w:hAnsi="Cambria" w:cs="Arial"/>
                          <w:color w:val="0D0D0D"/>
                          <w:szCs w:val="22"/>
                          <w:lang w:val="es-CR"/>
                        </w:rPr>
                        <w:t>ÍA Y FAMILIA</w:t>
                      </w:r>
                    </w:p>
                    <w:bookmarkEnd w:id="2"/>
                    <w:p w:rsidR="006A3859" w:rsidRPr="00C05D06" w:rsidRDefault="006A3859" w:rsidP="00997BC5">
                      <w:pPr>
                        <w:spacing w:line="276" w:lineRule="auto"/>
                        <w:rPr>
                          <w:rFonts w:ascii="Cambria" w:hAnsi="Cambria" w:cs="Arial"/>
                          <w:color w:val="0D0D0D"/>
                          <w:szCs w:val="22"/>
                          <w:lang w:val="es-ES"/>
                        </w:rPr>
                      </w:pPr>
                      <w:r w:rsidRPr="00C05D06">
                        <w:rPr>
                          <w:rFonts w:ascii="Cambria" w:hAnsi="Cambria" w:cs="Arial"/>
                          <w:color w:val="0D0D0D"/>
                          <w:szCs w:val="22"/>
                          <w:lang w:val="es-ES_tradnl"/>
                        </w:rPr>
                        <w:t>ECUADOR</w:t>
                      </w:r>
                    </w:p>
                    <w:p w:rsidR="006A3859" w:rsidRPr="00C05D06" w:rsidRDefault="006A3859" w:rsidP="007A5817">
                      <w:pPr>
                        <w:rPr>
                          <w:color w:val="0D0D0D"/>
                          <w:lang w:val="es-ES_tradnl"/>
                        </w:rPr>
                      </w:pPr>
                    </w:p>
                  </w:txbxContent>
                </v:textbox>
              </v:shape>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0650" cy="1377315"/>
                        </a:xfrm>
                        <a:prstGeom prst="rect">
                          <a:avLst/>
                        </a:prstGeom>
                        <a:noFill/>
                        <a:ln w="6350">
                          <a:noFill/>
                        </a:ln>
                        <a:effectLst/>
                      </wps:spPr>
                      <wps:txbx>
                        <w:txbxContent>
                          <w:p w:rsidR="006A3859" w:rsidRPr="00360085" w:rsidRDefault="006A3859" w:rsidP="007A5817">
                            <w:pPr>
                              <w:spacing w:line="276" w:lineRule="auto"/>
                              <w:jc w:val="right"/>
                              <w:rPr>
                                <w:rFonts w:ascii="Calibri" w:hAnsi="Calibri"/>
                                <w:color w:val="FFFFFF"/>
                                <w:sz w:val="22"/>
                                <w:lang w:val="es-ES"/>
                              </w:rPr>
                            </w:pPr>
                            <w:r w:rsidRPr="00360085">
                              <w:rPr>
                                <w:rFonts w:ascii="Calibri" w:hAnsi="Calibri"/>
                                <w:color w:val="FFFFFF"/>
                                <w:sz w:val="22"/>
                                <w:lang w:val="es-ES"/>
                              </w:rPr>
                              <w:t>OEA/</w:t>
                            </w:r>
                            <w:proofErr w:type="spellStart"/>
                            <w:r w:rsidRPr="00360085">
                              <w:rPr>
                                <w:rFonts w:ascii="Calibri" w:hAnsi="Calibri"/>
                                <w:color w:val="FFFFFF"/>
                                <w:sz w:val="22"/>
                                <w:lang w:val="es-ES"/>
                              </w:rPr>
                              <w:t>Ser.L</w:t>
                            </w:r>
                            <w:proofErr w:type="spellEnd"/>
                            <w:r w:rsidRPr="00360085">
                              <w:rPr>
                                <w:rFonts w:ascii="Calibri" w:hAnsi="Calibri"/>
                                <w:color w:val="FFFFFF"/>
                                <w:sz w:val="22"/>
                                <w:lang w:val="es-ES"/>
                              </w:rPr>
                              <w:t>/V/II.</w:t>
                            </w:r>
                          </w:p>
                          <w:p w:rsidR="006A3859" w:rsidRPr="00360085" w:rsidRDefault="006A3859" w:rsidP="007A5817">
                            <w:pPr>
                              <w:spacing w:line="276" w:lineRule="auto"/>
                              <w:jc w:val="right"/>
                              <w:rPr>
                                <w:rFonts w:ascii="Calibri" w:hAnsi="Calibri"/>
                                <w:color w:val="FFFFFF"/>
                                <w:sz w:val="22"/>
                                <w:lang w:val="es-ES"/>
                              </w:rPr>
                            </w:pPr>
                            <w:r w:rsidRPr="00360085">
                              <w:rPr>
                                <w:rFonts w:ascii="Calibri" w:hAnsi="Calibri"/>
                                <w:color w:val="FFFFFF"/>
                                <w:sz w:val="22"/>
                                <w:lang w:val="es-ES"/>
                              </w:rPr>
                              <w:t xml:space="preserve">Doc. </w:t>
                            </w:r>
                            <w:r w:rsidR="00360085" w:rsidRPr="00360085">
                              <w:rPr>
                                <w:rFonts w:ascii="Calibri" w:hAnsi="Calibri"/>
                                <w:color w:val="FFFFFF"/>
                                <w:sz w:val="22"/>
                                <w:lang w:val="es-ES"/>
                              </w:rPr>
                              <w:t>101</w:t>
                            </w:r>
                          </w:p>
                          <w:p w:rsidR="006A3859" w:rsidRPr="00C40B61" w:rsidRDefault="00360085" w:rsidP="007A5817">
                            <w:pPr>
                              <w:spacing w:line="276" w:lineRule="auto"/>
                              <w:jc w:val="right"/>
                              <w:rPr>
                                <w:rFonts w:ascii="Calibri" w:hAnsi="Calibri"/>
                                <w:color w:val="FFFFFF"/>
                                <w:sz w:val="22"/>
                                <w:lang w:val="es-ES"/>
                              </w:rPr>
                            </w:pPr>
                            <w:r>
                              <w:rPr>
                                <w:rFonts w:ascii="Calibri" w:hAnsi="Calibri"/>
                                <w:color w:val="FFFFFF"/>
                                <w:sz w:val="22"/>
                                <w:lang w:val="es-ES"/>
                              </w:rPr>
                              <w:t>14 junio</w:t>
                            </w:r>
                            <w:r w:rsidR="0044415E">
                              <w:rPr>
                                <w:rFonts w:ascii="Calibri" w:hAnsi="Calibri"/>
                                <w:color w:val="FFFFFF"/>
                                <w:sz w:val="22"/>
                                <w:lang w:val="es-ES"/>
                              </w:rPr>
                              <w:t xml:space="preserve"> 201</w:t>
                            </w:r>
                            <w:r w:rsidR="00B71F01">
                              <w:rPr>
                                <w:rFonts w:ascii="Calibri" w:hAnsi="Calibri"/>
                                <w:color w:val="FFFFFF"/>
                                <w:sz w:val="22"/>
                                <w:lang w:val="es-ES"/>
                              </w:rPr>
                              <w:t>9</w:t>
                            </w:r>
                          </w:p>
                          <w:p w:rsidR="006A3859" w:rsidRPr="00C40B61" w:rsidRDefault="006A3859" w:rsidP="007A5817">
                            <w:pPr>
                              <w:spacing w:line="276" w:lineRule="auto"/>
                              <w:jc w:val="right"/>
                              <w:rPr>
                                <w:rFonts w:ascii="Calibri" w:hAnsi="Calibri"/>
                                <w:color w:val="FFFFFF"/>
                                <w:sz w:val="22"/>
                                <w:lang w:val="es-ES"/>
                              </w:rPr>
                            </w:pPr>
                            <w:r w:rsidRPr="00C40B61">
                              <w:rPr>
                                <w:rFonts w:ascii="Calibri" w:hAnsi="Calibri"/>
                                <w:color w:val="FFFFFF"/>
                                <w:sz w:val="22"/>
                                <w:lang w:val="es-ES"/>
                              </w:rPr>
                              <w:t xml:space="preserve">Original: </w:t>
                            </w:r>
                            <w:r w:rsidR="00C40B61" w:rsidRPr="00C40B61">
                              <w:rPr>
                                <w:rFonts w:ascii="Calibri" w:hAnsi="Calibri"/>
                                <w:color w:val="FFFFFF"/>
                                <w:sz w:val="22"/>
                                <w:lang w:val="es-ES"/>
                              </w:rPr>
                              <w:t>E</w:t>
                            </w:r>
                            <w:r w:rsidRPr="00C40B61">
                              <w:rPr>
                                <w:rFonts w:ascii="Calibri" w:hAnsi="Calibri"/>
                                <w:color w:val="FFFFFF"/>
                                <w:sz w:val="22"/>
                                <w:lang w:val="es-ES"/>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left:0;text-align:left;margin-left:-27pt;margin-top:12.95pt;width:109.5pt;height:108.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" filled="f" stroked="f" strokeweight=".5pt">
                <v:path arrowok="t"/>
                <v:textbox>
                  <w:txbxContent>
                    <w:p w:rsidR="006A3859" w:rsidRPr="00360085" w:rsidRDefault="006A3859" w:rsidP="007A5817">
                      <w:pPr>
                        <w:spacing w:line="276" w:lineRule="auto"/>
                        <w:jc w:val="right"/>
                        <w:rPr>
                          <w:rFonts w:ascii="Calibri" w:hAnsi="Calibri"/>
                          <w:color w:val="FFFFFF"/>
                          <w:sz w:val="22"/>
                          <w:lang w:val="es-ES"/>
                        </w:rPr>
                      </w:pPr>
                      <w:r w:rsidRPr="00360085">
                        <w:rPr>
                          <w:rFonts w:ascii="Calibri" w:hAnsi="Calibri"/>
                          <w:color w:val="FFFFFF"/>
                          <w:sz w:val="22"/>
                          <w:lang w:val="es-ES"/>
                        </w:rPr>
                        <w:t>OEA/Ser.L/V/II.</w:t>
                      </w:r>
                    </w:p>
                    <w:p w:rsidR="006A3859" w:rsidRPr="00360085" w:rsidRDefault="006A3859" w:rsidP="007A5817">
                      <w:pPr>
                        <w:spacing w:line="276" w:lineRule="auto"/>
                        <w:jc w:val="right"/>
                        <w:rPr>
                          <w:rFonts w:ascii="Calibri" w:hAnsi="Calibri"/>
                          <w:color w:val="FFFFFF"/>
                          <w:sz w:val="22"/>
                          <w:lang w:val="es-ES"/>
                        </w:rPr>
                      </w:pPr>
                      <w:r w:rsidRPr="00360085">
                        <w:rPr>
                          <w:rFonts w:ascii="Calibri" w:hAnsi="Calibri"/>
                          <w:color w:val="FFFFFF"/>
                          <w:sz w:val="22"/>
                          <w:lang w:val="es-ES"/>
                        </w:rPr>
                        <w:t xml:space="preserve">Doc. </w:t>
                      </w:r>
                      <w:r w:rsidR="00360085" w:rsidRPr="00360085">
                        <w:rPr>
                          <w:rFonts w:ascii="Calibri" w:hAnsi="Calibri"/>
                          <w:color w:val="FFFFFF"/>
                          <w:sz w:val="22"/>
                          <w:lang w:val="es-ES"/>
                        </w:rPr>
                        <w:t>101</w:t>
                      </w:r>
                    </w:p>
                    <w:p w:rsidR="006A3859" w:rsidRPr="00C40B61" w:rsidRDefault="00360085" w:rsidP="007A5817">
                      <w:pPr>
                        <w:spacing w:line="276" w:lineRule="auto"/>
                        <w:jc w:val="right"/>
                        <w:rPr>
                          <w:rFonts w:ascii="Calibri" w:hAnsi="Calibri"/>
                          <w:color w:val="FFFFFF"/>
                          <w:sz w:val="22"/>
                          <w:lang w:val="es-ES"/>
                        </w:rPr>
                      </w:pPr>
                      <w:r>
                        <w:rPr>
                          <w:rFonts w:ascii="Calibri" w:hAnsi="Calibri"/>
                          <w:color w:val="FFFFFF"/>
                          <w:sz w:val="22"/>
                          <w:lang w:val="es-ES"/>
                        </w:rPr>
                        <w:t>14 junio</w:t>
                      </w:r>
                      <w:r w:rsidR="0044415E">
                        <w:rPr>
                          <w:rFonts w:ascii="Calibri" w:hAnsi="Calibri"/>
                          <w:color w:val="FFFFFF"/>
                          <w:sz w:val="22"/>
                          <w:lang w:val="es-ES"/>
                        </w:rPr>
                        <w:t xml:space="preserve"> 201</w:t>
                      </w:r>
                      <w:r w:rsidR="00B71F01">
                        <w:rPr>
                          <w:rFonts w:ascii="Calibri" w:hAnsi="Calibri"/>
                          <w:color w:val="FFFFFF"/>
                          <w:sz w:val="22"/>
                          <w:lang w:val="es-ES"/>
                        </w:rPr>
                        <w:t>9</w:t>
                      </w:r>
                    </w:p>
                    <w:p w:rsidR="006A3859" w:rsidRPr="00C40B61" w:rsidRDefault="006A3859" w:rsidP="007A5817">
                      <w:pPr>
                        <w:spacing w:line="276" w:lineRule="auto"/>
                        <w:jc w:val="right"/>
                        <w:rPr>
                          <w:rFonts w:ascii="Calibri" w:hAnsi="Calibri"/>
                          <w:color w:val="FFFFFF"/>
                          <w:sz w:val="22"/>
                          <w:lang w:val="es-ES"/>
                        </w:rPr>
                      </w:pPr>
                      <w:r w:rsidRPr="00C40B61">
                        <w:rPr>
                          <w:rFonts w:ascii="Calibri" w:hAnsi="Calibri"/>
                          <w:color w:val="FFFFFF"/>
                          <w:sz w:val="22"/>
                          <w:lang w:val="es-ES"/>
                        </w:rPr>
                        <w:t xml:space="preserve">Original: </w:t>
                      </w:r>
                      <w:r w:rsidR="00C40B61" w:rsidRPr="00C40B61">
                        <w:rPr>
                          <w:rFonts w:ascii="Calibri" w:hAnsi="Calibri"/>
                          <w:color w:val="FFFFFF"/>
                          <w:sz w:val="22"/>
                          <w:lang w:val="es-ES"/>
                        </w:rPr>
                        <w:t>E</w:t>
                      </w:r>
                      <w:r w:rsidRPr="00C40B61">
                        <w:rPr>
                          <w:rFonts w:ascii="Calibri" w:hAnsi="Calibri"/>
                          <w:color w:val="FFFFFF"/>
                          <w:sz w:val="22"/>
                          <w:lang w:val="es-ES"/>
                        </w:rPr>
                        <w:t>spañol</w:t>
                      </w:r>
                    </w:p>
                  </w:txbxContent>
                </v:textbox>
              </v:shape>
            </w:pict>
          </mc:Fallback>
        </mc:AlternateContent>
      </w:r>
    </w:p>
    <w:p w:rsidR="00040C3A" w:rsidRPr="00C05D06" w:rsidRDefault="00040C3A" w:rsidP="007B3C6B">
      <w:pPr>
        <w:tabs>
          <w:tab w:val="left" w:pos="1440"/>
          <w:tab w:val="center" w:pos="5400"/>
        </w:tabs>
        <w:suppressAutoHyphens/>
        <w:ind w:firstLine="720"/>
        <w:jc w:val="center"/>
        <w:rPr>
          <w:rFonts w:ascii="Cambria" w:hAnsi="Cambria"/>
          <w:sz w:val="20"/>
          <w:szCs w:val="20"/>
          <w:lang w:val="es-ES_tradnl"/>
        </w:rPr>
      </w:pPr>
    </w:p>
    <w:p w:rsidR="00040C3A" w:rsidRPr="00C05D06" w:rsidRDefault="00040C3A" w:rsidP="007B3C6B">
      <w:pPr>
        <w:tabs>
          <w:tab w:val="left" w:pos="1440"/>
          <w:tab w:val="center" w:pos="5400"/>
        </w:tabs>
        <w:suppressAutoHyphens/>
        <w:ind w:firstLine="720"/>
        <w:jc w:val="center"/>
        <w:rPr>
          <w:rFonts w:ascii="Cambria" w:hAnsi="Cambria"/>
          <w:sz w:val="20"/>
          <w:szCs w:val="20"/>
          <w:lang w:val="es-ES_tradnl"/>
        </w:rPr>
      </w:pPr>
    </w:p>
    <w:p w:rsidR="00040C3A" w:rsidRPr="00C05D06" w:rsidRDefault="00040C3A" w:rsidP="007B3C6B">
      <w:pPr>
        <w:tabs>
          <w:tab w:val="left" w:pos="1440"/>
          <w:tab w:val="center" w:pos="5400"/>
        </w:tabs>
        <w:suppressAutoHyphens/>
        <w:ind w:firstLine="720"/>
        <w:jc w:val="center"/>
        <w:rPr>
          <w:rFonts w:ascii="Cambria" w:hAnsi="Cambria" w:cs="Arial"/>
          <w:sz w:val="20"/>
          <w:szCs w:val="20"/>
          <w:lang w:val="es-ES_tradnl"/>
        </w:rPr>
      </w:pPr>
    </w:p>
    <w:p w:rsidR="00040C3A" w:rsidRPr="00C05D06" w:rsidRDefault="00040C3A" w:rsidP="007B3C6B">
      <w:pPr>
        <w:tabs>
          <w:tab w:val="left" w:pos="1440"/>
          <w:tab w:val="center" w:pos="5400"/>
        </w:tabs>
        <w:suppressAutoHyphens/>
        <w:ind w:firstLine="720"/>
        <w:jc w:val="center"/>
        <w:rPr>
          <w:rFonts w:ascii="Cambria" w:hAnsi="Cambria"/>
          <w:sz w:val="20"/>
          <w:szCs w:val="20"/>
          <w:lang w:val="es-ES_tradnl"/>
        </w:rPr>
      </w:pPr>
    </w:p>
    <w:p w:rsidR="00040C3A" w:rsidRPr="00C05D06" w:rsidRDefault="00040C3A" w:rsidP="007B3C6B">
      <w:pPr>
        <w:tabs>
          <w:tab w:val="left" w:pos="1440"/>
          <w:tab w:val="center" w:pos="5400"/>
        </w:tabs>
        <w:suppressAutoHyphens/>
        <w:ind w:firstLine="720"/>
        <w:jc w:val="center"/>
        <w:rPr>
          <w:rFonts w:ascii="Cambria" w:hAnsi="Cambria"/>
          <w:sz w:val="20"/>
          <w:szCs w:val="20"/>
          <w:lang w:val="es-ES_tradnl"/>
        </w:rPr>
      </w:pPr>
    </w:p>
    <w:p w:rsidR="00040C3A" w:rsidRPr="00C05D06" w:rsidRDefault="00040C3A" w:rsidP="007B3C6B">
      <w:pPr>
        <w:tabs>
          <w:tab w:val="left" w:pos="1440"/>
          <w:tab w:val="center" w:pos="5400"/>
        </w:tabs>
        <w:suppressAutoHyphens/>
        <w:ind w:firstLine="720"/>
        <w:jc w:val="center"/>
        <w:rPr>
          <w:rFonts w:ascii="Cambria" w:hAnsi="Cambria"/>
          <w:sz w:val="20"/>
          <w:szCs w:val="20"/>
          <w:lang w:val="es-ES_tradnl"/>
        </w:rPr>
      </w:pPr>
    </w:p>
    <w:p w:rsidR="00040C3A" w:rsidRPr="00C05D06" w:rsidRDefault="00040C3A" w:rsidP="007B3C6B">
      <w:pPr>
        <w:tabs>
          <w:tab w:val="left" w:pos="1440"/>
          <w:tab w:val="center" w:pos="5400"/>
        </w:tabs>
        <w:suppressAutoHyphens/>
        <w:ind w:firstLine="720"/>
        <w:jc w:val="center"/>
        <w:rPr>
          <w:rFonts w:ascii="Cambria" w:hAnsi="Cambria"/>
          <w:sz w:val="20"/>
          <w:szCs w:val="20"/>
          <w:lang w:val="es-ES_tradnl"/>
        </w:rPr>
      </w:pPr>
    </w:p>
    <w:p w:rsidR="005128E4" w:rsidRPr="00C05D06" w:rsidRDefault="005128E4" w:rsidP="007B3C6B">
      <w:pPr>
        <w:tabs>
          <w:tab w:val="left" w:pos="1440"/>
          <w:tab w:val="center" w:pos="5400"/>
        </w:tabs>
        <w:suppressAutoHyphens/>
        <w:ind w:firstLine="720"/>
        <w:jc w:val="center"/>
        <w:rPr>
          <w:rFonts w:ascii="Cambria" w:hAnsi="Cambria"/>
          <w:sz w:val="20"/>
          <w:szCs w:val="20"/>
          <w:lang w:val="es-ES_tradnl"/>
        </w:rPr>
      </w:pPr>
    </w:p>
    <w:p w:rsidR="00040C3A" w:rsidRPr="00C05D06" w:rsidRDefault="00040C3A" w:rsidP="007B3C6B">
      <w:pPr>
        <w:tabs>
          <w:tab w:val="left" w:pos="1440"/>
          <w:tab w:val="center" w:pos="5400"/>
        </w:tabs>
        <w:suppressAutoHyphens/>
        <w:ind w:firstLine="720"/>
        <w:jc w:val="center"/>
        <w:rPr>
          <w:rFonts w:ascii="Cambria" w:hAnsi="Cambria"/>
          <w:sz w:val="20"/>
          <w:szCs w:val="20"/>
          <w:lang w:val="es-ES_tradnl"/>
        </w:rPr>
      </w:pPr>
    </w:p>
    <w:p w:rsidR="005128E4" w:rsidRPr="00C05D06" w:rsidRDefault="005128E4" w:rsidP="007B3C6B">
      <w:pPr>
        <w:tabs>
          <w:tab w:val="left" w:pos="1440"/>
          <w:tab w:val="center" w:pos="5400"/>
        </w:tabs>
        <w:suppressAutoHyphens/>
        <w:ind w:firstLine="720"/>
        <w:jc w:val="center"/>
        <w:rPr>
          <w:rFonts w:ascii="Cambria" w:hAnsi="Cambria"/>
          <w:sz w:val="20"/>
          <w:szCs w:val="20"/>
          <w:lang w:val="es-ES_tradnl"/>
        </w:rPr>
      </w:pPr>
    </w:p>
    <w:p w:rsidR="005128E4" w:rsidRPr="00C05D06" w:rsidRDefault="005128E4" w:rsidP="007B3C6B">
      <w:pPr>
        <w:tabs>
          <w:tab w:val="left" w:pos="1440"/>
          <w:tab w:val="center" w:pos="5400"/>
        </w:tabs>
        <w:suppressAutoHyphens/>
        <w:ind w:firstLine="720"/>
        <w:jc w:val="center"/>
        <w:rPr>
          <w:rFonts w:ascii="Cambria" w:hAnsi="Cambria"/>
          <w:sz w:val="20"/>
          <w:szCs w:val="20"/>
          <w:lang w:val="es-ES_tradnl"/>
        </w:rPr>
      </w:pPr>
    </w:p>
    <w:p w:rsidR="005128E4" w:rsidRPr="00C05D06" w:rsidRDefault="005128E4" w:rsidP="007B3C6B">
      <w:pPr>
        <w:tabs>
          <w:tab w:val="left" w:pos="1440"/>
          <w:tab w:val="center" w:pos="5400"/>
        </w:tabs>
        <w:suppressAutoHyphens/>
        <w:ind w:firstLine="720"/>
        <w:jc w:val="center"/>
        <w:rPr>
          <w:rFonts w:ascii="Cambria" w:hAnsi="Cambria"/>
          <w:sz w:val="20"/>
          <w:szCs w:val="20"/>
          <w:lang w:val="es-ES_tradnl"/>
        </w:rPr>
      </w:pPr>
    </w:p>
    <w:p w:rsidR="00040C3A" w:rsidRPr="00C05D06" w:rsidRDefault="00040C3A" w:rsidP="007B3C6B">
      <w:pPr>
        <w:tabs>
          <w:tab w:val="left" w:pos="1440"/>
          <w:tab w:val="center" w:pos="5400"/>
        </w:tabs>
        <w:suppressAutoHyphens/>
        <w:ind w:firstLine="720"/>
        <w:jc w:val="center"/>
        <w:rPr>
          <w:rFonts w:ascii="Cambria" w:hAnsi="Cambria"/>
          <w:sz w:val="20"/>
          <w:szCs w:val="20"/>
          <w:lang w:val="es-ES_tradnl"/>
        </w:rPr>
      </w:pPr>
    </w:p>
    <w:p w:rsidR="00040C3A" w:rsidRPr="00C05D06" w:rsidRDefault="00040C3A" w:rsidP="007B3C6B">
      <w:pPr>
        <w:tabs>
          <w:tab w:val="left" w:pos="1440"/>
          <w:tab w:val="center" w:pos="5400"/>
        </w:tabs>
        <w:suppressAutoHyphens/>
        <w:ind w:firstLine="720"/>
        <w:jc w:val="center"/>
        <w:rPr>
          <w:rFonts w:ascii="Cambria" w:hAnsi="Cambria"/>
          <w:sz w:val="20"/>
          <w:szCs w:val="20"/>
          <w:lang w:val="es-ES_tradnl"/>
        </w:rPr>
      </w:pPr>
    </w:p>
    <w:p w:rsidR="00A50FCF" w:rsidRPr="00C05D06" w:rsidRDefault="00A50FCF" w:rsidP="007B3C6B">
      <w:pPr>
        <w:tabs>
          <w:tab w:val="left" w:pos="1440"/>
          <w:tab w:val="center" w:pos="5400"/>
        </w:tabs>
        <w:suppressAutoHyphens/>
        <w:ind w:firstLine="720"/>
        <w:jc w:val="center"/>
        <w:rPr>
          <w:rFonts w:ascii="Cambria" w:hAnsi="Cambria"/>
          <w:sz w:val="20"/>
          <w:szCs w:val="20"/>
          <w:lang w:val="es-ES_tradnl"/>
        </w:rPr>
      </w:pPr>
    </w:p>
    <w:p w:rsidR="00A50FCF" w:rsidRPr="00C05D06" w:rsidRDefault="00A50FCF" w:rsidP="007B3C6B">
      <w:pPr>
        <w:tabs>
          <w:tab w:val="left" w:pos="1440"/>
          <w:tab w:val="center" w:pos="5400"/>
        </w:tabs>
        <w:suppressAutoHyphens/>
        <w:ind w:firstLine="720"/>
        <w:jc w:val="center"/>
        <w:rPr>
          <w:rFonts w:ascii="Cambria" w:hAnsi="Cambria"/>
          <w:sz w:val="20"/>
          <w:szCs w:val="20"/>
          <w:lang w:val="es-ES_tradnl"/>
        </w:rPr>
      </w:pPr>
    </w:p>
    <w:p w:rsidR="00A50FCF" w:rsidRPr="00C05D06" w:rsidRDefault="00A50FCF" w:rsidP="007B3C6B">
      <w:pPr>
        <w:tabs>
          <w:tab w:val="left" w:pos="1440"/>
          <w:tab w:val="center" w:pos="5400"/>
        </w:tabs>
        <w:suppressAutoHyphens/>
        <w:ind w:firstLine="720"/>
        <w:jc w:val="center"/>
        <w:rPr>
          <w:rFonts w:ascii="Cambria" w:hAnsi="Cambria"/>
          <w:sz w:val="20"/>
          <w:szCs w:val="20"/>
          <w:lang w:val="es-ES_tradnl"/>
        </w:rPr>
      </w:pPr>
    </w:p>
    <w:p w:rsidR="00A50FCF" w:rsidRPr="00C05D06" w:rsidRDefault="00A50FCF" w:rsidP="007B3C6B">
      <w:pPr>
        <w:tabs>
          <w:tab w:val="left" w:pos="1440"/>
          <w:tab w:val="center" w:pos="5400"/>
        </w:tabs>
        <w:suppressAutoHyphens/>
        <w:ind w:firstLine="720"/>
        <w:jc w:val="center"/>
        <w:rPr>
          <w:rFonts w:ascii="Cambria" w:hAnsi="Cambria"/>
          <w:sz w:val="20"/>
          <w:szCs w:val="20"/>
          <w:lang w:val="es-ES_tradnl"/>
        </w:rPr>
      </w:pPr>
    </w:p>
    <w:p w:rsidR="00A50FCF" w:rsidRPr="00C05D06" w:rsidRDefault="00A50FCF" w:rsidP="007B3C6B">
      <w:pPr>
        <w:tabs>
          <w:tab w:val="left" w:pos="1440"/>
          <w:tab w:val="center" w:pos="5400"/>
        </w:tabs>
        <w:suppressAutoHyphens/>
        <w:ind w:firstLine="720"/>
        <w:jc w:val="center"/>
        <w:rPr>
          <w:rFonts w:ascii="Cambria" w:hAnsi="Cambria"/>
          <w:sz w:val="20"/>
          <w:szCs w:val="20"/>
          <w:lang w:val="es-ES_tradnl"/>
        </w:rPr>
      </w:pPr>
    </w:p>
    <w:p w:rsidR="00A50FCF" w:rsidRPr="00C05D06" w:rsidRDefault="00A50FCF" w:rsidP="007B3C6B">
      <w:pPr>
        <w:tabs>
          <w:tab w:val="left" w:pos="1440"/>
          <w:tab w:val="center" w:pos="5400"/>
        </w:tabs>
        <w:suppressAutoHyphens/>
        <w:ind w:firstLine="720"/>
        <w:jc w:val="center"/>
        <w:rPr>
          <w:rFonts w:ascii="Cambria" w:hAnsi="Cambria"/>
          <w:sz w:val="20"/>
          <w:szCs w:val="20"/>
          <w:lang w:val="es-ES_tradnl"/>
        </w:rPr>
      </w:pPr>
    </w:p>
    <w:p w:rsidR="00A50FCF" w:rsidRPr="00C05D06" w:rsidRDefault="00A50FCF" w:rsidP="007B3C6B">
      <w:pPr>
        <w:tabs>
          <w:tab w:val="left" w:pos="1440"/>
          <w:tab w:val="center" w:pos="5400"/>
        </w:tabs>
        <w:suppressAutoHyphens/>
        <w:ind w:firstLine="720"/>
        <w:jc w:val="center"/>
        <w:rPr>
          <w:rFonts w:ascii="Cambria" w:hAnsi="Cambria"/>
          <w:sz w:val="20"/>
          <w:szCs w:val="20"/>
          <w:lang w:val="es-ES_tradnl"/>
        </w:rPr>
      </w:pPr>
    </w:p>
    <w:p w:rsidR="00A50FCF" w:rsidRPr="00C05D06" w:rsidRDefault="00A50FCF" w:rsidP="007B3C6B">
      <w:pPr>
        <w:tabs>
          <w:tab w:val="left" w:pos="1440"/>
          <w:tab w:val="center" w:pos="5400"/>
        </w:tabs>
        <w:suppressAutoHyphens/>
        <w:ind w:firstLine="720"/>
        <w:jc w:val="center"/>
        <w:rPr>
          <w:rFonts w:ascii="Cambria" w:hAnsi="Cambria"/>
          <w:sz w:val="20"/>
          <w:szCs w:val="20"/>
          <w:lang w:val="es-ES_tradnl"/>
        </w:rPr>
      </w:pPr>
    </w:p>
    <w:p w:rsidR="00A50FCF" w:rsidRPr="00C05D06" w:rsidRDefault="00A50FCF" w:rsidP="007B3C6B">
      <w:pPr>
        <w:tabs>
          <w:tab w:val="left" w:pos="1440"/>
          <w:tab w:val="center" w:pos="5400"/>
        </w:tabs>
        <w:suppressAutoHyphens/>
        <w:ind w:firstLine="720"/>
        <w:jc w:val="center"/>
        <w:rPr>
          <w:rFonts w:ascii="Cambria" w:hAnsi="Cambria"/>
          <w:sz w:val="20"/>
          <w:szCs w:val="20"/>
          <w:lang w:val="es-ES_tradnl"/>
        </w:rPr>
      </w:pPr>
    </w:p>
    <w:p w:rsidR="00A50FCF" w:rsidRPr="00C05D06" w:rsidRDefault="00A50FCF" w:rsidP="007B3C6B">
      <w:pPr>
        <w:tabs>
          <w:tab w:val="left" w:pos="1440"/>
          <w:tab w:val="center" w:pos="5400"/>
        </w:tabs>
        <w:suppressAutoHyphens/>
        <w:ind w:firstLine="720"/>
        <w:jc w:val="center"/>
        <w:rPr>
          <w:rFonts w:ascii="Cambria" w:hAnsi="Cambria"/>
          <w:sz w:val="20"/>
          <w:szCs w:val="20"/>
          <w:lang w:val="es-ES_tradnl"/>
        </w:rPr>
      </w:pPr>
    </w:p>
    <w:p w:rsidR="00A50FCF" w:rsidRPr="00C05D06" w:rsidRDefault="00A50FCF" w:rsidP="007B3C6B">
      <w:pPr>
        <w:tabs>
          <w:tab w:val="left" w:pos="1440"/>
          <w:tab w:val="center" w:pos="5400"/>
        </w:tabs>
        <w:suppressAutoHyphens/>
        <w:ind w:firstLine="720"/>
        <w:jc w:val="center"/>
        <w:rPr>
          <w:rFonts w:ascii="Cambria" w:hAnsi="Cambria"/>
          <w:sz w:val="20"/>
          <w:szCs w:val="20"/>
          <w:lang w:val="es-ES_tradnl"/>
        </w:rPr>
      </w:pPr>
    </w:p>
    <w:p w:rsidR="00A50FCF" w:rsidRPr="00C05D06" w:rsidRDefault="00A50FCF" w:rsidP="007B3C6B">
      <w:pPr>
        <w:tabs>
          <w:tab w:val="left" w:pos="1440"/>
          <w:tab w:val="center" w:pos="5400"/>
        </w:tabs>
        <w:suppressAutoHyphens/>
        <w:ind w:firstLine="720"/>
        <w:jc w:val="center"/>
        <w:rPr>
          <w:rFonts w:ascii="Cambria" w:hAnsi="Cambria"/>
          <w:sz w:val="20"/>
          <w:szCs w:val="20"/>
          <w:lang w:val="es-ES_tradnl"/>
        </w:rPr>
      </w:pPr>
    </w:p>
    <w:p w:rsidR="00A50FCF" w:rsidRPr="00C05D06" w:rsidRDefault="00A50FCF" w:rsidP="007B3C6B">
      <w:pPr>
        <w:tabs>
          <w:tab w:val="left" w:pos="1440"/>
          <w:tab w:val="center" w:pos="5400"/>
        </w:tabs>
        <w:suppressAutoHyphens/>
        <w:ind w:firstLine="720"/>
        <w:jc w:val="center"/>
        <w:rPr>
          <w:rFonts w:ascii="Cambria" w:hAnsi="Cambria"/>
          <w:sz w:val="20"/>
          <w:szCs w:val="20"/>
          <w:lang w:val="es-ES_tradnl"/>
        </w:rPr>
      </w:pPr>
    </w:p>
    <w:p w:rsidR="00A50FCF" w:rsidRPr="00C05D06" w:rsidRDefault="00935AD7" w:rsidP="007B3C6B">
      <w:pPr>
        <w:tabs>
          <w:tab w:val="left" w:pos="1440"/>
          <w:tab w:val="center" w:pos="5400"/>
        </w:tabs>
        <w:suppressAutoHyphens/>
        <w:ind w:firstLine="720"/>
        <w:jc w:val="center"/>
        <w:rPr>
          <w:rFonts w:ascii="Cambria" w:hAnsi="Cambria"/>
          <w:sz w:val="20"/>
          <w:szCs w:val="20"/>
          <w:lang w:val="es-ES_tradnl"/>
        </w:rPr>
      </w:pPr>
      <w:r>
        <w:rPr>
          <w:noProof/>
        </w:rPr>
        <mc:AlternateContent>
          <mc:Choice Requires="wps">
            <w:drawing>
              <wp:anchor distT="0" distB="0" distL="114300" distR="114300" simplePos="0" relativeHeight="251656704" behindDoc="0" locked="0" layoutInCell="1" allowOverlap="1">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33950" cy="664845"/>
                        </a:xfrm>
                        <a:prstGeom prst="rect">
                          <a:avLst/>
                        </a:prstGeom>
                        <a:noFill/>
                        <a:ln w="6350">
                          <a:noFill/>
                        </a:ln>
                        <a:effectLst/>
                      </wps:spPr>
                      <wps:txbx>
                        <w:txbxContent>
                          <w:p w:rsidR="006A3859" w:rsidRPr="00C05D06" w:rsidRDefault="006A3859" w:rsidP="00247403">
                            <w:pPr>
                              <w:tabs>
                                <w:tab w:val="center" w:pos="5400"/>
                              </w:tabs>
                              <w:suppressAutoHyphens/>
                              <w:spacing w:before="60"/>
                              <w:rPr>
                                <w:rFonts w:ascii="Calibri" w:hAnsi="Calibri" w:cs="Univers"/>
                                <w:color w:val="0D0D0D"/>
                                <w:sz w:val="20"/>
                                <w:szCs w:val="20"/>
                                <w:lang w:val="es-ES"/>
                              </w:rPr>
                            </w:pPr>
                            <w:r w:rsidRPr="00C05D06">
                              <w:rPr>
                                <w:rFonts w:ascii="Cambria" w:hAnsi="Cambria"/>
                                <w:color w:val="0D0D0D"/>
                                <w:sz w:val="18"/>
                                <w:szCs w:val="20"/>
                                <w:lang w:val="es-ES"/>
                              </w:rPr>
                              <w:t xml:space="preserve">Aprobado </w:t>
                            </w:r>
                            <w:r w:rsidR="00360085">
                              <w:rPr>
                                <w:rFonts w:ascii="Cambria" w:hAnsi="Cambria"/>
                                <w:color w:val="0D0D0D"/>
                                <w:sz w:val="18"/>
                                <w:szCs w:val="20"/>
                                <w:lang w:val="es-ES"/>
                              </w:rPr>
                              <w:t xml:space="preserve">electrónicamente </w:t>
                            </w:r>
                            <w:r w:rsidRPr="00C05D06">
                              <w:rPr>
                                <w:rFonts w:ascii="Cambria" w:hAnsi="Cambria"/>
                                <w:color w:val="0D0D0D"/>
                                <w:sz w:val="18"/>
                                <w:szCs w:val="20"/>
                                <w:lang w:val="es-ES"/>
                              </w:rPr>
                              <w:t xml:space="preserve">por la Comisión </w:t>
                            </w:r>
                            <w:r w:rsidR="00360085">
                              <w:rPr>
                                <w:rFonts w:ascii="Cambria" w:hAnsi="Cambria"/>
                                <w:color w:val="0D0D0D"/>
                                <w:sz w:val="18"/>
                                <w:szCs w:val="20"/>
                                <w:lang w:val="es-ES"/>
                              </w:rPr>
                              <w:t>el 14 de junio de 2019</w:t>
                            </w:r>
                            <w:r w:rsidR="007033A8">
                              <w:rPr>
                                <w:rFonts w:ascii="Cambria" w:hAnsi="Cambria"/>
                                <w:color w:val="0D0D0D"/>
                                <w:sz w:val="18"/>
                                <w:szCs w:val="20"/>
                                <w:lang w:val="es-ES"/>
                              </w:rPr>
                              <w:t>.</w:t>
                            </w:r>
                            <w:r w:rsidRPr="00C05D06">
                              <w:rPr>
                                <w:rFonts w:ascii="Cambria" w:hAnsi="Cambria"/>
                                <w:color w:val="0D0D0D"/>
                                <w:sz w:val="18"/>
                                <w:szCs w:val="20"/>
                                <w:lang w:val="es-ES"/>
                              </w:rPr>
                              <w:br/>
                            </w:r>
                          </w:p>
                          <w:p w:rsidR="006A3859" w:rsidRPr="00C05D06" w:rsidRDefault="006A3859" w:rsidP="0059191A">
                            <w:pPr>
                              <w:tabs>
                                <w:tab w:val="center" w:pos="5400"/>
                              </w:tabs>
                              <w:suppressAutoHyphens/>
                              <w:spacing w:before="60"/>
                              <w:rPr>
                                <w:rFonts w:ascii="Calibri" w:hAnsi="Calibri"/>
                                <w:color w:val="FFFFFF"/>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9" type="#_x0000_t202" style="position:absolute;left:0;text-align:left;margin-left:105.65pt;margin-top:1.8pt;width:388.5pt;height:52.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" filled="f" stroked="f" strokeweight=".5pt">
                <v:path arrowok="t"/>
                <v:textbox>
                  <w:txbxContent>
                    <w:p w:rsidR="006A3859" w:rsidRPr="00C05D06" w:rsidRDefault="006A3859" w:rsidP="00247403">
                      <w:pPr>
                        <w:tabs>
                          <w:tab w:val="center" w:pos="5400"/>
                        </w:tabs>
                        <w:suppressAutoHyphens/>
                        <w:spacing w:before="60"/>
                        <w:rPr>
                          <w:rFonts w:ascii="Calibri" w:hAnsi="Calibri" w:cs="Univers"/>
                          <w:color w:val="0D0D0D"/>
                          <w:sz w:val="20"/>
                          <w:szCs w:val="20"/>
                          <w:lang w:val="es-ES"/>
                        </w:rPr>
                      </w:pPr>
                      <w:r w:rsidRPr="00C05D06">
                        <w:rPr>
                          <w:rFonts w:ascii="Cambria" w:hAnsi="Cambria"/>
                          <w:color w:val="0D0D0D"/>
                          <w:sz w:val="18"/>
                          <w:szCs w:val="20"/>
                          <w:lang w:val="es-ES"/>
                        </w:rPr>
                        <w:t xml:space="preserve">Aprobado </w:t>
                      </w:r>
                      <w:r w:rsidR="00360085">
                        <w:rPr>
                          <w:rFonts w:ascii="Cambria" w:hAnsi="Cambria"/>
                          <w:color w:val="0D0D0D"/>
                          <w:sz w:val="18"/>
                          <w:szCs w:val="20"/>
                          <w:lang w:val="es-ES"/>
                        </w:rPr>
                        <w:t xml:space="preserve">electrónicamente </w:t>
                      </w:r>
                      <w:r w:rsidRPr="00C05D06">
                        <w:rPr>
                          <w:rFonts w:ascii="Cambria" w:hAnsi="Cambria"/>
                          <w:color w:val="0D0D0D"/>
                          <w:sz w:val="18"/>
                          <w:szCs w:val="20"/>
                          <w:lang w:val="es-ES"/>
                        </w:rPr>
                        <w:t xml:space="preserve">por la Comisión </w:t>
                      </w:r>
                      <w:r w:rsidR="00360085">
                        <w:rPr>
                          <w:rFonts w:ascii="Cambria" w:hAnsi="Cambria"/>
                          <w:color w:val="0D0D0D"/>
                          <w:sz w:val="18"/>
                          <w:szCs w:val="20"/>
                          <w:lang w:val="es-ES"/>
                        </w:rPr>
                        <w:t>el 14 de junio de 2019</w:t>
                      </w:r>
                      <w:r w:rsidR="007033A8">
                        <w:rPr>
                          <w:rFonts w:ascii="Cambria" w:hAnsi="Cambria"/>
                          <w:color w:val="0D0D0D"/>
                          <w:sz w:val="18"/>
                          <w:szCs w:val="20"/>
                          <w:lang w:val="es-ES"/>
                        </w:rPr>
                        <w:t>.</w:t>
                      </w:r>
                      <w:r w:rsidRPr="00C05D06">
                        <w:rPr>
                          <w:rFonts w:ascii="Cambria" w:hAnsi="Cambria"/>
                          <w:color w:val="0D0D0D"/>
                          <w:sz w:val="18"/>
                          <w:szCs w:val="20"/>
                          <w:lang w:val="es-ES"/>
                        </w:rPr>
                        <w:br/>
                      </w:r>
                    </w:p>
                    <w:p w:rsidR="006A3859" w:rsidRPr="00C05D06" w:rsidRDefault="006A3859" w:rsidP="0059191A">
                      <w:pPr>
                        <w:tabs>
                          <w:tab w:val="center" w:pos="5400"/>
                        </w:tabs>
                        <w:suppressAutoHyphens/>
                        <w:spacing w:before="60"/>
                        <w:rPr>
                          <w:rFonts w:ascii="Calibri" w:hAnsi="Calibri"/>
                          <w:color w:val="FFFFFF"/>
                          <w:spacing w:val="-2"/>
                          <w:sz w:val="16"/>
                          <w:lang w:val="es-ES"/>
                        </w:rPr>
                      </w:pPr>
                    </w:p>
                  </w:txbxContent>
                </v:textbox>
              </v:shape>
            </w:pict>
          </mc:Fallback>
        </mc:AlternateContent>
      </w:r>
    </w:p>
    <w:p w:rsidR="00A50FCF" w:rsidRPr="00C05D06" w:rsidRDefault="00A50FCF" w:rsidP="007B3C6B">
      <w:pPr>
        <w:tabs>
          <w:tab w:val="left" w:pos="1440"/>
          <w:tab w:val="center" w:pos="5400"/>
        </w:tabs>
        <w:suppressAutoHyphens/>
        <w:ind w:firstLine="720"/>
        <w:jc w:val="center"/>
        <w:rPr>
          <w:rFonts w:ascii="Cambria" w:hAnsi="Cambria"/>
          <w:sz w:val="20"/>
          <w:szCs w:val="20"/>
          <w:lang w:val="es-ES_tradnl"/>
        </w:rPr>
      </w:pPr>
    </w:p>
    <w:p w:rsidR="00A50FCF" w:rsidRPr="00C05D06" w:rsidRDefault="00A50FCF" w:rsidP="007B3C6B">
      <w:pPr>
        <w:tabs>
          <w:tab w:val="left" w:pos="1440"/>
          <w:tab w:val="center" w:pos="5400"/>
        </w:tabs>
        <w:suppressAutoHyphens/>
        <w:ind w:firstLine="720"/>
        <w:jc w:val="center"/>
        <w:rPr>
          <w:rFonts w:ascii="Cambria" w:hAnsi="Cambria"/>
          <w:sz w:val="20"/>
          <w:szCs w:val="20"/>
          <w:lang w:val="es-ES_tradnl"/>
        </w:rPr>
      </w:pPr>
    </w:p>
    <w:p w:rsidR="00A50FCF" w:rsidRPr="00C05D06" w:rsidRDefault="00A50FCF" w:rsidP="007B3C6B">
      <w:pPr>
        <w:tabs>
          <w:tab w:val="left" w:pos="1440"/>
          <w:tab w:val="center" w:pos="5400"/>
        </w:tabs>
        <w:suppressAutoHyphens/>
        <w:ind w:firstLine="720"/>
        <w:jc w:val="center"/>
        <w:rPr>
          <w:rFonts w:ascii="Cambria" w:hAnsi="Cambria"/>
          <w:sz w:val="20"/>
          <w:szCs w:val="20"/>
          <w:lang w:val="es-ES_tradnl"/>
        </w:rPr>
      </w:pPr>
    </w:p>
    <w:p w:rsidR="00A50FCF" w:rsidRPr="00C05D06" w:rsidRDefault="00A50FCF" w:rsidP="007B3C6B">
      <w:pPr>
        <w:tabs>
          <w:tab w:val="left" w:pos="1440"/>
          <w:tab w:val="center" w:pos="5400"/>
        </w:tabs>
        <w:suppressAutoHyphens/>
        <w:ind w:firstLine="720"/>
        <w:jc w:val="center"/>
        <w:rPr>
          <w:rFonts w:ascii="Cambria" w:hAnsi="Cambria"/>
          <w:sz w:val="20"/>
          <w:szCs w:val="20"/>
          <w:lang w:val="es-ES_tradnl"/>
        </w:rPr>
      </w:pPr>
    </w:p>
    <w:p w:rsidR="00A50FCF" w:rsidRPr="00C05D06" w:rsidRDefault="00935AD7" w:rsidP="007B3C6B">
      <w:pPr>
        <w:tabs>
          <w:tab w:val="left" w:pos="1440"/>
          <w:tab w:val="center" w:pos="5400"/>
        </w:tabs>
        <w:suppressAutoHyphens/>
        <w:ind w:firstLine="720"/>
        <w:jc w:val="center"/>
        <w:rPr>
          <w:rFonts w:ascii="Cambria" w:hAnsi="Cambria"/>
          <w:sz w:val="20"/>
          <w:szCs w:val="20"/>
          <w:lang w:val="es-ES_tradnl"/>
        </w:rPr>
      </w:pPr>
      <w:r>
        <w:rPr>
          <w:noProof/>
        </w:rPr>
        <mc:AlternateContent>
          <mc:Choice Requires="wps">
            <w:drawing>
              <wp:anchor distT="0" distB="0" distL="114300" distR="114300" simplePos="0" relativeHeight="251659776" behindDoc="0" locked="0" layoutInCell="1" allowOverlap="1">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43475" cy="657225"/>
                        </a:xfrm>
                        <a:prstGeom prst="rect">
                          <a:avLst/>
                        </a:prstGeom>
                        <a:noFill/>
                        <a:ln w="6350">
                          <a:noFill/>
                        </a:ln>
                        <a:effectLst/>
                      </wps:spPr>
                      <wps:txbx>
                        <w:txbxContent>
                          <w:p w:rsidR="006A3859" w:rsidRPr="00C05D06" w:rsidRDefault="006A3859" w:rsidP="00113F73">
                            <w:pPr>
                              <w:spacing w:line="276" w:lineRule="auto"/>
                              <w:rPr>
                                <w:rFonts w:ascii="Cambria" w:hAnsi="Cambria"/>
                                <w:color w:val="595959"/>
                                <w:sz w:val="18"/>
                                <w:szCs w:val="18"/>
                                <w:lang w:val="es-CR"/>
                              </w:rPr>
                            </w:pPr>
                            <w:r w:rsidRPr="00E935B6">
                              <w:rPr>
                                <w:rFonts w:ascii="Cambria" w:hAnsi="Cambria"/>
                                <w:b/>
                                <w:color w:val="595959"/>
                                <w:sz w:val="18"/>
                                <w:szCs w:val="18"/>
                                <w:lang w:val="es-ES"/>
                              </w:rPr>
                              <w:t>Citar como:</w:t>
                            </w:r>
                            <w:r w:rsidR="00360085">
                              <w:rPr>
                                <w:rFonts w:ascii="Cambria" w:hAnsi="Cambria"/>
                                <w:color w:val="595959"/>
                                <w:sz w:val="18"/>
                                <w:szCs w:val="18"/>
                                <w:lang w:val="es-ES"/>
                              </w:rPr>
                              <w:t xml:space="preserve"> CIDH.</w:t>
                            </w:r>
                            <w:r w:rsidRPr="00E935B6">
                              <w:rPr>
                                <w:rFonts w:ascii="Cambria" w:hAnsi="Cambria"/>
                                <w:color w:val="595959"/>
                                <w:sz w:val="18"/>
                                <w:szCs w:val="18"/>
                                <w:lang w:val="es-ES"/>
                              </w:rPr>
                              <w:t xml:space="preserve"> Informe No. </w:t>
                            </w:r>
                            <w:r w:rsidR="00360085">
                              <w:rPr>
                                <w:rFonts w:ascii="Cambria" w:hAnsi="Cambria"/>
                                <w:color w:val="595959"/>
                                <w:sz w:val="18"/>
                                <w:szCs w:val="18"/>
                                <w:lang w:val="es-ES"/>
                              </w:rPr>
                              <w:t>92</w:t>
                            </w:r>
                            <w:r w:rsidR="00C40B61" w:rsidRPr="00E935B6">
                              <w:rPr>
                                <w:rFonts w:ascii="Cambria" w:hAnsi="Cambria"/>
                                <w:color w:val="595959"/>
                                <w:sz w:val="18"/>
                                <w:szCs w:val="18"/>
                                <w:lang w:val="es-ES"/>
                              </w:rPr>
                              <w:t>/1</w:t>
                            </w:r>
                            <w:r w:rsidR="00982ABB">
                              <w:rPr>
                                <w:rFonts w:ascii="Cambria" w:hAnsi="Cambria"/>
                                <w:color w:val="595959"/>
                                <w:sz w:val="18"/>
                                <w:szCs w:val="18"/>
                                <w:lang w:val="es-ES"/>
                              </w:rPr>
                              <w:t>9</w:t>
                            </w:r>
                            <w:r w:rsidR="00360085">
                              <w:rPr>
                                <w:rFonts w:ascii="Cambria" w:hAnsi="Cambria"/>
                                <w:color w:val="595959"/>
                                <w:sz w:val="18"/>
                                <w:szCs w:val="18"/>
                                <w:lang w:val="es-ES"/>
                              </w:rPr>
                              <w:t>.</w:t>
                            </w:r>
                            <w:r w:rsidRPr="00E935B6">
                              <w:rPr>
                                <w:rFonts w:ascii="Cambria" w:hAnsi="Cambria"/>
                                <w:color w:val="595959"/>
                                <w:sz w:val="18"/>
                                <w:szCs w:val="18"/>
                                <w:lang w:val="es-ES"/>
                              </w:rPr>
                              <w:t xml:space="preserve"> Caso </w:t>
                            </w:r>
                            <w:r w:rsidR="00360085">
                              <w:rPr>
                                <w:rFonts w:ascii="Cambria" w:hAnsi="Cambria"/>
                                <w:color w:val="595959"/>
                                <w:sz w:val="18"/>
                                <w:szCs w:val="18"/>
                                <w:lang w:val="es-ES"/>
                              </w:rPr>
                              <w:t>11.624.</w:t>
                            </w:r>
                            <w:r w:rsidRPr="00E935B6">
                              <w:rPr>
                                <w:rFonts w:ascii="Cambria" w:hAnsi="Cambria"/>
                                <w:color w:val="595959"/>
                                <w:sz w:val="18"/>
                                <w:szCs w:val="18"/>
                                <w:lang w:val="es-ES"/>
                              </w:rPr>
                              <w:t xml:space="preserve"> </w:t>
                            </w:r>
                            <w:r w:rsidR="00C40B61">
                              <w:rPr>
                                <w:rFonts w:ascii="Cambria" w:hAnsi="Cambria"/>
                                <w:color w:val="595959"/>
                                <w:sz w:val="18"/>
                                <w:szCs w:val="18"/>
                                <w:lang w:val="es-ES_tradnl"/>
                              </w:rPr>
                              <w:t>Admisibilidad y Fondo</w:t>
                            </w:r>
                            <w:r w:rsidR="00982DD0">
                              <w:rPr>
                                <w:rFonts w:ascii="Cambria" w:hAnsi="Cambria"/>
                                <w:color w:val="595959"/>
                                <w:sz w:val="18"/>
                                <w:szCs w:val="18"/>
                                <w:lang w:val="es-ES_tradnl"/>
                              </w:rPr>
                              <w:t xml:space="preserve"> (</w:t>
                            </w:r>
                            <w:r w:rsidR="00360085">
                              <w:rPr>
                                <w:rFonts w:ascii="Cambria" w:hAnsi="Cambria"/>
                                <w:color w:val="595959"/>
                                <w:sz w:val="18"/>
                                <w:szCs w:val="18"/>
                                <w:lang w:val="es-ES_tradnl"/>
                              </w:rPr>
                              <w:t>Publicación). Jorge Darwin García y familia.</w:t>
                            </w:r>
                            <w:r w:rsidRPr="00C05D06">
                              <w:rPr>
                                <w:rFonts w:ascii="Cambria" w:hAnsi="Cambria"/>
                                <w:color w:val="595959"/>
                                <w:sz w:val="18"/>
                                <w:szCs w:val="18"/>
                                <w:lang w:val="es-ES_tradnl"/>
                              </w:rPr>
                              <w:t xml:space="preserve"> Ecuador</w:t>
                            </w:r>
                            <w:r w:rsidR="00360085">
                              <w:rPr>
                                <w:rFonts w:ascii="Cambria" w:hAnsi="Cambria"/>
                                <w:color w:val="595959"/>
                                <w:sz w:val="18"/>
                                <w:szCs w:val="18"/>
                                <w:lang w:val="es-ES_tradnl"/>
                              </w:rPr>
                              <w:t>. 14 de junio de 2019</w:t>
                            </w:r>
                            <w:r w:rsidR="00B86863">
                              <w:rPr>
                                <w:rFonts w:ascii="Cambria" w:hAnsi="Cambria"/>
                                <w:color w:val="595959"/>
                                <w:sz w:val="18"/>
                                <w:szCs w:val="18"/>
                                <w:lang w:val="es-ES_tradnl"/>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0" type="#_x0000_t202" style="position:absolute;left:0;text-align:left;margin-left:105pt;margin-top:.45pt;width:389.25pt;height:51.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" filled="f" stroked="f" strokeweight=".5pt">
                <v:path arrowok="t"/>
                <v:textbox>
                  <w:txbxContent>
                    <w:p w:rsidR="006A3859" w:rsidRPr="00C05D06" w:rsidRDefault="006A3859" w:rsidP="00113F73">
                      <w:pPr>
                        <w:spacing w:line="276" w:lineRule="auto"/>
                        <w:rPr>
                          <w:rFonts w:ascii="Cambria" w:hAnsi="Cambria"/>
                          <w:color w:val="595959"/>
                          <w:sz w:val="18"/>
                          <w:szCs w:val="18"/>
                          <w:lang w:val="es-CR"/>
                        </w:rPr>
                      </w:pPr>
                      <w:r w:rsidRPr="00E935B6">
                        <w:rPr>
                          <w:rFonts w:ascii="Cambria" w:hAnsi="Cambria"/>
                          <w:b/>
                          <w:color w:val="595959"/>
                          <w:sz w:val="18"/>
                          <w:szCs w:val="18"/>
                          <w:lang w:val="es-ES"/>
                        </w:rPr>
                        <w:t>Citar como:</w:t>
                      </w:r>
                      <w:r w:rsidR="00360085">
                        <w:rPr>
                          <w:rFonts w:ascii="Cambria" w:hAnsi="Cambria"/>
                          <w:color w:val="595959"/>
                          <w:sz w:val="18"/>
                          <w:szCs w:val="18"/>
                          <w:lang w:val="es-ES"/>
                        </w:rPr>
                        <w:t xml:space="preserve"> CIDH.</w:t>
                      </w:r>
                      <w:r w:rsidRPr="00E935B6">
                        <w:rPr>
                          <w:rFonts w:ascii="Cambria" w:hAnsi="Cambria"/>
                          <w:color w:val="595959"/>
                          <w:sz w:val="18"/>
                          <w:szCs w:val="18"/>
                          <w:lang w:val="es-ES"/>
                        </w:rPr>
                        <w:t xml:space="preserve"> Informe No. </w:t>
                      </w:r>
                      <w:r w:rsidR="00360085">
                        <w:rPr>
                          <w:rFonts w:ascii="Cambria" w:hAnsi="Cambria"/>
                          <w:color w:val="595959"/>
                          <w:sz w:val="18"/>
                          <w:szCs w:val="18"/>
                          <w:lang w:val="es-ES"/>
                        </w:rPr>
                        <w:t>92</w:t>
                      </w:r>
                      <w:r w:rsidR="00C40B61" w:rsidRPr="00E935B6">
                        <w:rPr>
                          <w:rFonts w:ascii="Cambria" w:hAnsi="Cambria"/>
                          <w:color w:val="595959"/>
                          <w:sz w:val="18"/>
                          <w:szCs w:val="18"/>
                          <w:lang w:val="es-ES"/>
                        </w:rPr>
                        <w:t>/1</w:t>
                      </w:r>
                      <w:r w:rsidR="00982ABB">
                        <w:rPr>
                          <w:rFonts w:ascii="Cambria" w:hAnsi="Cambria"/>
                          <w:color w:val="595959"/>
                          <w:sz w:val="18"/>
                          <w:szCs w:val="18"/>
                          <w:lang w:val="es-ES"/>
                        </w:rPr>
                        <w:t>9</w:t>
                      </w:r>
                      <w:r w:rsidR="00360085">
                        <w:rPr>
                          <w:rFonts w:ascii="Cambria" w:hAnsi="Cambria"/>
                          <w:color w:val="595959"/>
                          <w:sz w:val="18"/>
                          <w:szCs w:val="18"/>
                          <w:lang w:val="es-ES"/>
                        </w:rPr>
                        <w:t>.</w:t>
                      </w:r>
                      <w:r w:rsidRPr="00E935B6">
                        <w:rPr>
                          <w:rFonts w:ascii="Cambria" w:hAnsi="Cambria"/>
                          <w:color w:val="595959"/>
                          <w:sz w:val="18"/>
                          <w:szCs w:val="18"/>
                          <w:lang w:val="es-ES"/>
                        </w:rPr>
                        <w:t xml:space="preserve"> Caso </w:t>
                      </w:r>
                      <w:r w:rsidR="00360085">
                        <w:rPr>
                          <w:rFonts w:ascii="Cambria" w:hAnsi="Cambria"/>
                          <w:color w:val="595959"/>
                          <w:sz w:val="18"/>
                          <w:szCs w:val="18"/>
                          <w:lang w:val="es-ES"/>
                        </w:rPr>
                        <w:t>11.624.</w:t>
                      </w:r>
                      <w:r w:rsidRPr="00E935B6">
                        <w:rPr>
                          <w:rFonts w:ascii="Cambria" w:hAnsi="Cambria"/>
                          <w:color w:val="595959"/>
                          <w:sz w:val="18"/>
                          <w:szCs w:val="18"/>
                          <w:lang w:val="es-ES"/>
                        </w:rPr>
                        <w:t xml:space="preserve"> </w:t>
                      </w:r>
                      <w:r w:rsidR="00C40B61">
                        <w:rPr>
                          <w:rFonts w:ascii="Cambria" w:hAnsi="Cambria"/>
                          <w:color w:val="595959"/>
                          <w:sz w:val="18"/>
                          <w:szCs w:val="18"/>
                          <w:lang w:val="es-ES_tradnl"/>
                        </w:rPr>
                        <w:t>Admisibilidad y Fondo</w:t>
                      </w:r>
                      <w:r w:rsidR="00982DD0">
                        <w:rPr>
                          <w:rFonts w:ascii="Cambria" w:hAnsi="Cambria"/>
                          <w:color w:val="595959"/>
                          <w:sz w:val="18"/>
                          <w:szCs w:val="18"/>
                          <w:lang w:val="es-ES_tradnl"/>
                        </w:rPr>
                        <w:t xml:space="preserve"> (</w:t>
                      </w:r>
                      <w:r w:rsidR="00360085">
                        <w:rPr>
                          <w:rFonts w:ascii="Cambria" w:hAnsi="Cambria"/>
                          <w:color w:val="595959"/>
                          <w:sz w:val="18"/>
                          <w:szCs w:val="18"/>
                          <w:lang w:val="es-ES_tradnl"/>
                        </w:rPr>
                        <w:t>Publicación). Jorge Darwin García y familia.</w:t>
                      </w:r>
                      <w:r w:rsidRPr="00C05D06">
                        <w:rPr>
                          <w:rFonts w:ascii="Cambria" w:hAnsi="Cambria"/>
                          <w:color w:val="595959"/>
                          <w:sz w:val="18"/>
                          <w:szCs w:val="18"/>
                          <w:lang w:val="es-ES_tradnl"/>
                        </w:rPr>
                        <w:t xml:space="preserve"> Ecuador</w:t>
                      </w:r>
                      <w:r w:rsidR="00360085">
                        <w:rPr>
                          <w:rFonts w:ascii="Cambria" w:hAnsi="Cambria"/>
                          <w:color w:val="595959"/>
                          <w:sz w:val="18"/>
                          <w:szCs w:val="18"/>
                          <w:lang w:val="es-ES_tradnl"/>
                        </w:rPr>
                        <w:t>. 14 de junio de 2019</w:t>
                      </w:r>
                      <w:r w:rsidR="00B86863">
                        <w:rPr>
                          <w:rFonts w:ascii="Cambria" w:hAnsi="Cambria"/>
                          <w:color w:val="595959"/>
                          <w:sz w:val="18"/>
                          <w:szCs w:val="18"/>
                          <w:lang w:val="es-ES_tradnl"/>
                        </w:rPr>
                        <w:t>.</w:t>
                      </w:r>
                    </w:p>
                  </w:txbxContent>
                </v:textbox>
              </v:shape>
            </w:pict>
          </mc:Fallback>
        </mc:AlternateContent>
      </w:r>
    </w:p>
    <w:p w:rsidR="00A50FCF" w:rsidRPr="00C05D06" w:rsidRDefault="00A50FCF" w:rsidP="007B3C6B">
      <w:pPr>
        <w:tabs>
          <w:tab w:val="left" w:pos="1440"/>
          <w:tab w:val="center" w:pos="5400"/>
        </w:tabs>
        <w:suppressAutoHyphens/>
        <w:ind w:firstLine="720"/>
        <w:jc w:val="center"/>
        <w:rPr>
          <w:rFonts w:ascii="Cambria" w:hAnsi="Cambria"/>
          <w:sz w:val="20"/>
          <w:szCs w:val="20"/>
          <w:lang w:val="es-ES_tradnl"/>
        </w:rPr>
      </w:pPr>
    </w:p>
    <w:p w:rsidR="00360085" w:rsidRDefault="00360085" w:rsidP="007B3C6B">
      <w:pPr>
        <w:tabs>
          <w:tab w:val="left" w:pos="1440"/>
          <w:tab w:val="center" w:pos="5400"/>
        </w:tabs>
        <w:suppressAutoHyphens/>
        <w:ind w:firstLine="720"/>
        <w:jc w:val="center"/>
        <w:rPr>
          <w:rFonts w:ascii="Cambria" w:hAnsi="Cambria"/>
          <w:b/>
          <w:sz w:val="20"/>
          <w:szCs w:val="20"/>
          <w:lang w:val="es-ES_tradnl"/>
        </w:rPr>
      </w:pPr>
    </w:p>
    <w:p w:rsidR="00360085" w:rsidRDefault="00360085" w:rsidP="007B3C6B">
      <w:pPr>
        <w:tabs>
          <w:tab w:val="left" w:pos="1440"/>
          <w:tab w:val="center" w:pos="5400"/>
        </w:tabs>
        <w:suppressAutoHyphens/>
        <w:ind w:firstLine="720"/>
        <w:jc w:val="center"/>
        <w:rPr>
          <w:noProof/>
          <w:color w:val="FFFFFF"/>
          <w:lang w:val="es-ES" w:eastAsia="es-ES"/>
        </w:rPr>
      </w:pPr>
    </w:p>
    <w:p w:rsidR="00360085" w:rsidRDefault="00360085" w:rsidP="00360085">
      <w:pPr>
        <w:tabs>
          <w:tab w:val="left" w:pos="1440"/>
          <w:tab w:val="left" w:pos="2250"/>
          <w:tab w:val="center" w:pos="5400"/>
        </w:tabs>
        <w:suppressAutoHyphens/>
        <w:ind w:firstLine="2250"/>
        <w:rPr>
          <w:noProof/>
          <w:color w:val="FFFFFF"/>
          <w:lang w:val="es-ES" w:eastAsia="es-ES"/>
        </w:rPr>
      </w:pPr>
    </w:p>
    <w:p w:rsidR="0070697F" w:rsidRDefault="00935AD7" w:rsidP="00360085">
      <w:pPr>
        <w:tabs>
          <w:tab w:val="left" w:pos="1440"/>
          <w:tab w:val="left" w:pos="2250"/>
          <w:tab w:val="center" w:pos="5400"/>
        </w:tabs>
        <w:suppressAutoHyphens/>
        <w:ind w:firstLine="2250"/>
        <w:rPr>
          <w:rFonts w:ascii="Cambria" w:hAnsi="Cambria"/>
          <w:b/>
          <w:sz w:val="20"/>
          <w:szCs w:val="20"/>
          <w:lang w:val="es-ES_tradnl"/>
        </w:rPr>
      </w:pPr>
      <w:r>
        <w:rPr>
          <w:noProof/>
        </w:rPr>
        <mc:AlternateContent>
          <mc:Choice Requires="wps">
            <w:drawing>
              <wp:anchor distT="0" distB="0" distL="114300" distR="114300" simplePos="0" relativeHeight="251660800" behindDoc="0" locked="0" layoutInCell="1" allowOverlap="1">
                <wp:simplePos x="0" y="0"/>
                <wp:positionH relativeFrom="column">
                  <wp:posOffset>-272415</wp:posOffset>
                </wp:positionH>
                <wp:positionV relativeFrom="paragraph">
                  <wp:posOffset>94615</wp:posOffset>
                </wp:positionV>
                <wp:extent cx="1181100" cy="33274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81100" cy="332740"/>
                        </a:xfrm>
                        <a:prstGeom prst="rect">
                          <a:avLst/>
                        </a:prstGeom>
                        <a:noFill/>
                        <a:ln w="6350">
                          <a:noFill/>
                        </a:ln>
                        <a:effectLst/>
                      </wps:spPr>
                      <wps:txbx>
                        <w:txbxContent>
                          <w:p w:rsidR="006A3859" w:rsidRPr="00C05D06" w:rsidRDefault="006A3859" w:rsidP="00D306D1">
                            <w:pPr>
                              <w:jc w:val="center"/>
                              <w:rPr>
                                <w:rFonts w:ascii="Calibri" w:hAnsi="Calibri"/>
                                <w:b/>
                                <w:color w:val="FFFFFF"/>
                              </w:rPr>
                            </w:pPr>
                            <w:r w:rsidRPr="00C05D06">
                              <w:rPr>
                                <w:rFonts w:ascii="Calibri" w:hAnsi="Calibri"/>
                                <w:b/>
                                <w:color w:val="FFFFFF"/>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31" type="#_x0000_t202" style="position:absolute;left:0;text-align:left;margin-left:-21.45pt;margin-top:7.45pt;width:93pt;height:26.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" filled="f" stroked="f" strokeweight=".5pt">
                <v:path arrowok="t"/>
                <v:textbox>
                  <w:txbxContent>
                    <w:p w:rsidR="006A3859" w:rsidRPr="00C05D06" w:rsidRDefault="006A3859" w:rsidP="00D306D1">
                      <w:pPr>
                        <w:jc w:val="center"/>
                        <w:rPr>
                          <w:rFonts w:ascii="Calibri" w:hAnsi="Calibri"/>
                          <w:b/>
                          <w:color w:val="FFFFFF"/>
                        </w:rPr>
                      </w:pPr>
                      <w:r w:rsidRPr="00C05D06">
                        <w:rPr>
                          <w:rFonts w:ascii="Calibri" w:hAnsi="Calibri"/>
                          <w:b/>
                          <w:color w:val="FFFFFF"/>
                          <w:lang w:val="pt-BR"/>
                        </w:rPr>
                        <w:t>www.cidh.org</w:t>
                      </w:r>
                    </w:p>
                  </w:txbxContent>
                </v:textbox>
              </v:shape>
            </w:pict>
          </mc:Fallback>
        </mc:AlternateContent>
      </w:r>
      <w:r w:rsidRPr="00360085">
        <w:rPr>
          <w:noProof/>
          <w:color w:val="FFFFFF"/>
        </w:rPr>
        <w:drawing>
          <wp:inline distT="0" distB="0" distL="0" distR="0">
            <wp:extent cx="1647825" cy="4286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47825" cy="428625"/>
                    </a:xfrm>
                    <a:prstGeom prst="rect">
                      <a:avLst/>
                    </a:prstGeom>
                    <a:noFill/>
                    <a:ln>
                      <a:noFill/>
                    </a:ln>
                  </pic:spPr>
                </pic:pic>
              </a:graphicData>
            </a:graphic>
          </wp:inline>
        </w:drawing>
      </w:r>
    </w:p>
    <w:p w:rsidR="00360085" w:rsidRPr="00C05D06" w:rsidRDefault="00360085" w:rsidP="007B3C6B">
      <w:pPr>
        <w:tabs>
          <w:tab w:val="left" w:pos="1440"/>
          <w:tab w:val="center" w:pos="5400"/>
        </w:tabs>
        <w:suppressAutoHyphens/>
        <w:ind w:firstLine="720"/>
        <w:jc w:val="center"/>
        <w:rPr>
          <w:rFonts w:ascii="Cambria" w:hAnsi="Cambria"/>
          <w:b/>
          <w:sz w:val="20"/>
          <w:szCs w:val="20"/>
          <w:lang w:val="es-ES_tradnl"/>
        </w:rPr>
        <w:sectPr w:rsidR="00360085" w:rsidRPr="00C05D06" w:rsidSect="00C054DF">
          <w:headerReference w:type="even" r:id="rId11"/>
          <w:headerReference w:type="default" r:id="rId12"/>
          <w:footerReference w:type="even" r:id="rId13"/>
          <w:footerReference w:type="default" r:id="rId14"/>
          <w:headerReference w:type="first" r:id="rId15"/>
          <w:footerReference w:type="first" r:id="rId16"/>
          <w:type w:val="oddPage"/>
          <w:pgSz w:w="12240" w:h="15840"/>
          <w:pgMar w:top="1440" w:right="1440" w:bottom="1440" w:left="1440" w:header="720" w:footer="720" w:gutter="0"/>
          <w:pgNumType w:start="0"/>
          <w:cols w:space="720"/>
          <w:titlePg/>
          <w:docGrid w:linePitch="326"/>
        </w:sectPr>
      </w:pPr>
    </w:p>
    <w:p w:rsidR="00722C9F" w:rsidRPr="00C05D06" w:rsidRDefault="00722C9F" w:rsidP="00360085">
      <w:pPr>
        <w:tabs>
          <w:tab w:val="left" w:pos="1440"/>
          <w:tab w:val="center" w:pos="5400"/>
        </w:tabs>
        <w:suppressAutoHyphens/>
        <w:spacing w:line="276" w:lineRule="auto"/>
        <w:rPr>
          <w:rFonts w:ascii="Cambria" w:hAnsi="Cambria"/>
          <w:sz w:val="20"/>
          <w:szCs w:val="20"/>
          <w:lang w:val="es-ES_tradnl"/>
        </w:rPr>
      </w:pPr>
    </w:p>
    <w:p w:rsidR="00722C9F" w:rsidRPr="007033A8" w:rsidRDefault="00722C9F" w:rsidP="00982DD0">
      <w:pPr>
        <w:tabs>
          <w:tab w:val="left" w:pos="1440"/>
          <w:tab w:val="center" w:pos="5400"/>
        </w:tabs>
        <w:suppressAutoHyphens/>
        <w:spacing w:line="276" w:lineRule="auto"/>
        <w:ind w:firstLine="720"/>
        <w:jc w:val="center"/>
        <w:rPr>
          <w:rFonts w:ascii="Cambria" w:hAnsi="Cambria"/>
          <w:b/>
          <w:szCs w:val="20"/>
          <w:lang w:val="es-ES_tradnl"/>
        </w:rPr>
      </w:pPr>
      <w:r w:rsidRPr="007033A8">
        <w:rPr>
          <w:rFonts w:ascii="Cambria" w:hAnsi="Cambria"/>
          <w:b/>
          <w:szCs w:val="20"/>
          <w:lang w:val="es-ES_tradnl"/>
        </w:rPr>
        <w:t>ÍNDICE</w:t>
      </w:r>
    </w:p>
    <w:p w:rsidR="008D768D" w:rsidRPr="00752CD0" w:rsidRDefault="008D768D" w:rsidP="00E50AA8">
      <w:pPr>
        <w:tabs>
          <w:tab w:val="left" w:pos="1440"/>
          <w:tab w:val="center" w:pos="5400"/>
        </w:tabs>
        <w:suppressAutoHyphens/>
        <w:spacing w:line="276" w:lineRule="auto"/>
        <w:rPr>
          <w:rFonts w:ascii="Cambria" w:hAnsi="Cambria"/>
          <w:sz w:val="20"/>
          <w:szCs w:val="20"/>
          <w:lang w:val="es-ES_tradnl"/>
        </w:rPr>
      </w:pPr>
    </w:p>
    <w:p w:rsidR="00D060AD" w:rsidRPr="00752CD0" w:rsidRDefault="00D060AD">
      <w:pPr>
        <w:pStyle w:val="TOC1"/>
        <w:rPr>
          <w:rFonts w:ascii="Cambria" w:eastAsia="Times New Roman" w:hAnsi="Cambria"/>
          <w:noProof/>
          <w:sz w:val="20"/>
          <w:szCs w:val="20"/>
          <w:bdr w:val="none" w:sz="0" w:space="0" w:color="auto"/>
          <w:lang w:val="es-ES" w:eastAsia="es-ES"/>
        </w:rPr>
      </w:pPr>
      <w:r w:rsidRPr="00752CD0">
        <w:rPr>
          <w:rFonts w:ascii="Cambria" w:hAnsi="Cambria"/>
          <w:sz w:val="20"/>
          <w:szCs w:val="20"/>
          <w:lang w:val="es-ES_tradnl"/>
        </w:rPr>
        <w:fldChar w:fldCharType="begin"/>
      </w:r>
      <w:r w:rsidRPr="00752CD0">
        <w:rPr>
          <w:rFonts w:ascii="Cambria" w:hAnsi="Cambria"/>
          <w:sz w:val="20"/>
          <w:szCs w:val="20"/>
          <w:lang w:val="es-ES_tradnl"/>
        </w:rPr>
        <w:instrText xml:space="preserve"> TOC \o "1-3" \h \z \u </w:instrText>
      </w:r>
      <w:r w:rsidRPr="00752CD0">
        <w:rPr>
          <w:rFonts w:ascii="Cambria" w:hAnsi="Cambria"/>
          <w:sz w:val="20"/>
          <w:szCs w:val="20"/>
          <w:lang w:val="es-ES_tradnl"/>
        </w:rPr>
        <w:fldChar w:fldCharType="separate"/>
      </w:r>
      <w:hyperlink w:anchor="_Toc529792384" w:history="1">
        <w:r w:rsidRPr="00937132">
          <w:rPr>
            <w:rStyle w:val="Hyperlink"/>
            <w:rFonts w:ascii="Cambria" w:hAnsi="Cambria"/>
            <w:b/>
            <w:noProof/>
            <w:sz w:val="20"/>
            <w:szCs w:val="20"/>
          </w:rPr>
          <w:t>I.</w:t>
        </w:r>
        <w:r w:rsidRPr="00937132">
          <w:rPr>
            <w:rFonts w:ascii="Cambria" w:eastAsia="Times New Roman" w:hAnsi="Cambria"/>
            <w:b/>
            <w:noProof/>
            <w:sz w:val="20"/>
            <w:szCs w:val="20"/>
            <w:bdr w:val="none" w:sz="0" w:space="0" w:color="auto"/>
            <w:lang w:val="es-ES" w:eastAsia="es-ES"/>
          </w:rPr>
          <w:tab/>
        </w:r>
        <w:r w:rsidRPr="00937132">
          <w:rPr>
            <w:rStyle w:val="Hyperlink"/>
            <w:rFonts w:ascii="Cambria" w:hAnsi="Cambria"/>
            <w:b/>
            <w:noProof/>
            <w:sz w:val="20"/>
            <w:szCs w:val="20"/>
          </w:rPr>
          <w:t>RESUMEN</w:t>
        </w:r>
        <w:r w:rsidRPr="00937132">
          <w:rPr>
            <w:rFonts w:ascii="Cambria" w:hAnsi="Cambria"/>
            <w:b/>
            <w:noProof/>
            <w:webHidden/>
            <w:sz w:val="20"/>
            <w:szCs w:val="20"/>
          </w:rPr>
          <w:tab/>
        </w:r>
        <w:r w:rsidRPr="00752CD0">
          <w:rPr>
            <w:rFonts w:ascii="Cambria" w:hAnsi="Cambria"/>
            <w:noProof/>
            <w:webHidden/>
            <w:sz w:val="20"/>
            <w:szCs w:val="20"/>
          </w:rPr>
          <w:fldChar w:fldCharType="begin"/>
        </w:r>
        <w:r w:rsidRPr="00752CD0">
          <w:rPr>
            <w:rFonts w:ascii="Cambria" w:hAnsi="Cambria"/>
            <w:noProof/>
            <w:webHidden/>
            <w:sz w:val="20"/>
            <w:szCs w:val="20"/>
          </w:rPr>
          <w:instrText xml:space="preserve"> PAGEREF _Toc529792384 \h </w:instrText>
        </w:r>
        <w:r w:rsidRPr="00752CD0">
          <w:rPr>
            <w:rFonts w:ascii="Cambria" w:hAnsi="Cambria"/>
            <w:noProof/>
            <w:webHidden/>
            <w:sz w:val="20"/>
            <w:szCs w:val="20"/>
          </w:rPr>
        </w:r>
        <w:r w:rsidRPr="00752CD0">
          <w:rPr>
            <w:rFonts w:ascii="Cambria" w:hAnsi="Cambria"/>
            <w:noProof/>
            <w:webHidden/>
            <w:sz w:val="20"/>
            <w:szCs w:val="20"/>
          </w:rPr>
          <w:fldChar w:fldCharType="separate"/>
        </w:r>
        <w:r w:rsidR="00B455EB">
          <w:rPr>
            <w:rFonts w:ascii="Cambria" w:hAnsi="Cambria"/>
            <w:noProof/>
            <w:webHidden/>
            <w:sz w:val="20"/>
            <w:szCs w:val="20"/>
          </w:rPr>
          <w:t>2</w:t>
        </w:r>
        <w:r w:rsidRPr="00752CD0">
          <w:rPr>
            <w:rFonts w:ascii="Cambria" w:hAnsi="Cambria"/>
            <w:noProof/>
            <w:webHidden/>
            <w:sz w:val="20"/>
            <w:szCs w:val="20"/>
          </w:rPr>
          <w:fldChar w:fldCharType="end"/>
        </w:r>
      </w:hyperlink>
    </w:p>
    <w:p w:rsidR="00D060AD" w:rsidRPr="00752CD0" w:rsidRDefault="00AA1C07">
      <w:pPr>
        <w:pStyle w:val="TOC1"/>
        <w:rPr>
          <w:rFonts w:ascii="Cambria" w:eastAsia="Times New Roman" w:hAnsi="Cambria"/>
          <w:noProof/>
          <w:sz w:val="20"/>
          <w:szCs w:val="20"/>
          <w:bdr w:val="none" w:sz="0" w:space="0" w:color="auto"/>
          <w:lang w:val="es-ES" w:eastAsia="es-ES"/>
        </w:rPr>
      </w:pPr>
      <w:hyperlink w:anchor="_Toc529792385" w:history="1">
        <w:r w:rsidR="00D060AD" w:rsidRPr="00937132">
          <w:rPr>
            <w:rStyle w:val="Hyperlink"/>
            <w:rFonts w:ascii="Cambria" w:hAnsi="Cambria"/>
            <w:b/>
            <w:noProof/>
            <w:sz w:val="20"/>
            <w:szCs w:val="20"/>
          </w:rPr>
          <w:t>II.</w:t>
        </w:r>
        <w:r w:rsidR="00D060AD" w:rsidRPr="00937132">
          <w:rPr>
            <w:rFonts w:ascii="Cambria" w:eastAsia="Times New Roman" w:hAnsi="Cambria"/>
            <w:b/>
            <w:noProof/>
            <w:sz w:val="20"/>
            <w:szCs w:val="20"/>
            <w:bdr w:val="none" w:sz="0" w:space="0" w:color="auto"/>
            <w:lang w:val="es-ES" w:eastAsia="es-ES"/>
          </w:rPr>
          <w:tab/>
        </w:r>
        <w:r w:rsidR="00D060AD" w:rsidRPr="00937132">
          <w:rPr>
            <w:rStyle w:val="Hyperlink"/>
            <w:rFonts w:ascii="Cambria" w:hAnsi="Cambria"/>
            <w:b/>
            <w:noProof/>
            <w:sz w:val="20"/>
            <w:szCs w:val="20"/>
          </w:rPr>
          <w:t>TRÁMITE ANTE LA CIDH</w:t>
        </w:r>
        <w:r w:rsidR="00D060AD" w:rsidRPr="00752CD0">
          <w:rPr>
            <w:rFonts w:ascii="Cambria" w:hAnsi="Cambria"/>
            <w:noProof/>
            <w:webHidden/>
            <w:sz w:val="20"/>
            <w:szCs w:val="20"/>
          </w:rPr>
          <w:tab/>
        </w:r>
        <w:r w:rsidR="00D060AD" w:rsidRPr="00752CD0">
          <w:rPr>
            <w:rFonts w:ascii="Cambria" w:hAnsi="Cambria"/>
            <w:noProof/>
            <w:webHidden/>
            <w:sz w:val="20"/>
            <w:szCs w:val="20"/>
          </w:rPr>
          <w:fldChar w:fldCharType="begin"/>
        </w:r>
        <w:r w:rsidR="00D060AD" w:rsidRPr="00752CD0">
          <w:rPr>
            <w:rFonts w:ascii="Cambria" w:hAnsi="Cambria"/>
            <w:noProof/>
            <w:webHidden/>
            <w:sz w:val="20"/>
            <w:szCs w:val="20"/>
          </w:rPr>
          <w:instrText xml:space="preserve"> PAGEREF _Toc529792385 \h </w:instrText>
        </w:r>
        <w:r w:rsidR="00D060AD" w:rsidRPr="00752CD0">
          <w:rPr>
            <w:rFonts w:ascii="Cambria" w:hAnsi="Cambria"/>
            <w:noProof/>
            <w:webHidden/>
            <w:sz w:val="20"/>
            <w:szCs w:val="20"/>
          </w:rPr>
        </w:r>
        <w:r w:rsidR="00D060AD" w:rsidRPr="00752CD0">
          <w:rPr>
            <w:rFonts w:ascii="Cambria" w:hAnsi="Cambria"/>
            <w:noProof/>
            <w:webHidden/>
            <w:sz w:val="20"/>
            <w:szCs w:val="20"/>
          </w:rPr>
          <w:fldChar w:fldCharType="separate"/>
        </w:r>
        <w:r w:rsidR="00B455EB">
          <w:rPr>
            <w:rFonts w:ascii="Cambria" w:hAnsi="Cambria"/>
            <w:noProof/>
            <w:webHidden/>
            <w:sz w:val="20"/>
            <w:szCs w:val="20"/>
          </w:rPr>
          <w:t>2</w:t>
        </w:r>
        <w:r w:rsidR="00D060AD" w:rsidRPr="00752CD0">
          <w:rPr>
            <w:rFonts w:ascii="Cambria" w:hAnsi="Cambria"/>
            <w:noProof/>
            <w:webHidden/>
            <w:sz w:val="20"/>
            <w:szCs w:val="20"/>
          </w:rPr>
          <w:fldChar w:fldCharType="end"/>
        </w:r>
      </w:hyperlink>
    </w:p>
    <w:p w:rsidR="00D060AD" w:rsidRPr="00752CD0" w:rsidRDefault="00AA1C07">
      <w:pPr>
        <w:pStyle w:val="TOC1"/>
        <w:rPr>
          <w:rFonts w:ascii="Cambria" w:eastAsia="Times New Roman" w:hAnsi="Cambria"/>
          <w:noProof/>
          <w:sz w:val="20"/>
          <w:szCs w:val="20"/>
          <w:bdr w:val="none" w:sz="0" w:space="0" w:color="auto"/>
          <w:lang w:val="es-ES" w:eastAsia="es-ES"/>
        </w:rPr>
      </w:pPr>
      <w:hyperlink w:anchor="_Toc529792386" w:history="1">
        <w:r w:rsidR="00D060AD" w:rsidRPr="00937132">
          <w:rPr>
            <w:rStyle w:val="Hyperlink"/>
            <w:rFonts w:ascii="Cambria" w:hAnsi="Cambria"/>
            <w:b/>
            <w:noProof/>
            <w:sz w:val="20"/>
            <w:szCs w:val="20"/>
          </w:rPr>
          <w:t>III.</w:t>
        </w:r>
        <w:r w:rsidR="00D060AD" w:rsidRPr="00937132">
          <w:rPr>
            <w:rFonts w:ascii="Cambria" w:eastAsia="Times New Roman" w:hAnsi="Cambria"/>
            <w:b/>
            <w:noProof/>
            <w:sz w:val="20"/>
            <w:szCs w:val="20"/>
            <w:bdr w:val="none" w:sz="0" w:space="0" w:color="auto"/>
            <w:lang w:val="es-ES" w:eastAsia="es-ES"/>
          </w:rPr>
          <w:tab/>
        </w:r>
        <w:r w:rsidR="00D060AD" w:rsidRPr="00937132">
          <w:rPr>
            <w:rStyle w:val="Hyperlink"/>
            <w:rFonts w:ascii="Cambria" w:hAnsi="Cambria"/>
            <w:b/>
            <w:noProof/>
            <w:sz w:val="20"/>
            <w:szCs w:val="20"/>
          </w:rPr>
          <w:t>POSICIÓN DE LAS PARTES</w:t>
        </w:r>
        <w:r w:rsidR="00D060AD" w:rsidRPr="00752CD0">
          <w:rPr>
            <w:rFonts w:ascii="Cambria" w:hAnsi="Cambria"/>
            <w:noProof/>
            <w:webHidden/>
            <w:sz w:val="20"/>
            <w:szCs w:val="20"/>
          </w:rPr>
          <w:tab/>
        </w:r>
        <w:r w:rsidR="00D060AD" w:rsidRPr="00752CD0">
          <w:rPr>
            <w:rFonts w:ascii="Cambria" w:hAnsi="Cambria"/>
            <w:noProof/>
            <w:webHidden/>
            <w:sz w:val="20"/>
            <w:szCs w:val="20"/>
          </w:rPr>
          <w:fldChar w:fldCharType="begin"/>
        </w:r>
        <w:r w:rsidR="00D060AD" w:rsidRPr="00752CD0">
          <w:rPr>
            <w:rFonts w:ascii="Cambria" w:hAnsi="Cambria"/>
            <w:noProof/>
            <w:webHidden/>
            <w:sz w:val="20"/>
            <w:szCs w:val="20"/>
          </w:rPr>
          <w:instrText xml:space="preserve"> PAGEREF _Toc529792386 \h </w:instrText>
        </w:r>
        <w:r w:rsidR="00D060AD" w:rsidRPr="00752CD0">
          <w:rPr>
            <w:rFonts w:ascii="Cambria" w:hAnsi="Cambria"/>
            <w:noProof/>
            <w:webHidden/>
            <w:sz w:val="20"/>
            <w:szCs w:val="20"/>
          </w:rPr>
        </w:r>
        <w:r w:rsidR="00D060AD" w:rsidRPr="00752CD0">
          <w:rPr>
            <w:rFonts w:ascii="Cambria" w:hAnsi="Cambria"/>
            <w:noProof/>
            <w:webHidden/>
            <w:sz w:val="20"/>
            <w:szCs w:val="20"/>
          </w:rPr>
          <w:fldChar w:fldCharType="separate"/>
        </w:r>
        <w:r w:rsidR="00B455EB">
          <w:rPr>
            <w:rFonts w:ascii="Cambria" w:hAnsi="Cambria"/>
            <w:noProof/>
            <w:webHidden/>
            <w:sz w:val="20"/>
            <w:szCs w:val="20"/>
          </w:rPr>
          <w:t>3</w:t>
        </w:r>
        <w:r w:rsidR="00D060AD" w:rsidRPr="00752CD0">
          <w:rPr>
            <w:rFonts w:ascii="Cambria" w:hAnsi="Cambria"/>
            <w:noProof/>
            <w:webHidden/>
            <w:sz w:val="20"/>
            <w:szCs w:val="20"/>
          </w:rPr>
          <w:fldChar w:fldCharType="end"/>
        </w:r>
      </w:hyperlink>
    </w:p>
    <w:p w:rsidR="00D060AD" w:rsidRPr="00752CD0" w:rsidRDefault="00AA1C07">
      <w:pPr>
        <w:pStyle w:val="TOC2"/>
        <w:rPr>
          <w:rFonts w:eastAsia="Times New Roman"/>
          <w:bdr w:val="none" w:sz="0" w:space="0" w:color="auto"/>
          <w:lang w:val="es-ES" w:eastAsia="es-ES"/>
        </w:rPr>
      </w:pPr>
      <w:hyperlink w:anchor="_Toc529792387" w:history="1">
        <w:r w:rsidR="00D060AD" w:rsidRPr="00752CD0">
          <w:rPr>
            <w:rStyle w:val="Hyperlink"/>
          </w:rPr>
          <w:t>A.</w:t>
        </w:r>
        <w:r w:rsidR="00D060AD" w:rsidRPr="00752CD0">
          <w:rPr>
            <w:rFonts w:eastAsia="Times New Roman"/>
            <w:bdr w:val="none" w:sz="0" w:space="0" w:color="auto"/>
            <w:lang w:val="es-ES" w:eastAsia="es-ES"/>
          </w:rPr>
          <w:tab/>
        </w:r>
        <w:r w:rsidR="00D060AD" w:rsidRPr="00752CD0">
          <w:rPr>
            <w:rStyle w:val="Hyperlink"/>
          </w:rPr>
          <w:t>Posición de la peticionaria</w:t>
        </w:r>
        <w:r w:rsidR="00D060AD" w:rsidRPr="00752CD0">
          <w:rPr>
            <w:webHidden/>
          </w:rPr>
          <w:tab/>
        </w:r>
        <w:r w:rsidR="00D060AD" w:rsidRPr="00752CD0">
          <w:rPr>
            <w:webHidden/>
          </w:rPr>
          <w:fldChar w:fldCharType="begin"/>
        </w:r>
        <w:r w:rsidR="00D060AD" w:rsidRPr="00752CD0">
          <w:rPr>
            <w:webHidden/>
          </w:rPr>
          <w:instrText xml:space="preserve"> PAGEREF _Toc529792387 \h </w:instrText>
        </w:r>
        <w:r w:rsidR="00D060AD" w:rsidRPr="00752CD0">
          <w:rPr>
            <w:webHidden/>
          </w:rPr>
        </w:r>
        <w:r w:rsidR="00D060AD" w:rsidRPr="00752CD0">
          <w:rPr>
            <w:webHidden/>
          </w:rPr>
          <w:fldChar w:fldCharType="separate"/>
        </w:r>
        <w:r w:rsidR="00B455EB">
          <w:rPr>
            <w:webHidden/>
          </w:rPr>
          <w:t>3</w:t>
        </w:r>
        <w:r w:rsidR="00D060AD" w:rsidRPr="00752CD0">
          <w:rPr>
            <w:webHidden/>
          </w:rPr>
          <w:fldChar w:fldCharType="end"/>
        </w:r>
      </w:hyperlink>
    </w:p>
    <w:p w:rsidR="00D060AD" w:rsidRPr="00752CD0" w:rsidRDefault="00AA1C07">
      <w:pPr>
        <w:pStyle w:val="TOC2"/>
        <w:rPr>
          <w:rFonts w:eastAsia="Times New Roman"/>
          <w:bdr w:val="none" w:sz="0" w:space="0" w:color="auto"/>
          <w:lang w:val="es-ES" w:eastAsia="es-ES"/>
        </w:rPr>
      </w:pPr>
      <w:hyperlink w:anchor="_Toc529792388" w:history="1">
        <w:r w:rsidR="00D060AD" w:rsidRPr="00752CD0">
          <w:rPr>
            <w:rStyle w:val="Hyperlink"/>
          </w:rPr>
          <w:t>B.</w:t>
        </w:r>
        <w:r w:rsidR="00D060AD" w:rsidRPr="00752CD0">
          <w:rPr>
            <w:rFonts w:eastAsia="Times New Roman"/>
            <w:bdr w:val="none" w:sz="0" w:space="0" w:color="auto"/>
            <w:lang w:val="es-ES" w:eastAsia="es-ES"/>
          </w:rPr>
          <w:tab/>
        </w:r>
        <w:r w:rsidR="00D060AD" w:rsidRPr="00752CD0">
          <w:rPr>
            <w:rStyle w:val="Hyperlink"/>
          </w:rPr>
          <w:t>Posición del Estado</w:t>
        </w:r>
        <w:r w:rsidR="00D060AD" w:rsidRPr="00752CD0">
          <w:rPr>
            <w:webHidden/>
          </w:rPr>
          <w:tab/>
        </w:r>
        <w:r w:rsidR="00D060AD" w:rsidRPr="00752CD0">
          <w:rPr>
            <w:webHidden/>
          </w:rPr>
          <w:fldChar w:fldCharType="begin"/>
        </w:r>
        <w:r w:rsidR="00D060AD" w:rsidRPr="00752CD0">
          <w:rPr>
            <w:webHidden/>
          </w:rPr>
          <w:instrText xml:space="preserve"> PAGEREF _Toc529792388 \h </w:instrText>
        </w:r>
        <w:r w:rsidR="00D060AD" w:rsidRPr="00752CD0">
          <w:rPr>
            <w:webHidden/>
          </w:rPr>
        </w:r>
        <w:r w:rsidR="00D060AD" w:rsidRPr="00752CD0">
          <w:rPr>
            <w:webHidden/>
          </w:rPr>
          <w:fldChar w:fldCharType="separate"/>
        </w:r>
        <w:r w:rsidR="00B455EB">
          <w:rPr>
            <w:webHidden/>
          </w:rPr>
          <w:t>5</w:t>
        </w:r>
        <w:r w:rsidR="00D060AD" w:rsidRPr="00752CD0">
          <w:rPr>
            <w:webHidden/>
          </w:rPr>
          <w:fldChar w:fldCharType="end"/>
        </w:r>
      </w:hyperlink>
    </w:p>
    <w:p w:rsidR="00D060AD" w:rsidRPr="00752CD0" w:rsidRDefault="00AA1C07">
      <w:pPr>
        <w:pStyle w:val="TOC1"/>
        <w:rPr>
          <w:rFonts w:ascii="Cambria" w:eastAsia="Times New Roman" w:hAnsi="Cambria"/>
          <w:noProof/>
          <w:sz w:val="20"/>
          <w:szCs w:val="20"/>
          <w:bdr w:val="none" w:sz="0" w:space="0" w:color="auto"/>
          <w:lang w:val="es-ES" w:eastAsia="es-ES"/>
        </w:rPr>
      </w:pPr>
      <w:hyperlink w:anchor="_Toc529792389" w:history="1">
        <w:r w:rsidR="00D060AD" w:rsidRPr="00937132">
          <w:rPr>
            <w:rStyle w:val="Hyperlink"/>
            <w:rFonts w:ascii="Cambria" w:hAnsi="Cambria"/>
            <w:b/>
            <w:noProof/>
            <w:sz w:val="20"/>
            <w:szCs w:val="20"/>
          </w:rPr>
          <w:t>IV.</w:t>
        </w:r>
        <w:r w:rsidR="00D060AD" w:rsidRPr="00937132">
          <w:rPr>
            <w:rFonts w:ascii="Cambria" w:eastAsia="Times New Roman" w:hAnsi="Cambria"/>
            <w:b/>
            <w:noProof/>
            <w:sz w:val="20"/>
            <w:szCs w:val="20"/>
            <w:bdr w:val="none" w:sz="0" w:space="0" w:color="auto"/>
            <w:lang w:val="es-ES" w:eastAsia="es-ES"/>
          </w:rPr>
          <w:tab/>
        </w:r>
        <w:r w:rsidR="00D060AD" w:rsidRPr="00937132">
          <w:rPr>
            <w:rStyle w:val="Hyperlink"/>
            <w:rFonts w:ascii="Cambria" w:hAnsi="Cambria"/>
            <w:b/>
            <w:noProof/>
            <w:sz w:val="20"/>
            <w:szCs w:val="20"/>
          </w:rPr>
          <w:t>ANÁLISIS SOBRE ADMISIBILIDAD</w:t>
        </w:r>
        <w:r w:rsidR="00D060AD" w:rsidRPr="00752CD0">
          <w:rPr>
            <w:rFonts w:ascii="Cambria" w:hAnsi="Cambria"/>
            <w:noProof/>
            <w:webHidden/>
            <w:sz w:val="20"/>
            <w:szCs w:val="20"/>
          </w:rPr>
          <w:tab/>
        </w:r>
        <w:r w:rsidR="00D060AD" w:rsidRPr="00752CD0">
          <w:rPr>
            <w:rFonts w:ascii="Cambria" w:hAnsi="Cambria"/>
            <w:noProof/>
            <w:webHidden/>
            <w:sz w:val="20"/>
            <w:szCs w:val="20"/>
          </w:rPr>
          <w:fldChar w:fldCharType="begin"/>
        </w:r>
        <w:r w:rsidR="00D060AD" w:rsidRPr="00752CD0">
          <w:rPr>
            <w:rFonts w:ascii="Cambria" w:hAnsi="Cambria"/>
            <w:noProof/>
            <w:webHidden/>
            <w:sz w:val="20"/>
            <w:szCs w:val="20"/>
          </w:rPr>
          <w:instrText xml:space="preserve"> PAGEREF _Toc529792389 \h </w:instrText>
        </w:r>
        <w:r w:rsidR="00D060AD" w:rsidRPr="00752CD0">
          <w:rPr>
            <w:rFonts w:ascii="Cambria" w:hAnsi="Cambria"/>
            <w:noProof/>
            <w:webHidden/>
            <w:sz w:val="20"/>
            <w:szCs w:val="20"/>
          </w:rPr>
        </w:r>
        <w:r w:rsidR="00D060AD" w:rsidRPr="00752CD0">
          <w:rPr>
            <w:rFonts w:ascii="Cambria" w:hAnsi="Cambria"/>
            <w:noProof/>
            <w:webHidden/>
            <w:sz w:val="20"/>
            <w:szCs w:val="20"/>
          </w:rPr>
          <w:fldChar w:fldCharType="separate"/>
        </w:r>
        <w:r w:rsidR="00B455EB">
          <w:rPr>
            <w:rFonts w:ascii="Cambria" w:hAnsi="Cambria"/>
            <w:noProof/>
            <w:webHidden/>
            <w:sz w:val="20"/>
            <w:szCs w:val="20"/>
          </w:rPr>
          <w:t>6</w:t>
        </w:r>
        <w:r w:rsidR="00D060AD" w:rsidRPr="00752CD0">
          <w:rPr>
            <w:rFonts w:ascii="Cambria" w:hAnsi="Cambria"/>
            <w:noProof/>
            <w:webHidden/>
            <w:sz w:val="20"/>
            <w:szCs w:val="20"/>
          </w:rPr>
          <w:fldChar w:fldCharType="end"/>
        </w:r>
      </w:hyperlink>
    </w:p>
    <w:p w:rsidR="00D060AD" w:rsidRPr="00752CD0" w:rsidRDefault="00AA1C07">
      <w:pPr>
        <w:pStyle w:val="TOC2"/>
        <w:rPr>
          <w:rFonts w:eastAsia="Times New Roman"/>
          <w:bdr w:val="none" w:sz="0" w:space="0" w:color="auto"/>
          <w:lang w:val="es-ES" w:eastAsia="es-ES"/>
        </w:rPr>
      </w:pPr>
      <w:hyperlink w:anchor="_Toc529792390" w:history="1">
        <w:r w:rsidR="00D060AD" w:rsidRPr="00752CD0">
          <w:rPr>
            <w:rStyle w:val="Hyperlink"/>
          </w:rPr>
          <w:t>A.</w:t>
        </w:r>
        <w:r w:rsidR="00D060AD" w:rsidRPr="00752CD0">
          <w:rPr>
            <w:rFonts w:eastAsia="Times New Roman"/>
            <w:bdr w:val="none" w:sz="0" w:space="0" w:color="auto"/>
            <w:lang w:val="es-ES" w:eastAsia="es-ES"/>
          </w:rPr>
          <w:tab/>
        </w:r>
        <w:r w:rsidR="00D060AD" w:rsidRPr="00752CD0">
          <w:rPr>
            <w:rStyle w:val="Hyperlink"/>
          </w:rPr>
          <w:t>Competencia de la Comisión</w:t>
        </w:r>
        <w:r w:rsidR="00D060AD" w:rsidRPr="00752CD0">
          <w:rPr>
            <w:rStyle w:val="Hyperlink"/>
            <w:i/>
          </w:rPr>
          <w:t xml:space="preserve"> ratione temporis, ratione personae, ratione materiae y ratione loci</w:t>
        </w:r>
        <w:r w:rsidR="00D060AD" w:rsidRPr="00752CD0">
          <w:rPr>
            <w:webHidden/>
          </w:rPr>
          <w:tab/>
        </w:r>
        <w:r w:rsidR="00D060AD" w:rsidRPr="00752CD0">
          <w:rPr>
            <w:webHidden/>
          </w:rPr>
          <w:fldChar w:fldCharType="begin"/>
        </w:r>
        <w:r w:rsidR="00D060AD" w:rsidRPr="00752CD0">
          <w:rPr>
            <w:webHidden/>
          </w:rPr>
          <w:instrText xml:space="preserve"> PAGEREF _Toc529792390 \h </w:instrText>
        </w:r>
        <w:r w:rsidR="00D060AD" w:rsidRPr="00752CD0">
          <w:rPr>
            <w:webHidden/>
          </w:rPr>
        </w:r>
        <w:r w:rsidR="00D060AD" w:rsidRPr="00752CD0">
          <w:rPr>
            <w:webHidden/>
          </w:rPr>
          <w:fldChar w:fldCharType="separate"/>
        </w:r>
        <w:r w:rsidR="00B455EB">
          <w:rPr>
            <w:webHidden/>
          </w:rPr>
          <w:t>6</w:t>
        </w:r>
        <w:r w:rsidR="00D060AD" w:rsidRPr="00752CD0">
          <w:rPr>
            <w:webHidden/>
          </w:rPr>
          <w:fldChar w:fldCharType="end"/>
        </w:r>
      </w:hyperlink>
    </w:p>
    <w:p w:rsidR="00D060AD" w:rsidRPr="00752CD0" w:rsidRDefault="00AA1C07">
      <w:pPr>
        <w:pStyle w:val="TOC2"/>
        <w:rPr>
          <w:rFonts w:eastAsia="Times New Roman"/>
          <w:bdr w:val="none" w:sz="0" w:space="0" w:color="auto"/>
          <w:lang w:val="es-ES" w:eastAsia="es-ES"/>
        </w:rPr>
      </w:pPr>
      <w:hyperlink w:anchor="_Toc529792391" w:history="1">
        <w:r w:rsidR="00D060AD" w:rsidRPr="00752CD0">
          <w:rPr>
            <w:rStyle w:val="Hyperlink"/>
          </w:rPr>
          <w:t>B.</w:t>
        </w:r>
        <w:r w:rsidR="00D060AD" w:rsidRPr="00752CD0">
          <w:rPr>
            <w:rFonts w:eastAsia="Times New Roman"/>
            <w:bdr w:val="none" w:sz="0" w:space="0" w:color="auto"/>
            <w:lang w:val="es-ES" w:eastAsia="es-ES"/>
          </w:rPr>
          <w:tab/>
        </w:r>
        <w:r w:rsidR="00D060AD" w:rsidRPr="00752CD0">
          <w:rPr>
            <w:rStyle w:val="Hyperlink"/>
          </w:rPr>
          <w:t>Agotamient</w:t>
        </w:r>
        <w:bookmarkStart w:id="1" w:name="_GoBack"/>
        <w:bookmarkEnd w:id="1"/>
        <w:r w:rsidR="00D060AD" w:rsidRPr="00752CD0">
          <w:rPr>
            <w:rStyle w:val="Hyperlink"/>
          </w:rPr>
          <w:t>o de los recursos internos</w:t>
        </w:r>
        <w:r w:rsidR="00D060AD" w:rsidRPr="00752CD0">
          <w:rPr>
            <w:webHidden/>
          </w:rPr>
          <w:tab/>
        </w:r>
        <w:r w:rsidR="00D060AD" w:rsidRPr="00752CD0">
          <w:rPr>
            <w:webHidden/>
          </w:rPr>
          <w:fldChar w:fldCharType="begin"/>
        </w:r>
        <w:r w:rsidR="00D060AD" w:rsidRPr="00752CD0">
          <w:rPr>
            <w:webHidden/>
          </w:rPr>
          <w:instrText xml:space="preserve"> PAGEREF _Toc529792391 \h </w:instrText>
        </w:r>
        <w:r w:rsidR="00D060AD" w:rsidRPr="00752CD0">
          <w:rPr>
            <w:webHidden/>
          </w:rPr>
        </w:r>
        <w:r w:rsidR="00D060AD" w:rsidRPr="00752CD0">
          <w:rPr>
            <w:webHidden/>
          </w:rPr>
          <w:fldChar w:fldCharType="separate"/>
        </w:r>
        <w:r w:rsidR="00B455EB">
          <w:rPr>
            <w:webHidden/>
          </w:rPr>
          <w:t>6</w:t>
        </w:r>
        <w:r w:rsidR="00D060AD" w:rsidRPr="00752CD0">
          <w:rPr>
            <w:webHidden/>
          </w:rPr>
          <w:fldChar w:fldCharType="end"/>
        </w:r>
      </w:hyperlink>
    </w:p>
    <w:p w:rsidR="00D060AD" w:rsidRPr="00752CD0" w:rsidRDefault="00AA1C07">
      <w:pPr>
        <w:pStyle w:val="TOC2"/>
        <w:rPr>
          <w:rFonts w:eastAsia="Times New Roman"/>
          <w:bdr w:val="none" w:sz="0" w:space="0" w:color="auto"/>
          <w:lang w:val="es-ES" w:eastAsia="es-ES"/>
        </w:rPr>
      </w:pPr>
      <w:hyperlink w:anchor="_Toc529792392" w:history="1">
        <w:r w:rsidR="00D060AD" w:rsidRPr="00752CD0">
          <w:rPr>
            <w:rStyle w:val="Hyperlink"/>
          </w:rPr>
          <w:t>C.</w:t>
        </w:r>
        <w:r w:rsidR="00D060AD" w:rsidRPr="00752CD0">
          <w:rPr>
            <w:rFonts w:eastAsia="Times New Roman"/>
            <w:bdr w:val="none" w:sz="0" w:space="0" w:color="auto"/>
            <w:lang w:val="es-ES" w:eastAsia="es-ES"/>
          </w:rPr>
          <w:tab/>
        </w:r>
        <w:r w:rsidR="00D060AD" w:rsidRPr="00752CD0">
          <w:rPr>
            <w:rStyle w:val="Hyperlink"/>
          </w:rPr>
          <w:t>Plazo de presentación</w:t>
        </w:r>
        <w:r w:rsidR="00D060AD" w:rsidRPr="00752CD0">
          <w:rPr>
            <w:webHidden/>
          </w:rPr>
          <w:tab/>
        </w:r>
        <w:r w:rsidR="00D060AD" w:rsidRPr="00752CD0">
          <w:rPr>
            <w:webHidden/>
          </w:rPr>
          <w:fldChar w:fldCharType="begin"/>
        </w:r>
        <w:r w:rsidR="00D060AD" w:rsidRPr="00752CD0">
          <w:rPr>
            <w:webHidden/>
          </w:rPr>
          <w:instrText xml:space="preserve"> PAGEREF _Toc529792392 \h </w:instrText>
        </w:r>
        <w:r w:rsidR="00D060AD" w:rsidRPr="00752CD0">
          <w:rPr>
            <w:webHidden/>
          </w:rPr>
        </w:r>
        <w:r w:rsidR="00D060AD" w:rsidRPr="00752CD0">
          <w:rPr>
            <w:webHidden/>
          </w:rPr>
          <w:fldChar w:fldCharType="separate"/>
        </w:r>
        <w:r w:rsidR="00B455EB">
          <w:rPr>
            <w:webHidden/>
          </w:rPr>
          <w:t>7</w:t>
        </w:r>
        <w:r w:rsidR="00D060AD" w:rsidRPr="00752CD0">
          <w:rPr>
            <w:webHidden/>
          </w:rPr>
          <w:fldChar w:fldCharType="end"/>
        </w:r>
      </w:hyperlink>
    </w:p>
    <w:p w:rsidR="00D060AD" w:rsidRPr="00752CD0" w:rsidRDefault="00AA1C07">
      <w:pPr>
        <w:pStyle w:val="TOC2"/>
        <w:rPr>
          <w:rFonts w:eastAsia="Times New Roman"/>
          <w:bdr w:val="none" w:sz="0" w:space="0" w:color="auto"/>
          <w:lang w:val="es-ES" w:eastAsia="es-ES"/>
        </w:rPr>
      </w:pPr>
      <w:hyperlink w:anchor="_Toc529792393" w:history="1">
        <w:r w:rsidR="00D060AD" w:rsidRPr="00752CD0">
          <w:rPr>
            <w:rStyle w:val="Hyperlink"/>
          </w:rPr>
          <w:t>D.</w:t>
        </w:r>
        <w:r w:rsidR="00D060AD" w:rsidRPr="00752CD0">
          <w:rPr>
            <w:rFonts w:eastAsia="Times New Roman"/>
            <w:bdr w:val="none" w:sz="0" w:space="0" w:color="auto"/>
            <w:lang w:val="es-ES" w:eastAsia="es-ES"/>
          </w:rPr>
          <w:tab/>
        </w:r>
        <w:r w:rsidR="00D060AD" w:rsidRPr="00752CD0">
          <w:rPr>
            <w:rStyle w:val="Hyperlink"/>
          </w:rPr>
          <w:t>Duplicación de procedimientos y cosa juzgada</w:t>
        </w:r>
        <w:r w:rsidR="00D060AD" w:rsidRPr="00752CD0">
          <w:rPr>
            <w:webHidden/>
          </w:rPr>
          <w:tab/>
        </w:r>
        <w:r w:rsidR="00D060AD" w:rsidRPr="00752CD0">
          <w:rPr>
            <w:webHidden/>
          </w:rPr>
          <w:fldChar w:fldCharType="begin"/>
        </w:r>
        <w:r w:rsidR="00D060AD" w:rsidRPr="00752CD0">
          <w:rPr>
            <w:webHidden/>
          </w:rPr>
          <w:instrText xml:space="preserve"> PAGEREF _Toc529792393 \h </w:instrText>
        </w:r>
        <w:r w:rsidR="00D060AD" w:rsidRPr="00752CD0">
          <w:rPr>
            <w:webHidden/>
          </w:rPr>
        </w:r>
        <w:r w:rsidR="00D060AD" w:rsidRPr="00752CD0">
          <w:rPr>
            <w:webHidden/>
          </w:rPr>
          <w:fldChar w:fldCharType="separate"/>
        </w:r>
        <w:r w:rsidR="00B455EB">
          <w:rPr>
            <w:webHidden/>
          </w:rPr>
          <w:t>7</w:t>
        </w:r>
        <w:r w:rsidR="00D060AD" w:rsidRPr="00752CD0">
          <w:rPr>
            <w:webHidden/>
          </w:rPr>
          <w:fldChar w:fldCharType="end"/>
        </w:r>
      </w:hyperlink>
    </w:p>
    <w:p w:rsidR="00D060AD" w:rsidRPr="00752CD0" w:rsidRDefault="00AA1C07">
      <w:pPr>
        <w:pStyle w:val="TOC2"/>
        <w:rPr>
          <w:rFonts w:eastAsia="Times New Roman"/>
          <w:bdr w:val="none" w:sz="0" w:space="0" w:color="auto"/>
          <w:lang w:val="es-ES" w:eastAsia="es-ES"/>
        </w:rPr>
      </w:pPr>
      <w:hyperlink w:anchor="_Toc529792394" w:history="1">
        <w:r w:rsidR="00D060AD" w:rsidRPr="00752CD0">
          <w:rPr>
            <w:rStyle w:val="Hyperlink"/>
          </w:rPr>
          <w:t>E.</w:t>
        </w:r>
        <w:r w:rsidR="00D060AD" w:rsidRPr="00752CD0">
          <w:rPr>
            <w:rFonts w:eastAsia="Times New Roman"/>
            <w:bdr w:val="none" w:sz="0" w:space="0" w:color="auto"/>
            <w:lang w:val="es-ES" w:eastAsia="es-ES"/>
          </w:rPr>
          <w:tab/>
        </w:r>
        <w:r w:rsidR="00D060AD" w:rsidRPr="00752CD0">
          <w:rPr>
            <w:rStyle w:val="Hyperlink"/>
          </w:rPr>
          <w:t>Caracterización de los hechos alegados</w:t>
        </w:r>
        <w:r w:rsidR="00D060AD" w:rsidRPr="00752CD0">
          <w:rPr>
            <w:webHidden/>
          </w:rPr>
          <w:tab/>
        </w:r>
        <w:r w:rsidR="00D060AD" w:rsidRPr="00752CD0">
          <w:rPr>
            <w:webHidden/>
          </w:rPr>
          <w:fldChar w:fldCharType="begin"/>
        </w:r>
        <w:r w:rsidR="00D060AD" w:rsidRPr="00752CD0">
          <w:rPr>
            <w:webHidden/>
          </w:rPr>
          <w:instrText xml:space="preserve"> PAGEREF _Toc529792394 \h </w:instrText>
        </w:r>
        <w:r w:rsidR="00D060AD" w:rsidRPr="00752CD0">
          <w:rPr>
            <w:webHidden/>
          </w:rPr>
        </w:r>
        <w:r w:rsidR="00D060AD" w:rsidRPr="00752CD0">
          <w:rPr>
            <w:webHidden/>
          </w:rPr>
          <w:fldChar w:fldCharType="separate"/>
        </w:r>
        <w:r w:rsidR="00B455EB">
          <w:rPr>
            <w:webHidden/>
          </w:rPr>
          <w:t>8</w:t>
        </w:r>
        <w:r w:rsidR="00D060AD" w:rsidRPr="00752CD0">
          <w:rPr>
            <w:webHidden/>
          </w:rPr>
          <w:fldChar w:fldCharType="end"/>
        </w:r>
      </w:hyperlink>
    </w:p>
    <w:p w:rsidR="00D060AD" w:rsidRPr="00752CD0" w:rsidRDefault="00AA1C07">
      <w:pPr>
        <w:pStyle w:val="TOC1"/>
        <w:rPr>
          <w:rFonts w:ascii="Cambria" w:eastAsia="Times New Roman" w:hAnsi="Cambria"/>
          <w:noProof/>
          <w:sz w:val="20"/>
          <w:szCs w:val="20"/>
          <w:bdr w:val="none" w:sz="0" w:space="0" w:color="auto"/>
          <w:lang w:val="es-ES" w:eastAsia="es-ES"/>
        </w:rPr>
      </w:pPr>
      <w:hyperlink w:anchor="_Toc529792395" w:history="1">
        <w:r w:rsidR="00D060AD" w:rsidRPr="00937132">
          <w:rPr>
            <w:rStyle w:val="Hyperlink"/>
            <w:rFonts w:ascii="Cambria" w:hAnsi="Cambria"/>
            <w:b/>
            <w:noProof/>
            <w:sz w:val="20"/>
            <w:szCs w:val="20"/>
          </w:rPr>
          <w:t>V.</w:t>
        </w:r>
        <w:r w:rsidR="00D060AD" w:rsidRPr="00937132">
          <w:rPr>
            <w:rFonts w:ascii="Cambria" w:eastAsia="Times New Roman" w:hAnsi="Cambria"/>
            <w:b/>
            <w:noProof/>
            <w:sz w:val="20"/>
            <w:szCs w:val="20"/>
            <w:bdr w:val="none" w:sz="0" w:space="0" w:color="auto"/>
            <w:lang w:val="es-ES" w:eastAsia="es-ES"/>
          </w:rPr>
          <w:tab/>
        </w:r>
        <w:r w:rsidR="00D060AD" w:rsidRPr="00937132">
          <w:rPr>
            <w:rStyle w:val="Hyperlink"/>
            <w:rFonts w:ascii="Cambria" w:hAnsi="Cambria"/>
            <w:b/>
            <w:noProof/>
            <w:sz w:val="20"/>
            <w:szCs w:val="20"/>
          </w:rPr>
          <w:t>ANÁLISIS DE FONDO</w:t>
        </w:r>
        <w:r w:rsidR="00D060AD" w:rsidRPr="00752CD0">
          <w:rPr>
            <w:rFonts w:ascii="Cambria" w:hAnsi="Cambria"/>
            <w:noProof/>
            <w:webHidden/>
            <w:sz w:val="20"/>
            <w:szCs w:val="20"/>
          </w:rPr>
          <w:tab/>
        </w:r>
        <w:r w:rsidR="00D060AD" w:rsidRPr="00752CD0">
          <w:rPr>
            <w:rFonts w:ascii="Cambria" w:hAnsi="Cambria"/>
            <w:noProof/>
            <w:webHidden/>
            <w:sz w:val="20"/>
            <w:szCs w:val="20"/>
          </w:rPr>
          <w:fldChar w:fldCharType="begin"/>
        </w:r>
        <w:r w:rsidR="00D060AD" w:rsidRPr="00752CD0">
          <w:rPr>
            <w:rFonts w:ascii="Cambria" w:hAnsi="Cambria"/>
            <w:noProof/>
            <w:webHidden/>
            <w:sz w:val="20"/>
            <w:szCs w:val="20"/>
          </w:rPr>
          <w:instrText xml:space="preserve"> PAGEREF _Toc529792395 \h </w:instrText>
        </w:r>
        <w:r w:rsidR="00D060AD" w:rsidRPr="00752CD0">
          <w:rPr>
            <w:rFonts w:ascii="Cambria" w:hAnsi="Cambria"/>
            <w:noProof/>
            <w:webHidden/>
            <w:sz w:val="20"/>
            <w:szCs w:val="20"/>
          </w:rPr>
        </w:r>
        <w:r w:rsidR="00D060AD" w:rsidRPr="00752CD0">
          <w:rPr>
            <w:rFonts w:ascii="Cambria" w:hAnsi="Cambria"/>
            <w:noProof/>
            <w:webHidden/>
            <w:sz w:val="20"/>
            <w:szCs w:val="20"/>
          </w:rPr>
          <w:fldChar w:fldCharType="separate"/>
        </w:r>
        <w:r w:rsidR="00B455EB">
          <w:rPr>
            <w:rFonts w:ascii="Cambria" w:hAnsi="Cambria"/>
            <w:noProof/>
            <w:webHidden/>
            <w:sz w:val="20"/>
            <w:szCs w:val="20"/>
          </w:rPr>
          <w:t>8</w:t>
        </w:r>
        <w:r w:rsidR="00D060AD" w:rsidRPr="00752CD0">
          <w:rPr>
            <w:rFonts w:ascii="Cambria" w:hAnsi="Cambria"/>
            <w:noProof/>
            <w:webHidden/>
            <w:sz w:val="20"/>
            <w:szCs w:val="20"/>
          </w:rPr>
          <w:fldChar w:fldCharType="end"/>
        </w:r>
      </w:hyperlink>
    </w:p>
    <w:p w:rsidR="00D060AD" w:rsidRPr="00752CD0" w:rsidRDefault="00AA1C07">
      <w:pPr>
        <w:pStyle w:val="TOC2"/>
        <w:rPr>
          <w:rFonts w:eastAsia="Times New Roman"/>
          <w:bdr w:val="none" w:sz="0" w:space="0" w:color="auto"/>
          <w:lang w:val="es-ES" w:eastAsia="es-ES"/>
        </w:rPr>
      </w:pPr>
      <w:hyperlink w:anchor="_Toc529792396" w:history="1">
        <w:r w:rsidR="00D060AD" w:rsidRPr="00752CD0">
          <w:rPr>
            <w:rStyle w:val="Hyperlink"/>
          </w:rPr>
          <w:t>A.</w:t>
        </w:r>
        <w:r w:rsidR="00D060AD" w:rsidRPr="00752CD0">
          <w:rPr>
            <w:rFonts w:eastAsia="Times New Roman"/>
            <w:bdr w:val="none" w:sz="0" w:space="0" w:color="auto"/>
            <w:lang w:val="es-ES" w:eastAsia="es-ES"/>
          </w:rPr>
          <w:tab/>
        </w:r>
        <w:r w:rsidR="00D060AD" w:rsidRPr="00752CD0">
          <w:rPr>
            <w:rStyle w:val="Hyperlink"/>
          </w:rPr>
          <w:t>Hechos probados</w:t>
        </w:r>
        <w:r w:rsidR="00D060AD" w:rsidRPr="00752CD0">
          <w:rPr>
            <w:webHidden/>
          </w:rPr>
          <w:tab/>
        </w:r>
        <w:r w:rsidR="00D060AD" w:rsidRPr="00752CD0">
          <w:rPr>
            <w:webHidden/>
          </w:rPr>
          <w:fldChar w:fldCharType="begin"/>
        </w:r>
        <w:r w:rsidR="00D060AD" w:rsidRPr="00752CD0">
          <w:rPr>
            <w:webHidden/>
          </w:rPr>
          <w:instrText xml:space="preserve"> PAGEREF _Toc529792396 \h </w:instrText>
        </w:r>
        <w:r w:rsidR="00D060AD" w:rsidRPr="00752CD0">
          <w:rPr>
            <w:webHidden/>
          </w:rPr>
        </w:r>
        <w:r w:rsidR="00D060AD" w:rsidRPr="00752CD0">
          <w:rPr>
            <w:webHidden/>
          </w:rPr>
          <w:fldChar w:fldCharType="separate"/>
        </w:r>
        <w:r w:rsidR="00B455EB">
          <w:rPr>
            <w:webHidden/>
          </w:rPr>
          <w:t>8</w:t>
        </w:r>
        <w:r w:rsidR="00D060AD" w:rsidRPr="00752CD0">
          <w:rPr>
            <w:webHidden/>
          </w:rPr>
          <w:fldChar w:fldCharType="end"/>
        </w:r>
      </w:hyperlink>
    </w:p>
    <w:p w:rsidR="00D060AD" w:rsidRPr="00752CD0" w:rsidRDefault="00AA1C07">
      <w:pPr>
        <w:pStyle w:val="TOC3"/>
        <w:rPr>
          <w:rFonts w:ascii="Cambria" w:eastAsia="Times New Roman" w:hAnsi="Cambria"/>
          <w:noProof/>
          <w:sz w:val="20"/>
          <w:szCs w:val="20"/>
          <w:bdr w:val="none" w:sz="0" w:space="0" w:color="auto"/>
          <w:lang w:val="es-ES" w:eastAsia="es-ES"/>
        </w:rPr>
      </w:pPr>
      <w:hyperlink w:anchor="_Toc529792397" w:history="1">
        <w:r w:rsidR="00D060AD" w:rsidRPr="00752CD0">
          <w:rPr>
            <w:rStyle w:val="Hyperlink"/>
            <w:rFonts w:ascii="Cambria" w:hAnsi="Cambria"/>
            <w:noProof/>
            <w:sz w:val="20"/>
            <w:szCs w:val="20"/>
            <w:lang w:val="es-ES"/>
          </w:rPr>
          <w:t>1.</w:t>
        </w:r>
        <w:r w:rsidR="00D060AD" w:rsidRPr="00752CD0">
          <w:rPr>
            <w:rFonts w:ascii="Cambria" w:eastAsia="Times New Roman" w:hAnsi="Cambria"/>
            <w:noProof/>
            <w:sz w:val="20"/>
            <w:szCs w:val="20"/>
            <w:bdr w:val="none" w:sz="0" w:space="0" w:color="auto"/>
            <w:lang w:val="es-ES" w:eastAsia="es-ES"/>
          </w:rPr>
          <w:tab/>
        </w:r>
        <w:r w:rsidR="00D060AD" w:rsidRPr="00752CD0">
          <w:rPr>
            <w:rStyle w:val="Hyperlink"/>
            <w:rFonts w:ascii="Cambria" w:hAnsi="Cambria"/>
            <w:noProof/>
            <w:sz w:val="20"/>
            <w:szCs w:val="20"/>
            <w:lang w:val="es-ES"/>
          </w:rPr>
          <w:t>Sobre Jorge Darwin García y su familia</w:t>
        </w:r>
        <w:r w:rsidR="00D060AD" w:rsidRPr="00752CD0">
          <w:rPr>
            <w:rFonts w:ascii="Cambria" w:hAnsi="Cambria"/>
            <w:noProof/>
            <w:webHidden/>
            <w:sz w:val="20"/>
            <w:szCs w:val="20"/>
          </w:rPr>
          <w:tab/>
        </w:r>
        <w:r w:rsidR="00D060AD" w:rsidRPr="00752CD0">
          <w:rPr>
            <w:rFonts w:ascii="Cambria" w:hAnsi="Cambria"/>
            <w:noProof/>
            <w:webHidden/>
            <w:sz w:val="20"/>
            <w:szCs w:val="20"/>
          </w:rPr>
          <w:fldChar w:fldCharType="begin"/>
        </w:r>
        <w:r w:rsidR="00D060AD" w:rsidRPr="00752CD0">
          <w:rPr>
            <w:rFonts w:ascii="Cambria" w:hAnsi="Cambria"/>
            <w:noProof/>
            <w:webHidden/>
            <w:sz w:val="20"/>
            <w:szCs w:val="20"/>
          </w:rPr>
          <w:instrText xml:space="preserve"> PAGEREF _Toc529792397 \h </w:instrText>
        </w:r>
        <w:r w:rsidR="00D060AD" w:rsidRPr="00752CD0">
          <w:rPr>
            <w:rFonts w:ascii="Cambria" w:hAnsi="Cambria"/>
            <w:noProof/>
            <w:webHidden/>
            <w:sz w:val="20"/>
            <w:szCs w:val="20"/>
          </w:rPr>
        </w:r>
        <w:r w:rsidR="00D060AD" w:rsidRPr="00752CD0">
          <w:rPr>
            <w:rFonts w:ascii="Cambria" w:hAnsi="Cambria"/>
            <w:noProof/>
            <w:webHidden/>
            <w:sz w:val="20"/>
            <w:szCs w:val="20"/>
          </w:rPr>
          <w:fldChar w:fldCharType="separate"/>
        </w:r>
        <w:r w:rsidR="00B455EB">
          <w:rPr>
            <w:rFonts w:ascii="Cambria" w:hAnsi="Cambria"/>
            <w:noProof/>
            <w:webHidden/>
            <w:sz w:val="20"/>
            <w:szCs w:val="20"/>
          </w:rPr>
          <w:t>8</w:t>
        </w:r>
        <w:r w:rsidR="00D060AD" w:rsidRPr="00752CD0">
          <w:rPr>
            <w:rFonts w:ascii="Cambria" w:hAnsi="Cambria"/>
            <w:noProof/>
            <w:webHidden/>
            <w:sz w:val="20"/>
            <w:szCs w:val="20"/>
          </w:rPr>
          <w:fldChar w:fldCharType="end"/>
        </w:r>
      </w:hyperlink>
    </w:p>
    <w:p w:rsidR="00D060AD" w:rsidRPr="00752CD0" w:rsidRDefault="00AA1C07">
      <w:pPr>
        <w:pStyle w:val="TOC3"/>
        <w:rPr>
          <w:rFonts w:ascii="Cambria" w:eastAsia="Times New Roman" w:hAnsi="Cambria"/>
          <w:noProof/>
          <w:sz w:val="20"/>
          <w:szCs w:val="20"/>
          <w:bdr w:val="none" w:sz="0" w:space="0" w:color="auto"/>
          <w:lang w:val="es-ES" w:eastAsia="es-ES"/>
        </w:rPr>
      </w:pPr>
      <w:hyperlink w:anchor="_Toc529792398" w:history="1">
        <w:r w:rsidR="00D060AD" w:rsidRPr="00752CD0">
          <w:rPr>
            <w:rStyle w:val="Hyperlink"/>
            <w:rFonts w:ascii="Cambria" w:hAnsi="Cambria"/>
            <w:noProof/>
            <w:sz w:val="20"/>
            <w:szCs w:val="20"/>
            <w:lang w:val="es-ES"/>
          </w:rPr>
          <w:t>2.</w:t>
        </w:r>
        <w:r w:rsidR="00D060AD" w:rsidRPr="00752CD0">
          <w:rPr>
            <w:rFonts w:ascii="Cambria" w:eastAsia="Times New Roman" w:hAnsi="Cambria"/>
            <w:noProof/>
            <w:sz w:val="20"/>
            <w:szCs w:val="20"/>
            <w:bdr w:val="none" w:sz="0" w:space="0" w:color="auto"/>
            <w:lang w:val="es-ES" w:eastAsia="es-ES"/>
          </w:rPr>
          <w:tab/>
        </w:r>
        <w:r w:rsidR="00D060AD" w:rsidRPr="00752CD0">
          <w:rPr>
            <w:rStyle w:val="Hyperlink"/>
            <w:rFonts w:ascii="Cambria" w:hAnsi="Cambria"/>
            <w:noProof/>
            <w:sz w:val="20"/>
            <w:szCs w:val="20"/>
            <w:lang w:val="es-ES"/>
          </w:rPr>
          <w:t xml:space="preserve">Sobre la muerte de Jorge Darwin García y las lesiones de </w:t>
        </w:r>
        <w:r w:rsidR="00D060AD" w:rsidRPr="00752CD0">
          <w:rPr>
            <w:rStyle w:val="Hyperlink"/>
            <w:rFonts w:ascii="Cambria" w:hAnsi="Cambria"/>
            <w:noProof/>
            <w:sz w:val="20"/>
            <w:szCs w:val="20"/>
            <w:lang w:val="es-CR"/>
          </w:rPr>
          <w:t>Franklin Plutarco</w:t>
        </w:r>
        <w:r w:rsidR="00D060AD" w:rsidRPr="00752CD0">
          <w:rPr>
            <w:rFonts w:ascii="Cambria" w:hAnsi="Cambria"/>
            <w:noProof/>
            <w:webHidden/>
            <w:sz w:val="20"/>
            <w:szCs w:val="20"/>
          </w:rPr>
          <w:tab/>
        </w:r>
        <w:r w:rsidR="00D060AD" w:rsidRPr="00752CD0">
          <w:rPr>
            <w:rFonts w:ascii="Cambria" w:hAnsi="Cambria"/>
            <w:noProof/>
            <w:webHidden/>
            <w:sz w:val="20"/>
            <w:szCs w:val="20"/>
          </w:rPr>
          <w:fldChar w:fldCharType="begin"/>
        </w:r>
        <w:r w:rsidR="00D060AD" w:rsidRPr="00752CD0">
          <w:rPr>
            <w:rFonts w:ascii="Cambria" w:hAnsi="Cambria"/>
            <w:noProof/>
            <w:webHidden/>
            <w:sz w:val="20"/>
            <w:szCs w:val="20"/>
          </w:rPr>
          <w:instrText xml:space="preserve"> PAGEREF _Toc529792398 \h </w:instrText>
        </w:r>
        <w:r w:rsidR="00D060AD" w:rsidRPr="00752CD0">
          <w:rPr>
            <w:rFonts w:ascii="Cambria" w:hAnsi="Cambria"/>
            <w:noProof/>
            <w:webHidden/>
            <w:sz w:val="20"/>
            <w:szCs w:val="20"/>
          </w:rPr>
        </w:r>
        <w:r w:rsidR="00D060AD" w:rsidRPr="00752CD0">
          <w:rPr>
            <w:rFonts w:ascii="Cambria" w:hAnsi="Cambria"/>
            <w:noProof/>
            <w:webHidden/>
            <w:sz w:val="20"/>
            <w:szCs w:val="20"/>
          </w:rPr>
          <w:fldChar w:fldCharType="separate"/>
        </w:r>
        <w:r w:rsidR="00B455EB">
          <w:rPr>
            <w:rFonts w:ascii="Cambria" w:hAnsi="Cambria"/>
            <w:noProof/>
            <w:webHidden/>
            <w:sz w:val="20"/>
            <w:szCs w:val="20"/>
          </w:rPr>
          <w:t>9</w:t>
        </w:r>
        <w:r w:rsidR="00D060AD" w:rsidRPr="00752CD0">
          <w:rPr>
            <w:rFonts w:ascii="Cambria" w:hAnsi="Cambria"/>
            <w:noProof/>
            <w:webHidden/>
            <w:sz w:val="20"/>
            <w:szCs w:val="20"/>
          </w:rPr>
          <w:fldChar w:fldCharType="end"/>
        </w:r>
      </w:hyperlink>
    </w:p>
    <w:p w:rsidR="00D060AD" w:rsidRPr="00752CD0" w:rsidRDefault="00AA1C07">
      <w:pPr>
        <w:pStyle w:val="TOC3"/>
        <w:rPr>
          <w:rFonts w:ascii="Cambria" w:eastAsia="Times New Roman" w:hAnsi="Cambria"/>
          <w:noProof/>
          <w:sz w:val="20"/>
          <w:szCs w:val="20"/>
          <w:bdr w:val="none" w:sz="0" w:space="0" w:color="auto"/>
          <w:lang w:val="es-ES" w:eastAsia="es-ES"/>
        </w:rPr>
      </w:pPr>
      <w:hyperlink w:anchor="_Toc529792399" w:history="1">
        <w:r w:rsidR="00D060AD" w:rsidRPr="00752CD0">
          <w:rPr>
            <w:rStyle w:val="Hyperlink"/>
            <w:rFonts w:ascii="Cambria" w:hAnsi="Cambria"/>
            <w:noProof/>
            <w:sz w:val="20"/>
            <w:szCs w:val="20"/>
            <w:lang w:val="es-ES"/>
          </w:rPr>
          <w:t>3.</w:t>
        </w:r>
        <w:r w:rsidR="00D060AD" w:rsidRPr="00752CD0">
          <w:rPr>
            <w:rFonts w:ascii="Cambria" w:eastAsia="Times New Roman" w:hAnsi="Cambria"/>
            <w:noProof/>
            <w:sz w:val="20"/>
            <w:szCs w:val="20"/>
            <w:bdr w:val="none" w:sz="0" w:space="0" w:color="auto"/>
            <w:lang w:val="es-ES" w:eastAsia="es-ES"/>
          </w:rPr>
          <w:tab/>
        </w:r>
        <w:r w:rsidR="00D060AD" w:rsidRPr="00752CD0">
          <w:rPr>
            <w:rStyle w:val="Hyperlink"/>
            <w:rFonts w:ascii="Cambria" w:hAnsi="Cambria"/>
            <w:noProof/>
            <w:sz w:val="20"/>
            <w:szCs w:val="20"/>
            <w:lang w:val="es-ES"/>
          </w:rPr>
          <w:t>Procesos internos relacionados con la muerte de Jorge Darwin García</w:t>
        </w:r>
        <w:r w:rsidR="00D060AD" w:rsidRPr="00752CD0">
          <w:rPr>
            <w:rFonts w:ascii="Cambria" w:hAnsi="Cambria"/>
            <w:noProof/>
            <w:webHidden/>
            <w:sz w:val="20"/>
            <w:szCs w:val="20"/>
          </w:rPr>
          <w:tab/>
        </w:r>
        <w:r w:rsidR="00D060AD" w:rsidRPr="00752CD0">
          <w:rPr>
            <w:rFonts w:ascii="Cambria" w:hAnsi="Cambria"/>
            <w:noProof/>
            <w:webHidden/>
            <w:sz w:val="20"/>
            <w:szCs w:val="20"/>
          </w:rPr>
          <w:fldChar w:fldCharType="begin"/>
        </w:r>
        <w:r w:rsidR="00D060AD" w:rsidRPr="00752CD0">
          <w:rPr>
            <w:rFonts w:ascii="Cambria" w:hAnsi="Cambria"/>
            <w:noProof/>
            <w:webHidden/>
            <w:sz w:val="20"/>
            <w:szCs w:val="20"/>
          </w:rPr>
          <w:instrText xml:space="preserve"> PAGEREF _Toc529792399 \h </w:instrText>
        </w:r>
        <w:r w:rsidR="00D060AD" w:rsidRPr="00752CD0">
          <w:rPr>
            <w:rFonts w:ascii="Cambria" w:hAnsi="Cambria"/>
            <w:noProof/>
            <w:webHidden/>
            <w:sz w:val="20"/>
            <w:szCs w:val="20"/>
          </w:rPr>
        </w:r>
        <w:r w:rsidR="00D060AD" w:rsidRPr="00752CD0">
          <w:rPr>
            <w:rFonts w:ascii="Cambria" w:hAnsi="Cambria"/>
            <w:noProof/>
            <w:webHidden/>
            <w:sz w:val="20"/>
            <w:szCs w:val="20"/>
          </w:rPr>
          <w:fldChar w:fldCharType="separate"/>
        </w:r>
        <w:r w:rsidR="00B455EB">
          <w:rPr>
            <w:rFonts w:ascii="Cambria" w:hAnsi="Cambria"/>
            <w:noProof/>
            <w:webHidden/>
            <w:sz w:val="20"/>
            <w:szCs w:val="20"/>
          </w:rPr>
          <w:t>10</w:t>
        </w:r>
        <w:r w:rsidR="00D060AD" w:rsidRPr="00752CD0">
          <w:rPr>
            <w:rFonts w:ascii="Cambria" w:hAnsi="Cambria"/>
            <w:noProof/>
            <w:webHidden/>
            <w:sz w:val="20"/>
            <w:szCs w:val="20"/>
          </w:rPr>
          <w:fldChar w:fldCharType="end"/>
        </w:r>
      </w:hyperlink>
    </w:p>
    <w:p w:rsidR="00D060AD" w:rsidRPr="00752CD0" w:rsidRDefault="00AA1C07">
      <w:pPr>
        <w:pStyle w:val="TOC2"/>
        <w:rPr>
          <w:rFonts w:eastAsia="Times New Roman"/>
          <w:bdr w:val="none" w:sz="0" w:space="0" w:color="auto"/>
          <w:lang w:val="es-ES" w:eastAsia="es-ES"/>
        </w:rPr>
      </w:pPr>
      <w:hyperlink w:anchor="_Toc529792402" w:history="1">
        <w:r w:rsidR="00D060AD" w:rsidRPr="00752CD0">
          <w:rPr>
            <w:rStyle w:val="Hyperlink"/>
          </w:rPr>
          <w:t>B.</w:t>
        </w:r>
        <w:r w:rsidR="00D060AD" w:rsidRPr="00752CD0">
          <w:rPr>
            <w:rFonts w:eastAsia="Times New Roman"/>
            <w:bdr w:val="none" w:sz="0" w:space="0" w:color="auto"/>
            <w:lang w:val="es-ES" w:eastAsia="es-ES"/>
          </w:rPr>
          <w:tab/>
        </w:r>
        <w:r w:rsidR="00D060AD" w:rsidRPr="00752CD0">
          <w:rPr>
            <w:rStyle w:val="Hyperlink"/>
          </w:rPr>
          <w:t>Análisis de derecho</w:t>
        </w:r>
        <w:r w:rsidR="00D060AD" w:rsidRPr="00752CD0">
          <w:rPr>
            <w:webHidden/>
          </w:rPr>
          <w:tab/>
        </w:r>
        <w:r w:rsidR="00D060AD" w:rsidRPr="00752CD0">
          <w:rPr>
            <w:webHidden/>
          </w:rPr>
          <w:fldChar w:fldCharType="begin"/>
        </w:r>
        <w:r w:rsidR="00D060AD" w:rsidRPr="00752CD0">
          <w:rPr>
            <w:webHidden/>
          </w:rPr>
          <w:instrText xml:space="preserve"> PAGEREF _Toc529792402 \h </w:instrText>
        </w:r>
        <w:r w:rsidR="00D060AD" w:rsidRPr="00752CD0">
          <w:rPr>
            <w:webHidden/>
          </w:rPr>
        </w:r>
        <w:r w:rsidR="00D060AD" w:rsidRPr="00752CD0">
          <w:rPr>
            <w:webHidden/>
          </w:rPr>
          <w:fldChar w:fldCharType="separate"/>
        </w:r>
        <w:r w:rsidR="00B455EB">
          <w:rPr>
            <w:webHidden/>
          </w:rPr>
          <w:t>15</w:t>
        </w:r>
        <w:r w:rsidR="00D060AD" w:rsidRPr="00752CD0">
          <w:rPr>
            <w:webHidden/>
          </w:rPr>
          <w:fldChar w:fldCharType="end"/>
        </w:r>
      </w:hyperlink>
    </w:p>
    <w:p w:rsidR="00D060AD" w:rsidRPr="00752CD0" w:rsidRDefault="00AA1C07">
      <w:pPr>
        <w:pStyle w:val="TOC3"/>
        <w:rPr>
          <w:rFonts w:ascii="Cambria" w:eastAsia="Times New Roman" w:hAnsi="Cambria"/>
          <w:noProof/>
          <w:sz w:val="20"/>
          <w:szCs w:val="20"/>
          <w:bdr w:val="none" w:sz="0" w:space="0" w:color="auto"/>
          <w:lang w:val="es-ES" w:eastAsia="es-ES"/>
        </w:rPr>
      </w:pPr>
      <w:hyperlink w:anchor="_Toc529792403" w:history="1">
        <w:r w:rsidR="00D060AD" w:rsidRPr="00752CD0">
          <w:rPr>
            <w:rStyle w:val="Hyperlink"/>
            <w:rFonts w:ascii="Cambria" w:hAnsi="Cambria"/>
            <w:noProof/>
            <w:sz w:val="20"/>
            <w:szCs w:val="20"/>
            <w:lang w:val="es-ES"/>
          </w:rPr>
          <w:t>1.</w:t>
        </w:r>
        <w:r w:rsidR="00D060AD" w:rsidRPr="00752CD0">
          <w:rPr>
            <w:rFonts w:ascii="Cambria" w:eastAsia="Times New Roman" w:hAnsi="Cambria"/>
            <w:noProof/>
            <w:sz w:val="20"/>
            <w:szCs w:val="20"/>
            <w:bdr w:val="none" w:sz="0" w:space="0" w:color="auto"/>
            <w:lang w:val="es-ES" w:eastAsia="es-ES"/>
          </w:rPr>
          <w:tab/>
        </w:r>
        <w:r w:rsidR="00D060AD" w:rsidRPr="00752CD0">
          <w:rPr>
            <w:rStyle w:val="Hyperlink"/>
            <w:rFonts w:ascii="Cambria" w:hAnsi="Cambria"/>
            <w:noProof/>
            <w:sz w:val="20"/>
            <w:szCs w:val="20"/>
            <w:lang w:val="es-ES"/>
          </w:rPr>
          <w:t>Los derechos a la vida e integridad personal (artículos 4 y 5 de la Convención Americana en relación con el artículo 1.1 del mismo instrumento)</w:t>
        </w:r>
        <w:r w:rsidR="00D060AD" w:rsidRPr="00752CD0">
          <w:rPr>
            <w:rFonts w:ascii="Cambria" w:hAnsi="Cambria"/>
            <w:noProof/>
            <w:webHidden/>
            <w:sz w:val="20"/>
            <w:szCs w:val="20"/>
          </w:rPr>
          <w:tab/>
        </w:r>
        <w:r w:rsidR="00D060AD" w:rsidRPr="00752CD0">
          <w:rPr>
            <w:rFonts w:ascii="Cambria" w:hAnsi="Cambria"/>
            <w:noProof/>
            <w:webHidden/>
            <w:sz w:val="20"/>
            <w:szCs w:val="20"/>
          </w:rPr>
          <w:fldChar w:fldCharType="begin"/>
        </w:r>
        <w:r w:rsidR="00D060AD" w:rsidRPr="00752CD0">
          <w:rPr>
            <w:rFonts w:ascii="Cambria" w:hAnsi="Cambria"/>
            <w:noProof/>
            <w:webHidden/>
            <w:sz w:val="20"/>
            <w:szCs w:val="20"/>
          </w:rPr>
          <w:instrText xml:space="preserve"> PAGEREF _Toc529792403 \h </w:instrText>
        </w:r>
        <w:r w:rsidR="00D060AD" w:rsidRPr="00752CD0">
          <w:rPr>
            <w:rFonts w:ascii="Cambria" w:hAnsi="Cambria"/>
            <w:noProof/>
            <w:webHidden/>
            <w:sz w:val="20"/>
            <w:szCs w:val="20"/>
          </w:rPr>
        </w:r>
        <w:r w:rsidR="00D060AD" w:rsidRPr="00752CD0">
          <w:rPr>
            <w:rFonts w:ascii="Cambria" w:hAnsi="Cambria"/>
            <w:noProof/>
            <w:webHidden/>
            <w:sz w:val="20"/>
            <w:szCs w:val="20"/>
          </w:rPr>
          <w:fldChar w:fldCharType="separate"/>
        </w:r>
        <w:r w:rsidR="00B455EB">
          <w:rPr>
            <w:rFonts w:ascii="Cambria" w:hAnsi="Cambria"/>
            <w:noProof/>
            <w:webHidden/>
            <w:sz w:val="20"/>
            <w:szCs w:val="20"/>
          </w:rPr>
          <w:t>15</w:t>
        </w:r>
        <w:r w:rsidR="00D060AD" w:rsidRPr="00752CD0">
          <w:rPr>
            <w:rFonts w:ascii="Cambria" w:hAnsi="Cambria"/>
            <w:noProof/>
            <w:webHidden/>
            <w:sz w:val="20"/>
            <w:szCs w:val="20"/>
          </w:rPr>
          <w:fldChar w:fldCharType="end"/>
        </w:r>
      </w:hyperlink>
    </w:p>
    <w:p w:rsidR="00D060AD" w:rsidRPr="00752CD0" w:rsidRDefault="00AA1C07">
      <w:pPr>
        <w:pStyle w:val="TOC3"/>
        <w:rPr>
          <w:rFonts w:ascii="Cambria" w:eastAsia="Times New Roman" w:hAnsi="Cambria"/>
          <w:noProof/>
          <w:sz w:val="20"/>
          <w:szCs w:val="20"/>
          <w:bdr w:val="none" w:sz="0" w:space="0" w:color="auto"/>
          <w:lang w:val="es-ES" w:eastAsia="es-ES"/>
        </w:rPr>
      </w:pPr>
      <w:hyperlink w:anchor="_Toc529792404" w:history="1">
        <w:r w:rsidR="00D060AD" w:rsidRPr="00752CD0">
          <w:rPr>
            <w:rStyle w:val="Hyperlink"/>
            <w:rFonts w:ascii="Cambria" w:hAnsi="Cambria"/>
            <w:noProof/>
            <w:sz w:val="20"/>
            <w:szCs w:val="20"/>
            <w:lang w:val="es-ES"/>
          </w:rPr>
          <w:t>2.</w:t>
        </w:r>
        <w:r w:rsidR="00D060AD" w:rsidRPr="00752CD0">
          <w:rPr>
            <w:rFonts w:ascii="Cambria" w:eastAsia="Times New Roman" w:hAnsi="Cambria"/>
            <w:noProof/>
            <w:sz w:val="20"/>
            <w:szCs w:val="20"/>
            <w:bdr w:val="none" w:sz="0" w:space="0" w:color="auto"/>
            <w:lang w:val="es-ES" w:eastAsia="es-ES"/>
          </w:rPr>
          <w:tab/>
        </w:r>
        <w:r w:rsidR="00D060AD" w:rsidRPr="00752CD0">
          <w:rPr>
            <w:rStyle w:val="Hyperlink"/>
            <w:rFonts w:ascii="Cambria" w:hAnsi="Cambria"/>
            <w:noProof/>
            <w:sz w:val="20"/>
            <w:szCs w:val="20"/>
            <w:lang w:val="es-ES"/>
          </w:rPr>
          <w:t>Los derechos a las garantías judiciales y protección judicial respecto de las investigaciones y procesos iniciados por la muerte de Jorge Darwin García (artículos 8 y 25 de la Convención Americana en relación con los artículos 1.1 y 2 del mismo instrumento)</w:t>
        </w:r>
        <w:r w:rsidR="00D060AD" w:rsidRPr="00752CD0">
          <w:rPr>
            <w:rFonts w:ascii="Cambria" w:hAnsi="Cambria"/>
            <w:noProof/>
            <w:webHidden/>
            <w:sz w:val="20"/>
            <w:szCs w:val="20"/>
          </w:rPr>
          <w:tab/>
        </w:r>
        <w:r w:rsidR="00D060AD" w:rsidRPr="00752CD0">
          <w:rPr>
            <w:rFonts w:ascii="Cambria" w:hAnsi="Cambria"/>
            <w:noProof/>
            <w:webHidden/>
            <w:sz w:val="20"/>
            <w:szCs w:val="20"/>
          </w:rPr>
          <w:fldChar w:fldCharType="begin"/>
        </w:r>
        <w:r w:rsidR="00D060AD" w:rsidRPr="00752CD0">
          <w:rPr>
            <w:rFonts w:ascii="Cambria" w:hAnsi="Cambria"/>
            <w:noProof/>
            <w:webHidden/>
            <w:sz w:val="20"/>
            <w:szCs w:val="20"/>
          </w:rPr>
          <w:instrText xml:space="preserve"> PAGEREF _Toc529792404 \h </w:instrText>
        </w:r>
        <w:r w:rsidR="00D060AD" w:rsidRPr="00752CD0">
          <w:rPr>
            <w:rFonts w:ascii="Cambria" w:hAnsi="Cambria"/>
            <w:noProof/>
            <w:webHidden/>
            <w:sz w:val="20"/>
            <w:szCs w:val="20"/>
          </w:rPr>
        </w:r>
        <w:r w:rsidR="00D060AD" w:rsidRPr="00752CD0">
          <w:rPr>
            <w:rFonts w:ascii="Cambria" w:hAnsi="Cambria"/>
            <w:noProof/>
            <w:webHidden/>
            <w:sz w:val="20"/>
            <w:szCs w:val="20"/>
          </w:rPr>
          <w:fldChar w:fldCharType="separate"/>
        </w:r>
        <w:r w:rsidR="00B455EB">
          <w:rPr>
            <w:rFonts w:ascii="Cambria" w:hAnsi="Cambria"/>
            <w:noProof/>
            <w:webHidden/>
            <w:sz w:val="20"/>
            <w:szCs w:val="20"/>
          </w:rPr>
          <w:t>16</w:t>
        </w:r>
        <w:r w:rsidR="00D060AD" w:rsidRPr="00752CD0">
          <w:rPr>
            <w:rFonts w:ascii="Cambria" w:hAnsi="Cambria"/>
            <w:noProof/>
            <w:webHidden/>
            <w:sz w:val="20"/>
            <w:szCs w:val="20"/>
          </w:rPr>
          <w:fldChar w:fldCharType="end"/>
        </w:r>
      </w:hyperlink>
    </w:p>
    <w:p w:rsidR="00D060AD" w:rsidRPr="00752CD0" w:rsidRDefault="00AA1C07">
      <w:pPr>
        <w:pStyle w:val="TOC1"/>
        <w:rPr>
          <w:rFonts w:ascii="Cambria" w:eastAsia="Times New Roman" w:hAnsi="Cambria"/>
          <w:noProof/>
          <w:sz w:val="20"/>
          <w:szCs w:val="20"/>
          <w:bdr w:val="none" w:sz="0" w:space="0" w:color="auto"/>
          <w:lang w:val="es-ES" w:eastAsia="es-ES"/>
        </w:rPr>
      </w:pPr>
      <w:hyperlink w:anchor="_Toc529792405" w:history="1">
        <w:r w:rsidR="00D060AD" w:rsidRPr="00937132">
          <w:rPr>
            <w:rStyle w:val="Hyperlink"/>
            <w:rFonts w:ascii="Cambria" w:hAnsi="Cambria"/>
            <w:b/>
            <w:noProof/>
            <w:sz w:val="20"/>
            <w:szCs w:val="20"/>
          </w:rPr>
          <w:t>VI.</w:t>
        </w:r>
        <w:r w:rsidR="00D060AD" w:rsidRPr="00937132">
          <w:rPr>
            <w:rFonts w:ascii="Cambria" w:eastAsia="Times New Roman" w:hAnsi="Cambria"/>
            <w:b/>
            <w:noProof/>
            <w:sz w:val="20"/>
            <w:szCs w:val="20"/>
            <w:bdr w:val="none" w:sz="0" w:space="0" w:color="auto"/>
            <w:lang w:val="es-ES" w:eastAsia="es-ES"/>
          </w:rPr>
          <w:tab/>
        </w:r>
        <w:r w:rsidR="00D060AD" w:rsidRPr="00937132">
          <w:rPr>
            <w:rStyle w:val="Hyperlink"/>
            <w:rFonts w:ascii="Cambria" w:hAnsi="Cambria"/>
            <w:b/>
            <w:noProof/>
            <w:sz w:val="20"/>
            <w:szCs w:val="20"/>
          </w:rPr>
          <w:t>ACTUACIONES POSTERIORES AL INFORME No. 42/15</w:t>
        </w:r>
        <w:r w:rsidR="00D060AD" w:rsidRPr="00752CD0">
          <w:rPr>
            <w:rFonts w:ascii="Cambria" w:hAnsi="Cambria"/>
            <w:noProof/>
            <w:webHidden/>
            <w:sz w:val="20"/>
            <w:szCs w:val="20"/>
          </w:rPr>
          <w:tab/>
        </w:r>
        <w:r w:rsidR="00D060AD" w:rsidRPr="00752CD0">
          <w:rPr>
            <w:rFonts w:ascii="Cambria" w:hAnsi="Cambria"/>
            <w:noProof/>
            <w:webHidden/>
            <w:sz w:val="20"/>
            <w:szCs w:val="20"/>
          </w:rPr>
          <w:fldChar w:fldCharType="begin"/>
        </w:r>
        <w:r w:rsidR="00D060AD" w:rsidRPr="00752CD0">
          <w:rPr>
            <w:rFonts w:ascii="Cambria" w:hAnsi="Cambria"/>
            <w:noProof/>
            <w:webHidden/>
            <w:sz w:val="20"/>
            <w:szCs w:val="20"/>
          </w:rPr>
          <w:instrText xml:space="preserve"> PAGEREF _Toc529792405 \h </w:instrText>
        </w:r>
        <w:r w:rsidR="00D060AD" w:rsidRPr="00752CD0">
          <w:rPr>
            <w:rFonts w:ascii="Cambria" w:hAnsi="Cambria"/>
            <w:noProof/>
            <w:webHidden/>
            <w:sz w:val="20"/>
            <w:szCs w:val="20"/>
          </w:rPr>
        </w:r>
        <w:r w:rsidR="00D060AD" w:rsidRPr="00752CD0">
          <w:rPr>
            <w:rFonts w:ascii="Cambria" w:hAnsi="Cambria"/>
            <w:noProof/>
            <w:webHidden/>
            <w:sz w:val="20"/>
            <w:szCs w:val="20"/>
          </w:rPr>
          <w:fldChar w:fldCharType="separate"/>
        </w:r>
        <w:r w:rsidR="00B455EB">
          <w:rPr>
            <w:rFonts w:ascii="Cambria" w:hAnsi="Cambria"/>
            <w:noProof/>
            <w:webHidden/>
            <w:sz w:val="20"/>
            <w:szCs w:val="20"/>
          </w:rPr>
          <w:t>22</w:t>
        </w:r>
        <w:r w:rsidR="00D060AD" w:rsidRPr="00752CD0">
          <w:rPr>
            <w:rFonts w:ascii="Cambria" w:hAnsi="Cambria"/>
            <w:noProof/>
            <w:webHidden/>
            <w:sz w:val="20"/>
            <w:szCs w:val="20"/>
          </w:rPr>
          <w:fldChar w:fldCharType="end"/>
        </w:r>
      </w:hyperlink>
    </w:p>
    <w:p w:rsidR="00D060AD" w:rsidRPr="00752CD0" w:rsidRDefault="00AA1C07">
      <w:pPr>
        <w:pStyle w:val="TOC1"/>
        <w:rPr>
          <w:rFonts w:ascii="Cambria" w:eastAsia="Times New Roman" w:hAnsi="Cambria"/>
          <w:noProof/>
          <w:sz w:val="20"/>
          <w:szCs w:val="20"/>
          <w:bdr w:val="none" w:sz="0" w:space="0" w:color="auto"/>
          <w:lang w:val="es-ES" w:eastAsia="es-ES"/>
        </w:rPr>
      </w:pPr>
      <w:hyperlink w:anchor="_Toc529792406" w:history="1">
        <w:r w:rsidR="00D060AD" w:rsidRPr="00937132">
          <w:rPr>
            <w:rStyle w:val="Hyperlink"/>
            <w:rFonts w:ascii="Cambria" w:hAnsi="Cambria"/>
            <w:b/>
            <w:noProof/>
            <w:sz w:val="20"/>
            <w:szCs w:val="20"/>
          </w:rPr>
          <w:t>VII.</w:t>
        </w:r>
        <w:r w:rsidR="00D060AD" w:rsidRPr="00937132">
          <w:rPr>
            <w:rFonts w:ascii="Cambria" w:eastAsia="Times New Roman" w:hAnsi="Cambria"/>
            <w:b/>
            <w:noProof/>
            <w:sz w:val="20"/>
            <w:szCs w:val="20"/>
            <w:bdr w:val="none" w:sz="0" w:space="0" w:color="auto"/>
            <w:lang w:val="es-ES" w:eastAsia="es-ES"/>
          </w:rPr>
          <w:tab/>
        </w:r>
        <w:r w:rsidR="00D060AD" w:rsidRPr="00937132">
          <w:rPr>
            <w:rStyle w:val="Hyperlink"/>
            <w:rFonts w:ascii="Cambria" w:hAnsi="Cambria"/>
            <w:b/>
            <w:noProof/>
            <w:sz w:val="20"/>
            <w:szCs w:val="20"/>
          </w:rPr>
          <w:t>ACTUACIONES POSTERIORES AL INFORME No. 69/18</w:t>
        </w:r>
        <w:r w:rsidR="00D060AD" w:rsidRPr="00752CD0">
          <w:rPr>
            <w:rFonts w:ascii="Cambria" w:hAnsi="Cambria"/>
            <w:noProof/>
            <w:webHidden/>
            <w:sz w:val="20"/>
            <w:szCs w:val="20"/>
          </w:rPr>
          <w:tab/>
        </w:r>
        <w:r w:rsidR="00D060AD" w:rsidRPr="00752CD0">
          <w:rPr>
            <w:rFonts w:ascii="Cambria" w:hAnsi="Cambria"/>
            <w:noProof/>
            <w:webHidden/>
            <w:sz w:val="20"/>
            <w:szCs w:val="20"/>
          </w:rPr>
          <w:fldChar w:fldCharType="begin"/>
        </w:r>
        <w:r w:rsidR="00D060AD" w:rsidRPr="00752CD0">
          <w:rPr>
            <w:rFonts w:ascii="Cambria" w:hAnsi="Cambria"/>
            <w:noProof/>
            <w:webHidden/>
            <w:sz w:val="20"/>
            <w:szCs w:val="20"/>
          </w:rPr>
          <w:instrText xml:space="preserve"> PAGEREF _Toc529792406 \h </w:instrText>
        </w:r>
        <w:r w:rsidR="00D060AD" w:rsidRPr="00752CD0">
          <w:rPr>
            <w:rFonts w:ascii="Cambria" w:hAnsi="Cambria"/>
            <w:noProof/>
            <w:webHidden/>
            <w:sz w:val="20"/>
            <w:szCs w:val="20"/>
          </w:rPr>
        </w:r>
        <w:r w:rsidR="00D060AD" w:rsidRPr="00752CD0">
          <w:rPr>
            <w:rFonts w:ascii="Cambria" w:hAnsi="Cambria"/>
            <w:noProof/>
            <w:webHidden/>
            <w:sz w:val="20"/>
            <w:szCs w:val="20"/>
          </w:rPr>
          <w:fldChar w:fldCharType="separate"/>
        </w:r>
        <w:r w:rsidR="00B455EB">
          <w:rPr>
            <w:rFonts w:ascii="Cambria" w:hAnsi="Cambria"/>
            <w:noProof/>
            <w:webHidden/>
            <w:sz w:val="20"/>
            <w:szCs w:val="20"/>
          </w:rPr>
          <w:t>22</w:t>
        </w:r>
        <w:r w:rsidR="00D060AD" w:rsidRPr="00752CD0">
          <w:rPr>
            <w:rFonts w:ascii="Cambria" w:hAnsi="Cambria"/>
            <w:noProof/>
            <w:webHidden/>
            <w:sz w:val="20"/>
            <w:szCs w:val="20"/>
          </w:rPr>
          <w:fldChar w:fldCharType="end"/>
        </w:r>
      </w:hyperlink>
    </w:p>
    <w:p w:rsidR="00D060AD" w:rsidRPr="00752CD0" w:rsidRDefault="00AA1C07">
      <w:pPr>
        <w:pStyle w:val="TOC1"/>
        <w:rPr>
          <w:rFonts w:ascii="Cambria" w:eastAsia="Times New Roman" w:hAnsi="Cambria"/>
          <w:noProof/>
          <w:sz w:val="20"/>
          <w:szCs w:val="20"/>
          <w:bdr w:val="none" w:sz="0" w:space="0" w:color="auto"/>
          <w:lang w:val="es-ES" w:eastAsia="es-ES"/>
        </w:rPr>
      </w:pPr>
      <w:hyperlink w:anchor="_Toc529792407" w:history="1">
        <w:r w:rsidR="00D060AD" w:rsidRPr="00937132">
          <w:rPr>
            <w:rStyle w:val="Hyperlink"/>
            <w:rFonts w:ascii="Cambria" w:hAnsi="Cambria"/>
            <w:b/>
            <w:noProof/>
            <w:sz w:val="20"/>
            <w:szCs w:val="20"/>
          </w:rPr>
          <w:t>VIII.</w:t>
        </w:r>
        <w:r w:rsidR="00D060AD" w:rsidRPr="00937132">
          <w:rPr>
            <w:rFonts w:ascii="Cambria" w:eastAsia="Times New Roman" w:hAnsi="Cambria"/>
            <w:b/>
            <w:noProof/>
            <w:sz w:val="20"/>
            <w:szCs w:val="20"/>
            <w:bdr w:val="none" w:sz="0" w:space="0" w:color="auto"/>
            <w:lang w:val="es-ES" w:eastAsia="es-ES"/>
          </w:rPr>
          <w:tab/>
        </w:r>
        <w:r w:rsidR="00D060AD" w:rsidRPr="00937132">
          <w:rPr>
            <w:rStyle w:val="Hyperlink"/>
            <w:rFonts w:ascii="Cambria" w:hAnsi="Cambria"/>
            <w:b/>
            <w:noProof/>
            <w:sz w:val="20"/>
            <w:szCs w:val="20"/>
          </w:rPr>
          <w:t>ANÁLISIS DEL CUMPLIMIENTO DE RECOMENDACIONES</w:t>
        </w:r>
        <w:r w:rsidR="00D060AD" w:rsidRPr="00752CD0">
          <w:rPr>
            <w:rFonts w:ascii="Cambria" w:hAnsi="Cambria"/>
            <w:noProof/>
            <w:webHidden/>
            <w:sz w:val="20"/>
            <w:szCs w:val="20"/>
          </w:rPr>
          <w:tab/>
        </w:r>
        <w:r w:rsidR="00D060AD" w:rsidRPr="00752CD0">
          <w:rPr>
            <w:rFonts w:ascii="Cambria" w:hAnsi="Cambria"/>
            <w:noProof/>
            <w:webHidden/>
            <w:sz w:val="20"/>
            <w:szCs w:val="20"/>
          </w:rPr>
          <w:fldChar w:fldCharType="begin"/>
        </w:r>
        <w:r w:rsidR="00D060AD" w:rsidRPr="00752CD0">
          <w:rPr>
            <w:rFonts w:ascii="Cambria" w:hAnsi="Cambria"/>
            <w:noProof/>
            <w:webHidden/>
            <w:sz w:val="20"/>
            <w:szCs w:val="20"/>
          </w:rPr>
          <w:instrText xml:space="preserve"> PAGEREF _Toc529792407 \h </w:instrText>
        </w:r>
        <w:r w:rsidR="00D060AD" w:rsidRPr="00752CD0">
          <w:rPr>
            <w:rFonts w:ascii="Cambria" w:hAnsi="Cambria"/>
            <w:noProof/>
            <w:webHidden/>
            <w:sz w:val="20"/>
            <w:szCs w:val="20"/>
          </w:rPr>
        </w:r>
        <w:r w:rsidR="00D060AD" w:rsidRPr="00752CD0">
          <w:rPr>
            <w:rFonts w:ascii="Cambria" w:hAnsi="Cambria"/>
            <w:noProof/>
            <w:webHidden/>
            <w:sz w:val="20"/>
            <w:szCs w:val="20"/>
          </w:rPr>
          <w:fldChar w:fldCharType="separate"/>
        </w:r>
        <w:r w:rsidR="00B455EB">
          <w:rPr>
            <w:rFonts w:ascii="Cambria" w:hAnsi="Cambria"/>
            <w:noProof/>
            <w:webHidden/>
            <w:sz w:val="20"/>
            <w:szCs w:val="20"/>
          </w:rPr>
          <w:t>23</w:t>
        </w:r>
        <w:r w:rsidR="00D060AD" w:rsidRPr="00752CD0">
          <w:rPr>
            <w:rFonts w:ascii="Cambria" w:hAnsi="Cambria"/>
            <w:noProof/>
            <w:webHidden/>
            <w:sz w:val="20"/>
            <w:szCs w:val="20"/>
          </w:rPr>
          <w:fldChar w:fldCharType="end"/>
        </w:r>
      </w:hyperlink>
    </w:p>
    <w:p w:rsidR="00D060AD" w:rsidRPr="00752CD0" w:rsidRDefault="00AA1C07">
      <w:pPr>
        <w:pStyle w:val="TOC1"/>
        <w:rPr>
          <w:rFonts w:ascii="Cambria" w:eastAsia="Times New Roman" w:hAnsi="Cambria"/>
          <w:noProof/>
          <w:sz w:val="20"/>
          <w:szCs w:val="20"/>
          <w:bdr w:val="none" w:sz="0" w:space="0" w:color="auto"/>
          <w:lang w:val="es-ES" w:eastAsia="es-ES"/>
        </w:rPr>
      </w:pPr>
      <w:hyperlink w:anchor="_Toc529792408" w:history="1">
        <w:r w:rsidR="00D060AD" w:rsidRPr="00937132">
          <w:rPr>
            <w:rStyle w:val="Hyperlink"/>
            <w:rFonts w:ascii="Cambria" w:hAnsi="Cambria"/>
            <w:b/>
            <w:noProof/>
            <w:sz w:val="20"/>
            <w:szCs w:val="20"/>
          </w:rPr>
          <w:t>IX.</w:t>
        </w:r>
        <w:r w:rsidR="00D060AD" w:rsidRPr="00937132">
          <w:rPr>
            <w:rFonts w:ascii="Cambria" w:eastAsia="Times New Roman" w:hAnsi="Cambria"/>
            <w:b/>
            <w:noProof/>
            <w:sz w:val="20"/>
            <w:szCs w:val="20"/>
            <w:bdr w:val="none" w:sz="0" w:space="0" w:color="auto"/>
            <w:lang w:val="es-ES" w:eastAsia="es-ES"/>
          </w:rPr>
          <w:tab/>
        </w:r>
        <w:r w:rsidR="00D060AD" w:rsidRPr="00937132">
          <w:rPr>
            <w:rStyle w:val="Hyperlink"/>
            <w:rFonts w:ascii="Cambria" w:hAnsi="Cambria"/>
            <w:b/>
            <w:noProof/>
            <w:sz w:val="20"/>
            <w:szCs w:val="20"/>
          </w:rPr>
          <w:t>CONCLUSIONES FINALES Y RECOMENDACIONES</w:t>
        </w:r>
        <w:r w:rsidR="00D060AD" w:rsidRPr="00752CD0">
          <w:rPr>
            <w:rFonts w:ascii="Cambria" w:hAnsi="Cambria"/>
            <w:noProof/>
            <w:webHidden/>
            <w:sz w:val="20"/>
            <w:szCs w:val="20"/>
          </w:rPr>
          <w:tab/>
        </w:r>
        <w:r w:rsidR="00D060AD" w:rsidRPr="00752CD0">
          <w:rPr>
            <w:rFonts w:ascii="Cambria" w:hAnsi="Cambria"/>
            <w:noProof/>
            <w:webHidden/>
            <w:sz w:val="20"/>
            <w:szCs w:val="20"/>
          </w:rPr>
          <w:fldChar w:fldCharType="begin"/>
        </w:r>
        <w:r w:rsidR="00D060AD" w:rsidRPr="00752CD0">
          <w:rPr>
            <w:rFonts w:ascii="Cambria" w:hAnsi="Cambria"/>
            <w:noProof/>
            <w:webHidden/>
            <w:sz w:val="20"/>
            <w:szCs w:val="20"/>
          </w:rPr>
          <w:instrText xml:space="preserve"> PAGEREF _Toc529792408 \h </w:instrText>
        </w:r>
        <w:r w:rsidR="00D060AD" w:rsidRPr="00752CD0">
          <w:rPr>
            <w:rFonts w:ascii="Cambria" w:hAnsi="Cambria"/>
            <w:noProof/>
            <w:webHidden/>
            <w:sz w:val="20"/>
            <w:szCs w:val="20"/>
          </w:rPr>
        </w:r>
        <w:r w:rsidR="00D060AD" w:rsidRPr="00752CD0">
          <w:rPr>
            <w:rFonts w:ascii="Cambria" w:hAnsi="Cambria"/>
            <w:noProof/>
            <w:webHidden/>
            <w:sz w:val="20"/>
            <w:szCs w:val="20"/>
          </w:rPr>
          <w:fldChar w:fldCharType="separate"/>
        </w:r>
        <w:r w:rsidR="00B455EB">
          <w:rPr>
            <w:rFonts w:ascii="Cambria" w:hAnsi="Cambria"/>
            <w:noProof/>
            <w:webHidden/>
            <w:sz w:val="20"/>
            <w:szCs w:val="20"/>
          </w:rPr>
          <w:t>23</w:t>
        </w:r>
        <w:r w:rsidR="00D060AD" w:rsidRPr="00752CD0">
          <w:rPr>
            <w:rFonts w:ascii="Cambria" w:hAnsi="Cambria"/>
            <w:noProof/>
            <w:webHidden/>
            <w:sz w:val="20"/>
            <w:szCs w:val="20"/>
          </w:rPr>
          <w:fldChar w:fldCharType="end"/>
        </w:r>
      </w:hyperlink>
    </w:p>
    <w:p w:rsidR="00D060AD" w:rsidRPr="00752CD0" w:rsidRDefault="00AA1C07">
      <w:pPr>
        <w:pStyle w:val="TOC1"/>
        <w:rPr>
          <w:rFonts w:ascii="Cambria" w:eastAsia="Times New Roman" w:hAnsi="Cambria"/>
          <w:noProof/>
          <w:sz w:val="20"/>
          <w:szCs w:val="20"/>
          <w:bdr w:val="none" w:sz="0" w:space="0" w:color="auto"/>
          <w:lang w:val="es-ES" w:eastAsia="es-ES"/>
        </w:rPr>
      </w:pPr>
      <w:hyperlink w:anchor="_Toc529792409" w:history="1">
        <w:r w:rsidR="00D060AD" w:rsidRPr="00937132">
          <w:rPr>
            <w:rStyle w:val="Hyperlink"/>
            <w:rFonts w:ascii="Cambria" w:hAnsi="Cambria" w:cs="Arial"/>
            <w:b/>
            <w:noProof/>
            <w:sz w:val="20"/>
            <w:szCs w:val="20"/>
            <w:lang w:val="es-AR"/>
          </w:rPr>
          <w:t>IX.</w:t>
        </w:r>
        <w:r w:rsidR="00D060AD" w:rsidRPr="00937132">
          <w:rPr>
            <w:rFonts w:ascii="Cambria" w:eastAsia="Times New Roman" w:hAnsi="Cambria"/>
            <w:b/>
            <w:noProof/>
            <w:sz w:val="20"/>
            <w:szCs w:val="20"/>
            <w:bdr w:val="none" w:sz="0" w:space="0" w:color="auto"/>
            <w:lang w:val="es-ES" w:eastAsia="es-ES"/>
          </w:rPr>
          <w:tab/>
        </w:r>
        <w:r w:rsidR="00D060AD" w:rsidRPr="00937132">
          <w:rPr>
            <w:rStyle w:val="Hyperlink"/>
            <w:rFonts w:ascii="Cambria" w:hAnsi="Cambria" w:cs="Arial"/>
            <w:b/>
            <w:noProof/>
            <w:sz w:val="20"/>
            <w:szCs w:val="20"/>
            <w:lang w:val="es-AR"/>
          </w:rPr>
          <w:t>PUBLICACIÓN</w:t>
        </w:r>
        <w:r w:rsidR="00D060AD" w:rsidRPr="00752CD0">
          <w:rPr>
            <w:rFonts w:ascii="Cambria" w:hAnsi="Cambria"/>
            <w:noProof/>
            <w:webHidden/>
            <w:sz w:val="20"/>
            <w:szCs w:val="20"/>
          </w:rPr>
          <w:tab/>
        </w:r>
        <w:r w:rsidR="00D060AD" w:rsidRPr="00752CD0">
          <w:rPr>
            <w:rFonts w:ascii="Cambria" w:hAnsi="Cambria"/>
            <w:noProof/>
            <w:webHidden/>
            <w:sz w:val="20"/>
            <w:szCs w:val="20"/>
          </w:rPr>
          <w:fldChar w:fldCharType="begin"/>
        </w:r>
        <w:r w:rsidR="00D060AD" w:rsidRPr="00752CD0">
          <w:rPr>
            <w:rFonts w:ascii="Cambria" w:hAnsi="Cambria"/>
            <w:noProof/>
            <w:webHidden/>
            <w:sz w:val="20"/>
            <w:szCs w:val="20"/>
          </w:rPr>
          <w:instrText xml:space="preserve"> PAGEREF _Toc529792409 \h </w:instrText>
        </w:r>
        <w:r w:rsidR="00D060AD" w:rsidRPr="00752CD0">
          <w:rPr>
            <w:rFonts w:ascii="Cambria" w:hAnsi="Cambria"/>
            <w:noProof/>
            <w:webHidden/>
            <w:sz w:val="20"/>
            <w:szCs w:val="20"/>
          </w:rPr>
        </w:r>
        <w:r w:rsidR="00D060AD" w:rsidRPr="00752CD0">
          <w:rPr>
            <w:rFonts w:ascii="Cambria" w:hAnsi="Cambria"/>
            <w:noProof/>
            <w:webHidden/>
            <w:sz w:val="20"/>
            <w:szCs w:val="20"/>
          </w:rPr>
          <w:fldChar w:fldCharType="separate"/>
        </w:r>
        <w:r w:rsidR="00B455EB">
          <w:rPr>
            <w:rFonts w:ascii="Cambria" w:hAnsi="Cambria"/>
            <w:noProof/>
            <w:webHidden/>
            <w:sz w:val="20"/>
            <w:szCs w:val="20"/>
          </w:rPr>
          <w:t>24</w:t>
        </w:r>
        <w:r w:rsidR="00D060AD" w:rsidRPr="00752CD0">
          <w:rPr>
            <w:rFonts w:ascii="Cambria" w:hAnsi="Cambria"/>
            <w:noProof/>
            <w:webHidden/>
            <w:sz w:val="20"/>
            <w:szCs w:val="20"/>
          </w:rPr>
          <w:fldChar w:fldCharType="end"/>
        </w:r>
      </w:hyperlink>
    </w:p>
    <w:p w:rsidR="008D768D" w:rsidRPr="00D23A6E" w:rsidRDefault="00D060AD" w:rsidP="00E50AA8">
      <w:pPr>
        <w:tabs>
          <w:tab w:val="left" w:pos="1440"/>
          <w:tab w:val="center" w:pos="5400"/>
        </w:tabs>
        <w:suppressAutoHyphens/>
        <w:spacing w:line="276" w:lineRule="auto"/>
        <w:rPr>
          <w:rFonts w:ascii="Cambria" w:hAnsi="Cambria"/>
          <w:sz w:val="20"/>
          <w:szCs w:val="20"/>
          <w:lang w:val="es-ES_tradnl"/>
        </w:rPr>
      </w:pPr>
      <w:r w:rsidRPr="00752CD0">
        <w:rPr>
          <w:rFonts w:ascii="Cambria" w:hAnsi="Cambria"/>
          <w:sz w:val="20"/>
          <w:szCs w:val="20"/>
          <w:lang w:val="es-ES_tradnl"/>
        </w:rPr>
        <w:fldChar w:fldCharType="end"/>
      </w:r>
    </w:p>
    <w:p w:rsidR="008D768D" w:rsidRPr="00D23A6E" w:rsidRDefault="008D768D" w:rsidP="00E50AA8">
      <w:pPr>
        <w:tabs>
          <w:tab w:val="left" w:pos="1440"/>
          <w:tab w:val="center" w:pos="5400"/>
        </w:tabs>
        <w:suppressAutoHyphens/>
        <w:spacing w:line="276" w:lineRule="auto"/>
        <w:rPr>
          <w:rFonts w:ascii="Cambria" w:hAnsi="Cambria"/>
          <w:sz w:val="20"/>
          <w:szCs w:val="20"/>
          <w:lang w:val="es-ES_tradnl"/>
        </w:rPr>
      </w:pPr>
    </w:p>
    <w:p w:rsidR="007B3C6B" w:rsidRPr="00360085" w:rsidRDefault="00722C9F" w:rsidP="00360085">
      <w:pPr>
        <w:tabs>
          <w:tab w:val="left" w:pos="1440"/>
        </w:tabs>
        <w:ind w:firstLine="720"/>
        <w:rPr>
          <w:rFonts w:ascii="Cambria" w:hAnsi="Cambria"/>
          <w:sz w:val="18"/>
          <w:szCs w:val="18"/>
          <w:lang w:val="es-ES_tradnl"/>
        </w:rPr>
      </w:pPr>
      <w:r w:rsidRPr="00C05D06">
        <w:rPr>
          <w:rFonts w:ascii="Cambria" w:hAnsi="Cambria" w:cs="Calibri"/>
          <w:sz w:val="20"/>
          <w:szCs w:val="20"/>
          <w:lang w:val="es-ES"/>
        </w:rPr>
        <w:br w:type="page"/>
      </w:r>
    </w:p>
    <w:p w:rsidR="007B3C6B" w:rsidRPr="00732F0C" w:rsidRDefault="007B3C6B" w:rsidP="00D060AD">
      <w:pPr>
        <w:pStyle w:val="Heading1"/>
        <w:ind w:firstLine="0"/>
        <w:jc w:val="both"/>
      </w:pPr>
      <w:bookmarkStart w:id="2" w:name="_Toc529792384"/>
      <w:r w:rsidRPr="00732F0C">
        <w:lastRenderedPageBreak/>
        <w:t>RESUMEN</w:t>
      </w:r>
      <w:bookmarkEnd w:id="2"/>
    </w:p>
    <w:p w:rsidR="007B3C6B" w:rsidRPr="00732F0C" w:rsidRDefault="007B3C6B" w:rsidP="00842D6E">
      <w:pPr>
        <w:tabs>
          <w:tab w:val="left" w:pos="1440"/>
        </w:tabs>
        <w:ind w:firstLine="720"/>
        <w:jc w:val="both"/>
        <w:rPr>
          <w:rFonts w:ascii="Cambria" w:hAnsi="Cambria"/>
          <w:sz w:val="20"/>
          <w:szCs w:val="20"/>
          <w:lang w:val="es-ES_tradnl"/>
        </w:rPr>
      </w:pPr>
    </w:p>
    <w:p w:rsidR="007B3C6B" w:rsidRPr="00732F0C" w:rsidRDefault="007B3C6B" w:rsidP="00842D6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CR"/>
        </w:rPr>
      </w:pPr>
      <w:r w:rsidRPr="00732F0C">
        <w:rPr>
          <w:rFonts w:ascii="Cambria" w:hAnsi="Cambria"/>
          <w:sz w:val="20"/>
          <w:szCs w:val="20"/>
          <w:lang w:val="es-CR"/>
        </w:rPr>
        <w:t>El 9 de noviembre de 1994,</w:t>
      </w:r>
      <w:r w:rsidRPr="00732F0C">
        <w:rPr>
          <w:rFonts w:ascii="Cambria" w:hAnsi="Cambria"/>
          <w:sz w:val="20"/>
          <w:szCs w:val="20"/>
          <w:lang w:val="es-AR"/>
        </w:rPr>
        <w:t xml:space="preserve"> </w:t>
      </w:r>
      <w:r w:rsidRPr="00732F0C">
        <w:rPr>
          <w:rFonts w:ascii="Cambria" w:hAnsi="Cambria"/>
          <w:sz w:val="20"/>
          <w:szCs w:val="20"/>
          <w:lang w:val="es-CR"/>
        </w:rPr>
        <w:t xml:space="preserve">la Comisión Interamericana de Derechos Humanos (en adelante “la Comisión Interamericana”, “la Comisión” o “la CIDH”) recibió </w:t>
      </w:r>
      <w:r w:rsidR="00241DCD" w:rsidRPr="00732F0C">
        <w:rPr>
          <w:rFonts w:ascii="Cambria" w:hAnsi="Cambria"/>
          <w:sz w:val="20"/>
          <w:szCs w:val="20"/>
          <w:lang w:val="es-CR"/>
        </w:rPr>
        <w:t xml:space="preserve">una denuncia presentada por la </w:t>
      </w:r>
      <w:r w:rsidRPr="00732F0C">
        <w:rPr>
          <w:rFonts w:ascii="Cambria" w:hAnsi="Cambria"/>
          <w:sz w:val="20"/>
          <w:szCs w:val="20"/>
          <w:lang w:val="es-CR"/>
        </w:rPr>
        <w:t xml:space="preserve">Comisión Ecuménica de Derechos Humanos </w:t>
      </w:r>
      <w:r w:rsidR="00241DCD" w:rsidRPr="00732F0C">
        <w:rPr>
          <w:rFonts w:ascii="Cambria" w:hAnsi="Cambria"/>
          <w:sz w:val="20"/>
          <w:szCs w:val="20"/>
          <w:lang w:val="es-CR"/>
        </w:rPr>
        <w:t>(CEDHU) (en adelante “</w:t>
      </w:r>
      <w:r w:rsidR="0006359E" w:rsidRPr="00732F0C">
        <w:rPr>
          <w:rFonts w:ascii="Cambria" w:hAnsi="Cambria"/>
          <w:sz w:val="20"/>
          <w:szCs w:val="20"/>
          <w:lang w:val="es-CR"/>
        </w:rPr>
        <w:t>la peticionaria</w:t>
      </w:r>
      <w:r w:rsidR="00241DCD" w:rsidRPr="00732F0C">
        <w:rPr>
          <w:rFonts w:ascii="Cambria" w:hAnsi="Cambria"/>
          <w:sz w:val="20"/>
          <w:szCs w:val="20"/>
          <w:lang w:val="es-CR"/>
        </w:rPr>
        <w:t>”)</w:t>
      </w:r>
      <w:r w:rsidRPr="00732F0C">
        <w:rPr>
          <w:rFonts w:ascii="Cambria" w:hAnsi="Cambria"/>
          <w:sz w:val="20"/>
          <w:szCs w:val="20"/>
          <w:lang w:val="es-CR"/>
        </w:rPr>
        <w:t xml:space="preserve">, </w:t>
      </w:r>
      <w:r w:rsidR="00F05F26" w:rsidRPr="00732F0C">
        <w:rPr>
          <w:rFonts w:ascii="Cambria" w:hAnsi="Cambria"/>
          <w:sz w:val="20"/>
          <w:szCs w:val="20"/>
          <w:lang w:val="es-CR"/>
        </w:rPr>
        <w:t xml:space="preserve">en la cual se alegó la responsabilidad de la República de Ecuador </w:t>
      </w:r>
      <w:r w:rsidR="00F05F26" w:rsidRPr="00732F0C">
        <w:rPr>
          <w:rFonts w:ascii="Cambria" w:hAnsi="Cambria"/>
          <w:spacing w:val="-2"/>
          <w:sz w:val="20"/>
          <w:szCs w:val="20"/>
          <w:lang w:val="es-CR"/>
        </w:rPr>
        <w:t xml:space="preserve">(en adelante "el Estado ecuatoriano", “el Estado” o “Ecuador”) por el </w:t>
      </w:r>
      <w:r w:rsidR="003160E5" w:rsidRPr="00732F0C">
        <w:rPr>
          <w:rFonts w:ascii="Cambria" w:hAnsi="Cambria"/>
          <w:spacing w:val="-2"/>
          <w:sz w:val="20"/>
          <w:szCs w:val="20"/>
          <w:lang w:val="es-CR"/>
        </w:rPr>
        <w:t>homicidio de Jorge Darwin García</w:t>
      </w:r>
      <w:r w:rsidR="00F951E2" w:rsidRPr="00732F0C">
        <w:rPr>
          <w:rFonts w:ascii="Cambria" w:hAnsi="Cambria"/>
          <w:spacing w:val="-2"/>
          <w:sz w:val="20"/>
          <w:szCs w:val="20"/>
          <w:lang w:val="es-CR"/>
        </w:rPr>
        <w:t xml:space="preserve"> y las lesiones con arma de fuego a su hermano Franklin Plutarco García</w:t>
      </w:r>
      <w:r w:rsidR="00F05F26" w:rsidRPr="00732F0C">
        <w:rPr>
          <w:rFonts w:ascii="Cambria" w:hAnsi="Cambria"/>
          <w:spacing w:val="-2"/>
          <w:sz w:val="20"/>
          <w:szCs w:val="20"/>
          <w:lang w:val="es-CR"/>
        </w:rPr>
        <w:t>,</w:t>
      </w:r>
      <w:r w:rsidR="003160E5" w:rsidRPr="00732F0C">
        <w:rPr>
          <w:rFonts w:ascii="Cambria" w:hAnsi="Cambria"/>
          <w:spacing w:val="-2"/>
          <w:sz w:val="20"/>
          <w:szCs w:val="20"/>
          <w:lang w:val="es-CR"/>
        </w:rPr>
        <w:t xml:space="preserve"> </w:t>
      </w:r>
      <w:r w:rsidR="00F951E2" w:rsidRPr="00732F0C">
        <w:rPr>
          <w:rFonts w:ascii="Cambria" w:hAnsi="Cambria"/>
          <w:spacing w:val="-2"/>
          <w:sz w:val="20"/>
          <w:szCs w:val="20"/>
          <w:lang w:val="es-CR"/>
        </w:rPr>
        <w:t>presuntamente cometidas por un agente policial</w:t>
      </w:r>
      <w:r w:rsidR="000D4A81" w:rsidRPr="00732F0C">
        <w:rPr>
          <w:rFonts w:ascii="Cambria" w:hAnsi="Cambria"/>
          <w:spacing w:val="-2"/>
          <w:sz w:val="20"/>
          <w:szCs w:val="20"/>
          <w:lang w:val="es-CR"/>
        </w:rPr>
        <w:t xml:space="preserve">; </w:t>
      </w:r>
      <w:r w:rsidR="003160E5" w:rsidRPr="00732F0C">
        <w:rPr>
          <w:rFonts w:ascii="Cambria" w:hAnsi="Cambria"/>
          <w:spacing w:val="-2"/>
          <w:sz w:val="20"/>
          <w:szCs w:val="20"/>
          <w:lang w:val="es-CR"/>
        </w:rPr>
        <w:t xml:space="preserve">así </w:t>
      </w:r>
      <w:r w:rsidR="00F05F26" w:rsidRPr="00732F0C">
        <w:rPr>
          <w:rFonts w:ascii="Cambria" w:hAnsi="Cambria"/>
          <w:spacing w:val="-2"/>
          <w:sz w:val="20"/>
          <w:szCs w:val="20"/>
          <w:lang w:val="es-CR"/>
        </w:rPr>
        <w:t xml:space="preserve">como por </w:t>
      </w:r>
      <w:r w:rsidR="000D4A81" w:rsidRPr="00732F0C">
        <w:rPr>
          <w:rFonts w:ascii="Cambria" w:hAnsi="Cambria"/>
          <w:spacing w:val="-2"/>
          <w:sz w:val="20"/>
          <w:szCs w:val="20"/>
          <w:lang w:val="es-CR"/>
        </w:rPr>
        <w:t xml:space="preserve">las </w:t>
      </w:r>
      <w:r w:rsidR="000901A8" w:rsidRPr="00732F0C">
        <w:rPr>
          <w:rFonts w:ascii="Cambria" w:hAnsi="Cambria"/>
          <w:spacing w:val="-2"/>
          <w:sz w:val="20"/>
          <w:szCs w:val="20"/>
          <w:lang w:val="es-CR"/>
        </w:rPr>
        <w:t xml:space="preserve">alegadas </w:t>
      </w:r>
      <w:r w:rsidR="000D4A81" w:rsidRPr="00732F0C">
        <w:rPr>
          <w:rFonts w:ascii="Cambria" w:hAnsi="Cambria"/>
          <w:spacing w:val="-2"/>
          <w:sz w:val="20"/>
          <w:szCs w:val="20"/>
          <w:lang w:val="es-CR"/>
        </w:rPr>
        <w:t xml:space="preserve">falencias en la investigación y la demora del proceso penal.  </w:t>
      </w:r>
    </w:p>
    <w:p w:rsidR="00F05F26" w:rsidRPr="00732F0C" w:rsidRDefault="00F05F26" w:rsidP="00842D6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hAnsi="Cambria"/>
          <w:sz w:val="20"/>
          <w:szCs w:val="20"/>
          <w:lang w:val="es-CR"/>
        </w:rPr>
      </w:pPr>
    </w:p>
    <w:p w:rsidR="006F38F9" w:rsidRPr="00732F0C" w:rsidRDefault="006F38F9" w:rsidP="00842D6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cs="Arial"/>
          <w:sz w:val="20"/>
          <w:szCs w:val="20"/>
          <w:lang w:val="es-CR"/>
        </w:rPr>
      </w:pPr>
      <w:r w:rsidRPr="00732F0C">
        <w:rPr>
          <w:rFonts w:ascii="Cambria" w:hAnsi="Cambria" w:cs="Arial"/>
          <w:sz w:val="20"/>
          <w:szCs w:val="20"/>
          <w:lang w:val="es-CR"/>
        </w:rPr>
        <w:t xml:space="preserve">Según </w:t>
      </w:r>
      <w:r w:rsidR="000C2F82" w:rsidRPr="00732F0C">
        <w:rPr>
          <w:rFonts w:ascii="Cambria" w:hAnsi="Cambria" w:cs="Arial"/>
          <w:sz w:val="20"/>
          <w:szCs w:val="20"/>
          <w:lang w:val="es-CR"/>
        </w:rPr>
        <w:t>la peticionaria</w:t>
      </w:r>
      <w:r w:rsidRPr="00732F0C">
        <w:rPr>
          <w:rFonts w:ascii="Cambria" w:hAnsi="Cambria" w:cs="Arial"/>
          <w:sz w:val="20"/>
          <w:szCs w:val="20"/>
          <w:lang w:val="es-CR"/>
        </w:rPr>
        <w:t xml:space="preserve">, el </w:t>
      </w:r>
      <w:r w:rsidR="000C2F82" w:rsidRPr="00732F0C">
        <w:rPr>
          <w:rFonts w:ascii="Cambria" w:hAnsi="Cambria" w:cs="Arial"/>
          <w:sz w:val="20"/>
          <w:szCs w:val="20"/>
          <w:lang w:val="es-CR"/>
        </w:rPr>
        <w:t xml:space="preserve">12 de septiembre de 1993 un agente policial, en compañía de otro policía y de su hermano, habría disparado con su arma oficial a Jorge Darwin García, causándole la muerte. Asimismo, el mismo agente policial habría disparado a </w:t>
      </w:r>
      <w:r w:rsidR="000C2F82" w:rsidRPr="00732F0C">
        <w:rPr>
          <w:rFonts w:ascii="Cambria" w:hAnsi="Cambria"/>
          <w:spacing w:val="-2"/>
          <w:sz w:val="20"/>
          <w:szCs w:val="20"/>
          <w:lang w:val="es-CR"/>
        </w:rPr>
        <w:t>Franklin Plutarco García, causándole graves lesiones. La peticionaria señaló que</w:t>
      </w:r>
      <w:r w:rsidR="004569C3" w:rsidRPr="00732F0C">
        <w:rPr>
          <w:rFonts w:ascii="Cambria" w:hAnsi="Cambria"/>
          <w:spacing w:val="-2"/>
          <w:sz w:val="20"/>
          <w:szCs w:val="20"/>
          <w:lang w:val="es-CR"/>
        </w:rPr>
        <w:t xml:space="preserve"> el proceso, en el cual se condenó a un agente policial, tuvo una serie de irregularidades y falencias; y que el mismo tuvo una duración irrazonable</w:t>
      </w:r>
      <w:r w:rsidR="000C2F82" w:rsidRPr="00732F0C">
        <w:rPr>
          <w:rFonts w:ascii="Cambria" w:hAnsi="Cambria"/>
          <w:spacing w:val="-2"/>
          <w:sz w:val="20"/>
          <w:szCs w:val="20"/>
          <w:lang w:val="es-CR"/>
        </w:rPr>
        <w:t>. En cuando a los requisitos de admisibilidad, la peticionaria invocó la excepción de retardo injustificado establecida en el artículo 46.2.c) de la Convención Americana.</w:t>
      </w:r>
    </w:p>
    <w:p w:rsidR="006F38F9" w:rsidRPr="00732F0C" w:rsidRDefault="006F38F9" w:rsidP="00842D6E">
      <w:pPr>
        <w:pStyle w:val="ListParagraph"/>
        <w:jc w:val="both"/>
        <w:rPr>
          <w:spacing w:val="-2"/>
          <w:sz w:val="20"/>
          <w:szCs w:val="20"/>
          <w:lang w:val="es-CR"/>
        </w:rPr>
      </w:pPr>
    </w:p>
    <w:p w:rsidR="007B3C6B" w:rsidRPr="00732F0C" w:rsidRDefault="00295CD7" w:rsidP="00842D6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cs="Arial"/>
          <w:sz w:val="20"/>
          <w:szCs w:val="20"/>
          <w:lang w:val="es-CR"/>
        </w:rPr>
      </w:pPr>
      <w:r w:rsidRPr="00732F0C">
        <w:rPr>
          <w:rFonts w:ascii="Cambria" w:hAnsi="Cambria"/>
          <w:spacing w:val="-2"/>
          <w:sz w:val="20"/>
          <w:szCs w:val="20"/>
          <w:lang w:val="es-CR"/>
        </w:rPr>
        <w:t>E</w:t>
      </w:r>
      <w:r w:rsidR="007B3C6B" w:rsidRPr="00732F0C">
        <w:rPr>
          <w:rFonts w:ascii="Cambria" w:hAnsi="Cambria"/>
          <w:spacing w:val="-2"/>
          <w:sz w:val="20"/>
          <w:szCs w:val="20"/>
          <w:lang w:val="es-CR"/>
        </w:rPr>
        <w:t xml:space="preserve">l Estado </w:t>
      </w:r>
      <w:r w:rsidR="000D4A81" w:rsidRPr="00732F0C">
        <w:rPr>
          <w:rFonts w:ascii="Cambria" w:hAnsi="Cambria"/>
          <w:spacing w:val="-2"/>
          <w:sz w:val="20"/>
          <w:szCs w:val="20"/>
          <w:lang w:val="es-CR"/>
        </w:rPr>
        <w:t>argumentó la in</w:t>
      </w:r>
      <w:r w:rsidR="004569C3" w:rsidRPr="00732F0C">
        <w:rPr>
          <w:rFonts w:ascii="Cambria" w:hAnsi="Cambria"/>
          <w:spacing w:val="-2"/>
          <w:sz w:val="20"/>
          <w:szCs w:val="20"/>
          <w:lang w:val="es-CR"/>
        </w:rPr>
        <w:t xml:space="preserve">admisibilidad de la petición debido a que las víctimas no habían agotado los recursos internos al momento en que se presentó la petición ante la CIDH. </w:t>
      </w:r>
      <w:r w:rsidR="001749AB" w:rsidRPr="00732F0C">
        <w:rPr>
          <w:rFonts w:ascii="Cambria" w:hAnsi="Cambria"/>
          <w:spacing w:val="-2"/>
          <w:sz w:val="20"/>
          <w:szCs w:val="20"/>
          <w:lang w:val="es-CR"/>
        </w:rPr>
        <w:t>Posteriormente indicó que el plazo del proceso es razonable por lo que no configuraría una excepción a la falta de agotamiento de recursos internos. Asimismo, el Estado indicó que los hechos del caso no caracterizan posibles violaciones a la Convención Americana en tanto se</w:t>
      </w:r>
      <w:r w:rsidR="007B3C6B" w:rsidRPr="00732F0C">
        <w:rPr>
          <w:rFonts w:ascii="Cambria" w:hAnsi="Cambria"/>
          <w:spacing w:val="-2"/>
          <w:sz w:val="20"/>
          <w:szCs w:val="20"/>
          <w:lang w:val="es-CR"/>
        </w:rPr>
        <w:t xml:space="preserve"> realizó una investigación seria, completa e imparcial</w:t>
      </w:r>
      <w:r w:rsidR="00733CE8" w:rsidRPr="00732F0C">
        <w:rPr>
          <w:rFonts w:ascii="Cambria" w:hAnsi="Cambria"/>
          <w:spacing w:val="-2"/>
          <w:sz w:val="20"/>
          <w:szCs w:val="20"/>
          <w:lang w:val="es-CR"/>
        </w:rPr>
        <w:t xml:space="preserve"> </w:t>
      </w:r>
      <w:r w:rsidR="001749AB" w:rsidRPr="00732F0C">
        <w:rPr>
          <w:rFonts w:ascii="Cambria" w:hAnsi="Cambria"/>
          <w:spacing w:val="-2"/>
          <w:sz w:val="20"/>
          <w:szCs w:val="20"/>
          <w:lang w:val="es-CR"/>
        </w:rPr>
        <w:t>que permitió</w:t>
      </w:r>
      <w:r w:rsidR="00733CE8" w:rsidRPr="00732F0C">
        <w:rPr>
          <w:rFonts w:ascii="Cambria" w:hAnsi="Cambria"/>
          <w:spacing w:val="-2"/>
          <w:sz w:val="20"/>
          <w:szCs w:val="20"/>
          <w:lang w:val="es-CR"/>
        </w:rPr>
        <w:t xml:space="preserve"> encontrar responsable a un agente policial. Sostuvo que, sin perjuicio de ello, los hechos </w:t>
      </w:r>
      <w:r w:rsidR="001749AB" w:rsidRPr="00732F0C">
        <w:rPr>
          <w:rFonts w:ascii="Cambria" w:hAnsi="Cambria"/>
          <w:spacing w:val="-2"/>
          <w:sz w:val="20"/>
          <w:szCs w:val="20"/>
          <w:lang w:val="es-CR"/>
        </w:rPr>
        <w:t xml:space="preserve">tampoco </w:t>
      </w:r>
      <w:r w:rsidR="00733CE8" w:rsidRPr="00732F0C">
        <w:rPr>
          <w:rFonts w:ascii="Cambria" w:hAnsi="Cambria"/>
          <w:spacing w:val="-2"/>
          <w:sz w:val="20"/>
          <w:szCs w:val="20"/>
          <w:lang w:val="es-CR"/>
        </w:rPr>
        <w:t>pueden ser atribuibles al Estado puesto que si bien la persona responsable</w:t>
      </w:r>
      <w:r w:rsidR="007B3C6B" w:rsidRPr="00732F0C">
        <w:rPr>
          <w:rFonts w:ascii="Cambria" w:hAnsi="Cambria"/>
          <w:spacing w:val="-2"/>
          <w:sz w:val="20"/>
          <w:szCs w:val="20"/>
          <w:lang w:val="es-CR"/>
        </w:rPr>
        <w:t xml:space="preserve"> era miembro de la Policía Nacional, no ostentaba carácter oficial al momento de comisión de los hechos. </w:t>
      </w:r>
    </w:p>
    <w:p w:rsidR="007B3C6B" w:rsidRPr="00732F0C" w:rsidRDefault="007B3C6B" w:rsidP="00842D6E">
      <w:pPr>
        <w:tabs>
          <w:tab w:val="left" w:pos="1440"/>
        </w:tabs>
        <w:ind w:firstLine="720"/>
        <w:jc w:val="both"/>
        <w:rPr>
          <w:rFonts w:ascii="Cambria" w:hAnsi="Cambria" w:cs="Arial"/>
          <w:sz w:val="20"/>
          <w:szCs w:val="20"/>
          <w:lang w:val="es-CR"/>
        </w:rPr>
      </w:pPr>
    </w:p>
    <w:p w:rsidR="007B3C6B" w:rsidRPr="00732F0C" w:rsidRDefault="00914BB4" w:rsidP="00842D6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cs="Arial"/>
          <w:sz w:val="20"/>
          <w:szCs w:val="20"/>
          <w:lang w:val="es-CR"/>
        </w:rPr>
      </w:pPr>
      <w:r w:rsidRPr="00732F0C">
        <w:rPr>
          <w:rFonts w:ascii="Cambria" w:hAnsi="Cambria" w:cs="Arial"/>
          <w:sz w:val="20"/>
          <w:szCs w:val="20"/>
          <w:lang w:val="es-CR"/>
        </w:rPr>
        <w:t xml:space="preserve">Tras analizar la información disponible la Comisión verificó el cumplimiento de los requisitos de admisibilidad consagrados en los artículos 46 y 47 de la Convención Americana y concluyó que el Estado es responsable por la violación de los derechos establecidos en los artículos </w:t>
      </w:r>
      <w:r w:rsidR="006A6785" w:rsidRPr="00732F0C">
        <w:rPr>
          <w:rFonts w:ascii="Cambria" w:hAnsi="Cambria" w:cs="Arial"/>
          <w:sz w:val="20"/>
          <w:szCs w:val="20"/>
          <w:lang w:val="es-CR"/>
        </w:rPr>
        <w:t xml:space="preserve">4, 5, </w:t>
      </w:r>
      <w:r w:rsidRPr="00732F0C">
        <w:rPr>
          <w:rFonts w:ascii="Cambria" w:hAnsi="Cambria" w:cs="Arial"/>
          <w:sz w:val="20"/>
          <w:szCs w:val="20"/>
          <w:lang w:val="es-CR"/>
        </w:rPr>
        <w:t>8</w:t>
      </w:r>
      <w:r w:rsidR="00AB5CFF" w:rsidRPr="00732F0C">
        <w:rPr>
          <w:rFonts w:ascii="Cambria" w:hAnsi="Cambria" w:cs="Arial"/>
          <w:sz w:val="20"/>
          <w:szCs w:val="20"/>
          <w:lang w:val="es-CR"/>
        </w:rPr>
        <w:t>.1</w:t>
      </w:r>
      <w:r w:rsidRPr="00732F0C">
        <w:rPr>
          <w:rFonts w:ascii="Cambria" w:hAnsi="Cambria" w:cs="Arial"/>
          <w:sz w:val="20"/>
          <w:szCs w:val="20"/>
          <w:lang w:val="es-CR"/>
        </w:rPr>
        <w:t xml:space="preserve"> y 25</w:t>
      </w:r>
      <w:r w:rsidR="00AB5CFF" w:rsidRPr="00732F0C">
        <w:rPr>
          <w:rFonts w:ascii="Cambria" w:hAnsi="Cambria" w:cs="Arial"/>
          <w:sz w:val="20"/>
          <w:szCs w:val="20"/>
          <w:lang w:val="es-CR"/>
        </w:rPr>
        <w:t>.1</w:t>
      </w:r>
      <w:r w:rsidRPr="00732F0C">
        <w:rPr>
          <w:rFonts w:ascii="Cambria" w:hAnsi="Cambria" w:cs="Arial"/>
          <w:sz w:val="20"/>
          <w:szCs w:val="20"/>
          <w:lang w:val="es-CR"/>
        </w:rPr>
        <w:t xml:space="preserve"> de la Convención Americana en relación con las</w:t>
      </w:r>
      <w:r w:rsidR="0000565A" w:rsidRPr="00732F0C">
        <w:rPr>
          <w:rFonts w:ascii="Cambria" w:hAnsi="Cambria" w:cs="Arial"/>
          <w:sz w:val="20"/>
          <w:szCs w:val="20"/>
          <w:lang w:val="es-CR"/>
        </w:rPr>
        <w:t xml:space="preserve"> obligaciones establecidas en los</w:t>
      </w:r>
      <w:r w:rsidRPr="00732F0C">
        <w:rPr>
          <w:rFonts w:ascii="Cambria" w:hAnsi="Cambria" w:cs="Arial"/>
          <w:sz w:val="20"/>
          <w:szCs w:val="20"/>
          <w:lang w:val="es-CR"/>
        </w:rPr>
        <w:t xml:space="preserve"> artículo</w:t>
      </w:r>
      <w:r w:rsidR="0000565A" w:rsidRPr="00732F0C">
        <w:rPr>
          <w:rFonts w:ascii="Cambria" w:hAnsi="Cambria" w:cs="Arial"/>
          <w:sz w:val="20"/>
          <w:szCs w:val="20"/>
          <w:lang w:val="es-CR"/>
        </w:rPr>
        <w:t>s</w:t>
      </w:r>
      <w:r w:rsidRPr="00732F0C">
        <w:rPr>
          <w:rFonts w:ascii="Cambria" w:hAnsi="Cambria" w:cs="Arial"/>
          <w:sz w:val="20"/>
          <w:szCs w:val="20"/>
          <w:lang w:val="es-CR"/>
        </w:rPr>
        <w:t xml:space="preserve"> 1.1</w:t>
      </w:r>
      <w:r w:rsidR="0000565A" w:rsidRPr="00732F0C">
        <w:rPr>
          <w:rFonts w:ascii="Cambria" w:hAnsi="Cambria" w:cs="Arial"/>
          <w:sz w:val="20"/>
          <w:szCs w:val="20"/>
          <w:lang w:val="es-CR"/>
        </w:rPr>
        <w:t xml:space="preserve"> y 2</w:t>
      </w:r>
      <w:r w:rsidRPr="00732F0C">
        <w:rPr>
          <w:rFonts w:ascii="Cambria" w:hAnsi="Cambria" w:cs="Arial"/>
          <w:sz w:val="20"/>
          <w:szCs w:val="20"/>
          <w:lang w:val="es-CR"/>
        </w:rPr>
        <w:t xml:space="preserve"> del mismo instrumento internacional, en perjuicio de </w:t>
      </w:r>
      <w:r w:rsidR="006A6785" w:rsidRPr="00732F0C">
        <w:rPr>
          <w:rFonts w:ascii="Cambria" w:hAnsi="Cambria" w:cs="Arial"/>
          <w:sz w:val="20"/>
          <w:szCs w:val="20"/>
          <w:lang w:val="es-CR"/>
        </w:rPr>
        <w:t>las personas mencionadas en las secciones correspondientes</w:t>
      </w:r>
      <w:r w:rsidRPr="00732F0C">
        <w:rPr>
          <w:rFonts w:ascii="Cambria" w:hAnsi="Cambria" w:cs="Arial"/>
          <w:sz w:val="20"/>
          <w:szCs w:val="20"/>
          <w:lang w:val="es-CR"/>
        </w:rPr>
        <w:t xml:space="preserve">. </w:t>
      </w:r>
    </w:p>
    <w:p w:rsidR="00914BB4" w:rsidRPr="00732F0C" w:rsidRDefault="00914BB4" w:rsidP="00842D6E">
      <w:pPr>
        <w:tabs>
          <w:tab w:val="left" w:pos="1440"/>
        </w:tabs>
        <w:jc w:val="both"/>
        <w:rPr>
          <w:rFonts w:ascii="Cambria" w:hAnsi="Cambria"/>
          <w:sz w:val="20"/>
          <w:szCs w:val="20"/>
          <w:lang w:val="es-CR"/>
        </w:rPr>
      </w:pPr>
    </w:p>
    <w:p w:rsidR="007B3C6B" w:rsidRPr="00732F0C" w:rsidRDefault="007B3C6B" w:rsidP="00D060AD">
      <w:pPr>
        <w:pStyle w:val="Heading1"/>
        <w:ind w:firstLine="0"/>
        <w:jc w:val="both"/>
      </w:pPr>
      <w:bookmarkStart w:id="3" w:name="_Toc529792385"/>
      <w:r w:rsidRPr="00732F0C">
        <w:t>TRÁMITE ANTE LA CIDH</w:t>
      </w:r>
      <w:bookmarkEnd w:id="3"/>
      <w:r w:rsidRPr="00732F0C">
        <w:t xml:space="preserve"> </w:t>
      </w:r>
    </w:p>
    <w:p w:rsidR="007B3C6B" w:rsidRPr="00732F0C" w:rsidRDefault="007B3C6B" w:rsidP="00842D6E">
      <w:pPr>
        <w:tabs>
          <w:tab w:val="left" w:pos="1440"/>
        </w:tabs>
        <w:ind w:firstLine="720"/>
        <w:jc w:val="both"/>
        <w:rPr>
          <w:rFonts w:ascii="Cambria" w:hAnsi="Cambria"/>
          <w:b/>
          <w:sz w:val="20"/>
          <w:szCs w:val="20"/>
        </w:rPr>
      </w:pPr>
    </w:p>
    <w:p w:rsidR="007B3C6B" w:rsidRPr="00732F0C" w:rsidRDefault="007B3C6B" w:rsidP="00842D6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CR"/>
        </w:rPr>
      </w:pPr>
      <w:r w:rsidRPr="00732F0C">
        <w:rPr>
          <w:rFonts w:ascii="Cambria" w:hAnsi="Cambria"/>
          <w:sz w:val="20"/>
          <w:szCs w:val="20"/>
          <w:lang w:val="es-CR"/>
        </w:rPr>
        <w:t>El 9 de noviembre de 1994 la Comisión recibió la petición inicial que fue trasladada a</w:t>
      </w:r>
      <w:r w:rsidR="000D4A81" w:rsidRPr="00732F0C">
        <w:rPr>
          <w:rFonts w:ascii="Cambria" w:hAnsi="Cambria"/>
          <w:sz w:val="20"/>
          <w:szCs w:val="20"/>
          <w:lang w:val="es-CR"/>
        </w:rPr>
        <w:t>l Estado el 24 de abril de 1995</w:t>
      </w:r>
      <w:r w:rsidRPr="00732F0C">
        <w:rPr>
          <w:rFonts w:ascii="Cambria" w:hAnsi="Cambria"/>
          <w:sz w:val="20"/>
          <w:szCs w:val="20"/>
          <w:lang w:val="es-CR"/>
        </w:rPr>
        <w:t>.</w:t>
      </w:r>
      <w:r w:rsidR="000D4A81" w:rsidRPr="00732F0C">
        <w:rPr>
          <w:rFonts w:ascii="Cambria" w:hAnsi="Cambria"/>
          <w:sz w:val="20"/>
          <w:szCs w:val="20"/>
          <w:lang w:val="es-CR"/>
        </w:rPr>
        <w:t xml:space="preserve"> </w:t>
      </w:r>
      <w:r w:rsidR="00E33141" w:rsidRPr="00732F0C">
        <w:rPr>
          <w:rFonts w:ascii="Cambria" w:hAnsi="Cambria"/>
          <w:sz w:val="20"/>
          <w:szCs w:val="20"/>
          <w:lang w:val="es-CR"/>
        </w:rPr>
        <w:t>El 3 de agosto de 1995</w:t>
      </w:r>
      <w:r w:rsidR="000D4A81" w:rsidRPr="00732F0C">
        <w:rPr>
          <w:rFonts w:ascii="Cambria" w:hAnsi="Cambria"/>
          <w:sz w:val="20"/>
          <w:szCs w:val="20"/>
          <w:lang w:val="es-CR"/>
        </w:rPr>
        <w:t xml:space="preserve"> y </w:t>
      </w:r>
      <w:r w:rsidR="001946F1" w:rsidRPr="00732F0C">
        <w:rPr>
          <w:rFonts w:ascii="Cambria" w:hAnsi="Cambria"/>
          <w:sz w:val="20"/>
          <w:szCs w:val="20"/>
          <w:lang w:val="es-CR"/>
        </w:rPr>
        <w:t>1 de marzo</w:t>
      </w:r>
      <w:r w:rsidR="000D4A81" w:rsidRPr="00732F0C">
        <w:rPr>
          <w:rFonts w:ascii="Cambria" w:hAnsi="Cambria"/>
          <w:sz w:val="20"/>
          <w:szCs w:val="20"/>
          <w:lang w:val="es-CR"/>
        </w:rPr>
        <w:t xml:space="preserve"> de 1996</w:t>
      </w:r>
      <w:r w:rsidRPr="00732F0C">
        <w:rPr>
          <w:rFonts w:ascii="Cambria" w:hAnsi="Cambria"/>
          <w:sz w:val="20"/>
          <w:szCs w:val="20"/>
          <w:lang w:val="es-CR"/>
        </w:rPr>
        <w:t xml:space="preserve"> la peticionaria presentó información adicional</w:t>
      </w:r>
      <w:r w:rsidR="000D4A81" w:rsidRPr="00732F0C">
        <w:rPr>
          <w:rFonts w:ascii="Cambria" w:hAnsi="Cambria"/>
          <w:sz w:val="20"/>
          <w:szCs w:val="20"/>
          <w:lang w:val="es-CR"/>
        </w:rPr>
        <w:t xml:space="preserve">. </w:t>
      </w:r>
      <w:r w:rsidRPr="00732F0C">
        <w:rPr>
          <w:rFonts w:ascii="Cambria" w:hAnsi="Cambria"/>
          <w:sz w:val="20"/>
          <w:szCs w:val="20"/>
          <w:lang w:val="es-CR"/>
        </w:rPr>
        <w:t>El 6 de enero de 1999 la Comisión e</w:t>
      </w:r>
      <w:r w:rsidR="00BB4594" w:rsidRPr="00732F0C">
        <w:rPr>
          <w:rFonts w:ascii="Cambria" w:hAnsi="Cambria"/>
          <w:sz w:val="20"/>
          <w:szCs w:val="20"/>
          <w:lang w:val="es-CR"/>
        </w:rPr>
        <w:t>nvió una comunicación al Estado</w:t>
      </w:r>
      <w:r w:rsidRPr="00732F0C">
        <w:rPr>
          <w:rFonts w:ascii="Cambria" w:hAnsi="Cambria"/>
          <w:sz w:val="20"/>
          <w:szCs w:val="20"/>
          <w:lang w:val="es-CR"/>
        </w:rPr>
        <w:t xml:space="preserve"> indicando que ante la falta de respuesta a las comunicaciones </w:t>
      </w:r>
      <w:r w:rsidR="001946F1" w:rsidRPr="00732F0C">
        <w:rPr>
          <w:rFonts w:ascii="Cambria" w:hAnsi="Cambria"/>
          <w:sz w:val="20"/>
          <w:szCs w:val="20"/>
          <w:lang w:val="es-CR"/>
        </w:rPr>
        <w:t xml:space="preserve">enviadas, </w:t>
      </w:r>
      <w:r w:rsidR="00BB4594" w:rsidRPr="00732F0C">
        <w:rPr>
          <w:rFonts w:ascii="Cambria" w:hAnsi="Cambria"/>
          <w:sz w:val="20"/>
          <w:szCs w:val="20"/>
          <w:lang w:val="es-CR"/>
        </w:rPr>
        <w:t>presentara</w:t>
      </w:r>
      <w:r w:rsidRPr="00732F0C">
        <w:rPr>
          <w:rFonts w:ascii="Cambria" w:hAnsi="Cambria"/>
          <w:sz w:val="20"/>
          <w:szCs w:val="20"/>
          <w:lang w:val="es-CR"/>
        </w:rPr>
        <w:t xml:space="preserve"> información relativa al caso. </w:t>
      </w:r>
    </w:p>
    <w:p w:rsidR="007B3C6B" w:rsidRPr="00732F0C" w:rsidRDefault="007B3C6B" w:rsidP="00842D6E">
      <w:pPr>
        <w:tabs>
          <w:tab w:val="left" w:pos="1440"/>
        </w:tabs>
        <w:ind w:firstLine="720"/>
        <w:jc w:val="both"/>
        <w:rPr>
          <w:rFonts w:ascii="Cambria" w:hAnsi="Cambria"/>
          <w:sz w:val="20"/>
          <w:szCs w:val="20"/>
          <w:lang w:val="es-CR"/>
        </w:rPr>
      </w:pPr>
    </w:p>
    <w:p w:rsidR="007B3C6B" w:rsidRPr="00732F0C" w:rsidRDefault="007B3C6B" w:rsidP="00842D6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CR"/>
        </w:rPr>
      </w:pPr>
      <w:r w:rsidRPr="00732F0C">
        <w:rPr>
          <w:rFonts w:ascii="Cambria" w:hAnsi="Cambria"/>
          <w:sz w:val="20"/>
          <w:szCs w:val="20"/>
          <w:lang w:val="es-CR"/>
        </w:rPr>
        <w:t xml:space="preserve">La peticionaria presentó información adicional el 31 de mayo de 1999, 2 de marzo de 2000, 19 de </w:t>
      </w:r>
      <w:r w:rsidR="001946F1" w:rsidRPr="00732F0C">
        <w:rPr>
          <w:rFonts w:ascii="Cambria" w:hAnsi="Cambria"/>
          <w:sz w:val="20"/>
          <w:szCs w:val="20"/>
          <w:lang w:val="es-CR"/>
        </w:rPr>
        <w:t>abril y 20 de diciembre de 2001</w:t>
      </w:r>
      <w:r w:rsidRPr="00732F0C">
        <w:rPr>
          <w:rFonts w:ascii="Cambria" w:hAnsi="Cambria"/>
          <w:sz w:val="20"/>
          <w:szCs w:val="20"/>
          <w:lang w:val="es-CR"/>
        </w:rPr>
        <w:t>.</w:t>
      </w:r>
      <w:r w:rsidR="001946F1" w:rsidRPr="00732F0C">
        <w:rPr>
          <w:rFonts w:ascii="Cambria" w:hAnsi="Cambria"/>
          <w:sz w:val="20"/>
          <w:szCs w:val="20"/>
          <w:lang w:val="es-CR"/>
        </w:rPr>
        <w:t xml:space="preserve"> </w:t>
      </w:r>
      <w:r w:rsidR="00473E50" w:rsidRPr="00732F0C">
        <w:rPr>
          <w:rFonts w:ascii="Cambria" w:hAnsi="Cambria"/>
          <w:sz w:val="20"/>
          <w:szCs w:val="20"/>
          <w:lang w:val="es-CR"/>
        </w:rPr>
        <w:t>Por su parte, e</w:t>
      </w:r>
      <w:r w:rsidR="00BB4594" w:rsidRPr="00732F0C">
        <w:rPr>
          <w:rFonts w:ascii="Cambria" w:hAnsi="Cambria"/>
          <w:sz w:val="20"/>
          <w:szCs w:val="20"/>
          <w:lang w:val="es-CR"/>
        </w:rPr>
        <w:t>l Estado presentó observaciones</w:t>
      </w:r>
      <w:r w:rsidRPr="00732F0C">
        <w:rPr>
          <w:rFonts w:ascii="Cambria" w:hAnsi="Cambria"/>
          <w:sz w:val="20"/>
          <w:szCs w:val="20"/>
          <w:lang w:val="es-CR"/>
        </w:rPr>
        <w:t xml:space="preserve"> el 4 de e</w:t>
      </w:r>
      <w:r w:rsidR="00BB4594" w:rsidRPr="00732F0C">
        <w:rPr>
          <w:rFonts w:ascii="Cambria" w:hAnsi="Cambria"/>
          <w:sz w:val="20"/>
          <w:szCs w:val="20"/>
          <w:lang w:val="es-CR"/>
        </w:rPr>
        <w:t>nero y 20 de septiembre de 2000;</w:t>
      </w:r>
      <w:r w:rsidRPr="00732F0C">
        <w:rPr>
          <w:rFonts w:ascii="Cambria" w:hAnsi="Cambria"/>
          <w:sz w:val="20"/>
          <w:szCs w:val="20"/>
          <w:lang w:val="es-CR"/>
        </w:rPr>
        <w:t xml:space="preserve"> y 29 de agosto de 2001.</w:t>
      </w:r>
    </w:p>
    <w:p w:rsidR="0035594E" w:rsidRPr="00732F0C" w:rsidRDefault="0035594E" w:rsidP="00360085">
      <w:pPr>
        <w:tabs>
          <w:tab w:val="left" w:pos="1440"/>
        </w:tabs>
        <w:jc w:val="both"/>
        <w:rPr>
          <w:rFonts w:ascii="Cambria" w:hAnsi="Cambria"/>
          <w:sz w:val="20"/>
          <w:szCs w:val="20"/>
          <w:lang w:val="es-CR"/>
        </w:rPr>
      </w:pPr>
    </w:p>
    <w:p w:rsidR="007B3C6B" w:rsidRPr="00732F0C" w:rsidRDefault="001946F1" w:rsidP="00842D6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CR"/>
        </w:rPr>
      </w:pPr>
      <w:r w:rsidRPr="00732F0C">
        <w:rPr>
          <w:rFonts w:ascii="Cambria" w:hAnsi="Cambria"/>
          <w:sz w:val="20"/>
          <w:szCs w:val="20"/>
          <w:lang w:val="es-CR"/>
        </w:rPr>
        <w:t>E</w:t>
      </w:r>
      <w:r w:rsidR="007B3C6B" w:rsidRPr="00732F0C">
        <w:rPr>
          <w:rFonts w:ascii="Cambria" w:hAnsi="Cambria"/>
          <w:sz w:val="20"/>
          <w:szCs w:val="20"/>
          <w:lang w:val="es-CR"/>
        </w:rPr>
        <w:t xml:space="preserve">l 8 de mayo de 2003 la </w:t>
      </w:r>
      <w:r w:rsidR="00473E50" w:rsidRPr="00732F0C">
        <w:rPr>
          <w:rFonts w:ascii="Cambria" w:hAnsi="Cambria"/>
          <w:sz w:val="20"/>
          <w:szCs w:val="20"/>
          <w:lang w:val="es-CR"/>
        </w:rPr>
        <w:t>CIDH</w:t>
      </w:r>
      <w:r w:rsidR="007B3C6B" w:rsidRPr="00732F0C">
        <w:rPr>
          <w:rFonts w:ascii="Cambria" w:hAnsi="Cambria"/>
          <w:sz w:val="20"/>
          <w:szCs w:val="20"/>
          <w:lang w:val="es-CR"/>
        </w:rPr>
        <w:t xml:space="preserve"> notificó a las partes la decisión de aplicar el artículo 37.3 de su Reglamento y solicitó que formularan sus observaciones sobre el fondo del asunto. La peticionaria presentó sus observaciones </w:t>
      </w:r>
      <w:r w:rsidR="00473E50" w:rsidRPr="00732F0C">
        <w:rPr>
          <w:rFonts w:ascii="Cambria" w:hAnsi="Cambria"/>
          <w:sz w:val="20"/>
          <w:szCs w:val="20"/>
          <w:lang w:val="es-CR"/>
        </w:rPr>
        <w:t>el 6 de agosto de 2003</w:t>
      </w:r>
      <w:r w:rsidR="006F38F9" w:rsidRPr="00732F0C">
        <w:rPr>
          <w:rFonts w:ascii="Cambria" w:hAnsi="Cambria"/>
          <w:sz w:val="20"/>
          <w:szCs w:val="20"/>
          <w:lang w:val="es-CR"/>
        </w:rPr>
        <w:t>;</w:t>
      </w:r>
      <w:r w:rsidRPr="00732F0C">
        <w:rPr>
          <w:rFonts w:ascii="Cambria" w:hAnsi="Cambria"/>
          <w:sz w:val="20"/>
          <w:szCs w:val="20"/>
          <w:lang w:val="es-CR"/>
        </w:rPr>
        <w:t xml:space="preserve"> 4 de noviembre de 2004</w:t>
      </w:r>
      <w:r w:rsidR="006F38F9" w:rsidRPr="00732F0C">
        <w:rPr>
          <w:rFonts w:ascii="Cambria" w:hAnsi="Cambria"/>
          <w:sz w:val="20"/>
          <w:szCs w:val="20"/>
          <w:lang w:val="es-CR"/>
        </w:rPr>
        <w:t>;</w:t>
      </w:r>
      <w:r w:rsidRPr="00732F0C">
        <w:rPr>
          <w:rFonts w:ascii="Cambria" w:hAnsi="Cambria"/>
          <w:sz w:val="20"/>
          <w:szCs w:val="20"/>
          <w:lang w:val="es-CR"/>
        </w:rPr>
        <w:t xml:space="preserve"> 7 de abril de 2006</w:t>
      </w:r>
      <w:r w:rsidR="006F38F9" w:rsidRPr="00732F0C">
        <w:rPr>
          <w:rFonts w:ascii="Cambria" w:hAnsi="Cambria"/>
          <w:sz w:val="20"/>
          <w:szCs w:val="20"/>
          <w:lang w:val="es-CR"/>
        </w:rPr>
        <w:t>;</w:t>
      </w:r>
      <w:r w:rsidRPr="00732F0C">
        <w:rPr>
          <w:rFonts w:ascii="Cambria" w:hAnsi="Cambria"/>
          <w:sz w:val="20"/>
          <w:szCs w:val="20"/>
          <w:lang w:val="es-CR"/>
        </w:rPr>
        <w:t xml:space="preserve"> 6 de febrero de 2008</w:t>
      </w:r>
      <w:r w:rsidR="006F38F9" w:rsidRPr="00732F0C">
        <w:rPr>
          <w:rFonts w:ascii="Cambria" w:hAnsi="Cambria"/>
          <w:sz w:val="20"/>
          <w:szCs w:val="20"/>
          <w:lang w:val="es-CR"/>
        </w:rPr>
        <w:t>; 16 y 19 de julio de 2013; y 7 de enero de 201</w:t>
      </w:r>
      <w:r w:rsidR="00BB4594" w:rsidRPr="00732F0C">
        <w:rPr>
          <w:rFonts w:ascii="Cambria" w:hAnsi="Cambria"/>
          <w:sz w:val="20"/>
          <w:szCs w:val="20"/>
          <w:lang w:val="es-CR"/>
        </w:rPr>
        <w:t>5</w:t>
      </w:r>
      <w:r w:rsidR="007B3C6B" w:rsidRPr="00732F0C">
        <w:rPr>
          <w:rFonts w:ascii="Cambria" w:hAnsi="Cambria"/>
          <w:sz w:val="20"/>
          <w:szCs w:val="20"/>
          <w:lang w:val="es-CR"/>
        </w:rPr>
        <w:t>.</w:t>
      </w:r>
      <w:r w:rsidRPr="00732F0C">
        <w:rPr>
          <w:rFonts w:ascii="Cambria" w:hAnsi="Cambria"/>
          <w:sz w:val="20"/>
          <w:szCs w:val="20"/>
          <w:lang w:val="es-CR"/>
        </w:rPr>
        <w:t xml:space="preserve"> Por su parte, el Estado presentó información </w:t>
      </w:r>
      <w:r w:rsidR="006F38F9" w:rsidRPr="00732F0C">
        <w:rPr>
          <w:rFonts w:ascii="Cambria" w:hAnsi="Cambria"/>
          <w:sz w:val="20"/>
          <w:szCs w:val="20"/>
          <w:lang w:val="es-CR"/>
        </w:rPr>
        <w:t>E</w:t>
      </w:r>
      <w:r w:rsidR="007B3C6B" w:rsidRPr="00732F0C">
        <w:rPr>
          <w:rFonts w:ascii="Cambria" w:hAnsi="Cambria"/>
          <w:sz w:val="20"/>
          <w:szCs w:val="20"/>
          <w:lang w:val="es-CR"/>
        </w:rPr>
        <w:t xml:space="preserve">l 25 de agosto y 14 de septiembre de 2004, y el 8 de noviembre de 2005. </w:t>
      </w:r>
    </w:p>
    <w:p w:rsidR="006F38F9" w:rsidRPr="00732F0C" w:rsidRDefault="006F38F9" w:rsidP="00842D6E">
      <w:pPr>
        <w:pStyle w:val="ListParagraph"/>
        <w:jc w:val="both"/>
        <w:rPr>
          <w:sz w:val="20"/>
          <w:szCs w:val="20"/>
          <w:lang w:val="es-CR"/>
        </w:rPr>
      </w:pPr>
    </w:p>
    <w:p w:rsidR="006F38F9" w:rsidRPr="00732F0C" w:rsidRDefault="006F38F9" w:rsidP="00842D6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CR"/>
        </w:rPr>
      </w:pPr>
      <w:r w:rsidRPr="00732F0C">
        <w:rPr>
          <w:rFonts w:ascii="Cambria" w:hAnsi="Cambria"/>
          <w:sz w:val="20"/>
          <w:szCs w:val="20"/>
          <w:lang w:val="es-CR"/>
        </w:rPr>
        <w:t>Todas las comunicaciones presentadas a la Comisión fueron debidamente trasladadas a las partes.</w:t>
      </w:r>
    </w:p>
    <w:p w:rsidR="007B3C6B" w:rsidRPr="00732F0C" w:rsidRDefault="007B3C6B" w:rsidP="00842D6E">
      <w:pPr>
        <w:tabs>
          <w:tab w:val="left" w:pos="1440"/>
        </w:tabs>
        <w:ind w:firstLine="720"/>
        <w:jc w:val="both"/>
        <w:rPr>
          <w:rFonts w:ascii="Cambria" w:hAnsi="Cambria"/>
          <w:sz w:val="20"/>
          <w:szCs w:val="20"/>
          <w:lang w:val="es-CR"/>
        </w:rPr>
      </w:pPr>
    </w:p>
    <w:p w:rsidR="007033A8" w:rsidRDefault="007033A8">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Times New Roman" w:hAnsi="Cambria"/>
          <w:b/>
          <w:bCs/>
          <w:sz w:val="20"/>
          <w:szCs w:val="20"/>
          <w:lang w:val="es-ES_tradnl"/>
        </w:rPr>
      </w:pPr>
      <w:bookmarkStart w:id="4" w:name="_Toc529792386"/>
      <w:r w:rsidRPr="00675C3A">
        <w:rPr>
          <w:lang w:val="es-US"/>
        </w:rPr>
        <w:br w:type="page"/>
      </w:r>
    </w:p>
    <w:p w:rsidR="007B3C6B" w:rsidRPr="00732F0C" w:rsidRDefault="007B3C6B" w:rsidP="00D060AD">
      <w:pPr>
        <w:pStyle w:val="Heading1"/>
        <w:ind w:firstLine="0"/>
        <w:jc w:val="both"/>
      </w:pPr>
      <w:r w:rsidRPr="00732F0C">
        <w:lastRenderedPageBreak/>
        <w:t>POSICIÓN DE LAS PARTES</w:t>
      </w:r>
      <w:bookmarkEnd w:id="4"/>
    </w:p>
    <w:p w:rsidR="007B3C6B" w:rsidRPr="00732F0C" w:rsidRDefault="007B3C6B" w:rsidP="00842D6E">
      <w:pPr>
        <w:tabs>
          <w:tab w:val="left" w:pos="1440"/>
        </w:tabs>
        <w:ind w:firstLine="720"/>
        <w:jc w:val="both"/>
        <w:rPr>
          <w:rFonts w:ascii="Cambria" w:hAnsi="Cambria"/>
          <w:b/>
          <w:sz w:val="20"/>
          <w:szCs w:val="20"/>
          <w:u w:val="single"/>
        </w:rPr>
      </w:pPr>
    </w:p>
    <w:p w:rsidR="007B3C6B" w:rsidRPr="00732F0C" w:rsidRDefault="00733CE8" w:rsidP="00842D6E">
      <w:pPr>
        <w:pStyle w:val="Heading2"/>
        <w:jc w:val="both"/>
      </w:pPr>
      <w:bookmarkStart w:id="5" w:name="_Toc529792387"/>
      <w:r w:rsidRPr="00732F0C">
        <w:t>Posición de l</w:t>
      </w:r>
      <w:r w:rsidR="007B3C6B" w:rsidRPr="00732F0C">
        <w:t>a peticionaria</w:t>
      </w:r>
      <w:bookmarkEnd w:id="5"/>
    </w:p>
    <w:p w:rsidR="0006359E" w:rsidRPr="00732F0C" w:rsidRDefault="0006359E" w:rsidP="00842D6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hAnsi="Cambria"/>
          <w:sz w:val="20"/>
          <w:szCs w:val="20"/>
          <w:lang w:val="es-ES_tradnl"/>
        </w:rPr>
      </w:pPr>
    </w:p>
    <w:p w:rsidR="005541B8" w:rsidRPr="00732F0C" w:rsidRDefault="005541B8" w:rsidP="00842D6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ES_tradnl"/>
        </w:rPr>
      </w:pPr>
      <w:r w:rsidRPr="00732F0C">
        <w:rPr>
          <w:rFonts w:ascii="Cambria" w:hAnsi="Cambria"/>
          <w:sz w:val="20"/>
          <w:szCs w:val="20"/>
          <w:lang w:val="es-CR"/>
        </w:rPr>
        <w:t>La peticionaria indicó</w:t>
      </w:r>
      <w:r w:rsidRPr="00732F0C">
        <w:rPr>
          <w:rFonts w:ascii="Cambria" w:hAnsi="Cambria"/>
          <w:sz w:val="20"/>
          <w:szCs w:val="20"/>
          <w:lang w:val="es-ES_tradnl"/>
        </w:rPr>
        <w:t xml:space="preserve"> </w:t>
      </w:r>
      <w:r w:rsidR="007B3C6B" w:rsidRPr="00732F0C">
        <w:rPr>
          <w:rFonts w:ascii="Cambria" w:hAnsi="Cambria"/>
          <w:sz w:val="20"/>
          <w:szCs w:val="20"/>
          <w:lang w:val="es-CR"/>
        </w:rPr>
        <w:t xml:space="preserve">que el 11 de septiembre de 1993 se llevó a cabo un baile popular </w:t>
      </w:r>
      <w:r w:rsidRPr="00732F0C">
        <w:rPr>
          <w:rFonts w:ascii="Cambria" w:hAnsi="Cambria"/>
          <w:sz w:val="20"/>
          <w:szCs w:val="20"/>
          <w:lang w:val="es-CR"/>
        </w:rPr>
        <w:t>en las calles de la ciudad de Otavalo</w:t>
      </w:r>
      <w:r w:rsidR="007B3C6B" w:rsidRPr="00732F0C">
        <w:rPr>
          <w:rFonts w:ascii="Cambria" w:hAnsi="Cambria"/>
          <w:sz w:val="20"/>
          <w:szCs w:val="20"/>
          <w:lang w:val="es-CR"/>
        </w:rPr>
        <w:t xml:space="preserve">, organizado por </w:t>
      </w:r>
      <w:r w:rsidRPr="00732F0C">
        <w:rPr>
          <w:rFonts w:ascii="Cambria" w:hAnsi="Cambria"/>
          <w:sz w:val="20"/>
          <w:szCs w:val="20"/>
          <w:lang w:val="es-CR"/>
        </w:rPr>
        <w:t xml:space="preserve">la Cooperativa de Transportes “Otavalo”, en donde trabajaban Jorge Darwin y su hermano Franklin Plutarco García, </w:t>
      </w:r>
      <w:r w:rsidR="00BB4594" w:rsidRPr="00732F0C">
        <w:rPr>
          <w:rFonts w:ascii="Cambria" w:hAnsi="Cambria"/>
          <w:sz w:val="20"/>
          <w:szCs w:val="20"/>
          <w:lang w:val="es-CR"/>
        </w:rPr>
        <w:t xml:space="preserve">personas afrodescendientes </w:t>
      </w:r>
      <w:r w:rsidRPr="00732F0C">
        <w:rPr>
          <w:rFonts w:ascii="Cambria" w:hAnsi="Cambria"/>
          <w:sz w:val="20"/>
          <w:szCs w:val="20"/>
          <w:lang w:val="es-CR"/>
        </w:rPr>
        <w:t>de 31 y 20 años de edad, respectivamente. Sostuvo que los hermanos García junto con sus amigos se encontraban en la fiesta conversando y riéndose.</w:t>
      </w:r>
    </w:p>
    <w:p w:rsidR="005541B8" w:rsidRPr="00732F0C" w:rsidRDefault="005541B8" w:rsidP="00842D6E">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sz w:val="20"/>
          <w:szCs w:val="20"/>
          <w:lang w:val="es-ES_tradnl"/>
        </w:rPr>
      </w:pPr>
    </w:p>
    <w:p w:rsidR="005541B8" w:rsidRPr="00732F0C" w:rsidRDefault="005541B8" w:rsidP="00842D6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ES_tradnl"/>
        </w:rPr>
      </w:pPr>
      <w:r w:rsidRPr="00732F0C">
        <w:rPr>
          <w:rFonts w:ascii="Cambria" w:hAnsi="Cambria"/>
          <w:sz w:val="20"/>
          <w:szCs w:val="20"/>
          <w:lang w:val="es-ES_tradnl"/>
        </w:rPr>
        <w:t xml:space="preserve">Señaló que aproximadamente a las 2:00 a.m. del 12 de septiembre de 1993, tres personas se acercaron al grupo donde estaban los hermanos García: i) el agente policial de la </w:t>
      </w:r>
      <w:r w:rsidRPr="00732F0C">
        <w:rPr>
          <w:rFonts w:ascii="Cambria" w:hAnsi="Cambria"/>
          <w:sz w:val="20"/>
          <w:szCs w:val="20"/>
          <w:lang w:val="es-CR"/>
        </w:rPr>
        <w:t>Unidad de Investigaciones Especiales Segundo Néstor de la Cruz; ii) su hermano José de la Cruz; y iii) el agente policial Edwin Guzmán</w:t>
      </w:r>
      <w:r w:rsidR="00F05202" w:rsidRPr="00732F0C">
        <w:rPr>
          <w:rFonts w:ascii="Cambria" w:hAnsi="Cambria"/>
          <w:sz w:val="20"/>
          <w:szCs w:val="20"/>
          <w:lang w:val="es-CR"/>
        </w:rPr>
        <w:t>. Manifestó que el señor Segundo de la Cruz, quien parecía encontrarse en estado de ebriedad, apuntó con su arma a uno de los amigos de los hermanos García</w:t>
      </w:r>
      <w:r w:rsidR="00F05202" w:rsidRPr="00732F0C">
        <w:rPr>
          <w:rFonts w:ascii="Cambria" w:hAnsi="Cambria"/>
          <w:sz w:val="20"/>
          <w:szCs w:val="20"/>
          <w:lang w:val="es-AR"/>
        </w:rPr>
        <w:t>. Señaló que Segundo de la Cruz les increpó por presuntamente haberse burlado de él y que él era “un agente de la Policía”.</w:t>
      </w:r>
    </w:p>
    <w:p w:rsidR="00F05202" w:rsidRPr="00732F0C" w:rsidRDefault="00F05202" w:rsidP="00842D6E">
      <w:pPr>
        <w:pStyle w:val="ListParagraph"/>
        <w:jc w:val="both"/>
        <w:rPr>
          <w:sz w:val="20"/>
          <w:szCs w:val="20"/>
          <w:lang w:val="es-ES_tradnl"/>
        </w:rPr>
      </w:pPr>
    </w:p>
    <w:p w:rsidR="00F05202" w:rsidRPr="00732F0C" w:rsidRDefault="00F05202" w:rsidP="00842D6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CR"/>
        </w:rPr>
      </w:pPr>
      <w:r w:rsidRPr="00732F0C">
        <w:rPr>
          <w:rFonts w:ascii="Cambria" w:hAnsi="Cambria"/>
          <w:sz w:val="20"/>
          <w:szCs w:val="20"/>
          <w:lang w:val="es-AR"/>
        </w:rPr>
        <w:t xml:space="preserve">La peticionaria sostuvo que Jorge </w:t>
      </w:r>
      <w:r w:rsidRPr="00732F0C">
        <w:rPr>
          <w:rFonts w:ascii="Cambria" w:hAnsi="Cambria"/>
          <w:sz w:val="20"/>
          <w:szCs w:val="20"/>
          <w:lang w:val="es-CR"/>
        </w:rPr>
        <w:t xml:space="preserve">Darwin García le reclamó al señor Segundo de la Cruz por lo que éste procedió a dispararle en la cabeza. Señaló que Franklin Plutarco García trató de detener al agente policial Segundo de la Cruz; no obstante, recibió dos disparos en el tórax y </w:t>
      </w:r>
      <w:r w:rsidR="00FE509B" w:rsidRPr="00732F0C">
        <w:rPr>
          <w:rFonts w:ascii="Cambria" w:hAnsi="Cambria"/>
          <w:sz w:val="20"/>
          <w:szCs w:val="20"/>
          <w:lang w:val="es-CR"/>
        </w:rPr>
        <w:t>el antebrazo</w:t>
      </w:r>
      <w:r w:rsidRPr="00732F0C">
        <w:rPr>
          <w:rFonts w:ascii="Cambria" w:hAnsi="Cambria"/>
          <w:sz w:val="20"/>
          <w:szCs w:val="20"/>
          <w:lang w:val="es-CR"/>
        </w:rPr>
        <w:t xml:space="preserve">. </w:t>
      </w:r>
      <w:r w:rsidR="00FE509B" w:rsidRPr="00732F0C">
        <w:rPr>
          <w:rFonts w:ascii="Cambria" w:hAnsi="Cambria"/>
          <w:sz w:val="20"/>
          <w:szCs w:val="20"/>
          <w:lang w:val="es-CR"/>
        </w:rPr>
        <w:t>Señaló que Jorge Darwin García fue trasladado a la ciudad de Quito, falleciendo en el trayecto. Sostuvo que Franklin Plutarco García fue trasladado al Hospital San Vicente de Paul de la ciudad de Ibarra d</w:t>
      </w:r>
      <w:proofErr w:type="spellStart"/>
      <w:r w:rsidR="00FE509B" w:rsidRPr="00732F0C">
        <w:rPr>
          <w:rFonts w:ascii="Cambria" w:hAnsi="Cambria"/>
          <w:sz w:val="20"/>
          <w:szCs w:val="20"/>
          <w:lang w:val="es-ES"/>
        </w:rPr>
        <w:t>onde</w:t>
      </w:r>
      <w:proofErr w:type="spellEnd"/>
      <w:r w:rsidR="00FE509B" w:rsidRPr="00732F0C">
        <w:rPr>
          <w:rFonts w:ascii="Cambria" w:hAnsi="Cambria"/>
          <w:sz w:val="20"/>
          <w:szCs w:val="20"/>
          <w:lang w:val="es-CR"/>
        </w:rPr>
        <w:t xml:space="preserve"> permaneció hospitalizado durante tres semanas.</w:t>
      </w:r>
    </w:p>
    <w:p w:rsidR="00D55377" w:rsidRPr="00732F0C" w:rsidRDefault="00D55377" w:rsidP="00842D6E">
      <w:pPr>
        <w:pStyle w:val="ListParagraph"/>
        <w:jc w:val="both"/>
        <w:rPr>
          <w:sz w:val="20"/>
          <w:szCs w:val="20"/>
          <w:lang w:val="es-CR"/>
        </w:rPr>
      </w:pPr>
    </w:p>
    <w:p w:rsidR="00D55377" w:rsidRPr="00732F0C" w:rsidRDefault="00D55377" w:rsidP="00842D6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CR"/>
        </w:rPr>
      </w:pPr>
      <w:r w:rsidRPr="00732F0C">
        <w:rPr>
          <w:rFonts w:ascii="Cambria" w:hAnsi="Cambria"/>
          <w:sz w:val="20"/>
          <w:szCs w:val="20"/>
          <w:lang w:val="es-CR"/>
        </w:rPr>
        <w:t xml:space="preserve">Respecto de los requisitos de admisibilidad y competencia, </w:t>
      </w:r>
      <w:r w:rsidR="00593D5D" w:rsidRPr="00732F0C">
        <w:rPr>
          <w:rFonts w:ascii="Cambria" w:hAnsi="Cambria"/>
          <w:sz w:val="20"/>
          <w:szCs w:val="20"/>
          <w:lang w:val="es-CR"/>
        </w:rPr>
        <w:t>la peticionaria afirmó</w:t>
      </w:r>
      <w:r w:rsidRPr="00732F0C">
        <w:rPr>
          <w:rFonts w:ascii="Cambria" w:hAnsi="Cambria"/>
          <w:sz w:val="20"/>
          <w:szCs w:val="20"/>
          <w:lang w:val="es-CR"/>
        </w:rPr>
        <w:t xml:space="preserve"> que los hechos del caso ocurrieron en el territorio de la República de Ecuador, Estado parte de la Convención desde el 28 de diciembre de 1977. En cuanto a la competencia </w:t>
      </w:r>
      <w:proofErr w:type="spellStart"/>
      <w:r w:rsidRPr="00732F0C">
        <w:rPr>
          <w:rFonts w:ascii="Cambria" w:hAnsi="Cambria"/>
          <w:i/>
          <w:sz w:val="20"/>
          <w:szCs w:val="20"/>
          <w:lang w:val="es-CR"/>
        </w:rPr>
        <w:t>ratione</w:t>
      </w:r>
      <w:proofErr w:type="spellEnd"/>
      <w:r w:rsidRPr="00732F0C">
        <w:rPr>
          <w:rFonts w:ascii="Cambria" w:hAnsi="Cambria"/>
          <w:i/>
          <w:sz w:val="20"/>
          <w:szCs w:val="20"/>
          <w:lang w:val="es-CR"/>
        </w:rPr>
        <w:t xml:space="preserve"> </w:t>
      </w:r>
      <w:proofErr w:type="spellStart"/>
      <w:r w:rsidRPr="00732F0C">
        <w:rPr>
          <w:rFonts w:ascii="Cambria" w:hAnsi="Cambria"/>
          <w:i/>
          <w:sz w:val="20"/>
          <w:szCs w:val="20"/>
          <w:lang w:val="es-CR"/>
        </w:rPr>
        <w:t>materiae</w:t>
      </w:r>
      <w:proofErr w:type="spellEnd"/>
      <w:r w:rsidRPr="00732F0C">
        <w:rPr>
          <w:rFonts w:ascii="Cambria" w:hAnsi="Cambria"/>
          <w:sz w:val="20"/>
          <w:szCs w:val="20"/>
          <w:lang w:val="es-CR"/>
        </w:rPr>
        <w:t xml:space="preserve"> </w:t>
      </w:r>
      <w:r w:rsidR="00593D5D" w:rsidRPr="00732F0C">
        <w:rPr>
          <w:rFonts w:ascii="Cambria" w:hAnsi="Cambria"/>
          <w:sz w:val="20"/>
          <w:szCs w:val="20"/>
          <w:lang w:val="es-CR"/>
        </w:rPr>
        <w:t>alegó</w:t>
      </w:r>
      <w:r w:rsidRPr="00732F0C">
        <w:rPr>
          <w:rFonts w:ascii="Cambria" w:hAnsi="Cambria"/>
          <w:sz w:val="20"/>
          <w:szCs w:val="20"/>
          <w:lang w:val="es-CR"/>
        </w:rPr>
        <w:t xml:space="preserve"> que las acciones y omisiones cometidas por un agente de la policía se configuraron violaciones a la Convención Americana. </w:t>
      </w:r>
    </w:p>
    <w:p w:rsidR="00F05202" w:rsidRPr="00732F0C" w:rsidRDefault="00F05202" w:rsidP="00842D6E">
      <w:pPr>
        <w:tabs>
          <w:tab w:val="left" w:pos="1440"/>
        </w:tabs>
        <w:ind w:firstLine="720"/>
        <w:jc w:val="both"/>
        <w:rPr>
          <w:rFonts w:ascii="Cambria" w:hAnsi="Cambria"/>
          <w:sz w:val="20"/>
          <w:szCs w:val="20"/>
          <w:lang w:val="es-CR"/>
        </w:rPr>
      </w:pPr>
    </w:p>
    <w:p w:rsidR="00AD37AD" w:rsidRPr="00732F0C" w:rsidRDefault="00D55377" w:rsidP="00842D6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ES_tradnl"/>
        </w:rPr>
      </w:pPr>
      <w:r w:rsidRPr="00732F0C">
        <w:rPr>
          <w:rFonts w:ascii="Cambria" w:hAnsi="Cambria"/>
          <w:sz w:val="20"/>
          <w:szCs w:val="20"/>
          <w:lang w:val="es-CR"/>
        </w:rPr>
        <w:t xml:space="preserve">Respecto </w:t>
      </w:r>
      <w:r w:rsidRPr="00732F0C">
        <w:rPr>
          <w:rFonts w:ascii="Cambria" w:hAnsi="Cambria"/>
          <w:sz w:val="20"/>
          <w:szCs w:val="20"/>
          <w:lang w:val="es-ES"/>
        </w:rPr>
        <w:t xml:space="preserve">del requisito de agotamiento de los recursos internos, </w:t>
      </w:r>
      <w:r w:rsidR="00593D5D" w:rsidRPr="00732F0C">
        <w:rPr>
          <w:rFonts w:ascii="Cambria" w:hAnsi="Cambria" w:cs="Bookman Old Style"/>
          <w:sz w:val="20"/>
          <w:szCs w:val="20"/>
          <w:lang w:val="es-ES_tradnl"/>
        </w:rPr>
        <w:t>la peticionaria señaló</w:t>
      </w:r>
      <w:r w:rsidR="00AD37AD" w:rsidRPr="00732F0C">
        <w:rPr>
          <w:rFonts w:ascii="Cambria" w:hAnsi="Cambria" w:cs="Bookman Old Style"/>
          <w:sz w:val="20"/>
          <w:szCs w:val="20"/>
          <w:lang w:val="es-ES_tradnl"/>
        </w:rPr>
        <w:t xml:space="preserve"> que el Estado incurrió en un retardo injustificado al resolver el juicio penal instaurado en el ámbito interno. Sostuvo que el 28 de enero de 1998 la Corte Suprema confirmó la sentencia condenatoria de primera instancia, es decir, casi cuatro años y medio después de ocurridos los hechos, lo cual, según </w:t>
      </w:r>
      <w:r w:rsidR="00D742B8" w:rsidRPr="00732F0C">
        <w:rPr>
          <w:rFonts w:ascii="Cambria" w:hAnsi="Cambria" w:cs="Bookman Old Style"/>
          <w:sz w:val="20"/>
          <w:szCs w:val="20"/>
          <w:lang w:val="es-ES_tradnl"/>
        </w:rPr>
        <w:t>la peticionaria</w:t>
      </w:r>
      <w:r w:rsidR="00AD37AD" w:rsidRPr="00732F0C">
        <w:rPr>
          <w:rFonts w:ascii="Cambria" w:hAnsi="Cambria" w:cs="Bookman Old Style"/>
          <w:sz w:val="20"/>
          <w:szCs w:val="20"/>
          <w:lang w:val="es-ES_tradnl"/>
        </w:rPr>
        <w:t xml:space="preserve">, </w:t>
      </w:r>
      <w:r w:rsidR="009319D4" w:rsidRPr="00732F0C">
        <w:rPr>
          <w:rFonts w:ascii="Cambria" w:hAnsi="Cambria" w:cs="Bookman Old Style"/>
          <w:sz w:val="20"/>
          <w:szCs w:val="20"/>
          <w:lang w:val="es-ES_tradnl"/>
        </w:rPr>
        <w:t>constituye un plazo irrazonable</w:t>
      </w:r>
      <w:r w:rsidR="00AD37AD" w:rsidRPr="00732F0C">
        <w:rPr>
          <w:rFonts w:ascii="Cambria" w:hAnsi="Cambria" w:cs="Bookman Old Style"/>
          <w:sz w:val="20"/>
          <w:szCs w:val="20"/>
          <w:lang w:val="es-ES_tradnl"/>
        </w:rPr>
        <w:t xml:space="preserve">. </w:t>
      </w:r>
      <w:r w:rsidR="009319D4" w:rsidRPr="00732F0C">
        <w:rPr>
          <w:rFonts w:ascii="Cambria" w:hAnsi="Cambria"/>
          <w:sz w:val="20"/>
          <w:szCs w:val="20"/>
          <w:lang w:val="es-ES_tradnl"/>
        </w:rPr>
        <w:t>Asimismo</w:t>
      </w:r>
      <w:r w:rsidR="00AD37AD" w:rsidRPr="00732F0C">
        <w:rPr>
          <w:rFonts w:ascii="Cambria" w:hAnsi="Cambria"/>
          <w:sz w:val="20"/>
          <w:szCs w:val="20"/>
          <w:lang w:val="es-ES_tradnl"/>
        </w:rPr>
        <w:t xml:space="preserve">, </w:t>
      </w:r>
      <w:r w:rsidR="009319D4" w:rsidRPr="00732F0C">
        <w:rPr>
          <w:rFonts w:ascii="Cambria" w:hAnsi="Cambria"/>
          <w:sz w:val="20"/>
          <w:szCs w:val="20"/>
          <w:lang w:val="es-ES_tradnl"/>
        </w:rPr>
        <w:t>la peticionaria indicó</w:t>
      </w:r>
      <w:r w:rsidR="00AD37AD" w:rsidRPr="00732F0C">
        <w:rPr>
          <w:rFonts w:ascii="Cambria" w:hAnsi="Cambria"/>
          <w:sz w:val="20"/>
          <w:szCs w:val="20"/>
          <w:lang w:val="es-ES_tradnl"/>
        </w:rPr>
        <w:t xml:space="preserve"> que el agente policial sentenciado presentó un recurso de revisión en febrero de 1998 y que, de acuerdo a su escrito de enero de 2015, no habría sido resuelto</w:t>
      </w:r>
      <w:r w:rsidR="009319D4" w:rsidRPr="00732F0C">
        <w:rPr>
          <w:rFonts w:ascii="Cambria" w:hAnsi="Cambria"/>
          <w:sz w:val="20"/>
          <w:szCs w:val="20"/>
          <w:lang w:val="es-ES_tradnl"/>
        </w:rPr>
        <w:t xml:space="preserve"> hasta esa fecha.</w:t>
      </w:r>
      <w:r w:rsidR="00AD37AD" w:rsidRPr="00732F0C">
        <w:rPr>
          <w:rFonts w:ascii="Cambria" w:hAnsi="Cambria"/>
          <w:sz w:val="20"/>
          <w:szCs w:val="20"/>
          <w:lang w:val="es-ES_tradnl"/>
        </w:rPr>
        <w:t xml:space="preserve"> </w:t>
      </w:r>
    </w:p>
    <w:p w:rsidR="002F6896" w:rsidRPr="00732F0C" w:rsidRDefault="002F6896" w:rsidP="00842D6E">
      <w:pPr>
        <w:pStyle w:val="ListParagraph"/>
        <w:jc w:val="both"/>
        <w:rPr>
          <w:sz w:val="20"/>
          <w:szCs w:val="20"/>
          <w:lang w:val="es-ES_tradnl"/>
        </w:rPr>
      </w:pPr>
    </w:p>
    <w:p w:rsidR="002F6896" w:rsidRPr="00732F0C" w:rsidRDefault="002F6896" w:rsidP="00842D6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ES_tradnl"/>
        </w:rPr>
      </w:pPr>
      <w:r w:rsidRPr="00732F0C">
        <w:rPr>
          <w:rFonts w:ascii="Cambria" w:hAnsi="Cambria"/>
          <w:sz w:val="20"/>
          <w:szCs w:val="20"/>
          <w:lang w:val="es-CR"/>
        </w:rPr>
        <w:t>La peticionaria sostuvo que el Estado no hizo valer la excepción de no agotamiento de los recursos internos en el momento en que recibió la comunicación formal de la petición, como medio para oponerse a la admisibilidad. Según la peticionaria, la interposición de la excepción de no agotamiento de los recursos internos por parte del Estado al momento de presentar sus alegatos sobre el fondo resulta extemporánea, ya que se produjo una renuncia tácita a ese derecho en las primeras comunicaciones estatales. Por otra parte, indicó que el Estado en ningún momento refirió específicamente qué recurso interno se encontraría pendiente de agotamiento.</w:t>
      </w:r>
    </w:p>
    <w:p w:rsidR="0035594E" w:rsidRPr="00732F0C" w:rsidRDefault="0035594E" w:rsidP="00842D6E">
      <w:pPr>
        <w:jc w:val="both"/>
        <w:rPr>
          <w:rFonts w:ascii="Cambria" w:hAnsi="Cambria"/>
          <w:sz w:val="20"/>
          <w:szCs w:val="20"/>
          <w:lang w:val="es-ES_tradnl"/>
        </w:rPr>
      </w:pPr>
    </w:p>
    <w:p w:rsidR="00ED6A52" w:rsidRPr="00732F0C" w:rsidRDefault="00ED6A52" w:rsidP="00842D6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cs="Bookman Old Style"/>
          <w:sz w:val="20"/>
          <w:szCs w:val="20"/>
          <w:lang w:val="es-ES_tradnl"/>
        </w:rPr>
      </w:pPr>
      <w:r w:rsidRPr="00732F0C">
        <w:rPr>
          <w:rFonts w:ascii="Cambria" w:hAnsi="Cambria" w:cs="Bookman Old Style"/>
          <w:sz w:val="20"/>
          <w:szCs w:val="20"/>
          <w:lang w:val="es-ES_tradnl"/>
        </w:rPr>
        <w:t xml:space="preserve">En cuanto al requisito de presentación oportuna de la petición, la peticionaria señaló que la misma fue </w:t>
      </w:r>
      <w:r w:rsidRPr="00732F0C">
        <w:rPr>
          <w:rFonts w:ascii="Cambria" w:hAnsi="Cambria"/>
          <w:sz w:val="20"/>
          <w:szCs w:val="20"/>
          <w:lang w:val="es-ES"/>
        </w:rPr>
        <w:t xml:space="preserve">presentada </w:t>
      </w:r>
      <w:r w:rsidRPr="00732F0C">
        <w:rPr>
          <w:rFonts w:ascii="Cambria" w:hAnsi="Cambria"/>
          <w:sz w:val="20"/>
          <w:szCs w:val="20"/>
          <w:lang w:val="es-CR"/>
        </w:rPr>
        <w:t>en noviembre de 1994, un año y dos meses después de ocurridos los hechos, sin que para esa fecha hubiera existido una decisión de primera instancia</w:t>
      </w:r>
      <w:r w:rsidRPr="00732F0C">
        <w:rPr>
          <w:rFonts w:ascii="Cambria" w:hAnsi="Cambria"/>
          <w:sz w:val="20"/>
          <w:szCs w:val="20"/>
          <w:lang w:val="es-ES"/>
        </w:rPr>
        <w:t>. Con base en lo anterior, argumentó que el plazo de seis meses no opera, puesto que corresponde dar aplicación a las excepciones al agotamiento de los recursos internos.</w:t>
      </w:r>
    </w:p>
    <w:p w:rsidR="00ED6A52" w:rsidRPr="00732F0C" w:rsidRDefault="00ED6A52" w:rsidP="00842D6E">
      <w:pPr>
        <w:jc w:val="both"/>
        <w:rPr>
          <w:rFonts w:ascii="Cambria" w:hAnsi="Cambria"/>
          <w:sz w:val="20"/>
          <w:szCs w:val="20"/>
          <w:lang w:val="es-ES_tradnl"/>
        </w:rPr>
      </w:pPr>
    </w:p>
    <w:p w:rsidR="00ED6A52" w:rsidRPr="00732F0C" w:rsidRDefault="00ED6A52" w:rsidP="00842D6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ES_tradnl"/>
        </w:rPr>
      </w:pPr>
      <w:r w:rsidRPr="00732F0C">
        <w:rPr>
          <w:rFonts w:ascii="Cambria" w:hAnsi="Cambria"/>
          <w:sz w:val="20"/>
          <w:szCs w:val="20"/>
          <w:lang w:val="es-ES_tradnl"/>
        </w:rPr>
        <w:t xml:space="preserve">La peticionaria también indicó </w:t>
      </w:r>
      <w:r w:rsidRPr="00732F0C">
        <w:rPr>
          <w:rFonts w:ascii="Cambria" w:hAnsi="Cambria"/>
          <w:sz w:val="20"/>
          <w:szCs w:val="20"/>
          <w:lang w:val="es-ES"/>
        </w:rPr>
        <w:t>que el presente caso no se encuentra pendiente ante otro procedimiento de arreglo internacional y su materia no es reproducción de una petición anteriormente resuelta por la Comisión ni otro órgano internacional.</w:t>
      </w:r>
    </w:p>
    <w:p w:rsidR="00ED6A52" w:rsidRPr="00732F0C" w:rsidRDefault="00ED6A52" w:rsidP="00842D6E">
      <w:pPr>
        <w:jc w:val="both"/>
        <w:rPr>
          <w:rFonts w:ascii="Cambria" w:hAnsi="Cambria"/>
          <w:sz w:val="20"/>
          <w:szCs w:val="20"/>
          <w:lang w:val="es-ES_tradnl"/>
        </w:rPr>
      </w:pPr>
    </w:p>
    <w:p w:rsidR="009319D4" w:rsidRPr="00732F0C" w:rsidRDefault="00ED6A52" w:rsidP="00842D6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ES_tradnl"/>
        </w:rPr>
      </w:pPr>
      <w:r w:rsidRPr="00732F0C">
        <w:rPr>
          <w:rFonts w:ascii="Cambria" w:hAnsi="Cambria"/>
          <w:sz w:val="20"/>
          <w:szCs w:val="20"/>
          <w:lang w:val="es-ES_tradnl"/>
        </w:rPr>
        <w:lastRenderedPageBreak/>
        <w:t>Respecto del</w:t>
      </w:r>
      <w:r w:rsidR="009319D4" w:rsidRPr="00732F0C">
        <w:rPr>
          <w:rFonts w:ascii="Cambria" w:hAnsi="Cambria"/>
          <w:sz w:val="20"/>
          <w:szCs w:val="20"/>
          <w:lang w:val="es-ES_tradnl"/>
        </w:rPr>
        <w:t xml:space="preserve"> argumento estatal relacionado con la fórmula de la cuarta instancia, </w:t>
      </w:r>
      <w:r w:rsidR="009B7057" w:rsidRPr="00732F0C">
        <w:rPr>
          <w:rFonts w:ascii="Cambria" w:hAnsi="Cambria"/>
          <w:sz w:val="20"/>
          <w:szCs w:val="20"/>
          <w:lang w:val="es-ES_tradnl"/>
        </w:rPr>
        <w:t>la peticionaria aclaró que no pretende</w:t>
      </w:r>
      <w:r w:rsidR="009319D4" w:rsidRPr="00732F0C">
        <w:rPr>
          <w:rFonts w:ascii="Cambria" w:hAnsi="Cambria"/>
          <w:sz w:val="20"/>
          <w:szCs w:val="20"/>
          <w:lang w:val="es-ES_tradnl"/>
        </w:rPr>
        <w:t xml:space="preserve"> que la Comisión revise la sentencia emitida en el ámbito interno, sino que el Estado violó el derecho a contar con tribunales independientes e imparciales y el derecho a que se resuelva una contienda judicial en un plazo razonable. Aleg</w:t>
      </w:r>
      <w:r w:rsidR="009B7057" w:rsidRPr="00732F0C">
        <w:rPr>
          <w:rFonts w:ascii="Cambria" w:hAnsi="Cambria"/>
          <w:sz w:val="20"/>
          <w:szCs w:val="20"/>
          <w:lang w:val="es-ES_tradnl"/>
        </w:rPr>
        <w:t>ó</w:t>
      </w:r>
      <w:r w:rsidR="009319D4" w:rsidRPr="00732F0C">
        <w:rPr>
          <w:rFonts w:ascii="Cambria" w:hAnsi="Cambria"/>
          <w:sz w:val="20"/>
          <w:szCs w:val="20"/>
          <w:lang w:val="es-ES_tradnl"/>
        </w:rPr>
        <w:t xml:space="preserve"> que las demoras y falencias en la investigación, así como la falta de resolución del recurso de revisión presentado por la persona responsable, no han permitido a los familiares de la presunta víctima conocer la verdad sobre lo sucedido. </w:t>
      </w:r>
    </w:p>
    <w:p w:rsidR="009319D4" w:rsidRPr="00732F0C" w:rsidRDefault="009319D4" w:rsidP="00842D6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hAnsi="Cambria"/>
          <w:sz w:val="20"/>
          <w:szCs w:val="20"/>
          <w:lang w:val="es-ES_tradnl"/>
        </w:rPr>
      </w:pPr>
    </w:p>
    <w:p w:rsidR="009B7057" w:rsidRPr="00732F0C" w:rsidRDefault="009B7057" w:rsidP="00842D6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ES_tradnl"/>
        </w:rPr>
      </w:pPr>
      <w:r w:rsidRPr="00732F0C">
        <w:rPr>
          <w:rFonts w:ascii="Cambria" w:hAnsi="Cambria" w:cs="Bookman Old Style"/>
          <w:sz w:val="20"/>
          <w:szCs w:val="20"/>
          <w:lang w:val="es-ES_tradnl"/>
        </w:rPr>
        <w:t>En relación con el derecho a la vida, la peticionaria reiteró la jurisprudencia de la Corte sobre el</w:t>
      </w:r>
      <w:r w:rsidRPr="00732F0C">
        <w:rPr>
          <w:rFonts w:ascii="Cambria" w:hAnsi="Cambria"/>
          <w:sz w:val="20"/>
          <w:szCs w:val="20"/>
          <w:lang w:val="es-ES_tradnl"/>
        </w:rPr>
        <w:t xml:space="preserve"> deber </w:t>
      </w:r>
      <w:r w:rsidR="006A3859" w:rsidRPr="00732F0C">
        <w:rPr>
          <w:rFonts w:ascii="Cambria" w:hAnsi="Cambria"/>
          <w:sz w:val="20"/>
          <w:szCs w:val="20"/>
          <w:lang w:val="es-ES_tradnl"/>
        </w:rPr>
        <w:t xml:space="preserve">del Estado </w:t>
      </w:r>
      <w:r w:rsidRPr="00732F0C">
        <w:rPr>
          <w:rFonts w:ascii="Cambria" w:hAnsi="Cambria"/>
          <w:sz w:val="20"/>
          <w:szCs w:val="20"/>
          <w:lang w:val="es-ES_tradnl"/>
        </w:rPr>
        <w:t>de impedir que sus agentes atenten contra dicho derecho. Mencionó que la responsabilidad del Estado en este caso no est</w:t>
      </w:r>
      <w:r w:rsidRPr="00732F0C">
        <w:rPr>
          <w:rFonts w:ascii="Cambria" w:hAnsi="Cambria" w:cs="Arial"/>
          <w:sz w:val="20"/>
          <w:szCs w:val="20"/>
          <w:lang w:val="es-ES_tradnl"/>
        </w:rPr>
        <w:t>á</w:t>
      </w:r>
      <w:r w:rsidRPr="00732F0C">
        <w:rPr>
          <w:rFonts w:ascii="Cambria" w:hAnsi="Cambria"/>
          <w:sz w:val="20"/>
          <w:szCs w:val="20"/>
          <w:lang w:val="es-ES_tradnl"/>
        </w:rPr>
        <w:t xml:space="preserve"> dada sólo porque uno de sus agentes privó arbitrariamente de la vida a </w:t>
      </w:r>
      <w:r w:rsidRPr="00732F0C">
        <w:rPr>
          <w:rFonts w:ascii="Cambria" w:hAnsi="Cambria"/>
          <w:sz w:val="20"/>
          <w:szCs w:val="20"/>
          <w:lang w:val="es-CR"/>
        </w:rPr>
        <w:t>Jorge Darwin García</w:t>
      </w:r>
      <w:r w:rsidRPr="00732F0C">
        <w:rPr>
          <w:rFonts w:ascii="Cambria" w:hAnsi="Cambria"/>
          <w:sz w:val="20"/>
          <w:szCs w:val="20"/>
          <w:lang w:val="es-ES_tradnl"/>
        </w:rPr>
        <w:t xml:space="preserve">, sino además porque la administración de justicia omitió investigar seriamente. </w:t>
      </w:r>
      <w:r w:rsidR="009D72AD" w:rsidRPr="00732F0C">
        <w:rPr>
          <w:rFonts w:ascii="Cambria" w:hAnsi="Cambria"/>
          <w:sz w:val="20"/>
          <w:szCs w:val="20"/>
          <w:lang w:val="es-ES_tradnl"/>
        </w:rPr>
        <w:t xml:space="preserve"> </w:t>
      </w:r>
    </w:p>
    <w:p w:rsidR="009B7057" w:rsidRPr="00732F0C" w:rsidRDefault="009B7057" w:rsidP="00842D6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hAnsi="Cambria"/>
          <w:sz w:val="20"/>
          <w:szCs w:val="20"/>
          <w:lang w:val="es-ES_tradnl"/>
        </w:rPr>
      </w:pPr>
    </w:p>
    <w:p w:rsidR="00D1330A" w:rsidRPr="00732F0C" w:rsidRDefault="009D72AD" w:rsidP="00842D6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CR"/>
        </w:rPr>
      </w:pPr>
      <w:r w:rsidRPr="00732F0C">
        <w:rPr>
          <w:rFonts w:ascii="Cambria" w:hAnsi="Cambria" w:cs="Bookman Old Style"/>
          <w:sz w:val="20"/>
          <w:szCs w:val="20"/>
          <w:lang w:val="es-ES_tradnl"/>
        </w:rPr>
        <w:t>Respecto de los derechos a las garantías judiciales y protección judicial, la peticionaria alegó</w:t>
      </w:r>
      <w:r w:rsidR="00D1330A" w:rsidRPr="00732F0C">
        <w:rPr>
          <w:rFonts w:ascii="Cambria" w:hAnsi="Cambria" w:cs="Bookman Old Style"/>
          <w:sz w:val="20"/>
          <w:szCs w:val="20"/>
          <w:lang w:val="es-ES_tradnl"/>
        </w:rPr>
        <w:t xml:space="preserve"> que en el marco de la jurisdicción interna se presentaron una serie de obst</w:t>
      </w:r>
      <w:r w:rsidR="000F2469" w:rsidRPr="00732F0C">
        <w:rPr>
          <w:rFonts w:ascii="Cambria" w:hAnsi="Cambria" w:cs="Bookman Old Style"/>
          <w:sz w:val="20"/>
          <w:szCs w:val="20"/>
          <w:lang w:val="es-ES_tradnl"/>
        </w:rPr>
        <w:t xml:space="preserve">áculos </w:t>
      </w:r>
      <w:r w:rsidR="00D1330A" w:rsidRPr="00732F0C">
        <w:rPr>
          <w:rFonts w:ascii="Cambria" w:hAnsi="Cambria" w:cs="Bookman Old Style"/>
          <w:sz w:val="20"/>
          <w:szCs w:val="20"/>
          <w:lang w:val="es-ES_tradnl"/>
        </w:rPr>
        <w:t>y demoras. Señaló que la investigación estuvo en un primer momento a cargo del fuero policial. Sostuvo que conforme a un documento pericial se habrían encontrado falencias en la realización de la autopsia así como en los exámenes balísticos.</w:t>
      </w:r>
      <w:r w:rsidR="002F6896" w:rsidRPr="00732F0C">
        <w:rPr>
          <w:rFonts w:ascii="Cambria" w:hAnsi="Cambria"/>
          <w:sz w:val="20"/>
          <w:szCs w:val="20"/>
          <w:lang w:val="es-CR"/>
        </w:rPr>
        <w:t xml:space="preserve"> </w:t>
      </w:r>
      <w:r w:rsidR="00D1330A" w:rsidRPr="00732F0C">
        <w:rPr>
          <w:rFonts w:ascii="Cambria" w:hAnsi="Cambria" w:cs="Bookman Old Style"/>
          <w:sz w:val="20"/>
          <w:szCs w:val="20"/>
          <w:lang w:val="es-ES_tradnl"/>
        </w:rPr>
        <w:t>Sostuvo que</w:t>
      </w:r>
      <w:r w:rsidRPr="00732F0C">
        <w:rPr>
          <w:rFonts w:ascii="Cambria" w:hAnsi="Cambria" w:cs="Bookman Old Style"/>
          <w:sz w:val="20"/>
          <w:szCs w:val="20"/>
          <w:lang w:val="es-ES_tradnl"/>
        </w:rPr>
        <w:t xml:space="preserve"> </w:t>
      </w:r>
      <w:r w:rsidR="00D1330A" w:rsidRPr="00732F0C">
        <w:rPr>
          <w:rFonts w:ascii="Cambria" w:hAnsi="Cambria" w:cs="Bookman Old Style"/>
          <w:sz w:val="20"/>
          <w:szCs w:val="20"/>
          <w:lang w:val="es-ES_tradnl"/>
        </w:rPr>
        <w:t xml:space="preserve">durante la investigación se sobreseyó al agente policial Edwin Guzmán y a </w:t>
      </w:r>
      <w:r w:rsidR="00D1330A" w:rsidRPr="00732F0C">
        <w:rPr>
          <w:rFonts w:ascii="Cambria" w:hAnsi="Cambria"/>
          <w:sz w:val="20"/>
          <w:szCs w:val="20"/>
          <w:lang w:val="es-CR"/>
        </w:rPr>
        <w:t>José de la Cruz, quienes estuvieron junto al señor Segundo de la Cruz</w:t>
      </w:r>
      <w:r w:rsidR="002F6896" w:rsidRPr="00732F0C">
        <w:rPr>
          <w:rFonts w:ascii="Cambria" w:hAnsi="Cambria"/>
          <w:sz w:val="20"/>
          <w:szCs w:val="20"/>
          <w:lang w:val="es-CR"/>
        </w:rPr>
        <w:t xml:space="preserve"> al momento de los hechos.</w:t>
      </w:r>
    </w:p>
    <w:p w:rsidR="002F6896" w:rsidRPr="00732F0C" w:rsidRDefault="002F6896" w:rsidP="00842D6E">
      <w:pPr>
        <w:pStyle w:val="ListParagraph"/>
        <w:jc w:val="both"/>
        <w:rPr>
          <w:sz w:val="20"/>
          <w:szCs w:val="20"/>
          <w:lang w:val="es-CR"/>
        </w:rPr>
      </w:pPr>
    </w:p>
    <w:p w:rsidR="002F6896" w:rsidRPr="00732F0C" w:rsidRDefault="002F6896" w:rsidP="00842D6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CR"/>
        </w:rPr>
      </w:pPr>
      <w:r w:rsidRPr="00732F0C">
        <w:rPr>
          <w:rFonts w:ascii="Cambria" w:hAnsi="Cambria"/>
          <w:sz w:val="20"/>
          <w:szCs w:val="20"/>
          <w:lang w:val="es-CR"/>
        </w:rPr>
        <w:t xml:space="preserve">La peticionaria informó que el 3 de septiembre de 1995, el Tribunal Penal de Imbabura dictó sentencia condenatoria contra Segundo de la Cruz a </w:t>
      </w:r>
      <w:r w:rsidR="000F2469" w:rsidRPr="00732F0C">
        <w:rPr>
          <w:rFonts w:ascii="Cambria" w:hAnsi="Cambria"/>
          <w:sz w:val="20"/>
          <w:szCs w:val="20"/>
          <w:lang w:val="es-CR"/>
        </w:rPr>
        <w:t>seis</w:t>
      </w:r>
      <w:r w:rsidRPr="00732F0C">
        <w:rPr>
          <w:rFonts w:ascii="Cambria" w:hAnsi="Cambria"/>
          <w:sz w:val="20"/>
          <w:szCs w:val="20"/>
          <w:lang w:val="es-CR"/>
        </w:rPr>
        <w:t xml:space="preserve"> años de prisión, por considerarlo responsable del homicidio de Jorge Darwin García y de las lesiones a su hermano Franklin. Sostuvo que el señor de la Cruz apeló dicha sentencia, la cual fue confirmada por la Sala de Casación de la Corte Suprema de Justicia el 28 de enero de 1998. Asimismo, la peticionaria indicó que el señor de la Cruz presentó un recurso de revisión contra la sentencia, el cual, de acuerdo a su escrito de enero de 2015, no habría sido resuelto.</w:t>
      </w:r>
    </w:p>
    <w:p w:rsidR="008E0909" w:rsidRPr="00732F0C" w:rsidRDefault="008E0909" w:rsidP="00842D6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CR"/>
        </w:rPr>
      </w:pPr>
    </w:p>
    <w:p w:rsidR="008E0909" w:rsidRPr="00732F0C" w:rsidRDefault="008E0909" w:rsidP="00842D6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CR"/>
        </w:rPr>
      </w:pPr>
      <w:r w:rsidRPr="00732F0C">
        <w:rPr>
          <w:rFonts w:ascii="Cambria" w:hAnsi="Cambria"/>
          <w:sz w:val="20"/>
          <w:szCs w:val="20"/>
          <w:lang w:val="es-CR"/>
        </w:rPr>
        <w:t>La peticionaria señaló</w:t>
      </w:r>
      <w:r w:rsidRPr="00732F0C">
        <w:rPr>
          <w:rFonts w:ascii="Cambria" w:hAnsi="Cambria"/>
          <w:sz w:val="20"/>
          <w:szCs w:val="20"/>
          <w:lang w:val="es-ES_tradnl"/>
        </w:rPr>
        <w:t xml:space="preserve"> que el proceso no cumplió con los plazos legalmente establecidos en el Código de Procedimiento Penal.</w:t>
      </w:r>
      <w:r w:rsidRPr="00732F0C">
        <w:rPr>
          <w:rFonts w:ascii="Cambria" w:hAnsi="Cambria"/>
          <w:sz w:val="20"/>
          <w:szCs w:val="20"/>
          <w:lang w:val="es-CR"/>
        </w:rPr>
        <w:t xml:space="preserve"> Indicó que </w:t>
      </w:r>
      <w:r w:rsidR="00D051FE" w:rsidRPr="00732F0C">
        <w:rPr>
          <w:rFonts w:ascii="Cambria" w:hAnsi="Cambria"/>
          <w:sz w:val="20"/>
          <w:szCs w:val="20"/>
          <w:lang w:val="es-CR"/>
        </w:rPr>
        <w:t>la duración</w:t>
      </w:r>
      <w:r w:rsidRPr="00732F0C">
        <w:rPr>
          <w:rFonts w:ascii="Cambria" w:hAnsi="Cambria"/>
          <w:sz w:val="20"/>
          <w:szCs w:val="20"/>
          <w:lang w:val="es-CR"/>
        </w:rPr>
        <w:t xml:space="preserve"> del proceso </w:t>
      </w:r>
      <w:r w:rsidR="00080830" w:rsidRPr="00732F0C">
        <w:rPr>
          <w:rFonts w:ascii="Cambria" w:hAnsi="Cambria"/>
          <w:sz w:val="20"/>
          <w:szCs w:val="20"/>
          <w:lang w:val="es-CR"/>
        </w:rPr>
        <w:t>-</w:t>
      </w:r>
      <w:r w:rsidR="000F2469" w:rsidRPr="00732F0C">
        <w:rPr>
          <w:rFonts w:ascii="Cambria" w:hAnsi="Cambria"/>
          <w:sz w:val="20"/>
          <w:szCs w:val="20"/>
          <w:lang w:val="es-CR"/>
        </w:rPr>
        <w:t xml:space="preserve">casi </w:t>
      </w:r>
      <w:r w:rsidRPr="00732F0C">
        <w:rPr>
          <w:rFonts w:ascii="Cambria" w:hAnsi="Cambria"/>
          <w:sz w:val="20"/>
          <w:szCs w:val="20"/>
          <w:lang w:val="es-CR"/>
        </w:rPr>
        <w:t xml:space="preserve">4 años y medio desde ocurridos los hechos- constituye una violación al derecho de los familiares de la víctima a obtener justicia en un plazo razonable. Alegó que </w:t>
      </w:r>
      <w:r w:rsidR="000F2469" w:rsidRPr="00732F0C">
        <w:rPr>
          <w:rFonts w:ascii="Cambria" w:hAnsi="Cambria"/>
          <w:sz w:val="20"/>
          <w:szCs w:val="20"/>
          <w:lang w:val="es-CR"/>
        </w:rPr>
        <w:t>en caso</w:t>
      </w:r>
      <w:r w:rsidRPr="00732F0C">
        <w:rPr>
          <w:rFonts w:ascii="Cambria" w:hAnsi="Cambria"/>
          <w:sz w:val="20"/>
          <w:szCs w:val="20"/>
          <w:lang w:val="es-CR"/>
        </w:rPr>
        <w:t xml:space="preserve"> la Comisión no aceptara su argumento relativo al incumplimiento de los plazos establecidos en la legislación interna, el análisis debe tomar en cuenta los elementos de: a) la complejidad del asunto; b) la actividad procesal del interesado; y c) la conducta de las autoridades judiciales.</w:t>
      </w:r>
    </w:p>
    <w:p w:rsidR="008E0909" w:rsidRPr="00732F0C" w:rsidRDefault="008E0909" w:rsidP="00842D6E">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sz w:val="20"/>
          <w:szCs w:val="20"/>
          <w:lang w:val="es-CR"/>
        </w:rPr>
      </w:pPr>
    </w:p>
    <w:p w:rsidR="007B3C6B" w:rsidRPr="00732F0C" w:rsidRDefault="007B3C6B" w:rsidP="00842D6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CR"/>
        </w:rPr>
      </w:pPr>
      <w:r w:rsidRPr="00732F0C">
        <w:rPr>
          <w:rFonts w:ascii="Cambria" w:hAnsi="Cambria"/>
          <w:sz w:val="20"/>
          <w:szCs w:val="20"/>
          <w:lang w:val="es-CR"/>
        </w:rPr>
        <w:t>En cuanto al primer elemento, la peticionaria consideró que “únicamente requería que haya voluntad de la administración de justicia y de la fiscalía para despachar el proceso y descubrir la verdad”. Segú</w:t>
      </w:r>
      <w:r w:rsidR="000F2469" w:rsidRPr="00732F0C">
        <w:rPr>
          <w:rFonts w:ascii="Cambria" w:hAnsi="Cambria"/>
          <w:sz w:val="20"/>
          <w:szCs w:val="20"/>
          <w:lang w:val="es-CR"/>
        </w:rPr>
        <w:t>n la peticionaria en este caso</w:t>
      </w:r>
      <w:r w:rsidRPr="00732F0C">
        <w:rPr>
          <w:rFonts w:ascii="Cambria" w:hAnsi="Cambria"/>
          <w:sz w:val="20"/>
          <w:szCs w:val="20"/>
          <w:lang w:val="es-CR"/>
        </w:rPr>
        <w:t xml:space="preserve"> no se configuran circunstancias de complejidad o investigaciones extensas, ya que desde el inicio de la investigación judicial estuvo identificado el autor del homicidio como un </w:t>
      </w:r>
      <w:r w:rsidR="000F2469" w:rsidRPr="00732F0C">
        <w:rPr>
          <w:rFonts w:ascii="Cambria" w:hAnsi="Cambria"/>
          <w:sz w:val="20"/>
          <w:szCs w:val="20"/>
          <w:lang w:val="es-CR"/>
        </w:rPr>
        <w:t xml:space="preserve">agente policial </w:t>
      </w:r>
      <w:r w:rsidRPr="00732F0C">
        <w:rPr>
          <w:rFonts w:ascii="Cambria" w:hAnsi="Cambria"/>
          <w:sz w:val="20"/>
          <w:szCs w:val="20"/>
          <w:lang w:val="es-CR"/>
        </w:rPr>
        <w:t xml:space="preserve">que cometió el hecho con el arma de dotación que le entregó el Estado. </w:t>
      </w:r>
    </w:p>
    <w:p w:rsidR="007B3C6B" w:rsidRPr="00732F0C" w:rsidRDefault="007B3C6B" w:rsidP="00842D6E">
      <w:pPr>
        <w:tabs>
          <w:tab w:val="left" w:pos="1440"/>
        </w:tabs>
        <w:ind w:firstLine="720"/>
        <w:jc w:val="both"/>
        <w:rPr>
          <w:rFonts w:ascii="Cambria" w:hAnsi="Cambria"/>
          <w:sz w:val="20"/>
          <w:szCs w:val="20"/>
          <w:lang w:val="es-CR"/>
        </w:rPr>
      </w:pPr>
    </w:p>
    <w:p w:rsidR="007B3C6B" w:rsidRPr="00732F0C" w:rsidRDefault="007B3C6B" w:rsidP="00842D6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CR"/>
        </w:rPr>
      </w:pPr>
      <w:r w:rsidRPr="00732F0C">
        <w:rPr>
          <w:rFonts w:ascii="Cambria" w:hAnsi="Cambria"/>
          <w:sz w:val="20"/>
          <w:szCs w:val="20"/>
          <w:lang w:val="es-CR"/>
        </w:rPr>
        <w:t xml:space="preserve">En cuanto al segundo elemento, la peticionaria indicó que “no consta de autos que la familia de Jorge Darwin García hubiera tenido una conducta incompatible con su carácter de parte procesal” o que “hayan entorpecido la tramitación de la causa o hayan realizado acciones dilatorias”. Puntualmente, consideró que en el proceso no existen hechos que demuestren que los familiares de Jorge Darwin García realizaron actos tendientes a obstruir la investigación judicial y retardar su desarrollo y tampoco hubo falta de cooperación de ellos durante el trámite del proceso, pues acusaron e identificaron al responsable, inmediatamente </w:t>
      </w:r>
      <w:r w:rsidR="006837F3">
        <w:rPr>
          <w:rFonts w:ascii="Cambria" w:hAnsi="Cambria"/>
          <w:sz w:val="20"/>
          <w:szCs w:val="20"/>
          <w:lang w:val="es-CR"/>
        </w:rPr>
        <w:t>después de que</w:t>
      </w:r>
      <w:r w:rsidRPr="00732F0C">
        <w:rPr>
          <w:rFonts w:ascii="Cambria" w:hAnsi="Cambria"/>
          <w:sz w:val="20"/>
          <w:szCs w:val="20"/>
          <w:lang w:val="es-CR"/>
        </w:rPr>
        <w:t xml:space="preserve"> ocurrieron los hechos, con el fin de que sea sancionado. </w:t>
      </w:r>
    </w:p>
    <w:p w:rsidR="007B3C6B" w:rsidRPr="00732F0C" w:rsidRDefault="007B3C6B" w:rsidP="00842D6E">
      <w:pPr>
        <w:tabs>
          <w:tab w:val="left" w:pos="1440"/>
        </w:tabs>
        <w:ind w:firstLine="720"/>
        <w:jc w:val="both"/>
        <w:rPr>
          <w:rFonts w:ascii="Cambria" w:hAnsi="Cambria"/>
          <w:sz w:val="20"/>
          <w:szCs w:val="20"/>
          <w:lang w:val="es-CR"/>
        </w:rPr>
      </w:pPr>
    </w:p>
    <w:p w:rsidR="007B3C6B" w:rsidRPr="00732F0C" w:rsidRDefault="007B3C6B" w:rsidP="00842D6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CR"/>
        </w:rPr>
      </w:pPr>
      <w:r w:rsidRPr="00732F0C">
        <w:rPr>
          <w:rFonts w:ascii="Cambria" w:hAnsi="Cambria"/>
          <w:sz w:val="20"/>
          <w:szCs w:val="20"/>
          <w:lang w:val="es-CR"/>
        </w:rPr>
        <w:t xml:space="preserve">Respecto al tercer elemento, la peticionaria alegó que </w:t>
      </w:r>
      <w:r w:rsidRPr="00732F0C">
        <w:rPr>
          <w:rFonts w:ascii="Cambria" w:hAnsi="Cambria"/>
          <w:sz w:val="20"/>
          <w:szCs w:val="20"/>
          <w:lang w:val="es-AR"/>
        </w:rPr>
        <w:t xml:space="preserve">el caso tardó 4 años y 4 meses en resolverse debido a la lentitud que caracteriza a la administración de justicia y su dilación en </w:t>
      </w:r>
      <w:r w:rsidRPr="00732F0C">
        <w:rPr>
          <w:rFonts w:ascii="Cambria" w:hAnsi="Cambria"/>
          <w:sz w:val="20"/>
          <w:szCs w:val="20"/>
          <w:lang w:val="es-CR"/>
        </w:rPr>
        <w:t>forma innecesaria, ya que la apelación que se resuelve en el plazo de 15 días, en la especie se tardó 10 meses, el plenario demoró 11 meses y el recurso de casación se tardó 16 meses.</w:t>
      </w:r>
    </w:p>
    <w:p w:rsidR="007B3C6B" w:rsidRDefault="007B3C6B" w:rsidP="00842D6E">
      <w:pPr>
        <w:tabs>
          <w:tab w:val="left" w:pos="1440"/>
        </w:tabs>
        <w:jc w:val="both"/>
        <w:rPr>
          <w:rFonts w:ascii="Cambria" w:hAnsi="Cambria"/>
          <w:sz w:val="20"/>
          <w:szCs w:val="20"/>
          <w:lang w:val="es-CR"/>
        </w:rPr>
      </w:pPr>
    </w:p>
    <w:p w:rsidR="00360085" w:rsidRPr="00732F0C" w:rsidRDefault="00360085" w:rsidP="00842D6E">
      <w:pPr>
        <w:tabs>
          <w:tab w:val="left" w:pos="1440"/>
        </w:tabs>
        <w:jc w:val="both"/>
        <w:rPr>
          <w:rFonts w:ascii="Cambria" w:hAnsi="Cambria"/>
          <w:sz w:val="20"/>
          <w:szCs w:val="20"/>
          <w:lang w:val="es-CR"/>
        </w:rPr>
      </w:pPr>
    </w:p>
    <w:p w:rsidR="007033A8" w:rsidRDefault="007033A8">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Times New Roman" w:hAnsi="Cambria"/>
          <w:b/>
          <w:bCs/>
          <w:sz w:val="20"/>
          <w:szCs w:val="20"/>
          <w:lang w:val="es-ES_tradnl"/>
        </w:rPr>
      </w:pPr>
      <w:bookmarkStart w:id="6" w:name="_Toc529792388"/>
      <w:r w:rsidRPr="00675C3A">
        <w:rPr>
          <w:lang w:val="es-US"/>
        </w:rPr>
        <w:br w:type="page"/>
      </w:r>
    </w:p>
    <w:p w:rsidR="007B3C6B" w:rsidRPr="00732F0C" w:rsidRDefault="00733CE8" w:rsidP="00842D6E">
      <w:pPr>
        <w:pStyle w:val="Heading2"/>
        <w:jc w:val="both"/>
      </w:pPr>
      <w:r w:rsidRPr="00732F0C">
        <w:lastRenderedPageBreak/>
        <w:t>Posición del</w:t>
      </w:r>
      <w:r w:rsidR="007B3C6B" w:rsidRPr="00732F0C">
        <w:t xml:space="preserve"> Estado</w:t>
      </w:r>
      <w:bookmarkEnd w:id="6"/>
    </w:p>
    <w:p w:rsidR="007B3C6B" w:rsidRPr="00732F0C" w:rsidRDefault="007B3C6B" w:rsidP="00842D6E">
      <w:pPr>
        <w:tabs>
          <w:tab w:val="left" w:pos="1440"/>
        </w:tabs>
        <w:ind w:firstLine="720"/>
        <w:jc w:val="both"/>
        <w:rPr>
          <w:rFonts w:ascii="Cambria" w:hAnsi="Cambria"/>
          <w:sz w:val="20"/>
          <w:szCs w:val="20"/>
          <w:lang w:val="es-ES_tradnl"/>
        </w:rPr>
      </w:pPr>
    </w:p>
    <w:p w:rsidR="003769E3" w:rsidRPr="00732F0C" w:rsidRDefault="00E72761" w:rsidP="00842D6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cs="Arial"/>
          <w:sz w:val="20"/>
          <w:szCs w:val="20"/>
          <w:lang w:val="es-CR"/>
        </w:rPr>
      </w:pPr>
      <w:r w:rsidRPr="00732F0C">
        <w:rPr>
          <w:rFonts w:ascii="Cambria" w:hAnsi="Cambria" w:cs="Arial"/>
          <w:sz w:val="20"/>
          <w:szCs w:val="20"/>
          <w:lang w:val="es-CR"/>
        </w:rPr>
        <w:t>El Estado señaló que el caso d</w:t>
      </w:r>
      <w:r w:rsidR="003769E3" w:rsidRPr="00732F0C">
        <w:rPr>
          <w:rFonts w:ascii="Cambria" w:hAnsi="Cambria" w:cs="Arial"/>
          <w:sz w:val="20"/>
          <w:szCs w:val="20"/>
          <w:lang w:val="es-CR"/>
        </w:rPr>
        <w:t>ebe ser considerado inadmisible</w:t>
      </w:r>
      <w:r w:rsidRPr="00732F0C">
        <w:rPr>
          <w:rFonts w:ascii="Cambria" w:hAnsi="Cambria" w:cs="Arial"/>
          <w:sz w:val="20"/>
          <w:szCs w:val="20"/>
          <w:lang w:val="es-CR"/>
        </w:rPr>
        <w:t xml:space="preserve"> en vista de que los hechos alegados no constituyen una violación a derechos humanos </w:t>
      </w:r>
      <w:r w:rsidR="000F2469" w:rsidRPr="00732F0C">
        <w:rPr>
          <w:rFonts w:ascii="Cambria" w:hAnsi="Cambria" w:cs="Arial"/>
          <w:sz w:val="20"/>
          <w:szCs w:val="20"/>
          <w:lang w:val="es-CR"/>
        </w:rPr>
        <w:t>establecidos en la Convención Americana que le pueda ser imputado</w:t>
      </w:r>
      <w:r w:rsidRPr="00732F0C">
        <w:rPr>
          <w:rFonts w:ascii="Cambria" w:hAnsi="Cambria" w:cs="Arial"/>
          <w:sz w:val="20"/>
          <w:szCs w:val="20"/>
          <w:lang w:val="es-CR"/>
        </w:rPr>
        <w:t xml:space="preserve">. </w:t>
      </w:r>
      <w:r w:rsidR="003769E3" w:rsidRPr="00732F0C">
        <w:rPr>
          <w:rFonts w:ascii="Cambria" w:hAnsi="Cambria" w:cs="Arial"/>
          <w:sz w:val="20"/>
          <w:szCs w:val="20"/>
          <w:lang w:val="es-CR"/>
        </w:rPr>
        <w:t>Consideró que no se le puede atribuir responsabilidad internacional por hechos que no fueron cometidos por sus agentes. El Estado indicó que si bien ha existido una violación a</w:t>
      </w:r>
      <w:r w:rsidR="001813D7" w:rsidRPr="00732F0C">
        <w:rPr>
          <w:rFonts w:ascii="Cambria" w:hAnsi="Cambria" w:cs="Arial"/>
          <w:sz w:val="20"/>
          <w:szCs w:val="20"/>
          <w:lang w:val="es-CR"/>
        </w:rPr>
        <w:t>l derecho a la vida de</w:t>
      </w:r>
      <w:r w:rsidR="003769E3" w:rsidRPr="00732F0C">
        <w:rPr>
          <w:rFonts w:ascii="Cambria" w:hAnsi="Cambria" w:cs="Arial"/>
          <w:sz w:val="20"/>
          <w:szCs w:val="20"/>
          <w:lang w:val="es-CR"/>
        </w:rPr>
        <w:t xml:space="preserve"> Jorge Darwin García cometida por un ciudadano que no gozaba del apoyo o tolerancia de las autoridades gubernamentales o se encont</w:t>
      </w:r>
      <w:r w:rsidR="001813D7" w:rsidRPr="00732F0C">
        <w:rPr>
          <w:rFonts w:ascii="Cambria" w:hAnsi="Cambria" w:cs="Arial"/>
          <w:sz w:val="20"/>
          <w:szCs w:val="20"/>
          <w:lang w:val="es-CR"/>
        </w:rPr>
        <w:t>raba prevalido del poder público</w:t>
      </w:r>
      <w:r w:rsidR="003769E3" w:rsidRPr="00732F0C">
        <w:rPr>
          <w:rFonts w:ascii="Cambria" w:hAnsi="Cambria" w:cs="Arial"/>
          <w:sz w:val="20"/>
          <w:szCs w:val="20"/>
          <w:lang w:val="es-CR"/>
        </w:rPr>
        <w:t xml:space="preserve">, el sistema judicial ecuatoriano reparó dicha violación en el momento en que sancionó </w:t>
      </w:r>
      <w:r w:rsidR="001813D7" w:rsidRPr="00732F0C">
        <w:rPr>
          <w:rFonts w:ascii="Cambria" w:hAnsi="Cambria" w:cs="Arial"/>
          <w:sz w:val="20"/>
          <w:szCs w:val="20"/>
          <w:lang w:val="es-CR"/>
        </w:rPr>
        <w:t>al responsable.</w:t>
      </w:r>
    </w:p>
    <w:p w:rsidR="003769E3" w:rsidRPr="00732F0C" w:rsidRDefault="003769E3" w:rsidP="00842D6E">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cs="Arial"/>
          <w:sz w:val="20"/>
          <w:szCs w:val="20"/>
          <w:lang w:val="es-CR"/>
        </w:rPr>
      </w:pPr>
    </w:p>
    <w:p w:rsidR="00E72761" w:rsidRPr="00732F0C" w:rsidRDefault="003769E3" w:rsidP="00842D6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cs="Arial"/>
          <w:sz w:val="20"/>
          <w:szCs w:val="20"/>
          <w:lang w:val="es-CR"/>
        </w:rPr>
      </w:pPr>
      <w:r w:rsidRPr="00732F0C">
        <w:rPr>
          <w:rFonts w:ascii="Cambria" w:hAnsi="Cambria" w:cs="Arial"/>
          <w:sz w:val="20"/>
          <w:szCs w:val="20"/>
          <w:lang w:val="es-CR"/>
        </w:rPr>
        <w:t>Adicionalmente, alegó</w:t>
      </w:r>
      <w:r w:rsidR="00E72761" w:rsidRPr="00732F0C">
        <w:rPr>
          <w:rFonts w:ascii="Cambria" w:hAnsi="Cambria" w:cs="Arial"/>
          <w:sz w:val="20"/>
          <w:szCs w:val="20"/>
          <w:lang w:val="es-CR"/>
        </w:rPr>
        <w:t xml:space="preserve"> que la peticionaria pretende acudir ante la Comisión para obtener una revisión de las actuaciones de los tribunales internos y que se determine si existieron o no errores de hecho o de derecho en su dictamen. En este sentido, señaló que la Comisión no puede actuar como un tribunal de alzada o de cuarta instancia y revisar las decisiones emitidas por los tribunales internos en observancia del  debido proceso. </w:t>
      </w:r>
    </w:p>
    <w:p w:rsidR="00E72761" w:rsidRPr="00732F0C" w:rsidRDefault="00E72761" w:rsidP="00842D6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s="Arial"/>
          <w:sz w:val="20"/>
          <w:szCs w:val="20"/>
          <w:lang w:val="es-CR"/>
        </w:rPr>
      </w:pPr>
    </w:p>
    <w:p w:rsidR="007B3C6B" w:rsidRPr="00732F0C" w:rsidRDefault="00E72761" w:rsidP="00842D6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CR"/>
        </w:rPr>
      </w:pPr>
      <w:r w:rsidRPr="00732F0C">
        <w:rPr>
          <w:rFonts w:ascii="Cambria" w:hAnsi="Cambria" w:cs="Arial"/>
          <w:sz w:val="20"/>
          <w:szCs w:val="20"/>
          <w:lang w:val="es-CR"/>
        </w:rPr>
        <w:t xml:space="preserve">Al respecto, </w:t>
      </w:r>
      <w:r w:rsidR="007B3C6B" w:rsidRPr="00732F0C">
        <w:rPr>
          <w:rFonts w:ascii="Cambria" w:hAnsi="Cambria" w:cs="Arial"/>
          <w:sz w:val="20"/>
          <w:szCs w:val="20"/>
          <w:lang w:val="es-CR"/>
        </w:rPr>
        <w:t xml:space="preserve">indicó que </w:t>
      </w:r>
      <w:r w:rsidR="007B3C6B" w:rsidRPr="00732F0C">
        <w:rPr>
          <w:rFonts w:ascii="Cambria" w:hAnsi="Cambria"/>
          <w:sz w:val="20"/>
          <w:szCs w:val="20"/>
          <w:lang w:val="es-CR"/>
        </w:rPr>
        <w:t xml:space="preserve">el Tribunal Penal de Imbabura sentenció a Segundo Néstor de la Cruz </w:t>
      </w:r>
      <w:r w:rsidR="007B3C6B" w:rsidRPr="00732F0C">
        <w:rPr>
          <w:rFonts w:ascii="Cambria" w:hAnsi="Cambria" w:cs="Arial"/>
          <w:sz w:val="20"/>
          <w:szCs w:val="20"/>
          <w:lang w:val="es-CR"/>
        </w:rPr>
        <w:t xml:space="preserve">a </w:t>
      </w:r>
      <w:r w:rsidR="007B3C6B" w:rsidRPr="00732F0C">
        <w:rPr>
          <w:rFonts w:ascii="Cambria" w:hAnsi="Cambria"/>
          <w:sz w:val="20"/>
          <w:szCs w:val="20"/>
          <w:lang w:val="es-CR"/>
        </w:rPr>
        <w:t xml:space="preserve">6 años de reclusión y dispuso que cumpliera su condena en el Centro de Rehabilitación Social de la ciudad de Ibarra. El Estado también señaló que Segundo de la Cruz interpuso un recurso de casación ante la Corte Suprema de Justicia, que lo declaró improcedente el 28 de enero de 1998, como así también un recurso de revisión, que fue elevado a la Corte Suprema de Justicia el 25 de febrero de 1998. </w:t>
      </w:r>
      <w:r w:rsidRPr="00732F0C">
        <w:rPr>
          <w:rFonts w:ascii="Cambria" w:hAnsi="Cambria"/>
          <w:sz w:val="20"/>
          <w:szCs w:val="20"/>
          <w:lang w:val="es-CR"/>
        </w:rPr>
        <w:t>La Comisión toma nota de que el Estado no presentó información sobre si este recurso habría sido resuelto.</w:t>
      </w:r>
      <w:r w:rsidR="001813D7" w:rsidRPr="00732F0C">
        <w:rPr>
          <w:rFonts w:ascii="Cambria" w:hAnsi="Cambria"/>
          <w:sz w:val="20"/>
          <w:szCs w:val="20"/>
          <w:lang w:val="es-CR"/>
        </w:rPr>
        <w:t xml:space="preserve"> E</w:t>
      </w:r>
      <w:r w:rsidR="007B3C6B" w:rsidRPr="00732F0C">
        <w:rPr>
          <w:rFonts w:ascii="Cambria" w:hAnsi="Cambria"/>
          <w:sz w:val="20"/>
          <w:szCs w:val="20"/>
          <w:lang w:val="es-CR"/>
        </w:rPr>
        <w:t>l Estado informó que el Director del Centro de Rehabilitación N° 4 de la ciudad de Quito concedió rebajas por el tiempo de 480 días a favor de Segundo de la Cruz, por lo que cumplió su condena el 12 de mayo de 1998 y se encuentra en libertad desde el 21 de mayo de 1998.</w:t>
      </w:r>
    </w:p>
    <w:p w:rsidR="007B3C6B" w:rsidRPr="00732F0C" w:rsidRDefault="007B3C6B" w:rsidP="00842D6E">
      <w:pPr>
        <w:tabs>
          <w:tab w:val="left" w:pos="1440"/>
        </w:tabs>
        <w:jc w:val="both"/>
        <w:rPr>
          <w:rFonts w:ascii="Cambria" w:hAnsi="Cambria" w:cs="Arial"/>
          <w:sz w:val="20"/>
          <w:szCs w:val="20"/>
          <w:lang w:val="es-CR"/>
        </w:rPr>
      </w:pPr>
    </w:p>
    <w:p w:rsidR="007B3C6B" w:rsidRPr="00732F0C" w:rsidRDefault="001813D7" w:rsidP="00842D6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cs="Arial"/>
          <w:sz w:val="20"/>
          <w:szCs w:val="20"/>
          <w:lang w:val="es-CR"/>
        </w:rPr>
      </w:pPr>
      <w:r w:rsidRPr="00732F0C">
        <w:rPr>
          <w:rFonts w:ascii="Cambria" w:hAnsi="Cambria" w:cs="Arial"/>
          <w:sz w:val="20"/>
          <w:szCs w:val="20"/>
          <w:lang w:val="es-CR"/>
        </w:rPr>
        <w:t>Por otro lado</w:t>
      </w:r>
      <w:r w:rsidR="007B3C6B" w:rsidRPr="00732F0C">
        <w:rPr>
          <w:rFonts w:ascii="Cambria" w:hAnsi="Cambria" w:cs="Arial"/>
          <w:sz w:val="20"/>
          <w:szCs w:val="20"/>
          <w:lang w:val="es-CR"/>
        </w:rPr>
        <w:t xml:space="preserve">, el Estado alegó la excepción de no agotamiento de los recursos de jurisdicción interna y consideró que la petición no puede ser admitida. </w:t>
      </w:r>
      <w:r w:rsidRPr="00732F0C">
        <w:rPr>
          <w:rFonts w:ascii="Cambria" w:hAnsi="Cambria" w:cs="Arial"/>
          <w:sz w:val="20"/>
          <w:szCs w:val="20"/>
          <w:lang w:val="es-CR"/>
        </w:rPr>
        <w:t>S</w:t>
      </w:r>
      <w:r w:rsidR="007B3C6B" w:rsidRPr="00732F0C">
        <w:rPr>
          <w:rFonts w:ascii="Cambria" w:hAnsi="Cambria" w:cs="Arial"/>
          <w:sz w:val="20"/>
          <w:szCs w:val="20"/>
          <w:lang w:val="es-CR"/>
        </w:rPr>
        <w:t xml:space="preserve">eñaló que cuando la </w:t>
      </w:r>
      <w:r w:rsidRPr="00732F0C">
        <w:rPr>
          <w:rFonts w:ascii="Cambria" w:hAnsi="Cambria" w:cs="Arial"/>
          <w:sz w:val="20"/>
          <w:szCs w:val="20"/>
          <w:lang w:val="es-CR"/>
        </w:rPr>
        <w:t>petición</w:t>
      </w:r>
      <w:r w:rsidR="007B3C6B" w:rsidRPr="00732F0C">
        <w:rPr>
          <w:rFonts w:ascii="Cambria" w:hAnsi="Cambria" w:cs="Arial"/>
          <w:sz w:val="20"/>
          <w:szCs w:val="20"/>
          <w:lang w:val="es-CR"/>
        </w:rPr>
        <w:t xml:space="preserve"> fue presentada</w:t>
      </w:r>
      <w:r w:rsidR="00E71DB2" w:rsidRPr="00732F0C">
        <w:rPr>
          <w:rFonts w:ascii="Cambria" w:hAnsi="Cambria" w:cs="Arial"/>
          <w:sz w:val="20"/>
          <w:szCs w:val="20"/>
          <w:lang w:val="es-CR"/>
        </w:rPr>
        <w:t xml:space="preserve"> ante la CIDH</w:t>
      </w:r>
      <w:r w:rsidR="007B3C6B" w:rsidRPr="00732F0C">
        <w:rPr>
          <w:rFonts w:ascii="Cambria" w:hAnsi="Cambria" w:cs="Arial"/>
          <w:sz w:val="20"/>
          <w:szCs w:val="20"/>
          <w:lang w:val="es-CR"/>
        </w:rPr>
        <w:t>, todavía estaba pendiente que los tribunales de Ibarra resolvieran la causa pertinente, por lo que la Comisión debió esperar a que ese proceso se resolviera.</w:t>
      </w:r>
    </w:p>
    <w:p w:rsidR="007B3C6B" w:rsidRPr="00732F0C" w:rsidRDefault="007B3C6B" w:rsidP="00842D6E">
      <w:pPr>
        <w:tabs>
          <w:tab w:val="left" w:pos="1440"/>
        </w:tabs>
        <w:ind w:firstLine="720"/>
        <w:jc w:val="both"/>
        <w:rPr>
          <w:rFonts w:ascii="Cambria" w:hAnsi="Cambria" w:cs="Arial"/>
          <w:sz w:val="20"/>
          <w:szCs w:val="20"/>
          <w:lang w:val="es-CR"/>
        </w:rPr>
      </w:pPr>
    </w:p>
    <w:p w:rsidR="001813D7" w:rsidRPr="00732F0C" w:rsidRDefault="007B3C6B" w:rsidP="00842D6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cs="Arial"/>
          <w:sz w:val="20"/>
          <w:szCs w:val="20"/>
          <w:lang w:val="es-CR"/>
        </w:rPr>
      </w:pPr>
      <w:r w:rsidRPr="00732F0C">
        <w:rPr>
          <w:rFonts w:ascii="Cambria" w:hAnsi="Cambria" w:cs="Arial"/>
          <w:sz w:val="20"/>
          <w:szCs w:val="20"/>
          <w:lang w:val="es-CR"/>
        </w:rPr>
        <w:t>Respecto de la violación del derecho a la vida, el Estado consideró que son muy excepcionales los casos en que un Estado puede ser declarado responsable po</w:t>
      </w:r>
      <w:r w:rsidR="00E71DB2" w:rsidRPr="00732F0C">
        <w:rPr>
          <w:rFonts w:ascii="Cambria" w:hAnsi="Cambria" w:cs="Arial"/>
          <w:sz w:val="20"/>
          <w:szCs w:val="20"/>
          <w:lang w:val="es-CR"/>
        </w:rPr>
        <w:t xml:space="preserve">r la violación de este derecho </w:t>
      </w:r>
      <w:r w:rsidRPr="00732F0C">
        <w:rPr>
          <w:rFonts w:ascii="Cambria" w:hAnsi="Cambria" w:cs="Arial"/>
          <w:sz w:val="20"/>
          <w:szCs w:val="20"/>
          <w:lang w:val="es-CR"/>
        </w:rPr>
        <w:t xml:space="preserve">únicamente por haber fallado en responder con debida diligencia. Según el Estado, la justificación para que proceda la declaración de responsabilidad debería fundarse, en principio, en que la participación de los agentes del Estado no haya podido ser esclarecida porque el Estado permitió la obstrucción de justicia. </w:t>
      </w:r>
    </w:p>
    <w:p w:rsidR="001813D7" w:rsidRPr="00732F0C" w:rsidRDefault="001813D7" w:rsidP="00842D6E">
      <w:pPr>
        <w:pStyle w:val="ListParagraph"/>
        <w:jc w:val="both"/>
        <w:rPr>
          <w:rFonts w:cs="Arial"/>
          <w:sz w:val="20"/>
          <w:szCs w:val="20"/>
          <w:lang w:val="es-CR"/>
        </w:rPr>
      </w:pPr>
    </w:p>
    <w:p w:rsidR="007B3C6B" w:rsidRPr="00732F0C" w:rsidRDefault="001813D7" w:rsidP="00842D6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cs="Arial"/>
          <w:sz w:val="20"/>
          <w:szCs w:val="20"/>
          <w:lang w:val="es-CR"/>
        </w:rPr>
      </w:pPr>
      <w:r w:rsidRPr="00732F0C">
        <w:rPr>
          <w:rFonts w:ascii="Cambria" w:hAnsi="Cambria" w:cs="Arial"/>
          <w:sz w:val="20"/>
          <w:szCs w:val="20"/>
          <w:lang w:val="es-CR"/>
        </w:rPr>
        <w:t>E</w:t>
      </w:r>
      <w:r w:rsidR="007B3C6B" w:rsidRPr="00732F0C">
        <w:rPr>
          <w:rFonts w:ascii="Cambria" w:hAnsi="Cambria" w:cs="Arial"/>
          <w:sz w:val="20"/>
          <w:szCs w:val="20"/>
          <w:lang w:val="es-CR"/>
        </w:rPr>
        <w:t>l Estado consideró que la información aportada revela que Ecuador realizó sus mejores esfuer</w:t>
      </w:r>
      <w:r w:rsidR="00E71DB2" w:rsidRPr="00732F0C">
        <w:rPr>
          <w:rFonts w:ascii="Cambria" w:hAnsi="Cambria" w:cs="Arial"/>
          <w:sz w:val="20"/>
          <w:szCs w:val="20"/>
          <w:lang w:val="es-CR"/>
        </w:rPr>
        <w:t>zos para esclarecer los hechos</w:t>
      </w:r>
      <w:r w:rsidR="007B3C6B" w:rsidRPr="00732F0C">
        <w:rPr>
          <w:rFonts w:ascii="Cambria" w:hAnsi="Cambria" w:cs="Arial"/>
          <w:sz w:val="20"/>
          <w:szCs w:val="20"/>
          <w:lang w:val="es-CR"/>
        </w:rPr>
        <w:t xml:space="preserve">. En particular, señaló que respondió </w:t>
      </w:r>
      <w:r w:rsidR="00D051FE" w:rsidRPr="00732F0C">
        <w:rPr>
          <w:rFonts w:ascii="Cambria" w:hAnsi="Cambria" w:cs="Arial"/>
          <w:sz w:val="20"/>
          <w:szCs w:val="20"/>
          <w:lang w:val="es-CR"/>
        </w:rPr>
        <w:t>de manera ágil</w:t>
      </w:r>
      <w:r w:rsidR="007B3C6B" w:rsidRPr="00732F0C">
        <w:rPr>
          <w:rFonts w:ascii="Cambria" w:hAnsi="Cambria" w:cs="Arial"/>
          <w:sz w:val="20"/>
          <w:szCs w:val="20"/>
          <w:lang w:val="es-CR"/>
        </w:rPr>
        <w:t xml:space="preserve"> ante el crimen perpetrado y detuvo al sospechoso, de quien finalme</w:t>
      </w:r>
      <w:r w:rsidR="0088670E" w:rsidRPr="00732F0C">
        <w:rPr>
          <w:rFonts w:ascii="Cambria" w:hAnsi="Cambria" w:cs="Arial"/>
          <w:sz w:val="20"/>
          <w:szCs w:val="20"/>
          <w:lang w:val="es-CR"/>
        </w:rPr>
        <w:t>nte se demostró su culpabilidad. Sostuvo que</w:t>
      </w:r>
      <w:r w:rsidR="007B3C6B" w:rsidRPr="00732F0C">
        <w:rPr>
          <w:rFonts w:ascii="Cambria" w:hAnsi="Cambria" w:cs="Arial"/>
          <w:sz w:val="20"/>
          <w:szCs w:val="20"/>
          <w:lang w:val="es-CR"/>
        </w:rPr>
        <w:t xml:space="preserve"> existió una investigación seria, completa e imparcial que evitó que este delito quede impune, estableciéndose la verdad procesal sobre la forma en que ocurrieron los hechos. </w:t>
      </w:r>
      <w:r w:rsidR="0088670E" w:rsidRPr="00732F0C">
        <w:rPr>
          <w:rFonts w:ascii="Cambria" w:hAnsi="Cambria" w:cs="Arial"/>
          <w:sz w:val="20"/>
          <w:szCs w:val="20"/>
          <w:lang w:val="es-CR"/>
        </w:rPr>
        <w:t xml:space="preserve">Agregó que </w:t>
      </w:r>
      <w:r w:rsidR="007B3C6B" w:rsidRPr="00732F0C">
        <w:rPr>
          <w:rFonts w:ascii="Cambria" w:hAnsi="Cambria" w:cs="Arial"/>
          <w:sz w:val="20"/>
          <w:szCs w:val="20"/>
          <w:lang w:val="es-CR"/>
        </w:rPr>
        <w:t>cumplió con su obligación de investigar y sancionar una violación cometida en su territorio por una persona que, si bien era miembro de la Policía Nacional, no ostentaba en esos momentos el carácter oficial que conllevan sus funciones.</w:t>
      </w:r>
    </w:p>
    <w:p w:rsidR="0035594E" w:rsidRPr="00732F0C" w:rsidRDefault="0035594E" w:rsidP="00842D6E">
      <w:pPr>
        <w:tabs>
          <w:tab w:val="left" w:pos="1440"/>
        </w:tabs>
        <w:jc w:val="both"/>
        <w:rPr>
          <w:rFonts w:ascii="Cambria" w:hAnsi="Cambria" w:cs="Arial"/>
          <w:sz w:val="20"/>
          <w:szCs w:val="20"/>
          <w:lang w:val="es-CR"/>
        </w:rPr>
      </w:pPr>
    </w:p>
    <w:p w:rsidR="007B3C6B" w:rsidRPr="00732F0C" w:rsidRDefault="007B3C6B" w:rsidP="00842D6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cs="Arial"/>
          <w:sz w:val="20"/>
          <w:szCs w:val="20"/>
          <w:lang w:val="es-CR"/>
        </w:rPr>
      </w:pPr>
      <w:r w:rsidRPr="00732F0C">
        <w:rPr>
          <w:rFonts w:ascii="Cambria" w:hAnsi="Cambria" w:cs="Arial"/>
          <w:sz w:val="20"/>
          <w:szCs w:val="20"/>
          <w:lang w:val="es-CR"/>
        </w:rPr>
        <w:t xml:space="preserve">En cuanto a la violación del plazo razonable, el Estado consideró que debe tenerse en cuenta: i) la complejidad del caso, ii) la conducta de la parte lesionada en relación a su cooperación con el curso del proceso, iii) la forma en que ha tramitado la etapa de instrucción del proceso, y iv) la actuación de las autoridades judiciales. </w:t>
      </w:r>
      <w:r w:rsidR="0088670E" w:rsidRPr="00732F0C">
        <w:rPr>
          <w:rFonts w:ascii="Cambria" w:hAnsi="Cambria" w:cs="Arial"/>
          <w:sz w:val="20"/>
          <w:szCs w:val="20"/>
          <w:lang w:val="es-CR"/>
        </w:rPr>
        <w:t>E</w:t>
      </w:r>
      <w:r w:rsidRPr="00732F0C">
        <w:rPr>
          <w:rFonts w:ascii="Cambria" w:hAnsi="Cambria" w:cs="Arial"/>
          <w:sz w:val="20"/>
          <w:szCs w:val="20"/>
          <w:lang w:val="es-CR"/>
        </w:rPr>
        <w:t xml:space="preserve">n cuanto al primer elemento, el Estado consideró que en toda investigación, en especial aquellas que involucran la determinación de la responsabilidad de las personas acusadas de cometer delitos contra la vida, se envuelve un grado especialísimo de complejidad, que requiere el mayor de los análisis hasta que el juzgador tenga la certeza absoluta de la comisión de la infracción y de que los acusados son responsables de la misma. En virtud de lo anterior, el Estado consideró que tomando en cuenta la complejidad del caso en cuestión, el retardo de 4 años </w:t>
      </w:r>
      <w:r w:rsidR="0088670E" w:rsidRPr="00732F0C">
        <w:rPr>
          <w:rFonts w:ascii="Cambria" w:hAnsi="Cambria" w:cs="Arial"/>
          <w:sz w:val="20"/>
          <w:szCs w:val="20"/>
          <w:lang w:val="es-CR"/>
        </w:rPr>
        <w:t>y medio</w:t>
      </w:r>
      <w:r w:rsidRPr="00732F0C">
        <w:rPr>
          <w:rFonts w:ascii="Cambria" w:hAnsi="Cambria" w:cs="Arial"/>
          <w:sz w:val="20"/>
          <w:szCs w:val="20"/>
          <w:lang w:val="es-CR"/>
        </w:rPr>
        <w:t xml:space="preserve"> es justificable.</w:t>
      </w:r>
    </w:p>
    <w:p w:rsidR="007B3C6B" w:rsidRPr="00732F0C" w:rsidRDefault="007B3C6B" w:rsidP="00842D6E">
      <w:pPr>
        <w:tabs>
          <w:tab w:val="left" w:pos="1440"/>
        </w:tabs>
        <w:ind w:firstLine="720"/>
        <w:jc w:val="both"/>
        <w:rPr>
          <w:rFonts w:ascii="Cambria" w:hAnsi="Cambria" w:cs="Arial"/>
          <w:sz w:val="20"/>
          <w:szCs w:val="20"/>
          <w:lang w:val="es-CR"/>
        </w:rPr>
      </w:pPr>
    </w:p>
    <w:p w:rsidR="007B3C6B" w:rsidRPr="00732F0C" w:rsidRDefault="007B3C6B" w:rsidP="00842D6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cs="Arial"/>
          <w:sz w:val="20"/>
          <w:szCs w:val="20"/>
          <w:lang w:val="es-CR"/>
        </w:rPr>
      </w:pPr>
      <w:r w:rsidRPr="00732F0C">
        <w:rPr>
          <w:rFonts w:ascii="Cambria" w:hAnsi="Cambria" w:cs="Arial"/>
          <w:sz w:val="20"/>
          <w:szCs w:val="20"/>
          <w:lang w:val="es-CR"/>
        </w:rPr>
        <w:lastRenderedPageBreak/>
        <w:t>En relación con el segundo elemento, sostuvo que “las partes interesadas nunca cooperaron con las investigaciones que los agentes del Estado se encontraban realizando, por un lado por la dila</w:t>
      </w:r>
      <w:r w:rsidR="006837F3">
        <w:rPr>
          <w:rFonts w:ascii="Cambria" w:hAnsi="Cambria" w:cs="Arial"/>
          <w:sz w:val="20"/>
          <w:szCs w:val="20"/>
          <w:lang w:val="es-CR"/>
        </w:rPr>
        <w:t>ción</w:t>
      </w:r>
      <w:r w:rsidRPr="00732F0C">
        <w:rPr>
          <w:rFonts w:ascii="Cambria" w:hAnsi="Cambria" w:cs="Arial"/>
          <w:sz w:val="20"/>
          <w:szCs w:val="20"/>
          <w:lang w:val="es-CR"/>
        </w:rPr>
        <w:t xml:space="preserve"> del proceso por parte de los acusados y por otro, por la falta de una actitud activa por parte de los agraviados”.</w:t>
      </w:r>
      <w:r w:rsidR="0088670E" w:rsidRPr="00732F0C">
        <w:rPr>
          <w:rFonts w:ascii="Cambria" w:hAnsi="Cambria" w:cs="Arial"/>
          <w:sz w:val="20"/>
          <w:szCs w:val="20"/>
          <w:lang w:val="es-CR"/>
        </w:rPr>
        <w:t xml:space="preserve"> Respecto del tercer elemento</w:t>
      </w:r>
      <w:r w:rsidRPr="00732F0C">
        <w:rPr>
          <w:rFonts w:ascii="Cambria" w:hAnsi="Cambria" w:cs="Arial"/>
          <w:sz w:val="20"/>
          <w:szCs w:val="20"/>
          <w:lang w:val="es-CR"/>
        </w:rPr>
        <w:t xml:space="preserve">, el Estado refirió que el Tribunal Europeo de Derechos Humanos consideró que “un atasco temporal de la tarea de un tribunal no compromete la responsabilidad internacional del Estado afectado” y que ese mismo Tribunal, consideró violado el derecho a un plazo razonable en casos en que el proceso habría demorado </w:t>
      </w:r>
      <w:r w:rsidR="0088670E" w:rsidRPr="00732F0C">
        <w:rPr>
          <w:rFonts w:ascii="Cambria" w:hAnsi="Cambria" w:cs="Arial"/>
          <w:sz w:val="20"/>
          <w:szCs w:val="20"/>
          <w:lang w:val="es-CR"/>
        </w:rPr>
        <w:t xml:space="preserve">más de diez años, situación que no se da en el presente asunto. </w:t>
      </w:r>
    </w:p>
    <w:p w:rsidR="007B3C6B" w:rsidRPr="00732F0C" w:rsidRDefault="007B3C6B" w:rsidP="00842D6E">
      <w:pPr>
        <w:tabs>
          <w:tab w:val="left" w:pos="1440"/>
        </w:tabs>
        <w:ind w:firstLine="720"/>
        <w:jc w:val="both"/>
        <w:rPr>
          <w:rFonts w:ascii="Cambria" w:hAnsi="Cambria" w:cs="Arial"/>
          <w:sz w:val="20"/>
          <w:szCs w:val="20"/>
          <w:lang w:val="es-CR"/>
        </w:rPr>
      </w:pPr>
    </w:p>
    <w:p w:rsidR="007B3C6B" w:rsidRPr="00732F0C" w:rsidRDefault="0088670E" w:rsidP="00842D6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cs="Arial"/>
          <w:sz w:val="20"/>
          <w:szCs w:val="20"/>
          <w:lang w:val="es-CR"/>
        </w:rPr>
      </w:pPr>
      <w:r w:rsidRPr="00732F0C">
        <w:rPr>
          <w:rFonts w:ascii="Cambria" w:hAnsi="Cambria" w:cs="Arial"/>
          <w:sz w:val="20"/>
          <w:szCs w:val="20"/>
          <w:lang w:val="es-CR"/>
        </w:rPr>
        <w:t>Finalmente,</w:t>
      </w:r>
      <w:r w:rsidR="007B3C6B" w:rsidRPr="00732F0C">
        <w:rPr>
          <w:rFonts w:ascii="Cambria" w:hAnsi="Cambria" w:cs="Arial"/>
          <w:sz w:val="20"/>
          <w:szCs w:val="20"/>
          <w:lang w:val="es-CR"/>
        </w:rPr>
        <w:t xml:space="preserve"> el Estado consideró que los plazos establecidos en las legislaciones domésticas no pue</w:t>
      </w:r>
      <w:r w:rsidR="00E71DB2" w:rsidRPr="00732F0C">
        <w:rPr>
          <w:rFonts w:ascii="Cambria" w:hAnsi="Cambria" w:cs="Arial"/>
          <w:sz w:val="20"/>
          <w:szCs w:val="20"/>
          <w:lang w:val="es-CR"/>
        </w:rPr>
        <w:t>den considerarse “fatales”</w:t>
      </w:r>
      <w:r w:rsidR="007B3C6B" w:rsidRPr="00732F0C">
        <w:rPr>
          <w:rFonts w:ascii="Cambria" w:hAnsi="Cambria" w:cs="Arial"/>
          <w:sz w:val="20"/>
          <w:szCs w:val="20"/>
          <w:lang w:val="es-CR"/>
        </w:rPr>
        <w:t xml:space="preserve">. </w:t>
      </w:r>
      <w:r w:rsidR="00E71DB2" w:rsidRPr="00732F0C">
        <w:rPr>
          <w:rFonts w:ascii="Cambria" w:hAnsi="Cambria" w:cs="Arial"/>
          <w:sz w:val="20"/>
          <w:szCs w:val="20"/>
          <w:lang w:val="es-CR"/>
        </w:rPr>
        <w:t>Señaló que</w:t>
      </w:r>
      <w:r w:rsidR="007B3C6B" w:rsidRPr="00732F0C">
        <w:rPr>
          <w:rFonts w:ascii="Cambria" w:hAnsi="Cambria" w:cs="Arial"/>
          <w:sz w:val="20"/>
          <w:szCs w:val="20"/>
          <w:lang w:val="es-CR"/>
        </w:rPr>
        <w:t xml:space="preserve"> si bien el proceso duró un poco más de 4 años</w:t>
      </w:r>
      <w:r w:rsidR="00E71DB2" w:rsidRPr="00732F0C">
        <w:rPr>
          <w:rFonts w:ascii="Cambria" w:hAnsi="Cambria" w:cs="Arial"/>
          <w:sz w:val="20"/>
          <w:szCs w:val="20"/>
          <w:lang w:val="es-CR"/>
        </w:rPr>
        <w:t xml:space="preserve"> y no se cumplieron los plazos legalmente establecidos</w:t>
      </w:r>
      <w:r w:rsidR="007B3C6B" w:rsidRPr="00732F0C">
        <w:rPr>
          <w:rFonts w:ascii="Cambria" w:hAnsi="Cambria" w:cs="Arial"/>
          <w:sz w:val="20"/>
          <w:szCs w:val="20"/>
          <w:lang w:val="es-CR"/>
        </w:rPr>
        <w:t xml:space="preserve">, ese lapso no conlleva </w:t>
      </w:r>
      <w:r w:rsidR="007B3C6B" w:rsidRPr="00732F0C">
        <w:rPr>
          <w:rFonts w:ascii="Cambria" w:hAnsi="Cambria" w:cs="Arial"/>
          <w:i/>
          <w:sz w:val="20"/>
          <w:szCs w:val="20"/>
          <w:lang w:val="es-CR"/>
        </w:rPr>
        <w:t>per se</w:t>
      </w:r>
      <w:r w:rsidR="007B3C6B" w:rsidRPr="00732F0C">
        <w:rPr>
          <w:rFonts w:ascii="Cambria" w:hAnsi="Cambria" w:cs="Arial"/>
          <w:sz w:val="20"/>
          <w:szCs w:val="20"/>
          <w:lang w:val="es-CR"/>
        </w:rPr>
        <w:t xml:space="preserve"> una violación del artículo 8 de la Convención, ya que existen varios elementos que provocaron esa dilación, en particular, que los acusados utilizaron los recursos previstos en la legislación interna. </w:t>
      </w:r>
    </w:p>
    <w:p w:rsidR="007B3C6B" w:rsidRPr="00732F0C" w:rsidRDefault="007B3C6B" w:rsidP="00842D6E">
      <w:pPr>
        <w:jc w:val="both"/>
        <w:rPr>
          <w:rFonts w:ascii="Cambria" w:hAnsi="Cambria"/>
          <w:sz w:val="20"/>
          <w:szCs w:val="20"/>
          <w:lang w:val="es-ES"/>
        </w:rPr>
      </w:pPr>
    </w:p>
    <w:p w:rsidR="007B3C6B" w:rsidRPr="00732F0C" w:rsidRDefault="007B3C6B" w:rsidP="00D060AD">
      <w:pPr>
        <w:pStyle w:val="Heading1"/>
        <w:ind w:firstLine="0"/>
        <w:jc w:val="both"/>
      </w:pPr>
      <w:bookmarkStart w:id="7" w:name="_Toc529792389"/>
      <w:r w:rsidRPr="00732F0C">
        <w:t>ANÁLISIS SOBRE ADMISIBILIDAD</w:t>
      </w:r>
      <w:bookmarkEnd w:id="7"/>
    </w:p>
    <w:p w:rsidR="007B3C6B" w:rsidRPr="00732F0C" w:rsidRDefault="007B3C6B" w:rsidP="00842D6E">
      <w:pPr>
        <w:tabs>
          <w:tab w:val="left" w:pos="1440"/>
        </w:tabs>
        <w:ind w:firstLine="720"/>
        <w:jc w:val="both"/>
        <w:rPr>
          <w:rFonts w:ascii="Cambria" w:hAnsi="Cambria" w:cs="Arial"/>
          <w:sz w:val="20"/>
          <w:szCs w:val="20"/>
        </w:rPr>
      </w:pPr>
    </w:p>
    <w:p w:rsidR="007B3C6B" w:rsidRPr="00732F0C" w:rsidRDefault="007B3C6B" w:rsidP="00842D6E">
      <w:pPr>
        <w:pStyle w:val="Heading2"/>
        <w:numPr>
          <w:ilvl w:val="0"/>
          <w:numId w:val="57"/>
        </w:numPr>
        <w:jc w:val="both"/>
        <w:rPr>
          <w:i/>
        </w:rPr>
      </w:pPr>
      <w:bookmarkStart w:id="8" w:name="_Toc529792390"/>
      <w:r w:rsidRPr="00732F0C">
        <w:t>Competencia de la Comisión</w:t>
      </w:r>
      <w:r w:rsidRPr="00732F0C">
        <w:rPr>
          <w:i/>
        </w:rPr>
        <w:t xml:space="preserve"> </w:t>
      </w:r>
      <w:proofErr w:type="spellStart"/>
      <w:r w:rsidRPr="00732F0C">
        <w:rPr>
          <w:i/>
        </w:rPr>
        <w:t>ratione</w:t>
      </w:r>
      <w:proofErr w:type="spellEnd"/>
      <w:r w:rsidRPr="00732F0C">
        <w:rPr>
          <w:i/>
        </w:rPr>
        <w:t xml:space="preserve"> </w:t>
      </w:r>
      <w:proofErr w:type="spellStart"/>
      <w:r w:rsidRPr="00732F0C">
        <w:rPr>
          <w:i/>
        </w:rPr>
        <w:t>temporis</w:t>
      </w:r>
      <w:proofErr w:type="spellEnd"/>
      <w:r w:rsidRPr="00732F0C">
        <w:rPr>
          <w:i/>
        </w:rPr>
        <w:t xml:space="preserve">, </w:t>
      </w:r>
      <w:proofErr w:type="spellStart"/>
      <w:r w:rsidRPr="00732F0C">
        <w:rPr>
          <w:i/>
        </w:rPr>
        <w:t>ratione</w:t>
      </w:r>
      <w:proofErr w:type="spellEnd"/>
      <w:r w:rsidRPr="00732F0C">
        <w:rPr>
          <w:i/>
        </w:rPr>
        <w:t xml:space="preserve"> </w:t>
      </w:r>
      <w:proofErr w:type="spellStart"/>
      <w:r w:rsidRPr="00732F0C">
        <w:rPr>
          <w:i/>
        </w:rPr>
        <w:t>personae</w:t>
      </w:r>
      <w:proofErr w:type="spellEnd"/>
      <w:r w:rsidRPr="00732F0C">
        <w:rPr>
          <w:i/>
        </w:rPr>
        <w:t xml:space="preserve">, </w:t>
      </w:r>
      <w:proofErr w:type="spellStart"/>
      <w:r w:rsidRPr="00732F0C">
        <w:rPr>
          <w:i/>
        </w:rPr>
        <w:t>ratione</w:t>
      </w:r>
      <w:proofErr w:type="spellEnd"/>
      <w:r w:rsidRPr="00732F0C">
        <w:rPr>
          <w:i/>
        </w:rPr>
        <w:t xml:space="preserve"> </w:t>
      </w:r>
      <w:proofErr w:type="spellStart"/>
      <w:r w:rsidRPr="00732F0C">
        <w:rPr>
          <w:i/>
        </w:rPr>
        <w:t>materia</w:t>
      </w:r>
      <w:r w:rsidR="00C33CE5" w:rsidRPr="00732F0C">
        <w:rPr>
          <w:i/>
        </w:rPr>
        <w:t>e</w:t>
      </w:r>
      <w:proofErr w:type="spellEnd"/>
      <w:r w:rsidRPr="00732F0C">
        <w:rPr>
          <w:i/>
        </w:rPr>
        <w:t xml:space="preserve"> y </w:t>
      </w:r>
      <w:proofErr w:type="spellStart"/>
      <w:r w:rsidRPr="00732F0C">
        <w:rPr>
          <w:i/>
        </w:rPr>
        <w:t>ratione</w:t>
      </w:r>
      <w:proofErr w:type="spellEnd"/>
      <w:r w:rsidRPr="00732F0C">
        <w:rPr>
          <w:i/>
        </w:rPr>
        <w:t xml:space="preserve"> </w:t>
      </w:r>
      <w:proofErr w:type="spellStart"/>
      <w:r w:rsidRPr="00732F0C">
        <w:rPr>
          <w:i/>
        </w:rPr>
        <w:t>loci</w:t>
      </w:r>
      <w:bookmarkEnd w:id="8"/>
      <w:proofErr w:type="spellEnd"/>
      <w:r w:rsidRPr="00732F0C">
        <w:rPr>
          <w:i/>
        </w:rPr>
        <w:t xml:space="preserve"> </w:t>
      </w:r>
    </w:p>
    <w:p w:rsidR="007B3C6B" w:rsidRPr="00732F0C" w:rsidRDefault="007B3C6B" w:rsidP="00842D6E">
      <w:pPr>
        <w:tabs>
          <w:tab w:val="left" w:pos="1440"/>
        </w:tabs>
        <w:ind w:firstLine="720"/>
        <w:jc w:val="both"/>
        <w:rPr>
          <w:rFonts w:ascii="Cambria" w:hAnsi="Cambria" w:cs="Arial"/>
          <w:b/>
          <w:sz w:val="20"/>
          <w:szCs w:val="20"/>
          <w:lang w:val="es-CR"/>
        </w:rPr>
      </w:pPr>
    </w:p>
    <w:p w:rsidR="007B3C6B" w:rsidRPr="00732F0C" w:rsidRDefault="007B3C6B" w:rsidP="00842D6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cs="Arial"/>
          <w:sz w:val="20"/>
          <w:szCs w:val="20"/>
          <w:lang w:val="es-CR"/>
        </w:rPr>
      </w:pPr>
      <w:r w:rsidRPr="00732F0C">
        <w:rPr>
          <w:rFonts w:ascii="Cambria" w:hAnsi="Cambria" w:cs="Arial"/>
          <w:sz w:val="20"/>
          <w:szCs w:val="20"/>
          <w:lang w:val="es-CR"/>
        </w:rPr>
        <w:t xml:space="preserve">La peticionaria se encuentra facultada por el artículo 44 de la Convención para presentar </w:t>
      </w:r>
      <w:r w:rsidR="00E71DB2" w:rsidRPr="00732F0C">
        <w:rPr>
          <w:rFonts w:ascii="Cambria" w:hAnsi="Cambria" w:cs="Arial"/>
          <w:sz w:val="20"/>
          <w:szCs w:val="20"/>
          <w:lang w:val="es-CR"/>
        </w:rPr>
        <w:t>peticiones</w:t>
      </w:r>
      <w:r w:rsidRPr="00732F0C">
        <w:rPr>
          <w:rFonts w:ascii="Cambria" w:hAnsi="Cambria" w:cs="Arial"/>
          <w:sz w:val="20"/>
          <w:szCs w:val="20"/>
          <w:lang w:val="es-CR"/>
        </w:rPr>
        <w:t>. Las presuntas víctimas son personas naturales que se encontraban bajo la jurisdicción del Estado ecuatoriano a la fecha de los hechos denunciados. Por su parte, Ecuador ratificó la Convención el 28 de diciembre de 1977. En consecuencia, la C</w:t>
      </w:r>
      <w:r w:rsidR="002E25EF" w:rsidRPr="00732F0C">
        <w:rPr>
          <w:rFonts w:ascii="Cambria" w:hAnsi="Cambria" w:cs="Arial"/>
          <w:sz w:val="20"/>
          <w:szCs w:val="20"/>
          <w:lang w:val="es-CR"/>
        </w:rPr>
        <w:t>IDH</w:t>
      </w:r>
      <w:r w:rsidRPr="00732F0C">
        <w:rPr>
          <w:rFonts w:ascii="Cambria" w:hAnsi="Cambria" w:cs="Arial"/>
          <w:sz w:val="20"/>
          <w:szCs w:val="20"/>
          <w:lang w:val="es-CR"/>
        </w:rPr>
        <w:t xml:space="preserve"> tiene competencia </w:t>
      </w:r>
      <w:proofErr w:type="spellStart"/>
      <w:r w:rsidRPr="00732F0C">
        <w:rPr>
          <w:rFonts w:ascii="Cambria" w:hAnsi="Cambria" w:cs="Arial"/>
          <w:i/>
          <w:sz w:val="20"/>
          <w:szCs w:val="20"/>
          <w:lang w:val="es-CR"/>
        </w:rPr>
        <w:t>ratione</w:t>
      </w:r>
      <w:proofErr w:type="spellEnd"/>
      <w:r w:rsidRPr="00732F0C">
        <w:rPr>
          <w:rFonts w:ascii="Cambria" w:hAnsi="Cambria" w:cs="Arial"/>
          <w:i/>
          <w:sz w:val="20"/>
          <w:szCs w:val="20"/>
          <w:lang w:val="es-CR"/>
        </w:rPr>
        <w:t xml:space="preserve"> </w:t>
      </w:r>
      <w:proofErr w:type="spellStart"/>
      <w:r w:rsidRPr="00732F0C">
        <w:rPr>
          <w:rFonts w:ascii="Cambria" w:hAnsi="Cambria" w:cs="Arial"/>
          <w:i/>
          <w:sz w:val="20"/>
          <w:szCs w:val="20"/>
          <w:lang w:val="es-CR"/>
        </w:rPr>
        <w:t>personae</w:t>
      </w:r>
      <w:proofErr w:type="spellEnd"/>
      <w:r w:rsidRPr="00732F0C">
        <w:rPr>
          <w:rFonts w:ascii="Cambria" w:hAnsi="Cambria" w:cs="Arial"/>
          <w:i/>
          <w:sz w:val="20"/>
          <w:szCs w:val="20"/>
          <w:lang w:val="es-CR"/>
        </w:rPr>
        <w:t xml:space="preserve"> </w:t>
      </w:r>
      <w:r w:rsidRPr="00732F0C">
        <w:rPr>
          <w:rFonts w:ascii="Cambria" w:hAnsi="Cambria" w:cs="Arial"/>
          <w:sz w:val="20"/>
          <w:szCs w:val="20"/>
          <w:lang w:val="es-CR"/>
        </w:rPr>
        <w:t xml:space="preserve">para examinar la petición. </w:t>
      </w:r>
    </w:p>
    <w:p w:rsidR="007B3C6B" w:rsidRPr="00732F0C" w:rsidRDefault="007B3C6B" w:rsidP="00842D6E">
      <w:pPr>
        <w:tabs>
          <w:tab w:val="left" w:pos="1440"/>
        </w:tabs>
        <w:ind w:firstLine="720"/>
        <w:jc w:val="both"/>
        <w:rPr>
          <w:rFonts w:ascii="Cambria" w:hAnsi="Cambria" w:cs="Arial"/>
          <w:sz w:val="20"/>
          <w:szCs w:val="20"/>
          <w:lang w:val="es-CR"/>
        </w:rPr>
      </w:pPr>
    </w:p>
    <w:p w:rsidR="007B3C6B" w:rsidRPr="00732F0C" w:rsidRDefault="007B3C6B" w:rsidP="00842D6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cs="Arial"/>
          <w:sz w:val="20"/>
          <w:szCs w:val="20"/>
          <w:lang w:val="es-CR"/>
        </w:rPr>
      </w:pPr>
      <w:r w:rsidRPr="00732F0C">
        <w:rPr>
          <w:rFonts w:ascii="Cambria" w:hAnsi="Cambria" w:cs="Arial"/>
          <w:sz w:val="20"/>
          <w:szCs w:val="20"/>
          <w:lang w:val="es-CR"/>
        </w:rPr>
        <w:t xml:space="preserve">La Comisión tiene competencia </w:t>
      </w:r>
      <w:proofErr w:type="spellStart"/>
      <w:r w:rsidRPr="00732F0C">
        <w:rPr>
          <w:rFonts w:ascii="Cambria" w:hAnsi="Cambria" w:cs="Arial"/>
          <w:i/>
          <w:sz w:val="20"/>
          <w:szCs w:val="20"/>
          <w:lang w:val="es-CR"/>
        </w:rPr>
        <w:t>ratione</w:t>
      </w:r>
      <w:proofErr w:type="spellEnd"/>
      <w:r w:rsidRPr="00732F0C">
        <w:rPr>
          <w:rFonts w:ascii="Cambria" w:hAnsi="Cambria" w:cs="Arial"/>
          <w:i/>
          <w:sz w:val="20"/>
          <w:szCs w:val="20"/>
          <w:lang w:val="es-CR"/>
        </w:rPr>
        <w:t xml:space="preserve"> </w:t>
      </w:r>
      <w:proofErr w:type="spellStart"/>
      <w:r w:rsidRPr="00732F0C">
        <w:rPr>
          <w:rFonts w:ascii="Cambria" w:hAnsi="Cambria" w:cs="Arial"/>
          <w:i/>
          <w:sz w:val="20"/>
          <w:szCs w:val="20"/>
          <w:lang w:val="es-CR"/>
        </w:rPr>
        <w:t>loci</w:t>
      </w:r>
      <w:proofErr w:type="spellEnd"/>
      <w:r w:rsidRPr="00732F0C">
        <w:rPr>
          <w:rFonts w:ascii="Cambria" w:hAnsi="Cambria" w:cs="Arial"/>
          <w:i/>
          <w:sz w:val="20"/>
          <w:szCs w:val="20"/>
          <w:lang w:val="es-CR"/>
        </w:rPr>
        <w:t xml:space="preserve"> </w:t>
      </w:r>
      <w:r w:rsidRPr="00732F0C">
        <w:rPr>
          <w:rFonts w:ascii="Cambria" w:hAnsi="Cambria" w:cs="Arial"/>
          <w:sz w:val="20"/>
          <w:szCs w:val="20"/>
          <w:lang w:val="es-CR"/>
        </w:rPr>
        <w:t>para conocer la petición, por cuanto en ella se alegan violaciones de derechos protegidos por la Convención que habrían tenido lugar dentro del territorio de un Estado parte de dicho tratado.</w:t>
      </w:r>
      <w:r w:rsidR="00094228" w:rsidRPr="00732F0C">
        <w:rPr>
          <w:rFonts w:ascii="Cambria" w:hAnsi="Cambria" w:cs="Arial"/>
          <w:sz w:val="20"/>
          <w:szCs w:val="20"/>
          <w:lang w:val="es-CR"/>
        </w:rPr>
        <w:t xml:space="preserve">  </w:t>
      </w:r>
      <w:r w:rsidRPr="00732F0C">
        <w:rPr>
          <w:rFonts w:ascii="Cambria" w:hAnsi="Cambria" w:cs="Arial"/>
          <w:sz w:val="20"/>
          <w:szCs w:val="20"/>
          <w:lang w:val="es-CR"/>
        </w:rPr>
        <w:t xml:space="preserve">Asimismo, la Comisión tiene competencia </w:t>
      </w:r>
      <w:proofErr w:type="spellStart"/>
      <w:r w:rsidRPr="00732F0C">
        <w:rPr>
          <w:rFonts w:ascii="Cambria" w:hAnsi="Cambria" w:cs="Arial"/>
          <w:i/>
          <w:sz w:val="20"/>
          <w:szCs w:val="20"/>
          <w:lang w:val="es-CR"/>
        </w:rPr>
        <w:t>ratione</w:t>
      </w:r>
      <w:proofErr w:type="spellEnd"/>
      <w:r w:rsidRPr="00732F0C">
        <w:rPr>
          <w:rFonts w:ascii="Cambria" w:hAnsi="Cambria" w:cs="Arial"/>
          <w:i/>
          <w:sz w:val="20"/>
          <w:szCs w:val="20"/>
          <w:lang w:val="es-CR"/>
        </w:rPr>
        <w:t xml:space="preserve"> </w:t>
      </w:r>
      <w:proofErr w:type="spellStart"/>
      <w:r w:rsidRPr="00732F0C">
        <w:rPr>
          <w:rFonts w:ascii="Cambria" w:hAnsi="Cambria" w:cs="Arial"/>
          <w:i/>
          <w:sz w:val="20"/>
          <w:szCs w:val="20"/>
          <w:lang w:val="es-CR"/>
        </w:rPr>
        <w:t>materiae</w:t>
      </w:r>
      <w:proofErr w:type="spellEnd"/>
      <w:r w:rsidRPr="00732F0C">
        <w:rPr>
          <w:rFonts w:ascii="Cambria" w:hAnsi="Cambria" w:cs="Arial"/>
          <w:i/>
          <w:sz w:val="20"/>
          <w:szCs w:val="20"/>
          <w:lang w:val="es-CR"/>
        </w:rPr>
        <w:t xml:space="preserve"> </w:t>
      </w:r>
      <w:r w:rsidRPr="00732F0C">
        <w:rPr>
          <w:rFonts w:ascii="Cambria" w:hAnsi="Cambria" w:cs="Arial"/>
          <w:sz w:val="20"/>
          <w:szCs w:val="20"/>
          <w:lang w:val="es-CR"/>
        </w:rPr>
        <w:t xml:space="preserve">porque en la petición se alega la violación de derechos protegidos en la Convención Americana. Finalmente, la </w:t>
      </w:r>
      <w:r w:rsidR="00094228" w:rsidRPr="00732F0C">
        <w:rPr>
          <w:rFonts w:ascii="Cambria" w:hAnsi="Cambria" w:cs="Arial"/>
          <w:sz w:val="20"/>
          <w:szCs w:val="20"/>
          <w:lang w:val="es-CR"/>
        </w:rPr>
        <w:t>CIDH</w:t>
      </w:r>
      <w:r w:rsidRPr="00732F0C">
        <w:rPr>
          <w:rFonts w:ascii="Cambria" w:hAnsi="Cambria" w:cs="Arial"/>
          <w:sz w:val="20"/>
          <w:szCs w:val="20"/>
          <w:lang w:val="es-CR"/>
        </w:rPr>
        <w:t xml:space="preserve"> tiene competencia </w:t>
      </w:r>
      <w:proofErr w:type="spellStart"/>
      <w:r w:rsidRPr="00732F0C">
        <w:rPr>
          <w:rFonts w:ascii="Cambria" w:hAnsi="Cambria" w:cs="Arial"/>
          <w:i/>
          <w:sz w:val="20"/>
          <w:szCs w:val="20"/>
          <w:lang w:val="es-CR"/>
        </w:rPr>
        <w:t>ratione</w:t>
      </w:r>
      <w:proofErr w:type="spellEnd"/>
      <w:r w:rsidRPr="00732F0C">
        <w:rPr>
          <w:rFonts w:ascii="Cambria" w:hAnsi="Cambria" w:cs="Arial"/>
          <w:i/>
          <w:sz w:val="20"/>
          <w:szCs w:val="20"/>
          <w:lang w:val="es-CR"/>
        </w:rPr>
        <w:t xml:space="preserve"> </w:t>
      </w:r>
      <w:proofErr w:type="spellStart"/>
      <w:r w:rsidRPr="00732F0C">
        <w:rPr>
          <w:rFonts w:ascii="Cambria" w:hAnsi="Cambria" w:cs="Arial"/>
          <w:i/>
          <w:sz w:val="20"/>
          <w:szCs w:val="20"/>
          <w:lang w:val="es-CR"/>
        </w:rPr>
        <w:t>temporis</w:t>
      </w:r>
      <w:proofErr w:type="spellEnd"/>
      <w:r w:rsidRPr="00732F0C">
        <w:rPr>
          <w:rFonts w:ascii="Cambria" w:hAnsi="Cambria" w:cs="Arial"/>
          <w:i/>
          <w:sz w:val="20"/>
          <w:szCs w:val="20"/>
          <w:lang w:val="es-CR"/>
        </w:rPr>
        <w:t xml:space="preserve"> </w:t>
      </w:r>
      <w:r w:rsidRPr="00732F0C">
        <w:rPr>
          <w:rFonts w:ascii="Cambria" w:hAnsi="Cambria" w:cs="Arial"/>
          <w:sz w:val="20"/>
          <w:szCs w:val="20"/>
          <w:lang w:val="es-CR"/>
        </w:rPr>
        <w:t xml:space="preserve">pues las obligaciones derivadas de la Convención Americana ya se encontraban en vigor para el Estado en la fecha en que habrían ocurrido los hechos. </w:t>
      </w:r>
    </w:p>
    <w:p w:rsidR="007B3C6B" w:rsidRPr="00732F0C" w:rsidRDefault="007B3C6B" w:rsidP="00842D6E">
      <w:pPr>
        <w:tabs>
          <w:tab w:val="left" w:pos="1440"/>
        </w:tabs>
        <w:ind w:firstLine="720"/>
        <w:jc w:val="both"/>
        <w:rPr>
          <w:rFonts w:ascii="Cambria" w:hAnsi="Cambria" w:cs="Arial"/>
          <w:sz w:val="20"/>
          <w:szCs w:val="20"/>
          <w:lang w:val="es-CR"/>
        </w:rPr>
      </w:pPr>
    </w:p>
    <w:p w:rsidR="007B3C6B" w:rsidRPr="00732F0C" w:rsidRDefault="007B3C6B" w:rsidP="00842D6E">
      <w:pPr>
        <w:pStyle w:val="Heading2"/>
        <w:jc w:val="both"/>
      </w:pPr>
      <w:bookmarkStart w:id="9" w:name="_Toc529792391"/>
      <w:r w:rsidRPr="00732F0C">
        <w:t>Agotamiento de los recursos internos</w:t>
      </w:r>
      <w:bookmarkEnd w:id="9"/>
    </w:p>
    <w:p w:rsidR="007B3C6B" w:rsidRPr="00732F0C" w:rsidRDefault="007B3C6B" w:rsidP="00842D6E">
      <w:pPr>
        <w:tabs>
          <w:tab w:val="left" w:pos="1440"/>
        </w:tabs>
        <w:ind w:firstLine="720"/>
        <w:jc w:val="both"/>
        <w:rPr>
          <w:rFonts w:ascii="Cambria" w:hAnsi="Cambria" w:cs="Arial"/>
          <w:b/>
          <w:sz w:val="20"/>
          <w:szCs w:val="20"/>
          <w:lang w:val="es-CR"/>
        </w:rPr>
      </w:pPr>
    </w:p>
    <w:p w:rsidR="007B3C6B" w:rsidRPr="00732F0C" w:rsidRDefault="007B3C6B" w:rsidP="00842D6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cs="Arial"/>
          <w:sz w:val="20"/>
          <w:szCs w:val="20"/>
          <w:lang w:val="es-CR"/>
        </w:rPr>
      </w:pPr>
      <w:r w:rsidRPr="00732F0C">
        <w:rPr>
          <w:rFonts w:ascii="Cambria" w:hAnsi="Cambria" w:cs="Arial"/>
          <w:sz w:val="20"/>
          <w:szCs w:val="20"/>
          <w:lang w:val="es-CR"/>
        </w:rPr>
        <w:t xml:space="preserve">El artículo 46.1.a) de la Convención Americana dispone que, para que sea admisible una denuncia presentada ante la Comisión Interamericana de conformidad con el artículo 44 de la Convención, es necesario que se hayan intentado y agotado los recursos internos conforme a los principios del derecho internacional generalmente reconocidos. Este requisito tiene como objeto permitir que las autoridades nacionales conozcan sobre la supuesta violación de un derecho protegido, y de ser apropiado, tengan la oportunidad de solucionarla antes de que sea conocida por una instancia internacional. </w:t>
      </w:r>
    </w:p>
    <w:p w:rsidR="007B3C6B" w:rsidRPr="00732F0C" w:rsidRDefault="007B3C6B" w:rsidP="00842D6E">
      <w:pPr>
        <w:tabs>
          <w:tab w:val="left" w:pos="1440"/>
        </w:tabs>
        <w:ind w:firstLine="720"/>
        <w:jc w:val="both"/>
        <w:rPr>
          <w:rFonts w:ascii="Cambria" w:hAnsi="Cambria" w:cs="Arial"/>
          <w:sz w:val="20"/>
          <w:szCs w:val="20"/>
          <w:lang w:val="es-CR"/>
        </w:rPr>
      </w:pPr>
    </w:p>
    <w:p w:rsidR="00905864" w:rsidRPr="00732F0C" w:rsidRDefault="0088670E" w:rsidP="00842D6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cs="Arial"/>
          <w:sz w:val="20"/>
          <w:szCs w:val="20"/>
          <w:lang w:val="es-CR"/>
        </w:rPr>
      </w:pPr>
      <w:r w:rsidRPr="00732F0C">
        <w:rPr>
          <w:rFonts w:ascii="Cambria" w:hAnsi="Cambria" w:cs="Arial"/>
          <w:sz w:val="20"/>
          <w:szCs w:val="20"/>
          <w:lang w:val="es-CR"/>
        </w:rPr>
        <w:t>E</w:t>
      </w:r>
      <w:r w:rsidR="007B3C6B" w:rsidRPr="00732F0C">
        <w:rPr>
          <w:rFonts w:ascii="Cambria" w:hAnsi="Cambria" w:cs="Arial"/>
          <w:sz w:val="20"/>
          <w:szCs w:val="20"/>
          <w:lang w:val="es-CR"/>
        </w:rPr>
        <w:t xml:space="preserve">l Estado alegó que los recursos de jurisdicción interna no habían sido agotados en este caso, por cuanto al momento de presentación de la denuncia, todavía se encontraba pendiente que los tribunales resolvieran la causa pertinente, por lo que la Comisión debió esperar a que ese proceso se resolviera. </w:t>
      </w:r>
      <w:r w:rsidR="00905864" w:rsidRPr="00732F0C">
        <w:rPr>
          <w:rFonts w:ascii="Cambria" w:hAnsi="Cambria" w:cs="Arial"/>
          <w:sz w:val="20"/>
          <w:szCs w:val="20"/>
          <w:lang w:val="es-CR"/>
        </w:rPr>
        <w:t xml:space="preserve">Por su parte, la peticionaria señaló que para la fecha de presentación de la petición, </w:t>
      </w:r>
      <w:r w:rsidR="008952D8" w:rsidRPr="00732F0C">
        <w:rPr>
          <w:rFonts w:ascii="Cambria" w:hAnsi="Cambria" w:cs="Arial"/>
          <w:sz w:val="20"/>
          <w:szCs w:val="20"/>
          <w:lang w:val="es-CR"/>
        </w:rPr>
        <w:t xml:space="preserve">un año y medio después de </w:t>
      </w:r>
      <w:r w:rsidR="00905864" w:rsidRPr="00732F0C">
        <w:rPr>
          <w:rFonts w:ascii="Cambria" w:hAnsi="Cambria" w:cs="Arial"/>
          <w:sz w:val="20"/>
          <w:szCs w:val="20"/>
          <w:lang w:val="es-CR"/>
        </w:rPr>
        <w:t>ocurridos los hechos, aún no existía sentencia de primera instancia</w:t>
      </w:r>
      <w:r w:rsidR="008952D8" w:rsidRPr="00732F0C">
        <w:rPr>
          <w:rFonts w:ascii="Cambria" w:hAnsi="Cambria" w:cs="Arial"/>
          <w:sz w:val="20"/>
          <w:szCs w:val="20"/>
          <w:lang w:val="es-CR"/>
        </w:rPr>
        <w:t>. Alegó que, sin perjuicio de ello, el proceso penal dur</w:t>
      </w:r>
      <w:r w:rsidR="00E71DB2" w:rsidRPr="00732F0C">
        <w:rPr>
          <w:rFonts w:ascii="Cambria" w:hAnsi="Cambria" w:cs="Arial"/>
          <w:sz w:val="20"/>
          <w:szCs w:val="20"/>
          <w:lang w:val="es-CR"/>
        </w:rPr>
        <w:t>ó cerca de cuatro años y medio; y que incluso el recurso de revisión no habría sido resuelto,</w:t>
      </w:r>
      <w:r w:rsidR="008952D8" w:rsidRPr="00732F0C">
        <w:rPr>
          <w:rFonts w:ascii="Cambria" w:hAnsi="Cambria" w:cs="Arial"/>
          <w:sz w:val="20"/>
          <w:szCs w:val="20"/>
          <w:lang w:val="es-CR"/>
        </w:rPr>
        <w:t xml:space="preserve"> lo cual constituye un plazo irrazonable por lo cual operaría la excepción de retardo injustificado establecida en el artículo 46.2.c) de la Convención Americana.</w:t>
      </w:r>
    </w:p>
    <w:p w:rsidR="0088670E" w:rsidRPr="00732F0C" w:rsidRDefault="0088670E" w:rsidP="00842D6E">
      <w:pPr>
        <w:pStyle w:val="ListParagraph"/>
        <w:jc w:val="both"/>
        <w:rPr>
          <w:rFonts w:cs="Arial"/>
          <w:sz w:val="20"/>
          <w:szCs w:val="20"/>
          <w:lang w:val="es-CR"/>
        </w:rPr>
      </w:pPr>
    </w:p>
    <w:p w:rsidR="008952D8" w:rsidRPr="00732F0C" w:rsidRDefault="008952D8" w:rsidP="00842D6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cs="Bookman Old Style"/>
          <w:sz w:val="20"/>
          <w:szCs w:val="20"/>
          <w:lang w:val="es-ES_tradnl"/>
        </w:rPr>
      </w:pPr>
      <w:r w:rsidRPr="00732F0C">
        <w:rPr>
          <w:rFonts w:ascii="Cambria" w:hAnsi="Cambria"/>
          <w:sz w:val="20"/>
          <w:szCs w:val="20"/>
          <w:lang w:val="es-ES"/>
        </w:rPr>
        <w:t>Tal como la Comisión ha señalado, para analizar el cumplimiento del requisito de agota</w:t>
      </w:r>
      <w:r w:rsidR="00E71DB2" w:rsidRPr="00732F0C">
        <w:rPr>
          <w:rFonts w:ascii="Cambria" w:hAnsi="Cambria"/>
          <w:sz w:val="20"/>
          <w:szCs w:val="20"/>
          <w:lang w:val="es-ES"/>
        </w:rPr>
        <w:t>miento de los recursos internos</w:t>
      </w:r>
      <w:r w:rsidRPr="00732F0C">
        <w:rPr>
          <w:rFonts w:ascii="Cambria" w:hAnsi="Cambria"/>
          <w:sz w:val="20"/>
          <w:szCs w:val="20"/>
          <w:lang w:val="es-ES"/>
        </w:rPr>
        <w:t xml:space="preserve"> debe determinar cuál es el recurso adecuado a agotarse según las circunstancias del caso, entendiendo por tal, aquél que pueda solucionar la situación jurídica infringida</w:t>
      </w:r>
      <w:r w:rsidRPr="00732F0C">
        <w:rPr>
          <w:rStyle w:val="FootnoteReference"/>
          <w:rFonts w:ascii="Cambria" w:hAnsi="Cambria"/>
          <w:sz w:val="20"/>
          <w:szCs w:val="20"/>
          <w:lang w:val="es-ES"/>
        </w:rPr>
        <w:footnoteReference w:id="2"/>
      </w:r>
      <w:r w:rsidRPr="00732F0C">
        <w:rPr>
          <w:rFonts w:ascii="Cambria" w:hAnsi="Cambria"/>
          <w:sz w:val="20"/>
          <w:szCs w:val="20"/>
          <w:lang w:val="es-ES"/>
        </w:rPr>
        <w:t xml:space="preserve">.  En los casos de </w:t>
      </w:r>
      <w:r w:rsidRPr="00732F0C">
        <w:rPr>
          <w:rFonts w:ascii="Cambria" w:hAnsi="Cambria"/>
          <w:sz w:val="20"/>
          <w:szCs w:val="20"/>
          <w:lang w:val="es-ES"/>
        </w:rPr>
        <w:lastRenderedPageBreak/>
        <w:t>presuntas privaciones arbitrarias del derecho a la vida</w:t>
      </w:r>
      <w:r w:rsidR="00987FC2" w:rsidRPr="00732F0C">
        <w:rPr>
          <w:rFonts w:ascii="Cambria" w:hAnsi="Cambria"/>
          <w:sz w:val="20"/>
          <w:szCs w:val="20"/>
          <w:lang w:val="es-ES"/>
        </w:rPr>
        <w:t xml:space="preserve"> así como afectaciones a la integridad personal</w:t>
      </w:r>
      <w:r w:rsidRPr="00732F0C">
        <w:rPr>
          <w:rFonts w:ascii="Cambria" w:hAnsi="Cambria"/>
          <w:sz w:val="20"/>
          <w:szCs w:val="20"/>
          <w:lang w:val="es-ES"/>
        </w:rPr>
        <w:t>, el recurso adecuado es la investigación y el proceso penal iniciado e impulsado de oficio por el Estado para identificar a los responsables e imponer las sanciones correspondientes</w:t>
      </w:r>
      <w:r w:rsidRPr="00732F0C">
        <w:rPr>
          <w:rStyle w:val="FootnoteReference"/>
          <w:rFonts w:ascii="Cambria" w:hAnsi="Cambria"/>
          <w:sz w:val="20"/>
          <w:szCs w:val="20"/>
          <w:lang w:val="es-ES"/>
        </w:rPr>
        <w:footnoteReference w:id="3"/>
      </w:r>
      <w:r w:rsidRPr="00732F0C">
        <w:rPr>
          <w:rFonts w:ascii="Cambria" w:hAnsi="Cambria"/>
          <w:sz w:val="20"/>
          <w:szCs w:val="20"/>
          <w:lang w:val="es-ES"/>
        </w:rPr>
        <w:t>.</w:t>
      </w:r>
    </w:p>
    <w:p w:rsidR="0088670E" w:rsidRPr="00732F0C" w:rsidRDefault="0088670E" w:rsidP="00842D6E">
      <w:pPr>
        <w:pStyle w:val="ListParagraph"/>
        <w:jc w:val="both"/>
        <w:rPr>
          <w:rFonts w:cs="Arial"/>
          <w:sz w:val="20"/>
          <w:szCs w:val="20"/>
          <w:lang w:val="es-ES_tradnl"/>
        </w:rPr>
      </w:pPr>
    </w:p>
    <w:p w:rsidR="00996052" w:rsidRPr="00732F0C" w:rsidRDefault="00987FC2" w:rsidP="00842D6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cs="Arial"/>
          <w:sz w:val="20"/>
          <w:szCs w:val="20"/>
          <w:lang w:val="es-ES_tradnl"/>
        </w:rPr>
      </w:pPr>
      <w:r w:rsidRPr="00732F0C">
        <w:rPr>
          <w:rFonts w:ascii="Cambria" w:hAnsi="Cambria" w:cs="Arial"/>
          <w:sz w:val="20"/>
          <w:szCs w:val="20"/>
          <w:lang w:val="es-ES_tradnl"/>
        </w:rPr>
        <w:t xml:space="preserve">La Comisión observa que desde la presentación de la petición hubo una evolución en los procesos internos iniciados con ocasión de los hechos. Así, el proceso interno tuvo inicio el </w:t>
      </w:r>
      <w:r w:rsidR="00112CE1" w:rsidRPr="00732F0C">
        <w:rPr>
          <w:rFonts w:ascii="Cambria" w:hAnsi="Cambria" w:cs="Arial"/>
          <w:sz w:val="20"/>
          <w:szCs w:val="20"/>
          <w:lang w:val="es-ES_tradnl"/>
        </w:rPr>
        <w:t>15</w:t>
      </w:r>
      <w:r w:rsidRPr="00732F0C">
        <w:rPr>
          <w:rFonts w:ascii="Cambria" w:hAnsi="Cambria" w:cs="Arial"/>
          <w:sz w:val="20"/>
          <w:szCs w:val="20"/>
          <w:lang w:val="es-ES_tradnl"/>
        </w:rPr>
        <w:t xml:space="preserve"> de septiembre de 199</w:t>
      </w:r>
      <w:r w:rsidR="00112CE1" w:rsidRPr="00732F0C">
        <w:rPr>
          <w:rFonts w:ascii="Cambria" w:hAnsi="Cambria" w:cs="Arial"/>
          <w:sz w:val="20"/>
          <w:szCs w:val="20"/>
          <w:lang w:val="es-ES_tradnl"/>
        </w:rPr>
        <w:t>3</w:t>
      </w:r>
      <w:r w:rsidRPr="00732F0C">
        <w:rPr>
          <w:rFonts w:ascii="Cambria" w:hAnsi="Cambria" w:cs="Arial"/>
          <w:sz w:val="20"/>
          <w:szCs w:val="20"/>
          <w:lang w:val="es-ES_tradnl"/>
        </w:rPr>
        <w:t xml:space="preserve"> mediante </w:t>
      </w:r>
      <w:r w:rsidR="00112CE1" w:rsidRPr="00732F0C">
        <w:rPr>
          <w:rFonts w:ascii="Cambria" w:hAnsi="Cambria" w:cs="Arial"/>
          <w:sz w:val="20"/>
          <w:szCs w:val="20"/>
          <w:lang w:val="es-ES_tradnl"/>
        </w:rPr>
        <w:t>la investigación</w:t>
      </w:r>
      <w:r w:rsidRPr="00732F0C">
        <w:rPr>
          <w:rFonts w:ascii="Cambria" w:hAnsi="Cambria" w:cs="Arial"/>
          <w:sz w:val="20"/>
          <w:szCs w:val="20"/>
          <w:lang w:val="es-ES_tradnl"/>
        </w:rPr>
        <w:t xml:space="preserve"> por parte de la Comisaría de Policía</w:t>
      </w:r>
      <w:r w:rsidR="00112CE1" w:rsidRPr="00732F0C">
        <w:rPr>
          <w:rFonts w:ascii="Cambria" w:hAnsi="Cambria" w:cs="Arial"/>
          <w:sz w:val="20"/>
          <w:szCs w:val="20"/>
          <w:lang w:val="es-ES_tradnl"/>
        </w:rPr>
        <w:t xml:space="preserve"> de Imbabura</w:t>
      </w:r>
      <w:r w:rsidRPr="00732F0C">
        <w:rPr>
          <w:rFonts w:ascii="Cambria" w:hAnsi="Cambria" w:cs="Arial"/>
          <w:sz w:val="20"/>
          <w:szCs w:val="20"/>
          <w:lang w:val="es-ES_tradnl"/>
        </w:rPr>
        <w:t xml:space="preserve">. La petición fue presentada el </w:t>
      </w:r>
      <w:r w:rsidR="00112CE1" w:rsidRPr="00732F0C">
        <w:rPr>
          <w:rFonts w:ascii="Cambria" w:hAnsi="Cambria" w:cs="Arial"/>
          <w:sz w:val="20"/>
          <w:szCs w:val="20"/>
          <w:lang w:val="es-ES_tradnl"/>
        </w:rPr>
        <w:t>9</w:t>
      </w:r>
      <w:r w:rsidRPr="00732F0C">
        <w:rPr>
          <w:rFonts w:ascii="Cambria" w:hAnsi="Cambria" w:cs="Arial"/>
          <w:sz w:val="20"/>
          <w:szCs w:val="20"/>
          <w:lang w:val="es-ES_tradnl"/>
        </w:rPr>
        <w:t xml:space="preserve"> de noviembre de 1994 y, durante la tramitación del caso ante la Comisión Interamericana, el proceso penal interno se resolvió de manera definitiva el </w:t>
      </w:r>
      <w:r w:rsidR="00112CE1" w:rsidRPr="00732F0C">
        <w:rPr>
          <w:rFonts w:ascii="Cambria" w:hAnsi="Cambria" w:cs="Arial"/>
          <w:sz w:val="20"/>
          <w:szCs w:val="20"/>
          <w:lang w:val="es-ES_tradnl"/>
        </w:rPr>
        <w:t>28 de enero de 1998</w:t>
      </w:r>
      <w:r w:rsidRPr="00732F0C">
        <w:rPr>
          <w:rFonts w:ascii="Cambria" w:hAnsi="Cambria" w:cs="Arial"/>
          <w:sz w:val="20"/>
          <w:szCs w:val="20"/>
          <w:lang w:val="es-ES_tradnl"/>
        </w:rPr>
        <w:t>, mediante la resolución del recurso de casación emitida por la Corte Suprema de Justicia. En situaciones en las cuales la evolución de los hechos inicialmente presentados a nivel interno, implica un cambio en el cumplimiento o incumplimiento de los requisitos de admisibilidad, la Comisión ha señalado que su análisis debe hacerse a partir de la situación vigente al momento del pronunciamiento de admisibilidad</w:t>
      </w:r>
      <w:r w:rsidRPr="00732F0C">
        <w:rPr>
          <w:rStyle w:val="FootnoteReference"/>
          <w:rFonts w:ascii="Cambria" w:hAnsi="Cambria"/>
          <w:sz w:val="20"/>
          <w:szCs w:val="20"/>
          <w:lang w:val="es-AR"/>
        </w:rPr>
        <w:footnoteReference w:id="4"/>
      </w:r>
      <w:r w:rsidRPr="00732F0C">
        <w:rPr>
          <w:rFonts w:ascii="Cambria" w:hAnsi="Cambria" w:cs="Arial"/>
          <w:sz w:val="20"/>
          <w:szCs w:val="20"/>
          <w:lang w:val="es-ES_tradnl"/>
        </w:rPr>
        <w:t>.</w:t>
      </w:r>
      <w:r w:rsidR="00112CE1" w:rsidRPr="00732F0C">
        <w:rPr>
          <w:rFonts w:ascii="Cambria" w:hAnsi="Cambria" w:cs="Arial"/>
          <w:sz w:val="20"/>
          <w:szCs w:val="20"/>
          <w:lang w:val="es-ES_tradnl"/>
        </w:rPr>
        <w:t xml:space="preserve"> </w:t>
      </w:r>
    </w:p>
    <w:p w:rsidR="00996052" w:rsidRPr="00732F0C" w:rsidRDefault="00996052" w:rsidP="00842D6E">
      <w:pPr>
        <w:pStyle w:val="ListParagraph"/>
        <w:jc w:val="both"/>
        <w:rPr>
          <w:rFonts w:cs="Arial"/>
          <w:sz w:val="20"/>
          <w:szCs w:val="20"/>
          <w:lang w:val="es-ES_tradnl"/>
        </w:rPr>
      </w:pPr>
    </w:p>
    <w:p w:rsidR="00987FC2" w:rsidRPr="00732F0C" w:rsidRDefault="00996052" w:rsidP="00842D6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cs="Arial"/>
          <w:sz w:val="20"/>
          <w:szCs w:val="20"/>
          <w:lang w:val="es-ES_tradnl"/>
        </w:rPr>
      </w:pPr>
      <w:r w:rsidRPr="00732F0C">
        <w:rPr>
          <w:rFonts w:ascii="Cambria" w:hAnsi="Cambria" w:cs="Arial"/>
          <w:sz w:val="20"/>
          <w:szCs w:val="20"/>
          <w:lang w:val="es-ES_tradnl"/>
        </w:rPr>
        <w:t xml:space="preserve">En relación con el recurso de revisión presentado por la persona sentenciada y que, de acuerdo a lo informado por las partes, no habría sido resuelto a la fecha, la Comisión considera que dicho recurso es extraordinario en tanto sólo procede cuando la sentencia ya se encuentra firme. </w:t>
      </w:r>
      <w:r w:rsidR="00D051FE" w:rsidRPr="00732F0C">
        <w:rPr>
          <w:rFonts w:ascii="Cambria" w:hAnsi="Cambria" w:cs="Arial"/>
          <w:sz w:val="20"/>
          <w:szCs w:val="20"/>
          <w:lang w:val="es-ES_tradnl"/>
        </w:rPr>
        <w:t>La CIDH considera que en la</w:t>
      </w:r>
      <w:r w:rsidR="006837F3">
        <w:rPr>
          <w:rFonts w:ascii="Cambria" w:hAnsi="Cambria" w:cs="Arial"/>
          <w:sz w:val="20"/>
          <w:szCs w:val="20"/>
          <w:lang w:val="es-ES_tradnl"/>
        </w:rPr>
        <w:t>s</w:t>
      </w:r>
      <w:r w:rsidR="00D051FE" w:rsidRPr="00732F0C">
        <w:rPr>
          <w:rFonts w:ascii="Cambria" w:hAnsi="Cambria" w:cs="Arial"/>
          <w:sz w:val="20"/>
          <w:szCs w:val="20"/>
          <w:lang w:val="es-ES_tradnl"/>
        </w:rPr>
        <w:t xml:space="preserve"> circunstancias del presente caso el agotamiento de los recursos ordinarios cumple con los requerimientos de la Convención Americana.</w:t>
      </w:r>
      <w:r w:rsidRPr="00732F0C">
        <w:rPr>
          <w:rFonts w:ascii="Cambria" w:hAnsi="Cambria" w:cs="Arial"/>
          <w:sz w:val="20"/>
          <w:szCs w:val="20"/>
          <w:lang w:val="es-ES_tradnl"/>
        </w:rPr>
        <w:t xml:space="preserve"> </w:t>
      </w:r>
    </w:p>
    <w:p w:rsidR="00987FC2" w:rsidRPr="00732F0C" w:rsidRDefault="00987FC2" w:rsidP="00842D6E">
      <w:pPr>
        <w:pStyle w:val="ListParagraph"/>
        <w:jc w:val="both"/>
        <w:rPr>
          <w:rFonts w:cs="Arial"/>
          <w:sz w:val="20"/>
          <w:szCs w:val="20"/>
          <w:lang w:val="es-ES_tradnl"/>
        </w:rPr>
      </w:pPr>
    </w:p>
    <w:p w:rsidR="00987FC2" w:rsidRPr="00732F0C" w:rsidRDefault="00112CE1" w:rsidP="00842D6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cs="Arial"/>
          <w:sz w:val="20"/>
          <w:szCs w:val="20"/>
          <w:lang w:val="es-ES_tradnl"/>
        </w:rPr>
      </w:pPr>
      <w:r w:rsidRPr="00732F0C">
        <w:rPr>
          <w:rFonts w:ascii="Cambria" w:hAnsi="Cambria" w:cs="Arial"/>
          <w:sz w:val="20"/>
          <w:szCs w:val="20"/>
          <w:lang w:val="es-ES_tradnl"/>
        </w:rPr>
        <w:t>Por las consideraciones expuestas, l</w:t>
      </w:r>
      <w:r w:rsidR="00987FC2" w:rsidRPr="00732F0C">
        <w:rPr>
          <w:rFonts w:ascii="Cambria" w:hAnsi="Cambria" w:cs="Arial"/>
          <w:sz w:val="20"/>
          <w:szCs w:val="20"/>
          <w:lang w:val="es-ES_tradnl"/>
        </w:rPr>
        <w:t xml:space="preserve">a Comisión observa que a la fecha del presente pronunciamiento, el proceso penal  se encuentra definitivamente cerrado en la jurisdicción interna, tras la resolución de la Corte Suprema de Justicia de </w:t>
      </w:r>
      <w:r w:rsidRPr="00732F0C">
        <w:rPr>
          <w:rFonts w:ascii="Cambria" w:hAnsi="Cambria" w:cs="Arial"/>
          <w:sz w:val="20"/>
          <w:szCs w:val="20"/>
          <w:lang w:val="es-ES_tradnl"/>
        </w:rPr>
        <w:t xml:space="preserve">28 de enero de 1998 </w:t>
      </w:r>
      <w:r w:rsidR="00987FC2" w:rsidRPr="00732F0C">
        <w:rPr>
          <w:rFonts w:ascii="Cambria" w:hAnsi="Cambria" w:cs="Arial"/>
          <w:sz w:val="20"/>
          <w:szCs w:val="20"/>
          <w:lang w:val="es-ES_tradnl"/>
        </w:rPr>
        <w:t>relativa a</w:t>
      </w:r>
      <w:r w:rsidRPr="00732F0C">
        <w:rPr>
          <w:rFonts w:ascii="Cambria" w:hAnsi="Cambria" w:cs="Arial"/>
          <w:sz w:val="20"/>
          <w:szCs w:val="20"/>
          <w:lang w:val="es-ES_tradnl"/>
        </w:rPr>
        <w:t>l</w:t>
      </w:r>
      <w:r w:rsidR="00987FC2" w:rsidRPr="00732F0C">
        <w:rPr>
          <w:rFonts w:ascii="Cambria" w:hAnsi="Cambria" w:cs="Arial"/>
          <w:sz w:val="20"/>
          <w:szCs w:val="20"/>
          <w:lang w:val="es-ES_tradnl"/>
        </w:rPr>
        <w:t xml:space="preserve"> </w:t>
      </w:r>
      <w:r w:rsidRPr="00732F0C">
        <w:rPr>
          <w:rFonts w:ascii="Cambria" w:hAnsi="Cambria" w:cs="Arial"/>
          <w:sz w:val="20"/>
          <w:szCs w:val="20"/>
          <w:lang w:val="es-ES_tradnl"/>
        </w:rPr>
        <w:t>recurso</w:t>
      </w:r>
      <w:r w:rsidR="00987FC2" w:rsidRPr="00732F0C">
        <w:rPr>
          <w:rFonts w:ascii="Cambria" w:hAnsi="Cambria" w:cs="Arial"/>
          <w:sz w:val="20"/>
          <w:szCs w:val="20"/>
          <w:lang w:val="es-ES_tradnl"/>
        </w:rPr>
        <w:t xml:space="preserve"> de casación. En ese sentido, la Comisión Interamericana considera innecesario efectuar un pronunciamiento sobre el retardo injustificado alegado inicialmente por </w:t>
      </w:r>
      <w:r w:rsidR="00D742B8" w:rsidRPr="00732F0C">
        <w:rPr>
          <w:rFonts w:ascii="Cambria" w:hAnsi="Cambria" w:cs="Arial"/>
          <w:sz w:val="20"/>
          <w:szCs w:val="20"/>
          <w:lang w:val="es-ES_tradnl"/>
        </w:rPr>
        <w:t>la peticionaria</w:t>
      </w:r>
      <w:r w:rsidR="00987FC2" w:rsidRPr="00732F0C">
        <w:rPr>
          <w:rFonts w:ascii="Cambria" w:hAnsi="Cambria" w:cs="Arial"/>
          <w:sz w:val="20"/>
          <w:szCs w:val="20"/>
          <w:lang w:val="es-ES_tradnl"/>
        </w:rPr>
        <w:t xml:space="preserve"> y declara que a la fecha los recursos internos se encuentran definitivamente agotados en cumplimiento del artículo 46.1.a</w:t>
      </w:r>
      <w:r w:rsidRPr="00732F0C">
        <w:rPr>
          <w:rFonts w:ascii="Cambria" w:hAnsi="Cambria" w:cs="Arial"/>
          <w:sz w:val="20"/>
          <w:szCs w:val="20"/>
          <w:lang w:val="es-ES_tradnl"/>
        </w:rPr>
        <w:t>)</w:t>
      </w:r>
      <w:r w:rsidR="00987FC2" w:rsidRPr="00732F0C">
        <w:rPr>
          <w:rFonts w:ascii="Cambria" w:hAnsi="Cambria" w:cs="Arial"/>
          <w:sz w:val="20"/>
          <w:szCs w:val="20"/>
          <w:lang w:val="es-ES_tradnl"/>
        </w:rPr>
        <w:t xml:space="preserve"> de la Convención Americana.</w:t>
      </w:r>
    </w:p>
    <w:p w:rsidR="007B3C6B" w:rsidRPr="00732F0C" w:rsidRDefault="007B3C6B" w:rsidP="00842D6E">
      <w:pPr>
        <w:tabs>
          <w:tab w:val="left" w:pos="1440"/>
        </w:tabs>
        <w:jc w:val="both"/>
        <w:rPr>
          <w:rFonts w:ascii="Cambria" w:hAnsi="Cambria" w:cs="Arial"/>
          <w:sz w:val="20"/>
          <w:szCs w:val="20"/>
          <w:lang w:val="es-CR"/>
        </w:rPr>
      </w:pPr>
    </w:p>
    <w:p w:rsidR="007B3C6B" w:rsidRPr="00732F0C" w:rsidRDefault="007B3C6B" w:rsidP="00842D6E">
      <w:pPr>
        <w:pStyle w:val="Heading2"/>
        <w:jc w:val="both"/>
      </w:pPr>
      <w:bookmarkStart w:id="10" w:name="_Toc529792392"/>
      <w:r w:rsidRPr="00732F0C">
        <w:t>Plazo de presentación</w:t>
      </w:r>
      <w:bookmarkEnd w:id="10"/>
    </w:p>
    <w:p w:rsidR="007B3C6B" w:rsidRPr="00732F0C" w:rsidRDefault="007B3C6B" w:rsidP="00842D6E">
      <w:pPr>
        <w:tabs>
          <w:tab w:val="left" w:pos="1440"/>
        </w:tabs>
        <w:ind w:firstLine="720"/>
        <w:jc w:val="both"/>
        <w:rPr>
          <w:rFonts w:ascii="Cambria" w:hAnsi="Cambria" w:cs="Arial"/>
          <w:b/>
          <w:sz w:val="20"/>
          <w:szCs w:val="20"/>
        </w:rPr>
      </w:pPr>
    </w:p>
    <w:p w:rsidR="007B3C6B" w:rsidRPr="00732F0C" w:rsidRDefault="007B3C6B" w:rsidP="00842D6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cs="Arial"/>
          <w:sz w:val="20"/>
          <w:szCs w:val="20"/>
          <w:lang w:val="es-CR"/>
        </w:rPr>
      </w:pPr>
      <w:r w:rsidRPr="00732F0C">
        <w:rPr>
          <w:rFonts w:ascii="Cambria" w:hAnsi="Cambria" w:cs="Arial"/>
          <w:sz w:val="20"/>
          <w:szCs w:val="20"/>
          <w:lang w:val="es-CR"/>
        </w:rPr>
        <w:t xml:space="preserve">Conforme lo dispuesto en el artículo 46.1.b) de la Convención, para que se admita una petición ésta debe presentarse dentro del plazo </w:t>
      </w:r>
      <w:r w:rsidR="00094228" w:rsidRPr="00732F0C">
        <w:rPr>
          <w:rFonts w:ascii="Cambria" w:hAnsi="Cambria" w:cs="Arial"/>
          <w:sz w:val="20"/>
          <w:szCs w:val="20"/>
          <w:lang w:val="es-CR"/>
        </w:rPr>
        <w:t xml:space="preserve">de </w:t>
      </w:r>
      <w:r w:rsidRPr="00732F0C">
        <w:rPr>
          <w:rFonts w:ascii="Cambria" w:hAnsi="Cambria" w:cs="Arial"/>
          <w:sz w:val="20"/>
          <w:szCs w:val="20"/>
          <w:lang w:val="es-CR"/>
        </w:rPr>
        <w:t xml:space="preserve">seis meses contados a partir de la fecha en que el presunto lesionado en sus derechos haya sido notificado de la decisión definitiva dictada a nivel nacional. </w:t>
      </w:r>
    </w:p>
    <w:p w:rsidR="007B3C6B" w:rsidRPr="00732F0C" w:rsidRDefault="007B3C6B" w:rsidP="00842D6E">
      <w:pPr>
        <w:tabs>
          <w:tab w:val="left" w:pos="1440"/>
        </w:tabs>
        <w:ind w:firstLine="720"/>
        <w:jc w:val="both"/>
        <w:rPr>
          <w:rFonts w:ascii="Cambria" w:hAnsi="Cambria" w:cs="Arial"/>
          <w:sz w:val="20"/>
          <w:szCs w:val="20"/>
          <w:lang w:val="es-CR"/>
        </w:rPr>
      </w:pPr>
    </w:p>
    <w:p w:rsidR="00112CE1" w:rsidRPr="00732F0C" w:rsidRDefault="00112CE1" w:rsidP="00842D6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ES"/>
        </w:rPr>
      </w:pPr>
      <w:r w:rsidRPr="00732F0C">
        <w:rPr>
          <w:rFonts w:ascii="Cambria" w:hAnsi="Cambria"/>
          <w:sz w:val="20"/>
          <w:szCs w:val="20"/>
          <w:lang w:val="es-ES"/>
        </w:rPr>
        <w:t xml:space="preserve">La Comisión estableció en la sección anterior que los recursos internos se encuentran agotados a través de la sentencia definitiva de </w:t>
      </w:r>
      <w:r w:rsidR="00C011DE" w:rsidRPr="00732F0C">
        <w:rPr>
          <w:rFonts w:ascii="Cambria" w:hAnsi="Cambria"/>
          <w:sz w:val="20"/>
          <w:szCs w:val="20"/>
          <w:lang w:val="es-ES"/>
        </w:rPr>
        <w:t>28 de enero de 1998</w:t>
      </w:r>
      <w:r w:rsidRPr="00732F0C">
        <w:rPr>
          <w:rFonts w:ascii="Cambria" w:hAnsi="Cambria"/>
          <w:sz w:val="20"/>
          <w:szCs w:val="20"/>
          <w:lang w:val="es-ES"/>
        </w:rPr>
        <w:t xml:space="preserve"> emitida por la Corte Suprema de Justicia. El cumplimiento del requisito de agotamiento de los recursos internos de dio durante la tramitación de la admisibilidad y fondo del presente caso. En estas circunstancias, ha sido criterio constante de la Comisión que el cumplimiento del requisito de presentación de la petición en plazo se encuentra intrínsecamente ligado al agotamiento de los recursos internos y, por lo tanto, corresponde darlo por cumplido</w:t>
      </w:r>
      <w:r w:rsidRPr="00732F0C">
        <w:rPr>
          <w:rStyle w:val="FootnoteReference"/>
          <w:rFonts w:ascii="Cambria" w:hAnsi="Cambria"/>
          <w:sz w:val="20"/>
          <w:szCs w:val="20"/>
          <w:lang w:val="es-ES_tradnl"/>
        </w:rPr>
        <w:footnoteReference w:id="5"/>
      </w:r>
      <w:r w:rsidRPr="00732F0C">
        <w:rPr>
          <w:rFonts w:ascii="Cambria" w:hAnsi="Cambria"/>
          <w:sz w:val="20"/>
          <w:szCs w:val="20"/>
          <w:lang w:val="es-ES"/>
        </w:rPr>
        <w:t xml:space="preserve">. </w:t>
      </w:r>
    </w:p>
    <w:p w:rsidR="007B3C6B" w:rsidRPr="00732F0C" w:rsidRDefault="007B3C6B" w:rsidP="00842D6E">
      <w:pPr>
        <w:tabs>
          <w:tab w:val="left" w:pos="1440"/>
        </w:tabs>
        <w:ind w:firstLine="720"/>
        <w:jc w:val="both"/>
        <w:rPr>
          <w:rFonts w:ascii="Cambria" w:hAnsi="Cambria" w:cs="Arial"/>
          <w:sz w:val="20"/>
          <w:szCs w:val="20"/>
          <w:lang w:val="es-ES_tradnl"/>
        </w:rPr>
      </w:pPr>
    </w:p>
    <w:p w:rsidR="007B3C6B" w:rsidRPr="00732F0C" w:rsidRDefault="007B3C6B" w:rsidP="00842D6E">
      <w:pPr>
        <w:pStyle w:val="Heading2"/>
        <w:jc w:val="both"/>
      </w:pPr>
      <w:bookmarkStart w:id="11" w:name="_Toc529792393"/>
      <w:r w:rsidRPr="00732F0C">
        <w:t>Duplicación de procedimientos</w:t>
      </w:r>
      <w:r w:rsidR="00C011DE" w:rsidRPr="00732F0C">
        <w:t xml:space="preserve"> y cosa juzgada</w:t>
      </w:r>
      <w:bookmarkEnd w:id="11"/>
    </w:p>
    <w:p w:rsidR="007B3C6B" w:rsidRPr="00732F0C" w:rsidRDefault="007B3C6B" w:rsidP="00842D6E">
      <w:pPr>
        <w:tabs>
          <w:tab w:val="left" w:pos="1440"/>
        </w:tabs>
        <w:ind w:firstLine="720"/>
        <w:jc w:val="both"/>
        <w:rPr>
          <w:rFonts w:ascii="Cambria" w:hAnsi="Cambria" w:cs="Arial"/>
          <w:b/>
          <w:sz w:val="20"/>
          <w:szCs w:val="20"/>
          <w:lang w:val="es-ES"/>
        </w:rPr>
      </w:pPr>
    </w:p>
    <w:p w:rsidR="00C011DE" w:rsidRPr="00732F0C" w:rsidRDefault="00C011DE" w:rsidP="00842D6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AR"/>
        </w:rPr>
      </w:pPr>
      <w:r w:rsidRPr="00732F0C">
        <w:rPr>
          <w:rFonts w:ascii="Cambria" w:hAnsi="Cambria"/>
          <w:bCs/>
          <w:sz w:val="20"/>
          <w:szCs w:val="20"/>
          <w:lang w:val="es-ES"/>
        </w:rPr>
        <w:t>El artículo 46.1.c</w:t>
      </w:r>
      <w:r w:rsidR="00A85C77" w:rsidRPr="00732F0C">
        <w:rPr>
          <w:rFonts w:ascii="Cambria" w:hAnsi="Cambria"/>
          <w:bCs/>
          <w:sz w:val="20"/>
          <w:szCs w:val="20"/>
          <w:lang w:val="es-ES"/>
        </w:rPr>
        <w:t>)</w:t>
      </w:r>
      <w:r w:rsidRPr="00732F0C">
        <w:rPr>
          <w:rFonts w:ascii="Cambria" w:hAnsi="Cambria"/>
          <w:bCs/>
          <w:sz w:val="20"/>
          <w:szCs w:val="20"/>
          <w:lang w:val="es-ES"/>
        </w:rPr>
        <w:t xml:space="preserve"> de la Convención dispone que la admisión de una petición está sujeta al requisito de que la materia </w:t>
      </w:r>
      <w:r w:rsidRPr="00732F0C">
        <w:rPr>
          <w:rFonts w:ascii="Cambria" w:hAnsi="Cambria" w:cs="Arial"/>
          <w:sz w:val="20"/>
          <w:szCs w:val="20"/>
          <w:lang w:val="es-ES"/>
        </w:rPr>
        <w:t>"</w:t>
      </w:r>
      <w:r w:rsidRPr="00732F0C">
        <w:rPr>
          <w:rFonts w:ascii="Cambria" w:hAnsi="Cambria"/>
          <w:bCs/>
          <w:sz w:val="20"/>
          <w:szCs w:val="20"/>
          <w:lang w:val="es-ES"/>
        </w:rPr>
        <w:t>no esté pendiente de otro procedimiento de arreglo internacional</w:t>
      </w:r>
      <w:r w:rsidRPr="00732F0C">
        <w:rPr>
          <w:rFonts w:ascii="Cambria" w:hAnsi="Cambria" w:cs="Arial"/>
          <w:sz w:val="20"/>
          <w:szCs w:val="20"/>
          <w:lang w:val="es-ES"/>
        </w:rPr>
        <w:t>"</w:t>
      </w:r>
      <w:r w:rsidRPr="00732F0C">
        <w:rPr>
          <w:rFonts w:ascii="Cambria" w:hAnsi="Cambria"/>
          <w:bCs/>
          <w:sz w:val="20"/>
          <w:szCs w:val="20"/>
          <w:lang w:val="es-ES"/>
        </w:rPr>
        <w:t xml:space="preserve"> y en el artículo 47.d) de la Convención se estipula que la Comisión no admitirá la petición que sea sustancialmente la reproducción de petición o comunicación anterior ya examinada por la Comisión o por otro organismo internacional. Las partes no han esgrimido la existencia de ninguna de esas dos circunstancias, ni ellas se deducen del expediente.</w:t>
      </w:r>
    </w:p>
    <w:p w:rsidR="007B3C6B" w:rsidRPr="00732F0C" w:rsidRDefault="007B3C6B" w:rsidP="00842D6E">
      <w:pPr>
        <w:pStyle w:val="Heading2"/>
        <w:jc w:val="both"/>
      </w:pPr>
      <w:bookmarkStart w:id="12" w:name="_Toc529792394"/>
      <w:r w:rsidRPr="00732F0C">
        <w:lastRenderedPageBreak/>
        <w:t>Caracterización de los hechos alegados</w:t>
      </w:r>
      <w:bookmarkEnd w:id="12"/>
    </w:p>
    <w:p w:rsidR="007B3C6B" w:rsidRPr="007033A8" w:rsidRDefault="007B3C6B" w:rsidP="00842D6E">
      <w:pPr>
        <w:tabs>
          <w:tab w:val="left" w:pos="1440"/>
        </w:tabs>
        <w:ind w:firstLine="720"/>
        <w:jc w:val="both"/>
        <w:rPr>
          <w:rFonts w:ascii="Cambria" w:hAnsi="Cambria" w:cs="Arial"/>
          <w:b/>
          <w:sz w:val="20"/>
          <w:szCs w:val="20"/>
          <w:lang w:val="es-US"/>
        </w:rPr>
      </w:pPr>
    </w:p>
    <w:p w:rsidR="007B3C6B" w:rsidRPr="00732F0C" w:rsidRDefault="007B3C6B" w:rsidP="00842D6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cs="Arial"/>
          <w:sz w:val="20"/>
          <w:szCs w:val="20"/>
          <w:lang w:val="es-CR"/>
        </w:rPr>
      </w:pPr>
      <w:r w:rsidRPr="00732F0C">
        <w:rPr>
          <w:rFonts w:ascii="Cambria" w:hAnsi="Cambria" w:cs="Arial"/>
          <w:sz w:val="20"/>
          <w:szCs w:val="20"/>
          <w:lang w:val="es-CR"/>
        </w:rPr>
        <w:t xml:space="preserve">A los fines de la admisibilidad, la Comisión debe decidir si en la petición se exponen hechos que podrían caracterizar una violación, como estipula el artículo 47.b) de la Convención Americana, si la petición es “manifiestamente infundada” o si es “evidente su total improcedencia”, según el inciso c) del mismo artículo. El estándar de apreciación de estos extremos es diferente del requerido para decidir sobre los méritos de una denuncia. La Comisión debe realizar una evaluación </w:t>
      </w:r>
      <w:r w:rsidRPr="00732F0C">
        <w:rPr>
          <w:rFonts w:ascii="Cambria" w:hAnsi="Cambria" w:cs="Arial"/>
          <w:i/>
          <w:sz w:val="20"/>
          <w:szCs w:val="20"/>
          <w:lang w:val="es-CR"/>
        </w:rPr>
        <w:t>prima facie</w:t>
      </w:r>
      <w:r w:rsidRPr="00732F0C">
        <w:rPr>
          <w:rFonts w:ascii="Cambria" w:hAnsi="Cambria"/>
          <w:i/>
          <w:sz w:val="20"/>
          <w:szCs w:val="20"/>
          <w:lang w:val="es-CR"/>
        </w:rPr>
        <w:t xml:space="preserve"> </w:t>
      </w:r>
      <w:r w:rsidRPr="00732F0C">
        <w:rPr>
          <w:rFonts w:ascii="Cambria" w:hAnsi="Cambria"/>
          <w:sz w:val="20"/>
          <w:szCs w:val="20"/>
          <w:lang w:val="es-CR"/>
        </w:rPr>
        <w:t>para examinar si la denuncia fundamenta la aparente o potencial violación de un derecho garantizado por la Convención y no para establecer la existencia de una violación.</w:t>
      </w:r>
      <w:r w:rsidR="00972814" w:rsidRPr="00732F0C">
        <w:rPr>
          <w:rFonts w:ascii="Cambria" w:hAnsi="Cambria"/>
          <w:sz w:val="20"/>
          <w:szCs w:val="20"/>
          <w:lang w:val="es-CR"/>
        </w:rPr>
        <w:t xml:space="preserve"> </w:t>
      </w:r>
      <w:r w:rsidR="00972814" w:rsidRPr="00732F0C">
        <w:rPr>
          <w:rFonts w:ascii="Cambria" w:hAnsi="Cambria"/>
          <w:sz w:val="20"/>
          <w:szCs w:val="20"/>
          <w:lang w:val="es-ES"/>
        </w:rPr>
        <w:t>Tal examen es un análisis sumario que no implica un prejuicio o un avance de opinión sobre el fondo.</w:t>
      </w:r>
    </w:p>
    <w:p w:rsidR="00094228" w:rsidRPr="00732F0C" w:rsidRDefault="00094228" w:rsidP="00842D6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hAnsi="Cambria"/>
          <w:sz w:val="20"/>
          <w:szCs w:val="20"/>
          <w:lang w:val="es-ES_tradnl"/>
        </w:rPr>
      </w:pPr>
    </w:p>
    <w:p w:rsidR="00094228" w:rsidRPr="00732F0C" w:rsidRDefault="00094228" w:rsidP="00842D6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ES_tradnl"/>
        </w:rPr>
      </w:pPr>
      <w:r w:rsidRPr="00732F0C">
        <w:rPr>
          <w:rFonts w:ascii="Cambria" w:hAnsi="Cambria"/>
          <w:iCs/>
          <w:sz w:val="20"/>
          <w:szCs w:val="20"/>
          <w:lang w:val="es-ES_tradnl"/>
        </w:rPr>
        <w:t xml:space="preserve">Por otra parte, ni la Convención Americana ni el Reglamento de la CIDH exigen a los peticionarios identificar los derechos específicos que se alegan violados por parte del Estado en el asunto sometido a la Comisión, aunque los peticionarios pueden hacerlo.  En cambio, corresponde a la Comisión, con base en la jurisprudencia del sistema, </w:t>
      </w:r>
      <w:r w:rsidRPr="00732F0C">
        <w:rPr>
          <w:rFonts w:ascii="Cambria" w:hAnsi="Cambria"/>
          <w:sz w:val="20"/>
          <w:szCs w:val="20"/>
          <w:lang w:val="es-CR"/>
        </w:rPr>
        <w:t>determinar</w:t>
      </w:r>
      <w:r w:rsidRPr="00732F0C">
        <w:rPr>
          <w:rFonts w:ascii="Cambria" w:hAnsi="Cambria"/>
          <w:iCs/>
          <w:sz w:val="20"/>
          <w:szCs w:val="20"/>
          <w:lang w:val="es-ES_tradnl"/>
        </w:rPr>
        <w:t xml:space="preserve"> en sus informes de admisibilidad, qué disposición de los instrumentos interamericanos relevantes es aplicable y podría establecerse su violación si los hechos alegados son probados mediante elementos suficientes.</w:t>
      </w:r>
    </w:p>
    <w:p w:rsidR="007B3C6B" w:rsidRPr="00732F0C" w:rsidRDefault="007B3C6B" w:rsidP="00842D6E">
      <w:pPr>
        <w:tabs>
          <w:tab w:val="left" w:pos="1440"/>
        </w:tabs>
        <w:ind w:firstLine="720"/>
        <w:jc w:val="both"/>
        <w:rPr>
          <w:rFonts w:ascii="Cambria" w:hAnsi="Cambria" w:cs="Arial"/>
          <w:sz w:val="20"/>
          <w:szCs w:val="20"/>
          <w:lang w:val="es-CR"/>
        </w:rPr>
      </w:pPr>
    </w:p>
    <w:p w:rsidR="00972814" w:rsidRPr="00732F0C" w:rsidRDefault="00972814" w:rsidP="00842D6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cs="Arial"/>
          <w:sz w:val="20"/>
          <w:szCs w:val="20"/>
          <w:lang w:val="es-CR"/>
        </w:rPr>
      </w:pPr>
      <w:r w:rsidRPr="00732F0C">
        <w:rPr>
          <w:rFonts w:ascii="Cambria" w:hAnsi="Cambria" w:cs="Arial"/>
          <w:sz w:val="20"/>
          <w:szCs w:val="20"/>
          <w:lang w:val="es-CR"/>
        </w:rPr>
        <w:t>El Estado alegó que la Comisión no es un tribunal de alzada para analizar los errores de hecho o de derecho en que pudieran haber incurrido las autoridades judiciales internas dentro del ámbito de su competencia y en cumplimiento de las garantías del debido proceso. Sostuvo que frente al homicidio de Jorge Darwin y las lesiones de su hermano Franklin, adoptó las medidas necesarias a fin de identificar a la persona responsable, la cual fue sentenciada a seis años de prisi</w:t>
      </w:r>
      <w:r w:rsidR="00793A4F" w:rsidRPr="00732F0C">
        <w:rPr>
          <w:rFonts w:ascii="Cambria" w:hAnsi="Cambria" w:cs="Arial"/>
          <w:sz w:val="20"/>
          <w:szCs w:val="20"/>
          <w:lang w:val="es-CR"/>
        </w:rPr>
        <w:t>ón.</w:t>
      </w:r>
    </w:p>
    <w:p w:rsidR="00972814" w:rsidRPr="00732F0C" w:rsidRDefault="00972814" w:rsidP="00842D6E">
      <w:pPr>
        <w:tabs>
          <w:tab w:val="left" w:pos="1440"/>
        </w:tabs>
        <w:ind w:firstLine="720"/>
        <w:jc w:val="both"/>
        <w:rPr>
          <w:rFonts w:ascii="Cambria" w:hAnsi="Cambria" w:cs="Arial"/>
          <w:sz w:val="20"/>
          <w:szCs w:val="20"/>
          <w:lang w:val="es-CR"/>
        </w:rPr>
      </w:pPr>
    </w:p>
    <w:p w:rsidR="00972814" w:rsidRPr="00732F0C" w:rsidRDefault="00972814" w:rsidP="00842D6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cs="Arial"/>
          <w:sz w:val="20"/>
          <w:szCs w:val="20"/>
          <w:lang w:val="es-CR"/>
        </w:rPr>
      </w:pPr>
      <w:r w:rsidRPr="00732F0C">
        <w:rPr>
          <w:rFonts w:ascii="Cambria" w:hAnsi="Cambria" w:cs="Arial"/>
          <w:sz w:val="20"/>
          <w:szCs w:val="20"/>
          <w:lang w:val="es-CR"/>
        </w:rPr>
        <w:t>La Comisión recuerda que según la jurisprudencia consolidada de los órganos del sistema interamericano “el esclarecimiento de si el Estado ha violado o no sus obligaciones internacionales en virtud de las actuaciones de sus órganos judiciales, puede conducir a que” la Comisión y la Corte Interamericanas se ocupen de “examinar los respectivos procesos internos para establecer su compatibilidad con la Convención Americana, lo cual incluye, eventualmente, las decisiones de tribunales superiores”</w:t>
      </w:r>
      <w:r w:rsidRPr="00732F0C">
        <w:rPr>
          <w:rStyle w:val="FootnoteReference"/>
          <w:rFonts w:ascii="Cambria" w:hAnsi="Cambria" w:cs="Verdana"/>
          <w:sz w:val="20"/>
          <w:szCs w:val="20"/>
          <w:lang w:val="es-ES_tradnl"/>
        </w:rPr>
        <w:footnoteReference w:id="6"/>
      </w:r>
      <w:r w:rsidRPr="00732F0C">
        <w:rPr>
          <w:rFonts w:ascii="Cambria" w:hAnsi="Cambria" w:cs="Arial"/>
          <w:sz w:val="20"/>
          <w:szCs w:val="20"/>
          <w:lang w:val="es-CR"/>
        </w:rPr>
        <w:t xml:space="preserve"> . </w:t>
      </w:r>
    </w:p>
    <w:p w:rsidR="00972814" w:rsidRPr="00732F0C" w:rsidRDefault="00972814" w:rsidP="00842D6E">
      <w:pPr>
        <w:tabs>
          <w:tab w:val="left" w:pos="1440"/>
        </w:tabs>
        <w:ind w:firstLine="720"/>
        <w:jc w:val="both"/>
        <w:rPr>
          <w:rFonts w:ascii="Cambria" w:hAnsi="Cambria" w:cs="Arial"/>
          <w:sz w:val="20"/>
          <w:szCs w:val="20"/>
          <w:lang w:val="es-CR"/>
        </w:rPr>
      </w:pPr>
    </w:p>
    <w:p w:rsidR="00972814" w:rsidRPr="00732F0C" w:rsidRDefault="00972814" w:rsidP="00842D6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cs="Arial"/>
          <w:sz w:val="20"/>
          <w:szCs w:val="20"/>
          <w:lang w:val="es-CR"/>
        </w:rPr>
      </w:pPr>
      <w:r w:rsidRPr="00732F0C">
        <w:rPr>
          <w:rFonts w:ascii="Cambria" w:hAnsi="Cambria" w:cs="Arial"/>
          <w:sz w:val="20"/>
          <w:szCs w:val="20"/>
          <w:lang w:val="es-CR"/>
        </w:rPr>
        <w:t xml:space="preserve">En ese sentido, la Comisión resalta que el objeto de la presente petición no es la revisión de decisiones internas sino la determinación de si las alegadas acciones y omisiones de diversas autoridades estatales, incluyendo autoridades de policía y autoridades encargadas de la investigación y proceso penal, comprometieron la responsabilidad internacional del Estado de Ecuador. </w:t>
      </w:r>
    </w:p>
    <w:p w:rsidR="0035594E" w:rsidRPr="00732F0C" w:rsidRDefault="0035594E" w:rsidP="00842D6E">
      <w:pPr>
        <w:pStyle w:val="ListParagraph"/>
        <w:jc w:val="both"/>
        <w:rPr>
          <w:rFonts w:cs="Arial"/>
          <w:sz w:val="20"/>
          <w:szCs w:val="20"/>
          <w:lang w:val="es-CR"/>
        </w:rPr>
      </w:pPr>
    </w:p>
    <w:p w:rsidR="003338FE" w:rsidRPr="00732F0C" w:rsidRDefault="003338FE" w:rsidP="00842D6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cs="Arial"/>
          <w:sz w:val="20"/>
          <w:szCs w:val="20"/>
          <w:lang w:val="es-CR"/>
        </w:rPr>
      </w:pPr>
      <w:r w:rsidRPr="00732F0C">
        <w:rPr>
          <w:rFonts w:ascii="Cambria" w:hAnsi="Cambria" w:cs="Arial"/>
          <w:sz w:val="20"/>
          <w:szCs w:val="20"/>
          <w:lang w:val="es-CR"/>
        </w:rPr>
        <w:t>En virtud de lo anterior, la Comisión considera que los hechos descritos podrían caracterizar violación de los derechos a la vida, integridad persona</w:t>
      </w:r>
      <w:r w:rsidR="006837F3">
        <w:rPr>
          <w:rFonts w:ascii="Cambria" w:hAnsi="Cambria" w:cs="Arial"/>
          <w:sz w:val="20"/>
          <w:szCs w:val="20"/>
          <w:lang w:val="es-CR"/>
        </w:rPr>
        <w:t>l</w:t>
      </w:r>
      <w:r w:rsidRPr="00732F0C">
        <w:rPr>
          <w:rFonts w:ascii="Cambria" w:hAnsi="Cambria" w:cs="Arial"/>
          <w:sz w:val="20"/>
          <w:szCs w:val="20"/>
          <w:lang w:val="es-CR"/>
        </w:rPr>
        <w:t xml:space="preserve">, garantías judiciales y protección judicial establecidos en los artículos 4.1, 5.1, 8.1 y 25.1 de la Convención Americana en relación con las obligaciones establecidas en los artículos 1.1 y 2 del mismo instrumento. </w:t>
      </w:r>
    </w:p>
    <w:p w:rsidR="0029397F" w:rsidRPr="00732F0C" w:rsidRDefault="0029397F" w:rsidP="00842D6E">
      <w:pPr>
        <w:suppressAutoHyphens/>
        <w:jc w:val="both"/>
        <w:rPr>
          <w:rFonts w:ascii="Cambria" w:hAnsi="Cambria"/>
          <w:b/>
          <w:sz w:val="20"/>
          <w:szCs w:val="20"/>
          <w:lang w:val="es-MX"/>
        </w:rPr>
      </w:pPr>
    </w:p>
    <w:p w:rsidR="00CA3FD9" w:rsidRPr="00732F0C" w:rsidRDefault="00CA3FD9" w:rsidP="00D060AD">
      <w:pPr>
        <w:pStyle w:val="Heading1"/>
        <w:ind w:firstLine="0"/>
        <w:jc w:val="both"/>
      </w:pPr>
      <w:bookmarkStart w:id="13" w:name="_Toc529792395"/>
      <w:bookmarkStart w:id="14" w:name="_Toc338770517"/>
      <w:r w:rsidRPr="00732F0C">
        <w:t>ANÁLISIS DE FONDO</w:t>
      </w:r>
      <w:bookmarkEnd w:id="13"/>
    </w:p>
    <w:p w:rsidR="00CA3FD9" w:rsidRPr="00732F0C" w:rsidRDefault="00CA3FD9" w:rsidP="00842D6E">
      <w:pPr>
        <w:pStyle w:val="Heading1"/>
        <w:numPr>
          <w:ilvl w:val="0"/>
          <w:numId w:val="0"/>
        </w:numPr>
        <w:ind w:left="1440"/>
        <w:jc w:val="both"/>
      </w:pPr>
    </w:p>
    <w:p w:rsidR="00CA3FD9" w:rsidRPr="00732F0C" w:rsidRDefault="00CA3FD9" w:rsidP="00842D6E">
      <w:pPr>
        <w:pStyle w:val="Heading2"/>
        <w:numPr>
          <w:ilvl w:val="2"/>
          <w:numId w:val="55"/>
        </w:numPr>
        <w:tabs>
          <w:tab w:val="left" w:pos="1440"/>
        </w:tabs>
        <w:ind w:hanging="2340"/>
        <w:jc w:val="both"/>
      </w:pPr>
      <w:bookmarkStart w:id="15" w:name="_Toc529792396"/>
      <w:r w:rsidRPr="00732F0C">
        <w:t>Hechos probados</w:t>
      </w:r>
      <w:bookmarkEnd w:id="15"/>
    </w:p>
    <w:p w:rsidR="00A24688" w:rsidRPr="00732F0C" w:rsidRDefault="00A24688" w:rsidP="00842D6E">
      <w:pPr>
        <w:jc w:val="both"/>
        <w:rPr>
          <w:rFonts w:ascii="Cambria" w:hAnsi="Cambria"/>
          <w:sz w:val="20"/>
          <w:szCs w:val="20"/>
          <w:lang w:val="es-ES_tradnl"/>
        </w:rPr>
      </w:pPr>
    </w:p>
    <w:p w:rsidR="00863BE3" w:rsidRPr="00732F0C" w:rsidRDefault="00F4597D" w:rsidP="00842D6E">
      <w:pPr>
        <w:pStyle w:val="Heading3"/>
        <w:numPr>
          <w:ilvl w:val="6"/>
          <w:numId w:val="55"/>
        </w:numPr>
        <w:tabs>
          <w:tab w:val="clear" w:pos="5400"/>
          <w:tab w:val="left" w:pos="720"/>
          <w:tab w:val="num" w:pos="1440"/>
        </w:tabs>
        <w:ind w:hanging="4680"/>
        <w:rPr>
          <w:lang w:val="es-ES"/>
        </w:rPr>
      </w:pPr>
      <w:bookmarkStart w:id="16" w:name="_Toc529792397"/>
      <w:r w:rsidRPr="00732F0C">
        <w:rPr>
          <w:lang w:val="es-ES"/>
        </w:rPr>
        <w:t>Sobre Jo</w:t>
      </w:r>
      <w:r w:rsidR="00554F0B" w:rsidRPr="00732F0C">
        <w:rPr>
          <w:lang w:val="es-ES"/>
        </w:rPr>
        <w:t>rge</w:t>
      </w:r>
      <w:r w:rsidRPr="00732F0C">
        <w:rPr>
          <w:lang w:val="es-ES"/>
        </w:rPr>
        <w:t xml:space="preserve"> Darwin García y su familia</w:t>
      </w:r>
      <w:bookmarkEnd w:id="16"/>
    </w:p>
    <w:p w:rsidR="00A24688" w:rsidRPr="00732F0C" w:rsidRDefault="00A24688" w:rsidP="00842D6E">
      <w:pPr>
        <w:jc w:val="both"/>
        <w:rPr>
          <w:rFonts w:ascii="Cambria" w:hAnsi="Cambria"/>
          <w:sz w:val="20"/>
          <w:szCs w:val="20"/>
          <w:lang w:val="es-ES_tradnl"/>
        </w:rPr>
      </w:pPr>
    </w:p>
    <w:p w:rsidR="00F4597D" w:rsidRPr="00732F0C" w:rsidRDefault="00F4597D" w:rsidP="00842D6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CR"/>
        </w:rPr>
      </w:pPr>
      <w:r w:rsidRPr="00732F0C">
        <w:rPr>
          <w:rFonts w:ascii="Cambria" w:hAnsi="Cambria"/>
          <w:sz w:val="20"/>
          <w:szCs w:val="20"/>
          <w:lang w:val="es-ES_tradnl"/>
        </w:rPr>
        <w:t xml:space="preserve">Durante la época de los hechos </w:t>
      </w:r>
      <w:r w:rsidRPr="00732F0C">
        <w:rPr>
          <w:rFonts w:ascii="Cambria" w:hAnsi="Cambria"/>
          <w:sz w:val="20"/>
          <w:szCs w:val="20"/>
          <w:lang w:val="es-CR"/>
        </w:rPr>
        <w:t>Jorge Darwin García</w:t>
      </w:r>
      <w:r w:rsidR="00A24688" w:rsidRPr="00732F0C">
        <w:rPr>
          <w:rFonts w:ascii="Cambria" w:hAnsi="Cambria"/>
          <w:sz w:val="20"/>
          <w:szCs w:val="20"/>
          <w:lang w:val="es-CR"/>
        </w:rPr>
        <w:t xml:space="preserve"> </w:t>
      </w:r>
      <w:r w:rsidRPr="00732F0C">
        <w:rPr>
          <w:rFonts w:ascii="Cambria" w:hAnsi="Cambria"/>
          <w:sz w:val="20"/>
          <w:szCs w:val="20"/>
          <w:lang w:val="es-CR"/>
        </w:rPr>
        <w:t>tenía</w:t>
      </w:r>
      <w:r w:rsidR="00A24688" w:rsidRPr="00732F0C">
        <w:rPr>
          <w:rFonts w:ascii="Cambria" w:hAnsi="Cambria"/>
          <w:sz w:val="20"/>
          <w:szCs w:val="20"/>
          <w:lang w:val="es-CR"/>
        </w:rPr>
        <w:t xml:space="preserve"> 31 años de edad</w:t>
      </w:r>
      <w:r w:rsidRPr="00732F0C">
        <w:rPr>
          <w:rStyle w:val="FootnoteReference"/>
          <w:rFonts w:ascii="Cambria" w:hAnsi="Cambria"/>
          <w:sz w:val="20"/>
          <w:szCs w:val="20"/>
        </w:rPr>
        <w:footnoteReference w:id="7"/>
      </w:r>
      <w:r w:rsidR="00863BE3" w:rsidRPr="00732F0C">
        <w:rPr>
          <w:rFonts w:ascii="Cambria" w:hAnsi="Cambria"/>
          <w:sz w:val="20"/>
          <w:szCs w:val="20"/>
          <w:lang w:val="es-CR"/>
        </w:rPr>
        <w:t>. Era una persona afrodescendiente</w:t>
      </w:r>
      <w:r w:rsidRPr="00732F0C">
        <w:rPr>
          <w:rFonts w:ascii="Cambria" w:hAnsi="Cambria"/>
          <w:sz w:val="20"/>
          <w:szCs w:val="20"/>
          <w:lang w:val="es-CR"/>
        </w:rPr>
        <w:t xml:space="preserve"> y trabajaba como chofer profesional de la Cooperativa de Transportes “Otavalo”</w:t>
      </w:r>
      <w:r w:rsidRPr="00732F0C">
        <w:rPr>
          <w:rStyle w:val="FootnoteReference"/>
          <w:rFonts w:ascii="Cambria" w:hAnsi="Cambria"/>
          <w:sz w:val="20"/>
          <w:szCs w:val="20"/>
        </w:rPr>
        <w:footnoteReference w:id="8"/>
      </w:r>
      <w:r w:rsidRPr="00732F0C">
        <w:rPr>
          <w:rFonts w:ascii="Cambria" w:hAnsi="Cambria"/>
          <w:sz w:val="20"/>
          <w:szCs w:val="20"/>
          <w:lang w:val="es-CR"/>
        </w:rPr>
        <w:t>. Su hermano Franklin Plutarco García tenía 20 años de edad.</w:t>
      </w:r>
      <w:r w:rsidR="00863BE3" w:rsidRPr="00732F0C">
        <w:rPr>
          <w:rFonts w:ascii="Cambria" w:hAnsi="Cambria"/>
          <w:sz w:val="20"/>
          <w:szCs w:val="20"/>
          <w:lang w:val="es-CR"/>
        </w:rPr>
        <w:t xml:space="preserve"> </w:t>
      </w:r>
      <w:r w:rsidRPr="00732F0C">
        <w:rPr>
          <w:rFonts w:ascii="Cambria" w:hAnsi="Cambria"/>
          <w:sz w:val="20"/>
          <w:szCs w:val="20"/>
          <w:lang w:val="es-CR"/>
        </w:rPr>
        <w:t xml:space="preserve">En el expediente ante la CIDH constan los siguientes familiares de </w:t>
      </w:r>
      <w:r w:rsidR="00863BE3" w:rsidRPr="00732F0C">
        <w:rPr>
          <w:rFonts w:ascii="Cambria" w:hAnsi="Cambria"/>
          <w:sz w:val="20"/>
          <w:szCs w:val="20"/>
          <w:lang w:val="es-CR"/>
        </w:rPr>
        <w:t xml:space="preserve">los hermanos </w:t>
      </w:r>
      <w:r w:rsidRPr="00732F0C">
        <w:rPr>
          <w:rFonts w:ascii="Cambria" w:hAnsi="Cambria"/>
          <w:sz w:val="20"/>
          <w:szCs w:val="20"/>
          <w:lang w:val="es-CR"/>
        </w:rPr>
        <w:t xml:space="preserve">Darwin García: Luis Enrique García (padre); Olga María Espinoza (madre); </w:t>
      </w:r>
      <w:proofErr w:type="spellStart"/>
      <w:r w:rsidRPr="00732F0C">
        <w:rPr>
          <w:rFonts w:ascii="Cambria" w:hAnsi="Cambria"/>
          <w:sz w:val="20"/>
          <w:szCs w:val="20"/>
          <w:lang w:val="es-CR"/>
        </w:rPr>
        <w:t>Elsida</w:t>
      </w:r>
      <w:proofErr w:type="spellEnd"/>
      <w:r w:rsidRPr="00732F0C">
        <w:rPr>
          <w:rFonts w:ascii="Cambria" w:hAnsi="Cambria"/>
          <w:sz w:val="20"/>
          <w:szCs w:val="20"/>
          <w:lang w:val="es-CR"/>
        </w:rPr>
        <w:t xml:space="preserve"> María, Víctor </w:t>
      </w:r>
      <w:r w:rsidRPr="00732F0C">
        <w:rPr>
          <w:rFonts w:ascii="Cambria" w:hAnsi="Cambria"/>
          <w:sz w:val="20"/>
          <w:szCs w:val="20"/>
          <w:lang w:val="es-CR"/>
        </w:rPr>
        <w:lastRenderedPageBreak/>
        <w:t xml:space="preserve">Enrique, </w:t>
      </w:r>
      <w:proofErr w:type="spellStart"/>
      <w:r w:rsidRPr="00732F0C">
        <w:rPr>
          <w:rFonts w:ascii="Cambria" w:hAnsi="Cambria"/>
          <w:sz w:val="20"/>
          <w:szCs w:val="20"/>
          <w:lang w:val="es-CR"/>
        </w:rPr>
        <w:t>Flaiter</w:t>
      </w:r>
      <w:proofErr w:type="spellEnd"/>
      <w:r w:rsidRPr="00732F0C">
        <w:rPr>
          <w:rFonts w:ascii="Cambria" w:hAnsi="Cambria"/>
          <w:sz w:val="20"/>
          <w:szCs w:val="20"/>
          <w:lang w:val="es-CR"/>
        </w:rPr>
        <w:t xml:space="preserve"> </w:t>
      </w:r>
      <w:proofErr w:type="spellStart"/>
      <w:r w:rsidRPr="00732F0C">
        <w:rPr>
          <w:rFonts w:ascii="Cambria" w:hAnsi="Cambria"/>
          <w:sz w:val="20"/>
          <w:szCs w:val="20"/>
          <w:lang w:val="es-CR"/>
        </w:rPr>
        <w:t>Wladimir</w:t>
      </w:r>
      <w:proofErr w:type="spellEnd"/>
      <w:r w:rsidRPr="00732F0C">
        <w:rPr>
          <w:rFonts w:ascii="Cambria" w:hAnsi="Cambria"/>
          <w:sz w:val="20"/>
          <w:szCs w:val="20"/>
          <w:lang w:val="es-CR"/>
        </w:rPr>
        <w:t xml:space="preserve">, Fabio Tarquino, Nelly Beatriz, Miriam Judith y Aida Marina García Espinoza (hermanos/as); y Darwin </w:t>
      </w:r>
      <w:proofErr w:type="spellStart"/>
      <w:r w:rsidRPr="00732F0C">
        <w:rPr>
          <w:rFonts w:ascii="Cambria" w:hAnsi="Cambria"/>
          <w:sz w:val="20"/>
          <w:szCs w:val="20"/>
          <w:lang w:val="es-CR"/>
        </w:rPr>
        <w:t>Wladimir</w:t>
      </w:r>
      <w:proofErr w:type="spellEnd"/>
      <w:r w:rsidRPr="00732F0C">
        <w:rPr>
          <w:rFonts w:ascii="Cambria" w:hAnsi="Cambria"/>
          <w:sz w:val="20"/>
          <w:szCs w:val="20"/>
          <w:lang w:val="es-CR"/>
        </w:rPr>
        <w:t xml:space="preserve"> y </w:t>
      </w:r>
      <w:proofErr w:type="spellStart"/>
      <w:r w:rsidRPr="00732F0C">
        <w:rPr>
          <w:rFonts w:ascii="Cambria" w:hAnsi="Cambria"/>
          <w:sz w:val="20"/>
          <w:szCs w:val="20"/>
          <w:lang w:val="es-CR"/>
        </w:rPr>
        <w:t>Jhonny</w:t>
      </w:r>
      <w:proofErr w:type="spellEnd"/>
      <w:r w:rsidRPr="00732F0C">
        <w:rPr>
          <w:rFonts w:ascii="Cambria" w:hAnsi="Cambria"/>
          <w:sz w:val="20"/>
          <w:szCs w:val="20"/>
          <w:lang w:val="es-CR"/>
        </w:rPr>
        <w:t xml:space="preserve"> Sebastián García </w:t>
      </w:r>
      <w:proofErr w:type="spellStart"/>
      <w:r w:rsidRPr="00732F0C">
        <w:rPr>
          <w:rFonts w:ascii="Cambria" w:hAnsi="Cambria"/>
          <w:sz w:val="20"/>
          <w:szCs w:val="20"/>
          <w:lang w:val="es-CR"/>
        </w:rPr>
        <w:t>Anangono</w:t>
      </w:r>
      <w:proofErr w:type="spellEnd"/>
      <w:r w:rsidRPr="00732F0C">
        <w:rPr>
          <w:rFonts w:ascii="Cambria" w:hAnsi="Cambria"/>
          <w:sz w:val="20"/>
          <w:szCs w:val="20"/>
          <w:lang w:val="es-CR"/>
        </w:rPr>
        <w:t xml:space="preserve"> (hijos</w:t>
      </w:r>
      <w:r w:rsidR="00863BE3" w:rsidRPr="00732F0C">
        <w:rPr>
          <w:rFonts w:ascii="Cambria" w:hAnsi="Cambria"/>
          <w:sz w:val="20"/>
          <w:szCs w:val="20"/>
          <w:lang w:val="es-CR"/>
        </w:rPr>
        <w:t xml:space="preserve"> de Jorge</w:t>
      </w:r>
      <w:r w:rsidRPr="00732F0C">
        <w:rPr>
          <w:rFonts w:ascii="Cambria" w:hAnsi="Cambria"/>
          <w:sz w:val="20"/>
          <w:szCs w:val="20"/>
          <w:lang w:val="es-CR"/>
        </w:rPr>
        <w:t>).</w:t>
      </w:r>
    </w:p>
    <w:p w:rsidR="00F4597D" w:rsidRPr="00732F0C" w:rsidRDefault="00F4597D" w:rsidP="00842D6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hAnsi="Cambria"/>
          <w:sz w:val="20"/>
          <w:szCs w:val="20"/>
          <w:lang w:val="es-ES"/>
        </w:rPr>
      </w:pPr>
    </w:p>
    <w:p w:rsidR="00863BE3" w:rsidRPr="00732F0C" w:rsidRDefault="00863BE3" w:rsidP="00842D6E">
      <w:pPr>
        <w:pStyle w:val="Heading3"/>
        <w:numPr>
          <w:ilvl w:val="0"/>
          <w:numId w:val="58"/>
        </w:numPr>
        <w:ind w:hanging="4680"/>
        <w:rPr>
          <w:lang w:val="es-ES"/>
        </w:rPr>
      </w:pPr>
      <w:bookmarkStart w:id="17" w:name="_Toc529792398"/>
      <w:r w:rsidRPr="00732F0C">
        <w:rPr>
          <w:lang w:val="es-ES"/>
        </w:rPr>
        <w:t>Sobre la muerte de Jo</w:t>
      </w:r>
      <w:r w:rsidR="00554F0B" w:rsidRPr="00732F0C">
        <w:rPr>
          <w:lang w:val="es-ES"/>
        </w:rPr>
        <w:t>rge</w:t>
      </w:r>
      <w:r w:rsidRPr="00732F0C">
        <w:rPr>
          <w:lang w:val="es-ES"/>
        </w:rPr>
        <w:t xml:space="preserve"> Darwin García y las lesiones de </w:t>
      </w:r>
      <w:r w:rsidRPr="00732F0C">
        <w:rPr>
          <w:lang w:val="es-CR"/>
        </w:rPr>
        <w:t>Franklin Plutarco</w:t>
      </w:r>
      <w:bookmarkEnd w:id="17"/>
    </w:p>
    <w:p w:rsidR="00F4597D" w:rsidRPr="00732F0C" w:rsidRDefault="00F4597D" w:rsidP="00842D6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sz w:val="20"/>
          <w:szCs w:val="20"/>
          <w:lang w:val="es-CR"/>
        </w:rPr>
      </w:pPr>
    </w:p>
    <w:p w:rsidR="00A24688" w:rsidRPr="00732F0C" w:rsidRDefault="00A24688" w:rsidP="00842D6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CR"/>
        </w:rPr>
      </w:pPr>
      <w:r w:rsidRPr="00732F0C">
        <w:rPr>
          <w:rFonts w:ascii="Cambria" w:hAnsi="Cambria"/>
          <w:sz w:val="20"/>
          <w:szCs w:val="20"/>
          <w:lang w:val="es-CR"/>
        </w:rPr>
        <w:t>El 11 de septiembre de 1993 se llevó a cabo un baile popular en la</w:t>
      </w:r>
      <w:r w:rsidR="009F05D0" w:rsidRPr="00732F0C">
        <w:rPr>
          <w:rFonts w:ascii="Cambria" w:hAnsi="Cambria"/>
          <w:sz w:val="20"/>
          <w:szCs w:val="20"/>
          <w:lang w:val="es-CR"/>
        </w:rPr>
        <w:t>s calles de la ciudad de</w:t>
      </w:r>
      <w:r w:rsidRPr="00732F0C">
        <w:rPr>
          <w:rFonts w:ascii="Cambria" w:hAnsi="Cambria"/>
          <w:sz w:val="20"/>
          <w:szCs w:val="20"/>
          <w:lang w:val="es-CR"/>
        </w:rPr>
        <w:t xml:space="preserve"> Otavalo, </w:t>
      </w:r>
      <w:r w:rsidR="009F05D0" w:rsidRPr="00732F0C">
        <w:rPr>
          <w:rFonts w:ascii="Cambria" w:hAnsi="Cambria"/>
          <w:sz w:val="20"/>
          <w:szCs w:val="20"/>
          <w:lang w:val="es-CR"/>
        </w:rPr>
        <w:t>organizado por la Cooperativa de Transportes “Otavalo”</w:t>
      </w:r>
      <w:r w:rsidR="009F05D0" w:rsidRPr="00732F0C">
        <w:rPr>
          <w:rStyle w:val="FootnoteReference"/>
          <w:rFonts w:ascii="Cambria" w:hAnsi="Cambria"/>
          <w:sz w:val="20"/>
          <w:szCs w:val="20"/>
        </w:rPr>
        <w:footnoteReference w:id="9"/>
      </w:r>
      <w:r w:rsidR="009F05D0" w:rsidRPr="00732F0C">
        <w:rPr>
          <w:rFonts w:ascii="Cambria" w:hAnsi="Cambria"/>
          <w:sz w:val="20"/>
          <w:szCs w:val="20"/>
          <w:lang w:val="es-ES"/>
        </w:rPr>
        <w:t xml:space="preserve">. A dicha fiesta asistieron </w:t>
      </w:r>
      <w:r w:rsidR="009F05D0" w:rsidRPr="00732F0C">
        <w:rPr>
          <w:rFonts w:ascii="Cambria" w:hAnsi="Cambria"/>
          <w:sz w:val="20"/>
          <w:szCs w:val="20"/>
          <w:lang w:val="es-CR"/>
        </w:rPr>
        <w:t>Jorge Darwin García, su hermano</w:t>
      </w:r>
      <w:r w:rsidRPr="00732F0C">
        <w:rPr>
          <w:rFonts w:ascii="Cambria" w:hAnsi="Cambria"/>
          <w:sz w:val="20"/>
          <w:szCs w:val="20"/>
          <w:lang w:val="es-CR"/>
        </w:rPr>
        <w:t xml:space="preserve"> Franklin Plutarco García y otros amigos</w:t>
      </w:r>
      <w:r w:rsidR="009F05D0" w:rsidRPr="00732F0C">
        <w:rPr>
          <w:rFonts w:ascii="Cambria" w:hAnsi="Cambria"/>
          <w:sz w:val="20"/>
          <w:szCs w:val="20"/>
          <w:lang w:val="es-CR"/>
        </w:rPr>
        <w:t xml:space="preserve"> suyos</w:t>
      </w:r>
      <w:r w:rsidRPr="00732F0C">
        <w:rPr>
          <w:rStyle w:val="FootnoteReference"/>
          <w:rFonts w:ascii="Cambria" w:hAnsi="Cambria"/>
          <w:sz w:val="20"/>
          <w:szCs w:val="20"/>
        </w:rPr>
        <w:footnoteReference w:id="10"/>
      </w:r>
      <w:r w:rsidRPr="00732F0C">
        <w:rPr>
          <w:rFonts w:ascii="Cambria" w:hAnsi="Cambria"/>
          <w:sz w:val="20"/>
          <w:szCs w:val="20"/>
          <w:lang w:val="es-CR"/>
        </w:rPr>
        <w:t>.</w:t>
      </w:r>
    </w:p>
    <w:p w:rsidR="009F05D0" w:rsidRPr="00732F0C" w:rsidRDefault="009F05D0" w:rsidP="00842D6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hAnsi="Cambria"/>
          <w:sz w:val="20"/>
          <w:szCs w:val="20"/>
          <w:lang w:val="es-CR"/>
        </w:rPr>
      </w:pPr>
    </w:p>
    <w:p w:rsidR="007C1AF5" w:rsidRPr="00732F0C" w:rsidRDefault="007C1AF5" w:rsidP="00842D6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ES_tradnl"/>
        </w:rPr>
      </w:pPr>
      <w:r w:rsidRPr="00732F0C">
        <w:rPr>
          <w:rFonts w:ascii="Cambria" w:hAnsi="Cambria"/>
          <w:sz w:val="20"/>
          <w:szCs w:val="20"/>
          <w:lang w:val="es-ES_tradnl"/>
        </w:rPr>
        <w:t xml:space="preserve">Aproximadamente a las 2:40 a.m. del 12 de septiembre de 1993, tres personas se acercaron al grupo donde estaban los hermanos García: i) el agente policial de la </w:t>
      </w:r>
      <w:r w:rsidRPr="00732F0C">
        <w:rPr>
          <w:rFonts w:ascii="Cambria" w:hAnsi="Cambria"/>
          <w:sz w:val="20"/>
          <w:szCs w:val="20"/>
          <w:lang w:val="es-CR"/>
        </w:rPr>
        <w:t>Unidad de Investigaciones Especiales Segundo Néstor de la Cruz; ii) su hermano José de la Cruz; y iii) el agente policial Edwin Guzmán</w:t>
      </w:r>
      <w:r w:rsidRPr="00732F0C">
        <w:rPr>
          <w:rStyle w:val="FootnoteReference"/>
          <w:rFonts w:ascii="Cambria" w:hAnsi="Cambria"/>
          <w:sz w:val="20"/>
          <w:szCs w:val="20"/>
        </w:rPr>
        <w:footnoteReference w:id="11"/>
      </w:r>
      <w:r w:rsidRPr="00732F0C">
        <w:rPr>
          <w:rFonts w:ascii="Cambria" w:hAnsi="Cambria"/>
          <w:sz w:val="20"/>
          <w:szCs w:val="20"/>
          <w:lang w:val="es-CR"/>
        </w:rPr>
        <w:t xml:space="preserve">. </w:t>
      </w:r>
    </w:p>
    <w:p w:rsidR="007C1AF5" w:rsidRPr="00732F0C" w:rsidRDefault="007C1AF5" w:rsidP="00842D6E">
      <w:pPr>
        <w:pStyle w:val="ListParagraph"/>
        <w:jc w:val="both"/>
        <w:rPr>
          <w:sz w:val="20"/>
          <w:szCs w:val="20"/>
          <w:lang w:val="es-CR"/>
        </w:rPr>
      </w:pPr>
    </w:p>
    <w:p w:rsidR="0020510E" w:rsidRPr="00732F0C" w:rsidRDefault="0020510E" w:rsidP="00842D6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ES_tradnl"/>
        </w:rPr>
      </w:pPr>
      <w:r w:rsidRPr="00732F0C">
        <w:rPr>
          <w:rFonts w:ascii="Cambria" w:hAnsi="Cambria"/>
          <w:sz w:val="20"/>
          <w:szCs w:val="20"/>
          <w:lang w:val="es-CR"/>
        </w:rPr>
        <w:t xml:space="preserve">El señor Franklin Plutarco manifestó </w:t>
      </w:r>
      <w:r w:rsidR="007C1AF5" w:rsidRPr="00732F0C">
        <w:rPr>
          <w:rFonts w:ascii="Cambria" w:hAnsi="Cambria"/>
          <w:sz w:val="20"/>
          <w:szCs w:val="20"/>
          <w:lang w:val="es-CR"/>
        </w:rPr>
        <w:t xml:space="preserve">que Segundo de la Cruz, quien parecía encontrarse en estado de ebriedad, apuntó con su arma a uno de </w:t>
      </w:r>
      <w:r w:rsidRPr="00732F0C">
        <w:rPr>
          <w:rFonts w:ascii="Cambria" w:hAnsi="Cambria"/>
          <w:sz w:val="20"/>
          <w:szCs w:val="20"/>
          <w:lang w:val="es-CR"/>
        </w:rPr>
        <w:t>sus amigos</w:t>
      </w:r>
      <w:r w:rsidRPr="00732F0C">
        <w:rPr>
          <w:rStyle w:val="FootnoteReference"/>
          <w:rFonts w:ascii="Cambria" w:hAnsi="Cambria"/>
          <w:sz w:val="20"/>
          <w:szCs w:val="20"/>
          <w:lang w:val="es-AR"/>
        </w:rPr>
        <w:footnoteReference w:id="12"/>
      </w:r>
      <w:r w:rsidR="007C1AF5" w:rsidRPr="00732F0C">
        <w:rPr>
          <w:rFonts w:ascii="Cambria" w:hAnsi="Cambria"/>
          <w:sz w:val="20"/>
          <w:szCs w:val="20"/>
          <w:lang w:val="es-AR"/>
        </w:rPr>
        <w:t>. Señaló que Segundo de la Cruz les increpó por presuntamente haberse burlado de él</w:t>
      </w:r>
      <w:r w:rsidRPr="00732F0C">
        <w:rPr>
          <w:rStyle w:val="FootnoteReference"/>
          <w:rFonts w:ascii="Cambria" w:hAnsi="Cambria"/>
          <w:sz w:val="20"/>
          <w:szCs w:val="20"/>
          <w:lang w:val="es-AR"/>
        </w:rPr>
        <w:footnoteReference w:id="13"/>
      </w:r>
      <w:r w:rsidR="007C1AF5" w:rsidRPr="00732F0C">
        <w:rPr>
          <w:rFonts w:ascii="Cambria" w:hAnsi="Cambria"/>
          <w:sz w:val="20"/>
          <w:szCs w:val="20"/>
          <w:lang w:val="es-AR"/>
        </w:rPr>
        <w:t>.</w:t>
      </w:r>
      <w:r w:rsidRPr="00732F0C">
        <w:rPr>
          <w:rFonts w:ascii="Cambria" w:hAnsi="Cambria"/>
          <w:sz w:val="20"/>
          <w:szCs w:val="20"/>
          <w:lang w:val="es-AR"/>
        </w:rPr>
        <w:t xml:space="preserve"> Sostuvo que su hermano Jorge </w:t>
      </w:r>
      <w:r w:rsidRPr="00732F0C">
        <w:rPr>
          <w:rFonts w:ascii="Cambria" w:hAnsi="Cambria"/>
          <w:sz w:val="20"/>
          <w:szCs w:val="20"/>
          <w:lang w:val="es-CR"/>
        </w:rPr>
        <w:t>Darwin García le reclamó al señor Segundo de la Cruz y éste le disparó en la cabeza</w:t>
      </w:r>
      <w:r w:rsidRPr="00732F0C">
        <w:rPr>
          <w:rStyle w:val="FootnoteReference"/>
          <w:rFonts w:ascii="Cambria" w:hAnsi="Cambria"/>
          <w:sz w:val="20"/>
          <w:szCs w:val="20"/>
          <w:lang w:val="es-AR"/>
        </w:rPr>
        <w:footnoteReference w:id="14"/>
      </w:r>
      <w:r w:rsidRPr="00732F0C">
        <w:rPr>
          <w:rFonts w:ascii="Cambria" w:hAnsi="Cambria"/>
          <w:sz w:val="20"/>
          <w:szCs w:val="20"/>
          <w:lang w:val="es-CR"/>
        </w:rPr>
        <w:t>. Señaló que al ver ello trató de detener al señor de la Cruz pero fue disparado en un par de ocasiones</w:t>
      </w:r>
      <w:r w:rsidRPr="00732F0C">
        <w:rPr>
          <w:rStyle w:val="FootnoteReference"/>
          <w:rFonts w:ascii="Cambria" w:hAnsi="Cambria"/>
          <w:sz w:val="20"/>
          <w:szCs w:val="20"/>
          <w:lang w:val="es-AR"/>
        </w:rPr>
        <w:footnoteReference w:id="15"/>
      </w:r>
      <w:r w:rsidRPr="00732F0C">
        <w:rPr>
          <w:rFonts w:ascii="Cambria" w:hAnsi="Cambria"/>
          <w:sz w:val="20"/>
          <w:szCs w:val="20"/>
          <w:lang w:val="es-CR"/>
        </w:rPr>
        <w:t xml:space="preserve">. </w:t>
      </w:r>
    </w:p>
    <w:p w:rsidR="0020510E" w:rsidRPr="00732F0C" w:rsidRDefault="0020510E" w:rsidP="00842D6E">
      <w:pPr>
        <w:jc w:val="both"/>
        <w:rPr>
          <w:rFonts w:ascii="Cambria" w:hAnsi="Cambria"/>
          <w:sz w:val="20"/>
          <w:szCs w:val="20"/>
          <w:lang w:val="es-CR"/>
        </w:rPr>
      </w:pPr>
    </w:p>
    <w:p w:rsidR="009F05D0" w:rsidRPr="00732F0C" w:rsidRDefault="009F05D0" w:rsidP="00842D6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CR"/>
        </w:rPr>
      </w:pPr>
      <w:r w:rsidRPr="00732F0C">
        <w:rPr>
          <w:rFonts w:ascii="Cambria" w:hAnsi="Cambria"/>
          <w:sz w:val="20"/>
          <w:szCs w:val="20"/>
          <w:lang w:val="es-CR"/>
        </w:rPr>
        <w:t>De acuerdo con testimonios de</w:t>
      </w:r>
      <w:r w:rsidR="0031398D" w:rsidRPr="00732F0C">
        <w:rPr>
          <w:rFonts w:ascii="Cambria" w:hAnsi="Cambria"/>
          <w:sz w:val="20"/>
          <w:szCs w:val="20"/>
          <w:lang w:val="es-CR"/>
        </w:rPr>
        <w:t xml:space="preserve"> sus</w:t>
      </w:r>
      <w:r w:rsidRPr="00732F0C">
        <w:rPr>
          <w:rFonts w:ascii="Cambria" w:hAnsi="Cambria"/>
          <w:sz w:val="20"/>
          <w:szCs w:val="20"/>
          <w:lang w:val="es-CR"/>
        </w:rPr>
        <w:t xml:space="preserve"> amigos</w:t>
      </w:r>
      <w:r w:rsidR="007C1AF5" w:rsidRPr="00732F0C">
        <w:rPr>
          <w:rFonts w:ascii="Cambria" w:hAnsi="Cambria"/>
          <w:sz w:val="20"/>
          <w:szCs w:val="20"/>
          <w:lang w:val="es-CR"/>
        </w:rPr>
        <w:t>:</w:t>
      </w:r>
    </w:p>
    <w:p w:rsidR="007C1AF5" w:rsidRPr="00732F0C" w:rsidRDefault="007C1AF5" w:rsidP="00842D6E">
      <w:pPr>
        <w:tabs>
          <w:tab w:val="left" w:pos="1440"/>
        </w:tabs>
        <w:jc w:val="both"/>
        <w:rPr>
          <w:rFonts w:ascii="Cambria" w:hAnsi="Cambria"/>
          <w:sz w:val="20"/>
          <w:szCs w:val="20"/>
          <w:lang w:val="es-CR"/>
        </w:rPr>
      </w:pPr>
    </w:p>
    <w:p w:rsidR="00A24688" w:rsidRPr="00732F0C" w:rsidRDefault="0031398D" w:rsidP="00842D6E">
      <w:pPr>
        <w:tabs>
          <w:tab w:val="left" w:pos="1440"/>
        </w:tabs>
        <w:ind w:left="720" w:right="720"/>
        <w:jc w:val="both"/>
        <w:rPr>
          <w:rFonts w:ascii="Cambria" w:hAnsi="Cambria"/>
          <w:sz w:val="20"/>
          <w:szCs w:val="20"/>
          <w:lang w:val="es-CR"/>
        </w:rPr>
      </w:pPr>
      <w:r w:rsidRPr="00732F0C">
        <w:rPr>
          <w:rFonts w:ascii="Cambria" w:hAnsi="Cambria"/>
          <w:sz w:val="20"/>
          <w:szCs w:val="20"/>
          <w:lang w:val="es-CR"/>
        </w:rPr>
        <w:t xml:space="preserve">(…) </w:t>
      </w:r>
      <w:r w:rsidR="007C1AF5" w:rsidRPr="00732F0C">
        <w:rPr>
          <w:rFonts w:ascii="Cambria" w:hAnsi="Cambria"/>
          <w:sz w:val="20"/>
          <w:szCs w:val="20"/>
          <w:lang w:val="es-CR"/>
        </w:rPr>
        <w:t xml:space="preserve">en un determinado momento por las conversaciones que teníamos nos reíamos, pero sucede que de pronto se asomaron otras personas entre ellos el que hoy se sabe que se llama Segundo Néstor de la Cruz </w:t>
      </w:r>
      <w:proofErr w:type="spellStart"/>
      <w:r w:rsidR="007C1AF5" w:rsidRPr="00732F0C">
        <w:rPr>
          <w:rFonts w:ascii="Cambria" w:hAnsi="Cambria"/>
          <w:sz w:val="20"/>
          <w:szCs w:val="20"/>
          <w:lang w:val="es-CR"/>
        </w:rPr>
        <w:t>Chicaiza</w:t>
      </w:r>
      <w:proofErr w:type="spellEnd"/>
      <w:r w:rsidR="007C1AF5" w:rsidRPr="00732F0C">
        <w:rPr>
          <w:rFonts w:ascii="Cambria" w:hAnsi="Cambria"/>
          <w:sz w:val="20"/>
          <w:szCs w:val="20"/>
          <w:lang w:val="es-CR"/>
        </w:rPr>
        <w:t xml:space="preserve"> quien sorpresivamente sacó un revólver que tenía en el cinturón y le puso en la sien derecha de Mesías</w:t>
      </w:r>
      <w:r w:rsidR="007C1AF5" w:rsidRPr="00732F0C">
        <w:rPr>
          <w:rFonts w:ascii="Cambria" w:hAnsi="Cambria"/>
          <w:sz w:val="20"/>
          <w:szCs w:val="20"/>
          <w:lang w:val="es-AR"/>
        </w:rPr>
        <w:t xml:space="preserve"> Espinoza, manifestando que es agente de la Policía y por qué se burlaban de él, reclamándole inmediatamente Jorge García en el sentido de que era policía debe tener buenos modales, a esto reaccionó Segundo Néstor de la Cruz </w:t>
      </w:r>
      <w:proofErr w:type="spellStart"/>
      <w:r w:rsidR="007C1AF5" w:rsidRPr="00732F0C">
        <w:rPr>
          <w:rFonts w:ascii="Cambria" w:hAnsi="Cambria"/>
          <w:sz w:val="20"/>
          <w:szCs w:val="20"/>
          <w:lang w:val="es-AR"/>
        </w:rPr>
        <w:t>Chicaiza</w:t>
      </w:r>
      <w:proofErr w:type="spellEnd"/>
      <w:r w:rsidR="007C1AF5" w:rsidRPr="00732F0C">
        <w:rPr>
          <w:rFonts w:ascii="Cambria" w:hAnsi="Cambria"/>
          <w:sz w:val="20"/>
          <w:szCs w:val="20"/>
          <w:lang w:val="es-AR"/>
        </w:rPr>
        <w:t xml:space="preserve"> a quien lo conoce físicamente y le disparó a Jorge García a la altura de la sien izquierda, cayendo inmediatamente éste al suelo, para acto </w:t>
      </w:r>
      <w:r w:rsidRPr="00732F0C">
        <w:rPr>
          <w:rFonts w:ascii="Cambria" w:hAnsi="Cambria"/>
          <w:sz w:val="20"/>
          <w:szCs w:val="20"/>
          <w:lang w:val="es-AR"/>
        </w:rPr>
        <w:t>seguido su hermano Franklin Gar</w:t>
      </w:r>
      <w:r w:rsidR="007C1AF5" w:rsidRPr="00732F0C">
        <w:rPr>
          <w:rFonts w:ascii="Cambria" w:hAnsi="Cambria"/>
          <w:sz w:val="20"/>
          <w:szCs w:val="20"/>
          <w:lang w:val="es-AR"/>
        </w:rPr>
        <w:t xml:space="preserve">cía darle un trompón a Segundo Néstor de la Cruz </w:t>
      </w:r>
      <w:proofErr w:type="spellStart"/>
      <w:r w:rsidR="007C1AF5" w:rsidRPr="00732F0C">
        <w:rPr>
          <w:rFonts w:ascii="Cambria" w:hAnsi="Cambria"/>
          <w:sz w:val="20"/>
          <w:szCs w:val="20"/>
          <w:lang w:val="es-AR"/>
        </w:rPr>
        <w:t>Chicaiza</w:t>
      </w:r>
      <w:proofErr w:type="spellEnd"/>
      <w:r w:rsidR="007C1AF5" w:rsidRPr="00732F0C">
        <w:rPr>
          <w:rFonts w:ascii="Cambria" w:hAnsi="Cambria"/>
          <w:sz w:val="20"/>
          <w:szCs w:val="20"/>
          <w:lang w:val="es-AR"/>
        </w:rPr>
        <w:t xml:space="preserve"> para recibir de éste dos disparos, el uno en el tórax y el otro en la mano izquierda, luego de lo cual los dos policías trataron de huir amenazando y disparando por lo que no fue posible cogerles</w:t>
      </w:r>
      <w:r w:rsidR="007C1AF5" w:rsidRPr="00732F0C">
        <w:rPr>
          <w:rStyle w:val="FootnoteReference"/>
          <w:rFonts w:ascii="Cambria" w:hAnsi="Cambria"/>
          <w:sz w:val="20"/>
          <w:szCs w:val="20"/>
          <w:lang w:val="es-AR"/>
        </w:rPr>
        <w:footnoteReference w:id="16"/>
      </w:r>
      <w:r w:rsidR="007C1AF5" w:rsidRPr="00732F0C">
        <w:rPr>
          <w:rFonts w:ascii="Cambria" w:hAnsi="Cambria"/>
          <w:sz w:val="20"/>
          <w:szCs w:val="20"/>
          <w:lang w:val="es-AR"/>
        </w:rPr>
        <w:t>.</w:t>
      </w:r>
    </w:p>
    <w:p w:rsidR="000E25C1" w:rsidRPr="00732F0C" w:rsidRDefault="000E25C1" w:rsidP="00842D6E">
      <w:pPr>
        <w:tabs>
          <w:tab w:val="left" w:pos="1440"/>
        </w:tabs>
        <w:ind w:firstLine="720"/>
        <w:jc w:val="both"/>
        <w:rPr>
          <w:rFonts w:ascii="Cambria" w:hAnsi="Cambria"/>
          <w:sz w:val="20"/>
          <w:szCs w:val="20"/>
          <w:lang w:val="es-CR"/>
        </w:rPr>
      </w:pPr>
    </w:p>
    <w:p w:rsidR="00A52460" w:rsidRPr="00732F0C" w:rsidRDefault="000E25C1" w:rsidP="00842D6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CR"/>
        </w:rPr>
      </w:pPr>
      <w:r w:rsidRPr="00732F0C">
        <w:rPr>
          <w:rFonts w:ascii="Cambria" w:hAnsi="Cambria"/>
          <w:sz w:val="20"/>
          <w:szCs w:val="20"/>
          <w:lang w:val="es-CR"/>
        </w:rPr>
        <w:t>Como resultado de los disparos efectuados por Segundo de la Cruz con su arma reglamentaria</w:t>
      </w:r>
      <w:r w:rsidRPr="00732F0C">
        <w:rPr>
          <w:rStyle w:val="FootnoteReference"/>
          <w:rFonts w:ascii="Cambria" w:hAnsi="Cambria"/>
          <w:sz w:val="20"/>
          <w:szCs w:val="20"/>
        </w:rPr>
        <w:footnoteReference w:id="17"/>
      </w:r>
      <w:r w:rsidRPr="00732F0C">
        <w:rPr>
          <w:rFonts w:ascii="Cambria" w:hAnsi="Cambria"/>
          <w:sz w:val="20"/>
          <w:szCs w:val="20"/>
          <w:lang w:val="es-CR"/>
        </w:rPr>
        <w:t xml:space="preserve">, </w:t>
      </w:r>
      <w:r w:rsidR="00393C9F" w:rsidRPr="00732F0C">
        <w:rPr>
          <w:rFonts w:ascii="Cambria" w:hAnsi="Cambria"/>
          <w:sz w:val="20"/>
          <w:szCs w:val="20"/>
          <w:lang w:val="es-CR"/>
        </w:rPr>
        <w:t>Jorge Darwin García sufrió una herida de arma de fuego en el costado izquierdo de la cabeza</w:t>
      </w:r>
      <w:r w:rsidR="00393C9F" w:rsidRPr="00732F0C">
        <w:rPr>
          <w:rStyle w:val="FootnoteReference"/>
          <w:rFonts w:ascii="Cambria" w:hAnsi="Cambria"/>
          <w:sz w:val="20"/>
          <w:szCs w:val="20"/>
        </w:rPr>
        <w:footnoteReference w:id="18"/>
      </w:r>
      <w:r w:rsidR="00393C9F" w:rsidRPr="00732F0C">
        <w:rPr>
          <w:rFonts w:ascii="Cambria" w:hAnsi="Cambria"/>
          <w:sz w:val="20"/>
          <w:szCs w:val="20"/>
          <w:lang w:val="es-ES"/>
        </w:rPr>
        <w:t xml:space="preserve">. El señor Darwin fue trasladado </w:t>
      </w:r>
      <w:r w:rsidR="00393C9F" w:rsidRPr="00732F0C">
        <w:rPr>
          <w:rFonts w:ascii="Cambria" w:hAnsi="Cambria"/>
          <w:sz w:val="20"/>
          <w:szCs w:val="20"/>
          <w:lang w:val="es-CR"/>
        </w:rPr>
        <w:t>a la ciudad de Quito y falleció en el trayecto</w:t>
      </w:r>
      <w:r w:rsidR="00393C9F" w:rsidRPr="00732F0C">
        <w:rPr>
          <w:rStyle w:val="FootnoteReference"/>
          <w:rFonts w:ascii="Cambria" w:hAnsi="Cambria"/>
          <w:sz w:val="20"/>
          <w:szCs w:val="20"/>
        </w:rPr>
        <w:footnoteReference w:id="19"/>
      </w:r>
      <w:r w:rsidR="00393C9F" w:rsidRPr="00732F0C">
        <w:rPr>
          <w:rFonts w:ascii="Cambria" w:hAnsi="Cambria"/>
          <w:sz w:val="20"/>
          <w:szCs w:val="20"/>
          <w:lang w:val="es-ES"/>
        </w:rPr>
        <w:t xml:space="preserve">. </w:t>
      </w:r>
      <w:r w:rsidR="00393C9F" w:rsidRPr="00732F0C">
        <w:rPr>
          <w:rFonts w:ascii="Cambria" w:hAnsi="Cambria"/>
          <w:sz w:val="20"/>
          <w:szCs w:val="20"/>
          <w:lang w:val="es-CR"/>
        </w:rPr>
        <w:t xml:space="preserve">Su cadáver fue depositado en la </w:t>
      </w:r>
      <w:r w:rsidR="00393C9F" w:rsidRPr="00732F0C">
        <w:rPr>
          <w:rFonts w:ascii="Cambria" w:hAnsi="Cambria"/>
          <w:sz w:val="20"/>
          <w:szCs w:val="20"/>
          <w:lang w:val="es-CR"/>
        </w:rPr>
        <w:lastRenderedPageBreak/>
        <w:t>Morgue del Hospital San Luis de Otavalo</w:t>
      </w:r>
      <w:r w:rsidR="00393C9F" w:rsidRPr="00732F0C">
        <w:rPr>
          <w:rStyle w:val="FootnoteReference"/>
          <w:rFonts w:ascii="Cambria" w:hAnsi="Cambria"/>
          <w:sz w:val="20"/>
          <w:szCs w:val="20"/>
        </w:rPr>
        <w:footnoteReference w:id="20"/>
      </w:r>
      <w:r w:rsidR="00393C9F" w:rsidRPr="00732F0C">
        <w:rPr>
          <w:rFonts w:ascii="Cambria" w:hAnsi="Cambria"/>
          <w:sz w:val="20"/>
          <w:szCs w:val="20"/>
          <w:lang w:val="es-CR"/>
        </w:rPr>
        <w:t>.</w:t>
      </w:r>
      <w:r w:rsidR="00A52460" w:rsidRPr="00732F0C">
        <w:rPr>
          <w:rFonts w:ascii="Cambria" w:hAnsi="Cambria"/>
          <w:sz w:val="20"/>
          <w:szCs w:val="20"/>
          <w:lang w:val="es-CR"/>
        </w:rPr>
        <w:t xml:space="preserve"> Conforme consta en el protocolo de necropsia realizado el 12 de septiembre de 1993, la causa de muerte de Jorge García fue “herida por arma de fuego en cabeza, hemorragia </w:t>
      </w:r>
      <w:proofErr w:type="spellStart"/>
      <w:r w:rsidR="00A52460" w:rsidRPr="00732F0C">
        <w:rPr>
          <w:rFonts w:ascii="Cambria" w:hAnsi="Cambria"/>
          <w:sz w:val="20"/>
          <w:szCs w:val="20"/>
          <w:lang w:val="es-CR"/>
        </w:rPr>
        <w:t>intracraneana</w:t>
      </w:r>
      <w:proofErr w:type="spellEnd"/>
      <w:r w:rsidR="00A52460" w:rsidRPr="00732F0C">
        <w:rPr>
          <w:rFonts w:ascii="Cambria" w:hAnsi="Cambria"/>
          <w:sz w:val="20"/>
          <w:szCs w:val="20"/>
          <w:lang w:val="es-CR"/>
        </w:rPr>
        <w:t xml:space="preserve">, paro </w:t>
      </w:r>
      <w:proofErr w:type="spellStart"/>
      <w:r w:rsidR="00A52460" w:rsidRPr="00732F0C">
        <w:rPr>
          <w:rFonts w:ascii="Cambria" w:hAnsi="Cambria"/>
          <w:sz w:val="20"/>
          <w:szCs w:val="20"/>
          <w:lang w:val="es-CR"/>
        </w:rPr>
        <w:t>cariorespiratorio</w:t>
      </w:r>
      <w:proofErr w:type="spellEnd"/>
      <w:r w:rsidR="00A52460" w:rsidRPr="00732F0C">
        <w:rPr>
          <w:rFonts w:ascii="Cambria" w:hAnsi="Cambria"/>
          <w:sz w:val="20"/>
          <w:szCs w:val="20"/>
          <w:lang w:val="es-CR"/>
        </w:rPr>
        <w:t>”</w:t>
      </w:r>
      <w:r w:rsidR="00A52460" w:rsidRPr="00732F0C">
        <w:rPr>
          <w:rStyle w:val="FootnoteReference"/>
          <w:rFonts w:ascii="Cambria" w:hAnsi="Cambria"/>
          <w:sz w:val="20"/>
          <w:szCs w:val="20"/>
          <w:lang w:val="es-CR"/>
        </w:rPr>
        <w:footnoteReference w:id="21"/>
      </w:r>
      <w:r w:rsidR="00A52460" w:rsidRPr="00732F0C">
        <w:rPr>
          <w:rFonts w:ascii="Cambria" w:hAnsi="Cambria"/>
          <w:sz w:val="20"/>
          <w:szCs w:val="20"/>
          <w:lang w:val="es-CR"/>
        </w:rPr>
        <w:t>.</w:t>
      </w:r>
    </w:p>
    <w:p w:rsidR="00393C9F" w:rsidRPr="00732F0C" w:rsidRDefault="00393C9F" w:rsidP="00842D6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hAnsi="Cambria"/>
          <w:sz w:val="20"/>
          <w:szCs w:val="20"/>
          <w:lang w:val="es-CR"/>
        </w:rPr>
      </w:pPr>
    </w:p>
    <w:p w:rsidR="000B2415" w:rsidRPr="00732F0C" w:rsidRDefault="00393C9F" w:rsidP="00842D6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CR"/>
        </w:rPr>
      </w:pPr>
      <w:r w:rsidRPr="00732F0C">
        <w:rPr>
          <w:rFonts w:ascii="Cambria" w:hAnsi="Cambria"/>
          <w:sz w:val="20"/>
          <w:szCs w:val="20"/>
          <w:lang w:val="es-CR"/>
        </w:rPr>
        <w:t>Por su parte, Franklin Plutarco García, quien había recibido un disparo a la altura del tórax y otro en el antebrazo de la mano derecha, fue trasladado al Hospital San Vicente de Paul de la ciudad de Ibarra</w:t>
      </w:r>
      <w:r w:rsidRPr="00732F0C">
        <w:rPr>
          <w:rStyle w:val="FootnoteReference"/>
          <w:rFonts w:ascii="Cambria" w:hAnsi="Cambria"/>
          <w:sz w:val="20"/>
          <w:szCs w:val="20"/>
        </w:rPr>
        <w:footnoteReference w:id="22"/>
      </w:r>
      <w:r w:rsidRPr="00732F0C">
        <w:rPr>
          <w:rFonts w:ascii="Cambria" w:hAnsi="Cambria"/>
          <w:sz w:val="20"/>
          <w:szCs w:val="20"/>
          <w:lang w:val="es-CR"/>
        </w:rPr>
        <w:t xml:space="preserve">. Franklin permaneció </w:t>
      </w:r>
      <w:r w:rsidR="008D236F" w:rsidRPr="00732F0C">
        <w:rPr>
          <w:rFonts w:ascii="Cambria" w:hAnsi="Cambria"/>
          <w:sz w:val="20"/>
          <w:szCs w:val="20"/>
          <w:lang w:val="es-CR"/>
        </w:rPr>
        <w:t>incapacitado en el hospital durante diez días</w:t>
      </w:r>
      <w:r w:rsidR="008D236F" w:rsidRPr="00732F0C">
        <w:rPr>
          <w:rStyle w:val="FootnoteReference"/>
          <w:rFonts w:ascii="Cambria" w:hAnsi="Cambria"/>
          <w:sz w:val="20"/>
          <w:szCs w:val="20"/>
          <w:lang w:val="es-AR"/>
        </w:rPr>
        <w:footnoteReference w:id="23"/>
      </w:r>
      <w:r w:rsidR="008D236F" w:rsidRPr="00732F0C">
        <w:rPr>
          <w:rFonts w:ascii="Cambria" w:hAnsi="Cambria"/>
          <w:sz w:val="20"/>
          <w:szCs w:val="20"/>
          <w:lang w:val="es-CR"/>
        </w:rPr>
        <w:t xml:space="preserve">. </w:t>
      </w:r>
    </w:p>
    <w:p w:rsidR="00291DB4" w:rsidRPr="00732F0C" w:rsidRDefault="00291DB4" w:rsidP="00842D6E">
      <w:pPr>
        <w:pStyle w:val="ListParagraph"/>
        <w:jc w:val="both"/>
        <w:rPr>
          <w:sz w:val="20"/>
          <w:szCs w:val="20"/>
          <w:lang w:val="es-CR"/>
        </w:rPr>
      </w:pPr>
    </w:p>
    <w:p w:rsidR="00291DB4" w:rsidRPr="00732F0C" w:rsidRDefault="00291DB4" w:rsidP="00842D6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CR"/>
        </w:rPr>
      </w:pPr>
      <w:r w:rsidRPr="00732F0C">
        <w:rPr>
          <w:rFonts w:ascii="Cambria" w:hAnsi="Cambria"/>
          <w:sz w:val="20"/>
          <w:szCs w:val="20"/>
          <w:lang w:val="es-CR"/>
        </w:rPr>
        <w:t>El mismo 12 de septiembre de 1993 Segundo de la Cruz acudió a su reparto policial y le informó al teniente Iván Velasco que “fue asaltado por una pandilla de morenos e hizo uso de su arm</w:t>
      </w:r>
      <w:r w:rsidR="00900460" w:rsidRPr="00732F0C">
        <w:rPr>
          <w:rFonts w:ascii="Cambria" w:hAnsi="Cambria"/>
          <w:sz w:val="20"/>
          <w:szCs w:val="20"/>
          <w:lang w:val="es-CR"/>
        </w:rPr>
        <w:t>a</w:t>
      </w:r>
      <w:r w:rsidRPr="00732F0C">
        <w:rPr>
          <w:rFonts w:ascii="Cambria" w:hAnsi="Cambria"/>
          <w:sz w:val="20"/>
          <w:szCs w:val="20"/>
          <w:lang w:val="es-CR"/>
        </w:rPr>
        <w:t>”</w:t>
      </w:r>
      <w:r w:rsidR="00900460" w:rsidRPr="00732F0C">
        <w:rPr>
          <w:rFonts w:ascii="Cambria" w:hAnsi="Cambria"/>
          <w:sz w:val="20"/>
          <w:szCs w:val="20"/>
          <w:lang w:val="es-CR"/>
        </w:rPr>
        <w:t xml:space="preserve"> por lo que fue detenido</w:t>
      </w:r>
      <w:r w:rsidR="00900460" w:rsidRPr="00732F0C">
        <w:rPr>
          <w:rStyle w:val="FootnoteReference"/>
          <w:rFonts w:ascii="Cambria" w:hAnsi="Cambria"/>
          <w:sz w:val="20"/>
          <w:szCs w:val="20"/>
          <w:lang w:val="es-CR"/>
        </w:rPr>
        <w:footnoteReference w:id="24"/>
      </w:r>
      <w:r w:rsidR="00900460" w:rsidRPr="00732F0C">
        <w:rPr>
          <w:rFonts w:ascii="Cambria" w:hAnsi="Cambria"/>
          <w:sz w:val="20"/>
          <w:szCs w:val="20"/>
          <w:lang w:val="es-CR"/>
        </w:rPr>
        <w:t xml:space="preserve">. </w:t>
      </w:r>
    </w:p>
    <w:p w:rsidR="00A24688" w:rsidRPr="00732F0C" w:rsidRDefault="00A24688" w:rsidP="00842D6E">
      <w:pPr>
        <w:tabs>
          <w:tab w:val="left" w:pos="1440"/>
        </w:tabs>
        <w:jc w:val="both"/>
        <w:rPr>
          <w:rFonts w:ascii="Cambria" w:hAnsi="Cambria"/>
          <w:sz w:val="20"/>
          <w:szCs w:val="20"/>
          <w:lang w:val="es-CR"/>
        </w:rPr>
      </w:pPr>
    </w:p>
    <w:p w:rsidR="00A24688" w:rsidRPr="00732F0C" w:rsidRDefault="00A24688" w:rsidP="00842D6E">
      <w:pPr>
        <w:pStyle w:val="Heading3"/>
        <w:numPr>
          <w:ilvl w:val="0"/>
          <w:numId w:val="58"/>
        </w:numPr>
        <w:ind w:hanging="4680"/>
        <w:rPr>
          <w:lang w:val="es-ES"/>
        </w:rPr>
      </w:pPr>
      <w:bookmarkStart w:id="18" w:name="_Toc408466849"/>
      <w:bookmarkStart w:id="19" w:name="_Toc529792399"/>
      <w:r w:rsidRPr="00732F0C">
        <w:rPr>
          <w:lang w:val="es-ES"/>
        </w:rPr>
        <w:t>Procesos internos relacionados con la muerte de Jorge Darwin García</w:t>
      </w:r>
      <w:bookmarkEnd w:id="18"/>
      <w:bookmarkEnd w:id="19"/>
      <w:r w:rsidRPr="00732F0C">
        <w:rPr>
          <w:lang w:val="es-ES"/>
        </w:rPr>
        <w:t xml:space="preserve"> </w:t>
      </w:r>
    </w:p>
    <w:p w:rsidR="00A24688" w:rsidRPr="00732F0C" w:rsidRDefault="00A24688" w:rsidP="00842D6E">
      <w:pPr>
        <w:tabs>
          <w:tab w:val="left" w:pos="1440"/>
        </w:tabs>
        <w:ind w:firstLine="720"/>
        <w:jc w:val="both"/>
        <w:rPr>
          <w:rFonts w:ascii="Cambria" w:hAnsi="Cambria"/>
          <w:b/>
          <w:sz w:val="20"/>
          <w:szCs w:val="20"/>
          <w:lang w:val="es-CR"/>
        </w:rPr>
      </w:pPr>
    </w:p>
    <w:p w:rsidR="00A24688" w:rsidRPr="00732F0C" w:rsidRDefault="00A24688" w:rsidP="00842D6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b/>
          <w:sz w:val="20"/>
          <w:szCs w:val="20"/>
          <w:lang w:val="es-CR"/>
        </w:rPr>
      </w:pPr>
      <w:r w:rsidRPr="00732F0C">
        <w:rPr>
          <w:rFonts w:ascii="Cambria" w:hAnsi="Cambria"/>
          <w:sz w:val="20"/>
          <w:szCs w:val="20"/>
          <w:lang w:val="es-CR"/>
        </w:rPr>
        <w:t xml:space="preserve">La Comisión no cuenta con copia de la totalidad de los expedientes de los procesos internos vinculados con los hechos de este caso. Sin embargo, las partes coinciden en la información proporcionada </w:t>
      </w:r>
      <w:r w:rsidR="009C3197" w:rsidRPr="00732F0C">
        <w:rPr>
          <w:rFonts w:ascii="Cambria" w:hAnsi="Cambria"/>
          <w:sz w:val="20"/>
          <w:szCs w:val="20"/>
          <w:lang w:val="es-CR"/>
        </w:rPr>
        <w:t xml:space="preserve">con </w:t>
      </w:r>
      <w:r w:rsidRPr="00732F0C">
        <w:rPr>
          <w:rFonts w:ascii="Cambria" w:hAnsi="Cambria"/>
          <w:sz w:val="20"/>
          <w:szCs w:val="20"/>
          <w:lang w:val="es-CR"/>
        </w:rPr>
        <w:t xml:space="preserve">respecto tanto a la investigación policial como al proceso penal desarrollado en relación con los hechos, razón por la cual se basará en esa información para acreditar los hechos probados. </w:t>
      </w:r>
    </w:p>
    <w:p w:rsidR="00A24688" w:rsidRPr="00732F0C" w:rsidRDefault="00A24688" w:rsidP="00842D6E">
      <w:pPr>
        <w:tabs>
          <w:tab w:val="left" w:pos="1440"/>
        </w:tabs>
        <w:ind w:firstLine="720"/>
        <w:jc w:val="both"/>
        <w:rPr>
          <w:rFonts w:ascii="Cambria" w:hAnsi="Cambria"/>
          <w:b/>
          <w:sz w:val="20"/>
          <w:szCs w:val="20"/>
          <w:lang w:val="es-CR"/>
        </w:rPr>
      </w:pPr>
    </w:p>
    <w:p w:rsidR="00A24688" w:rsidRPr="00732F0C" w:rsidRDefault="00A91CA8" w:rsidP="00842D6E">
      <w:pPr>
        <w:pStyle w:val="Heading3"/>
      </w:pPr>
      <w:bookmarkStart w:id="20" w:name="_Toc408466850"/>
      <w:bookmarkStart w:id="21" w:name="_Toc423956219"/>
      <w:bookmarkStart w:id="22" w:name="_Toc424914225"/>
      <w:bookmarkStart w:id="23" w:name="_Toc511223102"/>
      <w:bookmarkStart w:id="24" w:name="_Toc529792400"/>
      <w:r w:rsidRPr="00732F0C">
        <w:t>3.</w:t>
      </w:r>
      <w:r w:rsidR="00A24688" w:rsidRPr="00732F0C">
        <w:t>1.</w:t>
      </w:r>
      <w:r w:rsidR="00A24688" w:rsidRPr="00732F0C">
        <w:tab/>
      </w:r>
      <w:proofErr w:type="spellStart"/>
      <w:r w:rsidR="00A24688" w:rsidRPr="00732F0C">
        <w:t>Investigación</w:t>
      </w:r>
      <w:proofErr w:type="spellEnd"/>
      <w:r w:rsidR="00A24688" w:rsidRPr="00732F0C">
        <w:t xml:space="preserve"> </w:t>
      </w:r>
      <w:proofErr w:type="spellStart"/>
      <w:r w:rsidR="00A24688" w:rsidRPr="00732F0C">
        <w:t>policial</w:t>
      </w:r>
      <w:bookmarkEnd w:id="20"/>
      <w:bookmarkEnd w:id="21"/>
      <w:bookmarkEnd w:id="22"/>
      <w:bookmarkEnd w:id="23"/>
      <w:bookmarkEnd w:id="24"/>
      <w:proofErr w:type="spellEnd"/>
    </w:p>
    <w:p w:rsidR="00A24688" w:rsidRPr="00732F0C" w:rsidRDefault="00A24688" w:rsidP="00842D6E">
      <w:pPr>
        <w:tabs>
          <w:tab w:val="left" w:pos="1440"/>
        </w:tabs>
        <w:ind w:firstLine="720"/>
        <w:jc w:val="both"/>
        <w:rPr>
          <w:rFonts w:ascii="Cambria" w:hAnsi="Cambria"/>
          <w:b/>
          <w:sz w:val="20"/>
          <w:szCs w:val="20"/>
        </w:rPr>
      </w:pPr>
    </w:p>
    <w:p w:rsidR="00A91CA8" w:rsidRPr="00732F0C" w:rsidRDefault="00A91CA8" w:rsidP="00842D6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b/>
          <w:sz w:val="20"/>
          <w:szCs w:val="20"/>
          <w:lang w:val="es-CR"/>
        </w:rPr>
      </w:pPr>
      <w:r w:rsidRPr="00732F0C">
        <w:rPr>
          <w:rFonts w:ascii="Cambria" w:hAnsi="Cambria"/>
          <w:sz w:val="20"/>
          <w:szCs w:val="20"/>
          <w:lang w:val="es-CR"/>
        </w:rPr>
        <w:t>El 15 de septiembre de 1993</w:t>
      </w:r>
      <w:r w:rsidR="00A24688" w:rsidRPr="00732F0C">
        <w:rPr>
          <w:rFonts w:ascii="Cambria" w:hAnsi="Cambria"/>
          <w:sz w:val="20"/>
          <w:szCs w:val="20"/>
          <w:lang w:val="es-CR"/>
        </w:rPr>
        <w:t xml:space="preserve"> la Comisaría de Policía de Imbabura inició una investigación por la muerte de Jorge Darwin García y las lesiones de Franklin Plutarco García</w:t>
      </w:r>
      <w:r w:rsidR="00A24688" w:rsidRPr="00732F0C">
        <w:rPr>
          <w:rStyle w:val="FootnoteReference"/>
          <w:rFonts w:ascii="Cambria" w:hAnsi="Cambria"/>
          <w:sz w:val="20"/>
          <w:szCs w:val="20"/>
        </w:rPr>
        <w:footnoteReference w:id="25"/>
      </w:r>
      <w:r w:rsidR="00A24688" w:rsidRPr="00732F0C">
        <w:rPr>
          <w:rFonts w:ascii="Cambria" w:hAnsi="Cambria"/>
          <w:sz w:val="20"/>
          <w:szCs w:val="20"/>
          <w:lang w:val="es-CR"/>
        </w:rPr>
        <w:t xml:space="preserve">. Durante esa investigación, la Policía tomó las declaraciones de Segundo Néstor de la Cruz </w:t>
      </w:r>
      <w:proofErr w:type="spellStart"/>
      <w:r w:rsidR="00A24688" w:rsidRPr="00732F0C">
        <w:rPr>
          <w:rFonts w:ascii="Cambria" w:hAnsi="Cambria"/>
          <w:sz w:val="20"/>
          <w:szCs w:val="20"/>
          <w:lang w:val="es-CR"/>
        </w:rPr>
        <w:t>Chicaiza</w:t>
      </w:r>
      <w:proofErr w:type="spellEnd"/>
      <w:r w:rsidR="00A24688" w:rsidRPr="00732F0C">
        <w:rPr>
          <w:rStyle w:val="FootnoteReference"/>
          <w:rFonts w:ascii="Cambria" w:hAnsi="Cambria"/>
          <w:sz w:val="20"/>
          <w:szCs w:val="20"/>
        </w:rPr>
        <w:footnoteReference w:id="26"/>
      </w:r>
      <w:r w:rsidRPr="00732F0C">
        <w:rPr>
          <w:rFonts w:ascii="Cambria" w:hAnsi="Cambria"/>
          <w:sz w:val="20"/>
          <w:szCs w:val="20"/>
          <w:lang w:val="es-CR"/>
        </w:rPr>
        <w:t>, Edwin Ramiro Guzmá</w:t>
      </w:r>
      <w:r w:rsidR="00A24688" w:rsidRPr="00732F0C">
        <w:rPr>
          <w:rFonts w:ascii="Cambria" w:hAnsi="Cambria"/>
          <w:sz w:val="20"/>
          <w:szCs w:val="20"/>
          <w:lang w:val="es-CR"/>
        </w:rPr>
        <w:t>n Carrera</w:t>
      </w:r>
      <w:r w:rsidR="00A24688" w:rsidRPr="00732F0C">
        <w:rPr>
          <w:rStyle w:val="FootnoteReference"/>
          <w:rFonts w:ascii="Cambria" w:hAnsi="Cambria"/>
          <w:sz w:val="20"/>
          <w:szCs w:val="20"/>
        </w:rPr>
        <w:footnoteReference w:id="27"/>
      </w:r>
      <w:r w:rsidRPr="00732F0C">
        <w:rPr>
          <w:rFonts w:ascii="Cambria" w:hAnsi="Cambria"/>
          <w:sz w:val="20"/>
          <w:szCs w:val="20"/>
          <w:lang w:val="es-CR"/>
        </w:rPr>
        <w:t xml:space="preserve"> y</w:t>
      </w:r>
      <w:r w:rsidR="00A24688" w:rsidRPr="00732F0C">
        <w:rPr>
          <w:rFonts w:ascii="Cambria" w:hAnsi="Cambria"/>
          <w:sz w:val="20"/>
          <w:szCs w:val="20"/>
          <w:lang w:val="es-CR"/>
        </w:rPr>
        <w:t xml:space="preserve"> Franklin Plutarco García</w:t>
      </w:r>
      <w:r w:rsidR="00A24688" w:rsidRPr="00732F0C">
        <w:rPr>
          <w:rStyle w:val="FootnoteReference"/>
          <w:rFonts w:ascii="Cambria" w:hAnsi="Cambria"/>
          <w:sz w:val="20"/>
          <w:szCs w:val="20"/>
        </w:rPr>
        <w:footnoteReference w:id="28"/>
      </w:r>
      <w:r w:rsidRPr="00732F0C">
        <w:rPr>
          <w:rFonts w:ascii="Cambria" w:hAnsi="Cambria"/>
          <w:sz w:val="20"/>
          <w:szCs w:val="20"/>
          <w:lang w:val="es-CR"/>
        </w:rPr>
        <w:t>.</w:t>
      </w:r>
    </w:p>
    <w:p w:rsidR="00A91CA8" w:rsidRPr="00732F0C" w:rsidRDefault="00A91CA8" w:rsidP="00842D6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hAnsi="Cambria"/>
          <w:b/>
          <w:sz w:val="20"/>
          <w:szCs w:val="20"/>
          <w:lang w:val="es-CR"/>
        </w:rPr>
      </w:pPr>
    </w:p>
    <w:p w:rsidR="00BE24EB" w:rsidRPr="00732F0C" w:rsidRDefault="00A91CA8" w:rsidP="00842D6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b/>
          <w:sz w:val="20"/>
          <w:szCs w:val="20"/>
          <w:lang w:val="es-CR"/>
        </w:rPr>
      </w:pPr>
      <w:r w:rsidRPr="00732F0C">
        <w:rPr>
          <w:rFonts w:ascii="Cambria" w:hAnsi="Cambria"/>
          <w:sz w:val="20"/>
          <w:szCs w:val="20"/>
          <w:lang w:val="es-CR"/>
        </w:rPr>
        <w:t>Asimismo, la Policía</w:t>
      </w:r>
      <w:r w:rsidR="00A24688" w:rsidRPr="00732F0C">
        <w:rPr>
          <w:rFonts w:ascii="Cambria" w:hAnsi="Cambria"/>
          <w:sz w:val="20"/>
          <w:szCs w:val="20"/>
          <w:lang w:val="es-CR"/>
        </w:rPr>
        <w:t xml:space="preserve"> </w:t>
      </w:r>
      <w:r w:rsidRPr="00732F0C">
        <w:rPr>
          <w:rFonts w:ascii="Cambria" w:hAnsi="Cambria"/>
          <w:sz w:val="20"/>
          <w:szCs w:val="20"/>
          <w:lang w:val="es-CR"/>
        </w:rPr>
        <w:t xml:space="preserve">i) </w:t>
      </w:r>
      <w:r w:rsidR="00A24688" w:rsidRPr="00732F0C">
        <w:rPr>
          <w:rFonts w:ascii="Cambria" w:hAnsi="Cambria"/>
          <w:sz w:val="20"/>
          <w:szCs w:val="20"/>
          <w:lang w:val="es-CR"/>
        </w:rPr>
        <w:t xml:space="preserve">recibió las armas reglamentarias de los policías </w:t>
      </w:r>
      <w:proofErr w:type="spellStart"/>
      <w:r w:rsidR="00A24688" w:rsidRPr="00732F0C">
        <w:rPr>
          <w:rFonts w:ascii="Cambria" w:hAnsi="Cambria"/>
          <w:sz w:val="20"/>
          <w:szCs w:val="20"/>
          <w:lang w:val="es-CR"/>
        </w:rPr>
        <w:t>Chicaiza</w:t>
      </w:r>
      <w:proofErr w:type="spellEnd"/>
      <w:r w:rsidR="00A24688" w:rsidRPr="00732F0C">
        <w:rPr>
          <w:rFonts w:ascii="Cambria" w:hAnsi="Cambria"/>
          <w:sz w:val="20"/>
          <w:szCs w:val="20"/>
          <w:lang w:val="es-CR"/>
        </w:rPr>
        <w:t xml:space="preserve"> y Guz</w:t>
      </w:r>
      <w:r w:rsidRPr="00732F0C">
        <w:rPr>
          <w:rFonts w:ascii="Cambria" w:hAnsi="Cambria"/>
          <w:sz w:val="20"/>
          <w:szCs w:val="20"/>
          <w:lang w:val="es-CR"/>
        </w:rPr>
        <w:t>má</w:t>
      </w:r>
      <w:r w:rsidR="00A24688" w:rsidRPr="00732F0C">
        <w:rPr>
          <w:rFonts w:ascii="Cambria" w:hAnsi="Cambria"/>
          <w:sz w:val="20"/>
          <w:szCs w:val="20"/>
          <w:lang w:val="es-CR"/>
        </w:rPr>
        <w:t xml:space="preserve">n; </w:t>
      </w:r>
      <w:r w:rsidRPr="00732F0C">
        <w:rPr>
          <w:rFonts w:ascii="Cambria" w:hAnsi="Cambria"/>
          <w:sz w:val="20"/>
          <w:szCs w:val="20"/>
          <w:lang w:val="es-CR"/>
        </w:rPr>
        <w:t xml:space="preserve">ii) </w:t>
      </w:r>
      <w:r w:rsidR="00A24688" w:rsidRPr="00732F0C">
        <w:rPr>
          <w:rFonts w:ascii="Cambria" w:hAnsi="Cambria"/>
          <w:sz w:val="20"/>
          <w:szCs w:val="20"/>
          <w:lang w:val="es-CR"/>
        </w:rPr>
        <w:t>adjuntó la historia clín</w:t>
      </w:r>
      <w:r w:rsidRPr="00732F0C">
        <w:rPr>
          <w:rFonts w:ascii="Cambria" w:hAnsi="Cambria"/>
          <w:sz w:val="20"/>
          <w:szCs w:val="20"/>
          <w:lang w:val="es-CR"/>
        </w:rPr>
        <w:t>ica de Franklin Plutarco García y</w:t>
      </w:r>
      <w:r w:rsidR="00A24688" w:rsidRPr="00732F0C">
        <w:rPr>
          <w:rFonts w:ascii="Cambria" w:hAnsi="Cambria"/>
          <w:sz w:val="20"/>
          <w:szCs w:val="20"/>
          <w:lang w:val="es-CR"/>
        </w:rPr>
        <w:t xml:space="preserve"> el protocolo de N</w:t>
      </w:r>
      <w:r w:rsidRPr="00732F0C">
        <w:rPr>
          <w:rFonts w:ascii="Cambria" w:hAnsi="Cambria"/>
          <w:sz w:val="20"/>
          <w:szCs w:val="20"/>
          <w:lang w:val="es-CR"/>
        </w:rPr>
        <w:t>ecropsia de Jorge Darwin García; iii)</w:t>
      </w:r>
      <w:r w:rsidR="00A24688" w:rsidRPr="00732F0C">
        <w:rPr>
          <w:rFonts w:ascii="Cambria" w:hAnsi="Cambria"/>
          <w:sz w:val="20"/>
          <w:szCs w:val="20"/>
          <w:lang w:val="es-CR"/>
        </w:rPr>
        <w:t xml:space="preserve"> </w:t>
      </w:r>
      <w:r w:rsidRPr="00732F0C">
        <w:rPr>
          <w:rFonts w:ascii="Cambria" w:hAnsi="Cambria"/>
          <w:sz w:val="20"/>
          <w:szCs w:val="20"/>
          <w:lang w:val="es-CR"/>
        </w:rPr>
        <w:t>tomó muestras</w:t>
      </w:r>
      <w:r w:rsidR="00A24688" w:rsidRPr="00732F0C">
        <w:rPr>
          <w:rFonts w:ascii="Cambria" w:hAnsi="Cambria"/>
          <w:sz w:val="20"/>
          <w:szCs w:val="20"/>
          <w:lang w:val="es-CR"/>
        </w:rPr>
        <w:t xml:space="preserve"> </w:t>
      </w:r>
      <w:r w:rsidRPr="00732F0C">
        <w:rPr>
          <w:rFonts w:ascii="Cambria" w:hAnsi="Cambria"/>
          <w:sz w:val="20"/>
          <w:szCs w:val="20"/>
          <w:lang w:val="es-CR"/>
        </w:rPr>
        <w:t xml:space="preserve">y </w:t>
      </w:r>
      <w:r w:rsidR="00A24688" w:rsidRPr="00732F0C">
        <w:rPr>
          <w:rFonts w:ascii="Cambria" w:hAnsi="Cambria"/>
          <w:sz w:val="20"/>
          <w:szCs w:val="20"/>
          <w:lang w:val="es-CR"/>
        </w:rPr>
        <w:t xml:space="preserve">realizó la prueba de parafina a los policías </w:t>
      </w:r>
      <w:proofErr w:type="spellStart"/>
      <w:r w:rsidR="00A24688" w:rsidRPr="00732F0C">
        <w:rPr>
          <w:rFonts w:ascii="Cambria" w:hAnsi="Cambria"/>
          <w:sz w:val="20"/>
          <w:szCs w:val="20"/>
          <w:lang w:val="es-CR"/>
        </w:rPr>
        <w:t>Chicaiza</w:t>
      </w:r>
      <w:proofErr w:type="spellEnd"/>
      <w:r w:rsidR="00A24688" w:rsidRPr="00732F0C">
        <w:rPr>
          <w:rFonts w:ascii="Cambria" w:hAnsi="Cambria"/>
          <w:sz w:val="20"/>
          <w:szCs w:val="20"/>
          <w:lang w:val="es-CR"/>
        </w:rPr>
        <w:t xml:space="preserve"> y Guzmán</w:t>
      </w:r>
      <w:r w:rsidR="00A24688" w:rsidRPr="00732F0C">
        <w:rPr>
          <w:rStyle w:val="FootnoteReference"/>
          <w:rFonts w:ascii="Cambria" w:hAnsi="Cambria"/>
          <w:sz w:val="20"/>
          <w:szCs w:val="20"/>
        </w:rPr>
        <w:footnoteReference w:id="29"/>
      </w:r>
      <w:r w:rsidRPr="00732F0C">
        <w:rPr>
          <w:rFonts w:ascii="Cambria" w:hAnsi="Cambria"/>
          <w:sz w:val="20"/>
          <w:szCs w:val="20"/>
          <w:lang w:val="es-CR"/>
        </w:rPr>
        <w:t xml:space="preserve">; </w:t>
      </w:r>
      <w:r w:rsidR="00BE24EB" w:rsidRPr="00732F0C">
        <w:rPr>
          <w:rFonts w:ascii="Cambria" w:hAnsi="Cambria"/>
          <w:sz w:val="20"/>
          <w:szCs w:val="20"/>
          <w:lang w:val="es-CR"/>
        </w:rPr>
        <w:t xml:space="preserve">y </w:t>
      </w:r>
      <w:r w:rsidRPr="00732F0C">
        <w:rPr>
          <w:rFonts w:ascii="Cambria" w:hAnsi="Cambria"/>
          <w:sz w:val="20"/>
          <w:szCs w:val="20"/>
          <w:lang w:val="es-CR"/>
        </w:rPr>
        <w:t>iv)</w:t>
      </w:r>
      <w:r w:rsidR="00BE24EB" w:rsidRPr="00732F0C">
        <w:rPr>
          <w:rFonts w:ascii="Cambria" w:hAnsi="Cambria"/>
          <w:sz w:val="20"/>
          <w:szCs w:val="20"/>
          <w:lang w:val="es-CR"/>
        </w:rPr>
        <w:t xml:space="preserve"> </w:t>
      </w:r>
      <w:r w:rsidR="00A24688" w:rsidRPr="00732F0C">
        <w:rPr>
          <w:rFonts w:ascii="Cambria" w:hAnsi="Cambria"/>
          <w:sz w:val="20"/>
          <w:szCs w:val="20"/>
          <w:lang w:val="es-CR"/>
        </w:rPr>
        <w:t>realizó el análisis balístico de los proyectiles que fueron extraídos del cadáver de Jorge Darwin García</w:t>
      </w:r>
      <w:r w:rsidR="00A24688" w:rsidRPr="00732F0C">
        <w:rPr>
          <w:rStyle w:val="FootnoteReference"/>
          <w:rFonts w:ascii="Cambria" w:hAnsi="Cambria"/>
          <w:sz w:val="20"/>
          <w:szCs w:val="20"/>
        </w:rPr>
        <w:footnoteReference w:id="30"/>
      </w:r>
      <w:r w:rsidR="00A24688" w:rsidRPr="00732F0C">
        <w:rPr>
          <w:rFonts w:ascii="Cambria" w:hAnsi="Cambria"/>
          <w:sz w:val="20"/>
          <w:szCs w:val="20"/>
          <w:lang w:val="es-CR"/>
        </w:rPr>
        <w:t xml:space="preserve"> y el análisis balístico de las armas reglamentarias</w:t>
      </w:r>
      <w:r w:rsidR="00A24688" w:rsidRPr="00732F0C">
        <w:rPr>
          <w:rStyle w:val="FootnoteReference"/>
          <w:rFonts w:ascii="Cambria" w:hAnsi="Cambria"/>
          <w:sz w:val="20"/>
          <w:szCs w:val="20"/>
        </w:rPr>
        <w:footnoteReference w:id="31"/>
      </w:r>
      <w:r w:rsidR="00A24688" w:rsidRPr="00732F0C">
        <w:rPr>
          <w:rFonts w:ascii="Cambria" w:hAnsi="Cambria"/>
          <w:sz w:val="20"/>
          <w:szCs w:val="20"/>
          <w:lang w:val="es-CR"/>
        </w:rPr>
        <w:t xml:space="preserve">. </w:t>
      </w:r>
    </w:p>
    <w:p w:rsidR="00BE24EB" w:rsidRPr="00732F0C" w:rsidRDefault="00BE24EB" w:rsidP="00842D6E">
      <w:pPr>
        <w:pStyle w:val="ListParagraph"/>
        <w:jc w:val="both"/>
        <w:rPr>
          <w:sz w:val="20"/>
          <w:szCs w:val="20"/>
          <w:lang w:val="es-CR"/>
        </w:rPr>
      </w:pPr>
    </w:p>
    <w:p w:rsidR="00F82540" w:rsidRPr="00732F0C" w:rsidRDefault="00F82540" w:rsidP="00842D6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CR"/>
        </w:rPr>
      </w:pPr>
      <w:r w:rsidRPr="00732F0C">
        <w:rPr>
          <w:rFonts w:ascii="Cambria" w:hAnsi="Cambria"/>
          <w:sz w:val="20"/>
          <w:szCs w:val="20"/>
          <w:lang w:val="es-CR"/>
        </w:rPr>
        <w:lastRenderedPageBreak/>
        <w:t xml:space="preserve">Segundo Néstor de la Cruz </w:t>
      </w:r>
      <w:proofErr w:type="spellStart"/>
      <w:r w:rsidRPr="00732F0C">
        <w:rPr>
          <w:rFonts w:ascii="Cambria" w:hAnsi="Cambria"/>
          <w:sz w:val="20"/>
          <w:szCs w:val="20"/>
          <w:lang w:val="es-CR"/>
        </w:rPr>
        <w:t>Chicaiza</w:t>
      </w:r>
      <w:proofErr w:type="spellEnd"/>
      <w:r w:rsidRPr="00732F0C">
        <w:rPr>
          <w:rFonts w:ascii="Cambria" w:hAnsi="Cambria"/>
          <w:sz w:val="20"/>
          <w:szCs w:val="20"/>
          <w:lang w:val="es-CR"/>
        </w:rPr>
        <w:t>, de 29 años de edad, declaró que era policía de la Unidad de Investigaciones Especiales del</w:t>
      </w:r>
      <w:r w:rsidR="008226FE" w:rsidRPr="00732F0C">
        <w:rPr>
          <w:rFonts w:ascii="Cambria" w:hAnsi="Cambria"/>
          <w:sz w:val="20"/>
          <w:szCs w:val="20"/>
          <w:lang w:val="es-CR"/>
        </w:rPr>
        <w:t xml:space="preserve"> Comando de Policía “Imbabura No.</w:t>
      </w:r>
      <w:r w:rsidRPr="00732F0C">
        <w:rPr>
          <w:rFonts w:ascii="Cambria" w:hAnsi="Cambria"/>
          <w:sz w:val="20"/>
          <w:szCs w:val="20"/>
          <w:lang w:val="es-CR"/>
        </w:rPr>
        <w:t xml:space="preserve"> 12”</w:t>
      </w:r>
      <w:r w:rsidRPr="00732F0C">
        <w:rPr>
          <w:rStyle w:val="FootnoteReference"/>
          <w:rFonts w:ascii="Cambria" w:hAnsi="Cambria"/>
          <w:sz w:val="20"/>
          <w:szCs w:val="20"/>
        </w:rPr>
        <w:footnoteReference w:id="32"/>
      </w:r>
      <w:r w:rsidRPr="00732F0C">
        <w:rPr>
          <w:rFonts w:ascii="Cambria" w:hAnsi="Cambria"/>
          <w:sz w:val="20"/>
          <w:szCs w:val="20"/>
          <w:lang w:val="es-CR"/>
        </w:rPr>
        <w:t>. Sostuvo que por disposición de su superior, se trasladó a la ciudad de Otavalo, donde trató de inmiscuirse en un grupo de dirigentes indígenas para “recabar información sobre el movimiento</w:t>
      </w:r>
      <w:r w:rsidR="008226FE" w:rsidRPr="00732F0C">
        <w:rPr>
          <w:rFonts w:ascii="Cambria" w:hAnsi="Cambria"/>
          <w:sz w:val="20"/>
          <w:szCs w:val="20"/>
          <w:lang w:val="es-CR"/>
        </w:rPr>
        <w:t xml:space="preserve"> indígena</w:t>
      </w:r>
      <w:r w:rsidRPr="00732F0C">
        <w:rPr>
          <w:rStyle w:val="FootnoteReference"/>
          <w:rFonts w:ascii="Cambria" w:hAnsi="Cambria"/>
          <w:sz w:val="20"/>
          <w:szCs w:val="20"/>
        </w:rPr>
        <w:footnoteReference w:id="33"/>
      </w:r>
      <w:r w:rsidRPr="00732F0C">
        <w:rPr>
          <w:rFonts w:ascii="Cambria" w:hAnsi="Cambria"/>
          <w:sz w:val="20"/>
          <w:szCs w:val="20"/>
          <w:lang w:val="es-CR"/>
        </w:rPr>
        <w:t>”. Indicó que alrededor de las 11:00 p.m. del 11 de septiembre de 1993, se encontró con un grupo de los principales dirigentes indígenas, con quienes permaneció por una hora sirviéndose “hervidos”</w:t>
      </w:r>
      <w:r w:rsidRPr="00732F0C">
        <w:rPr>
          <w:rStyle w:val="FootnoteReference"/>
          <w:rFonts w:ascii="Cambria" w:hAnsi="Cambria"/>
          <w:sz w:val="20"/>
          <w:szCs w:val="20"/>
        </w:rPr>
        <w:footnoteReference w:id="34"/>
      </w:r>
      <w:r w:rsidRPr="00732F0C">
        <w:rPr>
          <w:rFonts w:ascii="Cambria" w:hAnsi="Cambria"/>
          <w:sz w:val="20"/>
          <w:szCs w:val="20"/>
          <w:lang w:val="es-CR"/>
        </w:rPr>
        <w:t xml:space="preserve">.  Manifestó que posteriormente se retiró con su hermano </w:t>
      </w:r>
      <w:r w:rsidRPr="00732F0C">
        <w:rPr>
          <w:rFonts w:ascii="Cambria" w:hAnsi="Cambria" w:cs="Arial"/>
          <w:sz w:val="20"/>
          <w:szCs w:val="20"/>
          <w:lang w:val="es-CR"/>
        </w:rPr>
        <w:t xml:space="preserve">José Ignacio de la Cruz </w:t>
      </w:r>
      <w:proofErr w:type="spellStart"/>
      <w:r w:rsidRPr="00732F0C">
        <w:rPr>
          <w:rFonts w:ascii="Cambria" w:hAnsi="Cambria" w:cs="Arial"/>
          <w:sz w:val="20"/>
          <w:szCs w:val="20"/>
          <w:lang w:val="es-CR"/>
        </w:rPr>
        <w:t>Chicaiza</w:t>
      </w:r>
      <w:proofErr w:type="spellEnd"/>
      <w:r w:rsidRPr="00732F0C">
        <w:rPr>
          <w:rFonts w:ascii="Cambria" w:hAnsi="Cambria" w:cs="Arial"/>
          <w:sz w:val="20"/>
          <w:szCs w:val="20"/>
          <w:lang w:val="es-CR"/>
        </w:rPr>
        <w:t xml:space="preserve"> y el policía </w:t>
      </w:r>
      <w:r w:rsidRPr="00732F0C">
        <w:rPr>
          <w:rFonts w:ascii="Cambria" w:hAnsi="Cambria"/>
          <w:sz w:val="20"/>
          <w:szCs w:val="20"/>
          <w:lang w:val="es-CR"/>
        </w:rPr>
        <w:t>Edwin Ramiro Guzmán, y transitaron por donde se realizaba el baile popular de la Cooperativa</w:t>
      </w:r>
      <w:r w:rsidRPr="00732F0C">
        <w:rPr>
          <w:rStyle w:val="FootnoteReference"/>
          <w:rFonts w:ascii="Cambria" w:hAnsi="Cambria"/>
          <w:sz w:val="20"/>
          <w:szCs w:val="20"/>
        </w:rPr>
        <w:footnoteReference w:id="35"/>
      </w:r>
      <w:r w:rsidRPr="00732F0C">
        <w:rPr>
          <w:rFonts w:ascii="Cambria" w:hAnsi="Cambria"/>
          <w:sz w:val="20"/>
          <w:szCs w:val="20"/>
          <w:lang w:val="es-CR"/>
        </w:rPr>
        <w:t>. En su declaración indicó lo siguiente:</w:t>
      </w:r>
    </w:p>
    <w:p w:rsidR="00F82540" w:rsidRPr="00732F0C" w:rsidRDefault="00F82540" w:rsidP="00842D6E">
      <w:pPr>
        <w:tabs>
          <w:tab w:val="left" w:pos="1440"/>
        </w:tabs>
        <w:ind w:firstLine="720"/>
        <w:jc w:val="both"/>
        <w:rPr>
          <w:rFonts w:ascii="Cambria" w:hAnsi="Cambria"/>
          <w:sz w:val="20"/>
          <w:szCs w:val="20"/>
          <w:lang w:val="es-CR"/>
        </w:rPr>
      </w:pPr>
    </w:p>
    <w:p w:rsidR="00F82540" w:rsidRPr="00732F0C" w:rsidRDefault="00F82540" w:rsidP="00842D6E">
      <w:pPr>
        <w:tabs>
          <w:tab w:val="left" w:pos="1440"/>
        </w:tabs>
        <w:ind w:left="720" w:right="720"/>
        <w:jc w:val="both"/>
        <w:rPr>
          <w:rFonts w:ascii="Cambria" w:hAnsi="Cambria"/>
          <w:sz w:val="20"/>
          <w:szCs w:val="20"/>
          <w:lang w:val="es-CR"/>
        </w:rPr>
      </w:pPr>
      <w:r w:rsidRPr="00732F0C">
        <w:rPr>
          <w:rFonts w:ascii="Cambria" w:hAnsi="Cambria"/>
          <w:sz w:val="20"/>
          <w:szCs w:val="20"/>
          <w:lang w:val="es-CR"/>
        </w:rPr>
        <w:t xml:space="preserve">(…) antes de tomar la calle Bolívar fueron sorprendidos por un grupo de personas de color en el número aproximado de seis o siete personas, recibiendo un golpe a la altura de la nuca, perdiendo la estabilidad por lo que cayó al suelo, pero que al sobreponerse pudo ver a su compañero que se encontraba también en el suelo, en cuyos momentos procedieron tales individuos a rebuscarle en todo su cuerpo, recibiendo al mismo tiempo golpes en el rostro, hasta perder el conocimiento, para más tarde recordarse en el domicilio de la hermana de su compañero Ramiro Guzmán quien estuvo en su compañía. </w:t>
      </w:r>
      <w:r w:rsidR="002528A8" w:rsidRPr="00732F0C">
        <w:rPr>
          <w:rFonts w:ascii="Cambria" w:hAnsi="Cambria"/>
          <w:sz w:val="20"/>
          <w:szCs w:val="20"/>
          <w:lang w:val="es-CR"/>
        </w:rPr>
        <w:t xml:space="preserve">(…) </w:t>
      </w:r>
      <w:r w:rsidR="002528A8" w:rsidRPr="00732F0C">
        <w:rPr>
          <w:rFonts w:ascii="Cambria" w:hAnsi="Cambria" w:cs="Arial"/>
          <w:sz w:val="20"/>
          <w:szCs w:val="20"/>
          <w:lang w:val="es-CR"/>
        </w:rPr>
        <w:t>[</w:t>
      </w:r>
      <w:r w:rsidR="002528A8" w:rsidRPr="00732F0C">
        <w:rPr>
          <w:rFonts w:ascii="Cambria" w:hAnsi="Cambria"/>
          <w:sz w:val="20"/>
          <w:szCs w:val="20"/>
          <w:lang w:val="es-CR"/>
        </w:rPr>
        <w:t>E</w:t>
      </w:r>
      <w:r w:rsidR="002528A8" w:rsidRPr="00732F0C">
        <w:rPr>
          <w:rFonts w:ascii="Cambria" w:hAnsi="Cambria" w:cs="Arial"/>
          <w:sz w:val="20"/>
          <w:szCs w:val="20"/>
          <w:lang w:val="es-CR"/>
        </w:rPr>
        <w:t>]</w:t>
      </w:r>
      <w:proofErr w:type="spellStart"/>
      <w:r w:rsidRPr="00732F0C">
        <w:rPr>
          <w:rFonts w:ascii="Cambria" w:hAnsi="Cambria"/>
          <w:sz w:val="20"/>
          <w:szCs w:val="20"/>
          <w:lang w:val="es-CR"/>
        </w:rPr>
        <w:t>sa</w:t>
      </w:r>
      <w:proofErr w:type="spellEnd"/>
      <w:r w:rsidRPr="00732F0C">
        <w:rPr>
          <w:rFonts w:ascii="Cambria" w:hAnsi="Cambria"/>
          <w:sz w:val="20"/>
          <w:szCs w:val="20"/>
          <w:lang w:val="es-CR"/>
        </w:rPr>
        <w:t xml:space="preserve"> noche se encontraba portando un revólver calibre 38, marca Smith </w:t>
      </w:r>
      <w:proofErr w:type="spellStart"/>
      <w:r w:rsidRPr="00732F0C">
        <w:rPr>
          <w:rFonts w:ascii="Cambria" w:hAnsi="Cambria"/>
          <w:sz w:val="20"/>
          <w:szCs w:val="20"/>
          <w:lang w:val="es-CR"/>
        </w:rPr>
        <w:t>Wesson</w:t>
      </w:r>
      <w:proofErr w:type="spellEnd"/>
      <w:r w:rsidRPr="00732F0C">
        <w:rPr>
          <w:rFonts w:ascii="Cambria" w:hAnsi="Cambria"/>
          <w:sz w:val="20"/>
          <w:szCs w:val="20"/>
          <w:lang w:val="es-CR"/>
        </w:rPr>
        <w:t xml:space="preserve"> que le dieron en calidad de prenda para el cumplimiento de sus funciones de policía, revólver que posiblemente le fue arrancado por los ciudadanos de color, siendo recuperado posteriormente por su compañero Ramiro Guzmán</w:t>
      </w:r>
      <w:r w:rsidRPr="00732F0C">
        <w:rPr>
          <w:rStyle w:val="FootnoteReference"/>
          <w:rFonts w:ascii="Cambria" w:hAnsi="Cambria"/>
          <w:sz w:val="20"/>
          <w:szCs w:val="20"/>
        </w:rPr>
        <w:footnoteReference w:id="36"/>
      </w:r>
      <w:r w:rsidRPr="00732F0C">
        <w:rPr>
          <w:rFonts w:ascii="Cambria" w:hAnsi="Cambria"/>
          <w:sz w:val="20"/>
          <w:szCs w:val="20"/>
          <w:lang w:val="es-CR"/>
        </w:rPr>
        <w:t xml:space="preserve">. </w:t>
      </w:r>
    </w:p>
    <w:p w:rsidR="00F82540" w:rsidRPr="00732F0C" w:rsidRDefault="00F82540" w:rsidP="00842D6E">
      <w:pPr>
        <w:tabs>
          <w:tab w:val="left" w:pos="1440"/>
        </w:tabs>
        <w:ind w:firstLine="720"/>
        <w:jc w:val="both"/>
        <w:rPr>
          <w:rFonts w:ascii="Cambria" w:hAnsi="Cambria"/>
          <w:sz w:val="20"/>
          <w:szCs w:val="20"/>
          <w:lang w:val="es-CR"/>
        </w:rPr>
      </w:pPr>
    </w:p>
    <w:p w:rsidR="00F82540" w:rsidRPr="00732F0C" w:rsidRDefault="00F82540" w:rsidP="00842D6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ES_tradnl"/>
        </w:rPr>
      </w:pPr>
      <w:r w:rsidRPr="00732F0C">
        <w:rPr>
          <w:rFonts w:ascii="Cambria" w:hAnsi="Cambria"/>
          <w:sz w:val="20"/>
          <w:szCs w:val="20"/>
          <w:lang w:val="es-CR"/>
        </w:rPr>
        <w:t>Por su parte, el policía Edwin Ramiro Guzmán declaró lo siguiente:</w:t>
      </w:r>
    </w:p>
    <w:p w:rsidR="00F82540" w:rsidRPr="00732F0C" w:rsidRDefault="00F82540" w:rsidP="00842D6E">
      <w:pPr>
        <w:tabs>
          <w:tab w:val="left" w:pos="1440"/>
        </w:tabs>
        <w:ind w:firstLine="720"/>
        <w:jc w:val="both"/>
        <w:rPr>
          <w:rFonts w:ascii="Cambria" w:hAnsi="Cambria"/>
          <w:sz w:val="20"/>
          <w:szCs w:val="20"/>
          <w:lang w:val="es-CR"/>
        </w:rPr>
      </w:pPr>
    </w:p>
    <w:p w:rsidR="00771457" w:rsidRPr="00732F0C" w:rsidRDefault="003B48B9" w:rsidP="00842D6E">
      <w:pPr>
        <w:tabs>
          <w:tab w:val="left" w:pos="1440"/>
        </w:tabs>
        <w:ind w:left="720" w:right="720"/>
        <w:jc w:val="both"/>
        <w:rPr>
          <w:rFonts w:ascii="Cambria" w:hAnsi="Cambria"/>
          <w:sz w:val="20"/>
          <w:szCs w:val="20"/>
          <w:lang w:val="es-CR"/>
        </w:rPr>
      </w:pPr>
      <w:r w:rsidRPr="00732F0C">
        <w:rPr>
          <w:rFonts w:ascii="Cambria" w:hAnsi="Cambria"/>
          <w:sz w:val="20"/>
          <w:szCs w:val="20"/>
          <w:lang w:val="es-CR"/>
        </w:rPr>
        <w:t xml:space="preserve">(…) </w:t>
      </w:r>
      <w:r w:rsidR="00F82540" w:rsidRPr="00732F0C">
        <w:rPr>
          <w:rFonts w:ascii="Cambria" w:hAnsi="Cambria"/>
          <w:sz w:val="20"/>
          <w:szCs w:val="20"/>
          <w:lang w:val="es-CR"/>
        </w:rPr>
        <w:t xml:space="preserve">como ya estaban avanzadas las horas y tenía que trasladarme a González Suárez fuimos en busca del carro siendo cerrado el paso por un grupo de ciudadanos de color que se encontraban en el baile, entre los cuales estaba el hoy occiso, quien primeramente le dio un golpe quedando noqueado en el suelo, pero posteriormente reaccionó y vio que su compañero Segundo Néstor de la Cruz </w:t>
      </w:r>
      <w:proofErr w:type="spellStart"/>
      <w:r w:rsidR="00F82540" w:rsidRPr="00732F0C">
        <w:rPr>
          <w:rFonts w:ascii="Cambria" w:hAnsi="Cambria"/>
          <w:sz w:val="20"/>
          <w:szCs w:val="20"/>
          <w:lang w:val="es-CR"/>
        </w:rPr>
        <w:t>Chicaiza</w:t>
      </w:r>
      <w:proofErr w:type="spellEnd"/>
      <w:r w:rsidR="00F82540" w:rsidRPr="00732F0C">
        <w:rPr>
          <w:rFonts w:ascii="Cambria" w:hAnsi="Cambria"/>
          <w:sz w:val="20"/>
          <w:szCs w:val="20"/>
          <w:lang w:val="es-CR"/>
        </w:rPr>
        <w:t xml:space="preserve"> estaba sangrando abundantemente</w:t>
      </w:r>
      <w:r w:rsidR="00F82540" w:rsidRPr="00732F0C">
        <w:rPr>
          <w:rStyle w:val="FootnoteReference"/>
          <w:rFonts w:ascii="Cambria" w:hAnsi="Cambria"/>
          <w:sz w:val="20"/>
          <w:szCs w:val="20"/>
        </w:rPr>
        <w:footnoteReference w:id="37"/>
      </w:r>
      <w:r w:rsidR="00F73585" w:rsidRPr="00732F0C">
        <w:rPr>
          <w:rFonts w:ascii="Cambria" w:hAnsi="Cambria"/>
          <w:sz w:val="20"/>
          <w:szCs w:val="20"/>
          <w:lang w:val="es-CR"/>
        </w:rPr>
        <w:t>.</w:t>
      </w:r>
    </w:p>
    <w:p w:rsidR="00771457" w:rsidRPr="00732F0C" w:rsidRDefault="00771457" w:rsidP="00842D6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hAnsi="Cambria"/>
          <w:b/>
          <w:sz w:val="20"/>
          <w:szCs w:val="20"/>
          <w:lang w:val="es-CR"/>
        </w:rPr>
      </w:pPr>
    </w:p>
    <w:p w:rsidR="00BE24EB" w:rsidRPr="00732F0C" w:rsidRDefault="00BE24EB" w:rsidP="00842D6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b/>
          <w:sz w:val="20"/>
          <w:szCs w:val="20"/>
          <w:lang w:val="es-CR"/>
        </w:rPr>
      </w:pPr>
      <w:r w:rsidRPr="00732F0C">
        <w:rPr>
          <w:rFonts w:ascii="Cambria" w:hAnsi="Cambria"/>
          <w:sz w:val="20"/>
          <w:szCs w:val="20"/>
          <w:lang w:val="es-CR"/>
        </w:rPr>
        <w:t>El 1 de octubre de 1995 la Policía emitió un informe en donde concluyó que no pudieron establecerse los motivos que originaron “la discusión y enfrentamiento entre los dos bandos”</w:t>
      </w:r>
      <w:r w:rsidRPr="00732F0C">
        <w:rPr>
          <w:rStyle w:val="FootnoteReference"/>
          <w:rFonts w:ascii="Cambria" w:hAnsi="Cambria"/>
          <w:sz w:val="20"/>
          <w:szCs w:val="20"/>
        </w:rPr>
        <w:footnoteReference w:id="38"/>
      </w:r>
      <w:r w:rsidRPr="00732F0C">
        <w:rPr>
          <w:rFonts w:ascii="Cambria" w:hAnsi="Cambria"/>
          <w:sz w:val="20"/>
          <w:szCs w:val="20"/>
          <w:lang w:val="es-CR"/>
        </w:rPr>
        <w:t>. Indicó que</w:t>
      </w:r>
      <w:r w:rsidR="000E2716" w:rsidRPr="00732F0C">
        <w:rPr>
          <w:rFonts w:ascii="Cambria" w:hAnsi="Cambria"/>
          <w:sz w:val="20"/>
          <w:szCs w:val="20"/>
          <w:lang w:val="es-CR"/>
        </w:rPr>
        <w:t>,</w:t>
      </w:r>
      <w:r w:rsidRPr="00732F0C">
        <w:rPr>
          <w:rFonts w:ascii="Cambria" w:hAnsi="Cambria"/>
          <w:sz w:val="20"/>
          <w:szCs w:val="20"/>
          <w:lang w:val="es-CR"/>
        </w:rPr>
        <w:t xml:space="preserve"> sin perjuicio de ello, no se descarta “la posibilidad de que pudo haber existido alguna represalia contra los miembros de la Institución Policial, por cuanto presumiblemente fueron reconocidos como tales”</w:t>
      </w:r>
      <w:r w:rsidRPr="00732F0C">
        <w:rPr>
          <w:rStyle w:val="FootnoteReference"/>
          <w:rFonts w:ascii="Cambria" w:hAnsi="Cambria"/>
          <w:sz w:val="20"/>
          <w:szCs w:val="20"/>
        </w:rPr>
        <w:footnoteReference w:id="39"/>
      </w:r>
      <w:r w:rsidRPr="00732F0C">
        <w:rPr>
          <w:rFonts w:ascii="Cambria" w:hAnsi="Cambria"/>
          <w:sz w:val="20"/>
          <w:szCs w:val="20"/>
          <w:lang w:val="es-CR"/>
        </w:rPr>
        <w:t>.</w:t>
      </w:r>
    </w:p>
    <w:p w:rsidR="00BE24EB" w:rsidRPr="00732F0C" w:rsidRDefault="00BE24EB" w:rsidP="00842D6E">
      <w:pPr>
        <w:pStyle w:val="ListParagraph"/>
        <w:jc w:val="both"/>
        <w:rPr>
          <w:b/>
          <w:sz w:val="20"/>
          <w:szCs w:val="20"/>
          <w:lang w:val="es-CR"/>
        </w:rPr>
      </w:pPr>
    </w:p>
    <w:p w:rsidR="002771BB" w:rsidRPr="00732F0C" w:rsidRDefault="00BE24EB" w:rsidP="00842D6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b/>
          <w:sz w:val="20"/>
          <w:szCs w:val="20"/>
          <w:lang w:val="es-CR"/>
        </w:rPr>
      </w:pPr>
      <w:r w:rsidRPr="00732F0C">
        <w:rPr>
          <w:rFonts w:ascii="Cambria" w:hAnsi="Cambria"/>
          <w:sz w:val="20"/>
          <w:szCs w:val="20"/>
          <w:lang w:val="es-CR"/>
        </w:rPr>
        <w:t xml:space="preserve">El informe determinó que </w:t>
      </w:r>
      <w:r w:rsidR="000E2716" w:rsidRPr="00732F0C">
        <w:rPr>
          <w:rFonts w:ascii="Cambria" w:hAnsi="Cambria"/>
          <w:sz w:val="20"/>
          <w:szCs w:val="20"/>
          <w:lang w:val="es-CR"/>
        </w:rPr>
        <w:t>d</w:t>
      </w:r>
      <w:r w:rsidRPr="00732F0C">
        <w:rPr>
          <w:rFonts w:ascii="Cambria" w:hAnsi="Cambria"/>
          <w:sz w:val="20"/>
          <w:szCs w:val="20"/>
          <w:lang w:val="es-CR"/>
        </w:rPr>
        <w:t xml:space="preserve">el análisis de balística practicado a las armas reglamentarias de los policías surgió que “las dos esquirlas de cobre forman parte de unidades de proyectil calibre 38 y que fueron disparadas por el revólver marca Smith </w:t>
      </w:r>
      <w:proofErr w:type="spellStart"/>
      <w:r w:rsidRPr="00732F0C">
        <w:rPr>
          <w:rFonts w:ascii="Cambria" w:hAnsi="Cambria"/>
          <w:sz w:val="20"/>
          <w:szCs w:val="20"/>
          <w:lang w:val="es-CR"/>
        </w:rPr>
        <w:t>Wesson</w:t>
      </w:r>
      <w:proofErr w:type="spellEnd"/>
      <w:r w:rsidRPr="00732F0C">
        <w:rPr>
          <w:rFonts w:ascii="Cambria" w:hAnsi="Cambria"/>
          <w:sz w:val="20"/>
          <w:szCs w:val="20"/>
          <w:lang w:val="es-CR"/>
        </w:rPr>
        <w:t xml:space="preserve"> N°. J-334461, entregado en dotación al Policía </w:t>
      </w:r>
      <w:r w:rsidR="00F82540" w:rsidRPr="00732F0C">
        <w:rPr>
          <w:rFonts w:ascii="Cambria" w:hAnsi="Cambria" w:cs="Arial"/>
          <w:sz w:val="20"/>
          <w:szCs w:val="20"/>
          <w:lang w:val="es-CR"/>
        </w:rPr>
        <w:t xml:space="preserve">[Segundo] </w:t>
      </w:r>
      <w:r w:rsidRPr="00732F0C">
        <w:rPr>
          <w:rFonts w:ascii="Cambria" w:hAnsi="Cambria"/>
          <w:sz w:val="20"/>
          <w:szCs w:val="20"/>
          <w:lang w:val="es-CR"/>
        </w:rPr>
        <w:t xml:space="preserve">Néstor de la Cruz </w:t>
      </w:r>
      <w:proofErr w:type="spellStart"/>
      <w:r w:rsidRPr="00732F0C">
        <w:rPr>
          <w:rFonts w:ascii="Cambria" w:hAnsi="Cambria"/>
          <w:sz w:val="20"/>
          <w:szCs w:val="20"/>
          <w:lang w:val="es-CR"/>
        </w:rPr>
        <w:t>Chicaiza</w:t>
      </w:r>
      <w:proofErr w:type="spellEnd"/>
      <w:r w:rsidRPr="00732F0C">
        <w:rPr>
          <w:rFonts w:ascii="Cambria" w:hAnsi="Cambria"/>
          <w:sz w:val="20"/>
          <w:szCs w:val="20"/>
          <w:lang w:val="es-CR"/>
        </w:rPr>
        <w:t>”</w:t>
      </w:r>
      <w:r w:rsidRPr="00732F0C">
        <w:rPr>
          <w:rStyle w:val="FootnoteReference"/>
          <w:rFonts w:ascii="Cambria" w:hAnsi="Cambria"/>
          <w:sz w:val="20"/>
          <w:szCs w:val="20"/>
        </w:rPr>
        <w:footnoteReference w:id="40"/>
      </w:r>
      <w:r w:rsidRPr="00732F0C">
        <w:rPr>
          <w:rFonts w:ascii="Cambria" w:hAnsi="Cambria"/>
          <w:sz w:val="20"/>
          <w:szCs w:val="20"/>
          <w:lang w:val="es-CR"/>
        </w:rPr>
        <w:t xml:space="preserve">. Al respecto, se indicó que “presumiblemente ha existido una tercera persona que aprovechando la confusión y amotinamiento de personas, ha tomado el revólver para realizar los disparos y </w:t>
      </w:r>
      <w:r w:rsidRPr="00732F0C">
        <w:rPr>
          <w:rFonts w:ascii="Cambria" w:hAnsi="Cambria"/>
          <w:sz w:val="20"/>
          <w:szCs w:val="20"/>
          <w:lang w:val="es-CR"/>
        </w:rPr>
        <w:lastRenderedPageBreak/>
        <w:t>consigo causar la muerte del ciudadano Jorge Darwin García, desconociendo hasta la presente su identidad”</w:t>
      </w:r>
      <w:r w:rsidRPr="00732F0C">
        <w:rPr>
          <w:rStyle w:val="FootnoteReference"/>
          <w:rFonts w:ascii="Cambria" w:hAnsi="Cambria"/>
          <w:sz w:val="20"/>
          <w:szCs w:val="20"/>
        </w:rPr>
        <w:footnoteReference w:id="41"/>
      </w:r>
      <w:r w:rsidRPr="00732F0C">
        <w:rPr>
          <w:rFonts w:ascii="Cambria" w:hAnsi="Cambria"/>
          <w:sz w:val="20"/>
          <w:szCs w:val="20"/>
          <w:lang w:val="es-CR"/>
        </w:rPr>
        <w:t>. El informe determinó que quedaba pendiente la localización de otros testigos de los hechos</w:t>
      </w:r>
      <w:r w:rsidRPr="00732F0C">
        <w:rPr>
          <w:rStyle w:val="FootnoteReference"/>
          <w:rFonts w:ascii="Cambria" w:hAnsi="Cambria"/>
          <w:sz w:val="20"/>
          <w:szCs w:val="20"/>
        </w:rPr>
        <w:footnoteReference w:id="42"/>
      </w:r>
      <w:r w:rsidRPr="00732F0C">
        <w:rPr>
          <w:rFonts w:ascii="Cambria" w:hAnsi="Cambria"/>
          <w:sz w:val="20"/>
          <w:szCs w:val="20"/>
          <w:lang w:val="es-CR"/>
        </w:rPr>
        <w:t>.</w:t>
      </w:r>
    </w:p>
    <w:p w:rsidR="002771BB" w:rsidRPr="00732F0C" w:rsidRDefault="002771BB" w:rsidP="00842D6E">
      <w:pPr>
        <w:pStyle w:val="ListParagraph"/>
        <w:jc w:val="both"/>
        <w:rPr>
          <w:sz w:val="20"/>
          <w:szCs w:val="20"/>
          <w:lang w:val="es-CR"/>
        </w:rPr>
      </w:pPr>
    </w:p>
    <w:p w:rsidR="00A24688" w:rsidRPr="00732F0C" w:rsidRDefault="002771BB" w:rsidP="00842D6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b/>
          <w:sz w:val="20"/>
          <w:szCs w:val="20"/>
          <w:lang w:val="es-CR"/>
        </w:rPr>
      </w:pPr>
      <w:r w:rsidRPr="00732F0C">
        <w:rPr>
          <w:rFonts w:ascii="Cambria" w:hAnsi="Cambria"/>
          <w:sz w:val="20"/>
          <w:szCs w:val="20"/>
          <w:lang w:val="es-CR"/>
        </w:rPr>
        <w:t xml:space="preserve">De acuerdo a un dictamen Fiscal ante el Juzgado Tercero penal de Imbabura, </w:t>
      </w:r>
      <w:r w:rsidR="00853FBE" w:rsidRPr="00732F0C">
        <w:rPr>
          <w:rFonts w:ascii="Cambria" w:hAnsi="Cambria"/>
          <w:sz w:val="20"/>
          <w:szCs w:val="20"/>
          <w:lang w:val="es-CR"/>
        </w:rPr>
        <w:t xml:space="preserve">Otavalo, </w:t>
      </w:r>
      <w:r w:rsidRPr="00732F0C">
        <w:rPr>
          <w:rFonts w:ascii="Cambria" w:hAnsi="Cambria"/>
          <w:sz w:val="20"/>
          <w:szCs w:val="20"/>
          <w:lang w:val="es-CR"/>
        </w:rPr>
        <w:t>la causa fue remitida al fuero penal ordinario</w:t>
      </w:r>
      <w:r w:rsidRPr="00732F0C">
        <w:rPr>
          <w:rStyle w:val="FootnoteReference"/>
          <w:rFonts w:ascii="Cambria" w:hAnsi="Cambria"/>
          <w:sz w:val="20"/>
          <w:szCs w:val="20"/>
        </w:rPr>
        <w:footnoteReference w:id="43"/>
      </w:r>
      <w:r w:rsidRPr="00732F0C">
        <w:rPr>
          <w:rFonts w:ascii="Cambria" w:hAnsi="Cambria"/>
          <w:sz w:val="20"/>
          <w:szCs w:val="20"/>
          <w:lang w:val="es-CR"/>
        </w:rPr>
        <w:t xml:space="preserve">.  Ello debido a que se habría establecido que los dos policías imputados, </w:t>
      </w:r>
      <w:r w:rsidR="00A24688" w:rsidRPr="00732F0C">
        <w:rPr>
          <w:rFonts w:ascii="Cambria" w:hAnsi="Cambria"/>
          <w:sz w:val="20"/>
          <w:szCs w:val="20"/>
          <w:lang w:val="es-CR"/>
        </w:rPr>
        <w:t xml:space="preserve">si bien eran miembros activos de la Policía Nacional, se encontraban haciendo uso de sus respectivas licencias al momento de producirse </w:t>
      </w:r>
      <w:r w:rsidRPr="00732F0C">
        <w:rPr>
          <w:rFonts w:ascii="Cambria" w:hAnsi="Cambria"/>
          <w:sz w:val="20"/>
          <w:szCs w:val="20"/>
          <w:lang w:val="es-CR"/>
        </w:rPr>
        <w:t>los hechos</w:t>
      </w:r>
      <w:r w:rsidR="00A24688" w:rsidRPr="00732F0C">
        <w:rPr>
          <w:rStyle w:val="FootnoteReference"/>
          <w:rFonts w:ascii="Cambria" w:hAnsi="Cambria"/>
          <w:sz w:val="20"/>
          <w:szCs w:val="20"/>
        </w:rPr>
        <w:footnoteReference w:id="44"/>
      </w:r>
      <w:r w:rsidR="00A24688" w:rsidRPr="00732F0C">
        <w:rPr>
          <w:rFonts w:ascii="Cambria" w:hAnsi="Cambria"/>
          <w:sz w:val="20"/>
          <w:szCs w:val="20"/>
          <w:lang w:val="es-CR"/>
        </w:rPr>
        <w:t>.</w:t>
      </w:r>
    </w:p>
    <w:p w:rsidR="00A24688" w:rsidRPr="00732F0C" w:rsidRDefault="00A24688" w:rsidP="00842D6E">
      <w:pPr>
        <w:tabs>
          <w:tab w:val="left" w:pos="1440"/>
        </w:tabs>
        <w:ind w:firstLine="720"/>
        <w:jc w:val="both"/>
        <w:rPr>
          <w:rFonts w:ascii="Cambria" w:hAnsi="Cambria"/>
          <w:sz w:val="20"/>
          <w:szCs w:val="20"/>
          <w:lang w:val="es-CR"/>
        </w:rPr>
      </w:pPr>
    </w:p>
    <w:p w:rsidR="00A24688" w:rsidRPr="00732F0C" w:rsidRDefault="00C156BB" w:rsidP="00842D6E">
      <w:pPr>
        <w:pStyle w:val="Heading3"/>
      </w:pPr>
      <w:bookmarkStart w:id="25" w:name="_Toc408466851"/>
      <w:bookmarkStart w:id="26" w:name="_Toc423956220"/>
      <w:bookmarkStart w:id="27" w:name="_Toc424914226"/>
      <w:bookmarkStart w:id="28" w:name="_Toc511223103"/>
      <w:bookmarkStart w:id="29" w:name="_Toc529792401"/>
      <w:r w:rsidRPr="00732F0C">
        <w:t>3.</w:t>
      </w:r>
      <w:r w:rsidR="00A24688" w:rsidRPr="00732F0C">
        <w:t>2.</w:t>
      </w:r>
      <w:r w:rsidR="00A24688" w:rsidRPr="00732F0C">
        <w:tab/>
      </w:r>
      <w:proofErr w:type="spellStart"/>
      <w:r w:rsidR="00A24688" w:rsidRPr="00732F0C">
        <w:t>Proceso</w:t>
      </w:r>
      <w:proofErr w:type="spellEnd"/>
      <w:r w:rsidR="00A24688" w:rsidRPr="00732F0C">
        <w:t xml:space="preserve"> penal 208-93</w:t>
      </w:r>
      <w:bookmarkEnd w:id="25"/>
      <w:bookmarkEnd w:id="26"/>
      <w:bookmarkEnd w:id="27"/>
      <w:bookmarkEnd w:id="28"/>
      <w:bookmarkEnd w:id="29"/>
    </w:p>
    <w:p w:rsidR="00A24688" w:rsidRPr="00732F0C" w:rsidRDefault="00A24688" w:rsidP="00842D6E">
      <w:pPr>
        <w:tabs>
          <w:tab w:val="left" w:pos="1440"/>
        </w:tabs>
        <w:ind w:firstLine="720"/>
        <w:jc w:val="both"/>
        <w:rPr>
          <w:rFonts w:ascii="Cambria" w:hAnsi="Cambria"/>
          <w:sz w:val="20"/>
          <w:szCs w:val="20"/>
        </w:rPr>
      </w:pPr>
    </w:p>
    <w:p w:rsidR="00A24688" w:rsidRPr="00732F0C" w:rsidRDefault="00A24688" w:rsidP="00842D6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b/>
          <w:sz w:val="20"/>
          <w:szCs w:val="20"/>
          <w:lang w:val="es-CR"/>
        </w:rPr>
      </w:pPr>
      <w:r w:rsidRPr="00732F0C">
        <w:rPr>
          <w:rFonts w:ascii="Cambria" w:hAnsi="Cambria"/>
          <w:sz w:val="20"/>
          <w:szCs w:val="20"/>
          <w:lang w:val="es-CR"/>
        </w:rPr>
        <w:t xml:space="preserve">La causa penal por el asesinato de Jorge Darwin García </w:t>
      </w:r>
      <w:r w:rsidR="00853FBE" w:rsidRPr="00732F0C">
        <w:rPr>
          <w:rFonts w:ascii="Cambria" w:hAnsi="Cambria"/>
          <w:sz w:val="20"/>
          <w:szCs w:val="20"/>
          <w:lang w:val="es-CR"/>
        </w:rPr>
        <w:t xml:space="preserve">se </w:t>
      </w:r>
      <w:r w:rsidRPr="00732F0C">
        <w:rPr>
          <w:rFonts w:ascii="Cambria" w:hAnsi="Cambria"/>
          <w:sz w:val="20"/>
          <w:szCs w:val="20"/>
          <w:lang w:val="es-CR"/>
        </w:rPr>
        <w:t>tramitó ante el Juzgado Ter</w:t>
      </w:r>
      <w:r w:rsidR="00853FBE" w:rsidRPr="00732F0C">
        <w:rPr>
          <w:rFonts w:ascii="Cambria" w:hAnsi="Cambria"/>
          <w:sz w:val="20"/>
          <w:szCs w:val="20"/>
          <w:lang w:val="es-CR"/>
        </w:rPr>
        <w:t>cero Penal de Imbabura, Otavalo. El 22 de octubre de 1993 el fiscal a cargo</w:t>
      </w:r>
      <w:r w:rsidRPr="00732F0C">
        <w:rPr>
          <w:rFonts w:ascii="Cambria" w:hAnsi="Cambria"/>
          <w:sz w:val="20"/>
          <w:szCs w:val="20"/>
          <w:lang w:val="es-CR"/>
        </w:rPr>
        <w:t xml:space="preserve"> sindicó a Segundo </w:t>
      </w:r>
      <w:r w:rsidR="00853FBE" w:rsidRPr="00732F0C">
        <w:rPr>
          <w:rFonts w:ascii="Cambria" w:hAnsi="Cambria"/>
          <w:sz w:val="20"/>
          <w:szCs w:val="20"/>
          <w:lang w:val="es-CR"/>
        </w:rPr>
        <w:t xml:space="preserve">Néstor de la Cruz </w:t>
      </w:r>
      <w:proofErr w:type="spellStart"/>
      <w:r w:rsidR="00853FBE" w:rsidRPr="00732F0C">
        <w:rPr>
          <w:rFonts w:ascii="Cambria" w:hAnsi="Cambria"/>
          <w:sz w:val="20"/>
          <w:szCs w:val="20"/>
          <w:lang w:val="es-CR"/>
        </w:rPr>
        <w:t>Chicaiza</w:t>
      </w:r>
      <w:proofErr w:type="spellEnd"/>
      <w:r w:rsidR="00853FBE" w:rsidRPr="00732F0C">
        <w:rPr>
          <w:rFonts w:ascii="Cambria" w:hAnsi="Cambria"/>
          <w:sz w:val="20"/>
          <w:szCs w:val="20"/>
          <w:lang w:val="es-CR"/>
        </w:rPr>
        <w:t>, Edw</w:t>
      </w:r>
      <w:r w:rsidRPr="00732F0C">
        <w:rPr>
          <w:rFonts w:ascii="Cambria" w:hAnsi="Cambria"/>
          <w:sz w:val="20"/>
          <w:szCs w:val="20"/>
          <w:lang w:val="es-CR"/>
        </w:rPr>
        <w:t xml:space="preserve">in Ramiro Guzmán Carrera y José Ignacio de la Cruz </w:t>
      </w:r>
      <w:proofErr w:type="spellStart"/>
      <w:r w:rsidRPr="00732F0C">
        <w:rPr>
          <w:rFonts w:ascii="Cambria" w:hAnsi="Cambria"/>
          <w:sz w:val="20"/>
          <w:szCs w:val="20"/>
          <w:lang w:val="es-CR"/>
        </w:rPr>
        <w:t>Chicaiza</w:t>
      </w:r>
      <w:proofErr w:type="spellEnd"/>
      <w:r w:rsidR="00AE3B1E" w:rsidRPr="00732F0C">
        <w:rPr>
          <w:rFonts w:ascii="Cambria" w:hAnsi="Cambria"/>
          <w:sz w:val="20"/>
          <w:szCs w:val="20"/>
          <w:lang w:val="es-CR"/>
        </w:rPr>
        <w:t xml:space="preserve"> por la muerte de Jorge Darwin y las lesiones de Franklin Plutarco</w:t>
      </w:r>
      <w:r w:rsidR="00AE3B1E" w:rsidRPr="00732F0C">
        <w:rPr>
          <w:rStyle w:val="FootnoteReference"/>
          <w:rFonts w:ascii="Cambria" w:hAnsi="Cambria"/>
          <w:sz w:val="20"/>
          <w:szCs w:val="20"/>
        </w:rPr>
        <w:footnoteReference w:id="45"/>
      </w:r>
      <w:r w:rsidR="00AE3B1E" w:rsidRPr="00732F0C">
        <w:rPr>
          <w:rFonts w:ascii="Cambria" w:hAnsi="Cambria"/>
          <w:sz w:val="20"/>
          <w:szCs w:val="20"/>
          <w:lang w:val="es-CR"/>
        </w:rPr>
        <w:t>. S</w:t>
      </w:r>
      <w:r w:rsidR="00691D79" w:rsidRPr="00732F0C">
        <w:rPr>
          <w:rFonts w:ascii="Cambria" w:hAnsi="Cambria"/>
          <w:sz w:val="20"/>
          <w:szCs w:val="20"/>
          <w:lang w:val="es-CR"/>
        </w:rPr>
        <w:t>olicitó</w:t>
      </w:r>
      <w:r w:rsidRPr="00732F0C">
        <w:rPr>
          <w:rFonts w:ascii="Cambria" w:hAnsi="Cambria"/>
          <w:sz w:val="20"/>
          <w:szCs w:val="20"/>
          <w:lang w:val="es-CR"/>
        </w:rPr>
        <w:t xml:space="preserve"> la prisión provisional de </w:t>
      </w:r>
      <w:r w:rsidR="00691D79" w:rsidRPr="00732F0C">
        <w:rPr>
          <w:rFonts w:ascii="Cambria" w:hAnsi="Cambria"/>
          <w:sz w:val="20"/>
          <w:szCs w:val="20"/>
          <w:lang w:val="es-CR"/>
        </w:rPr>
        <w:t>los dos primeros</w:t>
      </w:r>
      <w:r w:rsidRPr="00732F0C">
        <w:rPr>
          <w:rStyle w:val="FootnoteReference"/>
          <w:rFonts w:ascii="Cambria" w:hAnsi="Cambria"/>
          <w:sz w:val="20"/>
          <w:szCs w:val="20"/>
        </w:rPr>
        <w:footnoteReference w:id="46"/>
      </w:r>
      <w:r w:rsidRPr="00732F0C">
        <w:rPr>
          <w:rFonts w:ascii="Cambria" w:hAnsi="Cambria"/>
          <w:sz w:val="20"/>
          <w:szCs w:val="20"/>
          <w:lang w:val="es-CR"/>
        </w:rPr>
        <w:t>.</w:t>
      </w:r>
      <w:r w:rsidR="00691D79" w:rsidRPr="00732F0C">
        <w:rPr>
          <w:rFonts w:ascii="Cambria" w:hAnsi="Cambria"/>
          <w:sz w:val="20"/>
          <w:szCs w:val="20"/>
          <w:lang w:val="es-AR"/>
        </w:rPr>
        <w:t xml:space="preserve"> El 5 de noviembre de 1993</w:t>
      </w:r>
      <w:r w:rsidRPr="00732F0C">
        <w:rPr>
          <w:rFonts w:ascii="Cambria" w:hAnsi="Cambria"/>
          <w:sz w:val="20"/>
          <w:szCs w:val="20"/>
          <w:lang w:val="es-AR"/>
        </w:rPr>
        <w:t xml:space="preserve"> Franklin Plutarco García presentó un escrito de constitución de querella civil y penal</w:t>
      </w:r>
      <w:r w:rsidRPr="00732F0C">
        <w:rPr>
          <w:rStyle w:val="FootnoteReference"/>
          <w:rFonts w:ascii="Cambria" w:hAnsi="Cambria"/>
          <w:sz w:val="20"/>
          <w:szCs w:val="20"/>
          <w:lang w:val="es-AR"/>
        </w:rPr>
        <w:footnoteReference w:id="47"/>
      </w:r>
      <w:r w:rsidRPr="00732F0C">
        <w:rPr>
          <w:rFonts w:ascii="Cambria" w:hAnsi="Cambria"/>
          <w:sz w:val="20"/>
          <w:szCs w:val="20"/>
          <w:lang w:val="es-AR"/>
        </w:rPr>
        <w:t xml:space="preserve">. </w:t>
      </w:r>
    </w:p>
    <w:p w:rsidR="00A24688" w:rsidRPr="00732F0C" w:rsidRDefault="00A24688" w:rsidP="00842D6E">
      <w:pPr>
        <w:tabs>
          <w:tab w:val="left" w:pos="1440"/>
        </w:tabs>
        <w:ind w:firstLine="720"/>
        <w:jc w:val="both"/>
        <w:rPr>
          <w:rFonts w:ascii="Cambria" w:hAnsi="Cambria"/>
          <w:sz w:val="20"/>
          <w:szCs w:val="20"/>
          <w:lang w:val="es-CR"/>
        </w:rPr>
      </w:pPr>
    </w:p>
    <w:p w:rsidR="002E618A" w:rsidRPr="00732F0C" w:rsidRDefault="00691D79" w:rsidP="00842D6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CR"/>
        </w:rPr>
      </w:pPr>
      <w:r w:rsidRPr="00732F0C">
        <w:rPr>
          <w:rFonts w:ascii="Cambria" w:hAnsi="Cambria"/>
          <w:sz w:val="20"/>
          <w:szCs w:val="20"/>
          <w:lang w:val="es-CR"/>
        </w:rPr>
        <w:t>El 1 de julio de 1994</w:t>
      </w:r>
      <w:r w:rsidR="00A24688" w:rsidRPr="00732F0C">
        <w:rPr>
          <w:rFonts w:ascii="Cambria" w:hAnsi="Cambria"/>
          <w:sz w:val="20"/>
          <w:szCs w:val="20"/>
          <w:lang w:val="es-CR"/>
        </w:rPr>
        <w:t xml:space="preserve"> la peticionaria solicitó al Fiscal General de la Nación que “haga cuanto esté a su alcance para supervigilar el caso y demostrar que la función jurisdic</w:t>
      </w:r>
      <w:r w:rsidR="008226FE" w:rsidRPr="00732F0C">
        <w:rPr>
          <w:rFonts w:ascii="Cambria" w:hAnsi="Cambria"/>
          <w:sz w:val="20"/>
          <w:szCs w:val="20"/>
          <w:lang w:val="es-CR"/>
        </w:rPr>
        <w:t>cional actúa con independencia (…)</w:t>
      </w:r>
      <w:r w:rsidR="00A24688" w:rsidRPr="00732F0C">
        <w:rPr>
          <w:rFonts w:ascii="Cambria" w:hAnsi="Cambria"/>
          <w:sz w:val="20"/>
          <w:szCs w:val="20"/>
          <w:lang w:val="es-CR"/>
        </w:rPr>
        <w:t xml:space="preserve"> ante el fenómeno de la impunidad que ampara el cometimiento de tan graves delitos y va en detrimento de la justicia”</w:t>
      </w:r>
      <w:r w:rsidR="00A24688" w:rsidRPr="00732F0C">
        <w:rPr>
          <w:rStyle w:val="FootnoteReference"/>
          <w:rFonts w:ascii="Cambria" w:hAnsi="Cambria"/>
          <w:sz w:val="20"/>
          <w:szCs w:val="20"/>
        </w:rPr>
        <w:footnoteReference w:id="48"/>
      </w:r>
      <w:r w:rsidR="00A24688" w:rsidRPr="00732F0C">
        <w:rPr>
          <w:rFonts w:ascii="Cambria" w:hAnsi="Cambria"/>
          <w:sz w:val="20"/>
          <w:szCs w:val="20"/>
          <w:lang w:val="es-CR"/>
        </w:rPr>
        <w:t>.</w:t>
      </w:r>
    </w:p>
    <w:p w:rsidR="002E618A" w:rsidRPr="00732F0C" w:rsidRDefault="002E618A" w:rsidP="00842D6E">
      <w:pPr>
        <w:pStyle w:val="ListParagraph"/>
        <w:jc w:val="both"/>
        <w:rPr>
          <w:sz w:val="20"/>
          <w:szCs w:val="20"/>
          <w:lang w:val="es-CR"/>
        </w:rPr>
      </w:pPr>
    </w:p>
    <w:p w:rsidR="000B2415" w:rsidRPr="00732F0C" w:rsidRDefault="002E618A" w:rsidP="00842D6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CR"/>
        </w:rPr>
      </w:pPr>
      <w:r w:rsidRPr="00732F0C">
        <w:rPr>
          <w:rFonts w:ascii="Cambria" w:hAnsi="Cambria"/>
          <w:sz w:val="20"/>
          <w:szCs w:val="20"/>
          <w:lang w:val="es-CR"/>
        </w:rPr>
        <w:t xml:space="preserve">El 1 de septiembre de 1994 el fiscal a cargo acusó a Segundo Néstor de la Cruz </w:t>
      </w:r>
      <w:proofErr w:type="spellStart"/>
      <w:r w:rsidRPr="00732F0C">
        <w:rPr>
          <w:rFonts w:ascii="Cambria" w:hAnsi="Cambria"/>
          <w:sz w:val="20"/>
          <w:szCs w:val="20"/>
          <w:lang w:val="es-CR"/>
        </w:rPr>
        <w:t>Chicaiza</w:t>
      </w:r>
      <w:proofErr w:type="spellEnd"/>
      <w:r w:rsidRPr="00732F0C">
        <w:rPr>
          <w:rStyle w:val="FootnoteReference"/>
          <w:rFonts w:ascii="Cambria" w:hAnsi="Cambria"/>
          <w:sz w:val="20"/>
          <w:szCs w:val="20"/>
          <w:lang w:val="es-CR"/>
        </w:rPr>
        <w:t xml:space="preserve"> </w:t>
      </w:r>
      <w:r w:rsidRPr="00732F0C">
        <w:rPr>
          <w:rFonts w:ascii="Cambria" w:hAnsi="Cambria"/>
          <w:sz w:val="20"/>
          <w:szCs w:val="20"/>
          <w:lang w:val="es-CR"/>
        </w:rPr>
        <w:t>por el delito de homicidio</w:t>
      </w:r>
      <w:r w:rsidRPr="00732F0C">
        <w:rPr>
          <w:rStyle w:val="FootnoteReference"/>
          <w:rFonts w:ascii="Cambria" w:hAnsi="Cambria"/>
          <w:sz w:val="20"/>
          <w:szCs w:val="20"/>
          <w:lang w:val="es-CR"/>
        </w:rPr>
        <w:footnoteReference w:id="49"/>
      </w:r>
      <w:r w:rsidRPr="00732F0C">
        <w:rPr>
          <w:rFonts w:ascii="Cambria" w:hAnsi="Cambria"/>
          <w:sz w:val="20"/>
          <w:szCs w:val="20"/>
          <w:lang w:val="es-CR"/>
        </w:rPr>
        <w:t xml:space="preserve">. </w:t>
      </w:r>
      <w:r w:rsidR="000B2415" w:rsidRPr="00732F0C">
        <w:rPr>
          <w:rFonts w:ascii="Cambria" w:hAnsi="Cambria"/>
          <w:sz w:val="20"/>
          <w:szCs w:val="20"/>
          <w:lang w:val="es-CR"/>
        </w:rPr>
        <w:t>En su informe señaló que se dio un careo entre los dos policías procesados “en el que Guzmán reclama a su compañero de la Cruz el por qué se trata de involucrarlo en este hecho (…) acusándole a de la Cruz de ser el autor de la muerte y heridas a los hermanos Garcí</w:t>
      </w:r>
      <w:r w:rsidR="00291DB4" w:rsidRPr="00732F0C">
        <w:rPr>
          <w:rFonts w:ascii="Cambria" w:hAnsi="Cambria"/>
          <w:sz w:val="20"/>
          <w:szCs w:val="20"/>
          <w:lang w:val="es-CR"/>
        </w:rPr>
        <w:t>a; éste último procede a disculparse con Guzmán por tratar de involucrarlo y expresando además ‘si soy de hundirme me hundo solo, sin involucrar a nadie’</w:t>
      </w:r>
      <w:r w:rsidR="000B2415" w:rsidRPr="00732F0C">
        <w:rPr>
          <w:rFonts w:ascii="Cambria" w:hAnsi="Cambria"/>
          <w:sz w:val="20"/>
          <w:szCs w:val="20"/>
          <w:lang w:val="es-CR"/>
        </w:rPr>
        <w:t>”</w:t>
      </w:r>
      <w:r w:rsidR="00291DB4" w:rsidRPr="00732F0C">
        <w:rPr>
          <w:rStyle w:val="FootnoteReference"/>
          <w:rFonts w:ascii="Cambria" w:hAnsi="Cambria"/>
          <w:sz w:val="20"/>
          <w:szCs w:val="20"/>
          <w:lang w:val="es-CR"/>
        </w:rPr>
        <w:footnoteReference w:id="50"/>
      </w:r>
      <w:r w:rsidR="00291DB4" w:rsidRPr="00732F0C">
        <w:rPr>
          <w:rFonts w:ascii="Cambria" w:hAnsi="Cambria"/>
          <w:sz w:val="20"/>
          <w:szCs w:val="20"/>
          <w:lang w:val="es-CR"/>
        </w:rPr>
        <w:t>. El fiscal sostuvo que el señor de la Cruz manifestó que “está tratando de arreglar con los perjudicados ofreciendo la cantidad de un millón y medio de sucres”</w:t>
      </w:r>
      <w:r w:rsidR="00291DB4" w:rsidRPr="00732F0C">
        <w:rPr>
          <w:rStyle w:val="FootnoteReference"/>
          <w:rFonts w:ascii="Cambria" w:hAnsi="Cambria"/>
          <w:sz w:val="20"/>
          <w:szCs w:val="20"/>
          <w:lang w:val="es-CR"/>
        </w:rPr>
        <w:footnoteReference w:id="51"/>
      </w:r>
      <w:r w:rsidR="00291DB4" w:rsidRPr="00732F0C">
        <w:rPr>
          <w:rFonts w:ascii="Cambria" w:hAnsi="Cambria"/>
          <w:sz w:val="20"/>
          <w:szCs w:val="20"/>
          <w:lang w:val="es-CR"/>
        </w:rPr>
        <w:t>.</w:t>
      </w:r>
    </w:p>
    <w:p w:rsidR="000B2415" w:rsidRPr="00732F0C" w:rsidRDefault="000B2415" w:rsidP="00842D6E">
      <w:pPr>
        <w:pStyle w:val="ListParagraph"/>
        <w:jc w:val="both"/>
        <w:rPr>
          <w:sz w:val="20"/>
          <w:szCs w:val="20"/>
          <w:lang w:val="es-CR"/>
        </w:rPr>
      </w:pPr>
    </w:p>
    <w:p w:rsidR="002E618A" w:rsidRPr="00732F0C" w:rsidRDefault="002E618A" w:rsidP="00842D6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CR"/>
        </w:rPr>
      </w:pPr>
      <w:r w:rsidRPr="00732F0C">
        <w:rPr>
          <w:rFonts w:ascii="Cambria" w:hAnsi="Cambria"/>
          <w:sz w:val="20"/>
          <w:szCs w:val="20"/>
          <w:lang w:val="es-CR"/>
        </w:rPr>
        <w:t xml:space="preserve">Asimismo, </w:t>
      </w:r>
      <w:r w:rsidR="000B2415" w:rsidRPr="00732F0C">
        <w:rPr>
          <w:rFonts w:ascii="Cambria" w:hAnsi="Cambria"/>
          <w:sz w:val="20"/>
          <w:szCs w:val="20"/>
          <w:lang w:val="es-CR"/>
        </w:rPr>
        <w:t xml:space="preserve">el fiscal </w:t>
      </w:r>
      <w:r w:rsidRPr="00732F0C">
        <w:rPr>
          <w:rFonts w:ascii="Cambria" w:hAnsi="Cambria"/>
          <w:sz w:val="20"/>
          <w:szCs w:val="20"/>
          <w:lang w:val="es-CR"/>
        </w:rPr>
        <w:t xml:space="preserve">se abstuvo de acusar a Edwin Ramiro Guzmán Carrera y José Ignacio de la Cruz </w:t>
      </w:r>
      <w:proofErr w:type="spellStart"/>
      <w:r w:rsidRPr="00732F0C">
        <w:rPr>
          <w:rFonts w:ascii="Cambria" w:hAnsi="Cambria"/>
          <w:sz w:val="20"/>
          <w:szCs w:val="20"/>
          <w:lang w:val="es-CR"/>
        </w:rPr>
        <w:t>Chicaiza</w:t>
      </w:r>
      <w:proofErr w:type="spellEnd"/>
      <w:r w:rsidRPr="00732F0C">
        <w:rPr>
          <w:rFonts w:ascii="Cambria" w:hAnsi="Cambria"/>
          <w:sz w:val="20"/>
          <w:szCs w:val="20"/>
          <w:lang w:val="es-CR"/>
        </w:rPr>
        <w:t xml:space="preserve"> “por falta de prueba”</w:t>
      </w:r>
      <w:r w:rsidRPr="00732F0C">
        <w:rPr>
          <w:rStyle w:val="FootnoteReference"/>
          <w:rFonts w:ascii="Cambria" w:hAnsi="Cambria"/>
          <w:sz w:val="20"/>
          <w:szCs w:val="20"/>
          <w:lang w:val="es-CR"/>
        </w:rPr>
        <w:footnoteReference w:id="52"/>
      </w:r>
      <w:r w:rsidRPr="00732F0C">
        <w:rPr>
          <w:rFonts w:ascii="Cambria" w:hAnsi="Cambria"/>
          <w:sz w:val="20"/>
          <w:szCs w:val="20"/>
          <w:lang w:val="es-CR"/>
        </w:rPr>
        <w:t>.</w:t>
      </w:r>
      <w:r w:rsidR="007B047A" w:rsidRPr="00732F0C">
        <w:rPr>
          <w:rFonts w:ascii="Cambria" w:hAnsi="Cambria"/>
          <w:sz w:val="20"/>
          <w:szCs w:val="20"/>
          <w:lang w:val="es-CR"/>
        </w:rPr>
        <w:t xml:space="preserve"> Sostuvo que al señor Guzmán “no se lo puede señalar como cómplice puesto que no se ha probado que haya colaborado directa o indirectamente en la ejecución de las </w:t>
      </w:r>
      <w:r w:rsidR="007B047A" w:rsidRPr="00732F0C">
        <w:rPr>
          <w:rFonts w:ascii="Cambria" w:hAnsi="Cambria"/>
          <w:sz w:val="20"/>
          <w:szCs w:val="20"/>
          <w:lang w:val="es-CR"/>
        </w:rPr>
        <w:lastRenderedPageBreak/>
        <w:t>infracciones”</w:t>
      </w:r>
      <w:r w:rsidR="007B047A" w:rsidRPr="00732F0C">
        <w:rPr>
          <w:rStyle w:val="FootnoteReference"/>
          <w:rFonts w:ascii="Cambria" w:hAnsi="Cambria"/>
          <w:sz w:val="20"/>
          <w:szCs w:val="20"/>
          <w:lang w:val="es-CR"/>
        </w:rPr>
        <w:footnoteReference w:id="53"/>
      </w:r>
      <w:r w:rsidR="007B047A" w:rsidRPr="00732F0C">
        <w:rPr>
          <w:rFonts w:ascii="Cambria" w:hAnsi="Cambria"/>
          <w:sz w:val="20"/>
          <w:szCs w:val="20"/>
          <w:lang w:val="es-CR"/>
        </w:rPr>
        <w:t>. Agregó que tampoco se ha probado que José Ignacio de la Cruz “sea responsable como autor cómplice ni encubridor”</w:t>
      </w:r>
      <w:r w:rsidR="007B047A" w:rsidRPr="00732F0C">
        <w:rPr>
          <w:rStyle w:val="FootnoteReference"/>
          <w:rFonts w:ascii="Cambria" w:hAnsi="Cambria"/>
          <w:sz w:val="20"/>
          <w:szCs w:val="20"/>
          <w:lang w:val="es-CR"/>
        </w:rPr>
        <w:footnoteReference w:id="54"/>
      </w:r>
      <w:r w:rsidR="007B047A" w:rsidRPr="00732F0C">
        <w:rPr>
          <w:rFonts w:ascii="Cambria" w:hAnsi="Cambria"/>
          <w:sz w:val="20"/>
          <w:szCs w:val="20"/>
          <w:lang w:val="es-CR"/>
        </w:rPr>
        <w:t>.</w:t>
      </w:r>
    </w:p>
    <w:p w:rsidR="002832AC" w:rsidRPr="00732F0C" w:rsidRDefault="002832AC" w:rsidP="00842D6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sz w:val="20"/>
          <w:szCs w:val="20"/>
          <w:lang w:val="es-CR"/>
        </w:rPr>
      </w:pPr>
    </w:p>
    <w:p w:rsidR="002832AC" w:rsidRPr="00732F0C" w:rsidRDefault="00691D79" w:rsidP="00842D6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CR"/>
        </w:rPr>
      </w:pPr>
      <w:r w:rsidRPr="00732F0C">
        <w:rPr>
          <w:rFonts w:ascii="Cambria" w:hAnsi="Cambria"/>
          <w:sz w:val="20"/>
          <w:szCs w:val="20"/>
          <w:lang w:val="es-CR"/>
        </w:rPr>
        <w:t>El</w:t>
      </w:r>
      <w:r w:rsidRPr="00732F0C">
        <w:rPr>
          <w:rFonts w:ascii="Cambria" w:hAnsi="Cambria"/>
          <w:sz w:val="20"/>
          <w:szCs w:val="20"/>
          <w:lang w:val="es-AR"/>
        </w:rPr>
        <w:t xml:space="preserve"> 16 de septiembre de 1994 el médico legista designado por</w:t>
      </w:r>
      <w:r w:rsidR="00A24688" w:rsidRPr="00732F0C">
        <w:rPr>
          <w:rFonts w:ascii="Cambria" w:hAnsi="Cambria"/>
          <w:sz w:val="20"/>
          <w:szCs w:val="20"/>
          <w:lang w:val="es-AR"/>
        </w:rPr>
        <w:t xml:space="preserve"> </w:t>
      </w:r>
      <w:r w:rsidRPr="00732F0C">
        <w:rPr>
          <w:rFonts w:ascii="Cambria" w:hAnsi="Cambria"/>
          <w:sz w:val="20"/>
          <w:szCs w:val="20"/>
          <w:lang w:val="es-AR"/>
        </w:rPr>
        <w:t>el</w:t>
      </w:r>
      <w:r w:rsidR="00A24688" w:rsidRPr="00732F0C">
        <w:rPr>
          <w:rFonts w:ascii="Cambria" w:hAnsi="Cambria"/>
          <w:sz w:val="20"/>
          <w:szCs w:val="20"/>
          <w:lang w:val="es-AR"/>
        </w:rPr>
        <w:t xml:space="preserve"> Juez Tercero en lo Penal de Imbabura, realizó un examen del protocolo de autopsia médico legal de Jorge Darwin García y los peritajes balísticos obrantes en la causa</w:t>
      </w:r>
      <w:r w:rsidR="00382C9C" w:rsidRPr="00732F0C">
        <w:rPr>
          <w:rStyle w:val="FootnoteReference"/>
          <w:rFonts w:ascii="Cambria" w:hAnsi="Cambria"/>
          <w:sz w:val="20"/>
          <w:szCs w:val="20"/>
        </w:rPr>
        <w:footnoteReference w:id="55"/>
      </w:r>
      <w:r w:rsidR="00A24688" w:rsidRPr="00732F0C">
        <w:rPr>
          <w:rFonts w:ascii="Cambria" w:hAnsi="Cambria"/>
          <w:sz w:val="20"/>
          <w:szCs w:val="20"/>
          <w:lang w:val="es-AR"/>
        </w:rPr>
        <w:t>. En cuanto al protocolo de au</w:t>
      </w:r>
      <w:r w:rsidR="00382C9C" w:rsidRPr="00732F0C">
        <w:rPr>
          <w:rFonts w:ascii="Cambria" w:hAnsi="Cambria"/>
          <w:sz w:val="20"/>
          <w:szCs w:val="20"/>
          <w:lang w:val="es-AR"/>
        </w:rPr>
        <w:t>topsia, el médico identificó las siguientes irregularidades</w:t>
      </w:r>
      <w:r w:rsidR="00A24688" w:rsidRPr="00732F0C">
        <w:rPr>
          <w:rFonts w:ascii="Cambria" w:hAnsi="Cambria"/>
          <w:sz w:val="20"/>
          <w:szCs w:val="20"/>
          <w:lang w:val="es-AR"/>
        </w:rPr>
        <w:t>: i) los</w:t>
      </w:r>
      <w:r w:rsidR="00A24688" w:rsidRPr="00732F0C">
        <w:rPr>
          <w:rFonts w:ascii="Cambria" w:hAnsi="Cambria"/>
          <w:sz w:val="20"/>
          <w:szCs w:val="20"/>
          <w:lang w:val="es-CR"/>
        </w:rPr>
        <w:t xml:space="preserve"> orificios de entrada po</w:t>
      </w:r>
      <w:r w:rsidR="002832AC" w:rsidRPr="00732F0C">
        <w:rPr>
          <w:rFonts w:ascii="Cambria" w:hAnsi="Cambria"/>
          <w:sz w:val="20"/>
          <w:szCs w:val="20"/>
          <w:lang w:val="es-CR"/>
        </w:rPr>
        <w:t>r un proyectil de arma de fuego</w:t>
      </w:r>
      <w:r w:rsidR="00A24688" w:rsidRPr="00732F0C">
        <w:rPr>
          <w:rFonts w:ascii="Cambria" w:hAnsi="Cambria"/>
          <w:sz w:val="20"/>
          <w:szCs w:val="20"/>
          <w:lang w:val="es-CR"/>
        </w:rPr>
        <w:t xml:space="preserve"> se miden en milímetros y no en centímetros para ser más exacto</w:t>
      </w:r>
      <w:r w:rsidR="002832AC" w:rsidRPr="00732F0C">
        <w:rPr>
          <w:rFonts w:ascii="Cambria" w:hAnsi="Cambria"/>
          <w:sz w:val="20"/>
          <w:szCs w:val="20"/>
          <w:lang w:val="es-CR"/>
        </w:rPr>
        <w:t>s</w:t>
      </w:r>
      <w:r w:rsidR="00A24688" w:rsidRPr="00732F0C">
        <w:rPr>
          <w:rFonts w:ascii="Cambria" w:hAnsi="Cambria"/>
          <w:sz w:val="20"/>
          <w:szCs w:val="20"/>
          <w:lang w:val="es-CR"/>
        </w:rPr>
        <w:t xml:space="preserve"> y para poderlos relacionar con el “diámetro” </w:t>
      </w:r>
      <w:r w:rsidR="00382C9C" w:rsidRPr="00732F0C">
        <w:rPr>
          <w:rFonts w:ascii="Cambria" w:hAnsi="Cambria"/>
          <w:sz w:val="20"/>
          <w:szCs w:val="20"/>
          <w:lang w:val="es-CR"/>
        </w:rPr>
        <w:t>del proyectil medido en su base;</w:t>
      </w:r>
      <w:r w:rsidR="00A24688" w:rsidRPr="00732F0C">
        <w:rPr>
          <w:rFonts w:ascii="Cambria" w:hAnsi="Cambria"/>
          <w:sz w:val="20"/>
          <w:szCs w:val="20"/>
          <w:lang w:val="es-CR"/>
        </w:rPr>
        <w:t xml:space="preserve"> ii) en los orificios no se descr</w:t>
      </w:r>
      <w:r w:rsidR="00382C9C" w:rsidRPr="00732F0C">
        <w:rPr>
          <w:rFonts w:ascii="Cambria" w:hAnsi="Cambria"/>
          <w:sz w:val="20"/>
          <w:szCs w:val="20"/>
          <w:lang w:val="es-CR"/>
        </w:rPr>
        <w:t xml:space="preserve">ibe ni tatuaje ni halo de </w:t>
      </w:r>
      <w:proofErr w:type="spellStart"/>
      <w:r w:rsidR="00382C9C" w:rsidRPr="00732F0C">
        <w:rPr>
          <w:rFonts w:ascii="Cambria" w:hAnsi="Cambria"/>
          <w:sz w:val="20"/>
          <w:szCs w:val="20"/>
          <w:lang w:val="es-CR"/>
        </w:rPr>
        <w:t>Fisch</w:t>
      </w:r>
      <w:proofErr w:type="spellEnd"/>
      <w:r w:rsidR="00382C9C" w:rsidRPr="00732F0C">
        <w:rPr>
          <w:rFonts w:ascii="Cambria" w:hAnsi="Cambria"/>
          <w:sz w:val="20"/>
          <w:szCs w:val="20"/>
          <w:lang w:val="es-CR"/>
        </w:rPr>
        <w:t>;</w:t>
      </w:r>
      <w:r w:rsidR="00A24688" w:rsidRPr="00732F0C">
        <w:rPr>
          <w:rFonts w:ascii="Cambria" w:hAnsi="Cambria"/>
          <w:sz w:val="20"/>
          <w:szCs w:val="20"/>
          <w:lang w:val="es-CR"/>
        </w:rPr>
        <w:t xml:space="preserve"> iii) en el examen interno no se des</w:t>
      </w:r>
      <w:r w:rsidR="00382C9C" w:rsidRPr="00732F0C">
        <w:rPr>
          <w:rFonts w:ascii="Cambria" w:hAnsi="Cambria"/>
          <w:sz w:val="20"/>
          <w:szCs w:val="20"/>
          <w:lang w:val="es-CR"/>
        </w:rPr>
        <w:t>cribe el trayecto del proyectil;</w:t>
      </w:r>
      <w:r w:rsidR="00A24688" w:rsidRPr="00732F0C">
        <w:rPr>
          <w:rFonts w:ascii="Cambria" w:hAnsi="Cambria"/>
          <w:sz w:val="20"/>
          <w:szCs w:val="20"/>
          <w:lang w:val="es-CR"/>
        </w:rPr>
        <w:t xml:space="preserve"> iv) no se indica la causa de la fractura del brazo izquierdo, ni se describe el orificio de entrada ni las características </w:t>
      </w:r>
      <w:r w:rsidR="00382C9C" w:rsidRPr="00732F0C">
        <w:rPr>
          <w:rFonts w:ascii="Cambria" w:hAnsi="Cambria"/>
          <w:sz w:val="20"/>
          <w:szCs w:val="20"/>
          <w:lang w:val="es-CR"/>
        </w:rPr>
        <w:t>del proyectil</w:t>
      </w:r>
      <w:r w:rsidR="002832AC" w:rsidRPr="00732F0C">
        <w:rPr>
          <w:rFonts w:ascii="Cambria" w:hAnsi="Cambria"/>
          <w:sz w:val="20"/>
          <w:szCs w:val="20"/>
          <w:lang w:val="es-CR"/>
        </w:rPr>
        <w:t xml:space="preserve"> que habría estado en dicho brazo</w:t>
      </w:r>
      <w:r w:rsidR="00382C9C" w:rsidRPr="00732F0C">
        <w:rPr>
          <w:rFonts w:ascii="Cambria" w:hAnsi="Cambria"/>
          <w:sz w:val="20"/>
          <w:szCs w:val="20"/>
          <w:lang w:val="es-CR"/>
        </w:rPr>
        <w:t>;</w:t>
      </w:r>
      <w:r w:rsidR="00A24688" w:rsidRPr="00732F0C">
        <w:rPr>
          <w:rFonts w:ascii="Cambria" w:hAnsi="Cambria"/>
          <w:sz w:val="20"/>
          <w:szCs w:val="20"/>
          <w:lang w:val="es-CR"/>
        </w:rPr>
        <w:t xml:space="preserve"> v) no se indica cuál fue el orificio de entra</w:t>
      </w:r>
      <w:r w:rsidR="00382C9C" w:rsidRPr="00732F0C">
        <w:rPr>
          <w:rFonts w:ascii="Cambria" w:hAnsi="Cambria"/>
          <w:sz w:val="20"/>
          <w:szCs w:val="20"/>
          <w:lang w:val="es-CR"/>
        </w:rPr>
        <w:t>da ni el de salida en la cabeza;</w:t>
      </w:r>
      <w:r w:rsidR="00A24688" w:rsidRPr="00732F0C">
        <w:rPr>
          <w:rFonts w:ascii="Cambria" w:hAnsi="Cambria"/>
          <w:sz w:val="20"/>
          <w:szCs w:val="20"/>
          <w:lang w:val="es-CR"/>
        </w:rPr>
        <w:t xml:space="preserve"> </w:t>
      </w:r>
      <w:r w:rsidR="002832AC" w:rsidRPr="00732F0C">
        <w:rPr>
          <w:rFonts w:ascii="Cambria" w:hAnsi="Cambria"/>
          <w:sz w:val="20"/>
          <w:szCs w:val="20"/>
          <w:lang w:val="es-CR"/>
        </w:rPr>
        <w:t xml:space="preserve">y </w:t>
      </w:r>
      <w:r w:rsidR="00A24688" w:rsidRPr="00732F0C">
        <w:rPr>
          <w:rFonts w:ascii="Cambria" w:hAnsi="Cambria"/>
          <w:sz w:val="20"/>
          <w:szCs w:val="20"/>
          <w:lang w:val="es-CR"/>
        </w:rPr>
        <w:t>vi) se describen en el examen externo orificios</w:t>
      </w:r>
      <w:r w:rsidR="002832AC" w:rsidRPr="00732F0C">
        <w:rPr>
          <w:rFonts w:ascii="Cambria" w:hAnsi="Cambria"/>
          <w:sz w:val="20"/>
          <w:szCs w:val="20"/>
          <w:lang w:val="es-CR"/>
        </w:rPr>
        <w:t xml:space="preserve"> de proyectil de arma de fuego </w:t>
      </w:r>
      <w:r w:rsidR="00A24688" w:rsidRPr="00732F0C">
        <w:rPr>
          <w:rFonts w:ascii="Cambria" w:hAnsi="Cambria"/>
          <w:sz w:val="20"/>
          <w:szCs w:val="20"/>
          <w:lang w:val="es-CR"/>
        </w:rPr>
        <w:t>pero no s</w:t>
      </w:r>
      <w:r w:rsidR="002832AC" w:rsidRPr="00732F0C">
        <w:rPr>
          <w:rFonts w:ascii="Cambria" w:hAnsi="Cambria"/>
          <w:sz w:val="20"/>
          <w:szCs w:val="20"/>
          <w:lang w:val="es-CR"/>
        </w:rPr>
        <w:t>e los describe en el plano óseo</w:t>
      </w:r>
      <w:r w:rsidR="0031398D" w:rsidRPr="00732F0C">
        <w:rPr>
          <w:rStyle w:val="FootnoteReference"/>
          <w:rFonts w:ascii="Cambria" w:hAnsi="Cambria"/>
          <w:sz w:val="20"/>
          <w:szCs w:val="20"/>
        </w:rPr>
        <w:footnoteReference w:id="56"/>
      </w:r>
      <w:r w:rsidR="002832AC" w:rsidRPr="00732F0C">
        <w:rPr>
          <w:rFonts w:ascii="Cambria" w:hAnsi="Cambria"/>
          <w:sz w:val="20"/>
          <w:szCs w:val="20"/>
          <w:lang w:val="es-CR"/>
        </w:rPr>
        <w:t>.</w:t>
      </w:r>
    </w:p>
    <w:p w:rsidR="00A24688" w:rsidRPr="00732F0C" w:rsidRDefault="00A24688" w:rsidP="00842D6E">
      <w:pPr>
        <w:tabs>
          <w:tab w:val="left" w:pos="1440"/>
        </w:tabs>
        <w:jc w:val="both"/>
        <w:rPr>
          <w:rFonts w:ascii="Cambria" w:hAnsi="Cambria"/>
          <w:sz w:val="20"/>
          <w:szCs w:val="20"/>
          <w:lang w:val="es-CR"/>
        </w:rPr>
      </w:pPr>
    </w:p>
    <w:p w:rsidR="00A24688" w:rsidRPr="00732F0C" w:rsidRDefault="00382C9C" w:rsidP="00842D6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CR"/>
        </w:rPr>
      </w:pPr>
      <w:r w:rsidRPr="00732F0C">
        <w:rPr>
          <w:rFonts w:ascii="Cambria" w:hAnsi="Cambria"/>
          <w:sz w:val="20"/>
          <w:szCs w:val="20"/>
          <w:lang w:val="es-CR"/>
        </w:rPr>
        <w:t xml:space="preserve">El 20 de octubre de 1994 </w:t>
      </w:r>
      <w:r w:rsidR="00A24688" w:rsidRPr="00732F0C">
        <w:rPr>
          <w:rFonts w:ascii="Cambria" w:hAnsi="Cambria"/>
          <w:sz w:val="20"/>
          <w:szCs w:val="20"/>
          <w:lang w:val="es-CR"/>
        </w:rPr>
        <w:t xml:space="preserve">el Juez Tercero en lo Penal de Imbabura emitió auto de llamamiento a plenario contra Segundo Néstor de la Cruz </w:t>
      </w:r>
      <w:proofErr w:type="spellStart"/>
      <w:r w:rsidR="00A24688" w:rsidRPr="00732F0C">
        <w:rPr>
          <w:rFonts w:ascii="Cambria" w:hAnsi="Cambria"/>
          <w:sz w:val="20"/>
          <w:szCs w:val="20"/>
          <w:lang w:val="es-CR"/>
        </w:rPr>
        <w:t>Chicaiza</w:t>
      </w:r>
      <w:proofErr w:type="spellEnd"/>
      <w:r w:rsidRPr="00732F0C">
        <w:rPr>
          <w:rFonts w:ascii="Cambria" w:hAnsi="Cambria"/>
          <w:sz w:val="20"/>
          <w:szCs w:val="20"/>
          <w:lang w:val="es-CR"/>
        </w:rPr>
        <w:t>,</w:t>
      </w:r>
      <w:r w:rsidR="00A24688" w:rsidRPr="00732F0C">
        <w:rPr>
          <w:rFonts w:ascii="Cambria" w:hAnsi="Cambria"/>
          <w:sz w:val="20"/>
          <w:szCs w:val="20"/>
          <w:lang w:val="es-CR"/>
        </w:rPr>
        <w:t xml:space="preserve"> como presunto autor</w:t>
      </w:r>
      <w:r w:rsidRPr="00732F0C">
        <w:rPr>
          <w:rFonts w:ascii="Cambria" w:hAnsi="Cambria"/>
          <w:sz w:val="20"/>
          <w:szCs w:val="20"/>
          <w:lang w:val="es-CR"/>
        </w:rPr>
        <w:t>,</w:t>
      </w:r>
      <w:r w:rsidR="00A24688" w:rsidRPr="00732F0C">
        <w:rPr>
          <w:rFonts w:ascii="Cambria" w:hAnsi="Cambria"/>
          <w:sz w:val="20"/>
          <w:szCs w:val="20"/>
          <w:lang w:val="es-CR"/>
        </w:rPr>
        <w:t xml:space="preserve"> y Edwin Ramiro Guzmán Carrera</w:t>
      </w:r>
      <w:r w:rsidRPr="00732F0C">
        <w:rPr>
          <w:rFonts w:ascii="Cambria" w:hAnsi="Cambria"/>
          <w:sz w:val="20"/>
          <w:szCs w:val="20"/>
          <w:lang w:val="es-CR"/>
        </w:rPr>
        <w:t>,</w:t>
      </w:r>
      <w:r w:rsidR="00A24688" w:rsidRPr="00732F0C">
        <w:rPr>
          <w:rFonts w:ascii="Cambria" w:hAnsi="Cambria"/>
          <w:sz w:val="20"/>
          <w:szCs w:val="20"/>
          <w:lang w:val="es-CR"/>
        </w:rPr>
        <w:t xml:space="preserve"> como presunto cómplice</w:t>
      </w:r>
      <w:r w:rsidRPr="00732F0C">
        <w:rPr>
          <w:rFonts w:ascii="Cambria" w:hAnsi="Cambria"/>
          <w:sz w:val="20"/>
          <w:szCs w:val="20"/>
          <w:lang w:val="es-CR"/>
        </w:rPr>
        <w:t>,</w:t>
      </w:r>
      <w:r w:rsidR="00A24688" w:rsidRPr="00732F0C">
        <w:rPr>
          <w:rFonts w:ascii="Cambria" w:hAnsi="Cambria"/>
          <w:sz w:val="20"/>
          <w:szCs w:val="20"/>
          <w:lang w:val="es-CR"/>
        </w:rPr>
        <w:t xml:space="preserve"> del delito de homicidio</w:t>
      </w:r>
      <w:r w:rsidRPr="00732F0C">
        <w:rPr>
          <w:rStyle w:val="FootnoteReference"/>
          <w:rFonts w:ascii="Cambria" w:hAnsi="Cambria"/>
          <w:sz w:val="20"/>
          <w:szCs w:val="20"/>
        </w:rPr>
        <w:footnoteReference w:id="57"/>
      </w:r>
      <w:r w:rsidRPr="00732F0C">
        <w:rPr>
          <w:rFonts w:ascii="Cambria" w:hAnsi="Cambria"/>
          <w:sz w:val="20"/>
          <w:szCs w:val="20"/>
          <w:lang w:val="es-CR"/>
        </w:rPr>
        <w:t>. Asimismo,</w:t>
      </w:r>
      <w:r w:rsidR="00A24688" w:rsidRPr="00732F0C">
        <w:rPr>
          <w:rFonts w:ascii="Cambria" w:hAnsi="Cambria"/>
          <w:sz w:val="20"/>
          <w:szCs w:val="20"/>
          <w:lang w:val="es-CR"/>
        </w:rPr>
        <w:t xml:space="preserve"> sobreseyó provisionalmente a J</w:t>
      </w:r>
      <w:r w:rsidR="001C77C1" w:rsidRPr="00732F0C">
        <w:rPr>
          <w:rFonts w:ascii="Cambria" w:hAnsi="Cambria"/>
          <w:sz w:val="20"/>
          <w:szCs w:val="20"/>
          <w:lang w:val="es-CR"/>
        </w:rPr>
        <w:t xml:space="preserve">osé Ignacio de la Cruz </w:t>
      </w:r>
      <w:proofErr w:type="spellStart"/>
      <w:r w:rsidR="001C77C1" w:rsidRPr="00732F0C">
        <w:rPr>
          <w:rFonts w:ascii="Cambria" w:hAnsi="Cambria"/>
          <w:sz w:val="20"/>
          <w:szCs w:val="20"/>
          <w:lang w:val="es-CR"/>
        </w:rPr>
        <w:t>Chicaiza</w:t>
      </w:r>
      <w:proofErr w:type="spellEnd"/>
      <w:r w:rsidR="00A24688" w:rsidRPr="00732F0C">
        <w:rPr>
          <w:rStyle w:val="FootnoteReference"/>
          <w:rFonts w:ascii="Cambria" w:hAnsi="Cambria"/>
          <w:sz w:val="20"/>
          <w:szCs w:val="20"/>
        </w:rPr>
        <w:footnoteReference w:id="58"/>
      </w:r>
      <w:r w:rsidR="00A24688" w:rsidRPr="00732F0C">
        <w:rPr>
          <w:rFonts w:ascii="Cambria" w:hAnsi="Cambria"/>
          <w:sz w:val="20"/>
          <w:szCs w:val="20"/>
          <w:lang w:val="es-CR"/>
        </w:rPr>
        <w:t xml:space="preserve">. </w:t>
      </w:r>
    </w:p>
    <w:p w:rsidR="00A24688" w:rsidRPr="00732F0C" w:rsidRDefault="00A24688" w:rsidP="00842D6E">
      <w:pPr>
        <w:tabs>
          <w:tab w:val="left" w:pos="1440"/>
        </w:tabs>
        <w:ind w:firstLine="720"/>
        <w:jc w:val="both"/>
        <w:rPr>
          <w:rFonts w:ascii="Cambria" w:hAnsi="Cambria"/>
          <w:sz w:val="20"/>
          <w:szCs w:val="20"/>
          <w:lang w:val="es-CR"/>
        </w:rPr>
      </w:pPr>
    </w:p>
    <w:p w:rsidR="00A24688" w:rsidRPr="00732F0C" w:rsidRDefault="001C77C1" w:rsidP="00842D6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CR"/>
        </w:rPr>
      </w:pPr>
      <w:r w:rsidRPr="00732F0C">
        <w:rPr>
          <w:rFonts w:ascii="Cambria" w:hAnsi="Cambria"/>
          <w:sz w:val="20"/>
          <w:szCs w:val="20"/>
          <w:lang w:val="es-CR"/>
        </w:rPr>
        <w:t>El 29 de agosto de 1995</w:t>
      </w:r>
      <w:r w:rsidR="00A24688" w:rsidRPr="00732F0C">
        <w:rPr>
          <w:rFonts w:ascii="Cambria" w:hAnsi="Cambria"/>
          <w:sz w:val="20"/>
          <w:szCs w:val="20"/>
          <w:lang w:val="es-CR"/>
        </w:rPr>
        <w:t xml:space="preserve"> la Sala Segunda de la Corte Superior de Justicia de Ibarra confirmó el auto de sobreseimiento</w:t>
      </w:r>
      <w:r w:rsidRPr="00732F0C">
        <w:rPr>
          <w:rFonts w:ascii="Cambria" w:hAnsi="Cambria"/>
          <w:sz w:val="20"/>
          <w:szCs w:val="20"/>
          <w:lang w:val="es-CR"/>
        </w:rPr>
        <w:t xml:space="preserve"> de José de la Cruz</w:t>
      </w:r>
      <w:r w:rsidR="00A24688" w:rsidRPr="00732F0C">
        <w:rPr>
          <w:rFonts w:ascii="Cambria" w:hAnsi="Cambria"/>
          <w:sz w:val="20"/>
          <w:szCs w:val="20"/>
          <w:lang w:val="es-CR"/>
        </w:rPr>
        <w:t xml:space="preserve"> y el auto de llamamiento a plenario solamente respecto de Segundo Néstor de la Cruz </w:t>
      </w:r>
      <w:proofErr w:type="spellStart"/>
      <w:r w:rsidR="00A24688" w:rsidRPr="00732F0C">
        <w:rPr>
          <w:rFonts w:ascii="Cambria" w:hAnsi="Cambria"/>
          <w:sz w:val="20"/>
          <w:szCs w:val="20"/>
          <w:lang w:val="es-CR"/>
        </w:rPr>
        <w:t>Chicaiza</w:t>
      </w:r>
      <w:proofErr w:type="spellEnd"/>
      <w:r w:rsidR="00A24688" w:rsidRPr="00732F0C">
        <w:rPr>
          <w:rFonts w:ascii="Cambria" w:hAnsi="Cambria"/>
          <w:sz w:val="20"/>
          <w:szCs w:val="20"/>
          <w:lang w:val="es-CR"/>
        </w:rPr>
        <w:t>, por entender que no existían graves indicios de responsabilidad en contra de Edwin Ramiro Guzmán</w:t>
      </w:r>
      <w:r w:rsidR="00A24688" w:rsidRPr="00732F0C">
        <w:rPr>
          <w:rStyle w:val="FootnoteReference"/>
          <w:rFonts w:ascii="Cambria" w:hAnsi="Cambria"/>
          <w:sz w:val="20"/>
          <w:szCs w:val="20"/>
        </w:rPr>
        <w:footnoteReference w:id="59"/>
      </w:r>
      <w:r w:rsidR="00A24688" w:rsidRPr="00732F0C">
        <w:rPr>
          <w:rFonts w:ascii="Cambria" w:hAnsi="Cambria"/>
          <w:sz w:val="20"/>
          <w:szCs w:val="20"/>
          <w:lang w:val="es-CR"/>
        </w:rPr>
        <w:t xml:space="preserve">. </w:t>
      </w:r>
    </w:p>
    <w:p w:rsidR="00A24688" w:rsidRPr="00732F0C" w:rsidRDefault="00A24688" w:rsidP="00842D6E">
      <w:pPr>
        <w:tabs>
          <w:tab w:val="left" w:pos="1440"/>
        </w:tabs>
        <w:ind w:firstLine="720"/>
        <w:jc w:val="both"/>
        <w:rPr>
          <w:rFonts w:ascii="Cambria" w:hAnsi="Cambria"/>
          <w:sz w:val="20"/>
          <w:szCs w:val="20"/>
          <w:lang w:val="es-CR"/>
        </w:rPr>
      </w:pPr>
    </w:p>
    <w:p w:rsidR="00971A9F" w:rsidRPr="00732F0C" w:rsidRDefault="001C77C1" w:rsidP="00842D6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CR"/>
        </w:rPr>
      </w:pPr>
      <w:r w:rsidRPr="00732F0C">
        <w:rPr>
          <w:rFonts w:ascii="Cambria" w:hAnsi="Cambria"/>
          <w:sz w:val="20"/>
          <w:szCs w:val="20"/>
          <w:lang w:val="es-CR"/>
        </w:rPr>
        <w:t>El 3 de septiembre de 1995</w:t>
      </w:r>
      <w:r w:rsidR="00A24688" w:rsidRPr="00732F0C">
        <w:rPr>
          <w:rFonts w:ascii="Cambria" w:hAnsi="Cambria"/>
          <w:sz w:val="20"/>
          <w:szCs w:val="20"/>
          <w:lang w:val="es-CR"/>
        </w:rPr>
        <w:t xml:space="preserve"> el Tribunal Penal de Imbabura declaró que Segundo Néstor de la Cruz </w:t>
      </w:r>
      <w:proofErr w:type="spellStart"/>
      <w:r w:rsidR="00A24688" w:rsidRPr="00732F0C">
        <w:rPr>
          <w:rFonts w:ascii="Cambria" w:hAnsi="Cambria"/>
          <w:sz w:val="20"/>
          <w:szCs w:val="20"/>
          <w:lang w:val="es-CR"/>
        </w:rPr>
        <w:t>Chicaiza</w:t>
      </w:r>
      <w:proofErr w:type="spellEnd"/>
      <w:r w:rsidR="00A24688" w:rsidRPr="00732F0C">
        <w:rPr>
          <w:rFonts w:ascii="Cambria" w:hAnsi="Cambria"/>
          <w:sz w:val="20"/>
          <w:szCs w:val="20"/>
          <w:lang w:val="es-CR"/>
        </w:rPr>
        <w:t xml:space="preserve"> </w:t>
      </w:r>
      <w:r w:rsidR="008959FA" w:rsidRPr="00732F0C">
        <w:rPr>
          <w:rFonts w:ascii="Cambria" w:hAnsi="Cambria"/>
          <w:sz w:val="20"/>
          <w:szCs w:val="20"/>
          <w:lang w:val="es-CR"/>
        </w:rPr>
        <w:t>es responsable del homicidio de Jorge Darwin conforme el artículo 449 del Código Penal, y del intento de homicidio de Franklin Plutarco conforme a los artículos 16, 49 y 449 del Código Penal</w:t>
      </w:r>
      <w:r w:rsidR="008959FA" w:rsidRPr="00732F0C">
        <w:rPr>
          <w:rStyle w:val="FootnoteReference"/>
          <w:rFonts w:ascii="Cambria" w:hAnsi="Cambria"/>
          <w:sz w:val="20"/>
          <w:szCs w:val="20"/>
          <w:lang w:val="es-AR"/>
        </w:rPr>
        <w:footnoteReference w:id="60"/>
      </w:r>
      <w:r w:rsidR="008959FA" w:rsidRPr="00732F0C">
        <w:rPr>
          <w:rFonts w:ascii="Cambria" w:hAnsi="Cambria"/>
          <w:sz w:val="20"/>
          <w:szCs w:val="20"/>
          <w:lang w:val="es-CR"/>
        </w:rPr>
        <w:t xml:space="preserve">.  </w:t>
      </w:r>
      <w:r w:rsidR="00971A9F" w:rsidRPr="00732F0C">
        <w:rPr>
          <w:rFonts w:ascii="Cambria" w:hAnsi="Cambria"/>
          <w:sz w:val="20"/>
          <w:szCs w:val="20"/>
          <w:lang w:val="es-CR"/>
        </w:rPr>
        <w:t>Sostuvo que conforme a los informes realizados, los disparos en contra de Jorge Darwin fueron realizados de frente y a poca distancia por lo que rechazó las declaraciones del señor de la Cruz relacionadas a que habría sido golpeado y haya estado en el suelo</w:t>
      </w:r>
      <w:r w:rsidR="00971A9F" w:rsidRPr="00732F0C">
        <w:rPr>
          <w:rStyle w:val="FootnoteReference"/>
          <w:rFonts w:ascii="Cambria" w:hAnsi="Cambria"/>
          <w:sz w:val="20"/>
          <w:szCs w:val="20"/>
          <w:lang w:val="es-AR"/>
        </w:rPr>
        <w:footnoteReference w:id="61"/>
      </w:r>
      <w:r w:rsidR="00971A9F" w:rsidRPr="00732F0C">
        <w:rPr>
          <w:rFonts w:ascii="Cambria" w:hAnsi="Cambria"/>
          <w:sz w:val="20"/>
          <w:szCs w:val="20"/>
          <w:lang w:val="es-CR"/>
        </w:rPr>
        <w:t>.</w:t>
      </w:r>
    </w:p>
    <w:p w:rsidR="00971A9F" w:rsidRPr="00732F0C" w:rsidRDefault="00971A9F" w:rsidP="00842D6E">
      <w:pPr>
        <w:pStyle w:val="ListParagraph"/>
        <w:jc w:val="both"/>
        <w:rPr>
          <w:sz w:val="20"/>
          <w:szCs w:val="20"/>
          <w:lang w:val="es-CR"/>
        </w:rPr>
      </w:pPr>
    </w:p>
    <w:p w:rsidR="00A24688" w:rsidRPr="00732F0C" w:rsidRDefault="00971A9F" w:rsidP="00842D6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CR"/>
        </w:rPr>
      </w:pPr>
      <w:r w:rsidRPr="00732F0C">
        <w:rPr>
          <w:rFonts w:ascii="Cambria" w:hAnsi="Cambria"/>
          <w:sz w:val="20"/>
          <w:szCs w:val="20"/>
          <w:lang w:val="es-CR"/>
        </w:rPr>
        <w:t xml:space="preserve">El Tribunal concluyó que el señor de la Cruz </w:t>
      </w:r>
      <w:r w:rsidR="00A24688" w:rsidRPr="00732F0C">
        <w:rPr>
          <w:rFonts w:ascii="Cambria" w:hAnsi="Cambria"/>
          <w:sz w:val="20"/>
          <w:szCs w:val="20"/>
          <w:lang w:val="es-CR"/>
        </w:rPr>
        <w:t xml:space="preserve">“es responsable del delito tipificado y sancionado en el artículo 449 del Código Penal que es el delito más grave, y como ha justificado las atenuantes </w:t>
      </w:r>
      <w:r w:rsidR="00A24688" w:rsidRPr="00732F0C">
        <w:rPr>
          <w:rFonts w:ascii="Cambria" w:hAnsi="Cambria"/>
          <w:sz w:val="20"/>
          <w:szCs w:val="20"/>
          <w:lang w:val="es-AR"/>
        </w:rPr>
        <w:t>[6 y 7 del artículo 29 del Código Penal</w:t>
      </w:r>
      <w:r w:rsidR="00A24688" w:rsidRPr="00732F0C">
        <w:rPr>
          <w:rStyle w:val="FootnoteReference"/>
          <w:rFonts w:ascii="Cambria" w:hAnsi="Cambria"/>
          <w:sz w:val="20"/>
          <w:szCs w:val="20"/>
          <w:lang w:val="es-AR"/>
        </w:rPr>
        <w:footnoteReference w:id="62"/>
      </w:r>
      <w:r w:rsidR="00A24688" w:rsidRPr="00732F0C">
        <w:rPr>
          <w:rFonts w:ascii="Cambria" w:hAnsi="Cambria"/>
          <w:sz w:val="20"/>
          <w:szCs w:val="20"/>
          <w:lang w:val="es-AR"/>
        </w:rPr>
        <w:t xml:space="preserve">], atento a lo dispuesto en el inciso tercero del Art. 72 del Código citado, se le </w:t>
      </w:r>
      <w:r w:rsidR="00A24688" w:rsidRPr="00732F0C">
        <w:rPr>
          <w:rFonts w:ascii="Cambria" w:hAnsi="Cambria"/>
          <w:sz w:val="20"/>
          <w:szCs w:val="20"/>
          <w:lang w:val="es-AR"/>
        </w:rPr>
        <w:lastRenderedPageBreak/>
        <w:t>impone la pena modificada de SEIS AÑOS de reclusión menor que deberá cumplir en el Penal García Moreno de la ciudad de Quito, debiendo descontarse el tiempo que ha permanecido detenido por esta causa”</w:t>
      </w:r>
      <w:r w:rsidR="00A24688" w:rsidRPr="00732F0C">
        <w:rPr>
          <w:rStyle w:val="FootnoteReference"/>
          <w:rFonts w:ascii="Cambria" w:hAnsi="Cambria"/>
          <w:sz w:val="20"/>
          <w:szCs w:val="20"/>
          <w:lang w:val="es-AR"/>
        </w:rPr>
        <w:footnoteReference w:id="63"/>
      </w:r>
      <w:r w:rsidR="00A24688" w:rsidRPr="00732F0C">
        <w:rPr>
          <w:rFonts w:ascii="Cambria" w:hAnsi="Cambria"/>
          <w:sz w:val="20"/>
          <w:szCs w:val="20"/>
          <w:lang w:val="es-AR"/>
        </w:rPr>
        <w:t>.</w:t>
      </w:r>
      <w:r w:rsidR="00A24688" w:rsidRPr="00732F0C">
        <w:rPr>
          <w:rFonts w:ascii="Cambria" w:hAnsi="Cambria"/>
          <w:sz w:val="20"/>
          <w:szCs w:val="20"/>
          <w:lang w:val="es-CR"/>
        </w:rPr>
        <w:t xml:space="preserve"> </w:t>
      </w:r>
    </w:p>
    <w:p w:rsidR="00A24688" w:rsidRPr="00732F0C" w:rsidRDefault="00A24688" w:rsidP="00842D6E">
      <w:pPr>
        <w:tabs>
          <w:tab w:val="left" w:pos="1440"/>
        </w:tabs>
        <w:ind w:firstLine="720"/>
        <w:jc w:val="both"/>
        <w:rPr>
          <w:rFonts w:ascii="Cambria" w:hAnsi="Cambria"/>
          <w:sz w:val="20"/>
          <w:szCs w:val="20"/>
          <w:lang w:val="es-CR"/>
        </w:rPr>
      </w:pPr>
    </w:p>
    <w:p w:rsidR="00A24688" w:rsidRPr="00732F0C" w:rsidRDefault="001C77C1" w:rsidP="00842D6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CR"/>
        </w:rPr>
      </w:pPr>
      <w:r w:rsidRPr="00732F0C">
        <w:rPr>
          <w:rFonts w:ascii="Cambria" w:hAnsi="Cambria"/>
          <w:sz w:val="20"/>
          <w:szCs w:val="20"/>
          <w:lang w:val="es-CR"/>
        </w:rPr>
        <w:t>E</w:t>
      </w:r>
      <w:r w:rsidR="00A24688" w:rsidRPr="00732F0C">
        <w:rPr>
          <w:rFonts w:ascii="Cambria" w:hAnsi="Cambria"/>
          <w:sz w:val="20"/>
          <w:szCs w:val="20"/>
          <w:lang w:val="es-CR"/>
        </w:rPr>
        <w:t xml:space="preserve">l Tribunal </w:t>
      </w:r>
      <w:r w:rsidRPr="00732F0C">
        <w:rPr>
          <w:rFonts w:ascii="Cambria" w:hAnsi="Cambria"/>
          <w:sz w:val="20"/>
          <w:szCs w:val="20"/>
          <w:lang w:val="es-CR"/>
        </w:rPr>
        <w:t xml:space="preserve">señaló que </w:t>
      </w:r>
      <w:r w:rsidR="00A24688" w:rsidRPr="00732F0C">
        <w:rPr>
          <w:rFonts w:ascii="Cambria" w:hAnsi="Cambria"/>
          <w:sz w:val="20"/>
          <w:szCs w:val="20"/>
          <w:lang w:val="es-CR"/>
        </w:rPr>
        <w:t xml:space="preserve">tuvo en cuenta </w:t>
      </w:r>
      <w:r w:rsidRPr="00732F0C">
        <w:rPr>
          <w:rFonts w:ascii="Cambria" w:hAnsi="Cambria"/>
          <w:sz w:val="20"/>
          <w:szCs w:val="20"/>
          <w:lang w:val="es-CR"/>
        </w:rPr>
        <w:t>los siguientes elementos de prueba a efectos de emitir su sentencia</w:t>
      </w:r>
      <w:r w:rsidR="00A24688" w:rsidRPr="00732F0C">
        <w:rPr>
          <w:rFonts w:ascii="Cambria" w:hAnsi="Cambria"/>
          <w:sz w:val="20"/>
          <w:szCs w:val="20"/>
          <w:lang w:val="es-CR"/>
        </w:rPr>
        <w:t xml:space="preserve">: la identificación del cadáver, el protocolo de autopsia, la ampliación pericial obrante en la causa, la partida de defunción de Jorge Darwin García, la historia clínica de Franklin Plutarco García, el reconocimiento médico legal de Néstor de la Cruz </w:t>
      </w:r>
      <w:proofErr w:type="spellStart"/>
      <w:r w:rsidR="00A24688" w:rsidRPr="00732F0C">
        <w:rPr>
          <w:rFonts w:ascii="Cambria" w:hAnsi="Cambria"/>
          <w:sz w:val="20"/>
          <w:szCs w:val="20"/>
          <w:lang w:val="es-CR"/>
        </w:rPr>
        <w:t>Chicaiza</w:t>
      </w:r>
      <w:proofErr w:type="spellEnd"/>
      <w:r w:rsidR="00A24688" w:rsidRPr="00732F0C">
        <w:rPr>
          <w:rFonts w:ascii="Cambria" w:hAnsi="Cambria"/>
          <w:sz w:val="20"/>
          <w:szCs w:val="20"/>
          <w:lang w:val="es-CR"/>
        </w:rPr>
        <w:t xml:space="preserve">, el examen de laboratorio de proyectiles, la declaración de Edwin Ramiro Guzman Carrera, la prueba recolectada en la investigación policial, la declaración indagatoria de Néstor de la Cruz </w:t>
      </w:r>
      <w:proofErr w:type="spellStart"/>
      <w:r w:rsidR="00A24688" w:rsidRPr="00732F0C">
        <w:rPr>
          <w:rFonts w:ascii="Cambria" w:hAnsi="Cambria"/>
          <w:sz w:val="20"/>
          <w:szCs w:val="20"/>
          <w:lang w:val="es-CR"/>
        </w:rPr>
        <w:t>Chicaiza</w:t>
      </w:r>
      <w:proofErr w:type="spellEnd"/>
      <w:r w:rsidR="00A24688" w:rsidRPr="00732F0C">
        <w:rPr>
          <w:rFonts w:ascii="Cambria" w:hAnsi="Cambria"/>
          <w:sz w:val="20"/>
          <w:szCs w:val="20"/>
          <w:lang w:val="es-CR"/>
        </w:rPr>
        <w:t xml:space="preserve">, el testimonio de Segundo Mesías Espinoza Méndez, Edgar Silvio Torres </w:t>
      </w:r>
      <w:proofErr w:type="spellStart"/>
      <w:r w:rsidR="00A24688" w:rsidRPr="00732F0C">
        <w:rPr>
          <w:rFonts w:ascii="Cambria" w:hAnsi="Cambria"/>
          <w:sz w:val="20"/>
          <w:szCs w:val="20"/>
          <w:lang w:val="es-CR"/>
        </w:rPr>
        <w:t>Carcelen</w:t>
      </w:r>
      <w:proofErr w:type="spellEnd"/>
      <w:r w:rsidR="00A24688" w:rsidRPr="00732F0C">
        <w:rPr>
          <w:rFonts w:ascii="Cambria" w:hAnsi="Cambria"/>
          <w:sz w:val="20"/>
          <w:szCs w:val="20"/>
          <w:lang w:val="es-CR"/>
        </w:rPr>
        <w:t xml:space="preserve">, Segundo Eliecer </w:t>
      </w:r>
      <w:proofErr w:type="spellStart"/>
      <w:r w:rsidR="00A24688" w:rsidRPr="00732F0C">
        <w:rPr>
          <w:rFonts w:ascii="Cambria" w:hAnsi="Cambria"/>
          <w:sz w:val="20"/>
          <w:szCs w:val="20"/>
          <w:lang w:val="es-CR"/>
        </w:rPr>
        <w:t>Pijal</w:t>
      </w:r>
      <w:proofErr w:type="spellEnd"/>
      <w:r w:rsidR="00A24688" w:rsidRPr="00732F0C">
        <w:rPr>
          <w:rFonts w:ascii="Cambria" w:hAnsi="Cambria"/>
          <w:sz w:val="20"/>
          <w:szCs w:val="20"/>
          <w:lang w:val="es-CR"/>
        </w:rPr>
        <w:t xml:space="preserve"> </w:t>
      </w:r>
      <w:proofErr w:type="spellStart"/>
      <w:r w:rsidR="00A24688" w:rsidRPr="00732F0C">
        <w:rPr>
          <w:rFonts w:ascii="Cambria" w:hAnsi="Cambria"/>
          <w:sz w:val="20"/>
          <w:szCs w:val="20"/>
          <w:lang w:val="es-CR"/>
        </w:rPr>
        <w:t>Chicaiza</w:t>
      </w:r>
      <w:proofErr w:type="spellEnd"/>
      <w:r w:rsidR="00A24688" w:rsidRPr="00732F0C">
        <w:rPr>
          <w:rFonts w:ascii="Cambria" w:hAnsi="Cambria"/>
          <w:sz w:val="20"/>
          <w:szCs w:val="20"/>
          <w:lang w:val="es-CR"/>
        </w:rPr>
        <w:t xml:space="preserve"> y Cesar Manuel </w:t>
      </w:r>
      <w:proofErr w:type="spellStart"/>
      <w:r w:rsidR="00A24688" w:rsidRPr="00732F0C">
        <w:rPr>
          <w:rFonts w:ascii="Cambria" w:hAnsi="Cambria"/>
          <w:sz w:val="20"/>
          <w:szCs w:val="20"/>
          <w:lang w:val="es-CR"/>
        </w:rPr>
        <w:t>Farinango</w:t>
      </w:r>
      <w:proofErr w:type="spellEnd"/>
      <w:r w:rsidR="00A24688" w:rsidRPr="00732F0C">
        <w:rPr>
          <w:rFonts w:ascii="Cambria" w:hAnsi="Cambria"/>
          <w:sz w:val="20"/>
          <w:szCs w:val="20"/>
          <w:lang w:val="es-CR"/>
        </w:rPr>
        <w:t xml:space="preserve"> </w:t>
      </w:r>
      <w:proofErr w:type="spellStart"/>
      <w:r w:rsidR="00A24688" w:rsidRPr="00732F0C">
        <w:rPr>
          <w:rFonts w:ascii="Cambria" w:hAnsi="Cambria"/>
          <w:sz w:val="20"/>
          <w:szCs w:val="20"/>
          <w:lang w:val="es-CR"/>
        </w:rPr>
        <w:t>Caiza</w:t>
      </w:r>
      <w:proofErr w:type="spellEnd"/>
      <w:r w:rsidR="00A24688" w:rsidRPr="00732F0C">
        <w:rPr>
          <w:rStyle w:val="FootnoteReference"/>
          <w:rFonts w:ascii="Cambria" w:hAnsi="Cambria"/>
          <w:sz w:val="20"/>
          <w:szCs w:val="20"/>
        </w:rPr>
        <w:footnoteReference w:id="64"/>
      </w:r>
      <w:r w:rsidR="00A24688" w:rsidRPr="00732F0C">
        <w:rPr>
          <w:rFonts w:ascii="Cambria" w:hAnsi="Cambria"/>
          <w:sz w:val="20"/>
          <w:szCs w:val="20"/>
          <w:lang w:val="es-CR"/>
        </w:rPr>
        <w:t>. En particular, destacó que el examen realizado sobre la parafina, que resultó negativo, posiblemente se debía a que había sido realizado a los 17 días de los acontecimientos</w:t>
      </w:r>
      <w:r w:rsidR="00A24688" w:rsidRPr="00732F0C">
        <w:rPr>
          <w:rStyle w:val="FootnoteReference"/>
          <w:rFonts w:ascii="Cambria" w:hAnsi="Cambria"/>
          <w:sz w:val="20"/>
          <w:szCs w:val="20"/>
        </w:rPr>
        <w:footnoteReference w:id="65"/>
      </w:r>
      <w:r w:rsidR="00A24688" w:rsidRPr="00732F0C">
        <w:rPr>
          <w:rFonts w:ascii="Cambria" w:hAnsi="Cambria"/>
          <w:sz w:val="20"/>
          <w:szCs w:val="20"/>
          <w:lang w:val="es-CR"/>
        </w:rPr>
        <w:t>.</w:t>
      </w:r>
    </w:p>
    <w:p w:rsidR="00A24688" w:rsidRPr="00732F0C" w:rsidRDefault="00A24688" w:rsidP="00842D6E">
      <w:pPr>
        <w:tabs>
          <w:tab w:val="left" w:pos="1440"/>
        </w:tabs>
        <w:ind w:firstLine="720"/>
        <w:jc w:val="both"/>
        <w:rPr>
          <w:rFonts w:ascii="Cambria" w:hAnsi="Cambria"/>
          <w:sz w:val="20"/>
          <w:szCs w:val="20"/>
          <w:lang w:val="es-CR"/>
        </w:rPr>
      </w:pPr>
    </w:p>
    <w:p w:rsidR="00A24688" w:rsidRPr="00732F0C" w:rsidRDefault="00A24688" w:rsidP="00842D6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CR"/>
        </w:rPr>
      </w:pPr>
      <w:r w:rsidRPr="00732F0C">
        <w:rPr>
          <w:rFonts w:ascii="Cambria" w:hAnsi="Cambria"/>
          <w:sz w:val="20"/>
          <w:szCs w:val="20"/>
          <w:lang w:val="es-CR"/>
        </w:rPr>
        <w:t xml:space="preserve">Asimismo, el Tribunal analizó el testimonio de José Vicente Ruiz </w:t>
      </w:r>
      <w:proofErr w:type="spellStart"/>
      <w:r w:rsidRPr="00732F0C">
        <w:rPr>
          <w:rFonts w:ascii="Cambria" w:hAnsi="Cambria"/>
          <w:sz w:val="20"/>
          <w:szCs w:val="20"/>
          <w:lang w:val="es-CR"/>
        </w:rPr>
        <w:t>Teran</w:t>
      </w:r>
      <w:proofErr w:type="spellEnd"/>
      <w:r w:rsidRPr="00732F0C">
        <w:rPr>
          <w:rFonts w:ascii="Cambria" w:hAnsi="Cambria"/>
          <w:sz w:val="20"/>
          <w:szCs w:val="20"/>
          <w:lang w:val="es-CR"/>
        </w:rPr>
        <w:t xml:space="preserve">, quien </w:t>
      </w:r>
      <w:r w:rsidR="001C77C1" w:rsidRPr="00732F0C">
        <w:rPr>
          <w:rFonts w:ascii="Cambria" w:hAnsi="Cambria"/>
          <w:sz w:val="20"/>
          <w:szCs w:val="20"/>
          <w:lang w:val="es-CR"/>
        </w:rPr>
        <w:t xml:space="preserve">sostuvo que </w:t>
      </w:r>
      <w:proofErr w:type="gramStart"/>
      <w:r w:rsidRPr="00732F0C">
        <w:rPr>
          <w:rFonts w:ascii="Cambria" w:hAnsi="Cambria"/>
          <w:sz w:val="20"/>
          <w:szCs w:val="20"/>
          <w:lang w:val="es-CR"/>
        </w:rPr>
        <w:t xml:space="preserve">“ </w:t>
      </w:r>
      <w:r w:rsidR="001C77C1" w:rsidRPr="00732F0C">
        <w:rPr>
          <w:rFonts w:ascii="Cambria" w:hAnsi="Cambria"/>
          <w:sz w:val="20"/>
          <w:szCs w:val="20"/>
          <w:lang w:val="es-CR"/>
        </w:rPr>
        <w:t>(</w:t>
      </w:r>
      <w:proofErr w:type="gramEnd"/>
      <w:r w:rsidR="001C77C1" w:rsidRPr="00732F0C">
        <w:rPr>
          <w:rFonts w:ascii="Cambria" w:hAnsi="Cambria"/>
          <w:sz w:val="20"/>
          <w:szCs w:val="20"/>
          <w:lang w:val="es-CR"/>
        </w:rPr>
        <w:t>…)</w:t>
      </w:r>
      <w:r w:rsidRPr="00732F0C">
        <w:rPr>
          <w:rFonts w:ascii="Cambria" w:hAnsi="Cambria"/>
          <w:sz w:val="20"/>
          <w:szCs w:val="20"/>
          <w:lang w:val="es-CR"/>
        </w:rPr>
        <w:t xml:space="preserve"> el día de los hechos escuchó el comentario que hacía Segundo Néstor de la Cruz </w:t>
      </w:r>
      <w:proofErr w:type="spellStart"/>
      <w:r w:rsidRPr="00732F0C">
        <w:rPr>
          <w:rFonts w:ascii="Cambria" w:hAnsi="Cambria"/>
          <w:sz w:val="20"/>
          <w:szCs w:val="20"/>
          <w:lang w:val="es-CR"/>
        </w:rPr>
        <w:t>Chicaiza</w:t>
      </w:r>
      <w:proofErr w:type="spellEnd"/>
      <w:r w:rsidRPr="00732F0C">
        <w:rPr>
          <w:rFonts w:ascii="Cambria" w:hAnsi="Cambria"/>
          <w:sz w:val="20"/>
          <w:szCs w:val="20"/>
          <w:lang w:val="es-CR"/>
        </w:rPr>
        <w:t xml:space="preserve"> cuando manifestaba: ‘ya vengo matando a dos, yo hice uso de mi revólver’”</w:t>
      </w:r>
      <w:r w:rsidR="001C77C1" w:rsidRPr="00732F0C">
        <w:rPr>
          <w:rStyle w:val="FootnoteReference"/>
          <w:rFonts w:ascii="Cambria" w:hAnsi="Cambria"/>
          <w:sz w:val="20"/>
          <w:szCs w:val="20"/>
        </w:rPr>
        <w:footnoteReference w:id="66"/>
      </w:r>
      <w:r w:rsidR="001C77C1" w:rsidRPr="00732F0C">
        <w:rPr>
          <w:rFonts w:ascii="Cambria" w:hAnsi="Cambria"/>
          <w:sz w:val="20"/>
          <w:szCs w:val="20"/>
          <w:lang w:val="es-CR"/>
        </w:rPr>
        <w:t>.</w:t>
      </w:r>
      <w:r w:rsidR="00C40B61" w:rsidRPr="00732F0C">
        <w:rPr>
          <w:rFonts w:ascii="Cambria" w:hAnsi="Cambria"/>
          <w:sz w:val="20"/>
          <w:szCs w:val="20"/>
          <w:lang w:val="es-CR"/>
        </w:rPr>
        <w:t xml:space="preserve"> Asimismo, el Tribunal tomó en cuenta</w:t>
      </w:r>
      <w:r w:rsidR="001C77C1" w:rsidRPr="00732F0C">
        <w:rPr>
          <w:rFonts w:ascii="Cambria" w:hAnsi="Cambria"/>
          <w:sz w:val="20"/>
          <w:szCs w:val="20"/>
          <w:lang w:val="es-CR"/>
        </w:rPr>
        <w:t xml:space="preserve"> </w:t>
      </w:r>
      <w:r w:rsidRPr="00732F0C">
        <w:rPr>
          <w:rFonts w:ascii="Cambria" w:hAnsi="Cambria"/>
          <w:sz w:val="20"/>
          <w:szCs w:val="20"/>
          <w:lang w:val="es-CR"/>
        </w:rPr>
        <w:t xml:space="preserve">el testimonio de María Mónica Carmela Nogales Robes, quien “oyó de Segundo Néstor de la Cruz </w:t>
      </w:r>
      <w:proofErr w:type="spellStart"/>
      <w:r w:rsidRPr="00732F0C">
        <w:rPr>
          <w:rFonts w:ascii="Cambria" w:hAnsi="Cambria"/>
          <w:sz w:val="20"/>
          <w:szCs w:val="20"/>
          <w:lang w:val="es-CR"/>
        </w:rPr>
        <w:t>Chicaiza</w:t>
      </w:r>
      <w:proofErr w:type="spellEnd"/>
      <w:r w:rsidRPr="00732F0C">
        <w:rPr>
          <w:rFonts w:ascii="Cambria" w:hAnsi="Cambria"/>
          <w:sz w:val="20"/>
          <w:szCs w:val="20"/>
          <w:lang w:val="es-CR"/>
        </w:rPr>
        <w:t xml:space="preserve"> que había sido asaltado por unos morenos y que en defensa propia había sacado un revólver y había disparado, resaltando estas palabras: ‘vengo matando a dos’”</w:t>
      </w:r>
      <w:r w:rsidRPr="00732F0C">
        <w:rPr>
          <w:rStyle w:val="FootnoteReference"/>
          <w:rFonts w:ascii="Cambria" w:hAnsi="Cambria"/>
          <w:sz w:val="20"/>
          <w:szCs w:val="20"/>
        </w:rPr>
        <w:footnoteReference w:id="67"/>
      </w:r>
      <w:r w:rsidRPr="00732F0C">
        <w:rPr>
          <w:rFonts w:ascii="Cambria" w:hAnsi="Cambria"/>
          <w:sz w:val="20"/>
          <w:szCs w:val="20"/>
          <w:lang w:val="es-CR"/>
        </w:rPr>
        <w:t xml:space="preserve">. </w:t>
      </w:r>
    </w:p>
    <w:p w:rsidR="00A24688" w:rsidRPr="00732F0C" w:rsidRDefault="00A24688" w:rsidP="00842D6E">
      <w:pPr>
        <w:tabs>
          <w:tab w:val="left" w:pos="1440"/>
        </w:tabs>
        <w:ind w:firstLine="720"/>
        <w:jc w:val="both"/>
        <w:rPr>
          <w:rFonts w:ascii="Cambria" w:hAnsi="Cambria"/>
          <w:sz w:val="20"/>
          <w:szCs w:val="20"/>
          <w:lang w:val="es-CR"/>
        </w:rPr>
      </w:pPr>
    </w:p>
    <w:p w:rsidR="00A24688" w:rsidRPr="00732F0C" w:rsidRDefault="00A24688" w:rsidP="00842D6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CR"/>
        </w:rPr>
      </w:pPr>
      <w:r w:rsidRPr="00732F0C">
        <w:rPr>
          <w:rFonts w:ascii="Cambria" w:hAnsi="Cambria"/>
          <w:sz w:val="20"/>
          <w:szCs w:val="20"/>
          <w:lang w:val="es-CR"/>
        </w:rPr>
        <w:t xml:space="preserve">El Tribunal también consideró el parte informativo elevado al Comandante Provincial de Policía en el que figura que </w:t>
      </w:r>
      <w:r w:rsidR="00B266E7" w:rsidRPr="00732F0C">
        <w:rPr>
          <w:rFonts w:ascii="Cambria" w:hAnsi="Cambria"/>
          <w:sz w:val="20"/>
          <w:szCs w:val="20"/>
          <w:lang w:val="es-CR"/>
        </w:rPr>
        <w:t xml:space="preserve">Segundo </w:t>
      </w:r>
      <w:r w:rsidRPr="00732F0C">
        <w:rPr>
          <w:rFonts w:ascii="Cambria" w:hAnsi="Cambria"/>
          <w:sz w:val="20"/>
          <w:szCs w:val="20"/>
          <w:lang w:val="es-CR"/>
        </w:rPr>
        <w:t xml:space="preserve">Néstor de la Cruz </w:t>
      </w:r>
      <w:proofErr w:type="spellStart"/>
      <w:r w:rsidRPr="00732F0C">
        <w:rPr>
          <w:rFonts w:ascii="Cambria" w:hAnsi="Cambria"/>
          <w:sz w:val="20"/>
          <w:szCs w:val="20"/>
          <w:lang w:val="es-CR"/>
        </w:rPr>
        <w:t>Chicaiza</w:t>
      </w:r>
      <w:proofErr w:type="spellEnd"/>
      <w:r w:rsidRPr="00732F0C">
        <w:rPr>
          <w:rFonts w:ascii="Cambria" w:hAnsi="Cambria"/>
          <w:sz w:val="20"/>
          <w:szCs w:val="20"/>
          <w:lang w:val="es-CR"/>
        </w:rPr>
        <w:t xml:space="preserve"> indicó “que había hecho uso del arma de Estado es decir del revólver marca Smith </w:t>
      </w:r>
      <w:proofErr w:type="spellStart"/>
      <w:r w:rsidRPr="00732F0C">
        <w:rPr>
          <w:rFonts w:ascii="Cambria" w:hAnsi="Cambria"/>
          <w:sz w:val="20"/>
          <w:szCs w:val="20"/>
          <w:lang w:val="es-CR"/>
        </w:rPr>
        <w:t>Wesson</w:t>
      </w:r>
      <w:proofErr w:type="spellEnd"/>
      <w:r w:rsidRPr="00732F0C">
        <w:rPr>
          <w:rFonts w:ascii="Cambria" w:hAnsi="Cambria"/>
          <w:sz w:val="20"/>
          <w:szCs w:val="20"/>
          <w:lang w:val="es-CR"/>
        </w:rPr>
        <w:t xml:space="preserve"> calibre 38 corto que le fue entregado en dotación ‘sin recordar si ha impactado o no algún tiro a persona alguna por el estado de embriaguez en que se ha encontrado’”</w:t>
      </w:r>
      <w:r w:rsidRPr="00732F0C">
        <w:rPr>
          <w:rStyle w:val="FootnoteReference"/>
          <w:rFonts w:ascii="Cambria" w:hAnsi="Cambria"/>
          <w:sz w:val="20"/>
          <w:szCs w:val="20"/>
        </w:rPr>
        <w:footnoteReference w:id="68"/>
      </w:r>
      <w:r w:rsidRPr="00732F0C">
        <w:rPr>
          <w:rFonts w:ascii="Cambria" w:hAnsi="Cambria"/>
          <w:sz w:val="20"/>
          <w:szCs w:val="20"/>
          <w:lang w:val="es-CR"/>
        </w:rPr>
        <w:t>.</w:t>
      </w:r>
    </w:p>
    <w:p w:rsidR="00A24688" w:rsidRPr="00732F0C" w:rsidRDefault="00A24688" w:rsidP="00842D6E">
      <w:pPr>
        <w:tabs>
          <w:tab w:val="left" w:pos="1440"/>
        </w:tabs>
        <w:ind w:firstLine="720"/>
        <w:jc w:val="both"/>
        <w:rPr>
          <w:rFonts w:ascii="Cambria" w:hAnsi="Cambria"/>
          <w:sz w:val="20"/>
          <w:szCs w:val="20"/>
          <w:lang w:val="es-CR"/>
        </w:rPr>
      </w:pPr>
    </w:p>
    <w:p w:rsidR="00A24688" w:rsidRPr="00732F0C" w:rsidRDefault="00A24688" w:rsidP="00842D6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CR"/>
        </w:rPr>
      </w:pPr>
      <w:r w:rsidRPr="00732F0C">
        <w:rPr>
          <w:rFonts w:ascii="Cambria" w:hAnsi="Cambria"/>
          <w:sz w:val="20"/>
          <w:szCs w:val="20"/>
          <w:lang w:val="es-CR"/>
        </w:rPr>
        <w:t xml:space="preserve">Por otra parte, el Tribunal consideró que en el careo llevado a cabo entre </w:t>
      </w:r>
      <w:r w:rsidR="00B266E7" w:rsidRPr="00732F0C">
        <w:rPr>
          <w:rFonts w:ascii="Cambria" w:hAnsi="Cambria"/>
          <w:sz w:val="20"/>
          <w:szCs w:val="20"/>
          <w:lang w:val="es-CR"/>
        </w:rPr>
        <w:t>los policías  Edwin Ramiro Guzmá</w:t>
      </w:r>
      <w:r w:rsidRPr="00732F0C">
        <w:rPr>
          <w:rFonts w:ascii="Cambria" w:hAnsi="Cambria"/>
          <w:sz w:val="20"/>
          <w:szCs w:val="20"/>
          <w:lang w:val="es-CR"/>
        </w:rPr>
        <w:t xml:space="preserve">n y Segundo Néstor de la Cruz </w:t>
      </w:r>
      <w:proofErr w:type="spellStart"/>
      <w:r w:rsidRPr="00732F0C">
        <w:rPr>
          <w:rFonts w:ascii="Cambria" w:hAnsi="Cambria"/>
          <w:sz w:val="20"/>
          <w:szCs w:val="20"/>
          <w:lang w:val="es-CR"/>
        </w:rPr>
        <w:t>Chicaiza</w:t>
      </w:r>
      <w:proofErr w:type="spellEnd"/>
      <w:r w:rsidRPr="00732F0C">
        <w:rPr>
          <w:rFonts w:ascii="Cambria" w:hAnsi="Cambria"/>
          <w:sz w:val="20"/>
          <w:szCs w:val="20"/>
          <w:lang w:val="es-CR"/>
        </w:rPr>
        <w:t>, éste último le pidió disculpas manifestando “en forma clara y precisa que él es el único responsable de la muerte de Jorge Darwin García Espinoza”, como así también que “está tratando de arreglar con los familiares del occiso a quienes les ha ofrecido un millón quinientos mil sucres”</w:t>
      </w:r>
      <w:r w:rsidRPr="00732F0C">
        <w:rPr>
          <w:rStyle w:val="FootnoteReference"/>
          <w:rFonts w:ascii="Cambria" w:hAnsi="Cambria"/>
          <w:sz w:val="20"/>
          <w:szCs w:val="20"/>
        </w:rPr>
        <w:footnoteReference w:id="69"/>
      </w:r>
      <w:r w:rsidRPr="00732F0C">
        <w:rPr>
          <w:rFonts w:ascii="Cambria" w:hAnsi="Cambria"/>
          <w:sz w:val="20"/>
          <w:szCs w:val="20"/>
          <w:lang w:val="es-CR"/>
        </w:rPr>
        <w:t>.</w:t>
      </w:r>
    </w:p>
    <w:p w:rsidR="00A24688" w:rsidRPr="00732F0C" w:rsidRDefault="00A24688" w:rsidP="00842D6E">
      <w:pPr>
        <w:tabs>
          <w:tab w:val="left" w:pos="1440"/>
        </w:tabs>
        <w:ind w:firstLine="720"/>
        <w:jc w:val="both"/>
        <w:rPr>
          <w:rFonts w:ascii="Cambria" w:hAnsi="Cambria"/>
          <w:sz w:val="20"/>
          <w:szCs w:val="20"/>
          <w:lang w:val="es-CR"/>
        </w:rPr>
      </w:pPr>
    </w:p>
    <w:p w:rsidR="00A24688" w:rsidRPr="00732F0C" w:rsidRDefault="00A24688" w:rsidP="00842D6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CR"/>
        </w:rPr>
      </w:pPr>
      <w:r w:rsidRPr="00732F0C">
        <w:rPr>
          <w:rFonts w:ascii="Cambria" w:hAnsi="Cambria"/>
          <w:sz w:val="20"/>
          <w:szCs w:val="20"/>
          <w:lang w:val="es-CR"/>
        </w:rPr>
        <w:t xml:space="preserve">Segundo Néstor de la Cruz </w:t>
      </w:r>
      <w:proofErr w:type="spellStart"/>
      <w:r w:rsidRPr="00732F0C">
        <w:rPr>
          <w:rFonts w:ascii="Cambria" w:hAnsi="Cambria"/>
          <w:sz w:val="20"/>
          <w:szCs w:val="20"/>
          <w:lang w:val="es-CR"/>
        </w:rPr>
        <w:t>Chicaiza</w:t>
      </w:r>
      <w:proofErr w:type="spellEnd"/>
      <w:r w:rsidRPr="00732F0C">
        <w:rPr>
          <w:rFonts w:ascii="Cambria" w:hAnsi="Cambria"/>
          <w:sz w:val="20"/>
          <w:szCs w:val="20"/>
          <w:lang w:val="es-CR"/>
        </w:rPr>
        <w:t xml:space="preserve"> presentó un recurso de casación contra la sentencia condenatoria ante la Corte Suprema, que fue confirmada el 28 de enero de 1998</w:t>
      </w:r>
      <w:r w:rsidRPr="00732F0C">
        <w:rPr>
          <w:rStyle w:val="FootnoteReference"/>
          <w:rFonts w:ascii="Cambria" w:hAnsi="Cambria"/>
          <w:sz w:val="20"/>
          <w:szCs w:val="20"/>
        </w:rPr>
        <w:footnoteReference w:id="70"/>
      </w:r>
      <w:r w:rsidRPr="00732F0C">
        <w:rPr>
          <w:rFonts w:ascii="Cambria" w:hAnsi="Cambria"/>
          <w:sz w:val="20"/>
          <w:szCs w:val="20"/>
          <w:lang w:val="es-CR"/>
        </w:rPr>
        <w:t>. Asimismo, el imputado presentó un recurso de revisión, que fue concedido el 25 de febrero de 1998 y que todavía se encuentra pendiente de resolución</w:t>
      </w:r>
      <w:r w:rsidRPr="00732F0C">
        <w:rPr>
          <w:rStyle w:val="FootnoteReference"/>
          <w:rFonts w:ascii="Cambria" w:hAnsi="Cambria"/>
          <w:sz w:val="20"/>
          <w:szCs w:val="20"/>
        </w:rPr>
        <w:footnoteReference w:id="71"/>
      </w:r>
      <w:r w:rsidRPr="00732F0C">
        <w:rPr>
          <w:rFonts w:ascii="Cambria" w:hAnsi="Cambria"/>
          <w:sz w:val="20"/>
          <w:szCs w:val="20"/>
          <w:lang w:val="es-CR"/>
        </w:rPr>
        <w:t>.</w:t>
      </w:r>
    </w:p>
    <w:p w:rsidR="00A24688" w:rsidRPr="00732F0C" w:rsidRDefault="00A24688" w:rsidP="00842D6E">
      <w:pPr>
        <w:tabs>
          <w:tab w:val="left" w:pos="1440"/>
        </w:tabs>
        <w:ind w:firstLine="720"/>
        <w:jc w:val="both"/>
        <w:rPr>
          <w:rFonts w:ascii="Cambria" w:hAnsi="Cambria"/>
          <w:sz w:val="20"/>
          <w:szCs w:val="20"/>
          <w:lang w:val="es-CR"/>
        </w:rPr>
      </w:pPr>
    </w:p>
    <w:p w:rsidR="00A24688" w:rsidRPr="00732F0C" w:rsidRDefault="00A24688" w:rsidP="00842D6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CR"/>
        </w:rPr>
      </w:pPr>
      <w:r w:rsidRPr="00732F0C">
        <w:rPr>
          <w:rFonts w:ascii="Cambria" w:hAnsi="Cambria"/>
          <w:sz w:val="20"/>
          <w:szCs w:val="20"/>
          <w:lang w:val="es-CR"/>
        </w:rPr>
        <w:t>De acuerdo con la información provista por el Director</w:t>
      </w:r>
      <w:r w:rsidR="00C52858" w:rsidRPr="00732F0C">
        <w:rPr>
          <w:rFonts w:ascii="Cambria" w:hAnsi="Cambria"/>
          <w:sz w:val="20"/>
          <w:szCs w:val="20"/>
          <w:lang w:val="es-CR"/>
        </w:rPr>
        <w:t xml:space="preserve"> del Centro de Rehabilitación No.</w:t>
      </w:r>
      <w:r w:rsidRPr="00732F0C">
        <w:rPr>
          <w:rFonts w:ascii="Cambria" w:hAnsi="Cambria"/>
          <w:sz w:val="20"/>
          <w:szCs w:val="20"/>
          <w:lang w:val="es-CR"/>
        </w:rPr>
        <w:t xml:space="preserve"> 4 de la ciudad de Quito, éste concedió rebajas por el tiempo de 480 días a favor de </w:t>
      </w:r>
      <w:r w:rsidR="00C52858" w:rsidRPr="00732F0C">
        <w:rPr>
          <w:rFonts w:ascii="Cambria" w:hAnsi="Cambria"/>
          <w:sz w:val="20"/>
          <w:szCs w:val="20"/>
          <w:lang w:val="es-CR"/>
        </w:rPr>
        <w:t>Segundo</w:t>
      </w:r>
      <w:r w:rsidRPr="00732F0C">
        <w:rPr>
          <w:rFonts w:ascii="Cambria" w:hAnsi="Cambria"/>
          <w:sz w:val="20"/>
          <w:szCs w:val="20"/>
          <w:lang w:val="es-CR"/>
        </w:rPr>
        <w:t xml:space="preserve"> </w:t>
      </w:r>
      <w:r w:rsidR="006837F3">
        <w:rPr>
          <w:rFonts w:ascii="Cambria" w:hAnsi="Cambria"/>
          <w:sz w:val="20"/>
          <w:szCs w:val="20"/>
          <w:lang w:val="es-CR"/>
        </w:rPr>
        <w:t xml:space="preserve">de </w:t>
      </w:r>
      <w:r w:rsidRPr="00732F0C">
        <w:rPr>
          <w:rFonts w:ascii="Cambria" w:hAnsi="Cambria"/>
          <w:sz w:val="20"/>
          <w:szCs w:val="20"/>
          <w:lang w:val="es-CR"/>
        </w:rPr>
        <w:t xml:space="preserve">la Cruz </w:t>
      </w:r>
      <w:proofErr w:type="spellStart"/>
      <w:r w:rsidRPr="00732F0C">
        <w:rPr>
          <w:rFonts w:ascii="Cambria" w:hAnsi="Cambria"/>
          <w:sz w:val="20"/>
          <w:szCs w:val="20"/>
          <w:lang w:val="es-CR"/>
        </w:rPr>
        <w:t>Chicaiza</w:t>
      </w:r>
      <w:proofErr w:type="spellEnd"/>
      <w:r w:rsidRPr="00732F0C">
        <w:rPr>
          <w:rFonts w:ascii="Cambria" w:hAnsi="Cambria"/>
          <w:sz w:val="20"/>
          <w:szCs w:val="20"/>
          <w:lang w:val="es-CR"/>
        </w:rPr>
        <w:t>, por lo que se encuentra en libertad desde el 21 de mayo de 1998</w:t>
      </w:r>
      <w:r w:rsidRPr="00732F0C">
        <w:rPr>
          <w:rStyle w:val="FootnoteReference"/>
          <w:rFonts w:ascii="Cambria" w:hAnsi="Cambria"/>
          <w:sz w:val="20"/>
          <w:szCs w:val="20"/>
        </w:rPr>
        <w:footnoteReference w:id="72"/>
      </w:r>
      <w:r w:rsidRPr="00732F0C">
        <w:rPr>
          <w:rFonts w:ascii="Cambria" w:hAnsi="Cambria"/>
          <w:sz w:val="20"/>
          <w:szCs w:val="20"/>
          <w:lang w:val="es-CR"/>
        </w:rPr>
        <w:t>.</w:t>
      </w:r>
    </w:p>
    <w:p w:rsidR="0035594E" w:rsidRPr="00732F0C" w:rsidRDefault="0035594E" w:rsidP="00360085">
      <w:pPr>
        <w:pStyle w:val="ListParagraph"/>
        <w:ind w:left="0"/>
        <w:jc w:val="both"/>
        <w:rPr>
          <w:sz w:val="20"/>
          <w:szCs w:val="20"/>
          <w:lang w:val="es-CR"/>
        </w:rPr>
      </w:pPr>
    </w:p>
    <w:p w:rsidR="001C77C1" w:rsidRPr="00732F0C" w:rsidRDefault="00C52858" w:rsidP="00842D6E">
      <w:pPr>
        <w:pStyle w:val="Heading2"/>
        <w:numPr>
          <w:ilvl w:val="0"/>
          <w:numId w:val="59"/>
        </w:numPr>
        <w:ind w:left="1440" w:hanging="720"/>
        <w:jc w:val="both"/>
      </w:pPr>
      <w:bookmarkStart w:id="30" w:name="_Toc529792402"/>
      <w:r w:rsidRPr="00732F0C">
        <w:lastRenderedPageBreak/>
        <w:t>Análisis de derecho</w:t>
      </w:r>
      <w:bookmarkEnd w:id="30"/>
    </w:p>
    <w:p w:rsidR="00B266E7" w:rsidRPr="00732F0C" w:rsidRDefault="00B266E7" w:rsidP="00842D6E">
      <w:pPr>
        <w:jc w:val="both"/>
        <w:rPr>
          <w:rFonts w:ascii="Cambria" w:hAnsi="Cambria"/>
          <w:sz w:val="20"/>
          <w:szCs w:val="20"/>
          <w:lang w:val="es-ES_tradnl"/>
        </w:rPr>
      </w:pPr>
    </w:p>
    <w:p w:rsidR="00AA7257" w:rsidRPr="00732F0C" w:rsidRDefault="00AA7257" w:rsidP="00842D6E">
      <w:pPr>
        <w:pStyle w:val="Heading3"/>
        <w:numPr>
          <w:ilvl w:val="6"/>
          <w:numId w:val="55"/>
        </w:numPr>
        <w:tabs>
          <w:tab w:val="clear" w:pos="5400"/>
          <w:tab w:val="num" w:pos="1440"/>
        </w:tabs>
        <w:ind w:left="1440" w:hanging="720"/>
        <w:rPr>
          <w:lang w:val="es-ES"/>
        </w:rPr>
      </w:pPr>
      <w:bookmarkStart w:id="31" w:name="_Toc529792403"/>
      <w:bookmarkStart w:id="32" w:name="_Toc338770515"/>
      <w:bookmarkStart w:id="33" w:name="_Toc408466854"/>
      <w:r w:rsidRPr="00732F0C">
        <w:rPr>
          <w:lang w:val="es-ES"/>
        </w:rPr>
        <w:t>Los derechos a la vida e integridad personal (artículos 4 y 5 de la Convención Americana en relación con el artículo 1.1 del mismo instrumento)</w:t>
      </w:r>
      <w:bookmarkEnd w:id="31"/>
    </w:p>
    <w:p w:rsidR="00895A86" w:rsidRPr="00732F0C" w:rsidRDefault="00895A86" w:rsidP="00842D6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sz w:val="20"/>
          <w:szCs w:val="20"/>
          <w:lang w:val="es-ES"/>
        </w:rPr>
      </w:pPr>
    </w:p>
    <w:p w:rsidR="004D17CA" w:rsidRPr="00732F0C" w:rsidRDefault="004D17CA" w:rsidP="00842D6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MX"/>
        </w:rPr>
      </w:pPr>
      <w:r w:rsidRPr="00732F0C">
        <w:rPr>
          <w:rFonts w:ascii="Cambria" w:hAnsi="Cambria"/>
          <w:sz w:val="20"/>
          <w:szCs w:val="20"/>
          <w:lang w:val="es-ES"/>
        </w:rPr>
        <w:t>El derecho a la vida es prerrequisito del disfrute de todos los demás derechos humanos y sin cuyo respeto todos los demás carecen de sentido</w:t>
      </w:r>
      <w:r w:rsidRPr="00732F0C">
        <w:rPr>
          <w:rStyle w:val="FootnoteReference"/>
          <w:rFonts w:ascii="Cambria" w:hAnsi="Cambria"/>
          <w:sz w:val="20"/>
          <w:szCs w:val="20"/>
          <w:lang w:val="es-ES"/>
        </w:rPr>
        <w:footnoteReference w:id="73"/>
      </w:r>
      <w:r w:rsidRPr="00732F0C">
        <w:rPr>
          <w:rFonts w:ascii="Cambria" w:hAnsi="Cambria"/>
          <w:sz w:val="20"/>
          <w:szCs w:val="20"/>
          <w:lang w:val="es-ES"/>
        </w:rPr>
        <w:t>. Como ha señalado la Corte Interamericana, el cumplimiento de las obligaciones del artículo 4 en relación con el artículo 1.1 de la Convención Americana no sólo presupone que ninguna persona sea privada de su vida arbitrariamente, sino que además requiere que los Estados tomen todas las medidas apropiadas para proteger y preservar el derecho a la vida, bajo su deber de garantizar el pleno y libre ejercicio de los derechos de todas las personas bajo su jurisdicción</w:t>
      </w:r>
      <w:r w:rsidRPr="00732F0C">
        <w:rPr>
          <w:rStyle w:val="FootnoteReference"/>
          <w:rFonts w:ascii="Cambria" w:hAnsi="Cambria"/>
          <w:sz w:val="20"/>
          <w:szCs w:val="20"/>
          <w:lang w:val="es-ES"/>
        </w:rPr>
        <w:footnoteReference w:id="74"/>
      </w:r>
      <w:r w:rsidRPr="00732F0C">
        <w:rPr>
          <w:rFonts w:ascii="Cambria" w:hAnsi="Cambria"/>
          <w:sz w:val="20"/>
          <w:szCs w:val="20"/>
          <w:lang w:val="es-ES"/>
        </w:rPr>
        <w:t>.</w:t>
      </w:r>
    </w:p>
    <w:p w:rsidR="004D17CA" w:rsidRPr="00732F0C" w:rsidRDefault="004D17CA" w:rsidP="00842D6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sz w:val="20"/>
          <w:szCs w:val="20"/>
          <w:lang w:val="es-ES"/>
        </w:rPr>
      </w:pPr>
    </w:p>
    <w:p w:rsidR="004D17CA" w:rsidRPr="00732F0C" w:rsidRDefault="004D17CA" w:rsidP="00842D6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ES"/>
        </w:rPr>
      </w:pPr>
      <w:r w:rsidRPr="00732F0C">
        <w:rPr>
          <w:rFonts w:ascii="Cambria" w:hAnsi="Cambria"/>
          <w:sz w:val="20"/>
          <w:szCs w:val="20"/>
          <w:lang w:val="es-AR"/>
        </w:rPr>
        <w:t>En relación con el uso de la fuerza letal por parte de agentes estatales, la Comisión ha señalado que dicha facultad debe estar restringida a cuando tenga una finalidad legítima, sea necesaria y proporcional</w:t>
      </w:r>
      <w:r w:rsidRPr="00732F0C">
        <w:rPr>
          <w:rStyle w:val="FootnoteReference"/>
          <w:rFonts w:ascii="Cambria" w:hAnsi="Cambria"/>
          <w:sz w:val="20"/>
          <w:szCs w:val="20"/>
        </w:rPr>
        <w:footnoteReference w:id="75"/>
      </w:r>
      <w:r w:rsidRPr="00732F0C">
        <w:rPr>
          <w:rFonts w:ascii="Cambria" w:hAnsi="Cambria"/>
          <w:sz w:val="20"/>
          <w:szCs w:val="20"/>
          <w:lang w:val="es-AR"/>
        </w:rPr>
        <w:t xml:space="preserve">. Ello implica que </w:t>
      </w:r>
      <w:r w:rsidRPr="00732F0C">
        <w:rPr>
          <w:rFonts w:ascii="Cambria" w:hAnsi="Cambria"/>
          <w:sz w:val="20"/>
          <w:szCs w:val="20"/>
          <w:lang w:val="es-ES_tradnl"/>
        </w:rPr>
        <w:t>si una persona pierde la vida como consecuencia del uso de la fuerza por parte de los funcionarios encargados de hacer cumplir la ley</w:t>
      </w:r>
      <w:r w:rsidR="00FB1FDE" w:rsidRPr="00732F0C">
        <w:rPr>
          <w:rFonts w:ascii="Cambria" w:hAnsi="Cambria"/>
          <w:sz w:val="20"/>
          <w:szCs w:val="20"/>
          <w:lang w:val="es-ES_tradnl"/>
        </w:rPr>
        <w:t xml:space="preserve"> sin los requisitos antes mencionados</w:t>
      </w:r>
      <w:r w:rsidRPr="00732F0C">
        <w:rPr>
          <w:rFonts w:ascii="Cambria" w:hAnsi="Cambria"/>
          <w:sz w:val="20"/>
          <w:szCs w:val="20"/>
          <w:lang w:val="es-ES_tradnl"/>
        </w:rPr>
        <w:t>, ese hecho equivaldrá a una privación arbitraria de la vida</w:t>
      </w:r>
      <w:r w:rsidRPr="00732F0C">
        <w:rPr>
          <w:rStyle w:val="FootnoteReference"/>
          <w:rFonts w:ascii="Cambria" w:hAnsi="Cambria"/>
          <w:sz w:val="20"/>
          <w:szCs w:val="20"/>
        </w:rPr>
        <w:footnoteReference w:id="76"/>
      </w:r>
      <w:r w:rsidRPr="00732F0C">
        <w:rPr>
          <w:rFonts w:ascii="Cambria" w:hAnsi="Cambria"/>
          <w:sz w:val="20"/>
          <w:szCs w:val="20"/>
          <w:lang w:val="es-ES_tradnl"/>
        </w:rPr>
        <w:t xml:space="preserve">. </w:t>
      </w:r>
      <w:r w:rsidRPr="00732F0C">
        <w:rPr>
          <w:rFonts w:ascii="Cambria" w:hAnsi="Cambria"/>
          <w:sz w:val="20"/>
          <w:szCs w:val="20"/>
          <w:lang w:val="es-AR"/>
        </w:rPr>
        <w:t xml:space="preserve"> La Corte ha señalado que tales requisitos implican lo siguiente:</w:t>
      </w:r>
    </w:p>
    <w:p w:rsidR="004D17CA" w:rsidRPr="00732F0C" w:rsidRDefault="004D17CA" w:rsidP="00842D6E">
      <w:pPr>
        <w:pStyle w:val="ListParagraph"/>
        <w:ind w:right="720"/>
        <w:jc w:val="both"/>
        <w:rPr>
          <w:sz w:val="20"/>
          <w:szCs w:val="20"/>
          <w:lang w:val="es-ES"/>
        </w:rPr>
      </w:pPr>
    </w:p>
    <w:p w:rsidR="004D17CA" w:rsidRPr="00732F0C" w:rsidRDefault="004D17CA" w:rsidP="00842D6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Cambria" w:hAnsi="Cambria"/>
          <w:sz w:val="20"/>
          <w:szCs w:val="20"/>
          <w:lang w:val="es-ES"/>
        </w:rPr>
      </w:pPr>
      <w:r w:rsidRPr="00732F0C">
        <w:rPr>
          <w:rFonts w:ascii="Cambria" w:hAnsi="Cambria"/>
          <w:sz w:val="20"/>
          <w:szCs w:val="20"/>
          <w:lang w:val="es-ES"/>
        </w:rPr>
        <w:t xml:space="preserve">i) </w:t>
      </w:r>
      <w:r w:rsidRPr="00732F0C">
        <w:rPr>
          <w:rFonts w:ascii="Cambria" w:hAnsi="Cambria"/>
          <w:i/>
          <w:sz w:val="20"/>
          <w:szCs w:val="20"/>
          <w:u w:val="single"/>
          <w:lang w:val="es-ES"/>
        </w:rPr>
        <w:t>Finalidad legítima</w:t>
      </w:r>
      <w:r w:rsidRPr="00732F0C">
        <w:rPr>
          <w:rFonts w:ascii="Cambria" w:hAnsi="Cambria"/>
          <w:sz w:val="20"/>
          <w:szCs w:val="20"/>
          <w:lang w:val="es-ES"/>
        </w:rPr>
        <w:t>: el uso de la fuerza debe estar dirigido a lograr un objetivo legítimo. (…)</w:t>
      </w:r>
    </w:p>
    <w:p w:rsidR="004D17CA" w:rsidRPr="00732F0C" w:rsidRDefault="004D17CA" w:rsidP="00842D6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Cambria" w:hAnsi="Cambria"/>
          <w:sz w:val="20"/>
          <w:szCs w:val="20"/>
          <w:lang w:val="es-ES"/>
        </w:rPr>
      </w:pPr>
    </w:p>
    <w:p w:rsidR="004D17CA" w:rsidRPr="00732F0C" w:rsidRDefault="004D17CA" w:rsidP="00842D6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Cambria" w:hAnsi="Cambria"/>
          <w:sz w:val="20"/>
          <w:szCs w:val="20"/>
          <w:lang w:val="es-ES"/>
        </w:rPr>
      </w:pPr>
      <w:r w:rsidRPr="00732F0C">
        <w:rPr>
          <w:rFonts w:ascii="Cambria" w:hAnsi="Cambria"/>
          <w:sz w:val="20"/>
          <w:szCs w:val="20"/>
          <w:lang w:val="es-ES"/>
        </w:rPr>
        <w:t xml:space="preserve">ii) </w:t>
      </w:r>
      <w:r w:rsidRPr="00732F0C">
        <w:rPr>
          <w:rFonts w:ascii="Cambria" w:hAnsi="Cambria"/>
          <w:i/>
          <w:sz w:val="20"/>
          <w:szCs w:val="20"/>
          <w:u w:val="single"/>
          <w:lang w:val="es-ES"/>
        </w:rPr>
        <w:t>Absoluta necesidad</w:t>
      </w:r>
      <w:r w:rsidRPr="00732F0C">
        <w:rPr>
          <w:rFonts w:ascii="Cambria" w:hAnsi="Cambria"/>
          <w:sz w:val="20"/>
          <w:szCs w:val="20"/>
          <w:lang w:val="es-ES"/>
        </w:rPr>
        <w:t>: es preciso verificar si existen otros medios disponibles menos lesivos para tutelar la vida e integridad de la persona o situación que se pretende proteger, de conformidad con las circunstancias del caso. Esta Corte ha señalado que no se puede concluir que quede acreditado el requisito de “absoluta necesidad” para utilizar la fuerza contra personas, cuando estas no representan un peligro directo, “inclusive cuando la falta del uso de la fuerza resultare en la pérdida de la oportunidad de captura”. (…)</w:t>
      </w:r>
    </w:p>
    <w:p w:rsidR="004D17CA" w:rsidRPr="00732F0C" w:rsidRDefault="004D17CA" w:rsidP="00842D6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Cambria" w:hAnsi="Cambria"/>
          <w:sz w:val="20"/>
          <w:szCs w:val="20"/>
          <w:lang w:val="es-ES"/>
        </w:rPr>
      </w:pPr>
    </w:p>
    <w:p w:rsidR="004D17CA" w:rsidRPr="00732F0C" w:rsidRDefault="004D17CA" w:rsidP="00842D6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Cambria" w:hAnsi="Cambria"/>
          <w:sz w:val="20"/>
          <w:szCs w:val="20"/>
          <w:lang w:val="es-ES"/>
        </w:rPr>
      </w:pPr>
      <w:r w:rsidRPr="00732F0C">
        <w:rPr>
          <w:rFonts w:ascii="Cambria" w:hAnsi="Cambria"/>
          <w:sz w:val="20"/>
          <w:szCs w:val="20"/>
          <w:lang w:val="es-ES"/>
        </w:rPr>
        <w:t xml:space="preserve">iii) </w:t>
      </w:r>
      <w:r w:rsidRPr="00732F0C">
        <w:rPr>
          <w:rFonts w:ascii="Cambria" w:hAnsi="Cambria"/>
          <w:i/>
          <w:sz w:val="20"/>
          <w:szCs w:val="20"/>
          <w:u w:val="single"/>
          <w:lang w:val="es-ES"/>
        </w:rPr>
        <w:t>Proporcionalidad</w:t>
      </w:r>
      <w:r w:rsidRPr="00732F0C">
        <w:rPr>
          <w:rFonts w:ascii="Cambria" w:hAnsi="Cambria"/>
          <w:sz w:val="20"/>
          <w:szCs w:val="20"/>
          <w:lang w:val="es-ES"/>
        </w:rPr>
        <w:t>: el nivel de fuerza utilizado debe ser acorde con el nivel de resistencia ofrecido, lo cual implica un equilibrio entre la situación a la que se enfrenta el funcionario y su respuesta, considerando el daño potencial que podría ser ocasionado. Así, los agentes deben aplicar un criterio de uso diferenciado de la fuerza, determinando el grado de cooperación, resistencia o agresión de parte del sujeto al cual se pretende intervenir y, con ello, emplear tácticas de negociación, control o uso</w:t>
      </w:r>
      <w:r w:rsidR="003E53AD" w:rsidRPr="00732F0C">
        <w:rPr>
          <w:rFonts w:ascii="Cambria" w:hAnsi="Cambria"/>
          <w:sz w:val="20"/>
          <w:szCs w:val="20"/>
          <w:lang w:val="es-ES"/>
        </w:rPr>
        <w:t xml:space="preserve"> de fuerza, según corresponda</w:t>
      </w:r>
      <w:r w:rsidR="003E53AD" w:rsidRPr="00732F0C">
        <w:rPr>
          <w:rStyle w:val="FootnoteReference"/>
          <w:rFonts w:ascii="Cambria" w:hAnsi="Cambria"/>
          <w:sz w:val="20"/>
          <w:szCs w:val="20"/>
          <w:lang w:val="es-ES"/>
        </w:rPr>
        <w:footnoteReference w:id="77"/>
      </w:r>
      <w:r w:rsidRPr="00732F0C">
        <w:rPr>
          <w:rFonts w:ascii="Cambria" w:hAnsi="Cambria"/>
          <w:sz w:val="20"/>
          <w:szCs w:val="20"/>
          <w:lang w:val="es-ES"/>
        </w:rPr>
        <w:t>.</w:t>
      </w:r>
    </w:p>
    <w:p w:rsidR="004D17CA" w:rsidRPr="00732F0C" w:rsidRDefault="004D17CA" w:rsidP="00842D6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sz w:val="20"/>
          <w:szCs w:val="20"/>
          <w:lang w:val="es-ES"/>
        </w:rPr>
      </w:pPr>
    </w:p>
    <w:p w:rsidR="00895A86" w:rsidRPr="00732F0C" w:rsidRDefault="00895A86" w:rsidP="00842D6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ES"/>
        </w:rPr>
      </w:pPr>
      <w:r w:rsidRPr="00732F0C">
        <w:rPr>
          <w:rFonts w:ascii="Cambria" w:hAnsi="Cambria"/>
          <w:sz w:val="20"/>
          <w:szCs w:val="20"/>
          <w:lang w:val="es-ES"/>
        </w:rPr>
        <w:t>En el presente asunto, la Comisión observa que no es un hecho controvertido</w:t>
      </w:r>
      <w:r w:rsidR="006A6785" w:rsidRPr="00732F0C">
        <w:rPr>
          <w:rFonts w:ascii="Cambria" w:hAnsi="Cambria"/>
          <w:sz w:val="20"/>
          <w:szCs w:val="20"/>
          <w:lang w:val="es-ES"/>
        </w:rPr>
        <w:t xml:space="preserve"> por las partes</w:t>
      </w:r>
      <w:r w:rsidRPr="00732F0C">
        <w:rPr>
          <w:rFonts w:ascii="Cambria" w:hAnsi="Cambria"/>
          <w:sz w:val="20"/>
          <w:szCs w:val="20"/>
          <w:lang w:val="es-ES"/>
        </w:rPr>
        <w:t xml:space="preserve"> que Jorge Darwin García falleció</w:t>
      </w:r>
      <w:r w:rsidR="004D17CA" w:rsidRPr="00732F0C">
        <w:rPr>
          <w:rFonts w:ascii="Cambria" w:hAnsi="Cambria"/>
          <w:sz w:val="20"/>
          <w:szCs w:val="20"/>
          <w:lang w:val="es-ES"/>
        </w:rPr>
        <w:t xml:space="preserve"> en el trayecto hacia el hospital</w:t>
      </w:r>
      <w:r w:rsidRPr="00732F0C">
        <w:rPr>
          <w:rFonts w:ascii="Cambria" w:hAnsi="Cambria"/>
          <w:sz w:val="20"/>
          <w:szCs w:val="20"/>
          <w:lang w:val="es-ES"/>
        </w:rPr>
        <w:t xml:space="preserve"> y </w:t>
      </w:r>
      <w:r w:rsidR="006A6785" w:rsidRPr="00732F0C">
        <w:rPr>
          <w:rFonts w:ascii="Cambria" w:hAnsi="Cambria"/>
          <w:spacing w:val="-2"/>
          <w:sz w:val="20"/>
          <w:szCs w:val="20"/>
          <w:lang w:val="es-CR"/>
        </w:rPr>
        <w:t>Franklin Plutarco García</w:t>
      </w:r>
      <w:r w:rsidR="006A6785" w:rsidRPr="00732F0C">
        <w:rPr>
          <w:rFonts w:ascii="Cambria" w:hAnsi="Cambria"/>
          <w:sz w:val="20"/>
          <w:szCs w:val="20"/>
          <w:lang w:val="es-ES"/>
        </w:rPr>
        <w:t xml:space="preserve"> resultó herido </w:t>
      </w:r>
      <w:r w:rsidRPr="00732F0C">
        <w:rPr>
          <w:rFonts w:ascii="Cambria" w:hAnsi="Cambria"/>
          <w:sz w:val="20"/>
          <w:szCs w:val="20"/>
          <w:lang w:val="es-ES"/>
        </w:rPr>
        <w:t>como consecuencia de disparos efectuados por el agente policial Segundo de la Cruz</w:t>
      </w:r>
      <w:r w:rsidR="006A6785" w:rsidRPr="00732F0C">
        <w:rPr>
          <w:rFonts w:ascii="Cambria" w:hAnsi="Cambria"/>
          <w:sz w:val="20"/>
          <w:szCs w:val="20"/>
          <w:lang w:val="es-ES"/>
        </w:rPr>
        <w:t xml:space="preserve"> el 12 de septiembre de 1993</w:t>
      </w:r>
      <w:r w:rsidRPr="00732F0C">
        <w:rPr>
          <w:rFonts w:ascii="Cambria" w:hAnsi="Cambria"/>
          <w:sz w:val="20"/>
          <w:szCs w:val="20"/>
          <w:lang w:val="es-ES"/>
        </w:rPr>
        <w:t xml:space="preserve">. </w:t>
      </w:r>
      <w:r w:rsidR="006A6785" w:rsidRPr="00732F0C">
        <w:rPr>
          <w:rFonts w:ascii="Cambria" w:hAnsi="Cambria"/>
          <w:sz w:val="20"/>
          <w:szCs w:val="20"/>
          <w:lang w:val="es-ES"/>
        </w:rPr>
        <w:t>Tales acontecimientos fueron confirmados a nivel interno mediante la sentencia condenatoria del señor de la Cruz el 3 de septiembre de 1995 y confirmada e</w:t>
      </w:r>
      <w:r w:rsidR="004D17CA" w:rsidRPr="00732F0C">
        <w:rPr>
          <w:rFonts w:ascii="Cambria" w:hAnsi="Cambria"/>
          <w:sz w:val="20"/>
          <w:szCs w:val="20"/>
          <w:lang w:val="es-ES"/>
        </w:rPr>
        <w:t>l 28 de enero de 1998.</w:t>
      </w:r>
      <w:r w:rsidR="00964920" w:rsidRPr="00732F0C">
        <w:rPr>
          <w:rFonts w:ascii="Cambria" w:hAnsi="Cambria"/>
          <w:sz w:val="20"/>
          <w:szCs w:val="20"/>
          <w:lang w:val="es-ES"/>
        </w:rPr>
        <w:t xml:space="preserve"> </w:t>
      </w:r>
      <w:r w:rsidR="00433F2B" w:rsidRPr="00732F0C">
        <w:rPr>
          <w:rFonts w:ascii="Cambria" w:hAnsi="Cambria"/>
          <w:sz w:val="20"/>
          <w:szCs w:val="20"/>
          <w:lang w:val="es-ES"/>
        </w:rPr>
        <w:t>En dicha sentencia se consideró que existió responsabilidad penal del señor de la Cruz y se descartó la versión de que los disparos hayan sido realizados en legítima defensa o incluso realizados por un tercero.</w:t>
      </w:r>
    </w:p>
    <w:p w:rsidR="006A6785" w:rsidRPr="00732F0C" w:rsidRDefault="006A6785" w:rsidP="00842D6E">
      <w:pPr>
        <w:pStyle w:val="ListParagraph"/>
        <w:jc w:val="both"/>
        <w:rPr>
          <w:sz w:val="20"/>
          <w:szCs w:val="20"/>
          <w:lang w:val="es-ES"/>
        </w:rPr>
      </w:pPr>
    </w:p>
    <w:p w:rsidR="0089604C" w:rsidRPr="00732F0C" w:rsidRDefault="006A6785" w:rsidP="00842D6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ES"/>
        </w:rPr>
      </w:pPr>
      <w:r w:rsidRPr="00732F0C">
        <w:rPr>
          <w:rFonts w:ascii="Cambria" w:hAnsi="Cambria"/>
          <w:sz w:val="20"/>
          <w:szCs w:val="20"/>
          <w:lang w:val="es-ES"/>
        </w:rPr>
        <w:t xml:space="preserve">En vista de lo </w:t>
      </w:r>
      <w:r w:rsidR="00964920" w:rsidRPr="00732F0C">
        <w:rPr>
          <w:rFonts w:ascii="Cambria" w:hAnsi="Cambria"/>
          <w:sz w:val="20"/>
          <w:szCs w:val="20"/>
          <w:lang w:val="es-ES"/>
        </w:rPr>
        <w:t>expuesto en los hechos probados</w:t>
      </w:r>
      <w:r w:rsidRPr="00732F0C">
        <w:rPr>
          <w:rFonts w:ascii="Cambria" w:hAnsi="Cambria"/>
          <w:sz w:val="20"/>
          <w:szCs w:val="20"/>
          <w:lang w:val="es-ES"/>
        </w:rPr>
        <w:t xml:space="preserve">, la Comisión </w:t>
      </w:r>
      <w:r w:rsidR="00433F2B" w:rsidRPr="00732F0C">
        <w:rPr>
          <w:rFonts w:ascii="Cambria" w:hAnsi="Cambria"/>
          <w:sz w:val="20"/>
          <w:szCs w:val="20"/>
          <w:lang w:val="es-ES"/>
        </w:rPr>
        <w:t>considera</w:t>
      </w:r>
      <w:r w:rsidR="003B48B9" w:rsidRPr="00732F0C">
        <w:rPr>
          <w:rFonts w:ascii="Cambria" w:hAnsi="Cambria"/>
          <w:sz w:val="20"/>
          <w:szCs w:val="20"/>
          <w:lang w:val="es-ES"/>
        </w:rPr>
        <w:t xml:space="preserve"> que</w:t>
      </w:r>
      <w:r w:rsidRPr="00732F0C">
        <w:rPr>
          <w:rFonts w:ascii="Cambria" w:hAnsi="Cambria"/>
          <w:sz w:val="20"/>
          <w:szCs w:val="20"/>
          <w:lang w:val="es-ES"/>
        </w:rPr>
        <w:t xml:space="preserve"> </w:t>
      </w:r>
      <w:r w:rsidR="00964920" w:rsidRPr="00732F0C">
        <w:rPr>
          <w:rFonts w:ascii="Cambria" w:hAnsi="Cambria"/>
          <w:sz w:val="20"/>
          <w:szCs w:val="20"/>
          <w:lang w:val="es-ES"/>
        </w:rPr>
        <w:t xml:space="preserve">queda claramente demostrado </w:t>
      </w:r>
      <w:r w:rsidRPr="00732F0C">
        <w:rPr>
          <w:rFonts w:ascii="Cambria" w:hAnsi="Cambria"/>
          <w:sz w:val="20"/>
          <w:szCs w:val="20"/>
          <w:lang w:val="es-ES"/>
        </w:rPr>
        <w:t>que el uso de la fuerza letal</w:t>
      </w:r>
      <w:r w:rsidR="00433F2B" w:rsidRPr="00732F0C">
        <w:rPr>
          <w:rFonts w:ascii="Cambria" w:hAnsi="Cambria"/>
          <w:sz w:val="20"/>
          <w:szCs w:val="20"/>
          <w:lang w:val="es-ES"/>
        </w:rPr>
        <w:t xml:space="preserve"> empleado por el agente policial Segundo de la Cruz fue </w:t>
      </w:r>
      <w:r w:rsidR="003B48B9" w:rsidRPr="00732F0C">
        <w:rPr>
          <w:rFonts w:ascii="Cambria" w:hAnsi="Cambria"/>
          <w:sz w:val="20"/>
          <w:szCs w:val="20"/>
          <w:lang w:val="es-ES"/>
        </w:rPr>
        <w:t>injustificado</w:t>
      </w:r>
      <w:r w:rsidR="00433F2B" w:rsidRPr="00732F0C">
        <w:rPr>
          <w:rFonts w:ascii="Cambria" w:hAnsi="Cambria"/>
          <w:sz w:val="20"/>
          <w:szCs w:val="20"/>
          <w:lang w:val="es-ES"/>
        </w:rPr>
        <w:t xml:space="preserve"> y desproporcional. </w:t>
      </w:r>
      <w:r w:rsidR="0089604C" w:rsidRPr="00732F0C">
        <w:rPr>
          <w:rFonts w:ascii="Cambria" w:hAnsi="Cambria"/>
          <w:sz w:val="20"/>
          <w:szCs w:val="20"/>
          <w:lang w:val="es-ES"/>
        </w:rPr>
        <w:t xml:space="preserve">Asimismo, la CIDH toma en cuenta que, como se indicará en la sección </w:t>
      </w:r>
      <w:r w:rsidR="0089604C" w:rsidRPr="00732F0C">
        <w:rPr>
          <w:rFonts w:ascii="Cambria" w:hAnsi="Cambria"/>
          <w:i/>
          <w:sz w:val="20"/>
          <w:szCs w:val="20"/>
          <w:lang w:val="es-ES"/>
        </w:rPr>
        <w:t>infra</w:t>
      </w:r>
      <w:r w:rsidR="0089604C" w:rsidRPr="00732F0C">
        <w:rPr>
          <w:rFonts w:ascii="Cambria" w:hAnsi="Cambria"/>
          <w:sz w:val="20"/>
          <w:szCs w:val="20"/>
          <w:lang w:val="es-ES"/>
        </w:rPr>
        <w:t xml:space="preserve">, la investigación estuvo inicialmente bajo la jurisdicción policial, existieron distintas irregularidades en la misma, el plazo del </w:t>
      </w:r>
      <w:r w:rsidR="0089604C" w:rsidRPr="00732F0C">
        <w:rPr>
          <w:rFonts w:ascii="Cambria" w:hAnsi="Cambria"/>
          <w:sz w:val="20"/>
          <w:szCs w:val="20"/>
          <w:lang w:val="es-ES"/>
        </w:rPr>
        <w:lastRenderedPageBreak/>
        <w:t xml:space="preserve">proceso no fue razonable, e incluso un recurso de revisión no habría sido resuelto a la fecha. Finalmente, la Comisión nota que de la información aportada por las partes no se evidencia que el señor García o sus familiares hayan recibido el pago de una indemnización por las lesiones cometidas en su contra o por la muerte de su hermano Jorge Darwin. </w:t>
      </w:r>
    </w:p>
    <w:p w:rsidR="0089604C" w:rsidRPr="00732F0C" w:rsidRDefault="0089604C" w:rsidP="00842D6E">
      <w:pPr>
        <w:pStyle w:val="ListParagraph"/>
        <w:ind w:left="0"/>
        <w:jc w:val="both"/>
        <w:rPr>
          <w:sz w:val="20"/>
          <w:szCs w:val="20"/>
          <w:lang w:val="es-ES"/>
        </w:rPr>
      </w:pPr>
    </w:p>
    <w:p w:rsidR="006A6785" w:rsidRPr="00732F0C" w:rsidRDefault="00433F2B" w:rsidP="00842D6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ES"/>
        </w:rPr>
      </w:pPr>
      <w:r w:rsidRPr="00732F0C">
        <w:rPr>
          <w:rFonts w:ascii="Cambria" w:hAnsi="Cambria"/>
          <w:sz w:val="20"/>
          <w:szCs w:val="20"/>
          <w:lang w:val="es-ES"/>
        </w:rPr>
        <w:t xml:space="preserve">En consecuencia, la CIDH concluye que el Estado violó el derecho a la integridad personal y vida de Jorge Darwin García, establecidos en los artículos 4.1 y 5.1 de la Convención Americana, en relación con el artículo 1.1 del mismo instrumento. Asimismo, la Comisión concluye que el Estado violó el derecho a la integridad personal de </w:t>
      </w:r>
      <w:r w:rsidRPr="00732F0C">
        <w:rPr>
          <w:rFonts w:ascii="Cambria" w:hAnsi="Cambria"/>
          <w:spacing w:val="-2"/>
          <w:sz w:val="20"/>
          <w:szCs w:val="20"/>
          <w:lang w:val="es-CR"/>
        </w:rPr>
        <w:t>Franklin Plutarco García</w:t>
      </w:r>
      <w:r w:rsidRPr="00732F0C">
        <w:rPr>
          <w:rFonts w:ascii="Cambria" w:hAnsi="Cambria"/>
          <w:sz w:val="20"/>
          <w:szCs w:val="20"/>
          <w:lang w:val="es-ES"/>
        </w:rPr>
        <w:t>, establecido en el artículo 5.1 de la Convención Americana, en relación con el artículo 1.1 del mismo instrumento.</w:t>
      </w:r>
    </w:p>
    <w:p w:rsidR="00AA7257" w:rsidRPr="00732F0C" w:rsidRDefault="00AA7257" w:rsidP="00842D6E">
      <w:pPr>
        <w:jc w:val="both"/>
        <w:rPr>
          <w:rFonts w:ascii="Cambria" w:hAnsi="Cambria"/>
          <w:sz w:val="20"/>
          <w:szCs w:val="20"/>
          <w:lang w:val="es-ES"/>
        </w:rPr>
      </w:pPr>
    </w:p>
    <w:p w:rsidR="00B266E7" w:rsidRPr="00732F0C" w:rsidRDefault="00B266E7" w:rsidP="00842D6E">
      <w:pPr>
        <w:pStyle w:val="Heading3"/>
        <w:numPr>
          <w:ilvl w:val="0"/>
          <w:numId w:val="63"/>
        </w:numPr>
        <w:ind w:left="1440" w:hanging="720"/>
        <w:rPr>
          <w:lang w:val="es-ES"/>
        </w:rPr>
      </w:pPr>
      <w:bookmarkStart w:id="34" w:name="_Toc529792404"/>
      <w:r w:rsidRPr="00732F0C">
        <w:rPr>
          <w:lang w:val="es-ES"/>
        </w:rPr>
        <w:t xml:space="preserve">Los derechos a las garantías judiciales y protección judicial respecto de las investigaciones y procesos iniciados por la muerte </w:t>
      </w:r>
      <w:bookmarkEnd w:id="32"/>
      <w:bookmarkEnd w:id="33"/>
      <w:r w:rsidRPr="00732F0C">
        <w:rPr>
          <w:lang w:val="es-ES"/>
        </w:rPr>
        <w:t>de Jorge Darwin García</w:t>
      </w:r>
      <w:r w:rsidR="00AA7257" w:rsidRPr="00732F0C">
        <w:rPr>
          <w:lang w:val="es-ES"/>
        </w:rPr>
        <w:t xml:space="preserve"> (artículos 8 y 25 de la Convención Americana en relación con los artículos 1.1 y 2 del mismo instrumento)</w:t>
      </w:r>
      <w:bookmarkEnd w:id="34"/>
    </w:p>
    <w:p w:rsidR="00B266E7" w:rsidRPr="00732F0C" w:rsidRDefault="00B266E7" w:rsidP="00842D6E">
      <w:pPr>
        <w:jc w:val="both"/>
        <w:rPr>
          <w:rFonts w:ascii="Cambria" w:hAnsi="Cambria"/>
          <w:sz w:val="20"/>
          <w:szCs w:val="20"/>
          <w:lang w:val="es-ES_tradnl"/>
        </w:rPr>
      </w:pPr>
    </w:p>
    <w:p w:rsidR="00B266E7" w:rsidRPr="00732F0C" w:rsidRDefault="00B266E7" w:rsidP="00842D6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jc w:val="both"/>
        <w:rPr>
          <w:rFonts w:ascii="Cambria" w:hAnsi="Cambria"/>
          <w:sz w:val="20"/>
          <w:szCs w:val="20"/>
          <w:lang w:val="es-ES_tradnl"/>
        </w:rPr>
      </w:pPr>
      <w:r w:rsidRPr="00732F0C">
        <w:rPr>
          <w:rFonts w:ascii="Cambria" w:hAnsi="Cambria"/>
          <w:sz w:val="20"/>
          <w:szCs w:val="20"/>
          <w:lang w:val="es-ES_tradnl"/>
        </w:rPr>
        <w:t xml:space="preserve">El artículo 8.1 de la Convención Americana indica lo siguiente: </w:t>
      </w:r>
    </w:p>
    <w:p w:rsidR="00B266E7" w:rsidRPr="00732F0C" w:rsidRDefault="00B266E7" w:rsidP="00842D6E">
      <w:pPr>
        <w:jc w:val="both"/>
        <w:rPr>
          <w:rFonts w:ascii="Cambria" w:hAnsi="Cambria"/>
          <w:sz w:val="20"/>
          <w:szCs w:val="20"/>
          <w:lang w:val="es-ES_tradnl"/>
        </w:rPr>
      </w:pPr>
    </w:p>
    <w:p w:rsidR="00B266E7" w:rsidRPr="00732F0C" w:rsidRDefault="00B266E7" w:rsidP="00842D6E">
      <w:pPr>
        <w:ind w:left="720" w:right="720"/>
        <w:jc w:val="both"/>
        <w:rPr>
          <w:rFonts w:ascii="Cambria" w:hAnsi="Cambria"/>
          <w:b/>
          <w:sz w:val="20"/>
          <w:szCs w:val="20"/>
          <w:lang w:val="es-ES_tradnl"/>
        </w:rPr>
      </w:pPr>
      <w:r w:rsidRPr="00732F0C">
        <w:rPr>
          <w:rFonts w:ascii="Cambria" w:hAnsi="Cambria"/>
          <w:sz w:val="20"/>
          <w:szCs w:val="20"/>
          <w:lang w:val="es-ES_tradnl"/>
        </w:rPr>
        <w:t>1.    Toda persona tiene derecho a ser oída, con las debidas garantías y dentro de un plazo razonable, por un juez o tribunal competente, independiente e imparcial, establecido con anterioridad por la ley, en la sustanciación de cualquier acusación penal formulada contra ella, o para la determinación de sus derechos y obligaciones de orden civil, laboral, fiscal o de cualquier otro carácter.</w:t>
      </w:r>
    </w:p>
    <w:p w:rsidR="00B266E7" w:rsidRPr="00732F0C" w:rsidRDefault="00B266E7" w:rsidP="00842D6E">
      <w:pPr>
        <w:ind w:left="720" w:right="720"/>
        <w:jc w:val="both"/>
        <w:rPr>
          <w:rFonts w:ascii="Cambria" w:hAnsi="Cambria"/>
          <w:b/>
          <w:sz w:val="20"/>
          <w:szCs w:val="20"/>
          <w:lang w:val="es-ES_tradnl"/>
        </w:rPr>
      </w:pPr>
    </w:p>
    <w:p w:rsidR="00B266E7" w:rsidRPr="00732F0C" w:rsidRDefault="00B266E7" w:rsidP="00842D6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jc w:val="both"/>
        <w:rPr>
          <w:rFonts w:ascii="Cambria" w:hAnsi="Cambria"/>
          <w:sz w:val="20"/>
          <w:szCs w:val="20"/>
          <w:lang w:val="es-ES_tradnl"/>
        </w:rPr>
      </w:pPr>
      <w:r w:rsidRPr="00732F0C">
        <w:rPr>
          <w:rFonts w:ascii="Cambria" w:hAnsi="Cambria"/>
          <w:sz w:val="20"/>
          <w:szCs w:val="20"/>
          <w:lang w:val="es-ES_tradnl"/>
        </w:rPr>
        <w:t xml:space="preserve">Por su parte, el artículo 25.1 de la Convención Americana establece lo siguiente: </w:t>
      </w:r>
    </w:p>
    <w:p w:rsidR="00B266E7" w:rsidRPr="00732F0C" w:rsidRDefault="00B266E7" w:rsidP="00842D6E">
      <w:pPr>
        <w:jc w:val="both"/>
        <w:rPr>
          <w:rFonts w:ascii="Cambria" w:hAnsi="Cambria"/>
          <w:sz w:val="20"/>
          <w:szCs w:val="20"/>
          <w:lang w:val="es-ES_tradnl"/>
        </w:rPr>
      </w:pPr>
    </w:p>
    <w:p w:rsidR="00B266E7" w:rsidRPr="00732F0C" w:rsidRDefault="00B266E7" w:rsidP="00842D6E">
      <w:pPr>
        <w:ind w:left="720" w:right="720"/>
        <w:jc w:val="both"/>
        <w:rPr>
          <w:rFonts w:ascii="Cambria" w:hAnsi="Cambria"/>
          <w:sz w:val="20"/>
          <w:szCs w:val="20"/>
          <w:lang w:val="es-ES_tradnl"/>
        </w:rPr>
      </w:pPr>
      <w:r w:rsidRPr="00732F0C">
        <w:rPr>
          <w:rFonts w:ascii="Cambria" w:hAnsi="Cambria"/>
          <w:sz w:val="20"/>
          <w:szCs w:val="20"/>
          <w:lang w:val="es-ES_tradnl"/>
        </w:rPr>
        <w:t>1.    Toda persona tiene derecho a un recurso sencillo y rápido o a cualquier otro recurso efectivo ante los jueces o tribunales competentes, que la ampare contra actos que violen sus derechos fundamentales reconocidos por la Constitución, la ley o la presente Convención, aun cuando tal violación sea cometida por personas que actúen en ejercicio de sus funciones oficiales.</w:t>
      </w:r>
    </w:p>
    <w:p w:rsidR="00B266E7" w:rsidRPr="00732F0C" w:rsidRDefault="00B266E7" w:rsidP="00842D6E">
      <w:pPr>
        <w:ind w:right="720"/>
        <w:jc w:val="both"/>
        <w:rPr>
          <w:rFonts w:ascii="Cambria" w:hAnsi="Cambria"/>
          <w:b/>
          <w:sz w:val="20"/>
          <w:szCs w:val="20"/>
          <w:lang w:val="es-ES_tradnl"/>
        </w:rPr>
      </w:pPr>
    </w:p>
    <w:p w:rsidR="00B266E7" w:rsidRPr="00732F0C" w:rsidRDefault="00B266E7" w:rsidP="00842D6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cs="Arial"/>
          <w:sz w:val="20"/>
          <w:szCs w:val="20"/>
          <w:lang w:val="es-AR"/>
        </w:rPr>
      </w:pPr>
      <w:r w:rsidRPr="00732F0C">
        <w:rPr>
          <w:rFonts w:ascii="Cambria" w:hAnsi="Cambria" w:cs="Verdana"/>
          <w:sz w:val="20"/>
          <w:szCs w:val="20"/>
          <w:lang w:val="es-ES_tradnl" w:eastAsia="es-ES"/>
        </w:rPr>
        <w:t xml:space="preserve">De manera preliminar, la Comisión recuerda la jurisprudencia constante respecto de la </w:t>
      </w:r>
      <w:r w:rsidRPr="00732F0C">
        <w:rPr>
          <w:rFonts w:ascii="Cambria" w:hAnsi="Cambria" w:cs="Verdana"/>
          <w:sz w:val="20"/>
          <w:szCs w:val="20"/>
          <w:lang w:val="es-ES" w:eastAsia="es-ES"/>
        </w:rPr>
        <w:t>posibilidad de los ór</w:t>
      </w:r>
      <w:r w:rsidR="00871FD8">
        <w:rPr>
          <w:rFonts w:ascii="Cambria" w:hAnsi="Cambria" w:cs="Verdana"/>
          <w:sz w:val="20"/>
          <w:szCs w:val="20"/>
          <w:lang w:val="es-ES" w:eastAsia="es-ES"/>
        </w:rPr>
        <w:t>ganos del sistema interamericano</w:t>
      </w:r>
      <w:r w:rsidRPr="00732F0C">
        <w:rPr>
          <w:rFonts w:ascii="Cambria" w:hAnsi="Cambria" w:cs="Verdana"/>
          <w:sz w:val="20"/>
          <w:szCs w:val="20"/>
          <w:lang w:val="es-ES" w:eastAsia="es-ES"/>
        </w:rPr>
        <w:t xml:space="preserve"> de analizar los procesos internos. En palabras de la Corte Interamericana: </w:t>
      </w:r>
    </w:p>
    <w:p w:rsidR="00B266E7" w:rsidRPr="00732F0C" w:rsidRDefault="00B266E7" w:rsidP="00842D6E">
      <w:pPr>
        <w:autoSpaceDE w:val="0"/>
        <w:autoSpaceDN w:val="0"/>
        <w:adjustRightInd w:val="0"/>
        <w:jc w:val="both"/>
        <w:rPr>
          <w:rFonts w:ascii="Cambria" w:hAnsi="Cambria" w:cs="Verdana"/>
          <w:sz w:val="20"/>
          <w:szCs w:val="20"/>
          <w:lang w:val="es-ES" w:eastAsia="es-ES"/>
        </w:rPr>
      </w:pPr>
    </w:p>
    <w:p w:rsidR="00B266E7" w:rsidRPr="00732F0C" w:rsidRDefault="00B266E7" w:rsidP="00842D6E">
      <w:pPr>
        <w:autoSpaceDE w:val="0"/>
        <w:autoSpaceDN w:val="0"/>
        <w:adjustRightInd w:val="0"/>
        <w:ind w:left="720" w:right="720"/>
        <w:jc w:val="both"/>
        <w:rPr>
          <w:rFonts w:ascii="Cambria" w:hAnsi="Cambria" w:cs="Verdana"/>
          <w:i/>
          <w:iCs/>
          <w:sz w:val="20"/>
          <w:szCs w:val="20"/>
          <w:lang w:val="es-ES" w:eastAsia="es-ES"/>
        </w:rPr>
      </w:pPr>
      <w:r w:rsidRPr="00732F0C">
        <w:rPr>
          <w:rFonts w:ascii="Cambria" w:hAnsi="Cambria" w:cs="Verdana"/>
          <w:sz w:val="20"/>
          <w:szCs w:val="20"/>
          <w:lang w:val="es-ES" w:eastAsia="es-ES"/>
        </w:rPr>
        <w:t>[E]l esclarecimiento de presuntas violaciones por parte de un Estado de sus obligaciones internacionales a través de sus órganos judiciales, puede conducir a que [la Comisión y la Corte] deba[n] ocuparse de examinar los respectivos procesos internos. A la luz de lo anterior, se deben considerar los procedimientos internos como un todo y que la función del tribunal internacional es determinar si la integralidad de los procedimientos fue conforme a las disposiciones internacionales</w:t>
      </w:r>
      <w:r w:rsidRPr="00732F0C">
        <w:rPr>
          <w:rStyle w:val="FootnoteReference"/>
          <w:rFonts w:ascii="Cambria" w:hAnsi="Cambria" w:cs="Verdana"/>
          <w:sz w:val="20"/>
          <w:szCs w:val="20"/>
          <w:lang w:val="es-ES" w:eastAsia="es-ES"/>
        </w:rPr>
        <w:footnoteReference w:id="78"/>
      </w:r>
      <w:r w:rsidRPr="00732F0C">
        <w:rPr>
          <w:rFonts w:ascii="Cambria" w:hAnsi="Cambria" w:cs="Verdana"/>
          <w:i/>
          <w:iCs/>
          <w:sz w:val="20"/>
          <w:szCs w:val="20"/>
          <w:lang w:val="es-ES" w:eastAsia="es-ES"/>
        </w:rPr>
        <w:t xml:space="preserve">. </w:t>
      </w:r>
    </w:p>
    <w:p w:rsidR="0035594E" w:rsidRPr="00732F0C" w:rsidRDefault="0035594E" w:rsidP="00842D6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cs="Verdana"/>
          <w:sz w:val="20"/>
          <w:szCs w:val="20"/>
          <w:lang w:val="es-ES"/>
        </w:rPr>
      </w:pPr>
    </w:p>
    <w:p w:rsidR="00C04F0C" w:rsidRPr="00732F0C" w:rsidRDefault="00265E3C" w:rsidP="00842D6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jc w:val="both"/>
        <w:rPr>
          <w:rFonts w:ascii="Cambria" w:hAnsi="Cambria"/>
          <w:b/>
          <w:sz w:val="20"/>
          <w:szCs w:val="20"/>
          <w:lang w:val="es-ES_tradnl"/>
        </w:rPr>
      </w:pPr>
      <w:r w:rsidRPr="00732F0C">
        <w:rPr>
          <w:rFonts w:ascii="Cambria" w:hAnsi="Cambria"/>
          <w:sz w:val="20"/>
          <w:szCs w:val="20"/>
          <w:lang w:val="es-ES_tradnl"/>
        </w:rPr>
        <w:t>Asimismo, l</w:t>
      </w:r>
      <w:r w:rsidR="00C04F0C" w:rsidRPr="00732F0C">
        <w:rPr>
          <w:rFonts w:ascii="Cambria" w:hAnsi="Cambria"/>
          <w:sz w:val="20"/>
          <w:szCs w:val="20"/>
          <w:lang w:val="es-ES_tradnl"/>
        </w:rPr>
        <w:t>a</w:t>
      </w:r>
      <w:r w:rsidR="00C04F0C" w:rsidRPr="00732F0C">
        <w:rPr>
          <w:rFonts w:ascii="Cambria" w:hAnsi="Cambria" w:cs="Verdana"/>
          <w:sz w:val="20"/>
          <w:szCs w:val="20"/>
          <w:lang w:val="es-ES"/>
        </w:rPr>
        <w:t xml:space="preserve"> Corte ha señalado que:</w:t>
      </w:r>
    </w:p>
    <w:p w:rsidR="00C04F0C" w:rsidRPr="00732F0C" w:rsidRDefault="00C04F0C" w:rsidP="00842D6E">
      <w:pPr>
        <w:autoSpaceDE w:val="0"/>
        <w:autoSpaceDN w:val="0"/>
        <w:adjustRightInd w:val="0"/>
        <w:ind w:right="540" w:firstLine="720"/>
        <w:jc w:val="both"/>
        <w:rPr>
          <w:rFonts w:ascii="Cambria" w:hAnsi="Cambria" w:cs="Verdana"/>
          <w:sz w:val="20"/>
          <w:szCs w:val="20"/>
          <w:lang w:val="es-ES"/>
        </w:rPr>
      </w:pPr>
    </w:p>
    <w:p w:rsidR="00C04F0C" w:rsidRPr="00732F0C" w:rsidRDefault="00C04F0C" w:rsidP="00842D6E">
      <w:pPr>
        <w:tabs>
          <w:tab w:val="left" w:pos="8640"/>
        </w:tabs>
        <w:autoSpaceDE w:val="0"/>
        <w:autoSpaceDN w:val="0"/>
        <w:adjustRightInd w:val="0"/>
        <w:ind w:left="720" w:right="720"/>
        <w:jc w:val="both"/>
        <w:rPr>
          <w:rFonts w:ascii="Cambria" w:hAnsi="Cambria" w:cs="Verdana"/>
          <w:sz w:val="20"/>
          <w:szCs w:val="20"/>
          <w:lang w:val="es-ES"/>
        </w:rPr>
      </w:pPr>
      <w:r w:rsidRPr="00732F0C">
        <w:rPr>
          <w:rFonts w:ascii="Cambria" w:hAnsi="Cambria" w:cs="Verdana"/>
          <w:sz w:val="20"/>
          <w:szCs w:val="20"/>
          <w:lang w:val="es-ES"/>
        </w:rPr>
        <w:t xml:space="preserve">Los Estados Partes están obligados a suministrar recursos judiciales efectivos a las víctimas de violaciones de los derechos humanos (artículo 25), recursos que deben ser sustanciados de conformidad con las reglas del debido proceso legal (artículo 8.1), todo ello dentro de la obligación general, a cargo de los mismos Estados, de garantizar el libre y pleno ejercicio de </w:t>
      </w:r>
      <w:r w:rsidRPr="00732F0C">
        <w:rPr>
          <w:rFonts w:ascii="Cambria" w:hAnsi="Cambria" w:cs="Verdana"/>
          <w:sz w:val="20"/>
          <w:szCs w:val="20"/>
          <w:lang w:val="es-ES"/>
        </w:rPr>
        <w:lastRenderedPageBreak/>
        <w:t>los derechos reconocidos por la Convención a toda persona que se encuentre bajo su jurisdicción (artículo 1.1)</w:t>
      </w:r>
      <w:r w:rsidRPr="00732F0C">
        <w:rPr>
          <w:rStyle w:val="FootnoteReference"/>
          <w:rFonts w:ascii="Cambria" w:hAnsi="Cambria" w:cs="Arial"/>
          <w:sz w:val="20"/>
          <w:szCs w:val="20"/>
          <w:lang w:val="es-ES"/>
        </w:rPr>
        <w:footnoteReference w:id="79"/>
      </w:r>
      <w:r w:rsidRPr="00732F0C">
        <w:rPr>
          <w:rFonts w:ascii="Cambria" w:hAnsi="Cambria" w:cs="Verdana"/>
          <w:sz w:val="20"/>
          <w:szCs w:val="20"/>
          <w:lang w:val="es-ES"/>
        </w:rPr>
        <w:t>.</w:t>
      </w:r>
    </w:p>
    <w:p w:rsidR="00C04F0C" w:rsidRPr="00732F0C" w:rsidRDefault="00C04F0C" w:rsidP="00842D6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cs="Verdana"/>
          <w:sz w:val="20"/>
          <w:szCs w:val="20"/>
          <w:lang w:val="es-ES"/>
        </w:rPr>
      </w:pPr>
    </w:p>
    <w:p w:rsidR="00B266E7" w:rsidRPr="00732F0C" w:rsidRDefault="00A07D7F" w:rsidP="00842D6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cs="Verdana"/>
          <w:sz w:val="20"/>
          <w:szCs w:val="20"/>
          <w:lang w:val="es-ES"/>
        </w:rPr>
      </w:pPr>
      <w:r w:rsidRPr="00732F0C">
        <w:rPr>
          <w:rFonts w:ascii="Cambria" w:hAnsi="Cambria"/>
          <w:sz w:val="20"/>
          <w:szCs w:val="20"/>
          <w:lang w:val="es-CL"/>
        </w:rPr>
        <w:t xml:space="preserve">De esta forma, </w:t>
      </w:r>
      <w:r w:rsidR="00B266E7" w:rsidRPr="00732F0C">
        <w:rPr>
          <w:rFonts w:ascii="Cambria" w:hAnsi="Cambria"/>
          <w:sz w:val="20"/>
          <w:szCs w:val="20"/>
          <w:lang w:val="es-CL"/>
        </w:rPr>
        <w:t xml:space="preserve">los Estados </w:t>
      </w:r>
      <w:r w:rsidRPr="00732F0C">
        <w:rPr>
          <w:rFonts w:ascii="Cambria" w:hAnsi="Cambria"/>
          <w:sz w:val="20"/>
          <w:szCs w:val="20"/>
          <w:lang w:val="es-CL"/>
        </w:rPr>
        <w:t>tienen</w:t>
      </w:r>
      <w:r w:rsidR="00B266E7" w:rsidRPr="00732F0C">
        <w:rPr>
          <w:rFonts w:ascii="Cambria" w:hAnsi="Cambria"/>
          <w:sz w:val="20"/>
          <w:szCs w:val="20"/>
          <w:lang w:val="es-CL"/>
        </w:rPr>
        <w:t xml:space="preserve"> </w:t>
      </w:r>
      <w:r w:rsidR="00B266E7" w:rsidRPr="00732F0C">
        <w:rPr>
          <w:rFonts w:ascii="Cambria" w:hAnsi="Cambria"/>
          <w:sz w:val="20"/>
          <w:szCs w:val="20"/>
          <w:lang w:val="es-ES_tradnl"/>
        </w:rPr>
        <w:t>el deber de investigar las violaciones a los derechos humanos reconocidos en ese instrumento, como las alegadas en el presente caso y procurar, además, el restablecimiento, si es posible, del derecho conculcado y, en su caso, la reparación de los daños producidos por las violaciones de los derechos humanos</w:t>
      </w:r>
      <w:r w:rsidR="00B266E7" w:rsidRPr="00732F0C">
        <w:rPr>
          <w:rStyle w:val="FootnoteReference"/>
          <w:rFonts w:ascii="Cambria" w:hAnsi="Cambria"/>
          <w:sz w:val="20"/>
          <w:szCs w:val="20"/>
          <w:lang w:val="es-ES_tradnl"/>
        </w:rPr>
        <w:footnoteReference w:id="80"/>
      </w:r>
      <w:r w:rsidR="00B266E7" w:rsidRPr="00732F0C">
        <w:rPr>
          <w:rFonts w:ascii="Cambria" w:hAnsi="Cambria"/>
          <w:sz w:val="20"/>
          <w:szCs w:val="20"/>
          <w:lang w:val="es-ES_tradnl"/>
        </w:rPr>
        <w:t>.</w:t>
      </w:r>
      <w:r w:rsidR="00B266E7" w:rsidRPr="00732F0C">
        <w:rPr>
          <w:rFonts w:ascii="Cambria" w:hAnsi="Cambria" w:cs="Verdana"/>
          <w:sz w:val="20"/>
          <w:szCs w:val="20"/>
          <w:lang w:val="es-ES"/>
        </w:rPr>
        <w:t xml:space="preserve"> </w:t>
      </w:r>
      <w:r w:rsidR="00D273D3" w:rsidRPr="00732F0C">
        <w:rPr>
          <w:rFonts w:ascii="Cambria" w:hAnsi="Cambria" w:cs="Verdana"/>
          <w:sz w:val="20"/>
          <w:szCs w:val="20"/>
          <w:lang w:val="es-ES"/>
        </w:rPr>
        <w:t>L</w:t>
      </w:r>
      <w:r w:rsidRPr="00732F0C">
        <w:rPr>
          <w:rFonts w:ascii="Cambria" w:hAnsi="Cambria" w:cs="Verdana"/>
          <w:sz w:val="20"/>
          <w:szCs w:val="20"/>
          <w:lang w:val="es-ES"/>
        </w:rPr>
        <w:t>a Comisión resalta que l</w:t>
      </w:r>
      <w:r w:rsidR="00B266E7" w:rsidRPr="00732F0C">
        <w:rPr>
          <w:rFonts w:ascii="Cambria" w:hAnsi="Cambria" w:cs="Verdana"/>
          <w:sz w:val="20"/>
          <w:szCs w:val="20"/>
          <w:lang w:val="es-ES"/>
        </w:rPr>
        <w:t xml:space="preserve">os artículos 8.1 y 25.1 de la Convención Americana </w:t>
      </w:r>
      <w:r w:rsidRPr="00732F0C">
        <w:rPr>
          <w:rFonts w:ascii="Cambria" w:hAnsi="Cambria" w:cs="Verdana"/>
          <w:sz w:val="20"/>
          <w:szCs w:val="20"/>
          <w:lang w:val="es-ES"/>
        </w:rPr>
        <w:t xml:space="preserve">también </w:t>
      </w:r>
      <w:r w:rsidR="00B266E7" w:rsidRPr="00732F0C">
        <w:rPr>
          <w:rFonts w:ascii="Cambria" w:hAnsi="Cambria" w:cs="Verdana"/>
          <w:sz w:val="20"/>
          <w:szCs w:val="20"/>
          <w:lang w:val="es-ES"/>
        </w:rPr>
        <w:t>consagran</w:t>
      </w:r>
      <w:r w:rsidRPr="00732F0C">
        <w:rPr>
          <w:rFonts w:ascii="Cambria" w:hAnsi="Cambria" w:cs="Verdana"/>
          <w:sz w:val="20"/>
          <w:szCs w:val="20"/>
          <w:lang w:val="es-ES"/>
        </w:rPr>
        <w:t xml:space="preserve"> </w:t>
      </w:r>
      <w:r w:rsidR="00B266E7" w:rsidRPr="00732F0C">
        <w:rPr>
          <w:rFonts w:ascii="Cambria" w:hAnsi="Cambria"/>
          <w:sz w:val="20"/>
          <w:szCs w:val="20"/>
          <w:lang w:val="es-CL"/>
        </w:rPr>
        <w:t xml:space="preserve">el derecho de los familiares de las víctimas de estas violaciones de ser oídos a lo largo de los procesos internos así como de obtener la verdad de los hechos y, de ser el caso, una sanción adecuada a los responsables y una reparación integral.   </w:t>
      </w:r>
    </w:p>
    <w:p w:rsidR="00B266E7" w:rsidRPr="00732F0C" w:rsidRDefault="00B266E7" w:rsidP="00842D6E">
      <w:pPr>
        <w:jc w:val="both"/>
        <w:outlineLvl w:val="0"/>
        <w:rPr>
          <w:rFonts w:ascii="Cambria" w:hAnsi="Cambria"/>
          <w:b/>
          <w:sz w:val="20"/>
          <w:szCs w:val="20"/>
          <w:lang w:val="es-ES_tradnl"/>
        </w:rPr>
      </w:pPr>
    </w:p>
    <w:p w:rsidR="00B266E7" w:rsidRPr="00732F0C" w:rsidRDefault="00B266E7" w:rsidP="00842D6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b/>
          <w:sz w:val="20"/>
          <w:szCs w:val="20"/>
          <w:lang w:val="es-ES_tradnl"/>
        </w:rPr>
      </w:pPr>
      <w:r w:rsidRPr="00732F0C">
        <w:rPr>
          <w:rFonts w:ascii="Cambria" w:hAnsi="Cambria" w:cs="Arial"/>
          <w:sz w:val="20"/>
          <w:szCs w:val="20"/>
          <w:lang w:val="es-ES_tradnl"/>
        </w:rPr>
        <w:t xml:space="preserve">La jurisprudencia del </w:t>
      </w:r>
      <w:r w:rsidR="00C04F0C" w:rsidRPr="00732F0C">
        <w:rPr>
          <w:rFonts w:ascii="Cambria" w:hAnsi="Cambria" w:cs="Arial"/>
          <w:sz w:val="20"/>
          <w:szCs w:val="20"/>
          <w:lang w:val="es-ES_tradnl"/>
        </w:rPr>
        <w:t>sistema i</w:t>
      </w:r>
      <w:r w:rsidRPr="00732F0C">
        <w:rPr>
          <w:rFonts w:ascii="Cambria" w:hAnsi="Cambria" w:cs="Arial"/>
          <w:sz w:val="20"/>
          <w:szCs w:val="20"/>
          <w:lang w:val="es-ES_tradnl"/>
        </w:rPr>
        <w:t xml:space="preserve">nteramericano ha establecido que si bien la obligación de investigar </w:t>
      </w:r>
      <w:r w:rsidRPr="00732F0C">
        <w:rPr>
          <w:rFonts w:ascii="Cambria" w:hAnsi="Cambria"/>
          <w:sz w:val="20"/>
          <w:szCs w:val="20"/>
          <w:lang w:val="es-ES_tradnl"/>
        </w:rPr>
        <w:t xml:space="preserve">es una obligación de medios, y no de resultado, ésta debe ser </w:t>
      </w:r>
      <w:r w:rsidRPr="00732F0C">
        <w:rPr>
          <w:rFonts w:ascii="Cambria" w:hAnsi="Cambria" w:cs="Arial"/>
          <w:sz w:val="20"/>
          <w:szCs w:val="20"/>
          <w:lang w:val="es-ES_tradnl"/>
        </w:rPr>
        <w:t>asumida</w:t>
      </w:r>
      <w:r w:rsidRPr="00732F0C">
        <w:rPr>
          <w:rFonts w:ascii="Cambria" w:hAnsi="Cambria"/>
          <w:sz w:val="20"/>
          <w:szCs w:val="20"/>
          <w:lang w:val="es-ES_tradnl"/>
        </w:rPr>
        <w:t xml:space="preserve"> por el Estado como un deber jurídico propio y no como una simple formalidad condenada de antemano a ser infructuosa</w:t>
      </w:r>
      <w:r w:rsidRPr="00732F0C">
        <w:rPr>
          <w:rFonts w:ascii="Cambria" w:hAnsi="Cambria"/>
          <w:sz w:val="20"/>
          <w:szCs w:val="20"/>
          <w:vertAlign w:val="superscript"/>
        </w:rPr>
        <w:footnoteReference w:id="81"/>
      </w:r>
      <w:r w:rsidRPr="00732F0C">
        <w:rPr>
          <w:rFonts w:ascii="Cambria" w:hAnsi="Cambria"/>
          <w:sz w:val="20"/>
          <w:szCs w:val="20"/>
          <w:lang w:val="es-ES_tradnl"/>
        </w:rPr>
        <w:t>, o como una mera gestión de intereses particulares, que dependa de la iniciativa procesal de las víctimas o de sus familiares o de la aportación privada de elementos probatorios</w:t>
      </w:r>
      <w:r w:rsidRPr="00732F0C">
        <w:rPr>
          <w:rFonts w:ascii="Cambria" w:hAnsi="Cambria"/>
          <w:sz w:val="20"/>
          <w:szCs w:val="20"/>
          <w:vertAlign w:val="superscript"/>
        </w:rPr>
        <w:footnoteReference w:id="82"/>
      </w:r>
      <w:r w:rsidRPr="00732F0C">
        <w:rPr>
          <w:rFonts w:ascii="Cambria" w:hAnsi="Cambria"/>
          <w:sz w:val="20"/>
          <w:szCs w:val="20"/>
          <w:lang w:val="es-ES_tradnl"/>
        </w:rPr>
        <w:t>.</w:t>
      </w:r>
      <w:r w:rsidR="00265E3C" w:rsidRPr="00732F0C">
        <w:rPr>
          <w:rFonts w:ascii="Cambria" w:hAnsi="Cambria"/>
          <w:sz w:val="20"/>
          <w:szCs w:val="20"/>
          <w:lang w:val="es-ES_tradnl"/>
        </w:rPr>
        <w:t xml:space="preserve"> </w:t>
      </w:r>
      <w:r w:rsidR="00D5687F" w:rsidRPr="00732F0C">
        <w:rPr>
          <w:rFonts w:ascii="Cambria" w:hAnsi="Cambria"/>
          <w:sz w:val="20"/>
          <w:szCs w:val="20"/>
          <w:lang w:val="es-ES_tradnl"/>
        </w:rPr>
        <w:t>Del mismo modo</w:t>
      </w:r>
      <w:r w:rsidR="00265E3C" w:rsidRPr="00732F0C">
        <w:rPr>
          <w:rFonts w:ascii="Cambria" w:hAnsi="Cambria"/>
          <w:sz w:val="20"/>
          <w:szCs w:val="20"/>
          <w:lang w:val="es-ES_tradnl"/>
        </w:rPr>
        <w:t>, la Comisión resalta</w:t>
      </w:r>
      <w:r w:rsidR="00D5687F" w:rsidRPr="00732F0C">
        <w:rPr>
          <w:rFonts w:ascii="Cambria" w:hAnsi="Cambria"/>
          <w:sz w:val="20"/>
          <w:szCs w:val="20"/>
          <w:lang w:val="es-ES_tradnl"/>
        </w:rPr>
        <w:t xml:space="preserve"> que, </w:t>
      </w:r>
      <w:r w:rsidR="00F26370" w:rsidRPr="00732F0C">
        <w:rPr>
          <w:rFonts w:ascii="Cambria" w:hAnsi="Cambria"/>
          <w:sz w:val="20"/>
          <w:szCs w:val="20"/>
          <w:lang w:val="es-ES_tradnl"/>
        </w:rPr>
        <w:t>al margen de que el Estado emita una sentencia condenatoria en contra de los responsables</w:t>
      </w:r>
      <w:r w:rsidR="00D5687F" w:rsidRPr="00732F0C">
        <w:rPr>
          <w:rFonts w:ascii="Cambria" w:hAnsi="Cambria"/>
          <w:sz w:val="20"/>
          <w:szCs w:val="20"/>
          <w:lang w:val="es-ES_tradnl"/>
        </w:rPr>
        <w:t xml:space="preserve">, las irregularidades y omisiones producidas durante la investigación y </w:t>
      </w:r>
      <w:r w:rsidR="00F26370" w:rsidRPr="00732F0C">
        <w:rPr>
          <w:rFonts w:ascii="Cambria" w:hAnsi="Cambria"/>
          <w:sz w:val="20"/>
          <w:szCs w:val="20"/>
          <w:lang w:val="es-ES_tradnl"/>
        </w:rPr>
        <w:t>la demora injustificada del</w:t>
      </w:r>
      <w:r w:rsidR="00D5687F" w:rsidRPr="00732F0C">
        <w:rPr>
          <w:rFonts w:ascii="Cambria" w:hAnsi="Cambria"/>
          <w:sz w:val="20"/>
          <w:szCs w:val="20"/>
          <w:lang w:val="es-ES_tradnl"/>
        </w:rPr>
        <w:t xml:space="preserve"> proceso </w:t>
      </w:r>
      <w:r w:rsidR="006D53C9" w:rsidRPr="00732F0C">
        <w:rPr>
          <w:rFonts w:ascii="Cambria" w:hAnsi="Cambria"/>
          <w:sz w:val="20"/>
          <w:szCs w:val="20"/>
          <w:lang w:val="es-ES_tradnl"/>
        </w:rPr>
        <w:t>pueden constituir</w:t>
      </w:r>
      <w:r w:rsidR="00D5687F" w:rsidRPr="00732F0C">
        <w:rPr>
          <w:rFonts w:ascii="Cambria" w:hAnsi="Cambria"/>
          <w:sz w:val="20"/>
          <w:szCs w:val="20"/>
          <w:lang w:val="es-ES_tradnl"/>
        </w:rPr>
        <w:t xml:space="preserve"> violaciones autónomas a los derechos a las garantías judiciales y protección judicial.</w:t>
      </w:r>
    </w:p>
    <w:p w:rsidR="00B266E7" w:rsidRPr="00732F0C" w:rsidRDefault="00B266E7" w:rsidP="00842D6E">
      <w:pPr>
        <w:jc w:val="both"/>
        <w:rPr>
          <w:rFonts w:ascii="Cambria" w:hAnsi="Cambria"/>
          <w:sz w:val="20"/>
          <w:szCs w:val="20"/>
          <w:lang w:val="es-ES_tradnl"/>
        </w:rPr>
      </w:pPr>
    </w:p>
    <w:p w:rsidR="00B266E7" w:rsidRPr="00732F0C" w:rsidRDefault="00A07D7F" w:rsidP="00842D6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ES_tradnl"/>
        </w:rPr>
      </w:pPr>
      <w:r w:rsidRPr="00732F0C">
        <w:rPr>
          <w:rFonts w:ascii="Cambria" w:hAnsi="Cambria" w:cs="Arial"/>
          <w:sz w:val="20"/>
          <w:szCs w:val="20"/>
          <w:lang w:val="es-ES_tradnl"/>
        </w:rPr>
        <w:t xml:space="preserve">En ese sentido, </w:t>
      </w:r>
      <w:r w:rsidR="00B266E7" w:rsidRPr="00732F0C">
        <w:rPr>
          <w:rFonts w:ascii="Cambria" w:hAnsi="Cambria" w:cs="Arial"/>
          <w:sz w:val="20"/>
          <w:szCs w:val="20"/>
          <w:lang w:val="es-ES_tradnl"/>
        </w:rPr>
        <w:t>las investigaciones efectuadas por el Estado deben ser realizadas  con la debida diligencia de forma que las averiguaciones se realicen por todos los medios disponibles y estén direccionada a la determinación de la verdad</w:t>
      </w:r>
      <w:r w:rsidR="00B266E7" w:rsidRPr="00732F0C">
        <w:rPr>
          <w:rFonts w:ascii="Cambria" w:hAnsi="Cambria"/>
          <w:sz w:val="20"/>
          <w:szCs w:val="20"/>
          <w:vertAlign w:val="superscript"/>
        </w:rPr>
        <w:footnoteReference w:id="83"/>
      </w:r>
      <w:r w:rsidR="00B266E7" w:rsidRPr="00732F0C">
        <w:rPr>
          <w:rFonts w:ascii="Cambria" w:hAnsi="Cambria"/>
          <w:sz w:val="20"/>
          <w:szCs w:val="20"/>
          <w:lang w:val="es-ES_tradnl"/>
        </w:rPr>
        <w:t>.</w:t>
      </w:r>
      <w:r w:rsidR="00B266E7" w:rsidRPr="00732F0C">
        <w:rPr>
          <w:rFonts w:ascii="Cambria" w:hAnsi="Cambria" w:cs="Arial"/>
          <w:sz w:val="20"/>
          <w:szCs w:val="20"/>
          <w:lang w:val="es-ES_tradnl"/>
        </w:rPr>
        <w:t xml:space="preserve">  </w:t>
      </w:r>
      <w:r w:rsidRPr="00732F0C">
        <w:rPr>
          <w:rFonts w:ascii="Cambria" w:hAnsi="Cambria"/>
          <w:sz w:val="20"/>
          <w:szCs w:val="20"/>
          <w:lang w:val="es-ES_tradnl"/>
        </w:rPr>
        <w:t>Por ello,</w:t>
      </w:r>
      <w:r w:rsidR="00B266E7" w:rsidRPr="00732F0C">
        <w:rPr>
          <w:rFonts w:ascii="Cambria" w:hAnsi="Cambria"/>
          <w:sz w:val="20"/>
          <w:szCs w:val="20"/>
          <w:lang w:val="es-ES_tradnl"/>
        </w:rPr>
        <w:t xml:space="preserve"> </w:t>
      </w:r>
      <w:r w:rsidR="00B266E7" w:rsidRPr="00732F0C">
        <w:rPr>
          <w:rFonts w:ascii="Cambria" w:hAnsi="Cambria"/>
          <w:sz w:val="20"/>
          <w:szCs w:val="20"/>
          <w:lang w:val="es-ES"/>
        </w:rPr>
        <w:t xml:space="preserve">la CIDH ha señalado </w:t>
      </w:r>
      <w:r w:rsidRPr="00732F0C">
        <w:rPr>
          <w:rFonts w:ascii="Cambria" w:hAnsi="Cambria"/>
          <w:sz w:val="20"/>
          <w:szCs w:val="20"/>
          <w:lang w:val="es-ES"/>
        </w:rPr>
        <w:t>lo siguiente:</w:t>
      </w:r>
    </w:p>
    <w:p w:rsidR="00B266E7" w:rsidRPr="00732F0C" w:rsidRDefault="00B266E7" w:rsidP="00842D6E">
      <w:pPr>
        <w:jc w:val="both"/>
        <w:rPr>
          <w:rFonts w:ascii="Cambria" w:hAnsi="Cambria"/>
          <w:sz w:val="20"/>
          <w:szCs w:val="20"/>
          <w:lang w:val="es-ES"/>
        </w:rPr>
      </w:pPr>
    </w:p>
    <w:p w:rsidR="00B266E7" w:rsidRPr="00732F0C" w:rsidRDefault="00B266E7" w:rsidP="00842D6E">
      <w:pPr>
        <w:ind w:left="720" w:right="720"/>
        <w:jc w:val="both"/>
        <w:rPr>
          <w:rFonts w:ascii="Cambria" w:hAnsi="Cambria"/>
          <w:sz w:val="20"/>
          <w:szCs w:val="20"/>
          <w:lang w:val="es-ES"/>
        </w:rPr>
      </w:pPr>
      <w:r w:rsidRPr="00732F0C">
        <w:rPr>
          <w:rFonts w:ascii="Cambria" w:hAnsi="Cambria"/>
          <w:sz w:val="20"/>
          <w:szCs w:val="20"/>
          <w:lang w:val="es-ES"/>
        </w:rPr>
        <w:t>La obligación de investigar no se incumple solamente porque no exista una persona condenada en la causa o por la circunstancia de que, pese a los esfuerzos realizados, sea imposible la acreditación de los hechos. Sin embargo, para establecer en forma convincente y creíble que este resultado no ha sido producto de la ejecución mecánica de ciertas formalidades procesales sin que el Estado busque efectivamente la verdad, éste debe demostrar que ha realizado una investigación inmediata, exhaustiva, seria e imparcial</w:t>
      </w:r>
      <w:r w:rsidRPr="00732F0C">
        <w:rPr>
          <w:rStyle w:val="FootnoteReference"/>
          <w:rFonts w:ascii="Cambria" w:hAnsi="Cambria"/>
          <w:sz w:val="20"/>
          <w:szCs w:val="20"/>
          <w:lang w:val="es-ES"/>
        </w:rPr>
        <w:footnoteReference w:id="84"/>
      </w:r>
      <w:r w:rsidRPr="00732F0C">
        <w:rPr>
          <w:rFonts w:ascii="Cambria" w:hAnsi="Cambria"/>
          <w:sz w:val="20"/>
          <w:szCs w:val="20"/>
          <w:lang w:val="es-ES"/>
        </w:rPr>
        <w:t xml:space="preserve">. </w:t>
      </w:r>
    </w:p>
    <w:p w:rsidR="00B266E7" w:rsidRDefault="00B266E7" w:rsidP="00842D6E">
      <w:pPr>
        <w:ind w:left="720" w:right="720"/>
        <w:jc w:val="both"/>
        <w:rPr>
          <w:rFonts w:ascii="Cambria" w:hAnsi="Cambria" w:cs="Arial"/>
          <w:sz w:val="20"/>
          <w:szCs w:val="20"/>
          <w:lang w:val="es-ES_tradnl"/>
        </w:rPr>
      </w:pPr>
    </w:p>
    <w:p w:rsidR="00B266E7" w:rsidRPr="00732F0C" w:rsidRDefault="00D742B8" w:rsidP="00842D6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ES_tradnl"/>
        </w:rPr>
      </w:pPr>
      <w:r w:rsidRPr="00732F0C">
        <w:rPr>
          <w:rFonts w:ascii="Cambria" w:hAnsi="Cambria" w:cs="Arial"/>
          <w:sz w:val="20"/>
          <w:szCs w:val="20"/>
          <w:lang w:val="es-ES_tradnl"/>
        </w:rPr>
        <w:t>Respecto de</w:t>
      </w:r>
      <w:r w:rsidR="00B266E7" w:rsidRPr="00732F0C">
        <w:rPr>
          <w:rFonts w:ascii="Cambria" w:hAnsi="Cambria" w:cs="Arial"/>
          <w:sz w:val="20"/>
          <w:szCs w:val="20"/>
          <w:lang w:val="es-ES_tradnl"/>
        </w:rPr>
        <w:t xml:space="preserve"> casos relacionados con el uso de la fuerza letal por parte de agentes estatales, la Corte ha indicado que </w:t>
      </w:r>
      <w:r w:rsidR="00B266E7" w:rsidRPr="00732F0C">
        <w:rPr>
          <w:rFonts w:ascii="Cambria" w:hAnsi="Cambria" w:cs="Verdana"/>
          <w:sz w:val="20"/>
          <w:szCs w:val="20"/>
          <w:lang w:val="es-ES_tradnl"/>
        </w:rPr>
        <w:t xml:space="preserve">“la prohibición general a los agentes del Estado de </w:t>
      </w:r>
      <w:r w:rsidR="00B266E7" w:rsidRPr="00732F0C">
        <w:rPr>
          <w:rFonts w:ascii="Cambria" w:hAnsi="Cambria" w:cs="Arial"/>
          <w:sz w:val="20"/>
          <w:szCs w:val="20"/>
          <w:lang w:val="es-ES_tradnl"/>
        </w:rPr>
        <w:t>privar</w:t>
      </w:r>
      <w:r w:rsidR="00B266E7" w:rsidRPr="00732F0C">
        <w:rPr>
          <w:rFonts w:ascii="Cambria" w:hAnsi="Cambria" w:cs="Verdana"/>
          <w:sz w:val="20"/>
          <w:szCs w:val="20"/>
          <w:lang w:val="es-ES_tradnl"/>
        </w:rPr>
        <w:t xml:space="preserve"> de la vida arbitrariamente sería ineficaz si no existieran procedimientos para verificar la legalidad” de dicho uso</w:t>
      </w:r>
      <w:r w:rsidR="00B266E7" w:rsidRPr="00732F0C">
        <w:rPr>
          <w:rStyle w:val="FootnoteReference"/>
          <w:rFonts w:ascii="Cambria" w:hAnsi="Cambria"/>
          <w:sz w:val="20"/>
          <w:szCs w:val="20"/>
        </w:rPr>
        <w:footnoteReference w:id="85"/>
      </w:r>
      <w:r w:rsidR="00B266E7" w:rsidRPr="00732F0C">
        <w:rPr>
          <w:rFonts w:ascii="Cambria" w:hAnsi="Cambria" w:cs="Verdana"/>
          <w:sz w:val="20"/>
          <w:szCs w:val="20"/>
          <w:lang w:val="es-ES_tradnl"/>
        </w:rPr>
        <w:t>.</w:t>
      </w:r>
      <w:r w:rsidR="00B266E7" w:rsidRPr="00732F0C">
        <w:rPr>
          <w:rFonts w:ascii="Cambria" w:hAnsi="Cambria"/>
          <w:sz w:val="20"/>
          <w:szCs w:val="20"/>
          <w:lang w:val="es-ES_tradnl"/>
        </w:rPr>
        <w:t xml:space="preserve"> </w:t>
      </w:r>
    </w:p>
    <w:p w:rsidR="00B266E7" w:rsidRPr="00732F0C" w:rsidRDefault="00B266E7" w:rsidP="00842D6E">
      <w:pPr>
        <w:suppressAutoHyphens/>
        <w:jc w:val="both"/>
        <w:rPr>
          <w:rFonts w:ascii="Cambria" w:hAnsi="Cambria"/>
          <w:sz w:val="20"/>
          <w:szCs w:val="20"/>
          <w:lang w:val="es-ES_tradnl"/>
        </w:rPr>
      </w:pPr>
    </w:p>
    <w:p w:rsidR="00B266E7" w:rsidRPr="00732F0C" w:rsidRDefault="00B266E7" w:rsidP="00842D6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ES_tradnl"/>
        </w:rPr>
      </w:pPr>
      <w:r w:rsidRPr="00732F0C">
        <w:rPr>
          <w:rFonts w:ascii="Cambria" w:hAnsi="Cambria"/>
          <w:sz w:val="20"/>
          <w:szCs w:val="20"/>
          <w:lang w:val="es-ES_tradnl"/>
        </w:rPr>
        <w:t>De esta manera, la obligación general de garantía de los derechos “se ve especialmente acentuada en casos de uso de la fuerza letal”</w:t>
      </w:r>
      <w:r w:rsidRPr="00732F0C">
        <w:rPr>
          <w:rStyle w:val="FootnoteReference"/>
          <w:rFonts w:ascii="Cambria" w:hAnsi="Cambria"/>
          <w:sz w:val="20"/>
          <w:szCs w:val="20"/>
          <w:lang w:val="es-ES_tradnl"/>
        </w:rPr>
        <w:footnoteReference w:id="86"/>
      </w:r>
      <w:r w:rsidRPr="00732F0C">
        <w:rPr>
          <w:rFonts w:ascii="Cambria" w:hAnsi="Cambria"/>
          <w:sz w:val="20"/>
          <w:szCs w:val="20"/>
          <w:lang w:val="es-ES_tradnl"/>
        </w:rPr>
        <w:t xml:space="preserve">.  </w:t>
      </w:r>
      <w:r w:rsidR="00D742B8" w:rsidRPr="00732F0C">
        <w:rPr>
          <w:rFonts w:ascii="Cambria" w:hAnsi="Cambria"/>
          <w:sz w:val="20"/>
          <w:szCs w:val="20"/>
          <w:lang w:val="es-ES_tradnl"/>
        </w:rPr>
        <w:t>La Corte ha remarcado lo siguiente:</w:t>
      </w:r>
    </w:p>
    <w:p w:rsidR="00B266E7" w:rsidRPr="00732F0C" w:rsidRDefault="00B266E7" w:rsidP="00842D6E">
      <w:pPr>
        <w:suppressAutoHyphens/>
        <w:jc w:val="both"/>
        <w:rPr>
          <w:rFonts w:ascii="Cambria" w:hAnsi="Cambria"/>
          <w:sz w:val="20"/>
          <w:szCs w:val="20"/>
          <w:lang w:val="es-ES_tradnl"/>
        </w:rPr>
      </w:pPr>
    </w:p>
    <w:p w:rsidR="00B266E7" w:rsidRPr="00732F0C" w:rsidRDefault="00B266E7" w:rsidP="00842D6E">
      <w:pPr>
        <w:suppressAutoHyphens/>
        <w:ind w:left="720" w:right="540"/>
        <w:jc w:val="both"/>
        <w:rPr>
          <w:rFonts w:ascii="Cambria" w:hAnsi="Cambria"/>
          <w:sz w:val="20"/>
          <w:szCs w:val="20"/>
          <w:lang w:val="es-ES_tradnl"/>
        </w:rPr>
      </w:pPr>
      <w:r w:rsidRPr="00732F0C">
        <w:rPr>
          <w:rFonts w:ascii="Cambria" w:hAnsi="Cambria"/>
          <w:sz w:val="20"/>
          <w:szCs w:val="20"/>
          <w:lang w:val="es-ES_tradnl"/>
        </w:rPr>
        <w:t>Una</w:t>
      </w:r>
      <w:r w:rsidRPr="00732F0C">
        <w:rPr>
          <w:rFonts w:ascii="Cambria" w:hAnsi="Cambria" w:cs="Verdana"/>
          <w:sz w:val="20"/>
          <w:szCs w:val="20"/>
          <w:lang w:val="es-ES_tradnl"/>
        </w:rPr>
        <w:t xml:space="preserve"> vez que se tenga conocimiento de que sus agentes de seguridad han hecho uso de armas de fuego con consecuencias letales, el Estado está obligado a iniciar </w:t>
      </w:r>
      <w:r w:rsidRPr="00732F0C">
        <w:rPr>
          <w:rFonts w:ascii="Cambria" w:hAnsi="Cambria" w:cs="Verdana"/>
          <w:i/>
          <w:iCs/>
          <w:sz w:val="20"/>
          <w:szCs w:val="20"/>
          <w:lang w:val="es-ES_tradnl"/>
        </w:rPr>
        <w:t xml:space="preserve">ex </w:t>
      </w:r>
      <w:proofErr w:type="spellStart"/>
      <w:r w:rsidRPr="00732F0C">
        <w:rPr>
          <w:rFonts w:ascii="Cambria" w:hAnsi="Cambria" w:cs="Verdana"/>
          <w:i/>
          <w:iCs/>
          <w:sz w:val="20"/>
          <w:szCs w:val="20"/>
          <w:lang w:val="es-ES_tradnl"/>
        </w:rPr>
        <w:t>officio</w:t>
      </w:r>
      <w:proofErr w:type="spellEnd"/>
      <w:r w:rsidRPr="00732F0C">
        <w:rPr>
          <w:rFonts w:ascii="Cambria" w:hAnsi="Cambria" w:cs="Verdana"/>
          <w:sz w:val="20"/>
          <w:szCs w:val="20"/>
          <w:lang w:val="es-ES_tradnl"/>
        </w:rPr>
        <w:t xml:space="preserve"> y sin dilación, una </w:t>
      </w:r>
      <w:r w:rsidRPr="00732F0C">
        <w:rPr>
          <w:rFonts w:ascii="Cambria" w:hAnsi="Cambria" w:cs="Verdana"/>
          <w:sz w:val="20"/>
          <w:szCs w:val="20"/>
          <w:lang w:val="es-ES_tradnl"/>
        </w:rPr>
        <w:lastRenderedPageBreak/>
        <w:t>investigación seria, independiente, imparcial y efectiva</w:t>
      </w:r>
      <w:r w:rsidRPr="00732F0C">
        <w:rPr>
          <w:rFonts w:ascii="Cambria" w:hAnsi="Cambria" w:cs="Verdana"/>
          <w:sz w:val="20"/>
          <w:szCs w:val="20"/>
          <w:vertAlign w:val="superscript"/>
        </w:rPr>
        <w:footnoteReference w:id="87"/>
      </w:r>
      <w:r w:rsidRPr="00732F0C">
        <w:rPr>
          <w:rFonts w:ascii="Cambria" w:hAnsi="Cambria" w:cs="Verdana"/>
          <w:sz w:val="20"/>
          <w:szCs w:val="20"/>
          <w:lang w:val="es-ES_tradnl"/>
        </w:rPr>
        <w:t>. Esta obligación constituye</w:t>
      </w:r>
      <w:r w:rsidRPr="00732F0C">
        <w:rPr>
          <w:rFonts w:ascii="Cambria" w:hAnsi="Cambria"/>
          <w:sz w:val="20"/>
          <w:szCs w:val="20"/>
          <w:lang w:val="es-ES_tradnl"/>
        </w:rPr>
        <w:t xml:space="preserve"> un elemento fundamental y condicionante para la protección del derecho a la vida que se ve anulado en esas situaciones</w:t>
      </w:r>
      <w:r w:rsidRPr="00732F0C">
        <w:rPr>
          <w:rStyle w:val="FootnoteReference"/>
          <w:rFonts w:ascii="Cambria" w:hAnsi="Cambria"/>
          <w:sz w:val="20"/>
          <w:szCs w:val="20"/>
          <w:lang w:val="es-ES_tradnl"/>
        </w:rPr>
        <w:footnoteReference w:id="88"/>
      </w:r>
      <w:r w:rsidRPr="00732F0C">
        <w:rPr>
          <w:rFonts w:ascii="Cambria" w:hAnsi="Cambria"/>
          <w:sz w:val="20"/>
          <w:szCs w:val="20"/>
          <w:lang w:val="es-ES_tradnl"/>
        </w:rPr>
        <w:t>.</w:t>
      </w:r>
    </w:p>
    <w:p w:rsidR="00B266E7" w:rsidRPr="00732F0C" w:rsidRDefault="00B266E7" w:rsidP="00842D6E">
      <w:pPr>
        <w:jc w:val="both"/>
        <w:rPr>
          <w:rFonts w:ascii="Cambria" w:hAnsi="Cambria" w:cs="Verdana"/>
          <w:sz w:val="20"/>
          <w:szCs w:val="20"/>
          <w:lang w:val="es-ES_tradnl"/>
        </w:rPr>
      </w:pPr>
    </w:p>
    <w:p w:rsidR="00B266E7" w:rsidRPr="00732F0C" w:rsidRDefault="00B266E7" w:rsidP="00842D6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ES_tradnl"/>
        </w:rPr>
      </w:pPr>
      <w:r w:rsidRPr="00732F0C">
        <w:rPr>
          <w:rFonts w:ascii="Cambria" w:hAnsi="Cambria" w:cs="Verdana"/>
          <w:sz w:val="20"/>
          <w:szCs w:val="20"/>
          <w:lang w:val="es-ES_tradnl"/>
        </w:rPr>
        <w:t>En la misma línea, el R</w:t>
      </w:r>
      <w:r w:rsidRPr="00732F0C">
        <w:rPr>
          <w:rFonts w:ascii="Cambria" w:hAnsi="Cambria"/>
          <w:sz w:val="20"/>
          <w:szCs w:val="20"/>
          <w:lang w:val="es-ES_tradnl"/>
        </w:rPr>
        <w:t xml:space="preserve">elator Especial de Naciones Unidas sobre Ejecuciones Extrajudiciales, </w:t>
      </w:r>
      <w:r w:rsidRPr="00732F0C">
        <w:rPr>
          <w:rFonts w:ascii="Cambria" w:hAnsi="Cambria" w:cs="Arial"/>
          <w:sz w:val="20"/>
          <w:szCs w:val="20"/>
          <w:lang w:val="es-ES_tradnl"/>
        </w:rPr>
        <w:t>Sumarias</w:t>
      </w:r>
      <w:r w:rsidR="00D742B8" w:rsidRPr="00732F0C">
        <w:rPr>
          <w:rFonts w:ascii="Cambria" w:hAnsi="Cambria"/>
          <w:sz w:val="20"/>
          <w:szCs w:val="20"/>
          <w:lang w:val="es-ES_tradnl"/>
        </w:rPr>
        <w:t xml:space="preserve"> y Arbitrarias ha indicado lo siguiente</w:t>
      </w:r>
      <w:r w:rsidRPr="00732F0C">
        <w:rPr>
          <w:rFonts w:ascii="Cambria" w:hAnsi="Cambria"/>
          <w:sz w:val="20"/>
          <w:szCs w:val="20"/>
          <w:lang w:val="es-ES_tradnl"/>
        </w:rPr>
        <w:t xml:space="preserve">: </w:t>
      </w:r>
    </w:p>
    <w:p w:rsidR="00B266E7" w:rsidRPr="00732F0C" w:rsidRDefault="00B266E7" w:rsidP="00842D6E">
      <w:pPr>
        <w:jc w:val="both"/>
        <w:rPr>
          <w:rFonts w:ascii="Cambria" w:hAnsi="Cambria"/>
          <w:sz w:val="20"/>
          <w:szCs w:val="20"/>
          <w:lang w:val="es-ES_tradnl"/>
        </w:rPr>
      </w:pPr>
    </w:p>
    <w:p w:rsidR="00B266E7" w:rsidRPr="00732F0C" w:rsidRDefault="00B266E7" w:rsidP="00842D6E">
      <w:pPr>
        <w:autoSpaceDE w:val="0"/>
        <w:autoSpaceDN w:val="0"/>
        <w:adjustRightInd w:val="0"/>
        <w:ind w:left="720" w:right="720"/>
        <w:jc w:val="both"/>
        <w:rPr>
          <w:rFonts w:ascii="Cambria" w:hAnsi="Cambria" w:cs="Arial"/>
          <w:sz w:val="20"/>
          <w:szCs w:val="20"/>
          <w:lang w:val="es-ES_tradnl"/>
        </w:rPr>
      </w:pPr>
      <w:r w:rsidRPr="00732F0C">
        <w:rPr>
          <w:rFonts w:ascii="Cambria" w:hAnsi="Cambria" w:cs="Arial"/>
          <w:sz w:val="20"/>
          <w:szCs w:val="20"/>
          <w:lang w:val="es-ES_tradnl"/>
        </w:rPr>
        <w:t>Las normas de derechos humanos sobre el uso de la fuerza surgen del entendimiento de que la irreversibilidad de la muerte justifica rigurosas salvaguardas del derecho a la vida, especialmente en lo que hace a las garantías procesales debidas. Un procedimiento jurídico que respete las garantías procesales debidas y llegue a una sentencia definitiva es un requisito esencial sin el cual la decisión de un Estado y de sus agentes de dar muerte a alguien viola el principio de “nadie podrá ser privado de la vida arbitrariamente”</w:t>
      </w:r>
      <w:r w:rsidRPr="00732F0C">
        <w:rPr>
          <w:rStyle w:val="FootnoteReference"/>
          <w:rFonts w:ascii="Cambria" w:hAnsi="Cambria" w:cs="Arial"/>
          <w:sz w:val="20"/>
          <w:szCs w:val="20"/>
        </w:rPr>
        <w:footnoteReference w:id="89"/>
      </w:r>
      <w:r w:rsidRPr="00732F0C">
        <w:rPr>
          <w:rFonts w:ascii="Cambria" w:hAnsi="Cambria" w:cs="Arial"/>
          <w:sz w:val="20"/>
          <w:szCs w:val="20"/>
          <w:lang w:val="es-ES_tradnl"/>
        </w:rPr>
        <w:t>.</w:t>
      </w:r>
    </w:p>
    <w:p w:rsidR="00B266E7" w:rsidRPr="00732F0C" w:rsidRDefault="00B266E7" w:rsidP="00842D6E">
      <w:pPr>
        <w:ind w:right="720"/>
        <w:jc w:val="both"/>
        <w:rPr>
          <w:rFonts w:ascii="Cambria" w:hAnsi="Cambria" w:cs="Arial"/>
          <w:sz w:val="20"/>
          <w:szCs w:val="20"/>
          <w:lang w:val="es-ES_tradnl"/>
        </w:rPr>
      </w:pPr>
    </w:p>
    <w:p w:rsidR="00B266E7" w:rsidRPr="00732F0C" w:rsidRDefault="00D742B8" w:rsidP="00842D6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ES_tradnl"/>
        </w:rPr>
      </w:pPr>
      <w:r w:rsidRPr="00732F0C">
        <w:rPr>
          <w:rFonts w:ascii="Cambria" w:hAnsi="Cambria" w:cs="Arial"/>
          <w:sz w:val="20"/>
          <w:szCs w:val="20"/>
          <w:lang w:val="es-ES_tradnl"/>
        </w:rPr>
        <w:t>E</w:t>
      </w:r>
      <w:r w:rsidR="00B266E7" w:rsidRPr="00732F0C">
        <w:rPr>
          <w:rFonts w:ascii="Cambria" w:hAnsi="Cambria" w:cs="Arial"/>
          <w:sz w:val="20"/>
          <w:szCs w:val="20"/>
          <w:lang w:val="es-ES_tradnl"/>
        </w:rPr>
        <w:t>n cumplimiento del deber de investigar con la debida diligencia una violación del derecho a la vida, los Estados se encuentran obligados a actuar, desde las</w:t>
      </w:r>
      <w:r w:rsidR="00B266E7" w:rsidRPr="00732F0C">
        <w:rPr>
          <w:rFonts w:ascii="Cambria" w:hAnsi="Cambria"/>
          <w:sz w:val="20"/>
          <w:szCs w:val="20"/>
          <w:lang w:val="es-ES_tradnl"/>
        </w:rPr>
        <w:t xml:space="preserve"> primeras diligencias, con toda acuciosidad</w:t>
      </w:r>
      <w:r w:rsidR="00B266E7" w:rsidRPr="00732F0C">
        <w:rPr>
          <w:rStyle w:val="FootnoteReference"/>
          <w:rFonts w:ascii="Cambria" w:hAnsi="Cambria"/>
          <w:sz w:val="20"/>
          <w:szCs w:val="20"/>
          <w:lang w:val="es-ES_tradnl"/>
        </w:rPr>
        <w:footnoteReference w:id="90"/>
      </w:r>
      <w:r w:rsidR="00B266E7" w:rsidRPr="00732F0C">
        <w:rPr>
          <w:rFonts w:ascii="Cambria" w:hAnsi="Cambria"/>
          <w:sz w:val="20"/>
          <w:szCs w:val="20"/>
          <w:lang w:val="es-ES_tradnl"/>
        </w:rPr>
        <w:t xml:space="preserve">.  Al respecto, </w:t>
      </w:r>
      <w:r w:rsidRPr="00732F0C">
        <w:rPr>
          <w:rFonts w:ascii="Cambria" w:hAnsi="Cambria"/>
          <w:sz w:val="20"/>
          <w:szCs w:val="20"/>
          <w:lang w:val="es-ES_tradnl"/>
        </w:rPr>
        <w:t xml:space="preserve">tanto la Comisión como </w:t>
      </w:r>
      <w:r w:rsidR="00B266E7" w:rsidRPr="00732F0C">
        <w:rPr>
          <w:rFonts w:ascii="Cambria" w:hAnsi="Cambria"/>
          <w:sz w:val="20"/>
          <w:szCs w:val="20"/>
          <w:lang w:val="es-ES_tradnl"/>
        </w:rPr>
        <w:t>la Corte Interamericana ha</w:t>
      </w:r>
      <w:r w:rsidRPr="00732F0C">
        <w:rPr>
          <w:rFonts w:ascii="Cambria" w:hAnsi="Cambria"/>
          <w:sz w:val="20"/>
          <w:szCs w:val="20"/>
          <w:lang w:val="es-ES_tradnl"/>
        </w:rPr>
        <w:t>n</w:t>
      </w:r>
      <w:r w:rsidR="00B266E7" w:rsidRPr="00732F0C">
        <w:rPr>
          <w:rFonts w:ascii="Cambria" w:hAnsi="Cambria"/>
          <w:sz w:val="20"/>
          <w:szCs w:val="20"/>
          <w:lang w:val="es-ES_tradnl"/>
        </w:rPr>
        <w:t xml:space="preserve"> tomado en consideración el Manual sobre la Prevención e Investigación Efectiva de Ejecuciones Extrajudiciales, Arbitrarias y Sumarias de Naciones Unidas, especificando que: </w:t>
      </w:r>
    </w:p>
    <w:p w:rsidR="00B266E7" w:rsidRPr="00732F0C" w:rsidRDefault="00B266E7" w:rsidP="00842D6E">
      <w:pPr>
        <w:suppressAutoHyphens/>
        <w:jc w:val="both"/>
        <w:rPr>
          <w:rFonts w:ascii="Cambria" w:hAnsi="Cambria"/>
          <w:sz w:val="20"/>
          <w:szCs w:val="20"/>
          <w:lang w:val="es-ES_tradnl"/>
        </w:rPr>
      </w:pPr>
    </w:p>
    <w:p w:rsidR="00B266E7" w:rsidRPr="00732F0C" w:rsidRDefault="00B266E7" w:rsidP="00842D6E">
      <w:pPr>
        <w:suppressAutoHyphens/>
        <w:ind w:left="720" w:right="720"/>
        <w:jc w:val="both"/>
        <w:rPr>
          <w:rFonts w:ascii="Cambria" w:hAnsi="Cambria"/>
          <w:sz w:val="20"/>
          <w:szCs w:val="20"/>
          <w:lang w:val="es-ES_tradnl"/>
        </w:rPr>
      </w:pPr>
      <w:r w:rsidRPr="00732F0C">
        <w:rPr>
          <w:rFonts w:ascii="Cambria" w:hAnsi="Cambria"/>
          <w:sz w:val="20"/>
          <w:szCs w:val="20"/>
          <w:lang w:val="es-ES_tradnl"/>
        </w:rPr>
        <w:t xml:space="preserve">Las autoridades estatales que conducen una investigación deben, </w:t>
      </w:r>
      <w:r w:rsidRPr="00732F0C">
        <w:rPr>
          <w:rFonts w:ascii="Cambria" w:hAnsi="Cambria"/>
          <w:i/>
          <w:sz w:val="20"/>
          <w:szCs w:val="20"/>
          <w:lang w:val="es-ES_tradnl"/>
        </w:rPr>
        <w:t xml:space="preserve">inter </w:t>
      </w:r>
      <w:proofErr w:type="spellStart"/>
      <w:r w:rsidRPr="00732F0C">
        <w:rPr>
          <w:rFonts w:ascii="Cambria" w:hAnsi="Cambria"/>
          <w:i/>
          <w:sz w:val="20"/>
          <w:szCs w:val="20"/>
          <w:lang w:val="es-ES_tradnl"/>
        </w:rPr>
        <w:t>alia</w:t>
      </w:r>
      <w:proofErr w:type="spellEnd"/>
      <w:r w:rsidRPr="00732F0C">
        <w:rPr>
          <w:rFonts w:ascii="Cambria" w:hAnsi="Cambria"/>
          <w:i/>
          <w:sz w:val="20"/>
          <w:szCs w:val="20"/>
          <w:lang w:val="es-ES_tradnl"/>
        </w:rPr>
        <w:t>,</w:t>
      </w:r>
      <w:r w:rsidRPr="00732F0C">
        <w:rPr>
          <w:rFonts w:ascii="Cambria" w:hAnsi="Cambria"/>
          <w:sz w:val="20"/>
          <w:szCs w:val="20"/>
          <w:lang w:val="es-ES_tradnl"/>
        </w:rPr>
        <w:t xml:space="preserve"> a) identificar a la víctima; b) recuperar y preservar el material probatorio relacionado con la muerte, con el fin de ayudar en cualquier investigación; c) identificar posibles testigos y obtener sus declaraciones en relación con la muerte que se investiga; d) determinar la causa, forma, lugar y momento de la muerte, así como cualquier procedimiento o práctica que pueda haberla provocado, y e) distinguir entre muerte natural, muerte accidental, suicidio y homicidio.  Además, es necesario investigar exhaustivamente la escena del crimen; se deben realizar autopsias y análisis de restos humanos, en forma rigurosa, por profesionales competentes y empleando los procedimientos más apropiados</w:t>
      </w:r>
      <w:r w:rsidRPr="00732F0C">
        <w:rPr>
          <w:rStyle w:val="FootnoteReference"/>
          <w:rFonts w:ascii="Cambria" w:hAnsi="Cambria" w:cs="Verdana"/>
          <w:sz w:val="20"/>
          <w:szCs w:val="20"/>
        </w:rPr>
        <w:footnoteReference w:id="91"/>
      </w:r>
      <w:r w:rsidRPr="00732F0C">
        <w:rPr>
          <w:rFonts w:ascii="Cambria" w:hAnsi="Cambria"/>
          <w:sz w:val="20"/>
          <w:szCs w:val="20"/>
          <w:lang w:val="es-ES_tradnl"/>
        </w:rPr>
        <w:t>.</w:t>
      </w:r>
    </w:p>
    <w:p w:rsidR="00B266E7" w:rsidRDefault="00B266E7" w:rsidP="00842D6E">
      <w:pPr>
        <w:ind w:left="720" w:right="720"/>
        <w:jc w:val="both"/>
        <w:rPr>
          <w:rFonts w:ascii="Cambria" w:hAnsi="Cambria" w:cs="Arial"/>
          <w:sz w:val="20"/>
          <w:szCs w:val="20"/>
          <w:lang w:val="es-ES_tradnl"/>
        </w:rPr>
      </w:pPr>
    </w:p>
    <w:p w:rsidR="00937132" w:rsidRPr="00732F0C" w:rsidRDefault="00937132" w:rsidP="00842D6E">
      <w:pPr>
        <w:ind w:left="720" w:right="720"/>
        <w:jc w:val="both"/>
        <w:rPr>
          <w:rFonts w:ascii="Cambria" w:hAnsi="Cambria" w:cs="Arial"/>
          <w:sz w:val="20"/>
          <w:szCs w:val="20"/>
          <w:lang w:val="es-ES_tradnl"/>
        </w:rPr>
      </w:pPr>
    </w:p>
    <w:p w:rsidR="00B266E7" w:rsidRPr="00732F0C" w:rsidRDefault="00B266E7" w:rsidP="00842D6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ES_tradnl"/>
        </w:rPr>
      </w:pPr>
      <w:r w:rsidRPr="00732F0C">
        <w:rPr>
          <w:rFonts w:ascii="Cambria" w:hAnsi="Cambria" w:cs="Arial"/>
          <w:sz w:val="20"/>
          <w:szCs w:val="20"/>
          <w:lang w:val="es-ES_tradnl"/>
        </w:rPr>
        <w:t xml:space="preserve">La Corte </w:t>
      </w:r>
      <w:r w:rsidRPr="00732F0C">
        <w:rPr>
          <w:rFonts w:ascii="Cambria" w:hAnsi="Cambria"/>
          <w:sz w:val="20"/>
          <w:szCs w:val="20"/>
          <w:lang w:val="es-ES_tradnl"/>
        </w:rPr>
        <w:t>también</w:t>
      </w:r>
      <w:r w:rsidRPr="00732F0C">
        <w:rPr>
          <w:rFonts w:ascii="Cambria" w:hAnsi="Cambria" w:cs="Arial"/>
          <w:sz w:val="20"/>
          <w:szCs w:val="20"/>
          <w:lang w:val="es-ES_tradnl"/>
        </w:rPr>
        <w:t xml:space="preserve"> ha dicho que las autoridades deben adoptar las medidas razonables que permitan asegurar el material probatorio necesario para llevar a cabo la investigación</w:t>
      </w:r>
      <w:r w:rsidRPr="00732F0C">
        <w:rPr>
          <w:rStyle w:val="FootnoteReference"/>
          <w:rFonts w:ascii="Cambria" w:hAnsi="Cambria" w:cs="Arial"/>
          <w:sz w:val="20"/>
          <w:szCs w:val="20"/>
          <w:lang w:val="es-ES_tradnl"/>
        </w:rPr>
        <w:footnoteReference w:id="92"/>
      </w:r>
      <w:r w:rsidRPr="00732F0C">
        <w:rPr>
          <w:rFonts w:ascii="Cambria" w:hAnsi="Cambria" w:cs="Arial"/>
          <w:sz w:val="20"/>
          <w:szCs w:val="20"/>
          <w:lang w:val="es-ES_tradnl"/>
        </w:rPr>
        <w:t xml:space="preserve">. </w:t>
      </w:r>
      <w:r w:rsidRPr="00732F0C">
        <w:rPr>
          <w:rFonts w:ascii="Cambria" w:hAnsi="Cambria"/>
          <w:sz w:val="20"/>
          <w:szCs w:val="20"/>
          <w:lang w:val="es-ES"/>
        </w:rPr>
        <w:t xml:space="preserve">En particular, respecto de la actuación de los agentes de las fuerzas de seguridad, la Comisión ha sostenido </w:t>
      </w:r>
      <w:r w:rsidR="00D742B8" w:rsidRPr="00732F0C">
        <w:rPr>
          <w:rFonts w:ascii="Cambria" w:hAnsi="Cambria"/>
          <w:sz w:val="20"/>
          <w:szCs w:val="20"/>
          <w:lang w:val="es-ES"/>
        </w:rPr>
        <w:t>lo siguiente:</w:t>
      </w:r>
      <w:r w:rsidRPr="00732F0C">
        <w:rPr>
          <w:rFonts w:ascii="Cambria" w:hAnsi="Cambria"/>
          <w:sz w:val="20"/>
          <w:szCs w:val="20"/>
          <w:lang w:val="es-ES"/>
        </w:rPr>
        <w:t xml:space="preserve"> </w:t>
      </w:r>
    </w:p>
    <w:p w:rsidR="00B266E7" w:rsidRPr="00732F0C" w:rsidRDefault="00B266E7" w:rsidP="00842D6E">
      <w:pPr>
        <w:tabs>
          <w:tab w:val="left" w:pos="1440"/>
        </w:tabs>
        <w:ind w:firstLine="720"/>
        <w:jc w:val="both"/>
        <w:rPr>
          <w:rFonts w:ascii="Cambria" w:hAnsi="Cambria" w:cs="Arial"/>
          <w:sz w:val="20"/>
          <w:szCs w:val="20"/>
          <w:lang w:val="es-CR"/>
        </w:rPr>
      </w:pPr>
    </w:p>
    <w:p w:rsidR="00B266E7" w:rsidRPr="00732F0C" w:rsidRDefault="00CF187B" w:rsidP="00842D6E">
      <w:pPr>
        <w:tabs>
          <w:tab w:val="left" w:pos="1440"/>
        </w:tabs>
        <w:ind w:left="720" w:right="720"/>
        <w:jc w:val="both"/>
        <w:rPr>
          <w:rFonts w:ascii="Cambria" w:hAnsi="Cambria"/>
          <w:sz w:val="20"/>
          <w:szCs w:val="20"/>
          <w:lang w:val="es-CR"/>
        </w:rPr>
      </w:pPr>
      <w:r w:rsidRPr="00732F0C">
        <w:rPr>
          <w:rFonts w:ascii="Cambria" w:hAnsi="Cambria" w:cs="Arial"/>
          <w:sz w:val="20"/>
          <w:szCs w:val="20"/>
          <w:lang w:val="es-CR"/>
        </w:rPr>
        <w:t>(…)</w:t>
      </w:r>
      <w:r w:rsidR="00B266E7" w:rsidRPr="00732F0C">
        <w:rPr>
          <w:rFonts w:ascii="Cambria" w:hAnsi="Cambria"/>
          <w:sz w:val="20"/>
          <w:szCs w:val="20"/>
          <w:lang w:val="es-CR"/>
        </w:rPr>
        <w:t xml:space="preserve"> los procesos deben ser tramitados y resueltos por autoridades independientes; los funcionarios o agencias directa o indirectamente involucradas en los hechos investigados no deben participar de la instrucción; y las víctimas deben tener la oportuni</w:t>
      </w:r>
      <w:r w:rsidRPr="00732F0C">
        <w:rPr>
          <w:rFonts w:ascii="Cambria" w:hAnsi="Cambria"/>
          <w:sz w:val="20"/>
          <w:szCs w:val="20"/>
          <w:lang w:val="es-CR"/>
        </w:rPr>
        <w:t>dad de participar del proceso</w:t>
      </w:r>
      <w:r w:rsidR="00B266E7" w:rsidRPr="00732F0C">
        <w:rPr>
          <w:rStyle w:val="FootnoteReference"/>
          <w:rFonts w:ascii="Cambria" w:hAnsi="Cambria"/>
          <w:sz w:val="20"/>
          <w:szCs w:val="20"/>
        </w:rPr>
        <w:footnoteReference w:id="93"/>
      </w:r>
      <w:r w:rsidR="00B266E7" w:rsidRPr="00732F0C">
        <w:rPr>
          <w:rFonts w:ascii="Cambria" w:hAnsi="Cambria"/>
          <w:sz w:val="20"/>
          <w:szCs w:val="20"/>
          <w:lang w:val="es-CR"/>
        </w:rPr>
        <w:t>.</w:t>
      </w:r>
    </w:p>
    <w:p w:rsidR="00B266E7" w:rsidRPr="00732F0C" w:rsidRDefault="00B266E7" w:rsidP="00842D6E">
      <w:pPr>
        <w:jc w:val="both"/>
        <w:rPr>
          <w:rFonts w:ascii="Cambria" w:hAnsi="Cambria" w:cs="Arial"/>
          <w:sz w:val="20"/>
          <w:szCs w:val="20"/>
          <w:lang w:val="es-ES_tradnl"/>
        </w:rPr>
      </w:pPr>
    </w:p>
    <w:p w:rsidR="00B266E7" w:rsidRPr="00732F0C" w:rsidRDefault="00B266E7" w:rsidP="00842D6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CL"/>
        </w:rPr>
      </w:pPr>
      <w:r w:rsidRPr="00732F0C">
        <w:rPr>
          <w:rFonts w:ascii="Cambria" w:hAnsi="Cambria" w:cs="Arial"/>
          <w:sz w:val="20"/>
          <w:szCs w:val="20"/>
          <w:lang w:val="es-ES_tradnl"/>
        </w:rPr>
        <w:lastRenderedPageBreak/>
        <w:t>En cuanto a la importancia de la actuación de las autoridades que llevan a cabo las diligencias iniciales de investigación, la Corte ha dicho que “la debida diligencia y los criterios de</w:t>
      </w:r>
      <w:r w:rsidRPr="00732F0C">
        <w:rPr>
          <w:rFonts w:ascii="Cambria" w:hAnsi="Cambria"/>
          <w:sz w:val="20"/>
          <w:szCs w:val="20"/>
          <w:lang w:val="es-CL"/>
        </w:rPr>
        <w:t xml:space="preserve"> </w:t>
      </w:r>
      <w:r w:rsidRPr="00732F0C">
        <w:rPr>
          <w:rFonts w:ascii="Cambria" w:hAnsi="Cambria"/>
          <w:sz w:val="20"/>
          <w:szCs w:val="20"/>
          <w:lang w:val="es-ES_tradnl"/>
        </w:rPr>
        <w:t>independencia</w:t>
      </w:r>
      <w:r w:rsidRPr="00732F0C">
        <w:rPr>
          <w:rFonts w:ascii="Cambria" w:hAnsi="Cambria"/>
          <w:sz w:val="20"/>
          <w:szCs w:val="20"/>
          <w:lang w:val="es-CL"/>
        </w:rPr>
        <w:t xml:space="preserve"> e imparcialidad, se extienden también a los órganos no judiciales a los que corresponda la investigación previa al proceso judicial, realizada para determinar las circunstancias de una muerte y la existencia de suficientes indicios para interponer una acción penal.  Sin el cumplimiento de estas exigencias, el Estado no podrá posteriormente ejercer de manera efectiva y eficiente su facultad acusatoria y los tribunales no podrán llevar a cabo el proceso judicial que este tipo de violaciones requiere”</w:t>
      </w:r>
      <w:r w:rsidRPr="00732F0C">
        <w:rPr>
          <w:rStyle w:val="FootnoteReference"/>
          <w:rFonts w:ascii="Cambria" w:hAnsi="Cambria"/>
          <w:sz w:val="20"/>
          <w:szCs w:val="20"/>
          <w:lang w:val="es-CL"/>
        </w:rPr>
        <w:footnoteReference w:id="94"/>
      </w:r>
      <w:r w:rsidRPr="00732F0C">
        <w:rPr>
          <w:rFonts w:ascii="Cambria" w:hAnsi="Cambria"/>
          <w:sz w:val="20"/>
          <w:szCs w:val="20"/>
          <w:lang w:val="es-CL"/>
        </w:rPr>
        <w:t xml:space="preserve">. </w:t>
      </w:r>
    </w:p>
    <w:p w:rsidR="00B266E7" w:rsidRPr="00732F0C" w:rsidRDefault="00B266E7" w:rsidP="00842D6E">
      <w:pPr>
        <w:suppressAutoHyphens/>
        <w:jc w:val="both"/>
        <w:rPr>
          <w:rFonts w:ascii="Cambria" w:hAnsi="Cambria"/>
          <w:sz w:val="20"/>
          <w:szCs w:val="20"/>
          <w:lang w:val="es-CL"/>
        </w:rPr>
      </w:pPr>
    </w:p>
    <w:p w:rsidR="00265E3C" w:rsidRPr="00732F0C" w:rsidRDefault="00265E3C" w:rsidP="00842D6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cs="Univers"/>
          <w:sz w:val="20"/>
          <w:szCs w:val="20"/>
          <w:lang w:val="es-ES"/>
        </w:rPr>
      </w:pPr>
      <w:r w:rsidRPr="00732F0C">
        <w:rPr>
          <w:rFonts w:ascii="Cambria" w:hAnsi="Cambria"/>
          <w:sz w:val="20"/>
          <w:szCs w:val="20"/>
          <w:lang w:val="es-ES_tradnl"/>
        </w:rPr>
        <w:t xml:space="preserve">Tomando en cuenta </w:t>
      </w:r>
      <w:r w:rsidR="00E51F46" w:rsidRPr="00732F0C">
        <w:rPr>
          <w:rFonts w:ascii="Cambria" w:hAnsi="Cambria"/>
          <w:sz w:val="20"/>
          <w:szCs w:val="20"/>
          <w:lang w:val="es-ES_tradnl"/>
        </w:rPr>
        <w:t xml:space="preserve">los hechos del presente caso, </w:t>
      </w:r>
      <w:r w:rsidRPr="00732F0C">
        <w:rPr>
          <w:rFonts w:ascii="Cambria" w:hAnsi="Cambria"/>
          <w:sz w:val="20"/>
          <w:szCs w:val="20"/>
          <w:lang w:val="es-ES_tradnl"/>
        </w:rPr>
        <w:t xml:space="preserve">la CIDH analizará si en el presente caso el Estado ecuatoriano llevó a cabo una </w:t>
      </w:r>
      <w:r w:rsidR="00E51F46" w:rsidRPr="00732F0C">
        <w:rPr>
          <w:rFonts w:ascii="Cambria" w:hAnsi="Cambria"/>
          <w:sz w:val="20"/>
          <w:szCs w:val="20"/>
          <w:lang w:val="es-ES_tradnl"/>
        </w:rPr>
        <w:t>investigación seria y diligente a efectos de esclarecer los hechos de la muerte de Jorge Darwin y las lesiones de Franklin Plutarco, y</w:t>
      </w:r>
      <w:r w:rsidRPr="00732F0C">
        <w:rPr>
          <w:rFonts w:ascii="Cambria" w:hAnsi="Cambria"/>
          <w:sz w:val="20"/>
          <w:szCs w:val="20"/>
          <w:lang w:val="es-ES_tradnl"/>
        </w:rPr>
        <w:t xml:space="preserve"> </w:t>
      </w:r>
      <w:r w:rsidR="00E51F46" w:rsidRPr="00732F0C">
        <w:rPr>
          <w:rFonts w:ascii="Cambria" w:hAnsi="Cambria"/>
          <w:sz w:val="20"/>
          <w:szCs w:val="20"/>
          <w:lang w:val="es-ES_tradnl"/>
        </w:rPr>
        <w:t xml:space="preserve">si ésta se realizó </w:t>
      </w:r>
      <w:r w:rsidRPr="00732F0C">
        <w:rPr>
          <w:rFonts w:ascii="Cambria" w:hAnsi="Cambria"/>
          <w:sz w:val="20"/>
          <w:szCs w:val="20"/>
          <w:lang w:val="es-ES_tradnl"/>
        </w:rPr>
        <w:t xml:space="preserve">en un plazo razonable. </w:t>
      </w:r>
    </w:p>
    <w:p w:rsidR="00265E3C" w:rsidRPr="00732F0C" w:rsidRDefault="00265E3C" w:rsidP="00842D6E">
      <w:pPr>
        <w:suppressAutoHyphens/>
        <w:jc w:val="both"/>
        <w:rPr>
          <w:rFonts w:ascii="Cambria" w:hAnsi="Cambria"/>
          <w:sz w:val="20"/>
          <w:szCs w:val="20"/>
          <w:lang w:val="es-CL"/>
        </w:rPr>
      </w:pPr>
    </w:p>
    <w:p w:rsidR="008A10CC" w:rsidRPr="00732F0C" w:rsidRDefault="008A10CC" w:rsidP="00842D6E">
      <w:pPr>
        <w:numPr>
          <w:ilvl w:val="1"/>
          <w:numId w:val="62"/>
        </w:numPr>
        <w:suppressAutoHyphens/>
        <w:ind w:left="1440" w:hanging="720"/>
        <w:jc w:val="both"/>
        <w:rPr>
          <w:rFonts w:ascii="Cambria" w:hAnsi="Cambria"/>
          <w:b/>
          <w:sz w:val="20"/>
          <w:szCs w:val="20"/>
          <w:lang w:val="es-CL"/>
        </w:rPr>
      </w:pPr>
      <w:r w:rsidRPr="00732F0C">
        <w:rPr>
          <w:rFonts w:ascii="Cambria" w:hAnsi="Cambria"/>
          <w:b/>
          <w:sz w:val="20"/>
          <w:szCs w:val="20"/>
          <w:lang w:val="es-CL"/>
        </w:rPr>
        <w:t>En cuanto al deber de investigar de manera independiente e imparcial y con la debida diligencia</w:t>
      </w:r>
    </w:p>
    <w:p w:rsidR="008A10CC" w:rsidRPr="00732F0C" w:rsidRDefault="008A10CC" w:rsidP="00842D6E">
      <w:pPr>
        <w:suppressAutoHyphens/>
        <w:jc w:val="both"/>
        <w:rPr>
          <w:rFonts w:ascii="Cambria" w:hAnsi="Cambria"/>
          <w:sz w:val="20"/>
          <w:szCs w:val="20"/>
          <w:lang w:val="es-CL"/>
        </w:rPr>
      </w:pPr>
    </w:p>
    <w:p w:rsidR="00436E8A" w:rsidRPr="00732F0C" w:rsidRDefault="00FA4B34" w:rsidP="00842D6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cs="Verdana"/>
          <w:sz w:val="20"/>
          <w:szCs w:val="20"/>
          <w:lang w:val="es-ES"/>
        </w:rPr>
      </w:pPr>
      <w:r w:rsidRPr="00732F0C">
        <w:rPr>
          <w:rFonts w:ascii="Cambria" w:hAnsi="Cambria"/>
          <w:sz w:val="20"/>
          <w:szCs w:val="20"/>
          <w:lang w:val="es-CR"/>
        </w:rPr>
        <w:t>En primer lugar, l</w:t>
      </w:r>
      <w:r w:rsidR="00436E8A" w:rsidRPr="00732F0C">
        <w:rPr>
          <w:rFonts w:ascii="Cambria" w:hAnsi="Cambria"/>
          <w:sz w:val="20"/>
          <w:szCs w:val="20"/>
          <w:lang w:val="es-CR"/>
        </w:rPr>
        <w:t>a Comisión</w:t>
      </w:r>
      <w:r w:rsidR="008A10CC" w:rsidRPr="00732F0C">
        <w:rPr>
          <w:rFonts w:ascii="Cambria" w:hAnsi="Cambria"/>
          <w:sz w:val="20"/>
          <w:szCs w:val="20"/>
          <w:lang w:val="es-CR"/>
        </w:rPr>
        <w:t xml:space="preserve"> </w:t>
      </w:r>
      <w:r w:rsidR="00436E8A" w:rsidRPr="00732F0C">
        <w:rPr>
          <w:rFonts w:ascii="Cambria" w:hAnsi="Cambria"/>
          <w:sz w:val="20"/>
          <w:szCs w:val="20"/>
          <w:lang w:val="es-CR"/>
        </w:rPr>
        <w:t xml:space="preserve">resalta que luego de ocurridos los hechos la investigación fue adelantada en el fuero policial y no en el fuero ordinario. La Comisión remarca que </w:t>
      </w:r>
      <w:r w:rsidR="00436E8A" w:rsidRPr="00732F0C">
        <w:rPr>
          <w:rFonts w:ascii="Cambria" w:hAnsi="Cambria" w:cs="Verdana"/>
          <w:sz w:val="20"/>
          <w:szCs w:val="20"/>
          <w:lang w:val="es-ES"/>
        </w:rPr>
        <w:t xml:space="preserve">los </w:t>
      </w:r>
      <w:r w:rsidR="00436E8A" w:rsidRPr="00732F0C">
        <w:rPr>
          <w:rFonts w:ascii="Cambria" w:hAnsi="Cambria" w:cs="Arial"/>
          <w:sz w:val="20"/>
          <w:szCs w:val="20"/>
          <w:lang w:val="es-AR"/>
        </w:rPr>
        <w:t>fueros</w:t>
      </w:r>
      <w:r w:rsidR="00436E8A" w:rsidRPr="00732F0C">
        <w:rPr>
          <w:rFonts w:ascii="Cambria" w:hAnsi="Cambria" w:cs="Verdana"/>
          <w:sz w:val="20"/>
          <w:szCs w:val="20"/>
          <w:lang w:val="es-ES"/>
        </w:rPr>
        <w:t xml:space="preserve"> especiales, como la justicia penal policial, deben tener un alcance restrictivo y excepcional y estar encaminados a la protección de intereses jurídicos especiales, vinculados a la propia entidad. Así, la Corte ha tenido la oportunidad de analizar la estructura y composición de tribunales especiales, como los militares, a la luz de los Principios Básicos de Naciones Unidas relativos a la Independencia de la Judicatura. Algunos factores relevantes son: i) el hecho de que sus integrantes sean oficiales en servicio activo y estén subordinados jerárquicamente a sus superiores a través de la cadena de mando; ii) el hecho de que su nombramiento no dependa de su competencia profesional e idoneidad para ejercer las funciones judiciales; y iii) el hecho de que no cuenten con garantías suficientes de inamovilidad</w:t>
      </w:r>
      <w:r w:rsidR="00436E8A" w:rsidRPr="00732F0C">
        <w:rPr>
          <w:rStyle w:val="FootnoteReference"/>
          <w:rFonts w:ascii="Cambria" w:hAnsi="Cambria" w:cs="Verdana"/>
          <w:sz w:val="20"/>
          <w:szCs w:val="20"/>
        </w:rPr>
        <w:footnoteReference w:id="95"/>
      </w:r>
      <w:r w:rsidR="00436E8A" w:rsidRPr="00732F0C">
        <w:rPr>
          <w:rFonts w:ascii="Cambria" w:hAnsi="Cambria" w:cs="Verdana"/>
          <w:sz w:val="20"/>
          <w:szCs w:val="20"/>
          <w:lang w:val="es-ES"/>
        </w:rPr>
        <w:t xml:space="preserve">. </w:t>
      </w:r>
      <w:r w:rsidR="002D2B20" w:rsidRPr="00732F0C">
        <w:rPr>
          <w:rFonts w:ascii="Cambria" w:hAnsi="Cambria" w:cs="Verdana"/>
          <w:sz w:val="20"/>
          <w:szCs w:val="20"/>
          <w:lang w:val="es-ES"/>
        </w:rPr>
        <w:t>La Comisión resalta que</w:t>
      </w:r>
      <w:r w:rsidR="00436E8A" w:rsidRPr="00732F0C">
        <w:rPr>
          <w:rFonts w:ascii="Cambria" w:hAnsi="Cambria" w:cs="Verdana"/>
          <w:sz w:val="20"/>
          <w:szCs w:val="20"/>
          <w:lang w:val="es-ES"/>
        </w:rPr>
        <w:t xml:space="preserve"> dichos tribunales, y de manera análoga los tribunales policiales, carecen de independencia e imparcialidad para conocer de violaciones de derechos humanos.  </w:t>
      </w:r>
    </w:p>
    <w:p w:rsidR="00554F0B" w:rsidRPr="00732F0C" w:rsidRDefault="00554F0B" w:rsidP="00842D6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hAnsi="Cambria"/>
          <w:sz w:val="20"/>
          <w:szCs w:val="20"/>
          <w:lang w:val="es-ES"/>
        </w:rPr>
      </w:pPr>
    </w:p>
    <w:p w:rsidR="00384A38" w:rsidRPr="00732F0C" w:rsidRDefault="002D2B20" w:rsidP="00842D6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CR"/>
        </w:rPr>
      </w:pPr>
      <w:r w:rsidRPr="00732F0C">
        <w:rPr>
          <w:rFonts w:ascii="Cambria" w:hAnsi="Cambria"/>
          <w:sz w:val="20"/>
          <w:szCs w:val="20"/>
          <w:lang w:val="es-ES_tradnl"/>
        </w:rPr>
        <w:t xml:space="preserve">En el presente asunto, </w:t>
      </w:r>
      <w:r w:rsidR="00EB4FE4" w:rsidRPr="00732F0C">
        <w:rPr>
          <w:rFonts w:ascii="Cambria" w:hAnsi="Cambria"/>
          <w:sz w:val="20"/>
          <w:szCs w:val="20"/>
          <w:lang w:val="es-ES_tradnl"/>
        </w:rPr>
        <w:t xml:space="preserve">la CIDH considera que la participación de miembros de la Policía, en funciones jurisdiccionales y de investigación, hace que dicho fuero no haya proveído las salvaguardas de independencia e imparcialidad para conocer de casos que podrían involucrar violaciones de derechos humanos. La Comisión resalta que </w:t>
      </w:r>
      <w:r w:rsidR="00437C3A" w:rsidRPr="00732F0C">
        <w:rPr>
          <w:rFonts w:ascii="Cambria" w:hAnsi="Cambria"/>
          <w:sz w:val="20"/>
          <w:szCs w:val="20"/>
          <w:lang w:val="es-ES_tradnl"/>
        </w:rPr>
        <w:t>la casi totalidad de la actividad probatoria se realizó en el fuero policial. Asimismo, la CIDH considera que las diligencias realizadas</w:t>
      </w:r>
      <w:r w:rsidR="00521666" w:rsidRPr="00732F0C">
        <w:rPr>
          <w:rFonts w:ascii="Cambria" w:hAnsi="Cambria"/>
          <w:sz w:val="20"/>
          <w:szCs w:val="20"/>
          <w:lang w:val="es-ES_tradnl"/>
        </w:rPr>
        <w:t xml:space="preserve"> ante dicho fuero</w:t>
      </w:r>
      <w:r w:rsidR="00437C3A" w:rsidRPr="00732F0C">
        <w:rPr>
          <w:rFonts w:ascii="Cambria" w:hAnsi="Cambria"/>
          <w:sz w:val="20"/>
          <w:szCs w:val="20"/>
          <w:lang w:val="es-ES_tradnl"/>
        </w:rPr>
        <w:t xml:space="preserve"> se orientaron a la hipótesis de que los agentes policiales habrían sido agredidos y que una tercera persona habría disparado el arma oficial de </w:t>
      </w:r>
      <w:r w:rsidR="00437C3A" w:rsidRPr="00732F0C">
        <w:rPr>
          <w:rFonts w:ascii="Cambria" w:hAnsi="Cambria"/>
          <w:sz w:val="20"/>
          <w:szCs w:val="20"/>
          <w:lang w:val="es-CR"/>
        </w:rPr>
        <w:t>Segundo Néstor de la Cruz.</w:t>
      </w:r>
      <w:r w:rsidR="00384A38" w:rsidRPr="00732F0C">
        <w:rPr>
          <w:rFonts w:ascii="Cambria" w:hAnsi="Cambria"/>
          <w:sz w:val="20"/>
          <w:szCs w:val="20"/>
          <w:lang w:val="es-CR"/>
        </w:rPr>
        <w:t xml:space="preserve"> La Comisión también remarca que la propia investigación policial concluyó que no se tomaron las declaraciones de todos los testigos de los hechos. Igualmente, el informe del médico legis</w:t>
      </w:r>
      <w:r w:rsidR="00521666" w:rsidRPr="00732F0C">
        <w:rPr>
          <w:rFonts w:ascii="Cambria" w:hAnsi="Cambria"/>
          <w:sz w:val="20"/>
          <w:szCs w:val="20"/>
          <w:lang w:val="es-CR"/>
        </w:rPr>
        <w:t>t</w:t>
      </w:r>
      <w:r w:rsidR="00384A38" w:rsidRPr="00732F0C">
        <w:rPr>
          <w:rFonts w:ascii="Cambria" w:hAnsi="Cambria"/>
          <w:sz w:val="20"/>
          <w:szCs w:val="20"/>
          <w:lang w:val="es-CR"/>
        </w:rPr>
        <w:t>a identificó numerosas irregularidades en la autopsia practicada a Jorge Darwin García y la demora en realizar la prueba de parafina al señor de la Cruz.</w:t>
      </w:r>
    </w:p>
    <w:p w:rsidR="00437C3A" w:rsidRPr="00732F0C" w:rsidRDefault="00437C3A" w:rsidP="00842D6E">
      <w:pPr>
        <w:jc w:val="both"/>
        <w:rPr>
          <w:rFonts w:ascii="Cambria" w:hAnsi="Cambria"/>
          <w:sz w:val="20"/>
          <w:szCs w:val="20"/>
          <w:lang w:val="es-ES_tradnl"/>
        </w:rPr>
      </w:pPr>
    </w:p>
    <w:p w:rsidR="00554F0B" w:rsidRPr="00732F0C" w:rsidRDefault="00EB4FE4" w:rsidP="00842D6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ES_tradnl"/>
        </w:rPr>
      </w:pPr>
      <w:r w:rsidRPr="00732F0C">
        <w:rPr>
          <w:rFonts w:ascii="Cambria" w:hAnsi="Cambria"/>
          <w:sz w:val="20"/>
          <w:szCs w:val="20"/>
          <w:lang w:val="es-ES_tradnl"/>
        </w:rPr>
        <w:t>De esta forma,</w:t>
      </w:r>
      <w:r w:rsidR="00521666" w:rsidRPr="00732F0C">
        <w:rPr>
          <w:rFonts w:ascii="Cambria" w:hAnsi="Cambria"/>
          <w:sz w:val="20"/>
          <w:szCs w:val="20"/>
          <w:lang w:val="es-ES_tradnl"/>
        </w:rPr>
        <w:t xml:space="preserve"> el hecho de que las principales </w:t>
      </w:r>
      <w:r w:rsidR="00436E8A" w:rsidRPr="00732F0C">
        <w:rPr>
          <w:rFonts w:ascii="Cambria" w:hAnsi="Cambria"/>
          <w:sz w:val="20"/>
          <w:szCs w:val="20"/>
          <w:lang w:val="es-ES_tradnl"/>
        </w:rPr>
        <w:t>actuaciones y diligencias</w:t>
      </w:r>
      <w:r w:rsidR="00521666" w:rsidRPr="00732F0C">
        <w:rPr>
          <w:rFonts w:ascii="Cambria" w:hAnsi="Cambria"/>
          <w:sz w:val="20"/>
          <w:szCs w:val="20"/>
          <w:lang w:val="es-ES_tradnl"/>
        </w:rPr>
        <w:t xml:space="preserve"> hubieran sido realizadas por la justicia policial y la omisión de las autoridades de dicha jurisdicción en practicar otras pruebas importantes constituye, en sí mismo, un incumplimiento del deber de investigar de manera independiente e imparcial y con la debida diligencia. </w:t>
      </w:r>
    </w:p>
    <w:p w:rsidR="00436E8A" w:rsidRPr="00732F0C" w:rsidRDefault="00436E8A" w:rsidP="00842D6E">
      <w:pPr>
        <w:pStyle w:val="ListParagraph"/>
        <w:jc w:val="both"/>
        <w:rPr>
          <w:sz w:val="20"/>
          <w:szCs w:val="20"/>
          <w:lang w:val="es-ES_tradnl"/>
        </w:rPr>
      </w:pPr>
    </w:p>
    <w:p w:rsidR="00B266E7" w:rsidRPr="00732F0C" w:rsidRDefault="005139D8" w:rsidP="00842D6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cs="Arial"/>
          <w:sz w:val="20"/>
          <w:szCs w:val="20"/>
          <w:lang w:val="es-ES"/>
        </w:rPr>
      </w:pPr>
      <w:r w:rsidRPr="00732F0C">
        <w:rPr>
          <w:rFonts w:ascii="Cambria" w:hAnsi="Cambria"/>
          <w:sz w:val="20"/>
          <w:szCs w:val="20"/>
          <w:lang w:val="es-ES_tradnl"/>
        </w:rPr>
        <w:t>En segundo lugar y ya respecto del fuero ordinario,</w:t>
      </w:r>
      <w:r w:rsidR="005071C5" w:rsidRPr="00732F0C">
        <w:rPr>
          <w:rFonts w:ascii="Cambria" w:hAnsi="Cambria"/>
          <w:sz w:val="20"/>
          <w:szCs w:val="20"/>
          <w:lang w:val="es-ES_tradnl"/>
        </w:rPr>
        <w:t xml:space="preserve"> </w:t>
      </w:r>
      <w:r w:rsidR="00437C3A" w:rsidRPr="00732F0C">
        <w:rPr>
          <w:rFonts w:ascii="Cambria" w:hAnsi="Cambria"/>
          <w:sz w:val="20"/>
          <w:szCs w:val="20"/>
          <w:lang w:val="es-ES_tradnl"/>
        </w:rPr>
        <w:t>l</w:t>
      </w:r>
      <w:r w:rsidR="00B266E7" w:rsidRPr="00732F0C">
        <w:rPr>
          <w:rFonts w:ascii="Cambria" w:hAnsi="Cambria"/>
          <w:sz w:val="20"/>
          <w:szCs w:val="20"/>
          <w:lang w:val="es-CR"/>
        </w:rPr>
        <w:t xml:space="preserve">a CIDH advierte que </w:t>
      </w:r>
      <w:r w:rsidRPr="00732F0C">
        <w:rPr>
          <w:rFonts w:ascii="Cambria" w:hAnsi="Cambria"/>
          <w:sz w:val="20"/>
          <w:szCs w:val="20"/>
          <w:lang w:val="es-CR"/>
        </w:rPr>
        <w:t xml:space="preserve">hubo </w:t>
      </w:r>
      <w:r w:rsidR="009E1328" w:rsidRPr="00732F0C">
        <w:rPr>
          <w:rFonts w:ascii="Cambria" w:hAnsi="Cambria"/>
          <w:sz w:val="20"/>
          <w:szCs w:val="20"/>
          <w:lang w:val="es-CR"/>
        </w:rPr>
        <w:t>omisiones</w:t>
      </w:r>
      <w:r w:rsidRPr="00732F0C">
        <w:rPr>
          <w:rFonts w:ascii="Cambria" w:hAnsi="Cambria"/>
          <w:sz w:val="20"/>
          <w:szCs w:val="20"/>
          <w:lang w:val="es-CR"/>
        </w:rPr>
        <w:t xml:space="preserve"> en la investigación que, desde la perspectiva de los familiares, no han permitido un esclarecimiento integral de lo ocurrido. Así por ejemplo, </w:t>
      </w:r>
      <w:r w:rsidR="00B266E7" w:rsidRPr="00732F0C">
        <w:rPr>
          <w:rFonts w:ascii="Cambria" w:hAnsi="Cambria"/>
          <w:sz w:val="20"/>
          <w:szCs w:val="20"/>
          <w:lang w:val="es-CR"/>
        </w:rPr>
        <w:t>no</w:t>
      </w:r>
      <w:r w:rsidRPr="00732F0C">
        <w:rPr>
          <w:rFonts w:ascii="Cambria" w:hAnsi="Cambria"/>
          <w:sz w:val="20"/>
          <w:szCs w:val="20"/>
          <w:lang w:val="es-CR"/>
        </w:rPr>
        <w:t xml:space="preserve"> se</w:t>
      </w:r>
      <w:r w:rsidR="00B266E7" w:rsidRPr="00732F0C">
        <w:rPr>
          <w:rFonts w:ascii="Cambria" w:hAnsi="Cambria"/>
          <w:sz w:val="20"/>
          <w:szCs w:val="20"/>
          <w:lang w:val="es-CR"/>
        </w:rPr>
        <w:t xml:space="preserve"> </w:t>
      </w:r>
      <w:r w:rsidR="00437C3A" w:rsidRPr="00732F0C">
        <w:rPr>
          <w:rFonts w:ascii="Cambria" w:hAnsi="Cambria"/>
          <w:sz w:val="20"/>
          <w:szCs w:val="20"/>
          <w:lang w:val="es-CR"/>
        </w:rPr>
        <w:t xml:space="preserve">determinó </w:t>
      </w:r>
      <w:r w:rsidR="00B266E7" w:rsidRPr="00732F0C">
        <w:rPr>
          <w:rFonts w:ascii="Cambria" w:hAnsi="Cambria"/>
          <w:sz w:val="20"/>
          <w:szCs w:val="20"/>
          <w:lang w:val="es-CR"/>
        </w:rPr>
        <w:t>el contexto y circunstancias específic</w:t>
      </w:r>
      <w:r w:rsidR="002D2B20" w:rsidRPr="00732F0C">
        <w:rPr>
          <w:rFonts w:ascii="Cambria" w:hAnsi="Cambria"/>
          <w:sz w:val="20"/>
          <w:szCs w:val="20"/>
          <w:lang w:val="es-CR"/>
        </w:rPr>
        <w:t>a</w:t>
      </w:r>
      <w:r w:rsidR="00B266E7" w:rsidRPr="00732F0C">
        <w:rPr>
          <w:rFonts w:ascii="Cambria" w:hAnsi="Cambria"/>
          <w:sz w:val="20"/>
          <w:szCs w:val="20"/>
          <w:lang w:val="es-CR"/>
        </w:rPr>
        <w:t>s en los que se produjo la muerte de Jorge Darwin García y las lesio</w:t>
      </w:r>
      <w:r w:rsidR="00437C3A" w:rsidRPr="00732F0C">
        <w:rPr>
          <w:rFonts w:ascii="Cambria" w:hAnsi="Cambria"/>
          <w:sz w:val="20"/>
          <w:szCs w:val="20"/>
          <w:lang w:val="es-CR"/>
        </w:rPr>
        <w:t xml:space="preserve">nes de Franklin Plutarco García. En particular, </w:t>
      </w:r>
      <w:r w:rsidR="005071C5" w:rsidRPr="00732F0C">
        <w:rPr>
          <w:rFonts w:ascii="Cambria" w:hAnsi="Cambria"/>
          <w:sz w:val="20"/>
          <w:szCs w:val="20"/>
          <w:lang w:val="es-CR"/>
        </w:rPr>
        <w:t xml:space="preserve">no se efectuaron determinaciones sobre si </w:t>
      </w:r>
      <w:r w:rsidR="00B266E7" w:rsidRPr="00732F0C">
        <w:rPr>
          <w:rFonts w:ascii="Cambria" w:hAnsi="Cambria"/>
          <w:sz w:val="20"/>
          <w:szCs w:val="20"/>
          <w:lang w:val="es-CR"/>
        </w:rPr>
        <w:t xml:space="preserve">Segundo Néstor de la Cruz </w:t>
      </w:r>
      <w:proofErr w:type="spellStart"/>
      <w:r w:rsidR="00B266E7" w:rsidRPr="00732F0C">
        <w:rPr>
          <w:rFonts w:ascii="Cambria" w:hAnsi="Cambria"/>
          <w:sz w:val="20"/>
          <w:szCs w:val="20"/>
          <w:lang w:val="es-CR"/>
        </w:rPr>
        <w:t>Chicaiza</w:t>
      </w:r>
      <w:proofErr w:type="spellEnd"/>
      <w:r w:rsidR="00B266E7" w:rsidRPr="00732F0C">
        <w:rPr>
          <w:rFonts w:ascii="Cambria" w:hAnsi="Cambria"/>
          <w:sz w:val="20"/>
          <w:szCs w:val="20"/>
          <w:lang w:val="es-CR"/>
        </w:rPr>
        <w:t xml:space="preserve"> se encontraba en el marco de un operativo policial, si se trató de un acto deliberado de</w:t>
      </w:r>
      <w:r w:rsidR="005071C5" w:rsidRPr="00732F0C">
        <w:rPr>
          <w:rFonts w:ascii="Cambria" w:hAnsi="Cambria"/>
          <w:sz w:val="20"/>
          <w:szCs w:val="20"/>
          <w:lang w:val="es-CR"/>
        </w:rPr>
        <w:t xml:space="preserve"> uso letal de la fuerza o si </w:t>
      </w:r>
      <w:r w:rsidR="00B266E7" w:rsidRPr="00732F0C">
        <w:rPr>
          <w:rFonts w:ascii="Cambria" w:hAnsi="Cambria"/>
          <w:sz w:val="20"/>
          <w:szCs w:val="20"/>
          <w:lang w:val="es-CR"/>
        </w:rPr>
        <w:t xml:space="preserve">la muerte se produjo en el contexto de una pelea. </w:t>
      </w:r>
      <w:r w:rsidR="005071C5" w:rsidRPr="00732F0C">
        <w:rPr>
          <w:rFonts w:ascii="Cambria" w:hAnsi="Cambria"/>
          <w:sz w:val="20"/>
          <w:szCs w:val="20"/>
          <w:lang w:val="es-CR"/>
        </w:rPr>
        <w:t xml:space="preserve">La Comisión nota además que </w:t>
      </w:r>
      <w:r w:rsidR="00B266E7" w:rsidRPr="00732F0C">
        <w:rPr>
          <w:rFonts w:ascii="Cambria" w:hAnsi="Cambria"/>
          <w:sz w:val="20"/>
          <w:szCs w:val="20"/>
          <w:lang w:val="es-CR"/>
        </w:rPr>
        <w:t xml:space="preserve">la investigación no esclareció si existió una motivación o componente racial en el asesinato, tomando en consideración que las víctimas eran afrodescendientes y las reiteradas </w:t>
      </w:r>
      <w:r w:rsidR="00B266E7" w:rsidRPr="00732F0C">
        <w:rPr>
          <w:rFonts w:ascii="Cambria" w:hAnsi="Cambria"/>
          <w:sz w:val="20"/>
          <w:szCs w:val="20"/>
          <w:lang w:val="es-CR"/>
        </w:rPr>
        <w:lastRenderedPageBreak/>
        <w:t xml:space="preserve">referencias a “personas de color” </w:t>
      </w:r>
      <w:r w:rsidR="00437C3A" w:rsidRPr="00732F0C">
        <w:rPr>
          <w:rFonts w:ascii="Cambria" w:hAnsi="Cambria"/>
          <w:sz w:val="20"/>
          <w:szCs w:val="20"/>
          <w:lang w:val="es-CR"/>
        </w:rPr>
        <w:t xml:space="preserve">en las declaraciones de Segundo Néstor de la Cruz. </w:t>
      </w:r>
      <w:r w:rsidR="00C22EE4" w:rsidRPr="00732F0C">
        <w:rPr>
          <w:rFonts w:ascii="Cambria" w:hAnsi="Cambria"/>
          <w:sz w:val="20"/>
          <w:szCs w:val="20"/>
          <w:lang w:val="es-CR"/>
        </w:rPr>
        <w:t xml:space="preserve">Otro aspecto no profundizado en la investigación tiene que ver con la ausencia de </w:t>
      </w:r>
      <w:r w:rsidR="00B266E7" w:rsidRPr="00732F0C">
        <w:rPr>
          <w:rFonts w:ascii="Cambria" w:hAnsi="Cambria"/>
          <w:sz w:val="20"/>
          <w:szCs w:val="20"/>
          <w:lang w:val="es-CR"/>
        </w:rPr>
        <w:t>diligencia</w:t>
      </w:r>
      <w:r w:rsidR="00C22EE4" w:rsidRPr="00732F0C">
        <w:rPr>
          <w:rFonts w:ascii="Cambria" w:hAnsi="Cambria"/>
          <w:sz w:val="20"/>
          <w:szCs w:val="20"/>
          <w:lang w:val="es-CR"/>
        </w:rPr>
        <w:t>s</w:t>
      </w:r>
      <w:r w:rsidR="00B266E7" w:rsidRPr="00732F0C">
        <w:rPr>
          <w:rFonts w:ascii="Cambria" w:hAnsi="Cambria"/>
          <w:sz w:val="20"/>
          <w:szCs w:val="20"/>
          <w:lang w:val="es-CR"/>
        </w:rPr>
        <w:t xml:space="preserve"> vinculada</w:t>
      </w:r>
      <w:r w:rsidR="009E1328" w:rsidRPr="00732F0C">
        <w:rPr>
          <w:rFonts w:ascii="Cambria" w:hAnsi="Cambria"/>
          <w:sz w:val="20"/>
          <w:szCs w:val="20"/>
          <w:lang w:val="es-CR"/>
        </w:rPr>
        <w:t>s</w:t>
      </w:r>
      <w:r w:rsidR="00B266E7" w:rsidRPr="00732F0C">
        <w:rPr>
          <w:rFonts w:ascii="Cambria" w:hAnsi="Cambria"/>
          <w:sz w:val="20"/>
          <w:szCs w:val="20"/>
          <w:lang w:val="es-CR"/>
        </w:rPr>
        <w:t xml:space="preserve"> con el supuesto estado de alcoholismo en el que se encontraba</w:t>
      </w:r>
      <w:r w:rsidR="00C22EE4" w:rsidRPr="00732F0C">
        <w:rPr>
          <w:rFonts w:ascii="Cambria" w:hAnsi="Cambria"/>
          <w:sz w:val="20"/>
          <w:szCs w:val="20"/>
          <w:lang w:val="es-CR"/>
        </w:rPr>
        <w:t xml:space="preserve"> en agente policial</w:t>
      </w:r>
      <w:r w:rsidR="00B266E7" w:rsidRPr="00732F0C">
        <w:rPr>
          <w:rFonts w:ascii="Cambria" w:hAnsi="Cambria"/>
          <w:sz w:val="20"/>
          <w:szCs w:val="20"/>
          <w:lang w:val="es-CR"/>
        </w:rPr>
        <w:t xml:space="preserve"> al momento de los hechos ni</w:t>
      </w:r>
      <w:r w:rsidR="00C22EE4" w:rsidRPr="00732F0C">
        <w:rPr>
          <w:rFonts w:ascii="Cambria" w:hAnsi="Cambria"/>
          <w:sz w:val="20"/>
          <w:szCs w:val="20"/>
          <w:lang w:val="es-CR"/>
        </w:rPr>
        <w:t xml:space="preserve"> con </w:t>
      </w:r>
      <w:r w:rsidR="00B266E7" w:rsidRPr="00732F0C">
        <w:rPr>
          <w:rFonts w:ascii="Cambria" w:hAnsi="Cambria"/>
          <w:sz w:val="20"/>
          <w:szCs w:val="20"/>
          <w:lang w:val="es-CR"/>
        </w:rPr>
        <w:t xml:space="preserve">la falta </w:t>
      </w:r>
      <w:r w:rsidR="00B14C22">
        <w:rPr>
          <w:rFonts w:ascii="Cambria" w:hAnsi="Cambria"/>
          <w:sz w:val="20"/>
          <w:szCs w:val="20"/>
          <w:lang w:val="es-CR"/>
        </w:rPr>
        <w:t xml:space="preserve">de </w:t>
      </w:r>
      <w:r w:rsidR="00B266E7" w:rsidRPr="00732F0C">
        <w:rPr>
          <w:rFonts w:ascii="Cambria" w:hAnsi="Cambria"/>
          <w:sz w:val="20"/>
          <w:szCs w:val="20"/>
          <w:lang w:val="es-CR"/>
        </w:rPr>
        <w:t xml:space="preserve">asistencia oportuna a los heridos. </w:t>
      </w:r>
      <w:r w:rsidR="000E2B98" w:rsidRPr="00732F0C">
        <w:rPr>
          <w:rFonts w:ascii="Cambria" w:hAnsi="Cambria"/>
          <w:sz w:val="20"/>
          <w:szCs w:val="20"/>
          <w:lang w:val="es-CR"/>
        </w:rPr>
        <w:t xml:space="preserve">Un esclarecimiento completo de todas estas circunstancias, o bien en el contexto de la investigación penal, o bien en el contexto de investigaciones administrativas o disciplinarias, podrían haber activado </w:t>
      </w:r>
      <w:r w:rsidR="00B266E7" w:rsidRPr="00732F0C">
        <w:rPr>
          <w:rFonts w:ascii="Cambria" w:hAnsi="Cambria"/>
          <w:sz w:val="20"/>
          <w:szCs w:val="20"/>
          <w:lang w:val="es-CR"/>
        </w:rPr>
        <w:t xml:space="preserve">medidas </w:t>
      </w:r>
      <w:r w:rsidR="000E2B98" w:rsidRPr="00732F0C">
        <w:rPr>
          <w:rFonts w:ascii="Cambria" w:hAnsi="Cambria"/>
          <w:sz w:val="20"/>
          <w:szCs w:val="20"/>
          <w:lang w:val="es-CR"/>
        </w:rPr>
        <w:t xml:space="preserve">más allá de la condena penal, </w:t>
      </w:r>
      <w:r w:rsidR="00B266E7" w:rsidRPr="00732F0C">
        <w:rPr>
          <w:rFonts w:ascii="Cambria" w:hAnsi="Cambria"/>
          <w:sz w:val="20"/>
          <w:szCs w:val="20"/>
          <w:lang w:val="es-CR"/>
        </w:rPr>
        <w:t>para</w:t>
      </w:r>
      <w:r w:rsidR="000E2B98" w:rsidRPr="00732F0C">
        <w:rPr>
          <w:rFonts w:ascii="Cambria" w:hAnsi="Cambria"/>
          <w:sz w:val="20"/>
          <w:szCs w:val="20"/>
          <w:lang w:val="es-CR"/>
        </w:rPr>
        <w:t xml:space="preserve"> asegurar la efectividad de los mecanismos de rendición de cuentas</w:t>
      </w:r>
      <w:r w:rsidR="003025F0" w:rsidRPr="00732F0C">
        <w:rPr>
          <w:rFonts w:ascii="Cambria" w:hAnsi="Cambria"/>
          <w:sz w:val="20"/>
          <w:szCs w:val="20"/>
          <w:lang w:val="es-CR"/>
        </w:rPr>
        <w:t xml:space="preserve"> y la no repetición de hechos similares.</w:t>
      </w:r>
    </w:p>
    <w:p w:rsidR="00B266E7" w:rsidRPr="00732F0C" w:rsidRDefault="00B266E7" w:rsidP="00842D6E">
      <w:pPr>
        <w:tabs>
          <w:tab w:val="left" w:pos="1440"/>
        </w:tabs>
        <w:jc w:val="both"/>
        <w:rPr>
          <w:rFonts w:ascii="Cambria" w:hAnsi="Cambria"/>
          <w:sz w:val="20"/>
          <w:szCs w:val="20"/>
          <w:lang w:val="es-ES"/>
        </w:rPr>
      </w:pPr>
    </w:p>
    <w:p w:rsidR="00B266E7" w:rsidRPr="00732F0C" w:rsidRDefault="00B266E7" w:rsidP="00842D6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CR"/>
        </w:rPr>
      </w:pPr>
      <w:r w:rsidRPr="00732F0C">
        <w:rPr>
          <w:rFonts w:ascii="Cambria" w:hAnsi="Cambria"/>
          <w:sz w:val="20"/>
          <w:szCs w:val="20"/>
          <w:lang w:val="es-CR"/>
        </w:rPr>
        <w:t>En</w:t>
      </w:r>
      <w:r w:rsidR="00F77D70" w:rsidRPr="00732F0C">
        <w:rPr>
          <w:rFonts w:ascii="Cambria" w:hAnsi="Cambria"/>
          <w:sz w:val="20"/>
          <w:szCs w:val="20"/>
          <w:lang w:val="es-CR"/>
        </w:rPr>
        <w:t xml:space="preserve"> virtud de lo anterior, </w:t>
      </w:r>
      <w:r w:rsidRPr="00732F0C">
        <w:rPr>
          <w:rFonts w:ascii="Cambria" w:hAnsi="Cambria"/>
          <w:sz w:val="20"/>
          <w:szCs w:val="20"/>
          <w:lang w:val="es-CR"/>
        </w:rPr>
        <w:t xml:space="preserve">la Comisión concluye que si bien el responsable de la muerte de Jorge Darwin García y las lesiones de Franklin Plutarco García fue condenado a una pena de reclusión por parte de las </w:t>
      </w:r>
      <w:r w:rsidR="00F77D70" w:rsidRPr="00732F0C">
        <w:rPr>
          <w:rFonts w:ascii="Cambria" w:hAnsi="Cambria"/>
          <w:sz w:val="20"/>
          <w:szCs w:val="20"/>
          <w:lang w:val="es-CR"/>
        </w:rPr>
        <w:t xml:space="preserve">autoridades internas de Ecuador </w:t>
      </w:r>
      <w:r w:rsidRPr="00732F0C">
        <w:rPr>
          <w:rFonts w:ascii="Cambria" w:hAnsi="Cambria"/>
          <w:sz w:val="20"/>
          <w:szCs w:val="20"/>
          <w:lang w:val="es-CR"/>
        </w:rPr>
        <w:t>se configuraron</w:t>
      </w:r>
      <w:r w:rsidR="009E1328" w:rsidRPr="00732F0C">
        <w:rPr>
          <w:rFonts w:ascii="Cambria" w:hAnsi="Cambria"/>
          <w:sz w:val="20"/>
          <w:szCs w:val="20"/>
          <w:lang w:val="es-CR"/>
        </w:rPr>
        <w:t xml:space="preserve"> en su conjunto</w:t>
      </w:r>
      <w:r w:rsidRPr="00732F0C">
        <w:rPr>
          <w:rFonts w:ascii="Cambria" w:hAnsi="Cambria"/>
          <w:sz w:val="20"/>
          <w:szCs w:val="20"/>
          <w:lang w:val="es-CR"/>
        </w:rPr>
        <w:t xml:space="preserve"> ciertas deficiencias e irregularidades en los procesos inte</w:t>
      </w:r>
      <w:r w:rsidR="00F77D70" w:rsidRPr="00732F0C">
        <w:rPr>
          <w:rFonts w:ascii="Cambria" w:hAnsi="Cambria"/>
          <w:sz w:val="20"/>
          <w:szCs w:val="20"/>
          <w:lang w:val="es-CR"/>
        </w:rPr>
        <w:t xml:space="preserve">rnos que llevaron a esa condena, las cuales constituyen violaciones autónomas de los </w:t>
      </w:r>
      <w:r w:rsidRPr="00732F0C">
        <w:rPr>
          <w:rFonts w:ascii="Cambria" w:hAnsi="Cambria"/>
          <w:sz w:val="20"/>
          <w:szCs w:val="20"/>
          <w:lang w:val="es-CR"/>
        </w:rPr>
        <w:t>derechos a las garantías judici</w:t>
      </w:r>
      <w:r w:rsidR="00F77D70" w:rsidRPr="00732F0C">
        <w:rPr>
          <w:rFonts w:ascii="Cambria" w:hAnsi="Cambria"/>
          <w:sz w:val="20"/>
          <w:szCs w:val="20"/>
          <w:lang w:val="es-CR"/>
        </w:rPr>
        <w:t>ales y a la protección judicial</w:t>
      </w:r>
      <w:r w:rsidRPr="00732F0C">
        <w:rPr>
          <w:rFonts w:ascii="Cambria" w:hAnsi="Cambria"/>
          <w:sz w:val="20"/>
          <w:szCs w:val="20"/>
          <w:lang w:val="es-CR"/>
        </w:rPr>
        <w:t xml:space="preserve"> es</w:t>
      </w:r>
      <w:r w:rsidR="00F77D70" w:rsidRPr="00732F0C">
        <w:rPr>
          <w:rFonts w:ascii="Cambria" w:hAnsi="Cambria"/>
          <w:sz w:val="20"/>
          <w:szCs w:val="20"/>
          <w:lang w:val="es-CR"/>
        </w:rPr>
        <w:t>tablecidos en los artículos 8.1 y</w:t>
      </w:r>
      <w:r w:rsidRPr="00732F0C">
        <w:rPr>
          <w:rFonts w:ascii="Cambria" w:hAnsi="Cambria"/>
          <w:sz w:val="20"/>
          <w:szCs w:val="20"/>
          <w:lang w:val="es-CR"/>
        </w:rPr>
        <w:t xml:space="preserve"> 25.1</w:t>
      </w:r>
      <w:r w:rsidR="00CF187B" w:rsidRPr="00732F0C">
        <w:rPr>
          <w:rFonts w:ascii="Cambria" w:hAnsi="Cambria"/>
          <w:sz w:val="20"/>
          <w:szCs w:val="20"/>
          <w:lang w:val="es-CR"/>
        </w:rPr>
        <w:t xml:space="preserve"> de la Convenci</w:t>
      </w:r>
      <w:r w:rsidR="00E67C61" w:rsidRPr="00732F0C">
        <w:rPr>
          <w:rFonts w:ascii="Cambria" w:hAnsi="Cambria"/>
          <w:sz w:val="20"/>
          <w:szCs w:val="20"/>
          <w:lang w:val="es-CR"/>
        </w:rPr>
        <w:t>ón Americana, en relación con los</w:t>
      </w:r>
      <w:r w:rsidR="00CF187B" w:rsidRPr="00732F0C">
        <w:rPr>
          <w:rFonts w:ascii="Cambria" w:hAnsi="Cambria"/>
          <w:sz w:val="20"/>
          <w:szCs w:val="20"/>
          <w:lang w:val="es-CR"/>
        </w:rPr>
        <w:t xml:space="preserve"> artículo</w:t>
      </w:r>
      <w:r w:rsidR="00E67C61" w:rsidRPr="00732F0C">
        <w:rPr>
          <w:rFonts w:ascii="Cambria" w:hAnsi="Cambria"/>
          <w:sz w:val="20"/>
          <w:szCs w:val="20"/>
          <w:lang w:val="es-CR"/>
        </w:rPr>
        <w:t>s</w:t>
      </w:r>
      <w:r w:rsidRPr="00732F0C">
        <w:rPr>
          <w:rFonts w:ascii="Cambria" w:hAnsi="Cambria"/>
          <w:sz w:val="20"/>
          <w:szCs w:val="20"/>
          <w:lang w:val="es-CR"/>
        </w:rPr>
        <w:t xml:space="preserve"> 1.1</w:t>
      </w:r>
      <w:r w:rsidR="00E67C61" w:rsidRPr="00732F0C">
        <w:rPr>
          <w:rFonts w:ascii="Cambria" w:hAnsi="Cambria"/>
          <w:sz w:val="20"/>
          <w:szCs w:val="20"/>
          <w:lang w:val="es-CR"/>
        </w:rPr>
        <w:t xml:space="preserve"> y 2</w:t>
      </w:r>
      <w:r w:rsidRPr="00732F0C">
        <w:rPr>
          <w:rFonts w:ascii="Cambria" w:hAnsi="Cambria"/>
          <w:sz w:val="20"/>
          <w:szCs w:val="20"/>
          <w:lang w:val="es-CR"/>
        </w:rPr>
        <w:t xml:space="preserve"> del mismo instrumento,</w:t>
      </w:r>
      <w:r w:rsidRPr="00732F0C">
        <w:rPr>
          <w:rFonts w:ascii="Cambria" w:hAnsi="Cambria"/>
          <w:sz w:val="20"/>
          <w:szCs w:val="20"/>
          <w:lang w:val="es-HN"/>
        </w:rPr>
        <w:t xml:space="preserve"> en perjuicio de </w:t>
      </w:r>
      <w:r w:rsidR="00CF187B" w:rsidRPr="00732F0C">
        <w:rPr>
          <w:rFonts w:ascii="Cambria" w:hAnsi="Cambria"/>
          <w:sz w:val="20"/>
          <w:szCs w:val="20"/>
          <w:lang w:val="es-HN"/>
        </w:rPr>
        <w:t>Franklin Plutarco y sus</w:t>
      </w:r>
      <w:r w:rsidRPr="00732F0C">
        <w:rPr>
          <w:rFonts w:ascii="Cambria" w:hAnsi="Cambria"/>
          <w:sz w:val="20"/>
          <w:szCs w:val="20"/>
          <w:lang w:val="es-HN"/>
        </w:rPr>
        <w:t xml:space="preserve"> familiares</w:t>
      </w:r>
      <w:r w:rsidRPr="00732F0C">
        <w:rPr>
          <w:rFonts w:ascii="Cambria" w:hAnsi="Cambria"/>
          <w:sz w:val="20"/>
          <w:szCs w:val="20"/>
          <w:lang w:val="es-CR"/>
        </w:rPr>
        <w:t xml:space="preserve">. </w:t>
      </w:r>
      <w:r w:rsidR="00E67C61" w:rsidRPr="00732F0C">
        <w:rPr>
          <w:rFonts w:ascii="Cambria" w:hAnsi="Cambria"/>
          <w:sz w:val="20"/>
          <w:szCs w:val="20"/>
          <w:lang w:val="es-CR"/>
        </w:rPr>
        <w:t xml:space="preserve">La determinación </w:t>
      </w:r>
      <w:r w:rsidR="00DE48EB" w:rsidRPr="00732F0C">
        <w:rPr>
          <w:rFonts w:ascii="Cambria" w:hAnsi="Cambria"/>
          <w:sz w:val="20"/>
          <w:szCs w:val="20"/>
          <w:lang w:val="es-CR"/>
        </w:rPr>
        <w:t>de la violación del artículo 2 de la Convención Americana obedece a la normativa interna que, en su momento, permitió que parte de los procesos internos fueran llevados a cabo por la justicia policial.</w:t>
      </w:r>
    </w:p>
    <w:p w:rsidR="00B266E7" w:rsidRPr="00732F0C" w:rsidRDefault="00B266E7" w:rsidP="00842D6E">
      <w:pPr>
        <w:tabs>
          <w:tab w:val="left" w:pos="1440"/>
        </w:tabs>
        <w:ind w:firstLine="720"/>
        <w:jc w:val="both"/>
        <w:rPr>
          <w:rFonts w:ascii="Cambria" w:hAnsi="Cambria"/>
          <w:sz w:val="20"/>
          <w:szCs w:val="20"/>
          <w:lang w:val="es-CR"/>
        </w:rPr>
      </w:pPr>
    </w:p>
    <w:p w:rsidR="00E055ED" w:rsidRPr="00732F0C" w:rsidRDefault="009E4F4C" w:rsidP="00842D6E">
      <w:pPr>
        <w:numPr>
          <w:ilvl w:val="1"/>
          <w:numId w:val="62"/>
        </w:numPr>
        <w:suppressAutoHyphens/>
        <w:ind w:left="1440" w:hanging="720"/>
        <w:jc w:val="both"/>
        <w:rPr>
          <w:rFonts w:ascii="Cambria" w:hAnsi="Cambria"/>
          <w:b/>
          <w:sz w:val="20"/>
          <w:szCs w:val="20"/>
          <w:lang w:val="es-CR"/>
        </w:rPr>
      </w:pPr>
      <w:r w:rsidRPr="00732F0C">
        <w:rPr>
          <w:rFonts w:ascii="Cambria" w:hAnsi="Cambria"/>
          <w:b/>
          <w:sz w:val="20"/>
          <w:szCs w:val="20"/>
          <w:lang w:val="es-CR"/>
        </w:rPr>
        <w:t>En cuanto al p</w:t>
      </w:r>
      <w:r w:rsidR="00E055ED" w:rsidRPr="00732F0C">
        <w:rPr>
          <w:rFonts w:ascii="Cambria" w:hAnsi="Cambria"/>
          <w:b/>
          <w:sz w:val="20"/>
          <w:szCs w:val="20"/>
          <w:lang w:val="es-CR"/>
        </w:rPr>
        <w:t>lazo razonable</w:t>
      </w:r>
    </w:p>
    <w:p w:rsidR="00E055ED" w:rsidRPr="00732F0C" w:rsidRDefault="00E055ED" w:rsidP="00842D6E">
      <w:pPr>
        <w:tabs>
          <w:tab w:val="left" w:pos="1440"/>
        </w:tabs>
        <w:ind w:firstLine="720"/>
        <w:jc w:val="both"/>
        <w:rPr>
          <w:rFonts w:ascii="Cambria" w:hAnsi="Cambria"/>
          <w:sz w:val="20"/>
          <w:szCs w:val="20"/>
          <w:lang w:val="es-CR"/>
        </w:rPr>
      </w:pPr>
    </w:p>
    <w:p w:rsidR="00E055ED" w:rsidRPr="00732F0C" w:rsidRDefault="00E055ED" w:rsidP="00842D6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CR"/>
        </w:rPr>
      </w:pPr>
      <w:r w:rsidRPr="00732F0C">
        <w:rPr>
          <w:rFonts w:ascii="Cambria" w:hAnsi="Cambria"/>
          <w:sz w:val="20"/>
          <w:szCs w:val="20"/>
          <w:lang w:val="es-ES"/>
        </w:rPr>
        <w:t>L</w:t>
      </w:r>
      <w:r w:rsidRPr="00732F0C">
        <w:rPr>
          <w:rFonts w:ascii="Cambria" w:hAnsi="Cambria"/>
          <w:sz w:val="20"/>
          <w:szCs w:val="20"/>
          <w:lang w:val="es-CR"/>
        </w:rPr>
        <w:t xml:space="preserve">a CIDH recuerda que la muerte de Jorge Darwin García se produjo el 12 de septiembre de 1993 y la investigación policial comenzó el 15 de septiembre de 1993. Posteriormente, el 30 de septiembre de 1993 la causa fue remitida al Juzgado Tercero Penal de Imbabura, el cual discó una sentencia condenatoria en contra de Segundo Néstor de la Cruz el 3 de septiembre de 1995. Dicha </w:t>
      </w:r>
      <w:r w:rsidR="000726A2" w:rsidRPr="00732F0C">
        <w:rPr>
          <w:rFonts w:ascii="Cambria" w:hAnsi="Cambria"/>
          <w:sz w:val="20"/>
          <w:szCs w:val="20"/>
          <w:lang w:val="es-CR"/>
        </w:rPr>
        <w:t xml:space="preserve">sentencia </w:t>
      </w:r>
      <w:r w:rsidRPr="00732F0C">
        <w:rPr>
          <w:rFonts w:ascii="Cambria" w:hAnsi="Cambria"/>
          <w:sz w:val="20"/>
          <w:szCs w:val="20"/>
          <w:lang w:val="es-CR"/>
        </w:rPr>
        <w:t>fue confirmada por la Corte Suprema el 28 de enero de 1998. Asimismo, el señor de la Cruz presentó un recurso de revisión de la sentencia condenatoria, el cual fue concedido el 25 de febrero de 1998. De acuerdo con el escrito de l</w:t>
      </w:r>
      <w:r w:rsidR="000726A2" w:rsidRPr="00732F0C">
        <w:rPr>
          <w:rFonts w:ascii="Cambria" w:hAnsi="Cambria"/>
          <w:sz w:val="20"/>
          <w:szCs w:val="20"/>
          <w:lang w:val="es-CR"/>
        </w:rPr>
        <w:t xml:space="preserve">a peticionaria de enero de 2015 </w:t>
      </w:r>
      <w:r w:rsidR="00B14C22">
        <w:rPr>
          <w:rFonts w:ascii="Cambria" w:hAnsi="Cambria"/>
          <w:sz w:val="20"/>
          <w:szCs w:val="20"/>
          <w:lang w:val="es-CR"/>
        </w:rPr>
        <w:t xml:space="preserve">y </w:t>
      </w:r>
      <w:r w:rsidR="000726A2" w:rsidRPr="00732F0C">
        <w:rPr>
          <w:rFonts w:ascii="Cambria" w:hAnsi="Cambria"/>
          <w:sz w:val="20"/>
          <w:szCs w:val="20"/>
          <w:lang w:val="es-CR"/>
        </w:rPr>
        <w:t>no controvertido por el Estado,</w:t>
      </w:r>
      <w:r w:rsidRPr="00732F0C">
        <w:rPr>
          <w:rFonts w:ascii="Cambria" w:hAnsi="Cambria"/>
          <w:sz w:val="20"/>
          <w:szCs w:val="20"/>
          <w:lang w:val="es-CR"/>
        </w:rPr>
        <w:t xml:space="preserve"> dicho recurso no habría sido resuelto.</w:t>
      </w:r>
    </w:p>
    <w:p w:rsidR="00E055ED" w:rsidRPr="00732F0C" w:rsidRDefault="00E055ED" w:rsidP="00842D6E">
      <w:pPr>
        <w:tabs>
          <w:tab w:val="left" w:pos="1440"/>
        </w:tabs>
        <w:ind w:firstLine="720"/>
        <w:jc w:val="both"/>
        <w:rPr>
          <w:rFonts w:ascii="Cambria" w:hAnsi="Cambria"/>
          <w:sz w:val="20"/>
          <w:szCs w:val="20"/>
          <w:lang w:val="es-CR"/>
        </w:rPr>
      </w:pPr>
    </w:p>
    <w:p w:rsidR="00E055ED" w:rsidRPr="00732F0C" w:rsidRDefault="00E055ED" w:rsidP="00842D6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CR"/>
        </w:rPr>
      </w:pPr>
      <w:r w:rsidRPr="00732F0C">
        <w:rPr>
          <w:rFonts w:ascii="Cambria" w:hAnsi="Cambria"/>
          <w:sz w:val="20"/>
          <w:szCs w:val="20"/>
          <w:lang w:val="es-CR"/>
        </w:rPr>
        <w:t xml:space="preserve">La peticionaria alegó que la demora de cuatro años y cuatro meses en la tramitación del proceso constituyó un retardo injustificado y violó el derecho de los familiares de la víctima a que el proceso se resolviera en un plazo razonable, tanto a la luz de los plazos establecidos en la legislación interna como  de los estándares internacionales. Por su parte, el Estado consideró que los plazos establecidos en las legislaciones domésticas no pueden considerarse “fatales”. Destacó que los casos sobre delitos contra la vida revisten un grado “especialísimo de complejidad” y sostuvo que la dilación del proceso se vinculó con el hecho de que los acusados utilizaron los recursos previstos en la legislación interna. </w:t>
      </w:r>
    </w:p>
    <w:p w:rsidR="00E055ED" w:rsidRPr="00732F0C" w:rsidRDefault="00E055ED" w:rsidP="00842D6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sz w:val="20"/>
          <w:szCs w:val="20"/>
          <w:lang w:val="es-ES"/>
        </w:rPr>
      </w:pPr>
    </w:p>
    <w:p w:rsidR="00E055ED" w:rsidRPr="00732F0C" w:rsidRDefault="00E055ED" w:rsidP="00842D6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ES"/>
        </w:rPr>
      </w:pPr>
      <w:r w:rsidRPr="00732F0C">
        <w:rPr>
          <w:rFonts w:ascii="Cambria" w:hAnsi="Cambria"/>
          <w:sz w:val="20"/>
          <w:szCs w:val="20"/>
          <w:lang w:val="es-ES"/>
        </w:rPr>
        <w:t>Al respecto, el artículo 8.1 de la Convención Americana establece como uno de los elementos del debido proceso que los tribunales decidan los casos sometidos a su conocimiento en un plazo razonable. En este sentido, una demora prolongada puede llegar a constituir, por sí misma, una violación de las garantías judiciales</w:t>
      </w:r>
      <w:r w:rsidRPr="00732F0C">
        <w:rPr>
          <w:rStyle w:val="FootnoteReference"/>
          <w:rFonts w:ascii="Cambria" w:hAnsi="Cambria"/>
          <w:sz w:val="20"/>
          <w:szCs w:val="20"/>
          <w:lang w:val="es-ES_tradnl"/>
        </w:rPr>
        <w:footnoteReference w:id="96"/>
      </w:r>
      <w:r w:rsidRPr="00732F0C">
        <w:rPr>
          <w:rFonts w:ascii="Cambria" w:hAnsi="Cambria"/>
          <w:sz w:val="20"/>
          <w:szCs w:val="20"/>
          <w:lang w:val="es-ES"/>
        </w:rPr>
        <w:t>, por lo que corresponde al Estado exponer y probar la razón por la cual se ha requerido más tiempo del razonable para dictar sentencia definitiva en un caso particular</w:t>
      </w:r>
      <w:r w:rsidRPr="00732F0C">
        <w:rPr>
          <w:rStyle w:val="FootnoteReference"/>
          <w:rFonts w:ascii="Cambria" w:hAnsi="Cambria"/>
          <w:sz w:val="20"/>
          <w:szCs w:val="20"/>
          <w:lang w:val="es-ES_tradnl"/>
        </w:rPr>
        <w:footnoteReference w:id="97"/>
      </w:r>
      <w:r w:rsidRPr="00732F0C">
        <w:rPr>
          <w:rFonts w:ascii="Cambria" w:hAnsi="Cambria"/>
          <w:sz w:val="20"/>
          <w:szCs w:val="20"/>
          <w:lang w:val="es-ES"/>
        </w:rPr>
        <w:t xml:space="preserve">. </w:t>
      </w:r>
    </w:p>
    <w:p w:rsidR="00E055ED" w:rsidRPr="00732F0C" w:rsidRDefault="00E055ED" w:rsidP="00842D6E">
      <w:pPr>
        <w:pStyle w:val="BodyTextIndent"/>
        <w:tabs>
          <w:tab w:val="left" w:pos="1440"/>
        </w:tabs>
        <w:ind w:firstLine="0"/>
        <w:jc w:val="both"/>
        <w:rPr>
          <w:rFonts w:ascii="Cambria" w:hAnsi="Cambria"/>
          <w:sz w:val="20"/>
          <w:szCs w:val="20"/>
          <w:lang w:val="es-ES"/>
        </w:rPr>
      </w:pPr>
    </w:p>
    <w:p w:rsidR="00E055ED" w:rsidRPr="00732F0C" w:rsidRDefault="00E055ED" w:rsidP="00842D6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ES"/>
        </w:rPr>
      </w:pPr>
      <w:r w:rsidRPr="00732F0C">
        <w:rPr>
          <w:rFonts w:ascii="Cambria" w:hAnsi="Cambria"/>
          <w:sz w:val="20"/>
          <w:szCs w:val="20"/>
          <w:lang w:val="es-ES"/>
        </w:rPr>
        <w:t>En ese sentido, la razonabilidad del plazo se debe apreciar en relación con la duración total del procedimiento penal</w:t>
      </w:r>
      <w:r w:rsidRPr="00732F0C">
        <w:rPr>
          <w:rStyle w:val="FootnoteReference"/>
          <w:rFonts w:ascii="Cambria" w:hAnsi="Cambria"/>
          <w:sz w:val="20"/>
          <w:szCs w:val="20"/>
          <w:lang w:val="es-ES_tradnl"/>
        </w:rPr>
        <w:footnoteReference w:id="98"/>
      </w:r>
      <w:r w:rsidRPr="00732F0C">
        <w:rPr>
          <w:rFonts w:ascii="Cambria" w:hAnsi="Cambria"/>
          <w:sz w:val="20"/>
          <w:szCs w:val="20"/>
          <w:lang w:val="es-ES"/>
        </w:rPr>
        <w:t xml:space="preserve">. </w:t>
      </w:r>
      <w:r w:rsidRPr="00732F0C">
        <w:rPr>
          <w:rFonts w:ascii="Cambria" w:hAnsi="Cambria"/>
          <w:sz w:val="20"/>
          <w:szCs w:val="20"/>
          <w:lang w:val="es-ES_tradnl"/>
        </w:rPr>
        <w:t>Según los términos del artículo 8.1 de la Convención Americana, la Comisión tomará en consideración, a la luz de las circunstancias concretas del caso, los elementos que los órganos del sistema interamericano han tomado en cuenta, a saber</w:t>
      </w:r>
      <w:r w:rsidRPr="00732F0C">
        <w:rPr>
          <w:rFonts w:ascii="Cambria" w:hAnsi="Cambria"/>
          <w:sz w:val="20"/>
          <w:szCs w:val="20"/>
          <w:lang w:val="es-ES"/>
        </w:rPr>
        <w:t xml:space="preserve">: i) la complejidad del asunto; ii) la actividad procesal del </w:t>
      </w:r>
      <w:r w:rsidRPr="00732F0C">
        <w:rPr>
          <w:rFonts w:ascii="Cambria" w:hAnsi="Cambria"/>
          <w:sz w:val="20"/>
          <w:szCs w:val="20"/>
          <w:lang w:val="es-ES"/>
        </w:rPr>
        <w:lastRenderedPageBreak/>
        <w:t>interesado; y iii) la conducta de las autoridades judiciales;</w:t>
      </w:r>
      <w:r w:rsidRPr="00732F0C">
        <w:rPr>
          <w:rFonts w:ascii="Cambria" w:hAnsi="Cambria"/>
          <w:sz w:val="20"/>
          <w:szCs w:val="20"/>
          <w:lang w:val="es-ES_tradnl"/>
        </w:rPr>
        <w:t xml:space="preserve"> y iv) afectación generada en la situación jurídica de la persona involucrada en el proceso</w:t>
      </w:r>
      <w:r w:rsidRPr="00732F0C">
        <w:rPr>
          <w:rStyle w:val="FootnoteReference"/>
          <w:rFonts w:ascii="Cambria" w:hAnsi="Cambria"/>
          <w:sz w:val="20"/>
          <w:szCs w:val="20"/>
          <w:lang w:val="es-ES_tradnl"/>
        </w:rPr>
        <w:footnoteReference w:id="99"/>
      </w:r>
      <w:r w:rsidRPr="00732F0C">
        <w:rPr>
          <w:rFonts w:ascii="Cambria" w:hAnsi="Cambria"/>
          <w:sz w:val="20"/>
          <w:szCs w:val="20"/>
          <w:lang w:val="es-ES"/>
        </w:rPr>
        <w:t>.</w:t>
      </w:r>
    </w:p>
    <w:p w:rsidR="00E055ED" w:rsidRPr="00732F0C" w:rsidRDefault="00E055ED" w:rsidP="00842D6E">
      <w:pPr>
        <w:jc w:val="both"/>
        <w:rPr>
          <w:rFonts w:ascii="Cambria" w:hAnsi="Cambria"/>
          <w:sz w:val="20"/>
          <w:szCs w:val="20"/>
          <w:lang w:val="es-CR"/>
        </w:rPr>
      </w:pPr>
    </w:p>
    <w:p w:rsidR="003B77D8" w:rsidRPr="00732F0C" w:rsidRDefault="00B266E7" w:rsidP="00842D6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ES"/>
        </w:rPr>
      </w:pPr>
      <w:r w:rsidRPr="00732F0C">
        <w:rPr>
          <w:rFonts w:ascii="Cambria" w:hAnsi="Cambria"/>
          <w:sz w:val="20"/>
          <w:szCs w:val="20"/>
          <w:lang w:val="es-CR"/>
        </w:rPr>
        <w:t xml:space="preserve">En cuanto a la complejidad del asunto, </w:t>
      </w:r>
      <w:r w:rsidR="003B77D8" w:rsidRPr="00732F0C">
        <w:rPr>
          <w:rFonts w:ascii="Cambria" w:hAnsi="Cambria" w:cs="Univers"/>
          <w:sz w:val="20"/>
          <w:szCs w:val="20"/>
          <w:lang w:val="es-ES" w:eastAsia="es-ES_tradnl"/>
        </w:rPr>
        <w:t>l</w:t>
      </w:r>
      <w:r w:rsidR="003B77D8" w:rsidRPr="00732F0C">
        <w:rPr>
          <w:rFonts w:ascii="Cambria" w:hAnsi="Cambria"/>
          <w:sz w:val="20"/>
          <w:szCs w:val="20"/>
          <w:lang w:val="es-ES_tradnl"/>
        </w:rPr>
        <w:t xml:space="preserve">a Comisión considera que el retardo en el desarrollo de la investigación no </w:t>
      </w:r>
      <w:r w:rsidR="003B77D8" w:rsidRPr="00732F0C">
        <w:rPr>
          <w:rFonts w:ascii="Cambria" w:hAnsi="Cambria" w:cs="Univers"/>
          <w:sz w:val="20"/>
          <w:szCs w:val="20"/>
          <w:lang w:val="es-ES" w:eastAsia="es-ES_tradnl"/>
        </w:rPr>
        <w:t>puede</w:t>
      </w:r>
      <w:r w:rsidR="003B77D8" w:rsidRPr="00732F0C">
        <w:rPr>
          <w:rFonts w:ascii="Cambria" w:hAnsi="Cambria"/>
          <w:sz w:val="20"/>
          <w:szCs w:val="20"/>
          <w:lang w:val="es-ES_tradnl"/>
        </w:rPr>
        <w:t xml:space="preserve"> justificarse en razón de la complejidad del asunto cuando i) hay individualización de posibles autores; ii) consta la existencia de testigos; y iii) existen posibles líneas de investigación</w:t>
      </w:r>
      <w:r w:rsidR="003B77D8" w:rsidRPr="00732F0C">
        <w:rPr>
          <w:rStyle w:val="FootnoteReference"/>
          <w:rFonts w:ascii="Cambria" w:hAnsi="Cambria"/>
          <w:sz w:val="20"/>
          <w:szCs w:val="20"/>
          <w:lang w:val="es-ES_tradnl"/>
        </w:rPr>
        <w:footnoteReference w:id="100"/>
      </w:r>
      <w:r w:rsidR="003B77D8" w:rsidRPr="00732F0C">
        <w:rPr>
          <w:rFonts w:ascii="Cambria" w:hAnsi="Cambria"/>
          <w:sz w:val="20"/>
          <w:szCs w:val="20"/>
          <w:lang w:val="es-ES_tradnl"/>
        </w:rPr>
        <w:t>. En todo caso, a fin de que un argumento de complejidad sea procedente, no es suficiente con que los Estados invoquen en términos genéri</w:t>
      </w:r>
      <w:r w:rsidR="009E0846" w:rsidRPr="00732F0C">
        <w:rPr>
          <w:rFonts w:ascii="Cambria" w:hAnsi="Cambria"/>
          <w:sz w:val="20"/>
          <w:szCs w:val="20"/>
          <w:lang w:val="es-ES_tradnl"/>
        </w:rPr>
        <w:t>cos la complejidad de un asunto sino que vinculen los elementos específicos de la alegada complejidad con las demoras concretas en la investigación.</w:t>
      </w:r>
    </w:p>
    <w:p w:rsidR="003B77D8" w:rsidRPr="00732F0C" w:rsidRDefault="003B77D8" w:rsidP="00842D6E">
      <w:pPr>
        <w:pStyle w:val="ListParagraph"/>
        <w:jc w:val="both"/>
        <w:rPr>
          <w:sz w:val="20"/>
          <w:szCs w:val="20"/>
          <w:lang w:val="es-CR"/>
        </w:rPr>
      </w:pPr>
    </w:p>
    <w:p w:rsidR="00B266E7" w:rsidRPr="00732F0C" w:rsidRDefault="003B77D8" w:rsidP="00842D6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ES"/>
        </w:rPr>
      </w:pPr>
      <w:r w:rsidRPr="00732F0C">
        <w:rPr>
          <w:rFonts w:ascii="Cambria" w:hAnsi="Cambria"/>
          <w:sz w:val="20"/>
          <w:szCs w:val="20"/>
          <w:lang w:val="es-CR"/>
        </w:rPr>
        <w:t>Al respecto, l</w:t>
      </w:r>
      <w:r w:rsidR="00B266E7" w:rsidRPr="00732F0C">
        <w:rPr>
          <w:rFonts w:ascii="Cambria" w:hAnsi="Cambria"/>
          <w:sz w:val="20"/>
          <w:szCs w:val="20"/>
          <w:lang w:val="es-CR"/>
        </w:rPr>
        <w:t xml:space="preserve">a Comisión advierte que </w:t>
      </w:r>
      <w:r w:rsidRPr="00732F0C">
        <w:rPr>
          <w:rFonts w:ascii="Cambria" w:hAnsi="Cambria"/>
          <w:sz w:val="20"/>
          <w:szCs w:val="20"/>
          <w:lang w:val="es-CR"/>
        </w:rPr>
        <w:t>el presunto responsable</w:t>
      </w:r>
      <w:r w:rsidR="00B266E7" w:rsidRPr="00732F0C">
        <w:rPr>
          <w:rFonts w:ascii="Cambria" w:hAnsi="Cambria"/>
          <w:sz w:val="20"/>
          <w:szCs w:val="20"/>
          <w:lang w:val="es-CR"/>
        </w:rPr>
        <w:t xml:space="preserve"> por la muerte de Jorge Darwin García y las lesiones de Franklin Plutarco García </w:t>
      </w:r>
      <w:r w:rsidRPr="00732F0C">
        <w:rPr>
          <w:rFonts w:ascii="Cambria" w:hAnsi="Cambria"/>
          <w:sz w:val="20"/>
          <w:szCs w:val="20"/>
          <w:lang w:val="es-CR"/>
        </w:rPr>
        <w:t>fue identificado</w:t>
      </w:r>
      <w:r w:rsidR="00B266E7" w:rsidRPr="00732F0C">
        <w:rPr>
          <w:rFonts w:ascii="Cambria" w:hAnsi="Cambria"/>
          <w:sz w:val="20"/>
          <w:szCs w:val="20"/>
          <w:lang w:val="es-CR"/>
        </w:rPr>
        <w:t xml:space="preserve"> desde el primer momento, tanto en la investigación policial como en el proceso penal. </w:t>
      </w:r>
      <w:r w:rsidR="00B266E7" w:rsidRPr="00732F0C">
        <w:rPr>
          <w:rFonts w:ascii="Cambria" w:hAnsi="Cambria"/>
          <w:sz w:val="20"/>
          <w:szCs w:val="20"/>
          <w:lang w:val="es-ES"/>
        </w:rPr>
        <w:t>Asimismo, los testigos también fueron identificados desde el inicio.</w:t>
      </w:r>
    </w:p>
    <w:p w:rsidR="00B266E7" w:rsidRPr="00732F0C" w:rsidRDefault="00B266E7" w:rsidP="00842D6E">
      <w:pPr>
        <w:tabs>
          <w:tab w:val="left" w:pos="1440"/>
        </w:tabs>
        <w:ind w:firstLine="720"/>
        <w:jc w:val="both"/>
        <w:rPr>
          <w:rFonts w:ascii="Cambria" w:hAnsi="Cambria"/>
          <w:sz w:val="20"/>
          <w:szCs w:val="20"/>
          <w:lang w:val="es-ES"/>
        </w:rPr>
      </w:pPr>
    </w:p>
    <w:p w:rsidR="00374A3A" w:rsidRPr="00732F0C" w:rsidRDefault="00B266E7" w:rsidP="00842D6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CR"/>
        </w:rPr>
      </w:pPr>
      <w:r w:rsidRPr="00732F0C">
        <w:rPr>
          <w:rFonts w:ascii="Cambria" w:hAnsi="Cambria"/>
          <w:sz w:val="20"/>
          <w:szCs w:val="20"/>
          <w:lang w:val="es-CR"/>
        </w:rPr>
        <w:t>Respecto de la conducta de las autoridades judiciales, la Comisión advierte que casi la totalidad de la prueba se recabó durante la investigación policial</w:t>
      </w:r>
      <w:r w:rsidR="003B77D8" w:rsidRPr="00732F0C">
        <w:rPr>
          <w:rFonts w:ascii="Cambria" w:hAnsi="Cambria"/>
          <w:sz w:val="20"/>
          <w:szCs w:val="20"/>
          <w:lang w:val="es-CR"/>
        </w:rPr>
        <w:t xml:space="preserve">. De esta forma, con excepción de algunas declaraciones testimoniales, en el fuero ordinario </w:t>
      </w:r>
      <w:r w:rsidRPr="00732F0C">
        <w:rPr>
          <w:rFonts w:ascii="Cambria" w:hAnsi="Cambria"/>
          <w:sz w:val="20"/>
          <w:szCs w:val="20"/>
          <w:lang w:val="es-CR"/>
        </w:rPr>
        <w:t xml:space="preserve">no se ordenaron diligencias adicionales cuya producción pudiera prolongarse en el tiempo. En efecto, tal como se desprende de la sentencia del Tribunal Penal de Imbabura, los elementos a tener en cuenta para determinar la responsabilidad penal del imputado fueron </w:t>
      </w:r>
      <w:r w:rsidR="00374A3A" w:rsidRPr="00732F0C">
        <w:rPr>
          <w:rFonts w:ascii="Cambria" w:hAnsi="Cambria"/>
          <w:sz w:val="20"/>
          <w:szCs w:val="20"/>
          <w:lang w:val="es-CR"/>
        </w:rPr>
        <w:t>principalmente</w:t>
      </w:r>
      <w:r w:rsidRPr="00732F0C">
        <w:rPr>
          <w:rFonts w:ascii="Cambria" w:hAnsi="Cambria"/>
          <w:sz w:val="20"/>
          <w:szCs w:val="20"/>
          <w:lang w:val="es-CR"/>
        </w:rPr>
        <w:t xml:space="preserve"> las pruebas obtenidas durante la investigación policial. </w:t>
      </w:r>
    </w:p>
    <w:p w:rsidR="00374A3A" w:rsidRPr="00732F0C" w:rsidRDefault="00374A3A" w:rsidP="00842D6E">
      <w:pPr>
        <w:pStyle w:val="ListParagraph"/>
        <w:jc w:val="both"/>
        <w:rPr>
          <w:sz w:val="20"/>
          <w:szCs w:val="20"/>
          <w:lang w:val="es-CR"/>
        </w:rPr>
      </w:pPr>
    </w:p>
    <w:p w:rsidR="00374A3A" w:rsidRPr="00732F0C" w:rsidRDefault="00B266E7" w:rsidP="00842D6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CR"/>
        </w:rPr>
      </w:pPr>
      <w:r w:rsidRPr="00732F0C">
        <w:rPr>
          <w:rFonts w:ascii="Cambria" w:hAnsi="Cambria"/>
          <w:sz w:val="20"/>
          <w:szCs w:val="20"/>
          <w:lang w:val="es-CR"/>
        </w:rPr>
        <w:t xml:space="preserve">En relación con la </w:t>
      </w:r>
      <w:r w:rsidR="00374A3A" w:rsidRPr="00732F0C">
        <w:rPr>
          <w:rFonts w:ascii="Cambria" w:hAnsi="Cambria"/>
          <w:sz w:val="20"/>
          <w:szCs w:val="20"/>
          <w:lang w:val="es-CR"/>
        </w:rPr>
        <w:t>participación de los interesados</w:t>
      </w:r>
      <w:r w:rsidRPr="00732F0C">
        <w:rPr>
          <w:rFonts w:ascii="Cambria" w:hAnsi="Cambria"/>
          <w:sz w:val="20"/>
          <w:szCs w:val="20"/>
          <w:lang w:val="es-CR"/>
        </w:rPr>
        <w:t>, la Comisión advierte que los familiares denunc</w:t>
      </w:r>
      <w:r w:rsidR="00374A3A" w:rsidRPr="00732F0C">
        <w:rPr>
          <w:rFonts w:ascii="Cambria" w:hAnsi="Cambria"/>
          <w:sz w:val="20"/>
          <w:szCs w:val="20"/>
          <w:lang w:val="es-CR"/>
        </w:rPr>
        <w:t>iaron inmediatamente los hechos. Asimismo,</w:t>
      </w:r>
      <w:r w:rsidRPr="00732F0C">
        <w:rPr>
          <w:rFonts w:ascii="Cambria" w:hAnsi="Cambria"/>
          <w:sz w:val="20"/>
          <w:szCs w:val="20"/>
          <w:lang w:val="es-CR"/>
        </w:rPr>
        <w:t xml:space="preserve"> Franklin Plutarco García se const</w:t>
      </w:r>
      <w:r w:rsidR="00374A3A" w:rsidRPr="00732F0C">
        <w:rPr>
          <w:rFonts w:ascii="Cambria" w:hAnsi="Cambria"/>
          <w:sz w:val="20"/>
          <w:szCs w:val="20"/>
          <w:lang w:val="es-CR"/>
        </w:rPr>
        <w:t xml:space="preserve">ituyó como acusador particular. La peticionaria también </w:t>
      </w:r>
      <w:r w:rsidRPr="00732F0C">
        <w:rPr>
          <w:rFonts w:ascii="Cambria" w:hAnsi="Cambria"/>
          <w:sz w:val="20"/>
          <w:szCs w:val="20"/>
          <w:lang w:val="es-CR"/>
        </w:rPr>
        <w:t>solicitó al Fiscal General de la Nación que supervigile el caso</w:t>
      </w:r>
      <w:r w:rsidR="00374A3A" w:rsidRPr="00732F0C">
        <w:rPr>
          <w:rFonts w:ascii="Cambria" w:hAnsi="Cambria"/>
          <w:sz w:val="20"/>
          <w:szCs w:val="20"/>
          <w:lang w:val="es-CR"/>
        </w:rPr>
        <w:t xml:space="preserve">. De esta forma, </w:t>
      </w:r>
      <w:r w:rsidR="00374A3A" w:rsidRPr="00732F0C">
        <w:rPr>
          <w:rFonts w:ascii="Cambria" w:hAnsi="Cambria"/>
          <w:sz w:val="20"/>
          <w:szCs w:val="20"/>
          <w:lang w:val="es-ES_tradnl"/>
        </w:rPr>
        <w:t>la Comisión nota que los representantes legales dieron seguimiento e impulso a la investigación</w:t>
      </w:r>
      <w:r w:rsidRPr="00732F0C">
        <w:rPr>
          <w:rFonts w:ascii="Cambria" w:hAnsi="Cambria"/>
          <w:sz w:val="20"/>
          <w:szCs w:val="20"/>
          <w:lang w:val="es-CR"/>
        </w:rPr>
        <w:t xml:space="preserve"> y no existen elementos que indiquen que hubieran obstaculizado el proceso. </w:t>
      </w:r>
    </w:p>
    <w:p w:rsidR="0057096B" w:rsidRPr="00732F0C" w:rsidRDefault="0057096B" w:rsidP="00842D6E">
      <w:pPr>
        <w:jc w:val="both"/>
        <w:rPr>
          <w:rFonts w:ascii="Cambria" w:hAnsi="Cambria"/>
          <w:sz w:val="20"/>
          <w:szCs w:val="20"/>
          <w:lang w:val="es-CR"/>
        </w:rPr>
      </w:pPr>
    </w:p>
    <w:p w:rsidR="00B266E7" w:rsidRPr="00732F0C" w:rsidRDefault="005D1963" w:rsidP="00842D6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CR"/>
        </w:rPr>
      </w:pPr>
      <w:r w:rsidRPr="00732F0C">
        <w:rPr>
          <w:rFonts w:ascii="Cambria" w:hAnsi="Cambria"/>
          <w:sz w:val="20"/>
          <w:szCs w:val="20"/>
          <w:lang w:val="es-CR"/>
        </w:rPr>
        <w:t>Adicionalmente</w:t>
      </w:r>
      <w:r w:rsidR="00B266E7" w:rsidRPr="00732F0C">
        <w:rPr>
          <w:rFonts w:ascii="Cambria" w:hAnsi="Cambria"/>
          <w:sz w:val="20"/>
          <w:szCs w:val="20"/>
          <w:lang w:val="es-CR"/>
        </w:rPr>
        <w:t xml:space="preserve">, </w:t>
      </w:r>
      <w:r w:rsidRPr="00732F0C">
        <w:rPr>
          <w:rFonts w:ascii="Cambria" w:hAnsi="Cambria"/>
          <w:sz w:val="20"/>
          <w:szCs w:val="20"/>
          <w:lang w:val="es-CR"/>
        </w:rPr>
        <w:t>la Comisión nota que e</w:t>
      </w:r>
      <w:r w:rsidR="00B266E7" w:rsidRPr="00732F0C">
        <w:rPr>
          <w:rFonts w:ascii="Cambria" w:hAnsi="Cambria"/>
          <w:sz w:val="20"/>
          <w:szCs w:val="20"/>
          <w:lang w:val="es-CR"/>
        </w:rPr>
        <w:t>l i</w:t>
      </w:r>
      <w:r w:rsidRPr="00732F0C">
        <w:rPr>
          <w:rFonts w:ascii="Cambria" w:hAnsi="Cambria"/>
          <w:sz w:val="20"/>
          <w:szCs w:val="20"/>
          <w:lang w:val="es-CR"/>
        </w:rPr>
        <w:t xml:space="preserve">mputado </w:t>
      </w:r>
      <w:r w:rsidR="00B266E7" w:rsidRPr="00732F0C">
        <w:rPr>
          <w:rFonts w:ascii="Cambria" w:hAnsi="Cambria"/>
          <w:sz w:val="20"/>
          <w:szCs w:val="20"/>
          <w:lang w:val="es-CR"/>
        </w:rPr>
        <w:t xml:space="preserve">interpuso un recurso de apelación contra el auto de llamamiento a juicio y un recurso de casación contra la sentencia condenatoria, sin que las partes hayan brindado elementos sobre una posible actitud dilatoria del proceso de su parte. En estas circunstancias, la Comisión considera que el plazo de más de un año para el dictado del auto de llamamiento a plenario, el plazo de más de un año para el dictado de la sentencia condenatoria y el transcurso de más de dos años para el dictado de la sentencia definitiva </w:t>
      </w:r>
      <w:r w:rsidR="009E0846" w:rsidRPr="00732F0C">
        <w:rPr>
          <w:rFonts w:ascii="Cambria" w:hAnsi="Cambria"/>
          <w:sz w:val="20"/>
          <w:szCs w:val="20"/>
          <w:lang w:val="es-CR"/>
        </w:rPr>
        <w:t xml:space="preserve">no han sido justificados por el Estado </w:t>
      </w:r>
      <w:r w:rsidR="00B266E7" w:rsidRPr="00732F0C">
        <w:rPr>
          <w:rFonts w:ascii="Cambria" w:hAnsi="Cambria"/>
          <w:sz w:val="20"/>
          <w:szCs w:val="20"/>
          <w:lang w:val="es-CR"/>
        </w:rPr>
        <w:t xml:space="preserve">a la luz de las particularidades específicas de este caso. </w:t>
      </w:r>
    </w:p>
    <w:p w:rsidR="00B266E7" w:rsidRPr="00732F0C" w:rsidRDefault="00B266E7" w:rsidP="00842D6E">
      <w:pPr>
        <w:tabs>
          <w:tab w:val="left" w:pos="1440"/>
        </w:tabs>
        <w:ind w:firstLine="720"/>
        <w:jc w:val="both"/>
        <w:rPr>
          <w:rFonts w:ascii="Cambria" w:hAnsi="Cambria"/>
          <w:sz w:val="20"/>
          <w:szCs w:val="20"/>
          <w:lang w:val="es-CR"/>
        </w:rPr>
      </w:pPr>
    </w:p>
    <w:p w:rsidR="005D1963" w:rsidRPr="00732F0C" w:rsidRDefault="005D1963" w:rsidP="00842D6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ES"/>
        </w:rPr>
      </w:pPr>
      <w:r w:rsidRPr="00732F0C">
        <w:rPr>
          <w:rFonts w:ascii="Cambria" w:hAnsi="Cambria"/>
          <w:sz w:val="20"/>
          <w:szCs w:val="20"/>
          <w:lang w:val="es-ES_tradnl"/>
        </w:rPr>
        <w:t>En</w:t>
      </w:r>
      <w:r w:rsidR="009E0846" w:rsidRPr="00732F0C">
        <w:rPr>
          <w:rFonts w:ascii="Cambria" w:hAnsi="Cambria"/>
          <w:sz w:val="20"/>
          <w:szCs w:val="20"/>
          <w:lang w:val="es-ES_tradnl"/>
        </w:rPr>
        <w:t xml:space="preserve"> virtud de lo anterior, </w:t>
      </w:r>
      <w:r w:rsidRPr="00732F0C">
        <w:rPr>
          <w:rFonts w:ascii="Cambria" w:hAnsi="Cambria"/>
          <w:sz w:val="20"/>
          <w:szCs w:val="20"/>
          <w:lang w:val="es-ES_tradnl"/>
        </w:rPr>
        <w:t>la Comisión considera que</w:t>
      </w:r>
      <w:r w:rsidR="009E0846" w:rsidRPr="00732F0C">
        <w:rPr>
          <w:rFonts w:ascii="Cambria" w:hAnsi="Cambria"/>
          <w:sz w:val="20"/>
          <w:szCs w:val="20"/>
          <w:lang w:val="es-ES_tradnl"/>
        </w:rPr>
        <w:t xml:space="preserve"> en el presente caso </w:t>
      </w:r>
      <w:r w:rsidRPr="00732F0C">
        <w:rPr>
          <w:rFonts w:ascii="Cambria" w:hAnsi="Cambria"/>
          <w:sz w:val="20"/>
          <w:szCs w:val="20"/>
          <w:lang w:val="es-ES_tradnl"/>
        </w:rPr>
        <w:t>el lapso de cuatro años y medio que</w:t>
      </w:r>
      <w:r w:rsidR="009E0846" w:rsidRPr="00732F0C">
        <w:rPr>
          <w:rFonts w:ascii="Cambria" w:hAnsi="Cambria"/>
          <w:sz w:val="20"/>
          <w:szCs w:val="20"/>
          <w:lang w:val="es-ES_tradnl"/>
        </w:rPr>
        <w:t xml:space="preserve"> demoró </w:t>
      </w:r>
      <w:r w:rsidRPr="00732F0C">
        <w:rPr>
          <w:rFonts w:ascii="Cambria" w:hAnsi="Cambria"/>
          <w:sz w:val="20"/>
          <w:szCs w:val="20"/>
          <w:lang w:val="es-ES_tradnl"/>
        </w:rPr>
        <w:t>la justicia interna</w:t>
      </w:r>
      <w:r w:rsidR="009E0846" w:rsidRPr="00732F0C">
        <w:rPr>
          <w:rFonts w:ascii="Cambria" w:hAnsi="Cambria"/>
          <w:sz w:val="20"/>
          <w:szCs w:val="20"/>
          <w:lang w:val="es-ES_tradnl"/>
        </w:rPr>
        <w:t xml:space="preserve"> para emitir una sentencia definitiva, no resulta razonable. </w:t>
      </w:r>
      <w:r w:rsidR="00937132">
        <w:rPr>
          <w:rFonts w:ascii="Cambria" w:hAnsi="Cambria"/>
          <w:sz w:val="20"/>
          <w:szCs w:val="20"/>
          <w:lang w:val="es-ES_tradnl"/>
        </w:rPr>
        <w:t>Asimismo, la CIDH nota que</w:t>
      </w:r>
      <w:r w:rsidR="009E0846" w:rsidRPr="00732F0C">
        <w:rPr>
          <w:rFonts w:ascii="Cambria" w:hAnsi="Cambria"/>
          <w:sz w:val="20"/>
          <w:szCs w:val="20"/>
          <w:lang w:val="es-ES_tradnl"/>
        </w:rPr>
        <w:t xml:space="preserve"> conforme a la información aportada por la peticionaria, no controvertida por el Estado, </w:t>
      </w:r>
      <w:r w:rsidRPr="00732F0C">
        <w:rPr>
          <w:rFonts w:ascii="Cambria" w:hAnsi="Cambria"/>
          <w:sz w:val="20"/>
          <w:szCs w:val="20"/>
          <w:lang w:val="es-ES_tradnl"/>
        </w:rPr>
        <w:t>el recurso de revisión presentado por el señor de la Cruz hace más de dieciséis años no h</w:t>
      </w:r>
      <w:r w:rsidR="009E0846" w:rsidRPr="00732F0C">
        <w:rPr>
          <w:rFonts w:ascii="Cambria" w:hAnsi="Cambria"/>
          <w:sz w:val="20"/>
          <w:szCs w:val="20"/>
          <w:lang w:val="es-ES_tradnl"/>
        </w:rPr>
        <w:t>abría sido resuelto a la fecha</w:t>
      </w:r>
      <w:r w:rsidRPr="00732F0C">
        <w:rPr>
          <w:rFonts w:ascii="Cambria" w:hAnsi="Cambria"/>
          <w:sz w:val="20"/>
          <w:szCs w:val="20"/>
          <w:lang w:val="es-ES_tradnl"/>
        </w:rPr>
        <w:t xml:space="preserve">. Al respecto, la Comisión considera que el </w:t>
      </w:r>
      <w:r w:rsidR="009E0846" w:rsidRPr="00732F0C">
        <w:rPr>
          <w:rFonts w:ascii="Cambria" w:hAnsi="Cambria"/>
          <w:sz w:val="20"/>
          <w:szCs w:val="20"/>
          <w:lang w:val="es-ES_tradnl"/>
        </w:rPr>
        <w:t xml:space="preserve">hecho de que se mantenga </w:t>
      </w:r>
      <w:r w:rsidRPr="00732F0C">
        <w:rPr>
          <w:rFonts w:ascii="Cambria" w:hAnsi="Cambria"/>
          <w:sz w:val="20"/>
          <w:szCs w:val="20"/>
          <w:lang w:val="es-ES_tradnl"/>
        </w:rPr>
        <w:t xml:space="preserve">pendiente </w:t>
      </w:r>
      <w:r w:rsidR="009E0846" w:rsidRPr="00732F0C">
        <w:rPr>
          <w:rFonts w:ascii="Cambria" w:hAnsi="Cambria"/>
          <w:sz w:val="20"/>
          <w:szCs w:val="20"/>
          <w:lang w:val="es-ES_tradnl"/>
        </w:rPr>
        <w:t>la resolución de dich</w:t>
      </w:r>
      <w:r w:rsidR="00F70C97" w:rsidRPr="00732F0C">
        <w:rPr>
          <w:rFonts w:ascii="Cambria" w:hAnsi="Cambria"/>
          <w:sz w:val="20"/>
          <w:szCs w:val="20"/>
          <w:lang w:val="es-ES_tradnl"/>
        </w:rPr>
        <w:t>os</w:t>
      </w:r>
      <w:r w:rsidR="009E0846" w:rsidRPr="00732F0C">
        <w:rPr>
          <w:rFonts w:ascii="Cambria" w:hAnsi="Cambria"/>
          <w:sz w:val="20"/>
          <w:szCs w:val="20"/>
          <w:lang w:val="es-ES_tradnl"/>
        </w:rPr>
        <w:t xml:space="preserve"> recursos </w:t>
      </w:r>
      <w:r w:rsidRPr="00732F0C">
        <w:rPr>
          <w:rFonts w:ascii="Cambria" w:hAnsi="Cambria"/>
          <w:sz w:val="20"/>
          <w:szCs w:val="20"/>
          <w:lang w:val="es-ES_tradnl"/>
        </w:rPr>
        <w:t xml:space="preserve">por un tiempo </w:t>
      </w:r>
      <w:r w:rsidR="009E0846" w:rsidRPr="00732F0C">
        <w:rPr>
          <w:rFonts w:ascii="Cambria" w:hAnsi="Cambria"/>
          <w:sz w:val="20"/>
          <w:szCs w:val="20"/>
          <w:lang w:val="es-ES_tradnl"/>
        </w:rPr>
        <w:t xml:space="preserve">irrazonable </w:t>
      </w:r>
      <w:r w:rsidRPr="00732F0C">
        <w:rPr>
          <w:rFonts w:ascii="Cambria" w:hAnsi="Cambria"/>
          <w:sz w:val="20"/>
          <w:szCs w:val="20"/>
          <w:lang w:val="es-ES_tradnl"/>
        </w:rPr>
        <w:t>ha generado una situación de incertid</w:t>
      </w:r>
      <w:r w:rsidR="009E0846" w:rsidRPr="00732F0C">
        <w:rPr>
          <w:rFonts w:ascii="Cambria" w:hAnsi="Cambria"/>
          <w:sz w:val="20"/>
          <w:szCs w:val="20"/>
          <w:lang w:val="es-ES_tradnl"/>
        </w:rPr>
        <w:t>umbre en perjuicio de los familiares de Jorge Darwin García sobre si el resultado de proceso penal puede ser modificado</w:t>
      </w:r>
      <w:r w:rsidR="000F5550" w:rsidRPr="00732F0C">
        <w:rPr>
          <w:rFonts w:ascii="Cambria" w:hAnsi="Cambria"/>
          <w:sz w:val="20"/>
          <w:szCs w:val="20"/>
          <w:lang w:val="es-ES_tradnl"/>
        </w:rPr>
        <w:t>.</w:t>
      </w:r>
    </w:p>
    <w:p w:rsidR="005D1963" w:rsidRPr="00732F0C" w:rsidRDefault="005D1963" w:rsidP="00842D6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sz w:val="20"/>
          <w:szCs w:val="20"/>
          <w:lang w:val="es-ES"/>
        </w:rPr>
      </w:pPr>
    </w:p>
    <w:p w:rsidR="005D1963" w:rsidRPr="00732F0C" w:rsidRDefault="005D1963" w:rsidP="00842D6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ES"/>
        </w:rPr>
      </w:pPr>
      <w:r w:rsidRPr="00732F0C">
        <w:rPr>
          <w:rFonts w:ascii="Cambria" w:hAnsi="Cambria"/>
          <w:sz w:val="20"/>
          <w:szCs w:val="20"/>
          <w:lang w:val="es-ES_tradnl"/>
        </w:rPr>
        <w:t>En consecuencia, la</w:t>
      </w:r>
      <w:r w:rsidR="00F90C73" w:rsidRPr="00732F0C">
        <w:rPr>
          <w:rFonts w:ascii="Cambria" w:hAnsi="Cambria"/>
          <w:sz w:val="20"/>
          <w:szCs w:val="20"/>
          <w:lang w:val="es-ES_tradnl"/>
        </w:rPr>
        <w:t xml:space="preserve"> Comisión concluye que el Estado violó los derechos a las garantías judiciales y </w:t>
      </w:r>
      <w:proofErr w:type="gramStart"/>
      <w:r w:rsidR="00F90C73" w:rsidRPr="00732F0C">
        <w:rPr>
          <w:rFonts w:ascii="Cambria" w:hAnsi="Cambria"/>
          <w:sz w:val="20"/>
          <w:szCs w:val="20"/>
          <w:lang w:val="es-ES_tradnl"/>
        </w:rPr>
        <w:t>protección judicial establecidos</w:t>
      </w:r>
      <w:proofErr w:type="gramEnd"/>
      <w:r w:rsidR="00F90C73" w:rsidRPr="00732F0C">
        <w:rPr>
          <w:rFonts w:ascii="Cambria" w:hAnsi="Cambria"/>
          <w:sz w:val="20"/>
          <w:szCs w:val="20"/>
          <w:lang w:val="es-ES_tradnl"/>
        </w:rPr>
        <w:t xml:space="preserve"> en los artículos 8.1 y 25.1 de la Convención</w:t>
      </w:r>
      <w:r w:rsidR="00BD1450" w:rsidRPr="00732F0C">
        <w:rPr>
          <w:rFonts w:ascii="Cambria" w:hAnsi="Cambria"/>
          <w:sz w:val="20"/>
          <w:szCs w:val="20"/>
          <w:lang w:val="es-ES_tradnl"/>
        </w:rPr>
        <w:t xml:space="preserve"> en relación con las obligaciones establecidas en el artículo 1.1 del mismo instrumento, </w:t>
      </w:r>
      <w:r w:rsidR="00F90C73" w:rsidRPr="00732F0C">
        <w:rPr>
          <w:rFonts w:ascii="Cambria" w:hAnsi="Cambria"/>
          <w:sz w:val="20"/>
          <w:szCs w:val="20"/>
          <w:lang w:val="es-ES_tradnl"/>
        </w:rPr>
        <w:t>por el incumplimiento de la garantía de plazo razonable en per</w:t>
      </w:r>
      <w:r w:rsidR="000F5550" w:rsidRPr="00732F0C">
        <w:rPr>
          <w:rFonts w:ascii="Cambria" w:hAnsi="Cambria"/>
          <w:sz w:val="20"/>
          <w:szCs w:val="20"/>
          <w:lang w:val="es-ES_tradnl"/>
        </w:rPr>
        <w:t xml:space="preserve">juicio de </w:t>
      </w:r>
      <w:r w:rsidR="000F5550" w:rsidRPr="00732F0C">
        <w:rPr>
          <w:rFonts w:ascii="Cambria" w:hAnsi="Cambria" w:cs="Arial"/>
          <w:sz w:val="20"/>
          <w:szCs w:val="20"/>
          <w:lang w:val="es-ES"/>
        </w:rPr>
        <w:t>Franklin Plutarco y sus familiares.</w:t>
      </w:r>
    </w:p>
    <w:p w:rsidR="00CA3FD9" w:rsidRPr="00732F0C" w:rsidRDefault="00A24688" w:rsidP="00842D6E">
      <w:pPr>
        <w:tabs>
          <w:tab w:val="num" w:pos="1440"/>
        </w:tabs>
        <w:ind w:hanging="2340"/>
        <w:jc w:val="both"/>
        <w:rPr>
          <w:rFonts w:ascii="Cambria" w:hAnsi="Cambria"/>
          <w:sz w:val="20"/>
          <w:szCs w:val="20"/>
          <w:lang w:val="es-ES_tradnl"/>
        </w:rPr>
      </w:pPr>
      <w:r w:rsidRPr="00732F0C">
        <w:rPr>
          <w:rFonts w:ascii="Cambria" w:hAnsi="Cambria"/>
          <w:sz w:val="20"/>
          <w:szCs w:val="20"/>
          <w:lang w:val="es-ES_tradnl"/>
        </w:rPr>
        <w:t>´</w:t>
      </w:r>
      <w:proofErr w:type="spellStart"/>
      <w:r w:rsidRPr="00732F0C">
        <w:rPr>
          <w:rFonts w:ascii="Cambria" w:hAnsi="Cambria"/>
          <w:sz w:val="20"/>
          <w:szCs w:val="20"/>
          <w:lang w:val="es-ES_tradnl"/>
        </w:rPr>
        <w:t>ññllll</w:t>
      </w:r>
      <w:proofErr w:type="spellEnd"/>
    </w:p>
    <w:p w:rsidR="00982DD0" w:rsidRPr="0035594E" w:rsidRDefault="00982DD0" w:rsidP="00982DD0">
      <w:pPr>
        <w:pStyle w:val="Heading1"/>
        <w:ind w:firstLine="0"/>
        <w:jc w:val="both"/>
      </w:pPr>
      <w:bookmarkStart w:id="35" w:name="_Toc529792405"/>
      <w:r w:rsidRPr="0035594E">
        <w:lastRenderedPageBreak/>
        <w:t>ACTUACIONES POSTERIORES AL INFORME No. 42/15</w:t>
      </w:r>
      <w:bookmarkEnd w:id="35"/>
    </w:p>
    <w:p w:rsidR="00982DD0" w:rsidRPr="0035594E" w:rsidRDefault="00982DD0" w:rsidP="00982DD0">
      <w:pPr>
        <w:pStyle w:val="Heading1"/>
        <w:numPr>
          <w:ilvl w:val="0"/>
          <w:numId w:val="0"/>
        </w:numPr>
        <w:ind w:left="1440"/>
        <w:jc w:val="both"/>
      </w:pPr>
    </w:p>
    <w:bookmarkEnd w:id="14"/>
    <w:p w:rsidR="00982DD0" w:rsidRPr="0035594E" w:rsidRDefault="00982DD0" w:rsidP="00982DD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cs="Arial"/>
          <w:sz w:val="20"/>
          <w:szCs w:val="20"/>
          <w:lang w:val="es-ES"/>
        </w:rPr>
      </w:pPr>
      <w:r w:rsidRPr="0035594E">
        <w:rPr>
          <w:rFonts w:ascii="Cambria" w:hAnsi="Cambria"/>
          <w:sz w:val="20"/>
          <w:szCs w:val="20"/>
          <w:lang w:val="es-ES"/>
        </w:rPr>
        <w:t>La</w:t>
      </w:r>
      <w:r w:rsidRPr="0035594E">
        <w:rPr>
          <w:rFonts w:ascii="Cambria" w:hAnsi="Cambria" w:cs="Verdana"/>
          <w:sz w:val="20"/>
          <w:szCs w:val="20"/>
          <w:lang w:val="es-ES" w:bidi="en-US"/>
        </w:rPr>
        <w:t xml:space="preserve"> Comisión adoptó el informe de admisibilidad y fondo No. 42</w:t>
      </w:r>
      <w:r w:rsidRPr="0035594E">
        <w:rPr>
          <w:rFonts w:ascii="Cambria" w:hAnsi="Cambria"/>
          <w:sz w:val="20"/>
          <w:szCs w:val="20"/>
          <w:lang w:val="es-VE"/>
        </w:rPr>
        <w:t>/</w:t>
      </w:r>
      <w:r w:rsidRPr="0035594E">
        <w:rPr>
          <w:rFonts w:ascii="Cambria" w:hAnsi="Cambria" w:cs="Verdana"/>
          <w:sz w:val="20"/>
          <w:szCs w:val="20"/>
          <w:lang w:val="es-ES" w:bidi="en-US"/>
        </w:rPr>
        <w:t xml:space="preserve">15 el 28 de julio de 2015 y lo transmitió al Estado el </w:t>
      </w:r>
      <w:r w:rsidR="002E62E7" w:rsidRPr="0035594E">
        <w:rPr>
          <w:rFonts w:ascii="Cambria" w:hAnsi="Cambria" w:cs="Verdana"/>
          <w:sz w:val="20"/>
          <w:szCs w:val="20"/>
          <w:lang w:val="es-ES" w:bidi="en-US"/>
        </w:rPr>
        <w:t>21 de septiembre del mismo año</w:t>
      </w:r>
      <w:r w:rsidRPr="0035594E">
        <w:rPr>
          <w:rFonts w:ascii="Cambria" w:hAnsi="Cambria" w:cs="Verdana"/>
          <w:sz w:val="20"/>
          <w:szCs w:val="20"/>
          <w:lang w:val="es-ES" w:bidi="en-US"/>
        </w:rPr>
        <w:t>. En dicho informe la Comisión recomendó:</w:t>
      </w:r>
    </w:p>
    <w:p w:rsidR="0029397F" w:rsidRPr="0035594E" w:rsidRDefault="0029397F" w:rsidP="00982DD0">
      <w:pPr>
        <w:pStyle w:val="BodyText3"/>
        <w:spacing w:after="0"/>
        <w:jc w:val="both"/>
        <w:rPr>
          <w:rFonts w:ascii="Cambria" w:hAnsi="Cambria" w:cs="Arial"/>
          <w:b/>
          <w:sz w:val="20"/>
          <w:szCs w:val="20"/>
          <w:lang w:val="es-ES_tradnl"/>
        </w:rPr>
      </w:pPr>
    </w:p>
    <w:p w:rsidR="00C52858" w:rsidRPr="0035594E" w:rsidRDefault="00C52858" w:rsidP="00982DD0">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clear" w:pos="1980"/>
          <w:tab w:val="num" w:pos="1440"/>
        </w:tabs>
        <w:suppressAutoHyphens/>
        <w:ind w:left="1440" w:right="720" w:hanging="720"/>
        <w:jc w:val="both"/>
        <w:rPr>
          <w:rFonts w:ascii="Cambria" w:hAnsi="Cambria" w:cs="BookAntiqua"/>
          <w:sz w:val="20"/>
          <w:szCs w:val="20"/>
          <w:lang w:val="es-ES_tradnl"/>
        </w:rPr>
      </w:pPr>
      <w:r w:rsidRPr="0035594E">
        <w:rPr>
          <w:rFonts w:ascii="Cambria" w:hAnsi="Cambria"/>
          <w:sz w:val="20"/>
          <w:szCs w:val="20"/>
          <w:lang w:val="es-ES_tradnl"/>
        </w:rPr>
        <w:t xml:space="preserve">Reparar </w:t>
      </w:r>
      <w:r w:rsidR="00A9022C" w:rsidRPr="0035594E">
        <w:rPr>
          <w:rFonts w:ascii="Cambria" w:hAnsi="Cambria"/>
          <w:sz w:val="20"/>
          <w:szCs w:val="20"/>
          <w:lang w:val="es-ES_tradnl"/>
        </w:rPr>
        <w:t xml:space="preserve">integralmente las </w:t>
      </w:r>
      <w:r w:rsidRPr="0035594E">
        <w:rPr>
          <w:rFonts w:ascii="Cambria" w:hAnsi="Cambria"/>
          <w:sz w:val="20"/>
          <w:szCs w:val="20"/>
          <w:lang w:val="es-ES_tradnl"/>
        </w:rPr>
        <w:t>violaciones de derechos humanos declaradas en el presente informe</w:t>
      </w:r>
      <w:r w:rsidR="00A9022C" w:rsidRPr="0035594E">
        <w:rPr>
          <w:rFonts w:ascii="Cambria" w:hAnsi="Cambria"/>
          <w:sz w:val="20"/>
          <w:szCs w:val="20"/>
          <w:lang w:val="es-ES_tradnl"/>
        </w:rPr>
        <w:t>, incluyendo tanto</w:t>
      </w:r>
      <w:r w:rsidRPr="0035594E">
        <w:rPr>
          <w:rFonts w:ascii="Cambria" w:hAnsi="Cambria"/>
          <w:sz w:val="20"/>
          <w:szCs w:val="20"/>
          <w:lang w:val="es-ES_tradnl"/>
        </w:rPr>
        <w:t xml:space="preserve"> el aspecto material como moral. </w:t>
      </w:r>
    </w:p>
    <w:p w:rsidR="00C52858" w:rsidRPr="0035594E" w:rsidRDefault="00C52858" w:rsidP="00982DD0">
      <w:pPr>
        <w:tabs>
          <w:tab w:val="num" w:pos="0"/>
        </w:tabs>
        <w:autoSpaceDE w:val="0"/>
        <w:autoSpaceDN w:val="0"/>
        <w:adjustRightInd w:val="0"/>
        <w:ind w:right="720" w:firstLine="720"/>
        <w:jc w:val="both"/>
        <w:rPr>
          <w:rFonts w:ascii="Cambria" w:hAnsi="Cambria" w:cs="BookAntiqua"/>
          <w:sz w:val="20"/>
          <w:szCs w:val="20"/>
          <w:lang w:val="es-ES_tradnl"/>
        </w:rPr>
      </w:pPr>
    </w:p>
    <w:p w:rsidR="00C52858" w:rsidRPr="0035594E" w:rsidRDefault="00C52858" w:rsidP="00982DD0">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clear" w:pos="1980"/>
          <w:tab w:val="num" w:pos="1440"/>
        </w:tabs>
        <w:suppressAutoHyphens/>
        <w:ind w:left="1440" w:right="720" w:hanging="720"/>
        <w:jc w:val="both"/>
        <w:rPr>
          <w:rFonts w:ascii="Cambria" w:hAnsi="Cambria" w:cs="BookAntiqua"/>
          <w:sz w:val="20"/>
          <w:szCs w:val="20"/>
          <w:lang w:val="es-ES_tradnl"/>
        </w:rPr>
      </w:pPr>
      <w:r w:rsidRPr="0035594E">
        <w:rPr>
          <w:rFonts w:ascii="Cambria" w:hAnsi="Cambria" w:cs="BookAntiqua"/>
          <w:sz w:val="20"/>
          <w:szCs w:val="20"/>
          <w:lang w:val="es-ES_tradnl"/>
        </w:rPr>
        <w:t xml:space="preserve">Disponer mecanismos de no repetición que incluyan: i) programas de capacitación sobre los estándares internacionales de derechos humanos en general, dirigidos a la Policía Nacional; ii) medidas para asegurar la efectiva rendición de cuentas en el fuero penal, disciplinario o administrativo, en casos de presunto abuso de poder por parte de agentes del Estado a cargo de la seguridad pública; y iii) medidas legislativas, administrativas y de otra índole para investigar con la debida diligencia y de conformidad con los estándares internacionales relevantes, la necesidad y proporcionalidad del uso letal de la fuerza por parte de funcionarios policiales, de manera que existan protocolos eficaces que permitan implementar mecanismos adecuados de control y rendición de cuentas frente al actuar de dichos funcionarios. </w:t>
      </w:r>
    </w:p>
    <w:p w:rsidR="0029397F" w:rsidRPr="0035594E" w:rsidRDefault="0029397F" w:rsidP="00C33CE5">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Cambria" w:hAnsi="Cambria" w:cs="BookAntiqua"/>
          <w:sz w:val="20"/>
          <w:szCs w:val="20"/>
          <w:lang w:val="es-ES_tradnl"/>
        </w:rPr>
      </w:pPr>
    </w:p>
    <w:p w:rsidR="002E62E7" w:rsidRPr="0035594E" w:rsidRDefault="002E62E7" w:rsidP="002E62E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cs="Verdana"/>
          <w:sz w:val="20"/>
          <w:szCs w:val="20"/>
          <w:lang w:val="es-ES" w:bidi="en-US"/>
        </w:rPr>
      </w:pPr>
      <w:r w:rsidRPr="0035594E">
        <w:rPr>
          <w:rFonts w:ascii="Cambria" w:hAnsi="Cambria" w:cs="Verdana"/>
          <w:sz w:val="20"/>
          <w:szCs w:val="20"/>
          <w:lang w:val="es-ES" w:bidi="en-US"/>
        </w:rPr>
        <w:t>En el trámite seguido con posterioridad a la notificación del informe de admisibilidad y fondo, la Comisión recibió varios informes del Estado y escritos de la parte peticionaria sobre el cumplimiento de las recomendaciones establecidas por la CIDH. Durante este periodo la Comisión otorgó un total de diez prórrogas al Estado para la suspensión del plazo previsto en el artículo 51 de la Convención Americana. En dichas solicitudes de prórroga el Estado ecuatoriano</w:t>
      </w:r>
      <w:r w:rsidR="002536A1" w:rsidRPr="0035594E">
        <w:rPr>
          <w:rFonts w:ascii="Cambria" w:hAnsi="Cambria" w:cs="Verdana"/>
          <w:sz w:val="20"/>
          <w:szCs w:val="20"/>
          <w:lang w:val="es-ES" w:bidi="en-US"/>
        </w:rPr>
        <w:t xml:space="preserve"> reiteró su voluntad de c</w:t>
      </w:r>
      <w:r w:rsidR="00D060AD">
        <w:rPr>
          <w:rFonts w:ascii="Cambria" w:hAnsi="Cambria" w:cs="Verdana"/>
          <w:sz w:val="20"/>
          <w:szCs w:val="20"/>
          <w:lang w:val="es-ES" w:bidi="en-US"/>
        </w:rPr>
        <w:t xml:space="preserve">umplir con las recomendaciones. </w:t>
      </w:r>
      <w:r w:rsidR="002536A1" w:rsidRPr="0035594E">
        <w:rPr>
          <w:rFonts w:ascii="Cambria" w:hAnsi="Cambria" w:cs="Verdana"/>
          <w:sz w:val="20"/>
          <w:szCs w:val="20"/>
          <w:lang w:val="es-ES" w:bidi="en-US"/>
        </w:rPr>
        <w:t>Asimismo,</w:t>
      </w:r>
      <w:r w:rsidRPr="0035594E">
        <w:rPr>
          <w:rFonts w:ascii="Cambria" w:hAnsi="Cambria" w:cs="Verdana"/>
          <w:sz w:val="20"/>
          <w:szCs w:val="20"/>
          <w:lang w:val="es-ES" w:bidi="en-US"/>
        </w:rPr>
        <w:t xml:space="preserve"> renunció expresamente a interponer excepciones preliminares por incumplimiento del referido plazo en la eventualidad de que el caso fuera sometido a la Corte Interamericana.</w:t>
      </w:r>
    </w:p>
    <w:p w:rsidR="000C6739" w:rsidRPr="0035594E" w:rsidRDefault="000C6739" w:rsidP="00D060AD">
      <w:pPr>
        <w:pStyle w:val="ListParagraph"/>
        <w:ind w:left="0"/>
        <w:rPr>
          <w:rFonts w:cs="Verdana"/>
          <w:sz w:val="20"/>
          <w:szCs w:val="20"/>
          <w:lang w:val="es-ES" w:bidi="en-US"/>
        </w:rPr>
      </w:pPr>
    </w:p>
    <w:p w:rsidR="002E62E7" w:rsidRPr="00360085" w:rsidRDefault="002E62E7" w:rsidP="002E62E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cs="Verdana"/>
          <w:sz w:val="20"/>
          <w:szCs w:val="20"/>
          <w:lang w:val="es-ES" w:bidi="en-US"/>
        </w:rPr>
      </w:pPr>
      <w:r w:rsidRPr="00360085">
        <w:rPr>
          <w:rFonts w:ascii="Cambria" w:hAnsi="Cambria" w:cs="Verdana"/>
          <w:sz w:val="20"/>
          <w:szCs w:val="20"/>
          <w:lang w:val="es-ES" w:bidi="en-US"/>
        </w:rPr>
        <w:t xml:space="preserve">Tras evaluar la información disponible sobre el estado de cumplimiento de las recomendaciones, la Comisión decidió el 21 de febrero de 2018 por mayoría absoluta no enviar el caso a la Corte Interamericana y proceder hacia la publicación del informe de admisibilidad y fondo. </w:t>
      </w:r>
    </w:p>
    <w:p w:rsidR="002E62E7" w:rsidRPr="00360085" w:rsidRDefault="002E62E7" w:rsidP="002E62E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cs="BookAntiqua"/>
          <w:sz w:val="20"/>
          <w:szCs w:val="20"/>
          <w:lang w:val="es-ES_tradnl"/>
        </w:rPr>
      </w:pPr>
    </w:p>
    <w:p w:rsidR="00E935B6" w:rsidRPr="00360085" w:rsidRDefault="00E935B6" w:rsidP="00E935B6">
      <w:pPr>
        <w:pStyle w:val="Heading1"/>
        <w:ind w:firstLine="0"/>
        <w:jc w:val="both"/>
      </w:pPr>
      <w:bookmarkStart w:id="36" w:name="_Toc529792406"/>
      <w:bookmarkStart w:id="37" w:name="_Toc433385290"/>
      <w:bookmarkStart w:id="38" w:name="_Toc433804573"/>
      <w:bookmarkStart w:id="39" w:name="_Toc467143215"/>
      <w:r w:rsidRPr="00360085">
        <w:t>ACTUACIONES POSTERIORES AL INFORME No. 69/18</w:t>
      </w:r>
      <w:bookmarkEnd w:id="36"/>
    </w:p>
    <w:p w:rsidR="00E935B6" w:rsidRPr="00360085" w:rsidRDefault="00E935B6" w:rsidP="00E935B6">
      <w:pPr>
        <w:pStyle w:val="Heading1"/>
        <w:numPr>
          <w:ilvl w:val="0"/>
          <w:numId w:val="0"/>
        </w:numPr>
        <w:ind w:left="1440"/>
        <w:jc w:val="both"/>
      </w:pPr>
    </w:p>
    <w:p w:rsidR="00E935B6" w:rsidRPr="00360085" w:rsidRDefault="00E935B6" w:rsidP="00FE669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pacing w:val="-3"/>
          <w:sz w:val="20"/>
          <w:szCs w:val="20"/>
          <w:lang w:val="es-ES"/>
        </w:rPr>
      </w:pPr>
      <w:r w:rsidRPr="00360085">
        <w:rPr>
          <w:rFonts w:ascii="Cambria" w:hAnsi="Cambria"/>
          <w:sz w:val="20"/>
          <w:szCs w:val="20"/>
          <w:lang w:val="es-ES"/>
        </w:rPr>
        <w:t>La Comisión aprobó el informe No. 69/18 el 10 de mayo de 2018</w:t>
      </w:r>
      <w:r w:rsidR="00FE6693" w:rsidRPr="00360085">
        <w:rPr>
          <w:rFonts w:ascii="Cambria" w:hAnsi="Cambria"/>
          <w:sz w:val="20"/>
          <w:szCs w:val="20"/>
          <w:lang w:val="es-ES"/>
        </w:rPr>
        <w:t xml:space="preserve">. </w:t>
      </w:r>
      <w:r w:rsidR="00FE6693" w:rsidRPr="00360085">
        <w:rPr>
          <w:rFonts w:ascii="Cambria" w:hAnsi="Cambria"/>
          <w:spacing w:val="-3"/>
          <w:sz w:val="20"/>
          <w:szCs w:val="20"/>
          <w:lang w:val="es-ES"/>
        </w:rPr>
        <w:t>En dicho inform</w:t>
      </w:r>
      <w:r w:rsidR="00741530" w:rsidRPr="00360085">
        <w:rPr>
          <w:rFonts w:ascii="Cambria" w:hAnsi="Cambria"/>
          <w:spacing w:val="-3"/>
          <w:sz w:val="20"/>
          <w:szCs w:val="20"/>
          <w:lang w:val="es-ES"/>
        </w:rPr>
        <w:t>e</w:t>
      </w:r>
      <w:r w:rsidR="00FE6693" w:rsidRPr="00360085">
        <w:rPr>
          <w:rFonts w:ascii="Cambria" w:hAnsi="Cambria"/>
          <w:spacing w:val="-3"/>
          <w:sz w:val="20"/>
          <w:szCs w:val="20"/>
          <w:lang w:val="es-ES"/>
        </w:rPr>
        <w:t xml:space="preserve"> la Comisión consideró que el Estado dio cumplimiento total a la primera recomendación. Ello en tanto </w:t>
      </w:r>
      <w:r w:rsidR="00FE6693" w:rsidRPr="00360085">
        <w:rPr>
          <w:rFonts w:ascii="Cambria" w:hAnsi="Cambria" w:cs="Verdana"/>
          <w:sz w:val="20"/>
          <w:szCs w:val="20"/>
          <w:lang w:val="es-ES" w:bidi="en-US"/>
        </w:rPr>
        <w:t xml:space="preserve">el Estado informó que se realizó una propuesta de indemnización, la cual fue aceptada por la parte peticionaria. Ecuador agregó que el monto de la indemnización se hizo efectivo en febrero de 2018 y la parte peticionaria confirmó dicha información. En vista de ello, en su informe </w:t>
      </w:r>
      <w:r w:rsidR="00FE6693" w:rsidRPr="00360085">
        <w:rPr>
          <w:rFonts w:ascii="Cambria" w:hAnsi="Cambria"/>
          <w:spacing w:val="-3"/>
          <w:sz w:val="20"/>
          <w:szCs w:val="20"/>
          <w:lang w:val="es-ES"/>
        </w:rPr>
        <w:t xml:space="preserve">la CIDH </w:t>
      </w:r>
      <w:r w:rsidRPr="00360085">
        <w:rPr>
          <w:rFonts w:ascii="Cambria" w:hAnsi="Cambria"/>
          <w:sz w:val="20"/>
          <w:szCs w:val="20"/>
          <w:lang w:val="es-ES"/>
        </w:rPr>
        <w:t>reiter</w:t>
      </w:r>
      <w:r w:rsidR="00FE6693" w:rsidRPr="00360085">
        <w:rPr>
          <w:rFonts w:ascii="Cambria" w:hAnsi="Cambria"/>
          <w:sz w:val="20"/>
          <w:szCs w:val="20"/>
          <w:lang w:val="es-ES"/>
        </w:rPr>
        <w:t>ó</w:t>
      </w:r>
      <w:r w:rsidRPr="00360085">
        <w:rPr>
          <w:rFonts w:ascii="Cambria" w:hAnsi="Cambria"/>
          <w:sz w:val="20"/>
          <w:szCs w:val="20"/>
          <w:lang w:val="es-ES"/>
        </w:rPr>
        <w:t xml:space="preserve"> una recomendaci</w:t>
      </w:r>
      <w:r w:rsidR="00FE6693" w:rsidRPr="00360085">
        <w:rPr>
          <w:rFonts w:ascii="Cambria" w:hAnsi="Cambria"/>
          <w:sz w:val="20"/>
          <w:szCs w:val="20"/>
          <w:lang w:val="es-ES"/>
        </w:rPr>
        <w:t xml:space="preserve">ón </w:t>
      </w:r>
      <w:r w:rsidRPr="00360085">
        <w:rPr>
          <w:rFonts w:ascii="Cambria" w:hAnsi="Cambria"/>
          <w:sz w:val="20"/>
          <w:szCs w:val="20"/>
          <w:lang w:val="es-ES"/>
        </w:rPr>
        <w:t>contenida en el informe No. 42/15:</w:t>
      </w:r>
    </w:p>
    <w:p w:rsidR="00E935B6" w:rsidRPr="00360085" w:rsidRDefault="00E935B6" w:rsidP="00E935B6">
      <w:pPr>
        <w:tabs>
          <w:tab w:val="num" w:pos="0"/>
        </w:tabs>
        <w:autoSpaceDE w:val="0"/>
        <w:autoSpaceDN w:val="0"/>
        <w:adjustRightInd w:val="0"/>
        <w:ind w:right="720"/>
        <w:jc w:val="both"/>
        <w:rPr>
          <w:rFonts w:ascii="Cambria" w:hAnsi="Cambria" w:cs="BookAntiqua"/>
          <w:sz w:val="20"/>
          <w:szCs w:val="20"/>
          <w:lang w:val="es-ES_tradnl"/>
        </w:rPr>
      </w:pPr>
    </w:p>
    <w:p w:rsidR="00E935B6" w:rsidRPr="00360085" w:rsidRDefault="00E935B6" w:rsidP="00E935B6">
      <w:pPr>
        <w:numPr>
          <w:ilvl w:val="6"/>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5400"/>
          <w:tab w:val="num" w:pos="1440"/>
        </w:tabs>
        <w:suppressAutoHyphens/>
        <w:ind w:left="1440" w:right="720" w:hanging="720"/>
        <w:jc w:val="both"/>
        <w:rPr>
          <w:rFonts w:ascii="Cambria" w:hAnsi="Cambria" w:cs="BookAntiqua"/>
          <w:sz w:val="20"/>
          <w:szCs w:val="20"/>
          <w:lang w:val="es-ES_tradnl"/>
        </w:rPr>
      </w:pPr>
      <w:r w:rsidRPr="00360085">
        <w:rPr>
          <w:rFonts w:ascii="Cambria" w:hAnsi="Cambria" w:cs="BookAntiqua"/>
          <w:sz w:val="20"/>
          <w:szCs w:val="20"/>
          <w:lang w:val="es-ES_tradnl"/>
        </w:rPr>
        <w:t xml:space="preserve">Disponer mecanismos de no repetición que incluyan: i) programas de capacitación sobre los estándares internacionales de derechos humanos en general, dirigidos a la Policía Nacional; ii) medidas para asegurar la efectiva rendición de cuentas en el fuero penal, disciplinario o administrativo, en casos de presunto abuso de poder por parte de agentes del Estado a cargo de la seguridad pública; y iii) medidas legislativas, administrativas y de otra índole para investigar con la debida diligencia y de conformidad con los estándares internacionales relevantes, la necesidad y proporcionalidad del uso letal de la fuerza por parte de funcionarios policiales, de manera que existan protocolos eficaces que permitan implementar mecanismos adecuados de control y rendición de cuentas frente al actuar de dichos funcionarios. </w:t>
      </w:r>
    </w:p>
    <w:p w:rsidR="00E935B6" w:rsidRPr="00360085" w:rsidRDefault="00E935B6" w:rsidP="00E935B6">
      <w:pPr>
        <w:rPr>
          <w:lang w:val="es-ES_tradnl"/>
        </w:rPr>
      </w:pPr>
    </w:p>
    <w:p w:rsidR="00E935B6" w:rsidRPr="00360085" w:rsidRDefault="00E935B6" w:rsidP="00E935B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ind w:left="0" w:firstLine="720"/>
        <w:jc w:val="both"/>
        <w:rPr>
          <w:lang w:val="es-ES"/>
        </w:rPr>
      </w:pPr>
      <w:r w:rsidRPr="00360085">
        <w:rPr>
          <w:rFonts w:ascii="Cambria" w:hAnsi="Cambria"/>
          <w:sz w:val="20"/>
          <w:szCs w:val="20"/>
          <w:lang w:val="es-AR"/>
        </w:rPr>
        <w:t>Dicho informe fue notificado a las partes el 21 de agosto de 2018 y, con base en el artículo 51 de la Convención Americana, la CIDH les otorgó un plazo de un mes para presentar informació</w:t>
      </w:r>
      <w:r w:rsidR="00FE6693" w:rsidRPr="00360085">
        <w:rPr>
          <w:rFonts w:ascii="Cambria" w:hAnsi="Cambria"/>
          <w:sz w:val="20"/>
          <w:szCs w:val="20"/>
          <w:lang w:val="es-AR"/>
        </w:rPr>
        <w:t>n acerca del cumplimiento de la</w:t>
      </w:r>
      <w:r w:rsidRPr="00360085">
        <w:rPr>
          <w:rFonts w:ascii="Cambria" w:hAnsi="Cambria"/>
          <w:sz w:val="20"/>
          <w:szCs w:val="20"/>
          <w:lang w:val="es-AR"/>
        </w:rPr>
        <w:t xml:space="preserve"> recomendaci</w:t>
      </w:r>
      <w:r w:rsidR="00FE6693" w:rsidRPr="00360085">
        <w:rPr>
          <w:rFonts w:ascii="Cambria" w:hAnsi="Cambria"/>
          <w:sz w:val="20"/>
          <w:szCs w:val="20"/>
          <w:lang w:val="es-AR"/>
        </w:rPr>
        <w:t>ón final</w:t>
      </w:r>
      <w:r w:rsidRPr="00360085">
        <w:rPr>
          <w:rFonts w:ascii="Cambria" w:hAnsi="Cambria"/>
          <w:sz w:val="20"/>
          <w:szCs w:val="20"/>
          <w:lang w:val="es-AR"/>
        </w:rPr>
        <w:t xml:space="preserve"> contenidas en el mismo. La Comisión nota que las partes no presentaron información con posterioridad a la emisión del informe No. </w:t>
      </w:r>
      <w:r w:rsidR="00D060AD" w:rsidRPr="00360085">
        <w:rPr>
          <w:rFonts w:ascii="Cambria" w:hAnsi="Cambria"/>
          <w:sz w:val="20"/>
          <w:szCs w:val="20"/>
          <w:lang w:val="es-AR"/>
        </w:rPr>
        <w:t>69/18</w:t>
      </w:r>
      <w:r w:rsidRPr="00360085">
        <w:rPr>
          <w:rFonts w:ascii="Cambria" w:hAnsi="Cambria"/>
          <w:sz w:val="20"/>
          <w:szCs w:val="20"/>
          <w:lang w:val="es-AR"/>
        </w:rPr>
        <w:t xml:space="preserve">. </w:t>
      </w:r>
      <w:r w:rsidRPr="00360085">
        <w:rPr>
          <w:rFonts w:ascii="Cambria" w:hAnsi="Cambria" w:cs="Verdana"/>
          <w:sz w:val="20"/>
          <w:szCs w:val="20"/>
          <w:lang w:val="es-ES" w:bidi="en-US"/>
        </w:rPr>
        <w:t xml:space="preserve">En la sección que se incluye a </w:t>
      </w:r>
      <w:r w:rsidRPr="00360085">
        <w:rPr>
          <w:rFonts w:ascii="Cambria" w:hAnsi="Cambria" w:cs="Verdana"/>
          <w:sz w:val="20"/>
          <w:szCs w:val="20"/>
          <w:lang w:val="es-ES" w:bidi="en-US"/>
        </w:rPr>
        <w:lastRenderedPageBreak/>
        <w:t>continuación, la Comisión reitera sus determinaciones efectuadas anteriormente sobre el cumplimiento de sus recomendaciones.</w:t>
      </w:r>
    </w:p>
    <w:p w:rsidR="00E935B6" w:rsidRPr="00360085" w:rsidRDefault="00E935B6" w:rsidP="00E935B6">
      <w:pPr>
        <w:rPr>
          <w:lang w:val="es-ES_tradnl"/>
        </w:rPr>
      </w:pPr>
    </w:p>
    <w:p w:rsidR="00982DD0" w:rsidRPr="00360085" w:rsidRDefault="00982DD0" w:rsidP="00982DD0">
      <w:pPr>
        <w:pStyle w:val="Heading1"/>
        <w:ind w:left="1440" w:hanging="720"/>
        <w:jc w:val="both"/>
      </w:pPr>
      <w:bookmarkStart w:id="40" w:name="_Toc529792407"/>
      <w:r w:rsidRPr="00360085">
        <w:t>ANÁLISIS DEL CUMPLIMIENTO DE RECOMENDACIONES</w:t>
      </w:r>
      <w:bookmarkEnd w:id="37"/>
      <w:bookmarkEnd w:id="38"/>
      <w:bookmarkEnd w:id="39"/>
      <w:bookmarkEnd w:id="40"/>
      <w:r w:rsidRPr="00360085">
        <w:t xml:space="preserve"> </w:t>
      </w:r>
    </w:p>
    <w:p w:rsidR="00982DD0" w:rsidRPr="00360085" w:rsidRDefault="00982DD0" w:rsidP="00982DD0">
      <w:pPr>
        <w:rPr>
          <w:lang w:val="es-ES_tradnl"/>
        </w:rPr>
      </w:pPr>
    </w:p>
    <w:p w:rsidR="00645C3D" w:rsidRPr="00360085" w:rsidRDefault="00645C3D" w:rsidP="00645C3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pacing w:val="-3"/>
          <w:sz w:val="20"/>
          <w:szCs w:val="20"/>
          <w:lang w:val="es-ES"/>
        </w:rPr>
      </w:pPr>
      <w:r w:rsidRPr="00360085">
        <w:rPr>
          <w:rFonts w:ascii="Cambria" w:hAnsi="Cambria"/>
          <w:spacing w:val="-3"/>
          <w:sz w:val="20"/>
          <w:szCs w:val="20"/>
          <w:lang w:val="es-ES"/>
        </w:rPr>
        <w:t xml:space="preserve">La CIDH toma nota de que el 15 de noviembre de 2017 las partes firmaron un “Acuerdo de Cumplimiento Total” del informe de admisibilidad y fondo No.  42/15. </w:t>
      </w:r>
    </w:p>
    <w:p w:rsidR="00645C3D" w:rsidRPr="00360085" w:rsidRDefault="00645C3D" w:rsidP="00FE6693">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spacing w:val="-3"/>
          <w:sz w:val="20"/>
          <w:szCs w:val="20"/>
          <w:lang w:val="es-ES"/>
        </w:rPr>
      </w:pPr>
    </w:p>
    <w:p w:rsidR="00974742" w:rsidRPr="00360085" w:rsidRDefault="00687DB3" w:rsidP="0097474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CO"/>
        </w:rPr>
      </w:pPr>
      <w:r w:rsidRPr="00360085">
        <w:rPr>
          <w:rFonts w:ascii="Cambria" w:hAnsi="Cambria"/>
          <w:spacing w:val="-3"/>
          <w:sz w:val="20"/>
          <w:szCs w:val="20"/>
          <w:lang w:val="es-ES"/>
        </w:rPr>
        <w:t>Respecto de</w:t>
      </w:r>
      <w:r w:rsidR="00AA0074" w:rsidRPr="00360085">
        <w:rPr>
          <w:rFonts w:ascii="Cambria" w:hAnsi="Cambria"/>
          <w:spacing w:val="-3"/>
          <w:sz w:val="20"/>
          <w:szCs w:val="20"/>
          <w:lang w:val="es-ES"/>
        </w:rPr>
        <w:t xml:space="preserve"> la segunda recomendación, </w:t>
      </w:r>
      <w:r w:rsidRPr="00360085">
        <w:rPr>
          <w:rFonts w:ascii="Cambria" w:hAnsi="Cambria"/>
          <w:spacing w:val="-3"/>
          <w:sz w:val="20"/>
          <w:szCs w:val="20"/>
          <w:lang w:val="es-ES"/>
        </w:rPr>
        <w:t>el Estado indicó</w:t>
      </w:r>
      <w:r w:rsidR="00645C3D" w:rsidRPr="00360085">
        <w:rPr>
          <w:rFonts w:ascii="Cambria" w:hAnsi="Cambria"/>
          <w:spacing w:val="-3"/>
          <w:sz w:val="20"/>
          <w:szCs w:val="20"/>
          <w:lang w:val="es-ES"/>
        </w:rPr>
        <w:t xml:space="preserve"> que </w:t>
      </w:r>
      <w:r w:rsidR="006404AD" w:rsidRPr="00360085">
        <w:rPr>
          <w:rFonts w:ascii="Cambria" w:hAnsi="Cambria"/>
          <w:spacing w:val="-3"/>
          <w:sz w:val="20"/>
          <w:szCs w:val="20"/>
          <w:lang w:val="es-ES"/>
        </w:rPr>
        <w:t xml:space="preserve">en los cursos </w:t>
      </w:r>
      <w:r w:rsidR="009433FB" w:rsidRPr="00360085">
        <w:rPr>
          <w:rFonts w:ascii="Cambria" w:hAnsi="Cambria"/>
          <w:sz w:val="20"/>
          <w:szCs w:val="20"/>
          <w:lang w:val="es-CO"/>
        </w:rPr>
        <w:t xml:space="preserve">“Estándares internacionales de derechos humanos” y “Código de ética policial” del programa de capacitación integral continua de la Policía Nacional </w:t>
      </w:r>
      <w:r w:rsidR="00483BC8" w:rsidRPr="00360085">
        <w:rPr>
          <w:rFonts w:ascii="Cambria" w:hAnsi="Cambria"/>
          <w:sz w:val="20"/>
          <w:szCs w:val="20"/>
          <w:lang w:val="es-CO"/>
        </w:rPr>
        <w:t>se in</w:t>
      </w:r>
      <w:r w:rsidR="002536A1" w:rsidRPr="00360085">
        <w:rPr>
          <w:rFonts w:ascii="Cambria" w:hAnsi="Cambria"/>
          <w:sz w:val="20"/>
          <w:szCs w:val="20"/>
          <w:lang w:val="es-CO"/>
        </w:rPr>
        <w:t>cluyó el estudio del informe de</w:t>
      </w:r>
      <w:r w:rsidR="00483BC8" w:rsidRPr="00360085">
        <w:rPr>
          <w:rFonts w:ascii="Cambria" w:hAnsi="Cambria"/>
          <w:spacing w:val="-3"/>
          <w:sz w:val="20"/>
          <w:szCs w:val="20"/>
          <w:lang w:val="es-ES"/>
        </w:rPr>
        <w:t xml:space="preserve"> admisibilidad y fondo No.  42/15. Agregó que el Reglamento de uso legal, adecuado y proporcional de la fuerza para la Policía Nacional, y el Reglamento </w:t>
      </w:r>
      <w:r w:rsidR="00974742" w:rsidRPr="00360085">
        <w:rPr>
          <w:rFonts w:ascii="Cambria" w:hAnsi="Cambria"/>
          <w:spacing w:val="-3"/>
          <w:sz w:val="20"/>
          <w:szCs w:val="20"/>
          <w:lang w:val="es-ES"/>
        </w:rPr>
        <w:t>d</w:t>
      </w:r>
      <w:r w:rsidR="00483BC8" w:rsidRPr="00360085">
        <w:rPr>
          <w:rFonts w:ascii="Cambria" w:hAnsi="Cambria"/>
          <w:spacing w:val="-3"/>
          <w:sz w:val="20"/>
          <w:szCs w:val="20"/>
          <w:lang w:val="es-ES"/>
        </w:rPr>
        <w:t xml:space="preserve">isciplinario de la Policía Nacional </w:t>
      </w:r>
      <w:r w:rsidR="007C23EA" w:rsidRPr="00360085">
        <w:rPr>
          <w:rFonts w:ascii="Cambria" w:hAnsi="Cambria"/>
          <w:spacing w:val="-3"/>
          <w:sz w:val="20"/>
          <w:szCs w:val="20"/>
          <w:lang w:val="es-ES"/>
        </w:rPr>
        <w:t xml:space="preserve">cumplen con la recomendación de la CIDH. </w:t>
      </w:r>
      <w:r w:rsidR="00974742" w:rsidRPr="00360085">
        <w:rPr>
          <w:rFonts w:ascii="Cambria" w:hAnsi="Cambria"/>
          <w:sz w:val="20"/>
          <w:szCs w:val="20"/>
          <w:lang w:val="es-CO"/>
        </w:rPr>
        <w:t>Por su parte, la parte peticionaria sostuvo que “la familia de Jorge Darwin está de acuerdo con las acciones que se encuentra desarrollando el Estado a fin de dar estricto cumplimiento” a esta recomendación.</w:t>
      </w:r>
    </w:p>
    <w:p w:rsidR="00974742" w:rsidRPr="00360085" w:rsidRDefault="00974742" w:rsidP="00483BC8">
      <w:pPr>
        <w:pStyle w:val="ListParagraph"/>
        <w:ind w:left="0"/>
        <w:rPr>
          <w:sz w:val="20"/>
          <w:szCs w:val="20"/>
          <w:lang w:val="es-CO"/>
        </w:rPr>
      </w:pPr>
    </w:p>
    <w:p w:rsidR="00974742" w:rsidRPr="00360085" w:rsidRDefault="006364D7" w:rsidP="007C23E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lang w:val="es-ES"/>
        </w:rPr>
      </w:pPr>
      <w:r w:rsidRPr="00360085">
        <w:rPr>
          <w:rFonts w:ascii="Cambria" w:hAnsi="Cambria"/>
          <w:sz w:val="20"/>
          <w:szCs w:val="20"/>
          <w:lang w:val="es-CO"/>
        </w:rPr>
        <w:t>Al respecto, la Comisión valora las medidas implementadas por el Estado ecuatoriano</w:t>
      </w:r>
      <w:r w:rsidR="00974742" w:rsidRPr="00360085">
        <w:rPr>
          <w:rFonts w:ascii="Cambria" w:hAnsi="Cambria"/>
          <w:sz w:val="20"/>
          <w:szCs w:val="20"/>
          <w:lang w:val="es-CO"/>
        </w:rPr>
        <w:t xml:space="preserve">, en particular sobre la inclusión de los estándares del informe de </w:t>
      </w:r>
      <w:r w:rsidR="00974742" w:rsidRPr="00360085">
        <w:rPr>
          <w:rFonts w:ascii="Cambria" w:hAnsi="Cambria"/>
          <w:spacing w:val="-3"/>
          <w:sz w:val="20"/>
          <w:szCs w:val="20"/>
          <w:lang w:val="es-ES"/>
        </w:rPr>
        <w:t>de admisibilidad y fondo No.  42/15 en los cursos de capacitación permanente a miembros de la Policía Nacional</w:t>
      </w:r>
      <w:r w:rsidRPr="00360085">
        <w:rPr>
          <w:rFonts w:ascii="Cambria" w:hAnsi="Cambria"/>
          <w:sz w:val="20"/>
          <w:szCs w:val="20"/>
          <w:lang w:val="es-CO"/>
        </w:rPr>
        <w:t>.</w:t>
      </w:r>
      <w:r w:rsidR="00974742" w:rsidRPr="00360085">
        <w:rPr>
          <w:rFonts w:ascii="Cambria" w:hAnsi="Cambria"/>
          <w:sz w:val="20"/>
          <w:szCs w:val="20"/>
          <w:lang w:val="es-CO"/>
        </w:rPr>
        <w:t xml:space="preserve"> </w:t>
      </w:r>
      <w:r w:rsidR="009227AA" w:rsidRPr="00360085">
        <w:rPr>
          <w:rFonts w:ascii="Cambria" w:hAnsi="Cambria"/>
          <w:sz w:val="20"/>
          <w:szCs w:val="20"/>
          <w:lang w:val="es-CO"/>
        </w:rPr>
        <w:t xml:space="preserve">La Comisión espera recibir información más detallada sobre el impacto de las medidas de no repetición implementadas por el Estado ecuatoriano, </w:t>
      </w:r>
      <w:r w:rsidR="00B5103D" w:rsidRPr="00360085">
        <w:rPr>
          <w:rFonts w:ascii="Cambria" w:hAnsi="Cambria"/>
          <w:sz w:val="20"/>
          <w:szCs w:val="20"/>
          <w:lang w:val="es-CO"/>
        </w:rPr>
        <w:t xml:space="preserve">en relación con cada uno de los extremos de </w:t>
      </w:r>
      <w:r w:rsidR="00FE6693" w:rsidRPr="00360085">
        <w:rPr>
          <w:rFonts w:ascii="Cambria" w:hAnsi="Cambria"/>
          <w:sz w:val="20"/>
          <w:szCs w:val="20"/>
          <w:lang w:val="es-CO"/>
        </w:rPr>
        <w:t>esta</w:t>
      </w:r>
      <w:r w:rsidR="00B5103D" w:rsidRPr="00360085">
        <w:rPr>
          <w:rFonts w:ascii="Cambria" w:hAnsi="Cambria"/>
          <w:sz w:val="20"/>
          <w:szCs w:val="20"/>
          <w:lang w:val="es-CO"/>
        </w:rPr>
        <w:t xml:space="preserve"> recomendaci</w:t>
      </w:r>
      <w:r w:rsidR="00620BB7" w:rsidRPr="00360085">
        <w:rPr>
          <w:rFonts w:ascii="Cambria" w:hAnsi="Cambria"/>
          <w:sz w:val="20"/>
          <w:szCs w:val="20"/>
          <w:lang w:val="es-CO"/>
        </w:rPr>
        <w:t xml:space="preserve">ón. </w:t>
      </w:r>
    </w:p>
    <w:p w:rsidR="006364D7" w:rsidRPr="00360085" w:rsidRDefault="006364D7" w:rsidP="00982DD0">
      <w:pPr>
        <w:rPr>
          <w:lang w:val="es-ES"/>
        </w:rPr>
      </w:pPr>
    </w:p>
    <w:p w:rsidR="00982DD0" w:rsidRPr="00360085" w:rsidRDefault="00982DD0" w:rsidP="00982DD0">
      <w:pPr>
        <w:pStyle w:val="Heading1"/>
        <w:ind w:left="1440" w:hanging="720"/>
        <w:jc w:val="both"/>
      </w:pPr>
      <w:bookmarkStart w:id="41" w:name="_Toc529792408"/>
      <w:r w:rsidRPr="00360085">
        <w:t>CONCLUSIONES FINALES Y RECOMENDACIONES</w:t>
      </w:r>
      <w:bookmarkEnd w:id="41"/>
      <w:r w:rsidRPr="00360085">
        <w:t xml:space="preserve"> </w:t>
      </w:r>
    </w:p>
    <w:p w:rsidR="00982DD0" w:rsidRPr="00360085" w:rsidRDefault="00982DD0" w:rsidP="00982DD0">
      <w:pPr>
        <w:rPr>
          <w:lang w:val="es-ES_tradnl"/>
        </w:rPr>
      </w:pPr>
    </w:p>
    <w:p w:rsidR="00D060AD" w:rsidRPr="00360085" w:rsidRDefault="00687DB3" w:rsidP="00D060A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cs="Verdana"/>
          <w:sz w:val="20"/>
          <w:szCs w:val="20"/>
          <w:lang w:val="es-ES" w:bidi="en-US"/>
        </w:rPr>
      </w:pPr>
      <w:r w:rsidRPr="00360085">
        <w:rPr>
          <w:rFonts w:ascii="Cambria" w:hAnsi="Cambria"/>
          <w:sz w:val="20"/>
          <w:szCs w:val="20"/>
          <w:lang w:val="es-ES"/>
        </w:rPr>
        <w:t xml:space="preserve">De acuerdo a las consideraciones de hecho y de derecho expuestas a lo largo del presente informe, la Comisión concluye que la República del Ecuador es responsable por la violación de los siguientes derechos: </w:t>
      </w:r>
    </w:p>
    <w:p w:rsidR="00982DD0" w:rsidRPr="00360085" w:rsidRDefault="00982DD0" w:rsidP="00C33CE5">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Cambria" w:hAnsi="Cambria" w:cs="BookAntiqua"/>
          <w:sz w:val="20"/>
          <w:szCs w:val="20"/>
          <w:lang w:val="es-ES"/>
        </w:rPr>
      </w:pPr>
    </w:p>
    <w:p w:rsidR="00687DB3" w:rsidRPr="00360085" w:rsidRDefault="00687DB3" w:rsidP="00687DB3">
      <w:pPr>
        <w:numPr>
          <w:ilvl w:val="4"/>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3960"/>
          <w:tab w:val="num" w:pos="1440"/>
        </w:tabs>
        <w:suppressAutoHyphens/>
        <w:ind w:left="1440" w:right="630" w:hanging="720"/>
        <w:jc w:val="both"/>
        <w:rPr>
          <w:rFonts w:ascii="Cambria" w:hAnsi="Cambria" w:cs="BookAntiqua"/>
          <w:sz w:val="20"/>
          <w:szCs w:val="20"/>
          <w:lang w:val="es-ES"/>
        </w:rPr>
      </w:pPr>
      <w:r w:rsidRPr="00360085">
        <w:rPr>
          <w:rFonts w:ascii="Cambria" w:hAnsi="Cambria"/>
          <w:sz w:val="20"/>
          <w:szCs w:val="20"/>
          <w:lang w:val="es-ES"/>
        </w:rPr>
        <w:t>Derechos a la vida e integridad personal, consagrados en los artículos 4.1 y 5.1 de la Convención Americana en relación con el artículo 1.1 del mismo instrumento, en perjuicio de Jorge Darwin García.</w:t>
      </w:r>
    </w:p>
    <w:p w:rsidR="00687DB3" w:rsidRPr="00360085" w:rsidRDefault="00687DB3" w:rsidP="00687DB3">
      <w:pPr>
        <w:numPr>
          <w:ilvl w:val="4"/>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3960"/>
          <w:tab w:val="num" w:pos="1440"/>
        </w:tabs>
        <w:suppressAutoHyphens/>
        <w:ind w:left="1440" w:right="630" w:hanging="720"/>
        <w:jc w:val="both"/>
        <w:rPr>
          <w:rFonts w:ascii="Cambria" w:hAnsi="Cambria" w:cs="BookAntiqua"/>
          <w:sz w:val="20"/>
          <w:szCs w:val="20"/>
          <w:lang w:val="es-ES"/>
        </w:rPr>
      </w:pPr>
      <w:r w:rsidRPr="00360085">
        <w:rPr>
          <w:rFonts w:ascii="Cambria" w:hAnsi="Cambria" w:cs="BookAntiqua"/>
          <w:sz w:val="20"/>
          <w:szCs w:val="20"/>
          <w:lang w:val="es-ES"/>
        </w:rPr>
        <w:t xml:space="preserve">Derecho a la integridad personal, </w:t>
      </w:r>
      <w:r w:rsidRPr="00360085">
        <w:rPr>
          <w:rFonts w:ascii="Cambria" w:hAnsi="Cambria"/>
          <w:sz w:val="20"/>
          <w:szCs w:val="20"/>
          <w:lang w:val="es-ES"/>
        </w:rPr>
        <w:t xml:space="preserve">consagrado en el artículo 5.1 de la Convención Americana en relación con el artículo 1.1 del mismo instrumento, en perjuicio de </w:t>
      </w:r>
      <w:r w:rsidRPr="00360085">
        <w:rPr>
          <w:rFonts w:ascii="Cambria" w:hAnsi="Cambria"/>
          <w:spacing w:val="-2"/>
          <w:sz w:val="20"/>
          <w:szCs w:val="20"/>
          <w:lang w:val="es-CR"/>
        </w:rPr>
        <w:t>Franklin Plutarco García</w:t>
      </w:r>
      <w:r w:rsidRPr="00360085">
        <w:rPr>
          <w:rFonts w:ascii="Cambria" w:hAnsi="Cambria"/>
          <w:sz w:val="20"/>
          <w:szCs w:val="20"/>
          <w:lang w:val="es-ES"/>
        </w:rPr>
        <w:t>.</w:t>
      </w:r>
    </w:p>
    <w:p w:rsidR="00687DB3" w:rsidRPr="00360085" w:rsidRDefault="00687DB3" w:rsidP="00687DB3">
      <w:pPr>
        <w:numPr>
          <w:ilvl w:val="4"/>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3960"/>
          <w:tab w:val="num" w:pos="1440"/>
        </w:tabs>
        <w:suppressAutoHyphens/>
        <w:ind w:left="1440" w:right="630" w:hanging="720"/>
        <w:jc w:val="both"/>
        <w:rPr>
          <w:rFonts w:ascii="Cambria" w:hAnsi="Cambria" w:cs="BookAntiqua"/>
          <w:sz w:val="20"/>
          <w:szCs w:val="20"/>
          <w:lang w:val="es-ES"/>
        </w:rPr>
      </w:pPr>
      <w:r w:rsidRPr="00360085">
        <w:rPr>
          <w:rFonts w:ascii="Cambria" w:hAnsi="Cambria"/>
          <w:sz w:val="20"/>
          <w:szCs w:val="20"/>
          <w:lang w:val="es-ES"/>
        </w:rPr>
        <w:t xml:space="preserve">Derechos a las garantías judiciales y protección judicial, consagrados en los artículos 8.1 y 25.1 de la Convención Americana en relación con los artículo 1.1 y 2 del mismo instrumento, </w:t>
      </w:r>
      <w:r w:rsidRPr="00360085">
        <w:rPr>
          <w:rFonts w:ascii="Cambria" w:hAnsi="Cambria"/>
          <w:sz w:val="20"/>
          <w:szCs w:val="20"/>
          <w:lang w:val="es-HN"/>
        </w:rPr>
        <w:t>en perjuicio de Franklin Plutarco y sus familiares.</w:t>
      </w:r>
    </w:p>
    <w:p w:rsidR="00D060AD" w:rsidRPr="00360085" w:rsidRDefault="00D060AD" w:rsidP="00D060AD">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hAnsi="Cambria" w:cs="BookAntiqua"/>
          <w:sz w:val="20"/>
          <w:szCs w:val="20"/>
          <w:lang w:val="es-ES"/>
        </w:rPr>
      </w:pPr>
    </w:p>
    <w:p w:rsidR="006364D7" w:rsidRPr="00360085" w:rsidRDefault="006364D7" w:rsidP="006364D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cs="BookAntiqua"/>
          <w:sz w:val="20"/>
          <w:szCs w:val="20"/>
          <w:lang w:val="es-ES"/>
        </w:rPr>
      </w:pPr>
      <w:r w:rsidRPr="00360085">
        <w:rPr>
          <w:rFonts w:ascii="Cambria" w:hAnsi="Cambria" w:cs="BookAntiqua"/>
          <w:sz w:val="20"/>
          <w:szCs w:val="20"/>
          <w:lang w:val="es-ES"/>
        </w:rPr>
        <w:t>En virtud de las anteriores conclusiones,</w:t>
      </w:r>
    </w:p>
    <w:p w:rsidR="006364D7" w:rsidRPr="00360085" w:rsidRDefault="006364D7" w:rsidP="00687DB3">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right="630"/>
        <w:jc w:val="both"/>
        <w:rPr>
          <w:rFonts w:ascii="Cambria" w:hAnsi="Cambria" w:cs="BookAntiqua"/>
          <w:sz w:val="20"/>
          <w:szCs w:val="20"/>
          <w:lang w:val="es-ES"/>
        </w:rPr>
      </w:pPr>
    </w:p>
    <w:p w:rsidR="006364D7" w:rsidRPr="00360085" w:rsidRDefault="006364D7" w:rsidP="006364D7">
      <w:pPr>
        <w:jc w:val="center"/>
        <w:rPr>
          <w:rFonts w:ascii="Cambria" w:hAnsi="Cambria"/>
          <w:b/>
          <w:sz w:val="20"/>
          <w:szCs w:val="20"/>
          <w:lang w:val="es-ES"/>
        </w:rPr>
      </w:pPr>
      <w:r w:rsidRPr="00360085">
        <w:rPr>
          <w:rFonts w:ascii="Cambria" w:hAnsi="Cambria"/>
          <w:b/>
          <w:sz w:val="20"/>
          <w:szCs w:val="20"/>
          <w:lang w:val="es-ES"/>
        </w:rPr>
        <w:t>LA COMISIÓN INTERAMERICANA DE DERECHOS HUMANOS RECOMIENDA AL ESTADO ECUATORIANO CONTINUAR DESPLEGANDO LOS ESFUERZOS NECESARIOS PARA LOGRAR UN CUMPLIMIENTO TOTAL DE LA SIGUIENTE RECOMENDACIÓN,</w:t>
      </w:r>
    </w:p>
    <w:p w:rsidR="006364D7" w:rsidRPr="00360085" w:rsidRDefault="006364D7" w:rsidP="006364D7">
      <w:pPr>
        <w:pBdr>
          <w:top w:val="none" w:sz="0" w:space="0" w:color="auto"/>
          <w:left w:val="none" w:sz="0" w:space="0" w:color="auto"/>
          <w:bottom w:val="none" w:sz="0" w:space="0" w:color="auto"/>
          <w:right w:val="none" w:sz="0" w:space="0" w:color="auto"/>
          <w:between w:val="none" w:sz="0" w:space="0" w:color="auto"/>
          <w:bar w:val="none" w:sz="0" w:color="auto"/>
        </w:pBdr>
        <w:suppressAutoHyphens/>
        <w:ind w:right="630"/>
        <w:jc w:val="both"/>
        <w:rPr>
          <w:rFonts w:ascii="Cambria" w:hAnsi="Cambria" w:cs="BookAntiqua"/>
          <w:sz w:val="20"/>
          <w:szCs w:val="20"/>
          <w:lang w:val="es-ES"/>
        </w:rPr>
      </w:pPr>
    </w:p>
    <w:p w:rsidR="006364D7" w:rsidRPr="00360085" w:rsidRDefault="006364D7" w:rsidP="006364D7">
      <w:pPr>
        <w:numPr>
          <w:ilvl w:val="6"/>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5400"/>
          <w:tab w:val="num" w:pos="720"/>
          <w:tab w:val="left" w:pos="1440"/>
          <w:tab w:val="num" w:pos="5760"/>
        </w:tabs>
        <w:suppressAutoHyphens/>
        <w:ind w:left="1440" w:right="720" w:hanging="720"/>
        <w:jc w:val="both"/>
        <w:rPr>
          <w:rFonts w:ascii="Cambria" w:hAnsi="Cambria" w:cs="BookAntiqua"/>
          <w:sz w:val="20"/>
          <w:szCs w:val="20"/>
          <w:lang w:val="es-ES_tradnl"/>
        </w:rPr>
      </w:pPr>
      <w:r w:rsidRPr="00360085">
        <w:rPr>
          <w:rFonts w:ascii="Cambria" w:hAnsi="Cambria" w:cs="BookAntiqua"/>
          <w:sz w:val="20"/>
          <w:szCs w:val="20"/>
          <w:lang w:val="es-ES_tradnl"/>
        </w:rPr>
        <w:t xml:space="preserve">Disponer mecanismos de no repetición que incluyan: i) programas de capacitación sobre los estándares internacionales de derechos humanos en general, dirigidos a la Policía Nacional; ii) medidas para asegurar la efectiva rendición de cuentas en el fuero penal, disciplinario o administrativo, en casos de presunto abuso de poder por parte de agentes del Estado a cargo de la seguridad pública; y iii) medidas legislativas, administrativas y de otra índole para investigar con la debida diligencia y de conformidad con los estándares internacionales relevantes, la necesidad y proporcionalidad del uso letal de la fuerza por parte de funcionarios policiales, de manera que existan protocolos eficaces que permitan implementar mecanismos adecuados de control y rendición de cuentas frente al actuar de dichos funcionarios. </w:t>
      </w:r>
    </w:p>
    <w:p w:rsidR="00D060AD" w:rsidRPr="00360085" w:rsidRDefault="00D060AD" w:rsidP="00D060AD">
      <w:pPr>
        <w:pStyle w:val="Heading1"/>
        <w:keepLines w:val="0"/>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rPr>
          <w:rFonts w:cs="Arial"/>
          <w:bCs w:val="0"/>
          <w:lang w:val="es-AR"/>
        </w:rPr>
      </w:pPr>
      <w:bookmarkStart w:id="42" w:name="_Toc489881862"/>
      <w:bookmarkStart w:id="43" w:name="_Toc529792409"/>
      <w:r w:rsidRPr="00360085">
        <w:rPr>
          <w:rFonts w:cs="Arial"/>
          <w:bCs w:val="0"/>
          <w:lang w:val="es-AR"/>
        </w:rPr>
        <w:lastRenderedPageBreak/>
        <w:t>PUBLICACIÓN</w:t>
      </w:r>
      <w:bookmarkEnd w:id="42"/>
      <w:bookmarkEnd w:id="43"/>
    </w:p>
    <w:p w:rsidR="00D060AD" w:rsidRPr="00360085" w:rsidRDefault="00D060AD" w:rsidP="00D060A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s="Verdana"/>
          <w:sz w:val="20"/>
          <w:szCs w:val="20"/>
          <w:lang w:val="es-ES" w:bidi="en-US"/>
        </w:rPr>
      </w:pPr>
    </w:p>
    <w:p w:rsidR="00D060AD" w:rsidRPr="00360085" w:rsidRDefault="00D060AD" w:rsidP="00D060A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ind w:left="0" w:firstLine="720"/>
        <w:jc w:val="both"/>
        <w:rPr>
          <w:rFonts w:ascii="Cambria" w:hAnsi="Cambria"/>
          <w:sz w:val="20"/>
          <w:szCs w:val="20"/>
          <w:lang w:val="es-ES"/>
        </w:rPr>
      </w:pPr>
      <w:r w:rsidRPr="00360085">
        <w:rPr>
          <w:rFonts w:ascii="Cambria" w:hAnsi="Cambria"/>
          <w:sz w:val="20"/>
          <w:szCs w:val="20"/>
          <w:lang w:val="es-ES"/>
        </w:rPr>
        <w:t xml:space="preserve">Con base en las consideraciones presentadas y de conformidad con el artículo 47.3 de su Reglamento, la CIDH decide publicar el presente informe e incluirlo en su Informe Anual a la Asamblea General de la Organización de los Estados Americanos. La Comisión Interamericana, conforme a las normas de los instrumentos que rigen su mandato, seguirá evaluando las medidas adoptadas por el Estado ecuatoriano respeto a la </w:t>
      </w:r>
      <w:r w:rsidR="00C84F23" w:rsidRPr="00360085">
        <w:rPr>
          <w:rFonts w:ascii="Cambria" w:hAnsi="Cambria"/>
          <w:sz w:val="20"/>
          <w:szCs w:val="20"/>
          <w:lang w:val="es-ES"/>
        </w:rPr>
        <w:t xml:space="preserve">recomendación referida </w:t>
      </w:r>
      <w:r w:rsidRPr="00360085">
        <w:rPr>
          <w:rFonts w:ascii="Cambria" w:hAnsi="Cambria"/>
          <w:sz w:val="20"/>
          <w:szCs w:val="20"/>
          <w:lang w:val="es-ES"/>
        </w:rPr>
        <w:t>hasta que determine que la misma se ha cumplido de forma plena.</w:t>
      </w:r>
    </w:p>
    <w:p w:rsidR="00403B88" w:rsidRPr="00403B88" w:rsidRDefault="00403B88" w:rsidP="00403B88">
      <w:pPr>
        <w:jc w:val="both"/>
        <w:rPr>
          <w:rFonts w:ascii="Cambria" w:hAnsi="Cambria" w:cs="Verdana"/>
          <w:sz w:val="20"/>
          <w:szCs w:val="20"/>
          <w:lang w:val="es-ES" w:bidi="en-US"/>
        </w:rPr>
      </w:pPr>
    </w:p>
    <w:p w:rsidR="0015073A" w:rsidRPr="007033A8" w:rsidRDefault="00403B88" w:rsidP="007033A8">
      <w:pPr>
        <w:ind w:firstLine="720"/>
        <w:jc w:val="both"/>
        <w:rPr>
          <w:rFonts w:ascii="Cambria" w:hAnsi="Cambria" w:cs="Arial"/>
          <w:noProof/>
          <w:spacing w:val="-2"/>
          <w:sz w:val="20"/>
          <w:szCs w:val="20"/>
          <w:lang w:val="es-CL"/>
        </w:rPr>
      </w:pPr>
      <w:r w:rsidRPr="00403B88">
        <w:rPr>
          <w:rFonts w:ascii="Cambria" w:hAnsi="Cambria" w:cs="Arial"/>
          <w:noProof/>
          <w:spacing w:val="-2"/>
          <w:sz w:val="20"/>
          <w:szCs w:val="20"/>
          <w:lang w:val="es-CL"/>
        </w:rPr>
        <w:t>Aprobado por la Comisión Interamericana de Derechos Humanos a los 14 días del mes de junio de 2019.  (Firmado): Esmeralda E. Arosemena Bernal de Troitiño, Presidenta; Joel Hernández, Primer Vicepresidente; Antonia Urrejola, Segunda Vicepresidenta; Margarette May Macaulay, Francisco José Eguiguren, Luis Ernesto Vargas Silva, y Flávia Piovesan, Miembros de la Comisión.</w:t>
      </w:r>
      <w:r w:rsidRPr="00403B88">
        <w:rPr>
          <w:rFonts w:ascii="Cambria" w:hAnsi="Cambria" w:cs="Arial"/>
          <w:noProof/>
          <w:sz w:val="20"/>
          <w:szCs w:val="20"/>
          <w:lang w:val="es-CL"/>
        </w:rPr>
        <w:t xml:space="preserve"> </w:t>
      </w:r>
    </w:p>
    <w:sectPr w:rsidR="0015073A" w:rsidRPr="007033A8"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1C07" w:rsidRDefault="00AA1C07">
      <w:r>
        <w:separator/>
      </w:r>
    </w:p>
  </w:endnote>
  <w:endnote w:type="continuationSeparator" w:id="0">
    <w:p w:rsidR="00AA1C07" w:rsidRDefault="00AA1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Univers">
    <w:panose1 w:val="020B0603020202030204"/>
    <w:charset w:val="00"/>
    <w:family w:val="swiss"/>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ourier">
    <w:panose1 w:val="02060409020205020404"/>
    <w:charset w:val="00"/>
    <w:family w:val="modern"/>
    <w:pitch w:val="fixed"/>
    <w:sig w:usb0="00000007" w:usb1="00000000" w:usb2="00000000" w:usb3="00000000" w:csb0="00000093" w:csb1="00000000"/>
  </w:font>
  <w:font w:name="BookAntiqu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2FE2" w:rsidRDefault="00FC2FE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3859" w:rsidRPr="00934A2C" w:rsidRDefault="006A3859">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455EB">
      <w:rPr>
        <w:noProof/>
        <w:sz w:val="16"/>
        <w:szCs w:val="22"/>
      </w:rPr>
      <w:t>21</w:t>
    </w:r>
    <w:r w:rsidRPr="00934A2C">
      <w:rPr>
        <w:noProof/>
        <w:sz w:val="16"/>
        <w:szCs w:val="22"/>
      </w:rPr>
      <w:fldChar w:fldCharType="end"/>
    </w:r>
  </w:p>
  <w:p w:rsidR="006A3859" w:rsidRDefault="006A385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3859" w:rsidRPr="00934A2C" w:rsidRDefault="006A3859">
    <w:pPr>
      <w:pStyle w:val="Footer"/>
      <w:jc w:val="center"/>
      <w:rPr>
        <w:sz w:val="16"/>
        <w:szCs w:val="22"/>
      </w:rPr>
    </w:pPr>
  </w:p>
  <w:p w:rsidR="006A3859" w:rsidRDefault="006A38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1C07" w:rsidRPr="00C05D06" w:rsidRDefault="00AA1C07">
      <w:pPr>
        <w:rPr>
          <w:rFonts w:ascii="Cambria" w:hAnsi="Cambria"/>
          <w:sz w:val="16"/>
          <w:szCs w:val="16"/>
        </w:rPr>
      </w:pPr>
      <w:r w:rsidRPr="00C05D06">
        <w:rPr>
          <w:rFonts w:ascii="Cambria" w:hAnsi="Cambria"/>
          <w:sz w:val="16"/>
          <w:szCs w:val="16"/>
        </w:rPr>
        <w:separator/>
      </w:r>
    </w:p>
  </w:footnote>
  <w:footnote w:type="continuationSeparator" w:id="0">
    <w:p w:rsidR="00AA1C07" w:rsidRPr="00C05D06" w:rsidRDefault="00AA1C07" w:rsidP="000F35ED">
      <w:pPr>
        <w:rPr>
          <w:rFonts w:ascii="Cambria" w:hAnsi="Cambria"/>
          <w:sz w:val="16"/>
          <w:szCs w:val="16"/>
        </w:rPr>
      </w:pPr>
      <w:r w:rsidRPr="00C05D06">
        <w:rPr>
          <w:rFonts w:ascii="Cambria" w:hAnsi="Cambria"/>
          <w:sz w:val="16"/>
          <w:szCs w:val="16"/>
        </w:rPr>
        <w:separator/>
      </w:r>
    </w:p>
    <w:p w:rsidR="00AA1C07" w:rsidRPr="00C05D06" w:rsidRDefault="00AA1C07" w:rsidP="000F35ED">
      <w:pPr>
        <w:pStyle w:val="Footer"/>
        <w:rPr>
          <w:sz w:val="16"/>
          <w:szCs w:val="16"/>
        </w:rPr>
      </w:pPr>
      <w:r w:rsidRPr="00C05D06">
        <w:rPr>
          <w:sz w:val="16"/>
          <w:szCs w:val="16"/>
        </w:rPr>
        <w:t xml:space="preserve">[… </w:t>
      </w:r>
      <w:proofErr w:type="spellStart"/>
      <w:proofErr w:type="gramStart"/>
      <w:r w:rsidRPr="00C05D06">
        <w:rPr>
          <w:sz w:val="16"/>
          <w:szCs w:val="16"/>
        </w:rPr>
        <w:t>continuación</w:t>
      </w:r>
      <w:proofErr w:type="spellEnd"/>
      <w:proofErr w:type="gramEnd"/>
      <w:r w:rsidRPr="00C05D06">
        <w:rPr>
          <w:sz w:val="16"/>
          <w:szCs w:val="16"/>
        </w:rPr>
        <w:t>]</w:t>
      </w:r>
    </w:p>
  </w:footnote>
  <w:footnote w:type="continuationNotice" w:id="1">
    <w:p w:rsidR="00AA1C07" w:rsidRPr="00C05D06" w:rsidRDefault="00AA1C07" w:rsidP="000F35ED">
      <w:pPr>
        <w:jc w:val="right"/>
        <w:rPr>
          <w:rFonts w:ascii="Cambria" w:hAnsi="Cambria"/>
          <w:sz w:val="16"/>
          <w:szCs w:val="16"/>
          <w:lang w:val="es-ES"/>
        </w:rPr>
      </w:pPr>
      <w:r w:rsidRPr="00C05D06">
        <w:rPr>
          <w:rFonts w:ascii="Cambria" w:hAnsi="Cambria"/>
          <w:sz w:val="16"/>
          <w:szCs w:val="16"/>
          <w:lang w:val="es-ES"/>
        </w:rPr>
        <w:t>[</w:t>
      </w:r>
      <w:proofErr w:type="gramStart"/>
      <w:r w:rsidRPr="00C05D06">
        <w:rPr>
          <w:rFonts w:ascii="Cambria" w:hAnsi="Cambria"/>
          <w:sz w:val="16"/>
          <w:szCs w:val="16"/>
          <w:lang w:val="es-ES"/>
        </w:rPr>
        <w:t>continúa</w:t>
      </w:r>
      <w:proofErr w:type="gramEnd"/>
      <w:r w:rsidRPr="00C05D06">
        <w:rPr>
          <w:rFonts w:ascii="Cambria" w:hAnsi="Cambria"/>
          <w:sz w:val="16"/>
          <w:szCs w:val="16"/>
          <w:lang w:val="es-ES"/>
        </w:rPr>
        <w:t>…]</w:t>
      </w:r>
    </w:p>
  </w:footnote>
  <w:footnote w:id="2">
    <w:p w:rsidR="006A3859" w:rsidRPr="006C459C" w:rsidRDefault="006A3859" w:rsidP="00D060AD">
      <w:pPr>
        <w:pStyle w:val="FootnoteText"/>
        <w:jc w:val="both"/>
        <w:rPr>
          <w:rFonts w:ascii="Cambria" w:hAnsi="Cambria"/>
          <w:sz w:val="16"/>
          <w:szCs w:val="16"/>
          <w:lang w:val="es-ES_tradnl"/>
        </w:rPr>
      </w:pPr>
      <w:r w:rsidRPr="006C459C">
        <w:rPr>
          <w:rStyle w:val="FootnoteReference"/>
          <w:rFonts w:ascii="Cambria" w:hAnsi="Cambria"/>
          <w:sz w:val="16"/>
          <w:szCs w:val="16"/>
        </w:rPr>
        <w:footnoteRef/>
      </w:r>
      <w:r w:rsidRPr="006C459C">
        <w:rPr>
          <w:rFonts w:ascii="Cambria" w:hAnsi="Cambria"/>
          <w:sz w:val="16"/>
          <w:szCs w:val="16"/>
          <w:lang w:val="es-ES_tradnl"/>
        </w:rPr>
        <w:t xml:space="preserve"> CIDH, Informe No. 51/08, Petición 299-07, Admisibilidad, Robert Ignacio Díaz Loreto y otros, Venezuela, 24 de julio de 2008; e</w:t>
      </w:r>
      <w:r w:rsidRPr="006C459C">
        <w:rPr>
          <w:rFonts w:ascii="Cambria" w:hAnsi="Cambria"/>
          <w:sz w:val="16"/>
          <w:szCs w:val="16"/>
          <w:lang w:val="es-CO"/>
        </w:rPr>
        <w:t xml:space="preserve"> Informe No. 23/07, Petición 435-2006, Admisibilidad, </w:t>
      </w:r>
      <w:r w:rsidRPr="006C459C">
        <w:rPr>
          <w:rFonts w:ascii="Cambria" w:hAnsi="Cambria"/>
          <w:iCs/>
          <w:sz w:val="16"/>
          <w:szCs w:val="16"/>
          <w:lang w:val="es-CO"/>
        </w:rPr>
        <w:t>Eduardo José Landaeta Mejías y otros, Venezuela,</w:t>
      </w:r>
      <w:r w:rsidRPr="006C459C">
        <w:rPr>
          <w:rFonts w:ascii="Cambria" w:hAnsi="Cambria"/>
          <w:sz w:val="16"/>
          <w:szCs w:val="16"/>
          <w:lang w:val="es-CO"/>
        </w:rPr>
        <w:t xml:space="preserve"> 9 de marzo de 2007.</w:t>
      </w:r>
    </w:p>
  </w:footnote>
  <w:footnote w:id="3">
    <w:p w:rsidR="006A3859" w:rsidRPr="006C459C" w:rsidRDefault="006A3859" w:rsidP="00D060AD">
      <w:pPr>
        <w:pStyle w:val="FootnoteText"/>
        <w:jc w:val="both"/>
        <w:rPr>
          <w:rFonts w:ascii="Cambria" w:hAnsi="Cambria"/>
          <w:sz w:val="16"/>
          <w:szCs w:val="16"/>
          <w:lang w:val="es-ES_tradnl"/>
        </w:rPr>
      </w:pPr>
      <w:r w:rsidRPr="006C459C">
        <w:rPr>
          <w:rStyle w:val="FootnoteReference"/>
          <w:rFonts w:ascii="Cambria" w:hAnsi="Cambria"/>
          <w:sz w:val="16"/>
          <w:szCs w:val="16"/>
        </w:rPr>
        <w:footnoteRef/>
      </w:r>
      <w:r w:rsidRPr="006C459C">
        <w:rPr>
          <w:rFonts w:ascii="Cambria" w:hAnsi="Cambria"/>
          <w:sz w:val="16"/>
          <w:szCs w:val="16"/>
          <w:lang w:val="es-ES_tradnl"/>
        </w:rPr>
        <w:t xml:space="preserve"> CIDH, Informe No. 23/07, </w:t>
      </w:r>
      <w:r w:rsidRPr="006C459C">
        <w:rPr>
          <w:rFonts w:ascii="Cambria" w:hAnsi="Cambria"/>
          <w:sz w:val="16"/>
          <w:szCs w:val="16"/>
          <w:lang w:val="es-CO"/>
        </w:rPr>
        <w:t xml:space="preserve">Petición 435-2006, Admisibilidad, </w:t>
      </w:r>
      <w:r w:rsidRPr="006C459C">
        <w:rPr>
          <w:rFonts w:ascii="Cambria" w:hAnsi="Cambria"/>
          <w:iCs/>
          <w:sz w:val="16"/>
          <w:szCs w:val="16"/>
          <w:lang w:val="es-CO"/>
        </w:rPr>
        <w:t>Eduardo José Landaeta Mejías y otros, Venezuela,</w:t>
      </w:r>
      <w:r w:rsidRPr="006C459C">
        <w:rPr>
          <w:rFonts w:ascii="Cambria" w:hAnsi="Cambria"/>
          <w:sz w:val="16"/>
          <w:szCs w:val="16"/>
          <w:lang w:val="es-CO"/>
        </w:rPr>
        <w:t xml:space="preserve"> 9 de marzo de 2007</w:t>
      </w:r>
      <w:r w:rsidRPr="006C459C">
        <w:rPr>
          <w:rFonts w:ascii="Cambria" w:hAnsi="Cambria"/>
          <w:sz w:val="16"/>
          <w:szCs w:val="16"/>
          <w:lang w:val="es-ES_tradnl"/>
        </w:rPr>
        <w:t xml:space="preserve">, párr. 43; e Informe No. 15/06, Petición 618-01, Admisibilidad, </w:t>
      </w:r>
      <w:r w:rsidRPr="006C459C">
        <w:rPr>
          <w:rFonts w:ascii="Cambria" w:hAnsi="Cambria"/>
          <w:iCs/>
          <w:sz w:val="16"/>
          <w:szCs w:val="16"/>
          <w:lang w:val="es-ES_tradnl"/>
        </w:rPr>
        <w:t>Maria Emilia González, Paula Micaela González y María Verónica Villar, Argentina</w:t>
      </w:r>
      <w:r w:rsidRPr="006C459C">
        <w:rPr>
          <w:rFonts w:ascii="Cambria" w:hAnsi="Cambria"/>
          <w:sz w:val="16"/>
          <w:szCs w:val="16"/>
          <w:lang w:val="es-ES"/>
        </w:rPr>
        <w:t xml:space="preserve">, 2 de marzo de 2006, </w:t>
      </w:r>
      <w:r w:rsidRPr="006C459C">
        <w:rPr>
          <w:rFonts w:ascii="Cambria" w:hAnsi="Cambria"/>
          <w:sz w:val="16"/>
          <w:szCs w:val="16"/>
          <w:lang w:val="es-ES_tradnl"/>
        </w:rPr>
        <w:t xml:space="preserve">párr. </w:t>
      </w:r>
      <w:r w:rsidRPr="006C459C">
        <w:rPr>
          <w:rFonts w:ascii="Cambria" w:hAnsi="Cambria"/>
          <w:sz w:val="16"/>
          <w:szCs w:val="16"/>
          <w:lang w:val="es-ES"/>
        </w:rPr>
        <w:t xml:space="preserve">34. </w:t>
      </w:r>
    </w:p>
  </w:footnote>
  <w:footnote w:id="4">
    <w:p w:rsidR="006A3859" w:rsidRPr="006C459C" w:rsidRDefault="006A3859" w:rsidP="00D060AD">
      <w:pPr>
        <w:pStyle w:val="FootnoteText"/>
        <w:jc w:val="both"/>
        <w:rPr>
          <w:rFonts w:ascii="Cambria" w:hAnsi="Cambria"/>
          <w:sz w:val="16"/>
          <w:szCs w:val="16"/>
          <w:lang w:val="es-ES_tradnl"/>
        </w:rPr>
      </w:pPr>
      <w:r w:rsidRPr="006C459C">
        <w:rPr>
          <w:rStyle w:val="FootnoteReference"/>
          <w:rFonts w:ascii="Cambria" w:hAnsi="Cambria"/>
          <w:sz w:val="16"/>
          <w:szCs w:val="16"/>
        </w:rPr>
        <w:footnoteRef/>
      </w:r>
      <w:r w:rsidRPr="006C459C">
        <w:rPr>
          <w:rFonts w:ascii="Cambria" w:hAnsi="Cambria"/>
          <w:sz w:val="16"/>
          <w:szCs w:val="16"/>
          <w:lang w:val="es-ES"/>
        </w:rPr>
        <w:t xml:space="preserve"> CIDH, Informe No. 2/08, Petición 506-05, Admisibilidad, José Rodríguez </w:t>
      </w:r>
      <w:proofErr w:type="spellStart"/>
      <w:r w:rsidRPr="006C459C">
        <w:rPr>
          <w:rFonts w:ascii="Cambria" w:hAnsi="Cambria"/>
          <w:sz w:val="16"/>
          <w:szCs w:val="16"/>
          <w:lang w:val="es-ES"/>
        </w:rPr>
        <w:t>Dañín</w:t>
      </w:r>
      <w:proofErr w:type="spellEnd"/>
      <w:r w:rsidRPr="006C459C">
        <w:rPr>
          <w:rFonts w:ascii="Cambria" w:hAnsi="Cambria"/>
          <w:sz w:val="16"/>
          <w:szCs w:val="16"/>
          <w:lang w:val="es-ES"/>
        </w:rPr>
        <w:t xml:space="preserve">, Bolivia, 6 de marzo de 2008, párr. 56; e Informe No. 25/04, Caso 12.361, Admisibilidad, Ana Victoria Sánchez Villalobos y otros, Costa Rica, 11 de marzo de 2004, párr. 45. </w:t>
      </w:r>
    </w:p>
  </w:footnote>
  <w:footnote w:id="5">
    <w:p w:rsidR="006A3859" w:rsidRPr="006C459C" w:rsidRDefault="006A3859" w:rsidP="00D060AD">
      <w:pPr>
        <w:pStyle w:val="FootnoteText"/>
        <w:jc w:val="both"/>
        <w:rPr>
          <w:rFonts w:ascii="Cambria" w:hAnsi="Cambria"/>
          <w:sz w:val="16"/>
          <w:szCs w:val="16"/>
          <w:lang w:val="pt-BR"/>
        </w:rPr>
      </w:pPr>
      <w:r w:rsidRPr="006C459C">
        <w:rPr>
          <w:rStyle w:val="FootnoteReference"/>
          <w:rFonts w:ascii="Cambria" w:hAnsi="Cambria"/>
          <w:sz w:val="16"/>
          <w:szCs w:val="16"/>
        </w:rPr>
        <w:footnoteRef/>
      </w:r>
      <w:r w:rsidRPr="006C459C">
        <w:rPr>
          <w:rFonts w:ascii="Cambria" w:hAnsi="Cambria"/>
          <w:sz w:val="16"/>
          <w:szCs w:val="16"/>
          <w:lang w:val="es-ES_tradnl"/>
        </w:rPr>
        <w:t xml:space="preserve"> CIDH, Informe No. 8/10, Caso 12.374, Admisibilidad, Jorge Enrique Patiño Palacios y otros, Paraguay, 16 de marzo de 2010, párr. 31; e Informe No. 20/05, Petición 716/00, Admisibilidad, Rafael Correa Díaz, Perú, 25 de febrero de 2005, párr. </w:t>
      </w:r>
      <w:r w:rsidRPr="006C459C">
        <w:rPr>
          <w:rFonts w:ascii="Cambria" w:hAnsi="Cambria"/>
          <w:sz w:val="16"/>
          <w:szCs w:val="16"/>
          <w:lang w:val="pt-BR"/>
        </w:rPr>
        <w:t>34.</w:t>
      </w:r>
    </w:p>
  </w:footnote>
  <w:footnote w:id="6">
    <w:p w:rsidR="006A3859" w:rsidRPr="006C459C" w:rsidRDefault="006A3859" w:rsidP="00D060AD">
      <w:pPr>
        <w:jc w:val="both"/>
        <w:rPr>
          <w:rFonts w:ascii="Cambria" w:hAnsi="Cambria"/>
          <w:color w:val="000000"/>
          <w:sz w:val="16"/>
          <w:szCs w:val="16"/>
          <w:lang w:val="es-ES_tradnl"/>
        </w:rPr>
      </w:pPr>
      <w:r w:rsidRPr="006C459C">
        <w:rPr>
          <w:rStyle w:val="FootnoteReference"/>
          <w:rFonts w:ascii="Cambria" w:hAnsi="Cambria"/>
          <w:sz w:val="16"/>
          <w:szCs w:val="16"/>
        </w:rPr>
        <w:footnoteRef/>
      </w:r>
      <w:r w:rsidRPr="006C459C">
        <w:rPr>
          <w:rFonts w:ascii="Cambria" w:hAnsi="Cambria"/>
          <w:sz w:val="16"/>
          <w:szCs w:val="16"/>
          <w:lang w:val="pt-BR"/>
        </w:rPr>
        <w:t xml:space="preserve"> </w:t>
      </w:r>
      <w:r w:rsidRPr="006C459C">
        <w:rPr>
          <w:rFonts w:ascii="Cambria" w:hAnsi="Cambria"/>
          <w:sz w:val="16"/>
          <w:szCs w:val="16"/>
          <w:lang w:val="pt-BR"/>
        </w:rPr>
        <w:t xml:space="preserve">Corte IDH. </w:t>
      </w:r>
      <w:r w:rsidRPr="006C459C">
        <w:rPr>
          <w:rFonts w:ascii="Cambria" w:hAnsi="Cambria"/>
          <w:bCs/>
          <w:i/>
          <w:sz w:val="16"/>
          <w:szCs w:val="16"/>
          <w:lang w:val="pt-BR"/>
        </w:rPr>
        <w:t xml:space="preserve">Caso Gomes Lund y otros (Guerrilha do Araguaia) Vs. </w:t>
      </w:r>
      <w:r w:rsidRPr="006C459C">
        <w:rPr>
          <w:rFonts w:ascii="Cambria" w:hAnsi="Cambria"/>
          <w:bCs/>
          <w:i/>
          <w:sz w:val="16"/>
          <w:szCs w:val="16"/>
          <w:lang w:val="es-ES_tradnl"/>
        </w:rPr>
        <w:t>Brasil.</w:t>
      </w:r>
      <w:r w:rsidRPr="006C459C">
        <w:rPr>
          <w:rFonts w:ascii="Cambria" w:hAnsi="Cambria"/>
          <w:bCs/>
          <w:sz w:val="16"/>
          <w:szCs w:val="16"/>
          <w:lang w:val="es-ES_tradnl"/>
        </w:rPr>
        <w:t xml:space="preserve"> </w:t>
      </w:r>
      <w:r w:rsidRPr="006C459C">
        <w:rPr>
          <w:rFonts w:ascii="Cambria" w:hAnsi="Cambria"/>
          <w:sz w:val="16"/>
          <w:szCs w:val="16"/>
          <w:lang w:val="es-ES_tradnl"/>
        </w:rPr>
        <w:t xml:space="preserve">Excepciones Preliminares, Fondo, Reparaciones y Costas. Sentencia de 24 de noviembre de 2010. Serie C No. 219, párr. 49. </w:t>
      </w:r>
    </w:p>
  </w:footnote>
  <w:footnote w:id="7">
    <w:p w:rsidR="006A3859" w:rsidRPr="006C459C" w:rsidRDefault="006A3859" w:rsidP="00D060AD">
      <w:pPr>
        <w:jc w:val="both"/>
        <w:rPr>
          <w:rFonts w:ascii="Cambria" w:hAnsi="Cambria"/>
          <w:sz w:val="16"/>
          <w:szCs w:val="16"/>
          <w:lang w:val="es-AR"/>
        </w:rPr>
      </w:pPr>
      <w:r w:rsidRPr="006C459C">
        <w:rPr>
          <w:rStyle w:val="FootnoteReference"/>
          <w:rFonts w:ascii="Cambria" w:hAnsi="Cambria"/>
          <w:sz w:val="16"/>
          <w:szCs w:val="16"/>
        </w:rPr>
        <w:footnoteRef/>
      </w:r>
      <w:r w:rsidRPr="006C459C">
        <w:rPr>
          <w:rFonts w:ascii="Cambria" w:hAnsi="Cambria"/>
          <w:sz w:val="16"/>
          <w:szCs w:val="16"/>
          <w:lang w:val="es-AR"/>
        </w:rPr>
        <w:t xml:space="preserve"> Anexo</w:t>
      </w:r>
      <w:r w:rsidR="009E1328" w:rsidRPr="006C459C">
        <w:rPr>
          <w:rFonts w:ascii="Cambria" w:hAnsi="Cambria"/>
          <w:sz w:val="16"/>
          <w:szCs w:val="16"/>
          <w:lang w:val="es-AR"/>
        </w:rPr>
        <w:t xml:space="preserve"> 1</w:t>
      </w:r>
      <w:r w:rsidRPr="006C459C">
        <w:rPr>
          <w:rFonts w:ascii="Cambria" w:hAnsi="Cambria"/>
          <w:sz w:val="16"/>
          <w:szCs w:val="16"/>
          <w:lang w:val="es-AR"/>
        </w:rPr>
        <w:t>. Protocolo de Necrop</w:t>
      </w:r>
      <w:r w:rsidR="009E1328" w:rsidRPr="006C459C">
        <w:rPr>
          <w:rFonts w:ascii="Cambria" w:hAnsi="Cambria"/>
          <w:sz w:val="16"/>
          <w:szCs w:val="16"/>
          <w:lang w:val="es-AR"/>
        </w:rPr>
        <w:t>s</w:t>
      </w:r>
      <w:r w:rsidRPr="006C459C">
        <w:rPr>
          <w:rFonts w:ascii="Cambria" w:hAnsi="Cambria"/>
          <w:sz w:val="16"/>
          <w:szCs w:val="16"/>
          <w:lang w:val="es-AR"/>
        </w:rPr>
        <w:t>ia de 12 de septiembre de 1993. Anexo a la petición inicial de la peticionaria.</w:t>
      </w:r>
    </w:p>
  </w:footnote>
  <w:footnote w:id="8">
    <w:p w:rsidR="006A3859" w:rsidRPr="006C459C" w:rsidRDefault="006A3859" w:rsidP="00D060AD">
      <w:pPr>
        <w:jc w:val="both"/>
        <w:rPr>
          <w:rFonts w:ascii="Cambria" w:hAnsi="Cambria"/>
          <w:sz w:val="16"/>
          <w:szCs w:val="16"/>
          <w:lang w:val="es-AR"/>
        </w:rPr>
      </w:pPr>
      <w:r w:rsidRPr="006C459C">
        <w:rPr>
          <w:rStyle w:val="FootnoteReference"/>
          <w:rFonts w:ascii="Cambria" w:hAnsi="Cambria"/>
          <w:sz w:val="16"/>
          <w:szCs w:val="16"/>
        </w:rPr>
        <w:footnoteRef/>
      </w:r>
      <w:r w:rsidRPr="006C459C">
        <w:rPr>
          <w:rFonts w:ascii="Cambria" w:hAnsi="Cambria"/>
          <w:sz w:val="16"/>
          <w:szCs w:val="16"/>
          <w:lang w:val="es-CR"/>
        </w:rPr>
        <w:t xml:space="preserve"> </w:t>
      </w:r>
      <w:r w:rsidRPr="006C459C">
        <w:rPr>
          <w:rFonts w:ascii="Cambria" w:hAnsi="Cambria"/>
          <w:sz w:val="16"/>
          <w:szCs w:val="16"/>
          <w:lang w:val="es-AR"/>
        </w:rPr>
        <w:t xml:space="preserve">Anexo </w:t>
      </w:r>
      <w:r w:rsidR="009E1328" w:rsidRPr="006C459C">
        <w:rPr>
          <w:rFonts w:ascii="Cambria" w:hAnsi="Cambria"/>
          <w:sz w:val="16"/>
          <w:szCs w:val="16"/>
          <w:lang w:val="es-AR"/>
        </w:rPr>
        <w:t>2</w:t>
      </w:r>
      <w:r w:rsidRPr="006C459C">
        <w:rPr>
          <w:rFonts w:ascii="Cambria" w:hAnsi="Cambria"/>
          <w:sz w:val="16"/>
          <w:szCs w:val="16"/>
          <w:lang w:val="es-AR"/>
        </w:rPr>
        <w:t>. Certificación de la Cooperativa de Transportes “Otavalo” de 16 de noviembre de 1993. Anexo a la petición inicial de la peticionaria.</w:t>
      </w:r>
    </w:p>
  </w:footnote>
  <w:footnote w:id="9">
    <w:p w:rsidR="006A3859" w:rsidRPr="006C459C" w:rsidRDefault="006A3859" w:rsidP="00D060AD">
      <w:pPr>
        <w:jc w:val="both"/>
        <w:rPr>
          <w:rFonts w:ascii="Cambria" w:hAnsi="Cambria"/>
          <w:sz w:val="16"/>
          <w:szCs w:val="16"/>
          <w:lang w:val="es-AR"/>
        </w:rPr>
      </w:pPr>
      <w:r w:rsidRPr="006C459C">
        <w:rPr>
          <w:rStyle w:val="FootnoteReference"/>
          <w:rFonts w:ascii="Cambria" w:hAnsi="Cambria"/>
          <w:sz w:val="16"/>
          <w:szCs w:val="16"/>
        </w:rPr>
        <w:footnoteRef/>
      </w:r>
      <w:r w:rsidRPr="006C459C">
        <w:rPr>
          <w:rFonts w:ascii="Cambria" w:hAnsi="Cambria"/>
          <w:sz w:val="16"/>
          <w:szCs w:val="16"/>
          <w:lang w:val="es-CR"/>
        </w:rPr>
        <w:t xml:space="preserve"> </w:t>
      </w:r>
      <w:r w:rsidRPr="006C459C">
        <w:rPr>
          <w:rFonts w:ascii="Cambria" w:hAnsi="Cambria"/>
          <w:sz w:val="16"/>
          <w:szCs w:val="16"/>
          <w:lang w:val="es-AR"/>
        </w:rPr>
        <w:t xml:space="preserve">Anexo </w:t>
      </w:r>
      <w:r w:rsidR="009E1328" w:rsidRPr="006C459C">
        <w:rPr>
          <w:rFonts w:ascii="Cambria" w:hAnsi="Cambria"/>
          <w:sz w:val="16"/>
          <w:szCs w:val="16"/>
          <w:lang w:val="es-AR"/>
        </w:rPr>
        <w:t>3</w:t>
      </w:r>
      <w:r w:rsidRPr="006C459C">
        <w:rPr>
          <w:rFonts w:ascii="Cambria" w:hAnsi="Cambria"/>
          <w:sz w:val="16"/>
          <w:szCs w:val="16"/>
          <w:lang w:val="es-AR"/>
        </w:rPr>
        <w:t>. Escrito de querella civil y penal de Franklin Plutarco García Espinosa de 5 de noviembre de 1993. Anexo al escrito de la peticionaria de 3 de agosto de 1995.</w:t>
      </w:r>
    </w:p>
  </w:footnote>
  <w:footnote w:id="10">
    <w:p w:rsidR="006A3859" w:rsidRPr="006C459C" w:rsidRDefault="006A3859" w:rsidP="00D060AD">
      <w:pPr>
        <w:jc w:val="both"/>
        <w:rPr>
          <w:rFonts w:ascii="Cambria" w:hAnsi="Cambria"/>
          <w:sz w:val="16"/>
          <w:szCs w:val="16"/>
          <w:lang w:val="es-AR"/>
        </w:rPr>
      </w:pPr>
      <w:r w:rsidRPr="006C459C">
        <w:rPr>
          <w:rStyle w:val="FootnoteReference"/>
          <w:rFonts w:ascii="Cambria" w:hAnsi="Cambria"/>
          <w:sz w:val="16"/>
          <w:szCs w:val="16"/>
        </w:rPr>
        <w:footnoteRef/>
      </w:r>
      <w:r w:rsidRPr="006C459C">
        <w:rPr>
          <w:rFonts w:ascii="Cambria" w:hAnsi="Cambria"/>
          <w:sz w:val="16"/>
          <w:szCs w:val="16"/>
          <w:lang w:val="es-CR"/>
        </w:rPr>
        <w:t xml:space="preserve"> </w:t>
      </w:r>
      <w:r w:rsidRPr="006C459C">
        <w:rPr>
          <w:rFonts w:ascii="Cambria" w:hAnsi="Cambria"/>
          <w:sz w:val="16"/>
          <w:szCs w:val="16"/>
          <w:lang w:val="es-AR"/>
        </w:rPr>
        <w:t xml:space="preserve">Anexo </w:t>
      </w:r>
      <w:r w:rsidR="009E1328" w:rsidRPr="006C459C">
        <w:rPr>
          <w:rFonts w:ascii="Cambria" w:hAnsi="Cambria"/>
          <w:sz w:val="16"/>
          <w:szCs w:val="16"/>
          <w:lang w:val="es-AR"/>
        </w:rPr>
        <w:t>3</w:t>
      </w:r>
      <w:r w:rsidRPr="006C459C">
        <w:rPr>
          <w:rFonts w:ascii="Cambria" w:hAnsi="Cambria"/>
          <w:sz w:val="16"/>
          <w:szCs w:val="16"/>
          <w:lang w:val="es-AR"/>
        </w:rPr>
        <w:t>. Escrito de querella civil y penal de Franklin Plutarco García Espinosa de 5 de noviembre de 1993. Anexo al escrito de la peticionaria de 3 de agosto de 1995.</w:t>
      </w:r>
    </w:p>
  </w:footnote>
  <w:footnote w:id="11">
    <w:p w:rsidR="006A3859" w:rsidRPr="006C459C" w:rsidRDefault="006A3859" w:rsidP="00D060AD">
      <w:pPr>
        <w:jc w:val="both"/>
        <w:rPr>
          <w:rFonts w:ascii="Cambria" w:hAnsi="Cambria"/>
          <w:sz w:val="16"/>
          <w:szCs w:val="16"/>
          <w:lang w:val="es-CO"/>
        </w:rPr>
      </w:pPr>
      <w:r w:rsidRPr="006C459C">
        <w:rPr>
          <w:rStyle w:val="FootnoteReference"/>
          <w:rFonts w:ascii="Cambria" w:hAnsi="Cambria"/>
          <w:sz w:val="16"/>
          <w:szCs w:val="16"/>
        </w:rPr>
        <w:footnoteRef/>
      </w:r>
      <w:r w:rsidRPr="006C459C">
        <w:rPr>
          <w:rFonts w:ascii="Cambria" w:hAnsi="Cambria"/>
          <w:sz w:val="16"/>
          <w:szCs w:val="16"/>
          <w:lang w:val="es-CR"/>
        </w:rPr>
        <w:t xml:space="preserve"> Anexo </w:t>
      </w:r>
      <w:r w:rsidR="009E1328" w:rsidRPr="006C459C">
        <w:rPr>
          <w:rFonts w:ascii="Cambria" w:hAnsi="Cambria"/>
          <w:sz w:val="16"/>
          <w:szCs w:val="16"/>
          <w:lang w:val="es-CR"/>
        </w:rPr>
        <w:t>4</w:t>
      </w:r>
      <w:r w:rsidRPr="006C459C">
        <w:rPr>
          <w:rFonts w:ascii="Cambria" w:hAnsi="Cambria"/>
          <w:sz w:val="16"/>
          <w:szCs w:val="16"/>
          <w:lang w:val="es-CR"/>
        </w:rPr>
        <w:t>. Sentencia del Tribunal Penal de Imbabura de 3 de septiembre de 1995. Anexo al escrito de la peticionaria de 11 de junio de 1999.</w:t>
      </w:r>
    </w:p>
  </w:footnote>
  <w:footnote w:id="12">
    <w:p w:rsidR="006A3859" w:rsidRPr="006C459C" w:rsidRDefault="006A3859" w:rsidP="00D060AD">
      <w:pPr>
        <w:jc w:val="both"/>
        <w:rPr>
          <w:rFonts w:ascii="Cambria" w:hAnsi="Cambria"/>
          <w:sz w:val="16"/>
          <w:szCs w:val="16"/>
          <w:lang w:val="es-AR"/>
        </w:rPr>
      </w:pPr>
      <w:r w:rsidRPr="006C459C">
        <w:rPr>
          <w:rStyle w:val="FootnoteReference"/>
          <w:rFonts w:ascii="Cambria" w:hAnsi="Cambria"/>
          <w:sz w:val="16"/>
          <w:szCs w:val="16"/>
        </w:rPr>
        <w:footnoteRef/>
      </w:r>
      <w:r w:rsidRPr="006C459C">
        <w:rPr>
          <w:rFonts w:ascii="Cambria" w:hAnsi="Cambria"/>
          <w:sz w:val="16"/>
          <w:szCs w:val="16"/>
          <w:lang w:val="es-AR"/>
        </w:rPr>
        <w:t xml:space="preserve"> Anexo </w:t>
      </w:r>
      <w:r w:rsidR="009E1328" w:rsidRPr="006C459C">
        <w:rPr>
          <w:rFonts w:ascii="Cambria" w:hAnsi="Cambria"/>
          <w:sz w:val="16"/>
          <w:szCs w:val="16"/>
          <w:lang w:val="es-AR"/>
        </w:rPr>
        <w:t>3</w:t>
      </w:r>
      <w:r w:rsidRPr="006C459C">
        <w:rPr>
          <w:rFonts w:ascii="Cambria" w:hAnsi="Cambria"/>
          <w:sz w:val="16"/>
          <w:szCs w:val="16"/>
          <w:lang w:val="es-AR"/>
        </w:rPr>
        <w:t>. Escrito de querella civil y penal de Franklin Plutarco García Espinosa de 5 de noviembre de 1993. Anexo al escrito de la peticionaria de 3 de agosto de 1995.</w:t>
      </w:r>
    </w:p>
  </w:footnote>
  <w:footnote w:id="13">
    <w:p w:rsidR="006A3859" w:rsidRPr="006C459C" w:rsidRDefault="006A3859" w:rsidP="00D060AD">
      <w:pPr>
        <w:jc w:val="both"/>
        <w:rPr>
          <w:rFonts w:ascii="Cambria" w:hAnsi="Cambria"/>
          <w:sz w:val="16"/>
          <w:szCs w:val="16"/>
          <w:lang w:val="es-AR"/>
        </w:rPr>
      </w:pPr>
      <w:r w:rsidRPr="006C459C">
        <w:rPr>
          <w:rStyle w:val="FootnoteReference"/>
          <w:rFonts w:ascii="Cambria" w:hAnsi="Cambria"/>
          <w:sz w:val="16"/>
          <w:szCs w:val="16"/>
        </w:rPr>
        <w:footnoteRef/>
      </w:r>
      <w:r w:rsidRPr="006C459C">
        <w:rPr>
          <w:rFonts w:ascii="Cambria" w:hAnsi="Cambria"/>
          <w:sz w:val="16"/>
          <w:szCs w:val="16"/>
          <w:lang w:val="es-AR"/>
        </w:rPr>
        <w:t xml:space="preserve"> Anexo </w:t>
      </w:r>
      <w:r w:rsidR="009E1328" w:rsidRPr="006C459C">
        <w:rPr>
          <w:rFonts w:ascii="Cambria" w:hAnsi="Cambria"/>
          <w:sz w:val="16"/>
          <w:szCs w:val="16"/>
          <w:lang w:val="es-AR"/>
        </w:rPr>
        <w:t>3</w:t>
      </w:r>
      <w:r w:rsidRPr="006C459C">
        <w:rPr>
          <w:rFonts w:ascii="Cambria" w:hAnsi="Cambria"/>
          <w:sz w:val="16"/>
          <w:szCs w:val="16"/>
          <w:lang w:val="es-AR"/>
        </w:rPr>
        <w:t>. Escrito de querella civil y penal de Franklin Plutarco García Espinosa de 5 de noviembre de 1993. Anexo al escrito de la peticionaria de 3 de agosto de 1995.</w:t>
      </w:r>
    </w:p>
  </w:footnote>
  <w:footnote w:id="14">
    <w:p w:rsidR="006A3859" w:rsidRPr="006C459C" w:rsidRDefault="006A3859" w:rsidP="00D060AD">
      <w:pPr>
        <w:jc w:val="both"/>
        <w:rPr>
          <w:rFonts w:ascii="Cambria" w:hAnsi="Cambria"/>
          <w:sz w:val="16"/>
          <w:szCs w:val="16"/>
          <w:lang w:val="es-AR"/>
        </w:rPr>
      </w:pPr>
      <w:r w:rsidRPr="006C459C">
        <w:rPr>
          <w:rStyle w:val="FootnoteReference"/>
          <w:rFonts w:ascii="Cambria" w:hAnsi="Cambria"/>
          <w:sz w:val="16"/>
          <w:szCs w:val="16"/>
        </w:rPr>
        <w:footnoteRef/>
      </w:r>
      <w:r w:rsidRPr="006C459C">
        <w:rPr>
          <w:rFonts w:ascii="Cambria" w:hAnsi="Cambria"/>
          <w:sz w:val="16"/>
          <w:szCs w:val="16"/>
          <w:lang w:val="es-AR"/>
        </w:rPr>
        <w:t xml:space="preserve"> Anexo </w:t>
      </w:r>
      <w:r w:rsidR="009E1328" w:rsidRPr="006C459C">
        <w:rPr>
          <w:rFonts w:ascii="Cambria" w:hAnsi="Cambria"/>
          <w:sz w:val="16"/>
          <w:szCs w:val="16"/>
          <w:lang w:val="es-AR"/>
        </w:rPr>
        <w:t>3</w:t>
      </w:r>
      <w:r w:rsidRPr="006C459C">
        <w:rPr>
          <w:rFonts w:ascii="Cambria" w:hAnsi="Cambria"/>
          <w:sz w:val="16"/>
          <w:szCs w:val="16"/>
          <w:lang w:val="es-AR"/>
        </w:rPr>
        <w:t>. Escrito de querella civil y penal de Franklin Plutarco García Espinosa de 5 de noviembre de 1993. Anexo al escrito de la peticionaria de 3 de agosto de 1995.</w:t>
      </w:r>
    </w:p>
  </w:footnote>
  <w:footnote w:id="15">
    <w:p w:rsidR="006A3859" w:rsidRPr="006C459C" w:rsidRDefault="006A3859" w:rsidP="00D060AD">
      <w:pPr>
        <w:jc w:val="both"/>
        <w:rPr>
          <w:rFonts w:ascii="Cambria" w:hAnsi="Cambria"/>
          <w:sz w:val="16"/>
          <w:szCs w:val="16"/>
          <w:lang w:val="es-AR"/>
        </w:rPr>
      </w:pPr>
      <w:r w:rsidRPr="006C459C">
        <w:rPr>
          <w:rStyle w:val="FootnoteReference"/>
          <w:rFonts w:ascii="Cambria" w:hAnsi="Cambria"/>
          <w:sz w:val="16"/>
          <w:szCs w:val="16"/>
        </w:rPr>
        <w:footnoteRef/>
      </w:r>
      <w:r w:rsidRPr="006C459C">
        <w:rPr>
          <w:rFonts w:ascii="Cambria" w:hAnsi="Cambria"/>
          <w:sz w:val="16"/>
          <w:szCs w:val="16"/>
          <w:lang w:val="es-AR"/>
        </w:rPr>
        <w:t xml:space="preserve"> Anexo </w:t>
      </w:r>
      <w:r w:rsidR="009E1328" w:rsidRPr="006C459C">
        <w:rPr>
          <w:rFonts w:ascii="Cambria" w:hAnsi="Cambria"/>
          <w:sz w:val="16"/>
          <w:szCs w:val="16"/>
          <w:lang w:val="es-AR"/>
        </w:rPr>
        <w:t>3</w:t>
      </w:r>
      <w:r w:rsidRPr="006C459C">
        <w:rPr>
          <w:rFonts w:ascii="Cambria" w:hAnsi="Cambria"/>
          <w:sz w:val="16"/>
          <w:szCs w:val="16"/>
          <w:lang w:val="es-AR"/>
        </w:rPr>
        <w:t>. Escrito de querella civil y penal de Franklin Plutarco García Espinosa de 5 de noviembre de 1993. Anexo al escrito de la peticionaria de 3 de agosto de 1995.</w:t>
      </w:r>
    </w:p>
  </w:footnote>
  <w:footnote w:id="16">
    <w:p w:rsidR="006A3859" w:rsidRPr="006C459C" w:rsidRDefault="006A3859" w:rsidP="00D060AD">
      <w:pPr>
        <w:jc w:val="both"/>
        <w:rPr>
          <w:rFonts w:ascii="Cambria" w:hAnsi="Cambria"/>
          <w:sz w:val="16"/>
          <w:szCs w:val="16"/>
          <w:lang w:val="es-CR"/>
        </w:rPr>
      </w:pPr>
      <w:r w:rsidRPr="006C459C">
        <w:rPr>
          <w:rStyle w:val="FootnoteReference"/>
          <w:rFonts w:ascii="Cambria" w:hAnsi="Cambria"/>
          <w:sz w:val="16"/>
          <w:szCs w:val="16"/>
        </w:rPr>
        <w:footnoteRef/>
      </w:r>
      <w:r w:rsidRPr="006C459C">
        <w:rPr>
          <w:rFonts w:ascii="Cambria" w:hAnsi="Cambria"/>
          <w:sz w:val="16"/>
          <w:szCs w:val="16"/>
          <w:lang w:val="es-CR"/>
        </w:rPr>
        <w:t xml:space="preserve"> Anexo </w:t>
      </w:r>
      <w:r w:rsidR="009E1328" w:rsidRPr="006C459C">
        <w:rPr>
          <w:rFonts w:ascii="Cambria" w:hAnsi="Cambria"/>
          <w:sz w:val="16"/>
          <w:szCs w:val="16"/>
          <w:lang w:val="es-CR"/>
        </w:rPr>
        <w:t>4</w:t>
      </w:r>
      <w:r w:rsidRPr="006C459C">
        <w:rPr>
          <w:rFonts w:ascii="Cambria" w:hAnsi="Cambria"/>
          <w:sz w:val="16"/>
          <w:szCs w:val="16"/>
          <w:lang w:val="es-CR"/>
        </w:rPr>
        <w:t>. Sentencia del Tribunal Penal de Imbabura de 3 de septiembre de 1995. Anexo al escrito de la peticionaria de 11 de junio de 1999.</w:t>
      </w:r>
    </w:p>
  </w:footnote>
  <w:footnote w:id="17">
    <w:p w:rsidR="006A3859" w:rsidRPr="006C459C" w:rsidRDefault="006A3859" w:rsidP="00D060AD">
      <w:pPr>
        <w:jc w:val="both"/>
        <w:rPr>
          <w:rFonts w:ascii="Cambria" w:hAnsi="Cambria"/>
          <w:sz w:val="16"/>
          <w:szCs w:val="16"/>
          <w:lang w:val="es-CO"/>
        </w:rPr>
      </w:pPr>
      <w:r w:rsidRPr="006C459C">
        <w:rPr>
          <w:rStyle w:val="FootnoteReference"/>
          <w:rFonts w:ascii="Cambria" w:hAnsi="Cambria"/>
          <w:sz w:val="16"/>
          <w:szCs w:val="16"/>
        </w:rPr>
        <w:footnoteRef/>
      </w:r>
      <w:r w:rsidRPr="006C459C">
        <w:rPr>
          <w:rFonts w:ascii="Cambria" w:hAnsi="Cambria"/>
          <w:sz w:val="16"/>
          <w:szCs w:val="16"/>
          <w:lang w:val="es-CR"/>
        </w:rPr>
        <w:t xml:space="preserve"> Anexo </w:t>
      </w:r>
      <w:r w:rsidR="009E1328" w:rsidRPr="006C459C">
        <w:rPr>
          <w:rFonts w:ascii="Cambria" w:hAnsi="Cambria"/>
          <w:sz w:val="16"/>
          <w:szCs w:val="16"/>
          <w:lang w:val="es-CR"/>
        </w:rPr>
        <w:t>4</w:t>
      </w:r>
      <w:r w:rsidRPr="006C459C">
        <w:rPr>
          <w:rFonts w:ascii="Cambria" w:hAnsi="Cambria"/>
          <w:sz w:val="16"/>
          <w:szCs w:val="16"/>
          <w:lang w:val="es-CR"/>
        </w:rPr>
        <w:t>. Sentencia del Tribunal Penal de Imbabura de 3 de septiembre de 1995. Anexo al escrito de la peticionaria de 11 de junio de 1999.</w:t>
      </w:r>
    </w:p>
  </w:footnote>
  <w:footnote w:id="18">
    <w:p w:rsidR="006A3859" w:rsidRPr="006C459C" w:rsidRDefault="006A3859" w:rsidP="00D060AD">
      <w:pPr>
        <w:jc w:val="both"/>
        <w:rPr>
          <w:rFonts w:ascii="Cambria" w:hAnsi="Cambria"/>
          <w:sz w:val="16"/>
          <w:szCs w:val="16"/>
          <w:lang w:val="es-AR"/>
        </w:rPr>
      </w:pPr>
      <w:r w:rsidRPr="006C459C">
        <w:rPr>
          <w:rStyle w:val="FootnoteReference"/>
          <w:rFonts w:ascii="Cambria" w:hAnsi="Cambria"/>
          <w:sz w:val="16"/>
          <w:szCs w:val="16"/>
        </w:rPr>
        <w:footnoteRef/>
      </w:r>
      <w:r w:rsidRPr="006C459C">
        <w:rPr>
          <w:rFonts w:ascii="Cambria" w:hAnsi="Cambria"/>
          <w:sz w:val="16"/>
          <w:szCs w:val="16"/>
          <w:lang w:val="es-CO"/>
        </w:rPr>
        <w:t xml:space="preserve"> </w:t>
      </w:r>
      <w:r w:rsidRPr="006C459C">
        <w:rPr>
          <w:rFonts w:ascii="Cambria" w:hAnsi="Cambria"/>
          <w:sz w:val="16"/>
          <w:szCs w:val="16"/>
          <w:lang w:val="es-AR"/>
        </w:rPr>
        <w:t xml:space="preserve">Anexo </w:t>
      </w:r>
      <w:r w:rsidR="009E1328" w:rsidRPr="006C459C">
        <w:rPr>
          <w:rFonts w:ascii="Cambria" w:hAnsi="Cambria"/>
          <w:sz w:val="16"/>
          <w:szCs w:val="16"/>
          <w:lang w:val="es-AR"/>
        </w:rPr>
        <w:t>5</w:t>
      </w:r>
      <w:r w:rsidRPr="006C459C">
        <w:rPr>
          <w:rFonts w:ascii="Cambria" w:hAnsi="Cambria"/>
          <w:sz w:val="16"/>
          <w:szCs w:val="16"/>
          <w:lang w:val="es-AR"/>
        </w:rPr>
        <w:t>.  Sentencia de la Segunda Sala de la Corte Superior de Justicia de Ibarra de 29 de agosto de 1995. Anexo al escrito de la peticionaria de 21 de marzo de 1996.</w:t>
      </w:r>
    </w:p>
  </w:footnote>
  <w:footnote w:id="19">
    <w:p w:rsidR="006A3859" w:rsidRPr="006C459C" w:rsidRDefault="006A3859" w:rsidP="00D060AD">
      <w:pPr>
        <w:jc w:val="both"/>
        <w:rPr>
          <w:rFonts w:ascii="Cambria" w:hAnsi="Cambria"/>
          <w:sz w:val="16"/>
          <w:szCs w:val="16"/>
          <w:lang w:val="es-AR"/>
        </w:rPr>
      </w:pPr>
      <w:r w:rsidRPr="006C459C">
        <w:rPr>
          <w:rStyle w:val="FootnoteReference"/>
          <w:rFonts w:ascii="Cambria" w:hAnsi="Cambria"/>
          <w:sz w:val="16"/>
          <w:szCs w:val="16"/>
        </w:rPr>
        <w:footnoteRef/>
      </w:r>
      <w:r w:rsidRPr="006C459C">
        <w:rPr>
          <w:rFonts w:ascii="Cambria" w:hAnsi="Cambria"/>
          <w:sz w:val="16"/>
          <w:szCs w:val="16"/>
          <w:lang w:val="es-CO"/>
        </w:rPr>
        <w:t xml:space="preserve"> </w:t>
      </w:r>
      <w:r w:rsidRPr="006C459C">
        <w:rPr>
          <w:rFonts w:ascii="Cambria" w:hAnsi="Cambria"/>
          <w:sz w:val="16"/>
          <w:szCs w:val="16"/>
          <w:lang w:val="es-AR"/>
        </w:rPr>
        <w:t xml:space="preserve">Anexo </w:t>
      </w:r>
      <w:r w:rsidR="009E1328" w:rsidRPr="006C459C">
        <w:rPr>
          <w:rFonts w:ascii="Cambria" w:hAnsi="Cambria"/>
          <w:sz w:val="16"/>
          <w:szCs w:val="16"/>
          <w:lang w:val="es-AR"/>
        </w:rPr>
        <w:t>5</w:t>
      </w:r>
      <w:r w:rsidRPr="006C459C">
        <w:rPr>
          <w:rFonts w:ascii="Cambria" w:hAnsi="Cambria"/>
          <w:sz w:val="16"/>
          <w:szCs w:val="16"/>
          <w:lang w:val="es-AR"/>
        </w:rPr>
        <w:t>.  Sentencia de la Segunda Sala de la Corte Superior de Justicia de Ibarra de 29 de agosto de 1995. Anexo al escrito de la peticionaria de 21 de marzo de 1996.</w:t>
      </w:r>
    </w:p>
  </w:footnote>
  <w:footnote w:id="20">
    <w:p w:rsidR="006A3859" w:rsidRPr="006C459C" w:rsidRDefault="006A3859" w:rsidP="00D060AD">
      <w:pPr>
        <w:jc w:val="both"/>
        <w:rPr>
          <w:rFonts w:ascii="Cambria" w:hAnsi="Cambria"/>
          <w:sz w:val="16"/>
          <w:szCs w:val="16"/>
          <w:lang w:val="es-AR"/>
        </w:rPr>
      </w:pPr>
      <w:r w:rsidRPr="006C459C">
        <w:rPr>
          <w:rStyle w:val="FootnoteReference"/>
          <w:rFonts w:ascii="Cambria" w:hAnsi="Cambria"/>
          <w:sz w:val="16"/>
          <w:szCs w:val="16"/>
        </w:rPr>
        <w:footnoteRef/>
      </w:r>
      <w:r w:rsidRPr="006C459C">
        <w:rPr>
          <w:rFonts w:ascii="Cambria" w:hAnsi="Cambria"/>
          <w:sz w:val="16"/>
          <w:szCs w:val="16"/>
          <w:lang w:val="es-CO"/>
        </w:rPr>
        <w:t xml:space="preserve"> </w:t>
      </w:r>
      <w:r w:rsidRPr="006C459C">
        <w:rPr>
          <w:rFonts w:ascii="Cambria" w:hAnsi="Cambria"/>
          <w:sz w:val="16"/>
          <w:szCs w:val="16"/>
          <w:lang w:val="es-AR"/>
        </w:rPr>
        <w:t xml:space="preserve">Anexo </w:t>
      </w:r>
      <w:r w:rsidR="009E1328" w:rsidRPr="006C459C">
        <w:rPr>
          <w:rFonts w:ascii="Cambria" w:hAnsi="Cambria"/>
          <w:sz w:val="16"/>
          <w:szCs w:val="16"/>
          <w:lang w:val="es-AR"/>
        </w:rPr>
        <w:t>5</w:t>
      </w:r>
      <w:r w:rsidRPr="006C459C">
        <w:rPr>
          <w:rFonts w:ascii="Cambria" w:hAnsi="Cambria"/>
          <w:sz w:val="16"/>
          <w:szCs w:val="16"/>
          <w:lang w:val="es-AR"/>
        </w:rPr>
        <w:t>.  Sentencia de la Segunda Sala de la Corte Superior de Justicia de Ibarra de 29 de agosto de 1995. Anexo al escrito de la peticionaria de 21 de marzo de 1996.</w:t>
      </w:r>
    </w:p>
  </w:footnote>
  <w:footnote w:id="21">
    <w:p w:rsidR="006A3859" w:rsidRPr="006C459C" w:rsidRDefault="006A3859" w:rsidP="00D060AD">
      <w:pPr>
        <w:pStyle w:val="FootnoteText"/>
        <w:jc w:val="both"/>
        <w:rPr>
          <w:rFonts w:ascii="Cambria" w:hAnsi="Cambria"/>
          <w:sz w:val="16"/>
          <w:szCs w:val="16"/>
          <w:lang w:val="es-ES"/>
        </w:rPr>
      </w:pPr>
      <w:r w:rsidRPr="006C459C">
        <w:rPr>
          <w:rStyle w:val="FootnoteReference"/>
          <w:rFonts w:ascii="Cambria" w:hAnsi="Cambria"/>
          <w:sz w:val="16"/>
          <w:szCs w:val="16"/>
        </w:rPr>
        <w:footnoteRef/>
      </w:r>
      <w:r w:rsidRPr="006C459C">
        <w:rPr>
          <w:rFonts w:ascii="Cambria" w:hAnsi="Cambria"/>
          <w:sz w:val="16"/>
          <w:szCs w:val="16"/>
          <w:lang w:val="es-AR"/>
        </w:rPr>
        <w:t xml:space="preserve"> </w:t>
      </w:r>
      <w:r w:rsidRPr="006C459C">
        <w:rPr>
          <w:rFonts w:ascii="Cambria" w:hAnsi="Cambria"/>
          <w:sz w:val="16"/>
          <w:szCs w:val="16"/>
          <w:lang w:val="es-ES"/>
        </w:rPr>
        <w:t xml:space="preserve">Anexo </w:t>
      </w:r>
      <w:r w:rsidR="009E1328" w:rsidRPr="006C459C">
        <w:rPr>
          <w:rFonts w:ascii="Cambria" w:hAnsi="Cambria"/>
          <w:sz w:val="16"/>
          <w:szCs w:val="16"/>
          <w:lang w:val="es-ES"/>
        </w:rPr>
        <w:t>1</w:t>
      </w:r>
      <w:r w:rsidRPr="006C459C">
        <w:rPr>
          <w:rFonts w:ascii="Cambria" w:hAnsi="Cambria"/>
          <w:sz w:val="16"/>
          <w:szCs w:val="16"/>
          <w:lang w:val="es-ES"/>
        </w:rPr>
        <w:t xml:space="preserve">. Protocolo de necropsia, de 12 de septiembre de 1993. </w:t>
      </w:r>
      <w:r w:rsidRPr="006C459C">
        <w:rPr>
          <w:rFonts w:ascii="Cambria" w:hAnsi="Cambria"/>
          <w:sz w:val="16"/>
          <w:szCs w:val="16"/>
          <w:lang w:val="es-AR"/>
        </w:rPr>
        <w:t>Anexo a la petición inicial de la peticionaria.</w:t>
      </w:r>
    </w:p>
  </w:footnote>
  <w:footnote w:id="22">
    <w:p w:rsidR="006A3859" w:rsidRPr="006C459C" w:rsidRDefault="006A3859" w:rsidP="00D060AD">
      <w:pPr>
        <w:jc w:val="both"/>
        <w:rPr>
          <w:rFonts w:ascii="Cambria" w:hAnsi="Cambria"/>
          <w:sz w:val="16"/>
          <w:szCs w:val="16"/>
          <w:lang w:val="es-AR"/>
        </w:rPr>
      </w:pPr>
      <w:r w:rsidRPr="006C459C">
        <w:rPr>
          <w:rStyle w:val="FootnoteReference"/>
          <w:rFonts w:ascii="Cambria" w:hAnsi="Cambria"/>
          <w:sz w:val="16"/>
          <w:szCs w:val="16"/>
        </w:rPr>
        <w:footnoteRef/>
      </w:r>
      <w:r w:rsidRPr="006C459C">
        <w:rPr>
          <w:rFonts w:ascii="Cambria" w:hAnsi="Cambria"/>
          <w:sz w:val="16"/>
          <w:szCs w:val="16"/>
          <w:lang w:val="es-AR"/>
        </w:rPr>
        <w:t xml:space="preserve"> Anexo </w:t>
      </w:r>
      <w:r w:rsidR="009E1328" w:rsidRPr="006C459C">
        <w:rPr>
          <w:rFonts w:ascii="Cambria" w:hAnsi="Cambria"/>
          <w:sz w:val="16"/>
          <w:szCs w:val="16"/>
          <w:lang w:val="es-AR"/>
        </w:rPr>
        <w:t xml:space="preserve"> 6</w:t>
      </w:r>
      <w:r w:rsidRPr="006C459C">
        <w:rPr>
          <w:rFonts w:ascii="Cambria" w:hAnsi="Cambria"/>
          <w:sz w:val="16"/>
          <w:szCs w:val="16"/>
          <w:lang w:val="es-AR"/>
        </w:rPr>
        <w:t>.  Informe policial de 1 de octubre de 1993. Anexo al escrito de la peticionaria de 22 de noviembre de 1995.</w:t>
      </w:r>
    </w:p>
  </w:footnote>
  <w:footnote w:id="23">
    <w:p w:rsidR="006A3859" w:rsidRPr="006C459C" w:rsidRDefault="006A3859" w:rsidP="00D060AD">
      <w:pPr>
        <w:jc w:val="both"/>
        <w:rPr>
          <w:rFonts w:ascii="Cambria" w:hAnsi="Cambria"/>
          <w:sz w:val="16"/>
          <w:szCs w:val="16"/>
          <w:lang w:val="es-AR"/>
        </w:rPr>
      </w:pPr>
      <w:r w:rsidRPr="006C459C">
        <w:rPr>
          <w:rStyle w:val="FootnoteReference"/>
          <w:rFonts w:ascii="Cambria" w:hAnsi="Cambria"/>
          <w:sz w:val="16"/>
          <w:szCs w:val="16"/>
        </w:rPr>
        <w:footnoteRef/>
      </w:r>
      <w:r w:rsidR="009E1328" w:rsidRPr="006C459C">
        <w:rPr>
          <w:rFonts w:ascii="Cambria" w:hAnsi="Cambria"/>
          <w:sz w:val="16"/>
          <w:szCs w:val="16"/>
          <w:lang w:val="es-CR"/>
        </w:rPr>
        <w:t xml:space="preserve"> Anexo 4.</w:t>
      </w:r>
      <w:r w:rsidRPr="006C459C">
        <w:rPr>
          <w:rFonts w:ascii="Cambria" w:hAnsi="Cambria"/>
          <w:sz w:val="16"/>
          <w:szCs w:val="16"/>
          <w:lang w:val="es-CR"/>
        </w:rPr>
        <w:t xml:space="preserve"> Sentencia del Tribunal Penal de Imbabura de 3 de septiembre de 1996. Anexo al escrito de la peticionaria de 11 de junio de 1999.</w:t>
      </w:r>
    </w:p>
  </w:footnote>
  <w:footnote w:id="24">
    <w:p w:rsidR="006A3859" w:rsidRPr="006C459C" w:rsidRDefault="006A3859" w:rsidP="00D060AD">
      <w:pPr>
        <w:pStyle w:val="FootnoteText"/>
        <w:jc w:val="both"/>
        <w:rPr>
          <w:rFonts w:ascii="Cambria" w:hAnsi="Cambria"/>
          <w:sz w:val="16"/>
          <w:szCs w:val="16"/>
          <w:lang w:val="es-ES"/>
        </w:rPr>
      </w:pPr>
      <w:r w:rsidRPr="006C459C">
        <w:rPr>
          <w:rStyle w:val="FootnoteReference"/>
          <w:rFonts w:ascii="Cambria" w:hAnsi="Cambria"/>
          <w:sz w:val="16"/>
          <w:szCs w:val="16"/>
        </w:rPr>
        <w:footnoteRef/>
      </w:r>
      <w:r w:rsidRPr="006C459C">
        <w:rPr>
          <w:rFonts w:ascii="Cambria" w:hAnsi="Cambria"/>
          <w:sz w:val="16"/>
          <w:szCs w:val="16"/>
          <w:lang w:val="es-ES"/>
        </w:rPr>
        <w:t xml:space="preserve"> </w:t>
      </w:r>
      <w:r w:rsidRPr="006C459C">
        <w:rPr>
          <w:rFonts w:ascii="Cambria" w:hAnsi="Cambria"/>
          <w:sz w:val="16"/>
          <w:szCs w:val="16"/>
          <w:lang w:val="es-AR"/>
        </w:rPr>
        <w:t xml:space="preserve">Anexo </w:t>
      </w:r>
      <w:r w:rsidR="009E1328" w:rsidRPr="006C459C">
        <w:rPr>
          <w:rFonts w:ascii="Cambria" w:hAnsi="Cambria"/>
          <w:sz w:val="16"/>
          <w:szCs w:val="16"/>
          <w:lang w:val="es-AR"/>
        </w:rPr>
        <w:t>7</w:t>
      </w:r>
      <w:r w:rsidRPr="006C459C">
        <w:rPr>
          <w:rFonts w:ascii="Cambria" w:hAnsi="Cambria"/>
          <w:sz w:val="16"/>
          <w:szCs w:val="16"/>
          <w:lang w:val="es-AR"/>
        </w:rPr>
        <w:t>. Dictamen Fiscal ante el Juzgado Tercero penal de Imbabura de 1 de septiembre de 1994. Anexo al escrito de la peticionaria recibido el 22 de noviembre de 1995.</w:t>
      </w:r>
    </w:p>
  </w:footnote>
  <w:footnote w:id="25">
    <w:p w:rsidR="006A3859" w:rsidRPr="006C459C" w:rsidRDefault="006A3859" w:rsidP="00D060AD">
      <w:pPr>
        <w:jc w:val="both"/>
        <w:rPr>
          <w:rFonts w:ascii="Cambria" w:hAnsi="Cambria"/>
          <w:sz w:val="16"/>
          <w:szCs w:val="16"/>
          <w:lang w:val="es-AR"/>
        </w:rPr>
      </w:pPr>
      <w:r w:rsidRPr="006C459C">
        <w:rPr>
          <w:rStyle w:val="FootnoteReference"/>
          <w:rFonts w:ascii="Cambria" w:hAnsi="Cambria"/>
          <w:sz w:val="16"/>
          <w:szCs w:val="16"/>
        </w:rPr>
        <w:footnoteRef/>
      </w:r>
      <w:r w:rsidRPr="006C459C">
        <w:rPr>
          <w:rFonts w:ascii="Cambria" w:hAnsi="Cambria"/>
          <w:sz w:val="16"/>
          <w:szCs w:val="16"/>
          <w:lang w:val="es-CR"/>
        </w:rPr>
        <w:t xml:space="preserve"> </w:t>
      </w:r>
      <w:r w:rsidRPr="006C459C">
        <w:rPr>
          <w:rFonts w:ascii="Cambria" w:hAnsi="Cambria"/>
          <w:sz w:val="16"/>
          <w:szCs w:val="16"/>
          <w:lang w:val="es-AR"/>
        </w:rPr>
        <w:t xml:space="preserve">Anexo </w:t>
      </w:r>
      <w:r w:rsidR="009E1328" w:rsidRPr="006C459C">
        <w:rPr>
          <w:rFonts w:ascii="Cambria" w:hAnsi="Cambria"/>
          <w:sz w:val="16"/>
          <w:szCs w:val="16"/>
          <w:lang w:val="es-AR"/>
        </w:rPr>
        <w:t>7</w:t>
      </w:r>
      <w:r w:rsidRPr="006C459C">
        <w:rPr>
          <w:rFonts w:ascii="Cambria" w:hAnsi="Cambria"/>
          <w:sz w:val="16"/>
          <w:szCs w:val="16"/>
          <w:lang w:val="es-AR"/>
        </w:rPr>
        <w:t>. Dictamen Fiscal ante el Juzgado Tercero penal de Imbabura de 1 de septiembre de 1994. Anexo al escrito de la peticionaria recibido el 22 de noviembre de 1995.</w:t>
      </w:r>
    </w:p>
  </w:footnote>
  <w:footnote w:id="26">
    <w:p w:rsidR="006A3859" w:rsidRPr="006C459C" w:rsidRDefault="006A3859" w:rsidP="00D060AD">
      <w:pPr>
        <w:jc w:val="both"/>
        <w:rPr>
          <w:rFonts w:ascii="Cambria" w:hAnsi="Cambria"/>
          <w:sz w:val="16"/>
          <w:szCs w:val="16"/>
          <w:lang w:val="es-AR"/>
        </w:rPr>
      </w:pPr>
      <w:r w:rsidRPr="006C459C">
        <w:rPr>
          <w:rStyle w:val="FootnoteReference"/>
          <w:rFonts w:ascii="Cambria" w:hAnsi="Cambria"/>
          <w:sz w:val="16"/>
          <w:szCs w:val="16"/>
        </w:rPr>
        <w:footnoteRef/>
      </w:r>
      <w:r w:rsidRPr="006C459C">
        <w:rPr>
          <w:rFonts w:ascii="Cambria" w:hAnsi="Cambria"/>
          <w:sz w:val="16"/>
          <w:szCs w:val="16"/>
          <w:lang w:val="es-CR"/>
        </w:rPr>
        <w:t xml:space="preserve"> </w:t>
      </w:r>
      <w:r w:rsidRPr="006C459C">
        <w:rPr>
          <w:rFonts w:ascii="Cambria" w:hAnsi="Cambria"/>
          <w:sz w:val="16"/>
          <w:szCs w:val="16"/>
          <w:lang w:val="es-AR"/>
        </w:rPr>
        <w:t xml:space="preserve">Anexo </w:t>
      </w:r>
      <w:r w:rsidR="009E1328" w:rsidRPr="006C459C">
        <w:rPr>
          <w:rFonts w:ascii="Cambria" w:hAnsi="Cambria"/>
          <w:sz w:val="16"/>
          <w:szCs w:val="16"/>
          <w:lang w:val="es-AR"/>
        </w:rPr>
        <w:t>8</w:t>
      </w:r>
      <w:r w:rsidRPr="006C459C">
        <w:rPr>
          <w:rFonts w:ascii="Cambria" w:hAnsi="Cambria"/>
          <w:sz w:val="16"/>
          <w:szCs w:val="16"/>
          <w:lang w:val="es-AR"/>
        </w:rPr>
        <w:t xml:space="preserve">. Declaración de Segundo Néstor de la Cruz </w:t>
      </w:r>
      <w:proofErr w:type="spellStart"/>
      <w:r w:rsidRPr="006C459C">
        <w:rPr>
          <w:rFonts w:ascii="Cambria" w:hAnsi="Cambria"/>
          <w:sz w:val="16"/>
          <w:szCs w:val="16"/>
          <w:lang w:val="es-AR"/>
        </w:rPr>
        <w:t>Chicaiza</w:t>
      </w:r>
      <w:proofErr w:type="spellEnd"/>
      <w:r w:rsidRPr="006C459C">
        <w:rPr>
          <w:rFonts w:ascii="Cambria" w:hAnsi="Cambria"/>
          <w:sz w:val="16"/>
          <w:szCs w:val="16"/>
          <w:lang w:val="es-AR"/>
        </w:rPr>
        <w:t xml:space="preserve"> ante la Dirección Nacional de Investigaciones de la Policía de Otavalo de 17 de septiembre de 1993. Anexo a la petición inicial de la peticionaria.</w:t>
      </w:r>
    </w:p>
  </w:footnote>
  <w:footnote w:id="27">
    <w:p w:rsidR="006A3859" w:rsidRPr="006C459C" w:rsidRDefault="006A3859" w:rsidP="00D060AD">
      <w:pPr>
        <w:jc w:val="both"/>
        <w:rPr>
          <w:rFonts w:ascii="Cambria" w:hAnsi="Cambria"/>
          <w:sz w:val="16"/>
          <w:szCs w:val="16"/>
          <w:lang w:val="es-AR"/>
        </w:rPr>
      </w:pPr>
      <w:r w:rsidRPr="006C459C">
        <w:rPr>
          <w:rStyle w:val="FootnoteReference"/>
          <w:rFonts w:ascii="Cambria" w:hAnsi="Cambria"/>
          <w:sz w:val="16"/>
          <w:szCs w:val="16"/>
        </w:rPr>
        <w:footnoteRef/>
      </w:r>
      <w:r w:rsidRPr="006C459C">
        <w:rPr>
          <w:rFonts w:ascii="Cambria" w:hAnsi="Cambria"/>
          <w:sz w:val="16"/>
          <w:szCs w:val="16"/>
          <w:lang w:val="es-CR"/>
        </w:rPr>
        <w:t xml:space="preserve"> </w:t>
      </w:r>
      <w:r w:rsidRPr="006C459C">
        <w:rPr>
          <w:rFonts w:ascii="Cambria" w:hAnsi="Cambria"/>
          <w:sz w:val="16"/>
          <w:szCs w:val="16"/>
          <w:lang w:val="es-AR"/>
        </w:rPr>
        <w:t xml:space="preserve">Anexo </w:t>
      </w:r>
      <w:r w:rsidR="009E1328" w:rsidRPr="006C459C">
        <w:rPr>
          <w:rFonts w:ascii="Cambria" w:hAnsi="Cambria"/>
          <w:sz w:val="16"/>
          <w:szCs w:val="16"/>
          <w:lang w:val="es-AR"/>
        </w:rPr>
        <w:t>9</w:t>
      </w:r>
      <w:r w:rsidRPr="006C459C">
        <w:rPr>
          <w:rFonts w:ascii="Cambria" w:hAnsi="Cambria"/>
          <w:sz w:val="16"/>
          <w:szCs w:val="16"/>
          <w:lang w:val="es-AR"/>
        </w:rPr>
        <w:t>. Declaración Edwin Ramiro Guzman Carrera ante la Dirección Nacional de Investigaciones de la Policía de Otavalo de 17 de septiembre de 1993. Anexo al escrito de la peticionaria de 22 de noviembre de 1995.</w:t>
      </w:r>
    </w:p>
  </w:footnote>
  <w:footnote w:id="28">
    <w:p w:rsidR="006A3859" w:rsidRPr="006C459C" w:rsidRDefault="006A3859" w:rsidP="00D060AD">
      <w:pPr>
        <w:jc w:val="both"/>
        <w:rPr>
          <w:rFonts w:ascii="Cambria" w:hAnsi="Cambria"/>
          <w:sz w:val="16"/>
          <w:szCs w:val="16"/>
          <w:lang w:val="es-AR"/>
        </w:rPr>
      </w:pPr>
      <w:r w:rsidRPr="006C459C">
        <w:rPr>
          <w:rStyle w:val="FootnoteReference"/>
          <w:rFonts w:ascii="Cambria" w:hAnsi="Cambria"/>
          <w:sz w:val="16"/>
          <w:szCs w:val="16"/>
        </w:rPr>
        <w:footnoteRef/>
      </w:r>
      <w:r w:rsidRPr="006C459C">
        <w:rPr>
          <w:rFonts w:ascii="Cambria" w:hAnsi="Cambria"/>
          <w:sz w:val="16"/>
          <w:szCs w:val="16"/>
          <w:lang w:val="es-CR"/>
        </w:rPr>
        <w:t xml:space="preserve"> </w:t>
      </w:r>
      <w:r w:rsidRPr="006C459C">
        <w:rPr>
          <w:rFonts w:ascii="Cambria" w:hAnsi="Cambria"/>
          <w:sz w:val="16"/>
          <w:szCs w:val="16"/>
          <w:lang w:val="es-AR"/>
        </w:rPr>
        <w:t xml:space="preserve">Anexo </w:t>
      </w:r>
      <w:r w:rsidR="009E1328" w:rsidRPr="006C459C">
        <w:rPr>
          <w:rFonts w:ascii="Cambria" w:hAnsi="Cambria"/>
          <w:sz w:val="16"/>
          <w:szCs w:val="16"/>
          <w:lang w:val="es-AR"/>
        </w:rPr>
        <w:t>10</w:t>
      </w:r>
      <w:r w:rsidRPr="006C459C">
        <w:rPr>
          <w:rFonts w:ascii="Cambria" w:hAnsi="Cambria"/>
          <w:sz w:val="16"/>
          <w:szCs w:val="16"/>
          <w:lang w:val="es-AR"/>
        </w:rPr>
        <w:t>. Declaración de Franklin Plutarco García Espinosa de 17 de septiembre de 1993. Anexo al escrito de la peticionaria de 22 de noviembre de 1995.</w:t>
      </w:r>
    </w:p>
  </w:footnote>
  <w:footnote w:id="29">
    <w:p w:rsidR="006A3859" w:rsidRPr="006C459C" w:rsidRDefault="006A3859" w:rsidP="00D060AD">
      <w:pPr>
        <w:jc w:val="both"/>
        <w:rPr>
          <w:rFonts w:ascii="Cambria" w:hAnsi="Cambria"/>
          <w:sz w:val="16"/>
          <w:szCs w:val="16"/>
          <w:lang w:val="es-AR"/>
        </w:rPr>
      </w:pPr>
      <w:r w:rsidRPr="006C459C">
        <w:rPr>
          <w:rStyle w:val="FootnoteReference"/>
          <w:rFonts w:ascii="Cambria" w:hAnsi="Cambria"/>
          <w:sz w:val="16"/>
          <w:szCs w:val="16"/>
        </w:rPr>
        <w:footnoteRef/>
      </w:r>
      <w:r w:rsidRPr="006C459C">
        <w:rPr>
          <w:rFonts w:ascii="Cambria" w:hAnsi="Cambria"/>
          <w:sz w:val="16"/>
          <w:szCs w:val="16"/>
          <w:lang w:val="pt-BR"/>
        </w:rPr>
        <w:t xml:space="preserve"> </w:t>
      </w:r>
      <w:r w:rsidRPr="006C459C">
        <w:rPr>
          <w:rFonts w:ascii="Cambria" w:hAnsi="Cambria"/>
          <w:sz w:val="16"/>
          <w:szCs w:val="16"/>
          <w:lang w:val="pt-BR"/>
        </w:rPr>
        <w:t xml:space="preserve">Anexo </w:t>
      </w:r>
      <w:r w:rsidR="009E1328" w:rsidRPr="006C459C">
        <w:rPr>
          <w:rFonts w:ascii="Cambria" w:hAnsi="Cambria"/>
          <w:sz w:val="16"/>
          <w:szCs w:val="16"/>
          <w:lang w:val="pt-BR"/>
        </w:rPr>
        <w:t>11</w:t>
      </w:r>
      <w:r w:rsidRPr="006C459C">
        <w:rPr>
          <w:rFonts w:ascii="Cambria" w:hAnsi="Cambria"/>
          <w:sz w:val="16"/>
          <w:szCs w:val="16"/>
          <w:lang w:val="pt-BR"/>
        </w:rPr>
        <w:t xml:space="preserve">. Oficio N° 600-LC-PN. </w:t>
      </w:r>
      <w:r w:rsidRPr="006C459C">
        <w:rPr>
          <w:rFonts w:ascii="Cambria" w:hAnsi="Cambria"/>
          <w:sz w:val="16"/>
          <w:szCs w:val="16"/>
          <w:lang w:val="es-AR"/>
        </w:rPr>
        <w:t xml:space="preserve">Laboratorio Central y Peritajes. Examen de guantes de parafina y análisis balístico de 29 de septiembre de 1993. Anexo al escrito de la peticionaria de 22 de noviembre de 1995. De acuerdo con este informe, la prueba de parafina respecto de Néstor de la Cruz </w:t>
      </w:r>
      <w:proofErr w:type="spellStart"/>
      <w:r w:rsidRPr="006C459C">
        <w:rPr>
          <w:rFonts w:ascii="Cambria" w:hAnsi="Cambria"/>
          <w:sz w:val="16"/>
          <w:szCs w:val="16"/>
          <w:lang w:val="es-AR"/>
        </w:rPr>
        <w:t>Chicaiza</w:t>
      </w:r>
      <w:proofErr w:type="spellEnd"/>
      <w:r w:rsidRPr="006C459C">
        <w:rPr>
          <w:rFonts w:ascii="Cambria" w:hAnsi="Cambria"/>
          <w:sz w:val="16"/>
          <w:szCs w:val="16"/>
          <w:lang w:val="es-AR"/>
        </w:rPr>
        <w:t xml:space="preserve"> y Edwin Guzman Carrera fue negativa. </w:t>
      </w:r>
    </w:p>
  </w:footnote>
  <w:footnote w:id="30">
    <w:p w:rsidR="006A3859" w:rsidRPr="006C459C" w:rsidRDefault="006A3859" w:rsidP="00D060AD">
      <w:pPr>
        <w:jc w:val="both"/>
        <w:rPr>
          <w:rFonts w:ascii="Cambria" w:hAnsi="Cambria"/>
          <w:sz w:val="16"/>
          <w:szCs w:val="16"/>
          <w:lang w:val="es-AR"/>
        </w:rPr>
      </w:pPr>
      <w:r w:rsidRPr="006C459C">
        <w:rPr>
          <w:rStyle w:val="FootnoteReference"/>
          <w:rFonts w:ascii="Cambria" w:hAnsi="Cambria"/>
          <w:sz w:val="16"/>
          <w:szCs w:val="16"/>
        </w:rPr>
        <w:footnoteRef/>
      </w:r>
      <w:r w:rsidRPr="006C459C">
        <w:rPr>
          <w:rFonts w:ascii="Cambria" w:hAnsi="Cambria"/>
          <w:sz w:val="16"/>
          <w:szCs w:val="16"/>
          <w:lang w:val="pt-BR"/>
        </w:rPr>
        <w:t xml:space="preserve"> </w:t>
      </w:r>
      <w:r w:rsidRPr="006C459C">
        <w:rPr>
          <w:rFonts w:ascii="Cambria" w:hAnsi="Cambria"/>
          <w:sz w:val="16"/>
          <w:szCs w:val="16"/>
          <w:lang w:val="pt-BR"/>
        </w:rPr>
        <w:t xml:space="preserve">Anexo </w:t>
      </w:r>
      <w:r w:rsidR="009E1328" w:rsidRPr="006C459C">
        <w:rPr>
          <w:rFonts w:ascii="Cambria" w:hAnsi="Cambria"/>
          <w:sz w:val="16"/>
          <w:szCs w:val="16"/>
          <w:lang w:val="pt-BR"/>
        </w:rPr>
        <w:t>12</w:t>
      </w:r>
      <w:r w:rsidRPr="006C459C">
        <w:rPr>
          <w:rFonts w:ascii="Cambria" w:hAnsi="Cambria"/>
          <w:sz w:val="16"/>
          <w:szCs w:val="16"/>
          <w:lang w:val="pt-BR"/>
        </w:rPr>
        <w:t xml:space="preserve">. Oficio N° 607-LC-PN-03. </w:t>
      </w:r>
      <w:r w:rsidRPr="006C459C">
        <w:rPr>
          <w:rFonts w:ascii="Cambria" w:hAnsi="Cambria"/>
          <w:sz w:val="16"/>
          <w:szCs w:val="16"/>
          <w:lang w:val="es-AR"/>
        </w:rPr>
        <w:t xml:space="preserve">Laboratorio Central y Peritajes. Examen de proyectiles de 29 de septiembre de 1993. Anexo al escrito de la peticionaria de 22 de noviembre de 1995. </w:t>
      </w:r>
    </w:p>
  </w:footnote>
  <w:footnote w:id="31">
    <w:p w:rsidR="006A3859" w:rsidRPr="006C459C" w:rsidRDefault="006A3859" w:rsidP="00D060AD">
      <w:pPr>
        <w:jc w:val="both"/>
        <w:rPr>
          <w:rFonts w:ascii="Cambria" w:hAnsi="Cambria"/>
          <w:sz w:val="16"/>
          <w:szCs w:val="16"/>
          <w:lang w:val="es-AR"/>
        </w:rPr>
      </w:pPr>
      <w:r w:rsidRPr="006C459C">
        <w:rPr>
          <w:rStyle w:val="FootnoteReference"/>
          <w:rFonts w:ascii="Cambria" w:hAnsi="Cambria"/>
          <w:sz w:val="16"/>
          <w:szCs w:val="16"/>
        </w:rPr>
        <w:footnoteRef/>
      </w:r>
      <w:r w:rsidRPr="006C459C">
        <w:rPr>
          <w:rFonts w:ascii="Cambria" w:hAnsi="Cambria"/>
          <w:sz w:val="16"/>
          <w:szCs w:val="16"/>
          <w:lang w:val="es-AR"/>
        </w:rPr>
        <w:t xml:space="preserve"> Anexo </w:t>
      </w:r>
      <w:r w:rsidR="001B62A3" w:rsidRPr="006C459C">
        <w:rPr>
          <w:rFonts w:ascii="Cambria" w:hAnsi="Cambria"/>
          <w:sz w:val="16"/>
          <w:szCs w:val="16"/>
          <w:lang w:val="es-AR"/>
        </w:rPr>
        <w:t>13</w:t>
      </w:r>
      <w:r w:rsidRPr="006C459C">
        <w:rPr>
          <w:rFonts w:ascii="Cambria" w:hAnsi="Cambria"/>
          <w:sz w:val="16"/>
          <w:szCs w:val="16"/>
          <w:lang w:val="es-AR"/>
        </w:rPr>
        <w:t>. Informe policial de 1 de octubre de 1993. Anexo al escrito de la peticionaria de 22 de noviembre de 1995. Anexo</w:t>
      </w:r>
      <w:r w:rsidR="001B62A3" w:rsidRPr="006C459C">
        <w:rPr>
          <w:rFonts w:ascii="Cambria" w:hAnsi="Cambria"/>
          <w:sz w:val="16"/>
          <w:szCs w:val="16"/>
          <w:lang w:val="es-AR"/>
        </w:rPr>
        <w:t xml:space="preserve"> 14</w:t>
      </w:r>
      <w:r w:rsidRPr="006C459C">
        <w:rPr>
          <w:rFonts w:ascii="Cambria" w:hAnsi="Cambria"/>
          <w:sz w:val="16"/>
          <w:szCs w:val="16"/>
          <w:lang w:val="es-AR"/>
        </w:rPr>
        <w:t xml:space="preserve">. Oficio N° 600-LC-PN. Laboratorio Central y Peritajes. Examen de guantes de parafina y análisis balístico de 29 de septiembre de 1993. Anexo al escrito de la peticionaria de 22 de noviembre de 1995. De acuerdo con este informe, los revólveres habían sido disparados, sin poder </w:t>
      </w:r>
      <w:proofErr w:type="spellStart"/>
      <w:r w:rsidRPr="006C459C">
        <w:rPr>
          <w:rFonts w:ascii="Cambria" w:hAnsi="Cambria"/>
          <w:sz w:val="16"/>
          <w:szCs w:val="16"/>
          <w:lang w:val="es-AR"/>
        </w:rPr>
        <w:t>determina</w:t>
      </w:r>
      <w:proofErr w:type="spellEnd"/>
      <w:r w:rsidRPr="006C459C">
        <w:rPr>
          <w:rFonts w:ascii="Cambria" w:hAnsi="Cambria"/>
          <w:sz w:val="16"/>
          <w:szCs w:val="16"/>
          <w:lang w:val="es-AR"/>
        </w:rPr>
        <w:t xml:space="preserve"> el tiempo exacto del último disparo.</w:t>
      </w:r>
    </w:p>
  </w:footnote>
  <w:footnote w:id="32">
    <w:p w:rsidR="006A3859" w:rsidRPr="006C459C" w:rsidRDefault="006A3859" w:rsidP="00D060AD">
      <w:pPr>
        <w:jc w:val="both"/>
        <w:rPr>
          <w:rFonts w:ascii="Cambria" w:hAnsi="Cambria"/>
          <w:sz w:val="16"/>
          <w:szCs w:val="16"/>
          <w:lang w:val="es-AR"/>
        </w:rPr>
      </w:pPr>
      <w:r w:rsidRPr="006C459C">
        <w:rPr>
          <w:rStyle w:val="FootnoteReference"/>
          <w:rFonts w:ascii="Cambria" w:hAnsi="Cambria"/>
          <w:sz w:val="16"/>
          <w:szCs w:val="16"/>
        </w:rPr>
        <w:footnoteRef/>
      </w:r>
      <w:r w:rsidRPr="006C459C">
        <w:rPr>
          <w:rFonts w:ascii="Cambria" w:hAnsi="Cambria"/>
          <w:sz w:val="16"/>
          <w:szCs w:val="16"/>
          <w:lang w:val="es-CR"/>
        </w:rPr>
        <w:t xml:space="preserve"> </w:t>
      </w:r>
      <w:r w:rsidRPr="006C459C">
        <w:rPr>
          <w:rFonts w:ascii="Cambria" w:hAnsi="Cambria"/>
          <w:sz w:val="16"/>
          <w:szCs w:val="16"/>
          <w:lang w:val="es-AR"/>
        </w:rPr>
        <w:t>Anexo</w:t>
      </w:r>
      <w:r w:rsidR="001B62A3" w:rsidRPr="006C459C">
        <w:rPr>
          <w:rFonts w:ascii="Cambria" w:hAnsi="Cambria"/>
          <w:sz w:val="16"/>
          <w:szCs w:val="16"/>
          <w:lang w:val="es-AR"/>
        </w:rPr>
        <w:t xml:space="preserve"> 8</w:t>
      </w:r>
      <w:r w:rsidRPr="006C459C">
        <w:rPr>
          <w:rFonts w:ascii="Cambria" w:hAnsi="Cambria"/>
          <w:sz w:val="16"/>
          <w:szCs w:val="16"/>
          <w:lang w:val="es-AR"/>
        </w:rPr>
        <w:t xml:space="preserve">. Declaración de Segundo Néstor de la Cruz </w:t>
      </w:r>
      <w:proofErr w:type="spellStart"/>
      <w:r w:rsidRPr="006C459C">
        <w:rPr>
          <w:rFonts w:ascii="Cambria" w:hAnsi="Cambria"/>
          <w:sz w:val="16"/>
          <w:szCs w:val="16"/>
          <w:lang w:val="es-AR"/>
        </w:rPr>
        <w:t>Chicaiza</w:t>
      </w:r>
      <w:proofErr w:type="spellEnd"/>
      <w:r w:rsidRPr="006C459C">
        <w:rPr>
          <w:rFonts w:ascii="Cambria" w:hAnsi="Cambria"/>
          <w:sz w:val="16"/>
          <w:szCs w:val="16"/>
          <w:lang w:val="es-AR"/>
        </w:rPr>
        <w:t xml:space="preserve"> ante la Dirección Nacional de Investigaciones de la Policía de Otavalo de 17 de septiembre de 1993. Anexo a la petición inicial de la peticionaria.</w:t>
      </w:r>
    </w:p>
  </w:footnote>
  <w:footnote w:id="33">
    <w:p w:rsidR="006A3859" w:rsidRPr="006C459C" w:rsidRDefault="006A3859" w:rsidP="00D060AD">
      <w:pPr>
        <w:jc w:val="both"/>
        <w:rPr>
          <w:rFonts w:ascii="Cambria" w:hAnsi="Cambria"/>
          <w:sz w:val="16"/>
          <w:szCs w:val="16"/>
          <w:lang w:val="es-AR"/>
        </w:rPr>
      </w:pPr>
      <w:r w:rsidRPr="006C459C">
        <w:rPr>
          <w:rStyle w:val="FootnoteReference"/>
          <w:rFonts w:ascii="Cambria" w:hAnsi="Cambria"/>
          <w:sz w:val="16"/>
          <w:szCs w:val="16"/>
        </w:rPr>
        <w:footnoteRef/>
      </w:r>
      <w:r w:rsidRPr="006C459C">
        <w:rPr>
          <w:rFonts w:ascii="Cambria" w:hAnsi="Cambria"/>
          <w:sz w:val="16"/>
          <w:szCs w:val="16"/>
          <w:lang w:val="es-CR"/>
        </w:rPr>
        <w:t xml:space="preserve"> </w:t>
      </w:r>
      <w:r w:rsidRPr="006C459C">
        <w:rPr>
          <w:rFonts w:ascii="Cambria" w:hAnsi="Cambria"/>
          <w:sz w:val="16"/>
          <w:szCs w:val="16"/>
          <w:lang w:val="es-AR"/>
        </w:rPr>
        <w:t xml:space="preserve">Anexo </w:t>
      </w:r>
      <w:r w:rsidR="001B62A3" w:rsidRPr="006C459C">
        <w:rPr>
          <w:rFonts w:ascii="Cambria" w:hAnsi="Cambria"/>
          <w:sz w:val="16"/>
          <w:szCs w:val="16"/>
          <w:lang w:val="es-AR"/>
        </w:rPr>
        <w:t>8</w:t>
      </w:r>
      <w:r w:rsidRPr="006C459C">
        <w:rPr>
          <w:rFonts w:ascii="Cambria" w:hAnsi="Cambria"/>
          <w:sz w:val="16"/>
          <w:szCs w:val="16"/>
          <w:lang w:val="es-AR"/>
        </w:rPr>
        <w:t xml:space="preserve">. Declaración de Segundo Néstor de la Cruz </w:t>
      </w:r>
      <w:proofErr w:type="spellStart"/>
      <w:r w:rsidRPr="006C459C">
        <w:rPr>
          <w:rFonts w:ascii="Cambria" w:hAnsi="Cambria"/>
          <w:sz w:val="16"/>
          <w:szCs w:val="16"/>
          <w:lang w:val="es-AR"/>
        </w:rPr>
        <w:t>Chicaiza</w:t>
      </w:r>
      <w:proofErr w:type="spellEnd"/>
      <w:r w:rsidRPr="006C459C">
        <w:rPr>
          <w:rFonts w:ascii="Cambria" w:hAnsi="Cambria"/>
          <w:sz w:val="16"/>
          <w:szCs w:val="16"/>
          <w:lang w:val="es-AR"/>
        </w:rPr>
        <w:t xml:space="preserve"> ante la Dirección Nacional de Investigaciones de la Policía de Otavalo de 17 de septiembre de 1993. Anexo a la petición inicial de la peticionaria.</w:t>
      </w:r>
    </w:p>
  </w:footnote>
  <w:footnote w:id="34">
    <w:p w:rsidR="006A3859" w:rsidRPr="006C459C" w:rsidRDefault="006A3859" w:rsidP="00D060AD">
      <w:pPr>
        <w:jc w:val="both"/>
        <w:rPr>
          <w:rFonts w:ascii="Cambria" w:hAnsi="Cambria"/>
          <w:sz w:val="16"/>
          <w:szCs w:val="16"/>
          <w:lang w:val="es-AR"/>
        </w:rPr>
      </w:pPr>
      <w:r w:rsidRPr="006C459C">
        <w:rPr>
          <w:rStyle w:val="FootnoteReference"/>
          <w:rFonts w:ascii="Cambria" w:hAnsi="Cambria"/>
          <w:sz w:val="16"/>
          <w:szCs w:val="16"/>
        </w:rPr>
        <w:footnoteRef/>
      </w:r>
      <w:r w:rsidRPr="006C459C">
        <w:rPr>
          <w:rFonts w:ascii="Cambria" w:hAnsi="Cambria"/>
          <w:sz w:val="16"/>
          <w:szCs w:val="16"/>
          <w:lang w:val="es-CR"/>
        </w:rPr>
        <w:t xml:space="preserve"> </w:t>
      </w:r>
      <w:r w:rsidRPr="006C459C">
        <w:rPr>
          <w:rFonts w:ascii="Cambria" w:hAnsi="Cambria"/>
          <w:sz w:val="16"/>
          <w:szCs w:val="16"/>
          <w:lang w:val="es-AR"/>
        </w:rPr>
        <w:t xml:space="preserve">Anexo </w:t>
      </w:r>
      <w:r w:rsidR="001B62A3" w:rsidRPr="006C459C">
        <w:rPr>
          <w:rFonts w:ascii="Cambria" w:hAnsi="Cambria"/>
          <w:sz w:val="16"/>
          <w:szCs w:val="16"/>
          <w:lang w:val="es-AR"/>
        </w:rPr>
        <w:t>8</w:t>
      </w:r>
      <w:r w:rsidRPr="006C459C">
        <w:rPr>
          <w:rFonts w:ascii="Cambria" w:hAnsi="Cambria"/>
          <w:sz w:val="16"/>
          <w:szCs w:val="16"/>
          <w:lang w:val="es-AR"/>
        </w:rPr>
        <w:t xml:space="preserve">. Declaración de Segundo Néstor de la Cruz </w:t>
      </w:r>
      <w:proofErr w:type="spellStart"/>
      <w:r w:rsidRPr="006C459C">
        <w:rPr>
          <w:rFonts w:ascii="Cambria" w:hAnsi="Cambria"/>
          <w:sz w:val="16"/>
          <w:szCs w:val="16"/>
          <w:lang w:val="es-AR"/>
        </w:rPr>
        <w:t>Chicaiza</w:t>
      </w:r>
      <w:proofErr w:type="spellEnd"/>
      <w:r w:rsidRPr="006C459C">
        <w:rPr>
          <w:rFonts w:ascii="Cambria" w:hAnsi="Cambria"/>
          <w:sz w:val="16"/>
          <w:szCs w:val="16"/>
          <w:lang w:val="es-AR"/>
        </w:rPr>
        <w:t xml:space="preserve"> ante la Dirección Nacional de Investigaciones de la Policía de Otavalo de 17 de septiembre de 1993. Anexo a la petición inicial de la peticionaria.</w:t>
      </w:r>
    </w:p>
  </w:footnote>
  <w:footnote w:id="35">
    <w:p w:rsidR="006A3859" w:rsidRPr="006C459C" w:rsidRDefault="006A3859" w:rsidP="00D060AD">
      <w:pPr>
        <w:jc w:val="both"/>
        <w:rPr>
          <w:rFonts w:ascii="Cambria" w:hAnsi="Cambria"/>
          <w:sz w:val="16"/>
          <w:szCs w:val="16"/>
          <w:lang w:val="es-AR"/>
        </w:rPr>
      </w:pPr>
      <w:r w:rsidRPr="006C459C">
        <w:rPr>
          <w:rStyle w:val="FootnoteReference"/>
          <w:rFonts w:ascii="Cambria" w:hAnsi="Cambria"/>
          <w:sz w:val="16"/>
          <w:szCs w:val="16"/>
        </w:rPr>
        <w:footnoteRef/>
      </w:r>
      <w:r w:rsidRPr="006C459C">
        <w:rPr>
          <w:rFonts w:ascii="Cambria" w:hAnsi="Cambria"/>
          <w:sz w:val="16"/>
          <w:szCs w:val="16"/>
          <w:lang w:val="es-CR"/>
        </w:rPr>
        <w:t xml:space="preserve"> Anexo </w:t>
      </w:r>
      <w:r w:rsidR="001B62A3" w:rsidRPr="006C459C">
        <w:rPr>
          <w:rFonts w:ascii="Cambria" w:hAnsi="Cambria"/>
          <w:sz w:val="16"/>
          <w:szCs w:val="16"/>
          <w:lang w:val="es-CR"/>
        </w:rPr>
        <w:t>4</w:t>
      </w:r>
      <w:r w:rsidRPr="006C459C">
        <w:rPr>
          <w:rFonts w:ascii="Cambria" w:hAnsi="Cambria"/>
          <w:sz w:val="16"/>
          <w:szCs w:val="16"/>
          <w:lang w:val="es-CR"/>
        </w:rPr>
        <w:t>. Sentencia del Tribunal Penal de Imbabura de 3 de septiembre de 1995. Anexo al escrito de la peticionaria de 11 de junio de 1999.</w:t>
      </w:r>
    </w:p>
  </w:footnote>
  <w:footnote w:id="36">
    <w:p w:rsidR="006A3859" w:rsidRPr="006C459C" w:rsidRDefault="006A3859" w:rsidP="00D060AD">
      <w:pPr>
        <w:jc w:val="both"/>
        <w:rPr>
          <w:rFonts w:ascii="Cambria" w:hAnsi="Cambria"/>
          <w:sz w:val="16"/>
          <w:szCs w:val="16"/>
          <w:lang w:val="es-CR"/>
        </w:rPr>
      </w:pPr>
      <w:r w:rsidRPr="006C459C">
        <w:rPr>
          <w:rStyle w:val="FootnoteReference"/>
          <w:rFonts w:ascii="Cambria" w:hAnsi="Cambria"/>
          <w:sz w:val="16"/>
          <w:szCs w:val="16"/>
        </w:rPr>
        <w:footnoteRef/>
      </w:r>
      <w:r w:rsidRPr="006C459C">
        <w:rPr>
          <w:rFonts w:ascii="Cambria" w:hAnsi="Cambria"/>
          <w:sz w:val="16"/>
          <w:szCs w:val="16"/>
          <w:lang w:val="es-CR"/>
        </w:rPr>
        <w:t xml:space="preserve"> Anexo </w:t>
      </w:r>
      <w:r w:rsidR="00FB4384" w:rsidRPr="006C459C">
        <w:rPr>
          <w:rFonts w:ascii="Cambria" w:hAnsi="Cambria"/>
          <w:sz w:val="16"/>
          <w:szCs w:val="16"/>
          <w:lang w:val="es-CR"/>
        </w:rPr>
        <w:t>4</w:t>
      </w:r>
      <w:r w:rsidRPr="006C459C">
        <w:rPr>
          <w:rFonts w:ascii="Cambria" w:hAnsi="Cambria"/>
          <w:sz w:val="16"/>
          <w:szCs w:val="16"/>
          <w:lang w:val="es-CR"/>
        </w:rPr>
        <w:t>. Sentencia del Tribunal Penal de Imbabura de 3 de septiembre de 1995. Anexo al escrito de la peticionaria de 11 de junio de 1999.</w:t>
      </w:r>
    </w:p>
  </w:footnote>
  <w:footnote w:id="37">
    <w:p w:rsidR="006A3859" w:rsidRPr="006C459C" w:rsidRDefault="006A3859" w:rsidP="00D060AD">
      <w:pPr>
        <w:jc w:val="both"/>
        <w:rPr>
          <w:rFonts w:ascii="Cambria" w:hAnsi="Cambria"/>
          <w:sz w:val="16"/>
          <w:szCs w:val="16"/>
          <w:lang w:val="es-CR"/>
        </w:rPr>
      </w:pPr>
      <w:r w:rsidRPr="006C459C">
        <w:rPr>
          <w:rStyle w:val="FootnoteReference"/>
          <w:rFonts w:ascii="Cambria" w:hAnsi="Cambria"/>
          <w:sz w:val="16"/>
          <w:szCs w:val="16"/>
        </w:rPr>
        <w:footnoteRef/>
      </w:r>
      <w:r w:rsidRPr="006C459C">
        <w:rPr>
          <w:rFonts w:ascii="Cambria" w:hAnsi="Cambria"/>
          <w:sz w:val="16"/>
          <w:szCs w:val="16"/>
          <w:lang w:val="es-CR"/>
        </w:rPr>
        <w:t xml:space="preserve"> Anexo </w:t>
      </w:r>
      <w:r w:rsidR="00FB4384" w:rsidRPr="006C459C">
        <w:rPr>
          <w:rFonts w:ascii="Cambria" w:hAnsi="Cambria"/>
          <w:sz w:val="16"/>
          <w:szCs w:val="16"/>
          <w:lang w:val="es-CR"/>
        </w:rPr>
        <w:t>4</w:t>
      </w:r>
      <w:r w:rsidRPr="006C459C">
        <w:rPr>
          <w:rFonts w:ascii="Cambria" w:hAnsi="Cambria"/>
          <w:sz w:val="16"/>
          <w:szCs w:val="16"/>
          <w:lang w:val="es-CR"/>
        </w:rPr>
        <w:t>. Sentencia del Tribunal Penal de Imbabura de 3 de septiembre de 1995. Anexo al escrito de la peticionaria de 11 de junio de 1999.</w:t>
      </w:r>
    </w:p>
  </w:footnote>
  <w:footnote w:id="38">
    <w:p w:rsidR="006A3859" w:rsidRPr="006C459C" w:rsidRDefault="006A3859" w:rsidP="00D060AD">
      <w:pPr>
        <w:jc w:val="both"/>
        <w:rPr>
          <w:rFonts w:ascii="Cambria" w:hAnsi="Cambria"/>
          <w:sz w:val="16"/>
          <w:szCs w:val="16"/>
          <w:lang w:val="es-CO"/>
        </w:rPr>
      </w:pPr>
      <w:r w:rsidRPr="006C459C">
        <w:rPr>
          <w:rStyle w:val="FootnoteReference"/>
          <w:rFonts w:ascii="Cambria" w:hAnsi="Cambria"/>
          <w:sz w:val="16"/>
          <w:szCs w:val="16"/>
        </w:rPr>
        <w:footnoteRef/>
      </w:r>
      <w:r w:rsidRPr="006C459C">
        <w:rPr>
          <w:rFonts w:ascii="Cambria" w:hAnsi="Cambria"/>
          <w:sz w:val="16"/>
          <w:szCs w:val="16"/>
          <w:lang w:val="es-AR"/>
        </w:rPr>
        <w:t xml:space="preserve"> Anexo </w:t>
      </w:r>
      <w:r w:rsidR="00FB4384" w:rsidRPr="006C459C">
        <w:rPr>
          <w:rFonts w:ascii="Cambria" w:hAnsi="Cambria"/>
          <w:sz w:val="16"/>
          <w:szCs w:val="16"/>
          <w:lang w:val="es-AR"/>
        </w:rPr>
        <w:t xml:space="preserve"> 13</w:t>
      </w:r>
      <w:r w:rsidRPr="006C459C">
        <w:rPr>
          <w:rFonts w:ascii="Cambria" w:hAnsi="Cambria"/>
          <w:sz w:val="16"/>
          <w:szCs w:val="16"/>
          <w:lang w:val="es-AR"/>
        </w:rPr>
        <w:t>. Informe policial de 1 de octubre de 1993. Anexo al escrito de la peticionaria de 22 de noviembre de 1995.</w:t>
      </w:r>
    </w:p>
  </w:footnote>
  <w:footnote w:id="39">
    <w:p w:rsidR="006A3859" w:rsidRPr="006C459C" w:rsidRDefault="006A3859" w:rsidP="00D060AD">
      <w:pPr>
        <w:jc w:val="both"/>
        <w:rPr>
          <w:rFonts w:ascii="Cambria" w:hAnsi="Cambria"/>
          <w:sz w:val="16"/>
          <w:szCs w:val="16"/>
          <w:lang w:val="es-CO"/>
        </w:rPr>
      </w:pPr>
      <w:r w:rsidRPr="006C459C">
        <w:rPr>
          <w:rStyle w:val="FootnoteReference"/>
          <w:rFonts w:ascii="Cambria" w:hAnsi="Cambria"/>
          <w:sz w:val="16"/>
          <w:szCs w:val="16"/>
        </w:rPr>
        <w:footnoteRef/>
      </w:r>
      <w:r w:rsidRPr="006C459C">
        <w:rPr>
          <w:rFonts w:ascii="Cambria" w:hAnsi="Cambria"/>
          <w:sz w:val="16"/>
          <w:szCs w:val="16"/>
          <w:lang w:val="es-AR"/>
        </w:rPr>
        <w:t xml:space="preserve"> Anexo </w:t>
      </w:r>
      <w:r w:rsidR="00FB4384" w:rsidRPr="006C459C">
        <w:rPr>
          <w:rFonts w:ascii="Cambria" w:hAnsi="Cambria"/>
          <w:sz w:val="16"/>
          <w:szCs w:val="16"/>
          <w:lang w:val="es-AR"/>
        </w:rPr>
        <w:t>13</w:t>
      </w:r>
      <w:r w:rsidRPr="006C459C">
        <w:rPr>
          <w:rFonts w:ascii="Cambria" w:hAnsi="Cambria"/>
          <w:sz w:val="16"/>
          <w:szCs w:val="16"/>
          <w:lang w:val="es-AR"/>
        </w:rPr>
        <w:t>. Informe policial de 1 de octubre de 1993. Anexo al escrito de la peticionaria de 22 de noviembre de 1995.</w:t>
      </w:r>
    </w:p>
  </w:footnote>
  <w:footnote w:id="40">
    <w:p w:rsidR="006A3859" w:rsidRPr="006C459C" w:rsidRDefault="006A3859" w:rsidP="00D060AD">
      <w:pPr>
        <w:jc w:val="both"/>
        <w:rPr>
          <w:rFonts w:ascii="Cambria" w:hAnsi="Cambria"/>
          <w:sz w:val="16"/>
          <w:szCs w:val="16"/>
          <w:lang w:val="es-CO"/>
        </w:rPr>
      </w:pPr>
      <w:r w:rsidRPr="006C459C">
        <w:rPr>
          <w:rStyle w:val="FootnoteReference"/>
          <w:rFonts w:ascii="Cambria" w:hAnsi="Cambria"/>
          <w:sz w:val="16"/>
          <w:szCs w:val="16"/>
        </w:rPr>
        <w:footnoteRef/>
      </w:r>
      <w:r w:rsidRPr="006C459C">
        <w:rPr>
          <w:rFonts w:ascii="Cambria" w:hAnsi="Cambria"/>
          <w:sz w:val="16"/>
          <w:szCs w:val="16"/>
          <w:lang w:val="es-CO"/>
        </w:rPr>
        <w:t xml:space="preserve"> </w:t>
      </w:r>
      <w:r w:rsidRPr="006C459C">
        <w:rPr>
          <w:rFonts w:ascii="Cambria" w:hAnsi="Cambria"/>
          <w:sz w:val="16"/>
          <w:szCs w:val="16"/>
          <w:lang w:val="es-AR"/>
        </w:rPr>
        <w:t xml:space="preserve">Anexo </w:t>
      </w:r>
      <w:r w:rsidR="00FB4384" w:rsidRPr="006C459C">
        <w:rPr>
          <w:rFonts w:ascii="Cambria" w:hAnsi="Cambria"/>
          <w:sz w:val="16"/>
          <w:szCs w:val="16"/>
          <w:lang w:val="es-AR"/>
        </w:rPr>
        <w:t>13</w:t>
      </w:r>
      <w:r w:rsidRPr="006C459C">
        <w:rPr>
          <w:rFonts w:ascii="Cambria" w:hAnsi="Cambria"/>
          <w:sz w:val="16"/>
          <w:szCs w:val="16"/>
          <w:lang w:val="es-AR"/>
        </w:rPr>
        <w:t>. Informe policial de 1 de octubre de 1993. Anexo al escrito de la peticionaria de 22 de noviembre de 1995.</w:t>
      </w:r>
    </w:p>
  </w:footnote>
  <w:footnote w:id="41">
    <w:p w:rsidR="006A3859" w:rsidRPr="006C459C" w:rsidRDefault="006A3859" w:rsidP="00D060AD">
      <w:pPr>
        <w:jc w:val="both"/>
        <w:rPr>
          <w:rFonts w:ascii="Cambria" w:hAnsi="Cambria"/>
          <w:sz w:val="16"/>
          <w:szCs w:val="16"/>
          <w:lang w:val="es-CR"/>
        </w:rPr>
      </w:pPr>
      <w:r w:rsidRPr="006C459C">
        <w:rPr>
          <w:rStyle w:val="FootnoteReference"/>
          <w:rFonts w:ascii="Cambria" w:hAnsi="Cambria"/>
          <w:sz w:val="16"/>
          <w:szCs w:val="16"/>
        </w:rPr>
        <w:footnoteRef/>
      </w:r>
      <w:r w:rsidRPr="006C459C">
        <w:rPr>
          <w:rFonts w:ascii="Cambria" w:hAnsi="Cambria"/>
          <w:sz w:val="16"/>
          <w:szCs w:val="16"/>
          <w:lang w:val="es-CO"/>
        </w:rPr>
        <w:t xml:space="preserve"> </w:t>
      </w:r>
      <w:r w:rsidRPr="006C459C">
        <w:rPr>
          <w:rFonts w:ascii="Cambria" w:hAnsi="Cambria"/>
          <w:sz w:val="16"/>
          <w:szCs w:val="16"/>
          <w:lang w:val="es-AR"/>
        </w:rPr>
        <w:t xml:space="preserve">Anexo </w:t>
      </w:r>
      <w:r w:rsidR="00FB4384" w:rsidRPr="006C459C">
        <w:rPr>
          <w:rFonts w:ascii="Cambria" w:hAnsi="Cambria"/>
          <w:sz w:val="16"/>
          <w:szCs w:val="16"/>
          <w:lang w:val="es-AR"/>
        </w:rPr>
        <w:t>13</w:t>
      </w:r>
      <w:r w:rsidRPr="006C459C">
        <w:rPr>
          <w:rFonts w:ascii="Cambria" w:hAnsi="Cambria"/>
          <w:sz w:val="16"/>
          <w:szCs w:val="16"/>
          <w:lang w:val="es-AR"/>
        </w:rPr>
        <w:t>. Informe policial de 1 de octubre de 1993. Anexo al escrito de la peticionaria de 22 de noviembre de 1995.</w:t>
      </w:r>
    </w:p>
  </w:footnote>
  <w:footnote w:id="42">
    <w:p w:rsidR="006A3859" w:rsidRPr="006C459C" w:rsidRDefault="006A3859" w:rsidP="00D060AD">
      <w:pPr>
        <w:jc w:val="both"/>
        <w:rPr>
          <w:rFonts w:ascii="Cambria" w:hAnsi="Cambria"/>
          <w:sz w:val="16"/>
          <w:szCs w:val="16"/>
          <w:lang w:val="es-AR"/>
        </w:rPr>
      </w:pPr>
      <w:r w:rsidRPr="006C459C">
        <w:rPr>
          <w:rStyle w:val="FootnoteReference"/>
          <w:rFonts w:ascii="Cambria" w:hAnsi="Cambria"/>
          <w:sz w:val="16"/>
          <w:szCs w:val="16"/>
        </w:rPr>
        <w:footnoteRef/>
      </w:r>
      <w:r w:rsidRPr="006C459C">
        <w:rPr>
          <w:rFonts w:ascii="Cambria" w:hAnsi="Cambria"/>
          <w:sz w:val="16"/>
          <w:szCs w:val="16"/>
          <w:lang w:val="es-AR"/>
        </w:rPr>
        <w:t xml:space="preserve"> Anexo </w:t>
      </w:r>
      <w:r w:rsidR="00FB4384" w:rsidRPr="006C459C">
        <w:rPr>
          <w:rFonts w:ascii="Cambria" w:hAnsi="Cambria"/>
          <w:sz w:val="16"/>
          <w:szCs w:val="16"/>
          <w:lang w:val="es-AR"/>
        </w:rPr>
        <w:t>13</w:t>
      </w:r>
      <w:r w:rsidRPr="006C459C">
        <w:rPr>
          <w:rFonts w:ascii="Cambria" w:hAnsi="Cambria"/>
          <w:sz w:val="16"/>
          <w:szCs w:val="16"/>
          <w:lang w:val="es-AR"/>
        </w:rPr>
        <w:t>. Informe policial de 1 de octubre de 1993. Anexo al escrito de la peticionaria de 22 de noviembre de 1995.</w:t>
      </w:r>
    </w:p>
  </w:footnote>
  <w:footnote w:id="43">
    <w:p w:rsidR="006A3859" w:rsidRPr="006C459C" w:rsidRDefault="006A3859" w:rsidP="00D060AD">
      <w:pPr>
        <w:jc w:val="both"/>
        <w:rPr>
          <w:rFonts w:ascii="Cambria" w:hAnsi="Cambria"/>
          <w:sz w:val="16"/>
          <w:szCs w:val="16"/>
          <w:lang w:val="es-AR"/>
        </w:rPr>
      </w:pPr>
      <w:r w:rsidRPr="006C459C">
        <w:rPr>
          <w:rStyle w:val="FootnoteReference"/>
          <w:rFonts w:ascii="Cambria" w:hAnsi="Cambria"/>
          <w:sz w:val="16"/>
          <w:szCs w:val="16"/>
        </w:rPr>
        <w:footnoteRef/>
      </w:r>
      <w:r w:rsidRPr="006C459C">
        <w:rPr>
          <w:rFonts w:ascii="Cambria" w:hAnsi="Cambria"/>
          <w:sz w:val="16"/>
          <w:szCs w:val="16"/>
          <w:lang w:val="es-CR"/>
        </w:rPr>
        <w:t xml:space="preserve"> </w:t>
      </w:r>
      <w:r w:rsidRPr="006C459C">
        <w:rPr>
          <w:rFonts w:ascii="Cambria" w:hAnsi="Cambria"/>
          <w:sz w:val="16"/>
          <w:szCs w:val="16"/>
          <w:lang w:val="es-AR"/>
        </w:rPr>
        <w:t>Anexo</w:t>
      </w:r>
      <w:r w:rsidR="00FB4384" w:rsidRPr="006C459C">
        <w:rPr>
          <w:rFonts w:ascii="Cambria" w:hAnsi="Cambria"/>
          <w:sz w:val="16"/>
          <w:szCs w:val="16"/>
          <w:lang w:val="es-AR"/>
        </w:rPr>
        <w:t xml:space="preserve"> 7</w:t>
      </w:r>
      <w:r w:rsidRPr="006C459C">
        <w:rPr>
          <w:rFonts w:ascii="Cambria" w:hAnsi="Cambria"/>
          <w:sz w:val="16"/>
          <w:szCs w:val="16"/>
          <w:lang w:val="es-AR"/>
        </w:rPr>
        <w:t>. Dictamen Fiscal ante el Juzgado Tercero penal de Imbabura de 1 de septiembre de 1994. Anexo al escrito de la peticionaria recibido el 22 de noviembre de 1995.</w:t>
      </w:r>
    </w:p>
  </w:footnote>
  <w:footnote w:id="44">
    <w:p w:rsidR="006A3859" w:rsidRPr="006C459C" w:rsidRDefault="006A3859" w:rsidP="00D060AD">
      <w:pPr>
        <w:jc w:val="both"/>
        <w:rPr>
          <w:rFonts w:ascii="Cambria" w:hAnsi="Cambria"/>
          <w:sz w:val="16"/>
          <w:szCs w:val="16"/>
          <w:lang w:val="es-AR"/>
        </w:rPr>
      </w:pPr>
      <w:r w:rsidRPr="006C459C">
        <w:rPr>
          <w:rStyle w:val="FootnoteReference"/>
          <w:rFonts w:ascii="Cambria" w:hAnsi="Cambria"/>
          <w:sz w:val="16"/>
          <w:szCs w:val="16"/>
        </w:rPr>
        <w:footnoteRef/>
      </w:r>
      <w:r w:rsidRPr="006C459C">
        <w:rPr>
          <w:rFonts w:ascii="Cambria" w:hAnsi="Cambria"/>
          <w:sz w:val="16"/>
          <w:szCs w:val="16"/>
          <w:lang w:val="es-CR"/>
        </w:rPr>
        <w:t xml:space="preserve"> </w:t>
      </w:r>
      <w:r w:rsidRPr="006C459C">
        <w:rPr>
          <w:rFonts w:ascii="Cambria" w:hAnsi="Cambria"/>
          <w:sz w:val="16"/>
          <w:szCs w:val="16"/>
          <w:lang w:val="es-AR"/>
        </w:rPr>
        <w:t>Anexo</w:t>
      </w:r>
      <w:r w:rsidR="00FB4384" w:rsidRPr="006C459C">
        <w:rPr>
          <w:rFonts w:ascii="Cambria" w:hAnsi="Cambria"/>
          <w:sz w:val="16"/>
          <w:szCs w:val="16"/>
          <w:lang w:val="es-AR"/>
        </w:rPr>
        <w:t xml:space="preserve"> 7</w:t>
      </w:r>
      <w:r w:rsidRPr="006C459C">
        <w:rPr>
          <w:rFonts w:ascii="Cambria" w:hAnsi="Cambria"/>
          <w:sz w:val="16"/>
          <w:szCs w:val="16"/>
          <w:lang w:val="es-AR"/>
        </w:rPr>
        <w:t>. Dictamen Fiscal ante el Juzgado Tercero penal de Imbabura de 1 de septiembre de 1994. Anexo al escrito de la peticionaria recibido el 22 de noviembre de 1995.</w:t>
      </w:r>
    </w:p>
  </w:footnote>
  <w:footnote w:id="45">
    <w:p w:rsidR="006A3859" w:rsidRPr="006C459C" w:rsidRDefault="006A3859" w:rsidP="00D060AD">
      <w:pPr>
        <w:jc w:val="both"/>
        <w:rPr>
          <w:rFonts w:ascii="Cambria" w:hAnsi="Cambria"/>
          <w:sz w:val="16"/>
          <w:szCs w:val="16"/>
          <w:lang w:val="es-AR"/>
        </w:rPr>
      </w:pPr>
      <w:r w:rsidRPr="006C459C">
        <w:rPr>
          <w:rStyle w:val="FootnoteReference"/>
          <w:rFonts w:ascii="Cambria" w:hAnsi="Cambria"/>
          <w:sz w:val="16"/>
          <w:szCs w:val="16"/>
        </w:rPr>
        <w:footnoteRef/>
      </w:r>
      <w:r w:rsidRPr="006C459C">
        <w:rPr>
          <w:rFonts w:ascii="Cambria" w:hAnsi="Cambria"/>
          <w:sz w:val="16"/>
          <w:szCs w:val="16"/>
          <w:lang w:val="es-CR"/>
        </w:rPr>
        <w:t xml:space="preserve"> </w:t>
      </w:r>
      <w:r w:rsidRPr="006C459C">
        <w:rPr>
          <w:rFonts w:ascii="Cambria" w:hAnsi="Cambria"/>
          <w:sz w:val="16"/>
          <w:szCs w:val="16"/>
          <w:lang w:val="es-AR"/>
        </w:rPr>
        <w:t>Anexo</w:t>
      </w:r>
      <w:r w:rsidR="00FB4384" w:rsidRPr="006C459C">
        <w:rPr>
          <w:rFonts w:ascii="Cambria" w:hAnsi="Cambria"/>
          <w:sz w:val="16"/>
          <w:szCs w:val="16"/>
          <w:lang w:val="es-AR"/>
        </w:rPr>
        <w:t xml:space="preserve"> 7</w:t>
      </w:r>
      <w:r w:rsidRPr="006C459C">
        <w:rPr>
          <w:rFonts w:ascii="Cambria" w:hAnsi="Cambria"/>
          <w:sz w:val="16"/>
          <w:szCs w:val="16"/>
          <w:lang w:val="es-AR"/>
        </w:rPr>
        <w:t>. Dictamen Fiscal ante el Juzgado Tercero penal de Imbabura de 1 de septiembre de 1994. Anexo al escrito de la peticionaria recibido el 22 de noviembre de 1995.</w:t>
      </w:r>
    </w:p>
  </w:footnote>
  <w:footnote w:id="46">
    <w:p w:rsidR="006A3859" w:rsidRPr="006C459C" w:rsidRDefault="006A3859" w:rsidP="00D060AD">
      <w:pPr>
        <w:jc w:val="both"/>
        <w:rPr>
          <w:rFonts w:ascii="Cambria" w:hAnsi="Cambria"/>
          <w:sz w:val="16"/>
          <w:szCs w:val="16"/>
          <w:lang w:val="es-AR"/>
        </w:rPr>
      </w:pPr>
      <w:r w:rsidRPr="006C459C">
        <w:rPr>
          <w:rStyle w:val="FootnoteReference"/>
          <w:rFonts w:ascii="Cambria" w:hAnsi="Cambria"/>
          <w:sz w:val="16"/>
          <w:szCs w:val="16"/>
        </w:rPr>
        <w:footnoteRef/>
      </w:r>
      <w:r w:rsidRPr="006C459C">
        <w:rPr>
          <w:rFonts w:ascii="Cambria" w:hAnsi="Cambria"/>
          <w:sz w:val="16"/>
          <w:szCs w:val="16"/>
          <w:lang w:val="es-CR"/>
        </w:rPr>
        <w:t xml:space="preserve"> </w:t>
      </w:r>
      <w:r w:rsidRPr="006C459C">
        <w:rPr>
          <w:rFonts w:ascii="Cambria" w:hAnsi="Cambria"/>
          <w:sz w:val="16"/>
          <w:szCs w:val="16"/>
          <w:lang w:val="es-AR"/>
        </w:rPr>
        <w:t>Anexo</w:t>
      </w:r>
      <w:r w:rsidR="00FB4384" w:rsidRPr="006C459C">
        <w:rPr>
          <w:rFonts w:ascii="Cambria" w:hAnsi="Cambria"/>
          <w:sz w:val="16"/>
          <w:szCs w:val="16"/>
          <w:lang w:val="es-AR"/>
        </w:rPr>
        <w:t xml:space="preserve"> 7</w:t>
      </w:r>
      <w:r w:rsidRPr="006C459C">
        <w:rPr>
          <w:rFonts w:ascii="Cambria" w:hAnsi="Cambria"/>
          <w:sz w:val="16"/>
          <w:szCs w:val="16"/>
          <w:lang w:val="es-AR"/>
        </w:rPr>
        <w:t>. Dictamen Fiscal Dictamen Fiscal ante el Juzgado Tercero penal de Imbabura de 1 de septiembre de 1994. Anexo al escrito de la peticionaria recibido el 22 de noviembre de 1995.</w:t>
      </w:r>
    </w:p>
  </w:footnote>
  <w:footnote w:id="47">
    <w:p w:rsidR="006A3859" w:rsidRPr="006C459C" w:rsidRDefault="006A3859" w:rsidP="00D060AD">
      <w:pPr>
        <w:jc w:val="both"/>
        <w:rPr>
          <w:rFonts w:ascii="Cambria" w:hAnsi="Cambria"/>
          <w:sz w:val="16"/>
          <w:szCs w:val="16"/>
          <w:lang w:val="es-AR"/>
        </w:rPr>
      </w:pPr>
      <w:r w:rsidRPr="006C459C">
        <w:rPr>
          <w:rStyle w:val="FootnoteReference"/>
          <w:rFonts w:ascii="Cambria" w:hAnsi="Cambria"/>
          <w:sz w:val="16"/>
          <w:szCs w:val="16"/>
        </w:rPr>
        <w:footnoteRef/>
      </w:r>
      <w:r w:rsidRPr="006C459C">
        <w:rPr>
          <w:rFonts w:ascii="Cambria" w:hAnsi="Cambria"/>
          <w:sz w:val="16"/>
          <w:szCs w:val="16"/>
          <w:lang w:val="es-AR"/>
        </w:rPr>
        <w:t xml:space="preserve"> Anexo</w:t>
      </w:r>
      <w:r w:rsidR="00FB4384" w:rsidRPr="006C459C">
        <w:rPr>
          <w:rFonts w:ascii="Cambria" w:hAnsi="Cambria"/>
          <w:sz w:val="16"/>
          <w:szCs w:val="16"/>
          <w:lang w:val="es-AR"/>
        </w:rPr>
        <w:t xml:space="preserve"> 3</w:t>
      </w:r>
      <w:r w:rsidRPr="006C459C">
        <w:rPr>
          <w:rFonts w:ascii="Cambria" w:hAnsi="Cambria"/>
          <w:sz w:val="16"/>
          <w:szCs w:val="16"/>
          <w:lang w:val="es-AR"/>
        </w:rPr>
        <w:t>. Escrito de querella civil y penal de Franklin Plutarco García Espinosa de 5 de noviembre de 1993. Anexo al escrito de la peticionaria de 3 de agosto de 1995.</w:t>
      </w:r>
    </w:p>
  </w:footnote>
  <w:footnote w:id="48">
    <w:p w:rsidR="006A3859" w:rsidRPr="006C459C" w:rsidRDefault="006A3859" w:rsidP="00D060AD">
      <w:pPr>
        <w:jc w:val="both"/>
        <w:rPr>
          <w:rFonts w:ascii="Cambria" w:hAnsi="Cambria"/>
          <w:sz w:val="16"/>
          <w:szCs w:val="16"/>
          <w:lang w:val="es-AR"/>
        </w:rPr>
      </w:pPr>
      <w:r w:rsidRPr="006C459C">
        <w:rPr>
          <w:rStyle w:val="FootnoteReference"/>
          <w:rFonts w:ascii="Cambria" w:hAnsi="Cambria"/>
          <w:sz w:val="16"/>
          <w:szCs w:val="16"/>
        </w:rPr>
        <w:footnoteRef/>
      </w:r>
      <w:r w:rsidRPr="006C459C">
        <w:rPr>
          <w:rFonts w:ascii="Cambria" w:hAnsi="Cambria"/>
          <w:sz w:val="16"/>
          <w:szCs w:val="16"/>
          <w:lang w:val="es-CR"/>
        </w:rPr>
        <w:t xml:space="preserve"> </w:t>
      </w:r>
      <w:r w:rsidRPr="006C459C">
        <w:rPr>
          <w:rFonts w:ascii="Cambria" w:hAnsi="Cambria"/>
          <w:sz w:val="16"/>
          <w:szCs w:val="16"/>
          <w:lang w:val="es-AR"/>
        </w:rPr>
        <w:t xml:space="preserve">Anexo </w:t>
      </w:r>
      <w:r w:rsidR="00FB4384" w:rsidRPr="006C459C">
        <w:rPr>
          <w:rFonts w:ascii="Cambria" w:hAnsi="Cambria"/>
          <w:sz w:val="16"/>
          <w:szCs w:val="16"/>
          <w:lang w:val="es-AR"/>
        </w:rPr>
        <w:t>14</w:t>
      </w:r>
      <w:r w:rsidRPr="006C459C">
        <w:rPr>
          <w:rFonts w:ascii="Cambria" w:hAnsi="Cambria"/>
          <w:sz w:val="16"/>
          <w:szCs w:val="16"/>
          <w:lang w:val="es-AR"/>
        </w:rPr>
        <w:t>. Escrito de CEDHU dirigido al Fiscal General de la Nación de 1 de junio de 1994. Anexo a la petición inicial de la peticionaria.</w:t>
      </w:r>
    </w:p>
  </w:footnote>
  <w:footnote w:id="49">
    <w:p w:rsidR="006A3859" w:rsidRPr="006C459C" w:rsidRDefault="006A3859" w:rsidP="00D060AD">
      <w:pPr>
        <w:pStyle w:val="FootnoteText"/>
        <w:jc w:val="both"/>
        <w:rPr>
          <w:rFonts w:ascii="Cambria" w:hAnsi="Cambria"/>
          <w:sz w:val="16"/>
          <w:szCs w:val="16"/>
          <w:lang w:val="es-ES"/>
        </w:rPr>
      </w:pPr>
      <w:r w:rsidRPr="006C459C">
        <w:rPr>
          <w:rStyle w:val="FootnoteReference"/>
          <w:rFonts w:ascii="Cambria" w:hAnsi="Cambria"/>
          <w:sz w:val="16"/>
          <w:szCs w:val="16"/>
        </w:rPr>
        <w:footnoteRef/>
      </w:r>
      <w:r w:rsidRPr="006C459C">
        <w:rPr>
          <w:rFonts w:ascii="Cambria" w:hAnsi="Cambria"/>
          <w:sz w:val="16"/>
          <w:szCs w:val="16"/>
          <w:lang w:val="es-ES"/>
        </w:rPr>
        <w:t xml:space="preserve"> </w:t>
      </w:r>
      <w:r w:rsidRPr="006C459C">
        <w:rPr>
          <w:rFonts w:ascii="Cambria" w:hAnsi="Cambria"/>
          <w:sz w:val="16"/>
          <w:szCs w:val="16"/>
          <w:lang w:val="es-AR"/>
        </w:rPr>
        <w:t xml:space="preserve">Anexo </w:t>
      </w:r>
      <w:r w:rsidR="00FB4384" w:rsidRPr="006C459C">
        <w:rPr>
          <w:rFonts w:ascii="Cambria" w:hAnsi="Cambria"/>
          <w:sz w:val="16"/>
          <w:szCs w:val="16"/>
          <w:lang w:val="es-AR"/>
        </w:rPr>
        <w:t>7</w:t>
      </w:r>
      <w:r w:rsidRPr="006C459C">
        <w:rPr>
          <w:rFonts w:ascii="Cambria" w:hAnsi="Cambria"/>
          <w:sz w:val="16"/>
          <w:szCs w:val="16"/>
          <w:lang w:val="es-AR"/>
        </w:rPr>
        <w:t>. Dictamen Fiscal ante el Juzgado Tercero penal de Imbabura de 1 de septiembre de 1994. Anexo al escrito de la peticionaria recibido el 22 de noviembre de 1995.</w:t>
      </w:r>
    </w:p>
  </w:footnote>
  <w:footnote w:id="50">
    <w:p w:rsidR="006A3859" w:rsidRPr="006C459C" w:rsidRDefault="006A3859" w:rsidP="00D060AD">
      <w:pPr>
        <w:pStyle w:val="FootnoteText"/>
        <w:jc w:val="both"/>
        <w:rPr>
          <w:rFonts w:ascii="Cambria" w:hAnsi="Cambria"/>
          <w:sz w:val="16"/>
          <w:szCs w:val="16"/>
          <w:lang w:val="es-ES"/>
        </w:rPr>
      </w:pPr>
      <w:r w:rsidRPr="006C459C">
        <w:rPr>
          <w:rStyle w:val="FootnoteReference"/>
          <w:rFonts w:ascii="Cambria" w:hAnsi="Cambria"/>
          <w:sz w:val="16"/>
          <w:szCs w:val="16"/>
        </w:rPr>
        <w:footnoteRef/>
      </w:r>
      <w:r w:rsidRPr="006C459C">
        <w:rPr>
          <w:rFonts w:ascii="Cambria" w:hAnsi="Cambria"/>
          <w:sz w:val="16"/>
          <w:szCs w:val="16"/>
          <w:lang w:val="es-ES"/>
        </w:rPr>
        <w:t xml:space="preserve"> </w:t>
      </w:r>
      <w:r w:rsidRPr="006C459C">
        <w:rPr>
          <w:rFonts w:ascii="Cambria" w:hAnsi="Cambria"/>
          <w:sz w:val="16"/>
          <w:szCs w:val="16"/>
          <w:lang w:val="es-AR"/>
        </w:rPr>
        <w:t xml:space="preserve">Anexo </w:t>
      </w:r>
      <w:r w:rsidR="00FB4384" w:rsidRPr="006C459C">
        <w:rPr>
          <w:rFonts w:ascii="Cambria" w:hAnsi="Cambria"/>
          <w:sz w:val="16"/>
          <w:szCs w:val="16"/>
          <w:lang w:val="es-AR"/>
        </w:rPr>
        <w:t>7</w:t>
      </w:r>
      <w:r w:rsidRPr="006C459C">
        <w:rPr>
          <w:rFonts w:ascii="Cambria" w:hAnsi="Cambria"/>
          <w:sz w:val="16"/>
          <w:szCs w:val="16"/>
          <w:lang w:val="es-AR"/>
        </w:rPr>
        <w:t>. Dictamen Fiscal ante el Juzgado Tercero penal de Imbabura de 1 de septiembre de 1994. Anexo al escrito de la peticionaria recibido el 22 de noviembre de 1995.</w:t>
      </w:r>
    </w:p>
  </w:footnote>
  <w:footnote w:id="51">
    <w:p w:rsidR="006A3859" w:rsidRPr="006C459C" w:rsidRDefault="006A3859" w:rsidP="00D060AD">
      <w:pPr>
        <w:pStyle w:val="FootnoteText"/>
        <w:jc w:val="both"/>
        <w:rPr>
          <w:rFonts w:ascii="Cambria" w:hAnsi="Cambria"/>
          <w:sz w:val="16"/>
          <w:szCs w:val="16"/>
          <w:lang w:val="es-ES"/>
        </w:rPr>
      </w:pPr>
      <w:r w:rsidRPr="006C459C">
        <w:rPr>
          <w:rStyle w:val="FootnoteReference"/>
          <w:rFonts w:ascii="Cambria" w:hAnsi="Cambria"/>
          <w:sz w:val="16"/>
          <w:szCs w:val="16"/>
        </w:rPr>
        <w:footnoteRef/>
      </w:r>
      <w:r w:rsidRPr="006C459C">
        <w:rPr>
          <w:rFonts w:ascii="Cambria" w:hAnsi="Cambria"/>
          <w:sz w:val="16"/>
          <w:szCs w:val="16"/>
          <w:lang w:val="es-ES"/>
        </w:rPr>
        <w:t xml:space="preserve"> </w:t>
      </w:r>
      <w:r w:rsidRPr="006C459C">
        <w:rPr>
          <w:rFonts w:ascii="Cambria" w:hAnsi="Cambria"/>
          <w:sz w:val="16"/>
          <w:szCs w:val="16"/>
          <w:lang w:val="es-AR"/>
        </w:rPr>
        <w:t xml:space="preserve">Anexo </w:t>
      </w:r>
      <w:r w:rsidR="00FB4384" w:rsidRPr="006C459C">
        <w:rPr>
          <w:rFonts w:ascii="Cambria" w:hAnsi="Cambria"/>
          <w:sz w:val="16"/>
          <w:szCs w:val="16"/>
          <w:lang w:val="es-AR"/>
        </w:rPr>
        <w:t>7</w:t>
      </w:r>
      <w:r w:rsidRPr="006C459C">
        <w:rPr>
          <w:rFonts w:ascii="Cambria" w:hAnsi="Cambria"/>
          <w:sz w:val="16"/>
          <w:szCs w:val="16"/>
          <w:lang w:val="es-AR"/>
        </w:rPr>
        <w:t>. Dictamen Fiscal ante el Juzgado Tercero penal de Imbabura de 1 de septiembre de 1994. Anexo al escrito de la peticionaria recibido el 22 de noviembre de 1995.</w:t>
      </w:r>
    </w:p>
  </w:footnote>
  <w:footnote w:id="52">
    <w:p w:rsidR="006A3859" w:rsidRPr="006C459C" w:rsidRDefault="006A3859" w:rsidP="00D060AD">
      <w:pPr>
        <w:pStyle w:val="FootnoteText"/>
        <w:jc w:val="both"/>
        <w:rPr>
          <w:rFonts w:ascii="Cambria" w:hAnsi="Cambria"/>
          <w:sz w:val="16"/>
          <w:szCs w:val="16"/>
          <w:lang w:val="es-ES"/>
        </w:rPr>
      </w:pPr>
      <w:r w:rsidRPr="006C459C">
        <w:rPr>
          <w:rStyle w:val="FootnoteReference"/>
          <w:rFonts w:ascii="Cambria" w:hAnsi="Cambria"/>
          <w:sz w:val="16"/>
          <w:szCs w:val="16"/>
        </w:rPr>
        <w:footnoteRef/>
      </w:r>
      <w:r w:rsidRPr="006C459C">
        <w:rPr>
          <w:rFonts w:ascii="Cambria" w:hAnsi="Cambria"/>
          <w:sz w:val="16"/>
          <w:szCs w:val="16"/>
          <w:lang w:val="es-ES"/>
        </w:rPr>
        <w:t xml:space="preserve"> </w:t>
      </w:r>
      <w:r w:rsidRPr="006C459C">
        <w:rPr>
          <w:rFonts w:ascii="Cambria" w:hAnsi="Cambria"/>
          <w:sz w:val="16"/>
          <w:szCs w:val="16"/>
          <w:lang w:val="es-AR"/>
        </w:rPr>
        <w:t xml:space="preserve">Anexo </w:t>
      </w:r>
      <w:r w:rsidR="00FB4384" w:rsidRPr="006C459C">
        <w:rPr>
          <w:rFonts w:ascii="Cambria" w:hAnsi="Cambria"/>
          <w:sz w:val="16"/>
          <w:szCs w:val="16"/>
          <w:lang w:val="es-AR"/>
        </w:rPr>
        <w:t>7</w:t>
      </w:r>
      <w:r w:rsidRPr="006C459C">
        <w:rPr>
          <w:rFonts w:ascii="Cambria" w:hAnsi="Cambria"/>
          <w:sz w:val="16"/>
          <w:szCs w:val="16"/>
          <w:lang w:val="es-AR"/>
        </w:rPr>
        <w:t>. Dictamen Fiscal ante el Juzgado Tercero penal de Imbabura de 1 de septiembre de 1994. Anexo al escrito de la peticionaria recibido el 22 de noviembre de 1995.</w:t>
      </w:r>
    </w:p>
  </w:footnote>
  <w:footnote w:id="53">
    <w:p w:rsidR="006A3859" w:rsidRPr="006C459C" w:rsidRDefault="006A3859" w:rsidP="00D060AD">
      <w:pPr>
        <w:pStyle w:val="FootnoteText"/>
        <w:jc w:val="both"/>
        <w:rPr>
          <w:rFonts w:ascii="Cambria" w:hAnsi="Cambria"/>
          <w:sz w:val="16"/>
          <w:szCs w:val="16"/>
          <w:lang w:val="es-ES"/>
        </w:rPr>
      </w:pPr>
      <w:r w:rsidRPr="006C459C">
        <w:rPr>
          <w:rStyle w:val="FootnoteReference"/>
          <w:rFonts w:ascii="Cambria" w:hAnsi="Cambria"/>
          <w:sz w:val="16"/>
          <w:szCs w:val="16"/>
        </w:rPr>
        <w:footnoteRef/>
      </w:r>
      <w:r w:rsidRPr="006C459C">
        <w:rPr>
          <w:rFonts w:ascii="Cambria" w:hAnsi="Cambria"/>
          <w:sz w:val="16"/>
          <w:szCs w:val="16"/>
          <w:lang w:val="es-ES"/>
        </w:rPr>
        <w:t xml:space="preserve"> </w:t>
      </w:r>
      <w:r w:rsidRPr="006C459C">
        <w:rPr>
          <w:rFonts w:ascii="Cambria" w:hAnsi="Cambria"/>
          <w:sz w:val="16"/>
          <w:szCs w:val="16"/>
          <w:lang w:val="es-AR"/>
        </w:rPr>
        <w:t xml:space="preserve">Anexo </w:t>
      </w:r>
      <w:r w:rsidR="00FB4384" w:rsidRPr="006C459C">
        <w:rPr>
          <w:rFonts w:ascii="Cambria" w:hAnsi="Cambria"/>
          <w:sz w:val="16"/>
          <w:szCs w:val="16"/>
          <w:lang w:val="es-AR"/>
        </w:rPr>
        <w:t>7</w:t>
      </w:r>
      <w:r w:rsidRPr="006C459C">
        <w:rPr>
          <w:rFonts w:ascii="Cambria" w:hAnsi="Cambria"/>
          <w:sz w:val="16"/>
          <w:szCs w:val="16"/>
          <w:lang w:val="es-AR"/>
        </w:rPr>
        <w:t>. Dictamen Fiscal ante el Juzgado Tercero penal de Imbabura de 1 de septiembre de 1994. Anexo al escrito de la peticionaria recibido el 22 de noviembre de 1995.</w:t>
      </w:r>
    </w:p>
  </w:footnote>
  <w:footnote w:id="54">
    <w:p w:rsidR="006A3859" w:rsidRPr="006C459C" w:rsidRDefault="006A3859" w:rsidP="00D060AD">
      <w:pPr>
        <w:pStyle w:val="FootnoteText"/>
        <w:jc w:val="both"/>
        <w:rPr>
          <w:rFonts w:ascii="Cambria" w:hAnsi="Cambria"/>
          <w:sz w:val="16"/>
          <w:szCs w:val="16"/>
          <w:lang w:val="es-ES"/>
        </w:rPr>
      </w:pPr>
      <w:r w:rsidRPr="006C459C">
        <w:rPr>
          <w:rStyle w:val="FootnoteReference"/>
          <w:rFonts w:ascii="Cambria" w:hAnsi="Cambria"/>
          <w:sz w:val="16"/>
          <w:szCs w:val="16"/>
        </w:rPr>
        <w:footnoteRef/>
      </w:r>
      <w:r w:rsidRPr="006C459C">
        <w:rPr>
          <w:rFonts w:ascii="Cambria" w:hAnsi="Cambria"/>
          <w:sz w:val="16"/>
          <w:szCs w:val="16"/>
          <w:lang w:val="es-ES"/>
        </w:rPr>
        <w:t xml:space="preserve"> </w:t>
      </w:r>
      <w:r w:rsidRPr="006C459C">
        <w:rPr>
          <w:rFonts w:ascii="Cambria" w:hAnsi="Cambria"/>
          <w:sz w:val="16"/>
          <w:szCs w:val="16"/>
          <w:lang w:val="es-AR"/>
        </w:rPr>
        <w:t xml:space="preserve">Anexo </w:t>
      </w:r>
      <w:r w:rsidR="00FB4384" w:rsidRPr="006C459C">
        <w:rPr>
          <w:rFonts w:ascii="Cambria" w:hAnsi="Cambria"/>
          <w:sz w:val="16"/>
          <w:szCs w:val="16"/>
          <w:lang w:val="es-AR"/>
        </w:rPr>
        <w:t>7</w:t>
      </w:r>
      <w:r w:rsidRPr="006C459C">
        <w:rPr>
          <w:rFonts w:ascii="Cambria" w:hAnsi="Cambria"/>
          <w:sz w:val="16"/>
          <w:szCs w:val="16"/>
          <w:lang w:val="es-AR"/>
        </w:rPr>
        <w:t>. Dictamen Fiscal ante el Juzgado Tercero penal de Imbabura de 1 de septiembre de 1994. Anexo al escrito de la peticionaria recibido el 22 de noviembre de 1995.</w:t>
      </w:r>
    </w:p>
  </w:footnote>
  <w:footnote w:id="55">
    <w:p w:rsidR="006A3859" w:rsidRPr="006C459C" w:rsidRDefault="006A3859" w:rsidP="00D060AD">
      <w:pPr>
        <w:jc w:val="both"/>
        <w:rPr>
          <w:rFonts w:ascii="Cambria" w:hAnsi="Cambria"/>
          <w:sz w:val="16"/>
          <w:szCs w:val="16"/>
          <w:lang w:val="es-AR"/>
        </w:rPr>
      </w:pPr>
      <w:r w:rsidRPr="006C459C">
        <w:rPr>
          <w:rStyle w:val="FootnoteReference"/>
          <w:rFonts w:ascii="Cambria" w:hAnsi="Cambria"/>
          <w:sz w:val="16"/>
          <w:szCs w:val="16"/>
        </w:rPr>
        <w:footnoteRef/>
      </w:r>
      <w:r w:rsidRPr="006C459C">
        <w:rPr>
          <w:rFonts w:ascii="Cambria" w:hAnsi="Cambria"/>
          <w:sz w:val="16"/>
          <w:szCs w:val="16"/>
          <w:lang w:val="es-CR"/>
        </w:rPr>
        <w:t xml:space="preserve"> Anexo </w:t>
      </w:r>
      <w:r w:rsidR="00FB4384" w:rsidRPr="006C459C">
        <w:rPr>
          <w:rFonts w:ascii="Cambria" w:hAnsi="Cambria"/>
          <w:sz w:val="16"/>
          <w:szCs w:val="16"/>
          <w:lang w:val="es-CR"/>
        </w:rPr>
        <w:t>15</w:t>
      </w:r>
      <w:r w:rsidRPr="006C459C">
        <w:rPr>
          <w:rFonts w:ascii="Cambria" w:hAnsi="Cambria"/>
          <w:sz w:val="16"/>
          <w:szCs w:val="16"/>
          <w:lang w:val="es-CR"/>
        </w:rPr>
        <w:t xml:space="preserve">. Comunicación de 16 de septiembre de 1994 dirigida al Juez Tercero de lo Penal. </w:t>
      </w:r>
      <w:r w:rsidRPr="006C459C">
        <w:rPr>
          <w:rFonts w:ascii="Cambria" w:hAnsi="Cambria"/>
          <w:sz w:val="16"/>
          <w:szCs w:val="16"/>
          <w:lang w:val="es-AR"/>
        </w:rPr>
        <w:t>Anexo al escrito de la peticionaria recibido el 22 de noviembre de 1995.</w:t>
      </w:r>
    </w:p>
  </w:footnote>
  <w:footnote w:id="56">
    <w:p w:rsidR="006A3859" w:rsidRPr="006C459C" w:rsidRDefault="006A3859" w:rsidP="00D060AD">
      <w:pPr>
        <w:jc w:val="both"/>
        <w:rPr>
          <w:rFonts w:ascii="Cambria" w:hAnsi="Cambria"/>
          <w:sz w:val="16"/>
          <w:szCs w:val="16"/>
          <w:lang w:val="es-AR"/>
        </w:rPr>
      </w:pPr>
      <w:r w:rsidRPr="006C459C">
        <w:rPr>
          <w:rStyle w:val="FootnoteReference"/>
          <w:rFonts w:ascii="Cambria" w:hAnsi="Cambria"/>
          <w:sz w:val="16"/>
          <w:szCs w:val="16"/>
        </w:rPr>
        <w:footnoteRef/>
      </w:r>
      <w:r w:rsidRPr="006C459C">
        <w:rPr>
          <w:rFonts w:ascii="Cambria" w:hAnsi="Cambria"/>
          <w:sz w:val="16"/>
          <w:szCs w:val="16"/>
          <w:lang w:val="es-CR"/>
        </w:rPr>
        <w:t xml:space="preserve"> Anexo </w:t>
      </w:r>
      <w:r w:rsidR="00FB4384" w:rsidRPr="006C459C">
        <w:rPr>
          <w:rFonts w:ascii="Cambria" w:hAnsi="Cambria"/>
          <w:sz w:val="16"/>
          <w:szCs w:val="16"/>
          <w:lang w:val="es-CR"/>
        </w:rPr>
        <w:t>15</w:t>
      </w:r>
      <w:r w:rsidRPr="006C459C">
        <w:rPr>
          <w:rFonts w:ascii="Cambria" w:hAnsi="Cambria"/>
          <w:sz w:val="16"/>
          <w:szCs w:val="16"/>
          <w:lang w:val="es-CR"/>
        </w:rPr>
        <w:t xml:space="preserve">. Comunicación de 16 de septiembre de 1994 dirigida al Juez Tercero de lo Penal. </w:t>
      </w:r>
      <w:r w:rsidRPr="006C459C">
        <w:rPr>
          <w:rFonts w:ascii="Cambria" w:hAnsi="Cambria"/>
          <w:sz w:val="16"/>
          <w:szCs w:val="16"/>
          <w:lang w:val="es-AR"/>
        </w:rPr>
        <w:t>Anexo al escrito de la peticionaria recibido el 22 de noviembre de 1995.</w:t>
      </w:r>
    </w:p>
  </w:footnote>
  <w:footnote w:id="57">
    <w:p w:rsidR="006A3859" w:rsidRPr="006C459C" w:rsidRDefault="006A3859" w:rsidP="00D060AD">
      <w:pPr>
        <w:jc w:val="both"/>
        <w:rPr>
          <w:rFonts w:ascii="Cambria" w:hAnsi="Cambria"/>
          <w:sz w:val="16"/>
          <w:szCs w:val="16"/>
          <w:lang w:val="es-AR"/>
        </w:rPr>
      </w:pPr>
      <w:r w:rsidRPr="006C459C">
        <w:rPr>
          <w:rStyle w:val="FootnoteReference"/>
          <w:rFonts w:ascii="Cambria" w:hAnsi="Cambria"/>
          <w:sz w:val="16"/>
          <w:szCs w:val="16"/>
        </w:rPr>
        <w:footnoteRef/>
      </w:r>
      <w:r w:rsidRPr="006C459C">
        <w:rPr>
          <w:rFonts w:ascii="Cambria" w:hAnsi="Cambria"/>
          <w:sz w:val="16"/>
          <w:szCs w:val="16"/>
          <w:lang w:val="es-CR"/>
        </w:rPr>
        <w:t xml:space="preserve"> Anexo </w:t>
      </w:r>
      <w:r w:rsidR="00FB4384" w:rsidRPr="006C459C">
        <w:rPr>
          <w:rFonts w:ascii="Cambria" w:hAnsi="Cambria"/>
          <w:sz w:val="16"/>
          <w:szCs w:val="16"/>
          <w:lang w:val="es-CR"/>
        </w:rPr>
        <w:t>4</w:t>
      </w:r>
      <w:r w:rsidRPr="006C459C">
        <w:rPr>
          <w:rFonts w:ascii="Cambria" w:hAnsi="Cambria"/>
          <w:sz w:val="16"/>
          <w:szCs w:val="16"/>
          <w:lang w:val="es-CR"/>
        </w:rPr>
        <w:t>. Sentencia del Tribunal Penal de Imbabura de 3 de septiembre de 1996. Anexo al escrito de la peticionaria de 11 de junio de 1999.</w:t>
      </w:r>
    </w:p>
  </w:footnote>
  <w:footnote w:id="58">
    <w:p w:rsidR="006A3859" w:rsidRPr="006C459C" w:rsidRDefault="006A3859" w:rsidP="00D060AD">
      <w:pPr>
        <w:jc w:val="both"/>
        <w:rPr>
          <w:rFonts w:ascii="Cambria" w:hAnsi="Cambria"/>
          <w:sz w:val="16"/>
          <w:szCs w:val="16"/>
          <w:lang w:val="es-AR"/>
        </w:rPr>
      </w:pPr>
      <w:r w:rsidRPr="006C459C">
        <w:rPr>
          <w:rStyle w:val="FootnoteReference"/>
          <w:rFonts w:ascii="Cambria" w:hAnsi="Cambria"/>
          <w:sz w:val="16"/>
          <w:szCs w:val="16"/>
        </w:rPr>
        <w:footnoteRef/>
      </w:r>
      <w:r w:rsidRPr="006C459C">
        <w:rPr>
          <w:rFonts w:ascii="Cambria" w:hAnsi="Cambria"/>
          <w:sz w:val="16"/>
          <w:szCs w:val="16"/>
          <w:lang w:val="es-CR"/>
        </w:rPr>
        <w:t xml:space="preserve"> Anexo </w:t>
      </w:r>
      <w:r w:rsidR="00FB4384" w:rsidRPr="006C459C">
        <w:rPr>
          <w:rFonts w:ascii="Cambria" w:hAnsi="Cambria"/>
          <w:sz w:val="16"/>
          <w:szCs w:val="16"/>
          <w:lang w:val="es-CR"/>
        </w:rPr>
        <w:t>4</w:t>
      </w:r>
      <w:r w:rsidRPr="006C459C">
        <w:rPr>
          <w:rFonts w:ascii="Cambria" w:hAnsi="Cambria"/>
          <w:sz w:val="16"/>
          <w:szCs w:val="16"/>
          <w:lang w:val="es-CR"/>
        </w:rPr>
        <w:t>. Sentencia del Tribunal Penal de Imbabura de 3 de septiembre de 1996. Anexo al escrito de la peticionaria de 11 de junio de 1999.</w:t>
      </w:r>
    </w:p>
  </w:footnote>
  <w:footnote w:id="59">
    <w:p w:rsidR="006A3859" w:rsidRPr="006C459C" w:rsidRDefault="006A3859" w:rsidP="00D060AD">
      <w:pPr>
        <w:jc w:val="both"/>
        <w:rPr>
          <w:rFonts w:ascii="Cambria" w:hAnsi="Cambria"/>
          <w:sz w:val="16"/>
          <w:szCs w:val="16"/>
          <w:lang w:val="es-CO"/>
        </w:rPr>
      </w:pPr>
      <w:r w:rsidRPr="006C459C">
        <w:rPr>
          <w:rStyle w:val="FootnoteReference"/>
          <w:rFonts w:ascii="Cambria" w:hAnsi="Cambria"/>
          <w:sz w:val="16"/>
          <w:szCs w:val="16"/>
        </w:rPr>
        <w:footnoteRef/>
      </w:r>
      <w:r w:rsidRPr="006C459C">
        <w:rPr>
          <w:rFonts w:ascii="Cambria" w:hAnsi="Cambria"/>
          <w:sz w:val="16"/>
          <w:szCs w:val="16"/>
          <w:lang w:val="es-AR"/>
        </w:rPr>
        <w:t xml:space="preserve"> Anexo </w:t>
      </w:r>
      <w:r w:rsidR="005A4708" w:rsidRPr="006C459C">
        <w:rPr>
          <w:rFonts w:ascii="Cambria" w:hAnsi="Cambria"/>
          <w:sz w:val="16"/>
          <w:szCs w:val="16"/>
          <w:lang w:val="es-AR"/>
        </w:rPr>
        <w:t>5</w:t>
      </w:r>
      <w:r w:rsidRPr="006C459C">
        <w:rPr>
          <w:rFonts w:ascii="Cambria" w:hAnsi="Cambria"/>
          <w:sz w:val="16"/>
          <w:szCs w:val="16"/>
          <w:lang w:val="es-AR"/>
        </w:rPr>
        <w:t>. Sentencia de la Segunda Sala de la Corte Superior de Justicia de Ibarra, de 29 de agosto de 1995. Anexo al escrito de la peticionaria de 21 de marzo de 1996.</w:t>
      </w:r>
    </w:p>
  </w:footnote>
  <w:footnote w:id="60">
    <w:p w:rsidR="006A3859" w:rsidRPr="006C459C" w:rsidRDefault="006A3859" w:rsidP="00D060AD">
      <w:pPr>
        <w:jc w:val="both"/>
        <w:rPr>
          <w:rFonts w:ascii="Cambria" w:hAnsi="Cambria"/>
          <w:sz w:val="16"/>
          <w:szCs w:val="16"/>
          <w:lang w:val="es-AR"/>
        </w:rPr>
      </w:pPr>
      <w:r w:rsidRPr="006C459C">
        <w:rPr>
          <w:rStyle w:val="FootnoteReference"/>
          <w:rFonts w:ascii="Cambria" w:hAnsi="Cambria"/>
          <w:sz w:val="16"/>
          <w:szCs w:val="16"/>
        </w:rPr>
        <w:footnoteRef/>
      </w:r>
      <w:r w:rsidRPr="006C459C">
        <w:rPr>
          <w:rFonts w:ascii="Cambria" w:hAnsi="Cambria"/>
          <w:sz w:val="16"/>
          <w:szCs w:val="16"/>
          <w:lang w:val="es-CR"/>
        </w:rPr>
        <w:t xml:space="preserve"> Anexo </w:t>
      </w:r>
      <w:r w:rsidR="00FB4384" w:rsidRPr="006C459C">
        <w:rPr>
          <w:rFonts w:ascii="Cambria" w:hAnsi="Cambria"/>
          <w:sz w:val="16"/>
          <w:szCs w:val="16"/>
          <w:lang w:val="es-CR"/>
        </w:rPr>
        <w:t>4</w:t>
      </w:r>
      <w:r w:rsidRPr="006C459C">
        <w:rPr>
          <w:rFonts w:ascii="Cambria" w:hAnsi="Cambria"/>
          <w:sz w:val="16"/>
          <w:szCs w:val="16"/>
          <w:lang w:val="es-CR"/>
        </w:rPr>
        <w:t>. Sentencia del Tribunal Penal de Imbabura de 3 de septiembre de 1996. Anexo al escrito de la peticionaria de 11 de junio de 1999.</w:t>
      </w:r>
    </w:p>
  </w:footnote>
  <w:footnote w:id="61">
    <w:p w:rsidR="006A3859" w:rsidRPr="006C459C" w:rsidRDefault="006A3859" w:rsidP="00D060AD">
      <w:pPr>
        <w:jc w:val="both"/>
        <w:rPr>
          <w:rFonts w:ascii="Cambria" w:hAnsi="Cambria"/>
          <w:sz w:val="16"/>
          <w:szCs w:val="16"/>
          <w:lang w:val="es-AR"/>
        </w:rPr>
      </w:pPr>
      <w:r w:rsidRPr="006C459C">
        <w:rPr>
          <w:rStyle w:val="FootnoteReference"/>
          <w:rFonts w:ascii="Cambria" w:hAnsi="Cambria"/>
          <w:sz w:val="16"/>
          <w:szCs w:val="16"/>
        </w:rPr>
        <w:footnoteRef/>
      </w:r>
      <w:r w:rsidRPr="006C459C">
        <w:rPr>
          <w:rFonts w:ascii="Cambria" w:hAnsi="Cambria"/>
          <w:sz w:val="16"/>
          <w:szCs w:val="16"/>
          <w:lang w:val="es-CR"/>
        </w:rPr>
        <w:t xml:space="preserve"> Anexo </w:t>
      </w:r>
      <w:r w:rsidR="00FB4384" w:rsidRPr="006C459C">
        <w:rPr>
          <w:rFonts w:ascii="Cambria" w:hAnsi="Cambria"/>
          <w:sz w:val="16"/>
          <w:szCs w:val="16"/>
          <w:lang w:val="es-CR"/>
        </w:rPr>
        <w:t>4</w:t>
      </w:r>
      <w:r w:rsidRPr="006C459C">
        <w:rPr>
          <w:rFonts w:ascii="Cambria" w:hAnsi="Cambria"/>
          <w:sz w:val="16"/>
          <w:szCs w:val="16"/>
          <w:lang w:val="es-CR"/>
        </w:rPr>
        <w:t>. Sentencia del Tribunal Penal de Imbabura de 3 de septiembre de 1996. Anexo al escrito de la peticionaria de 11 de junio de 1999.</w:t>
      </w:r>
    </w:p>
  </w:footnote>
  <w:footnote w:id="62">
    <w:p w:rsidR="006A3859" w:rsidRPr="006C459C" w:rsidRDefault="006A3859" w:rsidP="00D060AD">
      <w:pPr>
        <w:autoSpaceDE w:val="0"/>
        <w:autoSpaceDN w:val="0"/>
        <w:adjustRightInd w:val="0"/>
        <w:jc w:val="both"/>
        <w:rPr>
          <w:rFonts w:ascii="Cambria" w:hAnsi="Cambria" w:cs="Courier"/>
          <w:sz w:val="16"/>
          <w:szCs w:val="16"/>
          <w:lang w:val="es-AR"/>
        </w:rPr>
      </w:pPr>
      <w:r w:rsidRPr="006C459C">
        <w:rPr>
          <w:rStyle w:val="FootnoteReference"/>
          <w:rFonts w:ascii="Cambria" w:hAnsi="Cambria"/>
          <w:sz w:val="16"/>
          <w:szCs w:val="16"/>
        </w:rPr>
        <w:footnoteRef/>
      </w:r>
      <w:r w:rsidRPr="006C459C">
        <w:rPr>
          <w:rFonts w:ascii="Cambria" w:hAnsi="Cambria"/>
          <w:sz w:val="16"/>
          <w:szCs w:val="16"/>
          <w:lang w:val="es-CR"/>
        </w:rPr>
        <w:t xml:space="preserve"> </w:t>
      </w:r>
      <w:r w:rsidRPr="006C459C">
        <w:rPr>
          <w:rFonts w:ascii="Cambria" w:hAnsi="Cambria" w:cs="Courier"/>
          <w:sz w:val="16"/>
          <w:szCs w:val="16"/>
          <w:lang w:val="es-AR"/>
        </w:rPr>
        <w:t>Código Penal de Ecuador. Registro Oficial Suplemento 147 de 22 de Enero de 1971.</w:t>
      </w:r>
    </w:p>
    <w:p w:rsidR="006A3859" w:rsidRPr="006C459C" w:rsidRDefault="006A3859" w:rsidP="00360085">
      <w:pPr>
        <w:autoSpaceDE w:val="0"/>
        <w:autoSpaceDN w:val="0"/>
        <w:adjustRightInd w:val="0"/>
        <w:jc w:val="both"/>
        <w:rPr>
          <w:rFonts w:ascii="Cambria" w:hAnsi="Cambria" w:cs="Courier"/>
          <w:sz w:val="16"/>
          <w:szCs w:val="16"/>
          <w:lang w:val="es-AR"/>
        </w:rPr>
      </w:pPr>
      <w:r w:rsidRPr="006C459C">
        <w:rPr>
          <w:rFonts w:ascii="Cambria" w:hAnsi="Cambria" w:cs="Courier"/>
          <w:sz w:val="16"/>
          <w:szCs w:val="16"/>
          <w:lang w:val="es-AR"/>
        </w:rPr>
        <w:t>Art. 29.- Son circunstancias atenuantes todas las que, refiriéndose a las causas impulsivas de la infracción, al estado y capacidad física e intelectual del delincuente, a su conducta con respecto al acto y sus consecuencias, disminuyen la gravedad de la infracción, o la alarma ocasionada en la sociedad, o dan a conocer la poca o ninguna peligrosidad del autor, como en los casos siguientes:</w:t>
      </w:r>
    </w:p>
    <w:p w:rsidR="006A3859" w:rsidRPr="006C459C" w:rsidRDefault="006A3859" w:rsidP="00D060AD">
      <w:pPr>
        <w:autoSpaceDE w:val="0"/>
        <w:autoSpaceDN w:val="0"/>
        <w:adjustRightInd w:val="0"/>
        <w:jc w:val="both"/>
        <w:rPr>
          <w:rFonts w:ascii="Cambria" w:hAnsi="Cambria" w:cs="Courier"/>
          <w:sz w:val="16"/>
          <w:szCs w:val="16"/>
          <w:lang w:val="es-AR"/>
        </w:rPr>
      </w:pPr>
      <w:r w:rsidRPr="006C459C">
        <w:rPr>
          <w:rFonts w:ascii="Cambria" w:hAnsi="Cambria" w:cs="Courier"/>
          <w:sz w:val="16"/>
          <w:szCs w:val="16"/>
          <w:lang w:val="es-AR"/>
        </w:rPr>
        <w:t>[…]6o.- Ejemplar conducta observada por el culpado con posterioridad a la infracción;</w:t>
      </w:r>
    </w:p>
    <w:p w:rsidR="006A3859" w:rsidRPr="006C459C" w:rsidRDefault="006A3859" w:rsidP="00D060AD">
      <w:pPr>
        <w:autoSpaceDE w:val="0"/>
        <w:autoSpaceDN w:val="0"/>
        <w:adjustRightInd w:val="0"/>
        <w:jc w:val="both"/>
        <w:rPr>
          <w:rFonts w:ascii="Cambria" w:hAnsi="Cambria"/>
          <w:sz w:val="16"/>
          <w:szCs w:val="16"/>
          <w:lang w:val="es-AR"/>
        </w:rPr>
      </w:pPr>
      <w:r w:rsidRPr="006C459C">
        <w:rPr>
          <w:rFonts w:ascii="Cambria" w:hAnsi="Cambria"/>
          <w:sz w:val="16"/>
          <w:szCs w:val="16"/>
          <w:lang w:val="es-AR"/>
        </w:rPr>
        <w:t>7o.- Conducta anterior del delincuente que revele claramente no tratarse de un individuo peligroso</w:t>
      </w:r>
      <w:proofErr w:type="gramStart"/>
      <w:r w:rsidRPr="006C459C">
        <w:rPr>
          <w:rFonts w:ascii="Cambria" w:hAnsi="Cambria"/>
          <w:sz w:val="16"/>
          <w:szCs w:val="16"/>
          <w:lang w:val="es-AR"/>
        </w:rPr>
        <w:t>;[</w:t>
      </w:r>
      <w:proofErr w:type="gramEnd"/>
      <w:r w:rsidRPr="006C459C">
        <w:rPr>
          <w:rFonts w:ascii="Cambria" w:hAnsi="Cambria"/>
          <w:sz w:val="16"/>
          <w:szCs w:val="16"/>
          <w:lang w:val="es-AR"/>
        </w:rPr>
        <w:t>…]</w:t>
      </w:r>
    </w:p>
  </w:footnote>
  <w:footnote w:id="63">
    <w:p w:rsidR="006A3859" w:rsidRPr="006C459C" w:rsidRDefault="006A3859" w:rsidP="00D060AD">
      <w:pPr>
        <w:jc w:val="both"/>
        <w:rPr>
          <w:rFonts w:ascii="Cambria" w:hAnsi="Cambria"/>
          <w:sz w:val="16"/>
          <w:szCs w:val="16"/>
          <w:lang w:val="es-AR"/>
        </w:rPr>
      </w:pPr>
      <w:r w:rsidRPr="006C459C">
        <w:rPr>
          <w:rStyle w:val="FootnoteReference"/>
          <w:rFonts w:ascii="Cambria" w:hAnsi="Cambria"/>
          <w:sz w:val="16"/>
          <w:szCs w:val="16"/>
        </w:rPr>
        <w:footnoteRef/>
      </w:r>
      <w:r w:rsidRPr="006C459C">
        <w:rPr>
          <w:rFonts w:ascii="Cambria" w:hAnsi="Cambria"/>
          <w:sz w:val="16"/>
          <w:szCs w:val="16"/>
          <w:lang w:val="es-CR"/>
        </w:rPr>
        <w:t xml:space="preserve"> Anexo </w:t>
      </w:r>
      <w:r w:rsidR="005A4708" w:rsidRPr="006C459C">
        <w:rPr>
          <w:rFonts w:ascii="Cambria" w:hAnsi="Cambria"/>
          <w:sz w:val="16"/>
          <w:szCs w:val="16"/>
          <w:lang w:val="es-CR"/>
        </w:rPr>
        <w:t>4</w:t>
      </w:r>
      <w:r w:rsidRPr="006C459C">
        <w:rPr>
          <w:rFonts w:ascii="Cambria" w:hAnsi="Cambria"/>
          <w:sz w:val="16"/>
          <w:szCs w:val="16"/>
          <w:lang w:val="es-CR"/>
        </w:rPr>
        <w:t>. Sentencia del Tribunal Penal de Imbabura de 3 de septiembre de 1996. Anexo al escrito de la peticionaria de 11 de junio de 1999.</w:t>
      </w:r>
    </w:p>
  </w:footnote>
  <w:footnote w:id="64">
    <w:p w:rsidR="006A3859" w:rsidRPr="006C459C" w:rsidRDefault="006A3859" w:rsidP="00D060AD">
      <w:pPr>
        <w:jc w:val="both"/>
        <w:rPr>
          <w:rFonts w:ascii="Cambria" w:hAnsi="Cambria"/>
          <w:sz w:val="16"/>
          <w:szCs w:val="16"/>
          <w:lang w:val="es-AR"/>
        </w:rPr>
      </w:pPr>
      <w:r w:rsidRPr="006C459C">
        <w:rPr>
          <w:rStyle w:val="FootnoteReference"/>
          <w:rFonts w:ascii="Cambria" w:hAnsi="Cambria"/>
          <w:sz w:val="16"/>
          <w:szCs w:val="16"/>
        </w:rPr>
        <w:footnoteRef/>
      </w:r>
      <w:r w:rsidRPr="006C459C">
        <w:rPr>
          <w:rFonts w:ascii="Cambria" w:hAnsi="Cambria"/>
          <w:sz w:val="16"/>
          <w:szCs w:val="16"/>
          <w:lang w:val="es-CR"/>
        </w:rPr>
        <w:t xml:space="preserve"> Anexo </w:t>
      </w:r>
      <w:r w:rsidR="005A4708" w:rsidRPr="006C459C">
        <w:rPr>
          <w:rFonts w:ascii="Cambria" w:hAnsi="Cambria"/>
          <w:sz w:val="16"/>
          <w:szCs w:val="16"/>
          <w:lang w:val="es-CR"/>
        </w:rPr>
        <w:t>4</w:t>
      </w:r>
      <w:r w:rsidRPr="006C459C">
        <w:rPr>
          <w:rFonts w:ascii="Cambria" w:hAnsi="Cambria"/>
          <w:sz w:val="16"/>
          <w:szCs w:val="16"/>
          <w:lang w:val="es-CR"/>
        </w:rPr>
        <w:t>. Sentencia del Tribunal Penal de Imbabura de 3 de septiembre de 1996. Anexo al escrito de la peticionaria de 11 de junio de 1999.</w:t>
      </w:r>
    </w:p>
  </w:footnote>
  <w:footnote w:id="65">
    <w:p w:rsidR="006A3859" w:rsidRPr="006C459C" w:rsidRDefault="006A3859" w:rsidP="00D060AD">
      <w:pPr>
        <w:jc w:val="both"/>
        <w:rPr>
          <w:rFonts w:ascii="Cambria" w:hAnsi="Cambria"/>
          <w:sz w:val="16"/>
          <w:szCs w:val="16"/>
          <w:lang w:val="es-AR"/>
        </w:rPr>
      </w:pPr>
      <w:r w:rsidRPr="006C459C">
        <w:rPr>
          <w:rStyle w:val="FootnoteReference"/>
          <w:rFonts w:ascii="Cambria" w:hAnsi="Cambria"/>
          <w:sz w:val="16"/>
          <w:szCs w:val="16"/>
        </w:rPr>
        <w:footnoteRef/>
      </w:r>
      <w:r w:rsidRPr="006C459C">
        <w:rPr>
          <w:rFonts w:ascii="Cambria" w:hAnsi="Cambria"/>
          <w:sz w:val="16"/>
          <w:szCs w:val="16"/>
          <w:lang w:val="es-CR"/>
        </w:rPr>
        <w:t xml:space="preserve"> Anexo </w:t>
      </w:r>
      <w:r w:rsidR="005A4708" w:rsidRPr="006C459C">
        <w:rPr>
          <w:rFonts w:ascii="Cambria" w:hAnsi="Cambria"/>
          <w:sz w:val="16"/>
          <w:szCs w:val="16"/>
          <w:lang w:val="es-CR"/>
        </w:rPr>
        <w:t>4</w:t>
      </w:r>
      <w:r w:rsidRPr="006C459C">
        <w:rPr>
          <w:rFonts w:ascii="Cambria" w:hAnsi="Cambria"/>
          <w:sz w:val="16"/>
          <w:szCs w:val="16"/>
          <w:lang w:val="es-CR"/>
        </w:rPr>
        <w:t>. Sentencia del Tribunal Penal de Imbabura de 3 de septiembre de 1996. Anexo al escrito de la peticionaria de 11 de junio de 1999.</w:t>
      </w:r>
    </w:p>
  </w:footnote>
  <w:footnote w:id="66">
    <w:p w:rsidR="006A3859" w:rsidRPr="006C459C" w:rsidRDefault="006A3859" w:rsidP="00D060AD">
      <w:pPr>
        <w:jc w:val="both"/>
        <w:rPr>
          <w:rFonts w:ascii="Cambria" w:hAnsi="Cambria"/>
          <w:sz w:val="16"/>
          <w:szCs w:val="16"/>
          <w:lang w:val="es-AR"/>
        </w:rPr>
      </w:pPr>
      <w:r w:rsidRPr="006C459C">
        <w:rPr>
          <w:rStyle w:val="FootnoteReference"/>
          <w:rFonts w:ascii="Cambria" w:hAnsi="Cambria"/>
          <w:sz w:val="16"/>
          <w:szCs w:val="16"/>
        </w:rPr>
        <w:footnoteRef/>
      </w:r>
      <w:r w:rsidRPr="006C459C">
        <w:rPr>
          <w:rFonts w:ascii="Cambria" w:hAnsi="Cambria"/>
          <w:sz w:val="16"/>
          <w:szCs w:val="16"/>
          <w:lang w:val="es-CR"/>
        </w:rPr>
        <w:t xml:space="preserve"> Anexo </w:t>
      </w:r>
      <w:r w:rsidR="005A4708" w:rsidRPr="006C459C">
        <w:rPr>
          <w:rFonts w:ascii="Cambria" w:hAnsi="Cambria"/>
          <w:sz w:val="16"/>
          <w:szCs w:val="16"/>
          <w:lang w:val="es-CR"/>
        </w:rPr>
        <w:t>4</w:t>
      </w:r>
      <w:r w:rsidRPr="006C459C">
        <w:rPr>
          <w:rFonts w:ascii="Cambria" w:hAnsi="Cambria"/>
          <w:sz w:val="16"/>
          <w:szCs w:val="16"/>
          <w:lang w:val="es-CR"/>
        </w:rPr>
        <w:t>. Sentencia del Tribunal Penal de Imbabura de 3 de septiembre de 1996. Anexo al escrito de la peticionaria de 11 de junio de 1999.</w:t>
      </w:r>
    </w:p>
  </w:footnote>
  <w:footnote w:id="67">
    <w:p w:rsidR="006A3859" w:rsidRPr="006C459C" w:rsidRDefault="006A3859" w:rsidP="00D060AD">
      <w:pPr>
        <w:jc w:val="both"/>
        <w:rPr>
          <w:rFonts w:ascii="Cambria" w:hAnsi="Cambria"/>
          <w:sz w:val="16"/>
          <w:szCs w:val="16"/>
          <w:lang w:val="es-AR"/>
        </w:rPr>
      </w:pPr>
      <w:r w:rsidRPr="006C459C">
        <w:rPr>
          <w:rStyle w:val="FootnoteReference"/>
          <w:rFonts w:ascii="Cambria" w:hAnsi="Cambria"/>
          <w:sz w:val="16"/>
          <w:szCs w:val="16"/>
        </w:rPr>
        <w:footnoteRef/>
      </w:r>
      <w:r w:rsidRPr="006C459C">
        <w:rPr>
          <w:rFonts w:ascii="Cambria" w:hAnsi="Cambria"/>
          <w:sz w:val="16"/>
          <w:szCs w:val="16"/>
          <w:lang w:val="es-CR"/>
        </w:rPr>
        <w:t xml:space="preserve"> Anexo </w:t>
      </w:r>
      <w:r w:rsidR="005A4708" w:rsidRPr="006C459C">
        <w:rPr>
          <w:rFonts w:ascii="Cambria" w:hAnsi="Cambria"/>
          <w:sz w:val="16"/>
          <w:szCs w:val="16"/>
          <w:lang w:val="es-CR"/>
        </w:rPr>
        <w:t>4</w:t>
      </w:r>
      <w:r w:rsidRPr="006C459C">
        <w:rPr>
          <w:rFonts w:ascii="Cambria" w:hAnsi="Cambria"/>
          <w:sz w:val="16"/>
          <w:szCs w:val="16"/>
          <w:lang w:val="es-CR"/>
        </w:rPr>
        <w:t>. Sentencia del Tribunal Penal de Imbabura de 3 de septiembre de 1996. Anexo al escrito de la peticionaria de 11 de junio de 1999.</w:t>
      </w:r>
    </w:p>
  </w:footnote>
  <w:footnote w:id="68">
    <w:p w:rsidR="006A3859" w:rsidRPr="006C459C" w:rsidRDefault="006A3859" w:rsidP="00D060AD">
      <w:pPr>
        <w:jc w:val="both"/>
        <w:rPr>
          <w:rFonts w:ascii="Cambria" w:hAnsi="Cambria"/>
          <w:sz w:val="16"/>
          <w:szCs w:val="16"/>
          <w:lang w:val="es-AR"/>
        </w:rPr>
      </w:pPr>
      <w:r w:rsidRPr="006C459C">
        <w:rPr>
          <w:rStyle w:val="FootnoteReference"/>
          <w:rFonts w:ascii="Cambria" w:hAnsi="Cambria"/>
          <w:sz w:val="16"/>
          <w:szCs w:val="16"/>
        </w:rPr>
        <w:footnoteRef/>
      </w:r>
      <w:r w:rsidRPr="006C459C">
        <w:rPr>
          <w:rFonts w:ascii="Cambria" w:hAnsi="Cambria"/>
          <w:sz w:val="16"/>
          <w:szCs w:val="16"/>
          <w:lang w:val="es-CR"/>
        </w:rPr>
        <w:t xml:space="preserve"> Anexo </w:t>
      </w:r>
      <w:r w:rsidR="005A4708" w:rsidRPr="006C459C">
        <w:rPr>
          <w:rFonts w:ascii="Cambria" w:hAnsi="Cambria"/>
          <w:sz w:val="16"/>
          <w:szCs w:val="16"/>
          <w:lang w:val="es-CR"/>
        </w:rPr>
        <w:t>4</w:t>
      </w:r>
      <w:r w:rsidRPr="006C459C">
        <w:rPr>
          <w:rFonts w:ascii="Cambria" w:hAnsi="Cambria"/>
          <w:sz w:val="16"/>
          <w:szCs w:val="16"/>
          <w:lang w:val="es-CR"/>
        </w:rPr>
        <w:t>. Sentencia del Tribunal Penal de Imbabura de 3 de septiembre de 1996. Anexo al escrito de la peticionaria de 11 de junio de 1999.</w:t>
      </w:r>
    </w:p>
  </w:footnote>
  <w:footnote w:id="69">
    <w:p w:rsidR="006A3859" w:rsidRPr="006C459C" w:rsidRDefault="006A3859" w:rsidP="00D060AD">
      <w:pPr>
        <w:jc w:val="both"/>
        <w:rPr>
          <w:rFonts w:ascii="Cambria" w:hAnsi="Cambria"/>
          <w:sz w:val="16"/>
          <w:szCs w:val="16"/>
          <w:lang w:val="es-AR"/>
        </w:rPr>
      </w:pPr>
      <w:r w:rsidRPr="006C459C">
        <w:rPr>
          <w:rStyle w:val="FootnoteReference"/>
          <w:rFonts w:ascii="Cambria" w:hAnsi="Cambria"/>
          <w:sz w:val="16"/>
          <w:szCs w:val="16"/>
        </w:rPr>
        <w:footnoteRef/>
      </w:r>
      <w:r w:rsidRPr="006C459C">
        <w:rPr>
          <w:rFonts w:ascii="Cambria" w:hAnsi="Cambria"/>
          <w:sz w:val="16"/>
          <w:szCs w:val="16"/>
          <w:lang w:val="es-CR"/>
        </w:rPr>
        <w:t xml:space="preserve"> Anexo </w:t>
      </w:r>
      <w:r w:rsidR="005A4708" w:rsidRPr="006C459C">
        <w:rPr>
          <w:rFonts w:ascii="Cambria" w:hAnsi="Cambria"/>
          <w:sz w:val="16"/>
          <w:szCs w:val="16"/>
          <w:lang w:val="es-CR"/>
        </w:rPr>
        <w:t>4</w:t>
      </w:r>
      <w:r w:rsidRPr="006C459C">
        <w:rPr>
          <w:rFonts w:ascii="Cambria" w:hAnsi="Cambria"/>
          <w:sz w:val="16"/>
          <w:szCs w:val="16"/>
          <w:lang w:val="es-CR"/>
        </w:rPr>
        <w:t>. Sentencia del Tribunal Penal de Imbabura de 3 de septiembre de 1996. Anexo al escrito de la peticionaria de 11 de junio de 1999.</w:t>
      </w:r>
    </w:p>
  </w:footnote>
  <w:footnote w:id="70">
    <w:p w:rsidR="006A3859" w:rsidRPr="006C459C" w:rsidRDefault="006A3859" w:rsidP="00D060AD">
      <w:pPr>
        <w:jc w:val="both"/>
        <w:rPr>
          <w:rFonts w:ascii="Cambria" w:hAnsi="Cambria"/>
          <w:sz w:val="16"/>
          <w:szCs w:val="16"/>
          <w:lang w:val="es-AR"/>
        </w:rPr>
      </w:pPr>
      <w:r w:rsidRPr="006C459C">
        <w:rPr>
          <w:rStyle w:val="FootnoteReference"/>
          <w:rFonts w:ascii="Cambria" w:hAnsi="Cambria"/>
          <w:sz w:val="16"/>
          <w:szCs w:val="16"/>
        </w:rPr>
        <w:footnoteRef/>
      </w:r>
      <w:r w:rsidRPr="006C459C">
        <w:rPr>
          <w:rFonts w:ascii="Cambria" w:hAnsi="Cambria"/>
          <w:sz w:val="16"/>
          <w:szCs w:val="16"/>
          <w:lang w:val="es-CR"/>
        </w:rPr>
        <w:t xml:space="preserve"> Información presentada por l</w:t>
      </w:r>
      <w:r w:rsidRPr="006C459C">
        <w:rPr>
          <w:rFonts w:ascii="Cambria" w:hAnsi="Cambria"/>
          <w:sz w:val="16"/>
          <w:szCs w:val="16"/>
          <w:lang w:val="es-AR"/>
        </w:rPr>
        <w:t>a peticionaria y el Estado.</w:t>
      </w:r>
    </w:p>
  </w:footnote>
  <w:footnote w:id="71">
    <w:p w:rsidR="006A3859" w:rsidRPr="006C459C" w:rsidRDefault="006A3859" w:rsidP="00D060AD">
      <w:pPr>
        <w:jc w:val="both"/>
        <w:rPr>
          <w:rFonts w:ascii="Cambria" w:hAnsi="Cambria"/>
          <w:sz w:val="16"/>
          <w:szCs w:val="16"/>
          <w:lang w:val="es-AR"/>
        </w:rPr>
      </w:pPr>
      <w:r w:rsidRPr="006C459C">
        <w:rPr>
          <w:rStyle w:val="FootnoteReference"/>
          <w:rFonts w:ascii="Cambria" w:hAnsi="Cambria"/>
          <w:sz w:val="16"/>
          <w:szCs w:val="16"/>
        </w:rPr>
        <w:footnoteRef/>
      </w:r>
      <w:r w:rsidRPr="006C459C">
        <w:rPr>
          <w:rFonts w:ascii="Cambria" w:hAnsi="Cambria"/>
          <w:sz w:val="16"/>
          <w:szCs w:val="16"/>
          <w:lang w:val="es-CR"/>
        </w:rPr>
        <w:t xml:space="preserve"> Información presentada por l</w:t>
      </w:r>
      <w:r w:rsidRPr="006C459C">
        <w:rPr>
          <w:rFonts w:ascii="Cambria" w:hAnsi="Cambria"/>
          <w:sz w:val="16"/>
          <w:szCs w:val="16"/>
          <w:lang w:val="es-AR"/>
        </w:rPr>
        <w:t xml:space="preserve">a peticionaria y el Estado. </w:t>
      </w:r>
    </w:p>
  </w:footnote>
  <w:footnote w:id="72">
    <w:p w:rsidR="006A3859" w:rsidRPr="006C459C" w:rsidRDefault="006A3859" w:rsidP="00D060AD">
      <w:pPr>
        <w:jc w:val="both"/>
        <w:rPr>
          <w:rFonts w:ascii="Cambria" w:hAnsi="Cambria"/>
          <w:sz w:val="16"/>
          <w:szCs w:val="16"/>
          <w:lang w:val="es-AR"/>
        </w:rPr>
      </w:pPr>
      <w:r w:rsidRPr="006C459C">
        <w:rPr>
          <w:rStyle w:val="FootnoteReference"/>
          <w:rFonts w:ascii="Cambria" w:hAnsi="Cambria"/>
          <w:sz w:val="16"/>
          <w:szCs w:val="16"/>
        </w:rPr>
        <w:footnoteRef/>
      </w:r>
      <w:r w:rsidRPr="006C459C">
        <w:rPr>
          <w:rFonts w:ascii="Cambria" w:hAnsi="Cambria"/>
          <w:sz w:val="16"/>
          <w:szCs w:val="16"/>
          <w:lang w:val="es-CR"/>
        </w:rPr>
        <w:t xml:space="preserve"> Anexo </w:t>
      </w:r>
      <w:r w:rsidR="005A4708" w:rsidRPr="006C459C">
        <w:rPr>
          <w:rFonts w:ascii="Cambria" w:hAnsi="Cambria"/>
          <w:sz w:val="16"/>
          <w:szCs w:val="16"/>
          <w:lang w:val="es-CR"/>
        </w:rPr>
        <w:t>16</w:t>
      </w:r>
      <w:r w:rsidRPr="006C459C">
        <w:rPr>
          <w:rFonts w:ascii="Cambria" w:hAnsi="Cambria"/>
          <w:sz w:val="16"/>
          <w:szCs w:val="16"/>
          <w:lang w:val="es-CR"/>
        </w:rPr>
        <w:t xml:space="preserve">. Escrito del Estado de 20 de septiembre de 2000. </w:t>
      </w:r>
    </w:p>
  </w:footnote>
  <w:footnote w:id="73">
    <w:p w:rsidR="006A3859" w:rsidRPr="006C459C" w:rsidRDefault="006A3859" w:rsidP="00D060AD">
      <w:pPr>
        <w:pStyle w:val="FootnoteText"/>
        <w:jc w:val="both"/>
        <w:rPr>
          <w:rFonts w:ascii="Cambria" w:hAnsi="Cambria"/>
          <w:sz w:val="16"/>
          <w:szCs w:val="16"/>
          <w:lang w:val="es-ES"/>
        </w:rPr>
      </w:pPr>
      <w:r w:rsidRPr="006C459C">
        <w:rPr>
          <w:rStyle w:val="FootnoteReference"/>
          <w:rFonts w:ascii="Cambria" w:hAnsi="Cambria"/>
          <w:sz w:val="16"/>
          <w:szCs w:val="16"/>
        </w:rPr>
        <w:footnoteRef/>
      </w:r>
      <w:r w:rsidRPr="006C459C">
        <w:rPr>
          <w:rFonts w:ascii="Cambria" w:hAnsi="Cambria"/>
          <w:sz w:val="16"/>
          <w:szCs w:val="16"/>
          <w:lang w:val="es-ES"/>
        </w:rPr>
        <w:t xml:space="preserve"> Corte I.D.H., </w:t>
      </w:r>
      <w:r w:rsidRPr="006C459C">
        <w:rPr>
          <w:rFonts w:ascii="Cambria" w:hAnsi="Cambria"/>
          <w:i/>
          <w:iCs/>
          <w:sz w:val="16"/>
          <w:szCs w:val="16"/>
          <w:lang w:val="es-ES"/>
        </w:rPr>
        <w:t>Caso de los “Niños de la Calle” (Villagrán Morales y otros) Vs. Guatemala.</w:t>
      </w:r>
      <w:r w:rsidRPr="006C459C">
        <w:rPr>
          <w:rFonts w:ascii="Cambria" w:hAnsi="Cambria"/>
          <w:sz w:val="16"/>
          <w:szCs w:val="16"/>
          <w:lang w:val="es-ES"/>
        </w:rPr>
        <w:t xml:space="preserve"> Fondo. Sentencia de 19 de noviembre de 1999. Serie C No. 63, párr. 144.</w:t>
      </w:r>
    </w:p>
  </w:footnote>
  <w:footnote w:id="74">
    <w:p w:rsidR="006A3859" w:rsidRPr="006C459C" w:rsidRDefault="006A3859" w:rsidP="00D060AD">
      <w:pPr>
        <w:pStyle w:val="FootnoteText"/>
        <w:jc w:val="both"/>
        <w:rPr>
          <w:rFonts w:ascii="Cambria" w:hAnsi="Cambria"/>
          <w:sz w:val="16"/>
          <w:szCs w:val="16"/>
          <w:lang w:val="es-ES"/>
        </w:rPr>
      </w:pPr>
      <w:r w:rsidRPr="006C459C">
        <w:rPr>
          <w:rStyle w:val="FootnoteReference"/>
          <w:rFonts w:ascii="Cambria" w:hAnsi="Cambria"/>
          <w:sz w:val="16"/>
          <w:szCs w:val="16"/>
        </w:rPr>
        <w:footnoteRef/>
      </w:r>
      <w:r w:rsidRPr="006C459C">
        <w:rPr>
          <w:rFonts w:ascii="Cambria" w:hAnsi="Cambria"/>
          <w:sz w:val="16"/>
          <w:szCs w:val="16"/>
          <w:lang w:val="es-ES"/>
        </w:rPr>
        <w:t xml:space="preserve"> </w:t>
      </w:r>
      <w:r w:rsidRPr="006C459C">
        <w:rPr>
          <w:rFonts w:ascii="Cambria" w:hAnsi="Cambria"/>
          <w:sz w:val="16"/>
          <w:szCs w:val="16"/>
          <w:lang w:val="es-ES_tradnl"/>
        </w:rPr>
        <w:t xml:space="preserve">Corte I.D.H., </w:t>
      </w:r>
      <w:r w:rsidRPr="006C459C">
        <w:rPr>
          <w:rFonts w:ascii="Cambria" w:hAnsi="Cambria"/>
          <w:i/>
          <w:iCs/>
          <w:sz w:val="16"/>
          <w:szCs w:val="16"/>
          <w:lang w:val="es-ES_tradnl"/>
        </w:rPr>
        <w:t>Caso Zambrano Vélez y otros Vs. Ecuador.</w:t>
      </w:r>
      <w:r w:rsidRPr="006C459C">
        <w:rPr>
          <w:rFonts w:ascii="Cambria" w:hAnsi="Cambria"/>
          <w:b/>
          <w:bCs/>
          <w:sz w:val="16"/>
          <w:szCs w:val="16"/>
          <w:lang w:val="es-ES_tradnl"/>
        </w:rPr>
        <w:t xml:space="preserve"> </w:t>
      </w:r>
      <w:r w:rsidRPr="006C459C">
        <w:rPr>
          <w:rFonts w:ascii="Cambria" w:hAnsi="Cambria"/>
          <w:sz w:val="16"/>
          <w:szCs w:val="16"/>
          <w:lang w:val="es-ES_tradnl"/>
        </w:rPr>
        <w:t xml:space="preserve">Fondo, Reparaciones y Costas. Sentencia de 4 de julio de 2007. Serie C No. 166, párr. 80; </w:t>
      </w:r>
      <w:r w:rsidRPr="006C459C">
        <w:rPr>
          <w:rFonts w:ascii="Cambria" w:hAnsi="Cambria"/>
          <w:i/>
          <w:iCs/>
          <w:sz w:val="16"/>
          <w:szCs w:val="16"/>
          <w:lang w:val="es-ES_tradnl"/>
        </w:rPr>
        <w:t>Caso de los “Niños de la Calle” (Villagrán Morales y otros)</w:t>
      </w:r>
      <w:r w:rsidR="00871FD8" w:rsidRPr="006C459C">
        <w:rPr>
          <w:rFonts w:ascii="Cambria" w:hAnsi="Cambria"/>
          <w:i/>
          <w:iCs/>
          <w:sz w:val="16"/>
          <w:szCs w:val="16"/>
          <w:lang w:val="es-ES_tradnl"/>
        </w:rPr>
        <w:t xml:space="preserve"> Vs. Guatemala</w:t>
      </w:r>
      <w:r w:rsidRPr="006C459C">
        <w:rPr>
          <w:rFonts w:ascii="Cambria" w:hAnsi="Cambria"/>
          <w:i/>
          <w:iCs/>
          <w:sz w:val="16"/>
          <w:szCs w:val="16"/>
          <w:lang w:val="es-ES_tradnl"/>
        </w:rPr>
        <w:t>.</w:t>
      </w:r>
      <w:r w:rsidRPr="006C459C">
        <w:rPr>
          <w:rFonts w:ascii="Cambria" w:hAnsi="Cambria"/>
          <w:sz w:val="16"/>
          <w:szCs w:val="16"/>
          <w:lang w:val="es-ES_tradnl"/>
        </w:rPr>
        <w:t xml:space="preserve"> </w:t>
      </w:r>
      <w:r w:rsidR="00871FD8" w:rsidRPr="006C459C">
        <w:rPr>
          <w:rFonts w:ascii="Cambria" w:hAnsi="Cambria"/>
          <w:sz w:val="16"/>
          <w:szCs w:val="16"/>
          <w:lang w:val="es-ES_tradnl"/>
        </w:rPr>
        <w:t xml:space="preserve">Sentencia de </w:t>
      </w:r>
      <w:r w:rsidRPr="006C459C">
        <w:rPr>
          <w:rFonts w:ascii="Cambria" w:hAnsi="Cambria"/>
          <w:sz w:val="16"/>
          <w:szCs w:val="16"/>
          <w:lang w:val="es-ES_tradnl"/>
        </w:rPr>
        <w:t>Fondo. Sentencia de 19 de noviembre de 1999. Serie C No. 63, párr. </w:t>
      </w:r>
      <w:r w:rsidRPr="006C459C">
        <w:rPr>
          <w:rFonts w:ascii="Cambria" w:hAnsi="Cambria"/>
          <w:sz w:val="16"/>
          <w:szCs w:val="16"/>
          <w:lang w:val="es-ES"/>
        </w:rPr>
        <w:t>144.</w:t>
      </w:r>
    </w:p>
  </w:footnote>
  <w:footnote w:id="75">
    <w:p w:rsidR="006A3859" w:rsidRPr="006C459C" w:rsidRDefault="006A3859" w:rsidP="00D060AD">
      <w:pPr>
        <w:jc w:val="both"/>
        <w:rPr>
          <w:rFonts w:ascii="Cambria" w:hAnsi="Cambria"/>
          <w:sz w:val="16"/>
          <w:szCs w:val="16"/>
          <w:lang w:val="pt-BR"/>
        </w:rPr>
      </w:pPr>
      <w:r w:rsidRPr="006C459C">
        <w:rPr>
          <w:rStyle w:val="FootnoteReference"/>
          <w:rFonts w:ascii="Cambria" w:hAnsi="Cambria"/>
          <w:sz w:val="16"/>
          <w:szCs w:val="16"/>
        </w:rPr>
        <w:footnoteRef/>
      </w:r>
      <w:r w:rsidRPr="006C459C">
        <w:rPr>
          <w:rFonts w:ascii="Cambria" w:hAnsi="Cambria"/>
          <w:sz w:val="16"/>
          <w:szCs w:val="16"/>
          <w:lang w:val="es-ES_tradnl"/>
        </w:rPr>
        <w:t xml:space="preserve"> CIDH. Informe sobre Terrorismo y Derechos Humanos. </w:t>
      </w:r>
      <w:r w:rsidRPr="006C459C">
        <w:rPr>
          <w:rFonts w:ascii="Cambria" w:hAnsi="Cambria"/>
          <w:spacing w:val="-3"/>
          <w:sz w:val="16"/>
          <w:szCs w:val="16"/>
          <w:lang w:val="es-ES"/>
        </w:rPr>
        <w:t>OEA/</w:t>
      </w:r>
      <w:proofErr w:type="spellStart"/>
      <w:r w:rsidRPr="006C459C">
        <w:rPr>
          <w:rFonts w:ascii="Cambria" w:hAnsi="Cambria"/>
          <w:spacing w:val="-3"/>
          <w:sz w:val="16"/>
          <w:szCs w:val="16"/>
          <w:lang w:val="es-ES"/>
        </w:rPr>
        <w:t>Ser.L</w:t>
      </w:r>
      <w:proofErr w:type="spellEnd"/>
      <w:r w:rsidRPr="006C459C">
        <w:rPr>
          <w:rFonts w:ascii="Cambria" w:hAnsi="Cambria"/>
          <w:spacing w:val="-3"/>
          <w:sz w:val="16"/>
          <w:szCs w:val="16"/>
          <w:lang w:val="es-ES"/>
        </w:rPr>
        <w:t>/V/II.116, doc. 5,</w:t>
      </w:r>
      <w:r w:rsidRPr="006C459C">
        <w:rPr>
          <w:rFonts w:ascii="Cambria" w:hAnsi="Cambria"/>
          <w:sz w:val="16"/>
          <w:szCs w:val="16"/>
          <w:lang w:val="es-ES"/>
        </w:rPr>
        <w:t xml:space="preserve"> párr. </w:t>
      </w:r>
      <w:r w:rsidRPr="006C459C">
        <w:rPr>
          <w:rFonts w:ascii="Cambria" w:hAnsi="Cambria"/>
          <w:sz w:val="16"/>
          <w:szCs w:val="16"/>
          <w:lang w:val="pt-BR"/>
        </w:rPr>
        <w:t xml:space="preserve">88. </w:t>
      </w:r>
    </w:p>
  </w:footnote>
  <w:footnote w:id="76">
    <w:p w:rsidR="006A3859" w:rsidRPr="006C459C" w:rsidRDefault="006A3859" w:rsidP="00D060AD">
      <w:pPr>
        <w:jc w:val="both"/>
        <w:rPr>
          <w:rFonts w:ascii="Cambria" w:hAnsi="Cambria"/>
          <w:sz w:val="16"/>
          <w:szCs w:val="16"/>
          <w:lang w:val="es-ES"/>
        </w:rPr>
      </w:pPr>
      <w:r w:rsidRPr="006C459C">
        <w:rPr>
          <w:rStyle w:val="FootnoteReference"/>
          <w:rFonts w:ascii="Cambria" w:hAnsi="Cambria"/>
          <w:sz w:val="16"/>
          <w:szCs w:val="16"/>
        </w:rPr>
        <w:footnoteRef/>
      </w:r>
      <w:r w:rsidR="00871FD8" w:rsidRPr="006C459C">
        <w:rPr>
          <w:rFonts w:ascii="Cambria" w:hAnsi="Cambria"/>
          <w:sz w:val="16"/>
          <w:szCs w:val="16"/>
          <w:lang w:val="pt-BR"/>
        </w:rPr>
        <w:t xml:space="preserve"> </w:t>
      </w:r>
      <w:r w:rsidR="00871FD8" w:rsidRPr="006C459C">
        <w:rPr>
          <w:rFonts w:ascii="Cambria" w:hAnsi="Cambria"/>
          <w:sz w:val="16"/>
          <w:szCs w:val="16"/>
          <w:lang w:val="pt-BR"/>
        </w:rPr>
        <w:t xml:space="preserve">CIDH. </w:t>
      </w:r>
      <w:r w:rsidR="00871FD8" w:rsidRPr="006C459C">
        <w:rPr>
          <w:rFonts w:ascii="Cambria" w:hAnsi="Cambria"/>
          <w:sz w:val="16"/>
          <w:szCs w:val="16"/>
          <w:lang w:val="pt-BR"/>
        </w:rPr>
        <w:t>Informe No.</w:t>
      </w:r>
      <w:r w:rsidRPr="006C459C">
        <w:rPr>
          <w:rFonts w:ascii="Cambria" w:hAnsi="Cambria"/>
          <w:sz w:val="16"/>
          <w:szCs w:val="16"/>
          <w:lang w:val="pt-BR"/>
        </w:rPr>
        <w:t xml:space="preserve"> 1</w:t>
      </w:r>
      <w:r w:rsidR="00871FD8" w:rsidRPr="006C459C">
        <w:rPr>
          <w:rFonts w:ascii="Cambria" w:hAnsi="Cambria"/>
          <w:sz w:val="16"/>
          <w:szCs w:val="16"/>
          <w:lang w:val="pt-BR"/>
        </w:rPr>
        <w:t>/96, Caso 10.559, Chumbivilcas, Perú,</w:t>
      </w:r>
      <w:r w:rsidRPr="006C459C">
        <w:rPr>
          <w:rFonts w:ascii="Cambria" w:hAnsi="Cambria"/>
          <w:sz w:val="16"/>
          <w:szCs w:val="16"/>
          <w:lang w:val="pt-BR"/>
        </w:rPr>
        <w:t xml:space="preserve"> 1 de marzo de 1996; Infor</w:t>
      </w:r>
      <w:r w:rsidR="00871FD8" w:rsidRPr="006C459C">
        <w:rPr>
          <w:rFonts w:ascii="Cambria" w:hAnsi="Cambria"/>
          <w:sz w:val="16"/>
          <w:szCs w:val="16"/>
          <w:lang w:val="pt-BR"/>
        </w:rPr>
        <w:t>me No. 34/00, Caso 11.291, Carandiru, Brasil,</w:t>
      </w:r>
      <w:r w:rsidRPr="006C459C">
        <w:rPr>
          <w:rFonts w:ascii="Cambria" w:hAnsi="Cambria"/>
          <w:sz w:val="16"/>
          <w:szCs w:val="16"/>
          <w:lang w:val="pt-BR"/>
        </w:rPr>
        <w:t xml:space="preserve"> </w:t>
      </w:r>
      <w:r w:rsidRPr="006C459C">
        <w:rPr>
          <w:rFonts w:ascii="Cambria" w:hAnsi="Cambria"/>
          <w:sz w:val="16"/>
          <w:szCs w:val="16"/>
          <w:lang w:val="es-ES"/>
        </w:rPr>
        <w:t xml:space="preserve">13 </w:t>
      </w:r>
      <w:r w:rsidR="00871FD8" w:rsidRPr="006C459C">
        <w:rPr>
          <w:rFonts w:ascii="Cambria" w:hAnsi="Cambria"/>
          <w:sz w:val="16"/>
          <w:szCs w:val="16"/>
          <w:lang w:val="es-ES"/>
        </w:rPr>
        <w:t xml:space="preserve">de abril de 2000, </w:t>
      </w:r>
      <w:proofErr w:type="spellStart"/>
      <w:r w:rsidR="00871FD8" w:rsidRPr="006C459C">
        <w:rPr>
          <w:rFonts w:ascii="Cambria" w:hAnsi="Cambria"/>
          <w:sz w:val="16"/>
          <w:szCs w:val="16"/>
          <w:lang w:val="es-ES"/>
        </w:rPr>
        <w:t>párrs</w:t>
      </w:r>
      <w:proofErr w:type="spellEnd"/>
      <w:r w:rsidR="00871FD8" w:rsidRPr="006C459C">
        <w:rPr>
          <w:rFonts w:ascii="Cambria" w:hAnsi="Cambria"/>
          <w:sz w:val="16"/>
          <w:szCs w:val="16"/>
          <w:lang w:val="es-ES"/>
        </w:rPr>
        <w:t>. 63, 67 y</w:t>
      </w:r>
      <w:r w:rsidRPr="006C459C">
        <w:rPr>
          <w:rFonts w:ascii="Cambria" w:hAnsi="Cambria"/>
          <w:sz w:val="16"/>
          <w:szCs w:val="16"/>
          <w:lang w:val="es-ES"/>
        </w:rPr>
        <w:t xml:space="preserve"> 91.</w:t>
      </w:r>
    </w:p>
  </w:footnote>
  <w:footnote w:id="77">
    <w:p w:rsidR="006A3859" w:rsidRPr="006C459C" w:rsidRDefault="006A3859" w:rsidP="00D060AD">
      <w:pPr>
        <w:pStyle w:val="FootnoteText"/>
        <w:jc w:val="both"/>
        <w:rPr>
          <w:rFonts w:ascii="Cambria" w:hAnsi="Cambria"/>
          <w:b/>
          <w:sz w:val="16"/>
          <w:szCs w:val="16"/>
          <w:lang w:val="es-ES"/>
        </w:rPr>
      </w:pPr>
      <w:r w:rsidRPr="006C459C">
        <w:rPr>
          <w:rStyle w:val="FootnoteReference"/>
          <w:rFonts w:ascii="Cambria" w:hAnsi="Cambria"/>
          <w:b/>
          <w:sz w:val="16"/>
          <w:szCs w:val="16"/>
        </w:rPr>
        <w:footnoteRef/>
      </w:r>
      <w:r w:rsidRPr="006C459C">
        <w:rPr>
          <w:rFonts w:ascii="Cambria" w:hAnsi="Cambria"/>
          <w:b/>
          <w:sz w:val="16"/>
          <w:szCs w:val="16"/>
          <w:lang w:val="es-ES"/>
        </w:rPr>
        <w:t xml:space="preserve"> </w:t>
      </w:r>
      <w:r w:rsidRPr="006C459C">
        <w:rPr>
          <w:rStyle w:val="Strong"/>
          <w:rFonts w:ascii="Cambria" w:hAnsi="Cambria"/>
          <w:b w:val="0"/>
          <w:sz w:val="16"/>
          <w:szCs w:val="16"/>
          <w:shd w:val="clear" w:color="auto" w:fill="FFFFFF"/>
          <w:lang w:val="es-ES"/>
        </w:rPr>
        <w:t xml:space="preserve">Corte I.DH., </w:t>
      </w:r>
      <w:r w:rsidRPr="006C459C">
        <w:rPr>
          <w:rStyle w:val="Strong"/>
          <w:rFonts w:ascii="Cambria" w:hAnsi="Cambria"/>
          <w:b w:val="0"/>
          <w:i/>
          <w:sz w:val="16"/>
          <w:szCs w:val="16"/>
          <w:shd w:val="clear" w:color="auto" w:fill="FFFFFF"/>
          <w:lang w:val="es-ES"/>
        </w:rPr>
        <w:t>Caso Hermanos Landaeta Mejías y otros Vs. Venezuela</w:t>
      </w:r>
      <w:r w:rsidRPr="006C459C">
        <w:rPr>
          <w:rStyle w:val="Strong"/>
          <w:rFonts w:ascii="Cambria" w:hAnsi="Cambria"/>
          <w:b w:val="0"/>
          <w:sz w:val="16"/>
          <w:szCs w:val="16"/>
          <w:shd w:val="clear" w:color="auto" w:fill="FFFFFF"/>
          <w:lang w:val="es-ES"/>
        </w:rPr>
        <w:t>. Excepciones Preliminares, Fondo, Reparaciones y Costas. Sentencia de 27 de agosto de 2014. Serie C No. 281, párr. 134.</w:t>
      </w:r>
    </w:p>
  </w:footnote>
  <w:footnote w:id="78">
    <w:p w:rsidR="006A3859" w:rsidRPr="006C459C" w:rsidRDefault="006A3859" w:rsidP="00D060AD">
      <w:pPr>
        <w:jc w:val="both"/>
        <w:rPr>
          <w:rFonts w:ascii="Cambria" w:hAnsi="Cambria"/>
          <w:sz w:val="16"/>
          <w:szCs w:val="16"/>
          <w:lang w:val="pt-BR"/>
        </w:rPr>
      </w:pPr>
      <w:r w:rsidRPr="006C459C">
        <w:rPr>
          <w:rStyle w:val="FootnoteReference"/>
          <w:rFonts w:ascii="Cambria" w:hAnsi="Cambria"/>
          <w:sz w:val="16"/>
          <w:szCs w:val="16"/>
        </w:rPr>
        <w:footnoteRef/>
      </w:r>
      <w:r w:rsidRPr="006C459C">
        <w:rPr>
          <w:rFonts w:ascii="Cambria" w:hAnsi="Cambria"/>
          <w:sz w:val="16"/>
          <w:szCs w:val="16"/>
          <w:lang w:val="es-ES"/>
        </w:rPr>
        <w:t xml:space="preserve"> Corte I.D.H., </w:t>
      </w:r>
      <w:r w:rsidRPr="006C459C">
        <w:rPr>
          <w:rFonts w:ascii="Cambria" w:hAnsi="Cambria"/>
          <w:bCs/>
          <w:i/>
          <w:sz w:val="16"/>
          <w:szCs w:val="16"/>
          <w:lang w:val="es-ES"/>
        </w:rPr>
        <w:t>Caso Zambrano Vélez y otros Vs. Ecuador</w:t>
      </w:r>
      <w:r w:rsidRPr="006C459C">
        <w:rPr>
          <w:rFonts w:ascii="Cambria" w:hAnsi="Cambria"/>
          <w:bCs/>
          <w:sz w:val="16"/>
          <w:szCs w:val="16"/>
          <w:lang w:val="es-ES"/>
        </w:rPr>
        <w:t xml:space="preserve">. </w:t>
      </w:r>
      <w:r w:rsidRPr="006C459C">
        <w:rPr>
          <w:rFonts w:ascii="Cambria" w:hAnsi="Cambria"/>
          <w:sz w:val="16"/>
          <w:szCs w:val="16"/>
          <w:lang w:val="es-ES"/>
        </w:rPr>
        <w:t>Fondo, Reparaciones y Costas. Sentencia de 4 de julio de 2007. Serie C No. 166, párr. 142;</w:t>
      </w:r>
      <w:r w:rsidRPr="006C459C">
        <w:rPr>
          <w:rFonts w:ascii="Cambria" w:hAnsi="Cambria"/>
          <w:sz w:val="16"/>
          <w:szCs w:val="16"/>
          <w:lang w:val="es-ES_tradnl"/>
        </w:rPr>
        <w:t xml:space="preserve"> </w:t>
      </w:r>
      <w:r w:rsidRPr="006C459C">
        <w:rPr>
          <w:rFonts w:ascii="Cambria" w:hAnsi="Cambria"/>
          <w:bCs/>
          <w:i/>
          <w:sz w:val="16"/>
          <w:szCs w:val="16"/>
          <w:lang w:val="es-ES_tradnl"/>
        </w:rPr>
        <w:t xml:space="preserve">Caso </w:t>
      </w:r>
      <w:proofErr w:type="spellStart"/>
      <w:r w:rsidRPr="006C459C">
        <w:rPr>
          <w:rFonts w:ascii="Cambria" w:hAnsi="Cambria"/>
          <w:bCs/>
          <w:i/>
          <w:sz w:val="16"/>
          <w:szCs w:val="16"/>
          <w:lang w:val="es-ES_tradnl"/>
        </w:rPr>
        <w:t>Lori</w:t>
      </w:r>
      <w:proofErr w:type="spellEnd"/>
      <w:r w:rsidRPr="006C459C">
        <w:rPr>
          <w:rFonts w:ascii="Cambria" w:hAnsi="Cambria"/>
          <w:bCs/>
          <w:i/>
          <w:sz w:val="16"/>
          <w:szCs w:val="16"/>
          <w:lang w:val="es-ES_tradnl"/>
        </w:rPr>
        <w:t xml:space="preserve"> </w:t>
      </w:r>
      <w:proofErr w:type="spellStart"/>
      <w:r w:rsidRPr="006C459C">
        <w:rPr>
          <w:rFonts w:ascii="Cambria" w:hAnsi="Cambria"/>
          <w:bCs/>
          <w:i/>
          <w:sz w:val="16"/>
          <w:szCs w:val="16"/>
          <w:lang w:val="es-ES_tradnl"/>
        </w:rPr>
        <w:t>Berenson</w:t>
      </w:r>
      <w:proofErr w:type="spellEnd"/>
      <w:r w:rsidRPr="006C459C">
        <w:rPr>
          <w:rFonts w:ascii="Cambria" w:hAnsi="Cambria"/>
          <w:bCs/>
          <w:i/>
          <w:sz w:val="16"/>
          <w:szCs w:val="16"/>
          <w:lang w:val="es-ES_tradnl"/>
        </w:rPr>
        <w:t xml:space="preserve"> Mejía Vs. Perú</w:t>
      </w:r>
      <w:r w:rsidRPr="006C459C">
        <w:rPr>
          <w:rFonts w:ascii="Cambria" w:hAnsi="Cambria"/>
          <w:bCs/>
          <w:sz w:val="16"/>
          <w:szCs w:val="16"/>
          <w:lang w:val="es-ES_tradnl"/>
        </w:rPr>
        <w:t xml:space="preserve">. </w:t>
      </w:r>
      <w:r w:rsidRPr="006C459C">
        <w:rPr>
          <w:rFonts w:ascii="Cambria" w:hAnsi="Cambria"/>
          <w:sz w:val="16"/>
          <w:szCs w:val="16"/>
          <w:lang w:val="es-ES_tradnl"/>
        </w:rPr>
        <w:t>Fondo, Reparaciones y Costas. Sentencia de 25 de noviembre de 2004. Serie C No. 119</w:t>
      </w:r>
      <w:r w:rsidRPr="006C459C">
        <w:rPr>
          <w:rFonts w:ascii="Cambria" w:hAnsi="Cambria"/>
          <w:iCs/>
          <w:sz w:val="16"/>
          <w:szCs w:val="16"/>
          <w:lang w:val="es-ES" w:eastAsia="es-ES"/>
        </w:rPr>
        <w:t xml:space="preserve">, </w:t>
      </w:r>
      <w:r w:rsidRPr="006C459C">
        <w:rPr>
          <w:rFonts w:ascii="Cambria" w:hAnsi="Cambria"/>
          <w:sz w:val="16"/>
          <w:szCs w:val="16"/>
          <w:lang w:val="es-ES" w:eastAsia="es-ES"/>
        </w:rPr>
        <w:t>párr. 133;</w:t>
      </w:r>
      <w:r w:rsidRPr="006C459C">
        <w:rPr>
          <w:rFonts w:ascii="Cambria" w:hAnsi="Cambria"/>
          <w:iCs/>
          <w:sz w:val="16"/>
          <w:szCs w:val="16"/>
          <w:lang w:val="es-ES" w:eastAsia="es-ES"/>
        </w:rPr>
        <w:t xml:space="preserve"> </w:t>
      </w:r>
      <w:r w:rsidRPr="006C459C">
        <w:rPr>
          <w:rFonts w:ascii="Cambria" w:hAnsi="Cambria"/>
          <w:bCs/>
          <w:i/>
          <w:sz w:val="16"/>
          <w:szCs w:val="16"/>
          <w:lang w:val="es-ES_tradnl"/>
        </w:rPr>
        <w:t xml:space="preserve">Caso Myrna </w:t>
      </w:r>
      <w:proofErr w:type="spellStart"/>
      <w:r w:rsidRPr="006C459C">
        <w:rPr>
          <w:rFonts w:ascii="Cambria" w:hAnsi="Cambria"/>
          <w:bCs/>
          <w:i/>
          <w:sz w:val="16"/>
          <w:szCs w:val="16"/>
          <w:lang w:val="es-ES_tradnl"/>
        </w:rPr>
        <w:t>Mack</w:t>
      </w:r>
      <w:proofErr w:type="spellEnd"/>
      <w:r w:rsidRPr="006C459C">
        <w:rPr>
          <w:rFonts w:ascii="Cambria" w:hAnsi="Cambria"/>
          <w:bCs/>
          <w:i/>
          <w:sz w:val="16"/>
          <w:szCs w:val="16"/>
          <w:lang w:val="es-ES_tradnl"/>
        </w:rPr>
        <w:t xml:space="preserve"> Chang Vs. Guatemala</w:t>
      </w:r>
      <w:r w:rsidRPr="006C459C">
        <w:rPr>
          <w:rFonts w:ascii="Cambria" w:hAnsi="Cambria"/>
          <w:bCs/>
          <w:sz w:val="16"/>
          <w:szCs w:val="16"/>
          <w:lang w:val="es-ES_tradnl"/>
        </w:rPr>
        <w:t xml:space="preserve">. </w:t>
      </w:r>
      <w:r w:rsidRPr="006C459C">
        <w:rPr>
          <w:rFonts w:ascii="Cambria" w:hAnsi="Cambria"/>
          <w:sz w:val="16"/>
          <w:szCs w:val="16"/>
          <w:lang w:val="es-ES_tradnl"/>
        </w:rPr>
        <w:t xml:space="preserve">Fondo, Reparaciones y Costas. </w:t>
      </w:r>
      <w:r w:rsidRPr="006C459C">
        <w:rPr>
          <w:rFonts w:ascii="Cambria" w:hAnsi="Cambria"/>
          <w:sz w:val="16"/>
          <w:szCs w:val="16"/>
          <w:lang w:val="es-ES"/>
        </w:rPr>
        <w:t>Sentencia de 25 de noviembre de 2003. Serie C No. 101</w:t>
      </w:r>
      <w:r w:rsidRPr="006C459C">
        <w:rPr>
          <w:rFonts w:ascii="Cambria" w:hAnsi="Cambria"/>
          <w:iCs/>
          <w:sz w:val="16"/>
          <w:szCs w:val="16"/>
          <w:lang w:val="es-ES" w:eastAsia="es-ES"/>
        </w:rPr>
        <w:t xml:space="preserve">, </w:t>
      </w:r>
      <w:r w:rsidRPr="006C459C">
        <w:rPr>
          <w:rFonts w:ascii="Cambria" w:hAnsi="Cambria"/>
          <w:sz w:val="16"/>
          <w:szCs w:val="16"/>
          <w:lang w:val="es-ES" w:eastAsia="es-ES"/>
        </w:rPr>
        <w:t xml:space="preserve">párr. 200; y </w:t>
      </w:r>
      <w:r w:rsidRPr="006C459C">
        <w:rPr>
          <w:rFonts w:ascii="Cambria" w:hAnsi="Cambria"/>
          <w:bCs/>
          <w:i/>
          <w:sz w:val="16"/>
          <w:szCs w:val="16"/>
          <w:lang w:val="es-ES_tradnl"/>
        </w:rPr>
        <w:t>Caso Juan</w:t>
      </w:r>
      <w:r w:rsidRPr="006C459C">
        <w:rPr>
          <w:rFonts w:ascii="Cambria" w:hAnsi="Cambria"/>
          <w:bCs/>
          <w:sz w:val="16"/>
          <w:szCs w:val="16"/>
          <w:lang w:val="es-ES_tradnl"/>
        </w:rPr>
        <w:t xml:space="preserve"> </w:t>
      </w:r>
      <w:r w:rsidRPr="006C459C">
        <w:rPr>
          <w:rFonts w:ascii="Cambria" w:hAnsi="Cambria"/>
          <w:bCs/>
          <w:i/>
          <w:sz w:val="16"/>
          <w:szCs w:val="16"/>
          <w:lang w:val="es-ES_tradnl"/>
        </w:rPr>
        <w:t>Humberto Sánchez Vs. Honduras</w:t>
      </w:r>
      <w:r w:rsidRPr="006C459C">
        <w:rPr>
          <w:rFonts w:ascii="Cambria" w:hAnsi="Cambria"/>
          <w:bCs/>
          <w:sz w:val="16"/>
          <w:szCs w:val="16"/>
          <w:lang w:val="es-ES_tradnl"/>
        </w:rPr>
        <w:t xml:space="preserve">. </w:t>
      </w:r>
      <w:r w:rsidRPr="006C459C">
        <w:rPr>
          <w:rFonts w:ascii="Cambria" w:hAnsi="Cambria"/>
          <w:sz w:val="16"/>
          <w:szCs w:val="16"/>
          <w:lang w:val="es-ES_tradnl"/>
        </w:rPr>
        <w:t xml:space="preserve">Excepción Preliminar, Fondo, Reparaciones y Costas. Sentencia de 7 de junio de 2003. </w:t>
      </w:r>
      <w:r w:rsidRPr="006C459C">
        <w:rPr>
          <w:rFonts w:ascii="Cambria" w:hAnsi="Cambria"/>
          <w:sz w:val="16"/>
          <w:szCs w:val="16"/>
          <w:lang w:val="pt-BR"/>
        </w:rPr>
        <w:t>Serie C No. 99</w:t>
      </w:r>
      <w:r w:rsidRPr="006C459C">
        <w:rPr>
          <w:rFonts w:ascii="Cambria" w:hAnsi="Cambria"/>
          <w:iCs/>
          <w:sz w:val="16"/>
          <w:szCs w:val="16"/>
          <w:lang w:val="pt-BR" w:eastAsia="es-ES"/>
        </w:rPr>
        <w:t xml:space="preserve">, </w:t>
      </w:r>
      <w:r w:rsidRPr="006C459C">
        <w:rPr>
          <w:rFonts w:ascii="Cambria" w:hAnsi="Cambria"/>
          <w:sz w:val="16"/>
          <w:szCs w:val="16"/>
          <w:lang w:val="pt-BR" w:eastAsia="es-ES"/>
        </w:rPr>
        <w:t>párr. 120.</w:t>
      </w:r>
      <w:r w:rsidRPr="006C459C">
        <w:rPr>
          <w:rFonts w:ascii="Cambria" w:hAnsi="Cambria"/>
          <w:sz w:val="16"/>
          <w:szCs w:val="16"/>
          <w:lang w:val="pt-BR"/>
        </w:rPr>
        <w:t xml:space="preserve"> </w:t>
      </w:r>
    </w:p>
  </w:footnote>
  <w:footnote w:id="79">
    <w:p w:rsidR="006A3859" w:rsidRPr="006C459C" w:rsidRDefault="006A3859" w:rsidP="00D060AD">
      <w:pPr>
        <w:jc w:val="both"/>
        <w:rPr>
          <w:rFonts w:ascii="Cambria" w:hAnsi="Cambria"/>
          <w:sz w:val="16"/>
          <w:szCs w:val="16"/>
          <w:lang w:val="es-ES"/>
        </w:rPr>
      </w:pPr>
      <w:r w:rsidRPr="006C459C">
        <w:rPr>
          <w:rStyle w:val="FootnoteReference"/>
          <w:rFonts w:ascii="Cambria" w:hAnsi="Cambria"/>
          <w:sz w:val="16"/>
          <w:szCs w:val="16"/>
        </w:rPr>
        <w:footnoteRef/>
      </w:r>
      <w:r w:rsidRPr="006C459C">
        <w:rPr>
          <w:rFonts w:ascii="Cambria" w:hAnsi="Cambria"/>
          <w:sz w:val="16"/>
          <w:szCs w:val="16"/>
          <w:lang w:val="pt-BR"/>
        </w:rPr>
        <w:t xml:space="preserve"> </w:t>
      </w:r>
      <w:r w:rsidRPr="006C459C">
        <w:rPr>
          <w:rFonts w:ascii="Cambria" w:hAnsi="Cambria"/>
          <w:sz w:val="16"/>
          <w:szCs w:val="16"/>
          <w:lang w:val="pt-BR"/>
        </w:rPr>
        <w:t xml:space="preserve">Corte I.D.H., </w:t>
      </w:r>
      <w:r w:rsidRPr="006C459C">
        <w:rPr>
          <w:rFonts w:ascii="Cambria" w:hAnsi="Cambria"/>
          <w:i/>
          <w:iCs/>
          <w:sz w:val="16"/>
          <w:szCs w:val="16"/>
          <w:lang w:val="pt-BR"/>
        </w:rPr>
        <w:t xml:space="preserve">Caso Godínez Cruz Vs. </w:t>
      </w:r>
      <w:r w:rsidRPr="006C459C">
        <w:rPr>
          <w:rFonts w:ascii="Cambria" w:hAnsi="Cambria"/>
          <w:i/>
          <w:iCs/>
          <w:sz w:val="16"/>
          <w:szCs w:val="16"/>
          <w:lang w:val="es-ES_tradnl"/>
        </w:rPr>
        <w:t xml:space="preserve">Honduras. </w:t>
      </w:r>
      <w:r w:rsidRPr="006C459C">
        <w:rPr>
          <w:rFonts w:ascii="Cambria" w:hAnsi="Cambria"/>
          <w:iCs/>
          <w:sz w:val="16"/>
          <w:szCs w:val="16"/>
          <w:lang w:val="es-ES_tradnl"/>
        </w:rPr>
        <w:t>Excepciones Preliminares.</w:t>
      </w:r>
      <w:r w:rsidRPr="006C459C">
        <w:rPr>
          <w:rFonts w:ascii="Cambria" w:hAnsi="Cambria"/>
          <w:i/>
          <w:iCs/>
          <w:sz w:val="16"/>
          <w:szCs w:val="16"/>
          <w:lang w:val="es-ES_tradnl"/>
        </w:rPr>
        <w:t xml:space="preserve"> </w:t>
      </w:r>
      <w:r w:rsidRPr="006C459C">
        <w:rPr>
          <w:rFonts w:ascii="Cambria" w:hAnsi="Cambria"/>
          <w:sz w:val="16"/>
          <w:szCs w:val="16"/>
          <w:lang w:val="es-ES"/>
        </w:rPr>
        <w:t>Sentencia de 26 de junio de</w:t>
      </w:r>
      <w:r w:rsidR="00CF0DBC" w:rsidRPr="006C459C">
        <w:rPr>
          <w:rFonts w:ascii="Cambria" w:hAnsi="Cambria"/>
          <w:sz w:val="16"/>
          <w:szCs w:val="16"/>
          <w:lang w:val="es-ES"/>
        </w:rPr>
        <w:t xml:space="preserve"> 1987. Serie C No. 3, párr. 93; </w:t>
      </w:r>
      <w:r w:rsidRPr="006C459C">
        <w:rPr>
          <w:rFonts w:ascii="Cambria" w:hAnsi="Cambria"/>
          <w:sz w:val="16"/>
          <w:szCs w:val="16"/>
          <w:lang w:val="es-ES"/>
        </w:rPr>
        <w:t xml:space="preserve">y </w:t>
      </w:r>
      <w:r w:rsidRPr="006C459C">
        <w:rPr>
          <w:rFonts w:ascii="Cambria" w:hAnsi="Cambria"/>
          <w:i/>
          <w:iCs/>
          <w:sz w:val="16"/>
          <w:szCs w:val="16"/>
          <w:lang w:val="es-ES"/>
        </w:rPr>
        <w:t xml:space="preserve">Caso del Penal Miguel Castro </w:t>
      </w:r>
      <w:proofErr w:type="spellStart"/>
      <w:r w:rsidRPr="006C459C">
        <w:rPr>
          <w:rFonts w:ascii="Cambria" w:hAnsi="Cambria"/>
          <w:i/>
          <w:iCs/>
          <w:sz w:val="16"/>
          <w:szCs w:val="16"/>
          <w:lang w:val="es-ES"/>
        </w:rPr>
        <w:t>Castro</w:t>
      </w:r>
      <w:proofErr w:type="spellEnd"/>
      <w:r w:rsidRPr="006C459C">
        <w:rPr>
          <w:rFonts w:ascii="Cambria" w:hAnsi="Cambria"/>
          <w:i/>
          <w:iCs/>
          <w:sz w:val="16"/>
          <w:szCs w:val="16"/>
          <w:lang w:val="es-ES"/>
        </w:rPr>
        <w:t xml:space="preserve"> V</w:t>
      </w:r>
      <w:r w:rsidR="00CF0DBC" w:rsidRPr="006C459C">
        <w:rPr>
          <w:rFonts w:ascii="Cambria" w:hAnsi="Cambria"/>
          <w:i/>
          <w:iCs/>
          <w:sz w:val="16"/>
          <w:szCs w:val="16"/>
          <w:lang w:val="es-ES"/>
        </w:rPr>
        <w:t>s</w:t>
      </w:r>
      <w:r w:rsidRPr="006C459C">
        <w:rPr>
          <w:rFonts w:ascii="Cambria" w:hAnsi="Cambria"/>
          <w:i/>
          <w:iCs/>
          <w:sz w:val="16"/>
          <w:szCs w:val="16"/>
          <w:lang w:val="es-ES"/>
        </w:rPr>
        <w:t>. Perú</w:t>
      </w:r>
      <w:r w:rsidRPr="006C459C">
        <w:rPr>
          <w:rFonts w:ascii="Cambria" w:hAnsi="Cambria"/>
          <w:sz w:val="16"/>
          <w:szCs w:val="16"/>
          <w:lang w:val="es-ES"/>
        </w:rPr>
        <w:t xml:space="preserve">, Sentencia de 25 de noviembre de 2006. Serie C No. 160, </w:t>
      </w:r>
      <w:proofErr w:type="spellStart"/>
      <w:r w:rsidRPr="006C459C">
        <w:rPr>
          <w:rFonts w:ascii="Cambria" w:hAnsi="Cambria"/>
          <w:sz w:val="16"/>
          <w:szCs w:val="16"/>
          <w:lang w:val="es-ES"/>
        </w:rPr>
        <w:t>párrs</w:t>
      </w:r>
      <w:proofErr w:type="spellEnd"/>
      <w:r w:rsidRPr="006C459C">
        <w:rPr>
          <w:rFonts w:ascii="Cambria" w:hAnsi="Cambria"/>
          <w:sz w:val="16"/>
          <w:szCs w:val="16"/>
          <w:lang w:val="es-ES"/>
        </w:rPr>
        <w:t>. 183.</w:t>
      </w:r>
    </w:p>
  </w:footnote>
  <w:footnote w:id="80">
    <w:p w:rsidR="006A3859" w:rsidRPr="006C459C" w:rsidRDefault="006A3859" w:rsidP="00D060AD">
      <w:pPr>
        <w:jc w:val="both"/>
        <w:rPr>
          <w:rFonts w:ascii="Cambria" w:hAnsi="Cambria"/>
          <w:sz w:val="16"/>
          <w:szCs w:val="16"/>
          <w:lang w:val="es-ES_tradnl"/>
        </w:rPr>
      </w:pPr>
      <w:r w:rsidRPr="006C459C">
        <w:rPr>
          <w:rStyle w:val="FootnoteReference"/>
          <w:rFonts w:ascii="Cambria" w:hAnsi="Cambria"/>
          <w:sz w:val="16"/>
          <w:szCs w:val="16"/>
        </w:rPr>
        <w:footnoteRef/>
      </w:r>
      <w:r w:rsidRPr="006C459C">
        <w:rPr>
          <w:rFonts w:ascii="Cambria" w:hAnsi="Cambria"/>
          <w:sz w:val="16"/>
          <w:szCs w:val="16"/>
          <w:lang w:val="es-ES_tradnl"/>
        </w:rPr>
        <w:t xml:space="preserve"> Corte I.D.H., </w:t>
      </w:r>
      <w:r w:rsidRPr="006C459C">
        <w:rPr>
          <w:rFonts w:ascii="Cambria" w:hAnsi="Cambria"/>
          <w:bCs/>
          <w:i/>
          <w:sz w:val="16"/>
          <w:szCs w:val="16"/>
          <w:lang w:val="es-ES_tradnl"/>
        </w:rPr>
        <w:t>Caso García Prieto y otros Vs. El Salvador.</w:t>
      </w:r>
      <w:r w:rsidRPr="006C459C">
        <w:rPr>
          <w:rFonts w:ascii="Cambria" w:hAnsi="Cambria"/>
          <w:bCs/>
          <w:sz w:val="16"/>
          <w:szCs w:val="16"/>
          <w:lang w:val="es-ES_tradnl"/>
        </w:rPr>
        <w:t xml:space="preserve"> </w:t>
      </w:r>
      <w:r w:rsidRPr="006C459C">
        <w:rPr>
          <w:rFonts w:ascii="Cambria" w:hAnsi="Cambria"/>
          <w:sz w:val="16"/>
          <w:szCs w:val="16"/>
          <w:lang w:val="es-ES_tradnl"/>
        </w:rPr>
        <w:t>Excepción Preliminar, Fondo, Reparaciones y Costas. Sentencia de 20 de noviembre de 2007. Serie C No. 168. Párr. 99.</w:t>
      </w:r>
    </w:p>
  </w:footnote>
  <w:footnote w:id="81">
    <w:p w:rsidR="006A3859" w:rsidRPr="006C459C" w:rsidRDefault="006A3859" w:rsidP="00D060AD">
      <w:pPr>
        <w:jc w:val="both"/>
        <w:rPr>
          <w:rFonts w:ascii="Cambria" w:hAnsi="Cambria"/>
          <w:sz w:val="16"/>
          <w:szCs w:val="16"/>
          <w:lang w:val="es-ES_tradnl"/>
        </w:rPr>
      </w:pPr>
      <w:r w:rsidRPr="006C459C">
        <w:rPr>
          <w:rStyle w:val="FootnoteReference"/>
          <w:rFonts w:ascii="Cambria" w:hAnsi="Cambria"/>
          <w:sz w:val="16"/>
          <w:szCs w:val="16"/>
        </w:rPr>
        <w:footnoteRef/>
      </w:r>
      <w:r w:rsidRPr="006C459C">
        <w:rPr>
          <w:rFonts w:ascii="Cambria" w:hAnsi="Cambria"/>
          <w:sz w:val="16"/>
          <w:szCs w:val="16"/>
          <w:lang w:val="es-ES_tradnl"/>
        </w:rPr>
        <w:t xml:space="preserve"> Corte I.D.H., </w:t>
      </w:r>
      <w:r w:rsidRPr="006C459C">
        <w:rPr>
          <w:rFonts w:ascii="Cambria" w:hAnsi="Cambria"/>
          <w:i/>
          <w:sz w:val="16"/>
          <w:szCs w:val="16"/>
          <w:lang w:val="es-ES_tradnl"/>
        </w:rPr>
        <w:t>Caso Velásquez Rodríguez Vs. Honduras</w:t>
      </w:r>
      <w:r w:rsidRPr="006C459C">
        <w:rPr>
          <w:rFonts w:ascii="Cambria" w:hAnsi="Cambria"/>
          <w:sz w:val="16"/>
          <w:szCs w:val="16"/>
          <w:lang w:val="es-ES_tradnl"/>
        </w:rPr>
        <w:t xml:space="preserve">. Sentencia de 29 de julio de 1988. Serie C No. 4, párr. 177; </w:t>
      </w:r>
      <w:r w:rsidRPr="006C459C">
        <w:rPr>
          <w:rFonts w:ascii="Cambria" w:hAnsi="Cambria"/>
          <w:bCs/>
          <w:i/>
          <w:sz w:val="16"/>
          <w:szCs w:val="16"/>
          <w:lang w:val="es-ES_tradnl"/>
        </w:rPr>
        <w:t xml:space="preserve">Caso Cantoral </w:t>
      </w:r>
      <w:proofErr w:type="spellStart"/>
      <w:r w:rsidRPr="006C459C">
        <w:rPr>
          <w:rFonts w:ascii="Cambria" w:hAnsi="Cambria"/>
          <w:bCs/>
          <w:i/>
          <w:sz w:val="16"/>
          <w:szCs w:val="16"/>
          <w:lang w:val="es-ES_tradnl"/>
        </w:rPr>
        <w:t>Huamaní</w:t>
      </w:r>
      <w:proofErr w:type="spellEnd"/>
      <w:r w:rsidRPr="006C459C">
        <w:rPr>
          <w:rFonts w:ascii="Cambria" w:hAnsi="Cambria"/>
          <w:bCs/>
          <w:i/>
          <w:sz w:val="16"/>
          <w:szCs w:val="16"/>
          <w:lang w:val="es-ES_tradnl"/>
        </w:rPr>
        <w:t xml:space="preserve"> y García Santa Cruz Vs. Perú.</w:t>
      </w:r>
      <w:r w:rsidRPr="006C459C">
        <w:rPr>
          <w:rFonts w:ascii="Cambria" w:hAnsi="Cambria"/>
          <w:bCs/>
          <w:sz w:val="16"/>
          <w:szCs w:val="16"/>
          <w:lang w:val="es-ES_tradnl"/>
        </w:rPr>
        <w:t xml:space="preserve"> </w:t>
      </w:r>
      <w:r w:rsidRPr="006C459C">
        <w:rPr>
          <w:rFonts w:ascii="Cambria" w:hAnsi="Cambria"/>
          <w:sz w:val="16"/>
          <w:szCs w:val="16"/>
          <w:lang w:val="es-ES_tradnl"/>
        </w:rPr>
        <w:t>Excepción Preliminar, Fondo, Reparaciones y Costas. Sentencia de 10 de julio de 2007. Serie C No. 167, p</w:t>
      </w:r>
      <w:proofErr w:type="spellStart"/>
      <w:r w:rsidRPr="006C459C">
        <w:rPr>
          <w:rFonts w:ascii="Cambria" w:hAnsi="Cambria"/>
          <w:sz w:val="16"/>
          <w:szCs w:val="16"/>
          <w:lang w:val="es-ES"/>
        </w:rPr>
        <w:t>árr</w:t>
      </w:r>
      <w:proofErr w:type="spellEnd"/>
      <w:r w:rsidRPr="006C459C">
        <w:rPr>
          <w:rFonts w:ascii="Cambria" w:hAnsi="Cambria"/>
          <w:sz w:val="16"/>
          <w:szCs w:val="16"/>
          <w:lang w:val="es-ES"/>
        </w:rPr>
        <w:t>.</w:t>
      </w:r>
      <w:r w:rsidRPr="006C459C">
        <w:rPr>
          <w:rFonts w:ascii="Cambria" w:hAnsi="Cambria"/>
          <w:sz w:val="16"/>
          <w:szCs w:val="16"/>
          <w:lang w:val="es-ES_tradnl"/>
        </w:rPr>
        <w:t xml:space="preserve"> 131; y </w:t>
      </w:r>
      <w:r w:rsidRPr="006C459C">
        <w:rPr>
          <w:rFonts w:ascii="Cambria" w:hAnsi="Cambria"/>
          <w:bCs/>
          <w:i/>
          <w:sz w:val="16"/>
          <w:szCs w:val="16"/>
          <w:lang w:val="es-ES_tradnl"/>
        </w:rPr>
        <w:t>Caso Zambrano Vélez y otros Vs. Ecuador.</w:t>
      </w:r>
      <w:r w:rsidRPr="006C459C">
        <w:rPr>
          <w:rFonts w:ascii="Cambria" w:hAnsi="Cambria"/>
          <w:bCs/>
          <w:sz w:val="16"/>
          <w:szCs w:val="16"/>
          <w:lang w:val="es-ES_tradnl"/>
        </w:rPr>
        <w:t xml:space="preserve"> </w:t>
      </w:r>
      <w:r w:rsidRPr="006C459C">
        <w:rPr>
          <w:rFonts w:ascii="Cambria" w:hAnsi="Cambria"/>
          <w:sz w:val="16"/>
          <w:szCs w:val="16"/>
          <w:lang w:val="es-ES_tradnl"/>
        </w:rPr>
        <w:t xml:space="preserve">Fondo, Reparaciones y Costas. Sentencia de 4 de julio de 2007. Serie C No. 166, párr. 120. </w:t>
      </w:r>
    </w:p>
  </w:footnote>
  <w:footnote w:id="82">
    <w:p w:rsidR="006A3859" w:rsidRPr="006C459C" w:rsidRDefault="006A3859" w:rsidP="00D060AD">
      <w:pPr>
        <w:jc w:val="both"/>
        <w:rPr>
          <w:rFonts w:ascii="Cambria" w:hAnsi="Cambria"/>
          <w:sz w:val="16"/>
          <w:szCs w:val="16"/>
          <w:lang w:val="es-ES_tradnl"/>
        </w:rPr>
      </w:pPr>
      <w:r w:rsidRPr="006C459C">
        <w:rPr>
          <w:rStyle w:val="FootnoteReference"/>
          <w:rFonts w:ascii="Cambria" w:hAnsi="Cambria"/>
          <w:sz w:val="16"/>
          <w:szCs w:val="16"/>
        </w:rPr>
        <w:footnoteRef/>
      </w:r>
      <w:r w:rsidRPr="006C459C">
        <w:rPr>
          <w:rFonts w:ascii="Cambria" w:hAnsi="Cambria"/>
          <w:sz w:val="16"/>
          <w:szCs w:val="16"/>
          <w:lang w:val="es-ES_tradnl"/>
        </w:rPr>
        <w:t xml:space="preserve"> Corte I.D.H., </w:t>
      </w:r>
      <w:r w:rsidRPr="006C459C">
        <w:rPr>
          <w:rFonts w:ascii="Cambria" w:hAnsi="Cambria"/>
          <w:i/>
          <w:sz w:val="16"/>
          <w:szCs w:val="16"/>
          <w:lang w:val="es-ES_tradnl"/>
        </w:rPr>
        <w:t>Caso Velásquez Rodríguez Vs. Honduras</w:t>
      </w:r>
      <w:r w:rsidRPr="006C459C">
        <w:rPr>
          <w:rFonts w:ascii="Cambria" w:hAnsi="Cambria"/>
          <w:sz w:val="16"/>
          <w:szCs w:val="16"/>
          <w:lang w:val="es-ES_tradnl"/>
        </w:rPr>
        <w:t xml:space="preserve">. Sentencia de 29 de julio de 1988. Serie C No. 4, párr. 177; </w:t>
      </w:r>
      <w:r w:rsidRPr="006C459C">
        <w:rPr>
          <w:rFonts w:ascii="Cambria" w:hAnsi="Cambria"/>
          <w:bCs/>
          <w:i/>
          <w:sz w:val="16"/>
          <w:szCs w:val="16"/>
          <w:lang w:val="es-ES_tradnl"/>
        </w:rPr>
        <w:t>Caso Zambrano Vélez y otros Vs. Ecuador.</w:t>
      </w:r>
      <w:r w:rsidRPr="006C459C">
        <w:rPr>
          <w:rFonts w:ascii="Cambria" w:hAnsi="Cambria"/>
          <w:bCs/>
          <w:sz w:val="16"/>
          <w:szCs w:val="16"/>
          <w:lang w:val="es-ES_tradnl"/>
        </w:rPr>
        <w:t xml:space="preserve"> </w:t>
      </w:r>
      <w:r w:rsidRPr="006C459C">
        <w:rPr>
          <w:rFonts w:ascii="Cambria" w:hAnsi="Cambria"/>
          <w:sz w:val="16"/>
          <w:szCs w:val="16"/>
          <w:lang w:val="es-ES_tradnl"/>
        </w:rPr>
        <w:t>Fondo, Reparaciones y Costas. Sentencia de 4 de julio de 2007. Serie C No. 166, párr. 120.</w:t>
      </w:r>
    </w:p>
  </w:footnote>
  <w:footnote w:id="83">
    <w:p w:rsidR="006A3859" w:rsidRPr="006C459C" w:rsidRDefault="006A3859" w:rsidP="00D060AD">
      <w:pPr>
        <w:tabs>
          <w:tab w:val="left" w:pos="720"/>
          <w:tab w:val="left" w:pos="1080"/>
        </w:tabs>
        <w:jc w:val="both"/>
        <w:rPr>
          <w:rFonts w:ascii="Cambria" w:hAnsi="Cambria"/>
          <w:sz w:val="16"/>
          <w:szCs w:val="16"/>
          <w:lang w:val="es-ES_tradnl"/>
        </w:rPr>
      </w:pPr>
      <w:r w:rsidRPr="006C459C">
        <w:rPr>
          <w:rStyle w:val="FootnoteReference"/>
          <w:rFonts w:ascii="Cambria" w:hAnsi="Cambria"/>
          <w:sz w:val="16"/>
          <w:szCs w:val="16"/>
        </w:rPr>
        <w:footnoteRef/>
      </w:r>
      <w:r w:rsidRPr="006C459C">
        <w:rPr>
          <w:rFonts w:ascii="Cambria" w:hAnsi="Cambria"/>
          <w:sz w:val="16"/>
          <w:szCs w:val="16"/>
          <w:lang w:val="es-ES_tradnl"/>
        </w:rPr>
        <w:t xml:space="preserve"> Corte I.D.H., </w:t>
      </w:r>
      <w:r w:rsidRPr="006C459C">
        <w:rPr>
          <w:rFonts w:ascii="Cambria" w:hAnsi="Cambria"/>
          <w:bCs/>
          <w:i/>
          <w:sz w:val="16"/>
          <w:szCs w:val="16"/>
          <w:lang w:val="es-ES_tradnl"/>
        </w:rPr>
        <w:t>Caso García Prieto y otros Vs. El Salvador.</w:t>
      </w:r>
      <w:r w:rsidRPr="006C459C">
        <w:rPr>
          <w:rFonts w:ascii="Cambria" w:hAnsi="Cambria"/>
          <w:bCs/>
          <w:sz w:val="16"/>
          <w:szCs w:val="16"/>
          <w:lang w:val="es-ES_tradnl"/>
        </w:rPr>
        <w:t xml:space="preserve"> </w:t>
      </w:r>
      <w:r w:rsidRPr="006C459C">
        <w:rPr>
          <w:rFonts w:ascii="Cambria" w:hAnsi="Cambria"/>
          <w:sz w:val="16"/>
          <w:szCs w:val="16"/>
          <w:lang w:val="es-ES_tradnl"/>
        </w:rPr>
        <w:t xml:space="preserve">Excepción Preliminar, Fondo, Reparaciones y Costas. Sentencia de 20 de noviembre de 2007. Serie C No. 168, párr. 101. </w:t>
      </w:r>
      <w:r w:rsidRPr="006C459C">
        <w:rPr>
          <w:rFonts w:ascii="Cambria" w:hAnsi="Cambria"/>
          <w:i/>
          <w:sz w:val="16"/>
          <w:szCs w:val="16"/>
          <w:lang w:val="es-ES_tradnl"/>
        </w:rPr>
        <w:t xml:space="preserve"> </w:t>
      </w:r>
    </w:p>
  </w:footnote>
  <w:footnote w:id="84">
    <w:p w:rsidR="006A3859" w:rsidRPr="006C459C" w:rsidRDefault="006A3859" w:rsidP="00D060AD">
      <w:pPr>
        <w:jc w:val="both"/>
        <w:rPr>
          <w:rFonts w:ascii="Cambria" w:hAnsi="Cambria"/>
          <w:sz w:val="16"/>
          <w:szCs w:val="16"/>
          <w:lang w:val="es-ES"/>
        </w:rPr>
      </w:pPr>
      <w:r w:rsidRPr="006C459C">
        <w:rPr>
          <w:rStyle w:val="FootnoteReference"/>
          <w:rFonts w:ascii="Cambria" w:hAnsi="Cambria"/>
          <w:sz w:val="16"/>
          <w:szCs w:val="16"/>
        </w:rPr>
        <w:footnoteRef/>
      </w:r>
      <w:r w:rsidRPr="006C459C">
        <w:rPr>
          <w:rFonts w:ascii="Cambria" w:hAnsi="Cambria"/>
          <w:sz w:val="16"/>
          <w:szCs w:val="16"/>
          <w:lang w:val="es-ES_tradnl"/>
        </w:rPr>
        <w:t xml:space="preserve"> </w:t>
      </w:r>
      <w:r w:rsidRPr="006C459C">
        <w:rPr>
          <w:rFonts w:ascii="Cambria" w:hAnsi="Cambria"/>
          <w:sz w:val="16"/>
          <w:szCs w:val="16"/>
          <w:lang w:val="es-ES"/>
        </w:rPr>
        <w:t xml:space="preserve">CIDH, </w:t>
      </w:r>
      <w:r w:rsidR="00CF0DBC" w:rsidRPr="006C459C">
        <w:rPr>
          <w:rFonts w:ascii="Cambria" w:hAnsi="Cambria"/>
          <w:sz w:val="16"/>
          <w:szCs w:val="16"/>
          <w:lang w:val="es-ES"/>
        </w:rPr>
        <w:t xml:space="preserve">Informe No. 55/97, Caso 11.137, </w:t>
      </w:r>
      <w:r w:rsidRPr="006C459C">
        <w:rPr>
          <w:rFonts w:ascii="Cambria" w:hAnsi="Cambria"/>
          <w:sz w:val="16"/>
          <w:szCs w:val="16"/>
          <w:lang w:val="es-ES"/>
        </w:rPr>
        <w:t>Juan C</w:t>
      </w:r>
      <w:r w:rsidR="00CF0DBC" w:rsidRPr="006C459C">
        <w:rPr>
          <w:rFonts w:ascii="Cambria" w:hAnsi="Cambria"/>
          <w:sz w:val="16"/>
          <w:szCs w:val="16"/>
          <w:lang w:val="es-ES"/>
        </w:rPr>
        <w:t>arlos Abella y otros</w:t>
      </w:r>
      <w:r w:rsidRPr="006C459C">
        <w:rPr>
          <w:rFonts w:ascii="Cambria" w:hAnsi="Cambria"/>
          <w:sz w:val="16"/>
          <w:szCs w:val="16"/>
          <w:lang w:val="es-ES"/>
        </w:rPr>
        <w:t>, Argentina, párr.</w:t>
      </w:r>
      <w:r w:rsidRPr="006C459C">
        <w:rPr>
          <w:rStyle w:val="apple-converted-space"/>
          <w:rFonts w:ascii="Cambria" w:hAnsi="Cambria"/>
          <w:sz w:val="16"/>
          <w:szCs w:val="16"/>
          <w:lang w:val="es-ES"/>
        </w:rPr>
        <w:t> </w:t>
      </w:r>
      <w:r w:rsidR="00CF0DBC" w:rsidRPr="006C459C">
        <w:rPr>
          <w:rFonts w:ascii="Cambria" w:hAnsi="Cambria"/>
          <w:sz w:val="16"/>
          <w:szCs w:val="16"/>
          <w:lang w:val="pt-BR"/>
        </w:rPr>
        <w:t>412; e Informe No. 52/97, Caso 11.218, Arges Sequeira Mangas</w:t>
      </w:r>
      <w:r w:rsidRPr="006C459C">
        <w:rPr>
          <w:rFonts w:ascii="Cambria" w:hAnsi="Cambria"/>
          <w:sz w:val="16"/>
          <w:szCs w:val="16"/>
          <w:lang w:val="pt-BR"/>
        </w:rPr>
        <w:t>, Nicaragua, párrs.</w:t>
      </w:r>
      <w:r w:rsidRPr="006C459C">
        <w:rPr>
          <w:rStyle w:val="apple-converted-space"/>
          <w:rFonts w:ascii="Cambria" w:hAnsi="Cambria"/>
          <w:sz w:val="16"/>
          <w:szCs w:val="16"/>
          <w:lang w:val="pt-BR"/>
        </w:rPr>
        <w:t> </w:t>
      </w:r>
      <w:r w:rsidRPr="006C459C">
        <w:rPr>
          <w:rFonts w:ascii="Cambria" w:hAnsi="Cambria"/>
          <w:sz w:val="16"/>
          <w:szCs w:val="16"/>
          <w:lang w:val="es-ES"/>
        </w:rPr>
        <w:t>96 y 97.</w:t>
      </w:r>
    </w:p>
  </w:footnote>
  <w:footnote w:id="85">
    <w:p w:rsidR="006A3859" w:rsidRPr="006C459C" w:rsidRDefault="006A3859" w:rsidP="00D060AD">
      <w:pPr>
        <w:jc w:val="both"/>
        <w:rPr>
          <w:rFonts w:ascii="Cambria" w:hAnsi="Cambria"/>
          <w:sz w:val="16"/>
          <w:szCs w:val="16"/>
          <w:lang w:val="es-ES"/>
        </w:rPr>
      </w:pPr>
      <w:r w:rsidRPr="006C459C">
        <w:rPr>
          <w:rStyle w:val="FootnoteReference"/>
          <w:rFonts w:ascii="Cambria" w:hAnsi="Cambria"/>
          <w:sz w:val="16"/>
          <w:szCs w:val="16"/>
        </w:rPr>
        <w:footnoteRef/>
      </w:r>
      <w:r w:rsidRPr="006C459C">
        <w:rPr>
          <w:rFonts w:ascii="Cambria" w:hAnsi="Cambria"/>
          <w:sz w:val="16"/>
          <w:szCs w:val="16"/>
          <w:lang w:val="es-ES"/>
        </w:rPr>
        <w:t xml:space="preserve"> Corte I.D.H., </w:t>
      </w:r>
      <w:r w:rsidRPr="006C459C">
        <w:rPr>
          <w:rFonts w:ascii="Cambria" w:hAnsi="Cambria"/>
          <w:bCs/>
          <w:i/>
          <w:sz w:val="16"/>
          <w:szCs w:val="16"/>
          <w:lang w:val="es-ES"/>
        </w:rPr>
        <w:t>Caso Zambrano Vélez y otros Vs. Ecuador.</w:t>
      </w:r>
      <w:r w:rsidRPr="006C459C">
        <w:rPr>
          <w:rFonts w:ascii="Cambria" w:hAnsi="Cambria"/>
          <w:b/>
          <w:bCs/>
          <w:sz w:val="16"/>
          <w:szCs w:val="16"/>
          <w:lang w:val="es-ES"/>
        </w:rPr>
        <w:t xml:space="preserve"> </w:t>
      </w:r>
      <w:r w:rsidRPr="006C459C">
        <w:rPr>
          <w:rFonts w:ascii="Cambria" w:hAnsi="Cambria"/>
          <w:sz w:val="16"/>
          <w:szCs w:val="16"/>
          <w:lang w:val="es-ES"/>
        </w:rPr>
        <w:t xml:space="preserve">Fondo, Reparaciones y Costas. </w:t>
      </w:r>
      <w:r w:rsidRPr="006C459C">
        <w:rPr>
          <w:rFonts w:ascii="Cambria" w:hAnsi="Cambria"/>
          <w:sz w:val="16"/>
          <w:szCs w:val="16"/>
          <w:lang w:val="es-ES_tradnl"/>
        </w:rPr>
        <w:t>Sentencia de 4 de julio de 2007. Serie C No. 166, párr.</w:t>
      </w:r>
      <w:r w:rsidRPr="006C459C">
        <w:rPr>
          <w:rFonts w:ascii="Cambria" w:hAnsi="Cambria"/>
          <w:sz w:val="16"/>
          <w:szCs w:val="16"/>
          <w:lang w:val="es-ES"/>
        </w:rPr>
        <w:t xml:space="preserve"> 88. </w:t>
      </w:r>
    </w:p>
  </w:footnote>
  <w:footnote w:id="86">
    <w:p w:rsidR="006A3859" w:rsidRPr="006C459C" w:rsidRDefault="006A3859" w:rsidP="00D060AD">
      <w:pPr>
        <w:jc w:val="both"/>
        <w:rPr>
          <w:rFonts w:ascii="Cambria" w:hAnsi="Cambria"/>
          <w:sz w:val="16"/>
          <w:szCs w:val="16"/>
          <w:lang w:val="es-ES"/>
        </w:rPr>
      </w:pPr>
      <w:r w:rsidRPr="006C459C">
        <w:rPr>
          <w:rStyle w:val="FootnoteReference"/>
          <w:rFonts w:ascii="Cambria" w:hAnsi="Cambria"/>
          <w:sz w:val="16"/>
          <w:szCs w:val="16"/>
        </w:rPr>
        <w:footnoteRef/>
      </w:r>
      <w:r w:rsidRPr="006C459C">
        <w:rPr>
          <w:rFonts w:ascii="Cambria" w:hAnsi="Cambria"/>
          <w:sz w:val="16"/>
          <w:szCs w:val="16"/>
          <w:lang w:val="es-ES"/>
        </w:rPr>
        <w:t xml:space="preserve"> Corte I.D.H., </w:t>
      </w:r>
      <w:r w:rsidRPr="006C459C">
        <w:rPr>
          <w:rFonts w:ascii="Cambria" w:hAnsi="Cambria"/>
          <w:bCs/>
          <w:i/>
          <w:sz w:val="16"/>
          <w:szCs w:val="16"/>
          <w:lang w:val="es-ES"/>
        </w:rPr>
        <w:t>Caso Zambrano Vélez y otros Vs. Ecuador.</w:t>
      </w:r>
      <w:r w:rsidRPr="006C459C">
        <w:rPr>
          <w:rFonts w:ascii="Cambria" w:hAnsi="Cambria"/>
          <w:b/>
          <w:bCs/>
          <w:sz w:val="16"/>
          <w:szCs w:val="16"/>
          <w:lang w:val="es-ES"/>
        </w:rPr>
        <w:t xml:space="preserve"> </w:t>
      </w:r>
      <w:r w:rsidRPr="006C459C">
        <w:rPr>
          <w:rFonts w:ascii="Cambria" w:hAnsi="Cambria"/>
          <w:sz w:val="16"/>
          <w:szCs w:val="16"/>
          <w:lang w:val="es-ES"/>
        </w:rPr>
        <w:t xml:space="preserve">Fondo, Reparaciones y Costas. Sentencia de 4 de julio de 2007. Serie C No. 166, párr. 88. </w:t>
      </w:r>
    </w:p>
  </w:footnote>
  <w:footnote w:id="87">
    <w:p w:rsidR="006A3859" w:rsidRPr="006C459C" w:rsidRDefault="006A3859" w:rsidP="00D060AD">
      <w:pPr>
        <w:jc w:val="both"/>
        <w:rPr>
          <w:rFonts w:ascii="Cambria" w:hAnsi="Cambria"/>
          <w:sz w:val="16"/>
          <w:szCs w:val="16"/>
          <w:lang w:val="es-ES"/>
        </w:rPr>
      </w:pPr>
      <w:r w:rsidRPr="006C459C">
        <w:rPr>
          <w:rStyle w:val="FootnoteReference"/>
          <w:rFonts w:ascii="Cambria" w:hAnsi="Cambria" w:cs="Verdana"/>
          <w:sz w:val="16"/>
          <w:szCs w:val="16"/>
        </w:rPr>
        <w:footnoteRef/>
      </w:r>
      <w:r w:rsidRPr="006C459C">
        <w:rPr>
          <w:rFonts w:ascii="Cambria" w:hAnsi="Cambria" w:cs="Verdana"/>
          <w:sz w:val="16"/>
          <w:szCs w:val="16"/>
          <w:lang w:val="es-ES"/>
        </w:rPr>
        <w:t xml:space="preserve"> </w:t>
      </w:r>
      <w:r w:rsidRPr="006C459C">
        <w:rPr>
          <w:rFonts w:ascii="Cambria" w:hAnsi="Cambria"/>
          <w:sz w:val="16"/>
          <w:szCs w:val="16"/>
          <w:lang w:val="es-ES"/>
        </w:rPr>
        <w:t xml:space="preserve">Corte I.D.H., </w:t>
      </w:r>
      <w:r w:rsidRPr="006C459C">
        <w:rPr>
          <w:rFonts w:ascii="Cambria" w:hAnsi="Cambria"/>
          <w:bCs/>
          <w:i/>
          <w:sz w:val="16"/>
          <w:szCs w:val="16"/>
          <w:lang w:val="es-ES"/>
        </w:rPr>
        <w:t>Caso Zambrano Vélez y otros Vs. Ecuador.</w:t>
      </w:r>
      <w:r w:rsidRPr="006C459C">
        <w:rPr>
          <w:rFonts w:ascii="Cambria" w:hAnsi="Cambria"/>
          <w:b/>
          <w:bCs/>
          <w:sz w:val="16"/>
          <w:szCs w:val="16"/>
          <w:lang w:val="es-ES"/>
        </w:rPr>
        <w:t xml:space="preserve"> </w:t>
      </w:r>
      <w:r w:rsidRPr="006C459C">
        <w:rPr>
          <w:rFonts w:ascii="Cambria" w:hAnsi="Cambria"/>
          <w:sz w:val="16"/>
          <w:szCs w:val="16"/>
          <w:lang w:val="es-ES"/>
        </w:rPr>
        <w:t xml:space="preserve">Fondo, Reparaciones y Costas. </w:t>
      </w:r>
      <w:r w:rsidRPr="006C459C">
        <w:rPr>
          <w:rFonts w:ascii="Cambria" w:hAnsi="Cambria"/>
          <w:sz w:val="16"/>
          <w:szCs w:val="16"/>
          <w:lang w:val="es-ES_tradnl"/>
        </w:rPr>
        <w:t xml:space="preserve">Sentencia de 4 de julio de 2007. Serie C No. 166, párr. </w:t>
      </w:r>
      <w:r w:rsidRPr="006C459C">
        <w:rPr>
          <w:rFonts w:ascii="Cambria" w:hAnsi="Cambria" w:cs="Verdana"/>
          <w:sz w:val="16"/>
          <w:szCs w:val="16"/>
          <w:lang w:val="es-ES"/>
        </w:rPr>
        <w:t xml:space="preserve">88. </w:t>
      </w:r>
      <w:r w:rsidRPr="006C459C">
        <w:rPr>
          <w:rFonts w:ascii="Cambria" w:hAnsi="Cambria" w:cs="Arial"/>
          <w:sz w:val="16"/>
          <w:szCs w:val="16"/>
          <w:lang w:val="es-ES"/>
        </w:rPr>
        <w:t xml:space="preserve">En similar sentido véase también </w:t>
      </w:r>
      <w:r w:rsidRPr="006C459C">
        <w:rPr>
          <w:rFonts w:ascii="Cambria" w:hAnsi="Cambria" w:cs="Verdana"/>
          <w:iCs/>
          <w:sz w:val="16"/>
          <w:szCs w:val="16"/>
          <w:lang w:val="es-ES"/>
        </w:rPr>
        <w:t>ECHR</w:t>
      </w:r>
      <w:r w:rsidRPr="006C459C">
        <w:rPr>
          <w:rFonts w:ascii="Cambria" w:hAnsi="Cambria" w:cs="Verdana"/>
          <w:i/>
          <w:iCs/>
          <w:sz w:val="16"/>
          <w:szCs w:val="16"/>
          <w:lang w:val="es-ES"/>
        </w:rPr>
        <w:t xml:space="preserve">, </w:t>
      </w:r>
      <w:proofErr w:type="spellStart"/>
      <w:r w:rsidRPr="006C459C">
        <w:rPr>
          <w:rFonts w:ascii="Cambria" w:hAnsi="Cambria" w:cs="Verdana"/>
          <w:i/>
          <w:iCs/>
          <w:sz w:val="16"/>
          <w:szCs w:val="16"/>
          <w:lang w:val="es-ES"/>
        </w:rPr>
        <w:t>Erdogan</w:t>
      </w:r>
      <w:proofErr w:type="spellEnd"/>
      <w:r w:rsidRPr="006C459C">
        <w:rPr>
          <w:rFonts w:ascii="Cambria" w:hAnsi="Cambria" w:cs="Verdana"/>
          <w:i/>
          <w:iCs/>
          <w:sz w:val="16"/>
          <w:szCs w:val="16"/>
          <w:lang w:val="es-ES"/>
        </w:rPr>
        <w:t xml:space="preserve"> and </w:t>
      </w:r>
      <w:proofErr w:type="spellStart"/>
      <w:r w:rsidRPr="006C459C">
        <w:rPr>
          <w:rFonts w:ascii="Cambria" w:hAnsi="Cambria" w:cs="Verdana"/>
          <w:i/>
          <w:iCs/>
          <w:sz w:val="16"/>
          <w:szCs w:val="16"/>
          <w:lang w:val="es-ES"/>
        </w:rPr>
        <w:t>Others</w:t>
      </w:r>
      <w:proofErr w:type="spellEnd"/>
      <w:r w:rsidRPr="006C459C">
        <w:rPr>
          <w:rFonts w:ascii="Cambria" w:hAnsi="Cambria" w:cs="Verdana"/>
          <w:i/>
          <w:iCs/>
          <w:sz w:val="16"/>
          <w:szCs w:val="16"/>
          <w:lang w:val="es-ES"/>
        </w:rPr>
        <w:t xml:space="preserve"> v. </w:t>
      </w:r>
      <w:proofErr w:type="spellStart"/>
      <w:r w:rsidRPr="006C459C">
        <w:rPr>
          <w:rFonts w:ascii="Cambria" w:hAnsi="Cambria" w:cs="Verdana"/>
          <w:i/>
          <w:iCs/>
          <w:sz w:val="16"/>
          <w:szCs w:val="16"/>
          <w:lang w:val="es-ES"/>
        </w:rPr>
        <w:t>Turkey</w:t>
      </w:r>
      <w:proofErr w:type="spellEnd"/>
      <w:r w:rsidRPr="006C459C">
        <w:rPr>
          <w:rFonts w:ascii="Cambria" w:hAnsi="Cambria" w:cs="Verdana"/>
          <w:sz w:val="16"/>
          <w:szCs w:val="16"/>
          <w:lang w:val="es-ES"/>
        </w:rPr>
        <w:t xml:space="preserve">, </w:t>
      </w:r>
      <w:proofErr w:type="spellStart"/>
      <w:r w:rsidRPr="006C459C">
        <w:rPr>
          <w:rFonts w:ascii="Cambria" w:hAnsi="Cambria" w:cs="Verdana"/>
          <w:sz w:val="16"/>
          <w:szCs w:val="16"/>
          <w:lang w:val="es-ES"/>
        </w:rPr>
        <w:t>párrs</w:t>
      </w:r>
      <w:proofErr w:type="spellEnd"/>
      <w:r w:rsidRPr="006C459C">
        <w:rPr>
          <w:rFonts w:ascii="Cambria" w:hAnsi="Cambria" w:cs="Verdana"/>
          <w:sz w:val="16"/>
          <w:szCs w:val="16"/>
          <w:lang w:val="es-ES"/>
        </w:rPr>
        <w:t xml:space="preserve">. </w:t>
      </w:r>
      <w:r w:rsidRPr="00675C3A">
        <w:rPr>
          <w:rFonts w:ascii="Cambria" w:hAnsi="Cambria" w:cs="Verdana"/>
          <w:sz w:val="16"/>
          <w:szCs w:val="16"/>
        </w:rPr>
        <w:t xml:space="preserve">88-89; </w:t>
      </w:r>
      <w:proofErr w:type="spellStart"/>
      <w:r w:rsidRPr="00675C3A">
        <w:rPr>
          <w:rFonts w:ascii="Cambria" w:hAnsi="Cambria" w:cs="Verdana"/>
          <w:i/>
          <w:iCs/>
          <w:sz w:val="16"/>
          <w:szCs w:val="16"/>
        </w:rPr>
        <w:t>Kakoulli</w:t>
      </w:r>
      <w:proofErr w:type="spellEnd"/>
      <w:r w:rsidRPr="00675C3A">
        <w:rPr>
          <w:rFonts w:ascii="Cambria" w:hAnsi="Cambria" w:cs="Verdana"/>
          <w:i/>
          <w:iCs/>
          <w:sz w:val="16"/>
          <w:szCs w:val="16"/>
        </w:rPr>
        <w:t xml:space="preserve"> v. Turkey,</w:t>
      </w:r>
      <w:r w:rsidRPr="00675C3A">
        <w:rPr>
          <w:rFonts w:ascii="Cambria" w:hAnsi="Cambria" w:cs="Verdana"/>
          <w:sz w:val="16"/>
          <w:szCs w:val="16"/>
        </w:rPr>
        <w:t xml:space="preserve"> </w:t>
      </w:r>
      <w:proofErr w:type="spellStart"/>
      <w:r w:rsidR="00C80F41" w:rsidRPr="00675C3A">
        <w:rPr>
          <w:rFonts w:ascii="Cambria" w:hAnsi="Cambria" w:cs="Verdana"/>
          <w:sz w:val="16"/>
          <w:szCs w:val="16"/>
        </w:rPr>
        <w:t>párrs</w:t>
      </w:r>
      <w:proofErr w:type="spellEnd"/>
      <w:r w:rsidR="00C80F41" w:rsidRPr="00675C3A">
        <w:rPr>
          <w:rFonts w:ascii="Cambria" w:hAnsi="Cambria" w:cs="Verdana"/>
          <w:sz w:val="16"/>
          <w:szCs w:val="16"/>
        </w:rPr>
        <w:t xml:space="preserve">. </w:t>
      </w:r>
      <w:r w:rsidR="00C80F41" w:rsidRPr="006C459C">
        <w:rPr>
          <w:rFonts w:ascii="Cambria" w:hAnsi="Cambria" w:cs="Verdana"/>
          <w:sz w:val="16"/>
          <w:szCs w:val="16"/>
        </w:rPr>
        <w:t xml:space="preserve">122-123; </w:t>
      </w:r>
      <w:r w:rsidRPr="006C459C">
        <w:rPr>
          <w:rFonts w:ascii="Cambria" w:hAnsi="Cambria" w:cs="Verdana"/>
          <w:sz w:val="16"/>
          <w:szCs w:val="16"/>
        </w:rPr>
        <w:t xml:space="preserve">y </w:t>
      </w:r>
      <w:proofErr w:type="spellStart"/>
      <w:r w:rsidR="00C80F41" w:rsidRPr="006C459C">
        <w:rPr>
          <w:rFonts w:ascii="Cambria" w:hAnsi="Cambria" w:cs="Verdana"/>
          <w:i/>
          <w:iCs/>
          <w:sz w:val="16"/>
          <w:szCs w:val="16"/>
        </w:rPr>
        <w:t>Nachova</w:t>
      </w:r>
      <w:proofErr w:type="spellEnd"/>
      <w:r w:rsidR="00C80F41" w:rsidRPr="006C459C">
        <w:rPr>
          <w:rFonts w:ascii="Cambria" w:hAnsi="Cambria" w:cs="Verdana"/>
          <w:i/>
          <w:iCs/>
          <w:sz w:val="16"/>
          <w:szCs w:val="16"/>
        </w:rPr>
        <w:t xml:space="preserve"> and Others v. Bulgaria, </w:t>
      </w:r>
      <w:proofErr w:type="spellStart"/>
      <w:r w:rsidRPr="006C459C">
        <w:rPr>
          <w:rFonts w:ascii="Cambria" w:hAnsi="Cambria" w:cs="Verdana"/>
          <w:iCs/>
          <w:sz w:val="16"/>
          <w:szCs w:val="16"/>
        </w:rPr>
        <w:t>párrs</w:t>
      </w:r>
      <w:proofErr w:type="spellEnd"/>
      <w:r w:rsidRPr="006C459C">
        <w:rPr>
          <w:rFonts w:ascii="Cambria" w:hAnsi="Cambria" w:cs="Verdana"/>
          <w:iCs/>
          <w:sz w:val="16"/>
          <w:szCs w:val="16"/>
        </w:rPr>
        <w:t xml:space="preserve">. </w:t>
      </w:r>
      <w:r w:rsidR="00C80F41" w:rsidRPr="006C459C">
        <w:rPr>
          <w:rFonts w:ascii="Cambria" w:hAnsi="Cambria" w:cs="Verdana"/>
          <w:iCs/>
          <w:sz w:val="16"/>
          <w:szCs w:val="16"/>
          <w:lang w:val="es-ES"/>
        </w:rPr>
        <w:t>111-112.</w:t>
      </w:r>
    </w:p>
  </w:footnote>
  <w:footnote w:id="88">
    <w:p w:rsidR="006A3859" w:rsidRPr="006C459C" w:rsidRDefault="006A3859" w:rsidP="00D060AD">
      <w:pPr>
        <w:jc w:val="both"/>
        <w:rPr>
          <w:rFonts w:ascii="Cambria" w:hAnsi="Cambria"/>
          <w:sz w:val="16"/>
          <w:szCs w:val="16"/>
          <w:lang w:val="es-ES_tradnl"/>
        </w:rPr>
      </w:pPr>
      <w:r w:rsidRPr="006C459C">
        <w:rPr>
          <w:rStyle w:val="FootnoteReference"/>
          <w:rFonts w:ascii="Cambria" w:hAnsi="Cambria"/>
          <w:sz w:val="16"/>
          <w:szCs w:val="16"/>
        </w:rPr>
        <w:footnoteRef/>
      </w:r>
      <w:r w:rsidRPr="006C459C">
        <w:rPr>
          <w:rFonts w:ascii="Cambria" w:hAnsi="Cambria"/>
          <w:sz w:val="16"/>
          <w:szCs w:val="16"/>
          <w:lang w:val="es-ES_tradnl"/>
        </w:rPr>
        <w:t xml:space="preserve"> </w:t>
      </w:r>
      <w:r w:rsidRPr="006C459C">
        <w:rPr>
          <w:rFonts w:ascii="Cambria" w:hAnsi="Cambria"/>
          <w:sz w:val="16"/>
          <w:szCs w:val="16"/>
          <w:lang w:val="es-ES"/>
        </w:rPr>
        <w:t xml:space="preserve">Corte I.D.H., </w:t>
      </w:r>
      <w:r w:rsidRPr="006C459C">
        <w:rPr>
          <w:rFonts w:ascii="Cambria" w:hAnsi="Cambria"/>
          <w:bCs/>
          <w:i/>
          <w:sz w:val="16"/>
          <w:szCs w:val="16"/>
          <w:lang w:val="es-ES"/>
        </w:rPr>
        <w:t>Caso Zambrano Vélez y otros Vs. Ecuador.</w:t>
      </w:r>
      <w:r w:rsidRPr="006C459C">
        <w:rPr>
          <w:rFonts w:ascii="Cambria" w:hAnsi="Cambria"/>
          <w:b/>
          <w:bCs/>
          <w:sz w:val="16"/>
          <w:szCs w:val="16"/>
          <w:lang w:val="es-ES"/>
        </w:rPr>
        <w:t xml:space="preserve"> </w:t>
      </w:r>
      <w:r w:rsidRPr="006C459C">
        <w:rPr>
          <w:rFonts w:ascii="Cambria" w:hAnsi="Cambria"/>
          <w:sz w:val="16"/>
          <w:szCs w:val="16"/>
          <w:lang w:val="es-ES"/>
        </w:rPr>
        <w:t xml:space="preserve">Fondo, Reparaciones y Costas. Sentencia de 4 de julio de 2007. Serie C No. 166, párr. </w:t>
      </w:r>
      <w:r w:rsidRPr="006C459C">
        <w:rPr>
          <w:rFonts w:ascii="Cambria" w:hAnsi="Cambria"/>
          <w:sz w:val="16"/>
          <w:szCs w:val="16"/>
          <w:lang w:val="es-ES_tradnl"/>
        </w:rPr>
        <w:t>88.</w:t>
      </w:r>
    </w:p>
  </w:footnote>
  <w:footnote w:id="89">
    <w:p w:rsidR="006A3859" w:rsidRPr="006C459C" w:rsidRDefault="006A3859" w:rsidP="00D060AD">
      <w:pPr>
        <w:jc w:val="both"/>
        <w:rPr>
          <w:rFonts w:ascii="Cambria" w:hAnsi="Cambria"/>
          <w:sz w:val="16"/>
          <w:szCs w:val="16"/>
          <w:lang w:val="es-ES_tradnl"/>
        </w:rPr>
      </w:pPr>
      <w:r w:rsidRPr="006C459C">
        <w:rPr>
          <w:rStyle w:val="FootnoteReference"/>
          <w:rFonts w:ascii="Cambria" w:hAnsi="Cambria"/>
          <w:sz w:val="16"/>
          <w:szCs w:val="16"/>
        </w:rPr>
        <w:footnoteRef/>
      </w:r>
      <w:r w:rsidRPr="006C459C">
        <w:rPr>
          <w:rFonts w:ascii="Cambria" w:hAnsi="Cambria"/>
          <w:sz w:val="16"/>
          <w:szCs w:val="16"/>
          <w:lang w:val="es-ES_tradnl"/>
        </w:rPr>
        <w:t xml:space="preserve"> </w:t>
      </w:r>
      <w:r w:rsidR="00C80F41" w:rsidRPr="006C459C">
        <w:rPr>
          <w:rFonts w:ascii="Cambria" w:hAnsi="Cambria"/>
          <w:sz w:val="16"/>
          <w:szCs w:val="16"/>
          <w:lang w:val="es-ES_tradnl"/>
        </w:rPr>
        <w:t xml:space="preserve">ONU, </w:t>
      </w:r>
      <w:r w:rsidRPr="006C459C">
        <w:rPr>
          <w:rFonts w:ascii="Cambria" w:hAnsi="Cambria" w:cs="Arial"/>
          <w:sz w:val="16"/>
          <w:szCs w:val="16"/>
          <w:lang w:val="es-ES_tradnl"/>
        </w:rPr>
        <w:t xml:space="preserve">Informe provisional sobre la situación mundial con respecto a las ejecuciones extrajudiciales, sumarias o arbitrarias presentado por el Relator Especial Philip </w:t>
      </w:r>
      <w:proofErr w:type="spellStart"/>
      <w:r w:rsidRPr="006C459C">
        <w:rPr>
          <w:rFonts w:ascii="Cambria" w:hAnsi="Cambria" w:cs="Arial"/>
          <w:sz w:val="16"/>
          <w:szCs w:val="16"/>
          <w:lang w:val="es-ES_tradnl"/>
        </w:rPr>
        <w:t>Alston</w:t>
      </w:r>
      <w:proofErr w:type="spellEnd"/>
      <w:r w:rsidRPr="006C459C">
        <w:rPr>
          <w:rFonts w:ascii="Cambria" w:hAnsi="Cambria" w:cs="Arial"/>
          <w:sz w:val="16"/>
          <w:szCs w:val="16"/>
          <w:lang w:val="es-ES_tradnl"/>
        </w:rPr>
        <w:t>.</w:t>
      </w:r>
      <w:r w:rsidRPr="006C459C">
        <w:rPr>
          <w:rFonts w:ascii="Cambria" w:hAnsi="Cambria" w:cs="Arial"/>
          <w:i/>
          <w:sz w:val="16"/>
          <w:szCs w:val="16"/>
          <w:lang w:val="es-ES_tradnl"/>
        </w:rPr>
        <w:t xml:space="preserve"> </w:t>
      </w:r>
      <w:r w:rsidRPr="006C459C">
        <w:rPr>
          <w:rFonts w:ascii="Cambria" w:hAnsi="Cambria"/>
          <w:sz w:val="16"/>
          <w:szCs w:val="16"/>
          <w:lang w:val="es-ES_tradnl"/>
        </w:rPr>
        <w:t xml:space="preserve">Asamblea General de Naciones Unidas. </w:t>
      </w:r>
      <w:r w:rsidRPr="006C459C">
        <w:rPr>
          <w:rFonts w:ascii="Cambria" w:hAnsi="Cambria" w:cs="Arial"/>
          <w:sz w:val="16"/>
          <w:szCs w:val="16"/>
          <w:lang w:val="es-ES_tradnl"/>
        </w:rPr>
        <w:t>(Doc. A/61/311)</w:t>
      </w:r>
      <w:r w:rsidRPr="006C459C">
        <w:rPr>
          <w:rFonts w:ascii="Cambria" w:hAnsi="Cambria" w:cs="Arial"/>
          <w:sz w:val="16"/>
          <w:szCs w:val="16"/>
          <w:lang w:val="es-ES"/>
        </w:rPr>
        <w:t>, LIX período de sesiones, 5 de septiembre de 2006, párr. 36.</w:t>
      </w:r>
    </w:p>
  </w:footnote>
  <w:footnote w:id="90">
    <w:p w:rsidR="006A3859" w:rsidRPr="006C459C" w:rsidRDefault="006A3859" w:rsidP="00D060AD">
      <w:pPr>
        <w:jc w:val="both"/>
        <w:rPr>
          <w:rFonts w:ascii="Cambria" w:hAnsi="Cambria"/>
          <w:sz w:val="16"/>
          <w:szCs w:val="16"/>
          <w:lang w:val="es-ES_tradnl"/>
        </w:rPr>
      </w:pPr>
      <w:r w:rsidRPr="006C459C">
        <w:rPr>
          <w:rStyle w:val="FootnoteReference"/>
          <w:rFonts w:ascii="Cambria" w:hAnsi="Cambria"/>
          <w:sz w:val="16"/>
          <w:szCs w:val="16"/>
        </w:rPr>
        <w:footnoteRef/>
      </w:r>
      <w:r w:rsidRPr="006C459C">
        <w:rPr>
          <w:rFonts w:ascii="Cambria" w:hAnsi="Cambria"/>
          <w:sz w:val="16"/>
          <w:szCs w:val="16"/>
          <w:lang w:val="es-ES"/>
        </w:rPr>
        <w:t xml:space="preserve"> Corte I.D.H., </w:t>
      </w:r>
      <w:r w:rsidRPr="006C459C">
        <w:rPr>
          <w:rFonts w:ascii="Cambria" w:hAnsi="Cambria"/>
          <w:bCs/>
          <w:i/>
          <w:sz w:val="16"/>
          <w:szCs w:val="16"/>
          <w:lang w:val="es-ES_tradnl"/>
        </w:rPr>
        <w:t>Caso Zambrano Vélez y otros Vs. Ecuador.</w:t>
      </w:r>
      <w:r w:rsidRPr="006C459C">
        <w:rPr>
          <w:rFonts w:ascii="Cambria" w:hAnsi="Cambria"/>
          <w:bCs/>
          <w:sz w:val="16"/>
          <w:szCs w:val="16"/>
          <w:lang w:val="es-ES_tradnl"/>
        </w:rPr>
        <w:t xml:space="preserve"> </w:t>
      </w:r>
      <w:r w:rsidRPr="006C459C">
        <w:rPr>
          <w:rFonts w:ascii="Cambria" w:hAnsi="Cambria"/>
          <w:sz w:val="16"/>
          <w:szCs w:val="16"/>
          <w:lang w:val="es-ES_tradnl"/>
        </w:rPr>
        <w:t xml:space="preserve">Fondo, Reparaciones y Costas. Sentencia de 4 de julio de 2007. Serie C No. 166, párr. 121. </w:t>
      </w:r>
    </w:p>
  </w:footnote>
  <w:footnote w:id="91">
    <w:p w:rsidR="006A3859" w:rsidRPr="006C459C" w:rsidRDefault="006A3859" w:rsidP="00D060AD">
      <w:pPr>
        <w:jc w:val="both"/>
        <w:rPr>
          <w:rFonts w:ascii="Cambria" w:hAnsi="Cambria"/>
          <w:sz w:val="16"/>
          <w:szCs w:val="16"/>
          <w:lang w:val="es-ES_tradnl"/>
        </w:rPr>
      </w:pPr>
      <w:r w:rsidRPr="006C459C">
        <w:rPr>
          <w:rStyle w:val="FootnoteReference"/>
          <w:rFonts w:ascii="Cambria" w:hAnsi="Cambria"/>
          <w:sz w:val="16"/>
          <w:szCs w:val="16"/>
        </w:rPr>
        <w:footnoteRef/>
      </w:r>
      <w:r w:rsidRPr="006C459C">
        <w:rPr>
          <w:rFonts w:ascii="Cambria" w:hAnsi="Cambria"/>
          <w:sz w:val="16"/>
          <w:szCs w:val="16"/>
          <w:lang w:val="es-ES_tradnl"/>
        </w:rPr>
        <w:t xml:space="preserve"> Corte I.D.H., </w:t>
      </w:r>
      <w:r w:rsidRPr="006C459C">
        <w:rPr>
          <w:rFonts w:ascii="Cambria" w:hAnsi="Cambria"/>
          <w:i/>
          <w:sz w:val="16"/>
          <w:szCs w:val="16"/>
          <w:lang w:val="es-ES_tradnl"/>
        </w:rPr>
        <w:t xml:space="preserve">Caso de la Comunidad </w:t>
      </w:r>
      <w:proofErr w:type="spellStart"/>
      <w:r w:rsidRPr="006C459C">
        <w:rPr>
          <w:rFonts w:ascii="Cambria" w:hAnsi="Cambria"/>
          <w:i/>
          <w:sz w:val="16"/>
          <w:szCs w:val="16"/>
          <w:lang w:val="es-ES_tradnl"/>
        </w:rPr>
        <w:t>Moiwana</w:t>
      </w:r>
      <w:proofErr w:type="spellEnd"/>
      <w:r w:rsidRPr="006C459C">
        <w:rPr>
          <w:rFonts w:ascii="Cambria" w:hAnsi="Cambria"/>
          <w:i/>
          <w:sz w:val="16"/>
          <w:szCs w:val="16"/>
          <w:lang w:val="es-ES_tradnl"/>
        </w:rPr>
        <w:t xml:space="preserve"> Vs. Surinam</w:t>
      </w:r>
      <w:r w:rsidRPr="006C459C">
        <w:rPr>
          <w:rFonts w:ascii="Cambria" w:hAnsi="Cambria"/>
          <w:sz w:val="16"/>
          <w:szCs w:val="16"/>
          <w:lang w:val="es-ES_tradnl"/>
        </w:rPr>
        <w:t xml:space="preserve">. Sentencia de 15 de junio de 2005. Serie C No. 124, párr. 149; </w:t>
      </w:r>
      <w:r w:rsidR="009555F5" w:rsidRPr="006C459C">
        <w:rPr>
          <w:rFonts w:ascii="Cambria" w:hAnsi="Cambria"/>
          <w:sz w:val="16"/>
          <w:szCs w:val="16"/>
          <w:lang w:val="es-ES"/>
        </w:rPr>
        <w:t xml:space="preserve">y </w:t>
      </w:r>
      <w:r w:rsidRPr="006C459C">
        <w:rPr>
          <w:rFonts w:ascii="Cambria" w:hAnsi="Cambria"/>
          <w:bCs/>
          <w:i/>
          <w:sz w:val="16"/>
          <w:szCs w:val="16"/>
          <w:lang w:val="es-ES_tradnl"/>
        </w:rPr>
        <w:t xml:space="preserve">Caso del Penal Miguel Castro </w:t>
      </w:r>
      <w:proofErr w:type="spellStart"/>
      <w:r w:rsidRPr="006C459C">
        <w:rPr>
          <w:rFonts w:ascii="Cambria" w:hAnsi="Cambria"/>
          <w:bCs/>
          <w:i/>
          <w:sz w:val="16"/>
          <w:szCs w:val="16"/>
          <w:lang w:val="es-ES_tradnl"/>
        </w:rPr>
        <w:t>Castro</w:t>
      </w:r>
      <w:proofErr w:type="spellEnd"/>
      <w:r w:rsidRPr="006C459C">
        <w:rPr>
          <w:rFonts w:ascii="Cambria" w:hAnsi="Cambria"/>
          <w:bCs/>
          <w:i/>
          <w:sz w:val="16"/>
          <w:szCs w:val="16"/>
          <w:lang w:val="es-ES_tradnl"/>
        </w:rPr>
        <w:t xml:space="preserve"> Vs. Perú</w:t>
      </w:r>
      <w:r w:rsidRPr="006C459C">
        <w:rPr>
          <w:rFonts w:ascii="Cambria" w:hAnsi="Cambria"/>
          <w:bCs/>
          <w:sz w:val="16"/>
          <w:szCs w:val="16"/>
          <w:lang w:val="es-ES_tradnl"/>
        </w:rPr>
        <w:t xml:space="preserve">. </w:t>
      </w:r>
      <w:r w:rsidRPr="006C459C">
        <w:rPr>
          <w:rFonts w:ascii="Cambria" w:hAnsi="Cambria"/>
          <w:sz w:val="16"/>
          <w:szCs w:val="16"/>
          <w:lang w:val="es-ES_tradnl"/>
        </w:rPr>
        <w:t xml:space="preserve">Sentencia de 25 de noviembre de 2006. Serie C No. 160, párr. 383. </w:t>
      </w:r>
    </w:p>
  </w:footnote>
  <w:footnote w:id="92">
    <w:p w:rsidR="006A3859" w:rsidRPr="006C459C" w:rsidRDefault="006A3859" w:rsidP="00D060AD">
      <w:pPr>
        <w:jc w:val="both"/>
        <w:rPr>
          <w:rFonts w:ascii="Cambria" w:hAnsi="Cambria"/>
          <w:sz w:val="16"/>
          <w:szCs w:val="16"/>
          <w:lang w:val="es-ES_tradnl"/>
        </w:rPr>
      </w:pPr>
      <w:r w:rsidRPr="006C459C">
        <w:rPr>
          <w:rStyle w:val="FootnoteReference"/>
          <w:rFonts w:ascii="Cambria" w:hAnsi="Cambria"/>
          <w:sz w:val="16"/>
          <w:szCs w:val="16"/>
        </w:rPr>
        <w:footnoteRef/>
      </w:r>
      <w:r w:rsidRPr="006C459C">
        <w:rPr>
          <w:rFonts w:ascii="Cambria" w:hAnsi="Cambria"/>
          <w:sz w:val="16"/>
          <w:szCs w:val="16"/>
          <w:lang w:val="es-ES_tradnl"/>
        </w:rPr>
        <w:t xml:space="preserve"> Corte I.D.H., </w:t>
      </w:r>
      <w:r w:rsidRPr="006C459C">
        <w:rPr>
          <w:rFonts w:ascii="Cambria" w:hAnsi="Cambria"/>
          <w:bCs/>
          <w:i/>
          <w:sz w:val="16"/>
          <w:szCs w:val="16"/>
          <w:lang w:val="es-ES_tradnl"/>
        </w:rPr>
        <w:t>Caso Zambrano Vélez y otros Vs. Ecuador.</w:t>
      </w:r>
      <w:r w:rsidRPr="006C459C">
        <w:rPr>
          <w:rFonts w:ascii="Cambria" w:hAnsi="Cambria"/>
          <w:bCs/>
          <w:sz w:val="16"/>
          <w:szCs w:val="16"/>
          <w:lang w:val="es-ES_tradnl"/>
        </w:rPr>
        <w:t xml:space="preserve"> </w:t>
      </w:r>
      <w:r w:rsidRPr="006C459C">
        <w:rPr>
          <w:rFonts w:ascii="Cambria" w:hAnsi="Cambria"/>
          <w:sz w:val="16"/>
          <w:szCs w:val="16"/>
          <w:lang w:val="es-ES_tradnl"/>
        </w:rPr>
        <w:t>Fondo, Reparaciones y Costas. Sentencia de 4 de julio de 2007. Serie C No. 166, párr. 122.</w:t>
      </w:r>
    </w:p>
  </w:footnote>
  <w:footnote w:id="93">
    <w:p w:rsidR="006A3859" w:rsidRPr="006C459C" w:rsidRDefault="006A3859" w:rsidP="00D060AD">
      <w:pPr>
        <w:jc w:val="both"/>
        <w:rPr>
          <w:rFonts w:ascii="Cambria" w:hAnsi="Cambria"/>
          <w:sz w:val="16"/>
          <w:szCs w:val="16"/>
          <w:lang w:val="es-ES_tradnl"/>
        </w:rPr>
      </w:pPr>
      <w:r w:rsidRPr="006C459C">
        <w:rPr>
          <w:rStyle w:val="FootnoteReference"/>
          <w:rFonts w:ascii="Cambria" w:hAnsi="Cambria"/>
          <w:sz w:val="16"/>
          <w:szCs w:val="16"/>
        </w:rPr>
        <w:footnoteRef/>
      </w:r>
      <w:r w:rsidRPr="006C459C">
        <w:rPr>
          <w:rFonts w:ascii="Cambria" w:hAnsi="Cambria"/>
          <w:sz w:val="16"/>
          <w:szCs w:val="16"/>
          <w:lang w:val="es-ES_tradnl"/>
        </w:rPr>
        <w:t xml:space="preserve"> </w:t>
      </w:r>
      <w:r w:rsidRPr="006C459C">
        <w:rPr>
          <w:rFonts w:ascii="Cambria" w:hAnsi="Cambria"/>
          <w:sz w:val="16"/>
          <w:szCs w:val="16"/>
          <w:lang w:val="es-AR"/>
        </w:rPr>
        <w:t>CIDH, Informe sobre Seguridad Ciudadana y Derechos Humanos, OEA/</w:t>
      </w:r>
      <w:proofErr w:type="spellStart"/>
      <w:r w:rsidRPr="006C459C">
        <w:rPr>
          <w:rFonts w:ascii="Cambria" w:hAnsi="Cambria"/>
          <w:sz w:val="16"/>
          <w:szCs w:val="16"/>
          <w:lang w:val="es-AR"/>
        </w:rPr>
        <w:t>Ser.L</w:t>
      </w:r>
      <w:proofErr w:type="spellEnd"/>
      <w:r w:rsidRPr="006C459C">
        <w:rPr>
          <w:rFonts w:ascii="Cambria" w:hAnsi="Cambria"/>
          <w:sz w:val="16"/>
          <w:szCs w:val="16"/>
          <w:lang w:val="es-AR"/>
        </w:rPr>
        <w:t>/V/II., Doc. 57, 31 diciembre 2009, párr. 163</w:t>
      </w:r>
      <w:r w:rsidR="00B14C22" w:rsidRPr="006C459C">
        <w:rPr>
          <w:rFonts w:ascii="Cambria" w:hAnsi="Cambria"/>
          <w:sz w:val="16"/>
          <w:szCs w:val="16"/>
          <w:lang w:val="es-AR"/>
        </w:rPr>
        <w:t>.</w:t>
      </w:r>
      <w:r w:rsidRPr="006C459C">
        <w:rPr>
          <w:rFonts w:ascii="Cambria" w:hAnsi="Cambria"/>
          <w:sz w:val="16"/>
          <w:szCs w:val="16"/>
          <w:lang w:val="es-AR"/>
        </w:rPr>
        <w:t xml:space="preserve"> </w:t>
      </w:r>
    </w:p>
  </w:footnote>
  <w:footnote w:id="94">
    <w:p w:rsidR="006A3859" w:rsidRPr="006C459C" w:rsidRDefault="006A3859" w:rsidP="00D060AD">
      <w:pPr>
        <w:jc w:val="both"/>
        <w:rPr>
          <w:rFonts w:ascii="Cambria" w:hAnsi="Cambria"/>
          <w:sz w:val="16"/>
          <w:szCs w:val="16"/>
          <w:lang w:val="es-ES"/>
        </w:rPr>
      </w:pPr>
      <w:r w:rsidRPr="006C459C">
        <w:rPr>
          <w:rStyle w:val="FootnoteReference"/>
          <w:rFonts w:ascii="Cambria" w:hAnsi="Cambria"/>
          <w:sz w:val="16"/>
          <w:szCs w:val="16"/>
        </w:rPr>
        <w:footnoteRef/>
      </w:r>
      <w:r w:rsidRPr="006C459C">
        <w:rPr>
          <w:rFonts w:ascii="Cambria" w:hAnsi="Cambria"/>
          <w:sz w:val="16"/>
          <w:szCs w:val="16"/>
          <w:lang w:val="es-ES_tradnl"/>
        </w:rPr>
        <w:t xml:space="preserve"> Corte I.D.H., </w:t>
      </w:r>
      <w:r w:rsidRPr="006C459C">
        <w:rPr>
          <w:rFonts w:ascii="Cambria" w:hAnsi="Cambria"/>
          <w:bCs/>
          <w:i/>
          <w:sz w:val="16"/>
          <w:szCs w:val="16"/>
          <w:lang w:val="es-ES_tradnl"/>
        </w:rPr>
        <w:t xml:space="preserve">Caso Cantoral </w:t>
      </w:r>
      <w:proofErr w:type="spellStart"/>
      <w:r w:rsidRPr="006C459C">
        <w:rPr>
          <w:rFonts w:ascii="Cambria" w:hAnsi="Cambria"/>
          <w:bCs/>
          <w:i/>
          <w:sz w:val="16"/>
          <w:szCs w:val="16"/>
          <w:lang w:val="es-ES_tradnl"/>
        </w:rPr>
        <w:t>Huamaní</w:t>
      </w:r>
      <w:proofErr w:type="spellEnd"/>
      <w:r w:rsidRPr="006C459C">
        <w:rPr>
          <w:rFonts w:ascii="Cambria" w:hAnsi="Cambria"/>
          <w:bCs/>
          <w:i/>
          <w:sz w:val="16"/>
          <w:szCs w:val="16"/>
          <w:lang w:val="es-ES_tradnl"/>
        </w:rPr>
        <w:t xml:space="preserve"> y García Santa Cruz Vs. Perú.</w:t>
      </w:r>
      <w:r w:rsidRPr="006C459C">
        <w:rPr>
          <w:rFonts w:ascii="Cambria" w:hAnsi="Cambria"/>
          <w:bCs/>
          <w:sz w:val="16"/>
          <w:szCs w:val="16"/>
          <w:lang w:val="es-ES_tradnl"/>
        </w:rPr>
        <w:t xml:space="preserve"> </w:t>
      </w:r>
      <w:r w:rsidRPr="006C459C">
        <w:rPr>
          <w:rFonts w:ascii="Cambria" w:hAnsi="Cambria"/>
          <w:sz w:val="16"/>
          <w:szCs w:val="16"/>
          <w:lang w:val="es-ES_tradnl"/>
        </w:rPr>
        <w:t xml:space="preserve">Excepción Preliminar, Fondo, Reparaciones y Costas. Sentencia de 10 de julio de 2007. </w:t>
      </w:r>
      <w:r w:rsidR="00B14C22" w:rsidRPr="006C459C">
        <w:rPr>
          <w:rFonts w:ascii="Cambria" w:hAnsi="Cambria"/>
          <w:sz w:val="16"/>
          <w:szCs w:val="16"/>
          <w:lang w:val="es-ES"/>
        </w:rPr>
        <w:t>Serie C No. 167, p</w:t>
      </w:r>
      <w:r w:rsidRPr="006C459C">
        <w:rPr>
          <w:rFonts w:ascii="Cambria" w:hAnsi="Cambria"/>
          <w:sz w:val="16"/>
          <w:szCs w:val="16"/>
          <w:lang w:val="es-ES"/>
        </w:rPr>
        <w:t>árr. 166.</w:t>
      </w:r>
    </w:p>
  </w:footnote>
  <w:footnote w:id="95">
    <w:p w:rsidR="006A3859" w:rsidRPr="006C459C" w:rsidRDefault="006A3859" w:rsidP="00D060AD">
      <w:pPr>
        <w:pStyle w:val="FootnoteText"/>
        <w:jc w:val="both"/>
        <w:rPr>
          <w:rFonts w:ascii="Cambria" w:hAnsi="Cambria"/>
          <w:sz w:val="16"/>
          <w:szCs w:val="16"/>
          <w:lang w:val="es-CR"/>
        </w:rPr>
      </w:pPr>
      <w:r w:rsidRPr="006C459C">
        <w:rPr>
          <w:rStyle w:val="FootnoteReference"/>
          <w:rFonts w:ascii="Cambria" w:hAnsi="Cambria"/>
          <w:sz w:val="16"/>
          <w:szCs w:val="16"/>
        </w:rPr>
        <w:footnoteRef/>
      </w:r>
      <w:r w:rsidRPr="006C459C">
        <w:rPr>
          <w:rFonts w:ascii="Cambria" w:hAnsi="Cambria"/>
          <w:sz w:val="16"/>
          <w:szCs w:val="16"/>
          <w:lang w:val="es-ES"/>
        </w:rPr>
        <w:t xml:space="preserve"> Corte I.D.H., </w:t>
      </w:r>
      <w:r w:rsidRPr="006C459C">
        <w:rPr>
          <w:rFonts w:ascii="Cambria" w:hAnsi="Cambria"/>
          <w:i/>
          <w:sz w:val="16"/>
          <w:szCs w:val="16"/>
          <w:lang w:val="es-ES"/>
        </w:rPr>
        <w:t>Caso </w:t>
      </w:r>
      <w:proofErr w:type="spellStart"/>
      <w:r w:rsidRPr="006C459C">
        <w:rPr>
          <w:rFonts w:ascii="Cambria" w:hAnsi="Cambria"/>
          <w:bCs/>
          <w:i/>
          <w:sz w:val="16"/>
          <w:szCs w:val="16"/>
          <w:lang w:val="es-ES"/>
        </w:rPr>
        <w:t>Palamara</w:t>
      </w:r>
      <w:proofErr w:type="spellEnd"/>
      <w:r w:rsidRPr="006C459C">
        <w:rPr>
          <w:rFonts w:ascii="Cambria" w:hAnsi="Cambria"/>
          <w:i/>
          <w:sz w:val="16"/>
          <w:szCs w:val="16"/>
          <w:lang w:val="es-ES"/>
        </w:rPr>
        <w:t xml:space="preserve"> Iribarne Vs. </w:t>
      </w:r>
      <w:r w:rsidRPr="006C459C">
        <w:rPr>
          <w:rFonts w:ascii="Cambria" w:hAnsi="Cambria"/>
          <w:i/>
          <w:sz w:val="16"/>
          <w:szCs w:val="16"/>
          <w:lang w:val="es-ES_tradnl"/>
        </w:rPr>
        <w:t>Chile</w:t>
      </w:r>
      <w:r w:rsidRPr="006C459C">
        <w:rPr>
          <w:rFonts w:ascii="Cambria" w:hAnsi="Cambria"/>
          <w:sz w:val="16"/>
          <w:szCs w:val="16"/>
          <w:lang w:val="es-ES_tradnl"/>
        </w:rPr>
        <w:t xml:space="preserve">. Fondo, Reparaciones y Costas, Sentencia del 22 de noviembre de 2005, Serie C, No. 135. </w:t>
      </w:r>
      <w:r w:rsidRPr="006C459C">
        <w:rPr>
          <w:rFonts w:ascii="Cambria" w:hAnsi="Cambria"/>
          <w:sz w:val="16"/>
          <w:szCs w:val="16"/>
          <w:lang w:val="es-MX"/>
        </w:rPr>
        <w:t xml:space="preserve">Párr. 155 y 156. </w:t>
      </w:r>
    </w:p>
  </w:footnote>
  <w:footnote w:id="96">
    <w:p w:rsidR="006A3859" w:rsidRPr="006C459C" w:rsidRDefault="006A3859" w:rsidP="00D060AD">
      <w:pPr>
        <w:pStyle w:val="FootnoteText"/>
        <w:jc w:val="both"/>
        <w:rPr>
          <w:rFonts w:ascii="Cambria" w:hAnsi="Cambria"/>
          <w:color w:val="auto"/>
          <w:sz w:val="16"/>
          <w:szCs w:val="16"/>
          <w:lang w:val="es-ES"/>
        </w:rPr>
      </w:pPr>
      <w:r w:rsidRPr="006C459C">
        <w:rPr>
          <w:rStyle w:val="FootnoteReference"/>
          <w:rFonts w:ascii="Cambria" w:hAnsi="Cambria"/>
          <w:color w:val="auto"/>
          <w:sz w:val="16"/>
          <w:szCs w:val="16"/>
        </w:rPr>
        <w:footnoteRef/>
      </w:r>
      <w:r w:rsidRPr="006C459C">
        <w:rPr>
          <w:rFonts w:ascii="Cambria" w:hAnsi="Cambria" w:cs="Arial"/>
          <w:color w:val="auto"/>
          <w:sz w:val="16"/>
          <w:szCs w:val="16"/>
          <w:lang w:val="es-ES"/>
        </w:rPr>
        <w:t xml:space="preserve"> </w:t>
      </w:r>
      <w:r w:rsidRPr="006C459C">
        <w:rPr>
          <w:rFonts w:ascii="Cambria" w:hAnsi="Cambria"/>
          <w:color w:val="auto"/>
          <w:sz w:val="16"/>
          <w:szCs w:val="16"/>
          <w:lang w:val="es-ES_tradnl"/>
        </w:rPr>
        <w:t xml:space="preserve">Corte I.D.H., </w:t>
      </w:r>
      <w:r w:rsidRPr="006C459C">
        <w:rPr>
          <w:rFonts w:ascii="Cambria" w:hAnsi="Cambria"/>
          <w:i/>
          <w:color w:val="auto"/>
          <w:sz w:val="16"/>
          <w:szCs w:val="16"/>
          <w:lang w:val="es-ES_tradnl"/>
        </w:rPr>
        <w:t xml:space="preserve">Caso García </w:t>
      </w:r>
      <w:proofErr w:type="spellStart"/>
      <w:r w:rsidRPr="006C459C">
        <w:rPr>
          <w:rFonts w:ascii="Cambria" w:hAnsi="Cambria"/>
          <w:i/>
          <w:color w:val="auto"/>
          <w:sz w:val="16"/>
          <w:szCs w:val="16"/>
          <w:lang w:val="es-ES_tradnl"/>
        </w:rPr>
        <w:t>Asto</w:t>
      </w:r>
      <w:proofErr w:type="spellEnd"/>
      <w:r w:rsidRPr="006C459C">
        <w:rPr>
          <w:rFonts w:ascii="Cambria" w:hAnsi="Cambria"/>
          <w:i/>
          <w:color w:val="auto"/>
          <w:sz w:val="16"/>
          <w:szCs w:val="16"/>
          <w:lang w:val="es-ES_tradnl"/>
        </w:rPr>
        <w:t xml:space="preserve"> y Ramírez Rojas Vs. Perú</w:t>
      </w:r>
      <w:r w:rsidRPr="006C459C">
        <w:rPr>
          <w:rFonts w:ascii="Cambria" w:hAnsi="Cambria"/>
          <w:color w:val="auto"/>
          <w:sz w:val="16"/>
          <w:szCs w:val="16"/>
          <w:lang w:val="es-ES_tradnl"/>
        </w:rPr>
        <w:t>. Sentencia de 25 de noviembre de 2005. Serie C No. 137</w:t>
      </w:r>
      <w:r w:rsidRPr="006C459C">
        <w:rPr>
          <w:rFonts w:ascii="Cambria" w:hAnsi="Cambria" w:cs="Arial"/>
          <w:iCs/>
          <w:color w:val="auto"/>
          <w:sz w:val="16"/>
          <w:szCs w:val="16"/>
          <w:lang w:val="es-ES"/>
        </w:rPr>
        <w:t xml:space="preserve">, párr. 166; </w:t>
      </w:r>
      <w:r w:rsidRPr="006C459C">
        <w:rPr>
          <w:rFonts w:ascii="Cambria" w:hAnsi="Cambria"/>
          <w:i/>
          <w:color w:val="auto"/>
          <w:sz w:val="16"/>
          <w:szCs w:val="16"/>
          <w:lang w:val="es-ES_tradnl"/>
        </w:rPr>
        <w:t xml:space="preserve">Caso Gómez Palomino Vs. Perú. </w:t>
      </w:r>
      <w:hyperlink r:id="rId1" w:history="1">
        <w:r w:rsidRPr="006C459C">
          <w:rPr>
            <w:rStyle w:val="Hyperlink"/>
            <w:rFonts w:ascii="Cambria" w:hAnsi="Cambria"/>
            <w:color w:val="auto"/>
            <w:sz w:val="16"/>
            <w:szCs w:val="16"/>
            <w:u w:val="none"/>
            <w:shd w:val="clear" w:color="auto" w:fill="FFFFFF"/>
            <w:lang w:val="es-ES"/>
          </w:rPr>
          <w:t>Fondo, Reparaciones y Costas. Sentencia de 22 de noviembre de 2005. Serie C No. 136</w:t>
        </w:r>
      </w:hyperlink>
      <w:r w:rsidRPr="006C459C">
        <w:rPr>
          <w:rFonts w:ascii="Cambria" w:hAnsi="Cambria"/>
          <w:color w:val="auto"/>
          <w:sz w:val="16"/>
          <w:szCs w:val="16"/>
          <w:lang w:val="es-ES_tradnl"/>
        </w:rPr>
        <w:t>,</w:t>
      </w:r>
      <w:r w:rsidRPr="006C459C">
        <w:rPr>
          <w:rFonts w:ascii="Cambria" w:hAnsi="Cambria"/>
          <w:i/>
          <w:color w:val="auto"/>
          <w:sz w:val="16"/>
          <w:szCs w:val="16"/>
          <w:lang w:val="es-ES_tradnl"/>
        </w:rPr>
        <w:t xml:space="preserve"> </w:t>
      </w:r>
      <w:r w:rsidRPr="006C459C">
        <w:rPr>
          <w:rFonts w:ascii="Cambria" w:hAnsi="Cambria"/>
          <w:color w:val="auto"/>
          <w:sz w:val="16"/>
          <w:szCs w:val="16"/>
          <w:lang w:val="es-ES_tradnl"/>
        </w:rPr>
        <w:t xml:space="preserve">párr. </w:t>
      </w:r>
      <w:r w:rsidRPr="006C459C">
        <w:rPr>
          <w:rFonts w:ascii="Cambria" w:hAnsi="Cambria" w:cs="Arial"/>
          <w:color w:val="auto"/>
          <w:sz w:val="16"/>
          <w:szCs w:val="16"/>
          <w:lang w:val="es-ES"/>
        </w:rPr>
        <w:t xml:space="preserve">85; y </w:t>
      </w:r>
      <w:r w:rsidRPr="006C459C">
        <w:rPr>
          <w:rFonts w:ascii="Cambria" w:hAnsi="Cambria"/>
          <w:i/>
          <w:color w:val="auto"/>
          <w:sz w:val="16"/>
          <w:szCs w:val="16"/>
          <w:lang w:val="es-ES"/>
        </w:rPr>
        <w:t xml:space="preserve">Caso de la Comunidad </w:t>
      </w:r>
      <w:proofErr w:type="spellStart"/>
      <w:r w:rsidRPr="006C459C">
        <w:rPr>
          <w:rFonts w:ascii="Cambria" w:hAnsi="Cambria"/>
          <w:i/>
          <w:color w:val="auto"/>
          <w:sz w:val="16"/>
          <w:szCs w:val="16"/>
          <w:lang w:val="es-ES"/>
        </w:rPr>
        <w:t>Moiwana</w:t>
      </w:r>
      <w:proofErr w:type="spellEnd"/>
      <w:r w:rsidRPr="006C459C">
        <w:rPr>
          <w:rFonts w:ascii="Cambria" w:hAnsi="Cambria"/>
          <w:i/>
          <w:color w:val="auto"/>
          <w:sz w:val="16"/>
          <w:szCs w:val="16"/>
          <w:lang w:val="es-ES"/>
        </w:rPr>
        <w:t xml:space="preserve"> Vs. Surinam</w:t>
      </w:r>
      <w:r w:rsidRPr="006C459C">
        <w:rPr>
          <w:rFonts w:ascii="Cambria" w:hAnsi="Cambria"/>
          <w:color w:val="auto"/>
          <w:sz w:val="16"/>
          <w:szCs w:val="16"/>
          <w:lang w:val="es-ES"/>
        </w:rPr>
        <w:t>. Sentencia de 15 de junio de 2005. Serie C No. 124</w:t>
      </w:r>
      <w:r w:rsidRPr="006C459C">
        <w:rPr>
          <w:rFonts w:ascii="Cambria" w:hAnsi="Cambria" w:cs="Arial"/>
          <w:color w:val="auto"/>
          <w:sz w:val="16"/>
          <w:szCs w:val="16"/>
          <w:lang w:val="es-ES"/>
        </w:rPr>
        <w:t>, párr. 160.</w:t>
      </w:r>
    </w:p>
  </w:footnote>
  <w:footnote w:id="97">
    <w:p w:rsidR="006A3859" w:rsidRPr="006C459C" w:rsidRDefault="006A3859" w:rsidP="00D060AD">
      <w:pPr>
        <w:pStyle w:val="FootnoteText"/>
        <w:jc w:val="both"/>
        <w:rPr>
          <w:rFonts w:ascii="Cambria" w:hAnsi="Cambria"/>
          <w:color w:val="auto"/>
          <w:sz w:val="16"/>
          <w:szCs w:val="16"/>
          <w:lang w:val="es-ES_tradnl"/>
        </w:rPr>
      </w:pPr>
      <w:r w:rsidRPr="006C459C">
        <w:rPr>
          <w:rStyle w:val="FootnoteReference"/>
          <w:rFonts w:ascii="Cambria" w:hAnsi="Cambria"/>
          <w:color w:val="auto"/>
          <w:sz w:val="16"/>
          <w:szCs w:val="16"/>
        </w:rPr>
        <w:footnoteRef/>
      </w:r>
      <w:r w:rsidRPr="006C459C">
        <w:rPr>
          <w:rFonts w:ascii="Cambria" w:hAnsi="Cambria"/>
          <w:color w:val="auto"/>
          <w:sz w:val="16"/>
          <w:szCs w:val="16"/>
          <w:lang w:val="es-ES_tradnl"/>
        </w:rPr>
        <w:t xml:space="preserve">Corte I.D.H., </w:t>
      </w:r>
      <w:r w:rsidRPr="006C459C">
        <w:rPr>
          <w:rFonts w:ascii="Cambria" w:hAnsi="Cambria"/>
          <w:i/>
          <w:color w:val="auto"/>
          <w:sz w:val="16"/>
          <w:szCs w:val="16"/>
          <w:lang w:val="es-ES_tradnl"/>
        </w:rPr>
        <w:t xml:space="preserve">Caso Ricardo </w:t>
      </w:r>
      <w:proofErr w:type="spellStart"/>
      <w:r w:rsidRPr="006C459C">
        <w:rPr>
          <w:rFonts w:ascii="Cambria" w:hAnsi="Cambria"/>
          <w:i/>
          <w:color w:val="auto"/>
          <w:sz w:val="16"/>
          <w:szCs w:val="16"/>
          <w:lang w:val="es-ES_tradnl"/>
        </w:rPr>
        <w:t>Canese</w:t>
      </w:r>
      <w:proofErr w:type="spellEnd"/>
      <w:r w:rsidRPr="006C459C">
        <w:rPr>
          <w:rFonts w:ascii="Cambria" w:hAnsi="Cambria"/>
          <w:i/>
          <w:color w:val="auto"/>
          <w:sz w:val="16"/>
          <w:szCs w:val="16"/>
          <w:lang w:val="es-ES_tradnl"/>
        </w:rPr>
        <w:t xml:space="preserve"> Vs. </w:t>
      </w:r>
      <w:r w:rsidRPr="006C459C">
        <w:rPr>
          <w:rFonts w:ascii="Cambria" w:hAnsi="Cambria"/>
          <w:i/>
          <w:color w:val="auto"/>
          <w:sz w:val="16"/>
          <w:szCs w:val="16"/>
          <w:lang w:val="es-ES"/>
        </w:rPr>
        <w:t>Paraguay</w:t>
      </w:r>
      <w:r w:rsidRPr="006C459C">
        <w:rPr>
          <w:rFonts w:ascii="Cambria" w:hAnsi="Cambria"/>
          <w:color w:val="auto"/>
          <w:sz w:val="16"/>
          <w:szCs w:val="16"/>
          <w:lang w:val="es-ES"/>
        </w:rPr>
        <w:t>. Sentencia de 31 de agosto de 2004. Serie C No. 111</w:t>
      </w:r>
      <w:r w:rsidRPr="006C459C">
        <w:rPr>
          <w:rFonts w:ascii="Cambria" w:hAnsi="Cambria" w:cs="Arial"/>
          <w:color w:val="auto"/>
          <w:sz w:val="16"/>
          <w:szCs w:val="16"/>
          <w:lang w:val="es-ES"/>
        </w:rPr>
        <w:t>, párr. 142.</w:t>
      </w:r>
    </w:p>
  </w:footnote>
  <w:footnote w:id="98">
    <w:p w:rsidR="006A3859" w:rsidRPr="006C459C" w:rsidRDefault="006A3859" w:rsidP="00D060AD">
      <w:pPr>
        <w:pStyle w:val="FootnoteText"/>
        <w:jc w:val="both"/>
        <w:rPr>
          <w:rFonts w:ascii="Cambria" w:hAnsi="Cambria"/>
          <w:color w:val="auto"/>
          <w:sz w:val="16"/>
          <w:szCs w:val="16"/>
          <w:lang w:val="es-ES"/>
        </w:rPr>
      </w:pPr>
      <w:r w:rsidRPr="006C459C">
        <w:rPr>
          <w:rStyle w:val="FootnoteReference"/>
          <w:rFonts w:ascii="Cambria" w:hAnsi="Cambria"/>
          <w:color w:val="auto"/>
          <w:sz w:val="16"/>
          <w:szCs w:val="16"/>
        </w:rPr>
        <w:footnoteRef/>
      </w:r>
      <w:r w:rsidRPr="006C459C">
        <w:rPr>
          <w:rFonts w:ascii="Cambria" w:hAnsi="Cambria" w:cs="Arial"/>
          <w:color w:val="auto"/>
          <w:sz w:val="16"/>
          <w:szCs w:val="16"/>
          <w:lang w:val="es-ES"/>
        </w:rPr>
        <w:t xml:space="preserve"> </w:t>
      </w:r>
      <w:r w:rsidRPr="006C459C">
        <w:rPr>
          <w:rFonts w:ascii="Cambria" w:hAnsi="Cambria"/>
          <w:color w:val="auto"/>
          <w:sz w:val="16"/>
          <w:szCs w:val="16"/>
          <w:lang w:val="es-ES_tradnl"/>
        </w:rPr>
        <w:t xml:space="preserve">Corte I.D.H., </w:t>
      </w:r>
      <w:r w:rsidRPr="006C459C">
        <w:rPr>
          <w:rFonts w:ascii="Cambria" w:hAnsi="Cambria"/>
          <w:i/>
          <w:color w:val="auto"/>
          <w:sz w:val="16"/>
          <w:szCs w:val="16"/>
          <w:lang w:val="es-ES_tradnl"/>
        </w:rPr>
        <w:t>Caso</w:t>
      </w:r>
      <w:r w:rsidRPr="006C459C">
        <w:rPr>
          <w:rFonts w:ascii="Cambria" w:hAnsi="Cambria"/>
          <w:color w:val="auto"/>
          <w:sz w:val="16"/>
          <w:szCs w:val="16"/>
          <w:lang w:val="es-ES_tradnl"/>
        </w:rPr>
        <w:t xml:space="preserve"> </w:t>
      </w:r>
      <w:r w:rsidRPr="006C459C">
        <w:rPr>
          <w:rFonts w:ascii="Cambria" w:hAnsi="Cambria"/>
          <w:i/>
          <w:color w:val="auto"/>
          <w:sz w:val="16"/>
          <w:szCs w:val="16"/>
          <w:lang w:val="es-ES_tradnl"/>
        </w:rPr>
        <w:t>López Álvarez Vs. Honduras</w:t>
      </w:r>
      <w:r w:rsidRPr="006C459C">
        <w:rPr>
          <w:rFonts w:ascii="Cambria" w:hAnsi="Cambria"/>
          <w:color w:val="auto"/>
          <w:sz w:val="16"/>
          <w:szCs w:val="16"/>
          <w:lang w:val="es-ES_tradnl"/>
        </w:rPr>
        <w:t>. Sentencia de 1 de febrero de 2006. Serie C No. 141</w:t>
      </w:r>
      <w:r w:rsidRPr="006C459C">
        <w:rPr>
          <w:rFonts w:ascii="Cambria" w:hAnsi="Cambria" w:cs="Arial"/>
          <w:color w:val="auto"/>
          <w:sz w:val="16"/>
          <w:szCs w:val="16"/>
          <w:lang w:val="es-ES"/>
        </w:rPr>
        <w:t xml:space="preserve">, párr. 129; </w:t>
      </w:r>
      <w:r w:rsidRPr="006C459C">
        <w:rPr>
          <w:rFonts w:ascii="Cambria" w:hAnsi="Cambria"/>
          <w:i/>
          <w:color w:val="auto"/>
          <w:sz w:val="16"/>
          <w:szCs w:val="16"/>
          <w:lang w:val="es-ES_tradnl"/>
        </w:rPr>
        <w:t>Caso Acosta Calderón Vs. Ecuador</w:t>
      </w:r>
      <w:r w:rsidRPr="006C459C">
        <w:rPr>
          <w:rFonts w:ascii="Cambria" w:hAnsi="Cambria"/>
          <w:color w:val="auto"/>
          <w:sz w:val="16"/>
          <w:szCs w:val="16"/>
          <w:lang w:val="es-ES_tradnl"/>
        </w:rPr>
        <w:t>. Sentencia de 24 de junio de 2005. Serie C No. 129</w:t>
      </w:r>
      <w:r w:rsidRPr="006C459C">
        <w:rPr>
          <w:rFonts w:ascii="Cambria" w:hAnsi="Cambria" w:cs="Arial"/>
          <w:color w:val="auto"/>
          <w:sz w:val="16"/>
          <w:szCs w:val="16"/>
          <w:lang w:val="es-ES"/>
        </w:rPr>
        <w:t>, párr. 104; y</w:t>
      </w:r>
      <w:r w:rsidRPr="006C459C">
        <w:rPr>
          <w:rFonts w:ascii="Cambria" w:hAnsi="Cambria"/>
          <w:color w:val="auto"/>
          <w:sz w:val="16"/>
          <w:szCs w:val="16"/>
          <w:lang w:val="es-ES_tradnl"/>
        </w:rPr>
        <w:t xml:space="preserve"> </w:t>
      </w:r>
      <w:r w:rsidRPr="006C459C">
        <w:rPr>
          <w:rFonts w:ascii="Cambria" w:hAnsi="Cambria"/>
          <w:i/>
          <w:color w:val="auto"/>
          <w:sz w:val="16"/>
          <w:szCs w:val="16"/>
          <w:lang w:val="es-ES_tradnl"/>
        </w:rPr>
        <w:t>Caso Tibi Vs. Ecuador</w:t>
      </w:r>
      <w:r w:rsidRPr="006C459C">
        <w:rPr>
          <w:rFonts w:ascii="Cambria" w:hAnsi="Cambria"/>
          <w:color w:val="auto"/>
          <w:sz w:val="16"/>
          <w:szCs w:val="16"/>
          <w:lang w:val="es-ES_tradnl"/>
        </w:rPr>
        <w:t>. Sentencia de 7 de septiembre de 2004. Serie C No. 114</w:t>
      </w:r>
      <w:r w:rsidRPr="006C459C">
        <w:rPr>
          <w:rFonts w:ascii="Cambria" w:hAnsi="Cambria" w:cs="Arial"/>
          <w:color w:val="auto"/>
          <w:sz w:val="16"/>
          <w:szCs w:val="16"/>
          <w:lang w:val="es-ES"/>
        </w:rPr>
        <w:t xml:space="preserve">, párr. 168. Asimismo, véase: CIDH, Informe No. 77/02, Caso 11.506, Fondo, </w:t>
      </w:r>
      <w:proofErr w:type="spellStart"/>
      <w:r w:rsidRPr="006C459C">
        <w:rPr>
          <w:rFonts w:ascii="Cambria" w:hAnsi="Cambria" w:cs="Arial"/>
          <w:color w:val="auto"/>
          <w:sz w:val="16"/>
          <w:szCs w:val="16"/>
          <w:lang w:val="es-ES"/>
        </w:rPr>
        <w:t>Waldemar</w:t>
      </w:r>
      <w:proofErr w:type="spellEnd"/>
      <w:r w:rsidRPr="006C459C">
        <w:rPr>
          <w:rFonts w:ascii="Cambria" w:hAnsi="Cambria" w:cs="Arial"/>
          <w:color w:val="auto"/>
          <w:sz w:val="16"/>
          <w:szCs w:val="16"/>
          <w:lang w:val="es-ES"/>
        </w:rPr>
        <w:t xml:space="preserve"> Gerónimo </w:t>
      </w:r>
      <w:proofErr w:type="spellStart"/>
      <w:r w:rsidRPr="006C459C">
        <w:rPr>
          <w:rFonts w:ascii="Cambria" w:hAnsi="Cambria" w:cs="Arial"/>
          <w:color w:val="auto"/>
          <w:sz w:val="16"/>
          <w:szCs w:val="16"/>
          <w:lang w:val="es-ES"/>
        </w:rPr>
        <w:t>Pinheiro</w:t>
      </w:r>
      <w:proofErr w:type="spellEnd"/>
      <w:r w:rsidRPr="006C459C">
        <w:rPr>
          <w:rFonts w:ascii="Cambria" w:hAnsi="Cambria" w:cs="Arial"/>
          <w:color w:val="auto"/>
          <w:sz w:val="16"/>
          <w:szCs w:val="16"/>
          <w:lang w:val="es-ES"/>
        </w:rPr>
        <w:t xml:space="preserve"> y José Víctor dos Santos, Paraguay, 27 de diciembre de 2002, párr. 76.</w:t>
      </w:r>
    </w:p>
  </w:footnote>
  <w:footnote w:id="99">
    <w:p w:rsidR="006A3859" w:rsidRPr="006C459C" w:rsidRDefault="006A3859" w:rsidP="00D060AD">
      <w:pPr>
        <w:pStyle w:val="FootnoteText"/>
        <w:jc w:val="both"/>
        <w:rPr>
          <w:rFonts w:ascii="Cambria" w:hAnsi="Cambria"/>
          <w:color w:val="auto"/>
          <w:sz w:val="16"/>
          <w:szCs w:val="16"/>
          <w:lang w:val="es-ES_tradnl"/>
        </w:rPr>
      </w:pPr>
      <w:r w:rsidRPr="006C459C">
        <w:rPr>
          <w:rStyle w:val="FootnoteReference"/>
          <w:rFonts w:ascii="Cambria" w:hAnsi="Cambria"/>
          <w:color w:val="auto"/>
          <w:sz w:val="16"/>
          <w:szCs w:val="16"/>
        </w:rPr>
        <w:footnoteRef/>
      </w:r>
      <w:r w:rsidRPr="006C459C">
        <w:rPr>
          <w:rFonts w:ascii="Cambria" w:hAnsi="Cambria" w:cs="Arial"/>
          <w:color w:val="auto"/>
          <w:sz w:val="16"/>
          <w:szCs w:val="16"/>
          <w:lang w:val="es-ES"/>
        </w:rPr>
        <w:t xml:space="preserve"> CIDH, Informe No. 111/10, Caso 12.539, Fondo, Sebastián Claus </w:t>
      </w:r>
      <w:proofErr w:type="spellStart"/>
      <w:r w:rsidRPr="006C459C">
        <w:rPr>
          <w:rFonts w:ascii="Cambria" w:hAnsi="Cambria" w:cs="Arial"/>
          <w:color w:val="auto"/>
          <w:sz w:val="16"/>
          <w:szCs w:val="16"/>
          <w:lang w:val="es-ES"/>
        </w:rPr>
        <w:t>Furlan</w:t>
      </w:r>
      <w:proofErr w:type="spellEnd"/>
      <w:r w:rsidRPr="006C459C">
        <w:rPr>
          <w:rFonts w:ascii="Cambria" w:hAnsi="Cambria" w:cs="Arial"/>
          <w:color w:val="auto"/>
          <w:sz w:val="16"/>
          <w:szCs w:val="16"/>
          <w:lang w:val="es-ES"/>
        </w:rPr>
        <w:t xml:space="preserve"> y familia, Argentina, 21 de octubre de 2010, párr. </w:t>
      </w:r>
      <w:r w:rsidRPr="006C459C">
        <w:rPr>
          <w:rFonts w:ascii="Cambria" w:hAnsi="Cambria" w:cs="Arial"/>
          <w:color w:val="auto"/>
          <w:sz w:val="16"/>
          <w:szCs w:val="16"/>
          <w:lang w:val="pt-BR"/>
        </w:rPr>
        <w:t xml:space="preserve">100. Corte I.D.H., </w:t>
      </w:r>
      <w:r w:rsidRPr="006C459C">
        <w:rPr>
          <w:rFonts w:ascii="Cambria" w:hAnsi="Cambria" w:cs="Arial"/>
          <w:i/>
          <w:color w:val="auto"/>
          <w:sz w:val="16"/>
          <w:szCs w:val="16"/>
          <w:shd w:val="clear" w:color="auto" w:fill="FFFFFF"/>
          <w:lang w:val="pt-BR"/>
        </w:rPr>
        <w:t xml:space="preserve">Caso Masacre de Santo Domingo Vs. </w:t>
      </w:r>
      <w:r w:rsidRPr="006C459C">
        <w:rPr>
          <w:rFonts w:ascii="Cambria" w:hAnsi="Cambria" w:cs="Arial"/>
          <w:i/>
          <w:color w:val="auto"/>
          <w:sz w:val="16"/>
          <w:szCs w:val="16"/>
          <w:shd w:val="clear" w:color="auto" w:fill="FFFFFF"/>
          <w:lang w:val="es-ES_tradnl"/>
        </w:rPr>
        <w:t>Colombia</w:t>
      </w:r>
      <w:r w:rsidRPr="006C459C">
        <w:rPr>
          <w:rFonts w:ascii="Cambria" w:hAnsi="Cambria" w:cs="Arial"/>
          <w:color w:val="auto"/>
          <w:sz w:val="16"/>
          <w:szCs w:val="16"/>
          <w:shd w:val="clear" w:color="auto" w:fill="FFFFFF"/>
          <w:lang w:val="es-ES_tradnl"/>
        </w:rPr>
        <w:t>. Excepciones Preliminares, Fondo y Reparaciones. Sentencia de 30 de noviembre de 2012. Serie C No. 259,</w:t>
      </w:r>
      <w:r w:rsidRPr="006C459C">
        <w:rPr>
          <w:rFonts w:ascii="Cambria" w:hAnsi="Cambria" w:cs="Arial"/>
          <w:color w:val="auto"/>
          <w:sz w:val="16"/>
          <w:szCs w:val="16"/>
          <w:lang w:val="es-ES_tradnl"/>
        </w:rPr>
        <w:t xml:space="preserve"> párr. </w:t>
      </w:r>
      <w:r w:rsidRPr="006C459C">
        <w:rPr>
          <w:rFonts w:ascii="Cambria" w:hAnsi="Cambria" w:cs="Arial"/>
          <w:color w:val="auto"/>
          <w:sz w:val="16"/>
          <w:szCs w:val="16"/>
          <w:lang w:val="es-ES"/>
        </w:rPr>
        <w:t>164.</w:t>
      </w:r>
    </w:p>
  </w:footnote>
  <w:footnote w:id="100">
    <w:p w:rsidR="006A3859" w:rsidRPr="006C459C" w:rsidRDefault="006A3859" w:rsidP="00D060AD">
      <w:pPr>
        <w:pStyle w:val="FootnoteText"/>
        <w:jc w:val="both"/>
        <w:rPr>
          <w:rFonts w:ascii="Cambria" w:hAnsi="Cambria"/>
          <w:color w:val="auto"/>
          <w:sz w:val="16"/>
          <w:szCs w:val="16"/>
          <w:lang w:val="es-ES_tradnl"/>
        </w:rPr>
      </w:pPr>
      <w:r w:rsidRPr="006C459C">
        <w:rPr>
          <w:rStyle w:val="FootnoteReference"/>
          <w:rFonts w:ascii="Cambria" w:hAnsi="Cambria"/>
          <w:color w:val="auto"/>
          <w:sz w:val="16"/>
          <w:szCs w:val="16"/>
        </w:rPr>
        <w:footnoteRef/>
      </w:r>
      <w:r w:rsidRPr="006C459C">
        <w:rPr>
          <w:rFonts w:ascii="Cambria" w:hAnsi="Cambria"/>
          <w:color w:val="auto"/>
          <w:sz w:val="16"/>
          <w:szCs w:val="16"/>
          <w:lang w:val="es-CO"/>
        </w:rPr>
        <w:t xml:space="preserve"> Corte I.D.H., </w:t>
      </w:r>
      <w:r w:rsidRPr="006C459C">
        <w:rPr>
          <w:rFonts w:ascii="Cambria" w:hAnsi="Cambria"/>
          <w:i/>
          <w:color w:val="auto"/>
          <w:sz w:val="16"/>
          <w:szCs w:val="16"/>
          <w:lang w:val="es-CO"/>
        </w:rPr>
        <w:t xml:space="preserve">Caso Familia Barrios Vs. </w:t>
      </w:r>
      <w:r w:rsidRPr="006C459C">
        <w:rPr>
          <w:rFonts w:ascii="Cambria" w:hAnsi="Cambria"/>
          <w:i/>
          <w:color w:val="auto"/>
          <w:sz w:val="16"/>
          <w:szCs w:val="16"/>
          <w:lang w:val="es-ES_tradnl"/>
        </w:rPr>
        <w:t>Venezuela</w:t>
      </w:r>
      <w:r w:rsidRPr="006C459C">
        <w:rPr>
          <w:rFonts w:ascii="Cambria" w:hAnsi="Cambria"/>
          <w:color w:val="auto"/>
          <w:sz w:val="16"/>
          <w:szCs w:val="16"/>
          <w:lang w:val="es-ES_tradnl"/>
        </w:rPr>
        <w:t xml:space="preserve">. </w:t>
      </w:r>
      <w:r w:rsidRPr="006C459C">
        <w:rPr>
          <w:rFonts w:ascii="Cambria" w:hAnsi="Cambria" w:cs="Arial"/>
          <w:color w:val="auto"/>
          <w:sz w:val="16"/>
          <w:szCs w:val="16"/>
          <w:shd w:val="clear" w:color="auto" w:fill="FFFFFF"/>
          <w:lang w:val="es-ES_tradnl"/>
        </w:rPr>
        <w:t>Fondo, Reparaciones y Costas</w:t>
      </w:r>
      <w:r w:rsidRPr="006C459C">
        <w:rPr>
          <w:rFonts w:ascii="Cambria" w:hAnsi="Cambria"/>
          <w:color w:val="auto"/>
          <w:sz w:val="16"/>
          <w:szCs w:val="16"/>
          <w:lang w:val="es-ES_tradnl"/>
        </w:rPr>
        <w:t>. Sentencia de 24 de noviembre de 2011. Serie C No. 237, párr. 275.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3859" w:rsidRDefault="006A3859" w:rsidP="007B3C6B">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6A3859" w:rsidRDefault="006A385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3859" w:rsidRDefault="00935AD7" w:rsidP="00A50FCF">
    <w:pPr>
      <w:pStyle w:val="Header"/>
      <w:tabs>
        <w:tab w:val="clear" w:pos="4320"/>
        <w:tab w:val="clear" w:pos="8640"/>
      </w:tabs>
      <w:jc w:val="center"/>
      <w:rPr>
        <w:sz w:val="22"/>
        <w:szCs w:val="22"/>
      </w:rPr>
    </w:pPr>
    <w:r>
      <w:rPr>
        <w:noProof/>
        <w:sz w:val="22"/>
        <w:szCs w:val="22"/>
      </w:rPr>
      <w:drawing>
        <wp:inline distT="0" distB="0" distL="0" distR="0">
          <wp:extent cx="1981200" cy="95250"/>
          <wp:effectExtent l="0" t="0" r="0" b="0"/>
          <wp:docPr id="4" name="Picture 3" descr="cidh-pe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h-peq"/>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95250"/>
                  </a:xfrm>
                  <a:prstGeom prst="rect">
                    <a:avLst/>
                  </a:prstGeom>
                  <a:noFill/>
                  <a:ln>
                    <a:noFill/>
                  </a:ln>
                </pic:spPr>
              </pic:pic>
            </a:graphicData>
          </a:graphic>
        </wp:inline>
      </w:drawing>
    </w:r>
  </w:p>
  <w:p w:rsidR="006A3859" w:rsidRPr="00EC7D62" w:rsidRDefault="00AA1C07" w:rsidP="00A50FCF">
    <w:pPr>
      <w:pStyle w:val="Header"/>
      <w:tabs>
        <w:tab w:val="clear" w:pos="4320"/>
        <w:tab w:val="clear" w:pos="8640"/>
      </w:tabs>
      <w:jc w:val="center"/>
      <w:rPr>
        <w:sz w:val="22"/>
        <w:szCs w:val="22"/>
      </w:rPr>
    </w:pPr>
    <w:r>
      <w:rPr>
        <w:sz w:val="22"/>
        <w:szCs w:val="22"/>
      </w:rPr>
      <w:pict>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2FE2" w:rsidRDefault="00FC2FE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E3C18"/>
    <w:multiLevelType w:val="multilevel"/>
    <w:tmpl w:val="55ECD3F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2"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62D23FE"/>
    <w:multiLevelType w:val="hybridMultilevel"/>
    <w:tmpl w:val="1C3CA652"/>
    <w:lvl w:ilvl="0" w:tplc="0B7877B6">
      <w:start w:val="9"/>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7795779"/>
    <w:multiLevelType w:val="singleLevel"/>
    <w:tmpl w:val="15BAE0F8"/>
    <w:lvl w:ilvl="0">
      <w:start w:val="1"/>
      <w:numFmt w:val="decimal"/>
      <w:lvlText w:val="%1."/>
      <w:lvlJc w:val="left"/>
      <w:pPr>
        <w:tabs>
          <w:tab w:val="num" w:pos="720"/>
        </w:tabs>
        <w:ind w:left="0" w:firstLine="720"/>
      </w:pPr>
      <w:rPr>
        <w:rFonts w:hint="default"/>
        <w:b w:val="0"/>
        <w:i w:val="0"/>
        <w:sz w:val="20"/>
        <w:szCs w:val="20"/>
        <w:lang w:val="es-ES"/>
      </w:rPr>
    </w:lvl>
  </w:abstractNum>
  <w:abstractNum w:abstractNumId="26"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8E1620F"/>
    <w:multiLevelType w:val="hybridMultilevel"/>
    <w:tmpl w:val="3FE46490"/>
    <w:lvl w:ilvl="0" w:tplc="2C762AFC">
      <w:start w:val="2"/>
      <w:numFmt w:val="decimal"/>
      <w:lvlText w:val="%1."/>
      <w:lvlJc w:val="left"/>
      <w:pPr>
        <w:tabs>
          <w:tab w:val="num" w:pos="1800"/>
        </w:tabs>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720" w:hanging="360"/>
      </w:pPr>
    </w:lvl>
    <w:lvl w:ilvl="4" w:tplc="04090019" w:tentative="1">
      <w:start w:val="1"/>
      <w:numFmt w:val="lowerLetter"/>
      <w:lvlText w:val="%5."/>
      <w:lvlJc w:val="left"/>
      <w:pPr>
        <w:ind w:left="0" w:hanging="360"/>
      </w:pPr>
    </w:lvl>
    <w:lvl w:ilvl="5" w:tplc="0409001B" w:tentative="1">
      <w:start w:val="1"/>
      <w:numFmt w:val="lowerRoman"/>
      <w:lvlText w:val="%6."/>
      <w:lvlJc w:val="right"/>
      <w:pPr>
        <w:ind w:left="720" w:hanging="180"/>
      </w:pPr>
    </w:lvl>
    <w:lvl w:ilvl="6" w:tplc="0409000F" w:tentative="1">
      <w:start w:val="1"/>
      <w:numFmt w:val="decimal"/>
      <w:lvlText w:val="%7."/>
      <w:lvlJc w:val="left"/>
      <w:pPr>
        <w:ind w:left="1440" w:hanging="360"/>
      </w:pPr>
    </w:lvl>
    <w:lvl w:ilvl="7" w:tplc="04090019" w:tentative="1">
      <w:start w:val="1"/>
      <w:numFmt w:val="lowerLetter"/>
      <w:lvlText w:val="%8."/>
      <w:lvlJc w:val="left"/>
      <w:pPr>
        <w:ind w:left="2160" w:hanging="360"/>
      </w:pPr>
    </w:lvl>
    <w:lvl w:ilvl="8" w:tplc="0409001B" w:tentative="1">
      <w:start w:val="1"/>
      <w:numFmt w:val="lowerRoman"/>
      <w:lvlText w:val="%9."/>
      <w:lvlJc w:val="right"/>
      <w:pPr>
        <w:ind w:left="2880" w:hanging="180"/>
      </w:pPr>
    </w:lvl>
  </w:abstractNum>
  <w:abstractNum w:abstractNumId="28"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15:restartNumberingAfterBreak="0">
    <w:nsid w:val="3BBA7DE2"/>
    <w:multiLevelType w:val="hybridMultilevel"/>
    <w:tmpl w:val="650C0E9E"/>
    <w:lvl w:ilvl="0" w:tplc="02AE0C5E">
      <w:start w:val="1"/>
      <w:numFmt w:val="decimal"/>
      <w:lvlText w:val="%1."/>
      <w:lvlJc w:val="left"/>
      <w:pPr>
        <w:tabs>
          <w:tab w:val="num" w:pos="1980"/>
        </w:tabs>
        <w:ind w:left="1980" w:hanging="360"/>
      </w:pPr>
      <w:rPr>
        <w:rFonts w:ascii="Cambria" w:hAnsi="Cambria" w:hint="default"/>
        <w:b w:val="0"/>
        <w:sz w:val="2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1"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F13EE8"/>
    <w:multiLevelType w:val="hybridMultilevel"/>
    <w:tmpl w:val="8DC2AEEE"/>
    <w:lvl w:ilvl="0" w:tplc="85AA4A90">
      <w:start w:val="1"/>
      <w:numFmt w:val="upperLetter"/>
      <w:pStyle w:val="Heading2"/>
      <w:lvlText w:val="%1."/>
      <w:lvlJc w:val="left"/>
      <w:pPr>
        <w:tabs>
          <w:tab w:val="num" w:pos="1440"/>
        </w:tabs>
        <w:ind w:left="1440" w:hanging="720"/>
      </w:pPr>
      <w:rPr>
        <w:i w:val="0"/>
        <w:lang w:val="en-US"/>
      </w:rPr>
    </w:lvl>
    <w:lvl w:ilvl="1" w:tplc="D92C12E8">
      <w:start w:val="1"/>
      <w:numFmt w:val="decimal"/>
      <w:lvlText w:val="%2."/>
      <w:lvlJc w:val="left"/>
      <w:pPr>
        <w:tabs>
          <w:tab w:val="num" w:pos="1860"/>
        </w:tabs>
        <w:ind w:left="1860" w:hanging="420"/>
      </w:pPr>
    </w:lvl>
    <w:lvl w:ilvl="2" w:tplc="99CCD1F2">
      <w:start w:val="2"/>
      <w:numFmt w:val="lowerLetter"/>
      <w:lvlText w:val="%3."/>
      <w:lvlJc w:val="left"/>
      <w:pPr>
        <w:tabs>
          <w:tab w:val="num" w:pos="3060"/>
        </w:tabs>
        <w:ind w:left="3060" w:hanging="72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B9D14FF"/>
    <w:multiLevelType w:val="hybridMultilevel"/>
    <w:tmpl w:val="CCB4D422"/>
    <w:lvl w:ilvl="0" w:tplc="FA6EF6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7"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64CA6AF3"/>
    <w:multiLevelType w:val="hybridMultilevel"/>
    <w:tmpl w:val="8B94511A"/>
    <w:lvl w:ilvl="0" w:tplc="75C21848">
      <w:start w:val="2"/>
      <w:numFmt w:val="upperLetter"/>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1"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2"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0786ED7"/>
    <w:multiLevelType w:val="hybridMultilevel"/>
    <w:tmpl w:val="3E6E522E"/>
    <w:lvl w:ilvl="0" w:tplc="4866CD24">
      <w:start w:val="1"/>
      <w:numFmt w:val="upperRoman"/>
      <w:pStyle w:val="Heading1"/>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7"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BEC71AE"/>
    <w:multiLevelType w:val="hybridMultilevel"/>
    <w:tmpl w:val="04161E62"/>
    <w:lvl w:ilvl="0" w:tplc="30E8B4CE">
      <w:start w:val="2"/>
      <w:numFmt w:val="decimal"/>
      <w:lvlText w:val="%1."/>
      <w:lvlJc w:val="left"/>
      <w:pPr>
        <w:tabs>
          <w:tab w:val="num" w:pos="5400"/>
        </w:tabs>
        <w:ind w:left="54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E333825"/>
    <w:multiLevelType w:val="hybridMultilevel"/>
    <w:tmpl w:val="751E6BDC"/>
    <w:lvl w:ilvl="0" w:tplc="697A03EA">
      <w:start w:val="1"/>
      <w:numFmt w:val="decimal"/>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62"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ECC36F6"/>
    <w:multiLevelType w:val="hybridMultilevel"/>
    <w:tmpl w:val="EE6427A4"/>
    <w:lvl w:ilvl="0" w:tplc="26C24E96">
      <w:start w:val="1"/>
      <w:numFmt w:val="decimal"/>
      <w:lvlText w:val="%1."/>
      <w:lvlJc w:val="left"/>
      <w:pPr>
        <w:tabs>
          <w:tab w:val="num" w:pos="2160"/>
        </w:tabs>
        <w:ind w:left="2160" w:hanging="1440"/>
      </w:pPr>
      <w:rPr>
        <w:rFonts w:ascii="Cambria" w:hAnsi="Cambria" w:hint="default"/>
        <w:b w:val="0"/>
        <w:i w:val="0"/>
        <w:color w:val="auto"/>
        <w:sz w:val="20"/>
        <w:szCs w:val="20"/>
      </w:rPr>
    </w:lvl>
    <w:lvl w:ilvl="1" w:tplc="8818AAE4">
      <w:start w:val="4"/>
      <w:numFmt w:val="upperRoman"/>
      <w:lvlText w:val="%2."/>
      <w:lvlJc w:val="left"/>
      <w:pPr>
        <w:tabs>
          <w:tab w:val="num" w:pos="2160"/>
        </w:tabs>
        <w:ind w:left="2160" w:hanging="720"/>
      </w:pPr>
      <w:rPr>
        <w:b/>
      </w:rPr>
    </w:lvl>
    <w:lvl w:ilvl="2" w:tplc="ECA8A366">
      <w:start w:val="1"/>
      <w:numFmt w:val="upperLetter"/>
      <w:lvlText w:val="%3."/>
      <w:lvlJc w:val="left"/>
      <w:pPr>
        <w:tabs>
          <w:tab w:val="num" w:pos="3060"/>
        </w:tabs>
        <w:ind w:left="3060" w:hanging="720"/>
      </w:pPr>
      <w:rPr>
        <w:b/>
      </w:rPr>
    </w:lvl>
    <w:lvl w:ilvl="3" w:tplc="CFE897F8">
      <w:start w:val="1"/>
      <w:numFmt w:val="lowerLetter"/>
      <w:lvlText w:val="%4."/>
      <w:lvlJc w:val="left"/>
      <w:pPr>
        <w:tabs>
          <w:tab w:val="num" w:pos="3240"/>
        </w:tabs>
        <w:ind w:left="3240" w:hanging="360"/>
      </w:pPr>
    </w:lvl>
    <w:lvl w:ilvl="4" w:tplc="1D229B08">
      <w:start w:val="9"/>
      <w:numFmt w:val="bullet"/>
      <w:lvlText w:val="-"/>
      <w:lvlJc w:val="left"/>
      <w:pPr>
        <w:tabs>
          <w:tab w:val="num" w:pos="3960"/>
        </w:tabs>
        <w:ind w:left="3960" w:hanging="360"/>
      </w:pPr>
      <w:rPr>
        <w:rFonts w:ascii="Univers" w:eastAsia="Times New Roman" w:hAnsi="Univers" w:hint="default"/>
      </w:r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64"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5"/>
  </w:num>
  <w:num w:numId="2">
    <w:abstractNumId w:val="6"/>
  </w:num>
  <w:num w:numId="3">
    <w:abstractNumId w:val="56"/>
  </w:num>
  <w:num w:numId="4">
    <w:abstractNumId w:val="21"/>
  </w:num>
  <w:num w:numId="5">
    <w:abstractNumId w:val="50"/>
  </w:num>
  <w:num w:numId="6">
    <w:abstractNumId w:val="28"/>
  </w:num>
  <w:num w:numId="7">
    <w:abstractNumId w:val="7"/>
  </w:num>
  <w:num w:numId="8">
    <w:abstractNumId w:val="17"/>
  </w:num>
  <w:num w:numId="9">
    <w:abstractNumId w:val="45"/>
  </w:num>
  <w:num w:numId="10">
    <w:abstractNumId w:val="1"/>
  </w:num>
  <w:num w:numId="11">
    <w:abstractNumId w:val="40"/>
  </w:num>
  <w:num w:numId="12">
    <w:abstractNumId w:val="41"/>
  </w:num>
  <w:num w:numId="13">
    <w:abstractNumId w:val="46"/>
  </w:num>
  <w:num w:numId="14">
    <w:abstractNumId w:val="2"/>
  </w:num>
  <w:num w:numId="15">
    <w:abstractNumId w:val="4"/>
  </w:num>
  <w:num w:numId="16">
    <w:abstractNumId w:val="8"/>
  </w:num>
  <w:num w:numId="17">
    <w:abstractNumId w:val="9"/>
  </w:num>
  <w:num w:numId="18">
    <w:abstractNumId w:val="10"/>
  </w:num>
  <w:num w:numId="19">
    <w:abstractNumId w:val="11"/>
  </w:num>
  <w:num w:numId="20">
    <w:abstractNumId w:val="12"/>
  </w:num>
  <w:num w:numId="21">
    <w:abstractNumId w:val="13"/>
  </w:num>
  <w:num w:numId="22">
    <w:abstractNumId w:val="14"/>
  </w:num>
  <w:num w:numId="23">
    <w:abstractNumId w:val="15"/>
  </w:num>
  <w:num w:numId="24">
    <w:abstractNumId w:val="16"/>
  </w:num>
  <w:num w:numId="25">
    <w:abstractNumId w:val="18"/>
  </w:num>
  <w:num w:numId="26">
    <w:abstractNumId w:val="19"/>
  </w:num>
  <w:num w:numId="27">
    <w:abstractNumId w:val="22"/>
  </w:num>
  <w:num w:numId="28">
    <w:abstractNumId w:val="23"/>
  </w:num>
  <w:num w:numId="29">
    <w:abstractNumId w:val="24"/>
  </w:num>
  <w:num w:numId="30">
    <w:abstractNumId w:val="26"/>
  </w:num>
  <w:num w:numId="31">
    <w:abstractNumId w:val="29"/>
  </w:num>
  <w:num w:numId="32">
    <w:abstractNumId w:val="31"/>
  </w:num>
  <w:num w:numId="33">
    <w:abstractNumId w:val="32"/>
  </w:num>
  <w:num w:numId="34">
    <w:abstractNumId w:val="33"/>
  </w:num>
  <w:num w:numId="35">
    <w:abstractNumId w:val="35"/>
  </w:num>
  <w:num w:numId="36">
    <w:abstractNumId w:val="36"/>
  </w:num>
  <w:num w:numId="37">
    <w:abstractNumId w:val="37"/>
  </w:num>
  <w:num w:numId="38">
    <w:abstractNumId w:val="38"/>
  </w:num>
  <w:num w:numId="39">
    <w:abstractNumId w:val="42"/>
  </w:num>
  <w:num w:numId="40">
    <w:abstractNumId w:val="43"/>
  </w:num>
  <w:num w:numId="41">
    <w:abstractNumId w:val="48"/>
  </w:num>
  <w:num w:numId="42">
    <w:abstractNumId w:val="51"/>
  </w:num>
  <w:num w:numId="43">
    <w:abstractNumId w:val="52"/>
  </w:num>
  <w:num w:numId="44">
    <w:abstractNumId w:val="54"/>
  </w:num>
  <w:num w:numId="45">
    <w:abstractNumId w:val="55"/>
  </w:num>
  <w:num w:numId="46">
    <w:abstractNumId w:val="57"/>
  </w:num>
  <w:num w:numId="47">
    <w:abstractNumId w:val="59"/>
  </w:num>
  <w:num w:numId="48">
    <w:abstractNumId w:val="60"/>
  </w:num>
  <w:num w:numId="49">
    <w:abstractNumId w:val="62"/>
  </w:num>
  <w:num w:numId="50">
    <w:abstractNumId w:val="64"/>
  </w:num>
  <w:num w:numId="51">
    <w:abstractNumId w:val="20"/>
  </w:num>
  <w:num w:numId="52">
    <w:abstractNumId w:val="44"/>
  </w:num>
  <w:num w:numId="53">
    <w:abstractNumId w:val="53"/>
  </w:num>
  <w:num w:numId="54">
    <w:abstractNumId w:val="47"/>
  </w:num>
  <w:num w:numId="55">
    <w:abstractNumId w:val="63"/>
  </w:num>
  <w:num w:numId="56">
    <w:abstractNumId w:val="34"/>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4"/>
    <w:lvlOverride w:ilvl="0">
      <w:startOverride w:val="1"/>
    </w:lvlOverride>
  </w:num>
  <w:num w:numId="58">
    <w:abstractNumId w:val="58"/>
  </w:num>
  <w:num w:numId="59">
    <w:abstractNumId w:val="49"/>
  </w:num>
  <w:num w:numId="60">
    <w:abstractNumId w:val="30"/>
  </w:num>
  <w:num w:numId="61">
    <w:abstractNumId w:val="39"/>
  </w:num>
  <w:num w:numId="62">
    <w:abstractNumId w:val="0"/>
  </w:num>
  <w:num w:numId="63">
    <w:abstractNumId w:val="27"/>
  </w:num>
  <w:num w:numId="64">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5"/>
  </w:num>
  <w:num w:numId="66">
    <w:abstractNumId w:val="53"/>
  </w:num>
  <w:num w:numId="67">
    <w:abstractNumId w:val="3"/>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C"/>
    <w:rsid w:val="0000036F"/>
    <w:rsid w:val="00000CDA"/>
    <w:rsid w:val="0000565A"/>
    <w:rsid w:val="00006E1F"/>
    <w:rsid w:val="000070D7"/>
    <w:rsid w:val="0001407B"/>
    <w:rsid w:val="000156C9"/>
    <w:rsid w:val="0001788C"/>
    <w:rsid w:val="0002098E"/>
    <w:rsid w:val="00026436"/>
    <w:rsid w:val="00040C3A"/>
    <w:rsid w:val="00052D07"/>
    <w:rsid w:val="0006359E"/>
    <w:rsid w:val="000716C5"/>
    <w:rsid w:val="000726A2"/>
    <w:rsid w:val="00075E23"/>
    <w:rsid w:val="00077ED3"/>
    <w:rsid w:val="00080830"/>
    <w:rsid w:val="00086E44"/>
    <w:rsid w:val="000901A8"/>
    <w:rsid w:val="0009344A"/>
    <w:rsid w:val="00094228"/>
    <w:rsid w:val="000972CE"/>
    <w:rsid w:val="000A392E"/>
    <w:rsid w:val="000A575F"/>
    <w:rsid w:val="000B2415"/>
    <w:rsid w:val="000B4270"/>
    <w:rsid w:val="000B7C3A"/>
    <w:rsid w:val="000C2F82"/>
    <w:rsid w:val="000C6739"/>
    <w:rsid w:val="000D10DB"/>
    <w:rsid w:val="000D4A81"/>
    <w:rsid w:val="000D7D5C"/>
    <w:rsid w:val="000E25C1"/>
    <w:rsid w:val="000E25E0"/>
    <w:rsid w:val="000E2716"/>
    <w:rsid w:val="000E2B98"/>
    <w:rsid w:val="000E5EB5"/>
    <w:rsid w:val="000F2469"/>
    <w:rsid w:val="000F35ED"/>
    <w:rsid w:val="000F52C4"/>
    <w:rsid w:val="000F5550"/>
    <w:rsid w:val="000F7D4A"/>
    <w:rsid w:val="00103AA3"/>
    <w:rsid w:val="0010596F"/>
    <w:rsid w:val="00107131"/>
    <w:rsid w:val="0010736F"/>
    <w:rsid w:val="00112328"/>
    <w:rsid w:val="00112CE1"/>
    <w:rsid w:val="00113F73"/>
    <w:rsid w:val="00121CC2"/>
    <w:rsid w:val="001221C4"/>
    <w:rsid w:val="00133EE5"/>
    <w:rsid w:val="00144FFD"/>
    <w:rsid w:val="0015073A"/>
    <w:rsid w:val="00164156"/>
    <w:rsid w:val="00167A34"/>
    <w:rsid w:val="001707A0"/>
    <w:rsid w:val="001749AB"/>
    <w:rsid w:val="00180541"/>
    <w:rsid w:val="001813D7"/>
    <w:rsid w:val="001946F1"/>
    <w:rsid w:val="001A7870"/>
    <w:rsid w:val="001B62A3"/>
    <w:rsid w:val="001B7CD9"/>
    <w:rsid w:val="001C050C"/>
    <w:rsid w:val="001C1B41"/>
    <w:rsid w:val="001C4AE2"/>
    <w:rsid w:val="001C77C1"/>
    <w:rsid w:val="001D65EF"/>
    <w:rsid w:val="0020510E"/>
    <w:rsid w:val="00213B6C"/>
    <w:rsid w:val="002250A3"/>
    <w:rsid w:val="00235217"/>
    <w:rsid w:val="00241DCD"/>
    <w:rsid w:val="0024503A"/>
    <w:rsid w:val="00246D1F"/>
    <w:rsid w:val="00247403"/>
    <w:rsid w:val="00247542"/>
    <w:rsid w:val="00252190"/>
    <w:rsid w:val="002528A8"/>
    <w:rsid w:val="002536A1"/>
    <w:rsid w:val="00253E7A"/>
    <w:rsid w:val="00265E3C"/>
    <w:rsid w:val="00266B61"/>
    <w:rsid w:val="0026712A"/>
    <w:rsid w:val="002704DB"/>
    <w:rsid w:val="0027213C"/>
    <w:rsid w:val="002771BB"/>
    <w:rsid w:val="002832AC"/>
    <w:rsid w:val="00290BA5"/>
    <w:rsid w:val="00291DB4"/>
    <w:rsid w:val="0029397F"/>
    <w:rsid w:val="00295CD7"/>
    <w:rsid w:val="002A0AAE"/>
    <w:rsid w:val="002A5820"/>
    <w:rsid w:val="002A67A8"/>
    <w:rsid w:val="002C55A1"/>
    <w:rsid w:val="002D2B20"/>
    <w:rsid w:val="002D2B26"/>
    <w:rsid w:val="002D7EA2"/>
    <w:rsid w:val="002E0233"/>
    <w:rsid w:val="002E187C"/>
    <w:rsid w:val="002E25EF"/>
    <w:rsid w:val="002E618A"/>
    <w:rsid w:val="002E62E7"/>
    <w:rsid w:val="002F60B6"/>
    <w:rsid w:val="002F6896"/>
    <w:rsid w:val="002F6D4A"/>
    <w:rsid w:val="002F7615"/>
    <w:rsid w:val="002F7C65"/>
    <w:rsid w:val="003025F0"/>
    <w:rsid w:val="00302733"/>
    <w:rsid w:val="003056F4"/>
    <w:rsid w:val="00312918"/>
    <w:rsid w:val="0031398D"/>
    <w:rsid w:val="00314078"/>
    <w:rsid w:val="0031535D"/>
    <w:rsid w:val="003160E5"/>
    <w:rsid w:val="0033169F"/>
    <w:rsid w:val="003332AF"/>
    <w:rsid w:val="003338FE"/>
    <w:rsid w:val="00340032"/>
    <w:rsid w:val="00346C95"/>
    <w:rsid w:val="00354E78"/>
    <w:rsid w:val="0035594E"/>
    <w:rsid w:val="00356185"/>
    <w:rsid w:val="00360085"/>
    <w:rsid w:val="00360380"/>
    <w:rsid w:val="00361420"/>
    <w:rsid w:val="00374A3A"/>
    <w:rsid w:val="0037519E"/>
    <w:rsid w:val="003769E3"/>
    <w:rsid w:val="0038033A"/>
    <w:rsid w:val="00382C9C"/>
    <w:rsid w:val="00384A38"/>
    <w:rsid w:val="00386CF0"/>
    <w:rsid w:val="00393C9F"/>
    <w:rsid w:val="00396EA2"/>
    <w:rsid w:val="003A13C9"/>
    <w:rsid w:val="003A6852"/>
    <w:rsid w:val="003B48B9"/>
    <w:rsid w:val="003B77D8"/>
    <w:rsid w:val="003C676B"/>
    <w:rsid w:val="003D3BC2"/>
    <w:rsid w:val="003D5569"/>
    <w:rsid w:val="003E53AD"/>
    <w:rsid w:val="003E6CA1"/>
    <w:rsid w:val="00403B88"/>
    <w:rsid w:val="004165C2"/>
    <w:rsid w:val="00433F2B"/>
    <w:rsid w:val="00436E8A"/>
    <w:rsid w:val="00437C3A"/>
    <w:rsid w:val="00441ECB"/>
    <w:rsid w:val="0044415E"/>
    <w:rsid w:val="004569C3"/>
    <w:rsid w:val="00465547"/>
    <w:rsid w:val="00467B7E"/>
    <w:rsid w:val="00473E50"/>
    <w:rsid w:val="00477592"/>
    <w:rsid w:val="00483BC8"/>
    <w:rsid w:val="00486F1C"/>
    <w:rsid w:val="00493883"/>
    <w:rsid w:val="00493D87"/>
    <w:rsid w:val="0049419D"/>
    <w:rsid w:val="004B1B9D"/>
    <w:rsid w:val="004C20D2"/>
    <w:rsid w:val="004C4B62"/>
    <w:rsid w:val="004C54C9"/>
    <w:rsid w:val="004D17CA"/>
    <w:rsid w:val="004D6025"/>
    <w:rsid w:val="004E2649"/>
    <w:rsid w:val="004E4E28"/>
    <w:rsid w:val="004E4F04"/>
    <w:rsid w:val="004F1FEC"/>
    <w:rsid w:val="00501399"/>
    <w:rsid w:val="0050633D"/>
    <w:rsid w:val="005071C5"/>
    <w:rsid w:val="00507BC4"/>
    <w:rsid w:val="005128E4"/>
    <w:rsid w:val="005133DB"/>
    <w:rsid w:val="005139D8"/>
    <w:rsid w:val="0051536C"/>
    <w:rsid w:val="00517624"/>
    <w:rsid w:val="00520F88"/>
    <w:rsid w:val="00521666"/>
    <w:rsid w:val="00525560"/>
    <w:rsid w:val="00544C49"/>
    <w:rsid w:val="005516A1"/>
    <w:rsid w:val="005541B8"/>
    <w:rsid w:val="00554F0B"/>
    <w:rsid w:val="0057096B"/>
    <w:rsid w:val="005710B1"/>
    <w:rsid w:val="0057402A"/>
    <w:rsid w:val="00576AC6"/>
    <w:rsid w:val="005771D0"/>
    <w:rsid w:val="0059191A"/>
    <w:rsid w:val="005921FF"/>
    <w:rsid w:val="00593D5D"/>
    <w:rsid w:val="005A02C5"/>
    <w:rsid w:val="005A4708"/>
    <w:rsid w:val="005A6D0E"/>
    <w:rsid w:val="005B52B0"/>
    <w:rsid w:val="005B59E8"/>
    <w:rsid w:val="005B6806"/>
    <w:rsid w:val="005C4225"/>
    <w:rsid w:val="005C60B1"/>
    <w:rsid w:val="005D1963"/>
    <w:rsid w:val="005D5342"/>
    <w:rsid w:val="005D6064"/>
    <w:rsid w:val="005D7968"/>
    <w:rsid w:val="005F0DAD"/>
    <w:rsid w:val="005F0F33"/>
    <w:rsid w:val="005F1952"/>
    <w:rsid w:val="00600DEB"/>
    <w:rsid w:val="00620BB7"/>
    <w:rsid w:val="00627C9F"/>
    <w:rsid w:val="006311E9"/>
    <w:rsid w:val="00632354"/>
    <w:rsid w:val="006364D7"/>
    <w:rsid w:val="006404AD"/>
    <w:rsid w:val="00642810"/>
    <w:rsid w:val="00645C3D"/>
    <w:rsid w:val="006475D9"/>
    <w:rsid w:val="00652333"/>
    <w:rsid w:val="00663E6A"/>
    <w:rsid w:val="006653EA"/>
    <w:rsid w:val="00675C3A"/>
    <w:rsid w:val="0068009E"/>
    <w:rsid w:val="006837F3"/>
    <w:rsid w:val="0068459F"/>
    <w:rsid w:val="00687DB3"/>
    <w:rsid w:val="006906E7"/>
    <w:rsid w:val="00691D79"/>
    <w:rsid w:val="00692219"/>
    <w:rsid w:val="006971B4"/>
    <w:rsid w:val="006A17D2"/>
    <w:rsid w:val="006A3859"/>
    <w:rsid w:val="006A6785"/>
    <w:rsid w:val="006A73AA"/>
    <w:rsid w:val="006A73E6"/>
    <w:rsid w:val="006A790A"/>
    <w:rsid w:val="006B1FF8"/>
    <w:rsid w:val="006B2D5C"/>
    <w:rsid w:val="006B798F"/>
    <w:rsid w:val="006B7F7E"/>
    <w:rsid w:val="006C459C"/>
    <w:rsid w:val="006C4EB1"/>
    <w:rsid w:val="006D53C9"/>
    <w:rsid w:val="006E0166"/>
    <w:rsid w:val="006E2FF3"/>
    <w:rsid w:val="006E7B34"/>
    <w:rsid w:val="006F38F9"/>
    <w:rsid w:val="006F700C"/>
    <w:rsid w:val="007033A8"/>
    <w:rsid w:val="0070697F"/>
    <w:rsid w:val="00716E56"/>
    <w:rsid w:val="0072199C"/>
    <w:rsid w:val="00722C9F"/>
    <w:rsid w:val="00724F9D"/>
    <w:rsid w:val="007253B8"/>
    <w:rsid w:val="00732F0C"/>
    <w:rsid w:val="00733CE8"/>
    <w:rsid w:val="0073741F"/>
    <w:rsid w:val="00741530"/>
    <w:rsid w:val="0074457C"/>
    <w:rsid w:val="00752CD0"/>
    <w:rsid w:val="007558AF"/>
    <w:rsid w:val="00756BF0"/>
    <w:rsid w:val="00756E50"/>
    <w:rsid w:val="0076643F"/>
    <w:rsid w:val="00771457"/>
    <w:rsid w:val="00777F63"/>
    <w:rsid w:val="00792A81"/>
    <w:rsid w:val="00793A4F"/>
    <w:rsid w:val="00797468"/>
    <w:rsid w:val="007A3EAA"/>
    <w:rsid w:val="007A5817"/>
    <w:rsid w:val="007A5B08"/>
    <w:rsid w:val="007B047A"/>
    <w:rsid w:val="007B3C6B"/>
    <w:rsid w:val="007B51C8"/>
    <w:rsid w:val="007B60E9"/>
    <w:rsid w:val="007B6CC3"/>
    <w:rsid w:val="007C1AF5"/>
    <w:rsid w:val="007C23EA"/>
    <w:rsid w:val="007C3334"/>
    <w:rsid w:val="007D2B98"/>
    <w:rsid w:val="007D59A6"/>
    <w:rsid w:val="007D6283"/>
    <w:rsid w:val="007E21BC"/>
    <w:rsid w:val="007F1F8C"/>
    <w:rsid w:val="008003DF"/>
    <w:rsid w:val="00800C94"/>
    <w:rsid w:val="00803F1C"/>
    <w:rsid w:val="0080600E"/>
    <w:rsid w:val="0081141A"/>
    <w:rsid w:val="00817612"/>
    <w:rsid w:val="008226FE"/>
    <w:rsid w:val="008247F7"/>
    <w:rsid w:val="008338A4"/>
    <w:rsid w:val="008347C0"/>
    <w:rsid w:val="008357B7"/>
    <w:rsid w:val="00837C45"/>
    <w:rsid w:val="008402AD"/>
    <w:rsid w:val="00842D6E"/>
    <w:rsid w:val="00844730"/>
    <w:rsid w:val="008457C2"/>
    <w:rsid w:val="00853FBE"/>
    <w:rsid w:val="00857A82"/>
    <w:rsid w:val="00863BE3"/>
    <w:rsid w:val="00863EA5"/>
    <w:rsid w:val="00866EDB"/>
    <w:rsid w:val="00871FD8"/>
    <w:rsid w:val="00873836"/>
    <w:rsid w:val="00885737"/>
    <w:rsid w:val="0088670E"/>
    <w:rsid w:val="00890650"/>
    <w:rsid w:val="008952D8"/>
    <w:rsid w:val="008959FA"/>
    <w:rsid w:val="00895A86"/>
    <w:rsid w:val="0089604C"/>
    <w:rsid w:val="00896D58"/>
    <w:rsid w:val="00897E12"/>
    <w:rsid w:val="008A10CC"/>
    <w:rsid w:val="008A70B4"/>
    <w:rsid w:val="008A7E0F"/>
    <w:rsid w:val="008B12F5"/>
    <w:rsid w:val="008C61B9"/>
    <w:rsid w:val="008D236F"/>
    <w:rsid w:val="008D768D"/>
    <w:rsid w:val="008E0909"/>
    <w:rsid w:val="008E1622"/>
    <w:rsid w:val="008E3759"/>
    <w:rsid w:val="008E4FC7"/>
    <w:rsid w:val="008F1912"/>
    <w:rsid w:val="00900460"/>
    <w:rsid w:val="00901BA1"/>
    <w:rsid w:val="0090270B"/>
    <w:rsid w:val="009041DC"/>
    <w:rsid w:val="00905864"/>
    <w:rsid w:val="00914BB4"/>
    <w:rsid w:val="00917B5A"/>
    <w:rsid w:val="00920A58"/>
    <w:rsid w:val="00920A8C"/>
    <w:rsid w:val="009227AA"/>
    <w:rsid w:val="00926F93"/>
    <w:rsid w:val="009319D4"/>
    <w:rsid w:val="00933C2D"/>
    <w:rsid w:val="00934A2C"/>
    <w:rsid w:val="00935AD7"/>
    <w:rsid w:val="0093666E"/>
    <w:rsid w:val="00937132"/>
    <w:rsid w:val="009433FB"/>
    <w:rsid w:val="009555F5"/>
    <w:rsid w:val="00956175"/>
    <w:rsid w:val="00964920"/>
    <w:rsid w:val="0096706E"/>
    <w:rsid w:val="00971A9F"/>
    <w:rsid w:val="00972054"/>
    <w:rsid w:val="00972814"/>
    <w:rsid w:val="00974742"/>
    <w:rsid w:val="00975C4E"/>
    <w:rsid w:val="00981FBA"/>
    <w:rsid w:val="00982ABB"/>
    <w:rsid w:val="00982DD0"/>
    <w:rsid w:val="00985150"/>
    <w:rsid w:val="009868F9"/>
    <w:rsid w:val="00987FC2"/>
    <w:rsid w:val="00994DFD"/>
    <w:rsid w:val="00996052"/>
    <w:rsid w:val="00997BC5"/>
    <w:rsid w:val="009A230D"/>
    <w:rsid w:val="009A4F41"/>
    <w:rsid w:val="009A7B30"/>
    <w:rsid w:val="009B3187"/>
    <w:rsid w:val="009B381B"/>
    <w:rsid w:val="009B7057"/>
    <w:rsid w:val="009C3197"/>
    <w:rsid w:val="009C696F"/>
    <w:rsid w:val="009D1753"/>
    <w:rsid w:val="009D4BAD"/>
    <w:rsid w:val="009D72AD"/>
    <w:rsid w:val="009D7611"/>
    <w:rsid w:val="009E0846"/>
    <w:rsid w:val="009E0B61"/>
    <w:rsid w:val="009E1328"/>
    <w:rsid w:val="009E4F4C"/>
    <w:rsid w:val="009E53DE"/>
    <w:rsid w:val="009F015B"/>
    <w:rsid w:val="009F05D0"/>
    <w:rsid w:val="009F3F0D"/>
    <w:rsid w:val="009F5E6C"/>
    <w:rsid w:val="00A01CD9"/>
    <w:rsid w:val="00A02A99"/>
    <w:rsid w:val="00A07D7F"/>
    <w:rsid w:val="00A20995"/>
    <w:rsid w:val="00A24688"/>
    <w:rsid w:val="00A328B3"/>
    <w:rsid w:val="00A371DE"/>
    <w:rsid w:val="00A50FCF"/>
    <w:rsid w:val="00A52460"/>
    <w:rsid w:val="00A528D1"/>
    <w:rsid w:val="00A54917"/>
    <w:rsid w:val="00A610CD"/>
    <w:rsid w:val="00A73D13"/>
    <w:rsid w:val="00A85C77"/>
    <w:rsid w:val="00A9022C"/>
    <w:rsid w:val="00A90BA8"/>
    <w:rsid w:val="00A91CA8"/>
    <w:rsid w:val="00AA0074"/>
    <w:rsid w:val="00AA09A2"/>
    <w:rsid w:val="00AA1C07"/>
    <w:rsid w:val="00AA7257"/>
    <w:rsid w:val="00AA7996"/>
    <w:rsid w:val="00AB5CFF"/>
    <w:rsid w:val="00AC19CB"/>
    <w:rsid w:val="00AD37AD"/>
    <w:rsid w:val="00AE0298"/>
    <w:rsid w:val="00AE3B1E"/>
    <w:rsid w:val="00AE5488"/>
    <w:rsid w:val="00AE664E"/>
    <w:rsid w:val="00AE6F91"/>
    <w:rsid w:val="00AF5571"/>
    <w:rsid w:val="00B07341"/>
    <w:rsid w:val="00B1161C"/>
    <w:rsid w:val="00B142CC"/>
    <w:rsid w:val="00B14C22"/>
    <w:rsid w:val="00B266E7"/>
    <w:rsid w:val="00B30539"/>
    <w:rsid w:val="00B31019"/>
    <w:rsid w:val="00B314DB"/>
    <w:rsid w:val="00B361F2"/>
    <w:rsid w:val="00B3718B"/>
    <w:rsid w:val="00B40E61"/>
    <w:rsid w:val="00B455EB"/>
    <w:rsid w:val="00B4632A"/>
    <w:rsid w:val="00B5103D"/>
    <w:rsid w:val="00B530F1"/>
    <w:rsid w:val="00B71F01"/>
    <w:rsid w:val="00B73C72"/>
    <w:rsid w:val="00B801DC"/>
    <w:rsid w:val="00B86863"/>
    <w:rsid w:val="00B9747E"/>
    <w:rsid w:val="00BA276C"/>
    <w:rsid w:val="00BB306F"/>
    <w:rsid w:val="00BB4594"/>
    <w:rsid w:val="00BB5943"/>
    <w:rsid w:val="00BC357E"/>
    <w:rsid w:val="00BD09B3"/>
    <w:rsid w:val="00BD1450"/>
    <w:rsid w:val="00BD4B89"/>
    <w:rsid w:val="00BE0C53"/>
    <w:rsid w:val="00BE1463"/>
    <w:rsid w:val="00BE24EB"/>
    <w:rsid w:val="00BF56CF"/>
    <w:rsid w:val="00BF6FD8"/>
    <w:rsid w:val="00C011DE"/>
    <w:rsid w:val="00C02E82"/>
    <w:rsid w:val="00C03680"/>
    <w:rsid w:val="00C04F0C"/>
    <w:rsid w:val="00C054DF"/>
    <w:rsid w:val="00C05D06"/>
    <w:rsid w:val="00C1009E"/>
    <w:rsid w:val="00C156BB"/>
    <w:rsid w:val="00C21762"/>
    <w:rsid w:val="00C22EE4"/>
    <w:rsid w:val="00C24543"/>
    <w:rsid w:val="00C256A2"/>
    <w:rsid w:val="00C3239E"/>
    <w:rsid w:val="00C33CE5"/>
    <w:rsid w:val="00C36C2F"/>
    <w:rsid w:val="00C40B61"/>
    <w:rsid w:val="00C51515"/>
    <w:rsid w:val="00C52858"/>
    <w:rsid w:val="00C53FEE"/>
    <w:rsid w:val="00C5660B"/>
    <w:rsid w:val="00C569A7"/>
    <w:rsid w:val="00C62CE4"/>
    <w:rsid w:val="00C66B72"/>
    <w:rsid w:val="00C767F3"/>
    <w:rsid w:val="00C80F41"/>
    <w:rsid w:val="00C84F23"/>
    <w:rsid w:val="00C850FB"/>
    <w:rsid w:val="00C93100"/>
    <w:rsid w:val="00C9567A"/>
    <w:rsid w:val="00CA3D31"/>
    <w:rsid w:val="00CA3FD9"/>
    <w:rsid w:val="00CA6F91"/>
    <w:rsid w:val="00CB212D"/>
    <w:rsid w:val="00CB2660"/>
    <w:rsid w:val="00CC5E90"/>
    <w:rsid w:val="00CD046C"/>
    <w:rsid w:val="00CD18BE"/>
    <w:rsid w:val="00CD34F3"/>
    <w:rsid w:val="00CD41C7"/>
    <w:rsid w:val="00CE076C"/>
    <w:rsid w:val="00CE2074"/>
    <w:rsid w:val="00CE5199"/>
    <w:rsid w:val="00CE66D5"/>
    <w:rsid w:val="00CF0DBC"/>
    <w:rsid w:val="00CF187B"/>
    <w:rsid w:val="00CF637A"/>
    <w:rsid w:val="00D00EA2"/>
    <w:rsid w:val="00D051FE"/>
    <w:rsid w:val="00D052B7"/>
    <w:rsid w:val="00D059DE"/>
    <w:rsid w:val="00D060AD"/>
    <w:rsid w:val="00D06EB6"/>
    <w:rsid w:val="00D073A1"/>
    <w:rsid w:val="00D1330A"/>
    <w:rsid w:val="00D13FCE"/>
    <w:rsid w:val="00D165AC"/>
    <w:rsid w:val="00D23A6E"/>
    <w:rsid w:val="00D273D3"/>
    <w:rsid w:val="00D306D1"/>
    <w:rsid w:val="00D34786"/>
    <w:rsid w:val="00D37BFC"/>
    <w:rsid w:val="00D47A8E"/>
    <w:rsid w:val="00D52D14"/>
    <w:rsid w:val="00D546D0"/>
    <w:rsid w:val="00D55377"/>
    <w:rsid w:val="00D5687F"/>
    <w:rsid w:val="00D56A08"/>
    <w:rsid w:val="00D606C9"/>
    <w:rsid w:val="00D6110E"/>
    <w:rsid w:val="00D674F3"/>
    <w:rsid w:val="00D712D3"/>
    <w:rsid w:val="00D71422"/>
    <w:rsid w:val="00D72D3B"/>
    <w:rsid w:val="00D72DC6"/>
    <w:rsid w:val="00D742B8"/>
    <w:rsid w:val="00D7558D"/>
    <w:rsid w:val="00D81D92"/>
    <w:rsid w:val="00DA7B5F"/>
    <w:rsid w:val="00DB35DF"/>
    <w:rsid w:val="00DC11E7"/>
    <w:rsid w:val="00DC28FC"/>
    <w:rsid w:val="00DC4DBB"/>
    <w:rsid w:val="00DC7023"/>
    <w:rsid w:val="00DC769A"/>
    <w:rsid w:val="00DD1CCD"/>
    <w:rsid w:val="00DD3D86"/>
    <w:rsid w:val="00DD6DDC"/>
    <w:rsid w:val="00DE48EB"/>
    <w:rsid w:val="00DF1EC4"/>
    <w:rsid w:val="00E0340B"/>
    <w:rsid w:val="00E04A90"/>
    <w:rsid w:val="00E055ED"/>
    <w:rsid w:val="00E219C7"/>
    <w:rsid w:val="00E30665"/>
    <w:rsid w:val="00E32587"/>
    <w:rsid w:val="00E33141"/>
    <w:rsid w:val="00E40347"/>
    <w:rsid w:val="00E41C43"/>
    <w:rsid w:val="00E43157"/>
    <w:rsid w:val="00E461CE"/>
    <w:rsid w:val="00E50AA8"/>
    <w:rsid w:val="00E51F46"/>
    <w:rsid w:val="00E57BBF"/>
    <w:rsid w:val="00E66154"/>
    <w:rsid w:val="00E67C61"/>
    <w:rsid w:val="00E71DB2"/>
    <w:rsid w:val="00E720CA"/>
    <w:rsid w:val="00E72761"/>
    <w:rsid w:val="00E84EB5"/>
    <w:rsid w:val="00E85662"/>
    <w:rsid w:val="00E86EB9"/>
    <w:rsid w:val="00E8789F"/>
    <w:rsid w:val="00E907C0"/>
    <w:rsid w:val="00E935B6"/>
    <w:rsid w:val="00E97B71"/>
    <w:rsid w:val="00EA32C0"/>
    <w:rsid w:val="00EA3D34"/>
    <w:rsid w:val="00EB454D"/>
    <w:rsid w:val="00EB4FE4"/>
    <w:rsid w:val="00EC7C4A"/>
    <w:rsid w:val="00ED0DAE"/>
    <w:rsid w:val="00ED2DB0"/>
    <w:rsid w:val="00ED6A52"/>
    <w:rsid w:val="00ED76BE"/>
    <w:rsid w:val="00EE08B8"/>
    <w:rsid w:val="00EE4BF6"/>
    <w:rsid w:val="00EF08AF"/>
    <w:rsid w:val="00EF2C72"/>
    <w:rsid w:val="00EF619B"/>
    <w:rsid w:val="00F00B55"/>
    <w:rsid w:val="00F01581"/>
    <w:rsid w:val="00F02AD1"/>
    <w:rsid w:val="00F05202"/>
    <w:rsid w:val="00F05F26"/>
    <w:rsid w:val="00F253CC"/>
    <w:rsid w:val="00F26370"/>
    <w:rsid w:val="00F37106"/>
    <w:rsid w:val="00F4597D"/>
    <w:rsid w:val="00F519CF"/>
    <w:rsid w:val="00F51F4E"/>
    <w:rsid w:val="00F56BA5"/>
    <w:rsid w:val="00F60E22"/>
    <w:rsid w:val="00F70C97"/>
    <w:rsid w:val="00F73585"/>
    <w:rsid w:val="00F73864"/>
    <w:rsid w:val="00F73B86"/>
    <w:rsid w:val="00F77D70"/>
    <w:rsid w:val="00F81395"/>
    <w:rsid w:val="00F82540"/>
    <w:rsid w:val="00F83672"/>
    <w:rsid w:val="00F85967"/>
    <w:rsid w:val="00F86BAE"/>
    <w:rsid w:val="00F90C73"/>
    <w:rsid w:val="00F917D1"/>
    <w:rsid w:val="00F951E2"/>
    <w:rsid w:val="00F95AF4"/>
    <w:rsid w:val="00F9653B"/>
    <w:rsid w:val="00FA4B34"/>
    <w:rsid w:val="00FB1FDE"/>
    <w:rsid w:val="00FB4384"/>
    <w:rsid w:val="00FB62CF"/>
    <w:rsid w:val="00FC2FE2"/>
    <w:rsid w:val="00FD3C3B"/>
    <w:rsid w:val="00FE509B"/>
    <w:rsid w:val="00FE6693"/>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pBdr>
        <w:top w:val="nil"/>
        <w:left w:val="nil"/>
        <w:bottom w:val="nil"/>
        <w:right w:val="nil"/>
        <w:between w:val="nil"/>
        <w:bar w:val="nil"/>
      </w:pBdr>
    </w:pPr>
    <w:rPr>
      <w:sz w:val="24"/>
      <w:szCs w:val="24"/>
      <w:bdr w:val="nil"/>
    </w:rPr>
  </w:style>
  <w:style w:type="paragraph" w:styleId="Heading1">
    <w:name w:val="heading 1"/>
    <w:basedOn w:val="Normal"/>
    <w:next w:val="Normal"/>
    <w:link w:val="Heading1Char"/>
    <w:uiPriority w:val="9"/>
    <w:qFormat/>
    <w:rsid w:val="00956175"/>
    <w:pPr>
      <w:keepNext/>
      <w:keepLines/>
      <w:numPr>
        <w:numId w:val="53"/>
      </w:numPr>
      <w:outlineLvl w:val="0"/>
    </w:pPr>
    <w:rPr>
      <w:rFonts w:ascii="Cambria" w:eastAsia="Times New Roman" w:hAnsi="Cambria"/>
      <w:b/>
      <w:bCs/>
      <w:sz w:val="20"/>
      <w:szCs w:val="20"/>
      <w:lang w:val="es-ES_tradnl"/>
    </w:rPr>
  </w:style>
  <w:style w:type="paragraph" w:styleId="Heading2">
    <w:name w:val="heading 2"/>
    <w:basedOn w:val="Heading1"/>
    <w:next w:val="Normal"/>
    <w:link w:val="Heading2Char"/>
    <w:qFormat/>
    <w:rsid w:val="00896D58"/>
    <w:pPr>
      <w:numPr>
        <w:numId w:val="56"/>
      </w:numPr>
      <w:outlineLvl w:val="1"/>
    </w:pPr>
  </w:style>
  <w:style w:type="paragraph" w:styleId="Heading3">
    <w:name w:val="heading 3"/>
    <w:basedOn w:val="Normal"/>
    <w:next w:val="Normal"/>
    <w:link w:val="Heading3Char"/>
    <w:qFormat/>
    <w:rsid w:val="00896D58"/>
    <w:pPr>
      <w:tabs>
        <w:tab w:val="left" w:pos="1440"/>
      </w:tabs>
      <w:ind w:firstLine="720"/>
      <w:jc w:val="both"/>
      <w:outlineLvl w:val="2"/>
    </w:pPr>
    <w:rPr>
      <w:rFonts w:ascii="Cambria" w:hAnsi="Cambria"/>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pBdr>
        <w:top w:val="nil"/>
        <w:left w:val="nil"/>
        <w:bottom w:val="nil"/>
        <w:right w:val="nil"/>
        <w:between w:val="nil"/>
        <w:bar w:val="nil"/>
      </w:pBdr>
      <w:tabs>
        <w:tab w:val="right" w:pos="9020"/>
      </w:tabs>
    </w:pPr>
    <w:rPr>
      <w:rFonts w:ascii="Helvetica" w:hAnsi="Arial Unicode MS" w:cs="Arial Unicode MS"/>
      <w:color w:val="000000"/>
      <w:sz w:val="24"/>
      <w:szCs w:val="24"/>
      <w:bdr w:val="nil"/>
      <w:lang w:val="es-ES" w:eastAsia="es-ES"/>
    </w:rPr>
  </w:style>
  <w:style w:type="paragraph" w:styleId="Footer">
    <w:name w:val="footer"/>
    <w:link w:val="FooterChar"/>
    <w:uiPriority w:val="99"/>
    <w:pPr>
      <w:pBdr>
        <w:top w:val="nil"/>
        <w:left w:val="nil"/>
        <w:bottom w:val="nil"/>
        <w:right w:val="nil"/>
        <w:between w:val="nil"/>
        <w:bar w:val="nil"/>
      </w:pBdr>
      <w:tabs>
        <w:tab w:val="center" w:pos="4513"/>
        <w:tab w:val="right" w:pos="9026"/>
      </w:tabs>
    </w:pPr>
    <w:rPr>
      <w:rFonts w:ascii="Cambria" w:eastAsia="Cambria" w:hAnsi="Cambria" w:cs="Cambria"/>
      <w:color w:val="000000"/>
      <w:sz w:val="24"/>
      <w:szCs w:val="24"/>
      <w:u w:color="000000"/>
      <w:bdr w:val="nil"/>
      <w:lang w:eastAsia="es-ES"/>
    </w:rPr>
  </w:style>
  <w:style w:type="paragraph" w:customStyle="1" w:styleId="Cuerpo">
    <w:name w:val="Cuerpo"/>
    <w:pPr>
      <w:pBdr>
        <w:top w:val="nil"/>
        <w:left w:val="nil"/>
        <w:bottom w:val="nil"/>
        <w:right w:val="nil"/>
        <w:between w:val="nil"/>
        <w:bar w:val="nil"/>
      </w:pBdr>
    </w:pPr>
    <w:rPr>
      <w:rFonts w:ascii="Cambria" w:eastAsia="Cambria" w:hAnsi="Cambria" w:cs="Cambria"/>
      <w:color w:val="000000"/>
      <w:sz w:val="24"/>
      <w:szCs w:val="24"/>
      <w:u w:color="000000"/>
      <w:bdr w:val="nil"/>
      <w:lang w:val="es-ES" w:eastAsia="es-ES"/>
    </w:rPr>
  </w:style>
  <w:style w:type="paragraph" w:styleId="BodyTextIndent">
    <w:name w:val="Body Text Indent"/>
    <w:link w:val="BodyTextIndentChar"/>
    <w:pPr>
      <w:pBdr>
        <w:top w:val="nil"/>
        <w:left w:val="nil"/>
        <w:bottom w:val="nil"/>
        <w:right w:val="nil"/>
        <w:between w:val="nil"/>
        <w:bar w:val="nil"/>
      </w:pBdr>
      <w:ind w:left="2160" w:hanging="720"/>
    </w:pPr>
    <w:rPr>
      <w:rFonts w:eastAsia="Times New Roman"/>
      <w:color w:val="000000"/>
      <w:sz w:val="24"/>
      <w:szCs w:val="24"/>
      <w:u w:color="000000"/>
      <w:bdr w:val="nil"/>
      <w:lang w:val="es-ES_tradnl" w:eastAsia="es-ES"/>
    </w:rPr>
  </w:style>
  <w:style w:type="paragraph" w:styleId="ListParagraph">
    <w:name w:val="List Paragraph"/>
    <w:aliases w:val="Párrafo de lista1,List Paragraph1,Colorful List - Accent 11,List Paragraph11,List Paragraph2"/>
    <w:link w:val="ListParagraphChar"/>
    <w:uiPriority w:val="34"/>
    <w:qFormat/>
    <w:pPr>
      <w:pBdr>
        <w:top w:val="nil"/>
        <w:left w:val="nil"/>
        <w:bottom w:val="nil"/>
        <w:right w:val="nil"/>
        <w:between w:val="nil"/>
        <w:bar w:val="nil"/>
      </w:pBdr>
      <w:ind w:left="720"/>
    </w:pPr>
    <w:rPr>
      <w:rFonts w:ascii="Cambria" w:eastAsia="Cambria" w:hAnsi="Cambria" w:cs="Cambria"/>
      <w:color w:val="000000"/>
      <w:sz w:val="24"/>
      <w:szCs w:val="24"/>
      <w:u w:color="000000"/>
      <w:bdr w:val="nil"/>
      <w:lang w:eastAsia="es-E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pPr>
      <w:pBdr>
        <w:top w:val="nil"/>
        <w:left w:val="nil"/>
        <w:bottom w:val="nil"/>
        <w:right w:val="nil"/>
        <w:between w:val="nil"/>
        <w:bar w:val="nil"/>
      </w:pBdr>
    </w:pPr>
    <w:rPr>
      <w:rFonts w:ascii="Calibri" w:eastAsia="Calibri" w:hAnsi="Calibri" w:cs="Calibri"/>
      <w:color w:val="000000"/>
      <w:u w:color="000000"/>
      <w:bdr w:val="nil"/>
      <w:lang w:eastAsia="es-E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link w:val="Heading1"/>
    <w:uiPriority w:val="9"/>
    <w:rsid w:val="00956175"/>
    <w:rPr>
      <w:rFonts w:ascii="Cambria" w:eastAsia="Times New Roman" w:hAnsi="Cambria"/>
      <w:b/>
      <w:bCs/>
      <w:bdr w:val="nil"/>
      <w:lang w:val="es-ES_tradnl"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74457C"/>
    <w:pPr>
      <w:tabs>
        <w:tab w:val="left" w:pos="900"/>
        <w:tab w:val="left" w:pos="1170"/>
        <w:tab w:val="right" w:leader="dot" w:pos="9350"/>
      </w:tabs>
      <w:spacing w:after="100"/>
      <w:ind w:firstLine="540"/>
    </w:pPr>
    <w:rPr>
      <w:rFonts w:ascii="Cambria" w:hAnsi="Cambria"/>
      <w:noProof/>
      <w:sz w:val="20"/>
      <w:szCs w:val="20"/>
    </w:rPr>
  </w:style>
  <w:style w:type="paragraph" w:styleId="TOC1">
    <w:name w:val="toc 1"/>
    <w:basedOn w:val="Normal"/>
    <w:next w:val="Normal"/>
    <w:autoRedefine/>
    <w:uiPriority w:val="39"/>
    <w:unhideWhenUsed/>
    <w:rsid w:val="00E50AA8"/>
    <w:pPr>
      <w:tabs>
        <w:tab w:val="left" w:pos="540"/>
        <w:tab w:val="right" w:leader="dot" w:pos="9350"/>
      </w:tabs>
      <w:spacing w:after="100"/>
    </w:pPr>
    <w:rPr>
      <w:rFonts w:ascii="Calibri" w:hAnsi="Calibri"/>
      <w:sz w:val="22"/>
    </w:rPr>
  </w:style>
  <w:style w:type="paragraph" w:styleId="TOC3">
    <w:name w:val="toc 3"/>
    <w:basedOn w:val="Normal"/>
    <w:next w:val="Normal"/>
    <w:autoRedefine/>
    <w:uiPriority w:val="39"/>
    <w:unhideWhenUsed/>
    <w:rsid w:val="0074457C"/>
    <w:pPr>
      <w:tabs>
        <w:tab w:val="left" w:pos="880"/>
        <w:tab w:val="left" w:pos="2160"/>
        <w:tab w:val="right" w:leader="dot" w:pos="9350"/>
      </w:tabs>
      <w:spacing w:after="100"/>
      <w:ind w:left="900" w:hanging="36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Footnote Reference Char3"/>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link w:val="Heading2"/>
    <w:rsid w:val="00896D58"/>
    <w:rPr>
      <w:rFonts w:ascii="Cambria" w:eastAsia="Times New Roman" w:hAnsi="Cambria"/>
      <w:b/>
      <w:bCs/>
      <w:color w:val="365F91"/>
      <w:bdr w:val="nil"/>
      <w:lang w:val="es-ES_tradnl"/>
    </w:rPr>
  </w:style>
  <w:style w:type="character" w:customStyle="1" w:styleId="Heading3Char">
    <w:name w:val="Heading 3 Char"/>
    <w:link w:val="Heading3"/>
    <w:rsid w:val="00896D58"/>
    <w:rPr>
      <w:rFonts w:ascii="Cambria" w:hAnsi="Cambria"/>
      <w:b/>
      <w:lang w:val="en-US" w:eastAsia="en-US"/>
    </w:rPr>
  </w:style>
  <w:style w:type="paragraph" w:customStyle="1" w:styleId="Default">
    <w:name w:val="Default"/>
    <w:link w:val="DefaultChar"/>
    <w:rsid w:val="00DF1EC4"/>
    <w:pPr>
      <w:autoSpaceDE w:val="0"/>
      <w:autoSpaceDN w:val="0"/>
      <w:adjustRightInd w:val="0"/>
    </w:pPr>
    <w:rPr>
      <w:rFonts w:eastAsia="Times New Roman"/>
      <w:color w:val="000000"/>
      <w:sz w:val="24"/>
      <w:szCs w:val="24"/>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paragraph" w:styleId="List2">
    <w:name w:val="List 2"/>
    <w:basedOn w:val="Normal"/>
    <w:semiHidden/>
    <w:unhideWhenUsed/>
    <w:rsid w:val="007B3C6B"/>
    <w:pPr>
      <w:pBdr>
        <w:top w:val="none" w:sz="0" w:space="0" w:color="auto"/>
        <w:left w:val="none" w:sz="0" w:space="0" w:color="auto"/>
        <w:bottom w:val="none" w:sz="0" w:space="0" w:color="auto"/>
        <w:right w:val="none" w:sz="0" w:space="0" w:color="auto"/>
        <w:between w:val="none" w:sz="0" w:space="0" w:color="auto"/>
        <w:bar w:val="none" w:sz="0" w:color="auto"/>
      </w:pBdr>
      <w:ind w:left="720" w:hanging="360"/>
    </w:pPr>
    <w:rPr>
      <w:rFonts w:ascii="Univers" w:eastAsia="Times New Roman" w:hAnsi="Univers"/>
      <w:sz w:val="22"/>
      <w:szCs w:val="20"/>
      <w:bdr w:val="none" w:sz="0" w:space="0" w:color="auto"/>
      <w:lang w:val="es-ES_tradnl"/>
    </w:rPr>
  </w:style>
  <w:style w:type="character" w:customStyle="1" w:styleId="apple-converted-space">
    <w:name w:val="apple-converted-space"/>
    <w:basedOn w:val="DefaultParagraphFont"/>
    <w:rsid w:val="007B3C6B"/>
  </w:style>
  <w:style w:type="character" w:customStyle="1" w:styleId="Smbolodenotaalpie">
    <w:name w:val="Símbolo de nota al pie"/>
    <w:rsid w:val="007B3C6B"/>
    <w:rPr>
      <w:vertAlign w:val="superscript"/>
    </w:rPr>
  </w:style>
  <w:style w:type="character" w:customStyle="1" w:styleId="s6b621b36">
    <w:name w:val="s6b621b36"/>
    <w:basedOn w:val="DefaultParagraphFont"/>
    <w:rsid w:val="00CD18BE"/>
  </w:style>
  <w:style w:type="paragraph" w:customStyle="1" w:styleId="Style2">
    <w:name w:val="Style 2"/>
    <w:basedOn w:val="Normal"/>
    <w:rsid w:val="0029397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72"/>
      <w:jc w:val="both"/>
    </w:pPr>
    <w:rPr>
      <w:rFonts w:eastAsia="Times New Roman"/>
      <w:bdr w:val="none" w:sz="0" w:space="0" w:color="auto"/>
    </w:rPr>
  </w:style>
  <w:style w:type="paragraph" w:styleId="BodyTextIndent3">
    <w:name w:val="Body Text Indent 3"/>
    <w:basedOn w:val="Normal"/>
    <w:link w:val="BodyTextIndent3Char"/>
    <w:rsid w:val="0029397F"/>
    <w:pPr>
      <w:pBdr>
        <w:top w:val="none" w:sz="0" w:space="0" w:color="auto"/>
        <w:left w:val="none" w:sz="0" w:space="0" w:color="auto"/>
        <w:bottom w:val="none" w:sz="0" w:space="0" w:color="auto"/>
        <w:right w:val="none" w:sz="0" w:space="0" w:color="auto"/>
        <w:between w:val="none" w:sz="0" w:space="0" w:color="auto"/>
        <w:bar w:val="none" w:sz="0" w:color="auto"/>
      </w:pBdr>
      <w:spacing w:after="120"/>
      <w:ind w:left="360"/>
    </w:pPr>
    <w:rPr>
      <w:rFonts w:eastAsia="Times New Roman"/>
      <w:sz w:val="16"/>
      <w:szCs w:val="16"/>
      <w:bdr w:val="none" w:sz="0" w:space="0" w:color="auto"/>
    </w:rPr>
  </w:style>
  <w:style w:type="character" w:customStyle="1" w:styleId="BodyTextIndent3Char">
    <w:name w:val="Body Text Indent 3 Char"/>
    <w:link w:val="BodyTextIndent3"/>
    <w:rsid w:val="0029397F"/>
    <w:rPr>
      <w:rFonts w:eastAsia="Times New Roman"/>
      <w:sz w:val="16"/>
      <w:szCs w:val="16"/>
      <w:bdr w:val="none" w:sz="0" w:space="0" w:color="auto"/>
      <w:lang w:val="en-US" w:eastAsia="en-US"/>
    </w:rPr>
  </w:style>
  <w:style w:type="paragraph" w:styleId="BodyText3">
    <w:name w:val="Body Text 3"/>
    <w:basedOn w:val="Normal"/>
    <w:link w:val="BodyText3Char"/>
    <w:rsid w:val="0029397F"/>
    <w:pPr>
      <w:pBdr>
        <w:top w:val="none" w:sz="0" w:space="0" w:color="auto"/>
        <w:left w:val="none" w:sz="0" w:space="0" w:color="auto"/>
        <w:bottom w:val="none" w:sz="0" w:space="0" w:color="auto"/>
        <w:right w:val="none" w:sz="0" w:space="0" w:color="auto"/>
        <w:between w:val="none" w:sz="0" w:space="0" w:color="auto"/>
        <w:bar w:val="none" w:sz="0" w:color="auto"/>
      </w:pBdr>
      <w:spacing w:after="120"/>
    </w:pPr>
    <w:rPr>
      <w:rFonts w:eastAsia="Times New Roman"/>
      <w:sz w:val="16"/>
      <w:szCs w:val="16"/>
      <w:bdr w:val="none" w:sz="0" w:space="0" w:color="auto"/>
    </w:rPr>
  </w:style>
  <w:style w:type="character" w:customStyle="1" w:styleId="BodyText3Char">
    <w:name w:val="Body Text 3 Char"/>
    <w:link w:val="BodyText3"/>
    <w:rsid w:val="0029397F"/>
    <w:rPr>
      <w:rFonts w:eastAsia="Times New Roman"/>
      <w:sz w:val="16"/>
      <w:szCs w:val="16"/>
      <w:bdr w:val="none" w:sz="0" w:space="0" w:color="auto"/>
      <w:lang w:val="en-US" w:eastAsia="en-US"/>
    </w:rPr>
  </w:style>
  <w:style w:type="character" w:styleId="PlaceholderText">
    <w:name w:val="Placeholder Text"/>
    <w:uiPriority w:val="99"/>
    <w:semiHidden/>
    <w:rsid w:val="00086E44"/>
    <w:rPr>
      <w:color w:val="808080"/>
    </w:rPr>
  </w:style>
  <w:style w:type="character" w:customStyle="1" w:styleId="BodyTextIndentChar">
    <w:name w:val="Body Text Indent Char"/>
    <w:link w:val="BodyTextIndent"/>
    <w:rsid w:val="00E055ED"/>
    <w:rPr>
      <w:rFonts w:eastAsia="Times New Roman"/>
      <w:color w:val="000000"/>
      <w:sz w:val="24"/>
      <w:szCs w:val="24"/>
      <w:u w:color="000000"/>
      <w:lang w:val="es-ES_tradnl"/>
    </w:rPr>
  </w:style>
  <w:style w:type="character" w:customStyle="1" w:styleId="ListParagraphChar">
    <w:name w:val="List Paragraph Char"/>
    <w:aliases w:val="Párrafo de lista1 Char,List Paragraph1 Char,Colorful List - Accent 11 Char,List Paragraph11 Char,List Paragraph2 Char"/>
    <w:link w:val="ListParagraph"/>
    <w:uiPriority w:val="34"/>
    <w:locked/>
    <w:rsid w:val="004D17CA"/>
    <w:rPr>
      <w:rFonts w:ascii="Cambria" w:eastAsia="Cambria" w:hAnsi="Cambria" w:cs="Cambria"/>
      <w:color w:val="000000"/>
      <w:sz w:val="24"/>
      <w:szCs w:val="24"/>
      <w:u w:color="000000"/>
      <w:bdr w:val="nil"/>
      <w:lang w:eastAsia="es-ES"/>
    </w:rPr>
  </w:style>
  <w:style w:type="character" w:styleId="Strong">
    <w:name w:val="Strong"/>
    <w:uiPriority w:val="22"/>
    <w:qFormat/>
    <w:rsid w:val="003E53A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0788754">
      <w:bodyDiv w:val="1"/>
      <w:marLeft w:val="0"/>
      <w:marRight w:val="0"/>
      <w:marTop w:val="0"/>
      <w:marBottom w:val="0"/>
      <w:divBdr>
        <w:top w:val="none" w:sz="0" w:space="0" w:color="auto"/>
        <w:left w:val="none" w:sz="0" w:space="0" w:color="auto"/>
        <w:bottom w:val="none" w:sz="0" w:space="0" w:color="auto"/>
        <w:right w:val="none" w:sz="0" w:space="0" w:color="auto"/>
      </w:divBdr>
    </w:div>
    <w:div w:id="1750957347">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15217902">
      <w:bodyDiv w:val="1"/>
      <w:marLeft w:val="0"/>
      <w:marRight w:val="0"/>
      <w:marTop w:val="0"/>
      <w:marBottom w:val="0"/>
      <w:divBdr>
        <w:top w:val="none" w:sz="0" w:space="0" w:color="auto"/>
        <w:left w:val="none" w:sz="0" w:space="0" w:color="auto"/>
        <w:bottom w:val="none" w:sz="0" w:space="0" w:color="auto"/>
        <w:right w:val="none" w:sz="0" w:space="0" w:color="auto"/>
      </w:divBdr>
    </w:div>
    <w:div w:id="20939680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joomla.corteidh.or.cr:8080/joomla/es/casos-contenciosos/38-jurisprudencia/698-corte-idh-caso-gomez-palomino-vs-peru-fondo-reparaciones-y-costas-sentencia-de-22-de-noviembre-de-2005-serie-c-no-136"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0DE26F-1649-459D-9C71-DA6C41F11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13082</Words>
  <Characters>67247</Characters>
  <Application>Microsoft Office Word</Application>
  <DocSecurity>0</DocSecurity>
  <Lines>1120</Lines>
  <Paragraphs>247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80082</CharactersWithSpaces>
  <SharedDoc>false</SharedDoc>
  <HLinks>
    <vt:vector size="150" baseType="variant">
      <vt:variant>
        <vt:i4>1048625</vt:i4>
      </vt:variant>
      <vt:variant>
        <vt:i4>140</vt:i4>
      </vt:variant>
      <vt:variant>
        <vt:i4>0</vt:i4>
      </vt:variant>
      <vt:variant>
        <vt:i4>5</vt:i4>
      </vt:variant>
      <vt:variant>
        <vt:lpwstr/>
      </vt:variant>
      <vt:variant>
        <vt:lpwstr>_Toc529792409</vt:lpwstr>
      </vt:variant>
      <vt:variant>
        <vt:i4>1048625</vt:i4>
      </vt:variant>
      <vt:variant>
        <vt:i4>134</vt:i4>
      </vt:variant>
      <vt:variant>
        <vt:i4>0</vt:i4>
      </vt:variant>
      <vt:variant>
        <vt:i4>5</vt:i4>
      </vt:variant>
      <vt:variant>
        <vt:lpwstr/>
      </vt:variant>
      <vt:variant>
        <vt:lpwstr>_Toc529792408</vt:lpwstr>
      </vt:variant>
      <vt:variant>
        <vt:i4>1048625</vt:i4>
      </vt:variant>
      <vt:variant>
        <vt:i4>128</vt:i4>
      </vt:variant>
      <vt:variant>
        <vt:i4>0</vt:i4>
      </vt:variant>
      <vt:variant>
        <vt:i4>5</vt:i4>
      </vt:variant>
      <vt:variant>
        <vt:lpwstr/>
      </vt:variant>
      <vt:variant>
        <vt:lpwstr>_Toc529792407</vt:lpwstr>
      </vt:variant>
      <vt:variant>
        <vt:i4>1048625</vt:i4>
      </vt:variant>
      <vt:variant>
        <vt:i4>122</vt:i4>
      </vt:variant>
      <vt:variant>
        <vt:i4>0</vt:i4>
      </vt:variant>
      <vt:variant>
        <vt:i4>5</vt:i4>
      </vt:variant>
      <vt:variant>
        <vt:lpwstr/>
      </vt:variant>
      <vt:variant>
        <vt:lpwstr>_Toc529792406</vt:lpwstr>
      </vt:variant>
      <vt:variant>
        <vt:i4>1048625</vt:i4>
      </vt:variant>
      <vt:variant>
        <vt:i4>116</vt:i4>
      </vt:variant>
      <vt:variant>
        <vt:i4>0</vt:i4>
      </vt:variant>
      <vt:variant>
        <vt:i4>5</vt:i4>
      </vt:variant>
      <vt:variant>
        <vt:lpwstr/>
      </vt:variant>
      <vt:variant>
        <vt:lpwstr>_Toc529792405</vt:lpwstr>
      </vt:variant>
      <vt:variant>
        <vt:i4>1048625</vt:i4>
      </vt:variant>
      <vt:variant>
        <vt:i4>110</vt:i4>
      </vt:variant>
      <vt:variant>
        <vt:i4>0</vt:i4>
      </vt:variant>
      <vt:variant>
        <vt:i4>5</vt:i4>
      </vt:variant>
      <vt:variant>
        <vt:lpwstr/>
      </vt:variant>
      <vt:variant>
        <vt:lpwstr>_Toc529792404</vt:lpwstr>
      </vt:variant>
      <vt:variant>
        <vt:i4>1048625</vt:i4>
      </vt:variant>
      <vt:variant>
        <vt:i4>104</vt:i4>
      </vt:variant>
      <vt:variant>
        <vt:i4>0</vt:i4>
      </vt:variant>
      <vt:variant>
        <vt:i4>5</vt:i4>
      </vt:variant>
      <vt:variant>
        <vt:lpwstr/>
      </vt:variant>
      <vt:variant>
        <vt:lpwstr>_Toc529792403</vt:lpwstr>
      </vt:variant>
      <vt:variant>
        <vt:i4>1048625</vt:i4>
      </vt:variant>
      <vt:variant>
        <vt:i4>98</vt:i4>
      </vt:variant>
      <vt:variant>
        <vt:i4>0</vt:i4>
      </vt:variant>
      <vt:variant>
        <vt:i4>5</vt:i4>
      </vt:variant>
      <vt:variant>
        <vt:lpwstr/>
      </vt:variant>
      <vt:variant>
        <vt:lpwstr>_Toc529792402</vt:lpwstr>
      </vt:variant>
      <vt:variant>
        <vt:i4>1638454</vt:i4>
      </vt:variant>
      <vt:variant>
        <vt:i4>92</vt:i4>
      </vt:variant>
      <vt:variant>
        <vt:i4>0</vt:i4>
      </vt:variant>
      <vt:variant>
        <vt:i4>5</vt:i4>
      </vt:variant>
      <vt:variant>
        <vt:lpwstr/>
      </vt:variant>
      <vt:variant>
        <vt:lpwstr>_Toc529792399</vt:lpwstr>
      </vt:variant>
      <vt:variant>
        <vt:i4>1638454</vt:i4>
      </vt:variant>
      <vt:variant>
        <vt:i4>86</vt:i4>
      </vt:variant>
      <vt:variant>
        <vt:i4>0</vt:i4>
      </vt:variant>
      <vt:variant>
        <vt:i4>5</vt:i4>
      </vt:variant>
      <vt:variant>
        <vt:lpwstr/>
      </vt:variant>
      <vt:variant>
        <vt:lpwstr>_Toc529792398</vt:lpwstr>
      </vt:variant>
      <vt:variant>
        <vt:i4>1638454</vt:i4>
      </vt:variant>
      <vt:variant>
        <vt:i4>80</vt:i4>
      </vt:variant>
      <vt:variant>
        <vt:i4>0</vt:i4>
      </vt:variant>
      <vt:variant>
        <vt:i4>5</vt:i4>
      </vt:variant>
      <vt:variant>
        <vt:lpwstr/>
      </vt:variant>
      <vt:variant>
        <vt:lpwstr>_Toc529792397</vt:lpwstr>
      </vt:variant>
      <vt:variant>
        <vt:i4>1638454</vt:i4>
      </vt:variant>
      <vt:variant>
        <vt:i4>74</vt:i4>
      </vt:variant>
      <vt:variant>
        <vt:i4>0</vt:i4>
      </vt:variant>
      <vt:variant>
        <vt:i4>5</vt:i4>
      </vt:variant>
      <vt:variant>
        <vt:lpwstr/>
      </vt:variant>
      <vt:variant>
        <vt:lpwstr>_Toc529792396</vt:lpwstr>
      </vt:variant>
      <vt:variant>
        <vt:i4>1638454</vt:i4>
      </vt:variant>
      <vt:variant>
        <vt:i4>68</vt:i4>
      </vt:variant>
      <vt:variant>
        <vt:i4>0</vt:i4>
      </vt:variant>
      <vt:variant>
        <vt:i4>5</vt:i4>
      </vt:variant>
      <vt:variant>
        <vt:lpwstr/>
      </vt:variant>
      <vt:variant>
        <vt:lpwstr>_Toc529792395</vt:lpwstr>
      </vt:variant>
      <vt:variant>
        <vt:i4>1638454</vt:i4>
      </vt:variant>
      <vt:variant>
        <vt:i4>62</vt:i4>
      </vt:variant>
      <vt:variant>
        <vt:i4>0</vt:i4>
      </vt:variant>
      <vt:variant>
        <vt:i4>5</vt:i4>
      </vt:variant>
      <vt:variant>
        <vt:lpwstr/>
      </vt:variant>
      <vt:variant>
        <vt:lpwstr>_Toc529792394</vt:lpwstr>
      </vt:variant>
      <vt:variant>
        <vt:i4>1638454</vt:i4>
      </vt:variant>
      <vt:variant>
        <vt:i4>56</vt:i4>
      </vt:variant>
      <vt:variant>
        <vt:i4>0</vt:i4>
      </vt:variant>
      <vt:variant>
        <vt:i4>5</vt:i4>
      </vt:variant>
      <vt:variant>
        <vt:lpwstr/>
      </vt:variant>
      <vt:variant>
        <vt:lpwstr>_Toc529792393</vt:lpwstr>
      </vt:variant>
      <vt:variant>
        <vt:i4>1638454</vt:i4>
      </vt:variant>
      <vt:variant>
        <vt:i4>50</vt:i4>
      </vt:variant>
      <vt:variant>
        <vt:i4>0</vt:i4>
      </vt:variant>
      <vt:variant>
        <vt:i4>5</vt:i4>
      </vt:variant>
      <vt:variant>
        <vt:lpwstr/>
      </vt:variant>
      <vt:variant>
        <vt:lpwstr>_Toc529792392</vt:lpwstr>
      </vt:variant>
      <vt:variant>
        <vt:i4>1638454</vt:i4>
      </vt:variant>
      <vt:variant>
        <vt:i4>44</vt:i4>
      </vt:variant>
      <vt:variant>
        <vt:i4>0</vt:i4>
      </vt:variant>
      <vt:variant>
        <vt:i4>5</vt:i4>
      </vt:variant>
      <vt:variant>
        <vt:lpwstr/>
      </vt:variant>
      <vt:variant>
        <vt:lpwstr>_Toc529792391</vt:lpwstr>
      </vt:variant>
      <vt:variant>
        <vt:i4>1638454</vt:i4>
      </vt:variant>
      <vt:variant>
        <vt:i4>38</vt:i4>
      </vt:variant>
      <vt:variant>
        <vt:i4>0</vt:i4>
      </vt:variant>
      <vt:variant>
        <vt:i4>5</vt:i4>
      </vt:variant>
      <vt:variant>
        <vt:lpwstr/>
      </vt:variant>
      <vt:variant>
        <vt:lpwstr>_Toc529792390</vt:lpwstr>
      </vt:variant>
      <vt:variant>
        <vt:i4>1572918</vt:i4>
      </vt:variant>
      <vt:variant>
        <vt:i4>32</vt:i4>
      </vt:variant>
      <vt:variant>
        <vt:i4>0</vt:i4>
      </vt:variant>
      <vt:variant>
        <vt:i4>5</vt:i4>
      </vt:variant>
      <vt:variant>
        <vt:lpwstr/>
      </vt:variant>
      <vt:variant>
        <vt:lpwstr>_Toc529792389</vt:lpwstr>
      </vt:variant>
      <vt:variant>
        <vt:i4>1572918</vt:i4>
      </vt:variant>
      <vt:variant>
        <vt:i4>26</vt:i4>
      </vt:variant>
      <vt:variant>
        <vt:i4>0</vt:i4>
      </vt:variant>
      <vt:variant>
        <vt:i4>5</vt:i4>
      </vt:variant>
      <vt:variant>
        <vt:lpwstr/>
      </vt:variant>
      <vt:variant>
        <vt:lpwstr>_Toc529792388</vt:lpwstr>
      </vt:variant>
      <vt:variant>
        <vt:i4>1572918</vt:i4>
      </vt:variant>
      <vt:variant>
        <vt:i4>20</vt:i4>
      </vt:variant>
      <vt:variant>
        <vt:i4>0</vt:i4>
      </vt:variant>
      <vt:variant>
        <vt:i4>5</vt:i4>
      </vt:variant>
      <vt:variant>
        <vt:lpwstr/>
      </vt:variant>
      <vt:variant>
        <vt:lpwstr>_Toc529792387</vt:lpwstr>
      </vt:variant>
      <vt:variant>
        <vt:i4>1572918</vt:i4>
      </vt:variant>
      <vt:variant>
        <vt:i4>14</vt:i4>
      </vt:variant>
      <vt:variant>
        <vt:i4>0</vt:i4>
      </vt:variant>
      <vt:variant>
        <vt:i4>5</vt:i4>
      </vt:variant>
      <vt:variant>
        <vt:lpwstr/>
      </vt:variant>
      <vt:variant>
        <vt:lpwstr>_Toc529792386</vt:lpwstr>
      </vt:variant>
      <vt:variant>
        <vt:i4>1572918</vt:i4>
      </vt:variant>
      <vt:variant>
        <vt:i4>8</vt:i4>
      </vt:variant>
      <vt:variant>
        <vt:i4>0</vt:i4>
      </vt:variant>
      <vt:variant>
        <vt:i4>5</vt:i4>
      </vt:variant>
      <vt:variant>
        <vt:lpwstr/>
      </vt:variant>
      <vt:variant>
        <vt:lpwstr>_Toc529792385</vt:lpwstr>
      </vt:variant>
      <vt:variant>
        <vt:i4>1572918</vt:i4>
      </vt:variant>
      <vt:variant>
        <vt:i4>2</vt:i4>
      </vt:variant>
      <vt:variant>
        <vt:i4>0</vt:i4>
      </vt:variant>
      <vt:variant>
        <vt:i4>5</vt:i4>
      </vt:variant>
      <vt:variant>
        <vt:lpwstr/>
      </vt:variant>
      <vt:variant>
        <vt:lpwstr>_Toc529792384</vt:lpwstr>
      </vt:variant>
      <vt:variant>
        <vt:i4>7995500</vt:i4>
      </vt:variant>
      <vt:variant>
        <vt:i4>0</vt:i4>
      </vt:variant>
      <vt:variant>
        <vt:i4>0</vt:i4>
      </vt:variant>
      <vt:variant>
        <vt:i4>5</vt:i4>
      </vt:variant>
      <vt:variant>
        <vt:lpwstr>http://joomla.corteidh.or.cr:8080/joomla/es/casos-contenciosos/38-jurisprudencia/698-corte-idh-caso-gomez-palomino-vs-peru-fondo-reparaciones-y-costas-sentencia-de-22-de-noviembre-de-2005-serie-c-no-136</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92/19</dc:title>
  <dc:subject/>
  <dc:creator/>
  <cp:keywords/>
  <cp:lastModifiedBy/>
  <cp:revision>1</cp:revision>
  <dcterms:created xsi:type="dcterms:W3CDTF">2020-04-21T14:07:00Z</dcterms:created>
  <dcterms:modified xsi:type="dcterms:W3CDTF">2020-04-21T14:13:00Z</dcterms:modified>
</cp:coreProperties>
</file>