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43DF" w14:textId="77777777" w:rsidR="0053292A" w:rsidRPr="00030A24" w:rsidRDefault="0053292A" w:rsidP="00030A24">
      <w:pPr>
        <w:spacing w:after="0" w:line="240" w:lineRule="auto"/>
        <w:ind w:right="-270"/>
        <w:jc w:val="center"/>
        <w:rPr>
          <w:rFonts w:ascii="Cambria" w:hAnsi="Cambria"/>
          <w:b/>
          <w:color w:val="000000"/>
          <w:lang w:val="es-CO"/>
        </w:rPr>
      </w:pPr>
    </w:p>
    <w:p w14:paraId="7717DFE5" w14:textId="77777777" w:rsidR="0053292A" w:rsidRPr="00030A24" w:rsidRDefault="0053292A" w:rsidP="00030A24">
      <w:pPr>
        <w:spacing w:after="0" w:line="240" w:lineRule="auto"/>
        <w:ind w:right="-270"/>
        <w:contextualSpacing/>
        <w:jc w:val="both"/>
        <w:rPr>
          <w:rFonts w:ascii="Cambria" w:hAnsi="Cambria"/>
          <w:color w:val="000000"/>
          <w:lang w:val="es-CO"/>
        </w:rPr>
      </w:pPr>
    </w:p>
    <w:p w14:paraId="1C33BC2F" w14:textId="77777777" w:rsidR="0053292A" w:rsidRPr="00030A24" w:rsidRDefault="0053292A" w:rsidP="00030A24">
      <w:pPr>
        <w:spacing w:after="0" w:line="240" w:lineRule="auto"/>
        <w:ind w:left="-270" w:right="-270"/>
        <w:jc w:val="center"/>
        <w:rPr>
          <w:rFonts w:ascii="Cambria" w:hAnsi="Cambria"/>
          <w:b/>
          <w:color w:val="000000"/>
          <w:lang w:val="pt-BR"/>
        </w:rPr>
      </w:pPr>
      <w:r w:rsidRPr="00030A24">
        <w:rPr>
          <w:rFonts w:ascii="Cambria" w:hAnsi="Cambria"/>
          <w:b/>
          <w:color w:val="000000"/>
          <w:lang w:val="pt-BR"/>
        </w:rPr>
        <w:t>FICHA TÉCNICA INFORMATIVA</w:t>
      </w:r>
    </w:p>
    <w:p w14:paraId="07C71FAF" w14:textId="77777777" w:rsidR="0053292A" w:rsidRPr="00030A24" w:rsidRDefault="0053292A" w:rsidP="00030A24">
      <w:pPr>
        <w:spacing w:after="0" w:line="240" w:lineRule="auto"/>
        <w:ind w:left="-270" w:right="-270"/>
        <w:jc w:val="center"/>
        <w:rPr>
          <w:rFonts w:ascii="Cambria" w:hAnsi="Cambria"/>
          <w:b/>
          <w:color w:val="000000"/>
          <w:lang w:val="pt-BR"/>
        </w:rPr>
      </w:pPr>
      <w:r w:rsidRPr="00030A24">
        <w:rPr>
          <w:rFonts w:ascii="Cambria" w:hAnsi="Cambria"/>
          <w:b/>
          <w:color w:val="000000"/>
          <w:lang w:val="pt-BR"/>
        </w:rPr>
        <w:t xml:space="preserve">CASO 12.298 FERNANDO GIOVANELLI </w:t>
      </w:r>
    </w:p>
    <w:p w14:paraId="7D17306C"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INFORME DE SOLUCIÓN AMISTOSA Nº 81/08</w:t>
      </w:r>
    </w:p>
    <w:p w14:paraId="7DA993BF"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ARCHIVO</w:t>
      </w:r>
    </w:p>
    <w:p w14:paraId="6D95F19B" w14:textId="5BD4DBCF"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(ARGENTINA)</w:t>
      </w:r>
    </w:p>
    <w:p w14:paraId="2C62C4D1" w14:textId="77777777" w:rsidR="0053292A" w:rsidRPr="00030A24" w:rsidRDefault="0053292A" w:rsidP="00030A24">
      <w:pPr>
        <w:spacing w:after="0" w:line="240" w:lineRule="auto"/>
        <w:ind w:right="-270"/>
        <w:rPr>
          <w:rFonts w:ascii="Cambria" w:hAnsi="Cambria"/>
          <w:b/>
          <w:color w:val="000000"/>
          <w:lang w:val="es-CO"/>
        </w:rPr>
      </w:pPr>
    </w:p>
    <w:p w14:paraId="642542FE" w14:textId="77777777" w:rsidR="0053292A" w:rsidRPr="00030A24" w:rsidRDefault="0053292A" w:rsidP="00030A24">
      <w:pPr>
        <w:numPr>
          <w:ilvl w:val="0"/>
          <w:numId w:val="93"/>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0487E58A" w14:textId="77777777" w:rsidR="0053292A" w:rsidRPr="00030A24" w:rsidRDefault="0053292A" w:rsidP="00030A24">
      <w:pPr>
        <w:spacing w:after="0" w:line="240" w:lineRule="auto"/>
        <w:ind w:left="720"/>
        <w:jc w:val="center"/>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8A2059" w14:paraId="4AF8B1DB" w14:textId="77777777" w:rsidTr="00550EB8">
        <w:trPr>
          <w:jc w:val="center"/>
        </w:trPr>
        <w:tc>
          <w:tcPr>
            <w:tcW w:w="9576" w:type="dxa"/>
            <w:shd w:val="clear" w:color="auto" w:fill="F2F2F2"/>
          </w:tcPr>
          <w:p w14:paraId="6C7D9BBF"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Fernando Giovanelli</w:t>
            </w:r>
          </w:p>
          <w:p w14:paraId="29CCEC91"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Ana Giovanelli</w:t>
            </w:r>
          </w:p>
          <w:p w14:paraId="359C4C05"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Argentina</w:t>
            </w:r>
          </w:p>
          <w:p w14:paraId="481D3162" w14:textId="10018B7D" w:rsidR="0053292A" w:rsidRPr="00030A24" w:rsidRDefault="0053292A" w:rsidP="00030A24">
            <w:pPr>
              <w:spacing w:after="0" w:line="240" w:lineRule="auto"/>
              <w:jc w:val="both"/>
              <w:rPr>
                <w:rFonts w:ascii="Cambria" w:hAnsi="Cambria"/>
                <w:lang w:val="es-CO"/>
              </w:rPr>
            </w:pPr>
            <w:r w:rsidRPr="00030A24">
              <w:rPr>
                <w:rFonts w:ascii="Cambria" w:hAnsi="Cambria"/>
                <w:b/>
                <w:color w:val="000000"/>
                <w:lang w:val="es-CO"/>
              </w:rPr>
              <w:t>Fecha de inicio de las negociaciones:</w:t>
            </w:r>
            <w:r w:rsidRPr="00030A24">
              <w:rPr>
                <w:rFonts w:ascii="Cambria" w:hAnsi="Cambria"/>
                <w:color w:val="FF0000"/>
                <w:lang w:val="es-CO"/>
              </w:rPr>
              <w:t xml:space="preserve"> </w:t>
            </w:r>
            <w:r w:rsidRPr="00030A24">
              <w:rPr>
                <w:rFonts w:ascii="Cambria" w:hAnsi="Cambria"/>
                <w:bCs/>
                <w:lang w:val="es-CO"/>
              </w:rPr>
              <w:t>agosto</w:t>
            </w:r>
            <w:r w:rsidRPr="00030A24">
              <w:rPr>
                <w:rFonts w:ascii="Cambria" w:hAnsi="Cambria"/>
                <w:lang w:val="es-CO"/>
              </w:rPr>
              <w:t xml:space="preserve"> 2002</w:t>
            </w:r>
          </w:p>
          <w:p w14:paraId="22FC6714" w14:textId="77777777" w:rsidR="0053292A" w:rsidRPr="00030A24" w:rsidRDefault="0053292A" w:rsidP="00030A24">
            <w:pPr>
              <w:spacing w:after="0" w:line="240" w:lineRule="auto"/>
              <w:rPr>
                <w:rFonts w:ascii="Cambria" w:hAnsi="Cambria"/>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23 de agosto de 2007</w:t>
            </w:r>
          </w:p>
          <w:p w14:paraId="480B2203"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Informe de Admisibilidad Nº: </w:t>
            </w:r>
            <w:hyperlink r:id="rId13" w:history="1">
              <w:r w:rsidRPr="00030A24">
                <w:rPr>
                  <w:rStyle w:val="Hyperlink"/>
                  <w:rFonts w:ascii="Cambria" w:hAnsi="Cambria"/>
                  <w:b/>
                  <w:color w:val="000000"/>
                  <w:lang w:val="es-CO"/>
                </w:rPr>
                <w:t>30/01</w:t>
              </w:r>
            </w:hyperlink>
            <w:r w:rsidRPr="00030A24">
              <w:rPr>
                <w:rFonts w:ascii="Cambria" w:hAnsi="Cambria"/>
                <w:color w:val="000000"/>
                <w:lang w:val="es-CO"/>
              </w:rPr>
              <w:t>, publicado el 22 de febrero de 2001 </w:t>
            </w:r>
          </w:p>
          <w:p w14:paraId="6E24AC52"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4" w:history="1">
              <w:r w:rsidRPr="00030A24">
                <w:rPr>
                  <w:rStyle w:val="Hyperlink"/>
                  <w:rFonts w:ascii="Cambria" w:hAnsi="Cambria"/>
                  <w:b/>
                  <w:color w:val="000000"/>
                  <w:lang w:val="es-CO"/>
                </w:rPr>
                <w:t>81/08</w:t>
              </w:r>
            </w:hyperlink>
            <w:r w:rsidRPr="00030A24">
              <w:rPr>
                <w:rFonts w:ascii="Cambria" w:hAnsi="Cambria"/>
                <w:color w:val="000000"/>
                <w:lang w:val="es-CO"/>
              </w:rPr>
              <w:t>, publicado el 30 de octubre de 2008</w:t>
            </w:r>
          </w:p>
          <w:p w14:paraId="0FF3C0D3" w14:textId="77777777" w:rsidR="0053292A" w:rsidRPr="00030A24" w:rsidRDefault="0053292A" w:rsidP="00030A24">
            <w:pPr>
              <w:spacing w:after="0" w:line="240" w:lineRule="auto"/>
              <w:rPr>
                <w:rFonts w:ascii="Cambria" w:hAnsi="Cambria"/>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6 años</w:t>
            </w:r>
          </w:p>
          <w:p w14:paraId="15391C06"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4AF4BC97"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Temas: </w:t>
            </w:r>
            <w:r w:rsidRPr="00030A24">
              <w:rPr>
                <w:rFonts w:ascii="Cambria" w:hAnsi="Cambria"/>
                <w:color w:val="000000"/>
                <w:lang w:val="es-CO"/>
              </w:rPr>
              <w:t>Investigación/Violencia policial/Detención arbitraria o ilegal/Ejecuciones sumarias, extrajudiciales o arbitrarias</w:t>
            </w:r>
          </w:p>
          <w:p w14:paraId="29F3BF5A" w14:textId="77777777" w:rsidR="0053292A" w:rsidRPr="00030A24" w:rsidRDefault="0053292A" w:rsidP="00030A24">
            <w:pPr>
              <w:spacing w:after="0" w:line="240" w:lineRule="auto"/>
              <w:jc w:val="both"/>
              <w:rPr>
                <w:rFonts w:ascii="Cambria" w:hAnsi="Cambria"/>
                <w:color w:val="000000"/>
                <w:lang w:val="es-CO"/>
              </w:rPr>
            </w:pPr>
          </w:p>
          <w:p w14:paraId="0700B903"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Los peticionarios alegaron la responsabilidad del Estado por la muerte de Fernando Horacio Giovanelli, quien alrededor de las 21:45 horas del 17 de octubre de 1991, a escasos metros de su hogar fue interceptado por funcionarios de la Policía de la Provincia de Buenos Aires, y luego de requerirle su identificación, lo detuvieron y trasladaron en un móvil sin identificación a la sede de la Comisaría Tercera de Quilmes. Los peticionarios sostienen, que en dicho local policial la presunta víctima fue brutalmente golpeada y luego trasladada hasta la ubicación del Puente 14 de Agosto (Partido de Quilmes) a pocos metros de la comisaría, donde fue arrojada a la vereda y asesinada por uno de los agentes policiales con un disparo de arma de fuego en su cabeza (con ingreso en el lóbulo de la oreja izquierda).También afirmaron, que con posterioridad su cuerpo fue trasladado hasta la zona conocida como “Villa Los Eucaliptos”, la cual pertenece a la jurisdicción de la Comisaría y, arrojado aproximadamente dos horas y media después de su muerte enfrente de la villa miseria. En relación con la investigación de los hechos, los peticionarios alegaron que la versión de los hechos expuesta en el atestado policial que sirvió de base para la respectiva causa penal estaba lleno de inconsistencias; que la investigación policial fue deliberadamente orientada para encubrir la verdad del homicidio; y que los distintos jueces que tuvieron a cargo la causa se limitaron a producir prueba poco conducente para el esclarecimiento de la muerte del joven Giovanelli y, no confrontaron los elementos que aparecieron confusos, sospechosos y contradictorios en la causa.</w:t>
            </w:r>
          </w:p>
          <w:p w14:paraId="41C66F59" w14:textId="77777777" w:rsidR="0053292A" w:rsidRPr="00030A24" w:rsidRDefault="0053292A" w:rsidP="00030A24">
            <w:pPr>
              <w:spacing w:after="0" w:line="240" w:lineRule="auto"/>
              <w:jc w:val="both"/>
              <w:rPr>
                <w:rFonts w:ascii="Cambria" w:hAnsi="Cambria"/>
                <w:color w:val="000000"/>
                <w:lang w:val="es-CO"/>
              </w:rPr>
            </w:pPr>
          </w:p>
          <w:p w14:paraId="74AA7934"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Derechos declarados admisibles:</w:t>
            </w:r>
            <w:r w:rsidRPr="00030A24">
              <w:rPr>
                <w:rFonts w:ascii="Cambria" w:hAnsi="Cambria"/>
                <w:color w:val="000000"/>
                <w:lang w:val="es-CO"/>
              </w:rPr>
              <w:t xml:space="preserve"> La Comisión concluyó que era competente para conocer el presente caso y que la petición era admisible conforme a los artículos 46 y 47 de la Convención Americana, en lo que respecta a las supuestas violaciones de los derechos de Fernando Giovanelli conforme a los artículos (1.1), 4.1 (Derecho a la Vida), 5 (Derecho a la Integridad Personal), 7 (Derecho a la Libertad Personal), 8 (Garantías Judiciales) y 25 (Protección Judicial) de la Convención Americana de Derechos Humanos (CADH).</w:t>
            </w:r>
          </w:p>
        </w:tc>
      </w:tr>
    </w:tbl>
    <w:p w14:paraId="41CC030A" w14:textId="77777777" w:rsidR="0053292A" w:rsidRPr="00030A24" w:rsidRDefault="0053292A" w:rsidP="00030A24">
      <w:pPr>
        <w:spacing w:after="0" w:line="240" w:lineRule="auto"/>
        <w:jc w:val="both"/>
        <w:rPr>
          <w:rFonts w:ascii="Cambria" w:hAnsi="Cambria"/>
          <w:lang w:val="es-CO"/>
        </w:rPr>
      </w:pPr>
    </w:p>
    <w:p w14:paraId="4A9D605D" w14:textId="77777777" w:rsidR="0053292A" w:rsidRPr="00030A24" w:rsidRDefault="0053292A" w:rsidP="00030A24">
      <w:pPr>
        <w:spacing w:after="0" w:line="240" w:lineRule="auto"/>
        <w:jc w:val="both"/>
        <w:rPr>
          <w:rFonts w:ascii="Cambria" w:hAnsi="Cambria"/>
          <w:lang w:val="es-CO"/>
        </w:rPr>
      </w:pPr>
    </w:p>
    <w:p w14:paraId="12869F70" w14:textId="77777777" w:rsidR="0053292A" w:rsidRPr="00030A24" w:rsidRDefault="0053292A" w:rsidP="00030A24">
      <w:pPr>
        <w:numPr>
          <w:ilvl w:val="0"/>
          <w:numId w:val="93"/>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519F4262" w14:textId="77777777" w:rsidR="0053292A" w:rsidRPr="00030A24" w:rsidRDefault="0053292A" w:rsidP="00030A24">
      <w:pPr>
        <w:spacing w:after="0" w:line="240" w:lineRule="auto"/>
        <w:ind w:firstLine="720"/>
        <w:contextualSpacing/>
        <w:jc w:val="both"/>
        <w:rPr>
          <w:rFonts w:ascii="Cambria" w:hAnsi="Cambria"/>
          <w:b/>
          <w:color w:val="000000"/>
          <w:lang w:val="es-CO"/>
        </w:rPr>
      </w:pPr>
    </w:p>
    <w:p w14:paraId="65C29A5E" w14:textId="071091E2" w:rsidR="0053292A" w:rsidRPr="00030A24" w:rsidRDefault="0053292A" w:rsidP="00030A24">
      <w:pPr>
        <w:numPr>
          <w:ilvl w:val="0"/>
          <w:numId w:val="94"/>
        </w:numPr>
        <w:spacing w:after="0" w:line="240" w:lineRule="auto"/>
        <w:ind w:left="0" w:firstLine="720"/>
        <w:contextualSpacing/>
        <w:jc w:val="both"/>
        <w:rPr>
          <w:rFonts w:ascii="Cambria" w:hAnsi="Cambria"/>
          <w:color w:val="000000"/>
          <w:lang w:val="es-CO"/>
        </w:rPr>
      </w:pPr>
      <w:r w:rsidRPr="00030A24">
        <w:rPr>
          <w:rFonts w:ascii="Cambria" w:hAnsi="Cambria"/>
          <w:color w:val="000000"/>
          <w:lang w:val="es-CO"/>
        </w:rPr>
        <w:t>El 23 de agosto de 2007</w:t>
      </w:r>
      <w:r w:rsidR="004D7942"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75A8F025" w14:textId="77777777" w:rsidR="0053292A" w:rsidRPr="00030A24" w:rsidRDefault="0053292A" w:rsidP="00030A24">
      <w:pPr>
        <w:spacing w:after="0" w:line="240" w:lineRule="auto"/>
        <w:ind w:firstLine="720"/>
        <w:contextualSpacing/>
        <w:jc w:val="both"/>
        <w:rPr>
          <w:rFonts w:ascii="Cambria" w:hAnsi="Cambria"/>
          <w:color w:val="000000"/>
          <w:lang w:val="es-CO"/>
        </w:rPr>
      </w:pPr>
    </w:p>
    <w:p w14:paraId="6D11C023" w14:textId="77777777" w:rsidR="0053292A" w:rsidRPr="00030A24" w:rsidRDefault="0053292A" w:rsidP="00030A24">
      <w:pPr>
        <w:numPr>
          <w:ilvl w:val="0"/>
          <w:numId w:val="94"/>
        </w:numPr>
        <w:spacing w:after="0" w:line="240" w:lineRule="auto"/>
        <w:ind w:left="0" w:firstLine="720"/>
        <w:jc w:val="both"/>
        <w:rPr>
          <w:rFonts w:ascii="Cambria" w:hAnsi="Cambria"/>
          <w:color w:val="000000"/>
          <w:lang w:val="es-CO"/>
        </w:rPr>
      </w:pPr>
      <w:r w:rsidRPr="00030A24">
        <w:rPr>
          <w:rFonts w:ascii="Cambria" w:hAnsi="Cambria"/>
          <w:color w:val="000000"/>
          <w:lang w:val="es-CO"/>
        </w:rPr>
        <w:t xml:space="preserve"> El 30 de octubre de 2008, la Comisión aprobó el acuerdo de solución amistosa, mediante informe No. 81/08.</w:t>
      </w:r>
    </w:p>
    <w:p w14:paraId="5D04F2ED" w14:textId="77777777" w:rsidR="0053292A" w:rsidRPr="00030A24" w:rsidRDefault="0053292A" w:rsidP="00030A24">
      <w:pPr>
        <w:spacing w:after="0" w:line="240" w:lineRule="auto"/>
        <w:jc w:val="both"/>
        <w:rPr>
          <w:rFonts w:ascii="Cambria" w:hAnsi="Cambria" w:cs="Calibri Light"/>
          <w:color w:val="000000"/>
          <w:lang w:val="es-CO"/>
        </w:rPr>
      </w:pPr>
    </w:p>
    <w:p w14:paraId="21E863D0" w14:textId="77777777" w:rsidR="0053292A" w:rsidRPr="00030A24" w:rsidRDefault="0053292A" w:rsidP="00030A24">
      <w:pPr>
        <w:numPr>
          <w:ilvl w:val="0"/>
          <w:numId w:val="93"/>
        </w:numPr>
        <w:tabs>
          <w:tab w:val="left" w:pos="709"/>
        </w:tabs>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6B49E3BF" w14:textId="77777777" w:rsidR="0053292A" w:rsidRPr="00030A24" w:rsidRDefault="0053292A" w:rsidP="00030A24">
      <w:pPr>
        <w:spacing w:after="0" w:line="240" w:lineRule="auto"/>
        <w:jc w:val="both"/>
        <w:rPr>
          <w:rFonts w:ascii="Cambria" w:hAnsi="Cambria"/>
          <w:b/>
          <w:color w:val="000000"/>
          <w:lang w:val="es-CO"/>
        </w:rPr>
      </w:pP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8"/>
        <w:gridCol w:w="2187"/>
      </w:tblGrid>
      <w:tr w:rsidR="00035E03" w:rsidRPr="00030A24" w14:paraId="54A4A893" w14:textId="77777777" w:rsidTr="00035E03">
        <w:trPr>
          <w:trHeight w:val="243"/>
          <w:jc w:val="center"/>
        </w:trPr>
        <w:tc>
          <w:tcPr>
            <w:tcW w:w="6868" w:type="dxa"/>
            <w:shd w:val="clear" w:color="auto" w:fill="D9D9D9"/>
            <w:vAlign w:val="center"/>
          </w:tcPr>
          <w:p w14:paraId="6084C657"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2187" w:type="dxa"/>
            <w:shd w:val="clear" w:color="auto" w:fill="D9D9D9"/>
            <w:vAlign w:val="center"/>
          </w:tcPr>
          <w:p w14:paraId="60B9D81D" w14:textId="4BE3F9A6"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3292A" w:rsidRPr="00030A24" w14:paraId="519942DB" w14:textId="77777777" w:rsidTr="00035E03">
        <w:trPr>
          <w:trHeight w:val="456"/>
          <w:jc w:val="center"/>
        </w:trPr>
        <w:tc>
          <w:tcPr>
            <w:tcW w:w="6868" w:type="dxa"/>
            <w:shd w:val="clear" w:color="auto" w:fill="auto"/>
          </w:tcPr>
          <w:p w14:paraId="4E3A7147" w14:textId="77777777" w:rsidR="0053292A" w:rsidRPr="00030A24" w:rsidRDefault="0053292A" w:rsidP="00030A24">
            <w:pPr>
              <w:spacing w:after="0" w:line="240" w:lineRule="auto"/>
              <w:rPr>
                <w:rFonts w:ascii="Cambria" w:hAnsi="Cambria"/>
                <w:color w:val="000000"/>
                <w:lang w:val="es-CO"/>
              </w:rPr>
            </w:pPr>
            <w:r w:rsidRPr="00030A24">
              <w:rPr>
                <w:rFonts w:ascii="Cambria" w:hAnsi="Cambria"/>
                <w:color w:val="000000"/>
                <w:lang w:val="es-CO"/>
              </w:rPr>
              <w:t xml:space="preserve">II. La responsabilidad primaria de la Provincia de Buenos Aires. </w:t>
            </w:r>
          </w:p>
        </w:tc>
        <w:tc>
          <w:tcPr>
            <w:tcW w:w="2187" w:type="dxa"/>
            <w:shd w:val="clear" w:color="auto" w:fill="auto"/>
            <w:vAlign w:val="center"/>
          </w:tcPr>
          <w:p w14:paraId="33189858"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Cláusula declarativa</w:t>
            </w:r>
          </w:p>
        </w:tc>
      </w:tr>
      <w:tr w:rsidR="0053292A" w:rsidRPr="00030A24" w14:paraId="3909D5DF" w14:textId="77777777" w:rsidTr="00035E03">
        <w:trPr>
          <w:trHeight w:val="258"/>
          <w:jc w:val="center"/>
        </w:trPr>
        <w:tc>
          <w:tcPr>
            <w:tcW w:w="9055" w:type="dxa"/>
            <w:gridSpan w:val="2"/>
            <w:shd w:val="clear" w:color="auto" w:fill="auto"/>
            <w:vAlign w:val="center"/>
          </w:tcPr>
          <w:p w14:paraId="7FA6B20F"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III. Medidas a adoptar</w:t>
            </w:r>
          </w:p>
        </w:tc>
      </w:tr>
      <w:tr w:rsidR="0053292A" w:rsidRPr="00030A24" w14:paraId="06CDC0AF" w14:textId="77777777" w:rsidTr="00035E03">
        <w:trPr>
          <w:trHeight w:val="762"/>
          <w:jc w:val="center"/>
        </w:trPr>
        <w:tc>
          <w:tcPr>
            <w:tcW w:w="6868" w:type="dxa"/>
            <w:shd w:val="clear" w:color="auto" w:fill="auto"/>
            <w:vAlign w:val="center"/>
          </w:tcPr>
          <w:p w14:paraId="495E9F8E" w14:textId="77777777" w:rsidR="0053292A" w:rsidRPr="00030A24" w:rsidRDefault="0053292A" w:rsidP="00030A24">
            <w:pPr>
              <w:numPr>
                <w:ilvl w:val="0"/>
                <w:numId w:val="95"/>
              </w:numPr>
              <w:spacing w:after="0" w:line="240" w:lineRule="auto"/>
              <w:jc w:val="both"/>
              <w:rPr>
                <w:rFonts w:ascii="Cambria" w:hAnsi="Cambria"/>
                <w:color w:val="000000"/>
                <w:lang w:val="es-CO"/>
              </w:rPr>
            </w:pPr>
            <w:r w:rsidRPr="00030A24">
              <w:rPr>
                <w:rFonts w:ascii="Cambria" w:hAnsi="Cambria"/>
                <w:color w:val="000000"/>
                <w:lang w:val="es-CO"/>
              </w:rPr>
              <w:t>Medidas de reparación pecuniarias</w:t>
            </w:r>
          </w:p>
        </w:tc>
        <w:tc>
          <w:tcPr>
            <w:tcW w:w="2187" w:type="dxa"/>
            <w:shd w:val="clear" w:color="auto" w:fill="auto"/>
            <w:vAlign w:val="center"/>
          </w:tcPr>
          <w:p w14:paraId="4E1BF8BB" w14:textId="77777777" w:rsidR="0053292A" w:rsidRPr="00030A24" w:rsidRDefault="0053292A" w:rsidP="00030A24">
            <w:pPr>
              <w:spacing w:after="0" w:line="240" w:lineRule="auto"/>
              <w:jc w:val="center"/>
              <w:rPr>
                <w:rFonts w:ascii="Cambria" w:hAnsi="Cambria"/>
                <w:b/>
                <w:color w:val="000000"/>
                <w:lang w:val="es-CO"/>
              </w:rPr>
            </w:pPr>
          </w:p>
          <w:p w14:paraId="2221F839"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p w14:paraId="0C3C77D4" w14:textId="77777777" w:rsidR="0053292A" w:rsidRPr="00030A24" w:rsidRDefault="0053292A" w:rsidP="00030A24">
            <w:pPr>
              <w:spacing w:after="0" w:line="240" w:lineRule="auto"/>
              <w:jc w:val="center"/>
              <w:rPr>
                <w:rFonts w:ascii="Cambria" w:hAnsi="Cambria"/>
                <w:color w:val="000000"/>
                <w:lang w:val="es-CO"/>
              </w:rPr>
            </w:pPr>
          </w:p>
        </w:tc>
      </w:tr>
      <w:tr w:rsidR="0053292A" w:rsidRPr="008A2059" w14:paraId="3C454D90" w14:textId="77777777" w:rsidTr="00035E03">
        <w:trPr>
          <w:trHeight w:val="243"/>
          <w:jc w:val="center"/>
        </w:trPr>
        <w:tc>
          <w:tcPr>
            <w:tcW w:w="9055" w:type="dxa"/>
            <w:gridSpan w:val="2"/>
            <w:shd w:val="clear" w:color="auto" w:fill="auto"/>
            <w:vAlign w:val="center"/>
          </w:tcPr>
          <w:p w14:paraId="1E65A3B0" w14:textId="77777777" w:rsidR="0053292A" w:rsidRPr="00030A24" w:rsidRDefault="0053292A" w:rsidP="00030A24">
            <w:pPr>
              <w:numPr>
                <w:ilvl w:val="0"/>
                <w:numId w:val="95"/>
              </w:numPr>
              <w:spacing w:after="0" w:line="240" w:lineRule="auto"/>
              <w:jc w:val="both"/>
              <w:rPr>
                <w:rFonts w:ascii="Cambria" w:hAnsi="Cambria"/>
                <w:color w:val="000000"/>
                <w:lang w:val="es-CO"/>
              </w:rPr>
            </w:pPr>
            <w:r w:rsidRPr="00030A24">
              <w:rPr>
                <w:rFonts w:ascii="Cambria" w:hAnsi="Cambria"/>
                <w:color w:val="000000"/>
                <w:lang w:val="es-CO"/>
              </w:rPr>
              <w:t>Medidas de reparación no pecuniarias</w:t>
            </w:r>
          </w:p>
        </w:tc>
      </w:tr>
      <w:tr w:rsidR="00035E03" w:rsidRPr="00030A24" w14:paraId="2C112FD0" w14:textId="77777777" w:rsidTr="00035E03">
        <w:trPr>
          <w:trHeight w:val="1800"/>
          <w:jc w:val="center"/>
        </w:trPr>
        <w:tc>
          <w:tcPr>
            <w:tcW w:w="6868" w:type="dxa"/>
            <w:shd w:val="clear" w:color="auto" w:fill="auto"/>
            <w:vAlign w:val="center"/>
          </w:tcPr>
          <w:p w14:paraId="3AA13A59" w14:textId="77777777" w:rsidR="00035E03" w:rsidRPr="00030A24" w:rsidRDefault="00035E03" w:rsidP="00030A24">
            <w:pPr>
              <w:spacing w:after="0" w:line="240" w:lineRule="auto"/>
              <w:jc w:val="both"/>
              <w:rPr>
                <w:rFonts w:ascii="Cambria" w:hAnsi="Cambria"/>
                <w:color w:val="000000"/>
                <w:lang w:val="es-CO"/>
              </w:rPr>
            </w:pPr>
            <w:r w:rsidRPr="00030A24">
              <w:rPr>
                <w:rFonts w:ascii="Cambria" w:hAnsi="Cambria"/>
                <w:color w:val="000000"/>
                <w:lang w:val="es-CO"/>
              </w:rPr>
              <w:t>1. El Gobierno de la República Argentina se compromete a dar a publicidad el presente acuerdo una vez que éste sea homologado por la Comisión Interamericana de Derechos Humanos conforme lo dispuesto por el artículo 49 de la Convención Americana sobre Derechos Humanos, en el "Boletín Oficial de la República Argentina", y en un diario de alcance nacional mediante una gacetilla de prensa, cuyo texto será consensuado previamente con los familiares de la víctima.</w:t>
            </w:r>
          </w:p>
        </w:tc>
        <w:tc>
          <w:tcPr>
            <w:tcW w:w="2187" w:type="dxa"/>
            <w:tcBorders>
              <w:bottom w:val="single" w:sz="4" w:space="0" w:color="auto"/>
            </w:tcBorders>
            <w:shd w:val="clear" w:color="auto" w:fill="auto"/>
            <w:vAlign w:val="center"/>
          </w:tcPr>
          <w:p w14:paraId="56483B20" w14:textId="77777777" w:rsidR="00035E03" w:rsidRPr="00030A24" w:rsidRDefault="00035E03"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3"/>
            </w:r>
          </w:p>
        </w:tc>
      </w:tr>
      <w:tr w:rsidR="00035E03" w:rsidRPr="00030A24" w14:paraId="7D4357AE" w14:textId="77777777" w:rsidTr="00035E03">
        <w:trPr>
          <w:trHeight w:val="267"/>
          <w:jc w:val="center"/>
        </w:trPr>
        <w:tc>
          <w:tcPr>
            <w:tcW w:w="6868" w:type="dxa"/>
            <w:shd w:val="clear" w:color="auto" w:fill="auto"/>
            <w:vAlign w:val="center"/>
          </w:tcPr>
          <w:p w14:paraId="0D696C98" w14:textId="77777777" w:rsidR="00035E03" w:rsidRPr="00030A24" w:rsidRDefault="00035E03" w:rsidP="00030A24">
            <w:pPr>
              <w:spacing w:after="0" w:line="240" w:lineRule="auto"/>
              <w:jc w:val="both"/>
              <w:rPr>
                <w:rFonts w:ascii="Cambria" w:hAnsi="Cambria"/>
                <w:color w:val="000000"/>
                <w:lang w:val="es-CO"/>
              </w:rPr>
            </w:pPr>
            <w:r w:rsidRPr="00030A24">
              <w:rPr>
                <w:rFonts w:ascii="Cambria" w:hAnsi="Cambria"/>
                <w:color w:val="000000"/>
                <w:lang w:val="es-CO"/>
              </w:rPr>
              <w:t>2. El Gobierno de la República Argentina asume el compromiso de invitar al Gobierno de la Provincia de Buenos Aires a que informe respecto del estado de los siguientes expedientes que se encuentran radicados en dependencias públicas de la jurisdicción provincial, hasta su definitiva conclusión:</w:t>
            </w:r>
          </w:p>
          <w:p w14:paraId="2077C096" w14:textId="77777777" w:rsidR="00035E03" w:rsidRPr="00030A24" w:rsidRDefault="00035E03" w:rsidP="00030A24">
            <w:pPr>
              <w:spacing w:after="0" w:line="240" w:lineRule="auto"/>
              <w:jc w:val="both"/>
              <w:rPr>
                <w:rFonts w:ascii="Cambria" w:hAnsi="Cambria"/>
                <w:color w:val="000000"/>
                <w:lang w:val="es-CO"/>
              </w:rPr>
            </w:pPr>
            <w:r w:rsidRPr="00030A24">
              <w:rPr>
                <w:rFonts w:ascii="Cambria" w:hAnsi="Cambria"/>
                <w:color w:val="000000"/>
                <w:lang w:val="es-CO"/>
              </w:rPr>
              <w:t> a) Expediente Nº 1-2378 caratulado "N.N. s/Homicidio - víctima: Giovanelli, Fernando Horacio" en trámite ante el Juzgado de Primera Instancia en lo Criminal y Correccional de Transición Nº 3 del Departamento Judicial de Quilmes, Provincia de Buenos Aires.</w:t>
            </w:r>
          </w:p>
          <w:p w14:paraId="2D240B44" w14:textId="77777777" w:rsidR="00035E03" w:rsidRPr="00030A24" w:rsidRDefault="00035E03" w:rsidP="00030A24">
            <w:pPr>
              <w:spacing w:after="0" w:line="240" w:lineRule="auto"/>
              <w:jc w:val="both"/>
              <w:rPr>
                <w:rFonts w:ascii="Cambria" w:hAnsi="Cambria"/>
                <w:color w:val="000000"/>
                <w:lang w:val="es-CO"/>
              </w:rPr>
            </w:pPr>
            <w:r w:rsidRPr="00030A24">
              <w:rPr>
                <w:rFonts w:ascii="Cambria" w:hAnsi="Cambria"/>
                <w:color w:val="000000"/>
                <w:lang w:val="es-CO"/>
              </w:rPr>
              <w:t> b) Expediente N° 3001-1785/00 caratulado "Suprema Corte de Justicia - Secretaría General S/Situación Irregular observada en la tramitación de la causa Nº 1-2378 del Juzgado Criminal y Correccional de Transición Nº 3 de Quilmes", en trámite ante la Suprema Corte de Justicia de la Provincia de Buenos Aires - Oficina de Control Judicial e Inspección.</w:t>
            </w:r>
          </w:p>
        </w:tc>
        <w:tc>
          <w:tcPr>
            <w:tcW w:w="2187" w:type="dxa"/>
            <w:tcBorders>
              <w:bottom w:val="single" w:sz="4" w:space="0" w:color="auto"/>
            </w:tcBorders>
            <w:vAlign w:val="center"/>
          </w:tcPr>
          <w:p w14:paraId="5AD10233" w14:textId="77777777" w:rsidR="00035E03" w:rsidRPr="00030A24" w:rsidRDefault="00035E03" w:rsidP="00030A24">
            <w:pPr>
              <w:spacing w:after="0" w:line="240" w:lineRule="auto"/>
              <w:contextualSpacing/>
              <w:jc w:val="both"/>
              <w:rPr>
                <w:rFonts w:ascii="Cambria" w:hAnsi="Cambria"/>
                <w:b/>
                <w:color w:val="000000"/>
                <w:lang w:val="es-CO"/>
              </w:rPr>
            </w:pPr>
          </w:p>
          <w:p w14:paraId="1F4E37D8" w14:textId="77777777" w:rsidR="00035E03" w:rsidRPr="00030A24" w:rsidRDefault="00035E03" w:rsidP="00030A24">
            <w:pPr>
              <w:spacing w:after="0" w:line="240" w:lineRule="auto"/>
              <w:contextualSpacing/>
              <w:jc w:val="both"/>
              <w:rPr>
                <w:rFonts w:ascii="Cambria" w:hAnsi="Cambria"/>
                <w:b/>
                <w:color w:val="000000"/>
                <w:lang w:val="es-CO"/>
              </w:rPr>
            </w:pPr>
          </w:p>
          <w:p w14:paraId="16C120BA" w14:textId="77777777" w:rsidR="00035E03" w:rsidRPr="00030A24" w:rsidRDefault="00035E03" w:rsidP="00030A24">
            <w:pPr>
              <w:spacing w:after="0" w:line="240" w:lineRule="auto"/>
              <w:contextualSpacing/>
              <w:jc w:val="both"/>
              <w:rPr>
                <w:rFonts w:ascii="Cambria" w:hAnsi="Cambria"/>
                <w:b/>
                <w:color w:val="000000"/>
                <w:lang w:val="es-CO"/>
              </w:rPr>
            </w:pPr>
          </w:p>
          <w:p w14:paraId="0A114F73" w14:textId="77777777" w:rsidR="00035E03" w:rsidRPr="00030A24" w:rsidRDefault="00035E03" w:rsidP="00030A24">
            <w:pPr>
              <w:spacing w:after="0" w:line="240" w:lineRule="auto"/>
              <w:contextualSpacing/>
              <w:jc w:val="both"/>
              <w:rPr>
                <w:rFonts w:ascii="Cambria" w:hAnsi="Cambria"/>
                <w:b/>
                <w:color w:val="000000"/>
                <w:lang w:val="es-CO"/>
              </w:rPr>
            </w:pPr>
          </w:p>
          <w:p w14:paraId="55219404" w14:textId="77777777" w:rsidR="00035E03" w:rsidRPr="00030A24" w:rsidRDefault="00035E03" w:rsidP="00030A24">
            <w:pPr>
              <w:spacing w:after="0" w:line="240" w:lineRule="auto"/>
              <w:contextualSpacing/>
              <w:jc w:val="center"/>
              <w:rPr>
                <w:rFonts w:ascii="Cambria" w:hAnsi="Cambria"/>
                <w:b/>
                <w:color w:val="0000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4"/>
            </w:r>
          </w:p>
          <w:p w14:paraId="043841DC" w14:textId="77777777" w:rsidR="00035E03" w:rsidRPr="00030A24" w:rsidRDefault="00035E03" w:rsidP="00030A24">
            <w:pPr>
              <w:spacing w:after="0" w:line="240" w:lineRule="auto"/>
              <w:jc w:val="both"/>
              <w:rPr>
                <w:rFonts w:ascii="Cambria" w:hAnsi="Cambria"/>
                <w:color w:val="000000"/>
                <w:lang w:val="es-CO"/>
              </w:rPr>
            </w:pPr>
          </w:p>
        </w:tc>
      </w:tr>
      <w:tr w:rsidR="00035E03" w:rsidRPr="00030A24" w14:paraId="43E544CD" w14:textId="77777777" w:rsidTr="00035E03">
        <w:trPr>
          <w:trHeight w:val="243"/>
          <w:jc w:val="center"/>
        </w:trPr>
        <w:tc>
          <w:tcPr>
            <w:tcW w:w="6868" w:type="dxa"/>
            <w:shd w:val="clear" w:color="auto" w:fill="auto"/>
          </w:tcPr>
          <w:p w14:paraId="53F89E9E" w14:textId="77777777" w:rsidR="00035E03" w:rsidRPr="00030A24" w:rsidRDefault="00035E03" w:rsidP="00030A24">
            <w:pPr>
              <w:spacing w:after="0" w:line="240" w:lineRule="auto"/>
              <w:jc w:val="both"/>
              <w:rPr>
                <w:rFonts w:ascii="Cambria" w:hAnsi="Cambria"/>
                <w:color w:val="000000"/>
                <w:lang w:val="es-CO"/>
              </w:rPr>
            </w:pPr>
            <w:r w:rsidRPr="00030A24">
              <w:rPr>
                <w:rFonts w:ascii="Cambria" w:hAnsi="Cambria"/>
                <w:color w:val="000000"/>
                <w:lang w:val="es-CO"/>
              </w:rPr>
              <w:lastRenderedPageBreak/>
              <w:t>3. El Gobierno de la República Argentina se compromete a invitar al Gobierno de la Provincia de Buenos Aires a evaluar la posibilidad de incorporar el caso "Giovanelli" a los planes de estudio actualmente en vigencia en los institutos de formación policial como medida de no repetición de prácticas violatorias de derechos humanos.</w:t>
            </w:r>
          </w:p>
        </w:tc>
        <w:tc>
          <w:tcPr>
            <w:tcW w:w="2187" w:type="dxa"/>
            <w:tcBorders>
              <w:bottom w:val="single" w:sz="4" w:space="0" w:color="auto"/>
            </w:tcBorders>
            <w:shd w:val="clear" w:color="auto" w:fill="auto"/>
            <w:vAlign w:val="center"/>
          </w:tcPr>
          <w:p w14:paraId="03EA0598" w14:textId="77777777" w:rsidR="00035E03" w:rsidRPr="00030A24" w:rsidRDefault="00035E03"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5"/>
            </w:r>
          </w:p>
        </w:tc>
      </w:tr>
      <w:tr w:rsidR="00035E03" w:rsidRPr="00030A24" w14:paraId="220101EC" w14:textId="77777777" w:rsidTr="00035E03">
        <w:trPr>
          <w:trHeight w:val="3325"/>
          <w:jc w:val="center"/>
        </w:trPr>
        <w:tc>
          <w:tcPr>
            <w:tcW w:w="6868" w:type="dxa"/>
            <w:shd w:val="clear" w:color="auto" w:fill="auto"/>
          </w:tcPr>
          <w:p w14:paraId="05322733" w14:textId="77777777" w:rsidR="00035E03" w:rsidRPr="00030A24" w:rsidRDefault="00035E03" w:rsidP="00030A24">
            <w:pPr>
              <w:spacing w:after="0" w:line="240" w:lineRule="auto"/>
              <w:jc w:val="both"/>
              <w:rPr>
                <w:rFonts w:ascii="Cambria" w:hAnsi="Cambria"/>
                <w:color w:val="000000"/>
                <w:lang w:val="es-CO"/>
              </w:rPr>
            </w:pPr>
            <w:r w:rsidRPr="00030A24">
              <w:rPr>
                <w:rFonts w:ascii="Cambria" w:hAnsi="Cambria"/>
                <w:color w:val="000000"/>
                <w:lang w:val="es-CO"/>
              </w:rPr>
              <w:t>4. El Gobierno de la República Argentina se compromete a elaborar un proyecto normativo mediante el cual se establezca un procedimiento para la tramitación y diligenciamiento de las peticiones que se sustancien ante la Comisión y ante la Corte Interamericana de Derechos Humanos, que contemple el proceso de toma de decisiones —incluyendo la institución de la "solución amistosa"—, un mecanismo de tratamiento de las recomendaciones de la Comisión Interamericana de Derechos Humanos, y un procedimiento de cumplimiento de las sentencias de la Corte Interamericana de Derechos Humanos, en consonancia con lo prescripto en el artículo 28 (cláusula federal) en relación con los artículos 1 inciso 1 (obligación genérica de respeto y garantía) y 2 (deber de adoptar disposiciones de derecho interno), de la Convención Americana de Derechos Humanos.</w:t>
            </w:r>
          </w:p>
        </w:tc>
        <w:tc>
          <w:tcPr>
            <w:tcW w:w="2187" w:type="dxa"/>
            <w:vAlign w:val="center"/>
          </w:tcPr>
          <w:p w14:paraId="2C6A1AFE" w14:textId="77777777" w:rsidR="00035E03" w:rsidRPr="00030A24" w:rsidRDefault="00035E03" w:rsidP="00030A24">
            <w:pPr>
              <w:spacing w:after="0" w:line="240" w:lineRule="auto"/>
              <w:contextualSpacing/>
              <w:jc w:val="center"/>
              <w:rPr>
                <w:rFonts w:ascii="Cambria" w:hAnsi="Cambria"/>
                <w:b/>
                <w:color w:val="0000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6"/>
            </w:r>
          </w:p>
          <w:p w14:paraId="7D9A42C9" w14:textId="77777777" w:rsidR="00035E03" w:rsidRPr="00030A24" w:rsidRDefault="00035E03" w:rsidP="00030A24">
            <w:pPr>
              <w:spacing w:after="0" w:line="240" w:lineRule="auto"/>
              <w:jc w:val="both"/>
              <w:rPr>
                <w:rFonts w:ascii="Cambria" w:hAnsi="Cambria"/>
                <w:color w:val="000000"/>
                <w:lang w:val="es-CO"/>
              </w:rPr>
            </w:pPr>
          </w:p>
        </w:tc>
      </w:tr>
    </w:tbl>
    <w:p w14:paraId="2B972774" w14:textId="77777777" w:rsidR="0053292A" w:rsidRPr="00030A24" w:rsidRDefault="0053292A" w:rsidP="00030A24">
      <w:pPr>
        <w:spacing w:after="0" w:line="240" w:lineRule="auto"/>
        <w:ind w:left="1440"/>
        <w:contextualSpacing/>
        <w:jc w:val="both"/>
        <w:rPr>
          <w:rFonts w:ascii="Cambria" w:hAnsi="Cambria"/>
          <w:b/>
          <w:color w:val="000000"/>
          <w:lang w:val="es-CO"/>
        </w:rPr>
      </w:pPr>
    </w:p>
    <w:p w14:paraId="60D16794" w14:textId="77777777" w:rsidR="0053292A" w:rsidRPr="00030A24" w:rsidRDefault="0053292A" w:rsidP="00030A24">
      <w:pPr>
        <w:numPr>
          <w:ilvl w:val="0"/>
          <w:numId w:val="93"/>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 xml:space="preserve">NIVEL DE CUMPLIMIENTO DEL CASO </w:t>
      </w:r>
    </w:p>
    <w:p w14:paraId="5C7F7BD2" w14:textId="77777777" w:rsidR="0053292A" w:rsidRPr="00030A24" w:rsidRDefault="0053292A" w:rsidP="00030A24">
      <w:pPr>
        <w:autoSpaceDE w:val="0"/>
        <w:autoSpaceDN w:val="0"/>
        <w:adjustRightInd w:val="0"/>
        <w:spacing w:after="0" w:line="240" w:lineRule="auto"/>
        <w:ind w:firstLine="720"/>
        <w:jc w:val="both"/>
        <w:rPr>
          <w:rFonts w:ascii="Cambria" w:hAnsi="Cambria"/>
          <w:b/>
          <w:color w:val="000000"/>
          <w:lang w:val="es-CO"/>
        </w:rPr>
      </w:pPr>
    </w:p>
    <w:p w14:paraId="21BE0613" w14:textId="4F4CCBA2" w:rsidR="0053292A" w:rsidRPr="00030A24" w:rsidRDefault="0053292A" w:rsidP="00030A24">
      <w:pPr>
        <w:numPr>
          <w:ilvl w:val="0"/>
          <w:numId w:val="94"/>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La Comisión valoró la solicitud de la parte peticionaria de 22 de marzo de 2019, en la cual solicitaron el cese de la supervisión del acuerdo y el archivo del caso dada la falta de avances del estado en esos dos extremos del acuerdo frente al transcurso del tiempo y la avanzada edad de la madre de la víctima y su delicado estado de salud. Al respecto, la Comisión decidió dejar constancia de que esas dos medidas en materia de justicia y cambios legislativos fueron incumplidas por el Estado argentino y que el nivel de cumplimiento del acuerdo es parcial.</w:t>
      </w:r>
    </w:p>
    <w:p w14:paraId="11FBD821"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059F1992" w14:textId="77777777" w:rsidR="0053292A" w:rsidRPr="00030A24" w:rsidRDefault="0053292A" w:rsidP="00030A24">
      <w:pPr>
        <w:numPr>
          <w:ilvl w:val="0"/>
          <w:numId w:val="93"/>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RESULTADOS INDIVIDUALES Y ESTRUCTURALES DEL CASO </w:t>
      </w:r>
    </w:p>
    <w:p w14:paraId="43A4B6A1"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20FF07FF" w14:textId="77777777" w:rsidR="0053292A" w:rsidRPr="00030A24" w:rsidRDefault="0053292A" w:rsidP="00030A24">
      <w:pPr>
        <w:numPr>
          <w:ilvl w:val="0"/>
          <w:numId w:val="96"/>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Resultados individuales del caso</w:t>
      </w:r>
    </w:p>
    <w:p w14:paraId="72E27C61" w14:textId="77777777" w:rsidR="0053292A" w:rsidRPr="00030A24" w:rsidRDefault="0053292A" w:rsidP="00030A24">
      <w:pPr>
        <w:spacing w:after="0" w:line="240" w:lineRule="auto"/>
        <w:jc w:val="both"/>
        <w:rPr>
          <w:rFonts w:ascii="Cambria" w:hAnsi="Cambria"/>
          <w:b/>
          <w:color w:val="000000"/>
          <w:lang w:val="es-CO"/>
        </w:rPr>
      </w:pPr>
    </w:p>
    <w:p w14:paraId="75CA7EA9" w14:textId="77777777" w:rsidR="0053292A" w:rsidRPr="00030A24" w:rsidRDefault="0053292A" w:rsidP="00030A24">
      <w:pPr>
        <w:numPr>
          <w:ilvl w:val="0"/>
          <w:numId w:val="98"/>
        </w:numPr>
        <w:spacing w:after="0" w:line="240" w:lineRule="auto"/>
        <w:ind w:left="1440" w:hanging="720"/>
        <w:contextualSpacing/>
        <w:jc w:val="both"/>
        <w:rPr>
          <w:rFonts w:ascii="Cambria" w:hAnsi="Cambria"/>
          <w:b/>
          <w:color w:val="000000"/>
          <w:lang w:val="es-CO"/>
        </w:rPr>
      </w:pPr>
      <w:r w:rsidRPr="00030A24">
        <w:rPr>
          <w:rFonts w:ascii="Cambria" w:hAnsi="Cambria"/>
          <w:color w:val="000000"/>
          <w:lang w:val="es-CO"/>
        </w:rPr>
        <w:t>El Estado realizó la reparación económica, según lo acordado en el laudo arbitral;</w:t>
      </w:r>
    </w:p>
    <w:p w14:paraId="746A091C" w14:textId="77777777" w:rsidR="0053292A" w:rsidRPr="00030A24" w:rsidRDefault="0053292A" w:rsidP="00030A24">
      <w:pPr>
        <w:numPr>
          <w:ilvl w:val="0"/>
          <w:numId w:val="97"/>
        </w:numPr>
        <w:spacing w:after="0" w:line="240" w:lineRule="auto"/>
        <w:ind w:left="1440" w:hanging="720"/>
        <w:contextualSpacing/>
        <w:jc w:val="both"/>
        <w:rPr>
          <w:rFonts w:ascii="Cambria" w:hAnsi="Cambria"/>
          <w:color w:val="000000"/>
          <w:lang w:val="es-CO"/>
        </w:rPr>
      </w:pPr>
      <w:r w:rsidRPr="00030A24">
        <w:rPr>
          <w:rFonts w:ascii="Cambria" w:hAnsi="Cambria"/>
          <w:color w:val="000000"/>
          <w:lang w:val="es-CO"/>
        </w:rPr>
        <w:t>El Estado realizó la publicación del acuerdo de solución amistosa el Boletín Oficial de la República Argentina.</w:t>
      </w:r>
    </w:p>
    <w:p w14:paraId="22EC70C8" w14:textId="77777777" w:rsidR="0053292A" w:rsidRPr="00030A24" w:rsidRDefault="0053292A" w:rsidP="00030A24">
      <w:pPr>
        <w:spacing w:after="0" w:line="240" w:lineRule="auto"/>
        <w:jc w:val="both"/>
        <w:rPr>
          <w:rFonts w:ascii="Cambria" w:hAnsi="Cambria"/>
          <w:b/>
          <w:color w:val="000000"/>
          <w:lang w:val="es-CO"/>
        </w:rPr>
      </w:pPr>
    </w:p>
    <w:p w14:paraId="63AF7B00" w14:textId="77777777" w:rsidR="0053292A" w:rsidRPr="00030A24" w:rsidRDefault="0053292A" w:rsidP="00030A24">
      <w:pPr>
        <w:numPr>
          <w:ilvl w:val="0"/>
          <w:numId w:val="96"/>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Resultados estructurales del caso</w:t>
      </w:r>
    </w:p>
    <w:p w14:paraId="5E0EA0BD" w14:textId="77777777" w:rsidR="0053292A" w:rsidRPr="00030A24" w:rsidRDefault="0053292A" w:rsidP="00030A24">
      <w:pPr>
        <w:spacing w:after="0" w:line="240" w:lineRule="auto"/>
        <w:jc w:val="both"/>
        <w:rPr>
          <w:rFonts w:ascii="Cambria" w:hAnsi="Cambria"/>
          <w:b/>
          <w:color w:val="000000"/>
          <w:lang w:val="es-CO"/>
        </w:rPr>
      </w:pPr>
    </w:p>
    <w:p w14:paraId="72396885" w14:textId="77777777" w:rsidR="0053292A" w:rsidRPr="00030A24" w:rsidRDefault="0053292A" w:rsidP="00030A24">
      <w:pPr>
        <w:numPr>
          <w:ilvl w:val="0"/>
          <w:numId w:val="98"/>
        </w:numPr>
        <w:spacing w:after="0" w:line="240" w:lineRule="auto"/>
        <w:ind w:left="1440" w:hanging="720"/>
        <w:contextualSpacing/>
        <w:jc w:val="both"/>
        <w:rPr>
          <w:rFonts w:ascii="Cambria" w:hAnsi="Cambria"/>
          <w:color w:val="000000"/>
          <w:lang w:val="es-CO"/>
        </w:rPr>
      </w:pPr>
      <w:r w:rsidRPr="00030A24">
        <w:rPr>
          <w:rFonts w:ascii="Cambria" w:hAnsi="Cambria"/>
          <w:color w:val="000000"/>
          <w:lang w:val="es-CO"/>
        </w:rPr>
        <w:t>Entró en vigor el Diseño Curricular para la Escuela de Policía Juan Vucetich y Sedes Descentralizadas, por parte de la Dirección General de Cultura y Educación de la provincia de Buenos Aires.;</w:t>
      </w:r>
    </w:p>
    <w:p w14:paraId="1F6BABCE" w14:textId="77777777" w:rsidR="0053292A" w:rsidRPr="00030A24" w:rsidRDefault="0053292A" w:rsidP="00030A24">
      <w:pPr>
        <w:numPr>
          <w:ilvl w:val="0"/>
          <w:numId w:val="98"/>
        </w:numPr>
        <w:spacing w:after="0" w:line="240" w:lineRule="auto"/>
        <w:ind w:left="1440" w:hanging="720"/>
        <w:contextualSpacing/>
        <w:jc w:val="both"/>
        <w:rPr>
          <w:rFonts w:ascii="Cambria" w:hAnsi="Cambria"/>
          <w:color w:val="000000"/>
          <w:lang w:val="es-CO"/>
        </w:rPr>
      </w:pPr>
      <w:r w:rsidRPr="00030A24">
        <w:rPr>
          <w:rFonts w:ascii="Cambria" w:hAnsi="Cambria"/>
          <w:color w:val="000000"/>
          <w:lang w:val="es-CO"/>
        </w:rPr>
        <w:t>Se desarchivó el expediente No. 1-2378;</w:t>
      </w:r>
    </w:p>
    <w:p w14:paraId="721D76B2" w14:textId="6BD8839D" w:rsidR="00977EF7" w:rsidRPr="00030A24" w:rsidRDefault="0053292A" w:rsidP="00030A24">
      <w:pPr>
        <w:numPr>
          <w:ilvl w:val="0"/>
          <w:numId w:val="98"/>
        </w:numPr>
        <w:spacing w:after="0" w:line="240" w:lineRule="auto"/>
        <w:ind w:left="1440" w:hanging="720"/>
        <w:jc w:val="both"/>
        <w:rPr>
          <w:lang w:val="es-MX"/>
        </w:rPr>
      </w:pPr>
      <w:r w:rsidRPr="00030A24">
        <w:rPr>
          <w:rFonts w:ascii="Cambria" w:hAnsi="Cambria"/>
          <w:color w:val="000000"/>
          <w:lang w:val="es-CO"/>
        </w:rPr>
        <w:t xml:space="preserve">Creación de un proyecto de ley en la Provincia de Buenos Aires para el cumplimiento de las decisiones del SIDH. </w:t>
      </w:r>
    </w:p>
    <w:sectPr w:rsidR="00977EF7" w:rsidRPr="00030A24" w:rsidSect="007E4ED5">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DB0D" w14:textId="77777777" w:rsidR="001E7583" w:rsidRDefault="001E7583" w:rsidP="00A343FF">
      <w:pPr>
        <w:spacing w:after="0" w:line="240" w:lineRule="auto"/>
      </w:pPr>
      <w:r>
        <w:separator/>
      </w:r>
    </w:p>
  </w:endnote>
  <w:endnote w:type="continuationSeparator" w:id="0">
    <w:p w14:paraId="42ED932D" w14:textId="77777777" w:rsidR="001E7583" w:rsidRDefault="001E7583" w:rsidP="00A343FF">
      <w:pPr>
        <w:spacing w:after="0" w:line="240" w:lineRule="auto"/>
      </w:pPr>
      <w:r>
        <w:continuationSeparator/>
      </w:r>
    </w:p>
  </w:endnote>
  <w:endnote w:type="continuationNotice" w:id="1">
    <w:p w14:paraId="78F7046D" w14:textId="77777777" w:rsidR="001E7583" w:rsidRDefault="001E7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1B1CB2"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DD8E" w14:textId="77777777" w:rsidR="001E7583" w:rsidRDefault="001E7583" w:rsidP="00A343FF">
      <w:pPr>
        <w:spacing w:after="0" w:line="240" w:lineRule="auto"/>
      </w:pPr>
      <w:r>
        <w:separator/>
      </w:r>
    </w:p>
  </w:footnote>
  <w:footnote w:type="continuationSeparator" w:id="0">
    <w:p w14:paraId="7FEB2F25" w14:textId="77777777" w:rsidR="001E7583" w:rsidRDefault="001E7583" w:rsidP="00A343FF">
      <w:pPr>
        <w:spacing w:after="0" w:line="240" w:lineRule="auto"/>
      </w:pPr>
      <w:r>
        <w:continuationSeparator/>
      </w:r>
    </w:p>
  </w:footnote>
  <w:footnote w:type="continuationNotice" w:id="1">
    <w:p w14:paraId="52E4DCDD" w14:textId="77777777" w:rsidR="001E7583" w:rsidRDefault="001E7583">
      <w:pPr>
        <w:spacing w:after="0" w:line="240" w:lineRule="auto"/>
      </w:pPr>
    </w:p>
  </w:footnote>
  <w:footnote w:id="2">
    <w:p w14:paraId="6339CDEB" w14:textId="77777777" w:rsidR="0053292A" w:rsidRPr="00F85603" w:rsidRDefault="0053292A" w:rsidP="0053292A">
      <w:pPr>
        <w:pStyle w:val="FootnoteText"/>
        <w:tabs>
          <w:tab w:val="left" w:pos="180"/>
        </w:tabs>
        <w:ind w:firstLine="709"/>
        <w:jc w:val="both"/>
        <w:rPr>
          <w:rFonts w:ascii="Cambria" w:hAnsi="Cambria"/>
          <w:color w:val="000000"/>
          <w:sz w:val="16"/>
          <w:szCs w:val="16"/>
          <w:lang w:val="es-VE"/>
        </w:rPr>
      </w:pPr>
      <w:r w:rsidRPr="00F85603">
        <w:rPr>
          <w:rStyle w:val="FootnoteReference"/>
          <w:rFonts w:ascii="Cambria" w:hAnsi="Cambria"/>
          <w:color w:val="000000"/>
          <w:sz w:val="16"/>
          <w:szCs w:val="16"/>
        </w:rPr>
        <w:footnoteRef/>
      </w:r>
      <w:r w:rsidRPr="00F85603">
        <w:rPr>
          <w:rFonts w:ascii="Cambria" w:hAnsi="Cambria"/>
          <w:color w:val="000000"/>
          <w:sz w:val="16"/>
          <w:szCs w:val="16"/>
          <w:lang w:val="es-VE"/>
        </w:rPr>
        <w:t xml:space="preserve"> </w:t>
      </w:r>
      <w:r w:rsidRPr="00F85603">
        <w:rPr>
          <w:rFonts w:ascii="Cambria" w:hAnsi="Cambria"/>
          <w:color w:val="000000"/>
          <w:sz w:val="16"/>
          <w:szCs w:val="16"/>
          <w:lang w:val="es-ES"/>
        </w:rPr>
        <w:t xml:space="preserve">Ver CIDH, Informe Anual 2013, Capítulo II, Sección D: Estado de Cumplimiento de las Recomendaciones de la CIDH, párr. 87 - </w:t>
      </w:r>
      <w:r w:rsidRPr="00F85603">
        <w:rPr>
          <w:rFonts w:ascii="Cambria" w:hAnsi="Cambria"/>
          <w:color w:val="000000"/>
          <w:sz w:val="16"/>
          <w:szCs w:val="16"/>
          <w:lang w:val="es-CO"/>
        </w:rPr>
        <w:t xml:space="preserve">104. Disponible en: </w:t>
      </w:r>
      <w:hyperlink r:id="rId1" w:history="1">
        <w:r w:rsidRPr="00F85603">
          <w:rPr>
            <w:rStyle w:val="Hyperlink"/>
            <w:rFonts w:ascii="Cambria" w:hAnsi="Cambria"/>
            <w:color w:val="000000"/>
            <w:sz w:val="16"/>
            <w:szCs w:val="16"/>
            <w:lang w:val="es-ES"/>
          </w:rPr>
          <w:t>http://www.oas.org/es/cidh/docs/anual/2013/docs-es/InformeAnual-Cap2-D.pdf</w:t>
        </w:r>
      </w:hyperlink>
      <w:r w:rsidRPr="00F85603">
        <w:rPr>
          <w:rFonts w:ascii="Cambria" w:hAnsi="Cambria"/>
          <w:color w:val="000000"/>
          <w:sz w:val="16"/>
          <w:szCs w:val="16"/>
          <w:lang w:val="es-ES"/>
        </w:rPr>
        <w:t xml:space="preserve"> </w:t>
      </w:r>
    </w:p>
  </w:footnote>
  <w:footnote w:id="3">
    <w:p w14:paraId="2A641BB3" w14:textId="77777777" w:rsidR="00035E03" w:rsidRPr="00F85603" w:rsidRDefault="00035E03" w:rsidP="0053292A">
      <w:pPr>
        <w:spacing w:after="0" w:line="240" w:lineRule="auto"/>
        <w:ind w:firstLine="709"/>
        <w:jc w:val="both"/>
        <w:rPr>
          <w:rFonts w:ascii="Cambria" w:hAnsi="Cambria"/>
          <w:sz w:val="16"/>
          <w:szCs w:val="16"/>
          <w:lang w:val="es-CO"/>
        </w:rPr>
      </w:pPr>
      <w:r w:rsidRPr="00F85603">
        <w:rPr>
          <w:rStyle w:val="FootnoteReference"/>
          <w:sz w:val="16"/>
          <w:szCs w:val="16"/>
        </w:rPr>
        <w:footnoteRef/>
      </w:r>
      <w:r w:rsidRPr="00F85603">
        <w:rPr>
          <w:sz w:val="16"/>
          <w:szCs w:val="16"/>
          <w:lang w:val="es-ES"/>
        </w:rPr>
        <w:t xml:space="preserve"> </w:t>
      </w:r>
      <w:r w:rsidRPr="00F85603">
        <w:rPr>
          <w:rFonts w:ascii="Cambria" w:hAnsi="Cambria"/>
          <w:color w:val="000000"/>
          <w:sz w:val="16"/>
          <w:szCs w:val="16"/>
          <w:lang w:val="es-ES"/>
        </w:rPr>
        <w:t xml:space="preserve">Ver CIDH, Informe Anual 2018, Capítulo II, Sección G. Estado del cumplimiento de las recomendaciones de la CIDH emitidas en informes de fondo y de los acuerdos de solución amistosa homologados por la CIDH, </w:t>
      </w:r>
      <w:r w:rsidRPr="00F85603">
        <w:rPr>
          <w:rFonts w:ascii="Cambria" w:hAnsi="Cambria"/>
          <w:color w:val="000000"/>
          <w:sz w:val="16"/>
          <w:szCs w:val="16"/>
          <w:lang w:val="es-CO"/>
        </w:rPr>
        <w:t xml:space="preserve">Disponible en: </w:t>
      </w:r>
      <w:hyperlink r:id="rId2" w:history="1">
        <w:r w:rsidRPr="00F85603">
          <w:rPr>
            <w:rStyle w:val="Hyperlink"/>
            <w:rFonts w:ascii="Cambria" w:hAnsi="Cambria"/>
            <w:sz w:val="16"/>
            <w:szCs w:val="16"/>
            <w:lang w:val="es-ES"/>
          </w:rPr>
          <w:t>http://www.oas.org/es/cidh/docs/anual/2018/docs/IA2018cap.2-es.pdf</w:t>
        </w:r>
      </w:hyperlink>
    </w:p>
  </w:footnote>
  <w:footnote w:id="4">
    <w:p w14:paraId="1B87A859" w14:textId="77777777" w:rsidR="00035E03" w:rsidRPr="00E64F44" w:rsidRDefault="00035E03" w:rsidP="0053292A">
      <w:pPr>
        <w:pStyle w:val="FootnoteText"/>
        <w:spacing w:after="240"/>
        <w:ind w:firstLine="709"/>
        <w:jc w:val="both"/>
        <w:rPr>
          <w:sz w:val="16"/>
          <w:szCs w:val="16"/>
          <w:lang w:val="es-AR"/>
        </w:rPr>
      </w:pPr>
      <w:r w:rsidRPr="00F85603">
        <w:rPr>
          <w:rStyle w:val="FootnoteReference"/>
          <w:sz w:val="16"/>
          <w:szCs w:val="16"/>
        </w:rPr>
        <w:footnoteRef/>
      </w:r>
      <w:r w:rsidRPr="00F85603">
        <w:rPr>
          <w:sz w:val="16"/>
          <w:szCs w:val="16"/>
          <w:lang w:val="es-AR"/>
        </w:rPr>
        <w:t xml:space="preserve"> </w:t>
      </w:r>
      <w:r w:rsidRPr="00F85603">
        <w:rPr>
          <w:rFonts w:ascii="Cambria" w:hAnsi="Cambria"/>
          <w:color w:val="000000"/>
          <w:sz w:val="16"/>
          <w:szCs w:val="16"/>
          <w:lang w:val="es-ES"/>
        </w:rPr>
        <w:t xml:space="preserve">Ver CIDH, Informe Anual 2019, Capítulo II, Sección G. Soluciones Amistosas, </w:t>
      </w:r>
      <w:r w:rsidRPr="00F85603">
        <w:rPr>
          <w:rFonts w:ascii="Cambria" w:hAnsi="Cambria"/>
          <w:color w:val="000000"/>
          <w:sz w:val="16"/>
          <w:szCs w:val="16"/>
          <w:lang w:val="es-CO"/>
        </w:rPr>
        <w:t xml:space="preserve">Disponible en: </w:t>
      </w:r>
      <w:hyperlink r:id="rId3" w:history="1">
        <w:r w:rsidRPr="00F85603">
          <w:rPr>
            <w:rStyle w:val="Hyperlink"/>
            <w:rFonts w:ascii="Cambria" w:hAnsi="Cambria"/>
            <w:sz w:val="16"/>
            <w:szCs w:val="16"/>
            <w:lang w:val="es-VE"/>
          </w:rPr>
          <w:t>http://www.oas.org/es/cidh/docs/anual/2019/docs/IA2019cap2-es.pdf</w:t>
        </w:r>
      </w:hyperlink>
    </w:p>
  </w:footnote>
  <w:footnote w:id="5">
    <w:p w14:paraId="4D8D493C" w14:textId="77777777" w:rsidR="00035E03" w:rsidRPr="00F85603" w:rsidRDefault="00035E03" w:rsidP="0053292A">
      <w:pPr>
        <w:spacing w:after="0" w:line="240" w:lineRule="auto"/>
        <w:ind w:firstLine="709"/>
        <w:jc w:val="both"/>
        <w:rPr>
          <w:rFonts w:ascii="Cambria" w:hAnsi="Cambria"/>
          <w:sz w:val="16"/>
          <w:szCs w:val="16"/>
          <w:lang w:val="es-CO"/>
        </w:rPr>
      </w:pPr>
      <w:r w:rsidRPr="00F85603">
        <w:rPr>
          <w:rStyle w:val="FootnoteReference"/>
          <w:sz w:val="16"/>
          <w:szCs w:val="16"/>
        </w:rPr>
        <w:footnoteRef/>
      </w:r>
      <w:r w:rsidRPr="00F85603">
        <w:rPr>
          <w:sz w:val="16"/>
          <w:szCs w:val="16"/>
          <w:lang w:val="es-ES"/>
        </w:rPr>
        <w:t xml:space="preserve"> </w:t>
      </w:r>
      <w:r w:rsidRPr="00F85603">
        <w:rPr>
          <w:rFonts w:ascii="Cambria" w:hAnsi="Cambria"/>
          <w:color w:val="000000"/>
          <w:sz w:val="16"/>
          <w:szCs w:val="16"/>
          <w:lang w:val="es-ES"/>
        </w:rPr>
        <w:t xml:space="preserve">Ver CIDH, Informe Anual 2018, Capítulo II, Sección G. Estado del cumplimiento de las recomendaciones de la CIDH emitidas en informes de fondo y de los acuerdos de solución amistosa homologados por la CIDH, </w:t>
      </w:r>
      <w:r w:rsidRPr="00F85603">
        <w:rPr>
          <w:rFonts w:ascii="Cambria" w:hAnsi="Cambria"/>
          <w:color w:val="000000"/>
          <w:sz w:val="16"/>
          <w:szCs w:val="16"/>
          <w:lang w:val="es-CO"/>
        </w:rPr>
        <w:t xml:space="preserve">Disponible en: </w:t>
      </w:r>
      <w:hyperlink r:id="rId4" w:history="1">
        <w:r w:rsidRPr="00F85603">
          <w:rPr>
            <w:rStyle w:val="Hyperlink"/>
            <w:rFonts w:ascii="Cambria" w:hAnsi="Cambria"/>
            <w:sz w:val="16"/>
            <w:szCs w:val="16"/>
            <w:lang w:val="es-ES"/>
          </w:rPr>
          <w:t>http://www.oas.org/es/cidh/docs/anual/2018/docs/IA2018cap.2-es.pdf</w:t>
        </w:r>
      </w:hyperlink>
    </w:p>
  </w:footnote>
  <w:footnote w:id="6">
    <w:p w14:paraId="1BB3799A" w14:textId="77777777" w:rsidR="00035E03" w:rsidRPr="00E64F44" w:rsidRDefault="00035E03" w:rsidP="0053292A">
      <w:pPr>
        <w:pStyle w:val="FootnoteText"/>
        <w:spacing w:after="240"/>
        <w:ind w:firstLine="709"/>
        <w:jc w:val="both"/>
        <w:rPr>
          <w:sz w:val="16"/>
          <w:szCs w:val="16"/>
          <w:lang w:val="es-AR"/>
        </w:rPr>
      </w:pPr>
      <w:r w:rsidRPr="00F85603">
        <w:rPr>
          <w:rStyle w:val="FootnoteReference"/>
          <w:sz w:val="16"/>
          <w:szCs w:val="16"/>
        </w:rPr>
        <w:footnoteRef/>
      </w:r>
      <w:r w:rsidRPr="00F85603">
        <w:rPr>
          <w:sz w:val="16"/>
          <w:szCs w:val="16"/>
          <w:lang w:val="es-AR"/>
        </w:rPr>
        <w:t xml:space="preserve"> </w:t>
      </w:r>
      <w:r w:rsidRPr="00F85603">
        <w:rPr>
          <w:rFonts w:ascii="Cambria" w:hAnsi="Cambria"/>
          <w:color w:val="000000"/>
          <w:sz w:val="16"/>
          <w:szCs w:val="16"/>
          <w:lang w:val="es-ES"/>
        </w:rPr>
        <w:t xml:space="preserve">Ver CIDH, Informe Anual 2019, Capítulo II, Sección G. Soluciones Amistosas, </w:t>
      </w:r>
      <w:r w:rsidRPr="00F85603">
        <w:rPr>
          <w:rFonts w:ascii="Cambria" w:hAnsi="Cambria"/>
          <w:color w:val="000000"/>
          <w:sz w:val="16"/>
          <w:szCs w:val="16"/>
          <w:lang w:val="es-CO"/>
        </w:rPr>
        <w:t xml:space="preserve">Disponible en: </w:t>
      </w:r>
      <w:hyperlink r:id="rId5" w:history="1">
        <w:r w:rsidRPr="00F85603">
          <w:rPr>
            <w:rStyle w:val="Hyperlink"/>
            <w:rFonts w:ascii="Cambria" w:hAnsi="Cambria"/>
            <w:sz w:val="16"/>
            <w:szCs w:val="16"/>
            <w:lang w:val="es-VE"/>
          </w:rPr>
          <w:t>http://www.oas.org/es/cidh/docs/anual/2019/docs/IA2019cap2-es.pdf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1B1CB2">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1B1CB2"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D66DB"/>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44015"/>
    <w:rsid w:val="001639E3"/>
    <w:rsid w:val="00163E52"/>
    <w:rsid w:val="00171DCF"/>
    <w:rsid w:val="001820AB"/>
    <w:rsid w:val="00183508"/>
    <w:rsid w:val="0018512A"/>
    <w:rsid w:val="001A1080"/>
    <w:rsid w:val="001A238E"/>
    <w:rsid w:val="001A671F"/>
    <w:rsid w:val="001B0F35"/>
    <w:rsid w:val="001B1CB2"/>
    <w:rsid w:val="001B24FB"/>
    <w:rsid w:val="001B4C93"/>
    <w:rsid w:val="001C03CD"/>
    <w:rsid w:val="001C0A6D"/>
    <w:rsid w:val="001C113D"/>
    <w:rsid w:val="001C230A"/>
    <w:rsid w:val="001D14E2"/>
    <w:rsid w:val="001D5AB8"/>
    <w:rsid w:val="001E078E"/>
    <w:rsid w:val="001E4C53"/>
    <w:rsid w:val="001E758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B6E6C"/>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0EE8"/>
    <w:rsid w:val="00401FE0"/>
    <w:rsid w:val="00403581"/>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336F"/>
    <w:rsid w:val="005A4914"/>
    <w:rsid w:val="005B23B6"/>
    <w:rsid w:val="005B4C0E"/>
    <w:rsid w:val="005C132B"/>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4B9"/>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3D01"/>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2059"/>
    <w:rsid w:val="008A64C1"/>
    <w:rsid w:val="008C2A91"/>
    <w:rsid w:val="008D5E80"/>
    <w:rsid w:val="008E13F4"/>
    <w:rsid w:val="008E6D12"/>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2CBE"/>
    <w:rsid w:val="00A13508"/>
    <w:rsid w:val="00A13D4B"/>
    <w:rsid w:val="00A14C56"/>
    <w:rsid w:val="00A22CD7"/>
    <w:rsid w:val="00A25CA7"/>
    <w:rsid w:val="00A343FF"/>
    <w:rsid w:val="00A42A40"/>
    <w:rsid w:val="00A45B46"/>
    <w:rsid w:val="00A47C59"/>
    <w:rsid w:val="00A47FF7"/>
    <w:rsid w:val="00A70432"/>
    <w:rsid w:val="00A72869"/>
    <w:rsid w:val="00A759EB"/>
    <w:rsid w:val="00A854F6"/>
    <w:rsid w:val="00A87AF1"/>
    <w:rsid w:val="00A942E0"/>
    <w:rsid w:val="00AA1AD7"/>
    <w:rsid w:val="00AB2CDA"/>
    <w:rsid w:val="00AB49C7"/>
    <w:rsid w:val="00AC2BAD"/>
    <w:rsid w:val="00AC5F46"/>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63038"/>
    <w:rsid w:val="00C67EC4"/>
    <w:rsid w:val="00C75161"/>
    <w:rsid w:val="00CA2777"/>
    <w:rsid w:val="00CA3AA8"/>
    <w:rsid w:val="00CA45B6"/>
    <w:rsid w:val="00CA4F83"/>
    <w:rsid w:val="00CC1C3E"/>
    <w:rsid w:val="00CC4274"/>
    <w:rsid w:val="00CC59DF"/>
    <w:rsid w:val="00CD413D"/>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4D42"/>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6BE"/>
    <w:rsid w:val="00DB5E3D"/>
    <w:rsid w:val="00DC246B"/>
    <w:rsid w:val="00DD1CFF"/>
    <w:rsid w:val="00DD2FE8"/>
    <w:rsid w:val="00DD4F27"/>
    <w:rsid w:val="00DD7443"/>
    <w:rsid w:val="00DE2E0D"/>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0B2A"/>
    <w:rsid w:val="00ED4C58"/>
    <w:rsid w:val="00ED518E"/>
    <w:rsid w:val="00EF0591"/>
    <w:rsid w:val="00EF1BD7"/>
    <w:rsid w:val="00EF70C9"/>
    <w:rsid w:val="00F00E16"/>
    <w:rsid w:val="00F0294F"/>
    <w:rsid w:val="00F058CE"/>
    <w:rsid w:val="00F06E69"/>
    <w:rsid w:val="00F07B09"/>
    <w:rsid w:val="00F116BD"/>
    <w:rsid w:val="00F13D78"/>
    <w:rsid w:val="00F16EB4"/>
    <w:rsid w:val="00F231C2"/>
    <w:rsid w:val="00F4025A"/>
    <w:rsid w:val="00F43F01"/>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0A8B"/>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0sp/CapituloIII/Admisible/Argentina12.298.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dh.oas.org/annualrep/2008sp/Argentina12298.sp.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9/docs/IA2019cap2-es.pdf" TargetMode="External"/><Relationship Id="rId2" Type="http://schemas.openxmlformats.org/officeDocument/2006/relationships/hyperlink" Target="http://www.oas.org/es/cidh/docs/anual/2018/docs/IA2018cap.2-es.pdf" TargetMode="External"/><Relationship Id="rId1" Type="http://schemas.openxmlformats.org/officeDocument/2006/relationships/hyperlink" Target="http://www.oas.org/es/cidh/docs/anual/2013/docs-es/InformeAnual-Cap2-D.pdf" TargetMode="External"/><Relationship Id="rId5" Type="http://schemas.openxmlformats.org/officeDocument/2006/relationships/hyperlink" Target="http://www.oas.org/es/cidh/docs/anual/2019/docs/IA2019cap2-es.pdf" TargetMode="External"/><Relationship Id="rId4" Type="http://schemas.openxmlformats.org/officeDocument/2006/relationships/hyperlink" Target="http://www.oas.org/es/cidh/docs/anual/2018/docs/IA2018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1110</Words>
  <Characters>6331</Characters>
  <Application>Microsoft Office Word</Application>
  <DocSecurity>0</DocSecurity>
  <Lines>52</Lines>
  <Paragraphs>14</Paragraphs>
  <ScaleCrop>false</ScaleCrop>
  <Company/>
  <LinksUpToDate>false</LinksUpToDate>
  <CharactersWithSpaces>7427</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2023-03-03T22:07:00Z</dcterms:created>
  <dcterms:modified xsi:type="dcterms:W3CDTF">2023-03-03T22:07:00Z</dcterms:modified>
</cp:coreProperties>
</file>