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35" w:rsidRPr="00006B74" w:rsidRDefault="00D535C2"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C6D3F"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Default="00D535C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3345" cy="511810"/>
                                  <wp:effectExtent l="0" t="0" r="0" b="254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345" cy="511810"/>
                                          </a:xfrm>
                                          <a:prstGeom prst="rect">
                                            <a:avLst/>
                                          </a:prstGeom>
                                          <a:noFill/>
                                          <a:ln>
                                            <a:noFill/>
                                          </a:ln>
                                        </pic:spPr>
                                      </pic:pic>
                                    </a:graphicData>
                                  </a:graphic>
                                </wp:inline>
                              </w:drawing>
                            </w:r>
                            <w:r w:rsidR="002B563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2B5635" w:rsidRDefault="00D535C2"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3345" cy="511810"/>
                            <wp:effectExtent l="0" t="0" r="0" b="254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345" cy="511810"/>
                                    </a:xfrm>
                                    <a:prstGeom prst="rect">
                                      <a:avLst/>
                                    </a:prstGeom>
                                    <a:noFill/>
                                    <a:ln>
                                      <a:noFill/>
                                    </a:ln>
                                  </pic:spPr>
                                </pic:pic>
                              </a:graphicData>
                            </a:graphic>
                          </wp:inline>
                        </w:drawing>
                      </w:r>
                      <w:r w:rsidR="002B5635">
                        <w:tab/>
                        <w:t xml:space="preserve">                              </w:t>
                      </w:r>
                    </w:p>
                  </w:txbxContent>
                </v:textbox>
              </v:shape>
            </w:pict>
          </mc:Fallback>
        </mc:AlternateContent>
      </w: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2B5635" w:rsidRPr="00006B74" w:rsidRDefault="002B563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D535C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14:anchorId="5DB10426" wp14:editId="6AF91572">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A02CF">
                              <w:rPr>
                                <w:rFonts w:ascii="Cambria" w:hAnsi="Cambria" w:cs="Arial"/>
                                <w:b/>
                                <w:bCs/>
                                <w:color w:val="0D0D0D"/>
                                <w:sz w:val="36"/>
                                <w:szCs w:val="22"/>
                                <w:lang w:val="es-ES_tradnl"/>
                              </w:rPr>
                              <w:t xml:space="preserve">INFORME </w:t>
                            </w:r>
                            <w:r w:rsidRPr="00AA02CF">
                              <w:rPr>
                                <w:rFonts w:ascii="Cambria" w:hAnsi="Cambria" w:cs="Arial"/>
                                <w:b/>
                                <w:bCs/>
                                <w:color w:val="0D0D0D"/>
                                <w:sz w:val="36"/>
                                <w:szCs w:val="40"/>
                                <w:lang w:val="es-ES_tradnl"/>
                              </w:rPr>
                              <w:t>No.</w:t>
                            </w:r>
                            <w:r w:rsidRPr="00AA02CF">
                              <w:rPr>
                                <w:rFonts w:ascii="Cambria" w:hAnsi="Cambria" w:cs="Arial"/>
                                <w:b/>
                                <w:bCs/>
                                <w:color w:val="0D0D0D"/>
                                <w:sz w:val="36"/>
                                <w:szCs w:val="22"/>
                                <w:lang w:val="es-ES_tradnl"/>
                              </w:rPr>
                              <w:t xml:space="preserve"> </w:t>
                            </w:r>
                            <w:r w:rsidR="005B14BF">
                              <w:rPr>
                                <w:rFonts w:ascii="Cambria" w:hAnsi="Cambria" w:cs="Arial"/>
                                <w:b/>
                                <w:bCs/>
                                <w:color w:val="0D0D0D"/>
                                <w:sz w:val="36"/>
                                <w:szCs w:val="22"/>
                                <w:lang w:val="es-ES_tradnl"/>
                              </w:rPr>
                              <w:t>129</w:t>
                            </w:r>
                            <w:r w:rsidRPr="00AA02CF">
                              <w:rPr>
                                <w:rFonts w:ascii="Cambria" w:hAnsi="Cambria" w:cs="Arial"/>
                                <w:b/>
                                <w:bCs/>
                                <w:color w:val="0D0D0D"/>
                                <w:sz w:val="36"/>
                                <w:szCs w:val="22"/>
                                <w:lang w:val="es-ES_tradnl"/>
                              </w:rPr>
                              <w:t>/19</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A02CF">
                              <w:rPr>
                                <w:rFonts w:ascii="Cambria" w:hAnsi="Cambria" w:cs="Arial"/>
                                <w:b/>
                                <w:color w:val="0D0D0D"/>
                                <w:sz w:val="36"/>
                                <w:szCs w:val="22"/>
                                <w:lang w:val="es-ES_tradnl"/>
                              </w:rPr>
                              <w:t>PETICIÓN</w:t>
                            </w:r>
                            <w:r w:rsidR="00AC06E2">
                              <w:rPr>
                                <w:rFonts w:ascii="Cambria" w:hAnsi="Cambria" w:cs="Arial"/>
                                <w:b/>
                                <w:color w:val="0D0D0D"/>
                                <w:sz w:val="36"/>
                                <w:szCs w:val="22"/>
                                <w:lang w:val="es-ES_tradnl"/>
                              </w:rPr>
                              <w:t xml:space="preserve"> </w:t>
                            </w:r>
                            <w:r w:rsidRPr="00AA02CF">
                              <w:rPr>
                                <w:rFonts w:ascii="Cambria" w:hAnsi="Cambria" w:cs="Arial"/>
                                <w:b/>
                                <w:color w:val="0D0D0D"/>
                                <w:sz w:val="36"/>
                                <w:szCs w:val="22"/>
                                <w:lang w:val="es-ES_tradnl"/>
                              </w:rPr>
                              <w:t>153-10</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A02CF">
                              <w:rPr>
                                <w:rFonts w:ascii="Cambria" w:hAnsi="Cambria" w:cs="Arial"/>
                                <w:color w:val="0D0D0D"/>
                                <w:szCs w:val="22"/>
                                <w:lang w:val="es-ES_tradnl"/>
                              </w:rPr>
                              <w:t>INFORME DE ADMISIBILIDAD</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A02CF">
                              <w:rPr>
                                <w:rFonts w:ascii="Cambria" w:hAnsi="Cambria" w:cs="Arial"/>
                                <w:color w:val="0D0D0D"/>
                                <w:szCs w:val="22"/>
                                <w:lang w:val="es-ES_tradnl"/>
                              </w:rPr>
                              <w:t>ROGELIO MONTEMAYOR SEGUY</w:t>
                            </w:r>
                          </w:p>
                          <w:bookmarkEnd w:id="1"/>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A02CF">
                              <w:rPr>
                                <w:rFonts w:ascii="Cambria" w:hAnsi="Cambria" w:cs="Arial"/>
                                <w:color w:val="0D0D0D"/>
                                <w:szCs w:val="22"/>
                                <w:lang w:val="es-ES_tradnl"/>
                              </w:rPr>
                              <w:t>MEXICO</w:t>
                            </w:r>
                          </w:p>
                          <w:p w:rsidR="002B5635" w:rsidRPr="00AA02CF" w:rsidRDefault="002B563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B10426"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A02CF">
                        <w:rPr>
                          <w:rFonts w:ascii="Cambria" w:hAnsi="Cambria" w:cs="Arial"/>
                          <w:b/>
                          <w:bCs/>
                          <w:color w:val="0D0D0D"/>
                          <w:sz w:val="36"/>
                          <w:szCs w:val="22"/>
                          <w:lang w:val="es-ES_tradnl"/>
                        </w:rPr>
                        <w:t xml:space="preserve">INFORME </w:t>
                      </w:r>
                      <w:r w:rsidRPr="00AA02CF">
                        <w:rPr>
                          <w:rFonts w:ascii="Cambria" w:hAnsi="Cambria" w:cs="Arial"/>
                          <w:b/>
                          <w:bCs/>
                          <w:color w:val="0D0D0D"/>
                          <w:sz w:val="36"/>
                          <w:szCs w:val="40"/>
                          <w:lang w:val="es-ES_tradnl"/>
                        </w:rPr>
                        <w:t>No.</w:t>
                      </w:r>
                      <w:r w:rsidRPr="00AA02CF">
                        <w:rPr>
                          <w:rFonts w:ascii="Cambria" w:hAnsi="Cambria" w:cs="Arial"/>
                          <w:b/>
                          <w:bCs/>
                          <w:color w:val="0D0D0D"/>
                          <w:sz w:val="36"/>
                          <w:szCs w:val="22"/>
                          <w:lang w:val="es-ES_tradnl"/>
                        </w:rPr>
                        <w:t xml:space="preserve"> </w:t>
                      </w:r>
                      <w:r w:rsidR="005B14BF">
                        <w:rPr>
                          <w:rFonts w:ascii="Cambria" w:hAnsi="Cambria" w:cs="Arial"/>
                          <w:b/>
                          <w:bCs/>
                          <w:color w:val="0D0D0D"/>
                          <w:sz w:val="36"/>
                          <w:szCs w:val="22"/>
                          <w:lang w:val="es-ES_tradnl"/>
                        </w:rPr>
                        <w:t>129</w:t>
                      </w:r>
                      <w:r w:rsidRPr="00AA02CF">
                        <w:rPr>
                          <w:rFonts w:ascii="Cambria" w:hAnsi="Cambria" w:cs="Arial"/>
                          <w:b/>
                          <w:bCs/>
                          <w:color w:val="0D0D0D"/>
                          <w:sz w:val="36"/>
                          <w:szCs w:val="22"/>
                          <w:lang w:val="es-ES_tradnl"/>
                        </w:rPr>
                        <w:t>/19</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A02CF">
                        <w:rPr>
                          <w:rFonts w:ascii="Cambria" w:hAnsi="Cambria" w:cs="Arial"/>
                          <w:b/>
                          <w:color w:val="0D0D0D"/>
                          <w:sz w:val="36"/>
                          <w:szCs w:val="22"/>
                          <w:lang w:val="es-ES_tradnl"/>
                        </w:rPr>
                        <w:t>PETICIÓN</w:t>
                      </w:r>
                      <w:r w:rsidR="00AC06E2">
                        <w:rPr>
                          <w:rFonts w:ascii="Cambria" w:hAnsi="Cambria" w:cs="Arial"/>
                          <w:b/>
                          <w:color w:val="0D0D0D"/>
                          <w:sz w:val="36"/>
                          <w:szCs w:val="22"/>
                          <w:lang w:val="es-ES_tradnl"/>
                        </w:rPr>
                        <w:t xml:space="preserve"> </w:t>
                      </w:r>
                      <w:r w:rsidRPr="00AA02CF">
                        <w:rPr>
                          <w:rFonts w:ascii="Cambria" w:hAnsi="Cambria" w:cs="Arial"/>
                          <w:b/>
                          <w:color w:val="0D0D0D"/>
                          <w:sz w:val="36"/>
                          <w:szCs w:val="22"/>
                          <w:lang w:val="es-ES_tradnl"/>
                        </w:rPr>
                        <w:t>153-10</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A02CF">
                        <w:rPr>
                          <w:rFonts w:ascii="Cambria" w:hAnsi="Cambria" w:cs="Arial"/>
                          <w:color w:val="0D0D0D"/>
                          <w:szCs w:val="22"/>
                          <w:lang w:val="es-ES_tradnl"/>
                        </w:rPr>
                        <w:t>INFORME DE ADMISIBILIDAD</w:t>
                      </w:r>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A02CF">
                        <w:rPr>
                          <w:rFonts w:ascii="Cambria" w:hAnsi="Cambria" w:cs="Arial"/>
                          <w:color w:val="0D0D0D"/>
                          <w:szCs w:val="22"/>
                          <w:lang w:val="es-ES_tradnl"/>
                        </w:rPr>
                        <w:t>ROGELIO MONTEMAYOR SEGUY</w:t>
                      </w:r>
                    </w:p>
                    <w:bookmarkEnd w:id="2"/>
                    <w:p w:rsidR="002B5635" w:rsidRPr="00AA02CF" w:rsidRDefault="002B563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A02CF">
                        <w:rPr>
                          <w:rFonts w:ascii="Cambria" w:hAnsi="Cambria" w:cs="Arial"/>
                          <w:color w:val="0D0D0D"/>
                          <w:szCs w:val="22"/>
                          <w:lang w:val="es-ES_tradnl"/>
                        </w:rPr>
                        <w:t>MEXICO</w:t>
                      </w:r>
                    </w:p>
                    <w:p w:rsidR="002B5635" w:rsidRPr="00AA02CF" w:rsidRDefault="002B563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0B8A8FA" wp14:editId="773774A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Pr="00AA02CF" w:rsidRDefault="002B563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A02CF">
                              <w:rPr>
                                <w:rFonts w:ascii="Calibri" w:hAnsi="Calibri"/>
                                <w:color w:val="FFFFFF"/>
                                <w:sz w:val="22"/>
                                <w:lang w:val="pt-BR"/>
                              </w:rPr>
                              <w:t>OEA/Ser.L/V/II.</w:t>
                            </w:r>
                          </w:p>
                          <w:p w:rsidR="002B5635" w:rsidRPr="00AA02CF" w:rsidRDefault="005B14B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138</w:t>
                            </w:r>
                          </w:p>
                          <w:p w:rsidR="002B5635" w:rsidRPr="0048109D" w:rsidRDefault="005B14B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agosto</w:t>
                            </w:r>
                            <w:r w:rsidR="002B5635" w:rsidRPr="0048109D">
                              <w:rPr>
                                <w:rFonts w:ascii="Calibri" w:hAnsi="Calibri"/>
                                <w:color w:val="FFFFFF"/>
                                <w:sz w:val="22"/>
                                <w:lang w:val="es-ES"/>
                              </w:rPr>
                              <w:t xml:space="preserve"> 2019</w:t>
                            </w:r>
                          </w:p>
                          <w:p w:rsidR="002B5635" w:rsidRPr="0048109D" w:rsidRDefault="002B563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48109D">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8A8FA"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2B5635" w:rsidRPr="00AA02CF" w:rsidRDefault="002B563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AA02CF">
                        <w:rPr>
                          <w:rFonts w:ascii="Calibri" w:hAnsi="Calibri"/>
                          <w:color w:val="FFFFFF"/>
                          <w:sz w:val="22"/>
                          <w:lang w:val="pt-BR"/>
                        </w:rPr>
                        <w:t>OEA/Ser.L/V/II.</w:t>
                      </w:r>
                    </w:p>
                    <w:p w:rsidR="002B5635" w:rsidRPr="00AA02CF" w:rsidRDefault="005B14B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138</w:t>
                      </w:r>
                    </w:p>
                    <w:p w:rsidR="002B5635" w:rsidRPr="0048109D" w:rsidRDefault="005B14B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14 agosto</w:t>
                      </w:r>
                      <w:r w:rsidR="002B5635" w:rsidRPr="0048109D">
                        <w:rPr>
                          <w:rFonts w:ascii="Calibri" w:hAnsi="Calibri"/>
                          <w:color w:val="FFFFFF"/>
                          <w:sz w:val="22"/>
                          <w:lang w:val="es-ES"/>
                        </w:rPr>
                        <w:t xml:space="preserve"> 2019</w:t>
                      </w:r>
                    </w:p>
                    <w:p w:rsidR="002B5635" w:rsidRPr="0048109D" w:rsidRDefault="002B563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48109D">
                        <w:rPr>
                          <w:rFonts w:ascii="Calibri" w:hAnsi="Calibri"/>
                          <w:color w:val="FFFFFF"/>
                          <w:sz w:val="22"/>
                          <w:lang w:val="es-ES"/>
                        </w:rPr>
                        <w:t>Original: español</w:t>
                      </w:r>
                    </w:p>
                  </w:txbxContent>
                </v:textbox>
              </v:shape>
            </w:pict>
          </mc:Fallback>
        </mc:AlternateContent>
      </w: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D535C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14:anchorId="25842CC6" wp14:editId="5AB681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Pr="00AA02CF" w:rsidRDefault="002B5635"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A02CF">
                              <w:rPr>
                                <w:rFonts w:ascii="Cambria" w:hAnsi="Cambria"/>
                                <w:color w:val="0D0D0D"/>
                                <w:sz w:val="18"/>
                                <w:szCs w:val="22"/>
                                <w:lang w:val="es-ES"/>
                              </w:rPr>
                              <w:t xml:space="preserve">Aprobado </w:t>
                            </w:r>
                            <w:proofErr w:type="spellStart"/>
                            <w:r w:rsidRPr="00AA02CF">
                              <w:rPr>
                                <w:rFonts w:ascii="Cambria" w:hAnsi="Cambria"/>
                                <w:color w:val="0D0D0D"/>
                                <w:sz w:val="18"/>
                                <w:szCs w:val="22"/>
                                <w:lang w:val="es-ES"/>
                              </w:rPr>
                              <w:t>electr</w:t>
                            </w:r>
                            <w:r w:rsidRPr="00AA02CF">
                              <w:rPr>
                                <w:rFonts w:ascii="Cambria" w:hAnsi="Cambria"/>
                                <w:color w:val="0D0D0D"/>
                                <w:sz w:val="18"/>
                                <w:szCs w:val="22"/>
                                <w:lang w:val="es-ES_tradnl"/>
                              </w:rPr>
                              <w:t>ónicamente</w:t>
                            </w:r>
                            <w:proofErr w:type="spellEnd"/>
                            <w:r w:rsidRPr="00AA02CF">
                              <w:rPr>
                                <w:rFonts w:ascii="Cambria" w:hAnsi="Cambria"/>
                                <w:color w:val="0D0D0D"/>
                                <w:sz w:val="18"/>
                                <w:szCs w:val="22"/>
                                <w:lang w:val="es-ES"/>
                              </w:rPr>
                              <w:t xml:space="preserve"> por la Comisión el </w:t>
                            </w:r>
                            <w:r w:rsidR="005B14BF">
                              <w:rPr>
                                <w:rFonts w:ascii="Cambria" w:hAnsi="Cambria"/>
                                <w:color w:val="0D0D0D"/>
                                <w:sz w:val="18"/>
                                <w:szCs w:val="22"/>
                                <w:lang w:val="es-ES"/>
                              </w:rPr>
                              <w:t>14</w:t>
                            </w:r>
                            <w:r w:rsidRPr="00AA02CF">
                              <w:rPr>
                                <w:rFonts w:ascii="Cambria" w:hAnsi="Cambria"/>
                                <w:color w:val="0D0D0D"/>
                                <w:sz w:val="18"/>
                                <w:szCs w:val="22"/>
                                <w:lang w:val="es-ES"/>
                              </w:rPr>
                              <w:t xml:space="preserve"> de </w:t>
                            </w:r>
                            <w:r w:rsidR="005B14BF">
                              <w:rPr>
                                <w:rFonts w:ascii="Cambria" w:hAnsi="Cambria"/>
                                <w:color w:val="0D0D0D"/>
                                <w:sz w:val="18"/>
                                <w:szCs w:val="22"/>
                                <w:lang w:val="es-ES"/>
                              </w:rPr>
                              <w:t>agosto</w:t>
                            </w:r>
                            <w:r w:rsidRPr="00AA02CF">
                              <w:rPr>
                                <w:rFonts w:ascii="Cambria" w:hAnsi="Cambria"/>
                                <w:color w:val="0D0D0D"/>
                                <w:sz w:val="18"/>
                                <w:szCs w:val="22"/>
                                <w:lang w:val="es-ES"/>
                              </w:rPr>
                              <w:t xml:space="preserve"> de 2019</w:t>
                            </w:r>
                            <w:r w:rsidR="00AC06E2">
                              <w:rPr>
                                <w:rFonts w:ascii="Cambria" w:hAnsi="Cambria"/>
                                <w:color w:val="0D0D0D"/>
                                <w:sz w:val="18"/>
                                <w:szCs w:val="22"/>
                                <w:lang w:val="es-ES"/>
                              </w:rPr>
                              <w:t>.</w:t>
                            </w:r>
                          </w:p>
                          <w:p w:rsidR="002B5635" w:rsidRPr="00AA02CF" w:rsidRDefault="002B563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2B5635" w:rsidRPr="00AA02CF" w:rsidRDefault="002B563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42CC6"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2B5635" w:rsidRPr="00AA02CF" w:rsidRDefault="002B5635"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AA02CF">
                        <w:rPr>
                          <w:rFonts w:ascii="Cambria" w:hAnsi="Cambria"/>
                          <w:color w:val="0D0D0D"/>
                          <w:sz w:val="18"/>
                          <w:szCs w:val="22"/>
                          <w:lang w:val="es-ES"/>
                        </w:rPr>
                        <w:t xml:space="preserve">Aprobado </w:t>
                      </w:r>
                      <w:proofErr w:type="spellStart"/>
                      <w:r w:rsidRPr="00AA02CF">
                        <w:rPr>
                          <w:rFonts w:ascii="Cambria" w:hAnsi="Cambria"/>
                          <w:color w:val="0D0D0D"/>
                          <w:sz w:val="18"/>
                          <w:szCs w:val="22"/>
                          <w:lang w:val="es-ES"/>
                        </w:rPr>
                        <w:t>electr</w:t>
                      </w:r>
                      <w:r w:rsidRPr="00AA02CF">
                        <w:rPr>
                          <w:rFonts w:ascii="Cambria" w:hAnsi="Cambria"/>
                          <w:color w:val="0D0D0D"/>
                          <w:sz w:val="18"/>
                          <w:szCs w:val="22"/>
                          <w:lang w:val="es-ES_tradnl"/>
                        </w:rPr>
                        <w:t>ónicamente</w:t>
                      </w:r>
                      <w:proofErr w:type="spellEnd"/>
                      <w:r w:rsidRPr="00AA02CF">
                        <w:rPr>
                          <w:rFonts w:ascii="Cambria" w:hAnsi="Cambria"/>
                          <w:color w:val="0D0D0D"/>
                          <w:sz w:val="18"/>
                          <w:szCs w:val="22"/>
                          <w:lang w:val="es-ES"/>
                        </w:rPr>
                        <w:t xml:space="preserve"> por la Comisión el </w:t>
                      </w:r>
                      <w:r w:rsidR="005B14BF">
                        <w:rPr>
                          <w:rFonts w:ascii="Cambria" w:hAnsi="Cambria"/>
                          <w:color w:val="0D0D0D"/>
                          <w:sz w:val="18"/>
                          <w:szCs w:val="22"/>
                          <w:lang w:val="es-ES"/>
                        </w:rPr>
                        <w:t>14</w:t>
                      </w:r>
                      <w:r w:rsidRPr="00AA02CF">
                        <w:rPr>
                          <w:rFonts w:ascii="Cambria" w:hAnsi="Cambria"/>
                          <w:color w:val="0D0D0D"/>
                          <w:sz w:val="18"/>
                          <w:szCs w:val="22"/>
                          <w:lang w:val="es-ES"/>
                        </w:rPr>
                        <w:t xml:space="preserve"> de </w:t>
                      </w:r>
                      <w:r w:rsidR="005B14BF">
                        <w:rPr>
                          <w:rFonts w:ascii="Cambria" w:hAnsi="Cambria"/>
                          <w:color w:val="0D0D0D"/>
                          <w:sz w:val="18"/>
                          <w:szCs w:val="22"/>
                          <w:lang w:val="es-ES"/>
                        </w:rPr>
                        <w:t>agosto</w:t>
                      </w:r>
                      <w:r w:rsidRPr="00AA02CF">
                        <w:rPr>
                          <w:rFonts w:ascii="Cambria" w:hAnsi="Cambria"/>
                          <w:color w:val="0D0D0D"/>
                          <w:sz w:val="18"/>
                          <w:szCs w:val="22"/>
                          <w:lang w:val="es-ES"/>
                        </w:rPr>
                        <w:t xml:space="preserve"> de 2019</w:t>
                      </w:r>
                      <w:r w:rsidR="00AC06E2">
                        <w:rPr>
                          <w:rFonts w:ascii="Cambria" w:hAnsi="Cambria"/>
                          <w:color w:val="0D0D0D"/>
                          <w:sz w:val="18"/>
                          <w:szCs w:val="22"/>
                          <w:lang w:val="es-ES"/>
                        </w:rPr>
                        <w:t>.</w:t>
                      </w:r>
                    </w:p>
                    <w:p w:rsidR="002B5635" w:rsidRPr="00AA02CF" w:rsidRDefault="002B563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2B5635" w:rsidRPr="00AA02CF" w:rsidRDefault="002B563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D535C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14:anchorId="26977480" wp14:editId="1B5D0DC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Pr="00AA02CF" w:rsidRDefault="002B563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A02CF">
                              <w:rPr>
                                <w:rFonts w:ascii="Cambria" w:hAnsi="Cambria"/>
                                <w:b/>
                                <w:color w:val="595959"/>
                                <w:sz w:val="18"/>
                                <w:szCs w:val="18"/>
                                <w:lang w:val="pt-BR"/>
                              </w:rPr>
                              <w:t>Citar como:</w:t>
                            </w:r>
                            <w:r w:rsidRPr="00AA02CF">
                              <w:rPr>
                                <w:rFonts w:ascii="Cambria" w:hAnsi="Cambria"/>
                                <w:color w:val="595959"/>
                                <w:sz w:val="18"/>
                                <w:szCs w:val="18"/>
                                <w:lang w:val="pt-BR"/>
                              </w:rPr>
                              <w:t xml:space="preserve"> CIDH, Informe No. </w:t>
                            </w:r>
                            <w:r w:rsidR="005B14BF" w:rsidRPr="005B14BF">
                              <w:rPr>
                                <w:rFonts w:ascii="Cambria" w:hAnsi="Cambria"/>
                                <w:color w:val="595959"/>
                                <w:sz w:val="18"/>
                                <w:szCs w:val="18"/>
                                <w:lang w:val="pt-BR"/>
                              </w:rPr>
                              <w:t>129</w:t>
                            </w:r>
                            <w:r w:rsidRPr="005B14BF">
                              <w:rPr>
                                <w:rFonts w:ascii="Cambria" w:hAnsi="Cambria"/>
                                <w:color w:val="595959"/>
                                <w:sz w:val="18"/>
                                <w:szCs w:val="18"/>
                                <w:lang w:val="pt-BR"/>
                              </w:rPr>
                              <w:t xml:space="preserve">/19. </w:t>
                            </w:r>
                            <w:r w:rsidR="00AC06E2">
                              <w:rPr>
                                <w:rFonts w:ascii="Cambria" w:hAnsi="Cambria"/>
                                <w:color w:val="595959"/>
                                <w:sz w:val="18"/>
                                <w:szCs w:val="18"/>
                                <w:lang w:val="pt-BR"/>
                              </w:rPr>
                              <w:t xml:space="preserve">Petición 153-10. </w:t>
                            </w:r>
                            <w:r w:rsidRPr="00AA02CF">
                              <w:rPr>
                                <w:rFonts w:ascii="Cambria" w:hAnsi="Cambria"/>
                                <w:color w:val="595959"/>
                                <w:sz w:val="18"/>
                                <w:szCs w:val="18"/>
                                <w:lang w:val="es-ES_tradnl"/>
                              </w:rPr>
                              <w:t xml:space="preserve">Admisibilidad. Rogelio Montemayor </w:t>
                            </w:r>
                            <w:proofErr w:type="spellStart"/>
                            <w:r w:rsidRPr="00AA02CF">
                              <w:rPr>
                                <w:rFonts w:ascii="Cambria" w:hAnsi="Cambria"/>
                                <w:color w:val="595959"/>
                                <w:sz w:val="18"/>
                                <w:szCs w:val="18"/>
                                <w:lang w:val="es-ES_tradnl"/>
                              </w:rPr>
                              <w:t>Seguy</w:t>
                            </w:r>
                            <w:proofErr w:type="spellEnd"/>
                            <w:r w:rsidRPr="00AA02CF">
                              <w:rPr>
                                <w:rFonts w:ascii="Cambria" w:hAnsi="Cambria"/>
                                <w:color w:val="595959"/>
                                <w:sz w:val="18"/>
                                <w:szCs w:val="18"/>
                                <w:lang w:val="es-ES_tradnl"/>
                              </w:rPr>
                              <w:t xml:space="preserve">. Mexico. </w:t>
                            </w:r>
                            <w:r w:rsidR="005B14BF">
                              <w:rPr>
                                <w:rFonts w:ascii="Cambria" w:hAnsi="Cambria"/>
                                <w:color w:val="595959"/>
                                <w:sz w:val="18"/>
                                <w:szCs w:val="18"/>
                                <w:lang w:val="es-ES"/>
                              </w:rPr>
                              <w:t>14 de agosto de 2019</w:t>
                            </w:r>
                            <w:r w:rsidRPr="00AA02CF">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977480"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2B5635" w:rsidRPr="00AA02CF" w:rsidRDefault="002B563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AA02CF">
                        <w:rPr>
                          <w:rFonts w:ascii="Cambria" w:hAnsi="Cambria"/>
                          <w:b/>
                          <w:color w:val="595959"/>
                          <w:sz w:val="18"/>
                          <w:szCs w:val="18"/>
                          <w:lang w:val="pt-BR"/>
                        </w:rPr>
                        <w:t>Citar como:</w:t>
                      </w:r>
                      <w:r w:rsidRPr="00AA02CF">
                        <w:rPr>
                          <w:rFonts w:ascii="Cambria" w:hAnsi="Cambria"/>
                          <w:color w:val="595959"/>
                          <w:sz w:val="18"/>
                          <w:szCs w:val="18"/>
                          <w:lang w:val="pt-BR"/>
                        </w:rPr>
                        <w:t xml:space="preserve"> CIDH, Informe No. </w:t>
                      </w:r>
                      <w:r w:rsidR="005B14BF" w:rsidRPr="005B14BF">
                        <w:rPr>
                          <w:rFonts w:ascii="Cambria" w:hAnsi="Cambria"/>
                          <w:color w:val="595959"/>
                          <w:sz w:val="18"/>
                          <w:szCs w:val="18"/>
                          <w:lang w:val="pt-BR"/>
                        </w:rPr>
                        <w:t>129</w:t>
                      </w:r>
                      <w:r w:rsidRPr="005B14BF">
                        <w:rPr>
                          <w:rFonts w:ascii="Cambria" w:hAnsi="Cambria"/>
                          <w:color w:val="595959"/>
                          <w:sz w:val="18"/>
                          <w:szCs w:val="18"/>
                          <w:lang w:val="pt-BR"/>
                        </w:rPr>
                        <w:t xml:space="preserve">/19. </w:t>
                      </w:r>
                      <w:r w:rsidR="00AC06E2">
                        <w:rPr>
                          <w:rFonts w:ascii="Cambria" w:hAnsi="Cambria"/>
                          <w:color w:val="595959"/>
                          <w:sz w:val="18"/>
                          <w:szCs w:val="18"/>
                          <w:lang w:val="pt-BR"/>
                        </w:rPr>
                        <w:t xml:space="preserve">Petición 153-10. </w:t>
                      </w:r>
                      <w:r w:rsidRPr="00AA02CF">
                        <w:rPr>
                          <w:rFonts w:ascii="Cambria" w:hAnsi="Cambria"/>
                          <w:color w:val="595959"/>
                          <w:sz w:val="18"/>
                          <w:szCs w:val="18"/>
                          <w:lang w:val="es-ES_tradnl"/>
                        </w:rPr>
                        <w:t xml:space="preserve">Admisibilidad. Rogelio Montemayor </w:t>
                      </w:r>
                      <w:proofErr w:type="spellStart"/>
                      <w:r w:rsidRPr="00AA02CF">
                        <w:rPr>
                          <w:rFonts w:ascii="Cambria" w:hAnsi="Cambria"/>
                          <w:color w:val="595959"/>
                          <w:sz w:val="18"/>
                          <w:szCs w:val="18"/>
                          <w:lang w:val="es-ES_tradnl"/>
                        </w:rPr>
                        <w:t>Seguy</w:t>
                      </w:r>
                      <w:proofErr w:type="spellEnd"/>
                      <w:r w:rsidRPr="00AA02CF">
                        <w:rPr>
                          <w:rFonts w:ascii="Cambria" w:hAnsi="Cambria"/>
                          <w:color w:val="595959"/>
                          <w:sz w:val="18"/>
                          <w:szCs w:val="18"/>
                          <w:lang w:val="es-ES_tradnl"/>
                        </w:rPr>
                        <w:t xml:space="preserve">. Mexico. </w:t>
                      </w:r>
                      <w:r w:rsidR="005B14BF">
                        <w:rPr>
                          <w:rFonts w:ascii="Cambria" w:hAnsi="Cambria"/>
                          <w:color w:val="595959"/>
                          <w:sz w:val="18"/>
                          <w:szCs w:val="18"/>
                          <w:lang w:val="es-ES"/>
                        </w:rPr>
                        <w:t>14 de agosto de 2019</w:t>
                      </w:r>
                      <w:r w:rsidRPr="00AA02CF">
                        <w:rPr>
                          <w:rFonts w:ascii="Cambria" w:hAnsi="Cambria"/>
                          <w:color w:val="595959"/>
                          <w:sz w:val="18"/>
                          <w:szCs w:val="18"/>
                          <w:lang w:val="es-ES"/>
                        </w:rPr>
                        <w:t>.</w:t>
                      </w:r>
                    </w:p>
                  </w:txbxContent>
                </v:textbox>
              </v:shape>
            </w:pict>
          </mc:Fallback>
        </mc:AlternateContent>
      </w:r>
    </w:p>
    <w:p w:rsidR="002B5635" w:rsidRPr="00006B74" w:rsidRDefault="002B563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2B5635" w:rsidRPr="00006B74" w:rsidRDefault="00D535C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0288" behindDoc="0" locked="0" layoutInCell="1" allowOverlap="1" wp14:anchorId="5BE60C0A" wp14:editId="2368D4CB">
                <wp:simplePos x="0" y="0"/>
                <wp:positionH relativeFrom="column">
                  <wp:posOffset>1329690</wp:posOffset>
                </wp:positionH>
                <wp:positionV relativeFrom="paragraph">
                  <wp:posOffset>638810</wp:posOffset>
                </wp:positionV>
                <wp:extent cx="4096385" cy="567055"/>
                <wp:effectExtent l="0" t="635" r="317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5635" w:rsidRPr="00AA02CF" w:rsidRDefault="00D535C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7C745CA2" wp14:editId="1712A4BF">
                                  <wp:extent cx="1323975" cy="365760"/>
                                  <wp:effectExtent l="0" t="0" r="9525"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365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0C0A"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2B5635" w:rsidRPr="00AA02CF" w:rsidRDefault="00D535C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7C745CA2" wp14:editId="1712A4BF">
                            <wp:extent cx="1323975" cy="365760"/>
                            <wp:effectExtent l="0" t="0" r="9525"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3657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B83E93" wp14:editId="4245442D">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5635" w:rsidRPr="00AA02CF" w:rsidRDefault="002B563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A02CF">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83E93"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2B5635" w:rsidRPr="00AA02CF" w:rsidRDefault="002B563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A02CF">
                        <w:rPr>
                          <w:rFonts w:ascii="Calibri" w:hAnsi="Calibri"/>
                          <w:b/>
                          <w:color w:val="FFFFFF"/>
                          <w:lang w:val="pt-BR"/>
                        </w:rPr>
                        <w:t>www.cidh.org</w:t>
                      </w:r>
                    </w:p>
                  </w:txbxContent>
                </v:textbox>
              </v:shape>
            </w:pict>
          </mc:Fallback>
        </mc:AlternateContent>
      </w:r>
    </w:p>
    <w:p w:rsidR="002B5635" w:rsidRPr="00006B74" w:rsidRDefault="002B5635"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2B5635"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rsidR="002B5635" w:rsidRPr="00006B74" w:rsidRDefault="002B5635"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2B5635" w:rsidRPr="00006B74" w:rsidTr="00AA02CF">
        <w:tc>
          <w:tcPr>
            <w:tcW w:w="2790" w:type="dxa"/>
            <w:tcBorders>
              <w:top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Parte peticionaria</w:t>
            </w:r>
          </w:p>
        </w:tc>
        <w:tc>
          <w:tcPr>
            <w:tcW w:w="6570" w:type="dxa"/>
            <w:tcBorders>
              <w:top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 xml:space="preserve">Rogelio Montemayor </w:t>
            </w:r>
            <w:proofErr w:type="spellStart"/>
            <w:r w:rsidRPr="00AA02CF">
              <w:rPr>
                <w:rFonts w:ascii="Cambria" w:hAnsi="Cambria"/>
                <w:bCs/>
                <w:sz w:val="19"/>
                <w:szCs w:val="19"/>
                <w:lang w:val="es-ES"/>
              </w:rPr>
              <w:t>Seguy</w:t>
            </w:r>
            <w:proofErr w:type="spellEnd"/>
          </w:p>
        </w:tc>
      </w:tr>
      <w:tr w:rsidR="002B5635" w:rsidRPr="00006B74" w:rsidTr="00AA02CF">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Presunta víctima</w:t>
            </w:r>
          </w:p>
        </w:tc>
        <w:tc>
          <w:tcPr>
            <w:tcW w:w="6570" w:type="dxa"/>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 xml:space="preserve">Rogelio Montemayor </w:t>
            </w:r>
            <w:proofErr w:type="spellStart"/>
            <w:r w:rsidRPr="00AA02CF">
              <w:rPr>
                <w:rFonts w:ascii="Cambria" w:hAnsi="Cambria"/>
                <w:bCs/>
                <w:sz w:val="19"/>
                <w:szCs w:val="19"/>
                <w:lang w:val="es-ES"/>
              </w:rPr>
              <w:t>Seguy</w:t>
            </w:r>
            <w:proofErr w:type="spellEnd"/>
          </w:p>
        </w:tc>
      </w:tr>
      <w:tr w:rsidR="002B5635" w:rsidRPr="00006B74" w:rsidTr="00AA02CF">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Estado denunciado</w:t>
            </w:r>
          </w:p>
        </w:tc>
        <w:tc>
          <w:tcPr>
            <w:tcW w:w="6570" w:type="dxa"/>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PA"/>
              </w:rPr>
              <w:t>México</w:t>
            </w:r>
            <w:r w:rsidRPr="00AA02CF">
              <w:rPr>
                <w:rStyle w:val="FootnoteReference"/>
                <w:rFonts w:ascii="Cambria" w:hAnsi="Cambria"/>
                <w:bCs/>
                <w:sz w:val="19"/>
                <w:szCs w:val="19"/>
                <w:lang w:val="es-ES"/>
              </w:rPr>
              <w:footnoteReference w:id="2"/>
            </w:r>
          </w:p>
        </w:tc>
      </w:tr>
      <w:tr w:rsidR="002B5635" w:rsidRPr="00AC06E2" w:rsidTr="00AA02CF">
        <w:tc>
          <w:tcPr>
            <w:tcW w:w="2790" w:type="dxa"/>
            <w:tcBorders>
              <w:bottom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Derechos invocados</w:t>
            </w:r>
          </w:p>
        </w:tc>
        <w:tc>
          <w:tcPr>
            <w:tcW w:w="6570" w:type="dxa"/>
            <w:tcBorders>
              <w:bottom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Artículos 5 (integridad personal), 7 (libertad personal), 8 (garantías judiciales), 11 (honra y dignidad) y 23 (derechos políticos)</w:t>
            </w:r>
            <w:r w:rsidRPr="00AA02CF">
              <w:rPr>
                <w:rFonts w:ascii="Cambria" w:hAnsi="Cambria"/>
                <w:bCs/>
                <w:color w:val="C00000"/>
                <w:sz w:val="19"/>
                <w:szCs w:val="19"/>
                <w:lang w:val="es-ES"/>
              </w:rPr>
              <w:t xml:space="preserve"> </w:t>
            </w:r>
            <w:r w:rsidRPr="00AA02CF">
              <w:rPr>
                <w:rFonts w:ascii="Cambria" w:hAnsi="Cambria"/>
                <w:bCs/>
                <w:sz w:val="19"/>
                <w:szCs w:val="19"/>
                <w:lang w:val="es-ES"/>
              </w:rPr>
              <w:t>de la Convención Americana sobre Derechos Humanos;</w:t>
            </w:r>
            <w:r w:rsidRPr="00AA02CF">
              <w:rPr>
                <w:rStyle w:val="FootnoteReference"/>
                <w:rFonts w:ascii="Cambria" w:hAnsi="Cambria"/>
                <w:bCs/>
                <w:sz w:val="19"/>
                <w:szCs w:val="19"/>
                <w:lang w:val="es-ES"/>
              </w:rPr>
              <w:footnoteReference w:id="3"/>
            </w:r>
            <w:r w:rsidRPr="00AA02CF">
              <w:rPr>
                <w:rFonts w:ascii="Cambria" w:hAnsi="Cambria"/>
                <w:bCs/>
                <w:color w:val="FF0000"/>
                <w:sz w:val="19"/>
                <w:szCs w:val="19"/>
                <w:lang w:val="es-ES"/>
              </w:rPr>
              <w:t xml:space="preserve"> </w:t>
            </w:r>
            <w:r w:rsidRPr="00AA02CF">
              <w:rPr>
                <w:rFonts w:ascii="Cambria" w:hAnsi="Cambria"/>
                <w:bCs/>
                <w:sz w:val="19"/>
                <w:szCs w:val="19"/>
                <w:lang w:val="es-ES"/>
              </w:rPr>
              <w:t>y Artículos V (honra, reputación personal y vida privada y familiar), XIV (trabajo y justa retribución), XVI (seguridad social), XVIII (justicia), XX (sufragio y participación en el gobierno) y XXVI (proceso regular) de la Declaración Americana de Derechos y Deberes del Hombre</w:t>
            </w:r>
            <w:r w:rsidRPr="00AA02CF">
              <w:rPr>
                <w:rStyle w:val="FootnoteReference"/>
                <w:rFonts w:ascii="Cambria" w:hAnsi="Cambria"/>
                <w:bCs/>
                <w:sz w:val="19"/>
                <w:szCs w:val="19"/>
                <w:lang w:val="es-ES"/>
              </w:rPr>
              <w:footnoteReference w:id="4"/>
            </w:r>
            <w:r w:rsidRPr="00AA02CF">
              <w:rPr>
                <w:rFonts w:ascii="Cambria" w:hAnsi="Cambria"/>
                <w:bCs/>
                <w:sz w:val="19"/>
                <w:szCs w:val="19"/>
                <w:lang w:val="es-ES"/>
              </w:rPr>
              <w:t xml:space="preserve"> y otros instrumentos internacionales.</w:t>
            </w:r>
          </w:p>
        </w:tc>
      </w:tr>
    </w:tbl>
    <w:p w:rsidR="002B5635" w:rsidRPr="00006B74" w:rsidRDefault="002B563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Pr>
          <w:rStyle w:val="FootnoteReference"/>
          <w:rFonts w:ascii="Cambria" w:hAnsi="Cambria"/>
          <w:b/>
          <w:bCs/>
          <w:sz w:val="20"/>
          <w:szCs w:val="20"/>
          <w:lang w:val="es-ES"/>
        </w:rPr>
        <w:footnoteReference w:id="5"/>
      </w:r>
      <w:r w:rsidRPr="00006B74">
        <w:rPr>
          <w:rStyle w:val="FootnoteReference"/>
          <w:rFonts w:ascii="Cambria" w:hAnsi="Cambria"/>
          <w:b/>
          <w:sz w:val="20"/>
          <w:szCs w:val="20"/>
          <w:lang w:val="es-ES"/>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2B5635" w:rsidRPr="00006B74" w:rsidTr="00AA02CF">
        <w:tc>
          <w:tcPr>
            <w:tcW w:w="2790" w:type="dxa"/>
            <w:tcBorders>
              <w:top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Recepción de la petición</w:t>
            </w:r>
          </w:p>
        </w:tc>
        <w:tc>
          <w:tcPr>
            <w:tcW w:w="6570" w:type="dxa"/>
            <w:tcBorders>
              <w:top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3 de febrero de 2010</w:t>
            </w:r>
          </w:p>
        </w:tc>
      </w:tr>
      <w:tr w:rsidR="002B5635" w:rsidRPr="00006B74" w:rsidTr="00AA02CF">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color w:val="FFFFFF"/>
                <w:sz w:val="19"/>
                <w:szCs w:val="19"/>
                <w:lang w:val="es-ES"/>
              </w:rPr>
              <w:t>Notificación de la petición</w:t>
            </w:r>
          </w:p>
        </w:tc>
        <w:tc>
          <w:tcPr>
            <w:tcW w:w="6570" w:type="dxa"/>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4 de abril de 2016</w:t>
            </w:r>
          </w:p>
        </w:tc>
      </w:tr>
      <w:tr w:rsidR="002B5635" w:rsidRPr="00006B74" w:rsidTr="00AA02CF">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color w:val="FFFFFF"/>
                <w:sz w:val="19"/>
                <w:szCs w:val="19"/>
                <w:lang w:val="es-ES"/>
              </w:rPr>
              <w:t>Primera respuesta del Estado</w:t>
            </w:r>
          </w:p>
        </w:tc>
        <w:tc>
          <w:tcPr>
            <w:tcW w:w="6570" w:type="dxa"/>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7 de agosto de 2016</w:t>
            </w:r>
          </w:p>
        </w:tc>
      </w:tr>
      <w:tr w:rsidR="002B5635" w:rsidRPr="00FD0D80" w:rsidTr="00AA02CF">
        <w:tc>
          <w:tcPr>
            <w:tcW w:w="2790" w:type="dxa"/>
            <w:tcBorders>
              <w:bottom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Observaciones adicionales de la parte peticionaria</w:t>
            </w:r>
          </w:p>
        </w:tc>
        <w:tc>
          <w:tcPr>
            <w:tcW w:w="6570" w:type="dxa"/>
            <w:tcBorders>
              <w:bottom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12 de junio de 2017</w:t>
            </w:r>
          </w:p>
        </w:tc>
      </w:tr>
    </w:tbl>
    <w:p w:rsidR="002B5635" w:rsidRPr="00006B74" w:rsidRDefault="002B563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2B5635" w:rsidRPr="00006B74" w:rsidTr="00AA02CF">
        <w:trPr>
          <w:cantSplit/>
        </w:trPr>
        <w:tc>
          <w:tcPr>
            <w:tcW w:w="2790" w:type="dxa"/>
            <w:tcBorders>
              <w:top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proofErr w:type="spellStart"/>
            <w:r w:rsidRPr="00AA02CF">
              <w:rPr>
                <w:rFonts w:ascii="Cambria" w:hAnsi="Cambria"/>
                <w:bCs/>
                <w:i/>
                <w:color w:val="FFFFFF"/>
                <w:sz w:val="19"/>
                <w:szCs w:val="19"/>
                <w:lang w:val="es-ES"/>
              </w:rPr>
              <w:t>Ratione</w:t>
            </w:r>
            <w:proofErr w:type="spellEnd"/>
            <w:r w:rsidRPr="00AA02CF">
              <w:rPr>
                <w:rFonts w:ascii="Cambria" w:hAnsi="Cambria"/>
                <w:bCs/>
                <w:i/>
                <w:color w:val="FFFFFF"/>
                <w:sz w:val="19"/>
                <w:szCs w:val="19"/>
                <w:lang w:val="es-ES"/>
              </w:rPr>
              <w:t xml:space="preserve"> </w:t>
            </w:r>
            <w:proofErr w:type="spellStart"/>
            <w:r w:rsidRPr="00AA02CF">
              <w:rPr>
                <w:rFonts w:ascii="Cambria" w:hAnsi="Cambria"/>
                <w:bCs/>
                <w:i/>
                <w:color w:val="FFFFFF"/>
                <w:sz w:val="19"/>
                <w:szCs w:val="19"/>
                <w:lang w:val="es-ES"/>
              </w:rPr>
              <w:t>personae</w:t>
            </w:r>
            <w:proofErr w:type="spellEnd"/>
          </w:p>
        </w:tc>
        <w:tc>
          <w:tcPr>
            <w:tcW w:w="6570" w:type="dxa"/>
            <w:tcBorders>
              <w:top w:val="single" w:sz="4" w:space="0" w:color="auto"/>
            </w:tcBorders>
            <w:vAlign w:val="center"/>
          </w:tcPr>
          <w:p w:rsidR="002B5635" w:rsidRPr="00AA02CF" w:rsidRDefault="002B5635"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A02CF">
              <w:rPr>
                <w:rFonts w:ascii="Cambria" w:hAnsi="Cambria"/>
                <w:bCs/>
                <w:sz w:val="19"/>
                <w:szCs w:val="19"/>
                <w:lang w:val="es-ES"/>
              </w:rPr>
              <w:t>Sí</w:t>
            </w:r>
          </w:p>
        </w:tc>
      </w:tr>
      <w:tr w:rsidR="002B5635" w:rsidRPr="00006B74" w:rsidTr="00AA02CF">
        <w:trPr>
          <w:cantSplit/>
        </w:trPr>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A02CF">
              <w:rPr>
                <w:rFonts w:ascii="Cambria" w:hAnsi="Cambria"/>
                <w:bCs/>
                <w:i/>
                <w:color w:val="FFFFFF"/>
                <w:sz w:val="19"/>
                <w:szCs w:val="19"/>
                <w:lang w:val="es-ES"/>
              </w:rPr>
              <w:t>Ratione</w:t>
            </w:r>
            <w:proofErr w:type="spellEnd"/>
            <w:r w:rsidRPr="00AA02CF">
              <w:rPr>
                <w:rFonts w:ascii="Cambria" w:hAnsi="Cambria"/>
                <w:bCs/>
                <w:i/>
                <w:color w:val="FFFFFF"/>
                <w:sz w:val="19"/>
                <w:szCs w:val="19"/>
                <w:lang w:val="es-ES"/>
              </w:rPr>
              <w:t xml:space="preserve"> </w:t>
            </w:r>
            <w:proofErr w:type="spellStart"/>
            <w:r w:rsidRPr="00AA02CF">
              <w:rPr>
                <w:rFonts w:ascii="Cambria" w:hAnsi="Cambria"/>
                <w:bCs/>
                <w:i/>
                <w:color w:val="FFFFFF"/>
                <w:sz w:val="19"/>
                <w:szCs w:val="19"/>
                <w:lang w:val="es-ES"/>
              </w:rPr>
              <w:t>loci</w:t>
            </w:r>
            <w:proofErr w:type="spellEnd"/>
          </w:p>
        </w:tc>
        <w:tc>
          <w:tcPr>
            <w:tcW w:w="6570" w:type="dxa"/>
            <w:vAlign w:val="center"/>
          </w:tcPr>
          <w:p w:rsidR="002B5635" w:rsidRPr="00AA02CF" w:rsidRDefault="002B5635"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A02CF">
              <w:rPr>
                <w:rFonts w:ascii="Cambria" w:hAnsi="Cambria"/>
                <w:bCs/>
                <w:sz w:val="19"/>
                <w:szCs w:val="19"/>
                <w:lang w:val="es-ES"/>
              </w:rPr>
              <w:t>Sí</w:t>
            </w:r>
          </w:p>
        </w:tc>
      </w:tr>
      <w:tr w:rsidR="002B5635" w:rsidRPr="00006B74" w:rsidTr="00AA02CF">
        <w:trPr>
          <w:cantSplit/>
        </w:trPr>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A02CF">
              <w:rPr>
                <w:rFonts w:ascii="Cambria" w:hAnsi="Cambria"/>
                <w:bCs/>
                <w:i/>
                <w:color w:val="FFFFFF"/>
                <w:sz w:val="19"/>
                <w:szCs w:val="19"/>
                <w:lang w:val="es-ES"/>
              </w:rPr>
              <w:t>Ratione</w:t>
            </w:r>
            <w:proofErr w:type="spellEnd"/>
            <w:r w:rsidRPr="00AA02CF">
              <w:rPr>
                <w:rFonts w:ascii="Cambria" w:hAnsi="Cambria"/>
                <w:bCs/>
                <w:i/>
                <w:color w:val="FFFFFF"/>
                <w:sz w:val="19"/>
                <w:szCs w:val="19"/>
                <w:lang w:val="es-ES"/>
              </w:rPr>
              <w:t xml:space="preserve"> </w:t>
            </w:r>
            <w:proofErr w:type="spellStart"/>
            <w:r w:rsidRPr="00AA02CF">
              <w:rPr>
                <w:rFonts w:ascii="Cambria" w:hAnsi="Cambria"/>
                <w:bCs/>
                <w:i/>
                <w:color w:val="FFFFFF"/>
                <w:sz w:val="19"/>
                <w:szCs w:val="19"/>
                <w:lang w:val="es-ES"/>
              </w:rPr>
              <w:t>temporis</w:t>
            </w:r>
            <w:proofErr w:type="spellEnd"/>
          </w:p>
        </w:tc>
        <w:tc>
          <w:tcPr>
            <w:tcW w:w="6570" w:type="dxa"/>
            <w:vAlign w:val="center"/>
          </w:tcPr>
          <w:p w:rsidR="002B5635" w:rsidRPr="00AA02CF" w:rsidRDefault="002B5635" w:rsidP="008D2290">
            <w:pPr>
              <w:pBdr>
                <w:top w:val="none" w:sz="0" w:space="0" w:color="auto"/>
                <w:left w:val="none" w:sz="0" w:space="0" w:color="auto"/>
                <w:bottom w:val="none" w:sz="0" w:space="0" w:color="auto"/>
                <w:right w:val="none" w:sz="0" w:space="0" w:color="auto"/>
                <w:bar w:val="none" w:sz="0" w:color="auto"/>
              </w:pBdr>
              <w:rPr>
                <w:bCs/>
                <w:sz w:val="19"/>
                <w:szCs w:val="19"/>
                <w:lang w:val="es-ES"/>
              </w:rPr>
            </w:pPr>
            <w:r w:rsidRPr="00AA02CF">
              <w:rPr>
                <w:bCs/>
                <w:sz w:val="19"/>
                <w:szCs w:val="19"/>
                <w:lang w:val="es-ES"/>
              </w:rPr>
              <w:t>Sí</w:t>
            </w:r>
          </w:p>
        </w:tc>
      </w:tr>
      <w:tr w:rsidR="002B5635" w:rsidRPr="00AC06E2" w:rsidTr="00AA02CF">
        <w:trPr>
          <w:cantSplit/>
        </w:trPr>
        <w:tc>
          <w:tcPr>
            <w:tcW w:w="2790" w:type="dxa"/>
            <w:tcBorders>
              <w:bottom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proofErr w:type="spellStart"/>
            <w:r w:rsidRPr="00AA02CF">
              <w:rPr>
                <w:rFonts w:ascii="Cambria" w:hAnsi="Cambria"/>
                <w:bCs/>
                <w:i/>
                <w:color w:val="FFFFFF"/>
                <w:sz w:val="19"/>
                <w:szCs w:val="19"/>
                <w:lang w:val="es-ES"/>
              </w:rPr>
              <w:t>Ratione</w:t>
            </w:r>
            <w:proofErr w:type="spellEnd"/>
            <w:r w:rsidRPr="00AA02CF">
              <w:rPr>
                <w:rFonts w:ascii="Cambria" w:hAnsi="Cambria"/>
                <w:bCs/>
                <w:i/>
                <w:color w:val="FFFFFF"/>
                <w:sz w:val="19"/>
                <w:szCs w:val="19"/>
                <w:lang w:val="es-ES"/>
              </w:rPr>
              <w:t xml:space="preserve"> </w:t>
            </w:r>
            <w:proofErr w:type="spellStart"/>
            <w:r w:rsidRPr="00AA02CF">
              <w:rPr>
                <w:rFonts w:ascii="Cambria" w:hAnsi="Cambria"/>
                <w:bCs/>
                <w:i/>
                <w:color w:val="FFFFFF"/>
                <w:sz w:val="19"/>
                <w:szCs w:val="19"/>
                <w:lang w:val="es-ES"/>
              </w:rPr>
              <w:t>materiae</w:t>
            </w:r>
            <w:proofErr w:type="spellEnd"/>
          </w:p>
        </w:tc>
        <w:tc>
          <w:tcPr>
            <w:tcW w:w="6570" w:type="dxa"/>
            <w:tcBorders>
              <w:bottom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20"/>
                <w:szCs w:val="20"/>
                <w:lang w:val="es-ES"/>
              </w:rPr>
              <w:t>Sí, Convención Americana (depósito del instrumento de ratificación realizado el 24 de marzo de 1981)</w:t>
            </w:r>
          </w:p>
        </w:tc>
      </w:tr>
    </w:tbl>
    <w:p w:rsidR="002B5635" w:rsidRPr="00006B74" w:rsidRDefault="002B563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Pr="00006B74">
        <w:rPr>
          <w:rFonts w:ascii="Cambria" w:hAnsi="Cambria"/>
          <w:b/>
          <w:bCs/>
          <w:sz w:val="20"/>
          <w:szCs w:val="20"/>
          <w:lang w:val="es-ES"/>
        </w:rPr>
        <w:t xml:space="preserve">INTERNACIONAL,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2B5635" w:rsidRPr="00FD0D80" w:rsidTr="00AA02CF">
        <w:trPr>
          <w:cantSplit/>
        </w:trPr>
        <w:tc>
          <w:tcPr>
            <w:tcW w:w="2790" w:type="dxa"/>
            <w:tcBorders>
              <w:top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No</w:t>
            </w:r>
          </w:p>
        </w:tc>
      </w:tr>
      <w:tr w:rsidR="002B5635" w:rsidRPr="00AC06E2" w:rsidTr="00AA02CF">
        <w:trPr>
          <w:cantSplit/>
        </w:trPr>
        <w:tc>
          <w:tcPr>
            <w:tcW w:w="2790" w:type="dxa"/>
            <w:tcBorders>
              <w:top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AA02CF">
              <w:rPr>
                <w:rFonts w:ascii="Cambria" w:hAnsi="Cambria"/>
                <w:bCs/>
                <w:color w:val="FFFFFF"/>
                <w:sz w:val="19"/>
                <w:szCs w:val="19"/>
                <w:lang w:val="es-ES"/>
              </w:rPr>
              <w:t>Derechos admitidos</w:t>
            </w:r>
          </w:p>
        </w:tc>
        <w:tc>
          <w:tcPr>
            <w:tcW w:w="6570" w:type="dxa"/>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AA02CF">
              <w:rPr>
                <w:rFonts w:ascii="Cambria" w:hAnsi="Cambria"/>
                <w:bCs/>
                <w:sz w:val="19"/>
                <w:szCs w:val="19"/>
                <w:lang w:val="es-ES"/>
              </w:rPr>
              <w:t xml:space="preserve">Artículos </w:t>
            </w:r>
            <w:r w:rsidR="006B2476" w:rsidRPr="006B2476">
              <w:rPr>
                <w:rFonts w:ascii="Cambria" w:hAnsi="Cambria"/>
                <w:bCs/>
                <w:sz w:val="19"/>
                <w:szCs w:val="19"/>
                <w:lang w:val="es-ES"/>
              </w:rPr>
              <w:t xml:space="preserve">5 (integridad personal), </w:t>
            </w:r>
            <w:r w:rsidRPr="00AA02CF">
              <w:rPr>
                <w:rFonts w:ascii="Cambria" w:hAnsi="Cambria"/>
                <w:bCs/>
                <w:sz w:val="19"/>
                <w:szCs w:val="19"/>
                <w:lang w:val="es-ES"/>
              </w:rPr>
              <w:t>8 (garantías judiciales), 11 (honra y dignidad), 23 (derechos políticos), 25 (protección judicial) y 26 (derechos económicos, sociales y culturales) de la Convención Americana en relación con sus artículos 1.1. (obligación de respetar los derechos) y 2 (deber de adoptar disposiciones de derecho interno)</w:t>
            </w:r>
          </w:p>
        </w:tc>
      </w:tr>
      <w:tr w:rsidR="002B5635" w:rsidRPr="00FD0D80" w:rsidTr="00AA02CF">
        <w:trPr>
          <w:cantSplit/>
        </w:trPr>
        <w:tc>
          <w:tcPr>
            <w:tcW w:w="2790" w:type="dxa"/>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Agotamiento de recursos o procedencia de una excepción</w:t>
            </w:r>
          </w:p>
        </w:tc>
        <w:tc>
          <w:tcPr>
            <w:tcW w:w="6570" w:type="dxa"/>
            <w:vAlign w:val="center"/>
          </w:tcPr>
          <w:p w:rsidR="002B5635" w:rsidRPr="00AA02CF" w:rsidRDefault="002B5635"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AA02CF">
              <w:rPr>
                <w:rFonts w:ascii="Cambria" w:hAnsi="Cambria"/>
                <w:bCs/>
                <w:sz w:val="19"/>
                <w:szCs w:val="19"/>
                <w:lang w:val="es-ES"/>
              </w:rPr>
              <w:t>Sí, 25 de agosto de 2009</w:t>
            </w:r>
          </w:p>
        </w:tc>
      </w:tr>
      <w:tr w:rsidR="002B5635" w:rsidRPr="00AE26E3" w:rsidTr="00AA02CF">
        <w:trPr>
          <w:cantSplit/>
        </w:trPr>
        <w:tc>
          <w:tcPr>
            <w:tcW w:w="2790" w:type="dxa"/>
            <w:tcBorders>
              <w:bottom w:val="single" w:sz="4" w:space="0" w:color="auto"/>
            </w:tcBorders>
            <w:shd w:val="clear" w:color="auto" w:fill="386294"/>
            <w:vAlign w:val="center"/>
          </w:tcPr>
          <w:p w:rsidR="002B5635" w:rsidRPr="00AA02CF" w:rsidRDefault="002B5635" w:rsidP="00AA02CF">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AA02CF">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2B5635" w:rsidRPr="00AA02CF" w:rsidRDefault="002B5635" w:rsidP="008D2290">
            <w:pPr>
              <w:pBdr>
                <w:top w:val="none" w:sz="0" w:space="0" w:color="auto"/>
                <w:left w:val="none" w:sz="0" w:space="0" w:color="auto"/>
                <w:bottom w:val="none" w:sz="0" w:space="0" w:color="auto"/>
                <w:right w:val="none" w:sz="0" w:space="0" w:color="auto"/>
                <w:bar w:val="none" w:sz="0" w:color="auto"/>
              </w:pBdr>
              <w:rPr>
                <w:bCs/>
                <w:sz w:val="19"/>
                <w:szCs w:val="19"/>
                <w:lang w:val="es-ES"/>
              </w:rPr>
            </w:pPr>
            <w:r w:rsidRPr="00AA02CF">
              <w:rPr>
                <w:bCs/>
                <w:sz w:val="19"/>
                <w:szCs w:val="19"/>
                <w:lang w:val="es-ES"/>
              </w:rPr>
              <w:t>Sí, 3 de febrero de 2010</w:t>
            </w:r>
          </w:p>
        </w:tc>
      </w:tr>
    </w:tbl>
    <w:p w:rsidR="002B5635" w:rsidRPr="00006B74" w:rsidRDefault="002B5635" w:rsidP="00AC06E2">
      <w:pPr>
        <w:pBdr>
          <w:top w:val="none" w:sz="0" w:space="0" w:color="auto"/>
          <w:left w:val="none" w:sz="0" w:space="0" w:color="auto"/>
          <w:bottom w:val="none" w:sz="0" w:space="0" w:color="auto"/>
          <w:right w:val="none" w:sz="0" w:space="0" w:color="auto"/>
          <w:bar w:val="none" w:sz="0" w:color="auto"/>
        </w:pBdr>
        <w:spacing w:before="120" w:after="24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2B5635" w:rsidRPr="006D76B3"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Rogelio Montemayor </w:t>
      </w:r>
      <w:proofErr w:type="spellStart"/>
      <w:r>
        <w:rPr>
          <w:rFonts w:ascii="Cambria" w:hAnsi="Cambria"/>
          <w:sz w:val="20"/>
          <w:szCs w:val="20"/>
          <w:lang w:val="es-ES"/>
        </w:rPr>
        <w:t>Seguy</w:t>
      </w:r>
      <w:proofErr w:type="spellEnd"/>
      <w:r>
        <w:rPr>
          <w:rFonts w:ascii="Cambria" w:hAnsi="Cambria"/>
          <w:sz w:val="20"/>
          <w:szCs w:val="20"/>
          <w:lang w:val="es-ES"/>
        </w:rPr>
        <w:t xml:space="preserve"> (en adelante “el peticionario” o “la presunta víctima”) relata que ejercía como Director General de Petróleos Mexicanos (PEMEX) en las fechas en que Vicente Fox Quesada se encontraba en campaña aspirando a la presidencia del país. Alega que durante la campaña electoral Fox Quesada le amenazó públicamente en múltiples ocasiones, por ejemplo, advirtiéndole al peticionario que “cuidado y meta la mano  por lo que primero vamos a hacer es auditar para asegurar que no se utilizaron recursos de PEMEX y de los mexicanos, que no se utilizó a PEMEX como caja chica de la campaña de </w:t>
      </w:r>
      <w:r>
        <w:rPr>
          <w:rFonts w:ascii="Cambria" w:hAnsi="Cambria"/>
          <w:sz w:val="20"/>
          <w:szCs w:val="20"/>
          <w:lang w:val="es-ES"/>
        </w:rPr>
        <w:lastRenderedPageBreak/>
        <w:t xml:space="preserve">Labastida”. Agrega que las amenazas continuaron tras la elección de Fox Quesada, citando como ejemplo que el Secretario de Contraloría y Desarrollo Administrativo (SECODAM) se refirió al peticionario anunciado, a inicios del 2002 que “… tenemos carne en la sartén y vamos a freír pescados de buen tamaño…”. Aduce que desde esa fecha fue víctima de persecución por parte de las instituciones del </w:t>
      </w:r>
      <w:r w:rsidRPr="006D76B3">
        <w:rPr>
          <w:rFonts w:ascii="Cambria" w:hAnsi="Cambria"/>
          <w:sz w:val="20"/>
          <w:szCs w:val="20"/>
          <w:lang w:val="es-ES"/>
        </w:rPr>
        <w:t>Estado a fin de establecer un precedente y dar un escarmiento a quien consideraban un adversario político.</w:t>
      </w:r>
    </w:p>
    <w:p w:rsidR="002B5635" w:rsidRPr="006D76B3"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D76B3">
        <w:rPr>
          <w:rFonts w:ascii="Cambria" w:hAnsi="Cambria"/>
          <w:sz w:val="20"/>
          <w:szCs w:val="20"/>
          <w:lang w:val="es-ES"/>
        </w:rPr>
        <w:t>Indica que fue sujeto a tres procesos penales distintos, todos relacionados con convenios administrativos sindicales que, durante su dirección, fueron celebrados entre PEMEX y el Sindicato de Trabajadores Petroleros de la República Mexicana, los que habían sido legalmente suscritos y pagados. El 12 de abril de 2002 se inició acción penal en su contra por el delito de peculado la que conllevó a que se dictara un auto de prisión en su contra, el que últimamente fue revocado el 10 de octubre de 2006 por el Juzgado Cuarto de Distrito en Materia Penal del Distrito Federal quien consideró en juicio de amparo que los datos de la averiguación previa resultaban insuficientes para demostrar que el peticionario hubiera desviados fondos de PEMEX en beneficio de un tercero ajeno a la relación laboral</w:t>
      </w:r>
      <w:r w:rsidRPr="006D76B3">
        <w:rPr>
          <w:rStyle w:val="FootnoteReference"/>
          <w:rFonts w:ascii="Cambria" w:hAnsi="Cambria"/>
          <w:sz w:val="20"/>
          <w:szCs w:val="20"/>
          <w:lang w:val="es-ES"/>
        </w:rPr>
        <w:footnoteReference w:id="7"/>
      </w:r>
      <w:r w:rsidRPr="006D76B3">
        <w:rPr>
          <w:rFonts w:ascii="Cambria" w:hAnsi="Cambria"/>
          <w:sz w:val="20"/>
          <w:szCs w:val="20"/>
          <w:lang w:val="es-ES"/>
        </w:rPr>
        <w:t>. También fue procesado</w:t>
      </w:r>
      <w:r>
        <w:rPr>
          <w:rFonts w:ascii="Cambria" w:hAnsi="Cambria"/>
          <w:sz w:val="20"/>
          <w:szCs w:val="20"/>
          <w:lang w:val="es-ES"/>
        </w:rPr>
        <w:t xml:space="preserve"> por</w:t>
      </w:r>
      <w:r w:rsidRPr="006D76B3">
        <w:rPr>
          <w:rFonts w:ascii="Cambria" w:hAnsi="Cambria"/>
          <w:sz w:val="20"/>
          <w:szCs w:val="20"/>
          <w:lang w:val="es-ES"/>
        </w:rPr>
        <w:t xml:space="preserve"> el delito de uso indebido de atribuciones y facultades resultando en que el juzgado penal a cargo concluyera el 11 de septiembre de 2004 que no estaban acreditados los elementos de la figura típica</w:t>
      </w:r>
      <w:r w:rsidRPr="006D76B3">
        <w:rPr>
          <w:rStyle w:val="FootnoteReference"/>
          <w:rFonts w:ascii="Cambria" w:hAnsi="Cambria"/>
          <w:sz w:val="20"/>
          <w:szCs w:val="20"/>
          <w:lang w:val="es-ES"/>
        </w:rPr>
        <w:footnoteReference w:id="8"/>
      </w:r>
      <w:r w:rsidRPr="006D76B3">
        <w:rPr>
          <w:rFonts w:ascii="Cambria" w:hAnsi="Cambria"/>
          <w:sz w:val="20"/>
          <w:szCs w:val="20"/>
          <w:lang w:val="es-ES"/>
        </w:rPr>
        <w:t xml:space="preserve">. De igual manera, se le procesó por delito </w:t>
      </w:r>
      <w:r>
        <w:rPr>
          <w:rFonts w:ascii="Cambria" w:hAnsi="Cambria"/>
          <w:sz w:val="20"/>
          <w:szCs w:val="20"/>
          <w:lang w:val="es-ES"/>
        </w:rPr>
        <w:t>electoral</w:t>
      </w:r>
      <w:r w:rsidRPr="006D76B3">
        <w:rPr>
          <w:rFonts w:ascii="Cambria" w:hAnsi="Cambria"/>
          <w:sz w:val="20"/>
          <w:szCs w:val="20"/>
          <w:lang w:val="es-ES"/>
        </w:rPr>
        <w:t xml:space="preserve"> por lo que se ordenó su aprehensión el 4 de octubre de 2002 contra lo que interpuso juicio de garantía que conllevó a que el juzgado de amparo concluyera que se habían violentado los derechos constitucionales del peticionario pues no habían elementos probatorios “que acrediten que la participación que tuvo el quejoso con la celebración del citado convenio constituyó un ardid para desviar recursos públicos al Partido Revolucionario Institucional”.</w:t>
      </w:r>
    </w:p>
    <w:p w:rsidR="002B5635" w:rsidRPr="006D76B3"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D76B3">
        <w:rPr>
          <w:rFonts w:ascii="Cambria" w:hAnsi="Cambria"/>
          <w:sz w:val="20"/>
          <w:szCs w:val="20"/>
          <w:lang w:val="es-ES"/>
        </w:rPr>
        <w:t xml:space="preserve"> Señala que por los mismos hechos también fue sujeto a un procedimiento administrativo de responsabilidad por parte de la Dirección General de Responsabilidades y Situación Patrimonial de la Secretaría de la Función Pública (ex SECODAM) el que inició en 2002 y conllevó a que dicha entidad emitiera  resolución el 27 de abril de 2005 sancionándolo con: inhabilitación por 20 años para desempeñar empleos, cargos o comisiones en el servicio público, así como con una sanción pecuniaria</w:t>
      </w:r>
      <w:r w:rsidRPr="006D76B3">
        <w:rPr>
          <w:rStyle w:val="FootnoteReference"/>
          <w:rFonts w:ascii="Cambria" w:hAnsi="Cambria"/>
          <w:sz w:val="20"/>
          <w:szCs w:val="20"/>
          <w:lang w:val="es-ES"/>
        </w:rPr>
        <w:footnoteReference w:id="9"/>
      </w:r>
      <w:r w:rsidRPr="006D76B3">
        <w:rPr>
          <w:rFonts w:ascii="Cambria" w:hAnsi="Cambria"/>
          <w:sz w:val="20"/>
          <w:szCs w:val="20"/>
          <w:lang w:val="es-ES"/>
        </w:rPr>
        <w:t>.  Contra dicha resolución, el peticionario presentó el 1 de julio de 2005 demanda de nulidad</w:t>
      </w:r>
      <w:r w:rsidRPr="006D76B3">
        <w:rPr>
          <w:rStyle w:val="FootnoteReference"/>
          <w:rFonts w:ascii="Cambria" w:hAnsi="Cambria"/>
          <w:sz w:val="20"/>
          <w:szCs w:val="20"/>
          <w:lang w:val="es-ES"/>
        </w:rPr>
        <w:footnoteReference w:id="10"/>
      </w:r>
      <w:r w:rsidRPr="006D76B3">
        <w:rPr>
          <w:rFonts w:ascii="Cambria" w:hAnsi="Cambria"/>
          <w:sz w:val="20"/>
          <w:szCs w:val="20"/>
          <w:lang w:val="es-ES"/>
        </w:rPr>
        <w:t xml:space="preserve"> ante el Tribunal </w:t>
      </w:r>
      <w:r w:rsidRPr="001E41F4">
        <w:rPr>
          <w:rFonts w:ascii="Cambria" w:hAnsi="Cambria"/>
          <w:sz w:val="20"/>
          <w:szCs w:val="20"/>
          <w:lang w:val="es-ES"/>
        </w:rPr>
        <w:t xml:space="preserve">Federal de Justicia Fiscal y </w:t>
      </w:r>
      <w:r w:rsidRPr="00D535C2">
        <w:rPr>
          <w:rFonts w:ascii="Cambria" w:hAnsi="Cambria"/>
          <w:sz w:val="20"/>
          <w:szCs w:val="20"/>
          <w:lang w:val="es-ES"/>
        </w:rPr>
        <w:t>Administrativa</w:t>
      </w:r>
      <w:r w:rsidRPr="00D535C2">
        <w:rPr>
          <w:rStyle w:val="FootnoteReference"/>
          <w:rFonts w:ascii="Cambria" w:hAnsi="Cambria"/>
          <w:sz w:val="20"/>
          <w:szCs w:val="20"/>
          <w:lang w:val="es-ES"/>
        </w:rPr>
        <w:footnoteReference w:id="11"/>
      </w:r>
      <w:r w:rsidRPr="00D535C2">
        <w:rPr>
          <w:rFonts w:ascii="Cambria" w:hAnsi="Cambria"/>
          <w:sz w:val="20"/>
          <w:szCs w:val="20"/>
          <w:lang w:val="es-ES"/>
        </w:rPr>
        <w:t xml:space="preserve"> quien confirmó la validez de las sanciones el 17 de noviembre de 2007. Luego, el 21 de febrero de 2008 el peticionario promovió juicio de amparo directo contra la resolución resultando en que el 12 de enero de 2009 el Tercer Tribunal Colegiado en Materia Administrativa del Primer Circuito realizara una revisión de la legalidad y constitucionalidad de la resolución impugnada y concediera el amparo con respecto a la sanción pecuniaria</w:t>
      </w:r>
      <w:r w:rsidRPr="00D535C2">
        <w:rPr>
          <w:rStyle w:val="FootnoteReference"/>
          <w:rFonts w:ascii="Cambria" w:hAnsi="Cambria"/>
          <w:sz w:val="20"/>
          <w:szCs w:val="20"/>
          <w:lang w:val="es-ES"/>
        </w:rPr>
        <w:footnoteReference w:id="12"/>
      </w:r>
      <w:r w:rsidRPr="00D535C2">
        <w:rPr>
          <w:rFonts w:ascii="Cambria" w:hAnsi="Cambria"/>
          <w:sz w:val="20"/>
          <w:szCs w:val="20"/>
          <w:lang w:val="es-ES"/>
        </w:rPr>
        <w:t xml:space="preserve"> pero lo negara con respecto a la inhabilitación</w:t>
      </w:r>
      <w:r w:rsidRPr="00D535C2">
        <w:rPr>
          <w:rStyle w:val="FootnoteReference"/>
          <w:rFonts w:ascii="Cambria" w:hAnsi="Cambria"/>
          <w:sz w:val="20"/>
          <w:szCs w:val="20"/>
          <w:lang w:val="es-ES"/>
        </w:rPr>
        <w:footnoteReference w:id="13"/>
      </w:r>
      <w:r w:rsidRPr="00D535C2">
        <w:rPr>
          <w:rFonts w:ascii="Cambria" w:hAnsi="Cambria"/>
          <w:sz w:val="20"/>
          <w:szCs w:val="20"/>
          <w:lang w:val="es-ES"/>
        </w:rPr>
        <w:t>. Inconforme</w:t>
      </w:r>
      <w:r w:rsidRPr="006D76B3">
        <w:rPr>
          <w:rFonts w:ascii="Cambria" w:hAnsi="Cambria"/>
          <w:sz w:val="20"/>
          <w:szCs w:val="20"/>
          <w:lang w:val="es-ES"/>
        </w:rPr>
        <w:t xml:space="preserve"> con esta decisión, el peticionario presentó recurso de revisión ante la Suprema Corte de Justicia argumentando que la Secretaría carecía de competencia constitucional y que ésta no cumplía con los estándares constitucionales de tribunal imparcial e independiente</w:t>
      </w:r>
      <w:r w:rsidRPr="006D76B3">
        <w:rPr>
          <w:rStyle w:val="FootnoteReference"/>
          <w:rFonts w:ascii="Cambria" w:hAnsi="Cambria"/>
          <w:sz w:val="20"/>
          <w:szCs w:val="20"/>
          <w:lang w:val="es-ES"/>
        </w:rPr>
        <w:footnoteReference w:id="14"/>
      </w:r>
      <w:r w:rsidRPr="006D76B3">
        <w:rPr>
          <w:rFonts w:ascii="Cambria" w:hAnsi="Cambria"/>
          <w:sz w:val="20"/>
          <w:szCs w:val="20"/>
          <w:lang w:val="es-ES"/>
        </w:rPr>
        <w:t xml:space="preserve">. El 20 de mayo de 2009 la Corte Suprema confirmó la sentencia recurrida por lo </w:t>
      </w:r>
      <w:r w:rsidRPr="006D76B3">
        <w:rPr>
          <w:rFonts w:ascii="Cambria" w:hAnsi="Cambria"/>
          <w:sz w:val="20"/>
          <w:szCs w:val="20"/>
          <w:lang w:val="es-ES"/>
        </w:rPr>
        <w:lastRenderedPageBreak/>
        <w:t>que el 1 de julio de 2009 el Tribunal Federal de Justicia Fiscal y Administrativa dictó nueva sentencia contra el peticionario imponiéndole sólo la sanción de inhabilitación</w:t>
      </w:r>
      <w:r w:rsidRPr="006D76B3">
        <w:rPr>
          <w:rStyle w:val="FootnoteReference"/>
          <w:rFonts w:ascii="Cambria" w:hAnsi="Cambria"/>
          <w:sz w:val="20"/>
          <w:szCs w:val="20"/>
          <w:lang w:val="es-ES"/>
        </w:rPr>
        <w:footnoteReference w:id="15"/>
      </w:r>
      <w:r w:rsidRPr="006D76B3">
        <w:rPr>
          <w:rFonts w:ascii="Cambria" w:hAnsi="Cambria"/>
          <w:sz w:val="20"/>
          <w:szCs w:val="20"/>
          <w:lang w:val="es-ES"/>
        </w:rPr>
        <w:t xml:space="preserve">. </w:t>
      </w:r>
    </w:p>
    <w:p w:rsidR="002B5635" w:rsidRPr="006D76B3"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D76B3">
        <w:rPr>
          <w:rFonts w:ascii="Cambria" w:hAnsi="Cambria"/>
          <w:sz w:val="20"/>
          <w:szCs w:val="20"/>
          <w:lang w:val="es-ES"/>
        </w:rPr>
        <w:t xml:space="preserve">El Estado no ha </w:t>
      </w:r>
      <w:r>
        <w:rPr>
          <w:rFonts w:ascii="Cambria" w:hAnsi="Cambria"/>
          <w:sz w:val="20"/>
          <w:szCs w:val="20"/>
          <w:lang w:val="es-ES"/>
        </w:rPr>
        <w:t>controvertido</w:t>
      </w:r>
      <w:r w:rsidRPr="006D76B3">
        <w:rPr>
          <w:rFonts w:ascii="Cambria" w:hAnsi="Cambria"/>
          <w:sz w:val="20"/>
          <w:szCs w:val="20"/>
          <w:lang w:val="es-ES"/>
        </w:rPr>
        <w:t xml:space="preserve"> el relato de los hechos presentado por el peticionario. Sin embargo, </w:t>
      </w:r>
      <w:r w:rsidRPr="006D76B3">
        <w:rPr>
          <w:rFonts w:ascii="Cambria" w:hAnsi="Cambria"/>
          <w:sz w:val="20"/>
          <w:szCs w:val="20"/>
          <w:lang w:val="es-UY"/>
        </w:rPr>
        <w:t>solicita que la petición se declara inadmisible toda vez que considera que la pretensión del peticionario es que la Comisión actúe como un tribunal de alzada, en contradicción de su naturaleza subsidiaria.</w:t>
      </w:r>
    </w:p>
    <w:p w:rsidR="002B5635" w:rsidRPr="00006B74" w:rsidRDefault="002B5635" w:rsidP="00AC06E2">
      <w:pPr>
        <w:pStyle w:val="ListParagraph"/>
        <w:pBdr>
          <w:top w:val="none" w:sz="0" w:space="0" w:color="auto"/>
          <w:left w:val="none" w:sz="0" w:space="0" w:color="auto"/>
          <w:bottom w:val="none" w:sz="0" w:space="0" w:color="auto"/>
          <w:right w:val="none" w:sz="0" w:space="0" w:color="auto"/>
          <w:bar w:val="none" w:sz="0" w:color="auto"/>
        </w:pBdr>
        <w:spacing w:before="120" w:after="24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2B5635" w:rsidRPr="00051E53"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considera que los recursos internos se agotaron con la sentencia emitida por el Tribunal Federal de Justicia Fiscal y Administrativa el 1 julio de </w:t>
      </w:r>
      <w:r w:rsidRPr="006D76B3">
        <w:rPr>
          <w:rFonts w:ascii="Cambria" w:hAnsi="Cambria"/>
          <w:sz w:val="20"/>
          <w:szCs w:val="20"/>
          <w:lang w:val="es-ES"/>
        </w:rPr>
        <w:t>2009 con la cual se le impuso una sanción de inhabilitación para ejercer el servicio público por un término de 20 años, y que esta no es susceptible</w:t>
      </w:r>
      <w:r>
        <w:rPr>
          <w:rFonts w:ascii="Cambria" w:hAnsi="Cambria"/>
          <w:sz w:val="20"/>
          <w:szCs w:val="20"/>
          <w:lang w:val="es-ES"/>
        </w:rPr>
        <w:t xml:space="preserve"> de posterior impugnación.</w:t>
      </w:r>
      <w:r>
        <w:rPr>
          <w:rStyle w:val="FootnoteReference"/>
          <w:rFonts w:ascii="Cambria" w:hAnsi="Cambria"/>
          <w:sz w:val="20"/>
          <w:szCs w:val="20"/>
          <w:lang w:val="es-ES"/>
        </w:rPr>
        <w:footnoteReference w:id="16"/>
      </w:r>
      <w:r>
        <w:rPr>
          <w:rFonts w:ascii="Cambria" w:hAnsi="Cambria"/>
          <w:sz w:val="20"/>
          <w:szCs w:val="20"/>
          <w:lang w:val="es-ES"/>
        </w:rPr>
        <w:t xml:space="preserve"> También señala que dado que esta sentencia le fue notificada el 25 de agosto de 2009 su petición fue presentada de forma oportuna.</w:t>
      </w:r>
      <w:r>
        <w:rPr>
          <w:rStyle w:val="FootnoteReference"/>
          <w:rFonts w:ascii="Cambria" w:hAnsi="Cambria"/>
          <w:sz w:val="20"/>
          <w:szCs w:val="20"/>
          <w:lang w:val="es-ES"/>
        </w:rPr>
        <w:footnoteReference w:id="17"/>
      </w:r>
      <w:r>
        <w:rPr>
          <w:rFonts w:ascii="Cambria" w:hAnsi="Cambria"/>
          <w:sz w:val="20"/>
          <w:szCs w:val="20"/>
          <w:lang w:val="es-ES"/>
        </w:rPr>
        <w:t xml:space="preserve"> </w:t>
      </w:r>
      <w:r w:rsidRPr="00051E53">
        <w:rPr>
          <w:rFonts w:ascii="Cambria" w:hAnsi="Cambria"/>
          <w:sz w:val="20"/>
          <w:szCs w:val="20"/>
          <w:lang w:val="es-ES"/>
        </w:rPr>
        <w:t xml:space="preserve">El Estado, por su parte, no ha hecho referencia a recursos que no hayan sido agotados por el peticionario que pudieran ser idóneos para que sus pretensiones </w:t>
      </w:r>
      <w:r>
        <w:rPr>
          <w:rFonts w:ascii="Cambria" w:hAnsi="Cambria"/>
          <w:sz w:val="20"/>
          <w:szCs w:val="20"/>
          <w:lang w:val="es-ES"/>
        </w:rPr>
        <w:t>sean atendidas a nivel doméstico</w:t>
      </w:r>
      <w:r w:rsidRPr="00051E53">
        <w:rPr>
          <w:rFonts w:ascii="Cambria" w:hAnsi="Cambria"/>
          <w:sz w:val="20"/>
          <w:szCs w:val="20"/>
          <w:lang w:val="es-ES"/>
        </w:rPr>
        <w:t xml:space="preserve">, ni argumentado que la petición haya sido presentada de forma extemporánea. </w:t>
      </w:r>
    </w:p>
    <w:p w:rsidR="002B5635" w:rsidRPr="00006B74"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006B74">
        <w:rPr>
          <w:rFonts w:ascii="Cambria" w:hAnsi="Cambria"/>
          <w:sz w:val="20"/>
          <w:szCs w:val="20"/>
          <w:lang w:val="es-ES"/>
        </w:rPr>
        <w:t xml:space="preserve"> </w:t>
      </w:r>
      <w:r>
        <w:rPr>
          <w:rFonts w:ascii="Cambria" w:hAnsi="Cambria"/>
          <w:sz w:val="20"/>
          <w:szCs w:val="20"/>
          <w:lang w:val="es-ES"/>
        </w:rPr>
        <w:t xml:space="preserve">En atención a la información en expediente, la Comisión considera que los recursos internos se agotaron con la sentencia de 1 de julio de 2009 por lo que la presente petición cumple con los requisitos del artículo 46.1(a) de la Convención Americana. Dado que esta sentencia fue notificada al peticionario el 25 de agosto de 2009 y la presente petición presentada el 3 de febrero de 2010, la Comisión estima que la misma cumple con el plazo de presentación establecido en el artículo </w:t>
      </w:r>
      <w:proofErr w:type="gramStart"/>
      <w:r>
        <w:rPr>
          <w:rFonts w:ascii="Cambria" w:hAnsi="Cambria"/>
          <w:sz w:val="20"/>
          <w:szCs w:val="20"/>
          <w:lang w:val="es-ES"/>
        </w:rPr>
        <w:t>46.1(</w:t>
      </w:r>
      <w:proofErr w:type="gramEnd"/>
      <w:r>
        <w:rPr>
          <w:rFonts w:ascii="Cambria" w:hAnsi="Cambria"/>
          <w:sz w:val="20"/>
          <w:szCs w:val="20"/>
          <w:lang w:val="es-ES"/>
        </w:rPr>
        <w:t xml:space="preserve">b) de la Convención. </w:t>
      </w:r>
    </w:p>
    <w:p w:rsidR="002B5635" w:rsidRPr="00006B74" w:rsidRDefault="002B5635" w:rsidP="00AC06E2">
      <w:pPr>
        <w:pStyle w:val="ListParagraph"/>
        <w:pBdr>
          <w:top w:val="none" w:sz="0" w:space="0" w:color="auto"/>
          <w:left w:val="none" w:sz="0" w:space="0" w:color="auto"/>
          <w:bottom w:val="none" w:sz="0" w:space="0" w:color="auto"/>
          <w:right w:val="none" w:sz="0" w:space="0" w:color="auto"/>
          <w:bar w:val="none" w:sz="0" w:color="auto"/>
        </w:pBdr>
        <w:spacing w:before="120" w:after="240"/>
        <w:jc w:val="both"/>
        <w:rPr>
          <w:b/>
          <w:bCs/>
          <w:sz w:val="20"/>
          <w:szCs w:val="20"/>
          <w:lang w:val="es-ES"/>
        </w:rPr>
      </w:pPr>
      <w:r w:rsidRPr="00006B74">
        <w:rPr>
          <w:b/>
          <w:bCs/>
          <w:sz w:val="20"/>
          <w:szCs w:val="20"/>
          <w:lang w:val="es-ES"/>
        </w:rPr>
        <w:t xml:space="preserve">VII. </w:t>
      </w:r>
      <w:r w:rsidRPr="00006B74">
        <w:rPr>
          <w:b/>
          <w:bCs/>
          <w:sz w:val="20"/>
          <w:szCs w:val="20"/>
          <w:lang w:val="es-ES"/>
        </w:rPr>
        <w:tab/>
        <w:t>CARACTERIZACIÓN</w:t>
      </w:r>
    </w:p>
    <w:p w:rsidR="002B5635"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considera que se vulneraron su derecho al acceso en condiciones de igualdad a las funciones públicas por razón de que una autoridad meramente administrativa le sancionó con 20 años de inhabilitación para el ejercicio de la función pública, pese a no haber sido nunca sujeto de condena por parte de un juez penal</w:t>
      </w:r>
      <w:r w:rsidRPr="00D535C2">
        <w:rPr>
          <w:rFonts w:ascii="Cambria" w:hAnsi="Cambria"/>
          <w:sz w:val="20"/>
          <w:szCs w:val="20"/>
          <w:lang w:val="es-ES"/>
        </w:rPr>
        <w:t>. De igual manera, que se le vulneró su derecho al trabajo al impedírsele dedicarse al servicio público, la actividad lícita y libremente elegida que correspondía a su vocación y a la que había dedicado su vida académica y profesional en integridad. También</w:t>
      </w:r>
      <w:r>
        <w:rPr>
          <w:rFonts w:ascii="Cambria" w:hAnsi="Cambria"/>
          <w:sz w:val="20"/>
          <w:szCs w:val="20"/>
          <w:lang w:val="es-ES"/>
        </w:rPr>
        <w:t xml:space="preserve"> alega que el procedimiento administrativo que conllevó a esta sanción no cumplió con los estándares del debido proceso</w:t>
      </w:r>
      <w:r>
        <w:rPr>
          <w:rStyle w:val="FootnoteReference"/>
          <w:rFonts w:ascii="Cambria" w:hAnsi="Cambria"/>
          <w:sz w:val="20"/>
          <w:szCs w:val="20"/>
          <w:lang w:val="es-ES"/>
        </w:rPr>
        <w:footnoteReference w:id="18"/>
      </w:r>
      <w:r>
        <w:rPr>
          <w:rFonts w:ascii="Cambria" w:hAnsi="Cambria"/>
          <w:sz w:val="20"/>
          <w:szCs w:val="20"/>
          <w:lang w:val="es-ES"/>
        </w:rPr>
        <w:t xml:space="preserve"> entre otras razones porque: 1) La autoridad sancionadora carecía de competencia pues la Constitución establecía que la determinación de responsabilidades de quien hubiera ocupado el cargo de director de PEMEX debía realizarse mediante la instauración de un Juicio Político</w:t>
      </w:r>
      <w:r>
        <w:rPr>
          <w:rStyle w:val="FootnoteReference"/>
          <w:rFonts w:ascii="Cambria" w:hAnsi="Cambria"/>
          <w:sz w:val="20"/>
          <w:szCs w:val="20"/>
          <w:lang w:val="es-ES"/>
        </w:rPr>
        <w:footnoteReference w:id="19"/>
      </w:r>
      <w:r>
        <w:rPr>
          <w:rFonts w:ascii="Cambria" w:hAnsi="Cambria"/>
          <w:sz w:val="20"/>
          <w:szCs w:val="20"/>
          <w:lang w:val="es-ES"/>
        </w:rPr>
        <w:t xml:space="preserve">; 2) se violó la prohibición de doble juzgamiento pues ya había sido juzgado y absuelto por un juez penal por los mismos hechos (resalta que los delitos por los que fue acusado hubieran conllevado una pena accesoria de inhabilitación en caso de una condena); 3) la autoridad sancionadora se </w:t>
      </w:r>
      <w:r>
        <w:rPr>
          <w:rFonts w:ascii="Cambria" w:hAnsi="Cambria"/>
          <w:sz w:val="20"/>
          <w:szCs w:val="20"/>
          <w:lang w:val="es-ES"/>
        </w:rPr>
        <w:lastRenderedPageBreak/>
        <w:t>encontraba subordinada jerárquica y presupuestariamente al Poder Ejecutivo Federal, por lo que carecía de independencia; 4)la autoridad sancionadora no era imparcial pues ejercía como “juez” para determinar responsabilidades e imponer sanción en base a los resultados de su propia investigación; 5</w:t>
      </w:r>
      <w:r w:rsidRPr="00D535C2">
        <w:rPr>
          <w:rFonts w:ascii="Cambria" w:hAnsi="Cambria"/>
          <w:sz w:val="20"/>
          <w:szCs w:val="20"/>
          <w:lang w:val="es-ES"/>
        </w:rPr>
        <w:t>) El Tribunal Federal de Justicia Fiscal y Administrativa quien conoció de la demanda de nulidad contra las sanciones también carecía de independencia por estar subordinado presupuestariamente al poder ejecutivo</w:t>
      </w:r>
      <w:r>
        <w:rPr>
          <w:rFonts w:ascii="Cambria" w:hAnsi="Cambria"/>
          <w:sz w:val="20"/>
          <w:szCs w:val="20"/>
          <w:lang w:val="es-ES"/>
        </w:rPr>
        <w:t xml:space="preserve">; 6) Las declaraciones públicas del Presidente de la República y el titular de la SECODAM denotaban interés personal de estos en el proceso y prejuzgamiento y parcialización en su contra.  </w:t>
      </w:r>
    </w:p>
    <w:p w:rsidR="002B5635"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adición alega que la sanción que se le aplicó no cumplió con los estándares de legalidad y proporcionalidad porque: 1) La norma en que se basó la sanción establecía que la inhabilitación entre 10 a 20 años sería aplicable “por conductas graves de los servidores públicos”, sin que existiera norma alguna que proveyese parámetros respecto a que se debía entender por “grave”,  concediendo un inaceptable nivel de arbitrio y discrecionalidad a la autoridad sancionadora; 2) Resulta cruel e inusitado que una autoridad administrativa aplique una sanción de inhabilitación por 20 años, cuando la ley penal establecía un máximo de 14 años de inhabilitación como pena para quienes incurrieran en las conductas que se le imputaron; 3) A diferencia de la ley penal, la ley que se le aplicó no proveía parámetros para la individualización y graduación de la pena; 4) La aplicación de la sanción máxima de 20 años resulta desproporcionada pues no había una situación de reincidencia ni ningún otro tipo de agravante que la justificara.</w:t>
      </w:r>
    </w:p>
    <w:p w:rsidR="002B5635" w:rsidRPr="000B0579"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por su parte, señala que el peticionario pretende improcedentemente que la Comisión actué como una cuarta instancia para revisar decisiones de las autoridades domésticas, por su mero desacuerdo con estas. Resalta que el peticionario tuvo la oportunidad de interponer todos los recursos judiciales que consideró prudentes, los que fueron resueltos fundada y motivadamente en tiempos razonables. </w:t>
      </w:r>
    </w:p>
    <w:p w:rsidR="002B5635" w:rsidRPr="00D535C2"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9C00E6">
        <w:rPr>
          <w:rFonts w:ascii="Cambria" w:hAnsi="Cambria"/>
          <w:sz w:val="20"/>
          <w:szCs w:val="20"/>
          <w:lang w:val="es-ES"/>
        </w:rPr>
        <w:t>La Comisión ha revisado todos los elementos de hecho y de derecho expuestos por las partes. El mero hecho de que autoridades administrativas y las penales alcancen determinaciones distintas con respecto a la responsabilidad de una misma persona por unos mismos</w:t>
      </w:r>
      <w:r>
        <w:rPr>
          <w:rFonts w:ascii="Cambria" w:hAnsi="Cambria"/>
          <w:sz w:val="20"/>
          <w:szCs w:val="20"/>
          <w:lang w:val="es-ES"/>
        </w:rPr>
        <w:t xml:space="preserve"> hechos</w:t>
      </w:r>
      <w:r w:rsidRPr="009C00E6">
        <w:rPr>
          <w:rFonts w:ascii="Cambria" w:hAnsi="Cambria"/>
          <w:sz w:val="20"/>
          <w:szCs w:val="20"/>
          <w:lang w:val="es-ES"/>
        </w:rPr>
        <w:t xml:space="preserve"> no implica por si sólo una violación a la Convención Americana. Sin embargo, en atención a los precedentes de la Corte Interamericana</w:t>
      </w:r>
      <w:r>
        <w:rPr>
          <w:rStyle w:val="FootnoteReference"/>
          <w:rFonts w:ascii="Cambria" w:hAnsi="Cambria"/>
          <w:sz w:val="20"/>
          <w:szCs w:val="20"/>
          <w:lang w:val="es-ES"/>
        </w:rPr>
        <w:footnoteReference w:id="20"/>
      </w:r>
      <w:r w:rsidRPr="009C00E6">
        <w:rPr>
          <w:rFonts w:ascii="Cambria" w:hAnsi="Cambria"/>
          <w:sz w:val="20"/>
          <w:szCs w:val="20"/>
          <w:lang w:val="es-ES"/>
        </w:rPr>
        <w:t xml:space="preserve"> y los suyos propios</w:t>
      </w:r>
      <w:r>
        <w:rPr>
          <w:rStyle w:val="FootnoteReference"/>
          <w:rFonts w:ascii="Cambria" w:hAnsi="Cambria"/>
          <w:sz w:val="20"/>
          <w:szCs w:val="20"/>
          <w:lang w:val="es-ES"/>
        </w:rPr>
        <w:footnoteReference w:id="21"/>
      </w:r>
      <w:r w:rsidRPr="009C00E6">
        <w:rPr>
          <w:rFonts w:ascii="Cambria" w:hAnsi="Cambria"/>
          <w:sz w:val="20"/>
          <w:szCs w:val="20"/>
          <w:lang w:val="es-ES"/>
        </w:rPr>
        <w:t>, la Comisión considera que la aducida imposición al peticionario de una sanción de inhabilitación para el ejercicio del servicio público por parte de una autoridad que no contaba con la naturaleza de juez penal requiere un estudio de fondo pues lo alegado, de corroborarse, podría caracterizar una violación al artículo 23(2) de la Convención Americana. De igual manera, la Comisión estima que las alegaciones del peticionario relativas a que la autoridad que le sancionó carecía de independencia e imparcialidad,</w:t>
      </w:r>
      <w:r>
        <w:rPr>
          <w:rFonts w:ascii="Cambria" w:hAnsi="Cambria"/>
          <w:sz w:val="20"/>
          <w:szCs w:val="20"/>
          <w:lang w:val="es-ES"/>
        </w:rPr>
        <w:t xml:space="preserve"> a que fue prejuzgado mediante declaraciones pública de agentes estatales</w:t>
      </w:r>
      <w:r w:rsidRPr="009C00E6">
        <w:rPr>
          <w:rFonts w:ascii="Cambria" w:hAnsi="Cambria"/>
          <w:sz w:val="20"/>
          <w:szCs w:val="20"/>
          <w:lang w:val="es-ES"/>
        </w:rPr>
        <w:t xml:space="preserve"> y a que la sanción aplicada no cumplió con los estándares de legalidad y proporcionalidad, no resultan manifiestamente infundadas y requieren un examen de fondo pues lo aducido, de corroborarse, pudiera caracterizar violaciones a los artículos</w:t>
      </w:r>
      <w:r>
        <w:rPr>
          <w:rFonts w:ascii="Cambria" w:hAnsi="Cambria"/>
          <w:sz w:val="20"/>
          <w:szCs w:val="20"/>
          <w:lang w:val="es-ES"/>
        </w:rPr>
        <w:t xml:space="preserve"> 5 (integridad personal),</w:t>
      </w:r>
      <w:r w:rsidRPr="009C00E6">
        <w:rPr>
          <w:rFonts w:ascii="Cambria" w:hAnsi="Cambria"/>
          <w:sz w:val="20"/>
          <w:szCs w:val="20"/>
          <w:lang w:val="es-ES"/>
        </w:rPr>
        <w:t xml:space="preserve"> </w:t>
      </w:r>
      <w:r w:rsidRPr="009C00E6">
        <w:rPr>
          <w:rFonts w:ascii="Cambria" w:hAnsi="Cambria"/>
          <w:bCs/>
          <w:sz w:val="20"/>
          <w:szCs w:val="20"/>
          <w:lang w:val="es-ES"/>
        </w:rPr>
        <w:t>8 (garantías judiciales),</w:t>
      </w:r>
      <w:r>
        <w:rPr>
          <w:rFonts w:ascii="Cambria" w:hAnsi="Cambria"/>
          <w:bCs/>
          <w:sz w:val="20"/>
          <w:szCs w:val="20"/>
          <w:lang w:val="es-ES"/>
        </w:rPr>
        <w:t xml:space="preserve"> 11 (honra y dignidad),</w:t>
      </w:r>
      <w:r w:rsidRPr="009C00E6">
        <w:rPr>
          <w:rFonts w:ascii="Cambria" w:hAnsi="Cambria"/>
          <w:bCs/>
          <w:sz w:val="20"/>
          <w:szCs w:val="20"/>
          <w:lang w:val="es-ES"/>
        </w:rPr>
        <w:t xml:space="preserve"> 23 (derechos polític</w:t>
      </w:r>
      <w:r>
        <w:rPr>
          <w:rFonts w:ascii="Cambria" w:hAnsi="Cambria"/>
          <w:bCs/>
          <w:sz w:val="20"/>
          <w:szCs w:val="20"/>
          <w:lang w:val="es-ES"/>
        </w:rPr>
        <w:t xml:space="preserve">os), 25 (protección judicial) </w:t>
      </w:r>
      <w:r w:rsidRPr="009C00E6">
        <w:rPr>
          <w:rFonts w:ascii="Cambria" w:hAnsi="Cambria"/>
          <w:bCs/>
          <w:sz w:val="20"/>
          <w:szCs w:val="20"/>
          <w:lang w:val="es-ES"/>
        </w:rPr>
        <w:t>de la Convención Americana en relación con sus artículos 1.1. (obligación de respetar los derechos) y 2 (deber de adoptar disposiciones de derecho interno</w:t>
      </w:r>
      <w:r w:rsidRPr="00D535C2">
        <w:rPr>
          <w:rFonts w:ascii="Cambria" w:hAnsi="Cambria"/>
          <w:bCs/>
          <w:sz w:val="20"/>
          <w:szCs w:val="20"/>
          <w:lang w:val="es-ES"/>
        </w:rPr>
        <w:t>). En cuanto a la aducida restricción injustificada al derecho del peticionario a escoger libremente su profesión y a seguir su vocación, la Comisión examinará estos alegatos en la etapa de fondo a la luz del artículo 26 (derechos económicos, sociales y culturales) de la Convención Americana.</w:t>
      </w:r>
    </w:p>
    <w:p w:rsidR="002B5635" w:rsidRPr="00642C59"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En cuanto a las alegadas violaciones al artículo 7 (libertad personal) de la Convención Americana, la Comisión considera que no se desprenden del expediente argumentos o sustentos suficientes que le permitan concluir, prima facie, su posible violación.</w:t>
      </w:r>
    </w:p>
    <w:p w:rsidR="002B5635" w:rsidRPr="009E0BA4" w:rsidRDefault="002B5635" w:rsidP="00AC06E2">
      <w:pPr>
        <w:pStyle w:val="ListParagraph"/>
        <w:numPr>
          <w:ilvl w:val="0"/>
          <w:numId w:val="103"/>
        </w:numPr>
        <w:pBdr>
          <w:top w:val="none" w:sz="0" w:space="0" w:color="auto"/>
          <w:left w:val="none" w:sz="0" w:space="0" w:color="auto"/>
          <w:bottom w:val="none" w:sz="0" w:space="0" w:color="auto"/>
          <w:right w:val="none" w:sz="0" w:space="0" w:color="auto"/>
          <w:bar w:val="none" w:sz="0" w:color="auto"/>
        </w:pBdr>
        <w:spacing w:after="240"/>
        <w:ind w:left="0"/>
        <w:jc w:val="both"/>
        <w:rPr>
          <w:rFonts w:ascii="Times New Roman" w:hAnsi="Times New Roman" w:cs="Times New Roman"/>
          <w:sz w:val="20"/>
          <w:szCs w:val="20"/>
          <w:lang w:val="es-PE"/>
        </w:rPr>
      </w:pPr>
      <w:r w:rsidRPr="00640343">
        <w:rPr>
          <w:sz w:val="20"/>
          <w:szCs w:val="20"/>
          <w:lang w:val="es-ES"/>
        </w:rPr>
        <w:t xml:space="preserve">Respecto a las aducidas violaciones a la Declaración Americana, </w:t>
      </w:r>
      <w:r w:rsidRPr="00640343">
        <w:rPr>
          <w:rFonts w:cs="Calibri"/>
          <w:sz w:val="20"/>
          <w:szCs w:val="20"/>
          <w:lang w:val="es-ES"/>
        </w:rPr>
        <w:t xml:space="preserve">la Comisión Interamericana ha establecido previamente que, una vez que la Convención Americana entra en vigor en relación con un </w:t>
      </w:r>
      <w:r w:rsidRPr="00640343">
        <w:rPr>
          <w:rFonts w:cs="Calibri"/>
          <w:sz w:val="20"/>
          <w:szCs w:val="20"/>
          <w:lang w:val="es-ES"/>
        </w:rPr>
        <w:lastRenderedPageBreak/>
        <w:t xml:space="preserve">Estado, ésta y no la Declaración pasa a ser la fuente primaria de derecho aplicable por la Comisión, siempre que la petición se refiera a la presunta violación de derechos idénticos en ambos instrumentos y no se trate de una situación de violación continuada. En el presente caso, la Comisión considera que las alegadas violaciones a la Declaración Americana no escapan el alcance de la protección de los artículos  8, 11, </w:t>
      </w:r>
      <w:r>
        <w:rPr>
          <w:rFonts w:cs="Calibri"/>
          <w:sz w:val="20"/>
          <w:szCs w:val="20"/>
          <w:lang w:val="es-ES"/>
        </w:rPr>
        <w:t>23</w:t>
      </w:r>
      <w:r w:rsidRPr="00640343">
        <w:rPr>
          <w:rFonts w:cs="Calibri"/>
          <w:sz w:val="20"/>
          <w:szCs w:val="20"/>
          <w:lang w:val="es-ES"/>
        </w:rPr>
        <w:t xml:space="preserve">  </w:t>
      </w:r>
      <w:r>
        <w:rPr>
          <w:rFonts w:cs="Calibri"/>
          <w:sz w:val="20"/>
          <w:szCs w:val="20"/>
          <w:lang w:val="es-ES"/>
        </w:rPr>
        <w:t>25</w:t>
      </w:r>
      <w:r w:rsidRPr="00640343">
        <w:rPr>
          <w:rFonts w:cs="Calibri"/>
          <w:sz w:val="20"/>
          <w:szCs w:val="20"/>
          <w:lang w:val="es-ES"/>
        </w:rPr>
        <w:t>, y 26 de la Convención Americana. Por lo tanto la Comisión examinará estos alegatos a la luz de la Convención Americana. En cuanto</w:t>
      </w:r>
      <w:r>
        <w:rPr>
          <w:rFonts w:cs="Calibri"/>
          <w:sz w:val="20"/>
          <w:szCs w:val="20"/>
          <w:lang w:val="es-ES"/>
        </w:rPr>
        <w:t xml:space="preserve"> a las aducidas violaciones a los artículos 3, 6 y 7 del Protocolo de San Salvador, el Pacto Internacional de Derechos </w:t>
      </w:r>
      <w:proofErr w:type="spellStart"/>
      <w:r>
        <w:rPr>
          <w:rFonts w:cs="Calibri"/>
          <w:sz w:val="20"/>
          <w:szCs w:val="20"/>
          <w:lang w:val="es-ES"/>
        </w:rPr>
        <w:t>Cíviles</w:t>
      </w:r>
      <w:proofErr w:type="spellEnd"/>
      <w:r>
        <w:rPr>
          <w:rFonts w:cs="Calibri"/>
          <w:sz w:val="20"/>
          <w:szCs w:val="20"/>
          <w:lang w:val="es-ES"/>
        </w:rPr>
        <w:t xml:space="preserve"> y Político y la</w:t>
      </w:r>
      <w:r w:rsidRPr="00640343">
        <w:rPr>
          <w:rFonts w:cs="Calibri"/>
          <w:sz w:val="20"/>
          <w:szCs w:val="20"/>
          <w:lang w:val="es-ES"/>
        </w:rPr>
        <w:t xml:space="preserve"> Declaración Universal de Derechos Humanos, La CIDH carece de competencia </w:t>
      </w:r>
      <w:proofErr w:type="spellStart"/>
      <w:r w:rsidRPr="00640343">
        <w:rPr>
          <w:rFonts w:cs="Calibri"/>
          <w:i/>
          <w:sz w:val="20"/>
          <w:szCs w:val="20"/>
          <w:lang w:val="es-ES"/>
        </w:rPr>
        <w:t>ratione</w:t>
      </w:r>
      <w:proofErr w:type="spellEnd"/>
      <w:r w:rsidRPr="00640343">
        <w:rPr>
          <w:rFonts w:cs="Calibri"/>
          <w:i/>
          <w:sz w:val="20"/>
          <w:szCs w:val="20"/>
          <w:lang w:val="es-ES"/>
        </w:rPr>
        <w:t xml:space="preserve"> </w:t>
      </w:r>
      <w:proofErr w:type="spellStart"/>
      <w:r w:rsidRPr="00640343">
        <w:rPr>
          <w:rFonts w:cs="Calibri"/>
          <w:i/>
          <w:sz w:val="20"/>
          <w:szCs w:val="20"/>
          <w:lang w:val="es-ES"/>
        </w:rPr>
        <w:t>materiae</w:t>
      </w:r>
      <w:proofErr w:type="spellEnd"/>
      <w:r w:rsidRPr="00640343">
        <w:rPr>
          <w:rFonts w:cs="Calibri"/>
          <w:sz w:val="20"/>
          <w:szCs w:val="20"/>
          <w:lang w:val="es-ES"/>
        </w:rPr>
        <w:t xml:space="preserve"> para pronunciarse sobre violaciones a los </w:t>
      </w:r>
      <w:r>
        <w:rPr>
          <w:rFonts w:cs="Calibri"/>
          <w:sz w:val="20"/>
          <w:szCs w:val="20"/>
          <w:lang w:val="es-ES"/>
        </w:rPr>
        <w:t>mismos en el contexto del análisis de una petición individual</w:t>
      </w:r>
      <w:r w:rsidRPr="00640343">
        <w:rPr>
          <w:rFonts w:cs="Calibri"/>
          <w:sz w:val="20"/>
          <w:szCs w:val="20"/>
          <w:lang w:val="es-ES"/>
        </w:rPr>
        <w:t xml:space="preserve">, sin perjuicio que pueda recurrir a los estándares establecidos en </w:t>
      </w:r>
      <w:r>
        <w:rPr>
          <w:rFonts w:cs="Calibri"/>
          <w:sz w:val="20"/>
          <w:szCs w:val="20"/>
          <w:lang w:val="es-ES"/>
        </w:rPr>
        <w:t>estos</w:t>
      </w:r>
      <w:r w:rsidRPr="00640343">
        <w:rPr>
          <w:rFonts w:cs="Calibri"/>
          <w:sz w:val="20"/>
          <w:szCs w:val="20"/>
          <w:lang w:val="es-ES"/>
        </w:rPr>
        <w:t xml:space="preserve"> </w:t>
      </w:r>
      <w:r>
        <w:rPr>
          <w:rFonts w:cs="Calibri"/>
          <w:sz w:val="20"/>
          <w:szCs w:val="20"/>
          <w:lang w:val="es-ES"/>
        </w:rPr>
        <w:t>instrumentos</w:t>
      </w:r>
      <w:r w:rsidRPr="00640343">
        <w:rPr>
          <w:rFonts w:cs="Calibri"/>
          <w:sz w:val="20"/>
          <w:szCs w:val="20"/>
          <w:lang w:val="es-ES"/>
        </w:rPr>
        <w:t xml:space="preserve"> a fin de interpretar las normas de la Convención en virtud del artículo 29 de la misma</w:t>
      </w:r>
      <w:r w:rsidRPr="00640343">
        <w:rPr>
          <w:rStyle w:val="FootnoteReference"/>
          <w:rFonts w:cs="Calibri"/>
          <w:sz w:val="20"/>
          <w:szCs w:val="20"/>
          <w:lang w:val="es-ES"/>
        </w:rPr>
        <w:footnoteReference w:id="22"/>
      </w:r>
      <w:r w:rsidRPr="00640343">
        <w:rPr>
          <w:rFonts w:cs="Calibri"/>
          <w:sz w:val="20"/>
          <w:szCs w:val="20"/>
          <w:lang w:val="es-ES"/>
        </w:rPr>
        <w:t>.</w:t>
      </w:r>
    </w:p>
    <w:p w:rsidR="002B5635" w:rsidRPr="009E0BA4" w:rsidRDefault="002B5635" w:rsidP="00AC06E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9E0BA4">
        <w:rPr>
          <w:rFonts w:ascii="Cambria" w:hAnsi="Cambria" w:cs="Calibri"/>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2B5635" w:rsidRPr="00006B74" w:rsidRDefault="002B5635" w:rsidP="00AC06E2">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b/>
          <w:bCs/>
          <w:sz w:val="20"/>
          <w:szCs w:val="20"/>
          <w:lang w:val="es-ES"/>
        </w:rPr>
      </w:pPr>
      <w:r w:rsidRPr="00006B74">
        <w:rPr>
          <w:rFonts w:ascii="Cambria" w:hAnsi="Cambria"/>
          <w:b/>
          <w:bCs/>
          <w:sz w:val="20"/>
          <w:szCs w:val="20"/>
          <w:lang w:val="es-ES"/>
        </w:rPr>
        <w:t xml:space="preserve">VIII. </w:t>
      </w:r>
      <w:r w:rsidRPr="00006B74">
        <w:rPr>
          <w:rFonts w:ascii="Cambria" w:hAnsi="Cambria"/>
          <w:b/>
          <w:bCs/>
          <w:sz w:val="20"/>
          <w:szCs w:val="20"/>
          <w:lang w:val="es-ES"/>
        </w:rPr>
        <w:tab/>
        <w:t>DECISIÓN</w:t>
      </w:r>
    </w:p>
    <w:p w:rsidR="002B5635" w:rsidRPr="00006B74" w:rsidRDefault="002B5635" w:rsidP="00AC06E2">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006B74">
        <w:rPr>
          <w:rFonts w:ascii="Cambria" w:hAnsi="Cambria"/>
          <w:sz w:val="20"/>
          <w:szCs w:val="20"/>
          <w:lang w:val="es-ES"/>
        </w:rPr>
        <w:t xml:space="preserve">Declarar admisible la presente petición en relación con los </w:t>
      </w:r>
      <w:r w:rsidRPr="00006B74">
        <w:rPr>
          <w:rFonts w:ascii="Cambria" w:hAnsi="Cambria"/>
          <w:bCs/>
          <w:sz w:val="20"/>
          <w:szCs w:val="20"/>
          <w:lang w:val="es-ES"/>
        </w:rPr>
        <w:t>artículos</w:t>
      </w:r>
      <w:r>
        <w:rPr>
          <w:rFonts w:ascii="Cambria" w:hAnsi="Cambria"/>
          <w:bCs/>
          <w:color w:val="FF0000"/>
          <w:sz w:val="20"/>
          <w:szCs w:val="20"/>
          <w:lang w:val="es-ES"/>
        </w:rPr>
        <w:t xml:space="preserve"> </w:t>
      </w:r>
      <w:r w:rsidRPr="005A31E2">
        <w:rPr>
          <w:rFonts w:ascii="Cambria" w:hAnsi="Cambria"/>
          <w:bCs/>
          <w:sz w:val="20"/>
          <w:szCs w:val="20"/>
          <w:lang w:val="es-ES"/>
        </w:rPr>
        <w:t>5,</w:t>
      </w:r>
      <w:r w:rsidR="006B2476">
        <w:rPr>
          <w:rFonts w:ascii="Cambria" w:hAnsi="Cambria"/>
          <w:bCs/>
          <w:sz w:val="20"/>
          <w:szCs w:val="20"/>
          <w:lang w:val="es-ES"/>
        </w:rPr>
        <w:t xml:space="preserve"> </w:t>
      </w:r>
      <w:r>
        <w:rPr>
          <w:rFonts w:ascii="Cambria" w:hAnsi="Cambria"/>
          <w:bCs/>
          <w:sz w:val="20"/>
          <w:szCs w:val="20"/>
          <w:lang w:val="es-ES"/>
        </w:rPr>
        <w:t>8, 11, 23, 25 y 26 de la Convención Americana en relación con sus artículos 1.1 y 2</w:t>
      </w:r>
      <w:r w:rsidRPr="00006B74">
        <w:rPr>
          <w:rFonts w:ascii="Cambria" w:hAnsi="Cambria"/>
          <w:sz w:val="20"/>
          <w:szCs w:val="20"/>
          <w:lang w:val="es-ES"/>
        </w:rPr>
        <w:t>;</w:t>
      </w:r>
    </w:p>
    <w:p w:rsidR="002B5635" w:rsidRPr="00006B74" w:rsidRDefault="002B5635" w:rsidP="00AC06E2">
      <w:pPr>
        <w:pStyle w:val="ListParagraph"/>
        <w:numPr>
          <w:ilvl w:val="0"/>
          <w:numId w:val="109"/>
        </w:numPr>
        <w:pBdr>
          <w:top w:val="none" w:sz="0" w:space="0" w:color="auto"/>
          <w:left w:val="none" w:sz="0" w:space="0" w:color="auto"/>
          <w:bottom w:val="none" w:sz="0" w:space="0" w:color="auto"/>
          <w:right w:val="none" w:sz="0" w:space="0" w:color="auto"/>
          <w:bar w:val="none" w:sz="0" w:color="auto"/>
        </w:pBdr>
        <w:spacing w:after="240"/>
        <w:ind w:left="0"/>
        <w:jc w:val="both"/>
        <w:rPr>
          <w:rFonts w:cs="Times New Roman"/>
          <w:color w:val="auto"/>
          <w:sz w:val="20"/>
          <w:szCs w:val="20"/>
          <w:lang w:val="es-ES" w:eastAsia="en-US"/>
        </w:rPr>
      </w:pPr>
      <w:r w:rsidRPr="00006B74">
        <w:rPr>
          <w:rFonts w:cs="Times New Roman"/>
          <w:color w:val="auto"/>
          <w:sz w:val="20"/>
          <w:szCs w:val="20"/>
          <w:lang w:val="es-ES" w:eastAsia="en-US"/>
        </w:rPr>
        <w:t xml:space="preserve">Declarar </w:t>
      </w:r>
      <w:r w:rsidRPr="009E0BA4">
        <w:rPr>
          <w:rFonts w:cs="Times New Roman"/>
          <w:color w:val="auto"/>
          <w:sz w:val="20"/>
          <w:szCs w:val="20"/>
          <w:lang w:val="es-ES" w:eastAsia="en-US"/>
        </w:rPr>
        <w:t xml:space="preserve">inadmisible </w:t>
      </w:r>
      <w:r w:rsidRPr="00006B74">
        <w:rPr>
          <w:rFonts w:cs="Times New Roman"/>
          <w:color w:val="auto"/>
          <w:sz w:val="20"/>
          <w:szCs w:val="20"/>
          <w:lang w:val="es-ES" w:eastAsia="en-US"/>
        </w:rPr>
        <w:t xml:space="preserve">la presente petición en relación con </w:t>
      </w:r>
      <w:r>
        <w:rPr>
          <w:sz w:val="20"/>
          <w:szCs w:val="20"/>
          <w:lang w:val="es-ES"/>
        </w:rPr>
        <w:t xml:space="preserve">los artículos 7 </w:t>
      </w:r>
      <w:r>
        <w:rPr>
          <w:rFonts w:cs="Times New Roman"/>
          <w:color w:val="auto"/>
          <w:sz w:val="20"/>
          <w:szCs w:val="20"/>
          <w:lang w:val="es-ES" w:eastAsia="en-US"/>
        </w:rPr>
        <w:t>de la Convención Americana.</w:t>
      </w:r>
    </w:p>
    <w:p w:rsidR="005B14BF" w:rsidRDefault="002B5635" w:rsidP="00AC06E2">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B14BF">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5B14BF" w:rsidRPr="00AC06E2" w:rsidRDefault="005B14BF" w:rsidP="00AC06E2">
      <w:pPr>
        <w:pStyle w:val="ListParagraph"/>
        <w:pBdr>
          <w:top w:val="none" w:sz="0" w:space="0" w:color="auto"/>
          <w:left w:val="none" w:sz="0" w:space="0" w:color="auto"/>
          <w:bottom w:val="none" w:sz="0" w:space="0" w:color="auto"/>
          <w:right w:val="none" w:sz="0" w:space="0" w:color="auto"/>
          <w:bar w:val="none" w:sz="0" w:color="auto"/>
        </w:pBdr>
        <w:spacing w:after="240"/>
        <w:ind w:left="0" w:firstLine="720"/>
        <w:jc w:val="both"/>
        <w:rPr>
          <w:rFonts w:asciiTheme="majorHAnsi" w:hAnsiTheme="majorHAnsi" w:cs="Times New Roman"/>
          <w:sz w:val="20"/>
          <w:szCs w:val="20"/>
          <w:lang w:val="es-PE"/>
        </w:rPr>
      </w:pPr>
      <w:r w:rsidRPr="00AC06E2">
        <w:rPr>
          <w:rFonts w:asciiTheme="majorHAnsi" w:hAnsiTheme="majorHAnsi" w:cs="Times New Roman"/>
          <w:sz w:val="20"/>
          <w:szCs w:val="20"/>
          <w:lang w:val="es-PE"/>
        </w:rPr>
        <w:t xml:space="preserve">Aprobado por la Comisión Interamericana de Derechos Humanos a los 14 días del mes de agosto de 2019.  (Firmado): Esmeralda E. Arosemena Bernal de </w:t>
      </w:r>
      <w:proofErr w:type="spellStart"/>
      <w:r w:rsidRPr="00AC06E2">
        <w:rPr>
          <w:rFonts w:asciiTheme="majorHAnsi" w:hAnsiTheme="majorHAnsi" w:cs="Times New Roman"/>
          <w:sz w:val="20"/>
          <w:szCs w:val="20"/>
          <w:lang w:val="es-PE"/>
        </w:rPr>
        <w:t>Troitiño</w:t>
      </w:r>
      <w:proofErr w:type="spellEnd"/>
      <w:r w:rsidRPr="00AC06E2">
        <w:rPr>
          <w:rFonts w:asciiTheme="majorHAnsi" w:hAnsiTheme="majorHAnsi" w:cs="Times New Roman"/>
          <w:sz w:val="20"/>
          <w:szCs w:val="20"/>
          <w:lang w:val="es-PE"/>
        </w:rPr>
        <w:t>, Presidenta; Antonia Urrejola Noguera, Segunda Vicepresidenta; Margarette May Macaulay, Francisco José Eguiguren Praeli, Luis Ernesto Vargas Silva y Flávia Piovesan, Miembros de la Comisión.</w:t>
      </w:r>
    </w:p>
    <w:sectPr w:rsidR="005B14BF" w:rsidRPr="00AC06E2"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00" w:rsidRDefault="00996A0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96A00" w:rsidRDefault="00996A0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7E" w:rsidRDefault="00067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35" w:rsidRPr="00934A2C" w:rsidRDefault="002B56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707E">
      <w:rPr>
        <w:noProof/>
        <w:sz w:val="16"/>
        <w:szCs w:val="22"/>
      </w:rPr>
      <w:t>3</w:t>
    </w:r>
    <w:r w:rsidRPr="00934A2C">
      <w:rPr>
        <w:sz w:val="16"/>
        <w:szCs w:val="22"/>
      </w:rPr>
      <w:fldChar w:fldCharType="end"/>
    </w:r>
  </w:p>
  <w:p w:rsidR="002B5635" w:rsidRDefault="002B5635">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35" w:rsidRPr="00934A2C" w:rsidRDefault="002B563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2B5635" w:rsidRDefault="002B563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00" w:rsidRPr="000F35ED" w:rsidRDefault="00996A00">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996A00" w:rsidRPr="000F35ED" w:rsidRDefault="00996A00"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996A00" w:rsidRPr="000F35ED" w:rsidRDefault="00996A00"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996A00" w:rsidRPr="000F35ED" w:rsidRDefault="00996A00"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2B5635" w:rsidRPr="00D535C2" w:rsidRDefault="002B5635" w:rsidP="00D5382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BE4E1A">
        <w:rPr>
          <w:rStyle w:val="FootnoteReference"/>
          <w:rFonts w:ascii="Cambria" w:hAnsi="Cambria"/>
          <w:sz w:val="16"/>
          <w:szCs w:val="16"/>
        </w:rPr>
        <w:footnoteRef/>
      </w:r>
      <w:r w:rsidRPr="00BE4E1A">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rsidR="002B5635" w:rsidRPr="00D535C2" w:rsidRDefault="002B5635" w:rsidP="00D5382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BE4E1A">
        <w:rPr>
          <w:rStyle w:val="FootnoteReference"/>
          <w:rFonts w:ascii="Cambria" w:hAnsi="Cambria"/>
          <w:sz w:val="16"/>
          <w:szCs w:val="16"/>
        </w:rPr>
        <w:footnoteRef/>
      </w:r>
      <w:r w:rsidRPr="00BE4E1A">
        <w:rPr>
          <w:rFonts w:ascii="Cambria" w:hAnsi="Cambria"/>
          <w:sz w:val="16"/>
          <w:szCs w:val="16"/>
          <w:lang w:val="es-ES"/>
        </w:rPr>
        <w:t xml:space="preserve"> En adelante “la Convención Americana” o “la Convención”.</w:t>
      </w:r>
    </w:p>
  </w:footnote>
  <w:footnote w:id="4">
    <w:p w:rsidR="002B5635" w:rsidRPr="00D535C2" w:rsidRDefault="002B5635" w:rsidP="00D5382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BE4E1A">
        <w:rPr>
          <w:rStyle w:val="FootnoteReference"/>
          <w:rFonts w:ascii="Cambria" w:hAnsi="Cambria"/>
          <w:sz w:val="16"/>
          <w:szCs w:val="16"/>
        </w:rPr>
        <w:footnoteRef/>
      </w:r>
      <w:r w:rsidRPr="00BE4E1A">
        <w:rPr>
          <w:rFonts w:ascii="Cambria" w:hAnsi="Cambria"/>
          <w:sz w:val="16"/>
          <w:szCs w:val="16"/>
          <w:lang w:val="es-PA"/>
        </w:rPr>
        <w:t xml:space="preserve"> En adelante “la Declaración Americana” o “la Declaración”.</w:t>
      </w:r>
    </w:p>
  </w:footnote>
  <w:footnote w:id="5">
    <w:p w:rsidR="002B5635" w:rsidRPr="00D535C2" w:rsidRDefault="002B5635" w:rsidP="00D66136">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BE4E1A">
        <w:rPr>
          <w:rStyle w:val="FootnoteReference"/>
          <w:rFonts w:ascii="Cambria" w:hAnsi="Cambria"/>
          <w:sz w:val="16"/>
          <w:szCs w:val="16"/>
        </w:rPr>
        <w:footnoteRef/>
      </w:r>
      <w:r w:rsidRPr="00BE4E1A">
        <w:rPr>
          <w:rFonts w:ascii="Cambria" w:hAnsi="Cambria"/>
          <w:sz w:val="16"/>
          <w:szCs w:val="16"/>
          <w:lang w:val="es-PA"/>
        </w:rPr>
        <w:t xml:space="preserve"> Artículos, 3, 6 y 7 del Protocolo Adicional a la Convención Americana Sobre Derechos Humanos en Materia de Derechos Económicos, Sociales y Culturales (Protocolo de San Salvador); Declaración Universal de Derechos Humanos y Pacto Internacional de Derechos Civiles y Políticos; </w:t>
      </w:r>
    </w:p>
  </w:footnote>
  <w:footnote w:id="6">
    <w:p w:rsidR="002B5635" w:rsidRPr="00D535C2" w:rsidRDefault="002B5635" w:rsidP="00D5382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BE4E1A">
        <w:rPr>
          <w:rStyle w:val="FootnoteReference"/>
          <w:rFonts w:ascii="Cambria" w:hAnsi="Cambria"/>
          <w:sz w:val="16"/>
          <w:szCs w:val="16"/>
        </w:rPr>
        <w:footnoteRef/>
      </w:r>
      <w:r w:rsidRPr="00BE4E1A">
        <w:rPr>
          <w:rFonts w:ascii="Cambria" w:hAnsi="Cambria"/>
          <w:sz w:val="16"/>
          <w:szCs w:val="16"/>
          <w:lang w:val="es-ES"/>
        </w:rPr>
        <w:t xml:space="preserve"> Las observaciones de cada parte fueron debidamente trasladadas a la parte contraria.</w:t>
      </w:r>
    </w:p>
  </w:footnote>
  <w:footnote w:id="7">
    <w:p w:rsidR="002B5635" w:rsidRPr="00D535C2" w:rsidRDefault="002B5635" w:rsidP="005C1DE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9062C">
        <w:rPr>
          <w:rStyle w:val="FootnoteReference"/>
          <w:rFonts w:ascii="Cambria" w:hAnsi="Cambria"/>
          <w:sz w:val="16"/>
          <w:szCs w:val="16"/>
        </w:rPr>
        <w:footnoteRef/>
      </w:r>
      <w:r w:rsidRPr="0059062C">
        <w:rPr>
          <w:rFonts w:ascii="Cambria" w:hAnsi="Cambria"/>
          <w:sz w:val="16"/>
          <w:szCs w:val="16"/>
          <w:lang w:val="es-PA"/>
        </w:rPr>
        <w:t xml:space="preserve"> Consecuentemente el Juzgado penal competente dejó sin efectos el auto de prisión y dictó auto de libertad en favor del peticionario el 16 de noviembre de 2006.</w:t>
      </w:r>
    </w:p>
  </w:footnote>
  <w:footnote w:id="8">
    <w:p w:rsidR="002B5635" w:rsidRPr="00D535C2" w:rsidRDefault="002B5635" w:rsidP="005C1DE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5C1DED">
        <w:rPr>
          <w:rStyle w:val="FootnoteReference"/>
          <w:rFonts w:ascii="Cambria" w:hAnsi="Cambria"/>
          <w:sz w:val="16"/>
          <w:szCs w:val="16"/>
        </w:rPr>
        <w:footnoteRef/>
      </w:r>
      <w:r w:rsidRPr="005C1DED">
        <w:rPr>
          <w:rFonts w:ascii="Cambria" w:hAnsi="Cambria"/>
          <w:sz w:val="16"/>
          <w:szCs w:val="16"/>
          <w:lang w:val="es-PA"/>
        </w:rPr>
        <w:t xml:space="preserve"> </w:t>
      </w:r>
      <w:r w:rsidRPr="005C1DED">
        <w:rPr>
          <w:rFonts w:ascii="Cambria" w:hAnsi="Cambria"/>
          <w:sz w:val="16"/>
          <w:szCs w:val="16"/>
          <w:lang w:val="es-ES"/>
        </w:rPr>
        <w:t>Esta decisión que luego fue confirmada en grado de apelación por el Cuarto Tribunal Unitario en Materia Penal el 14 de diciembre de 2004.</w:t>
      </w:r>
    </w:p>
  </w:footnote>
  <w:footnote w:id="9">
    <w:p w:rsidR="002B5635" w:rsidRPr="00D535C2" w:rsidRDefault="002B5635" w:rsidP="00A5396B">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A5396B">
        <w:rPr>
          <w:rStyle w:val="FootnoteReference"/>
          <w:rFonts w:ascii="Cambria" w:hAnsi="Cambria"/>
          <w:sz w:val="16"/>
          <w:szCs w:val="16"/>
        </w:rPr>
        <w:footnoteRef/>
      </w:r>
      <w:r w:rsidRPr="00A5396B">
        <w:rPr>
          <w:rFonts w:ascii="Cambria" w:hAnsi="Cambria"/>
          <w:sz w:val="16"/>
          <w:szCs w:val="16"/>
          <w:lang w:val="es-PA"/>
        </w:rPr>
        <w:t xml:space="preserve"> La Secretaría fundamentó las sanciones en </w:t>
      </w:r>
      <w:r w:rsidRPr="00A5396B">
        <w:rPr>
          <w:rFonts w:ascii="Cambria" w:hAnsi="Cambria"/>
          <w:sz w:val="16"/>
          <w:szCs w:val="16"/>
          <w:lang w:val="es-ES"/>
        </w:rPr>
        <w:t>la Ley Federal de Responsabilidades de los Servidores Públicos.</w:t>
      </w:r>
    </w:p>
  </w:footnote>
  <w:footnote w:id="10">
    <w:p w:rsidR="002B5635" w:rsidRPr="00D535C2" w:rsidRDefault="002B5635" w:rsidP="002B496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D71033">
        <w:rPr>
          <w:lang w:val="es-PA"/>
        </w:rPr>
        <w:t xml:space="preserve"> </w:t>
      </w:r>
      <w:r>
        <w:rPr>
          <w:rFonts w:ascii="Cambria" w:hAnsi="Cambria"/>
          <w:sz w:val="16"/>
          <w:szCs w:val="16"/>
          <w:lang w:val="es-PA"/>
        </w:rPr>
        <w:t>El peticionario adujo que la Secretaría de la Función Pública carecía de competencia constitucional para iniciar procedimiento disciplinario contra e imponer sanciones a un Ex-Director General de PEMEX</w:t>
      </w:r>
    </w:p>
  </w:footnote>
  <w:footnote w:id="11">
    <w:p w:rsidR="002B5635" w:rsidRPr="00D535C2" w:rsidRDefault="002B5635" w:rsidP="00922EE3">
      <w:pPr>
        <w:pStyle w:val="FootnoteText"/>
        <w:pBdr>
          <w:top w:val="none" w:sz="0" w:space="0" w:color="auto"/>
          <w:left w:val="none" w:sz="0" w:space="0" w:color="auto"/>
          <w:bottom w:val="none" w:sz="0" w:space="0" w:color="auto"/>
          <w:right w:val="none" w:sz="0" w:space="0" w:color="auto"/>
          <w:bar w:val="none" w:sz="0" w:color="auto"/>
        </w:pBdr>
        <w:ind w:firstLine="720"/>
        <w:jc w:val="both"/>
        <w:rPr>
          <w:color w:val="auto"/>
          <w:lang w:val="es-PA"/>
        </w:rPr>
      </w:pPr>
      <w:r w:rsidRPr="00D535C2">
        <w:rPr>
          <w:rStyle w:val="FootnoteReference"/>
          <w:rFonts w:ascii="Cambria" w:hAnsi="Cambria"/>
          <w:color w:val="auto"/>
          <w:sz w:val="16"/>
          <w:szCs w:val="16"/>
        </w:rPr>
        <w:footnoteRef/>
      </w:r>
      <w:r w:rsidRPr="00D535C2">
        <w:rPr>
          <w:rFonts w:ascii="Cambria" w:hAnsi="Cambria"/>
          <w:color w:val="auto"/>
          <w:sz w:val="16"/>
          <w:szCs w:val="16"/>
          <w:lang w:val="es-PA"/>
        </w:rPr>
        <w:t xml:space="preserve"> El peticionario resalta que este tribunal no pertenece al poder judicial y está presupuestariamente adscrito al poder ejecutivo.</w:t>
      </w:r>
    </w:p>
  </w:footnote>
  <w:footnote w:id="12">
    <w:p w:rsidR="002B5635" w:rsidRPr="00D535C2" w:rsidRDefault="002B5635" w:rsidP="00522951">
      <w:pPr>
        <w:pStyle w:val="FootnoteText"/>
        <w:pBdr>
          <w:top w:val="none" w:sz="0" w:space="0" w:color="auto"/>
          <w:left w:val="none" w:sz="0" w:space="0" w:color="auto"/>
          <w:bottom w:val="none" w:sz="0" w:space="0" w:color="auto"/>
          <w:right w:val="none" w:sz="0" w:space="0" w:color="auto"/>
          <w:bar w:val="none" w:sz="0" w:color="auto"/>
        </w:pBdr>
        <w:ind w:firstLine="720"/>
        <w:jc w:val="both"/>
        <w:rPr>
          <w:color w:val="auto"/>
          <w:lang w:val="es-PA"/>
        </w:rPr>
      </w:pPr>
      <w:r w:rsidRPr="00D535C2">
        <w:rPr>
          <w:rStyle w:val="FootnoteReference"/>
          <w:color w:val="auto"/>
        </w:rPr>
        <w:footnoteRef/>
      </w:r>
      <w:r w:rsidRPr="00D535C2">
        <w:rPr>
          <w:color w:val="auto"/>
          <w:lang w:val="es-PA"/>
        </w:rPr>
        <w:t xml:space="preserve"> </w:t>
      </w:r>
      <w:r w:rsidRPr="00D535C2">
        <w:rPr>
          <w:rFonts w:ascii="Cambria" w:hAnsi="Cambria"/>
          <w:color w:val="auto"/>
          <w:sz w:val="16"/>
          <w:szCs w:val="16"/>
          <w:lang w:val="es-PA"/>
        </w:rPr>
        <w:t>El Tribunal consideró que la resolución impugnada no fundamentaba con suficiencia las bases legales utilizadas para la fijación de la sanción pecuniaria.</w:t>
      </w:r>
    </w:p>
  </w:footnote>
  <w:footnote w:id="13">
    <w:p w:rsidR="002B5635" w:rsidRPr="00D535C2" w:rsidRDefault="002B5635" w:rsidP="008038A8">
      <w:pPr>
        <w:pStyle w:val="FootnoteText"/>
        <w:pBdr>
          <w:top w:val="none" w:sz="0" w:space="0" w:color="auto"/>
          <w:left w:val="none" w:sz="0" w:space="0" w:color="auto"/>
          <w:bottom w:val="none" w:sz="0" w:space="0" w:color="auto"/>
          <w:right w:val="none" w:sz="0" w:space="0" w:color="auto"/>
          <w:bar w:val="none" w:sz="0" w:color="auto"/>
        </w:pBdr>
        <w:ind w:firstLine="720"/>
        <w:jc w:val="both"/>
        <w:rPr>
          <w:color w:val="auto"/>
          <w:lang w:val="es-PA"/>
        </w:rPr>
      </w:pPr>
      <w:r w:rsidRPr="00D535C2">
        <w:rPr>
          <w:rStyle w:val="FootnoteReference"/>
          <w:color w:val="auto"/>
        </w:rPr>
        <w:footnoteRef/>
      </w:r>
      <w:r w:rsidRPr="00D535C2">
        <w:rPr>
          <w:color w:val="auto"/>
          <w:lang w:val="es-PA"/>
        </w:rPr>
        <w:t xml:space="preserve"> </w:t>
      </w:r>
      <w:r w:rsidRPr="00D535C2">
        <w:rPr>
          <w:rFonts w:ascii="Cambria" w:hAnsi="Cambria"/>
          <w:color w:val="auto"/>
          <w:sz w:val="16"/>
          <w:szCs w:val="16"/>
          <w:lang w:val="es-PA"/>
        </w:rPr>
        <w:t xml:space="preserve">El Tribunal consideró que los argumentos del peticionario respecto a la falta de competencia de la Secretaría de la Función Pública carecían de fundamento pues, en su opinión, existe una separación entre la responsabilidad política y la responsabilidad administrativa de los funcionarios públicos; por lo que el que el plazo para la interposición de juicio político contra el peticionario hubiera prescrito al haber transcurrido más de un año desde que este hubiera estado desvinculado de su cargo no implicaba que no pudiera ser sujeto a responsabilidad administrativa conforme al artículo 113 de la Constitución. </w:t>
      </w:r>
    </w:p>
  </w:footnote>
  <w:footnote w:id="14">
    <w:p w:rsidR="002B5635" w:rsidRPr="00D535C2" w:rsidRDefault="002B5635" w:rsidP="00DF744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D535C2">
        <w:rPr>
          <w:rStyle w:val="FootnoteReference"/>
          <w:color w:val="auto"/>
        </w:rPr>
        <w:footnoteRef/>
      </w:r>
      <w:r w:rsidRPr="00D535C2">
        <w:rPr>
          <w:color w:val="auto"/>
          <w:lang w:val="es-PA"/>
        </w:rPr>
        <w:t xml:space="preserve"> </w:t>
      </w:r>
      <w:r w:rsidRPr="00D535C2">
        <w:rPr>
          <w:rFonts w:ascii="Cambria" w:hAnsi="Cambria"/>
          <w:color w:val="auto"/>
          <w:sz w:val="16"/>
          <w:szCs w:val="16"/>
          <w:lang w:val="es-PA"/>
        </w:rPr>
        <w:t xml:space="preserve">Para estos efectos demandó la inconstitucionalidad del artículo 64 de la </w:t>
      </w:r>
      <w:r w:rsidRPr="00D535C2">
        <w:rPr>
          <w:rFonts w:ascii="Cambria" w:hAnsi="Cambria"/>
          <w:color w:val="auto"/>
          <w:sz w:val="16"/>
          <w:szCs w:val="16"/>
          <w:lang w:val="es-ES"/>
        </w:rPr>
        <w:t>Ley Federal de Responsabilidades de los Servidores Públicos que regulaba los procesos ante la Secretaría de la Función Pública.</w:t>
      </w:r>
      <w:r>
        <w:rPr>
          <w:rFonts w:ascii="Cambria" w:hAnsi="Cambria"/>
          <w:sz w:val="16"/>
          <w:szCs w:val="16"/>
          <w:lang w:val="es-ES"/>
        </w:rPr>
        <w:t xml:space="preserve"> </w:t>
      </w:r>
    </w:p>
  </w:footnote>
  <w:footnote w:id="15">
    <w:p w:rsidR="002B5635" w:rsidRPr="00D535C2" w:rsidRDefault="002B5635" w:rsidP="00051E5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051E53">
        <w:rPr>
          <w:rStyle w:val="FootnoteReference"/>
          <w:rFonts w:ascii="Cambria" w:hAnsi="Cambria"/>
          <w:sz w:val="16"/>
          <w:szCs w:val="16"/>
        </w:rPr>
        <w:footnoteRef/>
      </w:r>
      <w:r w:rsidRPr="00051E53">
        <w:rPr>
          <w:rFonts w:ascii="Cambria" w:hAnsi="Cambria"/>
          <w:sz w:val="16"/>
          <w:szCs w:val="16"/>
          <w:lang w:val="es-PA"/>
        </w:rPr>
        <w:t xml:space="preserve"> El peticionario </w:t>
      </w:r>
      <w:r w:rsidRPr="00051E53">
        <w:rPr>
          <w:rFonts w:ascii="Cambria" w:hAnsi="Cambria"/>
          <w:sz w:val="16"/>
          <w:szCs w:val="16"/>
          <w:lang w:val="es-ES"/>
        </w:rPr>
        <w:t xml:space="preserve">Agrega que el 9 de diciembre de 2009 la Secretaría de la Función Pública emitió una resolución imponiéndole nuevamente, bajo una fundamentación legal diferente, la sanción pecuniaria previamente anulada.  </w:t>
      </w:r>
    </w:p>
  </w:footnote>
  <w:footnote w:id="16">
    <w:p w:rsidR="002B5635" w:rsidRPr="00D535C2" w:rsidRDefault="002B5635" w:rsidP="00336A8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8F30BA">
        <w:rPr>
          <w:rStyle w:val="FootnoteReference"/>
          <w:rFonts w:ascii="Cambria" w:hAnsi="Cambria"/>
          <w:sz w:val="16"/>
          <w:szCs w:val="16"/>
        </w:rPr>
        <w:footnoteRef/>
      </w:r>
      <w:r w:rsidRPr="008F30BA">
        <w:rPr>
          <w:rFonts w:ascii="Cambria" w:hAnsi="Cambria"/>
          <w:sz w:val="16"/>
          <w:szCs w:val="16"/>
          <w:lang w:val="es-PA"/>
        </w:rPr>
        <w:t xml:space="preserve"> El peticionario argumenta que no sería procedente impugnar esta nueva sentencia existiendo ya pronunciamientos por parte del Tercer Tribunal Colegiado en Materia Administrativa del Primer Circuito y la Suprema Corte de Justicia de la Nación confirmando la legalidad y constitucionalidad de la sanción de inhabilitación.</w:t>
      </w:r>
    </w:p>
  </w:footnote>
  <w:footnote w:id="17">
    <w:p w:rsidR="002B5635" w:rsidRPr="00D535C2" w:rsidRDefault="002B5635" w:rsidP="00336A8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051E53">
        <w:rPr>
          <w:rStyle w:val="FootnoteReference"/>
          <w:rFonts w:ascii="Cambria" w:hAnsi="Cambria"/>
          <w:sz w:val="16"/>
          <w:szCs w:val="16"/>
        </w:rPr>
        <w:footnoteRef/>
      </w:r>
      <w:r w:rsidRPr="00051E53">
        <w:rPr>
          <w:rFonts w:ascii="Cambria" w:hAnsi="Cambria"/>
          <w:sz w:val="16"/>
          <w:szCs w:val="16"/>
          <w:lang w:val="es-PA"/>
        </w:rPr>
        <w:t xml:space="preserve"> </w:t>
      </w:r>
      <w:r w:rsidRPr="00051E53">
        <w:rPr>
          <w:rFonts w:ascii="Cambria" w:hAnsi="Cambria"/>
          <w:sz w:val="16"/>
          <w:szCs w:val="16"/>
          <w:lang w:val="es-ES"/>
        </w:rPr>
        <w:t xml:space="preserve">El peticionario reconoce que, al momento de la presentación de su petición, los recursos internos no se encontraban agotados con respecto a la sanción pecuniaria impuesta en su contra y declara que la misma no forma parte del objeto de su petición, la que se circunscribe a la sanción de inhabilitación.  </w:t>
      </w:r>
    </w:p>
  </w:footnote>
  <w:footnote w:id="18">
    <w:p w:rsidR="002B5635" w:rsidRPr="00D535C2" w:rsidRDefault="002B5635" w:rsidP="009A7B6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9A7B6F">
        <w:rPr>
          <w:rStyle w:val="FootnoteReference"/>
          <w:rFonts w:ascii="Cambria" w:hAnsi="Cambria"/>
          <w:sz w:val="16"/>
          <w:szCs w:val="16"/>
        </w:rPr>
        <w:footnoteRef/>
      </w:r>
      <w:r w:rsidRPr="009A7B6F">
        <w:rPr>
          <w:rFonts w:ascii="Cambria" w:hAnsi="Cambria"/>
          <w:sz w:val="16"/>
          <w:szCs w:val="16"/>
          <w:lang w:val="es-PA"/>
        </w:rPr>
        <w:t xml:space="preserve"> También señala que, aunque finalmente estos resultaron en que se corroborará su inocencia, también se le violó el debido proceso en los distintos procesos penales que se adelantaron en su contra.</w:t>
      </w:r>
    </w:p>
  </w:footnote>
  <w:footnote w:id="19">
    <w:p w:rsidR="002B5635" w:rsidRPr="00D535C2" w:rsidRDefault="002B5635" w:rsidP="001103DE">
      <w:pPr>
        <w:pStyle w:val="FootnoteText"/>
        <w:pBdr>
          <w:top w:val="none" w:sz="0" w:space="0" w:color="auto"/>
          <w:left w:val="none" w:sz="0" w:space="0" w:color="auto"/>
          <w:bottom w:val="none" w:sz="0" w:space="0" w:color="auto"/>
          <w:right w:val="none" w:sz="0" w:space="0" w:color="auto"/>
          <w:bar w:val="none" w:sz="0" w:color="auto"/>
        </w:pBdr>
        <w:ind w:firstLine="720"/>
        <w:jc w:val="both"/>
        <w:rPr>
          <w:color w:val="auto"/>
          <w:lang w:val="es-PA"/>
        </w:rPr>
      </w:pPr>
      <w:r w:rsidRPr="00D535C2">
        <w:rPr>
          <w:rStyle w:val="FootnoteReference"/>
          <w:color w:val="auto"/>
        </w:rPr>
        <w:footnoteRef/>
      </w:r>
      <w:r w:rsidRPr="00D535C2">
        <w:rPr>
          <w:color w:val="auto"/>
          <w:lang w:val="es-PA"/>
        </w:rPr>
        <w:t xml:space="preserve"> </w:t>
      </w:r>
      <w:r w:rsidRPr="00D535C2">
        <w:rPr>
          <w:rFonts w:ascii="Cambria" w:hAnsi="Cambria"/>
          <w:color w:val="auto"/>
          <w:sz w:val="16"/>
          <w:szCs w:val="16"/>
          <w:lang w:val="es-PA"/>
        </w:rPr>
        <w:t>El peticionario cita el artículo 109 de la Constitución el cual a la fecha de los hechos establecía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 así como el 110 que establecía “Podrán ser sujetos de juicio político… los Directores Generales y sus equivalentes de los organismos descentralizados, empresas de participación estatal mayoritaria, sociedades y asociaciones asimiladas a éstas” y “las sanciones consistirán en la destitución del servidor público y en su inhabilitación para desempeñar funciones, empleos, cargos o comisiones de cualquier naturaleza en el servicio público”.</w:t>
      </w:r>
    </w:p>
  </w:footnote>
  <w:footnote w:id="20">
    <w:p w:rsidR="002B5635" w:rsidRPr="00D535C2" w:rsidRDefault="002B5635" w:rsidP="00DD10C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Pr>
          <w:rStyle w:val="FootnoteReference"/>
        </w:rPr>
        <w:footnoteRef/>
      </w:r>
      <w:r w:rsidRPr="00BA257A">
        <w:rPr>
          <w:lang w:val="pt-BR"/>
        </w:rPr>
        <w:t xml:space="preserve"> </w:t>
      </w:r>
      <w:r w:rsidRPr="00BA257A">
        <w:rPr>
          <w:rFonts w:ascii="Cambria" w:hAnsi="Cambria"/>
          <w:sz w:val="16"/>
          <w:szCs w:val="16"/>
          <w:lang w:val="pt-BR"/>
        </w:rPr>
        <w:t xml:space="preserve">Corte IDH. López Mendoza vs. Venezuela. </w:t>
      </w:r>
      <w:r w:rsidRPr="00D92B1C">
        <w:rPr>
          <w:rFonts w:ascii="Cambria" w:hAnsi="Cambria"/>
          <w:sz w:val="16"/>
          <w:szCs w:val="16"/>
          <w:lang w:val="es-PA"/>
        </w:rPr>
        <w:t xml:space="preserve">Fondo, Reparaciones y Costas. Sentencia de </w:t>
      </w:r>
      <w:r>
        <w:rPr>
          <w:rFonts w:ascii="Cambria" w:hAnsi="Cambria"/>
          <w:sz w:val="16"/>
          <w:szCs w:val="16"/>
          <w:lang w:val="es-PA"/>
        </w:rPr>
        <w:t>1</w:t>
      </w:r>
      <w:r w:rsidRPr="00D92B1C">
        <w:rPr>
          <w:rFonts w:ascii="Cambria" w:hAnsi="Cambria"/>
          <w:sz w:val="16"/>
          <w:szCs w:val="16"/>
          <w:lang w:val="es-PA"/>
        </w:rPr>
        <w:t xml:space="preserve"> de </w:t>
      </w:r>
      <w:r>
        <w:rPr>
          <w:rFonts w:ascii="Cambria" w:hAnsi="Cambria"/>
          <w:sz w:val="16"/>
          <w:szCs w:val="16"/>
          <w:lang w:val="es-PA"/>
        </w:rPr>
        <w:t>septiembre de 2011, párr. 107-109</w:t>
      </w:r>
      <w:r w:rsidRPr="00D92B1C">
        <w:rPr>
          <w:rFonts w:ascii="Cambria" w:hAnsi="Cambria"/>
          <w:sz w:val="16"/>
          <w:szCs w:val="16"/>
          <w:lang w:val="es-PA"/>
        </w:rPr>
        <w:t>.</w:t>
      </w:r>
      <w:r>
        <w:rPr>
          <w:rFonts w:ascii="Cambria" w:hAnsi="Cambria"/>
          <w:sz w:val="16"/>
          <w:szCs w:val="16"/>
          <w:lang w:val="es-PA"/>
        </w:rPr>
        <w:t xml:space="preserve">  </w:t>
      </w:r>
    </w:p>
  </w:footnote>
  <w:footnote w:id="21">
    <w:p w:rsidR="002B5635" w:rsidRPr="00D535C2" w:rsidRDefault="002B5635" w:rsidP="00DD10CD">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8D6AC0">
        <w:rPr>
          <w:rStyle w:val="FootnoteReference"/>
          <w:rFonts w:ascii="Cambria" w:hAnsi="Cambria"/>
          <w:color w:val="auto"/>
          <w:sz w:val="16"/>
          <w:szCs w:val="16"/>
        </w:rPr>
        <w:footnoteRef/>
      </w:r>
      <w:r w:rsidRPr="008D6AC0">
        <w:rPr>
          <w:rFonts w:ascii="Cambria" w:hAnsi="Cambria"/>
          <w:color w:val="auto"/>
          <w:sz w:val="16"/>
          <w:szCs w:val="16"/>
          <w:lang w:val="es-PA"/>
        </w:rPr>
        <w:t xml:space="preserve"> </w:t>
      </w:r>
      <w:r w:rsidRPr="008D6AC0">
        <w:rPr>
          <w:rFonts w:ascii="Cambria" w:hAnsi="Cambria"/>
          <w:color w:val="auto"/>
          <w:sz w:val="16"/>
          <w:szCs w:val="16"/>
          <w:lang w:val="es-ES"/>
        </w:rPr>
        <w:t xml:space="preserve">CIDH, Informe Nº 130/07 (Fondo), Caso 13.044, Gustavo Francisco </w:t>
      </w:r>
      <w:proofErr w:type="spellStart"/>
      <w:r w:rsidRPr="008D6AC0">
        <w:rPr>
          <w:rFonts w:ascii="Cambria" w:hAnsi="Cambria"/>
          <w:color w:val="auto"/>
          <w:sz w:val="16"/>
          <w:szCs w:val="16"/>
          <w:lang w:val="es-ES"/>
        </w:rPr>
        <w:t>Petro</w:t>
      </w:r>
      <w:proofErr w:type="spellEnd"/>
      <w:r w:rsidRPr="008D6AC0">
        <w:rPr>
          <w:rFonts w:ascii="Cambria" w:hAnsi="Cambria"/>
          <w:color w:val="auto"/>
          <w:sz w:val="16"/>
          <w:szCs w:val="16"/>
          <w:lang w:val="es-ES"/>
        </w:rPr>
        <w:t xml:space="preserve"> Urrego, 25 de octubre de 2017, párr. 122-123.</w:t>
      </w:r>
    </w:p>
  </w:footnote>
  <w:footnote w:id="22">
    <w:p w:rsidR="002B5635" w:rsidRDefault="002B5635" w:rsidP="00337236">
      <w:pPr>
        <w:pStyle w:val="FootnoteText"/>
        <w:pBdr>
          <w:top w:val="none" w:sz="0" w:space="0" w:color="auto"/>
          <w:left w:val="none" w:sz="0" w:space="0" w:color="auto"/>
          <w:bottom w:val="none" w:sz="0" w:space="0" w:color="auto"/>
          <w:right w:val="none" w:sz="0" w:space="0" w:color="auto"/>
          <w:bar w:val="none" w:sz="0" w:color="auto"/>
        </w:pBdr>
        <w:jc w:val="both"/>
      </w:pPr>
      <w:r w:rsidRPr="00640343">
        <w:rPr>
          <w:rFonts w:ascii="Cambria" w:hAnsi="Cambria"/>
          <w:sz w:val="16"/>
          <w:szCs w:val="16"/>
          <w:lang w:val="es-ES"/>
        </w:rPr>
        <w:tab/>
      </w:r>
      <w:r w:rsidRPr="00640343">
        <w:rPr>
          <w:rStyle w:val="FootnoteReference"/>
          <w:rFonts w:ascii="Cambria" w:hAnsi="Cambria"/>
          <w:sz w:val="16"/>
          <w:szCs w:val="16"/>
          <w:lang w:val="es-ES"/>
        </w:rPr>
        <w:footnoteRef/>
      </w:r>
      <w:r w:rsidRPr="00640343">
        <w:rPr>
          <w:rFonts w:ascii="Cambria" w:hAnsi="Cambria"/>
          <w:sz w:val="16"/>
          <w:szCs w:val="16"/>
          <w:lang w:val="es-ES"/>
        </w:rPr>
        <w:t xml:space="preserve"> CIDH, Informe No. 26/17. Petición 1208-08. Admisibilidad. William Olaya Moreno y familia. Colombia. 18 de marzo de 2017, párr. 9</w:t>
      </w:r>
      <w:r w:rsidRPr="00DA58FB">
        <w:rPr>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35" w:rsidRDefault="002B5635"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2B5635" w:rsidRDefault="002B5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35" w:rsidRDefault="00D535C2" w:rsidP="00A50FCF">
    <w:pPr>
      <w:pStyle w:val="Header"/>
      <w:tabs>
        <w:tab w:val="clear" w:pos="4320"/>
        <w:tab w:val="clear" w:pos="8640"/>
      </w:tabs>
      <w:jc w:val="center"/>
      <w:rPr>
        <w:sz w:val="22"/>
        <w:szCs w:val="22"/>
      </w:rPr>
    </w:pPr>
    <w:r>
      <w:rPr>
        <w:noProof/>
        <w:sz w:val="22"/>
        <w:szCs w:val="22"/>
      </w:rPr>
      <w:drawing>
        <wp:inline distT="0" distB="0" distL="0" distR="0" wp14:anchorId="61DF420E" wp14:editId="4CF60DAB">
          <wp:extent cx="1953260" cy="102235"/>
          <wp:effectExtent l="0" t="0" r="889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2235"/>
                  </a:xfrm>
                  <a:prstGeom prst="rect">
                    <a:avLst/>
                  </a:prstGeom>
                  <a:noFill/>
                  <a:ln>
                    <a:noFill/>
                  </a:ln>
                </pic:spPr>
              </pic:pic>
            </a:graphicData>
          </a:graphic>
        </wp:inline>
      </w:drawing>
    </w:r>
  </w:p>
  <w:p w:rsidR="002B5635" w:rsidRPr="00EC7D62" w:rsidRDefault="00996A0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07E" w:rsidRDefault="00067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6"/>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8"/>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5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51E53"/>
    <w:rsid w:val="0006707E"/>
    <w:rsid w:val="000716C5"/>
    <w:rsid w:val="00074E19"/>
    <w:rsid w:val="00075E23"/>
    <w:rsid w:val="000920C5"/>
    <w:rsid w:val="0009344A"/>
    <w:rsid w:val="000A3254"/>
    <w:rsid w:val="000A392E"/>
    <w:rsid w:val="000A575F"/>
    <w:rsid w:val="000B0579"/>
    <w:rsid w:val="000C1C69"/>
    <w:rsid w:val="000D10DB"/>
    <w:rsid w:val="000E0EA6"/>
    <w:rsid w:val="000E2789"/>
    <w:rsid w:val="000E5EB5"/>
    <w:rsid w:val="000E700D"/>
    <w:rsid w:val="000F31E5"/>
    <w:rsid w:val="000F35ED"/>
    <w:rsid w:val="00102EDE"/>
    <w:rsid w:val="00104BEE"/>
    <w:rsid w:val="00107131"/>
    <w:rsid w:val="0010736F"/>
    <w:rsid w:val="001103DE"/>
    <w:rsid w:val="00111A8A"/>
    <w:rsid w:val="00113F73"/>
    <w:rsid w:val="00121CC2"/>
    <w:rsid w:val="00131D8B"/>
    <w:rsid w:val="00133EE5"/>
    <w:rsid w:val="00135520"/>
    <w:rsid w:val="00136E3D"/>
    <w:rsid w:val="00143EFE"/>
    <w:rsid w:val="001479C0"/>
    <w:rsid w:val="0015330B"/>
    <w:rsid w:val="00163558"/>
    <w:rsid w:val="00167A34"/>
    <w:rsid w:val="001738A1"/>
    <w:rsid w:val="001768CD"/>
    <w:rsid w:val="00177EEF"/>
    <w:rsid w:val="00184897"/>
    <w:rsid w:val="0018624C"/>
    <w:rsid w:val="001A7870"/>
    <w:rsid w:val="001B3A00"/>
    <w:rsid w:val="001C1B41"/>
    <w:rsid w:val="001D65EF"/>
    <w:rsid w:val="001E41F4"/>
    <w:rsid w:val="001E49E7"/>
    <w:rsid w:val="001F271B"/>
    <w:rsid w:val="001F6BD3"/>
    <w:rsid w:val="001F7201"/>
    <w:rsid w:val="0020256C"/>
    <w:rsid w:val="00204931"/>
    <w:rsid w:val="002225C1"/>
    <w:rsid w:val="00223A29"/>
    <w:rsid w:val="002250A3"/>
    <w:rsid w:val="00231294"/>
    <w:rsid w:val="00234863"/>
    <w:rsid w:val="00235217"/>
    <w:rsid w:val="00246D1F"/>
    <w:rsid w:val="00247403"/>
    <w:rsid w:val="00247542"/>
    <w:rsid w:val="00266B61"/>
    <w:rsid w:val="0026712A"/>
    <w:rsid w:val="002704DB"/>
    <w:rsid w:val="00277BDA"/>
    <w:rsid w:val="00282EF5"/>
    <w:rsid w:val="002926BC"/>
    <w:rsid w:val="0029575A"/>
    <w:rsid w:val="002A0AAE"/>
    <w:rsid w:val="002A5820"/>
    <w:rsid w:val="002B496D"/>
    <w:rsid w:val="002B5635"/>
    <w:rsid w:val="002C3350"/>
    <w:rsid w:val="002D2B26"/>
    <w:rsid w:val="002D7EA2"/>
    <w:rsid w:val="002E187C"/>
    <w:rsid w:val="002E7512"/>
    <w:rsid w:val="00302733"/>
    <w:rsid w:val="003121D5"/>
    <w:rsid w:val="00314078"/>
    <w:rsid w:val="0031535D"/>
    <w:rsid w:val="00322AD2"/>
    <w:rsid w:val="003239B8"/>
    <w:rsid w:val="0033169F"/>
    <w:rsid w:val="00336A8C"/>
    <w:rsid w:val="00337236"/>
    <w:rsid w:val="0034224A"/>
    <w:rsid w:val="003432C3"/>
    <w:rsid w:val="00343438"/>
    <w:rsid w:val="00344977"/>
    <w:rsid w:val="00346C95"/>
    <w:rsid w:val="00350976"/>
    <w:rsid w:val="00351155"/>
    <w:rsid w:val="00356185"/>
    <w:rsid w:val="00360380"/>
    <w:rsid w:val="0037519E"/>
    <w:rsid w:val="00386C6C"/>
    <w:rsid w:val="00386CF0"/>
    <w:rsid w:val="003A44AF"/>
    <w:rsid w:val="003A6337"/>
    <w:rsid w:val="003B4FF6"/>
    <w:rsid w:val="003B70FB"/>
    <w:rsid w:val="003C676B"/>
    <w:rsid w:val="003D0A55"/>
    <w:rsid w:val="003D3BC2"/>
    <w:rsid w:val="003D45D2"/>
    <w:rsid w:val="003E42D8"/>
    <w:rsid w:val="003E6CA1"/>
    <w:rsid w:val="004065A8"/>
    <w:rsid w:val="004165C2"/>
    <w:rsid w:val="004304AD"/>
    <w:rsid w:val="00430F47"/>
    <w:rsid w:val="00441ECB"/>
    <w:rsid w:val="00445193"/>
    <w:rsid w:val="00445C16"/>
    <w:rsid w:val="00447CCF"/>
    <w:rsid w:val="004523D5"/>
    <w:rsid w:val="004565BA"/>
    <w:rsid w:val="00462C1B"/>
    <w:rsid w:val="00467B7E"/>
    <w:rsid w:val="00473BB4"/>
    <w:rsid w:val="00477592"/>
    <w:rsid w:val="0048109D"/>
    <w:rsid w:val="00486F1C"/>
    <w:rsid w:val="0049419D"/>
    <w:rsid w:val="004A4B11"/>
    <w:rsid w:val="004A59CC"/>
    <w:rsid w:val="004A6A54"/>
    <w:rsid w:val="004B372E"/>
    <w:rsid w:val="004C20D2"/>
    <w:rsid w:val="004C2312"/>
    <w:rsid w:val="004C4B62"/>
    <w:rsid w:val="004C54C9"/>
    <w:rsid w:val="004C5932"/>
    <w:rsid w:val="004C616A"/>
    <w:rsid w:val="004D4ABA"/>
    <w:rsid w:val="004D6025"/>
    <w:rsid w:val="004E19B1"/>
    <w:rsid w:val="004E2649"/>
    <w:rsid w:val="00501399"/>
    <w:rsid w:val="00501652"/>
    <w:rsid w:val="0050633D"/>
    <w:rsid w:val="00507BC4"/>
    <w:rsid w:val="00507FDA"/>
    <w:rsid w:val="005128E4"/>
    <w:rsid w:val="005133DB"/>
    <w:rsid w:val="0051685C"/>
    <w:rsid w:val="00522951"/>
    <w:rsid w:val="00525560"/>
    <w:rsid w:val="005415E6"/>
    <w:rsid w:val="00544216"/>
    <w:rsid w:val="00544C49"/>
    <w:rsid w:val="005516A1"/>
    <w:rsid w:val="00563557"/>
    <w:rsid w:val="0057402A"/>
    <w:rsid w:val="00574CB7"/>
    <w:rsid w:val="005771D0"/>
    <w:rsid w:val="00577AE5"/>
    <w:rsid w:val="00584BE4"/>
    <w:rsid w:val="0059062C"/>
    <w:rsid w:val="0059191A"/>
    <w:rsid w:val="005921FF"/>
    <w:rsid w:val="005A24ED"/>
    <w:rsid w:val="005A31E2"/>
    <w:rsid w:val="005A6D0E"/>
    <w:rsid w:val="005B14BF"/>
    <w:rsid w:val="005B37CC"/>
    <w:rsid w:val="005B52B0"/>
    <w:rsid w:val="005B6806"/>
    <w:rsid w:val="005B6B23"/>
    <w:rsid w:val="005B6D22"/>
    <w:rsid w:val="005C1DED"/>
    <w:rsid w:val="005C261A"/>
    <w:rsid w:val="005C4225"/>
    <w:rsid w:val="005C7989"/>
    <w:rsid w:val="005D23D2"/>
    <w:rsid w:val="005E0B65"/>
    <w:rsid w:val="005E11B2"/>
    <w:rsid w:val="005F0DAD"/>
    <w:rsid w:val="005F0F33"/>
    <w:rsid w:val="00600DEB"/>
    <w:rsid w:val="006032E5"/>
    <w:rsid w:val="00614616"/>
    <w:rsid w:val="006277DE"/>
    <w:rsid w:val="00627C9F"/>
    <w:rsid w:val="006311E9"/>
    <w:rsid w:val="00632354"/>
    <w:rsid w:val="00636FD5"/>
    <w:rsid w:val="00640343"/>
    <w:rsid w:val="00642810"/>
    <w:rsid w:val="00642C59"/>
    <w:rsid w:val="0064368D"/>
    <w:rsid w:val="00647756"/>
    <w:rsid w:val="006509DA"/>
    <w:rsid w:val="00652333"/>
    <w:rsid w:val="0068009E"/>
    <w:rsid w:val="00680C50"/>
    <w:rsid w:val="00681543"/>
    <w:rsid w:val="006819E9"/>
    <w:rsid w:val="00686471"/>
    <w:rsid w:val="00691BBE"/>
    <w:rsid w:val="00692219"/>
    <w:rsid w:val="006A17D2"/>
    <w:rsid w:val="006A73E6"/>
    <w:rsid w:val="006B2476"/>
    <w:rsid w:val="006B2D5C"/>
    <w:rsid w:val="006C4EB1"/>
    <w:rsid w:val="006D76B3"/>
    <w:rsid w:val="006E0166"/>
    <w:rsid w:val="006E7B34"/>
    <w:rsid w:val="0070697F"/>
    <w:rsid w:val="00714B15"/>
    <w:rsid w:val="0072199C"/>
    <w:rsid w:val="00722C9F"/>
    <w:rsid w:val="007253B8"/>
    <w:rsid w:val="0073458A"/>
    <w:rsid w:val="0073598C"/>
    <w:rsid w:val="0073741F"/>
    <w:rsid w:val="00752C65"/>
    <w:rsid w:val="0076643F"/>
    <w:rsid w:val="00775311"/>
    <w:rsid w:val="00777F63"/>
    <w:rsid w:val="007852B5"/>
    <w:rsid w:val="007872E0"/>
    <w:rsid w:val="007A4E21"/>
    <w:rsid w:val="007A5817"/>
    <w:rsid w:val="007B05C4"/>
    <w:rsid w:val="007B60E9"/>
    <w:rsid w:val="007B6CC3"/>
    <w:rsid w:val="007C3334"/>
    <w:rsid w:val="007C3A9B"/>
    <w:rsid w:val="007C402A"/>
    <w:rsid w:val="007C6947"/>
    <w:rsid w:val="007D2B98"/>
    <w:rsid w:val="007D3985"/>
    <w:rsid w:val="007D7C02"/>
    <w:rsid w:val="007E13E7"/>
    <w:rsid w:val="007E21BC"/>
    <w:rsid w:val="007E58FE"/>
    <w:rsid w:val="007E7C82"/>
    <w:rsid w:val="007F588D"/>
    <w:rsid w:val="00802748"/>
    <w:rsid w:val="008038A8"/>
    <w:rsid w:val="00803F1C"/>
    <w:rsid w:val="00803FF1"/>
    <w:rsid w:val="0080600E"/>
    <w:rsid w:val="00817612"/>
    <w:rsid w:val="008200E4"/>
    <w:rsid w:val="008338A4"/>
    <w:rsid w:val="00834D49"/>
    <w:rsid w:val="00837C45"/>
    <w:rsid w:val="008411F0"/>
    <w:rsid w:val="00844730"/>
    <w:rsid w:val="008457C2"/>
    <w:rsid w:val="008474EA"/>
    <w:rsid w:val="00847976"/>
    <w:rsid w:val="008518BC"/>
    <w:rsid w:val="00857A82"/>
    <w:rsid w:val="00861EB4"/>
    <w:rsid w:val="00871526"/>
    <w:rsid w:val="00873836"/>
    <w:rsid w:val="00873A77"/>
    <w:rsid w:val="008773FD"/>
    <w:rsid w:val="008802A1"/>
    <w:rsid w:val="00885737"/>
    <w:rsid w:val="00887138"/>
    <w:rsid w:val="00890650"/>
    <w:rsid w:val="00897E12"/>
    <w:rsid w:val="008A0F81"/>
    <w:rsid w:val="008A7E0F"/>
    <w:rsid w:val="008B12F5"/>
    <w:rsid w:val="008B5932"/>
    <w:rsid w:val="008C5751"/>
    <w:rsid w:val="008D0292"/>
    <w:rsid w:val="008D0734"/>
    <w:rsid w:val="008D2290"/>
    <w:rsid w:val="008D3FB4"/>
    <w:rsid w:val="008D6AC0"/>
    <w:rsid w:val="008D768D"/>
    <w:rsid w:val="008E328A"/>
    <w:rsid w:val="008E3759"/>
    <w:rsid w:val="008E3BFE"/>
    <w:rsid w:val="008E7900"/>
    <w:rsid w:val="008F1912"/>
    <w:rsid w:val="008F30BA"/>
    <w:rsid w:val="0090270B"/>
    <w:rsid w:val="009041DC"/>
    <w:rsid w:val="00914B2D"/>
    <w:rsid w:val="00917B5A"/>
    <w:rsid w:val="00920A58"/>
    <w:rsid w:val="00920A8C"/>
    <w:rsid w:val="00921CD8"/>
    <w:rsid w:val="00922EE3"/>
    <w:rsid w:val="00934A2C"/>
    <w:rsid w:val="00935F06"/>
    <w:rsid w:val="00937B3A"/>
    <w:rsid w:val="00946060"/>
    <w:rsid w:val="00954B82"/>
    <w:rsid w:val="00962436"/>
    <w:rsid w:val="0096706E"/>
    <w:rsid w:val="00974491"/>
    <w:rsid w:val="00975C4E"/>
    <w:rsid w:val="00981A38"/>
    <w:rsid w:val="00981FBA"/>
    <w:rsid w:val="00996A00"/>
    <w:rsid w:val="00997BC5"/>
    <w:rsid w:val="009A4F41"/>
    <w:rsid w:val="009A7B6F"/>
    <w:rsid w:val="009B381B"/>
    <w:rsid w:val="009B4976"/>
    <w:rsid w:val="009C00E6"/>
    <w:rsid w:val="009C2FC5"/>
    <w:rsid w:val="009D1753"/>
    <w:rsid w:val="009D396F"/>
    <w:rsid w:val="009D6502"/>
    <w:rsid w:val="009D7611"/>
    <w:rsid w:val="009D78A5"/>
    <w:rsid w:val="009E0B61"/>
    <w:rsid w:val="009E0BA4"/>
    <w:rsid w:val="009E53DE"/>
    <w:rsid w:val="009E7C00"/>
    <w:rsid w:val="00A060EE"/>
    <w:rsid w:val="00A0691C"/>
    <w:rsid w:val="00A11E44"/>
    <w:rsid w:val="00A22397"/>
    <w:rsid w:val="00A328B3"/>
    <w:rsid w:val="00A405EE"/>
    <w:rsid w:val="00A457ED"/>
    <w:rsid w:val="00A50FCF"/>
    <w:rsid w:val="00A528D1"/>
    <w:rsid w:val="00A5396B"/>
    <w:rsid w:val="00A5504D"/>
    <w:rsid w:val="00A57C76"/>
    <w:rsid w:val="00A601CB"/>
    <w:rsid w:val="00A610CD"/>
    <w:rsid w:val="00A625E0"/>
    <w:rsid w:val="00A73869"/>
    <w:rsid w:val="00A74947"/>
    <w:rsid w:val="00A758AA"/>
    <w:rsid w:val="00A964B0"/>
    <w:rsid w:val="00AA02CF"/>
    <w:rsid w:val="00AA09A2"/>
    <w:rsid w:val="00AA7996"/>
    <w:rsid w:val="00AB5DD1"/>
    <w:rsid w:val="00AC06E2"/>
    <w:rsid w:val="00AC19CB"/>
    <w:rsid w:val="00AC2423"/>
    <w:rsid w:val="00AC7B6D"/>
    <w:rsid w:val="00AD04AD"/>
    <w:rsid w:val="00AD1886"/>
    <w:rsid w:val="00AE26E3"/>
    <w:rsid w:val="00AE5488"/>
    <w:rsid w:val="00AE6F91"/>
    <w:rsid w:val="00AF5571"/>
    <w:rsid w:val="00B06B4E"/>
    <w:rsid w:val="00B07341"/>
    <w:rsid w:val="00B202B5"/>
    <w:rsid w:val="00B30539"/>
    <w:rsid w:val="00B314DB"/>
    <w:rsid w:val="00B361F2"/>
    <w:rsid w:val="00B3718B"/>
    <w:rsid w:val="00B4632A"/>
    <w:rsid w:val="00B5067D"/>
    <w:rsid w:val="00B51FF8"/>
    <w:rsid w:val="00B530F1"/>
    <w:rsid w:val="00B54CDF"/>
    <w:rsid w:val="00B736AF"/>
    <w:rsid w:val="00B776D0"/>
    <w:rsid w:val="00B97946"/>
    <w:rsid w:val="00BA257A"/>
    <w:rsid w:val="00BA276C"/>
    <w:rsid w:val="00BA5544"/>
    <w:rsid w:val="00BB306F"/>
    <w:rsid w:val="00BB3FBD"/>
    <w:rsid w:val="00BC1096"/>
    <w:rsid w:val="00BC6CD0"/>
    <w:rsid w:val="00BD4B89"/>
    <w:rsid w:val="00BD503C"/>
    <w:rsid w:val="00BD5922"/>
    <w:rsid w:val="00BD76D9"/>
    <w:rsid w:val="00BD7C38"/>
    <w:rsid w:val="00BE4E1A"/>
    <w:rsid w:val="00BF02CB"/>
    <w:rsid w:val="00BF514A"/>
    <w:rsid w:val="00BF6540"/>
    <w:rsid w:val="00BF6FD8"/>
    <w:rsid w:val="00BF775D"/>
    <w:rsid w:val="00C02498"/>
    <w:rsid w:val="00C03680"/>
    <w:rsid w:val="00C054DF"/>
    <w:rsid w:val="00C10AFC"/>
    <w:rsid w:val="00C15381"/>
    <w:rsid w:val="00C1671F"/>
    <w:rsid w:val="00C21562"/>
    <w:rsid w:val="00C21762"/>
    <w:rsid w:val="00C21FEF"/>
    <w:rsid w:val="00C24543"/>
    <w:rsid w:val="00C256A2"/>
    <w:rsid w:val="00C35A26"/>
    <w:rsid w:val="00C51515"/>
    <w:rsid w:val="00C53910"/>
    <w:rsid w:val="00C5660B"/>
    <w:rsid w:val="00C56854"/>
    <w:rsid w:val="00C5788A"/>
    <w:rsid w:val="00C66B72"/>
    <w:rsid w:val="00C71644"/>
    <w:rsid w:val="00C87AC4"/>
    <w:rsid w:val="00C930D6"/>
    <w:rsid w:val="00C9567A"/>
    <w:rsid w:val="00CA0841"/>
    <w:rsid w:val="00CA2F62"/>
    <w:rsid w:val="00CA48A3"/>
    <w:rsid w:val="00CB212D"/>
    <w:rsid w:val="00CB2660"/>
    <w:rsid w:val="00CB336D"/>
    <w:rsid w:val="00CB47A4"/>
    <w:rsid w:val="00CB5C52"/>
    <w:rsid w:val="00CB725A"/>
    <w:rsid w:val="00CC13B2"/>
    <w:rsid w:val="00CC59D0"/>
    <w:rsid w:val="00CC5E90"/>
    <w:rsid w:val="00CD046C"/>
    <w:rsid w:val="00CE076C"/>
    <w:rsid w:val="00CE4F24"/>
    <w:rsid w:val="00CE5199"/>
    <w:rsid w:val="00CE66D5"/>
    <w:rsid w:val="00CF637A"/>
    <w:rsid w:val="00D059DE"/>
    <w:rsid w:val="00D05ABD"/>
    <w:rsid w:val="00D13FCE"/>
    <w:rsid w:val="00D306D1"/>
    <w:rsid w:val="00D30800"/>
    <w:rsid w:val="00D34786"/>
    <w:rsid w:val="00D37BFC"/>
    <w:rsid w:val="00D42822"/>
    <w:rsid w:val="00D47A8E"/>
    <w:rsid w:val="00D52D14"/>
    <w:rsid w:val="00D535C2"/>
    <w:rsid w:val="00D5382C"/>
    <w:rsid w:val="00D55256"/>
    <w:rsid w:val="00D66136"/>
    <w:rsid w:val="00D71033"/>
    <w:rsid w:val="00D712D3"/>
    <w:rsid w:val="00D71422"/>
    <w:rsid w:val="00D72DC6"/>
    <w:rsid w:val="00D73F5E"/>
    <w:rsid w:val="00D7558D"/>
    <w:rsid w:val="00D77503"/>
    <w:rsid w:val="00D81D92"/>
    <w:rsid w:val="00D84E35"/>
    <w:rsid w:val="00D876F9"/>
    <w:rsid w:val="00D877B6"/>
    <w:rsid w:val="00D92B1C"/>
    <w:rsid w:val="00D97804"/>
    <w:rsid w:val="00DA3516"/>
    <w:rsid w:val="00DA58FB"/>
    <w:rsid w:val="00DA7B5F"/>
    <w:rsid w:val="00DC11E7"/>
    <w:rsid w:val="00DC7023"/>
    <w:rsid w:val="00DC769A"/>
    <w:rsid w:val="00DD10CD"/>
    <w:rsid w:val="00DD3D86"/>
    <w:rsid w:val="00DE12F0"/>
    <w:rsid w:val="00DF1EC4"/>
    <w:rsid w:val="00DF744E"/>
    <w:rsid w:val="00E01943"/>
    <w:rsid w:val="00E0340B"/>
    <w:rsid w:val="00E04A90"/>
    <w:rsid w:val="00E04C23"/>
    <w:rsid w:val="00E050DB"/>
    <w:rsid w:val="00E0551F"/>
    <w:rsid w:val="00E16A7B"/>
    <w:rsid w:val="00E219C7"/>
    <w:rsid w:val="00E21D86"/>
    <w:rsid w:val="00E26BEA"/>
    <w:rsid w:val="00E26CCA"/>
    <w:rsid w:val="00E410E8"/>
    <w:rsid w:val="00E4118C"/>
    <w:rsid w:val="00E43157"/>
    <w:rsid w:val="00E45DA6"/>
    <w:rsid w:val="00E461CE"/>
    <w:rsid w:val="00E5548A"/>
    <w:rsid w:val="00E6600B"/>
    <w:rsid w:val="00E720CA"/>
    <w:rsid w:val="00E83732"/>
    <w:rsid w:val="00E84EB5"/>
    <w:rsid w:val="00E85662"/>
    <w:rsid w:val="00E8789F"/>
    <w:rsid w:val="00E91DEC"/>
    <w:rsid w:val="00E97B71"/>
    <w:rsid w:val="00EA3D34"/>
    <w:rsid w:val="00EB2D6E"/>
    <w:rsid w:val="00EB454D"/>
    <w:rsid w:val="00EC72AB"/>
    <w:rsid w:val="00EC7D62"/>
    <w:rsid w:val="00ED2F03"/>
    <w:rsid w:val="00ED549D"/>
    <w:rsid w:val="00ED6BAD"/>
    <w:rsid w:val="00ED76BE"/>
    <w:rsid w:val="00ED7F05"/>
    <w:rsid w:val="00EE00E9"/>
    <w:rsid w:val="00EE014D"/>
    <w:rsid w:val="00EF35AB"/>
    <w:rsid w:val="00EF4C44"/>
    <w:rsid w:val="00EF619B"/>
    <w:rsid w:val="00F00B55"/>
    <w:rsid w:val="00F02AD1"/>
    <w:rsid w:val="00F04591"/>
    <w:rsid w:val="00F06354"/>
    <w:rsid w:val="00F253CC"/>
    <w:rsid w:val="00F332EF"/>
    <w:rsid w:val="00F35772"/>
    <w:rsid w:val="00F37106"/>
    <w:rsid w:val="00F519CF"/>
    <w:rsid w:val="00F558AE"/>
    <w:rsid w:val="00F56BA5"/>
    <w:rsid w:val="00F60E22"/>
    <w:rsid w:val="00F63B39"/>
    <w:rsid w:val="00F66F56"/>
    <w:rsid w:val="00F72BCB"/>
    <w:rsid w:val="00F81395"/>
    <w:rsid w:val="00F81887"/>
    <w:rsid w:val="00F81BB8"/>
    <w:rsid w:val="00F87156"/>
    <w:rsid w:val="00F917D1"/>
    <w:rsid w:val="00F9342C"/>
    <w:rsid w:val="00F9653B"/>
    <w:rsid w:val="00FA56EA"/>
    <w:rsid w:val="00FB62CF"/>
    <w:rsid w:val="00FC0F4A"/>
    <w:rsid w:val="00FC3330"/>
    <w:rsid w:val="00FD0D8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D0"/>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776D0"/>
    <w:rPr>
      <w:rFonts w:cs="Times New Roman"/>
      <w:u w:val="single"/>
    </w:rPr>
  </w:style>
  <w:style w:type="paragraph" w:customStyle="1" w:styleId="Cabeceraypie">
    <w:name w:val="Cabecera y pie"/>
    <w:uiPriority w:val="99"/>
    <w:rsid w:val="00B776D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776D0"/>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776D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776D0"/>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B776D0"/>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B776D0"/>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numbering" w:customStyle="1" w:styleId="List16">
    <w:name w:val="List 16"/>
    <w:rsid w:val="005D6933"/>
    <w:pPr>
      <w:numPr>
        <w:numId w:val="53"/>
      </w:numPr>
    </w:pPr>
  </w:style>
  <w:style w:type="numbering" w:customStyle="1" w:styleId="List36">
    <w:name w:val="List 36"/>
    <w:rsid w:val="005D6933"/>
    <w:pPr>
      <w:numPr>
        <w:numId w:val="57"/>
      </w:numPr>
    </w:pPr>
  </w:style>
  <w:style w:type="numbering" w:customStyle="1" w:styleId="List25">
    <w:name w:val="List 25"/>
    <w:rsid w:val="005D6933"/>
    <w:pPr>
      <w:numPr>
        <w:numId w:val="58"/>
      </w:numPr>
    </w:pPr>
  </w:style>
  <w:style w:type="numbering" w:customStyle="1" w:styleId="List1">
    <w:name w:val="List 1"/>
    <w:rsid w:val="005D6933"/>
    <w:pPr>
      <w:numPr>
        <w:numId w:val="2"/>
      </w:numPr>
    </w:pPr>
  </w:style>
  <w:style w:type="numbering" w:customStyle="1" w:styleId="List11">
    <w:name w:val="List 11"/>
    <w:rsid w:val="005D6933"/>
    <w:pPr>
      <w:numPr>
        <w:numId w:val="20"/>
      </w:numPr>
    </w:pPr>
  </w:style>
  <w:style w:type="numbering" w:customStyle="1" w:styleId="List15">
    <w:name w:val="List 15"/>
    <w:rsid w:val="005D6933"/>
    <w:pPr>
      <w:numPr>
        <w:numId w:val="59"/>
      </w:numPr>
    </w:pPr>
  </w:style>
  <w:style w:type="numbering" w:customStyle="1" w:styleId="List14">
    <w:name w:val="List 14"/>
    <w:rsid w:val="005D6933"/>
    <w:pPr>
      <w:numPr>
        <w:numId w:val="60"/>
      </w:numPr>
    </w:pPr>
  </w:style>
  <w:style w:type="numbering" w:customStyle="1" w:styleId="List23">
    <w:name w:val="List 23"/>
    <w:rsid w:val="005D6933"/>
    <w:pPr>
      <w:numPr>
        <w:numId w:val="61"/>
      </w:numPr>
    </w:pPr>
  </w:style>
  <w:style w:type="numbering" w:customStyle="1" w:styleId="List19">
    <w:name w:val="List 19"/>
    <w:rsid w:val="005D6933"/>
    <w:pPr>
      <w:numPr>
        <w:numId w:val="62"/>
      </w:numPr>
    </w:pPr>
  </w:style>
  <w:style w:type="numbering" w:customStyle="1" w:styleId="List45">
    <w:name w:val="List 45"/>
    <w:rsid w:val="005D6933"/>
    <w:pPr>
      <w:numPr>
        <w:numId w:val="63"/>
      </w:numPr>
    </w:pPr>
  </w:style>
  <w:style w:type="numbering" w:customStyle="1" w:styleId="List40">
    <w:name w:val="List 40"/>
    <w:rsid w:val="005D6933"/>
    <w:pPr>
      <w:numPr>
        <w:numId w:val="64"/>
      </w:numPr>
    </w:pPr>
  </w:style>
  <w:style w:type="numbering" w:customStyle="1" w:styleId="List9">
    <w:name w:val="List 9"/>
    <w:rsid w:val="005D6933"/>
    <w:pPr>
      <w:numPr>
        <w:numId w:val="65"/>
      </w:numPr>
    </w:pPr>
  </w:style>
  <w:style w:type="numbering" w:customStyle="1" w:styleId="List43">
    <w:name w:val="List 43"/>
    <w:rsid w:val="005D6933"/>
    <w:pPr>
      <w:numPr>
        <w:numId w:val="66"/>
      </w:numPr>
    </w:pPr>
  </w:style>
  <w:style w:type="numbering" w:customStyle="1" w:styleId="List46">
    <w:name w:val="List 46"/>
    <w:rsid w:val="005D6933"/>
    <w:pPr>
      <w:numPr>
        <w:numId w:val="67"/>
      </w:numPr>
    </w:pPr>
  </w:style>
  <w:style w:type="numbering" w:customStyle="1" w:styleId="List35">
    <w:name w:val="List 35"/>
    <w:rsid w:val="005D6933"/>
    <w:pPr>
      <w:numPr>
        <w:numId w:val="35"/>
      </w:numPr>
    </w:pPr>
  </w:style>
  <w:style w:type="numbering" w:customStyle="1" w:styleId="List17">
    <w:name w:val="List 17"/>
    <w:rsid w:val="005D6933"/>
    <w:pPr>
      <w:numPr>
        <w:numId w:val="68"/>
      </w:numPr>
    </w:pPr>
  </w:style>
  <w:style w:type="numbering" w:customStyle="1" w:styleId="List33">
    <w:name w:val="List 33"/>
    <w:rsid w:val="005D6933"/>
    <w:pPr>
      <w:numPr>
        <w:numId w:val="69"/>
      </w:numPr>
    </w:pPr>
  </w:style>
  <w:style w:type="numbering" w:customStyle="1" w:styleId="List7">
    <w:name w:val="List 7"/>
    <w:rsid w:val="005D6933"/>
    <w:pPr>
      <w:numPr>
        <w:numId w:val="8"/>
      </w:numPr>
    </w:pPr>
  </w:style>
  <w:style w:type="numbering" w:customStyle="1" w:styleId="List18">
    <w:name w:val="List 18"/>
    <w:rsid w:val="005D6933"/>
    <w:pPr>
      <w:numPr>
        <w:numId w:val="70"/>
      </w:numPr>
    </w:pPr>
  </w:style>
  <w:style w:type="numbering" w:customStyle="1" w:styleId="List22">
    <w:name w:val="List 22"/>
    <w:rsid w:val="005D6933"/>
    <w:pPr>
      <w:numPr>
        <w:numId w:val="71"/>
      </w:numPr>
    </w:pPr>
  </w:style>
  <w:style w:type="numbering" w:customStyle="1" w:styleId="List47">
    <w:name w:val="List 47"/>
    <w:rsid w:val="005D6933"/>
    <w:pPr>
      <w:numPr>
        <w:numId w:val="72"/>
      </w:numPr>
    </w:pPr>
  </w:style>
  <w:style w:type="numbering" w:customStyle="1" w:styleId="List28">
    <w:name w:val="List 28"/>
    <w:rsid w:val="005D6933"/>
    <w:pPr>
      <w:numPr>
        <w:numId w:val="73"/>
      </w:numPr>
    </w:pPr>
  </w:style>
  <w:style w:type="numbering" w:customStyle="1" w:styleId="List10">
    <w:name w:val="List 10"/>
    <w:rsid w:val="005D6933"/>
    <w:pPr>
      <w:numPr>
        <w:numId w:val="11"/>
      </w:numPr>
    </w:pPr>
  </w:style>
  <w:style w:type="numbering" w:customStyle="1" w:styleId="List0">
    <w:name w:val="List 0"/>
    <w:rsid w:val="005D6933"/>
    <w:pPr>
      <w:numPr>
        <w:numId w:val="74"/>
      </w:numPr>
    </w:pPr>
  </w:style>
  <w:style w:type="numbering" w:customStyle="1" w:styleId="List30">
    <w:name w:val="List 30"/>
    <w:rsid w:val="005D6933"/>
    <w:pPr>
      <w:numPr>
        <w:numId w:val="75"/>
      </w:numPr>
    </w:pPr>
  </w:style>
  <w:style w:type="numbering" w:customStyle="1" w:styleId="List29">
    <w:name w:val="List 29"/>
    <w:rsid w:val="005D6933"/>
    <w:pPr>
      <w:numPr>
        <w:numId w:val="77"/>
      </w:numPr>
    </w:pPr>
  </w:style>
  <w:style w:type="numbering" w:customStyle="1" w:styleId="List38">
    <w:name w:val="List 38"/>
    <w:rsid w:val="005D6933"/>
    <w:pPr>
      <w:numPr>
        <w:numId w:val="78"/>
      </w:numPr>
    </w:pPr>
  </w:style>
  <w:style w:type="numbering" w:customStyle="1" w:styleId="List12">
    <w:name w:val="List 12"/>
    <w:rsid w:val="005D6933"/>
    <w:pPr>
      <w:numPr>
        <w:numId w:val="79"/>
      </w:numPr>
    </w:pPr>
  </w:style>
  <w:style w:type="numbering" w:customStyle="1" w:styleId="List50">
    <w:name w:val="List 50"/>
    <w:rsid w:val="005D6933"/>
    <w:pPr>
      <w:numPr>
        <w:numId w:val="80"/>
      </w:numPr>
    </w:pPr>
  </w:style>
  <w:style w:type="numbering" w:customStyle="1" w:styleId="List34">
    <w:name w:val="List 34"/>
    <w:rsid w:val="005D6933"/>
    <w:pPr>
      <w:numPr>
        <w:numId w:val="54"/>
      </w:numPr>
    </w:pPr>
  </w:style>
  <w:style w:type="numbering" w:customStyle="1" w:styleId="List42">
    <w:name w:val="List 42"/>
    <w:rsid w:val="005D6933"/>
    <w:pPr>
      <w:numPr>
        <w:numId w:val="55"/>
      </w:numPr>
    </w:pPr>
  </w:style>
  <w:style w:type="numbering" w:customStyle="1" w:styleId="List49">
    <w:name w:val="List 49"/>
    <w:rsid w:val="005D6933"/>
    <w:pPr>
      <w:numPr>
        <w:numId w:val="82"/>
      </w:numPr>
    </w:pPr>
  </w:style>
  <w:style w:type="numbering" w:customStyle="1" w:styleId="List44">
    <w:name w:val="List 44"/>
    <w:rsid w:val="005D6933"/>
    <w:pPr>
      <w:numPr>
        <w:numId w:val="83"/>
      </w:numPr>
    </w:pPr>
  </w:style>
  <w:style w:type="numbering" w:customStyle="1" w:styleId="List21">
    <w:name w:val="List 21"/>
    <w:rsid w:val="005D6933"/>
    <w:pPr>
      <w:numPr>
        <w:numId w:val="95"/>
      </w:numPr>
    </w:pPr>
  </w:style>
  <w:style w:type="numbering" w:customStyle="1" w:styleId="List52">
    <w:name w:val="List 52"/>
    <w:rsid w:val="005D6933"/>
    <w:pPr>
      <w:numPr>
        <w:numId w:val="52"/>
      </w:numPr>
    </w:pPr>
  </w:style>
  <w:style w:type="numbering" w:customStyle="1" w:styleId="List24">
    <w:name w:val="List 24"/>
    <w:rsid w:val="005D6933"/>
    <w:pPr>
      <w:numPr>
        <w:numId w:val="56"/>
      </w:numPr>
    </w:pPr>
  </w:style>
  <w:style w:type="numbering" w:customStyle="1" w:styleId="List51">
    <w:name w:val="List 51"/>
    <w:rsid w:val="005D6933"/>
    <w:pPr>
      <w:numPr>
        <w:numId w:val="98"/>
      </w:numPr>
    </w:pPr>
  </w:style>
  <w:style w:type="numbering" w:customStyle="1" w:styleId="List27">
    <w:name w:val="List 27"/>
    <w:rsid w:val="005D6933"/>
    <w:pPr>
      <w:numPr>
        <w:numId w:val="84"/>
      </w:numPr>
    </w:pPr>
  </w:style>
  <w:style w:type="numbering" w:customStyle="1" w:styleId="List8">
    <w:name w:val="List 8"/>
    <w:rsid w:val="005D6933"/>
    <w:pPr>
      <w:numPr>
        <w:numId w:val="9"/>
      </w:numPr>
    </w:pPr>
  </w:style>
  <w:style w:type="numbering" w:customStyle="1" w:styleId="List13">
    <w:name w:val="List 13"/>
    <w:rsid w:val="005D6933"/>
    <w:pPr>
      <w:numPr>
        <w:numId w:val="85"/>
      </w:numPr>
    </w:pPr>
  </w:style>
  <w:style w:type="numbering" w:customStyle="1" w:styleId="List20">
    <w:name w:val="List 20"/>
    <w:rsid w:val="005D6933"/>
    <w:pPr>
      <w:numPr>
        <w:numId w:val="86"/>
      </w:numPr>
    </w:pPr>
  </w:style>
  <w:style w:type="numbering" w:customStyle="1" w:styleId="List41">
    <w:name w:val="List 41"/>
    <w:rsid w:val="005D6933"/>
    <w:pPr>
      <w:numPr>
        <w:numId w:val="87"/>
      </w:numPr>
    </w:pPr>
  </w:style>
  <w:style w:type="numbering" w:customStyle="1" w:styleId="List31">
    <w:name w:val="List 31"/>
    <w:rsid w:val="005D6933"/>
    <w:pPr>
      <w:numPr>
        <w:numId w:val="88"/>
      </w:numPr>
    </w:pPr>
  </w:style>
  <w:style w:type="numbering" w:customStyle="1" w:styleId="List6">
    <w:name w:val="List 6"/>
    <w:rsid w:val="005D6933"/>
    <w:pPr>
      <w:numPr>
        <w:numId w:val="7"/>
      </w:numPr>
    </w:pPr>
  </w:style>
  <w:style w:type="numbering" w:customStyle="1" w:styleId="List39">
    <w:name w:val="List 39"/>
    <w:rsid w:val="005D6933"/>
    <w:pPr>
      <w:numPr>
        <w:numId w:val="89"/>
      </w:numPr>
    </w:pPr>
  </w:style>
  <w:style w:type="numbering" w:customStyle="1" w:styleId="List37">
    <w:name w:val="List 37"/>
    <w:rsid w:val="005D6933"/>
    <w:pPr>
      <w:numPr>
        <w:numId w:val="90"/>
      </w:numPr>
    </w:pPr>
  </w:style>
  <w:style w:type="numbering" w:customStyle="1" w:styleId="List32">
    <w:name w:val="List 32"/>
    <w:rsid w:val="005D6933"/>
    <w:pPr>
      <w:numPr>
        <w:numId w:val="91"/>
      </w:numPr>
    </w:pPr>
  </w:style>
  <w:style w:type="numbering" w:customStyle="1" w:styleId="List26">
    <w:name w:val="List 26"/>
    <w:rsid w:val="005D6933"/>
    <w:pPr>
      <w:numPr>
        <w:numId w:val="92"/>
      </w:numPr>
    </w:pPr>
  </w:style>
  <w:style w:type="numbering" w:customStyle="1" w:styleId="List48">
    <w:name w:val="List 48"/>
    <w:rsid w:val="005D6933"/>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2698">
      <w:marLeft w:val="0"/>
      <w:marRight w:val="0"/>
      <w:marTop w:val="0"/>
      <w:marBottom w:val="0"/>
      <w:divBdr>
        <w:top w:val="none" w:sz="0" w:space="0" w:color="auto"/>
        <w:left w:val="none" w:sz="0" w:space="0" w:color="auto"/>
        <w:bottom w:val="none" w:sz="0" w:space="0" w:color="auto"/>
        <w:right w:val="none" w:sz="0" w:space="0" w:color="auto"/>
      </w:divBdr>
    </w:div>
    <w:div w:id="687562699">
      <w:marLeft w:val="0"/>
      <w:marRight w:val="0"/>
      <w:marTop w:val="0"/>
      <w:marBottom w:val="0"/>
      <w:divBdr>
        <w:top w:val="none" w:sz="0" w:space="0" w:color="auto"/>
        <w:left w:val="none" w:sz="0" w:space="0" w:color="auto"/>
        <w:bottom w:val="none" w:sz="0" w:space="0" w:color="auto"/>
        <w:right w:val="none" w:sz="0" w:space="0" w:color="auto"/>
      </w:divBdr>
    </w:div>
    <w:div w:id="687562700">
      <w:marLeft w:val="0"/>
      <w:marRight w:val="0"/>
      <w:marTop w:val="0"/>
      <w:marBottom w:val="0"/>
      <w:divBdr>
        <w:top w:val="none" w:sz="0" w:space="0" w:color="auto"/>
        <w:left w:val="none" w:sz="0" w:space="0" w:color="auto"/>
        <w:bottom w:val="none" w:sz="0" w:space="0" w:color="auto"/>
        <w:right w:val="none" w:sz="0" w:space="0" w:color="auto"/>
      </w:divBdr>
    </w:div>
    <w:div w:id="687562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2606</Words>
  <Characters>13347</Characters>
  <Application>Microsoft Office Word</Application>
  <DocSecurity>0</DocSecurity>
  <Lines>226</Lines>
  <Paragraphs>54</Paragraphs>
  <ScaleCrop>false</ScaleCrop>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129/19</dc:title>
  <dc:creator/>
  <cp:lastModifiedBy/>
  <cp:revision>1</cp:revision>
  <dcterms:created xsi:type="dcterms:W3CDTF">2020-03-27T14:23:00Z</dcterms:created>
  <dcterms:modified xsi:type="dcterms:W3CDTF">2020-03-27T14:23:00Z</dcterms:modified>
</cp:coreProperties>
</file>