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BB2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bookmarkStart w:id="0" w:name="_GoBack"/>
      <w:bookmarkEnd w:id="0"/>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EA843E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48D0">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3E7F7A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B66">
                              <w:rPr>
                                <w:rFonts w:asciiTheme="majorHAnsi" w:hAnsiTheme="majorHAnsi" w:cs="Arial"/>
                                <w:b/>
                                <w:color w:val="0D0D0D" w:themeColor="text1" w:themeTint="F2"/>
                                <w:sz w:val="36"/>
                                <w:szCs w:val="22"/>
                                <w:lang w:val="es-ES_tradnl"/>
                              </w:rPr>
                              <w:t>1013</w:t>
                            </w:r>
                            <w:r w:rsidR="00246D1F" w:rsidRPr="004E2649">
                              <w:rPr>
                                <w:rFonts w:asciiTheme="majorHAnsi" w:hAnsiTheme="majorHAnsi" w:cs="Arial"/>
                                <w:b/>
                                <w:color w:val="0D0D0D" w:themeColor="text1" w:themeTint="F2"/>
                                <w:sz w:val="36"/>
                                <w:szCs w:val="22"/>
                                <w:lang w:val="es-ES_tradnl"/>
                              </w:rPr>
                              <w:t>-</w:t>
                            </w:r>
                            <w:r w:rsidR="00BE7B6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01D3F100" w:rsidR="00CD046C"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AD13589" w14:textId="77777777" w:rsidR="00342DDB" w:rsidRPr="0010736F" w:rsidRDefault="00342DDB" w:rsidP="00997BC5">
                            <w:pPr>
                              <w:spacing w:line="276" w:lineRule="auto"/>
                              <w:rPr>
                                <w:rFonts w:asciiTheme="majorHAnsi" w:hAnsiTheme="majorHAnsi" w:cs="Arial"/>
                                <w:color w:val="0D0D0D" w:themeColor="text1" w:themeTint="F2"/>
                                <w:szCs w:val="22"/>
                                <w:lang w:val="es-ES_tradnl"/>
                              </w:rPr>
                            </w:pPr>
                          </w:p>
                          <w:p w14:paraId="5FDD6F0D" w14:textId="06FFACE1" w:rsidR="008F1912" w:rsidRPr="0010736F" w:rsidRDefault="00342DDB"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VICTOR LUIS PADILLA TEJADA</w:t>
                            </w:r>
                          </w:p>
                          <w:bookmarkEnd w:id="1"/>
                          <w:p w14:paraId="35068D0D" w14:textId="738C43DB" w:rsidR="005B52B0" w:rsidRPr="00342DDB" w:rsidRDefault="008C5751"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P</w:t>
                            </w:r>
                            <w:r w:rsidR="00342DDB">
                              <w:rPr>
                                <w:rFonts w:asciiTheme="majorHAnsi" w:hAnsiTheme="majorHAnsi" w:cs="Arial"/>
                                <w:color w:val="0D0D0D" w:themeColor="text1" w:themeTint="F2"/>
                                <w:szCs w:val="22"/>
                                <w:lang w:val="es-ES_tradnl"/>
                              </w:rPr>
                              <w:t>ER</w:t>
                            </w:r>
                            <w:r w:rsidR="00342DDB">
                              <w:rPr>
                                <w:rFonts w:asciiTheme="majorHAnsi" w:hAnsiTheme="majorHAnsi" w:cs="Arial"/>
                                <w:color w:val="0D0D0D" w:themeColor="text1" w:themeTint="F2"/>
                                <w:szCs w:val="22"/>
                                <w:lang w:val="es-PA"/>
                              </w:rPr>
                              <w:t>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EA843E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48D0">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3E7F7A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B66">
                        <w:rPr>
                          <w:rFonts w:asciiTheme="majorHAnsi" w:hAnsiTheme="majorHAnsi" w:cs="Arial"/>
                          <w:b/>
                          <w:color w:val="0D0D0D" w:themeColor="text1" w:themeTint="F2"/>
                          <w:sz w:val="36"/>
                          <w:szCs w:val="22"/>
                          <w:lang w:val="es-ES_tradnl"/>
                        </w:rPr>
                        <w:t>1013</w:t>
                      </w:r>
                      <w:r w:rsidR="00246D1F" w:rsidRPr="004E2649">
                        <w:rPr>
                          <w:rFonts w:asciiTheme="majorHAnsi" w:hAnsiTheme="majorHAnsi" w:cs="Arial"/>
                          <w:b/>
                          <w:color w:val="0D0D0D" w:themeColor="text1" w:themeTint="F2"/>
                          <w:sz w:val="36"/>
                          <w:szCs w:val="22"/>
                          <w:lang w:val="es-ES_tradnl"/>
                        </w:rPr>
                        <w:t>-</w:t>
                      </w:r>
                      <w:r w:rsidR="00BE7B6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01D3F100" w:rsidR="00CD046C"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AD13589" w14:textId="77777777" w:rsidR="00342DDB" w:rsidRPr="0010736F" w:rsidRDefault="00342DDB" w:rsidP="00997BC5">
                      <w:pPr>
                        <w:spacing w:line="276" w:lineRule="auto"/>
                        <w:rPr>
                          <w:rFonts w:asciiTheme="majorHAnsi" w:hAnsiTheme="majorHAnsi" w:cs="Arial"/>
                          <w:color w:val="0D0D0D" w:themeColor="text1" w:themeTint="F2"/>
                          <w:szCs w:val="22"/>
                          <w:lang w:val="es-ES_tradnl"/>
                        </w:rPr>
                      </w:pPr>
                    </w:p>
                    <w:p w14:paraId="5FDD6F0D" w14:textId="06FFACE1" w:rsidR="008F1912" w:rsidRPr="0010736F" w:rsidRDefault="00342DDB" w:rsidP="00997BC5">
                      <w:pPr>
                        <w:spacing w:line="276" w:lineRule="auto"/>
                        <w:rPr>
                          <w:rFonts w:asciiTheme="majorHAnsi" w:hAnsiTheme="majorHAnsi" w:cs="Arial"/>
                          <w:color w:val="0D0D0D" w:themeColor="text1" w:themeTint="F2"/>
                          <w:szCs w:val="22"/>
                          <w:lang w:val="es-ES_tradnl"/>
                        </w:rPr>
                      </w:pPr>
                      <w:bookmarkStart w:id="2" w:name="_ftnref1"/>
                      <w:r>
                        <w:rPr>
                          <w:rFonts w:asciiTheme="majorHAnsi" w:hAnsiTheme="majorHAnsi" w:cs="Arial"/>
                          <w:color w:val="0D0D0D" w:themeColor="text1" w:themeTint="F2"/>
                          <w:szCs w:val="22"/>
                          <w:lang w:val="es-ES_tradnl"/>
                        </w:rPr>
                        <w:t>VICTOR LUIS PADILLA TEJADA</w:t>
                      </w:r>
                    </w:p>
                    <w:bookmarkEnd w:id="2"/>
                    <w:p w14:paraId="35068D0D" w14:textId="738C43DB" w:rsidR="005B52B0" w:rsidRPr="00342DDB" w:rsidRDefault="008C5751"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P</w:t>
                      </w:r>
                      <w:r w:rsidR="00342DDB">
                        <w:rPr>
                          <w:rFonts w:asciiTheme="majorHAnsi" w:hAnsiTheme="majorHAnsi" w:cs="Arial"/>
                          <w:color w:val="0D0D0D" w:themeColor="text1" w:themeTint="F2"/>
                          <w:szCs w:val="22"/>
                          <w:lang w:val="es-ES_tradnl"/>
                        </w:rPr>
                        <w:t>ER</w:t>
                      </w:r>
                      <w:r w:rsidR="00342DDB">
                        <w:rPr>
                          <w:rFonts w:asciiTheme="majorHAnsi" w:hAnsiTheme="majorHAnsi" w:cs="Arial"/>
                          <w:color w:val="0D0D0D" w:themeColor="text1" w:themeTint="F2"/>
                          <w:szCs w:val="22"/>
                          <w:lang w:val="es-PA"/>
                        </w:rPr>
                        <w:t>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2DD0703"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5483160" w:rsidR="00627C9F" w:rsidRPr="00935F06" w:rsidRDefault="00D948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209</w:t>
                            </w:r>
                          </w:p>
                          <w:p w14:paraId="69373ED2" w14:textId="728046E6" w:rsidR="00627C9F" w:rsidRPr="00935F06" w:rsidRDefault="00D948D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2DD0703"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5483160" w:rsidR="00627C9F" w:rsidRPr="00935F06" w:rsidRDefault="00D948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209</w:t>
                      </w:r>
                    </w:p>
                    <w:p w14:paraId="69373ED2" w14:textId="728046E6" w:rsidR="00627C9F" w:rsidRPr="00935F06" w:rsidRDefault="00D948D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EBBB7" w14:textId="71335A7F" w:rsidR="001605F0" w:rsidRPr="00890650" w:rsidRDefault="001605F0" w:rsidP="001605F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EF135D">
                              <w:rPr>
                                <w:rFonts w:asciiTheme="majorHAnsi" w:hAnsiTheme="majorHAnsi"/>
                                <w:color w:val="0D0D0D" w:themeColor="text1" w:themeTint="F2"/>
                                <w:sz w:val="18"/>
                                <w:szCs w:val="22"/>
                                <w:lang w:val="es-ES"/>
                              </w:rPr>
                              <w:t>.</w:t>
                            </w:r>
                          </w:p>
                          <w:p w14:paraId="10043759" w14:textId="77777777" w:rsidR="001605F0" w:rsidRPr="007A5817" w:rsidRDefault="001605F0" w:rsidP="001605F0">
                            <w:pPr>
                              <w:tabs>
                                <w:tab w:val="center" w:pos="5400"/>
                              </w:tabs>
                              <w:suppressAutoHyphens/>
                              <w:spacing w:before="60"/>
                              <w:rPr>
                                <w:rFonts w:asciiTheme="minorHAnsi" w:hAnsiTheme="minorHAnsi" w:cs="Univers"/>
                                <w:color w:val="0D0D0D" w:themeColor="text1" w:themeTint="F2"/>
                                <w:sz w:val="20"/>
                                <w:szCs w:val="20"/>
                                <w:lang w:val="es-ES"/>
                              </w:rPr>
                            </w:pPr>
                          </w:p>
                          <w:p w14:paraId="0CCBF8F9" w14:textId="77777777" w:rsidR="001605F0" w:rsidRPr="00167A34" w:rsidRDefault="001605F0" w:rsidP="001605F0">
                            <w:pPr>
                              <w:tabs>
                                <w:tab w:val="center" w:pos="5400"/>
                              </w:tabs>
                              <w:suppressAutoHyphens/>
                              <w:spacing w:before="60"/>
                              <w:rPr>
                                <w:rFonts w:ascii="Calibri" w:hAnsi="Calibri"/>
                                <w:color w:val="FFFFFF" w:themeColor="background1"/>
                                <w:spacing w:val="-2"/>
                                <w:sz w:val="16"/>
                                <w:lang w:val="es-ES"/>
                              </w:rPr>
                            </w:pPr>
                          </w:p>
                          <w:p w14:paraId="2944B4F7" w14:textId="5F0AE9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2CEBBB7" w14:textId="71335A7F" w:rsidR="001605F0" w:rsidRPr="00890650" w:rsidRDefault="001605F0" w:rsidP="001605F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EF135D">
                        <w:rPr>
                          <w:rFonts w:asciiTheme="majorHAnsi" w:hAnsiTheme="majorHAnsi"/>
                          <w:color w:val="0D0D0D" w:themeColor="text1" w:themeTint="F2"/>
                          <w:sz w:val="18"/>
                          <w:szCs w:val="22"/>
                          <w:lang w:val="es-ES"/>
                        </w:rPr>
                        <w:t>.</w:t>
                      </w:r>
                    </w:p>
                    <w:p w14:paraId="10043759" w14:textId="77777777" w:rsidR="001605F0" w:rsidRPr="007A5817" w:rsidRDefault="001605F0" w:rsidP="001605F0">
                      <w:pPr>
                        <w:tabs>
                          <w:tab w:val="center" w:pos="5400"/>
                        </w:tabs>
                        <w:suppressAutoHyphens/>
                        <w:spacing w:before="60"/>
                        <w:rPr>
                          <w:rFonts w:asciiTheme="minorHAnsi" w:hAnsiTheme="minorHAnsi" w:cs="Univers"/>
                          <w:color w:val="0D0D0D" w:themeColor="text1" w:themeTint="F2"/>
                          <w:sz w:val="20"/>
                          <w:szCs w:val="20"/>
                          <w:lang w:val="es-ES"/>
                        </w:rPr>
                      </w:pPr>
                    </w:p>
                    <w:p w14:paraId="0CCBF8F9" w14:textId="77777777" w:rsidR="001605F0" w:rsidRPr="00167A34" w:rsidRDefault="001605F0" w:rsidP="001605F0">
                      <w:pPr>
                        <w:tabs>
                          <w:tab w:val="center" w:pos="5400"/>
                        </w:tabs>
                        <w:suppressAutoHyphens/>
                        <w:spacing w:before="60"/>
                        <w:rPr>
                          <w:rFonts w:ascii="Calibri" w:hAnsi="Calibri"/>
                          <w:color w:val="FFFFFF" w:themeColor="background1"/>
                          <w:spacing w:val="-2"/>
                          <w:sz w:val="16"/>
                          <w:lang w:val="es-ES"/>
                        </w:rPr>
                      </w:pPr>
                    </w:p>
                    <w:p w14:paraId="2944B4F7" w14:textId="5F0AE9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B6B25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948D0" w:rsidRPr="00D948D0">
                              <w:rPr>
                                <w:rFonts w:asciiTheme="majorHAnsi" w:hAnsiTheme="majorHAnsi"/>
                                <w:color w:val="595959" w:themeColor="text1" w:themeTint="A6"/>
                                <w:sz w:val="18"/>
                                <w:szCs w:val="18"/>
                                <w:lang w:val="pt-BR"/>
                              </w:rPr>
                              <w:t>187</w:t>
                            </w:r>
                            <w:r w:rsidR="007B05C4" w:rsidRPr="00D948D0">
                              <w:rPr>
                                <w:rFonts w:asciiTheme="majorHAnsi" w:hAnsiTheme="majorHAnsi"/>
                                <w:color w:val="595959" w:themeColor="text1" w:themeTint="A6"/>
                                <w:sz w:val="18"/>
                                <w:szCs w:val="18"/>
                                <w:lang w:val="pt-BR"/>
                              </w:rPr>
                              <w:t>/</w:t>
                            </w:r>
                            <w:r w:rsidR="00D948D0" w:rsidRPr="00D948D0">
                              <w:rPr>
                                <w:rFonts w:asciiTheme="majorHAnsi" w:hAnsiTheme="majorHAnsi"/>
                                <w:color w:val="595959" w:themeColor="text1" w:themeTint="A6"/>
                                <w:sz w:val="18"/>
                                <w:szCs w:val="18"/>
                                <w:lang w:val="pt-BR"/>
                              </w:rPr>
                              <w:t>19</w:t>
                            </w:r>
                            <w:r w:rsidR="00342DDB" w:rsidRPr="00D948D0">
                              <w:rPr>
                                <w:rFonts w:asciiTheme="majorHAnsi" w:hAnsiTheme="majorHAnsi"/>
                                <w:color w:val="595959" w:themeColor="text1" w:themeTint="A6"/>
                                <w:sz w:val="18"/>
                                <w:szCs w:val="18"/>
                                <w:lang w:val="pt-BR"/>
                              </w:rPr>
                              <w:t xml:space="preserve">. </w:t>
                            </w:r>
                            <w:r w:rsidR="00B11F30">
                              <w:rPr>
                                <w:rFonts w:asciiTheme="majorHAnsi" w:hAnsiTheme="majorHAnsi"/>
                                <w:color w:val="595959" w:themeColor="text1" w:themeTint="A6"/>
                                <w:sz w:val="18"/>
                                <w:szCs w:val="18"/>
                                <w:lang w:val="pt-BR"/>
                              </w:rPr>
                              <w:t xml:space="preserve">Petición 1013-11. </w:t>
                            </w:r>
                            <w:r w:rsidR="00342DDB">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342DDB">
                              <w:rPr>
                                <w:rFonts w:asciiTheme="majorHAnsi" w:hAnsiTheme="majorHAnsi"/>
                                <w:color w:val="595959" w:themeColor="text1" w:themeTint="A6"/>
                                <w:sz w:val="18"/>
                                <w:szCs w:val="18"/>
                                <w:lang w:val="es-ES_tradnl"/>
                              </w:rPr>
                              <w:t>Victor Luis Padilla Tejada</w:t>
                            </w:r>
                            <w:r w:rsidRPr="00890650">
                              <w:rPr>
                                <w:rFonts w:asciiTheme="majorHAnsi" w:hAnsiTheme="majorHAnsi"/>
                                <w:color w:val="595959" w:themeColor="text1" w:themeTint="A6"/>
                                <w:sz w:val="18"/>
                                <w:szCs w:val="18"/>
                                <w:lang w:val="es-ES_tradnl"/>
                              </w:rPr>
                              <w:t xml:space="preserve">. </w:t>
                            </w:r>
                            <w:r w:rsidR="00342DD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948D0">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4B6B25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948D0" w:rsidRPr="00D948D0">
                        <w:rPr>
                          <w:rFonts w:asciiTheme="majorHAnsi" w:hAnsiTheme="majorHAnsi"/>
                          <w:color w:val="595959" w:themeColor="text1" w:themeTint="A6"/>
                          <w:sz w:val="18"/>
                          <w:szCs w:val="18"/>
                          <w:lang w:val="pt-BR"/>
                        </w:rPr>
                        <w:t>187</w:t>
                      </w:r>
                      <w:r w:rsidR="007B05C4" w:rsidRPr="00D948D0">
                        <w:rPr>
                          <w:rFonts w:asciiTheme="majorHAnsi" w:hAnsiTheme="majorHAnsi"/>
                          <w:color w:val="595959" w:themeColor="text1" w:themeTint="A6"/>
                          <w:sz w:val="18"/>
                          <w:szCs w:val="18"/>
                          <w:lang w:val="pt-BR"/>
                        </w:rPr>
                        <w:t>/</w:t>
                      </w:r>
                      <w:r w:rsidR="00D948D0" w:rsidRPr="00D948D0">
                        <w:rPr>
                          <w:rFonts w:asciiTheme="majorHAnsi" w:hAnsiTheme="majorHAnsi"/>
                          <w:color w:val="595959" w:themeColor="text1" w:themeTint="A6"/>
                          <w:sz w:val="18"/>
                          <w:szCs w:val="18"/>
                          <w:lang w:val="pt-BR"/>
                        </w:rPr>
                        <w:t>19</w:t>
                      </w:r>
                      <w:r w:rsidR="00342DDB" w:rsidRPr="00D948D0">
                        <w:rPr>
                          <w:rFonts w:asciiTheme="majorHAnsi" w:hAnsiTheme="majorHAnsi"/>
                          <w:color w:val="595959" w:themeColor="text1" w:themeTint="A6"/>
                          <w:sz w:val="18"/>
                          <w:szCs w:val="18"/>
                          <w:lang w:val="pt-BR"/>
                        </w:rPr>
                        <w:t xml:space="preserve">. </w:t>
                      </w:r>
                      <w:r w:rsidR="00B11F30">
                        <w:rPr>
                          <w:rFonts w:asciiTheme="majorHAnsi" w:hAnsiTheme="majorHAnsi"/>
                          <w:color w:val="595959" w:themeColor="text1" w:themeTint="A6"/>
                          <w:sz w:val="18"/>
                          <w:szCs w:val="18"/>
                          <w:lang w:val="pt-BR"/>
                        </w:rPr>
                        <w:t xml:space="preserve">Petición 1013-11. </w:t>
                      </w:r>
                      <w:r w:rsidR="00342DDB">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342DDB">
                        <w:rPr>
                          <w:rFonts w:asciiTheme="majorHAnsi" w:hAnsiTheme="majorHAnsi"/>
                          <w:color w:val="595959" w:themeColor="text1" w:themeTint="A6"/>
                          <w:sz w:val="18"/>
                          <w:szCs w:val="18"/>
                          <w:lang w:val="es-ES_tradnl"/>
                        </w:rPr>
                        <w:t>Victor Luis Padilla Tejada</w:t>
                      </w:r>
                      <w:r w:rsidRPr="00890650">
                        <w:rPr>
                          <w:rFonts w:asciiTheme="majorHAnsi" w:hAnsiTheme="majorHAnsi"/>
                          <w:color w:val="595959" w:themeColor="text1" w:themeTint="A6"/>
                          <w:sz w:val="18"/>
                          <w:szCs w:val="18"/>
                          <w:lang w:val="es-ES_tradnl"/>
                        </w:rPr>
                        <w:t xml:space="preserve">. </w:t>
                      </w:r>
                      <w:r w:rsidR="00342DD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948D0">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20E8EBC" w:rsidR="003239B8" w:rsidRPr="00006B74" w:rsidRDefault="0079481A" w:rsidP="008D2290">
            <w:pPr>
              <w:jc w:val="both"/>
              <w:rPr>
                <w:rFonts w:ascii="Cambria" w:hAnsi="Cambria"/>
                <w:bCs/>
                <w:sz w:val="19"/>
                <w:szCs w:val="19"/>
                <w:lang w:val="es-ES"/>
              </w:rPr>
            </w:pPr>
            <w:r>
              <w:rPr>
                <w:rFonts w:ascii="Cambria" w:hAnsi="Cambria"/>
                <w:bCs/>
                <w:sz w:val="19"/>
                <w:szCs w:val="19"/>
                <w:lang w:val="es-ES"/>
              </w:rPr>
              <w:t>Victor Luis Padilla Tejada</w:t>
            </w:r>
          </w:p>
        </w:tc>
      </w:tr>
      <w:tr w:rsidR="003239B8" w:rsidRPr="00006B7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440D07"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3386A654" w:rsidR="003239B8" w:rsidRPr="00006B74" w:rsidRDefault="0079481A" w:rsidP="005B6D22">
            <w:pPr>
              <w:jc w:val="both"/>
              <w:rPr>
                <w:rFonts w:ascii="Cambria" w:hAnsi="Cambria"/>
                <w:bCs/>
                <w:sz w:val="19"/>
                <w:szCs w:val="19"/>
                <w:lang w:val="es-ES"/>
              </w:rPr>
            </w:pPr>
            <w:r>
              <w:rPr>
                <w:rFonts w:ascii="Cambria" w:hAnsi="Cambria"/>
                <w:bCs/>
                <w:sz w:val="19"/>
                <w:szCs w:val="19"/>
                <w:lang w:val="es-ES"/>
              </w:rPr>
              <w:t>Victor Luis Padilla Tejada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40AA96BC" w:rsidR="003239B8" w:rsidRPr="00006B74" w:rsidRDefault="0079481A" w:rsidP="008D2290">
            <w:pPr>
              <w:jc w:val="both"/>
              <w:rPr>
                <w:rFonts w:ascii="Cambria" w:hAnsi="Cambria"/>
                <w:bCs/>
                <w:sz w:val="19"/>
                <w:szCs w:val="19"/>
                <w:lang w:val="es-ES"/>
              </w:rPr>
            </w:pPr>
            <w:r w:rsidRPr="0079481A">
              <w:rPr>
                <w:rFonts w:ascii="Cambria" w:hAnsi="Cambria"/>
                <w:bCs/>
                <w:sz w:val="19"/>
                <w:szCs w:val="19"/>
                <w:lang w:val="es-ES"/>
              </w:rPr>
              <w:t>Perú</w:t>
            </w:r>
            <w:r w:rsidR="004A6A54" w:rsidRPr="00006B74">
              <w:rPr>
                <w:rStyle w:val="FootnoteReference"/>
                <w:rFonts w:ascii="Cambria" w:hAnsi="Cambria"/>
                <w:bCs/>
                <w:sz w:val="19"/>
                <w:szCs w:val="19"/>
                <w:lang w:val="es-ES"/>
              </w:rPr>
              <w:footnoteReference w:id="2"/>
            </w:r>
          </w:p>
        </w:tc>
      </w:tr>
      <w:tr w:rsidR="00223A29" w:rsidRPr="00EF135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6A136305" w:rsidR="00223A29" w:rsidRPr="00006B74" w:rsidRDefault="00BF514A" w:rsidP="0034224A">
            <w:pPr>
              <w:jc w:val="both"/>
              <w:rPr>
                <w:rFonts w:ascii="Cambria" w:hAnsi="Cambria"/>
                <w:bCs/>
                <w:sz w:val="19"/>
                <w:szCs w:val="19"/>
                <w:lang w:val="es-ES"/>
              </w:rPr>
            </w:pPr>
            <w:r w:rsidRPr="00006B74">
              <w:rPr>
                <w:rFonts w:ascii="Cambria" w:hAnsi="Cambria"/>
                <w:bCs/>
                <w:sz w:val="19"/>
                <w:szCs w:val="19"/>
                <w:lang w:val="es-ES"/>
              </w:rPr>
              <w:t xml:space="preserve">Artículos </w:t>
            </w:r>
            <w:r w:rsidR="0079481A" w:rsidRPr="0079481A">
              <w:rPr>
                <w:rFonts w:ascii="Cambria" w:hAnsi="Cambria"/>
                <w:bCs/>
                <w:sz w:val="19"/>
                <w:szCs w:val="19"/>
                <w:lang w:val="es-ES"/>
              </w:rPr>
              <w:t>3</w:t>
            </w:r>
            <w:r w:rsidR="0003652F">
              <w:rPr>
                <w:rFonts w:ascii="Cambria" w:hAnsi="Cambria"/>
                <w:bCs/>
                <w:sz w:val="19"/>
                <w:szCs w:val="19"/>
                <w:lang w:val="es-ES"/>
              </w:rPr>
              <w:t xml:space="preserve"> (reconocimiento de la personalidad jurídica), 4 (derecho a la vida),</w:t>
            </w:r>
            <w:r w:rsidR="00AA4654">
              <w:rPr>
                <w:rFonts w:ascii="Cambria" w:hAnsi="Cambria"/>
                <w:bCs/>
                <w:sz w:val="19"/>
                <w:szCs w:val="19"/>
                <w:lang w:val="es-ES"/>
              </w:rPr>
              <w:t xml:space="preserve"> 8 (garantías judiciales), </w:t>
            </w:r>
            <w:r w:rsidR="0003652F">
              <w:rPr>
                <w:rFonts w:ascii="Cambria" w:hAnsi="Cambria"/>
                <w:bCs/>
                <w:sz w:val="19"/>
                <w:szCs w:val="19"/>
                <w:lang w:val="es-ES"/>
              </w:rPr>
              <w:t>10 (derecho a indemnización), 17 (protección a la familia),</w:t>
            </w:r>
            <w:r w:rsidR="00AA4654">
              <w:rPr>
                <w:rFonts w:ascii="Cambria" w:hAnsi="Cambria"/>
                <w:bCs/>
                <w:sz w:val="19"/>
                <w:szCs w:val="19"/>
                <w:lang w:val="es-ES"/>
              </w:rPr>
              <w:t xml:space="preserve"> 21 (propiedad privada), </w:t>
            </w:r>
            <w:r w:rsidR="0003652F">
              <w:rPr>
                <w:rFonts w:ascii="Cambria" w:hAnsi="Cambria"/>
                <w:bCs/>
                <w:sz w:val="19"/>
                <w:szCs w:val="19"/>
                <w:lang w:val="es-ES"/>
              </w:rPr>
              <w:t>24 (igualdad ante la ley), 25 (protección judicial)</w:t>
            </w:r>
            <w:r w:rsidRPr="00006B74">
              <w:rPr>
                <w:rFonts w:ascii="Cambria" w:hAnsi="Cambria"/>
                <w:bCs/>
                <w:color w:val="C00000"/>
                <w:sz w:val="19"/>
                <w:szCs w:val="19"/>
                <w:lang w:val="es-ES"/>
              </w:rPr>
              <w:t xml:space="preserve"> </w:t>
            </w:r>
            <w:r w:rsidRPr="00661934">
              <w:rPr>
                <w:rFonts w:ascii="Cambria" w:hAnsi="Cambria"/>
                <w:bCs/>
                <w:color w:val="000000" w:themeColor="text1"/>
                <w:sz w:val="19"/>
                <w:szCs w:val="19"/>
                <w:lang w:val="es-ES"/>
              </w:rPr>
              <w:t>de la Convención Americana sobre Derechos Humanos</w:t>
            </w:r>
            <w:r w:rsidRPr="00661934">
              <w:rPr>
                <w:rStyle w:val="FootnoteReference"/>
                <w:rFonts w:ascii="Cambria" w:hAnsi="Cambria"/>
                <w:bCs/>
                <w:color w:val="000000" w:themeColor="text1"/>
                <w:sz w:val="19"/>
                <w:szCs w:val="19"/>
                <w:lang w:val="es-ES"/>
              </w:rPr>
              <w:footnoteReference w:id="3"/>
            </w:r>
            <w:r w:rsidR="00661934">
              <w:rPr>
                <w:rFonts w:ascii="Cambria" w:hAnsi="Cambria"/>
                <w:bCs/>
                <w:color w:val="000000" w:themeColor="text1"/>
                <w:sz w:val="19"/>
                <w:szCs w:val="19"/>
                <w:lang w:val="es-ES"/>
              </w:rPr>
              <w:t xml:space="preserve"> en relación con sus artículos 1 (obligación de respetar los derechos) y 2 (deber de adoptar disposiciones de derecho interno; Artículos</w:t>
            </w:r>
            <w:r w:rsidR="002820D9">
              <w:rPr>
                <w:rFonts w:ascii="Cambria" w:hAnsi="Cambria"/>
                <w:bCs/>
                <w:color w:val="000000" w:themeColor="text1"/>
                <w:sz w:val="19"/>
                <w:szCs w:val="19"/>
                <w:lang w:val="es-ES"/>
              </w:rPr>
              <w:t xml:space="preserve"> I (vida, libertad y seguridad </w:t>
            </w:r>
            <w:r w:rsidR="00661934">
              <w:rPr>
                <w:rFonts w:ascii="Cambria" w:hAnsi="Cambria"/>
                <w:bCs/>
                <w:color w:val="000000" w:themeColor="text1"/>
                <w:sz w:val="19"/>
                <w:szCs w:val="19"/>
                <w:lang w:val="es-ES"/>
              </w:rPr>
              <w:t>e integridad de la persona), II (igualdad ante la ley), VI (constitución y protección de la familia), VIII (residencia y tránsito), IX (inviolabilidad del domicilio), XVI (seguridad social),</w:t>
            </w:r>
            <w:r w:rsidR="007C75D1">
              <w:rPr>
                <w:rFonts w:ascii="Cambria" w:hAnsi="Cambria"/>
                <w:bCs/>
                <w:color w:val="000000" w:themeColor="text1"/>
                <w:sz w:val="19"/>
                <w:szCs w:val="19"/>
                <w:lang w:val="es-ES"/>
              </w:rPr>
              <w:t xml:space="preserve"> XVII</w:t>
            </w:r>
            <w:r w:rsidR="00661934">
              <w:rPr>
                <w:rFonts w:ascii="Cambria" w:hAnsi="Cambria"/>
                <w:bCs/>
                <w:color w:val="000000" w:themeColor="text1"/>
                <w:sz w:val="19"/>
                <w:szCs w:val="19"/>
                <w:lang w:val="es-ES"/>
              </w:rPr>
              <w:t xml:space="preserve"> </w:t>
            </w:r>
            <w:r w:rsidR="001D5A20">
              <w:rPr>
                <w:rFonts w:ascii="Cambria" w:hAnsi="Cambria"/>
                <w:bCs/>
                <w:color w:val="000000" w:themeColor="text1"/>
                <w:sz w:val="19"/>
                <w:szCs w:val="19"/>
                <w:lang w:val="es-ES"/>
              </w:rPr>
              <w:t xml:space="preserve">(reconocimiento de la personalidad jurídica y de los derechos civiles) y </w:t>
            </w:r>
            <w:r w:rsidR="00C474B8">
              <w:rPr>
                <w:rFonts w:ascii="Cambria" w:hAnsi="Cambria"/>
                <w:bCs/>
                <w:color w:val="000000" w:themeColor="text1"/>
                <w:sz w:val="19"/>
                <w:szCs w:val="19"/>
                <w:lang w:val="es-ES"/>
              </w:rPr>
              <w:t>XXIV</w:t>
            </w:r>
            <w:r w:rsidR="001D5A20">
              <w:rPr>
                <w:rFonts w:ascii="Cambria" w:hAnsi="Cambria"/>
                <w:bCs/>
                <w:color w:val="000000" w:themeColor="text1"/>
                <w:sz w:val="19"/>
                <w:szCs w:val="19"/>
                <w:lang w:val="es-ES"/>
              </w:rPr>
              <w:t xml:space="preserve"> (derecho de petición) de la</w:t>
            </w:r>
            <w:r w:rsidR="00661934">
              <w:rPr>
                <w:rFonts w:ascii="Cambria" w:hAnsi="Cambria"/>
                <w:bCs/>
                <w:color w:val="000000" w:themeColor="text1"/>
                <w:sz w:val="19"/>
                <w:szCs w:val="19"/>
                <w:lang w:val="es-ES"/>
              </w:rPr>
              <w:t xml:space="preserve"> Declaración Americana de Derechos y Deberes del Hombre</w:t>
            </w:r>
            <w:r w:rsidR="00661934">
              <w:rPr>
                <w:rStyle w:val="FootnoteReference"/>
                <w:rFonts w:ascii="Cambria" w:hAnsi="Cambria"/>
                <w:bCs/>
                <w:color w:val="000000" w:themeColor="text1"/>
                <w:sz w:val="19"/>
                <w:szCs w:val="19"/>
                <w:lang w:val="es-ES"/>
              </w:rPr>
              <w:footnoteReference w:id="4"/>
            </w:r>
            <w:r w:rsidR="001D5A20">
              <w:rPr>
                <w:rFonts w:ascii="Cambria" w:hAnsi="Cambria"/>
                <w:bCs/>
                <w:color w:val="000000" w:themeColor="text1"/>
                <w:sz w:val="19"/>
                <w:szCs w:val="19"/>
                <w:lang w:val="es-ES"/>
              </w:rPr>
              <w:t>; y otros instrumentos internacionales.</w:t>
            </w:r>
            <w:r w:rsidR="001D5A20">
              <w:rPr>
                <w:rStyle w:val="FootnoteReference"/>
                <w:rFonts w:ascii="Cambria" w:hAnsi="Cambria"/>
                <w:bCs/>
                <w:color w:val="000000" w:themeColor="text1"/>
                <w:sz w:val="19"/>
                <w:szCs w:val="19"/>
                <w:lang w:val="es-ES"/>
              </w:rPr>
              <w:footnoteReference w:id="5"/>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3CDCFB88" w:rsidR="004C2312" w:rsidRPr="00006B74" w:rsidRDefault="000E5BA3" w:rsidP="002625EA">
            <w:pPr>
              <w:jc w:val="both"/>
              <w:rPr>
                <w:rFonts w:ascii="Cambria" w:hAnsi="Cambria"/>
                <w:bCs/>
                <w:sz w:val="19"/>
                <w:szCs w:val="19"/>
                <w:lang w:val="es-ES"/>
              </w:rPr>
            </w:pPr>
            <w:r>
              <w:rPr>
                <w:rFonts w:ascii="Cambria" w:hAnsi="Cambria"/>
                <w:bCs/>
                <w:sz w:val="19"/>
                <w:szCs w:val="19"/>
                <w:lang w:val="es-ES"/>
              </w:rPr>
              <w:t>29 de julio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04AA702B" w:rsidR="004C2312" w:rsidRPr="00006B74" w:rsidRDefault="000E5BA3" w:rsidP="008D2290">
            <w:pPr>
              <w:jc w:val="both"/>
              <w:rPr>
                <w:rFonts w:ascii="Cambria" w:hAnsi="Cambria"/>
                <w:bCs/>
                <w:sz w:val="19"/>
                <w:szCs w:val="19"/>
                <w:lang w:val="es-ES"/>
              </w:rPr>
            </w:pPr>
            <w:r>
              <w:rPr>
                <w:rFonts w:ascii="Cambria" w:hAnsi="Cambria"/>
                <w:bCs/>
                <w:sz w:val="19"/>
                <w:szCs w:val="19"/>
                <w:lang w:val="es-ES"/>
              </w:rPr>
              <w:t>23 de julio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03F8913B" w:rsidR="00F06354" w:rsidRPr="00006B74" w:rsidRDefault="005F325F" w:rsidP="005F325F">
            <w:pPr>
              <w:jc w:val="both"/>
              <w:rPr>
                <w:rFonts w:ascii="Cambria" w:hAnsi="Cambria"/>
                <w:bCs/>
                <w:sz w:val="19"/>
                <w:szCs w:val="19"/>
                <w:lang w:val="es-ES"/>
              </w:rPr>
            </w:pPr>
            <w:r>
              <w:rPr>
                <w:rFonts w:ascii="Cambria" w:hAnsi="Cambria"/>
                <w:bCs/>
                <w:sz w:val="19"/>
                <w:szCs w:val="19"/>
                <w:lang w:val="es-ES"/>
              </w:rPr>
              <w:t>23</w:t>
            </w:r>
            <w:r w:rsidR="000E5BA3">
              <w:rPr>
                <w:rFonts w:ascii="Cambria" w:hAnsi="Cambria"/>
                <w:bCs/>
                <w:sz w:val="19"/>
                <w:szCs w:val="19"/>
                <w:lang w:val="es-ES"/>
              </w:rPr>
              <w:t xml:space="preserve"> de </w:t>
            </w:r>
            <w:r>
              <w:rPr>
                <w:rFonts w:ascii="Cambria" w:hAnsi="Cambria"/>
                <w:bCs/>
                <w:sz w:val="19"/>
                <w:szCs w:val="19"/>
                <w:lang w:val="es-ES"/>
              </w:rPr>
              <w:t>septiembre de 2016</w:t>
            </w:r>
          </w:p>
        </w:tc>
      </w:tr>
      <w:tr w:rsidR="00F06354" w:rsidRPr="00EF135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2D983EA3" w:rsidR="00F06354" w:rsidRPr="00006B74" w:rsidRDefault="000E5BA3" w:rsidP="005E6F68">
            <w:pPr>
              <w:jc w:val="both"/>
              <w:rPr>
                <w:rFonts w:ascii="Cambria" w:hAnsi="Cambria"/>
                <w:bCs/>
                <w:sz w:val="19"/>
                <w:szCs w:val="19"/>
                <w:lang w:val="es-ES"/>
              </w:rPr>
            </w:pPr>
            <w:r>
              <w:rPr>
                <w:rFonts w:ascii="Cambria" w:hAnsi="Cambria"/>
                <w:bCs/>
                <w:sz w:val="19"/>
                <w:szCs w:val="19"/>
                <w:lang w:val="es-ES"/>
              </w:rPr>
              <w:t>20 de octubre de 2011; 6 de septiembre de 2012</w:t>
            </w:r>
            <w:r w:rsidR="00FB2634">
              <w:rPr>
                <w:rFonts w:ascii="Cambria" w:hAnsi="Cambria"/>
                <w:bCs/>
                <w:sz w:val="19"/>
                <w:szCs w:val="19"/>
                <w:lang w:val="es-ES"/>
              </w:rPr>
              <w:t>; 28 de enero de 2013; 8</w:t>
            </w:r>
            <w:r w:rsidR="005E6F68">
              <w:rPr>
                <w:rFonts w:ascii="Cambria" w:hAnsi="Cambria"/>
                <w:bCs/>
                <w:sz w:val="19"/>
                <w:szCs w:val="19"/>
                <w:lang w:val="es-ES"/>
              </w:rPr>
              <w:t>, 9 y 23</w:t>
            </w:r>
            <w:r w:rsidR="00FB2634">
              <w:rPr>
                <w:rFonts w:ascii="Cambria" w:hAnsi="Cambria"/>
                <w:bCs/>
                <w:sz w:val="19"/>
                <w:szCs w:val="19"/>
                <w:lang w:val="es-ES"/>
              </w:rPr>
              <w:t xml:space="preserve"> de septiembre de 2016; </w:t>
            </w:r>
            <w:r w:rsidR="005E6F68">
              <w:rPr>
                <w:rFonts w:ascii="Cambria" w:hAnsi="Cambria"/>
                <w:bCs/>
                <w:sz w:val="19"/>
                <w:szCs w:val="19"/>
                <w:lang w:val="es-ES"/>
              </w:rPr>
              <w:t>14 de febrero, 20 de abril</w:t>
            </w:r>
            <w:r w:rsidR="00054EB8">
              <w:rPr>
                <w:rFonts w:ascii="Cambria" w:hAnsi="Cambria"/>
                <w:bCs/>
                <w:sz w:val="19"/>
                <w:szCs w:val="19"/>
                <w:lang w:val="es-ES"/>
              </w:rPr>
              <w:t xml:space="preserve">, </w:t>
            </w:r>
            <w:r w:rsidR="005E6F68">
              <w:rPr>
                <w:rFonts w:ascii="Cambria" w:hAnsi="Cambria"/>
                <w:bCs/>
                <w:sz w:val="19"/>
                <w:szCs w:val="19"/>
                <w:lang w:val="es-ES"/>
              </w:rPr>
              <w:t>20</w:t>
            </w:r>
            <w:r w:rsidR="00054EB8">
              <w:rPr>
                <w:rFonts w:ascii="Cambria" w:hAnsi="Cambria"/>
                <w:bCs/>
                <w:sz w:val="19"/>
                <w:szCs w:val="19"/>
                <w:lang w:val="es-ES"/>
              </w:rPr>
              <w:t xml:space="preserve"> y 27</w:t>
            </w:r>
            <w:r w:rsidR="005E6F68">
              <w:rPr>
                <w:rFonts w:ascii="Cambria" w:hAnsi="Cambria"/>
                <w:bCs/>
                <w:sz w:val="19"/>
                <w:szCs w:val="19"/>
                <w:lang w:val="es-ES"/>
              </w:rPr>
              <w:t xml:space="preserve"> de junio</w:t>
            </w:r>
            <w:r w:rsidR="00054EB8">
              <w:rPr>
                <w:rFonts w:ascii="Cambria" w:hAnsi="Cambria"/>
                <w:bCs/>
                <w:sz w:val="19"/>
                <w:szCs w:val="19"/>
                <w:lang w:val="es-ES"/>
              </w:rPr>
              <w:t xml:space="preserve"> y 8,15 y 30 de agosto, 5 y 28 de septiembre y 4  y 24 de octubre </w:t>
            </w:r>
            <w:r w:rsidR="005E6F68">
              <w:rPr>
                <w:rFonts w:ascii="Cambria" w:hAnsi="Cambria"/>
                <w:bCs/>
                <w:sz w:val="19"/>
                <w:szCs w:val="19"/>
                <w:lang w:val="es-ES"/>
              </w:rPr>
              <w:t xml:space="preserve">de 2017; </w:t>
            </w:r>
            <w:r w:rsidR="00625A64">
              <w:rPr>
                <w:rFonts w:ascii="Cambria" w:hAnsi="Cambria"/>
                <w:bCs/>
                <w:sz w:val="19"/>
                <w:szCs w:val="19"/>
                <w:lang w:val="es-ES"/>
              </w:rPr>
              <w:t>24 de enero</w:t>
            </w:r>
            <w:r w:rsidR="00E371AC">
              <w:rPr>
                <w:rFonts w:ascii="Cambria" w:hAnsi="Cambria"/>
                <w:bCs/>
                <w:sz w:val="19"/>
                <w:szCs w:val="19"/>
                <w:lang w:val="es-ES"/>
              </w:rPr>
              <w:t xml:space="preserve">, 12 de febrero, </w:t>
            </w:r>
            <w:r w:rsidR="00625A64">
              <w:rPr>
                <w:rFonts w:ascii="Cambria" w:hAnsi="Cambria"/>
                <w:bCs/>
                <w:sz w:val="19"/>
                <w:szCs w:val="19"/>
                <w:lang w:val="es-ES"/>
              </w:rPr>
              <w:t xml:space="preserve"> </w:t>
            </w:r>
            <w:r w:rsidR="002A4A4B">
              <w:rPr>
                <w:rFonts w:ascii="Cambria" w:hAnsi="Cambria"/>
                <w:bCs/>
                <w:sz w:val="19"/>
                <w:szCs w:val="19"/>
                <w:lang w:val="es-ES"/>
              </w:rPr>
              <w:t xml:space="preserve">24 de mayo </w:t>
            </w:r>
            <w:r w:rsidR="00C8239B">
              <w:rPr>
                <w:rFonts w:ascii="Cambria" w:hAnsi="Cambria"/>
                <w:bCs/>
                <w:sz w:val="19"/>
                <w:szCs w:val="19"/>
                <w:lang w:val="es-ES"/>
              </w:rPr>
              <w:t xml:space="preserve">y 8 de septiembre </w:t>
            </w:r>
            <w:r w:rsidR="00625A64">
              <w:rPr>
                <w:rFonts w:ascii="Cambria" w:hAnsi="Cambria"/>
                <w:bCs/>
                <w:sz w:val="19"/>
                <w:szCs w:val="19"/>
                <w:lang w:val="es-ES"/>
              </w:rPr>
              <w:t>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23AA23E4" w:rsidR="00F06354" w:rsidRPr="00006B74" w:rsidRDefault="00E371AC" w:rsidP="00F06354">
            <w:pPr>
              <w:jc w:val="both"/>
              <w:rPr>
                <w:rFonts w:ascii="Cambria" w:hAnsi="Cambria"/>
                <w:bCs/>
                <w:sz w:val="19"/>
                <w:szCs w:val="19"/>
                <w:lang w:val="es-ES"/>
              </w:rPr>
            </w:pPr>
            <w:r>
              <w:rPr>
                <w:rFonts w:ascii="Cambria" w:hAnsi="Cambria"/>
                <w:bCs/>
                <w:sz w:val="19"/>
                <w:szCs w:val="19"/>
                <w:lang w:val="es-ES"/>
              </w:rPr>
              <w:t>28 de agosto de 2017</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60BF014B" w:rsidR="003239B8" w:rsidRPr="00006B74" w:rsidRDefault="005F325F"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4322514C" w:rsidR="003239B8" w:rsidRPr="00006B74" w:rsidRDefault="005F325F"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05A4DBDE" w:rsidR="003239B8" w:rsidRPr="00006B74" w:rsidRDefault="005F325F" w:rsidP="008D2290">
            <w:pPr>
              <w:rPr>
                <w:bCs/>
                <w:sz w:val="19"/>
                <w:szCs w:val="19"/>
                <w:lang w:val="es-ES"/>
              </w:rPr>
            </w:pPr>
            <w:r>
              <w:rPr>
                <w:bCs/>
                <w:sz w:val="19"/>
                <w:szCs w:val="19"/>
                <w:lang w:val="es-ES"/>
              </w:rPr>
              <w:t>Sí</w:t>
            </w:r>
          </w:p>
        </w:tc>
      </w:tr>
      <w:tr w:rsidR="003239B8" w:rsidRPr="00EF135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0C122F44" w14:textId="194FAB42" w:rsidR="003239B8" w:rsidRPr="00006B74" w:rsidRDefault="007D20FE" w:rsidP="008D2290">
            <w:pPr>
              <w:jc w:val="both"/>
              <w:rPr>
                <w:rFonts w:ascii="Cambria" w:hAnsi="Cambria"/>
                <w:bCs/>
                <w:sz w:val="19"/>
                <w:szCs w:val="19"/>
                <w:lang w:val="es-ES"/>
              </w:rPr>
            </w:pPr>
            <w:r>
              <w:rPr>
                <w:rFonts w:ascii="Cambria" w:hAnsi="Cambria"/>
                <w:bCs/>
                <w:sz w:val="20"/>
                <w:szCs w:val="20"/>
                <w:lang w:val="es-ES"/>
              </w:rPr>
              <w:t>Sí, Convención Americana (</w:t>
            </w:r>
            <w:r w:rsidRPr="0071232B">
              <w:rPr>
                <w:rFonts w:ascii="Cambria" w:hAnsi="Cambria"/>
                <w:bCs/>
                <w:sz w:val="20"/>
                <w:szCs w:val="20"/>
                <w:lang w:val="es-ES"/>
              </w:rPr>
              <w:t>depósito de instrumento realizado el 28 de julio de 1978</w:t>
            </w:r>
            <w:r>
              <w:rPr>
                <w:rFonts w:ascii="Cambria" w:hAnsi="Cambria"/>
                <w:bCs/>
                <w:sz w:val="20"/>
                <w:szCs w:val="20"/>
                <w:lang w:val="es-ES"/>
              </w:rPr>
              <w:t>)</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E371A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2069C943" w:rsidR="00EE00E9" w:rsidRPr="00006B74" w:rsidRDefault="007D20FE" w:rsidP="008D2290">
            <w:pPr>
              <w:jc w:val="both"/>
              <w:rPr>
                <w:rFonts w:ascii="Cambria" w:hAnsi="Cambria"/>
                <w:bCs/>
                <w:sz w:val="19"/>
                <w:szCs w:val="19"/>
                <w:lang w:val="es-ES"/>
              </w:rPr>
            </w:pPr>
            <w:r>
              <w:rPr>
                <w:rFonts w:ascii="Cambria" w:hAnsi="Cambria"/>
                <w:bCs/>
                <w:sz w:val="19"/>
                <w:szCs w:val="19"/>
                <w:lang w:val="es-ES"/>
              </w:rPr>
              <w:t>No</w:t>
            </w:r>
          </w:p>
        </w:tc>
      </w:tr>
      <w:tr w:rsidR="003239B8" w:rsidRPr="00EF135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5FC0D143" w:rsidR="003239B8" w:rsidRPr="00006B74" w:rsidRDefault="00AE407E" w:rsidP="00045537">
            <w:pPr>
              <w:jc w:val="both"/>
              <w:rPr>
                <w:rFonts w:ascii="Cambria" w:hAnsi="Cambria"/>
                <w:bCs/>
                <w:sz w:val="19"/>
                <w:szCs w:val="19"/>
                <w:lang w:val="es-ES"/>
              </w:rPr>
            </w:pPr>
            <w:r>
              <w:rPr>
                <w:rFonts w:ascii="Cambria" w:hAnsi="Cambria"/>
                <w:bCs/>
                <w:sz w:val="19"/>
                <w:szCs w:val="19"/>
                <w:lang w:val="es-ES"/>
              </w:rPr>
              <w:t>Artículos</w:t>
            </w:r>
            <w:r w:rsidR="00922173">
              <w:rPr>
                <w:rFonts w:ascii="Cambria" w:hAnsi="Cambria"/>
                <w:bCs/>
                <w:sz w:val="19"/>
                <w:szCs w:val="19"/>
                <w:lang w:val="es-ES"/>
              </w:rPr>
              <w:t xml:space="preserve"> 5</w:t>
            </w:r>
            <w:r w:rsidR="00293B4B">
              <w:rPr>
                <w:rFonts w:ascii="Cambria" w:hAnsi="Cambria"/>
                <w:bCs/>
                <w:sz w:val="19"/>
                <w:szCs w:val="19"/>
                <w:lang w:val="es-ES"/>
              </w:rPr>
              <w:t xml:space="preserve"> (integridad personal)</w:t>
            </w:r>
            <w:r w:rsidR="00922173">
              <w:rPr>
                <w:rFonts w:ascii="Cambria" w:hAnsi="Cambria"/>
                <w:bCs/>
                <w:sz w:val="19"/>
                <w:szCs w:val="19"/>
                <w:lang w:val="es-ES"/>
              </w:rPr>
              <w:t>,</w:t>
            </w:r>
            <w:r>
              <w:rPr>
                <w:rFonts w:ascii="Cambria" w:hAnsi="Cambria"/>
                <w:bCs/>
                <w:sz w:val="19"/>
                <w:szCs w:val="19"/>
                <w:lang w:val="es-ES"/>
              </w:rPr>
              <w:t xml:space="preserve"> 8</w:t>
            </w:r>
            <w:r w:rsidR="00293B4B">
              <w:rPr>
                <w:rFonts w:ascii="Cambria" w:hAnsi="Cambria"/>
                <w:bCs/>
                <w:sz w:val="19"/>
                <w:szCs w:val="19"/>
                <w:lang w:val="es-ES"/>
              </w:rPr>
              <w:t xml:space="preserve"> (garantías judiciales)</w:t>
            </w:r>
            <w:r>
              <w:rPr>
                <w:rFonts w:ascii="Cambria" w:hAnsi="Cambria"/>
                <w:bCs/>
                <w:sz w:val="19"/>
                <w:szCs w:val="19"/>
                <w:lang w:val="es-ES"/>
              </w:rPr>
              <w:t>,</w:t>
            </w:r>
            <w:r w:rsidR="00922173">
              <w:rPr>
                <w:rFonts w:ascii="Cambria" w:hAnsi="Cambria"/>
                <w:bCs/>
                <w:sz w:val="19"/>
                <w:szCs w:val="19"/>
                <w:lang w:val="es-ES"/>
              </w:rPr>
              <w:t xml:space="preserve"> 21</w:t>
            </w:r>
            <w:r w:rsidR="00293B4B">
              <w:rPr>
                <w:rFonts w:ascii="Cambria" w:hAnsi="Cambria"/>
                <w:bCs/>
                <w:sz w:val="19"/>
                <w:szCs w:val="19"/>
                <w:lang w:val="es-ES"/>
              </w:rPr>
              <w:t xml:space="preserve"> (propiedad privada)</w:t>
            </w:r>
            <w:r w:rsidR="00922173">
              <w:rPr>
                <w:rFonts w:ascii="Cambria" w:hAnsi="Cambria"/>
                <w:bCs/>
                <w:sz w:val="19"/>
                <w:szCs w:val="19"/>
                <w:lang w:val="es-ES"/>
              </w:rPr>
              <w:t>,</w:t>
            </w:r>
            <w:r w:rsidR="00293B4B">
              <w:rPr>
                <w:rFonts w:ascii="Cambria" w:hAnsi="Cambria"/>
                <w:bCs/>
                <w:sz w:val="19"/>
                <w:szCs w:val="19"/>
                <w:lang w:val="es-ES"/>
              </w:rPr>
              <w:t xml:space="preserve"> 24 (igualdad ante la ley),</w:t>
            </w:r>
            <w:r>
              <w:rPr>
                <w:rFonts w:ascii="Cambria" w:hAnsi="Cambria"/>
                <w:bCs/>
                <w:sz w:val="19"/>
                <w:szCs w:val="19"/>
                <w:lang w:val="es-ES"/>
              </w:rPr>
              <w:t xml:space="preserve"> 25</w:t>
            </w:r>
            <w:r w:rsidR="00293B4B">
              <w:rPr>
                <w:rFonts w:ascii="Cambria" w:hAnsi="Cambria"/>
                <w:bCs/>
                <w:sz w:val="19"/>
                <w:szCs w:val="19"/>
                <w:lang w:val="es-ES"/>
              </w:rPr>
              <w:t xml:space="preserve"> (protección judicial)</w:t>
            </w:r>
            <w:r>
              <w:rPr>
                <w:rFonts w:ascii="Cambria" w:hAnsi="Cambria"/>
                <w:bCs/>
                <w:sz w:val="19"/>
                <w:szCs w:val="19"/>
                <w:lang w:val="es-ES"/>
              </w:rPr>
              <w:t xml:space="preserve"> y 26</w:t>
            </w:r>
            <w:r w:rsidR="00293B4B">
              <w:rPr>
                <w:rFonts w:ascii="Cambria" w:hAnsi="Cambria"/>
                <w:bCs/>
                <w:sz w:val="19"/>
                <w:szCs w:val="19"/>
                <w:lang w:val="es-ES"/>
              </w:rPr>
              <w:t xml:space="preserve"> (derechos económicos sociales y culturales)</w:t>
            </w:r>
            <w:r>
              <w:rPr>
                <w:rFonts w:ascii="Cambria" w:hAnsi="Cambria"/>
                <w:bCs/>
                <w:sz w:val="19"/>
                <w:szCs w:val="19"/>
                <w:lang w:val="es-ES"/>
              </w:rPr>
              <w:t xml:space="preserve"> </w:t>
            </w:r>
            <w:r w:rsidR="00194A65">
              <w:rPr>
                <w:rFonts w:ascii="Cambria" w:hAnsi="Cambria"/>
                <w:bCs/>
                <w:sz w:val="19"/>
                <w:szCs w:val="19"/>
                <w:lang w:val="es-ES"/>
              </w:rPr>
              <w:t>de la Convenci</w:t>
            </w:r>
            <w:r w:rsidR="00483CE4">
              <w:rPr>
                <w:rFonts w:ascii="Cambria" w:hAnsi="Cambria"/>
                <w:bCs/>
                <w:sz w:val="19"/>
                <w:szCs w:val="19"/>
                <w:lang w:val="es-ES"/>
              </w:rPr>
              <w:t>ón Americana en relación con su artículos</w:t>
            </w:r>
            <w:r w:rsidR="00194A65">
              <w:rPr>
                <w:rFonts w:ascii="Cambria" w:hAnsi="Cambria"/>
                <w:bCs/>
                <w:sz w:val="19"/>
                <w:szCs w:val="19"/>
                <w:lang w:val="es-ES"/>
              </w:rPr>
              <w:t xml:space="preserve"> 1.1</w:t>
            </w:r>
            <w:r w:rsidR="004A6324">
              <w:rPr>
                <w:rFonts w:ascii="Cambria" w:hAnsi="Cambria"/>
                <w:bCs/>
                <w:sz w:val="19"/>
                <w:szCs w:val="19"/>
                <w:lang w:val="es-ES"/>
              </w:rPr>
              <w:t xml:space="preserve"> (obligación de respetar los derechos)</w:t>
            </w:r>
            <w:r w:rsidR="00483CE4">
              <w:rPr>
                <w:rFonts w:ascii="Cambria" w:hAnsi="Cambria"/>
                <w:bCs/>
                <w:sz w:val="19"/>
                <w:szCs w:val="19"/>
                <w:lang w:val="es-ES"/>
              </w:rPr>
              <w:t xml:space="preserve"> y 2</w:t>
            </w:r>
            <w:r w:rsidR="004A6324">
              <w:rPr>
                <w:rFonts w:ascii="Cambria" w:hAnsi="Cambria"/>
                <w:bCs/>
                <w:sz w:val="19"/>
                <w:szCs w:val="19"/>
                <w:lang w:val="es-ES"/>
              </w:rPr>
              <w:t xml:space="preserve"> (deber de adoptar disposiciones de derecho interno)</w:t>
            </w:r>
            <w:r w:rsidR="00194A65">
              <w:rPr>
                <w:rFonts w:ascii="Cambria" w:hAnsi="Cambria"/>
                <w:bCs/>
                <w:sz w:val="19"/>
                <w:szCs w:val="19"/>
                <w:lang w:val="es-ES"/>
              </w:rPr>
              <w:t xml:space="preserve"> </w:t>
            </w:r>
          </w:p>
        </w:tc>
      </w:tr>
      <w:tr w:rsidR="003239B8" w:rsidRPr="00293B4B"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791E4F71" w:rsidR="003239B8" w:rsidRPr="00DB2932" w:rsidRDefault="00194A65" w:rsidP="001C1EE2">
            <w:pPr>
              <w:rPr>
                <w:rFonts w:ascii="Cambria" w:hAnsi="Cambria"/>
                <w:bCs/>
                <w:sz w:val="19"/>
                <w:szCs w:val="19"/>
                <w:lang w:val="es-ES"/>
              </w:rPr>
            </w:pPr>
            <w:r w:rsidRPr="00DB2932">
              <w:rPr>
                <w:rFonts w:ascii="Cambria" w:hAnsi="Cambria"/>
                <w:bCs/>
                <w:sz w:val="19"/>
                <w:szCs w:val="19"/>
                <w:lang w:val="es-ES"/>
              </w:rPr>
              <w:t xml:space="preserve">Sí, </w:t>
            </w:r>
            <w:r w:rsidR="001C1EE2" w:rsidRPr="00DB2932">
              <w:rPr>
                <w:rFonts w:ascii="Cambria" w:hAnsi="Cambria"/>
                <w:sz w:val="20"/>
                <w:szCs w:val="20"/>
                <w:lang w:val="es-ES"/>
              </w:rPr>
              <w:t>9 de octubre de 2013</w:t>
            </w:r>
          </w:p>
        </w:tc>
      </w:tr>
      <w:tr w:rsidR="003239B8" w:rsidRPr="00293B4B" w14:paraId="52B5BA17" w14:textId="77777777" w:rsidTr="001C1EE2">
        <w:trPr>
          <w:cantSplit/>
          <w:trHeight w:val="192"/>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521657C5" w:rsidR="003239B8" w:rsidRPr="00DB2932" w:rsidRDefault="00194A65" w:rsidP="001C1EE2">
            <w:pPr>
              <w:rPr>
                <w:bCs/>
                <w:sz w:val="19"/>
                <w:szCs w:val="19"/>
                <w:lang w:val="es-ES"/>
              </w:rPr>
            </w:pPr>
            <w:r w:rsidRPr="00DB2932">
              <w:rPr>
                <w:bCs/>
                <w:sz w:val="19"/>
                <w:szCs w:val="19"/>
                <w:lang w:val="es-ES"/>
              </w:rPr>
              <w:t xml:space="preserve">Sí, </w:t>
            </w:r>
            <w:r w:rsidR="001C1EE2" w:rsidRPr="00DB2932">
              <w:rPr>
                <w:bCs/>
                <w:sz w:val="19"/>
                <w:szCs w:val="19"/>
                <w:lang w:val="es-ES"/>
              </w:rPr>
              <w:t>29 de julio de 2011</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lastRenderedPageBreak/>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2DBB9DD" w14:textId="77777777" w:rsidR="000C397F" w:rsidRDefault="0048556F"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Victor Luis Padilla Tejada (en adelante “el peticionario” o “la presunta víctima”) relata que  desde el 1 de marzo de 1955 </w:t>
      </w:r>
      <w:r w:rsidR="002C2142">
        <w:rPr>
          <w:rFonts w:ascii="Cambria" w:hAnsi="Cambria"/>
          <w:sz w:val="20"/>
          <w:szCs w:val="20"/>
          <w:lang w:val="es-ES"/>
        </w:rPr>
        <w:t>ejerció como docente en el sector público</w:t>
      </w:r>
      <w:r w:rsidR="00A706AE">
        <w:rPr>
          <w:rFonts w:ascii="Cambria" w:hAnsi="Cambria"/>
          <w:sz w:val="20"/>
          <w:szCs w:val="20"/>
          <w:lang w:val="es-ES"/>
        </w:rPr>
        <w:t xml:space="preserve"> teniendo una destacada carrera que lo llevó a ocupar el cargo de Decano de la Facultad de Ciencias de la Comunicación de la Universidad San Martin de Porres. </w:t>
      </w:r>
      <w:r w:rsidR="002C2142">
        <w:rPr>
          <w:rFonts w:ascii="Cambria" w:hAnsi="Cambria"/>
          <w:sz w:val="20"/>
          <w:szCs w:val="20"/>
          <w:lang w:val="es-ES"/>
        </w:rPr>
        <w:t xml:space="preserve"> </w:t>
      </w:r>
      <w:r w:rsidR="00A706AE">
        <w:rPr>
          <w:rFonts w:ascii="Cambria" w:hAnsi="Cambria"/>
          <w:sz w:val="20"/>
          <w:szCs w:val="20"/>
          <w:lang w:val="es-ES"/>
        </w:rPr>
        <w:t>Señala que</w:t>
      </w:r>
      <w:r>
        <w:rPr>
          <w:rFonts w:ascii="Cambria" w:hAnsi="Cambria"/>
          <w:sz w:val="20"/>
          <w:szCs w:val="20"/>
          <w:lang w:val="es-ES"/>
        </w:rPr>
        <w:t xml:space="preserve"> </w:t>
      </w:r>
      <w:r w:rsidR="002C2142">
        <w:rPr>
          <w:rFonts w:ascii="Cambria" w:hAnsi="Cambria"/>
          <w:sz w:val="20"/>
          <w:szCs w:val="20"/>
          <w:lang w:val="es-ES"/>
        </w:rPr>
        <w:t>en 1985 se vio forzado a solicitar su cese voluntario</w:t>
      </w:r>
      <w:r w:rsidR="00A706AE">
        <w:rPr>
          <w:rFonts w:ascii="Cambria" w:hAnsi="Cambria"/>
          <w:sz w:val="20"/>
          <w:szCs w:val="20"/>
          <w:lang w:val="es-ES"/>
        </w:rPr>
        <w:t xml:space="preserve"> de este cargo</w:t>
      </w:r>
      <w:r w:rsidR="002C2142">
        <w:rPr>
          <w:rFonts w:ascii="Cambria" w:hAnsi="Cambria"/>
          <w:sz w:val="20"/>
          <w:szCs w:val="20"/>
          <w:lang w:val="es-ES"/>
        </w:rPr>
        <w:t xml:space="preserve"> para proteger su vida</w:t>
      </w:r>
      <w:r w:rsidR="00A706AE">
        <w:rPr>
          <w:rFonts w:ascii="Cambria" w:hAnsi="Cambria"/>
          <w:sz w:val="20"/>
          <w:szCs w:val="20"/>
          <w:lang w:val="es-ES"/>
        </w:rPr>
        <w:t xml:space="preserve"> luego de haberse encontrado expuesto a múltiples actos de violencia</w:t>
      </w:r>
      <w:r w:rsidR="00A706AE">
        <w:rPr>
          <w:rStyle w:val="FootnoteReference"/>
          <w:rFonts w:ascii="Cambria" w:hAnsi="Cambria"/>
          <w:sz w:val="20"/>
          <w:szCs w:val="20"/>
          <w:lang w:val="es-ES"/>
        </w:rPr>
        <w:footnoteReference w:id="7"/>
      </w:r>
      <w:r w:rsidR="002C2142">
        <w:rPr>
          <w:rFonts w:ascii="Cambria" w:hAnsi="Cambria"/>
          <w:sz w:val="20"/>
          <w:szCs w:val="20"/>
          <w:lang w:val="es-ES"/>
        </w:rPr>
        <w:t>.</w:t>
      </w:r>
      <w:r w:rsidR="00696CED">
        <w:rPr>
          <w:rFonts w:ascii="Cambria" w:hAnsi="Cambria"/>
          <w:sz w:val="20"/>
          <w:szCs w:val="20"/>
          <w:lang w:val="es-ES"/>
        </w:rPr>
        <w:t xml:space="preserve"> Indica que, el 1 de julio de 1985 se </w:t>
      </w:r>
      <w:r w:rsidR="00B74D1A">
        <w:rPr>
          <w:rFonts w:ascii="Cambria" w:hAnsi="Cambria"/>
          <w:sz w:val="20"/>
          <w:szCs w:val="20"/>
          <w:lang w:val="es-ES"/>
        </w:rPr>
        <w:t>hizo efectivo su cese pero</w:t>
      </w:r>
      <w:r w:rsidR="00ED23A5">
        <w:rPr>
          <w:rFonts w:ascii="Cambria" w:hAnsi="Cambria"/>
          <w:sz w:val="20"/>
          <w:szCs w:val="20"/>
          <w:lang w:val="es-ES"/>
        </w:rPr>
        <w:t xml:space="preserve"> no se le otorgó la pensión</w:t>
      </w:r>
      <w:r w:rsidR="0045298A">
        <w:rPr>
          <w:rFonts w:ascii="Cambria" w:hAnsi="Cambria"/>
          <w:sz w:val="20"/>
          <w:szCs w:val="20"/>
          <w:lang w:val="es-ES"/>
        </w:rPr>
        <w:t xml:space="preserve"> de cesantía docente a la que tenía derecho al amparo de la ley No. 20530</w:t>
      </w:r>
      <w:r w:rsidR="0045298A">
        <w:rPr>
          <w:rStyle w:val="FootnoteReference"/>
          <w:rFonts w:ascii="Cambria" w:hAnsi="Cambria"/>
          <w:sz w:val="20"/>
          <w:szCs w:val="20"/>
          <w:lang w:val="es-ES"/>
        </w:rPr>
        <w:footnoteReference w:id="8"/>
      </w:r>
      <w:r w:rsidR="00D06B3D">
        <w:rPr>
          <w:rFonts w:ascii="Cambria" w:hAnsi="Cambria"/>
          <w:sz w:val="20"/>
          <w:szCs w:val="20"/>
          <w:lang w:val="es-ES"/>
        </w:rPr>
        <w:t xml:space="preserve"> ni las remuneraciones complementarias</w:t>
      </w:r>
      <w:r w:rsidR="00497114">
        <w:rPr>
          <w:rStyle w:val="FootnoteReference"/>
          <w:rFonts w:ascii="Cambria" w:hAnsi="Cambria"/>
          <w:sz w:val="20"/>
          <w:szCs w:val="20"/>
          <w:lang w:val="es-ES"/>
        </w:rPr>
        <w:footnoteReference w:id="9"/>
      </w:r>
      <w:r w:rsidR="0045298A">
        <w:rPr>
          <w:rFonts w:ascii="Cambria" w:hAnsi="Cambria"/>
          <w:sz w:val="20"/>
          <w:szCs w:val="20"/>
          <w:lang w:val="es-ES"/>
        </w:rPr>
        <w:t xml:space="preserve"> </w:t>
      </w:r>
      <w:r w:rsidR="00ED23A5">
        <w:rPr>
          <w:rFonts w:ascii="Cambria" w:hAnsi="Cambria"/>
          <w:sz w:val="20"/>
          <w:szCs w:val="20"/>
          <w:lang w:val="es-ES"/>
        </w:rPr>
        <w:t>y</w:t>
      </w:r>
      <w:r w:rsidR="0045298A">
        <w:rPr>
          <w:rFonts w:ascii="Cambria" w:hAnsi="Cambria"/>
          <w:sz w:val="20"/>
          <w:szCs w:val="20"/>
          <w:lang w:val="es-ES"/>
        </w:rPr>
        <w:t xml:space="preserve"> que</w:t>
      </w:r>
      <w:r w:rsidR="00935D7A">
        <w:rPr>
          <w:rFonts w:ascii="Cambria" w:hAnsi="Cambria"/>
          <w:sz w:val="20"/>
          <w:szCs w:val="20"/>
          <w:lang w:val="es-ES"/>
        </w:rPr>
        <w:t xml:space="preserve"> la resolución</w:t>
      </w:r>
      <w:r w:rsidR="00B74D1A">
        <w:rPr>
          <w:rFonts w:ascii="Cambria" w:hAnsi="Cambria"/>
          <w:sz w:val="20"/>
          <w:szCs w:val="20"/>
          <w:lang w:val="es-ES"/>
        </w:rPr>
        <w:t xml:space="preserve"> sólo se le reconoció 22 años, 3 meses y 25 días</w:t>
      </w:r>
      <w:r w:rsidR="009E5546">
        <w:rPr>
          <w:rStyle w:val="FootnoteReference"/>
          <w:rFonts w:ascii="Cambria" w:hAnsi="Cambria"/>
          <w:sz w:val="20"/>
          <w:szCs w:val="20"/>
          <w:lang w:val="es-ES"/>
        </w:rPr>
        <w:footnoteReference w:id="10"/>
      </w:r>
      <w:r w:rsidR="00B74D1A">
        <w:rPr>
          <w:rFonts w:ascii="Cambria" w:hAnsi="Cambria"/>
          <w:sz w:val="20"/>
          <w:szCs w:val="20"/>
          <w:lang w:val="es-ES"/>
        </w:rPr>
        <w:t xml:space="preserve"> de servicio cuando en realidad contaba 34 años y 7 meses</w:t>
      </w:r>
      <w:r w:rsidR="00B74D1A">
        <w:rPr>
          <w:rStyle w:val="FootnoteReference"/>
          <w:rFonts w:ascii="Cambria" w:hAnsi="Cambria"/>
          <w:sz w:val="20"/>
          <w:szCs w:val="20"/>
          <w:lang w:val="es-ES"/>
        </w:rPr>
        <w:footnoteReference w:id="11"/>
      </w:r>
      <w:r w:rsidR="00B74D1A">
        <w:rPr>
          <w:rFonts w:ascii="Cambria" w:hAnsi="Cambria"/>
          <w:sz w:val="20"/>
          <w:szCs w:val="20"/>
          <w:lang w:val="es-ES"/>
        </w:rPr>
        <w:t>.</w:t>
      </w:r>
      <w:r w:rsidR="00ED23A5">
        <w:rPr>
          <w:rFonts w:ascii="Cambria" w:hAnsi="Cambria"/>
          <w:sz w:val="20"/>
          <w:szCs w:val="20"/>
          <w:lang w:val="es-ES"/>
        </w:rPr>
        <w:t xml:space="preserve"> Alega que el 5 de septiembre de 1985 presentó una reconsideración</w:t>
      </w:r>
      <w:r w:rsidR="00C23DA0">
        <w:rPr>
          <w:rFonts w:ascii="Cambria" w:hAnsi="Cambria"/>
          <w:sz w:val="20"/>
          <w:szCs w:val="20"/>
          <w:lang w:val="es-ES"/>
        </w:rPr>
        <w:t>,</w:t>
      </w:r>
      <w:r w:rsidR="00935D7A">
        <w:rPr>
          <w:rFonts w:ascii="Cambria" w:hAnsi="Cambria"/>
          <w:sz w:val="20"/>
          <w:szCs w:val="20"/>
          <w:lang w:val="es-ES"/>
        </w:rPr>
        <w:t xml:space="preserve"> de la cual no recibió respuesta. Agrega que el 30 de junio de 1998 presentó dos solicitudes al Ministro de Educaci</w:t>
      </w:r>
      <w:r w:rsidR="00C23DA0">
        <w:rPr>
          <w:rFonts w:ascii="Cambria" w:hAnsi="Cambria"/>
          <w:sz w:val="20"/>
          <w:szCs w:val="20"/>
          <w:lang w:val="es-ES"/>
        </w:rPr>
        <w:t>ón, una sobre p</w:t>
      </w:r>
      <w:r w:rsidR="00935D7A">
        <w:rPr>
          <w:rFonts w:ascii="Cambria" w:hAnsi="Cambria"/>
          <w:sz w:val="20"/>
          <w:szCs w:val="20"/>
          <w:lang w:val="es-ES"/>
        </w:rPr>
        <w:t>ensi</w:t>
      </w:r>
      <w:r w:rsidR="00C23DA0">
        <w:rPr>
          <w:rFonts w:ascii="Cambria" w:hAnsi="Cambria"/>
          <w:sz w:val="20"/>
          <w:szCs w:val="20"/>
          <w:lang w:val="es-ES"/>
        </w:rPr>
        <w:t>ón provisional de cese y otra de p</w:t>
      </w:r>
      <w:r w:rsidR="00935D7A">
        <w:rPr>
          <w:rFonts w:ascii="Cambria" w:hAnsi="Cambria"/>
          <w:sz w:val="20"/>
          <w:szCs w:val="20"/>
          <w:lang w:val="es-ES"/>
        </w:rPr>
        <w:t xml:space="preserve">ensión </w:t>
      </w:r>
      <w:r w:rsidR="00C23DA0">
        <w:rPr>
          <w:rFonts w:ascii="Cambria" w:hAnsi="Cambria"/>
          <w:sz w:val="20"/>
          <w:szCs w:val="20"/>
          <w:lang w:val="es-ES"/>
        </w:rPr>
        <w:t>d</w:t>
      </w:r>
      <w:r w:rsidR="00935D7A">
        <w:rPr>
          <w:rFonts w:ascii="Cambria" w:hAnsi="Cambria"/>
          <w:sz w:val="20"/>
          <w:szCs w:val="20"/>
          <w:lang w:val="es-ES"/>
        </w:rPr>
        <w:t>efinitiva, de las que tampoco recibió respuesta.</w:t>
      </w:r>
      <w:r w:rsidR="005D3CD0">
        <w:rPr>
          <w:rFonts w:ascii="Cambria" w:hAnsi="Cambria"/>
          <w:sz w:val="20"/>
          <w:szCs w:val="20"/>
          <w:lang w:val="es-ES"/>
        </w:rPr>
        <w:t xml:space="preserve"> Aduce que, dada la paralización de</w:t>
      </w:r>
      <w:r w:rsidR="00DC4386">
        <w:rPr>
          <w:rFonts w:ascii="Cambria" w:hAnsi="Cambria"/>
          <w:sz w:val="20"/>
          <w:szCs w:val="20"/>
          <w:lang w:val="es-ES"/>
        </w:rPr>
        <w:t>l</w:t>
      </w:r>
      <w:r w:rsidR="005D3CD0">
        <w:rPr>
          <w:rFonts w:ascii="Cambria" w:hAnsi="Cambria"/>
          <w:sz w:val="20"/>
          <w:szCs w:val="20"/>
          <w:lang w:val="es-ES"/>
        </w:rPr>
        <w:t xml:space="preserve"> trámite administrativo</w:t>
      </w:r>
      <w:r w:rsidR="00DC4386">
        <w:rPr>
          <w:rFonts w:ascii="Cambria" w:hAnsi="Cambria"/>
          <w:sz w:val="20"/>
          <w:szCs w:val="20"/>
          <w:lang w:val="es-ES"/>
        </w:rPr>
        <w:t xml:space="preserve"> de su pensión</w:t>
      </w:r>
      <w:r w:rsidR="005D3CD0">
        <w:rPr>
          <w:rFonts w:ascii="Cambria" w:hAnsi="Cambria"/>
          <w:sz w:val="20"/>
          <w:szCs w:val="20"/>
          <w:lang w:val="es-ES"/>
        </w:rPr>
        <w:t>, se vio forzado a presentar entre los años 2012 a 2016 una serie de quejas y peticiones dirigidas a la Unidad de Gesti</w:t>
      </w:r>
      <w:r w:rsidR="00DC4386">
        <w:rPr>
          <w:rFonts w:ascii="Cambria" w:hAnsi="Cambria"/>
          <w:sz w:val="20"/>
          <w:szCs w:val="20"/>
          <w:lang w:val="es-ES"/>
        </w:rPr>
        <w:t>ón Educativa Local (UGEL) y a</w:t>
      </w:r>
      <w:r w:rsidR="005D3CD0">
        <w:rPr>
          <w:rFonts w:ascii="Cambria" w:hAnsi="Cambria"/>
          <w:sz w:val="20"/>
          <w:szCs w:val="20"/>
          <w:lang w:val="es-ES"/>
        </w:rPr>
        <w:t>l Ministerio de educación</w:t>
      </w:r>
      <w:r w:rsidR="00DC4386">
        <w:rPr>
          <w:rFonts w:ascii="Cambria" w:hAnsi="Cambria"/>
          <w:sz w:val="20"/>
          <w:szCs w:val="20"/>
          <w:lang w:val="es-ES"/>
        </w:rPr>
        <w:t>, pese a las cuales continuó la paralización</w:t>
      </w:r>
      <w:r w:rsidR="00DC4386">
        <w:rPr>
          <w:rStyle w:val="FootnoteReference"/>
          <w:rFonts w:ascii="Cambria" w:hAnsi="Cambria"/>
          <w:sz w:val="20"/>
          <w:szCs w:val="20"/>
          <w:lang w:val="es-ES"/>
        </w:rPr>
        <w:footnoteReference w:id="12"/>
      </w:r>
      <w:r w:rsidR="00DC4386">
        <w:rPr>
          <w:rFonts w:ascii="Cambria" w:hAnsi="Cambria"/>
          <w:sz w:val="20"/>
          <w:szCs w:val="20"/>
          <w:lang w:val="es-ES"/>
        </w:rPr>
        <w:t>.</w:t>
      </w:r>
    </w:p>
    <w:p w14:paraId="54F0419B" w14:textId="0AEC0DE3" w:rsidR="00935D7A" w:rsidRDefault="000C397F"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w:t>
      </w:r>
      <w:r w:rsidR="003308F7">
        <w:rPr>
          <w:rFonts w:ascii="Cambria" w:hAnsi="Cambria"/>
          <w:sz w:val="20"/>
          <w:szCs w:val="20"/>
          <w:lang w:val="es-ES"/>
        </w:rPr>
        <w:t xml:space="preserve">ndica que en 2005 </w:t>
      </w:r>
      <w:r w:rsidR="003B7387">
        <w:rPr>
          <w:rFonts w:ascii="Cambria" w:hAnsi="Cambria"/>
          <w:sz w:val="20"/>
          <w:szCs w:val="20"/>
          <w:lang w:val="es-ES"/>
        </w:rPr>
        <w:t>presentó una acción judicial emplazando al Ministerio de Educación por cumplimiento de actuación administrativa</w:t>
      </w:r>
      <w:r w:rsidR="00E73C30">
        <w:rPr>
          <w:rFonts w:ascii="Cambria" w:hAnsi="Cambria"/>
          <w:sz w:val="20"/>
          <w:szCs w:val="20"/>
          <w:lang w:val="es-ES"/>
        </w:rPr>
        <w:t xml:space="preserve">. </w:t>
      </w:r>
      <w:r w:rsidR="006B3BC3">
        <w:rPr>
          <w:rFonts w:ascii="Cambria" w:hAnsi="Cambria"/>
          <w:sz w:val="20"/>
          <w:szCs w:val="20"/>
          <w:lang w:val="es-ES"/>
        </w:rPr>
        <w:t>Alega que existió retardo injustificado en el trámite de esta acción</w:t>
      </w:r>
      <w:r w:rsidR="0076241A">
        <w:rPr>
          <w:rStyle w:val="FootnoteReference"/>
          <w:rFonts w:ascii="Cambria" w:hAnsi="Cambria"/>
          <w:sz w:val="20"/>
          <w:szCs w:val="20"/>
          <w:lang w:val="es-ES"/>
        </w:rPr>
        <w:footnoteReference w:id="13"/>
      </w:r>
      <w:r w:rsidR="0076241A">
        <w:rPr>
          <w:rFonts w:ascii="Cambria" w:hAnsi="Cambria"/>
          <w:sz w:val="20"/>
          <w:szCs w:val="20"/>
          <w:lang w:val="es-ES"/>
        </w:rPr>
        <w:t>. Aduce que</w:t>
      </w:r>
      <w:r w:rsidR="006B3BC3">
        <w:rPr>
          <w:rFonts w:ascii="Cambria" w:hAnsi="Cambria"/>
          <w:sz w:val="20"/>
          <w:szCs w:val="20"/>
          <w:lang w:val="es-ES"/>
        </w:rPr>
        <w:t xml:space="preserve"> el expediente se encontraba paralizado en 2011 cuando presentó su petición</w:t>
      </w:r>
      <w:r w:rsidR="0076241A">
        <w:rPr>
          <w:rFonts w:ascii="Cambria" w:hAnsi="Cambria"/>
          <w:sz w:val="20"/>
          <w:szCs w:val="20"/>
          <w:lang w:val="es-ES"/>
        </w:rPr>
        <w:t>, no siendo expedida la sentencia de primera instancia sino hasta 2013</w:t>
      </w:r>
      <w:r w:rsidR="006B3BC3">
        <w:rPr>
          <w:rFonts w:ascii="Cambria" w:hAnsi="Cambria"/>
          <w:sz w:val="20"/>
          <w:szCs w:val="20"/>
          <w:lang w:val="es-ES"/>
        </w:rPr>
        <w:t>.</w:t>
      </w:r>
      <w:r w:rsidR="002D3A0F">
        <w:rPr>
          <w:rFonts w:ascii="Cambria" w:hAnsi="Cambria"/>
          <w:sz w:val="20"/>
          <w:szCs w:val="20"/>
          <w:lang w:val="es-ES"/>
        </w:rPr>
        <w:t xml:space="preserve"> Añada que presentó una acción de habeas data la que fue declarada improcedente por el 10° juzgado constitucional el 30 de octubre de 2015; así como </w:t>
      </w:r>
      <w:r>
        <w:rPr>
          <w:rFonts w:ascii="Cambria" w:hAnsi="Cambria"/>
          <w:sz w:val="20"/>
          <w:szCs w:val="20"/>
          <w:lang w:val="es-ES"/>
        </w:rPr>
        <w:t xml:space="preserve">la denuncia penal 541-2013 contra el director de la UGEL por abuso de autoridad, delitos contra la administración pública y discriminación, la que fue archivada por la fiscalía el 4 de junio de 2015. </w:t>
      </w:r>
      <w:r w:rsidR="002D3A0F">
        <w:rPr>
          <w:rFonts w:ascii="Cambria" w:hAnsi="Cambria"/>
          <w:sz w:val="20"/>
          <w:szCs w:val="20"/>
          <w:lang w:val="es-ES"/>
        </w:rPr>
        <w:t>De igual manera que interpuso una denuncia penal contra la renuente UGEL por abuso de autoridad, discriminación y coacci</w:t>
      </w:r>
      <w:r w:rsidR="00AE5196">
        <w:rPr>
          <w:rFonts w:ascii="Cambria" w:hAnsi="Cambria"/>
          <w:sz w:val="20"/>
          <w:szCs w:val="20"/>
          <w:lang w:val="es-ES"/>
        </w:rPr>
        <w:t>ón y una queja ante la Defensoría del Pueblo, las que se encontraban paralizadas en 2016. Resalta, contrario a lo alegado por el Estado,</w:t>
      </w:r>
      <w:r w:rsidR="00A26161">
        <w:rPr>
          <w:rFonts w:ascii="Cambria" w:hAnsi="Cambria"/>
          <w:sz w:val="20"/>
          <w:szCs w:val="20"/>
          <w:lang w:val="es-ES"/>
        </w:rPr>
        <w:t xml:space="preserve"> que</w:t>
      </w:r>
      <w:r w:rsidR="00AE5196">
        <w:rPr>
          <w:rFonts w:ascii="Cambria" w:hAnsi="Cambria"/>
          <w:sz w:val="20"/>
          <w:szCs w:val="20"/>
          <w:lang w:val="es-ES"/>
        </w:rPr>
        <w:t xml:space="preserve"> </w:t>
      </w:r>
      <w:r w:rsidR="00A26161">
        <w:rPr>
          <w:rFonts w:ascii="Cambria" w:hAnsi="Cambria"/>
          <w:sz w:val="20"/>
          <w:szCs w:val="20"/>
          <w:lang w:val="es-ES"/>
        </w:rPr>
        <w:t>no percibe ninguna pensión de cesantía bajo ningún régimen.</w:t>
      </w:r>
    </w:p>
    <w:p w14:paraId="71DA81F3" w14:textId="77777777" w:rsidR="00D57A9B" w:rsidRDefault="00A26161"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w:t>
      </w:r>
      <w:r>
        <w:rPr>
          <w:rStyle w:val="FootnoteReference"/>
          <w:rFonts w:ascii="Cambria" w:hAnsi="Cambria"/>
          <w:sz w:val="20"/>
          <w:szCs w:val="20"/>
          <w:lang w:val="es-ES"/>
        </w:rPr>
        <w:footnoteReference w:id="14"/>
      </w:r>
      <w:r>
        <w:rPr>
          <w:rFonts w:ascii="Cambria" w:hAnsi="Cambria"/>
          <w:sz w:val="20"/>
          <w:szCs w:val="20"/>
          <w:lang w:val="es-ES"/>
        </w:rPr>
        <w:t xml:space="preserve">, por su parte, </w:t>
      </w:r>
      <w:r w:rsidR="00A606C2">
        <w:rPr>
          <w:rFonts w:ascii="Cambria" w:hAnsi="Cambria"/>
          <w:sz w:val="20"/>
          <w:szCs w:val="20"/>
          <w:lang w:val="es-ES"/>
        </w:rPr>
        <w:t>señala que</w:t>
      </w:r>
      <w:r w:rsidR="00AA0371">
        <w:rPr>
          <w:rFonts w:ascii="Cambria" w:hAnsi="Cambria"/>
          <w:sz w:val="20"/>
          <w:szCs w:val="20"/>
          <w:lang w:val="es-ES"/>
        </w:rPr>
        <w:t xml:space="preserve"> no existe la aducida paralización del proceso judicial, pues</w:t>
      </w:r>
      <w:r w:rsidR="00A606C2">
        <w:rPr>
          <w:rFonts w:ascii="Cambria" w:hAnsi="Cambria"/>
          <w:sz w:val="20"/>
          <w:szCs w:val="20"/>
          <w:lang w:val="es-ES"/>
        </w:rPr>
        <w:t xml:space="preserve"> la acción de cumplimiento de actuación administrativa presentada por el peticionario fue </w:t>
      </w:r>
      <w:r w:rsidR="00CD7DA3">
        <w:rPr>
          <w:rFonts w:ascii="Cambria" w:hAnsi="Cambria"/>
          <w:sz w:val="20"/>
          <w:szCs w:val="20"/>
          <w:lang w:val="es-ES"/>
        </w:rPr>
        <w:t>declarada infundada en primera instancia el 24 de enero de 2013, concluyendo el segundo juzgado transitorio contencioso administrativo que el peticionario incumplía dos de los tres requisitos exigidos por la ley aplicable para acceder a la pensión solicitada</w:t>
      </w:r>
      <w:r w:rsidR="001170F5">
        <w:rPr>
          <w:rStyle w:val="FootnoteReference"/>
          <w:rFonts w:ascii="Cambria" w:hAnsi="Cambria"/>
          <w:sz w:val="20"/>
          <w:szCs w:val="20"/>
          <w:lang w:val="es-ES"/>
        </w:rPr>
        <w:footnoteReference w:id="15"/>
      </w:r>
      <w:r w:rsidR="00CD7DA3">
        <w:rPr>
          <w:rFonts w:ascii="Cambria" w:hAnsi="Cambria"/>
          <w:sz w:val="20"/>
          <w:szCs w:val="20"/>
          <w:lang w:val="es-ES"/>
        </w:rPr>
        <w:t xml:space="preserve">. </w:t>
      </w:r>
      <w:r w:rsidR="00001568">
        <w:rPr>
          <w:rFonts w:ascii="Cambria" w:hAnsi="Cambria"/>
          <w:sz w:val="20"/>
          <w:szCs w:val="20"/>
          <w:lang w:val="es-ES"/>
        </w:rPr>
        <w:t xml:space="preserve">Indica que esta decisión fue apelada por el peticionario y </w:t>
      </w:r>
      <w:r w:rsidR="00001568">
        <w:rPr>
          <w:rFonts w:ascii="Cambria" w:hAnsi="Cambria"/>
          <w:sz w:val="20"/>
          <w:szCs w:val="20"/>
          <w:lang w:val="es-ES"/>
        </w:rPr>
        <w:lastRenderedPageBreak/>
        <w:t>luego confirmada por la Cuarta Sala Especializada en lo Contencioso Administrativo de la Corte Superior de Justicia de Lima el 9</w:t>
      </w:r>
      <w:r w:rsidR="00AA0371">
        <w:rPr>
          <w:rFonts w:ascii="Cambria" w:hAnsi="Cambria"/>
          <w:sz w:val="20"/>
          <w:szCs w:val="20"/>
          <w:lang w:val="es-ES"/>
        </w:rPr>
        <w:t xml:space="preserve"> de octubre de 2013.</w:t>
      </w:r>
      <w:r w:rsidR="00D57A9B">
        <w:rPr>
          <w:rFonts w:ascii="Cambria" w:hAnsi="Cambria"/>
          <w:sz w:val="20"/>
          <w:szCs w:val="20"/>
          <w:lang w:val="es-ES"/>
        </w:rPr>
        <w:t xml:space="preserve"> Considera que el peticionario consintió el contenido de este fallo al </w:t>
      </w:r>
      <w:r w:rsidR="00AA0371">
        <w:rPr>
          <w:rFonts w:ascii="Cambria" w:hAnsi="Cambria"/>
          <w:sz w:val="20"/>
          <w:szCs w:val="20"/>
          <w:lang w:val="es-ES"/>
        </w:rPr>
        <w:t xml:space="preserve"> </w:t>
      </w:r>
      <w:r w:rsidR="00D57A9B">
        <w:rPr>
          <w:rFonts w:ascii="Cambria" w:hAnsi="Cambria"/>
          <w:sz w:val="20"/>
          <w:szCs w:val="20"/>
          <w:lang w:val="es-ES"/>
        </w:rPr>
        <w:t xml:space="preserve">no interponer recurso de casación contra el mismo. </w:t>
      </w:r>
    </w:p>
    <w:p w14:paraId="0D32F936" w14:textId="3BA3DC98" w:rsidR="004C616A" w:rsidRPr="0033345A" w:rsidRDefault="00AA0371"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Alega además que la pretensión del peticionario de que se le conceda un pensión con ingresos equivalente a los de un viceministro de Estado </w:t>
      </w:r>
      <w:r w:rsidR="00D57A9B">
        <w:rPr>
          <w:rFonts w:ascii="Cambria" w:hAnsi="Cambria"/>
          <w:sz w:val="20"/>
          <w:szCs w:val="20"/>
          <w:lang w:val="es-ES"/>
        </w:rPr>
        <w:t>es</w:t>
      </w:r>
      <w:r>
        <w:rPr>
          <w:rFonts w:ascii="Cambria" w:hAnsi="Cambria"/>
          <w:sz w:val="20"/>
          <w:szCs w:val="20"/>
          <w:lang w:val="es-ES"/>
        </w:rPr>
        <w:t xml:space="preserve"> </w:t>
      </w:r>
      <w:r w:rsidR="00C7159A">
        <w:rPr>
          <w:rFonts w:ascii="Cambria" w:hAnsi="Cambria"/>
          <w:sz w:val="20"/>
          <w:szCs w:val="20"/>
          <w:lang w:val="es-ES"/>
        </w:rPr>
        <w:t>incompati</w:t>
      </w:r>
      <w:r w:rsidR="00D57A9B">
        <w:rPr>
          <w:rFonts w:ascii="Cambria" w:hAnsi="Cambria"/>
          <w:sz w:val="20"/>
          <w:szCs w:val="20"/>
          <w:lang w:val="es-ES"/>
        </w:rPr>
        <w:t>ble</w:t>
      </w:r>
      <w:r w:rsidR="00C7159A">
        <w:rPr>
          <w:rFonts w:ascii="Cambria" w:hAnsi="Cambria"/>
          <w:sz w:val="20"/>
          <w:szCs w:val="20"/>
          <w:lang w:val="es-ES"/>
        </w:rPr>
        <w:t xml:space="preserve"> con la Constitución y la ley, pues existe una prohibición expresa con respecto a la nivelación de pensiones con las remuneraciones que perciben los trabajadores activos. Sos</w:t>
      </w:r>
      <w:r w:rsidR="0033345A">
        <w:rPr>
          <w:rFonts w:ascii="Cambria" w:hAnsi="Cambria"/>
          <w:sz w:val="20"/>
          <w:szCs w:val="20"/>
          <w:lang w:val="es-ES"/>
        </w:rPr>
        <w:t>tiene que no es correcto lo aseverado por el peticionario en el sentido de que no se le paga su pensión de cesantía, pues éste percibe una pensión de cesantía bajo el régimen del Decreto Ley No. 19990.</w:t>
      </w:r>
      <w:r>
        <w:rPr>
          <w:rFonts w:ascii="Cambria" w:hAnsi="Cambria"/>
          <w:sz w:val="20"/>
          <w:szCs w:val="20"/>
          <w:lang w:val="es-ES"/>
        </w:rPr>
        <w:t xml:space="preserve"> </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257BF192" w14:textId="0A3D66FB" w:rsidR="0033345A" w:rsidRDefault="0033345A"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w:t>
      </w:r>
      <w:r w:rsidR="00D57A9B">
        <w:rPr>
          <w:rFonts w:ascii="Cambria" w:hAnsi="Cambria"/>
          <w:sz w:val="20"/>
          <w:szCs w:val="20"/>
          <w:lang w:val="es-ES"/>
        </w:rPr>
        <w:t xml:space="preserve"> peticionario considera que el recurso de casación no era procedente contra </w:t>
      </w:r>
      <w:r w:rsidR="00B156C1">
        <w:rPr>
          <w:rFonts w:ascii="Cambria" w:hAnsi="Cambria"/>
          <w:sz w:val="20"/>
          <w:szCs w:val="20"/>
          <w:lang w:val="es-ES"/>
        </w:rPr>
        <w:t>el fallo de 9 de octubre de 2013 porque en Perú las acciones contenciosas administrativas terminan en segunda instancia. En adición, que en su caso procede una excepción al agotamiento de los recursos internos pues al momento de presentar su petición ya existía un retardo injustificado con respecto a la resolución de su acción de cumplimiento de actuación administrativa. El Estado, en cambio, manifiesta que es evidente que los recursos internos no se encontraban agotados al momento de presentarse la petición</w:t>
      </w:r>
      <w:r w:rsidR="00B2370E">
        <w:rPr>
          <w:rFonts w:ascii="Cambria" w:hAnsi="Cambria"/>
          <w:sz w:val="20"/>
          <w:szCs w:val="20"/>
          <w:lang w:val="es-ES"/>
        </w:rPr>
        <w:t xml:space="preserve"> en 2011</w:t>
      </w:r>
      <w:r w:rsidR="00C2181E">
        <w:rPr>
          <w:rFonts w:ascii="Cambria" w:hAnsi="Cambria"/>
          <w:sz w:val="20"/>
          <w:szCs w:val="20"/>
          <w:lang w:val="es-ES"/>
        </w:rPr>
        <w:t xml:space="preserve"> pues el peticionario continuó presentado recursos y se emitieron decisiones judiciales a nivel doméstico con posterioridad a esta fecha. También considera que el peticionario incumplió con el plazo establecido en el artículo </w:t>
      </w:r>
      <w:proofErr w:type="gramStart"/>
      <w:r w:rsidR="00F104CA">
        <w:rPr>
          <w:rFonts w:ascii="Cambria" w:hAnsi="Cambria"/>
          <w:sz w:val="20"/>
          <w:szCs w:val="20"/>
          <w:lang w:val="es-ES"/>
        </w:rPr>
        <w:t>46.1(</w:t>
      </w:r>
      <w:proofErr w:type="gramEnd"/>
      <w:r w:rsidR="00F104CA">
        <w:rPr>
          <w:rFonts w:ascii="Cambria" w:hAnsi="Cambria"/>
          <w:sz w:val="20"/>
          <w:szCs w:val="20"/>
          <w:lang w:val="es-ES"/>
        </w:rPr>
        <w:t>b</w:t>
      </w:r>
      <w:r w:rsidR="00C2181E">
        <w:rPr>
          <w:rFonts w:ascii="Cambria" w:hAnsi="Cambria"/>
          <w:sz w:val="20"/>
          <w:szCs w:val="20"/>
          <w:lang w:val="es-ES"/>
        </w:rPr>
        <w:t xml:space="preserve"> </w:t>
      </w:r>
      <w:r w:rsidR="00F104CA">
        <w:rPr>
          <w:rFonts w:ascii="Cambria" w:hAnsi="Cambria"/>
          <w:sz w:val="20"/>
          <w:szCs w:val="20"/>
          <w:lang w:val="es-ES"/>
        </w:rPr>
        <w:t xml:space="preserve">) de la Convención Americana, pues la petición se presentó antes de que existiera una decisión definitiva. </w:t>
      </w:r>
    </w:p>
    <w:p w14:paraId="4BFB8D62" w14:textId="6DB3F071" w:rsidR="00D55820" w:rsidRPr="00DB2932" w:rsidRDefault="00D55820"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932">
        <w:rPr>
          <w:rFonts w:asciiTheme="majorHAnsi" w:hAnsiTheme="majorHAnsi" w:cs="Calibri"/>
          <w:sz w:val="20"/>
          <w:szCs w:val="20"/>
          <w:lang w:val="es-ES"/>
        </w:rPr>
        <w:t xml:space="preserve">La Comisión </w:t>
      </w:r>
      <w:r w:rsidR="00B35056" w:rsidRPr="00DB2932">
        <w:rPr>
          <w:rFonts w:asciiTheme="majorHAnsi" w:hAnsiTheme="majorHAnsi" w:cs="Calibri"/>
          <w:sz w:val="20"/>
          <w:szCs w:val="20"/>
          <w:lang w:val="es-ES"/>
        </w:rPr>
        <w:t>toma nota</w:t>
      </w:r>
      <w:r w:rsidRPr="00DB2932">
        <w:rPr>
          <w:rFonts w:asciiTheme="majorHAnsi" w:hAnsiTheme="majorHAnsi" w:cs="Calibri"/>
          <w:sz w:val="20"/>
          <w:szCs w:val="20"/>
          <w:lang w:val="es-ES"/>
        </w:rPr>
        <w:t xml:space="preserve"> que el Estado ha alegado que los recursos de la jurisdicción interna no se encontraban agotados en el momento en que la presente petición fue presentada ante esta Comisión. </w:t>
      </w:r>
      <w:r w:rsidR="00B35056" w:rsidRPr="00DB2932">
        <w:rPr>
          <w:rFonts w:asciiTheme="majorHAnsi" w:hAnsiTheme="majorHAnsi" w:cs="Calibri"/>
          <w:sz w:val="20"/>
          <w:szCs w:val="20"/>
          <w:lang w:val="es-ES"/>
        </w:rPr>
        <w:t>Al</w:t>
      </w:r>
      <w:r w:rsidRPr="00DB2932">
        <w:rPr>
          <w:rFonts w:asciiTheme="majorHAnsi" w:hAnsiTheme="majorHAnsi" w:cs="Calibri"/>
          <w:sz w:val="20"/>
          <w:szCs w:val="20"/>
          <w:lang w:val="es-ES"/>
        </w:rPr>
        <w:t xml:space="preserve"> respecto,</w:t>
      </w:r>
      <w:r w:rsidR="00F104CA" w:rsidRPr="00DB2932">
        <w:rPr>
          <w:rFonts w:asciiTheme="majorHAnsi" w:hAnsiTheme="majorHAnsi" w:cs="Calibri"/>
          <w:sz w:val="20"/>
          <w:szCs w:val="20"/>
          <w:lang w:val="es-ES"/>
        </w:rPr>
        <w:t xml:space="preserve"> la CIDH reitera su posición constante según la cual la situación que debe tenerse en cuenta para establecer si se han agotado los recursos de la jurisdicción interna es aquella existente al decidir sobre la admisibilidad</w:t>
      </w:r>
      <w:r w:rsidR="00D05D0C" w:rsidRPr="00DB2932">
        <w:rPr>
          <w:rStyle w:val="FootnoteReference"/>
          <w:rFonts w:asciiTheme="majorHAnsi" w:hAnsiTheme="majorHAnsi" w:cs="Calibri"/>
          <w:sz w:val="20"/>
          <w:szCs w:val="20"/>
          <w:lang w:val="es-ES"/>
        </w:rPr>
        <w:footnoteReference w:id="16"/>
      </w:r>
      <w:r w:rsidR="00F104CA" w:rsidRPr="00DB2932">
        <w:rPr>
          <w:rFonts w:asciiTheme="majorHAnsi" w:hAnsiTheme="majorHAnsi" w:cs="Calibri"/>
          <w:sz w:val="20"/>
          <w:szCs w:val="20"/>
          <w:lang w:val="es-ES"/>
        </w:rPr>
        <w:t>.</w:t>
      </w:r>
      <w:r w:rsidRPr="00DB2932">
        <w:rPr>
          <w:rFonts w:asciiTheme="majorHAnsi" w:hAnsiTheme="majorHAnsi"/>
          <w:sz w:val="20"/>
          <w:szCs w:val="20"/>
          <w:lang w:val="es-ES"/>
        </w:rPr>
        <w:t xml:space="preserve"> </w:t>
      </w:r>
      <w:r w:rsidR="00F104CA" w:rsidRPr="00DB2932">
        <w:rPr>
          <w:rFonts w:asciiTheme="majorHAnsi" w:hAnsiTheme="majorHAnsi" w:cs="Calibri"/>
          <w:sz w:val="20"/>
          <w:szCs w:val="20"/>
          <w:lang w:val="es-ES"/>
        </w:rPr>
        <w:t>La Comisi</w:t>
      </w:r>
      <w:r w:rsidR="00800E85" w:rsidRPr="00DB2932">
        <w:rPr>
          <w:rFonts w:asciiTheme="majorHAnsi" w:hAnsiTheme="majorHAnsi" w:cs="Calibri"/>
          <w:sz w:val="20"/>
          <w:szCs w:val="20"/>
          <w:lang w:val="es-ES"/>
        </w:rPr>
        <w:t>ón</w:t>
      </w:r>
      <w:r w:rsidR="00D05D0C" w:rsidRPr="00DB2932">
        <w:rPr>
          <w:rFonts w:asciiTheme="majorHAnsi" w:hAnsiTheme="majorHAnsi" w:cs="Calibri"/>
          <w:sz w:val="20"/>
          <w:szCs w:val="20"/>
          <w:lang w:val="es-ES"/>
        </w:rPr>
        <w:t xml:space="preserve"> también</w:t>
      </w:r>
      <w:r w:rsidR="00800E85" w:rsidRPr="00DB2932">
        <w:rPr>
          <w:rFonts w:asciiTheme="majorHAnsi" w:hAnsiTheme="majorHAnsi" w:cs="Calibri"/>
          <w:sz w:val="20"/>
          <w:szCs w:val="20"/>
          <w:lang w:val="es-ES"/>
        </w:rPr>
        <w:t xml:space="preserve"> </w:t>
      </w:r>
      <w:r w:rsidR="001B3CCE" w:rsidRPr="00DB2932">
        <w:rPr>
          <w:rFonts w:asciiTheme="majorHAnsi" w:hAnsiTheme="majorHAnsi" w:cs="Calibri"/>
          <w:sz w:val="20"/>
          <w:szCs w:val="20"/>
          <w:lang w:val="es-ES"/>
        </w:rPr>
        <w:t>observa</w:t>
      </w:r>
      <w:r w:rsidR="00800E85" w:rsidRPr="00DB2932">
        <w:rPr>
          <w:rFonts w:asciiTheme="majorHAnsi" w:hAnsiTheme="majorHAnsi" w:cs="Calibri"/>
          <w:sz w:val="20"/>
          <w:szCs w:val="20"/>
          <w:lang w:val="es-ES"/>
        </w:rPr>
        <w:t xml:space="preserve"> que el Estado ha alegado que el peticionario consintió la decisión emitida </w:t>
      </w:r>
      <w:r w:rsidR="00800E85" w:rsidRPr="00DB2932">
        <w:rPr>
          <w:rFonts w:asciiTheme="majorHAnsi" w:hAnsiTheme="majorHAnsi"/>
          <w:sz w:val="20"/>
          <w:szCs w:val="20"/>
          <w:lang w:val="es-ES"/>
        </w:rPr>
        <w:t xml:space="preserve">Cuarta Sala Especializada en lo Contencioso Administrativo de la Corte Superior de Justicia de Lima el 9 de octubre de 2013 al </w:t>
      </w:r>
      <w:r w:rsidR="001B3CCE" w:rsidRPr="00DB2932">
        <w:rPr>
          <w:rFonts w:asciiTheme="majorHAnsi" w:hAnsiTheme="majorHAnsi"/>
          <w:sz w:val="20"/>
          <w:szCs w:val="20"/>
          <w:lang w:val="es-ES"/>
        </w:rPr>
        <w:t>no impugnarla mediante casación. S</w:t>
      </w:r>
      <w:r w:rsidRPr="00DB2932">
        <w:rPr>
          <w:rFonts w:asciiTheme="majorHAnsi" w:hAnsiTheme="majorHAnsi"/>
          <w:sz w:val="20"/>
          <w:szCs w:val="20"/>
          <w:lang w:val="es-ES"/>
        </w:rPr>
        <w:t>in embargo</w:t>
      </w:r>
      <w:r w:rsidR="005238AC" w:rsidRPr="00DB2932">
        <w:rPr>
          <w:rFonts w:asciiTheme="majorHAnsi" w:hAnsiTheme="majorHAnsi"/>
          <w:sz w:val="20"/>
          <w:szCs w:val="20"/>
          <w:lang w:val="es-ES"/>
        </w:rPr>
        <w:t>,</w:t>
      </w:r>
      <w:r w:rsidRPr="00DB2932">
        <w:rPr>
          <w:rFonts w:asciiTheme="majorHAnsi" w:hAnsiTheme="majorHAnsi"/>
          <w:sz w:val="20"/>
          <w:szCs w:val="20"/>
          <w:lang w:val="es-ES"/>
        </w:rPr>
        <w:t xml:space="preserve"> </w:t>
      </w:r>
      <w:r w:rsidR="00D05D0C" w:rsidRPr="00DB2932">
        <w:rPr>
          <w:rFonts w:asciiTheme="majorHAnsi" w:hAnsiTheme="majorHAnsi"/>
          <w:sz w:val="20"/>
          <w:szCs w:val="20"/>
          <w:lang w:val="es-ES"/>
        </w:rPr>
        <w:t>no ha</w:t>
      </w:r>
      <w:r w:rsidR="00B35056" w:rsidRPr="00DB2932">
        <w:rPr>
          <w:rFonts w:asciiTheme="majorHAnsi" w:hAnsiTheme="majorHAnsi"/>
          <w:sz w:val="20"/>
          <w:szCs w:val="20"/>
          <w:lang w:val="es-ES"/>
        </w:rPr>
        <w:t xml:space="preserve"> </w:t>
      </w:r>
      <w:r w:rsidR="00D05D0C" w:rsidRPr="00DB2932">
        <w:rPr>
          <w:rFonts w:asciiTheme="majorHAnsi" w:hAnsiTheme="majorHAnsi"/>
          <w:sz w:val="20"/>
          <w:szCs w:val="20"/>
          <w:lang w:val="es-ES"/>
        </w:rPr>
        <w:t>expuesto</w:t>
      </w:r>
      <w:r w:rsidR="00B35056" w:rsidRPr="00DB2932">
        <w:rPr>
          <w:rFonts w:asciiTheme="majorHAnsi" w:hAnsiTheme="majorHAnsi"/>
          <w:sz w:val="20"/>
          <w:szCs w:val="20"/>
          <w:lang w:val="es-ES"/>
        </w:rPr>
        <w:t xml:space="preserve"> el</w:t>
      </w:r>
      <w:r w:rsidR="00D05D0C" w:rsidRPr="00DB2932">
        <w:rPr>
          <w:rFonts w:asciiTheme="majorHAnsi" w:hAnsiTheme="majorHAnsi"/>
          <w:sz w:val="20"/>
          <w:szCs w:val="20"/>
          <w:lang w:val="es-ES"/>
        </w:rPr>
        <w:t>ementos que indiquen</w:t>
      </w:r>
      <w:r w:rsidR="00DB2932">
        <w:rPr>
          <w:rFonts w:asciiTheme="majorHAnsi" w:hAnsiTheme="majorHAnsi"/>
          <w:sz w:val="20"/>
          <w:szCs w:val="20"/>
          <w:lang w:val="es-ES"/>
        </w:rPr>
        <w:t xml:space="preserve"> que el</w:t>
      </w:r>
      <w:r w:rsidR="00B35056" w:rsidRPr="00DB2932">
        <w:rPr>
          <w:rFonts w:asciiTheme="majorHAnsi" w:hAnsiTheme="majorHAnsi"/>
          <w:sz w:val="20"/>
          <w:szCs w:val="20"/>
          <w:lang w:val="es-ES"/>
        </w:rPr>
        <w:t xml:space="preserve"> recurso de casación </w:t>
      </w:r>
      <w:r w:rsidR="00D05D0C" w:rsidRPr="00DB2932">
        <w:rPr>
          <w:rFonts w:asciiTheme="majorHAnsi" w:hAnsiTheme="majorHAnsi"/>
          <w:sz w:val="20"/>
          <w:szCs w:val="20"/>
          <w:lang w:val="es-ES"/>
        </w:rPr>
        <w:t>sea</w:t>
      </w:r>
      <w:r w:rsidR="00B35056" w:rsidRPr="00DB2932">
        <w:rPr>
          <w:rFonts w:asciiTheme="majorHAnsi" w:hAnsiTheme="majorHAnsi"/>
          <w:sz w:val="20"/>
          <w:szCs w:val="20"/>
          <w:lang w:val="es-ES"/>
        </w:rPr>
        <w:t xml:space="preserve"> un recurso idóneo y adecuado que ordin</w:t>
      </w:r>
      <w:r w:rsidR="00D05D0C" w:rsidRPr="00DB2932">
        <w:rPr>
          <w:rFonts w:asciiTheme="majorHAnsi" w:hAnsiTheme="majorHAnsi"/>
          <w:sz w:val="20"/>
          <w:szCs w:val="20"/>
          <w:lang w:val="es-ES"/>
        </w:rPr>
        <w:t>ariamente deba ser agotado en el caso de reclamaciones tales como las planteadas por el peticionario. En es</w:t>
      </w:r>
      <w:r w:rsidR="00734716" w:rsidRPr="00DB2932">
        <w:rPr>
          <w:rFonts w:asciiTheme="majorHAnsi" w:hAnsiTheme="majorHAnsi"/>
          <w:sz w:val="20"/>
          <w:szCs w:val="20"/>
          <w:lang w:val="es-ES"/>
        </w:rPr>
        <w:t xml:space="preserve">te sentido, la Comisión recuerda su criterio reiterado con respecto a que es el Estado quien </w:t>
      </w:r>
      <w:r w:rsidR="00734716" w:rsidRPr="00DB2932">
        <w:rPr>
          <w:rFonts w:asciiTheme="majorHAnsi" w:hAnsiTheme="majorHAnsi" w:cs="Calibri"/>
          <w:sz w:val="20"/>
          <w:szCs w:val="20"/>
          <w:lang w:val="es-ES"/>
        </w:rPr>
        <w:t>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r w:rsidR="00734716" w:rsidRPr="00DB2932">
        <w:rPr>
          <w:rStyle w:val="FootnoteReference"/>
          <w:rFonts w:asciiTheme="majorHAnsi" w:hAnsiTheme="majorHAnsi" w:cs="Calibri"/>
          <w:sz w:val="20"/>
          <w:szCs w:val="20"/>
          <w:lang w:val="es-ES"/>
        </w:rPr>
        <w:footnoteReference w:id="17"/>
      </w:r>
      <w:r w:rsidR="00734716" w:rsidRPr="00DB2932">
        <w:rPr>
          <w:rFonts w:asciiTheme="majorHAnsi" w:hAnsiTheme="majorHAnsi" w:cs="Calibri"/>
          <w:sz w:val="20"/>
          <w:szCs w:val="20"/>
          <w:lang w:val="es-ES"/>
        </w:rPr>
        <w:t>.</w:t>
      </w:r>
      <w:r w:rsidR="002B6D0A" w:rsidRPr="00DB2932">
        <w:rPr>
          <w:rFonts w:asciiTheme="majorHAnsi" w:hAnsiTheme="majorHAnsi" w:cs="Calibri"/>
          <w:sz w:val="20"/>
          <w:szCs w:val="20"/>
          <w:lang w:val="es-ES"/>
        </w:rPr>
        <w:t xml:space="preserve"> </w:t>
      </w:r>
      <w:r w:rsidR="002B6D0A" w:rsidRPr="00DB2932">
        <w:rPr>
          <w:rFonts w:ascii="Cambria" w:hAnsi="Cambria"/>
          <w:sz w:val="20"/>
          <w:szCs w:val="20"/>
          <w:lang w:val="es-ES"/>
        </w:rPr>
        <w:t xml:space="preserve">Por último, la Comisión </w:t>
      </w:r>
      <w:r w:rsidR="00DB2932">
        <w:rPr>
          <w:rFonts w:ascii="Cambria" w:hAnsi="Cambria"/>
          <w:sz w:val="20"/>
          <w:szCs w:val="20"/>
          <w:lang w:val="es-ES"/>
        </w:rPr>
        <w:t>observa</w:t>
      </w:r>
      <w:r w:rsidR="002B6D0A" w:rsidRPr="00DB2932">
        <w:rPr>
          <w:rFonts w:ascii="Cambria" w:hAnsi="Cambria"/>
          <w:sz w:val="20"/>
          <w:szCs w:val="20"/>
          <w:lang w:val="es-ES"/>
        </w:rPr>
        <w:t xml:space="preserve">  que el Estado no ha </w:t>
      </w:r>
      <w:r w:rsidR="00DF67A1" w:rsidRPr="00DB2932">
        <w:rPr>
          <w:rFonts w:ascii="Cambria" w:hAnsi="Cambria"/>
          <w:sz w:val="20"/>
          <w:szCs w:val="20"/>
          <w:lang w:val="es-ES"/>
        </w:rPr>
        <w:t>indicado que los</w:t>
      </w:r>
      <w:r w:rsidR="002B6D0A" w:rsidRPr="00DB2932">
        <w:rPr>
          <w:rFonts w:ascii="Cambria" w:hAnsi="Cambria"/>
          <w:sz w:val="20"/>
          <w:szCs w:val="20"/>
          <w:lang w:val="es-ES"/>
        </w:rPr>
        <w:t xml:space="preserve"> recursos</w:t>
      </w:r>
      <w:r w:rsidR="00DF67A1" w:rsidRPr="00DB2932">
        <w:rPr>
          <w:rFonts w:ascii="Cambria" w:hAnsi="Cambria"/>
          <w:sz w:val="20"/>
          <w:szCs w:val="20"/>
          <w:lang w:val="es-ES"/>
        </w:rPr>
        <w:t xml:space="preserve"> internos no se encuentren agotados</w:t>
      </w:r>
      <w:r w:rsidR="002B6D0A" w:rsidRPr="00DB2932">
        <w:rPr>
          <w:rFonts w:ascii="Cambria" w:hAnsi="Cambria"/>
          <w:sz w:val="20"/>
          <w:szCs w:val="20"/>
          <w:lang w:val="es-ES"/>
        </w:rPr>
        <w:t xml:space="preserve"> al momento de la presente decisión de admisibilidad</w:t>
      </w:r>
      <w:r w:rsidR="00DF67A1" w:rsidRPr="00DB2932">
        <w:rPr>
          <w:rFonts w:ascii="Cambria" w:hAnsi="Cambria"/>
          <w:sz w:val="20"/>
          <w:szCs w:val="20"/>
          <w:lang w:val="es-ES"/>
        </w:rPr>
        <w:t xml:space="preserve"> ni hecho referencia a recursos domésticos que</w:t>
      </w:r>
      <w:r w:rsidR="002B6D0A" w:rsidRPr="00DB2932">
        <w:rPr>
          <w:rFonts w:ascii="Cambria" w:hAnsi="Cambria"/>
          <w:sz w:val="20"/>
          <w:szCs w:val="20"/>
          <w:lang w:val="es-ES"/>
        </w:rPr>
        <w:t xml:space="preserve"> permanezcan pendientes de agotarse y que pudieran ser idóneos y efectivos para que las reclamaciones del peticionario fueran atendidas a nivel dom</w:t>
      </w:r>
      <w:r w:rsidR="00DF67A1" w:rsidRPr="00DB2932">
        <w:rPr>
          <w:rFonts w:ascii="Cambria" w:hAnsi="Cambria"/>
          <w:sz w:val="20"/>
          <w:szCs w:val="20"/>
          <w:lang w:val="es-ES"/>
        </w:rPr>
        <w:t>éstico.</w:t>
      </w:r>
    </w:p>
    <w:p w14:paraId="64D19AA9" w14:textId="363ED66B" w:rsidR="002B6D0A" w:rsidRPr="00BB4AC1" w:rsidRDefault="00AA7C44"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B2932">
        <w:rPr>
          <w:rFonts w:ascii="Cambria" w:hAnsi="Cambria"/>
          <w:sz w:val="20"/>
          <w:szCs w:val="20"/>
          <w:lang w:val="es-ES"/>
        </w:rPr>
        <w:t xml:space="preserve">En </w:t>
      </w:r>
      <w:r w:rsidR="00734716" w:rsidRPr="00DB2932">
        <w:rPr>
          <w:rFonts w:ascii="Cambria" w:hAnsi="Cambria"/>
          <w:sz w:val="20"/>
          <w:szCs w:val="20"/>
          <w:lang w:val="es-ES"/>
        </w:rPr>
        <w:t xml:space="preserve">base a las consideraciones anteriores, </w:t>
      </w:r>
      <w:r w:rsidR="00DF67A1" w:rsidRPr="00DB2932">
        <w:rPr>
          <w:rFonts w:ascii="Cambria" w:hAnsi="Cambria"/>
          <w:sz w:val="20"/>
          <w:szCs w:val="20"/>
          <w:lang w:val="es-ES"/>
        </w:rPr>
        <w:t xml:space="preserve">la Comisión </w:t>
      </w:r>
      <w:r w:rsidR="004A6324" w:rsidRPr="00DB2932">
        <w:rPr>
          <w:rFonts w:ascii="Cambria" w:hAnsi="Cambria"/>
          <w:sz w:val="20"/>
          <w:szCs w:val="20"/>
          <w:lang w:val="es-ES"/>
        </w:rPr>
        <w:t>estima</w:t>
      </w:r>
      <w:r w:rsidR="00DF67A1" w:rsidRPr="00DB2932">
        <w:rPr>
          <w:rFonts w:ascii="Cambria" w:hAnsi="Cambria"/>
          <w:sz w:val="20"/>
          <w:szCs w:val="20"/>
          <w:lang w:val="es-ES"/>
        </w:rPr>
        <w:t xml:space="preserve"> que </w:t>
      </w:r>
      <w:r w:rsidR="004A6324" w:rsidRPr="00DB2932">
        <w:rPr>
          <w:rFonts w:ascii="Cambria" w:hAnsi="Cambria"/>
          <w:sz w:val="20"/>
          <w:szCs w:val="20"/>
          <w:lang w:val="es-ES"/>
        </w:rPr>
        <w:t>en este caso</w:t>
      </w:r>
      <w:r w:rsidR="00DF67A1" w:rsidRPr="00DB2932">
        <w:rPr>
          <w:rFonts w:ascii="Cambria" w:hAnsi="Cambria"/>
          <w:sz w:val="20"/>
          <w:szCs w:val="20"/>
          <w:lang w:val="es-ES"/>
        </w:rPr>
        <w:t xml:space="preserve"> los recursos internos </w:t>
      </w:r>
      <w:r w:rsidR="004A6324" w:rsidRPr="00DB2932">
        <w:rPr>
          <w:rFonts w:ascii="Cambria" w:hAnsi="Cambria"/>
          <w:sz w:val="20"/>
          <w:szCs w:val="20"/>
          <w:lang w:val="es-ES"/>
        </w:rPr>
        <w:t>se agotaron</w:t>
      </w:r>
      <w:r w:rsidR="00DF67A1" w:rsidRPr="00DB2932">
        <w:rPr>
          <w:rFonts w:ascii="Cambria" w:hAnsi="Cambria"/>
          <w:sz w:val="20"/>
          <w:szCs w:val="20"/>
          <w:lang w:val="es-ES"/>
        </w:rPr>
        <w:t xml:space="preserve"> con la decisión emitida por Cuarta Sala Especializada en lo Contencioso Administrativo de la Corte Superior de Justicia de Lima el 9 de octubre de 2013</w:t>
      </w:r>
      <w:r w:rsidR="004A6324" w:rsidRPr="00DB2932">
        <w:rPr>
          <w:rFonts w:ascii="Cambria" w:hAnsi="Cambria"/>
          <w:sz w:val="20"/>
          <w:szCs w:val="20"/>
          <w:lang w:val="es-ES"/>
        </w:rPr>
        <w:t xml:space="preserve">. Por esta razón, y dado que la petición fue presentada el 29 de julio de 2011, la Comisión concluye que la presente petición cumple con los requisitos del artículo 46.1(a) </w:t>
      </w:r>
      <w:r w:rsidR="004A6324" w:rsidRPr="00BB4AC1">
        <w:rPr>
          <w:rFonts w:ascii="Cambria" w:hAnsi="Cambria"/>
          <w:sz w:val="20"/>
          <w:szCs w:val="20"/>
          <w:lang w:val="es-ES"/>
        </w:rPr>
        <w:t xml:space="preserve">y (b) de la Convención Americana. </w:t>
      </w:r>
    </w:p>
    <w:p w14:paraId="7090A929" w14:textId="58273077" w:rsidR="00F04591" w:rsidRPr="00BB4AC1" w:rsidRDefault="00F04591" w:rsidP="002B6D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BB4AC1">
        <w:rPr>
          <w:rFonts w:asciiTheme="majorHAnsi" w:hAnsiTheme="majorHAnsi"/>
          <w:b/>
          <w:bCs/>
          <w:sz w:val="20"/>
          <w:szCs w:val="20"/>
          <w:lang w:val="es-ES"/>
        </w:rPr>
        <w:t>V</w:t>
      </w:r>
      <w:r w:rsidR="000E2789" w:rsidRPr="00BB4AC1">
        <w:rPr>
          <w:rFonts w:asciiTheme="majorHAnsi" w:hAnsiTheme="majorHAnsi"/>
          <w:b/>
          <w:bCs/>
          <w:sz w:val="20"/>
          <w:szCs w:val="20"/>
          <w:lang w:val="es-ES"/>
        </w:rPr>
        <w:t>I</w:t>
      </w:r>
      <w:r w:rsidRPr="00BB4AC1">
        <w:rPr>
          <w:rFonts w:asciiTheme="majorHAnsi" w:hAnsiTheme="majorHAnsi"/>
          <w:b/>
          <w:bCs/>
          <w:sz w:val="20"/>
          <w:szCs w:val="20"/>
          <w:lang w:val="es-ES"/>
        </w:rPr>
        <w:t xml:space="preserve">I. </w:t>
      </w:r>
      <w:r w:rsidRPr="00BB4AC1">
        <w:rPr>
          <w:rFonts w:asciiTheme="majorHAnsi" w:hAnsiTheme="majorHAnsi"/>
          <w:b/>
          <w:bCs/>
          <w:sz w:val="20"/>
          <w:szCs w:val="20"/>
          <w:lang w:val="es-ES"/>
        </w:rPr>
        <w:tab/>
        <w:t>CARACTERIZACIÓN</w:t>
      </w:r>
    </w:p>
    <w:p w14:paraId="405DFEDE" w14:textId="5E74A30E" w:rsidR="00006B74" w:rsidRPr="00BB4AC1" w:rsidRDefault="00396802"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4AC1">
        <w:rPr>
          <w:rFonts w:ascii="Cambria" w:hAnsi="Cambria"/>
          <w:sz w:val="20"/>
          <w:szCs w:val="20"/>
          <w:lang w:val="es-ES"/>
        </w:rPr>
        <w:lastRenderedPageBreak/>
        <w:t>El peticionario estima que el Estado ha vulnerado sus derechos humanos</w:t>
      </w:r>
      <w:r w:rsidR="005E11B2" w:rsidRPr="00BB4AC1">
        <w:rPr>
          <w:rStyle w:val="FootnoteReference"/>
          <w:rFonts w:ascii="Cambria" w:hAnsi="Cambria"/>
          <w:sz w:val="20"/>
          <w:szCs w:val="20"/>
          <w:lang w:val="es-ES_tradnl"/>
        </w:rPr>
        <w:footnoteReference w:id="18"/>
      </w:r>
      <w:r w:rsidRPr="00BB4AC1">
        <w:rPr>
          <w:rFonts w:ascii="Cambria" w:hAnsi="Cambria"/>
          <w:sz w:val="20"/>
          <w:szCs w:val="20"/>
          <w:lang w:val="es-ES_tradnl"/>
        </w:rPr>
        <w:t xml:space="preserve"> al no reconocerle una pensión a la que alega tiene derecho por ley</w:t>
      </w:r>
      <w:r w:rsidR="00BD7A86" w:rsidRPr="00BB4AC1">
        <w:rPr>
          <w:rFonts w:ascii="Cambria" w:hAnsi="Cambria"/>
          <w:sz w:val="20"/>
          <w:szCs w:val="20"/>
          <w:lang w:val="es-ES_tradnl"/>
        </w:rPr>
        <w:t xml:space="preserve"> y no brindar respuesta en tiempo oportuno a las distintas acciones administrativas y judiciales que interpuso a nivel doméstico</w:t>
      </w:r>
      <w:r w:rsidR="00AE407E" w:rsidRPr="00BB4AC1">
        <w:rPr>
          <w:rFonts w:ascii="Cambria" w:hAnsi="Cambria"/>
          <w:sz w:val="20"/>
          <w:szCs w:val="20"/>
          <w:lang w:val="es-ES_tradnl"/>
        </w:rPr>
        <w:t xml:space="preserve">, </w:t>
      </w:r>
      <w:r w:rsidR="006E4399" w:rsidRPr="00BB4AC1">
        <w:rPr>
          <w:rFonts w:ascii="Cambria" w:hAnsi="Cambria"/>
          <w:sz w:val="20"/>
          <w:szCs w:val="20"/>
          <w:lang w:val="es-ES_tradnl"/>
        </w:rPr>
        <w:t>p</w:t>
      </w:r>
      <w:r w:rsidR="00003297" w:rsidRPr="00BB4AC1">
        <w:rPr>
          <w:rFonts w:ascii="Cambria" w:hAnsi="Cambria"/>
          <w:sz w:val="20"/>
          <w:szCs w:val="20"/>
          <w:lang w:val="es-ES_tradnl"/>
        </w:rPr>
        <w:t>ese a haber expuesto que su situación era urgente al</w:t>
      </w:r>
      <w:r w:rsidR="006E4399" w:rsidRPr="00BB4AC1">
        <w:rPr>
          <w:rFonts w:ascii="Cambria" w:hAnsi="Cambria"/>
          <w:sz w:val="20"/>
          <w:szCs w:val="20"/>
          <w:lang w:val="es-ES_tradnl"/>
        </w:rPr>
        <w:t xml:space="preserve"> </w:t>
      </w:r>
      <w:r w:rsidR="00003297" w:rsidRPr="00BB4AC1">
        <w:rPr>
          <w:rFonts w:ascii="Cambria" w:hAnsi="Cambria"/>
          <w:sz w:val="20"/>
          <w:szCs w:val="20"/>
          <w:lang w:val="es-ES_tradnl"/>
        </w:rPr>
        <w:t>requerir el pago de su pensión</w:t>
      </w:r>
      <w:r w:rsidR="00AE407E" w:rsidRPr="00BB4AC1">
        <w:rPr>
          <w:rFonts w:ascii="Cambria" w:hAnsi="Cambria"/>
          <w:sz w:val="20"/>
          <w:szCs w:val="20"/>
          <w:lang w:val="es-ES_tradnl"/>
        </w:rPr>
        <w:t xml:space="preserve"> para hacer frente a los costos de tratamiento </w:t>
      </w:r>
      <w:r w:rsidR="00BD7A86" w:rsidRPr="00BB4AC1">
        <w:rPr>
          <w:rFonts w:ascii="Cambria" w:hAnsi="Cambria"/>
          <w:sz w:val="20"/>
          <w:szCs w:val="20"/>
          <w:lang w:val="es-ES_tradnl"/>
        </w:rPr>
        <w:t>d</w:t>
      </w:r>
      <w:r w:rsidR="00673327" w:rsidRPr="00BB4AC1">
        <w:rPr>
          <w:rFonts w:ascii="Cambria" w:hAnsi="Cambria"/>
          <w:sz w:val="20"/>
          <w:szCs w:val="20"/>
          <w:lang w:val="es-ES_tradnl"/>
        </w:rPr>
        <w:t>e diá</w:t>
      </w:r>
      <w:r w:rsidR="00BD7A86" w:rsidRPr="00BB4AC1">
        <w:rPr>
          <w:rFonts w:ascii="Cambria" w:hAnsi="Cambria"/>
          <w:sz w:val="20"/>
          <w:szCs w:val="20"/>
          <w:lang w:val="es-ES_tradnl"/>
        </w:rPr>
        <w:t>lisis</w:t>
      </w:r>
      <w:r w:rsidR="00AE407E" w:rsidRPr="00BB4AC1">
        <w:rPr>
          <w:rFonts w:ascii="Cambria" w:hAnsi="Cambria"/>
          <w:sz w:val="20"/>
          <w:szCs w:val="20"/>
          <w:lang w:val="es-ES_tradnl"/>
        </w:rPr>
        <w:t xml:space="preserve"> que </w:t>
      </w:r>
      <w:r w:rsidR="00003297" w:rsidRPr="00BB4AC1">
        <w:rPr>
          <w:rFonts w:ascii="Cambria" w:hAnsi="Cambria"/>
          <w:sz w:val="20"/>
          <w:szCs w:val="20"/>
          <w:lang w:val="es-ES_tradnl"/>
        </w:rPr>
        <w:t>requería</w:t>
      </w:r>
      <w:r w:rsidR="00AE407E" w:rsidRPr="00BB4AC1">
        <w:rPr>
          <w:rFonts w:ascii="Cambria" w:hAnsi="Cambria"/>
          <w:sz w:val="20"/>
          <w:szCs w:val="20"/>
          <w:lang w:val="es-ES_tradnl"/>
        </w:rPr>
        <w:t xml:space="preserve"> por su</w:t>
      </w:r>
      <w:r w:rsidR="00BD7A86" w:rsidRPr="00BB4AC1">
        <w:rPr>
          <w:rFonts w:ascii="Cambria" w:hAnsi="Cambria"/>
          <w:sz w:val="20"/>
          <w:szCs w:val="20"/>
          <w:lang w:val="es-ES_tradnl"/>
        </w:rPr>
        <w:t xml:space="preserve"> delicado estado de salud.</w:t>
      </w:r>
      <w:r w:rsidR="001B7AE6" w:rsidRPr="00BB4AC1">
        <w:rPr>
          <w:rFonts w:ascii="Cambria" w:hAnsi="Cambria"/>
          <w:sz w:val="20"/>
          <w:szCs w:val="20"/>
          <w:lang w:val="es-ES_tradnl"/>
        </w:rPr>
        <w:t xml:space="preserve"> </w:t>
      </w:r>
      <w:r w:rsidR="00003297" w:rsidRPr="00BB4AC1">
        <w:rPr>
          <w:rFonts w:ascii="Cambria" w:hAnsi="Cambria"/>
          <w:sz w:val="20"/>
          <w:szCs w:val="20"/>
          <w:lang w:val="es-ES_tradnl"/>
        </w:rPr>
        <w:t>Resalta</w:t>
      </w:r>
      <w:r w:rsidR="001B7AE6" w:rsidRPr="00BB4AC1">
        <w:rPr>
          <w:rFonts w:ascii="Cambria" w:hAnsi="Cambria"/>
          <w:sz w:val="20"/>
          <w:szCs w:val="20"/>
          <w:lang w:val="es-ES_tradnl"/>
        </w:rPr>
        <w:t xml:space="preserve"> que, </w:t>
      </w:r>
      <w:r w:rsidR="00DB2932" w:rsidRPr="00BB4AC1">
        <w:rPr>
          <w:rFonts w:ascii="Cambria" w:hAnsi="Cambria"/>
          <w:sz w:val="20"/>
          <w:szCs w:val="20"/>
          <w:lang w:val="es-ES_tradnl"/>
        </w:rPr>
        <w:t xml:space="preserve">más allá </w:t>
      </w:r>
      <w:r w:rsidR="001B7AE6" w:rsidRPr="00BB4AC1">
        <w:rPr>
          <w:rFonts w:ascii="Cambria" w:hAnsi="Cambria"/>
          <w:sz w:val="20"/>
          <w:szCs w:val="20"/>
          <w:lang w:val="es-ES_tradnl"/>
        </w:rPr>
        <w:t>a lo alegado por el Estado, no percibe ninguna pensión</w:t>
      </w:r>
      <w:r w:rsidR="00DB2932" w:rsidRPr="00BB4AC1">
        <w:rPr>
          <w:rFonts w:ascii="Cambria" w:hAnsi="Cambria"/>
          <w:sz w:val="20"/>
          <w:szCs w:val="20"/>
          <w:lang w:val="es-ES_tradnl"/>
        </w:rPr>
        <w:t xml:space="preserve"> de</w:t>
      </w:r>
      <w:r w:rsidR="001B7AE6" w:rsidRPr="00BB4AC1">
        <w:rPr>
          <w:rFonts w:ascii="Cambria" w:hAnsi="Cambria"/>
          <w:sz w:val="20"/>
          <w:szCs w:val="20"/>
          <w:lang w:val="es-ES_tradnl"/>
        </w:rPr>
        <w:t xml:space="preserve"> cesantía bajo ningún régimen. </w:t>
      </w:r>
      <w:r w:rsidR="000B0579" w:rsidRPr="00BB4AC1">
        <w:rPr>
          <w:rFonts w:ascii="Cambria" w:hAnsi="Cambria"/>
          <w:sz w:val="20"/>
          <w:szCs w:val="20"/>
          <w:lang w:val="es-ES"/>
        </w:rPr>
        <w:t xml:space="preserve">A su vez, el Estado afirma </w:t>
      </w:r>
      <w:r w:rsidR="00BD7A86" w:rsidRPr="00BB4AC1">
        <w:rPr>
          <w:rFonts w:ascii="Cambria" w:hAnsi="Cambria"/>
          <w:sz w:val="20"/>
          <w:szCs w:val="20"/>
          <w:lang w:val="es-ES"/>
        </w:rPr>
        <w:t>que el peticionario pretende que la Comisión actué ilegítimamente como una cuarta instancia</w:t>
      </w:r>
      <w:r w:rsidR="00B97946" w:rsidRPr="00BB4AC1">
        <w:rPr>
          <w:rFonts w:ascii="Cambria" w:hAnsi="Cambria"/>
          <w:sz w:val="20"/>
          <w:szCs w:val="20"/>
          <w:lang w:val="es-ES"/>
        </w:rPr>
        <w:t xml:space="preserve"> </w:t>
      </w:r>
      <w:r w:rsidR="00BD7A86" w:rsidRPr="00BB4AC1">
        <w:rPr>
          <w:rFonts w:ascii="Cambria" w:hAnsi="Cambria"/>
          <w:sz w:val="20"/>
          <w:szCs w:val="20"/>
          <w:lang w:val="es-ES"/>
        </w:rPr>
        <w:t>para revisar la decisión de los tribunales domésticos,</w:t>
      </w:r>
      <w:r w:rsidR="00673327" w:rsidRPr="00BB4AC1">
        <w:rPr>
          <w:rFonts w:ascii="Cambria" w:hAnsi="Cambria"/>
          <w:sz w:val="20"/>
          <w:szCs w:val="20"/>
          <w:lang w:val="es-ES"/>
        </w:rPr>
        <w:t xml:space="preserve"> quienes concluyeron en un proceso regular que las pretensiones del peticionario carecen de asidero.</w:t>
      </w:r>
      <w:r w:rsidR="00003297" w:rsidRPr="00BB4AC1">
        <w:rPr>
          <w:rFonts w:ascii="Cambria" w:hAnsi="Cambria"/>
          <w:sz w:val="20"/>
          <w:szCs w:val="20"/>
          <w:lang w:val="es-ES"/>
        </w:rPr>
        <w:t xml:space="preserve"> </w:t>
      </w:r>
      <w:r w:rsidR="00451D69" w:rsidRPr="00BB4AC1">
        <w:rPr>
          <w:rFonts w:ascii="Cambria" w:hAnsi="Cambria"/>
          <w:sz w:val="20"/>
          <w:szCs w:val="20"/>
          <w:lang w:val="es-ES"/>
        </w:rPr>
        <w:t>Alega</w:t>
      </w:r>
      <w:r w:rsidR="00003297" w:rsidRPr="00BB4AC1">
        <w:rPr>
          <w:rFonts w:ascii="Cambria" w:hAnsi="Cambria"/>
          <w:sz w:val="20"/>
          <w:szCs w:val="20"/>
          <w:lang w:val="es-ES"/>
        </w:rPr>
        <w:t xml:space="preserve"> que no es cierto que </w:t>
      </w:r>
      <w:r w:rsidR="00451D69" w:rsidRPr="00BB4AC1">
        <w:rPr>
          <w:rFonts w:ascii="Cambria" w:hAnsi="Cambria"/>
          <w:sz w:val="20"/>
          <w:szCs w:val="20"/>
          <w:lang w:val="es-ES"/>
        </w:rPr>
        <w:t>el peticionario se encontrara desamparado para hacer frente a sus necesidades de salud pues el mismo percibía una pensión de cesantía bajo el régimen del Decreto Ley No. 19990.</w:t>
      </w:r>
    </w:p>
    <w:p w14:paraId="3866E50B" w14:textId="2136DE34" w:rsidR="003A6D8B" w:rsidRPr="00BB4AC1" w:rsidRDefault="003A6D8B"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4AC1">
        <w:rPr>
          <w:rFonts w:ascii="Cambria" w:hAnsi="Cambria"/>
          <w:sz w:val="20"/>
          <w:szCs w:val="20"/>
          <w:lang w:val="es-ES"/>
        </w:rPr>
        <w:t>La Comisi</w:t>
      </w:r>
      <w:r w:rsidR="00247CAD" w:rsidRPr="00BB4AC1">
        <w:rPr>
          <w:rFonts w:ascii="Cambria" w:hAnsi="Cambria"/>
          <w:sz w:val="20"/>
          <w:szCs w:val="20"/>
          <w:lang w:val="es-ES"/>
        </w:rPr>
        <w:t>ón observa que los tribunales domésticos concluyeron que no procedía el pago de una pensión en los términos reclamados por el peticionario. Sin embargo, el Estado ha indicado que al peticionario se la ha reconocido y percibe una pensión de cesantía bajo un régimen previsional distinto. Por su parte</w:t>
      </w:r>
      <w:r w:rsidR="00486F11" w:rsidRPr="00BB4AC1">
        <w:rPr>
          <w:rFonts w:ascii="Cambria" w:hAnsi="Cambria"/>
          <w:sz w:val="20"/>
          <w:szCs w:val="20"/>
          <w:lang w:val="es-ES"/>
        </w:rPr>
        <w:t>,</w:t>
      </w:r>
      <w:r w:rsidR="00484AF2" w:rsidRPr="00BB4AC1">
        <w:rPr>
          <w:rFonts w:ascii="Cambria" w:hAnsi="Cambria"/>
          <w:sz w:val="20"/>
          <w:szCs w:val="20"/>
          <w:lang w:val="es-ES"/>
        </w:rPr>
        <w:t xml:space="preserve"> el peticionario niega estas alegaciones indicando que nunca ha percibido pensión de cesantía bajo ningún régimen.</w:t>
      </w:r>
      <w:r w:rsidR="00486F11" w:rsidRPr="00BB4AC1">
        <w:rPr>
          <w:rFonts w:ascii="Cambria" w:hAnsi="Cambria"/>
          <w:sz w:val="20"/>
          <w:szCs w:val="20"/>
          <w:lang w:val="es-ES"/>
        </w:rPr>
        <w:t xml:space="preserve"> Siendo las alegaciones fácticas de las partes incompatibles,</w:t>
      </w:r>
      <w:r w:rsidR="00606DB2" w:rsidRPr="00BB4AC1">
        <w:rPr>
          <w:rFonts w:ascii="Cambria" w:hAnsi="Cambria"/>
          <w:sz w:val="20"/>
          <w:szCs w:val="20"/>
          <w:lang w:val="es-ES"/>
        </w:rPr>
        <w:t xml:space="preserve"> y no habiendo aportado ninguna de estas elementos que permitan corroborar sus aseveraciones,</w:t>
      </w:r>
      <w:r w:rsidR="00486F11" w:rsidRPr="00BB4AC1">
        <w:rPr>
          <w:rFonts w:ascii="Cambria" w:hAnsi="Cambria"/>
          <w:sz w:val="20"/>
          <w:szCs w:val="20"/>
          <w:lang w:val="es-ES"/>
        </w:rPr>
        <w:t xml:space="preserve"> la Comisión considera necesario un estudio de fondo pues, de verificarse como cierto, que al peticionario </w:t>
      </w:r>
      <w:r w:rsidR="004E5C98" w:rsidRPr="00BB4AC1">
        <w:rPr>
          <w:rFonts w:ascii="Cambria" w:hAnsi="Cambria"/>
          <w:sz w:val="20"/>
          <w:szCs w:val="20"/>
          <w:lang w:val="es-ES"/>
        </w:rPr>
        <w:t xml:space="preserve">no se le han efectuado los pagos correspondientes a </w:t>
      </w:r>
      <w:r w:rsidR="00486F11" w:rsidRPr="00BB4AC1">
        <w:rPr>
          <w:rFonts w:ascii="Cambria" w:hAnsi="Cambria"/>
          <w:sz w:val="20"/>
          <w:szCs w:val="20"/>
          <w:lang w:val="es-ES"/>
        </w:rPr>
        <w:t>una pensión de cesantía</w:t>
      </w:r>
      <w:r w:rsidR="004E5C98" w:rsidRPr="00BB4AC1">
        <w:rPr>
          <w:rFonts w:ascii="Cambria" w:hAnsi="Cambria"/>
          <w:sz w:val="20"/>
          <w:szCs w:val="20"/>
          <w:lang w:val="es-ES"/>
        </w:rPr>
        <w:t xml:space="preserve"> que le corresponde</w:t>
      </w:r>
      <w:r w:rsidR="00486F11" w:rsidRPr="00BB4AC1">
        <w:rPr>
          <w:rFonts w:ascii="Cambria" w:hAnsi="Cambria"/>
          <w:sz w:val="20"/>
          <w:szCs w:val="20"/>
          <w:lang w:val="es-ES"/>
        </w:rPr>
        <w:t>; así como las alegaciones referentes a un retardo injustificado en la resolución de las acciones administrativas y judiciales que interpuso para</w:t>
      </w:r>
      <w:r w:rsidR="00C52FE2" w:rsidRPr="00BB4AC1">
        <w:rPr>
          <w:rFonts w:ascii="Cambria" w:hAnsi="Cambria"/>
          <w:sz w:val="20"/>
          <w:szCs w:val="20"/>
          <w:lang w:val="es-ES"/>
        </w:rPr>
        <w:t xml:space="preserve"> reclamar el pago de su pensión de cesantía; esto podría caracterizar violaciones a los artículos 8 (garantías judiciales), 21 (propiedad privada), 25 (protección judicial) y 26 (derechos económicos, sociales y culturales) de la Convención Americana en relación con sus artículos 1.1. (obligación de respetar los derechos) y 2 (deber de adoptar disposiciones de derecho interno). La Comisión también toma nota de las alegaciones del peticionario con respecto a que las autoridades administrati</w:t>
      </w:r>
      <w:r w:rsidR="0075502D" w:rsidRPr="00BB4AC1">
        <w:rPr>
          <w:rFonts w:ascii="Cambria" w:hAnsi="Cambria"/>
          <w:sz w:val="20"/>
          <w:szCs w:val="20"/>
          <w:lang w:val="es-ES"/>
        </w:rPr>
        <w:t>vas y judiciales incumplieron sus obligaciones internacionales al no</w:t>
      </w:r>
      <w:r w:rsidR="00C52FE2" w:rsidRPr="00BB4AC1">
        <w:rPr>
          <w:rFonts w:ascii="Cambria" w:hAnsi="Cambria"/>
          <w:sz w:val="20"/>
          <w:szCs w:val="20"/>
          <w:lang w:val="es-ES"/>
        </w:rPr>
        <w:t xml:space="preserve"> dar a sus acciones </w:t>
      </w:r>
      <w:r w:rsidR="0075502D" w:rsidRPr="00BB4AC1">
        <w:rPr>
          <w:rFonts w:ascii="Cambria" w:hAnsi="Cambria"/>
          <w:sz w:val="20"/>
          <w:szCs w:val="20"/>
          <w:lang w:val="es-ES"/>
        </w:rPr>
        <w:t>un</w:t>
      </w:r>
      <w:r w:rsidR="00C52FE2" w:rsidRPr="00BB4AC1">
        <w:rPr>
          <w:rFonts w:ascii="Cambria" w:hAnsi="Cambria"/>
          <w:sz w:val="20"/>
          <w:szCs w:val="20"/>
          <w:lang w:val="es-ES"/>
        </w:rPr>
        <w:t xml:space="preserve"> trámite de urgencia</w:t>
      </w:r>
      <w:r w:rsidR="0075502D" w:rsidRPr="00BB4AC1">
        <w:rPr>
          <w:rFonts w:ascii="Cambria" w:hAnsi="Cambria"/>
          <w:sz w:val="20"/>
          <w:szCs w:val="20"/>
          <w:lang w:val="es-ES"/>
        </w:rPr>
        <w:t xml:space="preserve"> pese a que esto era requerido por</w:t>
      </w:r>
      <w:r w:rsidR="00C52FE2" w:rsidRPr="00BB4AC1">
        <w:rPr>
          <w:rFonts w:ascii="Cambria" w:hAnsi="Cambria"/>
          <w:sz w:val="20"/>
          <w:szCs w:val="20"/>
          <w:lang w:val="es-ES"/>
        </w:rPr>
        <w:t xml:space="preserve"> su condición de salud</w:t>
      </w:r>
      <w:r w:rsidR="0075502D" w:rsidRPr="00BB4AC1">
        <w:rPr>
          <w:rFonts w:ascii="Cambria" w:hAnsi="Cambria"/>
          <w:sz w:val="20"/>
          <w:szCs w:val="20"/>
          <w:lang w:val="es-ES"/>
        </w:rPr>
        <w:t xml:space="preserve">. Estas alegaciones serán examinadas por la Comisión en la etapa de fondo a la luz del artículo 24(igualdad ante la ley) de la Convención Americana en relación con su artículo 5 (integridad personal). </w:t>
      </w:r>
    </w:p>
    <w:p w14:paraId="04216C53" w14:textId="30A6A20B" w:rsidR="00703CFB" w:rsidRPr="00BB4AC1" w:rsidRDefault="00BE6099"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AR"/>
        </w:rPr>
      </w:pPr>
      <w:r w:rsidRPr="007971ED">
        <w:rPr>
          <w:rFonts w:asciiTheme="majorHAnsi" w:hAnsiTheme="majorHAnsi"/>
          <w:bCs/>
          <w:sz w:val="20"/>
          <w:szCs w:val="20"/>
          <w:lang w:val="es-AR"/>
        </w:rPr>
        <w:t>En cuanto a las a</w:t>
      </w:r>
      <w:r w:rsidR="00CD2CF6" w:rsidRPr="007971ED">
        <w:rPr>
          <w:rFonts w:asciiTheme="majorHAnsi" w:hAnsiTheme="majorHAnsi"/>
          <w:bCs/>
          <w:sz w:val="20"/>
          <w:szCs w:val="20"/>
          <w:lang w:val="es-AR"/>
        </w:rPr>
        <w:t>legadas</w:t>
      </w:r>
      <w:r w:rsidRPr="007971ED">
        <w:rPr>
          <w:rFonts w:asciiTheme="majorHAnsi" w:hAnsiTheme="majorHAnsi"/>
          <w:bCs/>
          <w:sz w:val="20"/>
          <w:szCs w:val="20"/>
          <w:lang w:val="es-AR"/>
        </w:rPr>
        <w:t xml:space="preserve"> vulneraciones a los artículos </w:t>
      </w:r>
      <w:r w:rsidRPr="007971ED">
        <w:rPr>
          <w:rFonts w:ascii="Cambria" w:hAnsi="Cambria"/>
          <w:bCs/>
          <w:color w:val="000000" w:themeColor="text1"/>
          <w:sz w:val="19"/>
          <w:szCs w:val="19"/>
          <w:lang w:val="es-ES"/>
        </w:rPr>
        <w:t>I,</w:t>
      </w:r>
      <w:r w:rsidR="00CD2CF6" w:rsidRPr="007971ED">
        <w:rPr>
          <w:rFonts w:ascii="Cambria" w:hAnsi="Cambria"/>
          <w:bCs/>
          <w:color w:val="000000" w:themeColor="text1"/>
          <w:sz w:val="19"/>
          <w:szCs w:val="19"/>
          <w:lang w:val="es-ES"/>
        </w:rPr>
        <w:t xml:space="preserve"> II,</w:t>
      </w:r>
      <w:r w:rsidRPr="007971ED">
        <w:rPr>
          <w:rFonts w:ascii="Cambria" w:hAnsi="Cambria"/>
          <w:bCs/>
          <w:color w:val="000000" w:themeColor="text1"/>
          <w:sz w:val="19"/>
          <w:szCs w:val="19"/>
          <w:lang w:val="es-ES"/>
        </w:rPr>
        <w:t xml:space="preserve"> </w:t>
      </w:r>
      <w:r w:rsidR="007C75D1" w:rsidRPr="007971ED">
        <w:rPr>
          <w:rFonts w:ascii="Cambria" w:hAnsi="Cambria"/>
          <w:bCs/>
          <w:color w:val="000000" w:themeColor="text1"/>
          <w:sz w:val="19"/>
          <w:szCs w:val="19"/>
          <w:lang w:val="es-ES"/>
        </w:rPr>
        <w:t>XVII</w:t>
      </w:r>
      <w:r w:rsidRPr="007971ED">
        <w:rPr>
          <w:rFonts w:ascii="Cambria" w:hAnsi="Cambria"/>
          <w:bCs/>
          <w:color w:val="000000" w:themeColor="text1"/>
          <w:sz w:val="19"/>
          <w:szCs w:val="19"/>
          <w:lang w:val="es-ES"/>
        </w:rPr>
        <w:t xml:space="preserve"> y </w:t>
      </w:r>
      <w:r w:rsidR="00C474B8">
        <w:rPr>
          <w:rFonts w:ascii="Cambria" w:hAnsi="Cambria"/>
          <w:bCs/>
          <w:color w:val="000000" w:themeColor="text1"/>
          <w:sz w:val="19"/>
          <w:szCs w:val="19"/>
          <w:lang w:val="es-ES"/>
        </w:rPr>
        <w:t>XXIV</w:t>
      </w:r>
      <w:r w:rsidRPr="007971ED">
        <w:rPr>
          <w:rFonts w:ascii="Cambria" w:hAnsi="Cambria"/>
          <w:bCs/>
          <w:color w:val="000000" w:themeColor="text1"/>
          <w:sz w:val="19"/>
          <w:szCs w:val="19"/>
          <w:lang w:val="es-ES"/>
        </w:rPr>
        <w:t xml:space="preserve"> </w:t>
      </w:r>
      <w:r w:rsidRPr="007971ED">
        <w:rPr>
          <w:rFonts w:asciiTheme="majorHAnsi" w:hAnsiTheme="majorHAnsi"/>
          <w:bCs/>
          <w:sz w:val="20"/>
          <w:szCs w:val="20"/>
          <w:lang w:val="es-AR"/>
        </w:rPr>
        <w:t xml:space="preserve">de la Declaración Americana, </w:t>
      </w:r>
      <w:r w:rsidRPr="007971ED">
        <w:rPr>
          <w:rFonts w:asciiTheme="majorHAnsi" w:hAnsiTheme="majorHAnsi" w:cs="Calibri"/>
          <w:sz w:val="20"/>
          <w:szCs w:val="20"/>
          <w:lang w:val="es-ES"/>
        </w:rPr>
        <w:t>esta Comisión ha establecido con anterioridad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w:t>
      </w:r>
      <w:r w:rsidR="00142577">
        <w:rPr>
          <w:rFonts w:asciiTheme="majorHAnsi" w:hAnsiTheme="majorHAnsi" w:cs="Calibri"/>
          <w:sz w:val="20"/>
          <w:szCs w:val="20"/>
          <w:lang w:val="es-ES"/>
        </w:rPr>
        <w:t xml:space="preserve"> </w:t>
      </w:r>
      <w:r w:rsidR="00142577" w:rsidRPr="00BB4AC1">
        <w:rPr>
          <w:rFonts w:asciiTheme="majorHAnsi" w:hAnsiTheme="majorHAnsi" w:cs="Calibri"/>
          <w:sz w:val="20"/>
          <w:szCs w:val="20"/>
          <w:lang w:val="es-ES"/>
        </w:rPr>
        <w:t>En este caso las alegadas violaciones a estos artículos encajan dentro del ámbito de protección de los artículos</w:t>
      </w:r>
      <w:r w:rsidR="00142577">
        <w:rPr>
          <w:rFonts w:asciiTheme="majorHAnsi" w:hAnsiTheme="majorHAnsi" w:cs="Calibri"/>
          <w:sz w:val="20"/>
          <w:szCs w:val="20"/>
          <w:lang w:val="es-ES"/>
        </w:rPr>
        <w:t xml:space="preserve"> </w:t>
      </w:r>
      <w:r w:rsidR="00142577" w:rsidRPr="00BB4AC1">
        <w:rPr>
          <w:rFonts w:asciiTheme="majorHAnsi" w:hAnsiTheme="majorHAnsi" w:cs="Calibri"/>
          <w:sz w:val="20"/>
          <w:szCs w:val="20"/>
          <w:lang w:val="es-ES"/>
        </w:rPr>
        <w:t>5, 8, 24</w:t>
      </w:r>
      <w:r w:rsidR="00142577">
        <w:rPr>
          <w:rFonts w:asciiTheme="majorHAnsi" w:hAnsiTheme="majorHAnsi" w:cs="Calibri"/>
          <w:sz w:val="20"/>
          <w:szCs w:val="20"/>
          <w:lang w:val="es-ES"/>
        </w:rPr>
        <w:t xml:space="preserve"> y</w:t>
      </w:r>
      <w:r w:rsidR="00142577" w:rsidRPr="00BB4AC1">
        <w:rPr>
          <w:rFonts w:asciiTheme="majorHAnsi" w:hAnsiTheme="majorHAnsi" w:cs="Calibri"/>
          <w:sz w:val="20"/>
          <w:szCs w:val="20"/>
          <w:lang w:val="es-ES"/>
        </w:rPr>
        <w:t xml:space="preserve"> 25</w:t>
      </w:r>
      <w:r w:rsidR="00142577">
        <w:rPr>
          <w:rFonts w:asciiTheme="majorHAnsi" w:hAnsiTheme="majorHAnsi" w:cs="Calibri"/>
          <w:sz w:val="20"/>
          <w:szCs w:val="20"/>
          <w:lang w:val="es-ES"/>
        </w:rPr>
        <w:t xml:space="preserve"> </w:t>
      </w:r>
      <w:r w:rsidR="00142577" w:rsidRPr="00BB4AC1">
        <w:rPr>
          <w:rFonts w:asciiTheme="majorHAnsi" w:hAnsiTheme="majorHAnsi" w:cs="Calibri"/>
          <w:sz w:val="20"/>
          <w:szCs w:val="20"/>
          <w:lang w:val="es-ES"/>
        </w:rPr>
        <w:t xml:space="preserve"> de la Convención Americana. Por lo tanto la Comisión examinará estos alegatos a la luz de la Convención Americana.</w:t>
      </w:r>
      <w:r w:rsidRPr="007971ED">
        <w:rPr>
          <w:rFonts w:asciiTheme="majorHAnsi" w:hAnsiTheme="majorHAnsi" w:cs="Calibri"/>
          <w:sz w:val="20"/>
          <w:szCs w:val="20"/>
          <w:lang w:val="es-ES"/>
        </w:rPr>
        <w:t xml:space="preserve"> </w:t>
      </w:r>
      <w:r w:rsidR="00703CFB" w:rsidRPr="007971ED">
        <w:rPr>
          <w:rFonts w:asciiTheme="majorHAnsi" w:hAnsiTheme="majorHAnsi" w:cs="Calibri"/>
          <w:sz w:val="20"/>
          <w:szCs w:val="20"/>
          <w:lang w:val="es-AR"/>
        </w:rPr>
        <w:t>En relación con el reclamo sobre la presunta violación al</w:t>
      </w:r>
      <w:r w:rsidR="00D65B9F" w:rsidRPr="007971ED">
        <w:rPr>
          <w:rFonts w:asciiTheme="majorHAnsi" w:hAnsiTheme="majorHAnsi" w:cs="Calibri"/>
          <w:sz w:val="20"/>
          <w:szCs w:val="20"/>
          <w:lang w:val="es-AR"/>
        </w:rPr>
        <w:t xml:space="preserve"> artículo X</w:t>
      </w:r>
      <w:r w:rsidR="00703CFB" w:rsidRPr="007971ED">
        <w:rPr>
          <w:rFonts w:asciiTheme="majorHAnsi" w:hAnsiTheme="majorHAnsi" w:cs="Calibri"/>
          <w:sz w:val="20"/>
          <w:szCs w:val="20"/>
          <w:lang w:val="es-AR"/>
        </w:rPr>
        <w:t>V</w:t>
      </w:r>
      <w:r w:rsidR="00D65B9F" w:rsidRPr="007971ED">
        <w:rPr>
          <w:rFonts w:asciiTheme="majorHAnsi" w:hAnsiTheme="majorHAnsi" w:cs="Calibri"/>
          <w:sz w:val="20"/>
          <w:szCs w:val="20"/>
          <w:lang w:val="es-AR"/>
        </w:rPr>
        <w:t>I</w:t>
      </w:r>
      <w:r w:rsidR="00703CFB" w:rsidRPr="007971ED">
        <w:rPr>
          <w:rFonts w:asciiTheme="majorHAnsi" w:hAnsiTheme="majorHAnsi" w:cs="Calibri"/>
          <w:sz w:val="20"/>
          <w:szCs w:val="20"/>
          <w:lang w:val="es-AR"/>
        </w:rPr>
        <w:t xml:space="preserve"> (</w:t>
      </w:r>
      <w:r w:rsidR="00D65B9F" w:rsidRPr="007971ED">
        <w:rPr>
          <w:rFonts w:asciiTheme="majorHAnsi" w:hAnsiTheme="majorHAnsi" w:cs="Calibri"/>
          <w:sz w:val="20"/>
          <w:szCs w:val="20"/>
          <w:lang w:val="es-AR"/>
        </w:rPr>
        <w:t>seguridad social)</w:t>
      </w:r>
      <w:r w:rsidR="00703CFB" w:rsidRPr="007971ED">
        <w:rPr>
          <w:rFonts w:asciiTheme="majorHAnsi" w:hAnsiTheme="majorHAnsi" w:cs="Calibri"/>
          <w:sz w:val="20"/>
          <w:szCs w:val="20"/>
          <w:lang w:val="es-AR"/>
        </w:rPr>
        <w:t xml:space="preserve"> de la Declaración Americana,</w:t>
      </w:r>
      <w:r w:rsidR="007971ED" w:rsidRPr="007971ED">
        <w:rPr>
          <w:rFonts w:asciiTheme="majorHAnsi" w:hAnsiTheme="majorHAnsi" w:cs="Calibri"/>
          <w:sz w:val="20"/>
          <w:szCs w:val="20"/>
          <w:lang w:val="es-AR"/>
        </w:rPr>
        <w:t xml:space="preserve"> adicional a lo expuesto</w:t>
      </w:r>
      <w:r w:rsidR="00BB4AC1">
        <w:rPr>
          <w:rFonts w:asciiTheme="majorHAnsi" w:hAnsiTheme="majorHAnsi" w:cs="Calibri"/>
          <w:sz w:val="20"/>
          <w:szCs w:val="20"/>
          <w:lang w:val="es-AR"/>
        </w:rPr>
        <w:t xml:space="preserve"> referente a la fuente primaria de derecho aplicable</w:t>
      </w:r>
      <w:r w:rsidR="007971ED" w:rsidRPr="007971ED">
        <w:rPr>
          <w:rFonts w:asciiTheme="majorHAnsi" w:hAnsiTheme="majorHAnsi" w:cs="Calibri"/>
          <w:sz w:val="20"/>
          <w:szCs w:val="20"/>
          <w:lang w:val="es-AR"/>
        </w:rPr>
        <w:t xml:space="preserve">, </w:t>
      </w:r>
      <w:r w:rsidR="00BB4AC1">
        <w:rPr>
          <w:rFonts w:asciiTheme="majorHAnsi" w:hAnsiTheme="majorHAnsi" w:cs="Calibri"/>
          <w:sz w:val="20"/>
          <w:szCs w:val="20"/>
          <w:lang w:val="es-AR"/>
        </w:rPr>
        <w:t xml:space="preserve">y </w:t>
      </w:r>
      <w:r w:rsidR="007971ED" w:rsidRPr="007971ED">
        <w:rPr>
          <w:rFonts w:asciiTheme="majorHAnsi" w:hAnsiTheme="majorHAnsi" w:cs="Calibri"/>
          <w:sz w:val="20"/>
          <w:szCs w:val="20"/>
          <w:lang w:val="es-AR"/>
        </w:rPr>
        <w:t>t</w:t>
      </w:r>
      <w:r w:rsidR="00703CFB" w:rsidRPr="007971ED">
        <w:rPr>
          <w:rFonts w:asciiTheme="majorHAnsi" w:hAnsiTheme="majorHAnsi" w:cs="Calibri"/>
          <w:sz w:val="20"/>
          <w:szCs w:val="20"/>
          <w:lang w:val="es-AR"/>
        </w:rPr>
        <w: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Declaración relacionada con el contenido general del artículo 26 antes referido, el análisis de su correspondencia e identidad es propia de la etapa de fondo.</w:t>
      </w:r>
      <w:r w:rsidR="00BB4AC1">
        <w:rPr>
          <w:rFonts w:asciiTheme="majorHAnsi" w:hAnsiTheme="majorHAnsi" w:cs="Calibri"/>
          <w:sz w:val="20"/>
          <w:szCs w:val="20"/>
          <w:lang w:val="es-AR"/>
        </w:rPr>
        <w:t xml:space="preserve"> </w:t>
      </w:r>
    </w:p>
    <w:p w14:paraId="4C266676" w14:textId="77777777" w:rsidR="00703CFB" w:rsidRDefault="00CD2CF6"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AR"/>
        </w:rPr>
      </w:pPr>
      <w:r w:rsidRPr="00703CFB">
        <w:rPr>
          <w:rFonts w:ascii="Cambria" w:hAnsi="Cambria"/>
          <w:sz w:val="20"/>
          <w:szCs w:val="20"/>
          <w:lang w:val="es-ES"/>
        </w:rPr>
        <w:t>Respecto a los alegatos relativos a violaciones a los artículos 3,</w:t>
      </w:r>
      <w:r w:rsidR="008C43ED" w:rsidRPr="00703CFB">
        <w:rPr>
          <w:rFonts w:ascii="Cambria" w:hAnsi="Cambria"/>
          <w:sz w:val="20"/>
          <w:szCs w:val="20"/>
          <w:lang w:val="es-ES"/>
        </w:rPr>
        <w:t xml:space="preserve"> 4,</w:t>
      </w:r>
      <w:r w:rsidRPr="00703CFB">
        <w:rPr>
          <w:rFonts w:ascii="Cambria" w:hAnsi="Cambria"/>
          <w:sz w:val="20"/>
          <w:szCs w:val="20"/>
          <w:lang w:val="es-ES"/>
        </w:rPr>
        <w:t xml:space="preserve"> 10</w:t>
      </w:r>
      <w:r w:rsidR="00644B8B" w:rsidRPr="00703CFB">
        <w:rPr>
          <w:rFonts w:ascii="Cambria" w:hAnsi="Cambria"/>
          <w:sz w:val="20"/>
          <w:szCs w:val="20"/>
          <w:lang w:val="es-ES"/>
        </w:rPr>
        <w:t xml:space="preserve"> </w:t>
      </w:r>
      <w:r w:rsidRPr="00703CFB">
        <w:rPr>
          <w:rFonts w:ascii="Cambria" w:hAnsi="Cambria"/>
          <w:sz w:val="20"/>
          <w:szCs w:val="20"/>
          <w:lang w:val="es-ES"/>
        </w:rPr>
        <w:t xml:space="preserve">y 17 de la Convención Americana así como a los derechos a </w:t>
      </w:r>
      <w:r w:rsidRPr="00BB4AC1">
        <w:rPr>
          <w:rFonts w:ascii="Cambria" w:hAnsi="Cambria"/>
          <w:sz w:val="20"/>
          <w:szCs w:val="20"/>
          <w:lang w:val="es-ES"/>
        </w:rPr>
        <w:t>la</w:t>
      </w:r>
      <w:r w:rsidR="001C1EE2" w:rsidRPr="00BB4AC1">
        <w:rPr>
          <w:rFonts w:ascii="Cambria" w:hAnsi="Cambria"/>
          <w:sz w:val="20"/>
          <w:szCs w:val="20"/>
          <w:lang w:val="es-ES"/>
        </w:rPr>
        <w:t xml:space="preserve"> vida,</w:t>
      </w:r>
      <w:r w:rsidRPr="00BB4AC1">
        <w:rPr>
          <w:rFonts w:ascii="Cambria" w:hAnsi="Cambria"/>
          <w:sz w:val="20"/>
          <w:szCs w:val="20"/>
          <w:lang w:val="es-ES"/>
        </w:rPr>
        <w:t xml:space="preserve"> </w:t>
      </w:r>
      <w:r w:rsidRPr="00BB4AC1">
        <w:rPr>
          <w:rFonts w:ascii="Cambria" w:hAnsi="Cambria"/>
          <w:bCs/>
          <w:sz w:val="19"/>
          <w:szCs w:val="19"/>
          <w:lang w:val="es-ES"/>
        </w:rPr>
        <w:t xml:space="preserve">constitución </w:t>
      </w:r>
      <w:r w:rsidRPr="00703CFB">
        <w:rPr>
          <w:rFonts w:ascii="Cambria" w:hAnsi="Cambria"/>
          <w:bCs/>
          <w:color w:val="000000" w:themeColor="text1"/>
          <w:sz w:val="19"/>
          <w:szCs w:val="19"/>
          <w:lang w:val="es-ES"/>
        </w:rPr>
        <w:t>y protección de la familia, residencia y tránsito, inviolabilidad del domicilio y reconocimiento de la personalidad jurídica y de los derechos civiles, la Comisión considera que no se desprenden del expediente elementos de hecho ni derecho que permitan considerar, ni siquiera prima facie, su posible violación.</w:t>
      </w:r>
    </w:p>
    <w:p w14:paraId="53F1ADB2" w14:textId="77777777" w:rsidR="00703CFB" w:rsidRDefault="00B16647"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AR"/>
        </w:rPr>
      </w:pPr>
      <w:r w:rsidRPr="00703CFB">
        <w:rPr>
          <w:rFonts w:asciiTheme="majorHAnsi" w:hAnsiTheme="majorHAnsi"/>
          <w:sz w:val="20"/>
          <w:szCs w:val="20"/>
          <w:lang w:val="es-ES"/>
        </w:rPr>
        <w:lastRenderedPageBreak/>
        <w:t xml:space="preserve">La Comisión Interamericana carece de competencia </w:t>
      </w:r>
      <w:proofErr w:type="spellStart"/>
      <w:r w:rsidRPr="00BB4AC1">
        <w:rPr>
          <w:rFonts w:asciiTheme="majorHAnsi" w:hAnsiTheme="majorHAnsi"/>
          <w:i/>
          <w:sz w:val="20"/>
          <w:szCs w:val="20"/>
          <w:lang w:val="es-ES"/>
        </w:rPr>
        <w:t>ratione</w:t>
      </w:r>
      <w:proofErr w:type="spellEnd"/>
      <w:r w:rsidRPr="00BB4AC1">
        <w:rPr>
          <w:rFonts w:asciiTheme="majorHAnsi" w:hAnsiTheme="majorHAnsi"/>
          <w:i/>
          <w:sz w:val="20"/>
          <w:szCs w:val="20"/>
          <w:lang w:val="es-ES"/>
        </w:rPr>
        <w:t xml:space="preserve"> </w:t>
      </w:r>
      <w:proofErr w:type="spellStart"/>
      <w:r w:rsidRPr="00BB4AC1">
        <w:rPr>
          <w:rFonts w:asciiTheme="majorHAnsi" w:hAnsiTheme="majorHAnsi"/>
          <w:i/>
          <w:sz w:val="20"/>
          <w:szCs w:val="20"/>
          <w:lang w:val="es-ES"/>
        </w:rPr>
        <w:t>materiae</w:t>
      </w:r>
      <w:proofErr w:type="spellEnd"/>
      <w:r w:rsidRPr="00703CFB">
        <w:rPr>
          <w:rFonts w:asciiTheme="majorHAnsi" w:hAnsiTheme="majorHAnsi"/>
          <w:sz w:val="20"/>
          <w:szCs w:val="20"/>
          <w:lang w:val="es-ES"/>
        </w:rPr>
        <w:t xml:space="preserve"> para pronunciarse  dentro de</w:t>
      </w:r>
      <w:r w:rsidR="00723EDB" w:rsidRPr="00703CFB">
        <w:rPr>
          <w:rFonts w:asciiTheme="majorHAnsi" w:hAnsiTheme="majorHAnsi"/>
          <w:sz w:val="20"/>
          <w:szCs w:val="20"/>
          <w:lang w:val="es-ES"/>
        </w:rPr>
        <w:t xml:space="preserve"> su</w:t>
      </w:r>
      <w:r w:rsidRPr="00703CFB">
        <w:rPr>
          <w:rFonts w:asciiTheme="majorHAnsi" w:hAnsiTheme="majorHAnsi"/>
          <w:sz w:val="20"/>
          <w:szCs w:val="20"/>
          <w:lang w:val="es-ES"/>
        </w:rPr>
        <w:t xml:space="preserve"> procedimiento de peticiones con respecto a posibles violaciones a la Convención Interamericana para la Eliminación </w:t>
      </w:r>
      <w:r w:rsidR="00723EDB" w:rsidRPr="00703CFB">
        <w:rPr>
          <w:rFonts w:asciiTheme="majorHAnsi" w:hAnsiTheme="majorHAnsi"/>
          <w:sz w:val="20"/>
          <w:szCs w:val="20"/>
          <w:lang w:val="es-ES"/>
        </w:rPr>
        <w:t xml:space="preserve">de Todas las Formas de Discriminación Contra las Personas Con Discapacidad y artículos del Protocolo de San Salvador que no sean los contemplados en el artículo 19.6 de ese tratado. </w:t>
      </w:r>
      <w:r w:rsidR="00187508" w:rsidRPr="00703CFB">
        <w:rPr>
          <w:rFonts w:asciiTheme="majorHAnsi" w:hAnsiTheme="majorHAnsi"/>
          <w:sz w:val="20"/>
          <w:szCs w:val="20"/>
          <w:lang w:val="es-ES"/>
        </w:rPr>
        <w:t xml:space="preserve"> </w:t>
      </w:r>
      <w:r w:rsidR="00723EDB" w:rsidRPr="00703CFB">
        <w:rPr>
          <w:rFonts w:asciiTheme="majorHAnsi" w:hAnsiTheme="majorHAnsi"/>
          <w:sz w:val="20"/>
          <w:szCs w:val="20"/>
          <w:lang w:val="es-ES"/>
        </w:rPr>
        <w:t xml:space="preserve">Sin embargo, </w:t>
      </w:r>
      <w:r w:rsidR="00723EDB" w:rsidRPr="00703CFB">
        <w:rPr>
          <w:rFonts w:asciiTheme="majorHAnsi" w:hAnsiTheme="majorHAnsi" w:cs="Calibri"/>
          <w:sz w:val="20"/>
          <w:szCs w:val="20"/>
          <w:lang w:val="es-ES"/>
        </w:rPr>
        <w:t>de conformidad con el artículo 29 de la Convención Americana, la Comisión los puede tomar en cuenta para interpretar y aplicar la Convención Americana y otros instrumentos aplicables.</w:t>
      </w:r>
    </w:p>
    <w:p w14:paraId="501D03BE" w14:textId="79A160D9" w:rsidR="00723EDB" w:rsidRPr="00703CFB" w:rsidRDefault="00723EDB" w:rsidP="00EF13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AR"/>
        </w:rPr>
      </w:pPr>
      <w:r w:rsidRPr="00703CFB">
        <w:rPr>
          <w:rFonts w:asciiTheme="majorHAnsi" w:hAnsiTheme="majorHAnsi" w:cs="Calibri"/>
          <w:sz w:val="20"/>
          <w:szCs w:val="20"/>
          <w:lang w:val="es-ES"/>
        </w:rPr>
        <w:t xml:space="preserve">En cuanto al alegato del Estado relativo a que se pretende que la Comisión actúe como una cuarta instancia, la Comisión observa que al admitir esta petición no pretende suplantar la competencia de las autoridades judiciales domésticas. </w:t>
      </w:r>
      <w:r w:rsidR="00F554FB" w:rsidRPr="00703CFB">
        <w:rPr>
          <w:rFonts w:asciiTheme="majorHAnsi" w:hAnsiTheme="majorHAnsi" w:cs="Calibri"/>
          <w:sz w:val="20"/>
          <w:szCs w:val="20"/>
          <w:lang w:val="es-ES"/>
        </w:rPr>
        <w:t>Por el contrario,</w:t>
      </w:r>
      <w:r w:rsidRPr="00703CFB">
        <w:rPr>
          <w:rFonts w:asciiTheme="majorHAnsi" w:hAnsiTheme="majorHAnsi" w:cs="Calibri"/>
          <w:sz w:val="20"/>
          <w:szCs w:val="20"/>
          <w:lang w:val="es-ES"/>
        </w:rPr>
        <w:t xml:space="preserve"> analizará en la etapa de fondo si los procesos intern</w:t>
      </w:r>
      <w:r w:rsidR="00F554FB" w:rsidRPr="00703CFB">
        <w:rPr>
          <w:rFonts w:asciiTheme="majorHAnsi" w:hAnsiTheme="majorHAnsi" w:cs="Calibri"/>
          <w:sz w:val="20"/>
          <w:szCs w:val="20"/>
          <w:lang w:val="es-ES"/>
        </w:rPr>
        <w:t>os cumplieron con las exigencias de la</w:t>
      </w:r>
      <w:r w:rsidRPr="00703CFB">
        <w:rPr>
          <w:rFonts w:asciiTheme="majorHAnsi" w:hAnsiTheme="majorHAnsi" w:cs="Calibri"/>
          <w:sz w:val="20"/>
          <w:szCs w:val="20"/>
          <w:lang w:val="es-ES"/>
        </w:rPr>
        <w:t xml:space="preserve"> Convención Americana</w:t>
      </w:r>
      <w:r w:rsidR="00F554FB" w:rsidRPr="00703CFB">
        <w:rPr>
          <w:rFonts w:asciiTheme="majorHAnsi" w:hAnsiTheme="majorHAnsi" w:cs="Calibri"/>
          <w:sz w:val="20"/>
          <w:szCs w:val="20"/>
          <w:lang w:val="es-ES"/>
        </w:rPr>
        <w:t>.</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06F95D3E" w:rsidR="003239B8" w:rsidRPr="00006B74" w:rsidRDefault="003239B8" w:rsidP="00EF135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644B8B">
        <w:rPr>
          <w:rFonts w:ascii="Cambria" w:hAnsi="Cambria"/>
          <w:bCs/>
          <w:sz w:val="20"/>
          <w:szCs w:val="20"/>
          <w:lang w:val="es-ES"/>
        </w:rPr>
        <w:t>5, 8, 24, 25 y 26 de la Convención Americana en relación con sus artículos 1.1 y 2</w:t>
      </w:r>
      <w:r w:rsidR="00142577">
        <w:rPr>
          <w:rFonts w:ascii="Cambria" w:hAnsi="Cambria"/>
          <w:bCs/>
          <w:sz w:val="20"/>
          <w:szCs w:val="20"/>
          <w:lang w:val="es-ES"/>
        </w:rPr>
        <w:t xml:space="preserve">, y el artículo XVI de la Declaración Americana; </w:t>
      </w:r>
    </w:p>
    <w:p w14:paraId="570DA61C" w14:textId="0B3DCD7B" w:rsidR="000419AD" w:rsidRPr="00006B74" w:rsidRDefault="000419AD" w:rsidP="00EF135D">
      <w:pPr>
        <w:pStyle w:val="ListParagraph"/>
        <w:numPr>
          <w:ilvl w:val="0"/>
          <w:numId w:val="109"/>
        </w:numPr>
        <w:suppressAutoHyphens/>
        <w:spacing w:after="240"/>
        <w:jc w:val="both"/>
        <w:rPr>
          <w:rFonts w:eastAsia="Arial Unicode MS" w:cs="Times New Roman"/>
          <w:color w:val="auto"/>
          <w:sz w:val="20"/>
          <w:szCs w:val="20"/>
          <w:lang w:val="es-ES" w:eastAsia="en-US"/>
        </w:rPr>
      </w:pPr>
      <w:r w:rsidRPr="00006B74">
        <w:rPr>
          <w:rFonts w:eastAsia="Arial Unicode MS" w:cs="Times New Roman"/>
          <w:color w:val="auto"/>
          <w:sz w:val="20"/>
          <w:szCs w:val="20"/>
          <w:lang w:val="es-ES" w:eastAsia="en-US"/>
        </w:rPr>
        <w:t xml:space="preserve">Declarar </w:t>
      </w:r>
      <w:r w:rsidRPr="00644B8B">
        <w:rPr>
          <w:rFonts w:eastAsia="Arial Unicode MS" w:cs="Times New Roman"/>
          <w:color w:val="auto"/>
          <w:sz w:val="20"/>
          <w:szCs w:val="20"/>
          <w:lang w:val="es-ES" w:eastAsia="en-US"/>
        </w:rPr>
        <w:t xml:space="preserve">inadmisible la </w:t>
      </w:r>
      <w:r w:rsidRPr="00006B74">
        <w:rPr>
          <w:rFonts w:eastAsia="Arial Unicode MS" w:cs="Times New Roman"/>
          <w:color w:val="auto"/>
          <w:sz w:val="20"/>
          <w:szCs w:val="20"/>
          <w:lang w:val="es-ES" w:eastAsia="en-US"/>
        </w:rPr>
        <w:t xml:space="preserve">presente petición en relación con </w:t>
      </w:r>
      <w:r w:rsidR="003A6337" w:rsidRPr="00006B74">
        <w:rPr>
          <w:sz w:val="20"/>
          <w:szCs w:val="20"/>
          <w:lang w:val="es-ES"/>
        </w:rPr>
        <w:t xml:space="preserve">los artículos </w:t>
      </w:r>
      <w:r w:rsidR="00644B8B">
        <w:rPr>
          <w:bCs/>
          <w:color w:val="auto"/>
          <w:sz w:val="20"/>
          <w:szCs w:val="20"/>
          <w:lang w:val="es-ES"/>
        </w:rPr>
        <w:t>3,</w:t>
      </w:r>
      <w:r w:rsidR="008C43ED">
        <w:rPr>
          <w:bCs/>
          <w:color w:val="auto"/>
          <w:sz w:val="20"/>
          <w:szCs w:val="20"/>
          <w:lang w:val="es-ES"/>
        </w:rPr>
        <w:t xml:space="preserve"> 4,</w:t>
      </w:r>
      <w:r w:rsidR="00644B8B">
        <w:rPr>
          <w:bCs/>
          <w:color w:val="auto"/>
          <w:sz w:val="20"/>
          <w:szCs w:val="20"/>
          <w:lang w:val="es-ES"/>
        </w:rPr>
        <w:t xml:space="preserve"> 10 y 17 de la Convención Americana y los derechos a la constitución y protección de la familia, residencia y tránsito, inviolabilidad del domicilio y reconocimiento de la personalidad jurídica y de los derechos civiles </w:t>
      </w:r>
      <w:r w:rsidR="003A6337" w:rsidRPr="00006B74">
        <w:rPr>
          <w:rFonts w:eastAsia="Arial Unicode MS" w:cs="Times New Roman"/>
          <w:color w:val="auto"/>
          <w:sz w:val="20"/>
          <w:szCs w:val="20"/>
          <w:lang w:val="es-ES" w:eastAsia="en-US"/>
        </w:rPr>
        <w:t>;</w:t>
      </w:r>
      <w:r w:rsidR="004A6A54" w:rsidRPr="00006B74">
        <w:rPr>
          <w:rFonts w:eastAsia="Arial Unicode MS" w:cs="Times New Roman"/>
          <w:color w:val="auto"/>
          <w:sz w:val="20"/>
          <w:szCs w:val="20"/>
          <w:lang w:val="es-ES" w:eastAsia="en-US"/>
        </w:rPr>
        <w:t xml:space="preserve"> y</w:t>
      </w:r>
    </w:p>
    <w:p w14:paraId="7CD4DFBD" w14:textId="5DD35814" w:rsidR="003239B8" w:rsidRDefault="004A6A54" w:rsidP="00EF135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644B8B">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7B19C01A" w14:textId="2FA545D8" w:rsidR="00B11F30" w:rsidRPr="00D6615C" w:rsidRDefault="00B11F30" w:rsidP="00EF135D">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sz w:val="20"/>
          <w:szCs w:val="20"/>
          <w:lang w:val="es-ES"/>
        </w:rPr>
      </w:pPr>
      <w:r w:rsidRPr="00D6615C">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5</w:t>
      </w:r>
      <w:r w:rsidRPr="00D6615C">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D6615C">
        <w:rPr>
          <w:rFonts w:ascii="Cambria" w:hAnsi="Cambria"/>
          <w:sz w:val="20"/>
          <w:szCs w:val="20"/>
          <w:lang w:val="es-ES"/>
        </w:rPr>
        <w:t xml:space="preserve"> de 2019.  (Firmado): Esmeralda E. Arosemena Bernal de Troitiño, Presidenta; Joel Hernández García, Primer Vicepresidente; Antonia Urrejola Noguera, Segunda Vicepresidenta; Margarette May Macaulay, Luis Ernesto Vargas Silva y Flávia Piovesan, Miembros de la Comisión.</w:t>
      </w:r>
    </w:p>
    <w:sectPr w:rsidR="00B11F30" w:rsidRPr="00D6615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17B70" w14:textId="77777777" w:rsidR="00440D07" w:rsidRDefault="00440D07">
      <w:r>
        <w:separator/>
      </w:r>
    </w:p>
  </w:endnote>
  <w:endnote w:type="continuationSeparator" w:id="0">
    <w:p w14:paraId="5E8C4F2E" w14:textId="77777777" w:rsidR="00440D07" w:rsidRDefault="0044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52BF" w14:textId="77777777" w:rsidR="008E1617" w:rsidRDefault="008E1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161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8CA2" w14:textId="77777777" w:rsidR="00440D07" w:rsidRPr="000F35ED" w:rsidRDefault="00440D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1916D6" w14:textId="77777777" w:rsidR="00440D07" w:rsidRPr="000F35ED" w:rsidRDefault="00440D07" w:rsidP="000F35ED">
      <w:pPr>
        <w:rPr>
          <w:rFonts w:asciiTheme="majorHAnsi" w:hAnsiTheme="majorHAnsi"/>
          <w:sz w:val="16"/>
          <w:szCs w:val="16"/>
        </w:rPr>
      </w:pPr>
      <w:r w:rsidRPr="000F35ED">
        <w:rPr>
          <w:rFonts w:asciiTheme="majorHAnsi" w:hAnsiTheme="majorHAnsi"/>
          <w:sz w:val="16"/>
          <w:szCs w:val="16"/>
        </w:rPr>
        <w:separator/>
      </w:r>
    </w:p>
    <w:p w14:paraId="3F8DFCB0" w14:textId="77777777" w:rsidR="00440D07" w:rsidRPr="000F35ED" w:rsidRDefault="00440D0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9026DFC" w14:textId="77777777" w:rsidR="00440D07" w:rsidRPr="000F35ED" w:rsidRDefault="00440D0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3F3789FE" w:rsidR="004A6A54" w:rsidRPr="00DB2932" w:rsidRDefault="004A6A54" w:rsidP="000E5BA3">
      <w:pPr>
        <w:pStyle w:val="FootnoteText"/>
        <w:jc w:val="both"/>
        <w:rPr>
          <w:rFonts w:asciiTheme="majorHAnsi" w:hAnsiTheme="majorHAnsi"/>
          <w:color w:val="auto"/>
          <w:sz w:val="16"/>
          <w:szCs w:val="16"/>
          <w:lang w:val="es-ES"/>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ES"/>
        </w:rPr>
        <w:t xml:space="preserve"> </w:t>
      </w:r>
      <w:r w:rsidR="0079481A" w:rsidRPr="00DB2932">
        <w:rPr>
          <w:rFonts w:asciiTheme="majorHAnsi" w:hAnsiTheme="majorHAnsi"/>
          <w:color w:val="auto"/>
          <w:sz w:val="16"/>
          <w:szCs w:val="16"/>
          <w:lang w:val="es-ES"/>
        </w:rPr>
        <w:t>Conforme a lo dispuesto en el artículo 17.2.a del Reglamento de la Comisión, el Comisionado Francisco José Eguiguren Praeli, de nacionalidad Peruana, no participó en el debate ni en la decisión del presente asunto.</w:t>
      </w:r>
    </w:p>
  </w:footnote>
  <w:footnote w:id="3">
    <w:p w14:paraId="215EEB52" w14:textId="3D2F5FA7" w:rsidR="00BF514A" w:rsidRPr="00DB2932" w:rsidRDefault="00BF514A" w:rsidP="000E5BA3">
      <w:pPr>
        <w:pStyle w:val="FootnoteText"/>
        <w:jc w:val="both"/>
        <w:rPr>
          <w:rFonts w:asciiTheme="majorHAnsi" w:hAnsiTheme="majorHAnsi"/>
          <w:color w:val="auto"/>
          <w:sz w:val="16"/>
          <w:szCs w:val="16"/>
          <w:lang w:val="es-ES"/>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ES"/>
        </w:rPr>
        <w:t xml:space="preserve"> En adelante “la Convención Americana” o “la Convención”.</w:t>
      </w:r>
    </w:p>
  </w:footnote>
  <w:footnote w:id="4">
    <w:p w14:paraId="76D88C2B" w14:textId="42A3EBE7" w:rsidR="00661934" w:rsidRPr="00DB2932" w:rsidRDefault="00661934" w:rsidP="000E5BA3">
      <w:pPr>
        <w:pStyle w:val="FootnoteText"/>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En adelante “la Declaración Americana” o “la Declaración”.</w:t>
      </w:r>
    </w:p>
  </w:footnote>
  <w:footnote w:id="5">
    <w:p w14:paraId="67B8771C" w14:textId="009EB646" w:rsidR="001D5A20" w:rsidRPr="00DB2932" w:rsidRDefault="001D5A20" w:rsidP="000E5BA3">
      <w:pPr>
        <w:pStyle w:val="FootnoteText"/>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Protocolo Adicional a la Convención Americana Sobre Derechos Humanos en Materia de Derechos Económicos, Sociales y Culturales “Protocolo de San Salvador” y Convención Interamericana Para la Eliminación de Todas las Formas de Discriminación Contra las Personas con Discapacidad. </w:t>
      </w:r>
    </w:p>
  </w:footnote>
  <w:footnote w:id="6">
    <w:p w14:paraId="79F07139" w14:textId="77777777" w:rsidR="008E3BFE" w:rsidRPr="00DB2932" w:rsidRDefault="008E3BFE" w:rsidP="000E5BA3">
      <w:pPr>
        <w:pStyle w:val="FootnoteText"/>
        <w:jc w:val="both"/>
        <w:rPr>
          <w:rFonts w:ascii="Cambria" w:hAnsi="Cambria"/>
          <w:color w:val="auto"/>
          <w:sz w:val="16"/>
          <w:szCs w:val="16"/>
          <w:lang w:val="es-ES"/>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ES"/>
        </w:rPr>
        <w:t xml:space="preserve"> Las observaciones de cada parte fueron debidamente trasladadas a la parte contraria.</w:t>
      </w:r>
    </w:p>
  </w:footnote>
  <w:footnote w:id="7">
    <w:p w14:paraId="0C469FE1" w14:textId="4B554972" w:rsidR="00A706AE" w:rsidRPr="00DB2932" w:rsidRDefault="00A706AE" w:rsidP="00D8037A">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Relata que por motivo de la apertura del año académico fue </w:t>
      </w:r>
      <w:r w:rsidR="00AB4847" w:rsidRPr="00DB2932">
        <w:rPr>
          <w:rFonts w:asciiTheme="majorHAnsi" w:hAnsiTheme="majorHAnsi"/>
          <w:color w:val="auto"/>
          <w:sz w:val="16"/>
          <w:szCs w:val="16"/>
          <w:lang w:val="es-PA"/>
        </w:rPr>
        <w:t xml:space="preserve">amenazado de muerte y secuestrado </w:t>
      </w:r>
      <w:r w:rsidRPr="00DB2932">
        <w:rPr>
          <w:rFonts w:asciiTheme="majorHAnsi" w:hAnsiTheme="majorHAnsi"/>
          <w:color w:val="auto"/>
          <w:sz w:val="16"/>
          <w:szCs w:val="16"/>
          <w:lang w:val="es-PA"/>
        </w:rPr>
        <w:t xml:space="preserve">junto </w:t>
      </w:r>
      <w:r w:rsidR="00AB4847" w:rsidRPr="00DB2932">
        <w:rPr>
          <w:rFonts w:asciiTheme="majorHAnsi" w:hAnsiTheme="majorHAnsi"/>
          <w:color w:val="auto"/>
          <w:sz w:val="16"/>
          <w:szCs w:val="16"/>
          <w:lang w:val="es-PA"/>
        </w:rPr>
        <w:t xml:space="preserve">a otro decano de la universidad, siendo privado de su libertad por 24 horas; que fue objeto de robo y violación de los muebles de su facultad; </w:t>
      </w:r>
      <w:r w:rsidR="00D8037A" w:rsidRPr="00DB2932">
        <w:rPr>
          <w:rFonts w:asciiTheme="majorHAnsi" w:hAnsiTheme="majorHAnsi"/>
          <w:color w:val="auto"/>
          <w:sz w:val="16"/>
          <w:szCs w:val="16"/>
          <w:lang w:val="es-PA"/>
        </w:rPr>
        <w:t>y que en una ocasión le d</w:t>
      </w:r>
      <w:r w:rsidR="002E2AF1" w:rsidRPr="00DB2932">
        <w:rPr>
          <w:rFonts w:asciiTheme="majorHAnsi" w:hAnsiTheme="majorHAnsi"/>
          <w:color w:val="auto"/>
          <w:sz w:val="16"/>
          <w:szCs w:val="16"/>
          <w:lang w:val="es-PA"/>
        </w:rPr>
        <w:t xml:space="preserve">ispararon a su auto, matando </w:t>
      </w:r>
      <w:r w:rsidR="00D8037A" w:rsidRPr="00DB2932">
        <w:rPr>
          <w:rFonts w:asciiTheme="majorHAnsi" w:hAnsiTheme="majorHAnsi"/>
          <w:color w:val="auto"/>
          <w:sz w:val="16"/>
          <w:szCs w:val="16"/>
          <w:lang w:val="es-PA"/>
        </w:rPr>
        <w:t>con tres balazos al ex-decano de la facultad quien le acompañaba, siendo identificados los responsables de éste acto como grupos terroristas.</w:t>
      </w:r>
    </w:p>
  </w:footnote>
  <w:footnote w:id="8">
    <w:p w14:paraId="1D48656E" w14:textId="6D07C1AF" w:rsidR="0045298A" w:rsidRPr="00DB2932" w:rsidRDefault="0045298A" w:rsidP="00250656">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Señala </w:t>
      </w:r>
      <w:r w:rsidR="00AE5101" w:rsidRPr="00DB2932">
        <w:rPr>
          <w:rFonts w:asciiTheme="majorHAnsi" w:hAnsiTheme="majorHAnsi"/>
          <w:color w:val="auto"/>
          <w:sz w:val="16"/>
          <w:szCs w:val="16"/>
          <w:lang w:val="es-PA"/>
        </w:rPr>
        <w:t xml:space="preserve">que esta ley establece que las pensiones de los docentes se otorgan con base al último sueldo, el que en su caso es equivalente </w:t>
      </w:r>
      <w:r w:rsidR="00250656" w:rsidRPr="00DB2932">
        <w:rPr>
          <w:rFonts w:asciiTheme="majorHAnsi" w:hAnsiTheme="majorHAnsi"/>
          <w:color w:val="auto"/>
          <w:sz w:val="16"/>
          <w:szCs w:val="16"/>
          <w:lang w:val="es-PA"/>
        </w:rPr>
        <w:t>a la de un vice-ministro de Estado por pertenecer al V nivel magisterial.</w:t>
      </w:r>
    </w:p>
  </w:footnote>
  <w:footnote w:id="9">
    <w:p w14:paraId="758AF18E" w14:textId="0E1DE2F6" w:rsidR="00497114" w:rsidRPr="00DB2932" w:rsidRDefault="00497114" w:rsidP="00497114">
      <w:pPr>
        <w:pStyle w:val="FootnoteText"/>
        <w:ind w:firstLine="720"/>
        <w:jc w:val="both"/>
        <w:rPr>
          <w:color w:val="auto"/>
          <w:sz w:val="16"/>
          <w:szCs w:val="16"/>
          <w:lang w:val="es-PA"/>
        </w:rPr>
      </w:pPr>
      <w:r w:rsidRPr="00DB2932">
        <w:rPr>
          <w:rStyle w:val="FootnoteReference"/>
          <w:color w:val="auto"/>
          <w:sz w:val="16"/>
          <w:szCs w:val="16"/>
        </w:rPr>
        <w:footnoteRef/>
      </w:r>
      <w:r w:rsidRPr="00DB2932">
        <w:rPr>
          <w:color w:val="auto"/>
          <w:sz w:val="16"/>
          <w:szCs w:val="16"/>
          <w:lang w:val="es-PA"/>
        </w:rPr>
        <w:t xml:space="preserve"> Alega que, entre otras, le corresponde</w:t>
      </w:r>
      <w:r w:rsidR="00CE7107" w:rsidRPr="00DB2932">
        <w:rPr>
          <w:color w:val="auto"/>
          <w:sz w:val="16"/>
          <w:szCs w:val="16"/>
          <w:lang w:val="es-PA"/>
        </w:rPr>
        <w:t xml:space="preserve"> un adicional del 10% de su remuneración </w:t>
      </w:r>
      <w:r w:rsidRPr="00DB2932">
        <w:rPr>
          <w:color w:val="auto"/>
          <w:sz w:val="16"/>
          <w:szCs w:val="16"/>
          <w:lang w:val="es-PA"/>
        </w:rPr>
        <w:t>por razón de su grado acad</w:t>
      </w:r>
      <w:r w:rsidR="00CE7107" w:rsidRPr="00DB2932">
        <w:rPr>
          <w:color w:val="auto"/>
          <w:sz w:val="16"/>
          <w:szCs w:val="16"/>
          <w:lang w:val="es-PA"/>
        </w:rPr>
        <w:t xml:space="preserve">émico y otro también del 10% por haber sido condecorado con las palmas magisteriales del Perú. </w:t>
      </w:r>
    </w:p>
  </w:footnote>
  <w:footnote w:id="10">
    <w:p w14:paraId="2EE1EA46" w14:textId="262F9B2B" w:rsidR="009E5546" w:rsidRPr="00DB2932" w:rsidRDefault="009E5546" w:rsidP="009E5546">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Alega que, incluso con base a este número de años de servicio se le debió otorgar una pensión</w:t>
      </w:r>
      <w:r w:rsidR="00990351" w:rsidRPr="00DB2932">
        <w:rPr>
          <w:rFonts w:asciiTheme="majorHAnsi" w:hAnsiTheme="majorHAnsi"/>
          <w:color w:val="auto"/>
          <w:sz w:val="16"/>
          <w:szCs w:val="16"/>
          <w:lang w:val="es-PA"/>
        </w:rPr>
        <w:t xml:space="preserve"> porque la ley establece que el trabajador adquiere el derecho a pensión al alcanzar 15 años de servicio si es hombre.</w:t>
      </w:r>
    </w:p>
  </w:footnote>
  <w:footnote w:id="11">
    <w:p w14:paraId="236F4F54" w14:textId="6FA40204" w:rsidR="00B74D1A" w:rsidRPr="00DB2932" w:rsidRDefault="00B74D1A" w:rsidP="00B74D1A">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Alega que por ley se le debía reconocer no menos de 4 años por formación profesional por razón de sus grados y  títulos.</w:t>
      </w:r>
    </w:p>
  </w:footnote>
  <w:footnote w:id="12">
    <w:p w14:paraId="6CB13BF9" w14:textId="377C426E" w:rsidR="00DC4386" w:rsidRPr="00DB2932" w:rsidRDefault="00DC4386" w:rsidP="00DC4386">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w:t>
      </w:r>
      <w:r w:rsidR="0034472F" w:rsidRPr="00DB2932">
        <w:rPr>
          <w:rFonts w:asciiTheme="majorHAnsi" w:hAnsiTheme="majorHAnsi"/>
          <w:color w:val="auto"/>
          <w:sz w:val="16"/>
          <w:szCs w:val="16"/>
          <w:lang w:val="es-PA"/>
        </w:rPr>
        <w:t>Según señala</w:t>
      </w:r>
      <w:r w:rsidR="002F0402" w:rsidRPr="00DB2932">
        <w:rPr>
          <w:rFonts w:asciiTheme="majorHAnsi" w:hAnsiTheme="majorHAnsi"/>
          <w:color w:val="auto"/>
          <w:sz w:val="16"/>
          <w:szCs w:val="16"/>
          <w:lang w:val="es-PA"/>
        </w:rPr>
        <w:t>,</w:t>
      </w:r>
      <w:r w:rsidRPr="00DB2932">
        <w:rPr>
          <w:rFonts w:asciiTheme="majorHAnsi" w:hAnsiTheme="majorHAnsi"/>
          <w:color w:val="auto"/>
          <w:sz w:val="16"/>
          <w:szCs w:val="16"/>
          <w:lang w:val="es-PA"/>
        </w:rPr>
        <w:t xml:space="preserve"> Petición de 31 de agosto de 2012 por la que solicita pago de oficio de su pensión docente; </w:t>
      </w:r>
      <w:r w:rsidR="007E0983" w:rsidRPr="00DB2932">
        <w:rPr>
          <w:rFonts w:asciiTheme="majorHAnsi" w:hAnsiTheme="majorHAnsi"/>
          <w:color w:val="auto"/>
          <w:sz w:val="16"/>
          <w:szCs w:val="16"/>
          <w:lang w:val="es-PA"/>
        </w:rPr>
        <w:t>Queja de 19 de mayo de 2013 por ante el Ministerio de Educación por la Paralización Administrativa del Expediente</w:t>
      </w:r>
      <w:r w:rsidR="0034472F" w:rsidRPr="00DB2932">
        <w:rPr>
          <w:rFonts w:asciiTheme="majorHAnsi" w:hAnsiTheme="majorHAnsi"/>
          <w:color w:val="auto"/>
          <w:sz w:val="16"/>
          <w:szCs w:val="16"/>
          <w:lang w:val="es-PA"/>
        </w:rPr>
        <w:t xml:space="preserve">; </w:t>
      </w:r>
      <w:r w:rsidR="007E0983" w:rsidRPr="00DB2932">
        <w:rPr>
          <w:rFonts w:asciiTheme="majorHAnsi" w:hAnsiTheme="majorHAnsi"/>
          <w:color w:val="auto"/>
          <w:sz w:val="16"/>
          <w:szCs w:val="16"/>
          <w:lang w:val="es-PA"/>
        </w:rPr>
        <w:t>Nulidad/Queja de 5 de septiembre de 2014 interpuesta ante el Director de la UGEL; Queja de 10 de septiembre de 2014 ante el Ministerio de Educación por paralización administrativa; Petición de 26 de septiembre de 2014 dirigida al director de la UGEL</w:t>
      </w:r>
      <w:r w:rsidR="00480B65" w:rsidRPr="00DB2932">
        <w:rPr>
          <w:rFonts w:asciiTheme="majorHAnsi" w:hAnsiTheme="majorHAnsi"/>
          <w:color w:val="auto"/>
          <w:sz w:val="16"/>
          <w:szCs w:val="16"/>
          <w:lang w:val="es-PA"/>
        </w:rPr>
        <w:t xml:space="preserve"> sobre subsanación y reproducir in-extenso sus peticiones de</w:t>
      </w:r>
      <w:r w:rsidR="00C474B8">
        <w:rPr>
          <w:rFonts w:asciiTheme="majorHAnsi" w:hAnsiTheme="majorHAnsi"/>
          <w:color w:val="auto"/>
          <w:sz w:val="16"/>
          <w:szCs w:val="16"/>
          <w:lang w:val="es-PA"/>
        </w:rPr>
        <w:t xml:space="preserve"> </w:t>
      </w:r>
      <w:r w:rsidR="00480B65" w:rsidRPr="00DB2932">
        <w:rPr>
          <w:rFonts w:asciiTheme="majorHAnsi" w:hAnsiTheme="majorHAnsi"/>
          <w:color w:val="auto"/>
          <w:sz w:val="16"/>
          <w:szCs w:val="16"/>
          <w:lang w:val="es-PA"/>
        </w:rPr>
        <w:t>l</w:t>
      </w:r>
      <w:r w:rsidR="00C474B8">
        <w:rPr>
          <w:rFonts w:asciiTheme="majorHAnsi" w:hAnsiTheme="majorHAnsi"/>
          <w:color w:val="auto"/>
          <w:sz w:val="16"/>
          <w:szCs w:val="16"/>
          <w:lang w:val="es-PA"/>
        </w:rPr>
        <w:t>os</w:t>
      </w:r>
      <w:r w:rsidR="00480B65" w:rsidRPr="00DB2932">
        <w:rPr>
          <w:rFonts w:asciiTheme="majorHAnsi" w:hAnsiTheme="majorHAnsi"/>
          <w:color w:val="auto"/>
          <w:sz w:val="16"/>
          <w:szCs w:val="16"/>
          <w:lang w:val="es-PA"/>
        </w:rPr>
        <w:t xml:space="preserve"> años 2012, 2013 y 2014; Petición de 3 de octubre de 2014 al director y al jefe administrativo de la UGEL reproduciendo in-extenso su petici</w:t>
      </w:r>
      <w:r w:rsidR="007B545A" w:rsidRPr="00DB2932">
        <w:rPr>
          <w:rFonts w:asciiTheme="majorHAnsi" w:hAnsiTheme="majorHAnsi"/>
          <w:color w:val="auto"/>
          <w:sz w:val="16"/>
          <w:szCs w:val="16"/>
          <w:lang w:val="es-PA"/>
        </w:rPr>
        <w:t>ón de pago de cesa</w:t>
      </w:r>
      <w:r w:rsidR="00480B65" w:rsidRPr="00DB2932">
        <w:rPr>
          <w:rFonts w:asciiTheme="majorHAnsi" w:hAnsiTheme="majorHAnsi"/>
          <w:color w:val="auto"/>
          <w:sz w:val="16"/>
          <w:szCs w:val="16"/>
          <w:lang w:val="es-PA"/>
        </w:rPr>
        <w:t>ntía docente de los exp</w:t>
      </w:r>
      <w:r w:rsidR="00C474B8">
        <w:rPr>
          <w:rFonts w:asciiTheme="majorHAnsi" w:hAnsiTheme="majorHAnsi"/>
          <w:color w:val="auto"/>
          <w:sz w:val="16"/>
          <w:szCs w:val="16"/>
          <w:lang w:val="es-PA"/>
        </w:rPr>
        <w:t>edientes administrativos de 2012</w:t>
      </w:r>
      <w:r w:rsidR="00480B65" w:rsidRPr="00DB2932">
        <w:rPr>
          <w:rFonts w:asciiTheme="majorHAnsi" w:hAnsiTheme="majorHAnsi"/>
          <w:color w:val="auto"/>
          <w:sz w:val="16"/>
          <w:szCs w:val="16"/>
          <w:lang w:val="es-PA"/>
        </w:rPr>
        <w:t xml:space="preserve">, 2013 y 2014; </w:t>
      </w:r>
      <w:r w:rsidR="004C3478" w:rsidRPr="00DB2932">
        <w:rPr>
          <w:rFonts w:asciiTheme="majorHAnsi" w:hAnsiTheme="majorHAnsi"/>
          <w:color w:val="auto"/>
          <w:sz w:val="16"/>
          <w:szCs w:val="16"/>
          <w:lang w:val="es-PA"/>
        </w:rPr>
        <w:t xml:space="preserve">Queja de 31 de octubre de 2014 al director de la UGEL por paralización administrativa con signos delictivos; Queja de 12 de noviembre de 2014 al director de la UGEL por paralización administrativa y reincidir en solicitar documentación prohibida por ley; Queja de </w:t>
      </w:r>
      <w:r w:rsidR="003308F7" w:rsidRPr="00DB2932">
        <w:rPr>
          <w:rFonts w:asciiTheme="majorHAnsi" w:hAnsiTheme="majorHAnsi"/>
          <w:color w:val="auto"/>
          <w:sz w:val="16"/>
          <w:szCs w:val="16"/>
          <w:lang w:val="es-PA"/>
        </w:rPr>
        <w:t>12 de noviembre de 2014 ante el ministro de educación por la paralización administrativa de la UGEL; Queja y nulidad de 22 de mayo de 2015.</w:t>
      </w:r>
    </w:p>
  </w:footnote>
  <w:footnote w:id="13">
    <w:p w14:paraId="4160C104" w14:textId="516D7023" w:rsidR="0076241A" w:rsidRPr="00DB2932" w:rsidRDefault="0076241A" w:rsidP="0076241A">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w:t>
      </w:r>
      <w:r w:rsidR="00DB2932" w:rsidRPr="00DB2932">
        <w:rPr>
          <w:rFonts w:asciiTheme="majorHAnsi" w:hAnsiTheme="majorHAnsi"/>
          <w:color w:val="auto"/>
          <w:sz w:val="16"/>
          <w:szCs w:val="16"/>
          <w:lang w:val="es-ES"/>
        </w:rPr>
        <w:t>En este respecto, resalta que</w:t>
      </w:r>
      <w:r w:rsidRPr="00DB2932">
        <w:rPr>
          <w:rFonts w:asciiTheme="majorHAnsi" w:hAnsiTheme="majorHAnsi"/>
          <w:color w:val="auto"/>
          <w:sz w:val="16"/>
          <w:szCs w:val="16"/>
          <w:lang w:val="es-ES"/>
        </w:rPr>
        <w:t xml:space="preserve"> tribunal demoró más de cuatro años para expedir la resolución</w:t>
      </w:r>
      <w:r w:rsidR="00C1690A" w:rsidRPr="00DB2932">
        <w:rPr>
          <w:rFonts w:asciiTheme="majorHAnsi" w:hAnsiTheme="majorHAnsi"/>
          <w:color w:val="auto"/>
          <w:sz w:val="16"/>
          <w:szCs w:val="16"/>
          <w:lang w:val="es-ES"/>
        </w:rPr>
        <w:t xml:space="preserve"> No.1 de todo</w:t>
      </w:r>
      <w:r w:rsidRPr="00DB2932">
        <w:rPr>
          <w:rFonts w:asciiTheme="majorHAnsi" w:hAnsiTheme="majorHAnsi"/>
          <w:color w:val="auto"/>
          <w:sz w:val="16"/>
          <w:szCs w:val="16"/>
          <w:lang w:val="es-ES"/>
        </w:rPr>
        <w:t xml:space="preserve"> el expediente, respecto a la que luego le concedió al ministerio apelación con efectos suspensivos</w:t>
      </w:r>
      <w:r w:rsidR="00D73844" w:rsidRPr="00DB2932">
        <w:rPr>
          <w:rFonts w:asciiTheme="majorHAnsi" w:hAnsiTheme="majorHAnsi"/>
          <w:color w:val="auto"/>
          <w:sz w:val="16"/>
          <w:szCs w:val="16"/>
          <w:lang w:val="es-ES"/>
        </w:rPr>
        <w:t>.</w:t>
      </w:r>
      <w:r w:rsidR="00DB2932" w:rsidRPr="00DB2932">
        <w:rPr>
          <w:rFonts w:asciiTheme="majorHAnsi" w:hAnsiTheme="majorHAnsi"/>
          <w:color w:val="auto"/>
          <w:sz w:val="16"/>
          <w:szCs w:val="16"/>
          <w:shd w:val="clear" w:color="auto" w:fill="92D050"/>
          <w:lang w:val="es-ES"/>
        </w:rPr>
        <w:t xml:space="preserve"> </w:t>
      </w:r>
    </w:p>
  </w:footnote>
  <w:footnote w:id="14">
    <w:p w14:paraId="50F3FA4F" w14:textId="63688AF3" w:rsidR="00A26161" w:rsidRPr="00DB2932" w:rsidRDefault="00A26161" w:rsidP="00A26161">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La Comisión toma nota que el peticionario </w:t>
      </w:r>
      <w:r w:rsidR="00062FA7" w:rsidRPr="00DB2932">
        <w:rPr>
          <w:rFonts w:asciiTheme="majorHAnsi" w:hAnsiTheme="majorHAnsi"/>
          <w:color w:val="auto"/>
          <w:sz w:val="16"/>
          <w:szCs w:val="16"/>
          <w:lang w:val="es-PA"/>
        </w:rPr>
        <w:t xml:space="preserve">considera que los </w:t>
      </w:r>
      <w:r w:rsidRPr="00DB2932">
        <w:rPr>
          <w:rFonts w:asciiTheme="majorHAnsi" w:hAnsiTheme="majorHAnsi"/>
          <w:color w:val="auto"/>
          <w:sz w:val="16"/>
          <w:szCs w:val="16"/>
          <w:lang w:val="es-PA"/>
        </w:rPr>
        <w:t>agentes que responden en nombre del Estado</w:t>
      </w:r>
      <w:r w:rsidR="00062FA7" w:rsidRPr="00DB2932">
        <w:rPr>
          <w:rFonts w:asciiTheme="majorHAnsi" w:hAnsiTheme="majorHAnsi"/>
          <w:color w:val="auto"/>
          <w:sz w:val="16"/>
          <w:szCs w:val="16"/>
          <w:lang w:val="es-PA"/>
        </w:rPr>
        <w:t xml:space="preserve"> no se encuentran debidamente acreditado</w:t>
      </w:r>
      <w:r w:rsidR="00A606C2" w:rsidRPr="00DB2932">
        <w:rPr>
          <w:rFonts w:asciiTheme="majorHAnsi" w:hAnsiTheme="majorHAnsi"/>
          <w:color w:val="auto"/>
          <w:sz w:val="16"/>
          <w:szCs w:val="16"/>
          <w:lang w:val="es-PA"/>
        </w:rPr>
        <w:t>s</w:t>
      </w:r>
      <w:r w:rsidR="00062FA7" w:rsidRPr="00DB2932">
        <w:rPr>
          <w:rFonts w:asciiTheme="majorHAnsi" w:hAnsiTheme="majorHAnsi"/>
          <w:color w:val="auto"/>
          <w:sz w:val="16"/>
          <w:szCs w:val="16"/>
          <w:lang w:val="es-PA"/>
        </w:rPr>
        <w:t xml:space="preserve"> conforme a derecho interno. Sin embargo, la Comisión </w:t>
      </w:r>
      <w:r w:rsidR="00A606C2" w:rsidRPr="00DB2932">
        <w:rPr>
          <w:rFonts w:asciiTheme="majorHAnsi" w:hAnsiTheme="majorHAnsi"/>
          <w:color w:val="auto"/>
          <w:sz w:val="16"/>
          <w:szCs w:val="16"/>
          <w:lang w:val="es-PA"/>
        </w:rPr>
        <w:t>no encuentra elementos para desconocer la capacidad de la Procuraduría Pública Especializada Supranacional para responder en nombre del Estado en el presente trámite de admisibilidad.</w:t>
      </w:r>
    </w:p>
  </w:footnote>
  <w:footnote w:id="15">
    <w:p w14:paraId="54FFD13F" w14:textId="547FFBA0" w:rsidR="001170F5" w:rsidRPr="00DB2932" w:rsidRDefault="001170F5" w:rsidP="00001568">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No </w:t>
      </w:r>
      <w:r w:rsidR="004F4BC9" w:rsidRPr="00DB2932">
        <w:rPr>
          <w:rFonts w:asciiTheme="majorHAnsi" w:hAnsiTheme="majorHAnsi"/>
          <w:color w:val="auto"/>
          <w:sz w:val="16"/>
          <w:szCs w:val="16"/>
          <w:lang w:val="es-PA"/>
        </w:rPr>
        <w:t>mantenía ví</w:t>
      </w:r>
      <w:r w:rsidR="00001568" w:rsidRPr="00DB2932">
        <w:rPr>
          <w:rFonts w:asciiTheme="majorHAnsi" w:hAnsiTheme="majorHAnsi"/>
          <w:color w:val="auto"/>
          <w:sz w:val="16"/>
          <w:szCs w:val="16"/>
          <w:lang w:val="es-PA"/>
        </w:rPr>
        <w:t xml:space="preserve">nculo laboral vigente ni se encontraba aportando al régimen pensionario del Decreto Ley 19990 </w:t>
      </w:r>
      <w:r w:rsidRPr="00DB2932">
        <w:rPr>
          <w:rFonts w:asciiTheme="majorHAnsi" w:hAnsiTheme="majorHAnsi"/>
          <w:color w:val="auto"/>
          <w:sz w:val="16"/>
          <w:szCs w:val="16"/>
          <w:lang w:val="es-PA"/>
        </w:rPr>
        <w:t xml:space="preserve"> al entrar en vigencia la ley No. 25212 el 21 de mayo de 1990 </w:t>
      </w:r>
    </w:p>
  </w:footnote>
  <w:footnote w:id="16">
    <w:p w14:paraId="294AC2F8" w14:textId="22755AC1" w:rsidR="00D05D0C" w:rsidRPr="00DB2932" w:rsidRDefault="00D05D0C" w:rsidP="00D05D0C">
      <w:pPr>
        <w:pStyle w:val="FootnoteText"/>
        <w:ind w:firstLine="720"/>
        <w:jc w:val="both"/>
        <w:rPr>
          <w:rFonts w:asciiTheme="majorHAnsi" w:hAnsiTheme="majorHAnsi"/>
          <w:color w:val="auto"/>
          <w:sz w:val="16"/>
          <w:szCs w:val="16"/>
          <w:lang w:val="es-PA"/>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PA"/>
        </w:rPr>
        <w:t xml:space="preserve"> </w:t>
      </w:r>
      <w:r w:rsidRPr="00DB2932">
        <w:rPr>
          <w:rFonts w:asciiTheme="majorHAnsi" w:hAnsiTheme="majorHAnsi"/>
          <w:color w:val="auto"/>
          <w:sz w:val="16"/>
          <w:szCs w:val="16"/>
          <w:lang w:val="es-ES"/>
        </w:rPr>
        <w:t xml:space="preserve">CIDH, Informe No. 35/16, Petición 4480-02. Admisibilidad. Carlos Manuel </w:t>
      </w:r>
      <w:proofErr w:type="spellStart"/>
      <w:r w:rsidRPr="00DB2932">
        <w:rPr>
          <w:rFonts w:asciiTheme="majorHAnsi" w:hAnsiTheme="majorHAnsi"/>
          <w:color w:val="auto"/>
          <w:sz w:val="16"/>
          <w:szCs w:val="16"/>
          <w:lang w:val="es-ES"/>
        </w:rPr>
        <w:t>Veraza</w:t>
      </w:r>
      <w:proofErr w:type="spellEnd"/>
      <w:r w:rsidRPr="00DB2932">
        <w:rPr>
          <w:rFonts w:asciiTheme="majorHAnsi" w:hAnsiTheme="majorHAnsi"/>
          <w:color w:val="auto"/>
          <w:sz w:val="16"/>
          <w:szCs w:val="16"/>
          <w:lang w:val="es-ES"/>
        </w:rPr>
        <w:t xml:space="preserve"> </w:t>
      </w:r>
      <w:proofErr w:type="spellStart"/>
      <w:r w:rsidRPr="00DB2932">
        <w:rPr>
          <w:rFonts w:asciiTheme="majorHAnsi" w:hAnsiTheme="majorHAnsi"/>
          <w:color w:val="auto"/>
          <w:sz w:val="16"/>
          <w:szCs w:val="16"/>
          <w:lang w:val="es-ES"/>
        </w:rPr>
        <w:t>Urtusuástegui</w:t>
      </w:r>
      <w:proofErr w:type="spellEnd"/>
      <w:r w:rsidRPr="00DB2932">
        <w:rPr>
          <w:rFonts w:asciiTheme="majorHAnsi" w:hAnsiTheme="majorHAnsi"/>
          <w:color w:val="auto"/>
          <w:sz w:val="16"/>
          <w:szCs w:val="16"/>
          <w:lang w:val="es-ES"/>
        </w:rPr>
        <w:t>. México. 29 de julio de 2016, párr. 33.</w:t>
      </w:r>
    </w:p>
  </w:footnote>
  <w:footnote w:id="17">
    <w:p w14:paraId="2E7759FA" w14:textId="62D92FA3" w:rsidR="00734716" w:rsidRPr="00DB2932" w:rsidRDefault="00734716" w:rsidP="00734716">
      <w:pPr>
        <w:pStyle w:val="FootnoteText"/>
        <w:jc w:val="both"/>
        <w:rPr>
          <w:rFonts w:asciiTheme="majorHAnsi" w:hAnsiTheme="majorHAnsi"/>
          <w:color w:val="auto"/>
          <w:sz w:val="16"/>
          <w:szCs w:val="16"/>
          <w:lang w:val="es-ES"/>
        </w:rPr>
      </w:pPr>
      <w:r w:rsidRPr="00DB2932">
        <w:rPr>
          <w:rFonts w:asciiTheme="majorHAnsi" w:hAnsiTheme="majorHAnsi"/>
          <w:color w:val="auto"/>
          <w:sz w:val="16"/>
          <w:szCs w:val="16"/>
          <w:lang w:val="es-ES"/>
        </w:rPr>
        <w:tab/>
      </w:r>
      <w:r w:rsidRPr="00DB2932">
        <w:rPr>
          <w:rStyle w:val="FootnoteReference"/>
          <w:rFonts w:asciiTheme="majorHAnsi" w:hAnsiTheme="majorHAnsi"/>
          <w:color w:val="auto"/>
          <w:sz w:val="16"/>
          <w:szCs w:val="16"/>
          <w:lang w:val="es-ES"/>
        </w:rPr>
        <w:footnoteRef/>
      </w:r>
      <w:r w:rsidRPr="00DB2932">
        <w:rPr>
          <w:rFonts w:asciiTheme="majorHAnsi" w:hAnsiTheme="majorHAnsi"/>
          <w:color w:val="auto"/>
          <w:sz w:val="16"/>
          <w:szCs w:val="16"/>
          <w:lang w:val="es-ES"/>
        </w:rPr>
        <w:t xml:space="preserve"> CIDH, Informe No. 26/16, Petición 932-06. Inadmisibilidad. Rómulo Jonás Ponce Santamaría. Perú. 15 de abril de 2016, párr. </w:t>
      </w:r>
      <w:r w:rsidR="00C474B8">
        <w:rPr>
          <w:rFonts w:asciiTheme="majorHAnsi" w:hAnsiTheme="majorHAnsi"/>
          <w:color w:val="auto"/>
          <w:sz w:val="16"/>
          <w:szCs w:val="16"/>
          <w:lang w:val="es-ES"/>
        </w:rPr>
        <w:t>25</w:t>
      </w:r>
      <w:r w:rsidRPr="00DB2932">
        <w:rPr>
          <w:rFonts w:asciiTheme="majorHAnsi" w:hAnsiTheme="majorHAnsi"/>
          <w:color w:val="auto"/>
          <w:sz w:val="16"/>
          <w:szCs w:val="16"/>
          <w:lang w:val="es-ES"/>
        </w:rPr>
        <w:t>.</w:t>
      </w:r>
    </w:p>
  </w:footnote>
  <w:footnote w:id="18">
    <w:p w14:paraId="047898BA" w14:textId="77777777" w:rsidR="005E11B2" w:rsidRPr="00DB2932" w:rsidRDefault="005E11B2" w:rsidP="00D8037A">
      <w:pPr>
        <w:pStyle w:val="FootnoteText"/>
        <w:ind w:firstLine="720"/>
        <w:jc w:val="both"/>
        <w:rPr>
          <w:rFonts w:ascii="Cambria" w:hAnsi="Cambria"/>
          <w:color w:val="auto"/>
          <w:lang w:val="es-ES"/>
        </w:rPr>
      </w:pPr>
      <w:r w:rsidRPr="00DB2932">
        <w:rPr>
          <w:rStyle w:val="FootnoteReference"/>
          <w:rFonts w:asciiTheme="majorHAnsi" w:hAnsiTheme="majorHAnsi"/>
          <w:color w:val="auto"/>
          <w:sz w:val="16"/>
          <w:szCs w:val="16"/>
        </w:rPr>
        <w:footnoteRef/>
      </w:r>
      <w:r w:rsidRPr="00DB2932">
        <w:rPr>
          <w:rFonts w:asciiTheme="majorHAnsi" w:hAnsiTheme="majorHAnsi"/>
          <w:color w:val="auto"/>
          <w:sz w:val="16"/>
          <w:szCs w:val="16"/>
          <w:lang w:val="es-ES"/>
        </w:rPr>
        <w:t xml:space="preserve"> Véase los derechos invocados en la sección I del presente informe.</w:t>
      </w:r>
      <w:r w:rsidRPr="00DB2932">
        <w:rPr>
          <w:rFonts w:ascii="Cambria" w:hAnsi="Cambria"/>
          <w:color w:val="auto"/>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40D0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7538" w14:textId="77777777" w:rsidR="008E1617" w:rsidRDefault="008E1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AE1D5C"/>
    <w:multiLevelType w:val="hybridMultilevel"/>
    <w:tmpl w:val="A01AAE00"/>
    <w:lvl w:ilvl="0" w:tplc="D4C08A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A01AAE00"/>
    <w:lvl w:ilvl="0" w:tplc="D4C08A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0"/>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48"/>
  </w:num>
  <w:num w:numId="110">
    <w:abstractNumId w:val="43"/>
  </w:num>
  <w:num w:numId="111">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1568"/>
    <w:rsid w:val="00003297"/>
    <w:rsid w:val="000065D0"/>
    <w:rsid w:val="00006B74"/>
    <w:rsid w:val="00006E1F"/>
    <w:rsid w:val="000070D7"/>
    <w:rsid w:val="000104F5"/>
    <w:rsid w:val="00015701"/>
    <w:rsid w:val="0001788C"/>
    <w:rsid w:val="0002186F"/>
    <w:rsid w:val="000337EF"/>
    <w:rsid w:val="0003652F"/>
    <w:rsid w:val="00040C3A"/>
    <w:rsid w:val="000419AD"/>
    <w:rsid w:val="00045537"/>
    <w:rsid w:val="00054EB8"/>
    <w:rsid w:val="00062C3D"/>
    <w:rsid w:val="00062FA7"/>
    <w:rsid w:val="00066D69"/>
    <w:rsid w:val="000716C5"/>
    <w:rsid w:val="00075E23"/>
    <w:rsid w:val="0009344A"/>
    <w:rsid w:val="000A3254"/>
    <w:rsid w:val="000A392E"/>
    <w:rsid w:val="000A575F"/>
    <w:rsid w:val="000B0579"/>
    <w:rsid w:val="000C1C69"/>
    <w:rsid w:val="000C397F"/>
    <w:rsid w:val="000D10DB"/>
    <w:rsid w:val="000E2789"/>
    <w:rsid w:val="000E5BA3"/>
    <w:rsid w:val="000E5EB5"/>
    <w:rsid w:val="000F35ED"/>
    <w:rsid w:val="00107131"/>
    <w:rsid w:val="0010736F"/>
    <w:rsid w:val="00111A8A"/>
    <w:rsid w:val="00113F73"/>
    <w:rsid w:val="001170F5"/>
    <w:rsid w:val="00117DD2"/>
    <w:rsid w:val="00121CC2"/>
    <w:rsid w:val="00131D8B"/>
    <w:rsid w:val="00133EE5"/>
    <w:rsid w:val="00136E3D"/>
    <w:rsid w:val="00142577"/>
    <w:rsid w:val="00143EFE"/>
    <w:rsid w:val="001479C0"/>
    <w:rsid w:val="0015330B"/>
    <w:rsid w:val="001605F0"/>
    <w:rsid w:val="00167A34"/>
    <w:rsid w:val="00177EEF"/>
    <w:rsid w:val="00187508"/>
    <w:rsid w:val="00194A65"/>
    <w:rsid w:val="001A7870"/>
    <w:rsid w:val="001B3A00"/>
    <w:rsid w:val="001B3CCE"/>
    <w:rsid w:val="001B7AE6"/>
    <w:rsid w:val="001C1B41"/>
    <w:rsid w:val="001C1EE2"/>
    <w:rsid w:val="001D5A20"/>
    <w:rsid w:val="001D65EF"/>
    <w:rsid w:val="001E49E7"/>
    <w:rsid w:val="001F271B"/>
    <w:rsid w:val="001F7201"/>
    <w:rsid w:val="00204931"/>
    <w:rsid w:val="00223A29"/>
    <w:rsid w:val="002250A3"/>
    <w:rsid w:val="00231294"/>
    <w:rsid w:val="00235217"/>
    <w:rsid w:val="00246D1F"/>
    <w:rsid w:val="00247403"/>
    <w:rsid w:val="00247542"/>
    <w:rsid w:val="00247CAD"/>
    <w:rsid w:val="00250656"/>
    <w:rsid w:val="00266B61"/>
    <w:rsid w:val="0026712A"/>
    <w:rsid w:val="002704DB"/>
    <w:rsid w:val="00277BDA"/>
    <w:rsid w:val="002820D9"/>
    <w:rsid w:val="00293B4B"/>
    <w:rsid w:val="0029575A"/>
    <w:rsid w:val="002A0AAE"/>
    <w:rsid w:val="002A3EBC"/>
    <w:rsid w:val="002A4A4B"/>
    <w:rsid w:val="002A5820"/>
    <w:rsid w:val="002B6D0A"/>
    <w:rsid w:val="002C2142"/>
    <w:rsid w:val="002C215C"/>
    <w:rsid w:val="002C3350"/>
    <w:rsid w:val="002D2B26"/>
    <w:rsid w:val="002D3A0F"/>
    <w:rsid w:val="002D7EA2"/>
    <w:rsid w:val="002E187C"/>
    <w:rsid w:val="002E2AF1"/>
    <w:rsid w:val="002E7512"/>
    <w:rsid w:val="002F0402"/>
    <w:rsid w:val="00302733"/>
    <w:rsid w:val="003121D5"/>
    <w:rsid w:val="00314078"/>
    <w:rsid w:val="0031535D"/>
    <w:rsid w:val="003239B8"/>
    <w:rsid w:val="00326AD9"/>
    <w:rsid w:val="003308F7"/>
    <w:rsid w:val="0033169F"/>
    <w:rsid w:val="0033345A"/>
    <w:rsid w:val="0034224A"/>
    <w:rsid w:val="00342DDB"/>
    <w:rsid w:val="00343438"/>
    <w:rsid w:val="0034472F"/>
    <w:rsid w:val="00344977"/>
    <w:rsid w:val="00346C95"/>
    <w:rsid w:val="00351155"/>
    <w:rsid w:val="00356185"/>
    <w:rsid w:val="00360380"/>
    <w:rsid w:val="0037519E"/>
    <w:rsid w:val="00386C6C"/>
    <w:rsid w:val="00386CF0"/>
    <w:rsid w:val="00396802"/>
    <w:rsid w:val="003A6337"/>
    <w:rsid w:val="003A6D8B"/>
    <w:rsid w:val="003B4FF6"/>
    <w:rsid w:val="003B70FB"/>
    <w:rsid w:val="003B7387"/>
    <w:rsid w:val="003C676B"/>
    <w:rsid w:val="003D0A55"/>
    <w:rsid w:val="003D3BC2"/>
    <w:rsid w:val="003E300E"/>
    <w:rsid w:val="003E6CA1"/>
    <w:rsid w:val="004065A8"/>
    <w:rsid w:val="004165C2"/>
    <w:rsid w:val="004304AD"/>
    <w:rsid w:val="00440D07"/>
    <w:rsid w:val="00441ECB"/>
    <w:rsid w:val="00445193"/>
    <w:rsid w:val="00447CCF"/>
    <w:rsid w:val="00451D69"/>
    <w:rsid w:val="0045298A"/>
    <w:rsid w:val="004565BA"/>
    <w:rsid w:val="00462C1B"/>
    <w:rsid w:val="00467B7E"/>
    <w:rsid w:val="00473BB4"/>
    <w:rsid w:val="00477592"/>
    <w:rsid w:val="00480B65"/>
    <w:rsid w:val="00483CE4"/>
    <w:rsid w:val="00484AF2"/>
    <w:rsid w:val="0048556F"/>
    <w:rsid w:val="00486F11"/>
    <w:rsid w:val="00486F1C"/>
    <w:rsid w:val="0049419D"/>
    <w:rsid w:val="00497114"/>
    <w:rsid w:val="004A59CC"/>
    <w:rsid w:val="004A6324"/>
    <w:rsid w:val="004A6A54"/>
    <w:rsid w:val="004C20D2"/>
    <w:rsid w:val="004C2312"/>
    <w:rsid w:val="004C3478"/>
    <w:rsid w:val="004C4B62"/>
    <w:rsid w:val="004C54C9"/>
    <w:rsid w:val="004C616A"/>
    <w:rsid w:val="004D4ABA"/>
    <w:rsid w:val="004D6025"/>
    <w:rsid w:val="004E19B1"/>
    <w:rsid w:val="004E2649"/>
    <w:rsid w:val="004E5C98"/>
    <w:rsid w:val="004F4BC9"/>
    <w:rsid w:val="00501399"/>
    <w:rsid w:val="00501652"/>
    <w:rsid w:val="0050633D"/>
    <w:rsid w:val="00507BC4"/>
    <w:rsid w:val="005128E4"/>
    <w:rsid w:val="005133DB"/>
    <w:rsid w:val="005238AC"/>
    <w:rsid w:val="00525560"/>
    <w:rsid w:val="005415E6"/>
    <w:rsid w:val="00544216"/>
    <w:rsid w:val="00544C49"/>
    <w:rsid w:val="005516A1"/>
    <w:rsid w:val="00563557"/>
    <w:rsid w:val="0057402A"/>
    <w:rsid w:val="00574CB7"/>
    <w:rsid w:val="005771D0"/>
    <w:rsid w:val="0059191A"/>
    <w:rsid w:val="005921FF"/>
    <w:rsid w:val="005A24ED"/>
    <w:rsid w:val="005A6D0E"/>
    <w:rsid w:val="005B37CC"/>
    <w:rsid w:val="005B52B0"/>
    <w:rsid w:val="005B6806"/>
    <w:rsid w:val="005B6D22"/>
    <w:rsid w:val="005C261A"/>
    <w:rsid w:val="005C4225"/>
    <w:rsid w:val="005C7989"/>
    <w:rsid w:val="005D3CD0"/>
    <w:rsid w:val="005E0B65"/>
    <w:rsid w:val="005E11B2"/>
    <w:rsid w:val="005E6F68"/>
    <w:rsid w:val="005F0DAD"/>
    <w:rsid w:val="005F0F33"/>
    <w:rsid w:val="005F31DC"/>
    <w:rsid w:val="005F325F"/>
    <w:rsid w:val="00600DEB"/>
    <w:rsid w:val="00606DB2"/>
    <w:rsid w:val="00625A64"/>
    <w:rsid w:val="006277DE"/>
    <w:rsid w:val="00627C9F"/>
    <w:rsid w:val="006311E9"/>
    <w:rsid w:val="00632354"/>
    <w:rsid w:val="00642810"/>
    <w:rsid w:val="00644B8B"/>
    <w:rsid w:val="00647756"/>
    <w:rsid w:val="006509DA"/>
    <w:rsid w:val="00652333"/>
    <w:rsid w:val="00661934"/>
    <w:rsid w:val="00673327"/>
    <w:rsid w:val="0068009E"/>
    <w:rsid w:val="006819E9"/>
    <w:rsid w:val="00686471"/>
    <w:rsid w:val="00691BBE"/>
    <w:rsid w:val="00692219"/>
    <w:rsid w:val="00696CED"/>
    <w:rsid w:val="006A17D2"/>
    <w:rsid w:val="006A73E6"/>
    <w:rsid w:val="006B2D5C"/>
    <w:rsid w:val="006B3BC3"/>
    <w:rsid w:val="006C4EB1"/>
    <w:rsid w:val="006E0166"/>
    <w:rsid w:val="006E4399"/>
    <w:rsid w:val="006E7B34"/>
    <w:rsid w:val="006F3DC8"/>
    <w:rsid w:val="00703CFB"/>
    <w:rsid w:val="00704030"/>
    <w:rsid w:val="0070697F"/>
    <w:rsid w:val="0072199C"/>
    <w:rsid w:val="00722C9F"/>
    <w:rsid w:val="00723EDB"/>
    <w:rsid w:val="007253B8"/>
    <w:rsid w:val="00734716"/>
    <w:rsid w:val="0073598C"/>
    <w:rsid w:val="0073741F"/>
    <w:rsid w:val="00747BF3"/>
    <w:rsid w:val="0075502D"/>
    <w:rsid w:val="0076241A"/>
    <w:rsid w:val="0076643F"/>
    <w:rsid w:val="00777F63"/>
    <w:rsid w:val="007852B5"/>
    <w:rsid w:val="0079481A"/>
    <w:rsid w:val="007971ED"/>
    <w:rsid w:val="007A5817"/>
    <w:rsid w:val="007B05C4"/>
    <w:rsid w:val="007B545A"/>
    <w:rsid w:val="007B60E9"/>
    <w:rsid w:val="007B6CC3"/>
    <w:rsid w:val="007C3334"/>
    <w:rsid w:val="007C402A"/>
    <w:rsid w:val="007C75D1"/>
    <w:rsid w:val="007D20FE"/>
    <w:rsid w:val="007D2B98"/>
    <w:rsid w:val="007D7C02"/>
    <w:rsid w:val="007E0983"/>
    <w:rsid w:val="007E21BC"/>
    <w:rsid w:val="007E58FE"/>
    <w:rsid w:val="007E7C82"/>
    <w:rsid w:val="007F588D"/>
    <w:rsid w:val="00800E85"/>
    <w:rsid w:val="00802748"/>
    <w:rsid w:val="00803F1C"/>
    <w:rsid w:val="0080600E"/>
    <w:rsid w:val="00817612"/>
    <w:rsid w:val="008338A4"/>
    <w:rsid w:val="00834D49"/>
    <w:rsid w:val="00837C45"/>
    <w:rsid w:val="008411F0"/>
    <w:rsid w:val="00844730"/>
    <w:rsid w:val="008457C2"/>
    <w:rsid w:val="00857A82"/>
    <w:rsid w:val="00871526"/>
    <w:rsid w:val="00873836"/>
    <w:rsid w:val="0087590A"/>
    <w:rsid w:val="00877AA9"/>
    <w:rsid w:val="00885737"/>
    <w:rsid w:val="00890650"/>
    <w:rsid w:val="00897E12"/>
    <w:rsid w:val="008A0F81"/>
    <w:rsid w:val="008A7E0F"/>
    <w:rsid w:val="008B12F5"/>
    <w:rsid w:val="008B5932"/>
    <w:rsid w:val="008C43ED"/>
    <w:rsid w:val="008C5751"/>
    <w:rsid w:val="008D768D"/>
    <w:rsid w:val="008D7C3A"/>
    <w:rsid w:val="008E1617"/>
    <w:rsid w:val="008E328A"/>
    <w:rsid w:val="008E3759"/>
    <w:rsid w:val="008E3BFE"/>
    <w:rsid w:val="008E7900"/>
    <w:rsid w:val="008F1912"/>
    <w:rsid w:val="0090270B"/>
    <w:rsid w:val="009041DC"/>
    <w:rsid w:val="00917B5A"/>
    <w:rsid w:val="00920A58"/>
    <w:rsid w:val="00920A8C"/>
    <w:rsid w:val="00922173"/>
    <w:rsid w:val="00934A2C"/>
    <w:rsid w:val="00935D7A"/>
    <w:rsid w:val="00935F06"/>
    <w:rsid w:val="00937B3A"/>
    <w:rsid w:val="00954B82"/>
    <w:rsid w:val="00962436"/>
    <w:rsid w:val="0096706E"/>
    <w:rsid w:val="00974491"/>
    <w:rsid w:val="00975C4E"/>
    <w:rsid w:val="00981FBA"/>
    <w:rsid w:val="00990351"/>
    <w:rsid w:val="00997BC5"/>
    <w:rsid w:val="009A397F"/>
    <w:rsid w:val="009A4F41"/>
    <w:rsid w:val="009B381B"/>
    <w:rsid w:val="009C2FC5"/>
    <w:rsid w:val="009D1753"/>
    <w:rsid w:val="009D6502"/>
    <w:rsid w:val="009D7611"/>
    <w:rsid w:val="009D78A5"/>
    <w:rsid w:val="009E0B61"/>
    <w:rsid w:val="009E53DE"/>
    <w:rsid w:val="009E5546"/>
    <w:rsid w:val="009E7C00"/>
    <w:rsid w:val="00A0370C"/>
    <w:rsid w:val="00A0691C"/>
    <w:rsid w:val="00A11E44"/>
    <w:rsid w:val="00A120C9"/>
    <w:rsid w:val="00A22397"/>
    <w:rsid w:val="00A26161"/>
    <w:rsid w:val="00A328B3"/>
    <w:rsid w:val="00A50FCF"/>
    <w:rsid w:val="00A528D1"/>
    <w:rsid w:val="00A606C2"/>
    <w:rsid w:val="00A610CD"/>
    <w:rsid w:val="00A625E0"/>
    <w:rsid w:val="00A706AE"/>
    <w:rsid w:val="00A74947"/>
    <w:rsid w:val="00A758AA"/>
    <w:rsid w:val="00AA0371"/>
    <w:rsid w:val="00AA09A2"/>
    <w:rsid w:val="00AA4654"/>
    <w:rsid w:val="00AA7996"/>
    <w:rsid w:val="00AA7C44"/>
    <w:rsid w:val="00AB4847"/>
    <w:rsid w:val="00AC19CB"/>
    <w:rsid w:val="00AD1886"/>
    <w:rsid w:val="00AE407E"/>
    <w:rsid w:val="00AE5101"/>
    <w:rsid w:val="00AE5196"/>
    <w:rsid w:val="00AE5488"/>
    <w:rsid w:val="00AE6F91"/>
    <w:rsid w:val="00AF5571"/>
    <w:rsid w:val="00B06B4E"/>
    <w:rsid w:val="00B07341"/>
    <w:rsid w:val="00B11F30"/>
    <w:rsid w:val="00B156C1"/>
    <w:rsid w:val="00B16647"/>
    <w:rsid w:val="00B202B5"/>
    <w:rsid w:val="00B2370E"/>
    <w:rsid w:val="00B30539"/>
    <w:rsid w:val="00B314DB"/>
    <w:rsid w:val="00B35056"/>
    <w:rsid w:val="00B361F2"/>
    <w:rsid w:val="00B3718B"/>
    <w:rsid w:val="00B4632A"/>
    <w:rsid w:val="00B5067D"/>
    <w:rsid w:val="00B530F1"/>
    <w:rsid w:val="00B736AF"/>
    <w:rsid w:val="00B74D1A"/>
    <w:rsid w:val="00B97946"/>
    <w:rsid w:val="00BA276C"/>
    <w:rsid w:val="00BA5544"/>
    <w:rsid w:val="00BB306F"/>
    <w:rsid w:val="00BB3FBD"/>
    <w:rsid w:val="00BB4AC1"/>
    <w:rsid w:val="00BC6CD0"/>
    <w:rsid w:val="00BD4B89"/>
    <w:rsid w:val="00BD5922"/>
    <w:rsid w:val="00BD76D9"/>
    <w:rsid w:val="00BD7A86"/>
    <w:rsid w:val="00BE6099"/>
    <w:rsid w:val="00BE7B66"/>
    <w:rsid w:val="00BF02CB"/>
    <w:rsid w:val="00BF514A"/>
    <w:rsid w:val="00BF6FD8"/>
    <w:rsid w:val="00BF775D"/>
    <w:rsid w:val="00C03680"/>
    <w:rsid w:val="00C054DF"/>
    <w:rsid w:val="00C10AFC"/>
    <w:rsid w:val="00C1690A"/>
    <w:rsid w:val="00C21562"/>
    <w:rsid w:val="00C21762"/>
    <w:rsid w:val="00C2181E"/>
    <w:rsid w:val="00C21FEF"/>
    <w:rsid w:val="00C23DA0"/>
    <w:rsid w:val="00C24543"/>
    <w:rsid w:val="00C24C99"/>
    <w:rsid w:val="00C256A2"/>
    <w:rsid w:val="00C35A26"/>
    <w:rsid w:val="00C474B8"/>
    <w:rsid w:val="00C51515"/>
    <w:rsid w:val="00C52FE2"/>
    <w:rsid w:val="00C53910"/>
    <w:rsid w:val="00C5660B"/>
    <w:rsid w:val="00C56854"/>
    <w:rsid w:val="00C5788A"/>
    <w:rsid w:val="00C66B72"/>
    <w:rsid w:val="00C7159A"/>
    <w:rsid w:val="00C8239B"/>
    <w:rsid w:val="00C87AC4"/>
    <w:rsid w:val="00C9567A"/>
    <w:rsid w:val="00CA48A3"/>
    <w:rsid w:val="00CB212D"/>
    <w:rsid w:val="00CB2660"/>
    <w:rsid w:val="00CC5E90"/>
    <w:rsid w:val="00CD046C"/>
    <w:rsid w:val="00CD2CF6"/>
    <w:rsid w:val="00CD7DA3"/>
    <w:rsid w:val="00CE076C"/>
    <w:rsid w:val="00CE5199"/>
    <w:rsid w:val="00CE66D5"/>
    <w:rsid w:val="00CE7107"/>
    <w:rsid w:val="00CF637A"/>
    <w:rsid w:val="00D03CF6"/>
    <w:rsid w:val="00D059DE"/>
    <w:rsid w:val="00D05ABD"/>
    <w:rsid w:val="00D05D0C"/>
    <w:rsid w:val="00D06B3D"/>
    <w:rsid w:val="00D13FCE"/>
    <w:rsid w:val="00D306D1"/>
    <w:rsid w:val="00D30800"/>
    <w:rsid w:val="00D34786"/>
    <w:rsid w:val="00D37BFC"/>
    <w:rsid w:val="00D40E70"/>
    <w:rsid w:val="00D42748"/>
    <w:rsid w:val="00D42822"/>
    <w:rsid w:val="00D47A8E"/>
    <w:rsid w:val="00D52D14"/>
    <w:rsid w:val="00D55256"/>
    <w:rsid w:val="00D55820"/>
    <w:rsid w:val="00D57A9B"/>
    <w:rsid w:val="00D57F27"/>
    <w:rsid w:val="00D65B9F"/>
    <w:rsid w:val="00D712D3"/>
    <w:rsid w:val="00D71422"/>
    <w:rsid w:val="00D72DC6"/>
    <w:rsid w:val="00D73844"/>
    <w:rsid w:val="00D73F5E"/>
    <w:rsid w:val="00D7558D"/>
    <w:rsid w:val="00D77503"/>
    <w:rsid w:val="00D8037A"/>
    <w:rsid w:val="00D81D92"/>
    <w:rsid w:val="00D876F9"/>
    <w:rsid w:val="00D877B6"/>
    <w:rsid w:val="00D948D0"/>
    <w:rsid w:val="00DA7B5F"/>
    <w:rsid w:val="00DB2932"/>
    <w:rsid w:val="00DC11E7"/>
    <w:rsid w:val="00DC4386"/>
    <w:rsid w:val="00DC7023"/>
    <w:rsid w:val="00DC769A"/>
    <w:rsid w:val="00DD3D86"/>
    <w:rsid w:val="00DE12F0"/>
    <w:rsid w:val="00DF1EC4"/>
    <w:rsid w:val="00DF31CA"/>
    <w:rsid w:val="00DF67A1"/>
    <w:rsid w:val="00E01943"/>
    <w:rsid w:val="00E0340B"/>
    <w:rsid w:val="00E04A90"/>
    <w:rsid w:val="00E0551F"/>
    <w:rsid w:val="00E219C7"/>
    <w:rsid w:val="00E26CCA"/>
    <w:rsid w:val="00E33601"/>
    <w:rsid w:val="00E371AC"/>
    <w:rsid w:val="00E4118C"/>
    <w:rsid w:val="00E43157"/>
    <w:rsid w:val="00E461CE"/>
    <w:rsid w:val="00E66BF2"/>
    <w:rsid w:val="00E720CA"/>
    <w:rsid w:val="00E73C30"/>
    <w:rsid w:val="00E84EB5"/>
    <w:rsid w:val="00E85662"/>
    <w:rsid w:val="00E8789F"/>
    <w:rsid w:val="00E97B71"/>
    <w:rsid w:val="00EA3C82"/>
    <w:rsid w:val="00EA3D34"/>
    <w:rsid w:val="00EB454D"/>
    <w:rsid w:val="00EC72AB"/>
    <w:rsid w:val="00ED23A5"/>
    <w:rsid w:val="00ED2F03"/>
    <w:rsid w:val="00ED549D"/>
    <w:rsid w:val="00ED76BE"/>
    <w:rsid w:val="00ED7F05"/>
    <w:rsid w:val="00EE00E9"/>
    <w:rsid w:val="00EE014D"/>
    <w:rsid w:val="00EF135D"/>
    <w:rsid w:val="00EF35AB"/>
    <w:rsid w:val="00EF477A"/>
    <w:rsid w:val="00EF4C44"/>
    <w:rsid w:val="00EF619B"/>
    <w:rsid w:val="00F00B55"/>
    <w:rsid w:val="00F02AD1"/>
    <w:rsid w:val="00F04591"/>
    <w:rsid w:val="00F06354"/>
    <w:rsid w:val="00F104CA"/>
    <w:rsid w:val="00F253CC"/>
    <w:rsid w:val="00F332EF"/>
    <w:rsid w:val="00F37106"/>
    <w:rsid w:val="00F519CF"/>
    <w:rsid w:val="00F554FB"/>
    <w:rsid w:val="00F56BA5"/>
    <w:rsid w:val="00F60E22"/>
    <w:rsid w:val="00F63B39"/>
    <w:rsid w:val="00F66014"/>
    <w:rsid w:val="00F81395"/>
    <w:rsid w:val="00F81887"/>
    <w:rsid w:val="00F81BB8"/>
    <w:rsid w:val="00F835BF"/>
    <w:rsid w:val="00F917D1"/>
    <w:rsid w:val="00F9342C"/>
    <w:rsid w:val="00F9653B"/>
    <w:rsid w:val="00FA56EA"/>
    <w:rsid w:val="00FB2634"/>
    <w:rsid w:val="00FB62CF"/>
    <w:rsid w:val="00FC0F4A"/>
    <w:rsid w:val="00FC3330"/>
    <w:rsid w:val="00FD3C3B"/>
    <w:rsid w:val="00FD629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C0F"/>
    <w:rsid w:val="000160EC"/>
    <w:rsid w:val="00022325"/>
    <w:rsid w:val="00083D45"/>
    <w:rsid w:val="0016000D"/>
    <w:rsid w:val="00183B6F"/>
    <w:rsid w:val="001D2954"/>
    <w:rsid w:val="00200821"/>
    <w:rsid w:val="0031622D"/>
    <w:rsid w:val="0033141E"/>
    <w:rsid w:val="00394049"/>
    <w:rsid w:val="004F2DF8"/>
    <w:rsid w:val="00547898"/>
    <w:rsid w:val="006173E4"/>
    <w:rsid w:val="006E2B51"/>
    <w:rsid w:val="00777D5D"/>
    <w:rsid w:val="007C68EE"/>
    <w:rsid w:val="00942213"/>
    <w:rsid w:val="0097453C"/>
    <w:rsid w:val="00980CF2"/>
    <w:rsid w:val="009A261B"/>
    <w:rsid w:val="00AC15A4"/>
    <w:rsid w:val="00B0336C"/>
    <w:rsid w:val="00BD671D"/>
    <w:rsid w:val="00C11833"/>
    <w:rsid w:val="00C56634"/>
    <w:rsid w:val="00D46351"/>
    <w:rsid w:val="00DC1799"/>
    <w:rsid w:val="00E77140"/>
    <w:rsid w:val="00E907ED"/>
    <w:rsid w:val="00EC5ECB"/>
    <w:rsid w:val="00F00D2F"/>
    <w:rsid w:val="00F128DF"/>
    <w:rsid w:val="00F57807"/>
    <w:rsid w:val="00FB2E1B"/>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05B1-C524-431B-A3FD-7F18A35F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13639</Characters>
  <Application>Microsoft Office Word</Application>
  <DocSecurity>0</DocSecurity>
  <Lines>284</Lines>
  <Paragraphs>90</Paragraphs>
  <ScaleCrop>false</ScaleCrop>
  <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187/19</dc:title>
  <dc:creator/>
  <cp:lastModifiedBy/>
  <cp:revision>1</cp:revision>
  <dcterms:created xsi:type="dcterms:W3CDTF">2020-03-27T15:03:00Z</dcterms:created>
  <dcterms:modified xsi:type="dcterms:W3CDTF">2020-03-27T15:03:00Z</dcterms:modified>
</cp:coreProperties>
</file>