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CA4750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C7ACB">
                              <w:rPr>
                                <w:rFonts w:asciiTheme="majorHAnsi" w:hAnsiTheme="majorHAnsi" w:cs="Arial"/>
                                <w:b/>
                                <w:bCs/>
                                <w:color w:val="0D0D0D" w:themeColor="text1" w:themeTint="F2"/>
                                <w:sz w:val="36"/>
                                <w:szCs w:val="22"/>
                                <w:lang w:val="es-ES_tradnl"/>
                              </w:rPr>
                              <w:t>216</w:t>
                            </w:r>
                            <w:r w:rsidR="007B05C4">
                              <w:rPr>
                                <w:rFonts w:asciiTheme="majorHAnsi" w:hAnsiTheme="majorHAnsi" w:cs="Arial"/>
                                <w:b/>
                                <w:bCs/>
                                <w:color w:val="0D0D0D" w:themeColor="text1" w:themeTint="F2"/>
                                <w:sz w:val="36"/>
                                <w:szCs w:val="22"/>
                                <w:lang w:val="es-ES_tradnl"/>
                              </w:rPr>
                              <w:t>/1</w:t>
                            </w:r>
                            <w:r w:rsidR="00747F72">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B2F0C">
                              <w:rPr>
                                <w:rFonts w:asciiTheme="majorHAnsi" w:hAnsiTheme="majorHAnsi" w:cs="Arial"/>
                                <w:b/>
                                <w:color w:val="0D0D0D" w:themeColor="text1" w:themeTint="F2"/>
                                <w:sz w:val="36"/>
                                <w:szCs w:val="22"/>
                                <w:lang w:val="es-ES_tradnl"/>
                              </w:rPr>
                              <w:t>1355-07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747F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RONAL ISAAC FIGUEROA </w:t>
                            </w:r>
                            <w:r w:rsidR="002B2F0C">
                              <w:rPr>
                                <w:rFonts w:asciiTheme="majorHAnsi" w:hAnsiTheme="majorHAnsi" w:cs="Arial"/>
                                <w:color w:val="0D0D0D" w:themeColor="text1" w:themeTint="F2"/>
                                <w:szCs w:val="22"/>
                                <w:lang w:val="es-ES_tradnl"/>
                              </w:rPr>
                              <w:t>ÁVILA</w:t>
                            </w:r>
                          </w:p>
                          <w:bookmarkEnd w:id="1"/>
                          <w:p w:rsidR="005B52B0" w:rsidRPr="0010736F" w:rsidRDefault="002B2F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C7ACB">
                        <w:rPr>
                          <w:rFonts w:asciiTheme="majorHAnsi" w:hAnsiTheme="majorHAnsi" w:cs="Arial"/>
                          <w:b/>
                          <w:bCs/>
                          <w:color w:val="0D0D0D" w:themeColor="text1" w:themeTint="F2"/>
                          <w:sz w:val="36"/>
                          <w:szCs w:val="22"/>
                          <w:lang w:val="es-ES_tradnl"/>
                        </w:rPr>
                        <w:t>216</w:t>
                      </w:r>
                      <w:r w:rsidR="007B05C4">
                        <w:rPr>
                          <w:rFonts w:asciiTheme="majorHAnsi" w:hAnsiTheme="majorHAnsi" w:cs="Arial"/>
                          <w:b/>
                          <w:bCs/>
                          <w:color w:val="0D0D0D" w:themeColor="text1" w:themeTint="F2"/>
                          <w:sz w:val="36"/>
                          <w:szCs w:val="22"/>
                          <w:lang w:val="es-ES_tradnl"/>
                        </w:rPr>
                        <w:t>/1</w:t>
                      </w:r>
                      <w:r w:rsidR="00747F72">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B2F0C">
                        <w:rPr>
                          <w:rFonts w:asciiTheme="majorHAnsi" w:hAnsiTheme="majorHAnsi" w:cs="Arial"/>
                          <w:b/>
                          <w:color w:val="0D0D0D" w:themeColor="text1" w:themeTint="F2"/>
                          <w:sz w:val="36"/>
                          <w:szCs w:val="22"/>
                          <w:lang w:val="es-ES_tradnl"/>
                        </w:rPr>
                        <w:t>1355-07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747F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RONAL ISAAC FIGUEROA </w:t>
                      </w:r>
                      <w:r w:rsidR="002B2F0C">
                        <w:rPr>
                          <w:rFonts w:asciiTheme="majorHAnsi" w:hAnsiTheme="majorHAnsi" w:cs="Arial"/>
                          <w:color w:val="0D0D0D" w:themeColor="text1" w:themeTint="F2"/>
                          <w:szCs w:val="22"/>
                          <w:lang w:val="es-ES_tradnl"/>
                        </w:rPr>
                        <w:t>ÁVILA</w:t>
                      </w:r>
                    </w:p>
                    <w:bookmarkEnd w:id="1"/>
                    <w:p w:rsidR="005B52B0" w:rsidRPr="0010736F" w:rsidRDefault="002B2F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C7A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243</w:t>
                            </w:r>
                          </w:p>
                          <w:p w:rsidR="00627C9F" w:rsidRPr="004E2649" w:rsidRDefault="006C7AC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proofErr w:type="spellStart"/>
                            <w:r>
                              <w:rPr>
                                <w:rFonts w:asciiTheme="minorHAnsi" w:hAnsiTheme="minorHAnsi"/>
                                <w:color w:val="FFFFFF" w:themeColor="background1"/>
                                <w:sz w:val="22"/>
                              </w:rPr>
                              <w:t>septiembre</w:t>
                            </w:r>
                            <w:proofErr w:type="spellEnd"/>
                            <w:r w:rsidR="00627C9F" w:rsidRPr="004E2649">
                              <w:rPr>
                                <w:rFonts w:asciiTheme="minorHAnsi" w:hAnsiTheme="minorHAnsi"/>
                                <w:color w:val="FFFFFF" w:themeColor="background1"/>
                                <w:sz w:val="22"/>
                              </w:rPr>
                              <w:t xml:space="preserve"> 201</w:t>
                            </w:r>
                            <w:r w:rsidR="00747F72">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C7A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243</w:t>
                      </w:r>
                    </w:p>
                    <w:p w:rsidR="00627C9F" w:rsidRPr="004E2649" w:rsidRDefault="006C7AC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11 septiembre</w:t>
                      </w:r>
                      <w:r w:rsidR="00627C9F" w:rsidRPr="004E2649">
                        <w:rPr>
                          <w:rFonts w:asciiTheme="minorHAnsi" w:hAnsiTheme="minorHAnsi"/>
                          <w:color w:val="FFFFFF" w:themeColor="background1"/>
                          <w:sz w:val="22"/>
                        </w:rPr>
                        <w:t xml:space="preserve"> 201</w:t>
                      </w:r>
                      <w:r w:rsidR="00747F72">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7223C">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D7223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747F72">
                              <w:rPr>
                                <w:rFonts w:asciiTheme="majorHAnsi" w:hAnsiTheme="majorHAnsi"/>
                                <w:color w:val="0D0D0D" w:themeColor="text1" w:themeTint="F2"/>
                                <w:sz w:val="18"/>
                                <w:szCs w:val="22"/>
                                <w:lang w:val="es-ES"/>
                              </w:rPr>
                              <w:t>9</w:t>
                            </w:r>
                            <w:r w:rsidR="004F35C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7223C">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D7223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747F72">
                        <w:rPr>
                          <w:rFonts w:asciiTheme="majorHAnsi" w:hAnsiTheme="majorHAnsi"/>
                          <w:color w:val="0D0D0D" w:themeColor="text1" w:themeTint="F2"/>
                          <w:sz w:val="18"/>
                          <w:szCs w:val="22"/>
                          <w:lang w:val="es-ES"/>
                        </w:rPr>
                        <w:t>9</w:t>
                      </w:r>
                      <w:r w:rsidR="004F35C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7223C" w:rsidRPr="00D7223C">
                              <w:rPr>
                                <w:rFonts w:asciiTheme="majorHAnsi" w:hAnsiTheme="majorHAnsi"/>
                                <w:color w:val="595959" w:themeColor="text1" w:themeTint="A6"/>
                                <w:sz w:val="18"/>
                                <w:szCs w:val="18"/>
                                <w:lang w:val="pt-BR"/>
                              </w:rPr>
                              <w:t>216</w:t>
                            </w:r>
                            <w:r w:rsidR="007B05C4" w:rsidRPr="00D7223C">
                              <w:rPr>
                                <w:rFonts w:asciiTheme="majorHAnsi" w:hAnsiTheme="majorHAnsi"/>
                                <w:color w:val="595959" w:themeColor="text1" w:themeTint="A6"/>
                                <w:sz w:val="18"/>
                                <w:szCs w:val="18"/>
                                <w:lang w:val="pt-BR"/>
                              </w:rPr>
                              <w:t>/</w:t>
                            </w:r>
                            <w:r w:rsidR="00747F72" w:rsidRPr="00D7223C">
                              <w:rPr>
                                <w:rFonts w:asciiTheme="majorHAnsi" w:hAnsiTheme="majorHAnsi"/>
                                <w:color w:val="595959" w:themeColor="text1" w:themeTint="A6"/>
                                <w:sz w:val="18"/>
                                <w:szCs w:val="18"/>
                                <w:lang w:val="pt-BR"/>
                              </w:rPr>
                              <w:t>19</w:t>
                            </w:r>
                            <w:r w:rsidRPr="00D7223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47F72">
                              <w:rPr>
                                <w:rFonts w:asciiTheme="majorHAnsi" w:hAnsiTheme="majorHAnsi"/>
                                <w:color w:val="595959" w:themeColor="text1" w:themeTint="A6"/>
                                <w:sz w:val="18"/>
                                <w:szCs w:val="18"/>
                                <w:lang w:val="es-ES"/>
                              </w:rPr>
                              <w:t>1355-07</w:t>
                            </w:r>
                            <w:r w:rsidR="000433C9">
                              <w:rPr>
                                <w:rFonts w:asciiTheme="majorHAnsi" w:hAnsiTheme="majorHAnsi"/>
                                <w:color w:val="595959" w:themeColor="text1" w:themeTint="A6"/>
                                <w:sz w:val="18"/>
                                <w:szCs w:val="18"/>
                                <w:lang w:val="es-ES"/>
                              </w:rPr>
                              <w:t xml:space="preserve">. </w:t>
                            </w:r>
                            <w:r w:rsidRPr="00FE2DA7">
                              <w:rPr>
                                <w:rFonts w:asciiTheme="majorHAnsi" w:hAnsiTheme="majorHAnsi"/>
                                <w:color w:val="595959" w:themeColor="text1" w:themeTint="A6"/>
                                <w:sz w:val="18"/>
                                <w:szCs w:val="18"/>
                                <w:lang w:val="es-419"/>
                              </w:rPr>
                              <w:t xml:space="preserve">Admisibilidad. </w:t>
                            </w:r>
                            <w:r w:rsidR="00747F72" w:rsidRPr="00FE2DA7">
                              <w:rPr>
                                <w:rFonts w:asciiTheme="majorHAnsi" w:hAnsiTheme="majorHAnsi"/>
                                <w:color w:val="595959" w:themeColor="text1" w:themeTint="A6"/>
                                <w:sz w:val="18"/>
                                <w:szCs w:val="18"/>
                                <w:lang w:val="es-419"/>
                              </w:rPr>
                              <w:t>Ronal Isaac Figueroa Ávila</w:t>
                            </w:r>
                            <w:r w:rsidRPr="00FE2DA7">
                              <w:rPr>
                                <w:rFonts w:asciiTheme="majorHAnsi" w:hAnsiTheme="majorHAnsi"/>
                                <w:color w:val="595959" w:themeColor="text1" w:themeTint="A6"/>
                                <w:sz w:val="18"/>
                                <w:szCs w:val="18"/>
                                <w:lang w:val="es-419"/>
                              </w:rPr>
                              <w:t xml:space="preserve">. </w:t>
                            </w:r>
                            <w:r w:rsidR="00747F72">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D7223C">
                              <w:rPr>
                                <w:rFonts w:asciiTheme="majorHAnsi" w:hAnsiTheme="majorHAnsi"/>
                                <w:color w:val="595959" w:themeColor="text1" w:themeTint="A6"/>
                                <w:sz w:val="18"/>
                                <w:szCs w:val="18"/>
                                <w:lang w:val="es-ES"/>
                              </w:rPr>
                              <w:t>11 de septiembre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7223C" w:rsidRPr="00D7223C">
                        <w:rPr>
                          <w:rFonts w:asciiTheme="majorHAnsi" w:hAnsiTheme="majorHAnsi"/>
                          <w:color w:val="595959" w:themeColor="text1" w:themeTint="A6"/>
                          <w:sz w:val="18"/>
                          <w:szCs w:val="18"/>
                          <w:lang w:val="pt-BR"/>
                        </w:rPr>
                        <w:t>216</w:t>
                      </w:r>
                      <w:r w:rsidR="007B05C4" w:rsidRPr="00D7223C">
                        <w:rPr>
                          <w:rFonts w:asciiTheme="majorHAnsi" w:hAnsiTheme="majorHAnsi"/>
                          <w:color w:val="595959" w:themeColor="text1" w:themeTint="A6"/>
                          <w:sz w:val="18"/>
                          <w:szCs w:val="18"/>
                          <w:lang w:val="pt-BR"/>
                        </w:rPr>
                        <w:t>/</w:t>
                      </w:r>
                      <w:r w:rsidR="00747F72" w:rsidRPr="00D7223C">
                        <w:rPr>
                          <w:rFonts w:asciiTheme="majorHAnsi" w:hAnsiTheme="majorHAnsi"/>
                          <w:color w:val="595959" w:themeColor="text1" w:themeTint="A6"/>
                          <w:sz w:val="18"/>
                          <w:szCs w:val="18"/>
                          <w:lang w:val="pt-BR"/>
                        </w:rPr>
                        <w:t>19</w:t>
                      </w:r>
                      <w:r w:rsidRPr="00D7223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47F72">
                        <w:rPr>
                          <w:rFonts w:asciiTheme="majorHAnsi" w:hAnsiTheme="majorHAnsi"/>
                          <w:color w:val="595959" w:themeColor="text1" w:themeTint="A6"/>
                          <w:sz w:val="18"/>
                          <w:szCs w:val="18"/>
                          <w:lang w:val="es-ES"/>
                        </w:rPr>
                        <w:t>1355-07</w:t>
                      </w:r>
                      <w:r w:rsidR="000433C9">
                        <w:rPr>
                          <w:rFonts w:asciiTheme="majorHAnsi" w:hAnsiTheme="majorHAnsi"/>
                          <w:color w:val="595959" w:themeColor="text1" w:themeTint="A6"/>
                          <w:sz w:val="18"/>
                          <w:szCs w:val="18"/>
                          <w:lang w:val="es-ES"/>
                        </w:rPr>
                        <w:t xml:space="preserve">. </w:t>
                      </w:r>
                      <w:r w:rsidRPr="00D7223C">
                        <w:rPr>
                          <w:rFonts w:asciiTheme="majorHAnsi" w:hAnsiTheme="majorHAnsi"/>
                          <w:color w:val="595959" w:themeColor="text1" w:themeTint="A6"/>
                          <w:sz w:val="18"/>
                          <w:szCs w:val="18"/>
                          <w:lang w:val="pt-BR"/>
                        </w:rPr>
                        <w:t xml:space="preserve">Admisibilidad. </w:t>
                      </w:r>
                      <w:r w:rsidR="00747F72" w:rsidRPr="00D7223C">
                        <w:rPr>
                          <w:rFonts w:asciiTheme="majorHAnsi" w:hAnsiTheme="majorHAnsi"/>
                          <w:color w:val="595959" w:themeColor="text1" w:themeTint="A6"/>
                          <w:sz w:val="18"/>
                          <w:szCs w:val="18"/>
                          <w:lang w:val="pt-BR"/>
                        </w:rPr>
                        <w:t>Ronal Isaac Figueroa Ávila</w:t>
                      </w:r>
                      <w:r w:rsidRPr="00D7223C">
                        <w:rPr>
                          <w:rFonts w:asciiTheme="majorHAnsi" w:hAnsiTheme="majorHAnsi"/>
                          <w:color w:val="595959" w:themeColor="text1" w:themeTint="A6"/>
                          <w:sz w:val="18"/>
                          <w:szCs w:val="18"/>
                          <w:lang w:val="pt-BR"/>
                        </w:rPr>
                        <w:t xml:space="preserve">. </w:t>
                      </w:r>
                      <w:r w:rsidR="00747F72">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D7223C">
                        <w:rPr>
                          <w:rFonts w:asciiTheme="majorHAnsi" w:hAnsiTheme="majorHAnsi"/>
                          <w:color w:val="595959" w:themeColor="text1" w:themeTint="A6"/>
                          <w:sz w:val="18"/>
                          <w:szCs w:val="18"/>
                          <w:lang w:val="es-ES"/>
                        </w:rPr>
                        <w:t>11 de septiembre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F35CC"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1333500</wp:posOffset>
                </wp:positionH>
                <wp:positionV relativeFrom="paragraph">
                  <wp:posOffset>347346</wp:posOffset>
                </wp:positionV>
                <wp:extent cx="4096385" cy="70993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709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27.35pt;width:322.55pt;height:5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rsidR="003239B8" w:rsidRPr="00AC22AE" w:rsidRDefault="003239B8" w:rsidP="004A6A54">
      <w:pPr>
        <w:spacing w:after="240"/>
        <w:ind w:firstLine="720"/>
        <w:jc w:val="both"/>
        <w:rPr>
          <w:rFonts w:asciiTheme="majorHAnsi" w:hAnsiTheme="majorHAnsi"/>
          <w:b/>
          <w:bCs/>
          <w:sz w:val="19"/>
          <w:szCs w:val="19"/>
          <w:lang w:val="es-ES"/>
        </w:rPr>
      </w:pPr>
      <w:r w:rsidRPr="00AC22AE">
        <w:rPr>
          <w:rFonts w:asciiTheme="majorHAnsi" w:hAnsiTheme="majorHAnsi"/>
          <w:b/>
          <w:bCs/>
          <w:sz w:val="19"/>
          <w:szCs w:val="19"/>
          <w:lang w:val="es-ES"/>
        </w:rPr>
        <w:lastRenderedPageBreak/>
        <w:t>I.</w:t>
      </w:r>
      <w:r w:rsidRPr="00AC22AE">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C22AE" w:rsidTr="004A6A54">
        <w:tc>
          <w:tcPr>
            <w:tcW w:w="3600" w:type="dxa"/>
            <w:tcBorders>
              <w:top w:val="single" w:sz="4" w:space="0" w:color="auto"/>
              <w:bottom w:val="single" w:sz="6" w:space="0" w:color="auto"/>
            </w:tcBorders>
            <w:shd w:val="clear" w:color="auto" w:fill="386294"/>
            <w:vAlign w:val="center"/>
          </w:tcPr>
          <w:p w:rsidR="003239B8" w:rsidRPr="00AC22AE" w:rsidRDefault="003239B8" w:rsidP="008D2290">
            <w:pPr>
              <w:jc w:val="center"/>
              <w:rPr>
                <w:rFonts w:asciiTheme="majorHAnsi" w:hAnsiTheme="majorHAnsi"/>
                <w:b/>
                <w:bCs/>
                <w:color w:val="FFFFFF" w:themeColor="background1"/>
                <w:sz w:val="19"/>
                <w:szCs w:val="19"/>
              </w:rPr>
            </w:pPr>
            <w:r w:rsidRPr="00AC22AE">
              <w:rPr>
                <w:rFonts w:asciiTheme="majorHAnsi" w:hAnsiTheme="majorHAnsi"/>
                <w:b/>
                <w:bCs/>
                <w:color w:val="FFFFFF" w:themeColor="background1"/>
                <w:sz w:val="19"/>
                <w:szCs w:val="19"/>
              </w:rPr>
              <w:t>Parte peticionaria:</w:t>
            </w:r>
          </w:p>
        </w:tc>
        <w:tc>
          <w:tcPr>
            <w:tcW w:w="5760" w:type="dxa"/>
            <w:vAlign w:val="center"/>
          </w:tcPr>
          <w:p w:rsidR="003239B8" w:rsidRPr="00AC22AE" w:rsidRDefault="00445357" w:rsidP="008D2290">
            <w:pPr>
              <w:jc w:val="both"/>
              <w:rPr>
                <w:rFonts w:asciiTheme="majorHAnsi" w:hAnsiTheme="majorHAnsi"/>
                <w:bCs/>
                <w:sz w:val="19"/>
                <w:szCs w:val="19"/>
              </w:rPr>
            </w:pPr>
            <w:r w:rsidRPr="00AC22AE">
              <w:rPr>
                <w:rFonts w:asciiTheme="majorHAnsi" w:hAnsiTheme="majorHAnsi"/>
                <w:bCs/>
                <w:sz w:val="19"/>
                <w:szCs w:val="19"/>
                <w:lang w:val="es-ES"/>
              </w:rPr>
              <w:t>Tomás A. Morán Ortega</w:t>
            </w:r>
          </w:p>
        </w:tc>
      </w:tr>
      <w:tr w:rsidR="003239B8" w:rsidRPr="00AC22AE" w:rsidTr="004A6A54">
        <w:tc>
          <w:tcPr>
            <w:tcW w:w="3600" w:type="dxa"/>
            <w:tcBorders>
              <w:top w:val="single" w:sz="6" w:space="0" w:color="auto"/>
              <w:bottom w:val="single" w:sz="6" w:space="0" w:color="auto"/>
            </w:tcBorders>
            <w:shd w:val="clear" w:color="auto" w:fill="386294"/>
            <w:vAlign w:val="center"/>
          </w:tcPr>
          <w:p w:rsidR="003239B8" w:rsidRPr="00AC22AE" w:rsidRDefault="008A28D9"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C22AE">
                  <w:rPr>
                    <w:rFonts w:asciiTheme="majorHAnsi" w:hAnsiTheme="majorHAnsi"/>
                    <w:b/>
                    <w:bCs/>
                    <w:color w:val="FFFFFF" w:themeColor="background1"/>
                    <w:sz w:val="19"/>
                    <w:szCs w:val="19"/>
                  </w:rPr>
                  <w:t>Presunta víctima</w:t>
                </w:r>
              </w:sdtContent>
            </w:sdt>
            <w:r w:rsidR="003239B8" w:rsidRPr="00AC22AE">
              <w:rPr>
                <w:rFonts w:asciiTheme="majorHAnsi" w:hAnsiTheme="majorHAnsi"/>
                <w:b/>
                <w:bCs/>
                <w:color w:val="FFFFFF" w:themeColor="background1"/>
                <w:sz w:val="19"/>
                <w:szCs w:val="19"/>
              </w:rPr>
              <w:t>:</w:t>
            </w:r>
          </w:p>
        </w:tc>
        <w:tc>
          <w:tcPr>
            <w:tcW w:w="5760" w:type="dxa"/>
            <w:vAlign w:val="center"/>
          </w:tcPr>
          <w:p w:rsidR="003239B8" w:rsidRPr="00AC22AE" w:rsidRDefault="00D60FB6" w:rsidP="008D2290">
            <w:pPr>
              <w:jc w:val="both"/>
              <w:rPr>
                <w:rFonts w:asciiTheme="majorHAnsi" w:hAnsiTheme="majorHAnsi"/>
                <w:bCs/>
                <w:sz w:val="19"/>
                <w:szCs w:val="19"/>
                <w:lang w:val="es-ES"/>
              </w:rPr>
            </w:pPr>
            <w:r>
              <w:rPr>
                <w:rFonts w:asciiTheme="majorHAnsi" w:hAnsiTheme="majorHAnsi"/>
                <w:bCs/>
                <w:sz w:val="19"/>
                <w:szCs w:val="19"/>
                <w:lang w:val="es-ES"/>
              </w:rPr>
              <w:t>Ronal</w:t>
            </w:r>
            <w:r w:rsidR="00D330AA" w:rsidRPr="00AC22AE">
              <w:rPr>
                <w:rFonts w:asciiTheme="majorHAnsi" w:hAnsiTheme="majorHAnsi"/>
                <w:bCs/>
                <w:sz w:val="19"/>
                <w:szCs w:val="19"/>
                <w:lang w:val="es-ES"/>
              </w:rPr>
              <w:t xml:space="preserve"> Isaac Figueroa </w:t>
            </w:r>
            <w:r w:rsidR="002B2F0C" w:rsidRPr="00AC22AE">
              <w:rPr>
                <w:rFonts w:asciiTheme="majorHAnsi" w:hAnsiTheme="majorHAnsi"/>
                <w:bCs/>
                <w:sz w:val="19"/>
                <w:szCs w:val="19"/>
                <w:lang w:val="es-ES"/>
              </w:rPr>
              <w:t>Ávila</w:t>
            </w:r>
            <w:r w:rsidR="00226D5E" w:rsidRPr="00AC22AE">
              <w:rPr>
                <w:rStyle w:val="FootnoteReference"/>
                <w:rFonts w:asciiTheme="majorHAnsi" w:hAnsiTheme="majorHAnsi"/>
                <w:bCs/>
                <w:sz w:val="19"/>
                <w:szCs w:val="19"/>
              </w:rPr>
              <w:footnoteReference w:id="2"/>
            </w:r>
          </w:p>
        </w:tc>
      </w:tr>
      <w:tr w:rsidR="003239B8" w:rsidRPr="00AC22AE" w:rsidTr="004A6A54">
        <w:tc>
          <w:tcPr>
            <w:tcW w:w="3600" w:type="dxa"/>
            <w:tcBorders>
              <w:top w:val="single" w:sz="6" w:space="0" w:color="auto"/>
              <w:bottom w:val="single" w:sz="6" w:space="0" w:color="auto"/>
            </w:tcBorders>
            <w:shd w:val="clear" w:color="auto" w:fill="386294"/>
            <w:vAlign w:val="center"/>
          </w:tcPr>
          <w:p w:rsidR="003239B8" w:rsidRPr="00AC22AE" w:rsidRDefault="003239B8" w:rsidP="008D2290">
            <w:pPr>
              <w:jc w:val="center"/>
              <w:rPr>
                <w:rFonts w:asciiTheme="majorHAnsi" w:hAnsiTheme="majorHAnsi"/>
                <w:b/>
                <w:bCs/>
                <w:color w:val="FFFFFF" w:themeColor="background1"/>
                <w:sz w:val="19"/>
                <w:szCs w:val="19"/>
              </w:rPr>
            </w:pPr>
            <w:r w:rsidRPr="00AC22AE">
              <w:rPr>
                <w:rFonts w:asciiTheme="majorHAnsi" w:hAnsiTheme="majorHAnsi"/>
                <w:b/>
                <w:bCs/>
                <w:color w:val="FFFFFF" w:themeColor="background1"/>
                <w:sz w:val="19"/>
                <w:szCs w:val="19"/>
              </w:rPr>
              <w:t>Estado denunciado:</w:t>
            </w:r>
          </w:p>
        </w:tc>
        <w:tc>
          <w:tcPr>
            <w:tcW w:w="5760" w:type="dxa"/>
            <w:vAlign w:val="center"/>
          </w:tcPr>
          <w:p w:rsidR="003239B8" w:rsidRPr="00AC22AE" w:rsidRDefault="00D330AA" w:rsidP="008D2290">
            <w:pPr>
              <w:jc w:val="both"/>
              <w:rPr>
                <w:rFonts w:asciiTheme="majorHAnsi" w:hAnsiTheme="majorHAnsi"/>
                <w:bCs/>
                <w:sz w:val="19"/>
                <w:szCs w:val="19"/>
              </w:rPr>
            </w:pPr>
            <w:r w:rsidRPr="00AC22AE">
              <w:rPr>
                <w:rFonts w:asciiTheme="majorHAnsi" w:hAnsiTheme="majorHAnsi"/>
                <w:bCs/>
                <w:sz w:val="19"/>
                <w:szCs w:val="19"/>
              </w:rPr>
              <w:t>Perú</w:t>
            </w:r>
            <w:r w:rsidR="004A6A54" w:rsidRPr="00AC22AE">
              <w:rPr>
                <w:rStyle w:val="FootnoteReference"/>
                <w:rFonts w:asciiTheme="majorHAnsi" w:hAnsiTheme="majorHAnsi"/>
                <w:bCs/>
                <w:sz w:val="19"/>
                <w:szCs w:val="19"/>
              </w:rPr>
              <w:footnoteReference w:id="3"/>
            </w:r>
          </w:p>
        </w:tc>
      </w:tr>
      <w:tr w:rsidR="00223A29" w:rsidRPr="004F35CC" w:rsidTr="004A6A54">
        <w:tc>
          <w:tcPr>
            <w:tcW w:w="3600" w:type="dxa"/>
            <w:tcBorders>
              <w:top w:val="single" w:sz="6" w:space="0" w:color="auto"/>
              <w:bottom w:val="single" w:sz="6" w:space="0" w:color="auto"/>
            </w:tcBorders>
            <w:shd w:val="clear" w:color="auto" w:fill="386294"/>
            <w:vAlign w:val="center"/>
          </w:tcPr>
          <w:p w:rsidR="00223A29" w:rsidRPr="00AC22AE" w:rsidRDefault="001B3A00" w:rsidP="00E4118C">
            <w:pPr>
              <w:jc w:val="center"/>
              <w:rPr>
                <w:rFonts w:asciiTheme="majorHAnsi" w:hAnsiTheme="majorHAnsi"/>
                <w:b/>
                <w:bCs/>
                <w:color w:val="FFFFFF" w:themeColor="background1"/>
                <w:sz w:val="19"/>
                <w:szCs w:val="19"/>
              </w:rPr>
            </w:pPr>
            <w:r w:rsidRPr="00AC22AE">
              <w:rPr>
                <w:rFonts w:asciiTheme="majorHAnsi" w:hAnsiTheme="majorHAnsi"/>
                <w:b/>
                <w:bCs/>
                <w:color w:val="FFFFFF" w:themeColor="background1"/>
                <w:sz w:val="19"/>
                <w:szCs w:val="19"/>
              </w:rPr>
              <w:t xml:space="preserve">Derechos </w:t>
            </w:r>
            <w:r w:rsidR="00E4118C" w:rsidRPr="00AC22AE">
              <w:rPr>
                <w:rFonts w:asciiTheme="majorHAnsi" w:hAnsiTheme="majorHAnsi"/>
                <w:b/>
                <w:bCs/>
                <w:color w:val="FFFFFF" w:themeColor="background1"/>
                <w:sz w:val="19"/>
                <w:szCs w:val="19"/>
              </w:rPr>
              <w:t>invocados</w:t>
            </w:r>
            <w:r w:rsidRPr="00AC22AE">
              <w:rPr>
                <w:rFonts w:asciiTheme="majorHAnsi" w:hAnsiTheme="majorHAnsi"/>
                <w:b/>
                <w:bCs/>
                <w:color w:val="FFFFFF" w:themeColor="background1"/>
                <w:sz w:val="19"/>
                <w:szCs w:val="19"/>
              </w:rPr>
              <w:t>:</w:t>
            </w:r>
          </w:p>
        </w:tc>
        <w:tc>
          <w:tcPr>
            <w:tcW w:w="5760" w:type="dxa"/>
            <w:vAlign w:val="center"/>
          </w:tcPr>
          <w:p w:rsidR="00223A29" w:rsidRPr="004E4387" w:rsidRDefault="002B2F0C" w:rsidP="00AC22AE">
            <w:pPr>
              <w:jc w:val="both"/>
              <w:rPr>
                <w:rFonts w:asciiTheme="majorHAnsi" w:hAnsiTheme="majorHAnsi"/>
                <w:bCs/>
                <w:sz w:val="19"/>
                <w:szCs w:val="19"/>
                <w:lang w:val="es-AR"/>
              </w:rPr>
            </w:pPr>
            <w:r w:rsidRPr="00AC22AE">
              <w:rPr>
                <w:rFonts w:asciiTheme="majorHAnsi" w:hAnsiTheme="majorHAnsi"/>
                <w:bCs/>
                <w:sz w:val="19"/>
                <w:szCs w:val="19"/>
                <w:lang w:val="es-AR"/>
              </w:rPr>
              <w:t>Artículo</w:t>
            </w:r>
            <w:r w:rsidR="002D3EAA" w:rsidRPr="00AC22AE">
              <w:rPr>
                <w:rFonts w:asciiTheme="majorHAnsi" w:hAnsiTheme="majorHAnsi"/>
                <w:bCs/>
                <w:sz w:val="19"/>
                <w:szCs w:val="19"/>
                <w:lang w:val="es-AR"/>
              </w:rPr>
              <w:t>s</w:t>
            </w:r>
            <w:r w:rsidR="003E1419" w:rsidRPr="00AC22AE">
              <w:rPr>
                <w:rFonts w:asciiTheme="majorHAnsi" w:hAnsiTheme="majorHAnsi"/>
                <w:bCs/>
                <w:sz w:val="19"/>
                <w:szCs w:val="19"/>
                <w:lang w:val="es-AR"/>
              </w:rPr>
              <w:t xml:space="preserve"> </w:t>
            </w:r>
            <w:r w:rsidR="00387AA1" w:rsidRPr="00AC22AE">
              <w:rPr>
                <w:rFonts w:asciiTheme="majorHAnsi" w:hAnsiTheme="majorHAnsi"/>
                <w:bCs/>
                <w:sz w:val="19"/>
                <w:szCs w:val="19"/>
                <w:lang w:val="es-AR"/>
              </w:rPr>
              <w:t xml:space="preserve">8 (garantías judiciales), 21 (propiedad privada),  24 </w:t>
            </w:r>
            <w:r w:rsidR="002D3EAA" w:rsidRPr="00AC22AE">
              <w:rPr>
                <w:rFonts w:asciiTheme="majorHAnsi" w:hAnsiTheme="majorHAnsi"/>
                <w:bCs/>
                <w:sz w:val="19"/>
                <w:szCs w:val="19"/>
                <w:lang w:val="es-AR"/>
              </w:rPr>
              <w:t>(</w:t>
            </w:r>
            <w:r w:rsidR="00387AA1" w:rsidRPr="00AC22AE">
              <w:rPr>
                <w:rFonts w:asciiTheme="majorHAnsi" w:hAnsiTheme="majorHAnsi"/>
                <w:bCs/>
                <w:sz w:val="19"/>
                <w:szCs w:val="19"/>
                <w:lang w:val="es-AR"/>
              </w:rPr>
              <w:t xml:space="preserve">igualdad </w:t>
            </w:r>
            <w:r w:rsidR="002D3EAA" w:rsidRPr="00AC22AE">
              <w:rPr>
                <w:rFonts w:asciiTheme="majorHAnsi" w:hAnsiTheme="majorHAnsi"/>
                <w:bCs/>
                <w:sz w:val="19"/>
                <w:szCs w:val="19"/>
                <w:lang w:val="es-AR"/>
              </w:rPr>
              <w:t>ante la ley)</w:t>
            </w:r>
            <w:r w:rsidR="00AC22AE" w:rsidRPr="00AC22AE">
              <w:rPr>
                <w:rFonts w:asciiTheme="majorHAnsi" w:hAnsiTheme="majorHAnsi"/>
                <w:bCs/>
                <w:sz w:val="19"/>
                <w:szCs w:val="19"/>
                <w:lang w:val="es-AR"/>
              </w:rPr>
              <w:t xml:space="preserve"> y</w:t>
            </w:r>
            <w:r w:rsidR="002D3EAA" w:rsidRPr="00AC22AE">
              <w:rPr>
                <w:rFonts w:asciiTheme="majorHAnsi" w:hAnsiTheme="majorHAnsi"/>
                <w:bCs/>
                <w:sz w:val="19"/>
                <w:szCs w:val="19"/>
                <w:lang w:val="es-AR"/>
              </w:rPr>
              <w:t xml:space="preserve"> </w:t>
            </w:r>
            <w:r w:rsidR="007631B4" w:rsidRPr="00AC22AE">
              <w:rPr>
                <w:rFonts w:asciiTheme="majorHAnsi" w:hAnsiTheme="majorHAnsi"/>
                <w:bCs/>
                <w:sz w:val="19"/>
                <w:szCs w:val="19"/>
                <w:lang w:val="es-AR"/>
              </w:rPr>
              <w:t xml:space="preserve">25 </w:t>
            </w:r>
            <w:r w:rsidR="002D3EAA" w:rsidRPr="00AC22AE">
              <w:rPr>
                <w:rFonts w:asciiTheme="majorHAnsi" w:hAnsiTheme="majorHAnsi"/>
                <w:bCs/>
                <w:sz w:val="19"/>
                <w:szCs w:val="19"/>
                <w:lang w:val="es-AR"/>
              </w:rPr>
              <w:t>(</w:t>
            </w:r>
            <w:r w:rsidR="007631B4" w:rsidRPr="00AC22AE">
              <w:rPr>
                <w:rFonts w:asciiTheme="majorHAnsi" w:hAnsiTheme="majorHAnsi"/>
                <w:bCs/>
                <w:sz w:val="19"/>
                <w:szCs w:val="19"/>
                <w:lang w:val="es-AR"/>
              </w:rPr>
              <w:t>protección judicial</w:t>
            </w:r>
            <w:r w:rsidR="002D3EAA" w:rsidRPr="00AC22AE">
              <w:rPr>
                <w:rFonts w:asciiTheme="majorHAnsi" w:hAnsiTheme="majorHAnsi"/>
                <w:bCs/>
                <w:sz w:val="19"/>
                <w:szCs w:val="19"/>
                <w:lang w:val="es-AR"/>
              </w:rPr>
              <w:t>)</w:t>
            </w:r>
            <w:r w:rsidR="008B7A1B" w:rsidRPr="00AC22AE">
              <w:rPr>
                <w:rFonts w:asciiTheme="majorHAnsi" w:hAnsiTheme="majorHAnsi"/>
                <w:bCs/>
                <w:sz w:val="19"/>
                <w:szCs w:val="19"/>
                <w:lang w:val="es-AR"/>
              </w:rPr>
              <w:t xml:space="preserve"> de la Convención Americana </w:t>
            </w:r>
            <w:r w:rsidR="007A380C" w:rsidRPr="00AC22AE">
              <w:rPr>
                <w:rFonts w:asciiTheme="majorHAnsi" w:hAnsiTheme="majorHAnsi"/>
                <w:bCs/>
                <w:sz w:val="19"/>
                <w:szCs w:val="19"/>
                <w:lang w:val="es-AR"/>
              </w:rPr>
              <w:t>sobre</w:t>
            </w:r>
            <w:r w:rsidR="008B7A1B" w:rsidRPr="00AC22AE">
              <w:rPr>
                <w:rFonts w:asciiTheme="majorHAnsi" w:hAnsiTheme="majorHAnsi"/>
                <w:bCs/>
                <w:sz w:val="19"/>
                <w:szCs w:val="19"/>
                <w:lang w:val="es-AR"/>
              </w:rPr>
              <w:t xml:space="preserve"> Derechos Humanos</w:t>
            </w:r>
            <w:r w:rsidR="008B7A1B" w:rsidRPr="00AC22AE">
              <w:rPr>
                <w:rStyle w:val="FootnoteReference"/>
                <w:rFonts w:asciiTheme="majorHAnsi" w:hAnsiTheme="majorHAnsi"/>
                <w:b/>
                <w:sz w:val="19"/>
                <w:szCs w:val="19"/>
              </w:rPr>
              <w:footnoteReference w:id="4"/>
            </w:r>
            <w:r w:rsidR="003E1419" w:rsidRPr="00AC22AE">
              <w:rPr>
                <w:rFonts w:asciiTheme="majorHAnsi" w:hAnsiTheme="majorHAnsi"/>
                <w:bCs/>
                <w:sz w:val="19"/>
                <w:szCs w:val="19"/>
                <w:lang w:val="es-AR"/>
              </w:rPr>
              <w:t xml:space="preserve"> </w:t>
            </w:r>
            <w:r w:rsidR="003E1419" w:rsidRPr="00AC22AE">
              <w:rPr>
                <w:rFonts w:asciiTheme="majorHAnsi" w:hAnsiTheme="majorHAnsi"/>
                <w:bCs/>
                <w:sz w:val="19"/>
                <w:szCs w:val="19"/>
                <w:lang w:val="es-US"/>
              </w:rPr>
              <w:t>en relación con su artículo 1 (obligación de respetar los derechos)</w:t>
            </w:r>
            <w:r w:rsidR="003C6CC9" w:rsidRPr="00AC22AE">
              <w:rPr>
                <w:rFonts w:asciiTheme="majorHAnsi" w:hAnsiTheme="majorHAnsi"/>
                <w:bCs/>
                <w:sz w:val="19"/>
                <w:szCs w:val="19"/>
                <w:lang w:val="es-US"/>
              </w:rPr>
              <w:t>;</w:t>
            </w:r>
            <w:r w:rsidR="00D77A83" w:rsidRPr="00AC22AE">
              <w:rPr>
                <w:rFonts w:asciiTheme="majorHAnsi" w:hAnsiTheme="majorHAnsi"/>
                <w:bCs/>
                <w:sz w:val="19"/>
                <w:szCs w:val="19"/>
                <w:lang w:val="es-US"/>
              </w:rPr>
              <w:t xml:space="preserve"> </w:t>
            </w:r>
            <w:r w:rsidR="00D15282" w:rsidRPr="00AC22AE">
              <w:rPr>
                <w:rFonts w:asciiTheme="majorHAnsi" w:hAnsiTheme="majorHAnsi"/>
                <w:bCs/>
                <w:sz w:val="19"/>
                <w:szCs w:val="19"/>
                <w:lang w:val="es-AR"/>
              </w:rPr>
              <w:t>XVI (seguridad social), XVIII (Justicia)</w:t>
            </w:r>
            <w:r w:rsidR="00AC22AE" w:rsidRPr="00AC22AE">
              <w:rPr>
                <w:rFonts w:asciiTheme="majorHAnsi" w:hAnsiTheme="majorHAnsi"/>
                <w:bCs/>
                <w:sz w:val="19"/>
                <w:szCs w:val="19"/>
                <w:lang w:val="es-AR"/>
              </w:rPr>
              <w:t xml:space="preserve"> y</w:t>
            </w:r>
            <w:r w:rsidR="00D15282" w:rsidRPr="00AC22AE">
              <w:rPr>
                <w:rFonts w:asciiTheme="majorHAnsi" w:hAnsiTheme="majorHAnsi"/>
                <w:bCs/>
                <w:sz w:val="19"/>
                <w:szCs w:val="19"/>
                <w:lang w:val="es-AR"/>
              </w:rPr>
              <w:t xml:space="preserve"> XXIII (propiedad) de la Declaración Americana de Derechos y Deberes del Hombre</w:t>
            </w:r>
            <w:r w:rsidR="00D15282" w:rsidRPr="00AC22AE">
              <w:rPr>
                <w:rStyle w:val="FootnoteReference"/>
                <w:rFonts w:asciiTheme="majorHAnsi" w:hAnsiTheme="majorHAnsi"/>
                <w:b/>
                <w:sz w:val="19"/>
                <w:szCs w:val="19"/>
              </w:rPr>
              <w:footnoteReference w:id="5"/>
            </w:r>
            <w:r w:rsidR="00D15282" w:rsidRPr="00AC22AE">
              <w:rPr>
                <w:rFonts w:asciiTheme="majorHAnsi" w:hAnsiTheme="majorHAnsi"/>
                <w:bCs/>
                <w:sz w:val="19"/>
                <w:szCs w:val="19"/>
                <w:lang w:val="es-AR"/>
              </w:rPr>
              <w:t>; y</w:t>
            </w:r>
            <w:r w:rsidR="003C6CC9" w:rsidRPr="00AC22AE">
              <w:rPr>
                <w:rFonts w:asciiTheme="majorHAnsi" w:hAnsiTheme="majorHAnsi"/>
                <w:bCs/>
                <w:sz w:val="19"/>
                <w:szCs w:val="19"/>
                <w:lang w:val="es-US"/>
              </w:rPr>
              <w:t xml:space="preserve"> </w:t>
            </w:r>
            <w:r w:rsidR="008B7A1B" w:rsidRPr="00AC22AE">
              <w:rPr>
                <w:rFonts w:asciiTheme="majorHAnsi" w:hAnsiTheme="majorHAnsi"/>
                <w:bCs/>
                <w:sz w:val="19"/>
                <w:szCs w:val="19"/>
                <w:lang w:val="es-US"/>
              </w:rPr>
              <w:t xml:space="preserve">6 (derecho al trabajo), </w:t>
            </w:r>
            <w:r w:rsidR="002D278B" w:rsidRPr="00AC22AE">
              <w:rPr>
                <w:rFonts w:asciiTheme="majorHAnsi" w:hAnsiTheme="majorHAnsi"/>
                <w:bCs/>
                <w:sz w:val="19"/>
                <w:szCs w:val="19"/>
                <w:lang w:val="es-US"/>
              </w:rPr>
              <w:t xml:space="preserve">9 </w:t>
            </w:r>
            <w:r w:rsidR="008B7A1B" w:rsidRPr="00AC22AE">
              <w:rPr>
                <w:rFonts w:asciiTheme="majorHAnsi" w:hAnsiTheme="majorHAnsi"/>
                <w:bCs/>
                <w:sz w:val="19"/>
                <w:szCs w:val="19"/>
                <w:lang w:val="es-US"/>
              </w:rPr>
              <w:t>(s</w:t>
            </w:r>
            <w:r w:rsidR="002D278B" w:rsidRPr="00AC22AE">
              <w:rPr>
                <w:rFonts w:asciiTheme="majorHAnsi" w:hAnsiTheme="majorHAnsi"/>
                <w:bCs/>
                <w:sz w:val="19"/>
                <w:szCs w:val="19"/>
                <w:lang w:val="es-US"/>
              </w:rPr>
              <w:t>eguridad social</w:t>
            </w:r>
            <w:r w:rsidR="008B7A1B" w:rsidRPr="00AC22AE">
              <w:rPr>
                <w:rFonts w:asciiTheme="majorHAnsi" w:hAnsiTheme="majorHAnsi"/>
                <w:bCs/>
                <w:sz w:val="19"/>
                <w:szCs w:val="19"/>
                <w:lang w:val="es-US"/>
              </w:rPr>
              <w:t>), 10 (salud), 17 (protección de los ancianos)</w:t>
            </w:r>
            <w:r w:rsidR="005C1F43" w:rsidRPr="00AC22AE">
              <w:rPr>
                <w:rFonts w:asciiTheme="majorHAnsi" w:hAnsiTheme="majorHAnsi"/>
                <w:bCs/>
                <w:sz w:val="19"/>
                <w:szCs w:val="19"/>
                <w:lang w:val="es-US"/>
              </w:rPr>
              <w:t xml:space="preserve"> del Protocolo adicional a la Convención Americana </w:t>
            </w:r>
            <w:r w:rsidR="007A380C" w:rsidRPr="00AC22AE">
              <w:rPr>
                <w:rFonts w:asciiTheme="majorHAnsi" w:hAnsiTheme="majorHAnsi"/>
                <w:bCs/>
                <w:sz w:val="19"/>
                <w:szCs w:val="19"/>
                <w:lang w:val="es-US"/>
              </w:rPr>
              <w:t>sobre Derechos Humanos en Materia de Derechos Económicos, Sociales y Culturales “Protocolo de San Salvador”</w:t>
            </w:r>
            <w:r w:rsidR="00DD568D" w:rsidRPr="00AC22AE">
              <w:rPr>
                <w:rStyle w:val="FootnoteReference"/>
                <w:rFonts w:asciiTheme="majorHAnsi" w:hAnsiTheme="majorHAnsi"/>
                <w:b/>
                <w:sz w:val="19"/>
                <w:szCs w:val="19"/>
                <w:lang w:val="es-AR"/>
              </w:rPr>
              <w:t xml:space="preserve"> </w:t>
            </w:r>
            <w:r w:rsidR="00DD568D" w:rsidRPr="00AC22AE">
              <w:rPr>
                <w:rStyle w:val="FootnoteReference"/>
                <w:rFonts w:asciiTheme="majorHAnsi" w:hAnsiTheme="majorHAnsi"/>
                <w:b/>
                <w:sz w:val="19"/>
                <w:szCs w:val="19"/>
              </w:rPr>
              <w:footnoteReference w:id="6"/>
            </w:r>
          </w:p>
        </w:tc>
      </w:tr>
    </w:tbl>
    <w:p w:rsidR="003239B8" w:rsidRPr="00AC22AE" w:rsidRDefault="003239B8" w:rsidP="003239B8">
      <w:pPr>
        <w:spacing w:before="240" w:after="240"/>
        <w:ind w:firstLine="720"/>
        <w:jc w:val="both"/>
        <w:rPr>
          <w:rFonts w:asciiTheme="majorHAnsi" w:hAnsiTheme="majorHAnsi"/>
          <w:b/>
          <w:bCs/>
          <w:sz w:val="19"/>
          <w:szCs w:val="19"/>
          <w:lang w:val="es-AR"/>
        </w:rPr>
      </w:pPr>
      <w:r w:rsidRPr="00AC22AE">
        <w:rPr>
          <w:rFonts w:asciiTheme="majorHAnsi" w:hAnsiTheme="majorHAnsi"/>
          <w:b/>
          <w:bCs/>
          <w:sz w:val="19"/>
          <w:szCs w:val="19"/>
          <w:lang w:val="es-ES"/>
        </w:rPr>
        <w:t>II.</w:t>
      </w:r>
      <w:r w:rsidRPr="00AC22AE">
        <w:rPr>
          <w:rFonts w:asciiTheme="majorHAnsi" w:hAnsiTheme="majorHAnsi"/>
          <w:b/>
          <w:bCs/>
          <w:sz w:val="19"/>
          <w:szCs w:val="19"/>
          <w:lang w:val="es-ES"/>
        </w:rPr>
        <w:tab/>
        <w:t>TRÁMITE ANTE LA CIDH</w:t>
      </w:r>
      <w:r w:rsidR="008E3BFE" w:rsidRPr="00AC22AE">
        <w:rPr>
          <w:rStyle w:val="FootnoteReference"/>
          <w:rFonts w:asciiTheme="majorHAnsi" w:hAnsiTheme="majorHAnsi"/>
          <w:b/>
          <w:sz w:val="19"/>
          <w:szCs w:val="19"/>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C22AE" w:rsidTr="004A6A54">
        <w:tc>
          <w:tcPr>
            <w:tcW w:w="3600" w:type="dxa"/>
            <w:tcBorders>
              <w:top w:val="single" w:sz="6" w:space="0" w:color="auto"/>
              <w:bottom w:val="single" w:sz="6" w:space="0" w:color="auto"/>
            </w:tcBorders>
            <w:shd w:val="clear" w:color="auto" w:fill="386294"/>
            <w:vAlign w:val="center"/>
          </w:tcPr>
          <w:p w:rsidR="004C2312" w:rsidRPr="00AC22AE" w:rsidRDefault="004A6A54" w:rsidP="004A6A54">
            <w:pPr>
              <w:jc w:val="center"/>
              <w:rPr>
                <w:rFonts w:asciiTheme="majorHAnsi" w:hAnsiTheme="majorHAnsi"/>
                <w:b/>
                <w:bCs/>
                <w:color w:val="FFFFFF" w:themeColor="background1"/>
                <w:sz w:val="19"/>
                <w:szCs w:val="19"/>
                <w:lang w:val="es-ES"/>
              </w:rPr>
            </w:pPr>
            <w:r w:rsidRPr="00AC22AE">
              <w:rPr>
                <w:rFonts w:asciiTheme="majorHAnsi" w:hAnsiTheme="majorHAnsi"/>
                <w:b/>
                <w:bCs/>
                <w:color w:val="FFFFFF" w:themeColor="background1"/>
                <w:sz w:val="19"/>
                <w:szCs w:val="19"/>
                <w:lang w:val="es-ES"/>
              </w:rPr>
              <w:t>P</w:t>
            </w:r>
            <w:r w:rsidR="004C2312" w:rsidRPr="00AC22AE">
              <w:rPr>
                <w:rFonts w:asciiTheme="majorHAnsi" w:hAnsiTheme="majorHAnsi"/>
                <w:b/>
                <w:bCs/>
                <w:color w:val="FFFFFF" w:themeColor="background1"/>
                <w:sz w:val="19"/>
                <w:szCs w:val="19"/>
                <w:lang w:val="es-ES"/>
              </w:rPr>
              <w:t>resentación de la petición:</w:t>
            </w:r>
          </w:p>
        </w:tc>
        <w:tc>
          <w:tcPr>
            <w:tcW w:w="5760" w:type="dxa"/>
            <w:vAlign w:val="center"/>
          </w:tcPr>
          <w:p w:rsidR="004C2312" w:rsidRPr="00AC22AE" w:rsidRDefault="001E2E93" w:rsidP="002625EA">
            <w:pPr>
              <w:jc w:val="both"/>
              <w:rPr>
                <w:rFonts w:asciiTheme="majorHAnsi" w:hAnsiTheme="majorHAnsi"/>
                <w:bCs/>
                <w:sz w:val="19"/>
                <w:szCs w:val="19"/>
                <w:lang w:val="es-ES"/>
              </w:rPr>
            </w:pPr>
            <w:r w:rsidRPr="00AC22AE">
              <w:rPr>
                <w:rFonts w:asciiTheme="majorHAnsi" w:hAnsiTheme="majorHAnsi"/>
                <w:bCs/>
                <w:sz w:val="19"/>
                <w:szCs w:val="19"/>
                <w:lang w:val="es-ES"/>
              </w:rPr>
              <w:t>18 de octubre de 2007</w:t>
            </w:r>
          </w:p>
        </w:tc>
      </w:tr>
      <w:tr w:rsidR="001E49E7" w:rsidRPr="004F35CC" w:rsidTr="004A6A54">
        <w:tc>
          <w:tcPr>
            <w:tcW w:w="3600" w:type="dxa"/>
            <w:tcBorders>
              <w:top w:val="single" w:sz="6" w:space="0" w:color="auto"/>
              <w:bottom w:val="single" w:sz="6" w:space="0" w:color="auto"/>
            </w:tcBorders>
            <w:shd w:val="clear" w:color="auto" w:fill="386294"/>
            <w:vAlign w:val="center"/>
          </w:tcPr>
          <w:p w:rsidR="001E49E7" w:rsidRPr="00AC22AE" w:rsidRDefault="001E49E7" w:rsidP="001E49E7">
            <w:pPr>
              <w:jc w:val="center"/>
              <w:rPr>
                <w:rFonts w:asciiTheme="majorHAnsi" w:hAnsiTheme="majorHAnsi"/>
                <w:b/>
                <w:bCs/>
                <w:color w:val="FFFFFF" w:themeColor="background1"/>
                <w:sz w:val="19"/>
                <w:szCs w:val="19"/>
                <w:lang w:val="es-ES"/>
              </w:rPr>
            </w:pPr>
            <w:r w:rsidRPr="00AC22AE">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AC22AE" w:rsidRDefault="00F257C0" w:rsidP="00F257C0">
            <w:pPr>
              <w:jc w:val="both"/>
              <w:rPr>
                <w:rFonts w:asciiTheme="majorHAnsi" w:hAnsiTheme="majorHAnsi"/>
                <w:bCs/>
                <w:sz w:val="19"/>
                <w:szCs w:val="19"/>
                <w:lang w:val="es-AR"/>
              </w:rPr>
            </w:pPr>
            <w:r w:rsidRPr="00AC22AE">
              <w:rPr>
                <w:rFonts w:asciiTheme="majorHAnsi" w:hAnsiTheme="majorHAnsi"/>
                <w:bCs/>
                <w:sz w:val="19"/>
                <w:szCs w:val="19"/>
                <w:lang w:val="es-AR"/>
              </w:rPr>
              <w:t>10 de febrero de 2009;</w:t>
            </w:r>
            <w:r w:rsidR="00883666" w:rsidRPr="00AC22AE">
              <w:rPr>
                <w:rFonts w:asciiTheme="majorHAnsi" w:hAnsiTheme="majorHAnsi"/>
                <w:bCs/>
                <w:sz w:val="19"/>
                <w:szCs w:val="19"/>
                <w:lang w:val="es-AR"/>
              </w:rPr>
              <w:t xml:space="preserve"> 28 de agosto de 2012</w:t>
            </w:r>
            <w:r w:rsidR="001345F8" w:rsidRPr="00AC22AE">
              <w:rPr>
                <w:rFonts w:asciiTheme="majorHAnsi" w:hAnsiTheme="majorHAnsi"/>
                <w:bCs/>
                <w:sz w:val="19"/>
                <w:szCs w:val="19"/>
                <w:lang w:val="es-AR"/>
              </w:rPr>
              <w:t xml:space="preserve"> </w:t>
            </w:r>
          </w:p>
        </w:tc>
      </w:tr>
      <w:tr w:rsidR="004C2312" w:rsidRPr="00AC22AE" w:rsidTr="004A6A54">
        <w:tc>
          <w:tcPr>
            <w:tcW w:w="3600" w:type="dxa"/>
            <w:tcBorders>
              <w:top w:val="single" w:sz="6" w:space="0" w:color="auto"/>
              <w:bottom w:val="single" w:sz="6" w:space="0" w:color="auto"/>
            </w:tcBorders>
            <w:shd w:val="clear" w:color="auto" w:fill="386294"/>
            <w:vAlign w:val="center"/>
          </w:tcPr>
          <w:p w:rsidR="004C2312" w:rsidRPr="00AC22AE" w:rsidRDefault="004A6A54" w:rsidP="004A6A54">
            <w:pPr>
              <w:jc w:val="center"/>
              <w:rPr>
                <w:rFonts w:asciiTheme="majorHAnsi" w:hAnsiTheme="majorHAnsi"/>
                <w:b/>
                <w:bCs/>
                <w:color w:val="FFFFFF" w:themeColor="background1"/>
                <w:sz w:val="19"/>
                <w:szCs w:val="19"/>
                <w:lang w:val="es-ES"/>
              </w:rPr>
            </w:pPr>
            <w:r w:rsidRPr="00AC22AE">
              <w:rPr>
                <w:rFonts w:asciiTheme="majorHAnsi" w:hAnsiTheme="majorHAnsi"/>
                <w:b/>
                <w:color w:val="FFFFFF" w:themeColor="background1"/>
                <w:sz w:val="19"/>
                <w:szCs w:val="19"/>
                <w:lang w:val="es-ES"/>
              </w:rPr>
              <w:t>N</w:t>
            </w:r>
            <w:r w:rsidR="004C2312" w:rsidRPr="00AC22AE">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AC22AE" w:rsidRDefault="00141742" w:rsidP="008D2290">
            <w:pPr>
              <w:jc w:val="both"/>
              <w:rPr>
                <w:rFonts w:asciiTheme="majorHAnsi" w:hAnsiTheme="majorHAnsi"/>
                <w:bCs/>
                <w:sz w:val="19"/>
                <w:szCs w:val="19"/>
                <w:lang w:val="es-ES"/>
              </w:rPr>
            </w:pPr>
            <w:r w:rsidRPr="00AC22AE">
              <w:rPr>
                <w:rFonts w:asciiTheme="majorHAnsi" w:hAnsiTheme="majorHAnsi"/>
                <w:bCs/>
                <w:sz w:val="19"/>
                <w:szCs w:val="19"/>
                <w:lang w:val="es-ES"/>
              </w:rPr>
              <w:t xml:space="preserve">27 </w:t>
            </w:r>
            <w:r w:rsidR="00D17146" w:rsidRPr="00AC22AE">
              <w:rPr>
                <w:rFonts w:asciiTheme="majorHAnsi" w:hAnsiTheme="majorHAnsi"/>
                <w:bCs/>
                <w:sz w:val="19"/>
                <w:szCs w:val="19"/>
                <w:lang w:val="es-ES"/>
              </w:rPr>
              <w:t>de mayo de 2016</w:t>
            </w:r>
          </w:p>
        </w:tc>
      </w:tr>
      <w:tr w:rsidR="004C2312" w:rsidRPr="00AC22AE" w:rsidTr="004A6A54">
        <w:tc>
          <w:tcPr>
            <w:tcW w:w="3600" w:type="dxa"/>
            <w:tcBorders>
              <w:top w:val="single" w:sz="6" w:space="0" w:color="auto"/>
              <w:bottom w:val="single" w:sz="6" w:space="0" w:color="auto"/>
            </w:tcBorders>
            <w:shd w:val="clear" w:color="auto" w:fill="386294"/>
            <w:vAlign w:val="center"/>
          </w:tcPr>
          <w:p w:rsidR="004C2312" w:rsidRPr="00AC22AE" w:rsidRDefault="004A6A54" w:rsidP="004A6A54">
            <w:pPr>
              <w:jc w:val="center"/>
              <w:rPr>
                <w:rFonts w:asciiTheme="majorHAnsi" w:hAnsiTheme="majorHAnsi"/>
                <w:b/>
                <w:bCs/>
                <w:color w:val="FFFFFF" w:themeColor="background1"/>
                <w:sz w:val="19"/>
                <w:szCs w:val="19"/>
                <w:lang w:val="es-ES"/>
              </w:rPr>
            </w:pPr>
            <w:r w:rsidRPr="00AC22AE">
              <w:rPr>
                <w:rFonts w:asciiTheme="majorHAnsi" w:hAnsiTheme="majorHAnsi"/>
                <w:b/>
                <w:color w:val="FFFFFF" w:themeColor="background1"/>
                <w:sz w:val="19"/>
                <w:szCs w:val="19"/>
                <w:lang w:val="es-ES"/>
              </w:rPr>
              <w:t>P</w:t>
            </w:r>
            <w:r w:rsidR="004C2312" w:rsidRPr="00AC22AE">
              <w:rPr>
                <w:rFonts w:asciiTheme="majorHAnsi" w:hAnsiTheme="majorHAnsi"/>
                <w:b/>
                <w:color w:val="FFFFFF" w:themeColor="background1"/>
                <w:sz w:val="19"/>
                <w:szCs w:val="19"/>
                <w:lang w:val="es-ES"/>
              </w:rPr>
              <w:t>rimera respuesta del Estado:</w:t>
            </w:r>
          </w:p>
        </w:tc>
        <w:tc>
          <w:tcPr>
            <w:tcW w:w="5760" w:type="dxa"/>
            <w:vAlign w:val="center"/>
          </w:tcPr>
          <w:p w:rsidR="004C2312" w:rsidRPr="00AC22AE" w:rsidRDefault="000259F6" w:rsidP="008D2290">
            <w:pPr>
              <w:jc w:val="both"/>
              <w:rPr>
                <w:rFonts w:asciiTheme="majorHAnsi" w:hAnsiTheme="majorHAnsi"/>
                <w:bCs/>
                <w:sz w:val="19"/>
                <w:szCs w:val="19"/>
                <w:lang w:val="es-ES"/>
              </w:rPr>
            </w:pPr>
            <w:r w:rsidRPr="00AC22AE">
              <w:rPr>
                <w:rFonts w:asciiTheme="majorHAnsi" w:hAnsiTheme="majorHAnsi"/>
                <w:bCs/>
                <w:sz w:val="19"/>
                <w:szCs w:val="19"/>
                <w:lang w:val="es-ES"/>
              </w:rPr>
              <w:t>29 de agosto de 2016</w:t>
            </w:r>
          </w:p>
        </w:tc>
      </w:tr>
      <w:tr w:rsidR="004C2312" w:rsidRPr="00AC22AE" w:rsidTr="004A6A54">
        <w:tc>
          <w:tcPr>
            <w:tcW w:w="3600" w:type="dxa"/>
            <w:tcBorders>
              <w:top w:val="single" w:sz="6" w:space="0" w:color="auto"/>
              <w:bottom w:val="single" w:sz="6" w:space="0" w:color="auto"/>
            </w:tcBorders>
            <w:shd w:val="clear" w:color="auto" w:fill="386294"/>
            <w:vAlign w:val="center"/>
          </w:tcPr>
          <w:p w:rsidR="004C2312" w:rsidRPr="00AC22AE" w:rsidRDefault="008E3BFE" w:rsidP="008E3BFE">
            <w:pPr>
              <w:jc w:val="center"/>
              <w:rPr>
                <w:rFonts w:asciiTheme="majorHAnsi" w:hAnsiTheme="majorHAnsi"/>
                <w:b/>
                <w:bCs/>
                <w:color w:val="FFFFFF" w:themeColor="background1"/>
                <w:sz w:val="19"/>
                <w:szCs w:val="19"/>
                <w:lang w:val="es-ES"/>
              </w:rPr>
            </w:pPr>
            <w:r w:rsidRPr="00AC22AE">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AC22AE" w:rsidRDefault="00B25528" w:rsidP="008D2290">
            <w:pPr>
              <w:jc w:val="both"/>
              <w:rPr>
                <w:rFonts w:asciiTheme="majorHAnsi" w:hAnsiTheme="majorHAnsi"/>
                <w:bCs/>
                <w:sz w:val="19"/>
                <w:szCs w:val="19"/>
                <w:lang w:val="es-ES"/>
              </w:rPr>
            </w:pPr>
            <w:r w:rsidRPr="00AC22AE">
              <w:rPr>
                <w:rFonts w:asciiTheme="majorHAnsi" w:hAnsiTheme="majorHAnsi"/>
                <w:bCs/>
                <w:sz w:val="19"/>
                <w:szCs w:val="19"/>
                <w:lang w:val="es-ES"/>
              </w:rPr>
              <w:t>5 de julio de 2017</w:t>
            </w:r>
          </w:p>
        </w:tc>
      </w:tr>
      <w:tr w:rsidR="004C2312" w:rsidRPr="00AC22AE" w:rsidTr="004A6A54">
        <w:tc>
          <w:tcPr>
            <w:tcW w:w="3600" w:type="dxa"/>
            <w:tcBorders>
              <w:top w:val="single" w:sz="6" w:space="0" w:color="auto"/>
              <w:bottom w:val="single" w:sz="6" w:space="0" w:color="auto"/>
            </w:tcBorders>
            <w:shd w:val="clear" w:color="auto" w:fill="386294"/>
            <w:vAlign w:val="center"/>
          </w:tcPr>
          <w:p w:rsidR="004C2312" w:rsidRPr="00AC22AE" w:rsidRDefault="004C2312" w:rsidP="008E3BFE">
            <w:pPr>
              <w:jc w:val="center"/>
              <w:rPr>
                <w:rFonts w:asciiTheme="majorHAnsi" w:hAnsiTheme="majorHAnsi"/>
                <w:b/>
                <w:bCs/>
                <w:color w:val="FFFFFF" w:themeColor="background1"/>
                <w:sz w:val="19"/>
                <w:szCs w:val="19"/>
              </w:rPr>
            </w:pPr>
            <w:r w:rsidRPr="00AC22AE">
              <w:rPr>
                <w:rFonts w:asciiTheme="majorHAnsi" w:hAnsiTheme="majorHAnsi"/>
                <w:b/>
                <w:bCs/>
                <w:color w:val="FFFFFF" w:themeColor="background1"/>
                <w:sz w:val="19"/>
                <w:szCs w:val="19"/>
              </w:rPr>
              <w:t>Observaciones adicionales del Estado:</w:t>
            </w:r>
          </w:p>
        </w:tc>
        <w:tc>
          <w:tcPr>
            <w:tcW w:w="5760" w:type="dxa"/>
            <w:vAlign w:val="center"/>
          </w:tcPr>
          <w:p w:rsidR="004C2312" w:rsidRPr="00AC22AE" w:rsidRDefault="003C043C" w:rsidP="008D2290">
            <w:pPr>
              <w:jc w:val="both"/>
              <w:rPr>
                <w:rFonts w:asciiTheme="majorHAnsi" w:hAnsiTheme="majorHAnsi"/>
                <w:bCs/>
                <w:sz w:val="19"/>
                <w:szCs w:val="19"/>
              </w:rPr>
            </w:pPr>
            <w:r w:rsidRPr="00AC22AE">
              <w:rPr>
                <w:rFonts w:asciiTheme="majorHAnsi" w:hAnsiTheme="majorHAnsi"/>
                <w:bCs/>
                <w:sz w:val="19"/>
                <w:szCs w:val="19"/>
              </w:rPr>
              <w:t>11</w:t>
            </w:r>
            <w:r w:rsidR="00A629E1" w:rsidRPr="00AC22AE">
              <w:rPr>
                <w:rFonts w:asciiTheme="majorHAnsi" w:hAnsiTheme="majorHAnsi"/>
                <w:bCs/>
                <w:sz w:val="19"/>
                <w:szCs w:val="19"/>
              </w:rPr>
              <w:t xml:space="preserve"> de junio de 2018</w:t>
            </w:r>
          </w:p>
        </w:tc>
      </w:tr>
    </w:tbl>
    <w:p w:rsidR="003239B8" w:rsidRPr="00AC22AE" w:rsidRDefault="003239B8" w:rsidP="003239B8">
      <w:pPr>
        <w:spacing w:before="240" w:after="240"/>
        <w:ind w:firstLine="720"/>
        <w:jc w:val="both"/>
        <w:rPr>
          <w:rFonts w:asciiTheme="majorHAnsi" w:hAnsiTheme="majorHAnsi"/>
          <w:b/>
          <w:bCs/>
          <w:sz w:val="19"/>
          <w:szCs w:val="19"/>
          <w:lang w:val="es-ES"/>
        </w:rPr>
      </w:pPr>
      <w:r w:rsidRPr="00AC22AE">
        <w:rPr>
          <w:rFonts w:asciiTheme="majorHAnsi" w:hAnsiTheme="majorHAnsi"/>
          <w:b/>
          <w:bCs/>
          <w:sz w:val="19"/>
          <w:szCs w:val="19"/>
          <w:lang w:val="es-ES"/>
        </w:rPr>
        <w:t xml:space="preserve">III. </w:t>
      </w:r>
      <w:r w:rsidRPr="00AC22AE">
        <w:rPr>
          <w:rFonts w:asciiTheme="majorHAnsi" w:hAnsiTheme="majorHAnsi"/>
          <w:b/>
          <w:bCs/>
          <w:sz w:val="19"/>
          <w:szCs w:val="19"/>
          <w:lang w:val="es-ES"/>
        </w:rPr>
        <w:tab/>
        <w:t>COMPETENCIA</w:t>
      </w:r>
      <w:r w:rsidR="00EE00E9" w:rsidRPr="00AC22AE">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C22AE" w:rsidTr="004A6A54">
        <w:trPr>
          <w:cantSplit/>
        </w:trPr>
        <w:tc>
          <w:tcPr>
            <w:tcW w:w="3600" w:type="dxa"/>
            <w:tcBorders>
              <w:top w:val="single" w:sz="4" w:space="0" w:color="auto"/>
              <w:bottom w:val="single" w:sz="6" w:space="0" w:color="auto"/>
            </w:tcBorders>
            <w:shd w:val="clear" w:color="auto" w:fill="386294"/>
            <w:vAlign w:val="center"/>
          </w:tcPr>
          <w:p w:rsidR="003239B8" w:rsidRPr="00AC22AE" w:rsidRDefault="003239B8" w:rsidP="008D2290">
            <w:pPr>
              <w:jc w:val="center"/>
              <w:rPr>
                <w:rFonts w:asciiTheme="majorHAnsi" w:hAnsiTheme="majorHAnsi"/>
                <w:b/>
                <w:bCs/>
                <w:i/>
                <w:color w:val="FFFFFF" w:themeColor="background1"/>
                <w:sz w:val="19"/>
                <w:szCs w:val="19"/>
              </w:rPr>
            </w:pPr>
            <w:r w:rsidRPr="00AC22AE">
              <w:rPr>
                <w:rFonts w:asciiTheme="majorHAnsi" w:hAnsiTheme="majorHAnsi"/>
                <w:b/>
                <w:bCs/>
                <w:color w:val="FFFFFF" w:themeColor="background1"/>
                <w:sz w:val="19"/>
                <w:szCs w:val="19"/>
              </w:rPr>
              <w:t>Competencia</w:t>
            </w:r>
            <w:r w:rsidRPr="00AC22AE">
              <w:rPr>
                <w:rFonts w:asciiTheme="majorHAnsi" w:hAnsiTheme="majorHAnsi"/>
                <w:b/>
                <w:bCs/>
                <w:i/>
                <w:color w:val="FFFFFF" w:themeColor="background1"/>
                <w:sz w:val="19"/>
                <w:szCs w:val="19"/>
              </w:rPr>
              <w:t xml:space="preserve"> Ratione personae:</w:t>
            </w:r>
          </w:p>
        </w:tc>
        <w:tc>
          <w:tcPr>
            <w:tcW w:w="5760" w:type="dxa"/>
            <w:vAlign w:val="center"/>
          </w:tcPr>
          <w:p w:rsidR="003239B8" w:rsidRPr="00AC22AE" w:rsidRDefault="003D6B9B" w:rsidP="008D2290">
            <w:pPr>
              <w:rPr>
                <w:rFonts w:asciiTheme="majorHAnsi" w:hAnsiTheme="majorHAnsi"/>
                <w:bCs/>
                <w:sz w:val="19"/>
                <w:szCs w:val="19"/>
              </w:rPr>
            </w:pPr>
            <w:r w:rsidRPr="00AC22AE">
              <w:rPr>
                <w:rFonts w:asciiTheme="majorHAnsi" w:hAnsiTheme="majorHAnsi"/>
                <w:bCs/>
                <w:sz w:val="19"/>
                <w:szCs w:val="19"/>
              </w:rPr>
              <w:t>Sí</w:t>
            </w:r>
          </w:p>
        </w:tc>
      </w:tr>
      <w:tr w:rsidR="003239B8" w:rsidRPr="00AC22AE" w:rsidTr="004A6A54">
        <w:trPr>
          <w:cantSplit/>
        </w:trPr>
        <w:tc>
          <w:tcPr>
            <w:tcW w:w="3600" w:type="dxa"/>
            <w:tcBorders>
              <w:top w:val="single" w:sz="6" w:space="0" w:color="auto"/>
              <w:bottom w:val="single" w:sz="6" w:space="0" w:color="auto"/>
            </w:tcBorders>
            <w:shd w:val="clear" w:color="auto" w:fill="386294"/>
            <w:vAlign w:val="center"/>
          </w:tcPr>
          <w:p w:rsidR="003239B8" w:rsidRPr="00AC22AE" w:rsidRDefault="003239B8" w:rsidP="008D2290">
            <w:pPr>
              <w:jc w:val="center"/>
              <w:rPr>
                <w:rFonts w:asciiTheme="majorHAnsi" w:hAnsiTheme="majorHAnsi"/>
                <w:b/>
                <w:bCs/>
                <w:color w:val="FFFFFF" w:themeColor="background1"/>
                <w:sz w:val="19"/>
                <w:szCs w:val="19"/>
              </w:rPr>
            </w:pPr>
            <w:r w:rsidRPr="00AC22AE">
              <w:rPr>
                <w:rFonts w:asciiTheme="majorHAnsi" w:hAnsiTheme="majorHAnsi"/>
                <w:b/>
                <w:bCs/>
                <w:color w:val="FFFFFF" w:themeColor="background1"/>
                <w:sz w:val="19"/>
                <w:szCs w:val="19"/>
              </w:rPr>
              <w:t>Competencia</w:t>
            </w:r>
            <w:r w:rsidRPr="00AC22AE">
              <w:rPr>
                <w:rFonts w:asciiTheme="majorHAnsi" w:hAnsiTheme="majorHAnsi"/>
                <w:b/>
                <w:bCs/>
                <w:i/>
                <w:color w:val="FFFFFF" w:themeColor="background1"/>
                <w:sz w:val="19"/>
                <w:szCs w:val="19"/>
              </w:rPr>
              <w:t xml:space="preserve"> Ratione loci</w:t>
            </w:r>
            <w:r w:rsidRPr="00AC22AE">
              <w:rPr>
                <w:rFonts w:asciiTheme="majorHAnsi" w:hAnsiTheme="majorHAnsi"/>
                <w:b/>
                <w:bCs/>
                <w:color w:val="FFFFFF" w:themeColor="background1"/>
                <w:sz w:val="19"/>
                <w:szCs w:val="19"/>
              </w:rPr>
              <w:t>:</w:t>
            </w:r>
          </w:p>
        </w:tc>
        <w:tc>
          <w:tcPr>
            <w:tcW w:w="5760" w:type="dxa"/>
            <w:vAlign w:val="center"/>
          </w:tcPr>
          <w:p w:rsidR="003239B8" w:rsidRPr="00AC22AE" w:rsidRDefault="003D6B9B" w:rsidP="008D2290">
            <w:pPr>
              <w:rPr>
                <w:rFonts w:asciiTheme="majorHAnsi" w:hAnsiTheme="majorHAnsi"/>
                <w:bCs/>
                <w:sz w:val="19"/>
                <w:szCs w:val="19"/>
              </w:rPr>
            </w:pPr>
            <w:r w:rsidRPr="00AC22AE">
              <w:rPr>
                <w:rFonts w:asciiTheme="majorHAnsi" w:hAnsiTheme="majorHAnsi"/>
                <w:bCs/>
                <w:sz w:val="19"/>
                <w:szCs w:val="19"/>
              </w:rPr>
              <w:t>Sí</w:t>
            </w:r>
          </w:p>
        </w:tc>
      </w:tr>
      <w:tr w:rsidR="003239B8" w:rsidRPr="00AC22AE" w:rsidTr="004A6A54">
        <w:trPr>
          <w:cantSplit/>
        </w:trPr>
        <w:tc>
          <w:tcPr>
            <w:tcW w:w="3600" w:type="dxa"/>
            <w:tcBorders>
              <w:top w:val="single" w:sz="6" w:space="0" w:color="auto"/>
              <w:bottom w:val="single" w:sz="6" w:space="0" w:color="auto"/>
            </w:tcBorders>
            <w:shd w:val="clear" w:color="auto" w:fill="386294"/>
            <w:vAlign w:val="center"/>
          </w:tcPr>
          <w:p w:rsidR="003239B8" w:rsidRPr="00AC22AE" w:rsidRDefault="003239B8" w:rsidP="008D2290">
            <w:pPr>
              <w:jc w:val="center"/>
              <w:rPr>
                <w:rFonts w:asciiTheme="majorHAnsi" w:hAnsiTheme="majorHAnsi"/>
                <w:b/>
                <w:bCs/>
                <w:color w:val="FFFFFF" w:themeColor="background1"/>
                <w:sz w:val="19"/>
                <w:szCs w:val="19"/>
              </w:rPr>
            </w:pPr>
            <w:r w:rsidRPr="00AC22AE">
              <w:rPr>
                <w:rFonts w:asciiTheme="majorHAnsi" w:hAnsiTheme="majorHAnsi"/>
                <w:b/>
                <w:bCs/>
                <w:color w:val="FFFFFF" w:themeColor="background1"/>
                <w:sz w:val="19"/>
                <w:szCs w:val="19"/>
              </w:rPr>
              <w:t>Competencia</w:t>
            </w:r>
            <w:r w:rsidRPr="00AC22AE">
              <w:rPr>
                <w:rFonts w:asciiTheme="majorHAnsi" w:hAnsiTheme="majorHAnsi"/>
                <w:b/>
                <w:bCs/>
                <w:i/>
                <w:color w:val="FFFFFF" w:themeColor="background1"/>
                <w:sz w:val="19"/>
                <w:szCs w:val="19"/>
              </w:rPr>
              <w:t xml:space="preserve"> Ratione temporis</w:t>
            </w:r>
            <w:r w:rsidRPr="00AC22AE">
              <w:rPr>
                <w:rFonts w:asciiTheme="majorHAnsi" w:hAnsiTheme="majorHAnsi"/>
                <w:b/>
                <w:bCs/>
                <w:color w:val="FFFFFF" w:themeColor="background1"/>
                <w:sz w:val="19"/>
                <w:szCs w:val="19"/>
              </w:rPr>
              <w:t>:</w:t>
            </w:r>
          </w:p>
        </w:tc>
        <w:tc>
          <w:tcPr>
            <w:tcW w:w="5760" w:type="dxa"/>
            <w:vAlign w:val="center"/>
          </w:tcPr>
          <w:p w:rsidR="003239B8" w:rsidRPr="00AC22AE" w:rsidRDefault="00F54A02" w:rsidP="008D2290">
            <w:pPr>
              <w:rPr>
                <w:rFonts w:asciiTheme="majorHAnsi" w:hAnsiTheme="majorHAnsi"/>
                <w:bCs/>
                <w:sz w:val="19"/>
                <w:szCs w:val="19"/>
              </w:rPr>
            </w:pPr>
            <w:r w:rsidRPr="00AC22AE">
              <w:rPr>
                <w:rFonts w:asciiTheme="majorHAnsi" w:hAnsiTheme="majorHAnsi"/>
                <w:bCs/>
                <w:sz w:val="19"/>
                <w:szCs w:val="19"/>
              </w:rPr>
              <w:t>Sí</w:t>
            </w:r>
          </w:p>
        </w:tc>
      </w:tr>
      <w:tr w:rsidR="003239B8" w:rsidRPr="004F35CC" w:rsidTr="004A6A54">
        <w:trPr>
          <w:cantSplit/>
        </w:trPr>
        <w:tc>
          <w:tcPr>
            <w:tcW w:w="3600" w:type="dxa"/>
            <w:tcBorders>
              <w:top w:val="single" w:sz="6" w:space="0" w:color="auto"/>
              <w:bottom w:val="single" w:sz="6" w:space="0" w:color="auto"/>
            </w:tcBorders>
            <w:shd w:val="clear" w:color="auto" w:fill="386294"/>
            <w:vAlign w:val="center"/>
          </w:tcPr>
          <w:p w:rsidR="003239B8" w:rsidRPr="00AC22AE" w:rsidRDefault="003239B8" w:rsidP="008D2290">
            <w:pPr>
              <w:jc w:val="center"/>
              <w:rPr>
                <w:rFonts w:asciiTheme="majorHAnsi" w:hAnsiTheme="majorHAnsi"/>
                <w:b/>
                <w:bCs/>
                <w:color w:val="FFFFFF" w:themeColor="background1"/>
                <w:sz w:val="19"/>
                <w:szCs w:val="19"/>
              </w:rPr>
            </w:pPr>
            <w:r w:rsidRPr="00AC22AE">
              <w:rPr>
                <w:rFonts w:asciiTheme="majorHAnsi" w:hAnsiTheme="majorHAnsi"/>
                <w:b/>
                <w:bCs/>
                <w:color w:val="FFFFFF" w:themeColor="background1"/>
                <w:sz w:val="19"/>
                <w:szCs w:val="19"/>
              </w:rPr>
              <w:t>Competencia</w:t>
            </w:r>
            <w:r w:rsidRPr="00AC22AE">
              <w:rPr>
                <w:rFonts w:asciiTheme="majorHAnsi" w:hAnsiTheme="majorHAnsi"/>
                <w:b/>
                <w:bCs/>
                <w:i/>
                <w:color w:val="FFFFFF" w:themeColor="background1"/>
                <w:sz w:val="19"/>
                <w:szCs w:val="19"/>
              </w:rPr>
              <w:t xml:space="preserve"> Ratione materia</w:t>
            </w:r>
            <w:r w:rsidR="00EE00E9" w:rsidRPr="00AC22AE">
              <w:rPr>
                <w:rFonts w:asciiTheme="majorHAnsi" w:hAnsiTheme="majorHAnsi"/>
                <w:b/>
                <w:bCs/>
                <w:i/>
                <w:color w:val="FFFFFF" w:themeColor="background1"/>
                <w:sz w:val="19"/>
                <w:szCs w:val="19"/>
              </w:rPr>
              <w:t>e</w:t>
            </w:r>
            <w:r w:rsidRPr="00AC22AE">
              <w:rPr>
                <w:rFonts w:asciiTheme="majorHAnsi" w:hAnsiTheme="majorHAnsi"/>
                <w:b/>
                <w:bCs/>
                <w:color w:val="FFFFFF" w:themeColor="background1"/>
                <w:sz w:val="19"/>
                <w:szCs w:val="19"/>
              </w:rPr>
              <w:t>:</w:t>
            </w:r>
          </w:p>
        </w:tc>
        <w:tc>
          <w:tcPr>
            <w:tcW w:w="5760" w:type="dxa"/>
            <w:vAlign w:val="center"/>
          </w:tcPr>
          <w:p w:rsidR="003239B8" w:rsidRPr="00AC22AE" w:rsidRDefault="00B54B4A" w:rsidP="00B54B4A">
            <w:pPr>
              <w:jc w:val="both"/>
              <w:rPr>
                <w:rFonts w:asciiTheme="majorHAnsi" w:hAnsiTheme="majorHAnsi"/>
                <w:bCs/>
                <w:sz w:val="19"/>
                <w:szCs w:val="19"/>
                <w:lang w:val="es-ES"/>
              </w:rPr>
            </w:pPr>
            <w:r w:rsidRPr="00AC22AE">
              <w:rPr>
                <w:rFonts w:asciiTheme="majorHAnsi" w:hAnsiTheme="majorHAnsi"/>
                <w:bCs/>
                <w:sz w:val="19"/>
                <w:szCs w:val="19"/>
                <w:lang w:val="es-ES"/>
              </w:rPr>
              <w:t>Sí, Convención Americana (depósito de instrumento realizado el 28 de julio de 1978)</w:t>
            </w:r>
          </w:p>
        </w:tc>
      </w:tr>
    </w:tbl>
    <w:p w:rsidR="003239B8" w:rsidRPr="00AC22AE" w:rsidRDefault="003239B8" w:rsidP="003239B8">
      <w:pPr>
        <w:spacing w:before="240" w:after="240"/>
        <w:ind w:firstLine="720"/>
        <w:jc w:val="both"/>
        <w:rPr>
          <w:rFonts w:asciiTheme="majorHAnsi" w:hAnsiTheme="majorHAnsi"/>
          <w:b/>
          <w:bCs/>
          <w:sz w:val="19"/>
          <w:szCs w:val="19"/>
          <w:lang w:val="es-ES"/>
        </w:rPr>
      </w:pPr>
      <w:r w:rsidRPr="00AC22AE">
        <w:rPr>
          <w:rFonts w:asciiTheme="majorHAnsi" w:hAnsiTheme="majorHAnsi"/>
          <w:b/>
          <w:bCs/>
          <w:sz w:val="19"/>
          <w:szCs w:val="19"/>
          <w:lang w:val="es-ES"/>
        </w:rPr>
        <w:t xml:space="preserve">IV. </w:t>
      </w:r>
      <w:r w:rsidRPr="00AC22AE">
        <w:rPr>
          <w:rFonts w:asciiTheme="majorHAnsi" w:hAnsiTheme="majorHAnsi"/>
          <w:b/>
          <w:bCs/>
          <w:sz w:val="19"/>
          <w:szCs w:val="19"/>
          <w:lang w:val="es-ES"/>
        </w:rPr>
        <w:tab/>
      </w:r>
      <w:r w:rsidR="00EE00E9" w:rsidRPr="00AC22AE">
        <w:rPr>
          <w:rFonts w:asciiTheme="majorHAnsi" w:hAnsiTheme="majorHAnsi"/>
          <w:b/>
          <w:bCs/>
          <w:sz w:val="19"/>
          <w:szCs w:val="19"/>
          <w:lang w:val="es-ES"/>
        </w:rPr>
        <w:t>DUPLICACIÓN</w:t>
      </w:r>
      <w:r w:rsidR="00EE00E9" w:rsidRPr="00AC22AE">
        <w:rPr>
          <w:rFonts w:asciiTheme="majorHAnsi" w:hAnsiTheme="majorHAnsi"/>
          <w:b/>
          <w:bCs/>
          <w:color w:val="FFFFFF" w:themeColor="background1"/>
          <w:sz w:val="19"/>
          <w:szCs w:val="19"/>
          <w:lang w:val="es-ES"/>
        </w:rPr>
        <w:t xml:space="preserve"> </w:t>
      </w:r>
      <w:r w:rsidR="00EE00E9" w:rsidRPr="00AC22AE">
        <w:rPr>
          <w:rFonts w:asciiTheme="majorHAnsi" w:hAnsiTheme="majorHAnsi"/>
          <w:b/>
          <w:bCs/>
          <w:sz w:val="19"/>
          <w:szCs w:val="19"/>
          <w:lang w:val="es-ES"/>
        </w:rPr>
        <w:t>DE PROCEDIMIENTOS Y COSA JUZGADA</w:t>
      </w:r>
      <w:r w:rsidR="00EE00E9" w:rsidRPr="00AC22AE">
        <w:rPr>
          <w:rFonts w:asciiTheme="majorHAnsi" w:hAnsiTheme="majorHAnsi"/>
          <w:b/>
          <w:bCs/>
          <w:i/>
          <w:sz w:val="19"/>
          <w:szCs w:val="19"/>
          <w:lang w:val="es-ES"/>
        </w:rPr>
        <w:t xml:space="preserve"> </w:t>
      </w:r>
      <w:r w:rsidR="00EE00E9" w:rsidRPr="00AC22AE">
        <w:rPr>
          <w:rFonts w:asciiTheme="majorHAnsi" w:hAnsiTheme="majorHAnsi"/>
          <w:b/>
          <w:bCs/>
          <w:sz w:val="19"/>
          <w:szCs w:val="19"/>
          <w:lang w:val="es-ES"/>
        </w:rPr>
        <w:t xml:space="preserve">INTERNACIONAL, </w:t>
      </w:r>
      <w:r w:rsidRPr="00AC22AE">
        <w:rPr>
          <w:rFonts w:asciiTheme="majorHAnsi" w:hAnsiTheme="majorHAnsi"/>
          <w:b/>
          <w:bCs/>
          <w:sz w:val="19"/>
          <w:szCs w:val="19"/>
          <w:lang w:val="es-ES"/>
        </w:rPr>
        <w:t xml:space="preserve"> CARACTERIZACIÓN, </w:t>
      </w:r>
      <w:r w:rsidRPr="00AC22AE">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AC22AE" w:rsidTr="004A6A54">
        <w:trPr>
          <w:cantSplit/>
        </w:trPr>
        <w:tc>
          <w:tcPr>
            <w:tcW w:w="3600" w:type="dxa"/>
            <w:tcBorders>
              <w:top w:val="single" w:sz="4" w:space="0" w:color="auto"/>
              <w:bottom w:val="single" w:sz="6" w:space="0" w:color="auto"/>
            </w:tcBorders>
            <w:shd w:val="clear" w:color="auto" w:fill="386294"/>
            <w:vAlign w:val="center"/>
          </w:tcPr>
          <w:p w:rsidR="00EE00E9" w:rsidRPr="001F38A7" w:rsidRDefault="00EE00E9" w:rsidP="008D2290">
            <w:pPr>
              <w:jc w:val="center"/>
              <w:rPr>
                <w:rFonts w:asciiTheme="majorHAnsi" w:hAnsiTheme="majorHAnsi"/>
                <w:b/>
                <w:bCs/>
                <w:color w:val="FFFFFF" w:themeColor="background1"/>
                <w:sz w:val="19"/>
                <w:szCs w:val="19"/>
                <w:lang w:val="es-ES"/>
              </w:rPr>
            </w:pPr>
            <w:r w:rsidRPr="001F38A7">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1F38A7" w:rsidRDefault="00955500" w:rsidP="008D2290">
            <w:pPr>
              <w:jc w:val="both"/>
              <w:rPr>
                <w:rFonts w:asciiTheme="majorHAnsi" w:hAnsiTheme="majorHAnsi"/>
                <w:bCs/>
                <w:sz w:val="19"/>
                <w:szCs w:val="19"/>
                <w:lang w:val="es-ES"/>
              </w:rPr>
            </w:pPr>
            <w:r w:rsidRPr="001F38A7">
              <w:rPr>
                <w:rFonts w:asciiTheme="majorHAnsi" w:hAnsiTheme="majorHAnsi"/>
                <w:bCs/>
                <w:sz w:val="19"/>
                <w:szCs w:val="19"/>
                <w:lang w:val="es-ES"/>
              </w:rPr>
              <w:t>No</w:t>
            </w:r>
          </w:p>
        </w:tc>
      </w:tr>
      <w:tr w:rsidR="003239B8" w:rsidRPr="004F35CC" w:rsidTr="004A6A54">
        <w:trPr>
          <w:cantSplit/>
        </w:trPr>
        <w:tc>
          <w:tcPr>
            <w:tcW w:w="3600" w:type="dxa"/>
            <w:tcBorders>
              <w:top w:val="single" w:sz="4" w:space="0" w:color="auto"/>
              <w:bottom w:val="single" w:sz="6" w:space="0" w:color="auto"/>
            </w:tcBorders>
            <w:shd w:val="clear" w:color="auto" w:fill="386294"/>
            <w:vAlign w:val="center"/>
          </w:tcPr>
          <w:p w:rsidR="003239B8" w:rsidRPr="001F38A7" w:rsidRDefault="003239B8" w:rsidP="008D2290">
            <w:pPr>
              <w:jc w:val="center"/>
              <w:rPr>
                <w:rFonts w:asciiTheme="majorHAnsi" w:hAnsiTheme="majorHAnsi"/>
                <w:b/>
                <w:bCs/>
                <w:i/>
                <w:color w:val="FFFFFF" w:themeColor="background1"/>
                <w:sz w:val="19"/>
                <w:szCs w:val="19"/>
              </w:rPr>
            </w:pPr>
            <w:r w:rsidRPr="001F38A7">
              <w:rPr>
                <w:rFonts w:asciiTheme="majorHAnsi" w:hAnsiTheme="majorHAnsi"/>
                <w:b/>
                <w:bCs/>
                <w:color w:val="FFFFFF" w:themeColor="background1"/>
                <w:sz w:val="19"/>
                <w:szCs w:val="19"/>
              </w:rPr>
              <w:t>Derechos declarados admisibles</w:t>
            </w:r>
            <w:r w:rsidRPr="001F38A7">
              <w:rPr>
                <w:rFonts w:asciiTheme="majorHAnsi" w:hAnsiTheme="majorHAnsi"/>
                <w:b/>
                <w:bCs/>
                <w:i/>
                <w:color w:val="FFFFFF" w:themeColor="background1"/>
                <w:sz w:val="19"/>
                <w:szCs w:val="19"/>
              </w:rPr>
              <w:t>:</w:t>
            </w:r>
          </w:p>
        </w:tc>
        <w:tc>
          <w:tcPr>
            <w:tcW w:w="5760" w:type="dxa"/>
            <w:vAlign w:val="center"/>
          </w:tcPr>
          <w:p w:rsidR="003239B8" w:rsidRPr="001F38A7" w:rsidRDefault="00B54B4A" w:rsidP="001F38A7">
            <w:pPr>
              <w:jc w:val="both"/>
              <w:rPr>
                <w:rFonts w:asciiTheme="majorHAnsi" w:hAnsiTheme="majorHAnsi"/>
                <w:bCs/>
                <w:sz w:val="19"/>
                <w:szCs w:val="19"/>
                <w:lang w:val="es-AR"/>
              </w:rPr>
            </w:pPr>
            <w:r w:rsidRPr="001F38A7">
              <w:rPr>
                <w:rFonts w:asciiTheme="majorHAnsi" w:hAnsiTheme="majorHAnsi"/>
                <w:bCs/>
                <w:sz w:val="19"/>
                <w:szCs w:val="19"/>
                <w:lang w:val="es-AR"/>
              </w:rPr>
              <w:t>Artículos 8 (garantías judiciales),</w:t>
            </w:r>
            <w:r w:rsidR="00D16C82" w:rsidRPr="001F38A7">
              <w:rPr>
                <w:rFonts w:asciiTheme="majorHAnsi" w:hAnsiTheme="majorHAnsi"/>
                <w:bCs/>
                <w:sz w:val="19"/>
                <w:szCs w:val="19"/>
                <w:lang w:val="es-AR"/>
              </w:rPr>
              <w:t xml:space="preserve"> 9 (principio de legalidad y de retroactividad),</w:t>
            </w:r>
            <w:r w:rsidRPr="001F38A7">
              <w:rPr>
                <w:rFonts w:asciiTheme="majorHAnsi" w:hAnsiTheme="majorHAnsi"/>
                <w:bCs/>
                <w:sz w:val="19"/>
                <w:szCs w:val="19"/>
                <w:lang w:val="es-AR"/>
              </w:rPr>
              <w:t xml:space="preserve"> 21 (propiedad), 25 (protección judicial), </w:t>
            </w:r>
            <w:r w:rsidR="00A633B7" w:rsidRPr="001F38A7">
              <w:rPr>
                <w:rFonts w:asciiTheme="majorHAnsi" w:hAnsiTheme="majorHAnsi"/>
                <w:bCs/>
                <w:sz w:val="19"/>
                <w:szCs w:val="19"/>
                <w:lang w:val="es-AR"/>
              </w:rPr>
              <w:t>26</w:t>
            </w:r>
            <w:r w:rsidRPr="001F38A7">
              <w:rPr>
                <w:rFonts w:asciiTheme="majorHAnsi" w:hAnsiTheme="majorHAnsi"/>
                <w:bCs/>
                <w:sz w:val="19"/>
                <w:szCs w:val="19"/>
                <w:lang w:val="es-AR"/>
              </w:rPr>
              <w:t xml:space="preserve"> </w:t>
            </w:r>
            <w:r w:rsidR="00A633B7" w:rsidRPr="001F38A7">
              <w:rPr>
                <w:rFonts w:asciiTheme="majorHAnsi" w:hAnsiTheme="majorHAnsi"/>
                <w:bCs/>
                <w:sz w:val="19"/>
                <w:szCs w:val="19"/>
                <w:lang w:val="es-AR"/>
              </w:rPr>
              <w:t>(derechos económicos, sociales y culturales)</w:t>
            </w:r>
            <w:r w:rsidRPr="001F38A7">
              <w:rPr>
                <w:rFonts w:asciiTheme="majorHAnsi" w:hAnsiTheme="majorHAnsi"/>
                <w:bCs/>
                <w:sz w:val="19"/>
                <w:szCs w:val="19"/>
                <w:lang w:val="es-AR"/>
              </w:rPr>
              <w:t xml:space="preserve"> de la Convención en relación con su artículo</w:t>
            </w:r>
            <w:r w:rsidR="00A633B7" w:rsidRPr="001F38A7">
              <w:rPr>
                <w:rFonts w:asciiTheme="majorHAnsi" w:hAnsiTheme="majorHAnsi"/>
                <w:bCs/>
                <w:sz w:val="19"/>
                <w:szCs w:val="19"/>
                <w:lang w:val="es-AR"/>
              </w:rPr>
              <w:t xml:space="preserve"> 1</w:t>
            </w:r>
            <w:r w:rsidR="00D16C82" w:rsidRPr="001F38A7">
              <w:rPr>
                <w:rFonts w:asciiTheme="majorHAnsi" w:hAnsiTheme="majorHAnsi"/>
                <w:bCs/>
                <w:sz w:val="19"/>
                <w:szCs w:val="19"/>
                <w:lang w:val="es-AR"/>
              </w:rPr>
              <w:t>.1</w:t>
            </w:r>
            <w:r w:rsidR="00A633B7" w:rsidRPr="001F38A7">
              <w:rPr>
                <w:rFonts w:asciiTheme="majorHAnsi" w:hAnsiTheme="majorHAnsi"/>
                <w:bCs/>
                <w:sz w:val="19"/>
                <w:szCs w:val="19"/>
                <w:lang w:val="es-AR"/>
              </w:rPr>
              <w:t xml:space="preserve"> (obligación de respetar los derechos)</w:t>
            </w:r>
          </w:p>
        </w:tc>
      </w:tr>
      <w:tr w:rsidR="003239B8" w:rsidRPr="00AC22AE" w:rsidTr="004A6A54">
        <w:trPr>
          <w:cantSplit/>
        </w:trPr>
        <w:tc>
          <w:tcPr>
            <w:tcW w:w="3600" w:type="dxa"/>
            <w:tcBorders>
              <w:top w:val="single" w:sz="6" w:space="0" w:color="auto"/>
              <w:bottom w:val="single" w:sz="6" w:space="0" w:color="auto"/>
            </w:tcBorders>
            <w:shd w:val="clear" w:color="auto" w:fill="386294"/>
            <w:vAlign w:val="center"/>
          </w:tcPr>
          <w:p w:rsidR="003239B8" w:rsidRPr="001F38A7" w:rsidRDefault="003239B8" w:rsidP="008D2290">
            <w:pPr>
              <w:jc w:val="center"/>
              <w:rPr>
                <w:rFonts w:asciiTheme="majorHAnsi" w:hAnsiTheme="majorHAnsi"/>
                <w:b/>
                <w:bCs/>
                <w:color w:val="FFFFFF" w:themeColor="background1"/>
                <w:sz w:val="19"/>
                <w:szCs w:val="19"/>
                <w:lang w:val="es-ES"/>
              </w:rPr>
            </w:pPr>
            <w:r w:rsidRPr="001F38A7">
              <w:rPr>
                <w:rFonts w:asciiTheme="majorHAnsi" w:hAnsiTheme="majorHAnsi"/>
                <w:b/>
                <w:bCs/>
                <w:color w:val="FFFFFF" w:themeColor="background1"/>
                <w:sz w:val="19"/>
                <w:szCs w:val="19"/>
                <w:lang w:val="es-ES"/>
              </w:rPr>
              <w:t>Agotamiento de recursos internos</w:t>
            </w:r>
            <w:r w:rsidR="00EE00E9" w:rsidRPr="001F38A7">
              <w:rPr>
                <w:rFonts w:asciiTheme="majorHAnsi" w:hAnsiTheme="majorHAnsi"/>
                <w:b/>
                <w:bCs/>
                <w:color w:val="FFFFFF" w:themeColor="background1"/>
                <w:sz w:val="19"/>
                <w:szCs w:val="19"/>
                <w:lang w:val="es-ES"/>
              </w:rPr>
              <w:t xml:space="preserve"> o procedencia de una excepción</w:t>
            </w:r>
            <w:r w:rsidRPr="001F38A7">
              <w:rPr>
                <w:rFonts w:asciiTheme="majorHAnsi" w:hAnsiTheme="majorHAnsi"/>
                <w:b/>
                <w:bCs/>
                <w:color w:val="FFFFFF" w:themeColor="background1"/>
                <w:sz w:val="19"/>
                <w:szCs w:val="19"/>
                <w:lang w:val="es-ES"/>
              </w:rPr>
              <w:t>:</w:t>
            </w:r>
          </w:p>
        </w:tc>
        <w:tc>
          <w:tcPr>
            <w:tcW w:w="5760" w:type="dxa"/>
            <w:vAlign w:val="center"/>
          </w:tcPr>
          <w:p w:rsidR="003239B8" w:rsidRPr="001F38A7" w:rsidRDefault="00790BF5" w:rsidP="003B6C6F">
            <w:pPr>
              <w:rPr>
                <w:rFonts w:asciiTheme="majorHAnsi" w:hAnsiTheme="majorHAnsi"/>
                <w:bCs/>
                <w:sz w:val="19"/>
                <w:szCs w:val="19"/>
                <w:lang w:val="es-ES"/>
              </w:rPr>
            </w:pPr>
            <w:r w:rsidRPr="001F38A7">
              <w:rPr>
                <w:rFonts w:asciiTheme="majorHAnsi" w:hAnsiTheme="majorHAnsi"/>
                <w:bCs/>
                <w:sz w:val="19"/>
                <w:szCs w:val="19"/>
                <w:lang w:val="es-ES"/>
              </w:rPr>
              <w:t xml:space="preserve">Sí, </w:t>
            </w:r>
            <w:r w:rsidR="003B6C6F" w:rsidRPr="001F38A7">
              <w:rPr>
                <w:rFonts w:asciiTheme="majorHAnsi" w:hAnsiTheme="majorHAnsi"/>
                <w:bCs/>
                <w:sz w:val="19"/>
                <w:szCs w:val="19"/>
                <w:lang w:val="es-ES"/>
              </w:rPr>
              <w:t>14 de junio de 2011</w:t>
            </w:r>
          </w:p>
        </w:tc>
      </w:tr>
      <w:tr w:rsidR="003239B8" w:rsidRPr="00AC22AE" w:rsidTr="004A6A54">
        <w:trPr>
          <w:cantSplit/>
        </w:trPr>
        <w:tc>
          <w:tcPr>
            <w:tcW w:w="3600" w:type="dxa"/>
            <w:tcBorders>
              <w:top w:val="single" w:sz="6" w:space="0" w:color="auto"/>
              <w:bottom w:val="single" w:sz="6" w:space="0" w:color="auto"/>
            </w:tcBorders>
            <w:shd w:val="clear" w:color="auto" w:fill="386294"/>
            <w:vAlign w:val="center"/>
          </w:tcPr>
          <w:p w:rsidR="003239B8" w:rsidRPr="001F38A7" w:rsidRDefault="003239B8" w:rsidP="008D2290">
            <w:pPr>
              <w:jc w:val="center"/>
              <w:rPr>
                <w:rFonts w:asciiTheme="majorHAnsi" w:hAnsiTheme="majorHAnsi"/>
                <w:b/>
                <w:bCs/>
                <w:color w:val="FFFFFF" w:themeColor="background1"/>
                <w:sz w:val="19"/>
                <w:szCs w:val="19"/>
                <w:lang w:val="es-PA"/>
              </w:rPr>
            </w:pPr>
            <w:r w:rsidRPr="001F38A7">
              <w:rPr>
                <w:rFonts w:asciiTheme="majorHAnsi" w:hAnsiTheme="majorHAnsi"/>
                <w:b/>
                <w:bCs/>
                <w:color w:val="FFFFFF" w:themeColor="background1"/>
                <w:sz w:val="19"/>
                <w:szCs w:val="19"/>
                <w:lang w:val="es-PA"/>
              </w:rPr>
              <w:t>Presentación dentro de plazo:</w:t>
            </w:r>
          </w:p>
        </w:tc>
        <w:tc>
          <w:tcPr>
            <w:tcW w:w="5760" w:type="dxa"/>
            <w:vAlign w:val="center"/>
          </w:tcPr>
          <w:p w:rsidR="003239B8" w:rsidRPr="001F38A7" w:rsidRDefault="005D2727" w:rsidP="008D2290">
            <w:pPr>
              <w:rPr>
                <w:rFonts w:asciiTheme="majorHAnsi" w:hAnsiTheme="majorHAnsi"/>
                <w:bCs/>
                <w:sz w:val="19"/>
                <w:szCs w:val="19"/>
              </w:rPr>
            </w:pPr>
            <w:r w:rsidRPr="001F38A7">
              <w:rPr>
                <w:rFonts w:asciiTheme="majorHAnsi" w:hAnsiTheme="majorHAnsi"/>
                <w:bCs/>
                <w:sz w:val="19"/>
                <w:szCs w:val="19"/>
                <w:lang w:val="es-PA"/>
              </w:rPr>
              <w:t xml:space="preserve">Sí, 18 </w:t>
            </w:r>
            <w:r w:rsidRPr="001F38A7">
              <w:rPr>
                <w:rFonts w:asciiTheme="majorHAnsi" w:hAnsiTheme="majorHAnsi"/>
                <w:bCs/>
                <w:sz w:val="19"/>
                <w:szCs w:val="19"/>
              </w:rPr>
              <w:t>de octubre de 2007</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10195D" w:rsidRDefault="0010195D" w:rsidP="004F35CC">
      <w:pPr>
        <w:pStyle w:val="ListParagraph"/>
        <w:numPr>
          <w:ilvl w:val="0"/>
          <w:numId w:val="103"/>
        </w:numPr>
        <w:tabs>
          <w:tab w:val="clear" w:pos="450"/>
        </w:tabs>
        <w:ind w:left="0"/>
        <w:jc w:val="both"/>
        <w:rPr>
          <w:sz w:val="20"/>
          <w:szCs w:val="20"/>
          <w:lang w:val="es-PA"/>
        </w:rPr>
      </w:pPr>
      <w:r w:rsidRPr="0010195D">
        <w:rPr>
          <w:sz w:val="20"/>
          <w:szCs w:val="20"/>
          <w:lang w:val="es-PA"/>
        </w:rPr>
        <w:t xml:space="preserve">La parte peticionaria denuncia que en 1990 el Estado reconoció formalmente una pensión de cesantía a favor de la presunta víctima, la cual nunca le </w:t>
      </w:r>
      <w:r w:rsidR="00E76417">
        <w:rPr>
          <w:sz w:val="20"/>
          <w:szCs w:val="20"/>
          <w:lang w:val="es-PA"/>
        </w:rPr>
        <w:t>fue pagada</w:t>
      </w:r>
      <w:r w:rsidRPr="0010195D">
        <w:rPr>
          <w:sz w:val="20"/>
          <w:szCs w:val="20"/>
          <w:lang w:val="es-PA"/>
        </w:rPr>
        <w:t>.</w:t>
      </w:r>
    </w:p>
    <w:p w:rsidR="0010195D" w:rsidRDefault="0010195D" w:rsidP="004F35CC">
      <w:pPr>
        <w:pStyle w:val="ListParagraph"/>
        <w:ind w:left="0" w:firstLine="720"/>
        <w:jc w:val="both"/>
        <w:rPr>
          <w:sz w:val="20"/>
          <w:szCs w:val="20"/>
          <w:lang w:val="es-PA"/>
        </w:rPr>
      </w:pPr>
    </w:p>
    <w:p w:rsidR="0010195D" w:rsidRDefault="0010195D" w:rsidP="004F35CC">
      <w:pPr>
        <w:pStyle w:val="ListParagraph"/>
        <w:numPr>
          <w:ilvl w:val="0"/>
          <w:numId w:val="103"/>
        </w:numPr>
        <w:tabs>
          <w:tab w:val="clear" w:pos="450"/>
        </w:tabs>
        <w:ind w:left="0"/>
        <w:jc w:val="both"/>
        <w:rPr>
          <w:sz w:val="20"/>
          <w:szCs w:val="20"/>
          <w:lang w:val="es-PA"/>
        </w:rPr>
      </w:pPr>
      <w:r w:rsidRPr="0010195D">
        <w:rPr>
          <w:sz w:val="20"/>
          <w:szCs w:val="20"/>
          <w:lang w:val="es-PA"/>
        </w:rPr>
        <w:t xml:space="preserve">La parte peticionaria indica que el señor Figueroa Ávila inició a laborar en la </w:t>
      </w:r>
      <w:r w:rsidR="00F32215">
        <w:rPr>
          <w:sz w:val="20"/>
          <w:szCs w:val="20"/>
          <w:lang w:val="es-PA"/>
        </w:rPr>
        <w:t xml:space="preserve">Superintendencia de Banca y Seguros (en adelante </w:t>
      </w:r>
      <w:r w:rsidR="00691EB2">
        <w:rPr>
          <w:sz w:val="20"/>
          <w:szCs w:val="20"/>
          <w:lang w:val="es-PA"/>
        </w:rPr>
        <w:t>“</w:t>
      </w:r>
      <w:r w:rsidRPr="0010195D">
        <w:rPr>
          <w:sz w:val="20"/>
          <w:szCs w:val="20"/>
          <w:lang w:val="es-PA"/>
        </w:rPr>
        <w:t>SBS</w:t>
      </w:r>
      <w:r w:rsidR="00691EB2">
        <w:rPr>
          <w:sz w:val="20"/>
          <w:szCs w:val="20"/>
          <w:lang w:val="es-PA"/>
        </w:rPr>
        <w:t>”</w:t>
      </w:r>
      <w:r w:rsidR="00F32215">
        <w:rPr>
          <w:sz w:val="20"/>
          <w:szCs w:val="20"/>
          <w:lang w:val="es-PA"/>
        </w:rPr>
        <w:t>)</w:t>
      </w:r>
      <w:r w:rsidRPr="0010195D">
        <w:rPr>
          <w:sz w:val="20"/>
          <w:szCs w:val="20"/>
          <w:lang w:val="es-PA"/>
        </w:rPr>
        <w:t xml:space="preserve"> el 21 de diciembre de 1964, en donde trabajó por 28 años continuos, más un agregado de 4 años universitarios que se le acumularon conforme a la ley aplicable. Señala que </w:t>
      </w:r>
      <w:r w:rsidRPr="008E77CC">
        <w:rPr>
          <w:color w:val="auto"/>
          <w:sz w:val="20"/>
          <w:szCs w:val="20"/>
          <w:lang w:val="es-PA"/>
        </w:rPr>
        <w:t xml:space="preserve">el 1 de enero de 1982 se dio un cambio de régimen pensionario bajo el cual los trabajadores de la mencionada institución </w:t>
      </w:r>
      <w:r w:rsidRPr="0010195D">
        <w:rPr>
          <w:sz w:val="20"/>
          <w:szCs w:val="20"/>
          <w:lang w:val="es-PA"/>
        </w:rPr>
        <w:t>pasaron del régimen de protección previsional público al Sistema Nacional de Pensiones, quedando cerrado el primero</w:t>
      </w:r>
      <w:r w:rsidR="007B5732">
        <w:rPr>
          <w:sz w:val="20"/>
          <w:szCs w:val="20"/>
          <w:lang w:val="es-PA"/>
        </w:rPr>
        <w:t>. Manifiesta que en el año 1986</w:t>
      </w:r>
      <w:r w:rsidRPr="0010195D">
        <w:rPr>
          <w:sz w:val="20"/>
          <w:szCs w:val="20"/>
          <w:lang w:val="es-PA"/>
        </w:rPr>
        <w:t xml:space="preserve">, cuando ya llevaba una carrera administrativa de casi 22 años, fue incorporado </w:t>
      </w:r>
      <w:r w:rsidR="001773CD" w:rsidRPr="0010195D">
        <w:rPr>
          <w:sz w:val="20"/>
          <w:szCs w:val="20"/>
          <w:lang w:val="es-PA"/>
        </w:rPr>
        <w:t>al Régimen de Pensiones del Decreto Ley 20530 en amparo de la Ley 24366</w:t>
      </w:r>
      <w:r w:rsidR="00E76417">
        <w:rPr>
          <w:rStyle w:val="FootnoteReference"/>
          <w:sz w:val="20"/>
          <w:szCs w:val="20"/>
          <w:lang w:val="es-PA"/>
        </w:rPr>
        <w:footnoteReference w:id="8"/>
      </w:r>
      <w:r w:rsidR="00E76417">
        <w:rPr>
          <w:sz w:val="20"/>
          <w:szCs w:val="20"/>
          <w:lang w:val="es-PA"/>
        </w:rPr>
        <w:t>.</w:t>
      </w:r>
      <w:r w:rsidRPr="0010195D">
        <w:rPr>
          <w:sz w:val="20"/>
          <w:szCs w:val="20"/>
          <w:lang w:val="es-PA"/>
        </w:rPr>
        <w:t xml:space="preserve"> </w:t>
      </w:r>
    </w:p>
    <w:p w:rsidR="004E4387" w:rsidRPr="004E4387" w:rsidRDefault="004E4387" w:rsidP="004F35CC">
      <w:pPr>
        <w:ind w:firstLine="720"/>
        <w:jc w:val="both"/>
        <w:rPr>
          <w:sz w:val="20"/>
          <w:szCs w:val="20"/>
          <w:lang w:val="es-PA"/>
        </w:rPr>
      </w:pPr>
    </w:p>
    <w:p w:rsidR="0010195D" w:rsidRDefault="0010195D" w:rsidP="004F35CC">
      <w:pPr>
        <w:pStyle w:val="ListParagraph"/>
        <w:numPr>
          <w:ilvl w:val="0"/>
          <w:numId w:val="103"/>
        </w:numPr>
        <w:tabs>
          <w:tab w:val="clear" w:pos="450"/>
        </w:tabs>
        <w:ind w:left="0"/>
        <w:jc w:val="both"/>
        <w:rPr>
          <w:sz w:val="20"/>
          <w:szCs w:val="20"/>
          <w:lang w:val="es-PA"/>
        </w:rPr>
      </w:pPr>
      <w:r w:rsidRPr="0010195D">
        <w:rPr>
          <w:sz w:val="20"/>
          <w:szCs w:val="20"/>
          <w:lang w:val="es-UY"/>
        </w:rPr>
        <w:t xml:space="preserve">Relata que en el año de 1990, la SBS le reconoció al señor Figueroa Ávila su trayecto continuo como servidor público correspondiente a 30 años de servicio, a través de la resolución </w:t>
      </w:r>
      <w:r w:rsidRPr="0010195D">
        <w:rPr>
          <w:sz w:val="20"/>
          <w:szCs w:val="20"/>
          <w:lang w:val="es-PA"/>
        </w:rPr>
        <w:t>administrativa N° 713-90.  Indica que el 20 de diciembre de 1990 fue destituido ilegalmente por lo que la SBS emitió la resolución N° 715-90, disponiendo a</w:t>
      </w:r>
      <w:r w:rsidR="00F84AA1">
        <w:rPr>
          <w:sz w:val="20"/>
          <w:szCs w:val="20"/>
          <w:lang w:val="es-PA"/>
        </w:rPr>
        <w:t xml:space="preserve"> </w:t>
      </w:r>
      <w:r w:rsidRPr="0010195D">
        <w:rPr>
          <w:sz w:val="20"/>
          <w:szCs w:val="20"/>
          <w:lang w:val="es-PA"/>
        </w:rPr>
        <w:t>su favor el pago de una pensión de cesantía, agregándole asignaciones por concepto de gratificaciones que percibió hasta la fecha de cese. Alega que, aunque logró su reincorporación mediante una acción de amparo exitosa</w:t>
      </w:r>
      <w:r w:rsidR="005431ED">
        <w:rPr>
          <w:rStyle w:val="FootnoteReference"/>
          <w:sz w:val="20"/>
          <w:szCs w:val="20"/>
          <w:lang w:val="es-PA"/>
        </w:rPr>
        <w:footnoteReference w:id="9"/>
      </w:r>
      <w:r w:rsidRPr="0010195D">
        <w:rPr>
          <w:sz w:val="20"/>
          <w:szCs w:val="20"/>
          <w:lang w:val="es-PA"/>
        </w:rPr>
        <w:t xml:space="preserve">, en 1992 </w:t>
      </w:r>
      <w:r w:rsidR="0087152A">
        <w:rPr>
          <w:sz w:val="20"/>
          <w:szCs w:val="20"/>
          <w:lang w:val="es-PA"/>
        </w:rPr>
        <w:t>renunció</w:t>
      </w:r>
      <w:r w:rsidRPr="0010195D">
        <w:rPr>
          <w:sz w:val="20"/>
          <w:szCs w:val="20"/>
          <w:lang w:val="es-PA"/>
        </w:rPr>
        <w:t xml:space="preserve">. </w:t>
      </w:r>
      <w:r w:rsidR="0087152A">
        <w:rPr>
          <w:sz w:val="20"/>
          <w:szCs w:val="20"/>
          <w:lang w:val="es-PA"/>
        </w:rPr>
        <w:t>Indica</w:t>
      </w:r>
      <w:r w:rsidRPr="0010195D">
        <w:rPr>
          <w:sz w:val="20"/>
          <w:szCs w:val="20"/>
          <w:lang w:val="es-PA"/>
        </w:rPr>
        <w:t xml:space="preserve"> que pese a múltiples solicitudes, nunca se le realizaron los pagos correspondientes a su pensión de cesantía</w:t>
      </w:r>
      <w:r w:rsidR="0087152A">
        <w:rPr>
          <w:sz w:val="20"/>
          <w:szCs w:val="20"/>
          <w:lang w:val="es-PA"/>
        </w:rPr>
        <w:t xml:space="preserve"> y que</w:t>
      </w:r>
      <w:r w:rsidRPr="0010195D">
        <w:rPr>
          <w:sz w:val="20"/>
          <w:szCs w:val="20"/>
          <w:lang w:val="es-PA"/>
        </w:rPr>
        <w:t xml:space="preserve"> en 1994 ingresó a laborar en </w:t>
      </w:r>
      <w:r w:rsidR="0087152A">
        <w:rPr>
          <w:sz w:val="20"/>
          <w:szCs w:val="20"/>
          <w:lang w:val="es-PA"/>
        </w:rPr>
        <w:t>una u</w:t>
      </w:r>
      <w:r w:rsidRPr="0010195D">
        <w:rPr>
          <w:sz w:val="20"/>
          <w:szCs w:val="20"/>
          <w:lang w:val="es-PA"/>
        </w:rPr>
        <w:t xml:space="preserve">niversidad </w:t>
      </w:r>
      <w:r w:rsidR="0087152A">
        <w:rPr>
          <w:sz w:val="20"/>
          <w:szCs w:val="20"/>
          <w:lang w:val="es-PA"/>
        </w:rPr>
        <w:t>p</w:t>
      </w:r>
      <w:r w:rsidRPr="0010195D">
        <w:rPr>
          <w:sz w:val="20"/>
          <w:szCs w:val="20"/>
          <w:lang w:val="es-PA"/>
        </w:rPr>
        <w:t>rivada por lo que fue afiliado, por mandato de la ley, al régimen privado de pensione</w:t>
      </w:r>
      <w:r w:rsidR="00EE62D2">
        <w:rPr>
          <w:sz w:val="20"/>
          <w:szCs w:val="20"/>
          <w:lang w:val="es-PA"/>
        </w:rPr>
        <w:t>s</w:t>
      </w:r>
      <w:r w:rsidRPr="0010195D">
        <w:rPr>
          <w:sz w:val="20"/>
          <w:szCs w:val="20"/>
          <w:lang w:val="es-PA"/>
        </w:rPr>
        <w:t>.</w:t>
      </w:r>
    </w:p>
    <w:p w:rsidR="0010195D" w:rsidRDefault="0010195D" w:rsidP="004F35CC">
      <w:pPr>
        <w:pStyle w:val="ListParagraph"/>
        <w:ind w:left="0" w:firstLine="720"/>
        <w:jc w:val="both"/>
        <w:rPr>
          <w:sz w:val="20"/>
          <w:szCs w:val="20"/>
          <w:lang w:val="es-PA"/>
        </w:rPr>
      </w:pPr>
    </w:p>
    <w:p w:rsidR="0010195D" w:rsidRPr="00FF67C0" w:rsidRDefault="0010195D" w:rsidP="004F35CC">
      <w:pPr>
        <w:pStyle w:val="ListParagraph"/>
        <w:numPr>
          <w:ilvl w:val="0"/>
          <w:numId w:val="103"/>
        </w:numPr>
        <w:tabs>
          <w:tab w:val="clear" w:pos="450"/>
        </w:tabs>
        <w:ind w:left="0"/>
        <w:jc w:val="both"/>
        <w:rPr>
          <w:sz w:val="20"/>
          <w:szCs w:val="20"/>
          <w:lang w:val="es-PA"/>
        </w:rPr>
      </w:pPr>
      <w:r w:rsidRPr="00FF67C0">
        <w:rPr>
          <w:sz w:val="20"/>
          <w:szCs w:val="20"/>
          <w:lang w:val="es-PA"/>
        </w:rPr>
        <w:t>Argumenta que la SBS nunca cuestionó la validez de las resoluciones proferidas a su favor sino hasta el año 2004 en que l</w:t>
      </w:r>
      <w:r w:rsidRPr="00FF67C0">
        <w:rPr>
          <w:sz w:val="20"/>
          <w:szCs w:val="20"/>
          <w:lang w:val="es-UY"/>
        </w:rPr>
        <w:t>a Oficina de Normalización Previsional</w:t>
      </w:r>
      <w:r w:rsidRPr="00354174">
        <w:rPr>
          <w:rStyle w:val="FootnoteReference"/>
          <w:b/>
          <w:sz w:val="20"/>
          <w:szCs w:val="20"/>
        </w:rPr>
        <w:footnoteReference w:id="10"/>
      </w:r>
      <w:r w:rsidRPr="00FF67C0">
        <w:rPr>
          <w:sz w:val="20"/>
          <w:szCs w:val="20"/>
          <w:lang w:val="es-UY"/>
        </w:rPr>
        <w:t xml:space="preserve"> (en adelante “ONP”) y luego la SBS, como su sucesora procesal, demandó su nulidad alegando que su incorporación al régimen de pensiones de la SBS y por ende la declaratoria del pago de pensión de cesantía habían sido irregulares. Agrega que la demanda solicitó</w:t>
      </w:r>
      <w:r w:rsidR="00BE1DCF" w:rsidRPr="00FF67C0">
        <w:rPr>
          <w:sz w:val="20"/>
          <w:szCs w:val="20"/>
          <w:lang w:val="es-UY"/>
        </w:rPr>
        <w:t xml:space="preserve"> </w:t>
      </w:r>
      <w:r w:rsidRPr="00FF67C0">
        <w:rPr>
          <w:sz w:val="20"/>
          <w:szCs w:val="20"/>
          <w:lang w:val="es-UY"/>
        </w:rPr>
        <w:t>que “restituya el total de las pensiones”, pese a que éstas nunca fueron percibidas. Indica que este procedimiento concluyó con una sentencia dictada por la Sala de Derecho Constitucional y Social Transitoria de la Corte Suprema de Justicia, quien</w:t>
      </w:r>
      <w:r w:rsidR="00CA4AFC">
        <w:rPr>
          <w:sz w:val="20"/>
          <w:szCs w:val="20"/>
          <w:lang w:val="es-UY"/>
        </w:rPr>
        <w:t xml:space="preserve"> rechazó la acción de nulidad</w:t>
      </w:r>
      <w:r w:rsidRPr="00FF67C0">
        <w:rPr>
          <w:sz w:val="20"/>
          <w:szCs w:val="20"/>
          <w:lang w:val="es-UY"/>
        </w:rPr>
        <w:t xml:space="preserve"> de</w:t>
      </w:r>
      <w:r w:rsidR="00CA4AFC">
        <w:rPr>
          <w:sz w:val="20"/>
          <w:szCs w:val="20"/>
          <w:lang w:val="es-UY"/>
        </w:rPr>
        <w:t>clarando</w:t>
      </w:r>
      <w:r w:rsidRPr="00FF67C0">
        <w:rPr>
          <w:sz w:val="20"/>
          <w:szCs w:val="20"/>
          <w:lang w:val="es-UY"/>
        </w:rPr>
        <w:t xml:space="preserve"> fundada la excepción de prescripción interpuesta por la presunta víctima.</w:t>
      </w:r>
      <w:r w:rsidR="00FF67C0" w:rsidRPr="00FF67C0">
        <w:rPr>
          <w:sz w:val="20"/>
          <w:szCs w:val="20"/>
          <w:lang w:val="es-UY"/>
        </w:rPr>
        <w:t xml:space="preserve"> Alega que esta sentencia</w:t>
      </w:r>
      <w:r w:rsidR="00FF67C0">
        <w:rPr>
          <w:sz w:val="20"/>
          <w:szCs w:val="20"/>
          <w:lang w:val="es-UY"/>
        </w:rPr>
        <w:t xml:space="preserve"> resolvi</w:t>
      </w:r>
      <w:r w:rsidR="00CA4AFC">
        <w:rPr>
          <w:sz w:val="20"/>
          <w:szCs w:val="20"/>
          <w:lang w:val="es-UY"/>
        </w:rPr>
        <w:t>ó en grado de cosa juzgada sobre la aducida nulidad de las resoluciones</w:t>
      </w:r>
      <w:r w:rsidR="007A17E1">
        <w:rPr>
          <w:sz w:val="20"/>
          <w:szCs w:val="20"/>
          <w:lang w:val="es-UY"/>
        </w:rPr>
        <w:t>,</w:t>
      </w:r>
      <w:r w:rsidR="00CA4AFC">
        <w:rPr>
          <w:sz w:val="20"/>
          <w:szCs w:val="20"/>
          <w:lang w:val="es-UY"/>
        </w:rPr>
        <w:t xml:space="preserve"> por lo que su validez ya no puede ser cuestionada. </w:t>
      </w:r>
      <w:r w:rsidR="00FF67C0">
        <w:rPr>
          <w:sz w:val="20"/>
          <w:szCs w:val="20"/>
          <w:lang w:val="es-UY"/>
        </w:rPr>
        <w:t xml:space="preserve"> </w:t>
      </w:r>
    </w:p>
    <w:p w:rsidR="00FF67C0" w:rsidRPr="00FF67C0" w:rsidRDefault="00FF67C0" w:rsidP="004F35CC">
      <w:pPr>
        <w:ind w:firstLine="720"/>
        <w:jc w:val="both"/>
        <w:rPr>
          <w:sz w:val="20"/>
          <w:szCs w:val="20"/>
          <w:lang w:val="es-PA"/>
        </w:rPr>
      </w:pPr>
    </w:p>
    <w:p w:rsidR="0010195D" w:rsidRPr="00733176" w:rsidRDefault="0010195D" w:rsidP="004F35CC">
      <w:pPr>
        <w:pStyle w:val="ListParagraph"/>
        <w:numPr>
          <w:ilvl w:val="0"/>
          <w:numId w:val="103"/>
        </w:numPr>
        <w:tabs>
          <w:tab w:val="clear" w:pos="450"/>
        </w:tabs>
        <w:ind w:left="0"/>
        <w:jc w:val="both"/>
        <w:rPr>
          <w:sz w:val="20"/>
          <w:szCs w:val="20"/>
          <w:lang w:val="es-PA"/>
        </w:rPr>
      </w:pPr>
      <w:r w:rsidRPr="0010195D">
        <w:rPr>
          <w:sz w:val="20"/>
          <w:szCs w:val="20"/>
          <w:lang w:val="es-UY"/>
        </w:rPr>
        <w:t xml:space="preserve"> Indica que interpuso acción de amparo contra la SBS por el incumplimiento del pago de su pensión de cesantía. En primera instancia</w:t>
      </w:r>
      <w:r w:rsidR="00733176">
        <w:rPr>
          <w:sz w:val="20"/>
          <w:szCs w:val="20"/>
          <w:lang w:val="es-UY"/>
        </w:rPr>
        <w:t xml:space="preserve"> se</w:t>
      </w:r>
      <w:r w:rsidRPr="0010195D">
        <w:rPr>
          <w:sz w:val="20"/>
          <w:szCs w:val="20"/>
          <w:lang w:val="es-UY"/>
        </w:rPr>
        <w:t xml:space="preserve"> declaró fundada la acción, considerando que se encontraba prescrito el término para declarar la nulidad de oficio de las resoluciones por lo que su no cumplimiento vulneraba el derecho a la seguridad social de la presunta víctima. Luego, la decisión fue apelada por la SBS y revocada por la Cuarta Sala Civil de la Corte Superior de Justicia de Lima</w:t>
      </w:r>
      <w:r w:rsidR="00957A4A">
        <w:rPr>
          <w:rStyle w:val="FootnoteReference"/>
          <w:sz w:val="20"/>
          <w:szCs w:val="20"/>
          <w:lang w:val="es-UY"/>
        </w:rPr>
        <w:footnoteReference w:id="11"/>
      </w:r>
      <w:r w:rsidRPr="0010195D">
        <w:rPr>
          <w:sz w:val="20"/>
          <w:szCs w:val="20"/>
          <w:lang w:val="es-UY"/>
        </w:rPr>
        <w:t>. Ante esta decisión, el señor Figueroa Ávila presentó un recurso de agravio constitucional el cual fue denegado por el Tribunal</w:t>
      </w:r>
      <w:r w:rsidRPr="004E4387">
        <w:rPr>
          <w:rStyle w:val="FootnoteReference"/>
          <w:sz w:val="20"/>
          <w:szCs w:val="20"/>
        </w:rPr>
        <w:footnoteReference w:id="12"/>
      </w:r>
      <w:r w:rsidRPr="004E4387">
        <w:rPr>
          <w:sz w:val="20"/>
          <w:szCs w:val="20"/>
          <w:lang w:val="es-AR"/>
        </w:rPr>
        <w:t>.</w:t>
      </w:r>
    </w:p>
    <w:p w:rsidR="008741B0" w:rsidRPr="008741B0" w:rsidRDefault="008741B0" w:rsidP="004F35CC">
      <w:pPr>
        <w:pStyle w:val="ListParagraph"/>
        <w:ind w:left="0" w:firstLine="720"/>
        <w:jc w:val="both"/>
        <w:rPr>
          <w:sz w:val="20"/>
          <w:szCs w:val="20"/>
          <w:lang w:val="es-PA"/>
        </w:rPr>
      </w:pPr>
    </w:p>
    <w:p w:rsidR="0010195D" w:rsidRPr="00731AF9" w:rsidRDefault="008741B0" w:rsidP="004F35CC">
      <w:pPr>
        <w:pStyle w:val="ListParagraph"/>
        <w:numPr>
          <w:ilvl w:val="0"/>
          <w:numId w:val="103"/>
        </w:numPr>
        <w:tabs>
          <w:tab w:val="clear" w:pos="450"/>
        </w:tabs>
        <w:ind w:left="0"/>
        <w:jc w:val="both"/>
        <w:rPr>
          <w:sz w:val="20"/>
          <w:szCs w:val="20"/>
          <w:lang w:val="es-PA"/>
        </w:rPr>
      </w:pPr>
      <w:r w:rsidRPr="00731AF9">
        <w:rPr>
          <w:sz w:val="20"/>
          <w:szCs w:val="20"/>
          <w:lang w:val="es-AR"/>
        </w:rPr>
        <w:t>Señala que</w:t>
      </w:r>
      <w:r w:rsidR="001773CD" w:rsidRPr="00731AF9">
        <w:rPr>
          <w:sz w:val="20"/>
          <w:szCs w:val="20"/>
          <w:lang w:val="es-AR"/>
        </w:rPr>
        <w:t>,</w:t>
      </w:r>
      <w:r w:rsidRPr="00731AF9">
        <w:rPr>
          <w:sz w:val="20"/>
          <w:szCs w:val="20"/>
          <w:lang w:val="es-AR"/>
        </w:rPr>
        <w:t xml:space="preserve"> posteriormente y c</w:t>
      </w:r>
      <w:r w:rsidR="00193F70" w:rsidRPr="00731AF9">
        <w:rPr>
          <w:sz w:val="20"/>
          <w:szCs w:val="20"/>
          <w:lang w:val="es-UY"/>
        </w:rPr>
        <w:t xml:space="preserve">on base en </w:t>
      </w:r>
      <w:r w:rsidRPr="00731AF9">
        <w:rPr>
          <w:sz w:val="20"/>
          <w:szCs w:val="20"/>
          <w:lang w:val="es-UY"/>
        </w:rPr>
        <w:t xml:space="preserve">la sentencia favorable que negó la acción de nulidad presentada por la SBS contra las resoluciones que reconocieron sus derechos, la presunta víctima promovió una acción de cumplimiento contra el funcionario renuente de la SBS; pero que </w:t>
      </w:r>
      <w:r w:rsidR="00C0635E" w:rsidRPr="00731AF9">
        <w:rPr>
          <w:sz w:val="20"/>
          <w:szCs w:val="20"/>
          <w:lang w:val="es-UY"/>
        </w:rPr>
        <w:t>é</w:t>
      </w:r>
      <w:r w:rsidRPr="00731AF9">
        <w:rPr>
          <w:sz w:val="20"/>
          <w:szCs w:val="20"/>
          <w:lang w:val="es-UY"/>
        </w:rPr>
        <w:t xml:space="preserve">sta fue declarada infundada por las dos instancias que vieron el caso en el Poder Judicial. Posteriormente, interpuso un nuevo </w:t>
      </w:r>
      <w:r w:rsidR="00193F70" w:rsidRPr="00731AF9">
        <w:rPr>
          <w:sz w:val="20"/>
          <w:szCs w:val="20"/>
          <w:lang w:val="es-UY"/>
        </w:rPr>
        <w:t xml:space="preserve">recurso de </w:t>
      </w:r>
      <w:r w:rsidR="00193F70" w:rsidRPr="00731AF9">
        <w:rPr>
          <w:sz w:val="20"/>
          <w:szCs w:val="20"/>
          <w:lang w:val="es-UY"/>
        </w:rPr>
        <w:lastRenderedPageBreak/>
        <w:t>a</w:t>
      </w:r>
      <w:r w:rsidRPr="00731AF9">
        <w:rPr>
          <w:sz w:val="20"/>
          <w:szCs w:val="20"/>
          <w:lang w:val="es-UY"/>
        </w:rPr>
        <w:t xml:space="preserve">gravio </w:t>
      </w:r>
      <w:r w:rsidR="00193F70" w:rsidRPr="00731AF9">
        <w:rPr>
          <w:sz w:val="20"/>
          <w:szCs w:val="20"/>
          <w:lang w:val="es-UY"/>
        </w:rPr>
        <w:t>c</w:t>
      </w:r>
      <w:r w:rsidRPr="00731AF9">
        <w:rPr>
          <w:sz w:val="20"/>
          <w:szCs w:val="20"/>
          <w:lang w:val="es-UY"/>
        </w:rPr>
        <w:t>onstitucional por la vulneración del derecho de la cosa juzgada</w:t>
      </w:r>
      <w:r w:rsidR="00D60034" w:rsidRPr="00731AF9">
        <w:rPr>
          <w:sz w:val="20"/>
          <w:szCs w:val="20"/>
          <w:lang w:val="es-UY"/>
        </w:rPr>
        <w:t xml:space="preserve"> y decidida</w:t>
      </w:r>
      <w:r w:rsidRPr="00731AF9">
        <w:rPr>
          <w:sz w:val="20"/>
          <w:szCs w:val="20"/>
          <w:lang w:val="es-UY"/>
        </w:rPr>
        <w:t>, el cual el Tribunal Constitucional consideró infundado en</w:t>
      </w:r>
      <w:r w:rsidR="001773CD" w:rsidRPr="00731AF9">
        <w:rPr>
          <w:sz w:val="20"/>
          <w:szCs w:val="20"/>
          <w:lang w:val="es-UY"/>
        </w:rPr>
        <w:t xml:space="preserve"> virtud de que ya había</w:t>
      </w:r>
      <w:r w:rsidRPr="00731AF9">
        <w:rPr>
          <w:sz w:val="20"/>
          <w:szCs w:val="20"/>
          <w:lang w:val="es-UY"/>
        </w:rPr>
        <w:t xml:space="preserve"> emitido un pronunciamiento sobre el tema. Por último, demandó  la nulidad de la Sentencia del Tribunal Constitucional, declarándose improcedente la acción con el argumento que las sentencias del Tribunal Constitucional son inimpugnables. Indica que insistió con</w:t>
      </w:r>
      <w:r w:rsidR="009019CF" w:rsidRPr="00731AF9">
        <w:rPr>
          <w:sz w:val="20"/>
          <w:szCs w:val="20"/>
          <w:lang w:val="es-UY"/>
        </w:rPr>
        <w:t xml:space="preserve"> un</w:t>
      </w:r>
      <w:r w:rsidRPr="00731AF9">
        <w:rPr>
          <w:sz w:val="20"/>
          <w:szCs w:val="20"/>
          <w:lang w:val="es-UY"/>
        </w:rPr>
        <w:t xml:space="preserve"> escrito solicitando </w:t>
      </w:r>
      <w:r w:rsidR="00C34EF6" w:rsidRPr="00731AF9">
        <w:rPr>
          <w:sz w:val="20"/>
          <w:szCs w:val="20"/>
          <w:lang w:val="es-UY"/>
        </w:rPr>
        <w:t xml:space="preserve">el </w:t>
      </w:r>
      <w:r w:rsidRPr="00731AF9">
        <w:rPr>
          <w:sz w:val="20"/>
          <w:szCs w:val="20"/>
          <w:lang w:val="es-UY"/>
        </w:rPr>
        <w:t>pronunciamiento formal de la nulidad, a lo que se le respondió con una advertencia de que sería sanc</w:t>
      </w:r>
      <w:r w:rsidR="00193F70" w:rsidRPr="00731AF9">
        <w:rPr>
          <w:sz w:val="20"/>
          <w:szCs w:val="20"/>
          <w:lang w:val="es-UY"/>
        </w:rPr>
        <w:t xml:space="preserve">ionado de continuar presentando </w:t>
      </w:r>
      <w:r w:rsidRPr="00731AF9">
        <w:rPr>
          <w:sz w:val="20"/>
          <w:szCs w:val="20"/>
          <w:lang w:val="es-UY"/>
        </w:rPr>
        <w:t>acciones con similar objetivo.</w:t>
      </w:r>
    </w:p>
    <w:p w:rsidR="003239B8" w:rsidRPr="00401295" w:rsidRDefault="003239B8" w:rsidP="004F35CC">
      <w:pPr>
        <w:spacing w:before="240" w:after="240"/>
        <w:ind w:firstLine="720"/>
        <w:jc w:val="both"/>
        <w:rPr>
          <w:rFonts w:ascii="Cambria" w:hAnsi="Cambria"/>
          <w:sz w:val="20"/>
          <w:szCs w:val="20"/>
          <w:lang w:val="es-UY"/>
        </w:rPr>
      </w:pPr>
      <w:r w:rsidRPr="00401295">
        <w:rPr>
          <w:rFonts w:asciiTheme="majorHAnsi" w:eastAsia="Cambria" w:hAnsiTheme="majorHAnsi" w:cs="Cambria"/>
          <w:b/>
          <w:bCs/>
          <w:sz w:val="20"/>
          <w:szCs w:val="20"/>
          <w:u w:color="000000"/>
          <w:lang w:val="es-ES" w:eastAsia="es-ES"/>
        </w:rPr>
        <w:t>VI.</w:t>
      </w:r>
      <w:r w:rsidRPr="00401295">
        <w:rPr>
          <w:rFonts w:asciiTheme="majorHAnsi" w:eastAsia="Cambria" w:hAnsiTheme="majorHAnsi" w:cs="Cambria"/>
          <w:b/>
          <w:bCs/>
          <w:sz w:val="20"/>
          <w:szCs w:val="20"/>
          <w:u w:color="000000"/>
          <w:lang w:val="es-ES" w:eastAsia="es-ES"/>
        </w:rPr>
        <w:tab/>
      </w:r>
      <w:r w:rsidR="004A6A54" w:rsidRPr="00401295">
        <w:rPr>
          <w:rFonts w:asciiTheme="majorHAnsi" w:hAnsiTheme="majorHAnsi"/>
          <w:b/>
          <w:bCs/>
          <w:sz w:val="20"/>
          <w:szCs w:val="20"/>
          <w:lang w:val="es-ES_tradnl"/>
        </w:rPr>
        <w:t xml:space="preserve">ANÁLISIS DE </w:t>
      </w:r>
      <w:r w:rsidR="00C21FEF" w:rsidRPr="00401295">
        <w:rPr>
          <w:rFonts w:asciiTheme="majorHAnsi" w:hAnsiTheme="majorHAnsi"/>
          <w:b/>
          <w:sz w:val="20"/>
          <w:szCs w:val="20"/>
          <w:lang w:val="es-ES"/>
        </w:rPr>
        <w:t>AGOTAMIENTO DE LOS RECURSOS INTERNOS Y PLAZO DE PRESENTACIÓN</w:t>
      </w:r>
      <w:r w:rsidR="00C21FEF" w:rsidRPr="00401295">
        <w:rPr>
          <w:rFonts w:asciiTheme="majorHAnsi" w:eastAsia="Cambria" w:hAnsiTheme="majorHAnsi" w:cs="Cambria"/>
          <w:b/>
          <w:bCs/>
          <w:sz w:val="20"/>
          <w:szCs w:val="20"/>
          <w:u w:color="000000"/>
          <w:lang w:val="es-ES" w:eastAsia="es-ES"/>
        </w:rPr>
        <w:t xml:space="preserve"> </w:t>
      </w:r>
    </w:p>
    <w:p w:rsidR="008741B0" w:rsidRPr="00193F70" w:rsidRDefault="008741B0" w:rsidP="004F35CC">
      <w:pPr>
        <w:pStyle w:val="ListParagraph"/>
        <w:numPr>
          <w:ilvl w:val="0"/>
          <w:numId w:val="103"/>
        </w:numPr>
        <w:tabs>
          <w:tab w:val="clear" w:pos="450"/>
        </w:tabs>
        <w:ind w:left="0"/>
        <w:jc w:val="both"/>
        <w:rPr>
          <w:sz w:val="20"/>
          <w:szCs w:val="20"/>
          <w:lang w:val="es-UY"/>
        </w:rPr>
      </w:pPr>
      <w:r w:rsidRPr="00193F70">
        <w:rPr>
          <w:sz w:val="20"/>
          <w:szCs w:val="20"/>
          <w:lang w:val="es-UY"/>
        </w:rPr>
        <w:t>La parte peticionaria indicó, en su escrito original de petición, que consideraba agotados los recursos internos con la decisión del Tribunal Constitucional que negó a la presunta víctima su primer recurso de agravio inconstitucional, la que le fue notificada el 18 de abril de 2007. Luego, ha dado cuenta de otros recursos que intentó posteriormente, todos infructuosos para sus pretensiones, siendo la última decisión la</w:t>
      </w:r>
      <w:r w:rsidRPr="00193F70">
        <w:rPr>
          <w:color w:val="FF0000"/>
          <w:sz w:val="20"/>
          <w:szCs w:val="20"/>
          <w:lang w:val="es-UY"/>
        </w:rPr>
        <w:t xml:space="preserve"> </w:t>
      </w:r>
      <w:r w:rsidR="0091118B" w:rsidRPr="00193F70">
        <w:rPr>
          <w:color w:val="auto"/>
          <w:sz w:val="20"/>
          <w:szCs w:val="20"/>
          <w:lang w:val="es-UY"/>
        </w:rPr>
        <w:t xml:space="preserve">resolución emitida por el Tribunal Constitucional el 14 de junio de 2011 en respuesta a la solicitud de declaratoria de nulidad </w:t>
      </w:r>
      <w:r w:rsidR="00736B94">
        <w:rPr>
          <w:color w:val="auto"/>
          <w:sz w:val="20"/>
          <w:szCs w:val="20"/>
          <w:lang w:val="es-UY"/>
        </w:rPr>
        <w:t xml:space="preserve">de sentencia </w:t>
      </w:r>
      <w:r w:rsidR="0091118B" w:rsidRPr="00193F70">
        <w:rPr>
          <w:color w:val="auto"/>
          <w:sz w:val="20"/>
          <w:szCs w:val="20"/>
          <w:lang w:val="es-UY"/>
        </w:rPr>
        <w:t xml:space="preserve">presentada por la presunta víctima. </w:t>
      </w:r>
    </w:p>
    <w:p w:rsidR="00193F70" w:rsidRPr="00193F70" w:rsidRDefault="00193F70" w:rsidP="004F35CC">
      <w:pPr>
        <w:pStyle w:val="ListParagraph"/>
        <w:ind w:left="0" w:firstLine="720"/>
        <w:jc w:val="both"/>
        <w:rPr>
          <w:sz w:val="20"/>
          <w:szCs w:val="20"/>
          <w:lang w:val="es-UY"/>
        </w:rPr>
      </w:pPr>
    </w:p>
    <w:p w:rsidR="008741B0" w:rsidRDefault="008741B0" w:rsidP="004F35CC">
      <w:pPr>
        <w:pStyle w:val="ListParagraph"/>
        <w:numPr>
          <w:ilvl w:val="0"/>
          <w:numId w:val="103"/>
        </w:numPr>
        <w:tabs>
          <w:tab w:val="clear" w:pos="450"/>
        </w:tabs>
        <w:ind w:left="0"/>
        <w:jc w:val="both"/>
        <w:rPr>
          <w:sz w:val="20"/>
          <w:szCs w:val="20"/>
          <w:lang w:val="es-UY"/>
        </w:rPr>
      </w:pPr>
      <w:r w:rsidRPr="008741B0">
        <w:rPr>
          <w:sz w:val="20"/>
          <w:szCs w:val="20"/>
          <w:lang w:val="es-UY"/>
        </w:rPr>
        <w:t xml:space="preserve">El Estado, por su parte, señala que no hay evidencia de que la presunta víctima haya interpuesto un proceso de indemnización. Argumenta, que ésta es una vía prevista en el derecho interno que hubiese permitido a la presunta víctima solicitar una indemnización por los daños que se alega en la petición ante el Sistema Interamericano. Por lo tanto, considera que al no haberse agotado la pretensión de indemnización a nivel doméstico la petición debe ser inadmitida por no cumplir con el requisito de agotamiento de los recursos internos contenido en el artículo 46.1(a) de la Convención Americana. </w:t>
      </w:r>
    </w:p>
    <w:p w:rsidR="008741B0" w:rsidRPr="008741B0" w:rsidRDefault="008741B0" w:rsidP="004F35CC">
      <w:pPr>
        <w:pStyle w:val="ListParagraph"/>
        <w:ind w:left="0" w:firstLine="720"/>
        <w:rPr>
          <w:sz w:val="20"/>
          <w:szCs w:val="20"/>
          <w:lang w:val="es-UY"/>
        </w:rPr>
      </w:pPr>
    </w:p>
    <w:p w:rsidR="00C0635E" w:rsidRDefault="008741B0" w:rsidP="004F35CC">
      <w:pPr>
        <w:pStyle w:val="ListParagraph"/>
        <w:numPr>
          <w:ilvl w:val="0"/>
          <w:numId w:val="103"/>
        </w:numPr>
        <w:tabs>
          <w:tab w:val="clear" w:pos="450"/>
        </w:tabs>
        <w:ind w:left="0"/>
        <w:jc w:val="both"/>
        <w:rPr>
          <w:sz w:val="20"/>
          <w:szCs w:val="20"/>
          <w:lang w:val="es-ES"/>
        </w:rPr>
      </w:pPr>
      <w:r w:rsidRPr="00B6287C">
        <w:rPr>
          <w:rFonts w:asciiTheme="majorHAnsi" w:hAnsiTheme="majorHAnsi"/>
          <w:sz w:val="20"/>
          <w:szCs w:val="20"/>
          <w:lang w:val="es-UY"/>
        </w:rPr>
        <w:t>La Comisión considera que no está demostrado que una demanda de indemnización por los perjuicios causados</w:t>
      </w:r>
      <w:r w:rsidR="009C13C9" w:rsidRPr="00B6287C">
        <w:rPr>
          <w:rFonts w:asciiTheme="majorHAnsi" w:hAnsiTheme="majorHAnsi"/>
          <w:sz w:val="20"/>
          <w:szCs w:val="20"/>
          <w:lang w:val="es-UY"/>
        </w:rPr>
        <w:t>,</w:t>
      </w:r>
      <w:r w:rsidRPr="00B6287C">
        <w:rPr>
          <w:rFonts w:asciiTheme="majorHAnsi" w:hAnsiTheme="majorHAnsi"/>
          <w:sz w:val="20"/>
          <w:szCs w:val="20"/>
          <w:lang w:val="es-UY"/>
        </w:rPr>
        <w:t xml:space="preserve"> constituya un recurso idóneo y efectivo para atender el objeto de la presente petición, tomando en cuenta que el Tribunal Constitucional ya ha concluido infundada la pretensión y </w:t>
      </w:r>
      <w:r w:rsidR="00A82A88" w:rsidRPr="00B6287C">
        <w:rPr>
          <w:rFonts w:asciiTheme="majorHAnsi" w:hAnsiTheme="majorHAnsi"/>
          <w:sz w:val="20"/>
          <w:szCs w:val="20"/>
          <w:lang w:val="es-UY"/>
        </w:rPr>
        <w:t>advirtió</w:t>
      </w:r>
      <w:r w:rsidRPr="00B6287C">
        <w:rPr>
          <w:rFonts w:asciiTheme="majorHAnsi" w:hAnsiTheme="majorHAnsi"/>
          <w:sz w:val="20"/>
          <w:szCs w:val="20"/>
          <w:lang w:val="es-UY"/>
        </w:rPr>
        <w:t xml:space="preserve"> la posibilidad de sancionar con multa en caso de que se presenten </w:t>
      </w:r>
      <w:r w:rsidRPr="00B6287C">
        <w:rPr>
          <w:rFonts w:asciiTheme="majorHAnsi" w:hAnsiTheme="majorHAnsi"/>
          <w:color w:val="auto"/>
          <w:sz w:val="20"/>
          <w:szCs w:val="20"/>
          <w:lang w:val="es-UY"/>
        </w:rPr>
        <w:t xml:space="preserve">acciones adicionales con el mismo objeto. Por lo tanto, la Comisión estima que los recursos internos se agotaron </w:t>
      </w:r>
      <w:r w:rsidR="00644934" w:rsidRPr="00B6287C">
        <w:rPr>
          <w:rFonts w:asciiTheme="majorHAnsi" w:hAnsiTheme="majorHAnsi"/>
          <w:color w:val="auto"/>
          <w:sz w:val="20"/>
          <w:szCs w:val="20"/>
          <w:lang w:val="es-UY"/>
        </w:rPr>
        <w:t xml:space="preserve">al ser rechazada la solicitud de declaratoria de nulidad </w:t>
      </w:r>
      <w:r w:rsidR="00736B94">
        <w:rPr>
          <w:rFonts w:asciiTheme="majorHAnsi" w:hAnsiTheme="majorHAnsi"/>
          <w:color w:val="auto"/>
          <w:sz w:val="20"/>
          <w:szCs w:val="20"/>
          <w:lang w:val="es-UY"/>
        </w:rPr>
        <w:t xml:space="preserve">de sentencia </w:t>
      </w:r>
      <w:r w:rsidR="00644934" w:rsidRPr="00B6287C">
        <w:rPr>
          <w:rFonts w:asciiTheme="majorHAnsi" w:hAnsiTheme="majorHAnsi"/>
          <w:color w:val="auto"/>
          <w:sz w:val="20"/>
          <w:szCs w:val="20"/>
          <w:lang w:val="es-UY"/>
        </w:rPr>
        <w:t>presentada por la presunta víctima ante el Tribunal Constitucional</w:t>
      </w:r>
      <w:r w:rsidR="00854E75" w:rsidRPr="00B6287C">
        <w:rPr>
          <w:rFonts w:asciiTheme="majorHAnsi" w:hAnsiTheme="majorHAnsi"/>
          <w:color w:val="auto"/>
          <w:sz w:val="20"/>
          <w:szCs w:val="20"/>
          <w:lang w:val="es-UY"/>
        </w:rPr>
        <w:t xml:space="preserve">. </w:t>
      </w:r>
      <w:r w:rsidR="00644934" w:rsidRPr="00B6287C">
        <w:rPr>
          <w:rFonts w:asciiTheme="majorHAnsi" w:hAnsiTheme="majorHAnsi"/>
          <w:color w:val="auto"/>
          <w:sz w:val="20"/>
          <w:szCs w:val="20"/>
          <w:lang w:val="es-UY"/>
        </w:rPr>
        <w:t>T</w:t>
      </w:r>
      <w:r w:rsidRPr="00B6287C">
        <w:rPr>
          <w:rFonts w:asciiTheme="majorHAnsi" w:hAnsiTheme="majorHAnsi"/>
          <w:color w:val="auto"/>
          <w:sz w:val="20"/>
          <w:szCs w:val="20"/>
          <w:lang w:val="es-UY"/>
        </w:rPr>
        <w:t>oda vez que la</w:t>
      </w:r>
      <w:r w:rsidR="00644934" w:rsidRPr="00B6287C">
        <w:rPr>
          <w:rFonts w:asciiTheme="majorHAnsi" w:hAnsiTheme="majorHAnsi"/>
          <w:color w:val="auto"/>
          <w:sz w:val="20"/>
          <w:szCs w:val="20"/>
          <w:lang w:val="es-UY"/>
        </w:rPr>
        <w:t xml:space="preserve"> decisión final fue emitida el 14 de junio de 2011 y la</w:t>
      </w:r>
      <w:r w:rsidRPr="00B6287C">
        <w:rPr>
          <w:rFonts w:asciiTheme="majorHAnsi" w:hAnsiTheme="majorHAnsi"/>
          <w:color w:val="auto"/>
          <w:sz w:val="20"/>
          <w:szCs w:val="20"/>
          <w:lang w:val="es-UY"/>
        </w:rPr>
        <w:t xml:space="preserve"> </w:t>
      </w:r>
      <w:r w:rsidRPr="00B6287C">
        <w:rPr>
          <w:rFonts w:asciiTheme="majorHAnsi" w:hAnsiTheme="majorHAnsi"/>
          <w:sz w:val="20"/>
          <w:szCs w:val="20"/>
          <w:lang w:val="es-UY"/>
        </w:rPr>
        <w:t xml:space="preserve">petición fue presentada el 18 de octubre de 2007, </w:t>
      </w:r>
      <w:r w:rsidR="00C0635E" w:rsidRPr="00B6287C">
        <w:rPr>
          <w:rFonts w:asciiTheme="majorHAnsi" w:hAnsiTheme="majorHAnsi"/>
          <w:sz w:val="20"/>
          <w:szCs w:val="20"/>
          <w:lang w:val="es-ES"/>
        </w:rPr>
        <w:t>el agotamiento de los recursos internos se dio mientras la petición se hallaba en trámite ante la Comisión. De acuerdo a la doctrina de la CIDH, el análisis sobre los requisitos previstos en el artículo 46.1.b de la Convención debe hacerse a la luz de la situación vigente al momento en que se pronuncia sobre la admisibilidad o inadmisibilidad del reclamo</w:t>
      </w:r>
      <w:r w:rsidR="00C0635E" w:rsidRPr="00B6287C">
        <w:rPr>
          <w:rStyle w:val="FootnoteReference"/>
          <w:rFonts w:asciiTheme="majorHAnsi" w:hAnsiTheme="majorHAnsi"/>
          <w:sz w:val="20"/>
          <w:szCs w:val="20"/>
          <w:lang w:val="es-ES"/>
        </w:rPr>
        <w:footnoteReference w:id="13"/>
      </w:r>
      <w:r w:rsidR="00C0635E" w:rsidRPr="00B6287C">
        <w:rPr>
          <w:rFonts w:asciiTheme="majorHAnsi" w:hAnsiTheme="majorHAnsi"/>
          <w:sz w:val="20"/>
          <w:szCs w:val="20"/>
          <w:lang w:val="es-ES"/>
        </w:rPr>
        <w:t>.</w:t>
      </w:r>
    </w:p>
    <w:p w:rsidR="003239B8" w:rsidRDefault="003239B8" w:rsidP="004F35CC">
      <w:pPr>
        <w:pStyle w:val="ListParagraph"/>
        <w:spacing w:before="240" w:after="240"/>
        <w:ind w:left="0" w:firstLine="720"/>
        <w:jc w:val="both"/>
        <w:rPr>
          <w:rFonts w:asciiTheme="majorHAnsi" w:hAnsiTheme="majorHAnsi"/>
          <w:b/>
          <w:bCs/>
          <w:sz w:val="20"/>
          <w:szCs w:val="20"/>
          <w:lang w:val="es-UY"/>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903054" w:rsidRPr="00903054" w:rsidRDefault="00C243D6" w:rsidP="004F35CC">
      <w:pPr>
        <w:pStyle w:val="ListParagraph"/>
        <w:numPr>
          <w:ilvl w:val="0"/>
          <w:numId w:val="103"/>
        </w:numPr>
        <w:tabs>
          <w:tab w:val="clear" w:pos="450"/>
        </w:tabs>
        <w:ind w:left="0"/>
        <w:jc w:val="both"/>
        <w:rPr>
          <w:sz w:val="20"/>
          <w:szCs w:val="20"/>
          <w:lang w:val="es-PA"/>
        </w:rPr>
      </w:pPr>
      <w:r>
        <w:rPr>
          <w:sz w:val="20"/>
          <w:szCs w:val="20"/>
          <w:lang w:val="es-UY"/>
        </w:rPr>
        <w:t xml:space="preserve"> </w:t>
      </w:r>
      <w:r w:rsidR="00780551">
        <w:rPr>
          <w:sz w:val="20"/>
          <w:szCs w:val="20"/>
          <w:lang w:val="es-UY"/>
        </w:rPr>
        <w:t xml:space="preserve"> </w:t>
      </w:r>
      <w:r w:rsidR="008741B0" w:rsidRPr="008741B0">
        <w:rPr>
          <w:sz w:val="20"/>
          <w:szCs w:val="20"/>
          <w:lang w:val="es-UY"/>
        </w:rPr>
        <w:t>La parte peticionaria alega que los derechos humanos de la presunta víctima se han visto vulnerados porque el Estado no ha hecho efectivo su derecho pensionario el cual se encuentra formalmente reconocido en resoluciones cuya validez y eficacia se mantiene vigente.</w:t>
      </w:r>
      <w:r w:rsidR="00903054">
        <w:rPr>
          <w:sz w:val="20"/>
          <w:szCs w:val="20"/>
          <w:lang w:val="es-UY"/>
        </w:rPr>
        <w:t xml:space="preserve"> En adición, porque las autoridades ju</w:t>
      </w:r>
      <w:r w:rsidR="0092100E">
        <w:rPr>
          <w:sz w:val="20"/>
          <w:szCs w:val="20"/>
          <w:lang w:val="es-UY"/>
        </w:rPr>
        <w:t>diciales han violado el principio de cosa juzgada</w:t>
      </w:r>
      <w:r w:rsidR="00BE36AC">
        <w:rPr>
          <w:sz w:val="20"/>
          <w:szCs w:val="20"/>
          <w:lang w:val="es-UY"/>
        </w:rPr>
        <w:t xml:space="preserve"> y desviado la jurisdicción predeterminada por ley</w:t>
      </w:r>
      <w:r w:rsidR="0092100E">
        <w:rPr>
          <w:sz w:val="20"/>
          <w:szCs w:val="20"/>
          <w:lang w:val="es-UY"/>
        </w:rPr>
        <w:t xml:space="preserve"> invoca</w:t>
      </w:r>
      <w:r w:rsidR="007D3BA6">
        <w:rPr>
          <w:sz w:val="20"/>
          <w:szCs w:val="20"/>
          <w:lang w:val="es-UY"/>
        </w:rPr>
        <w:t>n</w:t>
      </w:r>
      <w:r w:rsidR="0092100E">
        <w:rPr>
          <w:sz w:val="20"/>
          <w:szCs w:val="20"/>
          <w:lang w:val="es-UY"/>
        </w:rPr>
        <w:t>do una supuesta nulidad de las resoluciones como fundamento para rechazar sus acciones, pese a que los tribunales domésticos competentes determinaron en grado de cosa juzgada que la acción de nulidad estaba prescrita.</w:t>
      </w:r>
      <w:r w:rsidR="00C60C4C">
        <w:rPr>
          <w:sz w:val="20"/>
          <w:szCs w:val="20"/>
          <w:lang w:val="es-UY"/>
        </w:rPr>
        <w:t xml:space="preserve"> </w:t>
      </w:r>
      <w:r w:rsidR="00BE36AC">
        <w:rPr>
          <w:sz w:val="20"/>
          <w:szCs w:val="20"/>
          <w:lang w:val="es-UY"/>
        </w:rPr>
        <w:t>Señala</w:t>
      </w:r>
      <w:r w:rsidR="005B54BE">
        <w:rPr>
          <w:sz w:val="20"/>
          <w:szCs w:val="20"/>
          <w:lang w:val="es-UY"/>
        </w:rPr>
        <w:t xml:space="preserve"> que la decisión del Tribunal Constitucional  que rechazó el recurso de agravio interpuesto por la presunta víctima no anuló las resoluciones ni la sentencia de la Corte Suprema de Justicia favorable a la presunta víctima; </w:t>
      </w:r>
      <w:r w:rsidR="00BE36AC">
        <w:rPr>
          <w:sz w:val="20"/>
          <w:szCs w:val="20"/>
          <w:lang w:val="es-UY"/>
        </w:rPr>
        <w:t xml:space="preserve">resaltando que el Tribunal Constitucional no contaba con facultades para anular un acto administrativo </w:t>
      </w:r>
      <w:r w:rsidR="007D3BA6">
        <w:rPr>
          <w:sz w:val="20"/>
          <w:szCs w:val="20"/>
          <w:lang w:val="es-UY"/>
        </w:rPr>
        <w:t xml:space="preserve">en el contexto de la resolución de dicho recurso de agravio. </w:t>
      </w:r>
      <w:r w:rsidR="00BE36AC">
        <w:rPr>
          <w:sz w:val="20"/>
          <w:szCs w:val="20"/>
          <w:lang w:val="es-UY"/>
        </w:rPr>
        <w:t xml:space="preserve"> </w:t>
      </w:r>
    </w:p>
    <w:p w:rsidR="00903054" w:rsidRDefault="00903054" w:rsidP="004F35CC">
      <w:pPr>
        <w:pStyle w:val="ListParagraph"/>
        <w:ind w:left="0" w:firstLine="720"/>
        <w:jc w:val="both"/>
        <w:rPr>
          <w:sz w:val="20"/>
          <w:szCs w:val="20"/>
          <w:lang w:val="es-PA"/>
        </w:rPr>
      </w:pPr>
    </w:p>
    <w:p w:rsidR="008741B0" w:rsidRDefault="00903054" w:rsidP="004F35CC">
      <w:pPr>
        <w:pStyle w:val="ListParagraph"/>
        <w:numPr>
          <w:ilvl w:val="0"/>
          <w:numId w:val="103"/>
        </w:numPr>
        <w:tabs>
          <w:tab w:val="clear" w:pos="450"/>
        </w:tabs>
        <w:ind w:left="0"/>
        <w:jc w:val="both"/>
        <w:rPr>
          <w:sz w:val="20"/>
          <w:szCs w:val="20"/>
          <w:lang w:val="es-PA"/>
        </w:rPr>
      </w:pPr>
      <w:r>
        <w:rPr>
          <w:sz w:val="20"/>
          <w:szCs w:val="20"/>
          <w:lang w:val="es-UY"/>
        </w:rPr>
        <w:t xml:space="preserve"> </w:t>
      </w:r>
      <w:r w:rsidR="008741B0" w:rsidRPr="008741B0">
        <w:rPr>
          <w:sz w:val="20"/>
          <w:szCs w:val="20"/>
          <w:lang w:val="es-UY"/>
        </w:rPr>
        <w:t>Alega que</w:t>
      </w:r>
      <w:r w:rsidR="00E0616C">
        <w:rPr>
          <w:sz w:val="20"/>
          <w:szCs w:val="20"/>
          <w:lang w:val="es-UY"/>
        </w:rPr>
        <w:t>, en todo caso, la aducida nulidad de las resoluciones carece de fundamento</w:t>
      </w:r>
      <w:r w:rsidR="00F30017">
        <w:rPr>
          <w:sz w:val="20"/>
          <w:szCs w:val="20"/>
          <w:lang w:val="es-UY"/>
        </w:rPr>
        <w:t>.</w:t>
      </w:r>
      <w:r w:rsidR="00E0616C">
        <w:rPr>
          <w:sz w:val="20"/>
          <w:szCs w:val="20"/>
          <w:lang w:val="es-UY"/>
        </w:rPr>
        <w:t xml:space="preserve"> </w:t>
      </w:r>
      <w:r w:rsidR="00F30017">
        <w:rPr>
          <w:sz w:val="20"/>
          <w:szCs w:val="20"/>
          <w:lang w:val="es-UY"/>
        </w:rPr>
        <w:t>Señala que la</w:t>
      </w:r>
      <w:r w:rsidR="008741B0" w:rsidRPr="008741B0">
        <w:rPr>
          <w:sz w:val="20"/>
          <w:szCs w:val="20"/>
          <w:lang w:val="es-UY"/>
        </w:rPr>
        <w:t xml:space="preserve"> presunta víctima cumplía con los requisitos de la ley </w:t>
      </w:r>
      <w:r w:rsidR="008741B0" w:rsidRPr="008741B0">
        <w:rPr>
          <w:sz w:val="20"/>
          <w:szCs w:val="20"/>
          <w:lang w:val="es-PA"/>
        </w:rPr>
        <w:t>24366 al momento de dictarse la resolución que lo incorporó al Régimen de Pensiones del Decreto Ley 20530 (ser servidor público con siete o más años de servicio ininterrumpido al servicio del Estado) y que la SBS y el Tribunal Constitucional le han negado su derecho en base a un requisito adicional “</w:t>
      </w:r>
      <w:r w:rsidR="008741B0" w:rsidRPr="008741B0">
        <w:rPr>
          <w:i/>
          <w:sz w:val="20"/>
          <w:szCs w:val="20"/>
          <w:lang w:val="es-UY"/>
        </w:rPr>
        <w:t xml:space="preserve">estar sujeto al régimen laboral del Sector Público en la fecha de vigencia </w:t>
      </w:r>
      <w:r w:rsidR="008741B0" w:rsidRPr="008741B0">
        <w:rPr>
          <w:i/>
          <w:sz w:val="20"/>
          <w:szCs w:val="20"/>
          <w:lang w:val="es-UY"/>
        </w:rPr>
        <w:lastRenderedPageBreak/>
        <w:t xml:space="preserve">de la ley” </w:t>
      </w:r>
      <w:r w:rsidR="008741B0" w:rsidRPr="008741B0">
        <w:rPr>
          <w:sz w:val="20"/>
          <w:szCs w:val="20"/>
          <w:lang w:val="es-UY"/>
        </w:rPr>
        <w:t xml:space="preserve">el cual sólo aparece en leyes posteriores no aplicables a su caso. Argumenta que, independientemente del cambio de régimen pensionario, la presunta víctima mantuvo su calidad de servidor público durante todo el tiempo que trabajó para la SBS, dado que dicha institución siempre ha sido una entidad del Estado. Resalta que al cerrarse el </w:t>
      </w:r>
      <w:r w:rsidR="008741B0" w:rsidRPr="008741B0">
        <w:rPr>
          <w:sz w:val="20"/>
          <w:szCs w:val="20"/>
          <w:lang w:val="es-PA"/>
        </w:rPr>
        <w:t xml:space="preserve">régimen de protección previsional público el Sistema Nacional de Pensiones pasó a ser el único sistema de pensiones, por </w:t>
      </w:r>
      <w:r w:rsidR="00172B4A">
        <w:rPr>
          <w:sz w:val="20"/>
          <w:szCs w:val="20"/>
          <w:lang w:val="es-PA"/>
        </w:rPr>
        <w:t xml:space="preserve">lo que su afiliación a éste no </w:t>
      </w:r>
      <w:r w:rsidR="008741B0" w:rsidRPr="008741B0">
        <w:rPr>
          <w:sz w:val="20"/>
          <w:szCs w:val="20"/>
          <w:lang w:val="es-PA"/>
        </w:rPr>
        <w:t>privó</w:t>
      </w:r>
      <w:r w:rsidR="00172B4A">
        <w:rPr>
          <w:sz w:val="20"/>
          <w:szCs w:val="20"/>
          <w:lang w:val="es-PA"/>
        </w:rPr>
        <w:t xml:space="preserve"> a la presunta víctima</w:t>
      </w:r>
      <w:r w:rsidR="008741B0" w:rsidRPr="008741B0">
        <w:rPr>
          <w:sz w:val="20"/>
          <w:szCs w:val="20"/>
          <w:lang w:val="es-PA"/>
        </w:rPr>
        <w:t xml:space="preserve"> de su carácter de servidor público</w:t>
      </w:r>
      <w:r w:rsidR="00F30017">
        <w:rPr>
          <w:rStyle w:val="FootnoteReference"/>
          <w:sz w:val="20"/>
          <w:szCs w:val="20"/>
          <w:lang w:val="es-PA"/>
        </w:rPr>
        <w:footnoteReference w:id="14"/>
      </w:r>
      <w:r w:rsidR="008741B0" w:rsidRPr="008741B0">
        <w:rPr>
          <w:sz w:val="20"/>
          <w:szCs w:val="20"/>
          <w:lang w:val="es-PA"/>
        </w:rPr>
        <w:t xml:space="preserve">. </w:t>
      </w:r>
    </w:p>
    <w:p w:rsidR="008741B0" w:rsidRPr="008741B0" w:rsidRDefault="008741B0" w:rsidP="004F35CC">
      <w:pPr>
        <w:pStyle w:val="ListParagraph"/>
        <w:ind w:left="0" w:firstLine="720"/>
        <w:jc w:val="both"/>
        <w:rPr>
          <w:sz w:val="20"/>
          <w:szCs w:val="20"/>
          <w:lang w:val="es-PA"/>
        </w:rPr>
      </w:pPr>
    </w:p>
    <w:p w:rsidR="008741B0" w:rsidRDefault="008741B0" w:rsidP="004F35CC">
      <w:pPr>
        <w:pStyle w:val="ListParagraph"/>
        <w:numPr>
          <w:ilvl w:val="0"/>
          <w:numId w:val="103"/>
        </w:numPr>
        <w:tabs>
          <w:tab w:val="clear" w:pos="450"/>
        </w:tabs>
        <w:ind w:left="0"/>
        <w:jc w:val="both"/>
        <w:rPr>
          <w:sz w:val="20"/>
          <w:szCs w:val="20"/>
          <w:lang w:val="es-PA"/>
        </w:rPr>
      </w:pPr>
      <w:r w:rsidRPr="008741B0">
        <w:rPr>
          <w:sz w:val="20"/>
          <w:szCs w:val="20"/>
          <w:lang w:val="es-PA"/>
        </w:rPr>
        <w:t xml:space="preserve"> </w:t>
      </w:r>
      <w:r w:rsidR="00780551">
        <w:rPr>
          <w:sz w:val="20"/>
          <w:szCs w:val="20"/>
          <w:lang w:val="es-PA"/>
        </w:rPr>
        <w:t xml:space="preserve"> </w:t>
      </w:r>
      <w:r w:rsidRPr="008741B0">
        <w:rPr>
          <w:sz w:val="20"/>
          <w:szCs w:val="20"/>
          <w:lang w:val="es-PA"/>
        </w:rPr>
        <w:t xml:space="preserve">Indica que fue sólo después de transcurrido dos años desde su cese de la SBS sin haber </w:t>
      </w:r>
      <w:r w:rsidR="00C0113C">
        <w:rPr>
          <w:sz w:val="20"/>
          <w:szCs w:val="20"/>
          <w:lang w:val="es-PA"/>
        </w:rPr>
        <w:t>percibido el pago de su pensión</w:t>
      </w:r>
      <w:r w:rsidRPr="008741B0">
        <w:rPr>
          <w:sz w:val="20"/>
          <w:szCs w:val="20"/>
          <w:lang w:val="es-PA"/>
        </w:rPr>
        <w:t xml:space="preserve"> que la presunta víctima se incorporó</w:t>
      </w:r>
      <w:r w:rsidR="00C0113C">
        <w:rPr>
          <w:sz w:val="20"/>
          <w:szCs w:val="20"/>
          <w:lang w:val="es-PA"/>
        </w:rPr>
        <w:t>,</w:t>
      </w:r>
      <w:r w:rsidRPr="008741B0">
        <w:rPr>
          <w:sz w:val="20"/>
          <w:szCs w:val="20"/>
          <w:lang w:val="es-PA"/>
        </w:rPr>
        <w:t xml:space="preserve"> por manato de la ley</w:t>
      </w:r>
      <w:r w:rsidR="00C0113C">
        <w:rPr>
          <w:sz w:val="20"/>
          <w:szCs w:val="20"/>
          <w:lang w:val="es-PA"/>
        </w:rPr>
        <w:t>,</w:t>
      </w:r>
      <w:r w:rsidRPr="008741B0">
        <w:rPr>
          <w:sz w:val="20"/>
          <w:szCs w:val="20"/>
          <w:lang w:val="es-PA"/>
        </w:rPr>
        <w:t xml:space="preserve"> al régimen privado de pensiones tras haber adquirido empleo en una universidad privada</w:t>
      </w:r>
      <w:r w:rsidR="006D3C14">
        <w:rPr>
          <w:sz w:val="20"/>
          <w:szCs w:val="20"/>
          <w:lang w:val="es-PA"/>
        </w:rPr>
        <w:t>. N</w:t>
      </w:r>
      <w:r w:rsidRPr="008741B0">
        <w:rPr>
          <w:sz w:val="20"/>
          <w:szCs w:val="20"/>
          <w:lang w:val="es-PA"/>
        </w:rPr>
        <w:t xml:space="preserve">iega que esto sea incompatible con el cobro efectivo de un derecho pensionario adquirido con anterioridad.  </w:t>
      </w:r>
    </w:p>
    <w:p w:rsidR="008741B0" w:rsidRPr="008741B0" w:rsidRDefault="008741B0" w:rsidP="004F35CC">
      <w:pPr>
        <w:pStyle w:val="ListParagraph"/>
        <w:ind w:left="0" w:firstLine="720"/>
        <w:rPr>
          <w:sz w:val="20"/>
          <w:szCs w:val="20"/>
          <w:lang w:val="es-PA"/>
        </w:rPr>
      </w:pPr>
    </w:p>
    <w:p w:rsidR="008741B0" w:rsidRDefault="00780551" w:rsidP="004F35CC">
      <w:pPr>
        <w:pStyle w:val="ListParagraph"/>
        <w:numPr>
          <w:ilvl w:val="0"/>
          <w:numId w:val="103"/>
        </w:numPr>
        <w:tabs>
          <w:tab w:val="clear" w:pos="450"/>
        </w:tabs>
        <w:ind w:left="0"/>
        <w:jc w:val="both"/>
        <w:rPr>
          <w:sz w:val="20"/>
          <w:szCs w:val="20"/>
          <w:lang w:val="es-PA"/>
        </w:rPr>
      </w:pPr>
      <w:r>
        <w:rPr>
          <w:sz w:val="20"/>
          <w:szCs w:val="20"/>
          <w:lang w:val="es-PA"/>
        </w:rPr>
        <w:t xml:space="preserve"> </w:t>
      </w:r>
      <w:r w:rsidR="008741B0" w:rsidRPr="008741B0">
        <w:rPr>
          <w:sz w:val="20"/>
          <w:szCs w:val="20"/>
          <w:lang w:val="es-UY"/>
        </w:rPr>
        <w:t>También</w:t>
      </w:r>
      <w:r w:rsidR="008741B0" w:rsidRPr="008741B0">
        <w:rPr>
          <w:sz w:val="20"/>
          <w:szCs w:val="20"/>
          <w:lang w:val="es-PA"/>
        </w:rPr>
        <w:t xml:space="preserve"> aduce que el Estado viola el derecho a la igualdad ante la ley de la presunta víctima pues la negativa a reconocer su derecho pensionario es contraria a criterio previo del Tribunal Constitucional y</w:t>
      </w:r>
      <w:r w:rsidR="006D3C14">
        <w:rPr>
          <w:sz w:val="20"/>
          <w:szCs w:val="20"/>
          <w:lang w:val="es-PA"/>
        </w:rPr>
        <w:t xml:space="preserve"> a</w:t>
      </w:r>
      <w:r w:rsidR="008741B0" w:rsidRPr="008741B0">
        <w:rPr>
          <w:sz w:val="20"/>
          <w:szCs w:val="20"/>
          <w:lang w:val="es-PA"/>
        </w:rPr>
        <w:t xml:space="preserve"> la decisión alcanzada por la Corte Interamericana de Derechos Humanos en el caso de los “Cinco Pensionistas”</w:t>
      </w:r>
      <w:r w:rsidR="008741B0">
        <w:rPr>
          <w:rStyle w:val="FootnoteReference"/>
          <w:sz w:val="20"/>
          <w:szCs w:val="20"/>
          <w:lang w:val="es-PA"/>
        </w:rPr>
        <w:footnoteReference w:id="15"/>
      </w:r>
      <w:r w:rsidR="008741B0" w:rsidRPr="008741B0">
        <w:rPr>
          <w:sz w:val="20"/>
          <w:szCs w:val="20"/>
          <w:lang w:val="es-PA"/>
        </w:rPr>
        <w:t xml:space="preserve">. En adición considera que se le vulneró su derecho al debido proceso y a la protección judicial pues la sentencia que revocó la decisión de amparo favorable al señor Figueroa Ávila no detalló el supuesto error de hecho o de derecho en que habría incurrido el </w:t>
      </w:r>
      <w:r w:rsidR="00F30017">
        <w:rPr>
          <w:sz w:val="20"/>
          <w:szCs w:val="20"/>
          <w:lang w:val="es-PA"/>
        </w:rPr>
        <w:t>juzgador de primera instancia.</w:t>
      </w:r>
      <w:r w:rsidR="00BD0248">
        <w:rPr>
          <w:sz w:val="20"/>
          <w:szCs w:val="20"/>
          <w:lang w:val="es-PA"/>
        </w:rPr>
        <w:t xml:space="preserve"> </w:t>
      </w:r>
      <w:r w:rsidR="008741B0" w:rsidRPr="008741B0">
        <w:rPr>
          <w:sz w:val="20"/>
          <w:szCs w:val="20"/>
          <w:lang w:val="es-PA"/>
        </w:rPr>
        <w:t>De igual manera, porque se rechazó su acción de cumplimiento en base a la decisión del Tribunal Constitucional sobre el primer recurso de agravio</w:t>
      </w:r>
      <w:r w:rsidR="00001509">
        <w:rPr>
          <w:sz w:val="20"/>
          <w:szCs w:val="20"/>
          <w:lang w:val="es-PA"/>
        </w:rPr>
        <w:t>,</w:t>
      </w:r>
      <w:r w:rsidR="008741B0" w:rsidRPr="008741B0">
        <w:rPr>
          <w:sz w:val="20"/>
          <w:szCs w:val="20"/>
          <w:lang w:val="es-PA"/>
        </w:rPr>
        <w:t xml:space="preserve"> pese a que</w:t>
      </w:r>
      <w:r w:rsidR="00001509">
        <w:rPr>
          <w:sz w:val="20"/>
          <w:szCs w:val="20"/>
          <w:lang w:val="es-PA"/>
        </w:rPr>
        <w:t xml:space="preserve"> esta decisión no anulaba la sentencia con grado de cosa juzgada cuyo cumplimiento se reclamaba</w:t>
      </w:r>
      <w:r w:rsidR="0088559C">
        <w:rPr>
          <w:sz w:val="20"/>
          <w:szCs w:val="20"/>
          <w:lang w:val="es-PA"/>
        </w:rPr>
        <w:t xml:space="preserve">. </w:t>
      </w:r>
      <w:r w:rsidR="008741B0" w:rsidRPr="008741B0">
        <w:rPr>
          <w:sz w:val="20"/>
          <w:szCs w:val="20"/>
          <w:lang w:val="es-PA"/>
        </w:rPr>
        <w:t xml:space="preserve">En adición, porque el Tribunal Constitucional decidió el segundo recurso de agravio sin pronunciarse sobre los puntos controvertidos, entre ellos la aducida violación al principio de la cosa juzgada.   </w:t>
      </w:r>
    </w:p>
    <w:p w:rsidR="008741B0" w:rsidRDefault="008741B0" w:rsidP="004F35CC">
      <w:pPr>
        <w:pStyle w:val="ListParagraph"/>
        <w:ind w:left="0" w:firstLine="720"/>
        <w:jc w:val="both"/>
        <w:rPr>
          <w:sz w:val="20"/>
          <w:szCs w:val="20"/>
          <w:lang w:val="es-PA"/>
        </w:rPr>
      </w:pPr>
    </w:p>
    <w:p w:rsidR="008741B0" w:rsidRPr="00C243D6" w:rsidRDefault="00BD0248" w:rsidP="004F35CC">
      <w:pPr>
        <w:pStyle w:val="ListParagraph"/>
        <w:numPr>
          <w:ilvl w:val="0"/>
          <w:numId w:val="103"/>
        </w:numPr>
        <w:tabs>
          <w:tab w:val="clear" w:pos="450"/>
        </w:tabs>
        <w:ind w:left="0"/>
        <w:jc w:val="both"/>
        <w:rPr>
          <w:sz w:val="20"/>
          <w:szCs w:val="20"/>
          <w:lang w:val="es-PA"/>
        </w:rPr>
      </w:pPr>
      <w:r>
        <w:rPr>
          <w:sz w:val="20"/>
          <w:szCs w:val="20"/>
          <w:lang w:val="es-AR"/>
        </w:rPr>
        <w:t xml:space="preserve"> </w:t>
      </w:r>
      <w:r w:rsidR="008741B0" w:rsidRPr="008741B0">
        <w:rPr>
          <w:sz w:val="20"/>
          <w:szCs w:val="20"/>
          <w:lang w:val="es-AR"/>
        </w:rPr>
        <w:t xml:space="preserve">El Estado, por su parte, considera que la petición debe ser inadmitida con fundamento en el artículo 47 de la Convención Americana por que los hechos expuestos en ella no constituyen violaciones a los derechos humanos. Alega que </w:t>
      </w:r>
      <w:r w:rsidR="008741B0" w:rsidRPr="008741B0">
        <w:rPr>
          <w:sz w:val="20"/>
          <w:szCs w:val="20"/>
          <w:lang w:val="es-UY"/>
        </w:rPr>
        <w:t>la incorporación del señor Figueroa Ávila al régimen de prestaciones del Decreto Ley Nº 20530 fue errónea, señalando que este no cumplía con el requisito de haber laborado ininterrumpidamente en el sector público. Indica que, luego del cambio de régimen que ocurrió en el año de 1982, la presunta víctima se trasladó al régimen laboral de la actividad privada, resaltando que por mandato de ley no puede existir acumulación alguna entre ambos regímenes previsionales. Sostiene que las resoluciones que reconocen al señor Figueroa su incorporación al régimen y el pago de la pensión de cesantía son nulas de pleno derecho conforme a la ley aplicable. De igual manera, aduce que, al iniciar labores en una universidad privada e inscribirse al régimen previsional privado, la presunta víctima perdió su calidad de beneficiario anterior debido a que no puede percibir un favor previsional en ambos regímenes.</w:t>
      </w:r>
    </w:p>
    <w:p w:rsidR="00C243D6" w:rsidRPr="00C243D6" w:rsidRDefault="00C243D6" w:rsidP="004F35CC">
      <w:pPr>
        <w:pStyle w:val="ListParagraph"/>
        <w:ind w:left="0" w:firstLine="720"/>
        <w:jc w:val="both"/>
        <w:rPr>
          <w:sz w:val="20"/>
          <w:szCs w:val="20"/>
          <w:lang w:val="es-PA"/>
        </w:rPr>
      </w:pPr>
    </w:p>
    <w:p w:rsidR="008741B0" w:rsidRPr="00C243D6" w:rsidRDefault="00780551" w:rsidP="004F35CC">
      <w:pPr>
        <w:pStyle w:val="ListParagraph"/>
        <w:numPr>
          <w:ilvl w:val="0"/>
          <w:numId w:val="103"/>
        </w:numPr>
        <w:tabs>
          <w:tab w:val="clear" w:pos="450"/>
        </w:tabs>
        <w:ind w:left="0"/>
        <w:jc w:val="both"/>
        <w:rPr>
          <w:sz w:val="20"/>
          <w:szCs w:val="20"/>
          <w:lang w:val="es-PA"/>
        </w:rPr>
      </w:pPr>
      <w:r>
        <w:rPr>
          <w:sz w:val="20"/>
          <w:szCs w:val="20"/>
          <w:lang w:val="es-AR"/>
        </w:rPr>
        <w:t xml:space="preserve"> </w:t>
      </w:r>
      <w:r w:rsidR="008741B0" w:rsidRPr="00C243D6">
        <w:rPr>
          <w:sz w:val="20"/>
          <w:szCs w:val="20"/>
          <w:lang w:val="es-AR"/>
        </w:rPr>
        <w:t>Señala que</w:t>
      </w:r>
      <w:r w:rsidR="00334327">
        <w:rPr>
          <w:sz w:val="20"/>
          <w:szCs w:val="20"/>
          <w:lang w:val="es-AR"/>
        </w:rPr>
        <w:t xml:space="preserve"> la parte peticionaria</w:t>
      </w:r>
      <w:r w:rsidR="008741B0" w:rsidRPr="00C243D6">
        <w:rPr>
          <w:sz w:val="20"/>
          <w:szCs w:val="20"/>
          <w:lang w:val="es-AR"/>
        </w:rPr>
        <w:t xml:space="preserve"> invoca derechos contenidos en el Protocolo de San Salvador y la Declaración Americana respecto a los cuales la Comisión no tiene competencia para pronunciarse, en el caso de la segunda por haber ratificado el Estado la Convención Americana. Argumenta que el derecho pensionario reclamado por la presunta víctima no se encuentra reconocido, por lo que no puede asimilarse a un derecho de propiedad tutelado por el artículo </w:t>
      </w:r>
      <w:r w:rsidR="00CC5CE2">
        <w:rPr>
          <w:sz w:val="20"/>
          <w:szCs w:val="20"/>
          <w:lang w:val="es-AR"/>
        </w:rPr>
        <w:t xml:space="preserve">21 de la Convención Americana. </w:t>
      </w:r>
      <w:r w:rsidR="008741B0" w:rsidRPr="00C243D6">
        <w:rPr>
          <w:sz w:val="20"/>
          <w:szCs w:val="20"/>
          <w:lang w:val="es-AR"/>
        </w:rPr>
        <w:t xml:space="preserve">Alega que no es cierto que las decisiones adoptadas en el caso de la presunta víctima sean distintas a las adoptas previamente en casos iguales, por lo que no se ha vulnerado su derecho a la igualdad ante la ley.  </w:t>
      </w:r>
    </w:p>
    <w:p w:rsidR="00C243D6" w:rsidRPr="00C243D6" w:rsidRDefault="00C243D6" w:rsidP="004F35CC">
      <w:pPr>
        <w:pStyle w:val="ListParagraph"/>
        <w:ind w:left="0" w:firstLine="720"/>
        <w:rPr>
          <w:sz w:val="20"/>
          <w:szCs w:val="20"/>
          <w:lang w:val="es-PA"/>
        </w:rPr>
      </w:pPr>
    </w:p>
    <w:p w:rsidR="008741B0" w:rsidRPr="00C243D6" w:rsidRDefault="00C243D6" w:rsidP="004F35CC">
      <w:pPr>
        <w:pStyle w:val="ListParagraph"/>
        <w:numPr>
          <w:ilvl w:val="0"/>
          <w:numId w:val="103"/>
        </w:numPr>
        <w:tabs>
          <w:tab w:val="clear" w:pos="450"/>
        </w:tabs>
        <w:ind w:left="0"/>
        <w:jc w:val="both"/>
        <w:rPr>
          <w:sz w:val="20"/>
          <w:szCs w:val="20"/>
          <w:lang w:val="es-PA"/>
        </w:rPr>
      </w:pPr>
      <w:r>
        <w:rPr>
          <w:sz w:val="20"/>
          <w:szCs w:val="20"/>
          <w:lang w:val="es-PA"/>
        </w:rPr>
        <w:t xml:space="preserve"> </w:t>
      </w:r>
      <w:r w:rsidR="008741B0" w:rsidRPr="00C243D6">
        <w:rPr>
          <w:sz w:val="20"/>
          <w:szCs w:val="20"/>
          <w:lang w:val="es-AR"/>
        </w:rPr>
        <w:t>Indica que el señor Figueroa Ávila tuvo la oportunidad de interponer todos los recursos que tuvo a bien y que todas las decisiones que se adoptaron respecto a sus derechos pensionarios fueron alcanzadas con respeto al debido proceso y su derecho a la defensa.</w:t>
      </w:r>
      <w:r w:rsidR="00BD0248">
        <w:rPr>
          <w:sz w:val="20"/>
          <w:szCs w:val="20"/>
          <w:lang w:val="es-AR"/>
        </w:rPr>
        <w:t xml:space="preserve"> Alega que la parte peticionaria</w:t>
      </w:r>
      <w:r w:rsidR="008741B0" w:rsidRPr="00C243D6">
        <w:rPr>
          <w:sz w:val="20"/>
          <w:szCs w:val="20"/>
          <w:lang w:val="es-AR"/>
        </w:rPr>
        <w:t xml:space="preserve"> pretende que la Comisión actúe ilegítimamente como una cuarta instancia para revisar lo ya decidido por el Tribunal Constituc</w:t>
      </w:r>
      <w:r w:rsidR="0088559C">
        <w:rPr>
          <w:sz w:val="20"/>
          <w:szCs w:val="20"/>
          <w:lang w:val="es-AR"/>
        </w:rPr>
        <w:t>ional, por su simple desacuerdo</w:t>
      </w:r>
      <w:r w:rsidR="00CC5CE2">
        <w:rPr>
          <w:sz w:val="20"/>
          <w:szCs w:val="20"/>
          <w:lang w:val="es-AR"/>
        </w:rPr>
        <w:t xml:space="preserve"> </w:t>
      </w:r>
      <w:r w:rsidR="008741B0" w:rsidRPr="00C243D6">
        <w:rPr>
          <w:sz w:val="20"/>
          <w:szCs w:val="20"/>
          <w:lang w:val="es-AR"/>
        </w:rPr>
        <w:t xml:space="preserve">con la decisión. </w:t>
      </w:r>
    </w:p>
    <w:p w:rsidR="00C243D6" w:rsidRPr="00C243D6" w:rsidRDefault="00C243D6" w:rsidP="004F35CC">
      <w:pPr>
        <w:pStyle w:val="ListParagraph"/>
        <w:ind w:left="0" w:firstLine="720"/>
        <w:rPr>
          <w:sz w:val="20"/>
          <w:szCs w:val="20"/>
          <w:lang w:val="es-PA"/>
        </w:rPr>
      </w:pPr>
    </w:p>
    <w:p w:rsidR="00EA68FA" w:rsidRPr="00334327" w:rsidRDefault="00A441EF" w:rsidP="004F35CC">
      <w:pPr>
        <w:pStyle w:val="ListParagraph"/>
        <w:numPr>
          <w:ilvl w:val="0"/>
          <w:numId w:val="103"/>
        </w:numPr>
        <w:tabs>
          <w:tab w:val="clear" w:pos="450"/>
        </w:tabs>
        <w:ind w:left="0"/>
        <w:jc w:val="both"/>
        <w:rPr>
          <w:sz w:val="20"/>
          <w:szCs w:val="20"/>
          <w:lang w:val="es-PA"/>
        </w:rPr>
      </w:pPr>
      <w:r>
        <w:rPr>
          <w:rFonts w:asciiTheme="majorHAnsi" w:hAnsiTheme="majorHAnsi"/>
          <w:sz w:val="20"/>
          <w:szCs w:val="20"/>
          <w:lang w:val="es-PA"/>
        </w:rPr>
        <w:t xml:space="preserve"> L</w:t>
      </w:r>
      <w:r w:rsidR="00C243D6">
        <w:rPr>
          <w:rFonts w:asciiTheme="majorHAnsi" w:hAnsiTheme="majorHAnsi"/>
          <w:sz w:val="20"/>
          <w:szCs w:val="20"/>
          <w:lang w:val="es-ES"/>
        </w:rPr>
        <w:t>a Comisión considera que</w:t>
      </w:r>
      <w:r w:rsidR="00780551">
        <w:rPr>
          <w:rFonts w:asciiTheme="majorHAnsi" w:hAnsiTheme="majorHAnsi"/>
          <w:sz w:val="20"/>
          <w:szCs w:val="20"/>
          <w:lang w:val="es-ES"/>
        </w:rPr>
        <w:t>,</w:t>
      </w:r>
      <w:r w:rsidR="00C243D6">
        <w:rPr>
          <w:rFonts w:asciiTheme="majorHAnsi" w:hAnsiTheme="majorHAnsi"/>
          <w:sz w:val="20"/>
          <w:szCs w:val="20"/>
          <w:lang w:val="es-ES"/>
        </w:rPr>
        <w:t xml:space="preserve"> de ser cierto lo</w:t>
      </w:r>
      <w:r w:rsidR="00780551">
        <w:rPr>
          <w:rFonts w:asciiTheme="majorHAnsi" w:hAnsiTheme="majorHAnsi"/>
          <w:sz w:val="20"/>
          <w:szCs w:val="20"/>
          <w:lang w:val="es-ES"/>
        </w:rPr>
        <w:t>s hechos</w:t>
      </w:r>
      <w:r w:rsidR="00C243D6">
        <w:rPr>
          <w:rFonts w:asciiTheme="majorHAnsi" w:hAnsiTheme="majorHAnsi"/>
          <w:sz w:val="20"/>
          <w:szCs w:val="20"/>
          <w:lang w:val="es-ES"/>
        </w:rPr>
        <w:t xml:space="preserve"> aducido por la parte peticionaria respecto a que </w:t>
      </w:r>
      <w:r w:rsidR="004675D0">
        <w:rPr>
          <w:rFonts w:asciiTheme="majorHAnsi" w:hAnsiTheme="majorHAnsi"/>
          <w:sz w:val="20"/>
          <w:szCs w:val="20"/>
          <w:lang w:val="es-ES"/>
        </w:rPr>
        <w:t xml:space="preserve">existe un </w:t>
      </w:r>
      <w:r w:rsidR="00C243D6">
        <w:rPr>
          <w:rFonts w:asciiTheme="majorHAnsi" w:hAnsiTheme="majorHAnsi"/>
          <w:sz w:val="20"/>
          <w:szCs w:val="20"/>
          <w:lang w:val="es-ES"/>
        </w:rPr>
        <w:t>derecho pensionario</w:t>
      </w:r>
      <w:r w:rsidR="004675D0">
        <w:rPr>
          <w:rFonts w:asciiTheme="majorHAnsi" w:hAnsiTheme="majorHAnsi"/>
          <w:sz w:val="20"/>
          <w:szCs w:val="20"/>
          <w:lang w:val="es-ES"/>
        </w:rPr>
        <w:t xml:space="preserve"> </w:t>
      </w:r>
      <w:r>
        <w:rPr>
          <w:rFonts w:asciiTheme="majorHAnsi" w:hAnsiTheme="majorHAnsi"/>
          <w:sz w:val="20"/>
          <w:szCs w:val="20"/>
          <w:lang w:val="es-ES"/>
        </w:rPr>
        <w:t>reconocido</w:t>
      </w:r>
      <w:r w:rsidR="004675D0">
        <w:rPr>
          <w:rFonts w:asciiTheme="majorHAnsi" w:hAnsiTheme="majorHAnsi"/>
          <w:sz w:val="20"/>
          <w:szCs w:val="20"/>
          <w:lang w:val="es-ES"/>
        </w:rPr>
        <w:t xml:space="preserve"> a favor de la presunta víctima</w:t>
      </w:r>
      <w:r w:rsidR="00C243D6">
        <w:rPr>
          <w:rFonts w:asciiTheme="majorHAnsi" w:hAnsiTheme="majorHAnsi"/>
          <w:sz w:val="20"/>
          <w:szCs w:val="20"/>
          <w:lang w:val="es-ES"/>
        </w:rPr>
        <w:t xml:space="preserve"> el </w:t>
      </w:r>
      <w:r w:rsidR="004675D0">
        <w:rPr>
          <w:rFonts w:asciiTheme="majorHAnsi" w:hAnsiTheme="majorHAnsi"/>
          <w:sz w:val="20"/>
          <w:szCs w:val="20"/>
          <w:lang w:val="es-ES"/>
        </w:rPr>
        <w:t>cual no</w:t>
      </w:r>
      <w:r w:rsidR="00780551">
        <w:rPr>
          <w:rFonts w:asciiTheme="majorHAnsi" w:hAnsiTheme="majorHAnsi"/>
          <w:sz w:val="20"/>
          <w:szCs w:val="20"/>
          <w:lang w:val="es-ES"/>
        </w:rPr>
        <w:t xml:space="preserve"> se</w:t>
      </w:r>
      <w:r w:rsidR="004675D0">
        <w:rPr>
          <w:rFonts w:asciiTheme="majorHAnsi" w:hAnsiTheme="majorHAnsi"/>
          <w:sz w:val="20"/>
          <w:szCs w:val="20"/>
          <w:lang w:val="es-ES"/>
        </w:rPr>
        <w:t xml:space="preserve"> </w:t>
      </w:r>
      <w:r w:rsidR="008C287D">
        <w:rPr>
          <w:rFonts w:asciiTheme="majorHAnsi" w:hAnsiTheme="majorHAnsi"/>
          <w:sz w:val="20"/>
          <w:szCs w:val="20"/>
          <w:lang w:val="es-ES"/>
        </w:rPr>
        <w:t xml:space="preserve">ha podido hacer </w:t>
      </w:r>
      <w:r w:rsidR="008C287D">
        <w:rPr>
          <w:rFonts w:asciiTheme="majorHAnsi" w:hAnsiTheme="majorHAnsi"/>
          <w:sz w:val="20"/>
          <w:szCs w:val="20"/>
          <w:lang w:val="es-ES"/>
        </w:rPr>
        <w:lastRenderedPageBreak/>
        <w:t>efectivo mediante los me</w:t>
      </w:r>
      <w:r w:rsidR="0088559C">
        <w:rPr>
          <w:rFonts w:asciiTheme="majorHAnsi" w:hAnsiTheme="majorHAnsi"/>
          <w:sz w:val="20"/>
          <w:szCs w:val="20"/>
          <w:lang w:val="es-ES"/>
        </w:rPr>
        <w:t xml:space="preserve">canismos domésticos y a que las </w:t>
      </w:r>
      <w:r w:rsidR="008C287D">
        <w:rPr>
          <w:rFonts w:asciiTheme="majorHAnsi" w:hAnsiTheme="majorHAnsi"/>
          <w:sz w:val="20"/>
          <w:szCs w:val="20"/>
          <w:lang w:val="es-ES"/>
        </w:rPr>
        <w:t xml:space="preserve">autoridades estatales </w:t>
      </w:r>
      <w:r w:rsidR="00780551">
        <w:rPr>
          <w:rFonts w:asciiTheme="majorHAnsi" w:hAnsiTheme="majorHAnsi"/>
          <w:sz w:val="20"/>
          <w:szCs w:val="20"/>
          <w:lang w:val="es-ES"/>
        </w:rPr>
        <w:t>realizaron una ilegitima aplicación retroactiva de nor</w:t>
      </w:r>
      <w:r w:rsidR="0088559C">
        <w:rPr>
          <w:rFonts w:asciiTheme="majorHAnsi" w:hAnsiTheme="majorHAnsi"/>
          <w:sz w:val="20"/>
          <w:szCs w:val="20"/>
          <w:lang w:val="es-ES"/>
        </w:rPr>
        <w:t xml:space="preserve">mas que le perjudicaban, estos </w:t>
      </w:r>
      <w:r w:rsidR="00780551">
        <w:rPr>
          <w:sz w:val="20"/>
          <w:szCs w:val="20"/>
          <w:lang w:val="es-ES"/>
        </w:rPr>
        <w:t>podrían caracterizar</w:t>
      </w:r>
      <w:r w:rsidR="00B82342" w:rsidRPr="00C243D6">
        <w:rPr>
          <w:sz w:val="20"/>
          <w:szCs w:val="20"/>
          <w:lang w:val="es-ES"/>
        </w:rPr>
        <w:t xml:space="preserve"> </w:t>
      </w:r>
      <w:r w:rsidR="00B82342" w:rsidRPr="00C243D6">
        <w:rPr>
          <w:i/>
          <w:sz w:val="20"/>
          <w:szCs w:val="20"/>
          <w:lang w:val="es-ES"/>
        </w:rPr>
        <w:t>prima facie</w:t>
      </w:r>
      <w:r w:rsidR="00B82342" w:rsidRPr="00C243D6">
        <w:rPr>
          <w:sz w:val="20"/>
          <w:szCs w:val="20"/>
          <w:lang w:val="es-ES"/>
        </w:rPr>
        <w:t xml:space="preserve"> violaciones a los artículos</w:t>
      </w:r>
      <w:r w:rsidR="00B82342" w:rsidRPr="00C243D6">
        <w:rPr>
          <w:rFonts w:asciiTheme="majorHAnsi" w:hAnsiTheme="majorHAnsi"/>
          <w:sz w:val="20"/>
          <w:szCs w:val="20"/>
          <w:lang w:val="es-ES"/>
        </w:rPr>
        <w:t xml:space="preserve"> </w:t>
      </w:r>
      <w:r w:rsidR="00B82342" w:rsidRPr="00C243D6">
        <w:rPr>
          <w:bCs/>
          <w:sz w:val="20"/>
          <w:szCs w:val="20"/>
          <w:lang w:val="es-AR"/>
        </w:rPr>
        <w:t>Artículos 8 (garantías judiciales),</w:t>
      </w:r>
      <w:r w:rsidR="00780551">
        <w:rPr>
          <w:bCs/>
          <w:sz w:val="20"/>
          <w:szCs w:val="20"/>
          <w:lang w:val="es-AR"/>
        </w:rPr>
        <w:t xml:space="preserve"> 9 (principio de legalidad y de retroactividad),</w:t>
      </w:r>
      <w:r w:rsidR="00B82342" w:rsidRPr="00C243D6">
        <w:rPr>
          <w:bCs/>
          <w:sz w:val="20"/>
          <w:szCs w:val="20"/>
          <w:lang w:val="es-AR"/>
        </w:rPr>
        <w:t xml:space="preserve"> 21 (propi</w:t>
      </w:r>
      <w:r w:rsidR="00780551">
        <w:rPr>
          <w:bCs/>
          <w:sz w:val="20"/>
          <w:szCs w:val="20"/>
          <w:lang w:val="es-AR"/>
        </w:rPr>
        <w:t>edad), 25 (protección judicial) y</w:t>
      </w:r>
      <w:r w:rsidR="00B82342" w:rsidRPr="00C243D6">
        <w:rPr>
          <w:bCs/>
          <w:sz w:val="20"/>
          <w:szCs w:val="20"/>
          <w:lang w:val="es-AR"/>
        </w:rPr>
        <w:t xml:space="preserve"> 26 (derechos económicos, sociales y culturales) de la Convención Americ</w:t>
      </w:r>
      <w:r w:rsidR="0088559C">
        <w:rPr>
          <w:bCs/>
          <w:sz w:val="20"/>
          <w:szCs w:val="20"/>
          <w:lang w:val="es-AR"/>
        </w:rPr>
        <w:t xml:space="preserve">ana en relación con su artículo </w:t>
      </w:r>
      <w:r w:rsidR="00B82342" w:rsidRPr="00C243D6">
        <w:rPr>
          <w:bCs/>
          <w:sz w:val="20"/>
          <w:szCs w:val="20"/>
          <w:lang w:val="es-AR"/>
        </w:rPr>
        <w:t>1</w:t>
      </w:r>
      <w:r w:rsidR="0088559C">
        <w:rPr>
          <w:bCs/>
          <w:sz w:val="20"/>
          <w:szCs w:val="20"/>
          <w:lang w:val="es-AR"/>
        </w:rPr>
        <w:t>.1</w:t>
      </w:r>
      <w:r w:rsidR="00B82342" w:rsidRPr="00C243D6">
        <w:rPr>
          <w:bCs/>
          <w:sz w:val="20"/>
          <w:szCs w:val="20"/>
          <w:lang w:val="es-AR"/>
        </w:rPr>
        <w:t xml:space="preserve"> (obligación de respetar los derechos)</w:t>
      </w:r>
      <w:r w:rsidR="00334327">
        <w:rPr>
          <w:bCs/>
          <w:sz w:val="20"/>
          <w:szCs w:val="20"/>
          <w:lang w:val="es-AR"/>
        </w:rPr>
        <w:t>.</w:t>
      </w:r>
    </w:p>
    <w:p w:rsidR="00334327" w:rsidRPr="00334327" w:rsidRDefault="00334327" w:rsidP="004F35CC">
      <w:pPr>
        <w:pStyle w:val="ListParagraph"/>
        <w:ind w:left="0" w:firstLine="720"/>
        <w:rPr>
          <w:sz w:val="20"/>
          <w:szCs w:val="20"/>
          <w:lang w:val="es-PA"/>
        </w:rPr>
      </w:pPr>
    </w:p>
    <w:p w:rsidR="00334327" w:rsidRPr="00334327" w:rsidRDefault="00334327" w:rsidP="004F35CC">
      <w:pPr>
        <w:pStyle w:val="ListParagraph"/>
        <w:numPr>
          <w:ilvl w:val="0"/>
          <w:numId w:val="103"/>
        </w:numPr>
        <w:tabs>
          <w:tab w:val="clear" w:pos="450"/>
        </w:tabs>
        <w:ind w:left="0"/>
        <w:jc w:val="both"/>
        <w:rPr>
          <w:sz w:val="20"/>
          <w:szCs w:val="20"/>
          <w:lang w:val="es-PA"/>
        </w:rPr>
      </w:pPr>
      <w:r w:rsidRPr="00334327">
        <w:rPr>
          <w:sz w:val="20"/>
          <w:szCs w:val="20"/>
          <w:lang w:val="es-PA"/>
        </w:rPr>
        <w:t xml:space="preserve"> </w:t>
      </w:r>
      <w:r w:rsidRPr="00334327">
        <w:rPr>
          <w:sz w:val="20"/>
          <w:szCs w:val="20"/>
          <w:lang w:val="es-ES"/>
        </w:rPr>
        <w:t xml:space="preserve">En cuanto al reclamo sobre una posible violación al artículo 24 (igualdad ante la ley) de la Convención Americana, </w:t>
      </w:r>
      <w:r w:rsidRPr="00334327">
        <w:rPr>
          <w:sz w:val="20"/>
          <w:szCs w:val="20"/>
          <w:lang w:val="es-ES_tradnl"/>
        </w:rPr>
        <w:t xml:space="preserve">la Comisión observa que los peticionarios no han ofrecido alegatos o sustento suficiente que permita considerar </w:t>
      </w:r>
      <w:r w:rsidRPr="00334327">
        <w:rPr>
          <w:i/>
          <w:sz w:val="20"/>
          <w:szCs w:val="20"/>
          <w:lang w:val="es-ES_tradnl"/>
        </w:rPr>
        <w:t>prima facie</w:t>
      </w:r>
      <w:r w:rsidRPr="00334327">
        <w:rPr>
          <w:sz w:val="20"/>
          <w:szCs w:val="20"/>
          <w:lang w:val="es-ES_tradnl"/>
        </w:rPr>
        <w:t xml:space="preserve"> su posible violación.</w:t>
      </w:r>
    </w:p>
    <w:p w:rsidR="00334327" w:rsidRPr="00334327" w:rsidRDefault="00334327" w:rsidP="004F35CC">
      <w:pPr>
        <w:pStyle w:val="ListParagraph"/>
        <w:ind w:left="0" w:firstLine="720"/>
        <w:rPr>
          <w:sz w:val="20"/>
          <w:szCs w:val="20"/>
          <w:lang w:val="es-PA"/>
        </w:rPr>
      </w:pPr>
    </w:p>
    <w:p w:rsidR="00E86190" w:rsidRPr="00334327" w:rsidRDefault="00780551" w:rsidP="004F35CC">
      <w:pPr>
        <w:pStyle w:val="ListParagraph"/>
        <w:numPr>
          <w:ilvl w:val="0"/>
          <w:numId w:val="103"/>
        </w:numPr>
        <w:tabs>
          <w:tab w:val="clear" w:pos="450"/>
        </w:tabs>
        <w:ind w:left="0"/>
        <w:jc w:val="both"/>
        <w:rPr>
          <w:sz w:val="20"/>
          <w:szCs w:val="20"/>
          <w:lang w:val="es-PA"/>
        </w:rPr>
      </w:pPr>
      <w:r w:rsidRPr="00334327">
        <w:rPr>
          <w:bCs/>
          <w:sz w:val="20"/>
          <w:szCs w:val="20"/>
          <w:lang w:val="es-AR"/>
        </w:rPr>
        <w:t xml:space="preserve"> </w:t>
      </w:r>
      <w:r w:rsidR="00E86190" w:rsidRPr="00334327">
        <w:rPr>
          <w:bCs/>
          <w:sz w:val="20"/>
          <w:szCs w:val="20"/>
          <w:lang w:val="es-AR"/>
        </w:rPr>
        <w:t xml:space="preserve">En cuanto a las aducidas </w:t>
      </w:r>
      <w:r w:rsidR="004E1F96" w:rsidRPr="00334327">
        <w:rPr>
          <w:bCs/>
          <w:sz w:val="20"/>
          <w:szCs w:val="20"/>
          <w:lang w:val="es-AR"/>
        </w:rPr>
        <w:t>vulneraciones</w:t>
      </w:r>
      <w:r w:rsidR="00AE1910">
        <w:rPr>
          <w:bCs/>
          <w:sz w:val="20"/>
          <w:szCs w:val="20"/>
          <w:lang w:val="es-AR"/>
        </w:rPr>
        <w:t xml:space="preserve"> a artículos de</w:t>
      </w:r>
      <w:r w:rsidR="00E86190" w:rsidRPr="00334327">
        <w:rPr>
          <w:bCs/>
          <w:sz w:val="20"/>
          <w:szCs w:val="20"/>
          <w:lang w:val="es-AR"/>
        </w:rPr>
        <w:t xml:space="preserve"> la Declaración America</w:t>
      </w:r>
      <w:r w:rsidR="00B158DC" w:rsidRPr="00334327">
        <w:rPr>
          <w:bCs/>
          <w:sz w:val="20"/>
          <w:szCs w:val="20"/>
          <w:lang w:val="es-AR"/>
        </w:rPr>
        <w:t>na</w:t>
      </w:r>
      <w:r w:rsidR="00E86190" w:rsidRPr="00334327">
        <w:rPr>
          <w:bCs/>
          <w:sz w:val="20"/>
          <w:szCs w:val="20"/>
          <w:lang w:val="es-AR"/>
        </w:rPr>
        <w:t>,</w:t>
      </w:r>
      <w:r w:rsidR="008441DD" w:rsidRPr="00334327">
        <w:rPr>
          <w:bCs/>
          <w:sz w:val="20"/>
          <w:szCs w:val="20"/>
          <w:lang w:val="es-AR"/>
        </w:rPr>
        <w:t xml:space="preserve"> </w:t>
      </w:r>
      <w:r w:rsidR="008441DD" w:rsidRPr="00334327">
        <w:rPr>
          <w:rFonts w:asciiTheme="majorHAnsi" w:hAnsiTheme="majorHAnsi" w:cs="Calibri"/>
          <w:sz w:val="20"/>
          <w:szCs w:val="20"/>
          <w:lang w:val="es-ES"/>
        </w:rPr>
        <w:t>esta Comisión ha establecido con anterioridad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00AE1910">
        <w:rPr>
          <w:rFonts w:asciiTheme="majorHAnsi" w:hAnsiTheme="majorHAnsi" w:cs="Calibri"/>
          <w:sz w:val="20"/>
          <w:szCs w:val="20"/>
          <w:lang w:val="es-ES"/>
        </w:rPr>
        <w:t>da</w:t>
      </w:r>
      <w:r w:rsidR="008441DD" w:rsidRPr="00334327">
        <w:rPr>
          <w:rFonts w:asciiTheme="majorHAnsi" w:hAnsiTheme="majorHAnsi" w:cs="Calibri"/>
          <w:sz w:val="20"/>
          <w:szCs w:val="20"/>
          <w:lang w:val="es-ES"/>
        </w:rPr>
        <w:t>.</w:t>
      </w:r>
      <w:r w:rsidR="00C33FC7" w:rsidRPr="00334327">
        <w:rPr>
          <w:rFonts w:asciiTheme="majorHAnsi" w:hAnsiTheme="majorHAnsi" w:cs="Calibri"/>
          <w:sz w:val="20"/>
          <w:szCs w:val="20"/>
          <w:lang w:val="es-ES"/>
        </w:rPr>
        <w:t xml:space="preserve"> En este caso l</w:t>
      </w:r>
      <w:r w:rsidR="00AE1910">
        <w:rPr>
          <w:rFonts w:asciiTheme="majorHAnsi" w:hAnsiTheme="majorHAnsi" w:cs="Calibri"/>
          <w:sz w:val="20"/>
          <w:szCs w:val="20"/>
          <w:lang w:val="es-ES"/>
        </w:rPr>
        <w:t>as alegadas violaciones a la Declaración Americana</w:t>
      </w:r>
      <w:r w:rsidR="0092295E" w:rsidRPr="00334327">
        <w:rPr>
          <w:rFonts w:asciiTheme="majorHAnsi" w:hAnsiTheme="majorHAnsi" w:cs="Calibri"/>
          <w:sz w:val="20"/>
          <w:szCs w:val="20"/>
          <w:lang w:val="es-ES"/>
        </w:rPr>
        <w:t xml:space="preserve"> encajan</w:t>
      </w:r>
      <w:r w:rsidR="00B158DC" w:rsidRPr="00334327">
        <w:rPr>
          <w:rFonts w:asciiTheme="majorHAnsi" w:hAnsiTheme="majorHAnsi" w:cs="Calibri"/>
          <w:sz w:val="20"/>
          <w:szCs w:val="20"/>
          <w:lang w:val="es-ES"/>
        </w:rPr>
        <w:t xml:space="preserve"> </w:t>
      </w:r>
      <w:r w:rsidR="00AE1910">
        <w:rPr>
          <w:rFonts w:asciiTheme="majorHAnsi" w:hAnsiTheme="majorHAnsi" w:cs="Calibri"/>
          <w:sz w:val="20"/>
          <w:szCs w:val="20"/>
          <w:lang w:val="es-ES"/>
        </w:rPr>
        <w:t xml:space="preserve">dentro del ámbito de </w:t>
      </w:r>
      <w:r w:rsidR="004B630F" w:rsidRPr="00334327">
        <w:rPr>
          <w:rFonts w:asciiTheme="majorHAnsi" w:hAnsiTheme="majorHAnsi" w:cs="Calibri"/>
          <w:sz w:val="20"/>
          <w:szCs w:val="20"/>
          <w:lang w:val="es-ES"/>
        </w:rPr>
        <w:t>protección de los</w:t>
      </w:r>
      <w:r w:rsidR="0092295E" w:rsidRPr="00334327">
        <w:rPr>
          <w:rFonts w:asciiTheme="majorHAnsi" w:hAnsiTheme="majorHAnsi" w:cs="Calibri"/>
          <w:sz w:val="20"/>
          <w:szCs w:val="20"/>
          <w:lang w:val="es-ES"/>
        </w:rPr>
        <w:t xml:space="preserve"> artículo</w:t>
      </w:r>
      <w:r w:rsidR="004B630F" w:rsidRPr="00334327">
        <w:rPr>
          <w:rFonts w:asciiTheme="majorHAnsi" w:hAnsiTheme="majorHAnsi" w:cs="Calibri"/>
          <w:sz w:val="20"/>
          <w:szCs w:val="20"/>
          <w:lang w:val="es-ES"/>
        </w:rPr>
        <w:t>s</w:t>
      </w:r>
      <w:r w:rsidR="004E1F96" w:rsidRPr="00334327">
        <w:rPr>
          <w:rFonts w:asciiTheme="majorHAnsi" w:hAnsiTheme="majorHAnsi" w:cs="Calibri"/>
          <w:sz w:val="20"/>
          <w:szCs w:val="20"/>
          <w:lang w:val="es-ES"/>
        </w:rPr>
        <w:t xml:space="preserve"> 8, 21,</w:t>
      </w:r>
      <w:r w:rsidR="004B630F" w:rsidRPr="00334327">
        <w:rPr>
          <w:rFonts w:asciiTheme="majorHAnsi" w:hAnsiTheme="majorHAnsi" w:cs="Calibri"/>
          <w:sz w:val="20"/>
          <w:szCs w:val="20"/>
          <w:lang w:val="es-ES"/>
        </w:rPr>
        <w:t xml:space="preserve"> 25 y</w:t>
      </w:r>
      <w:r w:rsidR="0092295E" w:rsidRPr="00334327">
        <w:rPr>
          <w:rFonts w:asciiTheme="majorHAnsi" w:hAnsiTheme="majorHAnsi" w:cs="Calibri"/>
          <w:sz w:val="20"/>
          <w:szCs w:val="20"/>
          <w:lang w:val="es-ES"/>
        </w:rPr>
        <w:t xml:space="preserve"> 26 de la Convención Americana.</w:t>
      </w:r>
      <w:r w:rsidR="00AE1910">
        <w:rPr>
          <w:rFonts w:asciiTheme="majorHAnsi" w:hAnsiTheme="majorHAnsi" w:cs="Calibri"/>
          <w:sz w:val="20"/>
          <w:szCs w:val="20"/>
          <w:lang w:val="es-ES"/>
        </w:rPr>
        <w:t xml:space="preserve"> </w:t>
      </w:r>
      <w:r w:rsidR="00AE1910" w:rsidRPr="00AE1910">
        <w:rPr>
          <w:rFonts w:asciiTheme="majorHAnsi" w:hAnsiTheme="majorHAnsi" w:cs="Calibri"/>
          <w:color w:val="auto"/>
          <w:sz w:val="20"/>
          <w:szCs w:val="20"/>
          <w:lang w:val="es-ES"/>
        </w:rPr>
        <w:t>Por lo tanto la Comisión examinará estos alegatos a la luz de la Convención Americana.</w:t>
      </w:r>
    </w:p>
    <w:p w:rsidR="00334327" w:rsidRPr="00334327" w:rsidRDefault="00334327" w:rsidP="004F35CC">
      <w:pPr>
        <w:pStyle w:val="ListParagraph"/>
        <w:ind w:left="0" w:firstLine="720"/>
        <w:rPr>
          <w:sz w:val="20"/>
          <w:szCs w:val="20"/>
          <w:lang w:val="es-PA"/>
        </w:rPr>
      </w:pPr>
    </w:p>
    <w:p w:rsidR="00452DA9" w:rsidRPr="003B6C6F" w:rsidRDefault="00334327" w:rsidP="004F35C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450"/>
        </w:tabs>
        <w:suppressAutoHyphens/>
        <w:spacing w:after="240"/>
        <w:ind w:left="0"/>
        <w:jc w:val="both"/>
        <w:rPr>
          <w:rFonts w:asciiTheme="majorHAnsi" w:hAnsiTheme="majorHAnsi"/>
          <w:sz w:val="20"/>
          <w:szCs w:val="20"/>
          <w:lang w:val="es-ES"/>
        </w:rPr>
      </w:pPr>
      <w:r w:rsidRPr="003B6C6F">
        <w:rPr>
          <w:rFonts w:asciiTheme="majorHAnsi" w:hAnsiTheme="majorHAnsi" w:cs="Calibri"/>
          <w:sz w:val="20"/>
          <w:szCs w:val="20"/>
          <w:lang w:val="es-PA"/>
        </w:rPr>
        <w:t xml:space="preserve"> </w:t>
      </w:r>
      <w:r w:rsidR="00EE62D2" w:rsidRPr="003B6C6F">
        <w:rPr>
          <w:rFonts w:asciiTheme="majorHAnsi" w:hAnsiTheme="majorHAnsi" w:cs="Calibri"/>
          <w:sz w:val="20"/>
          <w:szCs w:val="20"/>
          <w:lang w:val="es-ES"/>
        </w:rPr>
        <w:t>Respecto</w:t>
      </w:r>
      <w:r w:rsidR="00321814" w:rsidRPr="003B6C6F">
        <w:rPr>
          <w:rFonts w:asciiTheme="majorHAnsi" w:hAnsiTheme="majorHAnsi" w:cs="Calibri"/>
          <w:sz w:val="20"/>
          <w:szCs w:val="20"/>
          <w:lang w:val="es-ES"/>
        </w:rPr>
        <w:t xml:space="preserve"> a la</w:t>
      </w:r>
      <w:r w:rsidR="004E1F96" w:rsidRPr="003B6C6F">
        <w:rPr>
          <w:rFonts w:asciiTheme="majorHAnsi" w:hAnsiTheme="majorHAnsi" w:cs="Calibri"/>
          <w:sz w:val="20"/>
          <w:szCs w:val="20"/>
          <w:lang w:val="es-ES"/>
        </w:rPr>
        <w:t xml:space="preserve">s alegadas violaciones a los artículos </w:t>
      </w:r>
      <w:r w:rsidR="00EE62D2" w:rsidRPr="003B6C6F">
        <w:rPr>
          <w:rFonts w:asciiTheme="majorHAnsi" w:hAnsiTheme="majorHAnsi"/>
          <w:bCs/>
          <w:sz w:val="20"/>
          <w:szCs w:val="20"/>
          <w:lang w:val="es-US"/>
        </w:rPr>
        <w:t>6 (derecho al trabajo), 9 (seguridad social), 10 (salud) y 17 (protección de los ancianos)</w:t>
      </w:r>
      <w:r w:rsidR="00EE62D2" w:rsidRPr="003B6C6F">
        <w:rPr>
          <w:rFonts w:asciiTheme="majorHAnsi" w:hAnsiTheme="majorHAnsi" w:cs="Calibri"/>
          <w:sz w:val="20"/>
          <w:szCs w:val="20"/>
          <w:lang w:val="es-ES"/>
        </w:rPr>
        <w:t xml:space="preserve"> d</w:t>
      </w:r>
      <w:r w:rsidR="004E1F96" w:rsidRPr="003B6C6F">
        <w:rPr>
          <w:rFonts w:asciiTheme="majorHAnsi" w:hAnsiTheme="majorHAnsi" w:cs="Calibri"/>
          <w:sz w:val="20"/>
          <w:szCs w:val="20"/>
          <w:lang w:val="es-ES"/>
        </w:rPr>
        <w:t>el Protocolo de San Salvador</w:t>
      </w:r>
      <w:r w:rsidR="00EE62D2" w:rsidRPr="003B6C6F">
        <w:rPr>
          <w:rFonts w:asciiTheme="majorHAnsi" w:hAnsiTheme="majorHAnsi" w:cs="Calibri"/>
          <w:sz w:val="20"/>
          <w:szCs w:val="20"/>
          <w:lang w:val="es-ES"/>
        </w:rPr>
        <w:t>, la Comisión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y otros instrumentos aplicables.</w:t>
      </w:r>
    </w:p>
    <w:p w:rsidR="003239B8" w:rsidRPr="0078770A" w:rsidRDefault="003239B8" w:rsidP="004F35CC">
      <w:pPr>
        <w:pStyle w:val="ListParagraph"/>
        <w:spacing w:before="240" w:after="240"/>
        <w:ind w:left="0" w:firstLine="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Pr="005F44D4" w:rsidRDefault="003239B8" w:rsidP="004F35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EE62D2">
        <w:rPr>
          <w:rFonts w:asciiTheme="majorHAnsi" w:hAnsiTheme="majorHAnsi"/>
          <w:sz w:val="20"/>
          <w:szCs w:val="20"/>
          <w:lang w:val="es-ES"/>
        </w:rPr>
        <w:t xml:space="preserve"> los</w:t>
      </w:r>
      <w:r w:rsidRPr="003239B8">
        <w:rPr>
          <w:rFonts w:asciiTheme="majorHAnsi" w:hAnsiTheme="majorHAnsi"/>
          <w:sz w:val="20"/>
          <w:szCs w:val="20"/>
          <w:lang w:val="es-ES"/>
        </w:rPr>
        <w:t xml:space="preserve"> </w:t>
      </w:r>
      <w:r w:rsidR="00B43BA9">
        <w:rPr>
          <w:rFonts w:asciiTheme="majorHAnsi" w:hAnsiTheme="majorHAnsi"/>
          <w:sz w:val="20"/>
          <w:szCs w:val="20"/>
          <w:lang w:val="es-ES"/>
        </w:rPr>
        <w:t xml:space="preserve">artículos </w:t>
      </w:r>
      <w:r w:rsidR="00B43BA9">
        <w:rPr>
          <w:rFonts w:ascii="Cambria" w:hAnsi="Cambria"/>
          <w:bCs/>
          <w:sz w:val="20"/>
          <w:szCs w:val="20"/>
          <w:lang w:val="es-AR"/>
        </w:rPr>
        <w:t>8,</w:t>
      </w:r>
      <w:r w:rsidR="00EE62D2">
        <w:rPr>
          <w:rFonts w:ascii="Cambria" w:hAnsi="Cambria"/>
          <w:bCs/>
          <w:sz w:val="20"/>
          <w:szCs w:val="20"/>
          <w:lang w:val="es-AR"/>
        </w:rPr>
        <w:t xml:space="preserve"> 9,</w:t>
      </w:r>
      <w:r w:rsidR="00B43BA9">
        <w:rPr>
          <w:rFonts w:ascii="Cambria" w:hAnsi="Cambria"/>
          <w:bCs/>
          <w:sz w:val="20"/>
          <w:szCs w:val="20"/>
          <w:lang w:val="es-AR"/>
        </w:rPr>
        <w:t xml:space="preserve"> </w:t>
      </w:r>
      <w:r w:rsidR="00B43BA9" w:rsidRPr="00A633B7">
        <w:rPr>
          <w:rFonts w:ascii="Cambria" w:hAnsi="Cambria"/>
          <w:bCs/>
          <w:sz w:val="20"/>
          <w:szCs w:val="20"/>
          <w:lang w:val="es-AR"/>
        </w:rPr>
        <w:t>21</w:t>
      </w:r>
      <w:r w:rsidR="00B43BA9">
        <w:rPr>
          <w:rFonts w:ascii="Cambria" w:hAnsi="Cambria"/>
          <w:bCs/>
          <w:sz w:val="20"/>
          <w:szCs w:val="20"/>
          <w:lang w:val="es-AR"/>
        </w:rPr>
        <w:t>,</w:t>
      </w:r>
      <w:r w:rsidR="00B43BA9" w:rsidRPr="00A633B7">
        <w:rPr>
          <w:rFonts w:ascii="Cambria" w:hAnsi="Cambria"/>
          <w:bCs/>
          <w:sz w:val="20"/>
          <w:szCs w:val="20"/>
          <w:lang w:val="es-AR"/>
        </w:rPr>
        <w:t xml:space="preserve"> </w:t>
      </w:r>
      <w:r w:rsidR="00EE62D2">
        <w:rPr>
          <w:rFonts w:ascii="Cambria" w:hAnsi="Cambria"/>
          <w:bCs/>
          <w:sz w:val="20"/>
          <w:szCs w:val="20"/>
          <w:lang w:val="es-AR"/>
        </w:rPr>
        <w:t xml:space="preserve">25 y </w:t>
      </w:r>
      <w:r w:rsidR="00B43BA9" w:rsidRPr="00A633B7">
        <w:rPr>
          <w:rFonts w:ascii="Cambria" w:hAnsi="Cambria"/>
          <w:bCs/>
          <w:sz w:val="20"/>
          <w:szCs w:val="20"/>
          <w:lang w:val="es-AR"/>
        </w:rPr>
        <w:t>26</w:t>
      </w:r>
      <w:r w:rsidR="00B43BA9">
        <w:rPr>
          <w:rFonts w:ascii="Cambria" w:hAnsi="Cambria"/>
          <w:bCs/>
          <w:sz w:val="20"/>
          <w:szCs w:val="20"/>
          <w:lang w:val="es-AR"/>
        </w:rPr>
        <w:t xml:space="preserve"> de la Convención Americana en relación con su artículo</w:t>
      </w:r>
      <w:r w:rsidR="00B43BA9" w:rsidRPr="00A633B7">
        <w:rPr>
          <w:rFonts w:ascii="Cambria" w:hAnsi="Cambria"/>
          <w:bCs/>
          <w:sz w:val="20"/>
          <w:szCs w:val="20"/>
          <w:lang w:val="es-AR"/>
        </w:rPr>
        <w:t xml:space="preserve"> 1</w:t>
      </w:r>
      <w:r w:rsidR="00D16C82">
        <w:rPr>
          <w:rFonts w:ascii="Cambria" w:hAnsi="Cambria"/>
          <w:bCs/>
          <w:sz w:val="20"/>
          <w:szCs w:val="20"/>
          <w:lang w:val="es-AR"/>
        </w:rPr>
        <w:t>.1</w:t>
      </w:r>
      <w:r w:rsidR="009A7BBF">
        <w:rPr>
          <w:rFonts w:ascii="Cambria" w:hAnsi="Cambria"/>
          <w:bCs/>
          <w:sz w:val="20"/>
          <w:szCs w:val="20"/>
          <w:lang w:val="es-AR"/>
        </w:rPr>
        <w:t>;</w:t>
      </w:r>
    </w:p>
    <w:p w:rsidR="005F44D4" w:rsidRPr="005F44D4" w:rsidRDefault="005F44D4" w:rsidP="004F35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ES"/>
        </w:rPr>
      </w:pPr>
      <w:r w:rsidRPr="001E3B2F">
        <w:rPr>
          <w:rFonts w:asciiTheme="majorHAnsi" w:hAnsiTheme="majorHAnsi"/>
          <w:sz w:val="20"/>
          <w:szCs w:val="20"/>
          <w:lang w:val="es-ES"/>
        </w:rPr>
        <w:t xml:space="preserve">Declarar inadmisible la presente petición en relación con </w:t>
      </w:r>
      <w:r>
        <w:rPr>
          <w:rFonts w:asciiTheme="majorHAnsi" w:hAnsiTheme="majorHAnsi"/>
          <w:sz w:val="20"/>
          <w:szCs w:val="20"/>
          <w:lang w:val="es-ES"/>
        </w:rPr>
        <w:t>el artículo 24</w:t>
      </w:r>
      <w:r w:rsidRPr="001E3B2F">
        <w:rPr>
          <w:rFonts w:asciiTheme="majorHAnsi" w:hAnsiTheme="majorHAnsi"/>
          <w:sz w:val="20"/>
          <w:szCs w:val="20"/>
          <w:lang w:val="es-ES"/>
        </w:rPr>
        <w:t xml:space="preserve"> de la Convención; y</w:t>
      </w:r>
    </w:p>
    <w:p w:rsidR="00722C9F" w:rsidRDefault="004A6A54" w:rsidP="004F35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D7223C" w:rsidRPr="00D35091" w:rsidRDefault="00D7223C" w:rsidP="004F35CC">
      <w:pPr>
        <w:suppressAutoHyphens/>
        <w:ind w:firstLine="720"/>
        <w:jc w:val="both"/>
        <w:rPr>
          <w:rFonts w:ascii="Cambria" w:hAnsi="Cambria"/>
          <w:sz w:val="20"/>
          <w:szCs w:val="20"/>
          <w:lang w:val="es-ES"/>
        </w:rPr>
      </w:pPr>
      <w:r w:rsidRPr="00D35091">
        <w:rPr>
          <w:rFonts w:ascii="Cambria" w:hAnsi="Cambria"/>
          <w:sz w:val="20"/>
          <w:szCs w:val="20"/>
          <w:lang w:val="es-ES"/>
        </w:rPr>
        <w:t xml:space="preserve">Aprobado por la Comisión Interamericana de Derechos Humanos a los </w:t>
      </w:r>
      <w:r w:rsidR="00FE2DA7">
        <w:rPr>
          <w:rFonts w:ascii="Cambria" w:hAnsi="Cambria"/>
          <w:sz w:val="20"/>
          <w:szCs w:val="20"/>
          <w:lang w:val="es-ES"/>
        </w:rPr>
        <w:t>11</w:t>
      </w:r>
      <w:r w:rsidRPr="00D35091">
        <w:rPr>
          <w:rFonts w:ascii="Cambria" w:hAnsi="Cambria"/>
          <w:sz w:val="20"/>
          <w:szCs w:val="20"/>
          <w:lang w:val="es-ES"/>
        </w:rPr>
        <w:t xml:space="preserve"> días del mes de </w:t>
      </w:r>
      <w:r w:rsidR="00FE2DA7">
        <w:rPr>
          <w:rFonts w:ascii="Cambria" w:hAnsi="Cambria" w:cs="Arial"/>
          <w:noProof/>
          <w:spacing w:val="-2"/>
          <w:sz w:val="20"/>
          <w:szCs w:val="20"/>
          <w:lang w:val="es-CL"/>
        </w:rPr>
        <w:t>septiem</w:t>
      </w:r>
      <w:r w:rsidRPr="00D35091">
        <w:rPr>
          <w:rFonts w:ascii="Cambria" w:hAnsi="Cambria" w:cs="Arial"/>
          <w:noProof/>
          <w:spacing w:val="-2"/>
          <w:sz w:val="20"/>
          <w:szCs w:val="20"/>
          <w:lang w:val="es-CL"/>
        </w:rPr>
        <w:t>bre</w:t>
      </w:r>
      <w:r w:rsidRPr="00D35091">
        <w:rPr>
          <w:rFonts w:ascii="Cambria" w:hAnsi="Cambria"/>
          <w:sz w:val="20"/>
          <w:szCs w:val="20"/>
          <w:lang w:val="es-ES"/>
        </w:rPr>
        <w:t xml:space="preserve"> de 2019.  (Firmado): Esmeralda E. Arosemena Bernal de Troitiño, Presidenta; Joel Hernández García, </w:t>
      </w:r>
      <w:r w:rsidRPr="00D35091">
        <w:rPr>
          <w:rFonts w:ascii="Cambria" w:hAnsi="Cambria"/>
          <w:spacing w:val="-2"/>
          <w:sz w:val="20"/>
          <w:szCs w:val="20"/>
          <w:lang w:val="es-ES"/>
        </w:rPr>
        <w:t xml:space="preserve">Primer Vicepresidente; </w:t>
      </w:r>
      <w:r w:rsidRPr="00D35091">
        <w:rPr>
          <w:rFonts w:ascii="Cambria" w:hAnsi="Cambria"/>
          <w:sz w:val="20"/>
          <w:szCs w:val="20"/>
          <w:lang w:val="es-ES"/>
        </w:rPr>
        <w:t>Antonia Urrejola Noguera, Segunda Vicepresidenta; Margarette May Macaulay, Luis Ernesto Vargas Silva y Flávia Piovesan, Miembros de la Comisión.</w:t>
      </w:r>
    </w:p>
    <w:p w:rsidR="00D7223C" w:rsidRPr="00D35091" w:rsidRDefault="00D7223C" w:rsidP="00D7223C">
      <w:pPr>
        <w:rPr>
          <w:rFonts w:ascii="Cambria" w:hAnsi="Cambria" w:cs="Calibri"/>
          <w:sz w:val="20"/>
          <w:szCs w:val="20"/>
          <w:lang w:val="es-ES"/>
        </w:rPr>
      </w:pPr>
    </w:p>
    <w:sectPr w:rsidR="00D7223C" w:rsidRPr="00D350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D9" w:rsidRDefault="008A28D9">
      <w:r>
        <w:separator/>
      </w:r>
    </w:p>
  </w:endnote>
  <w:endnote w:type="continuationSeparator" w:id="0">
    <w:p w:rsidR="008A28D9" w:rsidRDefault="008A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AC" w:rsidRDefault="00FB0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B04AC">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D9" w:rsidRPr="000F35ED" w:rsidRDefault="008A28D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A28D9" w:rsidRPr="000F35ED" w:rsidRDefault="008A28D9" w:rsidP="000F35ED">
      <w:pPr>
        <w:rPr>
          <w:rFonts w:asciiTheme="majorHAnsi" w:hAnsiTheme="majorHAnsi"/>
          <w:sz w:val="16"/>
          <w:szCs w:val="16"/>
        </w:rPr>
      </w:pPr>
      <w:r w:rsidRPr="000F35ED">
        <w:rPr>
          <w:rFonts w:asciiTheme="majorHAnsi" w:hAnsiTheme="majorHAnsi"/>
          <w:sz w:val="16"/>
          <w:szCs w:val="16"/>
        </w:rPr>
        <w:separator/>
      </w:r>
    </w:p>
    <w:p w:rsidR="008A28D9" w:rsidRPr="000F35ED" w:rsidRDefault="008A28D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8A28D9" w:rsidRPr="000F35ED" w:rsidRDefault="008A28D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26D5E" w:rsidRPr="001F38A7" w:rsidRDefault="00226D5E" w:rsidP="00266EEA">
      <w:pPr>
        <w:pStyle w:val="FootnoteText"/>
        <w:ind w:firstLine="720"/>
        <w:jc w:val="both"/>
        <w:rPr>
          <w:rFonts w:asciiTheme="majorHAnsi" w:hAnsiTheme="majorHAnsi"/>
          <w:sz w:val="16"/>
          <w:szCs w:val="16"/>
          <w:lang w:val="es-ES"/>
        </w:rPr>
      </w:pPr>
      <w:r w:rsidRPr="001F38A7">
        <w:rPr>
          <w:rStyle w:val="FootnoteReference"/>
          <w:rFonts w:asciiTheme="majorHAnsi" w:hAnsiTheme="majorHAnsi"/>
          <w:sz w:val="16"/>
          <w:szCs w:val="16"/>
        </w:rPr>
        <w:footnoteRef/>
      </w:r>
      <w:r w:rsidRPr="001F38A7">
        <w:rPr>
          <w:rFonts w:asciiTheme="majorHAnsi" w:hAnsiTheme="majorHAnsi"/>
          <w:sz w:val="16"/>
          <w:szCs w:val="16"/>
          <w:lang w:val="es-ES"/>
        </w:rPr>
        <w:t xml:space="preserve"> </w:t>
      </w:r>
      <w:r w:rsidR="00E76417" w:rsidRPr="001F38A7">
        <w:rPr>
          <w:rFonts w:asciiTheme="majorHAnsi" w:hAnsiTheme="majorHAnsi"/>
          <w:sz w:val="16"/>
          <w:szCs w:val="16"/>
          <w:lang w:val="es-PA"/>
        </w:rPr>
        <w:t xml:space="preserve">El señor </w:t>
      </w:r>
      <w:proofErr w:type="spellStart"/>
      <w:r w:rsidR="00E76417" w:rsidRPr="001F38A7">
        <w:rPr>
          <w:rFonts w:asciiTheme="majorHAnsi" w:hAnsiTheme="majorHAnsi"/>
          <w:bCs/>
          <w:sz w:val="16"/>
          <w:szCs w:val="16"/>
          <w:lang w:val="es-ES"/>
        </w:rPr>
        <w:t>Ronal</w:t>
      </w:r>
      <w:proofErr w:type="spellEnd"/>
      <w:r w:rsidR="00E76417" w:rsidRPr="001F38A7">
        <w:rPr>
          <w:rFonts w:asciiTheme="majorHAnsi" w:hAnsiTheme="majorHAnsi"/>
          <w:bCs/>
          <w:sz w:val="16"/>
          <w:szCs w:val="16"/>
          <w:lang w:val="es-ES"/>
        </w:rPr>
        <w:t xml:space="preserve"> Isaac Figueroa Ávila falleció en septiembre del año 2011 pero su cónyuge supérstite </w:t>
      </w:r>
      <w:proofErr w:type="spellStart"/>
      <w:r w:rsidR="00E76417" w:rsidRPr="001F38A7">
        <w:rPr>
          <w:rFonts w:asciiTheme="majorHAnsi" w:hAnsiTheme="majorHAnsi"/>
          <w:bCs/>
          <w:sz w:val="16"/>
          <w:szCs w:val="16"/>
          <w:lang w:val="es-ES"/>
        </w:rPr>
        <w:t>Neyla</w:t>
      </w:r>
      <w:proofErr w:type="spellEnd"/>
      <w:r w:rsidR="00E76417" w:rsidRPr="001F38A7">
        <w:rPr>
          <w:rFonts w:asciiTheme="majorHAnsi" w:hAnsiTheme="majorHAnsi"/>
          <w:bCs/>
          <w:sz w:val="16"/>
          <w:szCs w:val="16"/>
          <w:lang w:val="es-ES"/>
        </w:rPr>
        <w:t xml:space="preserve"> Paquita Panduro Cachay  Vda. de Figueroa ha solicitado a la Comisión que se proceda con el trámite del caso y se le tenga como sucesora procesal de la presunta víctima y titular en calidad de heredera de sus derechos pensionarios.</w:t>
      </w:r>
    </w:p>
  </w:footnote>
  <w:footnote w:id="3">
    <w:p w:rsidR="004A6A54" w:rsidRPr="001F38A7" w:rsidRDefault="004A6A54" w:rsidP="00266EEA">
      <w:pPr>
        <w:pStyle w:val="FootnoteText"/>
        <w:ind w:firstLine="720"/>
        <w:jc w:val="both"/>
        <w:rPr>
          <w:rFonts w:asciiTheme="majorHAnsi" w:hAnsiTheme="majorHAnsi"/>
          <w:sz w:val="16"/>
          <w:szCs w:val="16"/>
          <w:lang w:val="es-ES"/>
        </w:rPr>
      </w:pPr>
      <w:r w:rsidRPr="001F38A7">
        <w:rPr>
          <w:rStyle w:val="FootnoteReference"/>
          <w:rFonts w:asciiTheme="majorHAnsi" w:hAnsiTheme="majorHAnsi"/>
          <w:sz w:val="16"/>
          <w:szCs w:val="16"/>
        </w:rPr>
        <w:footnoteRef/>
      </w:r>
      <w:r w:rsidRPr="001F38A7">
        <w:rPr>
          <w:rFonts w:asciiTheme="majorHAnsi" w:hAnsiTheme="majorHAnsi"/>
          <w:sz w:val="16"/>
          <w:szCs w:val="16"/>
          <w:lang w:val="es-ES"/>
        </w:rPr>
        <w:t xml:space="preserve"> Conforme a lo dispuesto en el artículo 17.2.a del Reglamento de la Comisión, el Comisionado </w:t>
      </w:r>
      <w:r w:rsidR="00D87F30" w:rsidRPr="001F38A7">
        <w:rPr>
          <w:rFonts w:asciiTheme="majorHAnsi" w:hAnsiTheme="majorHAnsi"/>
          <w:sz w:val="16"/>
          <w:szCs w:val="16"/>
          <w:lang w:val="es-ES"/>
        </w:rPr>
        <w:t>Francisco José Eguiguren Praeli</w:t>
      </w:r>
      <w:r w:rsidRPr="001F38A7">
        <w:rPr>
          <w:rFonts w:asciiTheme="majorHAnsi" w:hAnsiTheme="majorHAnsi"/>
          <w:sz w:val="16"/>
          <w:szCs w:val="16"/>
          <w:lang w:val="es-ES"/>
        </w:rPr>
        <w:t xml:space="preserve">, de nacionalidad </w:t>
      </w:r>
      <w:r w:rsidR="00D87F30" w:rsidRPr="001F38A7">
        <w:rPr>
          <w:rFonts w:asciiTheme="majorHAnsi" w:hAnsiTheme="majorHAnsi"/>
          <w:sz w:val="16"/>
          <w:szCs w:val="16"/>
          <w:lang w:val="es-ES"/>
        </w:rPr>
        <w:t>Peruana,</w:t>
      </w:r>
      <w:r w:rsidRPr="001F38A7">
        <w:rPr>
          <w:rFonts w:asciiTheme="majorHAnsi" w:hAnsiTheme="majorHAnsi"/>
          <w:sz w:val="16"/>
          <w:szCs w:val="16"/>
          <w:lang w:val="es-ES"/>
        </w:rPr>
        <w:t xml:space="preserve"> no participó en el debate ni en la decisión del presente asunto.</w:t>
      </w:r>
    </w:p>
  </w:footnote>
  <w:footnote w:id="4">
    <w:p w:rsidR="008B7A1B" w:rsidRPr="001F38A7" w:rsidRDefault="008B7A1B" w:rsidP="00266EEA">
      <w:pPr>
        <w:pStyle w:val="FootnoteText"/>
        <w:ind w:firstLine="720"/>
        <w:jc w:val="both"/>
        <w:rPr>
          <w:rFonts w:asciiTheme="majorHAnsi" w:hAnsiTheme="majorHAnsi"/>
          <w:sz w:val="16"/>
          <w:szCs w:val="16"/>
          <w:lang w:val="es-ES"/>
        </w:rPr>
      </w:pPr>
      <w:r w:rsidRPr="001F38A7">
        <w:rPr>
          <w:rStyle w:val="FootnoteReference"/>
          <w:rFonts w:asciiTheme="majorHAnsi" w:hAnsiTheme="majorHAnsi"/>
          <w:sz w:val="16"/>
          <w:szCs w:val="16"/>
        </w:rPr>
        <w:footnoteRef/>
      </w:r>
      <w:r w:rsidRPr="001F38A7">
        <w:rPr>
          <w:rFonts w:asciiTheme="majorHAnsi" w:hAnsiTheme="majorHAnsi"/>
          <w:sz w:val="16"/>
          <w:szCs w:val="16"/>
          <w:lang w:val="es-ES"/>
        </w:rPr>
        <w:t xml:space="preserve"> En adelante “Convención” o “Convención Americana”.</w:t>
      </w:r>
    </w:p>
  </w:footnote>
  <w:footnote w:id="5">
    <w:p w:rsidR="00D15282" w:rsidRPr="001F38A7" w:rsidRDefault="00D15282" w:rsidP="00266EEA">
      <w:pPr>
        <w:pStyle w:val="FootnoteText"/>
        <w:ind w:firstLine="720"/>
        <w:jc w:val="both"/>
        <w:rPr>
          <w:rFonts w:asciiTheme="majorHAnsi" w:hAnsiTheme="majorHAnsi"/>
          <w:sz w:val="16"/>
          <w:szCs w:val="16"/>
          <w:lang w:val="es-ES"/>
        </w:rPr>
      </w:pPr>
      <w:r w:rsidRPr="001F38A7">
        <w:rPr>
          <w:rStyle w:val="FootnoteReference"/>
          <w:rFonts w:asciiTheme="majorHAnsi" w:hAnsiTheme="majorHAnsi"/>
          <w:sz w:val="16"/>
          <w:szCs w:val="16"/>
        </w:rPr>
        <w:footnoteRef/>
      </w:r>
      <w:r w:rsidRPr="001F38A7">
        <w:rPr>
          <w:rFonts w:asciiTheme="majorHAnsi" w:hAnsiTheme="majorHAnsi"/>
          <w:sz w:val="16"/>
          <w:szCs w:val="16"/>
          <w:lang w:val="es-ES"/>
        </w:rPr>
        <w:t xml:space="preserve"> En adelante “Declaración” </w:t>
      </w:r>
      <w:proofErr w:type="gramStart"/>
      <w:r w:rsidR="00D77A83" w:rsidRPr="001F38A7">
        <w:rPr>
          <w:rFonts w:asciiTheme="majorHAnsi" w:hAnsiTheme="majorHAnsi"/>
          <w:sz w:val="16"/>
          <w:szCs w:val="16"/>
          <w:lang w:val="es-ES"/>
        </w:rPr>
        <w:t>o ”</w:t>
      </w:r>
      <w:proofErr w:type="gramEnd"/>
      <w:r w:rsidRPr="001F38A7">
        <w:rPr>
          <w:rFonts w:asciiTheme="majorHAnsi" w:hAnsiTheme="majorHAnsi"/>
          <w:sz w:val="16"/>
          <w:szCs w:val="16"/>
          <w:lang w:val="es-ES"/>
        </w:rPr>
        <w:t>Declaración Americana”.</w:t>
      </w:r>
    </w:p>
  </w:footnote>
  <w:footnote w:id="6">
    <w:p w:rsidR="00DD568D" w:rsidRPr="001F38A7" w:rsidRDefault="00DD568D" w:rsidP="00266EEA">
      <w:pPr>
        <w:pStyle w:val="FootnoteText"/>
        <w:tabs>
          <w:tab w:val="left" w:pos="4485"/>
        </w:tabs>
        <w:ind w:firstLine="720"/>
        <w:jc w:val="both"/>
        <w:rPr>
          <w:rFonts w:asciiTheme="majorHAnsi" w:hAnsiTheme="majorHAnsi"/>
          <w:sz w:val="16"/>
          <w:szCs w:val="16"/>
          <w:lang w:val="es-ES"/>
        </w:rPr>
      </w:pPr>
      <w:r w:rsidRPr="001F38A7">
        <w:rPr>
          <w:rStyle w:val="FootnoteReference"/>
          <w:rFonts w:asciiTheme="majorHAnsi" w:hAnsiTheme="majorHAnsi"/>
          <w:sz w:val="16"/>
          <w:szCs w:val="16"/>
        </w:rPr>
        <w:footnoteRef/>
      </w:r>
      <w:r w:rsidRPr="001F38A7">
        <w:rPr>
          <w:rFonts w:asciiTheme="majorHAnsi" w:hAnsiTheme="majorHAnsi"/>
          <w:sz w:val="16"/>
          <w:szCs w:val="16"/>
          <w:lang w:val="es-ES"/>
        </w:rPr>
        <w:t xml:space="preserve"> En adelante “Protocolo de San Salvador”.</w:t>
      </w:r>
      <w:r w:rsidR="00AC1B1E" w:rsidRPr="001F38A7">
        <w:rPr>
          <w:rFonts w:asciiTheme="majorHAnsi" w:hAnsiTheme="majorHAnsi"/>
          <w:sz w:val="16"/>
          <w:szCs w:val="16"/>
          <w:lang w:val="es-ES"/>
        </w:rPr>
        <w:tab/>
      </w:r>
    </w:p>
  </w:footnote>
  <w:footnote w:id="7">
    <w:p w:rsidR="008E3BFE" w:rsidRPr="001F38A7" w:rsidRDefault="008E3BFE" w:rsidP="00266EEA">
      <w:pPr>
        <w:pStyle w:val="FootnoteText"/>
        <w:ind w:firstLine="720"/>
        <w:jc w:val="both"/>
        <w:rPr>
          <w:rFonts w:asciiTheme="majorHAnsi" w:hAnsiTheme="majorHAnsi"/>
          <w:sz w:val="16"/>
          <w:szCs w:val="16"/>
          <w:lang w:val="es-ES"/>
        </w:rPr>
      </w:pPr>
      <w:r w:rsidRPr="001F38A7">
        <w:rPr>
          <w:rStyle w:val="FootnoteReference"/>
          <w:rFonts w:asciiTheme="majorHAnsi" w:hAnsiTheme="majorHAnsi"/>
          <w:sz w:val="16"/>
          <w:szCs w:val="16"/>
        </w:rPr>
        <w:footnoteRef/>
      </w:r>
      <w:r w:rsidRPr="001F38A7">
        <w:rPr>
          <w:rFonts w:asciiTheme="majorHAnsi" w:hAnsiTheme="majorHAnsi"/>
          <w:sz w:val="16"/>
          <w:szCs w:val="16"/>
          <w:lang w:val="es-ES"/>
        </w:rPr>
        <w:t xml:space="preserve"> Las observaciones de cada parte fueron debidamente trasladadas a la parte contraria.</w:t>
      </w:r>
    </w:p>
  </w:footnote>
  <w:footnote w:id="8">
    <w:p w:rsidR="00E76417" w:rsidRPr="001F38A7" w:rsidRDefault="00E76417" w:rsidP="00266EEA">
      <w:pPr>
        <w:pStyle w:val="FootnoteText"/>
        <w:ind w:firstLine="720"/>
        <w:jc w:val="both"/>
        <w:rPr>
          <w:rFonts w:asciiTheme="majorHAnsi" w:hAnsiTheme="majorHAnsi"/>
          <w:sz w:val="16"/>
          <w:szCs w:val="16"/>
          <w:lang w:val="es-PA"/>
        </w:rPr>
      </w:pPr>
      <w:r w:rsidRPr="001F38A7">
        <w:rPr>
          <w:rStyle w:val="FootnoteReference"/>
          <w:rFonts w:asciiTheme="majorHAnsi" w:hAnsiTheme="majorHAnsi"/>
          <w:sz w:val="16"/>
          <w:szCs w:val="16"/>
        </w:rPr>
        <w:footnoteRef/>
      </w:r>
      <w:r w:rsidRPr="001F38A7">
        <w:rPr>
          <w:rFonts w:asciiTheme="majorHAnsi" w:hAnsiTheme="majorHAnsi"/>
          <w:sz w:val="16"/>
          <w:szCs w:val="16"/>
          <w:lang w:val="es-CR"/>
        </w:rPr>
        <w:t xml:space="preserve"> </w:t>
      </w:r>
      <w:r w:rsidR="00F60CC2" w:rsidRPr="001F38A7">
        <w:rPr>
          <w:rFonts w:asciiTheme="majorHAnsi" w:hAnsiTheme="majorHAnsi"/>
          <w:sz w:val="16"/>
          <w:szCs w:val="16"/>
          <w:lang w:val="es-CR"/>
        </w:rPr>
        <w:t>Indican que la presunta ví</w:t>
      </w:r>
      <w:r w:rsidRPr="001F38A7">
        <w:rPr>
          <w:rFonts w:asciiTheme="majorHAnsi" w:hAnsiTheme="majorHAnsi"/>
          <w:sz w:val="16"/>
          <w:szCs w:val="16"/>
          <w:lang w:val="es-CR"/>
        </w:rPr>
        <w:t>ctima cumplía con el siguiente requisito “</w:t>
      </w:r>
      <w:r w:rsidRPr="001F38A7">
        <w:rPr>
          <w:rFonts w:asciiTheme="majorHAnsi" w:hAnsiTheme="majorHAnsi"/>
          <w:sz w:val="16"/>
          <w:szCs w:val="16"/>
          <w:lang w:val="es-UY"/>
        </w:rPr>
        <w:t>Artículo 1°.</w:t>
      </w:r>
      <w:r w:rsidRPr="001F38A7">
        <w:rPr>
          <w:rFonts w:asciiTheme="majorHAnsi" w:hAnsiTheme="majorHAnsi"/>
          <w:sz w:val="16"/>
          <w:szCs w:val="16"/>
          <w:lang w:val="es-PA"/>
        </w:rPr>
        <w:t xml:space="preserve">  Los funcionarios y servidores públicos que a la fecha de la dación del Decreto Ley N° 20530, contaban con siete o más años de servicios, están facultados para quedar comprendidos en el régimen de pensiones del Estado, establecido por dicho Decreto Ley, siempre que hubieran venido trabajando ininterrumpidamente al servicio del Estado”.</w:t>
      </w:r>
    </w:p>
  </w:footnote>
  <w:footnote w:id="9">
    <w:p w:rsidR="005431ED" w:rsidRPr="001F38A7" w:rsidRDefault="005431ED" w:rsidP="00266EEA">
      <w:pPr>
        <w:pStyle w:val="FootnoteText"/>
        <w:ind w:firstLine="720"/>
        <w:jc w:val="both"/>
        <w:rPr>
          <w:rFonts w:asciiTheme="majorHAnsi" w:hAnsiTheme="majorHAnsi"/>
          <w:sz w:val="16"/>
          <w:szCs w:val="16"/>
          <w:lang w:val="es-CR"/>
        </w:rPr>
      </w:pPr>
      <w:r w:rsidRPr="001F38A7">
        <w:rPr>
          <w:rStyle w:val="FootnoteReference"/>
          <w:rFonts w:asciiTheme="majorHAnsi" w:hAnsiTheme="majorHAnsi"/>
          <w:sz w:val="16"/>
          <w:szCs w:val="16"/>
        </w:rPr>
        <w:footnoteRef/>
      </w:r>
      <w:r w:rsidRPr="001F38A7">
        <w:rPr>
          <w:rFonts w:asciiTheme="majorHAnsi" w:hAnsiTheme="majorHAnsi"/>
          <w:sz w:val="16"/>
          <w:szCs w:val="16"/>
          <w:lang w:val="es-CR"/>
        </w:rPr>
        <w:t xml:space="preserve"> La acción de amparo o su decisión no constan en el expediente del caso.  </w:t>
      </w:r>
    </w:p>
  </w:footnote>
  <w:footnote w:id="10">
    <w:p w:rsidR="0010195D" w:rsidRPr="001F38A7" w:rsidRDefault="0010195D" w:rsidP="00266EEA">
      <w:pPr>
        <w:pStyle w:val="FootnoteText"/>
        <w:ind w:firstLine="720"/>
        <w:jc w:val="both"/>
        <w:rPr>
          <w:rFonts w:asciiTheme="majorHAnsi" w:hAnsiTheme="majorHAnsi"/>
          <w:sz w:val="16"/>
          <w:szCs w:val="16"/>
          <w:lang w:val="es-ES"/>
        </w:rPr>
      </w:pPr>
      <w:r w:rsidRPr="001F38A7">
        <w:rPr>
          <w:rStyle w:val="FootnoteReference"/>
          <w:rFonts w:asciiTheme="majorHAnsi" w:hAnsiTheme="majorHAnsi"/>
          <w:sz w:val="16"/>
          <w:szCs w:val="16"/>
        </w:rPr>
        <w:footnoteRef/>
      </w:r>
      <w:r w:rsidRPr="001F38A7">
        <w:rPr>
          <w:rFonts w:asciiTheme="majorHAnsi" w:hAnsiTheme="majorHAnsi"/>
          <w:sz w:val="16"/>
          <w:szCs w:val="16"/>
          <w:lang w:val="es-ES"/>
        </w:rPr>
        <w:t xml:space="preserve">Institución encargada del pago de pensiones en relación con el Decreto Ley N° 20530. Tiene a su cargo el Sistema Nacional de Pensiones (SNP) en la República del Perú. </w:t>
      </w:r>
    </w:p>
  </w:footnote>
  <w:footnote w:id="11">
    <w:p w:rsidR="00957A4A" w:rsidRPr="00957A4A" w:rsidRDefault="00957A4A" w:rsidP="00957A4A">
      <w:pPr>
        <w:pStyle w:val="FootnoteText"/>
        <w:ind w:firstLine="720"/>
        <w:jc w:val="both"/>
        <w:rPr>
          <w:rFonts w:asciiTheme="majorHAnsi" w:hAnsiTheme="majorHAnsi"/>
          <w:sz w:val="16"/>
          <w:szCs w:val="16"/>
          <w:lang w:val="es-PA"/>
        </w:rPr>
      </w:pPr>
      <w:r>
        <w:rPr>
          <w:rStyle w:val="FootnoteReference"/>
        </w:rPr>
        <w:footnoteRef/>
      </w:r>
      <w:r w:rsidRPr="00957A4A">
        <w:rPr>
          <w:lang w:val="es-PA"/>
        </w:rPr>
        <w:t xml:space="preserve"> </w:t>
      </w:r>
      <w:r w:rsidRPr="00957A4A">
        <w:rPr>
          <w:rFonts w:asciiTheme="majorHAnsi" w:hAnsiTheme="majorHAnsi"/>
          <w:sz w:val="16"/>
          <w:szCs w:val="16"/>
          <w:lang w:val="es-UY"/>
        </w:rPr>
        <w:t>La Sala tomó nota de la incorporación de la presunta víctima en 1994 al sistema de pensiones privado y consideró infundada la reclamación por no estar permitido que una misma persona pertenezca a dos sistemas pensionarios distintos</w:t>
      </w:r>
    </w:p>
  </w:footnote>
  <w:footnote w:id="12">
    <w:p w:rsidR="0010195D" w:rsidRPr="001F38A7" w:rsidRDefault="0010195D" w:rsidP="00266EEA">
      <w:pPr>
        <w:pStyle w:val="FootnoteText"/>
        <w:ind w:firstLine="720"/>
        <w:jc w:val="both"/>
        <w:rPr>
          <w:rFonts w:asciiTheme="majorHAnsi" w:hAnsiTheme="majorHAnsi"/>
          <w:sz w:val="16"/>
          <w:szCs w:val="16"/>
          <w:lang w:val="es-ES"/>
        </w:rPr>
      </w:pPr>
      <w:r w:rsidRPr="001F38A7">
        <w:rPr>
          <w:rStyle w:val="FootnoteReference"/>
          <w:rFonts w:asciiTheme="majorHAnsi" w:hAnsiTheme="majorHAnsi"/>
          <w:sz w:val="16"/>
          <w:szCs w:val="16"/>
        </w:rPr>
        <w:footnoteRef/>
      </w:r>
      <w:r w:rsidR="00733176" w:rsidRPr="001F38A7">
        <w:rPr>
          <w:rFonts w:asciiTheme="majorHAnsi" w:hAnsiTheme="majorHAnsi"/>
          <w:sz w:val="16"/>
          <w:szCs w:val="16"/>
          <w:lang w:val="es-UY"/>
        </w:rPr>
        <w:t xml:space="preserve"> El Tribunal Constitucional determinó que, si bien la presunta víctima cumplía con los requisitos de la ley 24366, “…no cumple con la condición adicional de estar sujeto al régimen laboral del Sector Público en la fecha de vigencia de la ley de excepción, puesto que esta es posterior al cambio de su régimen laboral. Una interpretación contraria supondría permitir la aplicación retroactiva de la ley de excepción o la acumulación de los servicios prestados en el régimen laboral del Sector Público con los restados en el Sector Privado..</w:t>
      </w:r>
      <w:r w:rsidR="00733176" w:rsidRPr="001F38A7">
        <w:rPr>
          <w:rFonts w:asciiTheme="majorHAnsi" w:hAnsiTheme="majorHAnsi"/>
          <w:sz w:val="16"/>
          <w:szCs w:val="16"/>
          <w:lang w:val="es-AR"/>
        </w:rPr>
        <w:t>.</w:t>
      </w:r>
      <w:r w:rsidR="00733176" w:rsidRPr="001F38A7">
        <w:rPr>
          <w:rFonts w:asciiTheme="majorHAnsi" w:hAnsiTheme="majorHAnsi"/>
          <w:sz w:val="16"/>
          <w:szCs w:val="16"/>
          <w:lang w:val="es-UY"/>
        </w:rPr>
        <w:t>”</w:t>
      </w:r>
      <w:r w:rsidR="00733176" w:rsidRPr="001F38A7">
        <w:rPr>
          <w:rStyle w:val="FootnoteReference"/>
          <w:rFonts w:asciiTheme="majorHAnsi" w:hAnsiTheme="majorHAnsi"/>
          <w:sz w:val="16"/>
          <w:szCs w:val="16"/>
          <w:lang w:val="es-AR"/>
        </w:rPr>
        <w:t xml:space="preserve"> </w:t>
      </w:r>
      <w:r w:rsidRPr="001F38A7">
        <w:rPr>
          <w:rFonts w:asciiTheme="majorHAnsi" w:hAnsiTheme="majorHAnsi"/>
          <w:sz w:val="16"/>
          <w:szCs w:val="16"/>
          <w:lang w:val="es-ES"/>
        </w:rPr>
        <w:t xml:space="preserve">Sentencia  sobre Procedimiento de Agravio Constitucional, EXP. 04013-2006-PA/TC,  16 de abril de 2007. </w:t>
      </w:r>
    </w:p>
  </w:footnote>
  <w:footnote w:id="13">
    <w:p w:rsidR="00C0635E" w:rsidRPr="001F38A7" w:rsidRDefault="00C0635E" w:rsidP="00266EEA">
      <w:pPr>
        <w:pStyle w:val="FootnoteText"/>
        <w:ind w:firstLine="720"/>
        <w:jc w:val="both"/>
        <w:rPr>
          <w:rFonts w:asciiTheme="majorHAnsi" w:hAnsiTheme="majorHAnsi"/>
          <w:sz w:val="16"/>
          <w:szCs w:val="16"/>
          <w:lang w:val="es-AR"/>
        </w:rPr>
      </w:pPr>
      <w:r w:rsidRPr="001F38A7">
        <w:rPr>
          <w:rStyle w:val="FootnoteReference"/>
          <w:rFonts w:asciiTheme="majorHAnsi" w:hAnsiTheme="majorHAnsi"/>
          <w:sz w:val="16"/>
          <w:szCs w:val="16"/>
        </w:rPr>
        <w:footnoteRef/>
      </w:r>
      <w:r w:rsidRPr="001F38A7">
        <w:rPr>
          <w:rFonts w:asciiTheme="majorHAnsi" w:hAnsiTheme="majorHAnsi"/>
          <w:sz w:val="16"/>
          <w:szCs w:val="16"/>
          <w:lang w:val="es-BO"/>
        </w:rPr>
        <w:t xml:space="preserve"> </w:t>
      </w:r>
      <w:r w:rsidRPr="001F38A7">
        <w:rPr>
          <w:rFonts w:asciiTheme="majorHAnsi" w:hAnsiTheme="majorHAnsi"/>
          <w:sz w:val="16"/>
          <w:szCs w:val="16"/>
          <w:lang w:val="es-AR"/>
        </w:rPr>
        <w:t xml:space="preserve">CIDH, Informe No. 10/16, Petición 387-02,  Admisibilidad. Carlos Andrés </w:t>
      </w:r>
      <w:proofErr w:type="spellStart"/>
      <w:r w:rsidRPr="001F38A7">
        <w:rPr>
          <w:rFonts w:asciiTheme="majorHAnsi" w:hAnsiTheme="majorHAnsi"/>
          <w:sz w:val="16"/>
          <w:szCs w:val="16"/>
          <w:lang w:val="es-AR"/>
        </w:rPr>
        <w:t>Fraticelli</w:t>
      </w:r>
      <w:proofErr w:type="spellEnd"/>
      <w:r w:rsidRPr="001F38A7">
        <w:rPr>
          <w:rFonts w:asciiTheme="majorHAnsi" w:hAnsiTheme="majorHAnsi"/>
          <w:sz w:val="16"/>
          <w:szCs w:val="16"/>
          <w:lang w:val="es-AR"/>
        </w:rPr>
        <w:t>, Argentina, 14 de abril de 2016, párr. 46.</w:t>
      </w:r>
    </w:p>
  </w:footnote>
  <w:footnote w:id="14">
    <w:p w:rsidR="00F30017" w:rsidRPr="00F30017" w:rsidRDefault="00F30017" w:rsidP="00F30017">
      <w:pPr>
        <w:pStyle w:val="FootnoteText"/>
        <w:ind w:firstLine="720"/>
        <w:jc w:val="both"/>
        <w:rPr>
          <w:lang w:val="es-PA"/>
        </w:rPr>
      </w:pPr>
      <w:r>
        <w:rPr>
          <w:rStyle w:val="FootnoteReference"/>
        </w:rPr>
        <w:footnoteRef/>
      </w:r>
      <w:r w:rsidRPr="00F30017">
        <w:rPr>
          <w:lang w:val="es-PA"/>
        </w:rPr>
        <w:t xml:space="preserve"> </w:t>
      </w:r>
      <w:r w:rsidRPr="00F30017">
        <w:rPr>
          <w:rFonts w:asciiTheme="majorHAnsi" w:hAnsiTheme="majorHAnsi"/>
          <w:sz w:val="16"/>
          <w:szCs w:val="16"/>
          <w:lang w:val="es-PA"/>
        </w:rPr>
        <w:t>Agrega que el Tribunal Constitucional y el Estado han invocado ilegítimamente una disposición de la Constitución de 1993 que prohíbe la acumulación de los servicios prestados a la actividad pública y la privada, pese a que su incorporación al régimen de pensiones del Decreto Ley 20530 fue en 1986.</w:t>
      </w:r>
    </w:p>
  </w:footnote>
  <w:footnote w:id="15">
    <w:p w:rsidR="008741B0" w:rsidRPr="001F38A7" w:rsidRDefault="008741B0" w:rsidP="00266EEA">
      <w:pPr>
        <w:pStyle w:val="FootnoteText"/>
        <w:ind w:firstLine="720"/>
        <w:jc w:val="both"/>
        <w:rPr>
          <w:rFonts w:asciiTheme="majorHAnsi" w:hAnsiTheme="majorHAnsi"/>
          <w:sz w:val="16"/>
          <w:szCs w:val="16"/>
          <w:lang w:val="es-PA"/>
        </w:rPr>
      </w:pPr>
      <w:r w:rsidRPr="001F38A7">
        <w:rPr>
          <w:rStyle w:val="FootnoteReference"/>
          <w:rFonts w:asciiTheme="majorHAnsi" w:hAnsiTheme="majorHAnsi"/>
          <w:sz w:val="16"/>
          <w:szCs w:val="16"/>
        </w:rPr>
        <w:footnoteRef/>
      </w:r>
      <w:r w:rsidRPr="00F30017">
        <w:rPr>
          <w:rFonts w:asciiTheme="majorHAnsi" w:hAnsiTheme="majorHAnsi"/>
          <w:sz w:val="16"/>
          <w:szCs w:val="16"/>
          <w:lang w:val="pt-BR"/>
        </w:rPr>
        <w:t xml:space="preserve"> Corte IDH Caso “Cinco Pensionistas” vs. Perú. </w:t>
      </w:r>
      <w:r w:rsidRPr="001F38A7">
        <w:rPr>
          <w:rFonts w:asciiTheme="majorHAnsi" w:hAnsiTheme="majorHAnsi"/>
          <w:sz w:val="16"/>
          <w:szCs w:val="16"/>
          <w:lang w:val="es-PA"/>
        </w:rPr>
        <w:t>Fondo, Reparaciones y Costas. Sentencia de 28 de Febrero de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8A28D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AC" w:rsidRDefault="00FB0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E735DE"/>
    <w:multiLevelType w:val="hybridMultilevel"/>
    <w:tmpl w:val="4A121338"/>
    <w:lvl w:ilvl="0" w:tplc="A9FEF18C">
      <w:start w:val="1"/>
      <w:numFmt w:val="decimal"/>
      <w:lvlText w:val="%1."/>
      <w:lvlJc w:val="left"/>
      <w:pPr>
        <w:tabs>
          <w:tab w:val="num" w:pos="450"/>
        </w:tabs>
        <w:ind w:left="-27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26EC0FC"/>
    <w:lvl w:ilvl="0" w:tplc="A9FEF18C">
      <w:start w:val="1"/>
      <w:numFmt w:val="decimal"/>
      <w:lvlText w:val="%1."/>
      <w:lvlJc w:val="left"/>
      <w:pPr>
        <w:tabs>
          <w:tab w:val="num" w:pos="450"/>
        </w:tabs>
        <w:ind w:left="-27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695D86"/>
    <w:multiLevelType w:val="hybridMultilevel"/>
    <w:tmpl w:val="4A121338"/>
    <w:lvl w:ilvl="0" w:tplc="A9FEF18C">
      <w:start w:val="1"/>
      <w:numFmt w:val="decimal"/>
      <w:lvlText w:val="%1."/>
      <w:lvlJc w:val="left"/>
      <w:pPr>
        <w:tabs>
          <w:tab w:val="num" w:pos="450"/>
        </w:tabs>
        <w:ind w:left="-27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6"/>
  </w:num>
  <w:num w:numId="96">
    <w:abstractNumId w:val="58"/>
  </w:num>
  <w:num w:numId="97">
    <w:abstractNumId w:val="55"/>
  </w:num>
  <w:num w:numId="98">
    <w:abstractNumId w:val="50"/>
  </w:num>
  <w:num w:numId="99">
    <w:abstractNumId w:val="41"/>
  </w:num>
  <w:num w:numId="100">
    <w:abstractNumId w:val="4"/>
  </w:num>
  <w:num w:numId="101">
    <w:abstractNumId w:val="29"/>
  </w:num>
  <w:num w:numId="102">
    <w:abstractNumId w:val="52"/>
  </w:num>
  <w:num w:numId="103">
    <w:abstractNumId w:val="7"/>
  </w:num>
  <w:num w:numId="104">
    <w:abstractNumId w:val="67"/>
  </w:num>
  <w:num w:numId="105">
    <w:abstractNumId w:val="56"/>
  </w:num>
  <w:num w:numId="106">
    <w:abstractNumId w:val="5"/>
  </w:num>
  <w:num w:numId="107">
    <w:abstractNumId w:val="33"/>
  </w:num>
  <w:num w:numId="108">
    <w:abstractNumId w:val="15"/>
  </w:num>
  <w:num w:numId="109">
    <w:abstractNumId w:val="48"/>
  </w:num>
  <w:num w:numId="110">
    <w:abstractNumId w:val="23"/>
  </w:num>
  <w:num w:numId="111">
    <w:abstractNumId w:val="2"/>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509"/>
    <w:rsid w:val="00006E1F"/>
    <w:rsid w:val="000070D7"/>
    <w:rsid w:val="00010D19"/>
    <w:rsid w:val="000137A3"/>
    <w:rsid w:val="000158B4"/>
    <w:rsid w:val="0001788C"/>
    <w:rsid w:val="00024B1C"/>
    <w:rsid w:val="000259F6"/>
    <w:rsid w:val="00026023"/>
    <w:rsid w:val="000273AD"/>
    <w:rsid w:val="000306A3"/>
    <w:rsid w:val="000309B8"/>
    <w:rsid w:val="00033313"/>
    <w:rsid w:val="000337EF"/>
    <w:rsid w:val="000352FD"/>
    <w:rsid w:val="00040C3A"/>
    <w:rsid w:val="000419AD"/>
    <w:rsid w:val="000433C9"/>
    <w:rsid w:val="0006187A"/>
    <w:rsid w:val="00063970"/>
    <w:rsid w:val="0006752A"/>
    <w:rsid w:val="000716C5"/>
    <w:rsid w:val="00075E23"/>
    <w:rsid w:val="00077639"/>
    <w:rsid w:val="0009322F"/>
    <w:rsid w:val="0009344A"/>
    <w:rsid w:val="00096204"/>
    <w:rsid w:val="000A392E"/>
    <w:rsid w:val="000A4E06"/>
    <w:rsid w:val="000A575F"/>
    <w:rsid w:val="000B0EDA"/>
    <w:rsid w:val="000B1145"/>
    <w:rsid w:val="000B3D08"/>
    <w:rsid w:val="000D05CB"/>
    <w:rsid w:val="000D10DB"/>
    <w:rsid w:val="000E373C"/>
    <w:rsid w:val="000E5EB5"/>
    <w:rsid w:val="000F35ED"/>
    <w:rsid w:val="00100D0B"/>
    <w:rsid w:val="0010195D"/>
    <w:rsid w:val="00105C5D"/>
    <w:rsid w:val="00107131"/>
    <w:rsid w:val="0010736F"/>
    <w:rsid w:val="00107B09"/>
    <w:rsid w:val="00107DFC"/>
    <w:rsid w:val="00113F73"/>
    <w:rsid w:val="00121CC2"/>
    <w:rsid w:val="00133EE5"/>
    <w:rsid w:val="001345F8"/>
    <w:rsid w:val="00141742"/>
    <w:rsid w:val="00143E30"/>
    <w:rsid w:val="001474C8"/>
    <w:rsid w:val="00167A34"/>
    <w:rsid w:val="00172213"/>
    <w:rsid w:val="00172B4A"/>
    <w:rsid w:val="0017736B"/>
    <w:rsid w:val="001773CD"/>
    <w:rsid w:val="00181A03"/>
    <w:rsid w:val="00182ACD"/>
    <w:rsid w:val="00193F70"/>
    <w:rsid w:val="00196AF6"/>
    <w:rsid w:val="001A5196"/>
    <w:rsid w:val="001A7870"/>
    <w:rsid w:val="001B3A00"/>
    <w:rsid w:val="001B3E10"/>
    <w:rsid w:val="001B6F1F"/>
    <w:rsid w:val="001B75D0"/>
    <w:rsid w:val="001C1B41"/>
    <w:rsid w:val="001D1506"/>
    <w:rsid w:val="001D5B37"/>
    <w:rsid w:val="001D65EF"/>
    <w:rsid w:val="001E2E93"/>
    <w:rsid w:val="001E49E7"/>
    <w:rsid w:val="001E6C43"/>
    <w:rsid w:val="001F33E3"/>
    <w:rsid w:val="001F38A7"/>
    <w:rsid w:val="001F64B5"/>
    <w:rsid w:val="001F7201"/>
    <w:rsid w:val="00202D8D"/>
    <w:rsid w:val="00206A20"/>
    <w:rsid w:val="00207517"/>
    <w:rsid w:val="00211DAB"/>
    <w:rsid w:val="00223A29"/>
    <w:rsid w:val="002250A3"/>
    <w:rsid w:val="00226D5E"/>
    <w:rsid w:val="00235217"/>
    <w:rsid w:val="00241651"/>
    <w:rsid w:val="00246D1F"/>
    <w:rsid w:val="00247403"/>
    <w:rsid w:val="00247542"/>
    <w:rsid w:val="002576B6"/>
    <w:rsid w:val="002626CC"/>
    <w:rsid w:val="0026367A"/>
    <w:rsid w:val="00266B61"/>
    <w:rsid w:val="00266EEA"/>
    <w:rsid w:val="0026712A"/>
    <w:rsid w:val="00267F83"/>
    <w:rsid w:val="002704DB"/>
    <w:rsid w:val="002905AC"/>
    <w:rsid w:val="002906BB"/>
    <w:rsid w:val="0029775D"/>
    <w:rsid w:val="002A0AAE"/>
    <w:rsid w:val="002A1482"/>
    <w:rsid w:val="002A1485"/>
    <w:rsid w:val="002A5820"/>
    <w:rsid w:val="002B2F0C"/>
    <w:rsid w:val="002B6E1E"/>
    <w:rsid w:val="002C0016"/>
    <w:rsid w:val="002C1946"/>
    <w:rsid w:val="002D278B"/>
    <w:rsid w:val="002D2B26"/>
    <w:rsid w:val="002D3E30"/>
    <w:rsid w:val="002D3EAA"/>
    <w:rsid w:val="002D7EA2"/>
    <w:rsid w:val="002E187C"/>
    <w:rsid w:val="00301EDD"/>
    <w:rsid w:val="00302733"/>
    <w:rsid w:val="00307789"/>
    <w:rsid w:val="00314078"/>
    <w:rsid w:val="0031535D"/>
    <w:rsid w:val="00321814"/>
    <w:rsid w:val="00322771"/>
    <w:rsid w:val="003239B8"/>
    <w:rsid w:val="00327640"/>
    <w:rsid w:val="00331079"/>
    <w:rsid w:val="0033169F"/>
    <w:rsid w:val="00334327"/>
    <w:rsid w:val="00344977"/>
    <w:rsid w:val="00346C95"/>
    <w:rsid w:val="003474EC"/>
    <w:rsid w:val="003529FF"/>
    <w:rsid w:val="00356185"/>
    <w:rsid w:val="00360380"/>
    <w:rsid w:val="0037519E"/>
    <w:rsid w:val="00384252"/>
    <w:rsid w:val="00384450"/>
    <w:rsid w:val="00385989"/>
    <w:rsid w:val="00386CF0"/>
    <w:rsid w:val="00387AA1"/>
    <w:rsid w:val="0039240D"/>
    <w:rsid w:val="003B184D"/>
    <w:rsid w:val="003B6C6F"/>
    <w:rsid w:val="003B70FB"/>
    <w:rsid w:val="003C043C"/>
    <w:rsid w:val="003C5D92"/>
    <w:rsid w:val="003C676B"/>
    <w:rsid w:val="003C6CC9"/>
    <w:rsid w:val="003C7D4F"/>
    <w:rsid w:val="003D3BC2"/>
    <w:rsid w:val="003D6B9B"/>
    <w:rsid w:val="003E038C"/>
    <w:rsid w:val="003E1419"/>
    <w:rsid w:val="003E6CA1"/>
    <w:rsid w:val="003E6EBD"/>
    <w:rsid w:val="003F415A"/>
    <w:rsid w:val="0040073A"/>
    <w:rsid w:val="00401295"/>
    <w:rsid w:val="004065A8"/>
    <w:rsid w:val="0041175B"/>
    <w:rsid w:val="004165C2"/>
    <w:rsid w:val="004265D9"/>
    <w:rsid w:val="00441ECB"/>
    <w:rsid w:val="00445193"/>
    <w:rsid w:val="00445357"/>
    <w:rsid w:val="00450334"/>
    <w:rsid w:val="00450FC2"/>
    <w:rsid w:val="00452DA9"/>
    <w:rsid w:val="00455A1A"/>
    <w:rsid w:val="00462C1B"/>
    <w:rsid w:val="00463298"/>
    <w:rsid w:val="00465995"/>
    <w:rsid w:val="004675D0"/>
    <w:rsid w:val="00467B7E"/>
    <w:rsid w:val="004701C0"/>
    <w:rsid w:val="00473BB4"/>
    <w:rsid w:val="00477592"/>
    <w:rsid w:val="00486F1C"/>
    <w:rsid w:val="00490101"/>
    <w:rsid w:val="0049185E"/>
    <w:rsid w:val="0049419D"/>
    <w:rsid w:val="004965FF"/>
    <w:rsid w:val="004A42A5"/>
    <w:rsid w:val="004A6A54"/>
    <w:rsid w:val="004B553F"/>
    <w:rsid w:val="004B5A7D"/>
    <w:rsid w:val="004B62BF"/>
    <w:rsid w:val="004B630F"/>
    <w:rsid w:val="004C1CAC"/>
    <w:rsid w:val="004C20D2"/>
    <w:rsid w:val="004C2312"/>
    <w:rsid w:val="004C4789"/>
    <w:rsid w:val="004C4B62"/>
    <w:rsid w:val="004C54C9"/>
    <w:rsid w:val="004C7FAD"/>
    <w:rsid w:val="004D4ABA"/>
    <w:rsid w:val="004D4CD3"/>
    <w:rsid w:val="004D6025"/>
    <w:rsid w:val="004D796C"/>
    <w:rsid w:val="004E1F96"/>
    <w:rsid w:val="004E2649"/>
    <w:rsid w:val="004E4387"/>
    <w:rsid w:val="004E4A0B"/>
    <w:rsid w:val="004F2390"/>
    <w:rsid w:val="004F35CC"/>
    <w:rsid w:val="004F6C53"/>
    <w:rsid w:val="00500731"/>
    <w:rsid w:val="00501399"/>
    <w:rsid w:val="005037C7"/>
    <w:rsid w:val="0050633D"/>
    <w:rsid w:val="00507BC4"/>
    <w:rsid w:val="005128E4"/>
    <w:rsid w:val="005133DB"/>
    <w:rsid w:val="0051771B"/>
    <w:rsid w:val="00523015"/>
    <w:rsid w:val="00525560"/>
    <w:rsid w:val="005313B9"/>
    <w:rsid w:val="00531E90"/>
    <w:rsid w:val="00536477"/>
    <w:rsid w:val="00540313"/>
    <w:rsid w:val="005431ED"/>
    <w:rsid w:val="00544C49"/>
    <w:rsid w:val="00544EFB"/>
    <w:rsid w:val="005516A1"/>
    <w:rsid w:val="00556886"/>
    <w:rsid w:val="00563557"/>
    <w:rsid w:val="0056488C"/>
    <w:rsid w:val="00566564"/>
    <w:rsid w:val="0057402A"/>
    <w:rsid w:val="005771D0"/>
    <w:rsid w:val="005876A0"/>
    <w:rsid w:val="0059191A"/>
    <w:rsid w:val="005921FF"/>
    <w:rsid w:val="005A24ED"/>
    <w:rsid w:val="005A27F1"/>
    <w:rsid w:val="005A6D0E"/>
    <w:rsid w:val="005B1D61"/>
    <w:rsid w:val="005B52B0"/>
    <w:rsid w:val="005B54BE"/>
    <w:rsid w:val="005B6806"/>
    <w:rsid w:val="005C1F43"/>
    <w:rsid w:val="005C4225"/>
    <w:rsid w:val="005D1112"/>
    <w:rsid w:val="005D2727"/>
    <w:rsid w:val="005D2DD6"/>
    <w:rsid w:val="005D301C"/>
    <w:rsid w:val="005D47FC"/>
    <w:rsid w:val="005F0DAD"/>
    <w:rsid w:val="005F0F33"/>
    <w:rsid w:val="005F261B"/>
    <w:rsid w:val="005F44D4"/>
    <w:rsid w:val="00600DEB"/>
    <w:rsid w:val="00627C9F"/>
    <w:rsid w:val="006311E9"/>
    <w:rsid w:val="00632354"/>
    <w:rsid w:val="00642810"/>
    <w:rsid w:val="00644934"/>
    <w:rsid w:val="0064696B"/>
    <w:rsid w:val="00647DDB"/>
    <w:rsid w:val="00652333"/>
    <w:rsid w:val="0065750E"/>
    <w:rsid w:val="00666905"/>
    <w:rsid w:val="00670A16"/>
    <w:rsid w:val="006759D0"/>
    <w:rsid w:val="0068009E"/>
    <w:rsid w:val="00690A96"/>
    <w:rsid w:val="00691EB2"/>
    <w:rsid w:val="00692219"/>
    <w:rsid w:val="006966D1"/>
    <w:rsid w:val="006A17D2"/>
    <w:rsid w:val="006A73E6"/>
    <w:rsid w:val="006B2D5C"/>
    <w:rsid w:val="006B6F71"/>
    <w:rsid w:val="006C4EB1"/>
    <w:rsid w:val="006C7ACB"/>
    <w:rsid w:val="006D298F"/>
    <w:rsid w:val="006D3C14"/>
    <w:rsid w:val="006E0166"/>
    <w:rsid w:val="006E2FFB"/>
    <w:rsid w:val="006E7B34"/>
    <w:rsid w:val="00705A0E"/>
    <w:rsid w:val="0070697F"/>
    <w:rsid w:val="0072199C"/>
    <w:rsid w:val="00722C9F"/>
    <w:rsid w:val="00723682"/>
    <w:rsid w:val="00724424"/>
    <w:rsid w:val="007253B8"/>
    <w:rsid w:val="00731AF9"/>
    <w:rsid w:val="00733176"/>
    <w:rsid w:val="0073343B"/>
    <w:rsid w:val="00736B94"/>
    <w:rsid w:val="00736D51"/>
    <w:rsid w:val="0073741F"/>
    <w:rsid w:val="00741771"/>
    <w:rsid w:val="00746A84"/>
    <w:rsid w:val="00747F72"/>
    <w:rsid w:val="0075348C"/>
    <w:rsid w:val="007631B4"/>
    <w:rsid w:val="0076643F"/>
    <w:rsid w:val="00777F63"/>
    <w:rsid w:val="00780551"/>
    <w:rsid w:val="00790BF5"/>
    <w:rsid w:val="007A17E1"/>
    <w:rsid w:val="007A380C"/>
    <w:rsid w:val="007A50ED"/>
    <w:rsid w:val="007A5817"/>
    <w:rsid w:val="007B05C4"/>
    <w:rsid w:val="007B5732"/>
    <w:rsid w:val="007B60E9"/>
    <w:rsid w:val="007B6CC3"/>
    <w:rsid w:val="007B76D3"/>
    <w:rsid w:val="007C3334"/>
    <w:rsid w:val="007D2B98"/>
    <w:rsid w:val="007D3BA6"/>
    <w:rsid w:val="007E1272"/>
    <w:rsid w:val="007E21BC"/>
    <w:rsid w:val="007E5AC8"/>
    <w:rsid w:val="007E7C82"/>
    <w:rsid w:val="007F07C7"/>
    <w:rsid w:val="007F588D"/>
    <w:rsid w:val="00803F1C"/>
    <w:rsid w:val="0080600E"/>
    <w:rsid w:val="00812C6C"/>
    <w:rsid w:val="00816843"/>
    <w:rsid w:val="00817612"/>
    <w:rsid w:val="00822D6D"/>
    <w:rsid w:val="008313C3"/>
    <w:rsid w:val="008338A4"/>
    <w:rsid w:val="00834D49"/>
    <w:rsid w:val="008371D5"/>
    <w:rsid w:val="00837C45"/>
    <w:rsid w:val="008441DD"/>
    <w:rsid w:val="00844730"/>
    <w:rsid w:val="008457C2"/>
    <w:rsid w:val="00845A5B"/>
    <w:rsid w:val="00854900"/>
    <w:rsid w:val="00854E75"/>
    <w:rsid w:val="00857A82"/>
    <w:rsid w:val="00860D05"/>
    <w:rsid w:val="008676BD"/>
    <w:rsid w:val="00867E6A"/>
    <w:rsid w:val="0087152A"/>
    <w:rsid w:val="008726C3"/>
    <w:rsid w:val="00873836"/>
    <w:rsid w:val="008741B0"/>
    <w:rsid w:val="00883666"/>
    <w:rsid w:val="0088559C"/>
    <w:rsid w:val="00885737"/>
    <w:rsid w:val="00890650"/>
    <w:rsid w:val="008964BA"/>
    <w:rsid w:val="00897E12"/>
    <w:rsid w:val="008A28D9"/>
    <w:rsid w:val="008A4E9F"/>
    <w:rsid w:val="008A51E3"/>
    <w:rsid w:val="008A79D0"/>
    <w:rsid w:val="008A7E0F"/>
    <w:rsid w:val="008B12F5"/>
    <w:rsid w:val="008B7A1B"/>
    <w:rsid w:val="008C287D"/>
    <w:rsid w:val="008D18E7"/>
    <w:rsid w:val="008D768D"/>
    <w:rsid w:val="008E3759"/>
    <w:rsid w:val="008E3BFE"/>
    <w:rsid w:val="008E77CC"/>
    <w:rsid w:val="008F1912"/>
    <w:rsid w:val="009019CF"/>
    <w:rsid w:val="0090270B"/>
    <w:rsid w:val="00903054"/>
    <w:rsid w:val="009041DC"/>
    <w:rsid w:val="009074FF"/>
    <w:rsid w:val="0090792D"/>
    <w:rsid w:val="0091118B"/>
    <w:rsid w:val="00912FE0"/>
    <w:rsid w:val="00913E67"/>
    <w:rsid w:val="00917B5A"/>
    <w:rsid w:val="00920A58"/>
    <w:rsid w:val="00920A8C"/>
    <w:rsid w:val="0092100E"/>
    <w:rsid w:val="0092295E"/>
    <w:rsid w:val="009271E7"/>
    <w:rsid w:val="00934A2C"/>
    <w:rsid w:val="0093551C"/>
    <w:rsid w:val="00955500"/>
    <w:rsid w:val="00957A4A"/>
    <w:rsid w:val="00962076"/>
    <w:rsid w:val="00966A1F"/>
    <w:rsid w:val="0096706E"/>
    <w:rsid w:val="00974491"/>
    <w:rsid w:val="00975C4E"/>
    <w:rsid w:val="00977C86"/>
    <w:rsid w:val="00981FBA"/>
    <w:rsid w:val="0099208B"/>
    <w:rsid w:val="00997BC5"/>
    <w:rsid w:val="009A4F41"/>
    <w:rsid w:val="009A7BBF"/>
    <w:rsid w:val="009B2E1C"/>
    <w:rsid w:val="009B381B"/>
    <w:rsid w:val="009B7446"/>
    <w:rsid w:val="009C13C9"/>
    <w:rsid w:val="009D1753"/>
    <w:rsid w:val="009D6253"/>
    <w:rsid w:val="009D7611"/>
    <w:rsid w:val="009E0B61"/>
    <w:rsid w:val="009E25E4"/>
    <w:rsid w:val="009E53DE"/>
    <w:rsid w:val="009F2BDB"/>
    <w:rsid w:val="009F3074"/>
    <w:rsid w:val="009F5276"/>
    <w:rsid w:val="00A01922"/>
    <w:rsid w:val="00A0598D"/>
    <w:rsid w:val="00A06639"/>
    <w:rsid w:val="00A11212"/>
    <w:rsid w:val="00A11E44"/>
    <w:rsid w:val="00A159D8"/>
    <w:rsid w:val="00A328B3"/>
    <w:rsid w:val="00A441EF"/>
    <w:rsid w:val="00A5014D"/>
    <w:rsid w:val="00A50FCF"/>
    <w:rsid w:val="00A528D1"/>
    <w:rsid w:val="00A60FF1"/>
    <w:rsid w:val="00A610CD"/>
    <w:rsid w:val="00A629E1"/>
    <w:rsid w:val="00A633B7"/>
    <w:rsid w:val="00A758AA"/>
    <w:rsid w:val="00A82A88"/>
    <w:rsid w:val="00AA09A2"/>
    <w:rsid w:val="00AA0DC3"/>
    <w:rsid w:val="00AA3A5E"/>
    <w:rsid w:val="00AA7996"/>
    <w:rsid w:val="00AB5675"/>
    <w:rsid w:val="00AC19CB"/>
    <w:rsid w:val="00AC1B1E"/>
    <w:rsid w:val="00AC22AE"/>
    <w:rsid w:val="00AD7440"/>
    <w:rsid w:val="00AE148A"/>
    <w:rsid w:val="00AE1910"/>
    <w:rsid w:val="00AE5488"/>
    <w:rsid w:val="00AE6F91"/>
    <w:rsid w:val="00AF1971"/>
    <w:rsid w:val="00AF5571"/>
    <w:rsid w:val="00AF613F"/>
    <w:rsid w:val="00B06297"/>
    <w:rsid w:val="00B07341"/>
    <w:rsid w:val="00B158DC"/>
    <w:rsid w:val="00B25528"/>
    <w:rsid w:val="00B26EC0"/>
    <w:rsid w:val="00B30281"/>
    <w:rsid w:val="00B30539"/>
    <w:rsid w:val="00B314DB"/>
    <w:rsid w:val="00B34B51"/>
    <w:rsid w:val="00B361F2"/>
    <w:rsid w:val="00B3718B"/>
    <w:rsid w:val="00B3745F"/>
    <w:rsid w:val="00B43BA9"/>
    <w:rsid w:val="00B44C65"/>
    <w:rsid w:val="00B4632A"/>
    <w:rsid w:val="00B509EA"/>
    <w:rsid w:val="00B530F1"/>
    <w:rsid w:val="00B54B4A"/>
    <w:rsid w:val="00B6287C"/>
    <w:rsid w:val="00B63B6B"/>
    <w:rsid w:val="00B65458"/>
    <w:rsid w:val="00B70FE1"/>
    <w:rsid w:val="00B7353A"/>
    <w:rsid w:val="00B81B9F"/>
    <w:rsid w:val="00B82342"/>
    <w:rsid w:val="00B97821"/>
    <w:rsid w:val="00B97B37"/>
    <w:rsid w:val="00BA0980"/>
    <w:rsid w:val="00BA276C"/>
    <w:rsid w:val="00BA741A"/>
    <w:rsid w:val="00BB0FDB"/>
    <w:rsid w:val="00BB306F"/>
    <w:rsid w:val="00BB7C1E"/>
    <w:rsid w:val="00BC5D7E"/>
    <w:rsid w:val="00BD0248"/>
    <w:rsid w:val="00BD0B44"/>
    <w:rsid w:val="00BD4B89"/>
    <w:rsid w:val="00BD5922"/>
    <w:rsid w:val="00BE1DCF"/>
    <w:rsid w:val="00BE36AC"/>
    <w:rsid w:val="00BE43B9"/>
    <w:rsid w:val="00BE6545"/>
    <w:rsid w:val="00BF02CB"/>
    <w:rsid w:val="00BF1CDF"/>
    <w:rsid w:val="00BF6FD8"/>
    <w:rsid w:val="00C0113C"/>
    <w:rsid w:val="00C03680"/>
    <w:rsid w:val="00C05026"/>
    <w:rsid w:val="00C054DF"/>
    <w:rsid w:val="00C05679"/>
    <w:rsid w:val="00C0635E"/>
    <w:rsid w:val="00C21762"/>
    <w:rsid w:val="00C21FEF"/>
    <w:rsid w:val="00C224A9"/>
    <w:rsid w:val="00C243D6"/>
    <w:rsid w:val="00C24543"/>
    <w:rsid w:val="00C256A2"/>
    <w:rsid w:val="00C33FC7"/>
    <w:rsid w:val="00C34EF6"/>
    <w:rsid w:val="00C51515"/>
    <w:rsid w:val="00C5660B"/>
    <w:rsid w:val="00C5783A"/>
    <w:rsid w:val="00C60C4C"/>
    <w:rsid w:val="00C658B4"/>
    <w:rsid w:val="00C65B91"/>
    <w:rsid w:val="00C66B72"/>
    <w:rsid w:val="00C769E0"/>
    <w:rsid w:val="00C87AC4"/>
    <w:rsid w:val="00C9567A"/>
    <w:rsid w:val="00CA4AFC"/>
    <w:rsid w:val="00CA5D2A"/>
    <w:rsid w:val="00CA7179"/>
    <w:rsid w:val="00CB0E3C"/>
    <w:rsid w:val="00CB212D"/>
    <w:rsid w:val="00CB2660"/>
    <w:rsid w:val="00CB27CF"/>
    <w:rsid w:val="00CC5CE2"/>
    <w:rsid w:val="00CC5E90"/>
    <w:rsid w:val="00CD046C"/>
    <w:rsid w:val="00CE076C"/>
    <w:rsid w:val="00CE5199"/>
    <w:rsid w:val="00CE66D5"/>
    <w:rsid w:val="00CE7326"/>
    <w:rsid w:val="00CF637A"/>
    <w:rsid w:val="00CF68C3"/>
    <w:rsid w:val="00D058F6"/>
    <w:rsid w:val="00D059DE"/>
    <w:rsid w:val="00D05ABD"/>
    <w:rsid w:val="00D115FC"/>
    <w:rsid w:val="00D13FCE"/>
    <w:rsid w:val="00D15282"/>
    <w:rsid w:val="00D16C82"/>
    <w:rsid w:val="00D17146"/>
    <w:rsid w:val="00D23529"/>
    <w:rsid w:val="00D302C0"/>
    <w:rsid w:val="00D306D1"/>
    <w:rsid w:val="00D30800"/>
    <w:rsid w:val="00D330AA"/>
    <w:rsid w:val="00D34786"/>
    <w:rsid w:val="00D37BFC"/>
    <w:rsid w:val="00D4046C"/>
    <w:rsid w:val="00D40E87"/>
    <w:rsid w:val="00D44CBE"/>
    <w:rsid w:val="00D44F1C"/>
    <w:rsid w:val="00D47076"/>
    <w:rsid w:val="00D47A8E"/>
    <w:rsid w:val="00D52D14"/>
    <w:rsid w:val="00D60034"/>
    <w:rsid w:val="00D60FB6"/>
    <w:rsid w:val="00D712D3"/>
    <w:rsid w:val="00D71422"/>
    <w:rsid w:val="00D7223C"/>
    <w:rsid w:val="00D72DC6"/>
    <w:rsid w:val="00D7558D"/>
    <w:rsid w:val="00D77A83"/>
    <w:rsid w:val="00D81D92"/>
    <w:rsid w:val="00D876F9"/>
    <w:rsid w:val="00D87F30"/>
    <w:rsid w:val="00D9441F"/>
    <w:rsid w:val="00DA7B5F"/>
    <w:rsid w:val="00DB3CD5"/>
    <w:rsid w:val="00DC11E7"/>
    <w:rsid w:val="00DC24E3"/>
    <w:rsid w:val="00DC7023"/>
    <w:rsid w:val="00DC769A"/>
    <w:rsid w:val="00DD3D86"/>
    <w:rsid w:val="00DD4AD2"/>
    <w:rsid w:val="00DD568D"/>
    <w:rsid w:val="00DF1EC4"/>
    <w:rsid w:val="00DF4E7D"/>
    <w:rsid w:val="00E0340B"/>
    <w:rsid w:val="00E04A90"/>
    <w:rsid w:val="00E0551F"/>
    <w:rsid w:val="00E0616C"/>
    <w:rsid w:val="00E17A09"/>
    <w:rsid w:val="00E219C7"/>
    <w:rsid w:val="00E24BEE"/>
    <w:rsid w:val="00E4118C"/>
    <w:rsid w:val="00E43157"/>
    <w:rsid w:val="00E461CE"/>
    <w:rsid w:val="00E54022"/>
    <w:rsid w:val="00E63F9D"/>
    <w:rsid w:val="00E720CA"/>
    <w:rsid w:val="00E76417"/>
    <w:rsid w:val="00E772C6"/>
    <w:rsid w:val="00E82D9F"/>
    <w:rsid w:val="00E84E7E"/>
    <w:rsid w:val="00E84EB5"/>
    <w:rsid w:val="00E85662"/>
    <w:rsid w:val="00E86190"/>
    <w:rsid w:val="00E869CF"/>
    <w:rsid w:val="00E86F59"/>
    <w:rsid w:val="00E8789F"/>
    <w:rsid w:val="00E901BA"/>
    <w:rsid w:val="00E91B6B"/>
    <w:rsid w:val="00E937AC"/>
    <w:rsid w:val="00E97B71"/>
    <w:rsid w:val="00EA3D34"/>
    <w:rsid w:val="00EA68FA"/>
    <w:rsid w:val="00EB454D"/>
    <w:rsid w:val="00EB75D1"/>
    <w:rsid w:val="00EC3809"/>
    <w:rsid w:val="00EC472B"/>
    <w:rsid w:val="00EC7E8E"/>
    <w:rsid w:val="00ED549D"/>
    <w:rsid w:val="00ED76BE"/>
    <w:rsid w:val="00EE00E9"/>
    <w:rsid w:val="00EE62D2"/>
    <w:rsid w:val="00EF586D"/>
    <w:rsid w:val="00EF619B"/>
    <w:rsid w:val="00F00B55"/>
    <w:rsid w:val="00F02AD1"/>
    <w:rsid w:val="00F13C02"/>
    <w:rsid w:val="00F16920"/>
    <w:rsid w:val="00F253CC"/>
    <w:rsid w:val="00F257C0"/>
    <w:rsid w:val="00F30017"/>
    <w:rsid w:val="00F30D54"/>
    <w:rsid w:val="00F32215"/>
    <w:rsid w:val="00F37106"/>
    <w:rsid w:val="00F43A9A"/>
    <w:rsid w:val="00F519CF"/>
    <w:rsid w:val="00F54A02"/>
    <w:rsid w:val="00F56BA5"/>
    <w:rsid w:val="00F60CC2"/>
    <w:rsid w:val="00F60E22"/>
    <w:rsid w:val="00F671DA"/>
    <w:rsid w:val="00F71921"/>
    <w:rsid w:val="00F71D9F"/>
    <w:rsid w:val="00F76943"/>
    <w:rsid w:val="00F81395"/>
    <w:rsid w:val="00F81BB8"/>
    <w:rsid w:val="00F84369"/>
    <w:rsid w:val="00F84AA1"/>
    <w:rsid w:val="00F9018C"/>
    <w:rsid w:val="00F917D1"/>
    <w:rsid w:val="00F93563"/>
    <w:rsid w:val="00F9653B"/>
    <w:rsid w:val="00F97723"/>
    <w:rsid w:val="00FA00B0"/>
    <w:rsid w:val="00FA5DA8"/>
    <w:rsid w:val="00FA71E1"/>
    <w:rsid w:val="00FB04AC"/>
    <w:rsid w:val="00FB62CF"/>
    <w:rsid w:val="00FC0167"/>
    <w:rsid w:val="00FC406F"/>
    <w:rsid w:val="00FC76D9"/>
    <w:rsid w:val="00FD14FB"/>
    <w:rsid w:val="00FD1CA9"/>
    <w:rsid w:val="00FD3C3B"/>
    <w:rsid w:val="00FD4F94"/>
    <w:rsid w:val="00FE07DD"/>
    <w:rsid w:val="00FE1449"/>
    <w:rsid w:val="00FE2DA7"/>
    <w:rsid w:val="00FE6B45"/>
    <w:rsid w:val="00FF55F3"/>
    <w:rsid w:val="00FF5851"/>
    <w:rsid w:val="00FF67C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6C53"/>
    <w:rPr>
      <w:sz w:val="16"/>
      <w:szCs w:val="16"/>
    </w:rPr>
  </w:style>
  <w:style w:type="paragraph" w:styleId="CommentText">
    <w:name w:val="annotation text"/>
    <w:basedOn w:val="Normal"/>
    <w:link w:val="CommentTextChar"/>
    <w:uiPriority w:val="99"/>
    <w:semiHidden/>
    <w:unhideWhenUsed/>
    <w:rsid w:val="004F6C53"/>
    <w:rPr>
      <w:sz w:val="20"/>
      <w:szCs w:val="20"/>
    </w:rPr>
  </w:style>
  <w:style w:type="character" w:customStyle="1" w:styleId="CommentTextChar">
    <w:name w:val="Comment Text Char"/>
    <w:basedOn w:val="DefaultParagraphFont"/>
    <w:link w:val="CommentText"/>
    <w:uiPriority w:val="99"/>
    <w:semiHidden/>
    <w:rsid w:val="004F6C53"/>
    <w:rPr>
      <w:lang w:val="en-US" w:eastAsia="en-US"/>
    </w:rPr>
  </w:style>
  <w:style w:type="paragraph" w:styleId="CommentSubject">
    <w:name w:val="annotation subject"/>
    <w:basedOn w:val="CommentText"/>
    <w:next w:val="CommentText"/>
    <w:link w:val="CommentSubjectChar"/>
    <w:uiPriority w:val="99"/>
    <w:semiHidden/>
    <w:unhideWhenUsed/>
    <w:rsid w:val="004F6C53"/>
    <w:rPr>
      <w:b/>
      <w:bCs/>
    </w:rPr>
  </w:style>
  <w:style w:type="character" w:customStyle="1" w:styleId="CommentSubjectChar">
    <w:name w:val="Comment Subject Char"/>
    <w:basedOn w:val="CommentTextChar"/>
    <w:link w:val="CommentSubject"/>
    <w:uiPriority w:val="99"/>
    <w:semiHidden/>
    <w:rsid w:val="004F6C53"/>
    <w:rPr>
      <w:b/>
      <w:bCs/>
      <w:lang w:val="en-US" w:eastAsia="en-US"/>
    </w:rPr>
  </w:style>
  <w:style w:type="paragraph" w:styleId="NoSpacing">
    <w:name w:val="No Spacing"/>
    <w:uiPriority w:val="1"/>
    <w:qFormat/>
    <w:rsid w:val="00540313"/>
    <w:rPr>
      <w:sz w:val="24"/>
      <w:szCs w:val="24"/>
      <w:lang w:val="en-US" w:eastAsia="en-US"/>
    </w:rPr>
  </w:style>
  <w:style w:type="paragraph" w:styleId="Revision">
    <w:name w:val="Revision"/>
    <w:hidden/>
    <w:uiPriority w:val="99"/>
    <w:semiHidden/>
    <w:rsid w:val="00705A0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3531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4E4F"/>
    <w:rsid w:val="00131A63"/>
    <w:rsid w:val="00200821"/>
    <w:rsid w:val="002A3125"/>
    <w:rsid w:val="00394049"/>
    <w:rsid w:val="003A53EB"/>
    <w:rsid w:val="00405CBB"/>
    <w:rsid w:val="004333A4"/>
    <w:rsid w:val="004E7890"/>
    <w:rsid w:val="004F2DF8"/>
    <w:rsid w:val="005B1F9F"/>
    <w:rsid w:val="005F339A"/>
    <w:rsid w:val="007B4A5F"/>
    <w:rsid w:val="00851974"/>
    <w:rsid w:val="008640C4"/>
    <w:rsid w:val="008D5A40"/>
    <w:rsid w:val="009A261B"/>
    <w:rsid w:val="009B77DF"/>
    <w:rsid w:val="00A3258E"/>
    <w:rsid w:val="00A83BD2"/>
    <w:rsid w:val="00AC15A4"/>
    <w:rsid w:val="00B0336C"/>
    <w:rsid w:val="00B340A9"/>
    <w:rsid w:val="00B56D85"/>
    <w:rsid w:val="00BF5450"/>
    <w:rsid w:val="00C53AA6"/>
    <w:rsid w:val="00C87DC5"/>
    <w:rsid w:val="00DB223E"/>
    <w:rsid w:val="00DE1448"/>
    <w:rsid w:val="00E06802"/>
    <w:rsid w:val="00E11F13"/>
    <w:rsid w:val="00F00D2F"/>
    <w:rsid w:val="00F128DF"/>
    <w:rsid w:val="00F16425"/>
    <w:rsid w:val="00F6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6F05-AC8B-4B82-B1E4-C12B7F8B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2821</Words>
  <Characters>15067</Characters>
  <Application>Microsoft Office Word</Application>
  <DocSecurity>0</DocSecurity>
  <Lines>251</Lines>
  <Paragraphs>54</Paragraphs>
  <ScaleCrop>false</ScaleCrop>
  <Company/>
  <LinksUpToDate>false</LinksUpToDate>
  <CharactersWithSpaces>17834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216/19</dc:title>
  <dc:creator/>
  <cp:lastModifiedBy/>
  <cp:revision>1</cp:revision>
  <dcterms:created xsi:type="dcterms:W3CDTF">2020-03-27T15:12:00Z</dcterms:created>
  <dcterms:modified xsi:type="dcterms:W3CDTF">2020-03-27T15:12:00Z</dcterms:modified>
</cp:coreProperties>
</file>