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570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31448D" w:rsidRDefault="0031448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31448D" w:rsidRDefault="0031448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7AD4626" w:rsidR="0031448D" w:rsidRPr="004E2649" w:rsidRDefault="003144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F01B3">
                              <w:rPr>
                                <w:rFonts w:asciiTheme="majorHAnsi" w:hAnsiTheme="majorHAnsi" w:cs="Arial"/>
                                <w:b/>
                                <w:bCs/>
                                <w:color w:val="0D0D0D" w:themeColor="text1" w:themeTint="F2"/>
                                <w:sz w:val="36"/>
                                <w:szCs w:val="22"/>
                                <w:lang w:val="es-ES_tradnl"/>
                              </w:rPr>
                              <w:t xml:space="preserve"> </w:t>
                            </w:r>
                            <w:r w:rsidR="005239F7">
                              <w:rPr>
                                <w:rFonts w:asciiTheme="majorHAnsi" w:hAnsiTheme="majorHAnsi" w:cs="Arial"/>
                                <w:b/>
                                <w:bCs/>
                                <w:color w:val="0D0D0D" w:themeColor="text1" w:themeTint="F2"/>
                                <w:sz w:val="36"/>
                                <w:szCs w:val="22"/>
                                <w:lang w:val="es-ES_tradnl"/>
                              </w:rPr>
                              <w:t>30</w:t>
                            </w:r>
                            <w:r w:rsidR="00CF01B3">
                              <w:rPr>
                                <w:rFonts w:asciiTheme="majorHAnsi" w:hAnsiTheme="majorHAnsi" w:cs="Arial"/>
                                <w:b/>
                                <w:bCs/>
                                <w:color w:val="0D0D0D" w:themeColor="text1" w:themeTint="F2"/>
                                <w:sz w:val="36"/>
                                <w:szCs w:val="22"/>
                                <w:lang w:val="es-ES_tradnl"/>
                              </w:rPr>
                              <w:t>/19</w:t>
                            </w:r>
                          </w:p>
                          <w:p w14:paraId="09C54AB3" w14:textId="4D16D796" w:rsidR="0031448D" w:rsidRDefault="003144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754-08</w:t>
                            </w:r>
                            <w:r w:rsidRPr="004E2649">
                              <w:rPr>
                                <w:rFonts w:asciiTheme="majorHAnsi" w:hAnsiTheme="majorHAnsi" w:cs="Arial"/>
                                <w:b/>
                                <w:color w:val="0D0D0D" w:themeColor="text1" w:themeTint="F2"/>
                                <w:sz w:val="36"/>
                                <w:szCs w:val="22"/>
                                <w:lang w:val="es-ES_tradnl"/>
                              </w:rPr>
                              <w:t xml:space="preserve"> </w:t>
                            </w:r>
                          </w:p>
                          <w:p w14:paraId="70CF6833" w14:textId="449FE3C7" w:rsidR="0031448D" w:rsidRPr="0010736F" w:rsidRDefault="003144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31448D" w:rsidRDefault="0031448D" w:rsidP="00997BC5">
                            <w:pPr>
                              <w:spacing w:line="276" w:lineRule="auto"/>
                              <w:rPr>
                                <w:rFonts w:asciiTheme="majorHAnsi" w:hAnsiTheme="majorHAnsi" w:cs="Arial"/>
                                <w:color w:val="0D0D0D" w:themeColor="text1" w:themeTint="F2"/>
                                <w:szCs w:val="22"/>
                                <w:lang w:val="es-ES_tradnl"/>
                              </w:rPr>
                            </w:pPr>
                            <w:bookmarkStart w:id="1" w:name="_ftnref1"/>
                          </w:p>
                          <w:p w14:paraId="44F22AD6" w14:textId="6ECEC76A" w:rsidR="0031448D" w:rsidRPr="0010736F" w:rsidRDefault="0031448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ROGELIO TORRES SU</w:t>
                            </w:r>
                            <w:r w:rsidR="00DF62C7">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REZ</w:t>
                            </w:r>
                          </w:p>
                          <w:bookmarkEnd w:id="1"/>
                          <w:p w14:paraId="35068D0D" w14:textId="1756E281" w:rsidR="0031448D" w:rsidRPr="0010736F" w:rsidRDefault="0031448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31448D" w:rsidRPr="00AE5488" w:rsidRDefault="003144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7AD4626" w:rsidR="0031448D" w:rsidRPr="004E2649" w:rsidRDefault="003144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F01B3">
                        <w:rPr>
                          <w:rFonts w:asciiTheme="majorHAnsi" w:hAnsiTheme="majorHAnsi" w:cs="Arial"/>
                          <w:b/>
                          <w:bCs/>
                          <w:color w:val="0D0D0D" w:themeColor="text1" w:themeTint="F2"/>
                          <w:sz w:val="36"/>
                          <w:szCs w:val="22"/>
                          <w:lang w:val="es-ES_tradnl"/>
                        </w:rPr>
                        <w:t xml:space="preserve"> </w:t>
                      </w:r>
                      <w:r w:rsidR="005239F7">
                        <w:rPr>
                          <w:rFonts w:asciiTheme="majorHAnsi" w:hAnsiTheme="majorHAnsi" w:cs="Arial"/>
                          <w:b/>
                          <w:bCs/>
                          <w:color w:val="0D0D0D" w:themeColor="text1" w:themeTint="F2"/>
                          <w:sz w:val="36"/>
                          <w:szCs w:val="22"/>
                          <w:lang w:val="es-ES_tradnl"/>
                        </w:rPr>
                        <w:t>30</w:t>
                      </w:r>
                      <w:r w:rsidR="00CF01B3">
                        <w:rPr>
                          <w:rFonts w:asciiTheme="majorHAnsi" w:hAnsiTheme="majorHAnsi" w:cs="Arial"/>
                          <w:b/>
                          <w:bCs/>
                          <w:color w:val="0D0D0D" w:themeColor="text1" w:themeTint="F2"/>
                          <w:sz w:val="36"/>
                          <w:szCs w:val="22"/>
                          <w:lang w:val="es-ES_tradnl"/>
                        </w:rPr>
                        <w:t>/19</w:t>
                      </w:r>
                    </w:p>
                    <w:p w14:paraId="09C54AB3" w14:textId="4D16D796" w:rsidR="0031448D" w:rsidRDefault="003144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754-08</w:t>
                      </w:r>
                      <w:r w:rsidRPr="004E2649">
                        <w:rPr>
                          <w:rFonts w:asciiTheme="majorHAnsi" w:hAnsiTheme="majorHAnsi" w:cs="Arial"/>
                          <w:b/>
                          <w:color w:val="0D0D0D" w:themeColor="text1" w:themeTint="F2"/>
                          <w:sz w:val="36"/>
                          <w:szCs w:val="22"/>
                          <w:lang w:val="es-ES_tradnl"/>
                        </w:rPr>
                        <w:t xml:space="preserve"> </w:t>
                      </w:r>
                    </w:p>
                    <w:p w14:paraId="70CF6833" w14:textId="449FE3C7" w:rsidR="0031448D" w:rsidRPr="0010736F" w:rsidRDefault="003144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31448D" w:rsidRDefault="0031448D" w:rsidP="00997BC5">
                      <w:pPr>
                        <w:spacing w:line="276" w:lineRule="auto"/>
                        <w:rPr>
                          <w:rFonts w:asciiTheme="majorHAnsi" w:hAnsiTheme="majorHAnsi" w:cs="Arial"/>
                          <w:color w:val="0D0D0D" w:themeColor="text1" w:themeTint="F2"/>
                          <w:szCs w:val="22"/>
                          <w:lang w:val="es-ES_tradnl"/>
                        </w:rPr>
                      </w:pPr>
                      <w:bookmarkStart w:id="2" w:name="_ftnref1"/>
                    </w:p>
                    <w:p w14:paraId="44F22AD6" w14:textId="6ECEC76A" w:rsidR="0031448D" w:rsidRPr="0010736F" w:rsidRDefault="0031448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ROGELIO TORRES SU</w:t>
                      </w:r>
                      <w:r w:rsidR="00DF62C7">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REZ</w:t>
                      </w:r>
                    </w:p>
                    <w:bookmarkEnd w:id="2"/>
                    <w:p w14:paraId="35068D0D" w14:textId="1756E281" w:rsidR="0031448D" w:rsidRPr="0010736F" w:rsidRDefault="0031448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31448D" w:rsidRPr="00AE5488" w:rsidRDefault="003144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413E7FD" w:rsidR="0031448D" w:rsidRPr="004E2649" w:rsidRDefault="003144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67792B1" w:rsidR="0031448D" w:rsidRPr="004E2649" w:rsidRDefault="005239F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35</w:t>
                            </w:r>
                          </w:p>
                          <w:p w14:paraId="69373ED2" w14:textId="693DC342" w:rsidR="0031448D" w:rsidRPr="004E2649" w:rsidRDefault="005239F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29 </w:t>
                            </w:r>
                            <w:proofErr w:type="spellStart"/>
                            <w:r>
                              <w:rPr>
                                <w:rFonts w:asciiTheme="minorHAnsi" w:hAnsiTheme="minorHAnsi"/>
                                <w:color w:val="FFFFFF" w:themeColor="background1"/>
                                <w:sz w:val="22"/>
                              </w:rPr>
                              <w:t>marzo</w:t>
                            </w:r>
                            <w:proofErr w:type="spellEnd"/>
                            <w:r w:rsidR="0031448D" w:rsidRPr="004E2649">
                              <w:rPr>
                                <w:rFonts w:asciiTheme="minorHAnsi" w:hAnsiTheme="minorHAnsi"/>
                                <w:color w:val="FFFFFF" w:themeColor="background1"/>
                                <w:sz w:val="22"/>
                              </w:rPr>
                              <w:t xml:space="preserve"> 201</w:t>
                            </w:r>
                            <w:r w:rsidR="00CF01B3">
                              <w:rPr>
                                <w:rFonts w:asciiTheme="minorHAnsi" w:hAnsiTheme="minorHAnsi"/>
                                <w:color w:val="FFFFFF" w:themeColor="background1"/>
                                <w:sz w:val="22"/>
                              </w:rPr>
                              <w:t>9</w:t>
                            </w:r>
                          </w:p>
                          <w:p w14:paraId="0771DB5B" w14:textId="77777777" w:rsidR="0031448D" w:rsidRPr="004E2649" w:rsidRDefault="0031448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413E7FD" w:rsidR="0031448D" w:rsidRPr="004E2649" w:rsidRDefault="003144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67792B1" w:rsidR="0031448D" w:rsidRPr="004E2649" w:rsidRDefault="005239F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35</w:t>
                      </w:r>
                    </w:p>
                    <w:p w14:paraId="69373ED2" w14:textId="693DC342" w:rsidR="0031448D" w:rsidRPr="004E2649" w:rsidRDefault="005239F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29 </w:t>
                      </w:r>
                      <w:proofErr w:type="spellStart"/>
                      <w:r>
                        <w:rPr>
                          <w:rFonts w:asciiTheme="minorHAnsi" w:hAnsiTheme="minorHAnsi"/>
                          <w:color w:val="FFFFFF" w:themeColor="background1"/>
                          <w:sz w:val="22"/>
                        </w:rPr>
                        <w:t>marzo</w:t>
                      </w:r>
                      <w:proofErr w:type="spellEnd"/>
                      <w:r w:rsidR="0031448D" w:rsidRPr="004E2649">
                        <w:rPr>
                          <w:rFonts w:asciiTheme="minorHAnsi" w:hAnsiTheme="minorHAnsi"/>
                          <w:color w:val="FFFFFF" w:themeColor="background1"/>
                          <w:sz w:val="22"/>
                        </w:rPr>
                        <w:t xml:space="preserve"> 201</w:t>
                      </w:r>
                      <w:r w:rsidR="00CF01B3">
                        <w:rPr>
                          <w:rFonts w:asciiTheme="minorHAnsi" w:hAnsiTheme="minorHAnsi"/>
                          <w:color w:val="FFFFFF" w:themeColor="background1"/>
                          <w:sz w:val="22"/>
                        </w:rPr>
                        <w:t>9</w:t>
                      </w:r>
                    </w:p>
                    <w:p w14:paraId="0771DB5B" w14:textId="77777777" w:rsidR="0031448D" w:rsidRPr="004E2649" w:rsidRDefault="0031448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A88953E" w:rsidR="0031448D" w:rsidRPr="00890650" w:rsidRDefault="003144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239F7">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5239F7">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F01B3">
                              <w:rPr>
                                <w:rFonts w:asciiTheme="majorHAnsi" w:hAnsiTheme="majorHAnsi"/>
                                <w:color w:val="0D0D0D" w:themeColor="text1" w:themeTint="F2"/>
                                <w:sz w:val="18"/>
                                <w:szCs w:val="22"/>
                                <w:lang w:val="es-ES"/>
                              </w:rPr>
                              <w:t>9</w:t>
                            </w:r>
                            <w:r w:rsidR="004132C9">
                              <w:rPr>
                                <w:rFonts w:asciiTheme="majorHAnsi" w:hAnsiTheme="majorHAnsi"/>
                                <w:color w:val="0D0D0D" w:themeColor="text1" w:themeTint="F2"/>
                                <w:sz w:val="18"/>
                                <w:szCs w:val="22"/>
                                <w:lang w:val="es-ES"/>
                              </w:rPr>
                              <w:t>.</w:t>
                            </w:r>
                          </w:p>
                          <w:p w14:paraId="4BDF3581" w14:textId="77777777" w:rsidR="0031448D" w:rsidRPr="007A5817" w:rsidRDefault="003144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1448D" w:rsidRPr="00167A34" w:rsidRDefault="003144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A88953E" w:rsidR="0031448D" w:rsidRPr="00890650" w:rsidRDefault="003144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239F7">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5239F7">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F01B3">
                        <w:rPr>
                          <w:rFonts w:asciiTheme="majorHAnsi" w:hAnsiTheme="majorHAnsi"/>
                          <w:color w:val="0D0D0D" w:themeColor="text1" w:themeTint="F2"/>
                          <w:sz w:val="18"/>
                          <w:szCs w:val="22"/>
                          <w:lang w:val="es-ES"/>
                        </w:rPr>
                        <w:t>9</w:t>
                      </w:r>
                      <w:r w:rsidR="004132C9">
                        <w:rPr>
                          <w:rFonts w:asciiTheme="majorHAnsi" w:hAnsiTheme="majorHAnsi"/>
                          <w:color w:val="0D0D0D" w:themeColor="text1" w:themeTint="F2"/>
                          <w:sz w:val="18"/>
                          <w:szCs w:val="22"/>
                          <w:lang w:val="es-ES"/>
                        </w:rPr>
                        <w:t>.</w:t>
                      </w:r>
                    </w:p>
                    <w:p w14:paraId="4BDF3581" w14:textId="77777777" w:rsidR="0031448D" w:rsidRPr="007A5817" w:rsidRDefault="003144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1448D" w:rsidRPr="00167A34" w:rsidRDefault="003144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24A797F" w:rsidR="0031448D" w:rsidRPr="007B05C4" w:rsidRDefault="0031448D" w:rsidP="00113F73">
                            <w:pPr>
                              <w:spacing w:line="276" w:lineRule="auto"/>
                              <w:rPr>
                                <w:rFonts w:asciiTheme="majorHAnsi" w:hAnsiTheme="majorHAnsi"/>
                                <w:color w:val="595959" w:themeColor="text1" w:themeTint="A6"/>
                                <w:sz w:val="18"/>
                                <w:szCs w:val="18"/>
                                <w:lang w:val="es-ES"/>
                              </w:rPr>
                            </w:pPr>
                            <w:r w:rsidRPr="005239F7">
                              <w:rPr>
                                <w:rFonts w:asciiTheme="majorHAnsi" w:hAnsiTheme="majorHAnsi"/>
                                <w:b/>
                                <w:color w:val="595959" w:themeColor="text1" w:themeTint="A6"/>
                                <w:sz w:val="18"/>
                                <w:szCs w:val="18"/>
                                <w:lang w:val="es-ES"/>
                              </w:rPr>
                              <w:t>Citar como:</w:t>
                            </w:r>
                            <w:r w:rsidRPr="005239F7">
                              <w:rPr>
                                <w:rFonts w:asciiTheme="majorHAnsi" w:hAnsiTheme="majorHAnsi"/>
                                <w:color w:val="595959" w:themeColor="text1" w:themeTint="A6"/>
                                <w:sz w:val="18"/>
                                <w:szCs w:val="18"/>
                                <w:lang w:val="es-ES"/>
                              </w:rPr>
                              <w:t xml:space="preserve"> CIDH, Informe No. </w:t>
                            </w:r>
                            <w:r w:rsidR="005239F7" w:rsidRPr="005239F7">
                              <w:rPr>
                                <w:rFonts w:asciiTheme="majorHAnsi" w:hAnsiTheme="majorHAnsi"/>
                                <w:color w:val="595959" w:themeColor="text1" w:themeTint="A6"/>
                                <w:sz w:val="18"/>
                                <w:szCs w:val="18"/>
                                <w:lang w:val="es-ES"/>
                              </w:rPr>
                              <w:t>30</w:t>
                            </w:r>
                            <w:r w:rsidR="00C2283A" w:rsidRPr="005239F7">
                              <w:rPr>
                                <w:rFonts w:asciiTheme="majorHAnsi" w:hAnsiTheme="majorHAnsi"/>
                                <w:color w:val="595959" w:themeColor="text1" w:themeTint="A6"/>
                                <w:sz w:val="18"/>
                                <w:szCs w:val="18"/>
                                <w:lang w:val="es-ES"/>
                              </w:rPr>
                              <w:t>/1</w:t>
                            </w:r>
                            <w:r w:rsidR="00CF01B3" w:rsidRPr="005239F7">
                              <w:rPr>
                                <w:rFonts w:asciiTheme="majorHAnsi" w:hAnsiTheme="majorHAnsi"/>
                                <w:color w:val="595959" w:themeColor="text1" w:themeTint="A6"/>
                                <w:sz w:val="18"/>
                                <w:szCs w:val="18"/>
                                <w:lang w:val="es-ES"/>
                              </w:rPr>
                              <w:t>9</w:t>
                            </w:r>
                            <w:r w:rsidRPr="005239F7">
                              <w:rPr>
                                <w:rFonts w:asciiTheme="majorHAnsi" w:hAnsiTheme="majorHAnsi"/>
                                <w:color w:val="595959" w:themeColor="text1" w:themeTint="A6"/>
                                <w:sz w:val="18"/>
                                <w:szCs w:val="18"/>
                                <w:lang w:val="es-ES"/>
                              </w:rPr>
                              <w:t>.</w:t>
                            </w:r>
                            <w:r w:rsidR="005239F7" w:rsidRPr="005239F7">
                              <w:rPr>
                                <w:rFonts w:asciiTheme="majorHAnsi" w:hAnsiTheme="majorHAnsi"/>
                                <w:color w:val="595959" w:themeColor="text1" w:themeTint="A6"/>
                                <w:sz w:val="18"/>
                                <w:szCs w:val="18"/>
                                <w:lang w:val="es-ES"/>
                              </w:rPr>
                              <w:t xml:space="preserve"> Petición 754-08.</w:t>
                            </w:r>
                            <w:r w:rsidRPr="005239F7">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Rogelio Torres Suarez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5239F7">
                              <w:rPr>
                                <w:rFonts w:asciiTheme="majorHAnsi" w:hAnsiTheme="majorHAnsi"/>
                                <w:color w:val="595959" w:themeColor="text1" w:themeTint="A6"/>
                                <w:sz w:val="18"/>
                                <w:szCs w:val="18"/>
                                <w:lang w:val="es-ES"/>
                              </w:rPr>
                              <w:t>29 de marzo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24A797F" w:rsidR="0031448D" w:rsidRPr="007B05C4" w:rsidRDefault="0031448D" w:rsidP="00113F73">
                      <w:pPr>
                        <w:spacing w:line="276" w:lineRule="auto"/>
                        <w:rPr>
                          <w:rFonts w:asciiTheme="majorHAnsi" w:hAnsiTheme="majorHAnsi"/>
                          <w:color w:val="595959" w:themeColor="text1" w:themeTint="A6"/>
                          <w:sz w:val="18"/>
                          <w:szCs w:val="18"/>
                          <w:lang w:val="es-ES"/>
                        </w:rPr>
                      </w:pPr>
                      <w:r w:rsidRPr="005239F7">
                        <w:rPr>
                          <w:rFonts w:asciiTheme="majorHAnsi" w:hAnsiTheme="majorHAnsi"/>
                          <w:b/>
                          <w:color w:val="595959" w:themeColor="text1" w:themeTint="A6"/>
                          <w:sz w:val="18"/>
                          <w:szCs w:val="18"/>
                          <w:lang w:val="es-ES"/>
                        </w:rPr>
                        <w:t>Citar como:</w:t>
                      </w:r>
                      <w:r w:rsidRPr="005239F7">
                        <w:rPr>
                          <w:rFonts w:asciiTheme="majorHAnsi" w:hAnsiTheme="majorHAnsi"/>
                          <w:color w:val="595959" w:themeColor="text1" w:themeTint="A6"/>
                          <w:sz w:val="18"/>
                          <w:szCs w:val="18"/>
                          <w:lang w:val="es-ES"/>
                        </w:rPr>
                        <w:t xml:space="preserve"> CIDH, Informe No. </w:t>
                      </w:r>
                      <w:r w:rsidR="005239F7" w:rsidRPr="005239F7">
                        <w:rPr>
                          <w:rFonts w:asciiTheme="majorHAnsi" w:hAnsiTheme="majorHAnsi"/>
                          <w:color w:val="595959" w:themeColor="text1" w:themeTint="A6"/>
                          <w:sz w:val="18"/>
                          <w:szCs w:val="18"/>
                          <w:lang w:val="es-ES"/>
                        </w:rPr>
                        <w:t>30</w:t>
                      </w:r>
                      <w:r w:rsidR="00C2283A" w:rsidRPr="005239F7">
                        <w:rPr>
                          <w:rFonts w:asciiTheme="majorHAnsi" w:hAnsiTheme="majorHAnsi"/>
                          <w:color w:val="595959" w:themeColor="text1" w:themeTint="A6"/>
                          <w:sz w:val="18"/>
                          <w:szCs w:val="18"/>
                          <w:lang w:val="es-ES"/>
                        </w:rPr>
                        <w:t>/1</w:t>
                      </w:r>
                      <w:r w:rsidR="00CF01B3" w:rsidRPr="005239F7">
                        <w:rPr>
                          <w:rFonts w:asciiTheme="majorHAnsi" w:hAnsiTheme="majorHAnsi"/>
                          <w:color w:val="595959" w:themeColor="text1" w:themeTint="A6"/>
                          <w:sz w:val="18"/>
                          <w:szCs w:val="18"/>
                          <w:lang w:val="es-ES"/>
                        </w:rPr>
                        <w:t>9</w:t>
                      </w:r>
                      <w:r w:rsidRPr="005239F7">
                        <w:rPr>
                          <w:rFonts w:asciiTheme="majorHAnsi" w:hAnsiTheme="majorHAnsi"/>
                          <w:color w:val="595959" w:themeColor="text1" w:themeTint="A6"/>
                          <w:sz w:val="18"/>
                          <w:szCs w:val="18"/>
                          <w:lang w:val="es-ES"/>
                        </w:rPr>
                        <w:t>.</w:t>
                      </w:r>
                      <w:r w:rsidR="005239F7" w:rsidRPr="005239F7">
                        <w:rPr>
                          <w:rFonts w:asciiTheme="majorHAnsi" w:hAnsiTheme="majorHAnsi"/>
                          <w:color w:val="595959" w:themeColor="text1" w:themeTint="A6"/>
                          <w:sz w:val="18"/>
                          <w:szCs w:val="18"/>
                          <w:lang w:val="es-ES"/>
                        </w:rPr>
                        <w:t xml:space="preserve"> Petición 754-08.</w:t>
                      </w:r>
                      <w:r w:rsidRPr="005239F7">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Rogelio Torres Suarez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5239F7">
                        <w:rPr>
                          <w:rFonts w:asciiTheme="majorHAnsi" w:hAnsiTheme="majorHAnsi"/>
                          <w:color w:val="595959" w:themeColor="text1" w:themeTint="A6"/>
                          <w:sz w:val="18"/>
                          <w:szCs w:val="18"/>
                          <w:lang w:val="es-ES"/>
                        </w:rPr>
                        <w:t>29 de marzo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31448D" w:rsidRPr="00D72DC6" w:rsidRDefault="003144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31448D" w:rsidRPr="00D72DC6" w:rsidRDefault="003144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1448D" w:rsidRPr="004B7EB6" w:rsidRDefault="003144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1448D" w:rsidRPr="004B7EB6" w:rsidRDefault="003144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F063CF" w:rsidRDefault="003239B8" w:rsidP="004A6A54">
      <w:pPr>
        <w:spacing w:after="240"/>
        <w:ind w:firstLine="720"/>
        <w:jc w:val="both"/>
        <w:rPr>
          <w:rFonts w:asciiTheme="majorHAnsi" w:hAnsiTheme="majorHAnsi"/>
          <w:b/>
          <w:bCs/>
          <w:sz w:val="19"/>
          <w:szCs w:val="19"/>
          <w:lang w:val="es-ES"/>
        </w:rPr>
      </w:pPr>
      <w:r w:rsidRPr="00F063CF">
        <w:rPr>
          <w:rFonts w:asciiTheme="majorHAnsi" w:hAnsiTheme="majorHAnsi"/>
          <w:b/>
          <w:bCs/>
          <w:sz w:val="19"/>
          <w:szCs w:val="19"/>
          <w:lang w:val="es-ES"/>
        </w:rPr>
        <w:lastRenderedPageBreak/>
        <w:t>I.</w:t>
      </w:r>
      <w:r w:rsidRPr="00F063CF">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063C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F063CF" w:rsidRDefault="003239B8" w:rsidP="0031448D">
            <w:pPr>
              <w:jc w:val="center"/>
              <w:rPr>
                <w:rFonts w:asciiTheme="majorHAnsi" w:hAnsiTheme="majorHAnsi"/>
                <w:b/>
                <w:bCs/>
                <w:color w:val="FFFFFF" w:themeColor="background1"/>
                <w:sz w:val="19"/>
                <w:szCs w:val="19"/>
              </w:rPr>
            </w:pPr>
            <w:r w:rsidRPr="00F063CF">
              <w:rPr>
                <w:rFonts w:asciiTheme="majorHAnsi" w:hAnsiTheme="majorHAnsi"/>
                <w:b/>
                <w:bCs/>
                <w:color w:val="FFFFFF" w:themeColor="background1"/>
                <w:sz w:val="19"/>
                <w:szCs w:val="19"/>
              </w:rPr>
              <w:t>Parte peticionaria:</w:t>
            </w:r>
          </w:p>
        </w:tc>
        <w:tc>
          <w:tcPr>
            <w:tcW w:w="5760" w:type="dxa"/>
            <w:vAlign w:val="center"/>
          </w:tcPr>
          <w:p w14:paraId="3C5315D8" w14:textId="0C89E415" w:rsidR="003239B8" w:rsidRPr="00F063CF" w:rsidRDefault="00DF62C7" w:rsidP="0031448D">
            <w:pPr>
              <w:jc w:val="both"/>
              <w:rPr>
                <w:rFonts w:asciiTheme="majorHAnsi" w:hAnsiTheme="majorHAnsi"/>
                <w:bCs/>
                <w:sz w:val="19"/>
                <w:szCs w:val="19"/>
              </w:rPr>
            </w:pPr>
            <w:r w:rsidRPr="00F063CF">
              <w:rPr>
                <w:rFonts w:asciiTheme="majorHAnsi" w:hAnsiTheme="majorHAnsi"/>
                <w:bCs/>
                <w:sz w:val="19"/>
                <w:szCs w:val="19"/>
              </w:rPr>
              <w:t>Rogelio Torres Suá</w:t>
            </w:r>
            <w:r w:rsidR="00A3719A" w:rsidRPr="00F063CF">
              <w:rPr>
                <w:rFonts w:asciiTheme="majorHAnsi" w:hAnsiTheme="majorHAnsi"/>
                <w:bCs/>
                <w:sz w:val="19"/>
                <w:szCs w:val="19"/>
              </w:rPr>
              <w:t>rez</w:t>
            </w:r>
          </w:p>
        </w:tc>
      </w:tr>
      <w:tr w:rsidR="003239B8" w:rsidRPr="00F063CF"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F063CF" w:rsidRDefault="00653406" w:rsidP="0031448D">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063CF">
                  <w:rPr>
                    <w:rFonts w:asciiTheme="majorHAnsi" w:hAnsiTheme="majorHAnsi"/>
                    <w:b/>
                    <w:bCs/>
                    <w:color w:val="FFFFFF" w:themeColor="background1"/>
                    <w:sz w:val="19"/>
                    <w:szCs w:val="19"/>
                  </w:rPr>
                  <w:t>Presunta víctima</w:t>
                </w:r>
              </w:sdtContent>
            </w:sdt>
            <w:r w:rsidR="003239B8" w:rsidRPr="00F063CF">
              <w:rPr>
                <w:rFonts w:asciiTheme="majorHAnsi" w:hAnsiTheme="majorHAnsi"/>
                <w:b/>
                <w:bCs/>
                <w:color w:val="FFFFFF" w:themeColor="background1"/>
                <w:sz w:val="19"/>
                <w:szCs w:val="19"/>
              </w:rPr>
              <w:t>:</w:t>
            </w:r>
          </w:p>
        </w:tc>
        <w:tc>
          <w:tcPr>
            <w:tcW w:w="5760" w:type="dxa"/>
            <w:vAlign w:val="center"/>
          </w:tcPr>
          <w:p w14:paraId="4AEBF59E" w14:textId="62AC273A" w:rsidR="003239B8" w:rsidRPr="00F063CF" w:rsidRDefault="00DF62C7" w:rsidP="0031448D">
            <w:pPr>
              <w:jc w:val="both"/>
              <w:rPr>
                <w:rFonts w:asciiTheme="majorHAnsi" w:hAnsiTheme="majorHAnsi"/>
                <w:bCs/>
                <w:sz w:val="19"/>
                <w:szCs w:val="19"/>
                <w:lang w:val="es-ES"/>
              </w:rPr>
            </w:pPr>
            <w:r w:rsidRPr="00F063CF">
              <w:rPr>
                <w:rFonts w:asciiTheme="majorHAnsi" w:hAnsiTheme="majorHAnsi"/>
                <w:bCs/>
                <w:sz w:val="19"/>
                <w:szCs w:val="19"/>
                <w:lang w:val="es-ES"/>
              </w:rPr>
              <w:t>Rogelio Torres Suá</w:t>
            </w:r>
            <w:r w:rsidR="00A3719A" w:rsidRPr="00F063CF">
              <w:rPr>
                <w:rFonts w:asciiTheme="majorHAnsi" w:hAnsiTheme="majorHAnsi"/>
                <w:bCs/>
                <w:sz w:val="19"/>
                <w:szCs w:val="19"/>
                <w:lang w:val="es-ES"/>
              </w:rPr>
              <w:t>rez</w:t>
            </w:r>
          </w:p>
        </w:tc>
      </w:tr>
      <w:tr w:rsidR="003239B8" w:rsidRPr="00F063CF"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F063CF" w:rsidRDefault="003239B8" w:rsidP="0031448D">
            <w:pPr>
              <w:jc w:val="center"/>
              <w:rPr>
                <w:rFonts w:asciiTheme="majorHAnsi" w:hAnsiTheme="majorHAnsi"/>
                <w:b/>
                <w:bCs/>
                <w:color w:val="FFFFFF" w:themeColor="background1"/>
                <w:sz w:val="19"/>
                <w:szCs w:val="19"/>
              </w:rPr>
            </w:pPr>
            <w:r w:rsidRPr="00F063CF">
              <w:rPr>
                <w:rFonts w:asciiTheme="majorHAnsi" w:hAnsiTheme="majorHAnsi"/>
                <w:b/>
                <w:bCs/>
                <w:color w:val="FFFFFF" w:themeColor="background1"/>
                <w:sz w:val="19"/>
                <w:szCs w:val="19"/>
              </w:rPr>
              <w:t>Estado denunciado:</w:t>
            </w:r>
          </w:p>
        </w:tc>
        <w:tc>
          <w:tcPr>
            <w:tcW w:w="5760" w:type="dxa"/>
            <w:vAlign w:val="center"/>
          </w:tcPr>
          <w:p w14:paraId="274C8A50" w14:textId="1386D5E8" w:rsidR="003239B8" w:rsidRPr="00F063CF" w:rsidRDefault="00A3719A" w:rsidP="0031448D">
            <w:pPr>
              <w:jc w:val="both"/>
              <w:rPr>
                <w:rFonts w:asciiTheme="majorHAnsi" w:hAnsiTheme="majorHAnsi"/>
                <w:bCs/>
                <w:sz w:val="19"/>
                <w:szCs w:val="19"/>
              </w:rPr>
            </w:pPr>
            <w:r w:rsidRPr="00F063CF">
              <w:rPr>
                <w:rFonts w:asciiTheme="majorHAnsi" w:hAnsiTheme="majorHAnsi"/>
                <w:bCs/>
                <w:sz w:val="19"/>
                <w:szCs w:val="19"/>
              </w:rPr>
              <w:t>Perú</w:t>
            </w:r>
            <w:r w:rsidR="004A6A54" w:rsidRPr="00F063CF">
              <w:rPr>
                <w:rStyle w:val="FootnoteReference"/>
                <w:rFonts w:asciiTheme="majorHAnsi" w:hAnsiTheme="majorHAnsi"/>
                <w:bCs/>
                <w:sz w:val="19"/>
                <w:szCs w:val="19"/>
              </w:rPr>
              <w:footnoteReference w:id="2"/>
            </w:r>
          </w:p>
        </w:tc>
      </w:tr>
      <w:tr w:rsidR="00223A29" w:rsidRPr="005239F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F063CF" w:rsidRDefault="001B3A00" w:rsidP="00E4118C">
            <w:pPr>
              <w:jc w:val="center"/>
              <w:rPr>
                <w:rFonts w:asciiTheme="majorHAnsi" w:hAnsiTheme="majorHAnsi"/>
                <w:b/>
                <w:bCs/>
                <w:color w:val="FFFFFF" w:themeColor="background1"/>
                <w:sz w:val="19"/>
                <w:szCs w:val="19"/>
              </w:rPr>
            </w:pPr>
            <w:r w:rsidRPr="00F063CF">
              <w:rPr>
                <w:rFonts w:asciiTheme="majorHAnsi" w:hAnsiTheme="majorHAnsi"/>
                <w:b/>
                <w:bCs/>
                <w:color w:val="FFFFFF" w:themeColor="background1"/>
                <w:sz w:val="19"/>
                <w:szCs w:val="19"/>
              </w:rPr>
              <w:t xml:space="preserve">Derechos </w:t>
            </w:r>
            <w:r w:rsidR="00E4118C" w:rsidRPr="00F063CF">
              <w:rPr>
                <w:rFonts w:asciiTheme="majorHAnsi" w:hAnsiTheme="majorHAnsi"/>
                <w:b/>
                <w:bCs/>
                <w:color w:val="FFFFFF" w:themeColor="background1"/>
                <w:sz w:val="19"/>
                <w:szCs w:val="19"/>
              </w:rPr>
              <w:t>invocados</w:t>
            </w:r>
            <w:r w:rsidRPr="00F063CF">
              <w:rPr>
                <w:rFonts w:asciiTheme="majorHAnsi" w:hAnsiTheme="majorHAnsi"/>
                <w:b/>
                <w:bCs/>
                <w:color w:val="FFFFFF" w:themeColor="background1"/>
                <w:sz w:val="19"/>
                <w:szCs w:val="19"/>
              </w:rPr>
              <w:t>:</w:t>
            </w:r>
          </w:p>
        </w:tc>
        <w:tc>
          <w:tcPr>
            <w:tcW w:w="5760" w:type="dxa"/>
            <w:vAlign w:val="center"/>
          </w:tcPr>
          <w:p w14:paraId="6DEE1EEB" w14:textId="238E24C3" w:rsidR="00223A29" w:rsidRPr="00F063CF" w:rsidRDefault="00E8657B" w:rsidP="00CF01B3">
            <w:pPr>
              <w:jc w:val="both"/>
              <w:rPr>
                <w:rFonts w:asciiTheme="majorHAnsi" w:hAnsiTheme="majorHAnsi"/>
                <w:bCs/>
                <w:sz w:val="19"/>
                <w:szCs w:val="19"/>
                <w:lang w:val="es-PA"/>
              </w:rPr>
            </w:pPr>
            <w:r w:rsidRPr="00F063CF">
              <w:rPr>
                <w:rFonts w:asciiTheme="majorHAnsi" w:hAnsiTheme="majorHAnsi"/>
                <w:bCs/>
                <w:sz w:val="19"/>
                <w:szCs w:val="19"/>
                <w:lang w:val="es-PA"/>
              </w:rPr>
              <w:t>No alega artículos de la Convención Americana Sobre Derechos Humanos</w:t>
            </w:r>
            <w:r w:rsidRPr="00F063CF">
              <w:rPr>
                <w:rStyle w:val="FootnoteReference"/>
                <w:rFonts w:asciiTheme="majorHAnsi" w:hAnsiTheme="majorHAnsi"/>
                <w:bCs/>
                <w:sz w:val="19"/>
                <w:szCs w:val="19"/>
                <w:lang w:val="es-PA"/>
              </w:rPr>
              <w:footnoteReference w:id="3"/>
            </w:r>
            <w:r w:rsidR="004A6C8C" w:rsidRPr="00F063CF">
              <w:rPr>
                <w:rFonts w:asciiTheme="majorHAnsi" w:hAnsiTheme="majorHAnsi"/>
                <w:bCs/>
                <w:sz w:val="19"/>
                <w:szCs w:val="19"/>
                <w:lang w:val="es-PA"/>
              </w:rPr>
              <w:t xml:space="preserve">, </w:t>
            </w:r>
            <w:r w:rsidRPr="00F063CF">
              <w:rPr>
                <w:rFonts w:asciiTheme="majorHAnsi" w:hAnsiTheme="majorHAnsi"/>
                <w:bCs/>
                <w:sz w:val="19"/>
                <w:szCs w:val="19"/>
                <w:lang w:val="es-PA"/>
              </w:rPr>
              <w:t>no obstante se invoca o</w:t>
            </w:r>
            <w:r w:rsidR="000F1C78" w:rsidRPr="00F063CF">
              <w:rPr>
                <w:rFonts w:asciiTheme="majorHAnsi" w:hAnsiTheme="majorHAnsi"/>
                <w:bCs/>
                <w:sz w:val="19"/>
                <w:szCs w:val="19"/>
                <w:lang w:val="es-PA"/>
              </w:rPr>
              <w:t>tros instrumentos internacionales</w:t>
            </w:r>
            <w:r w:rsidR="000F1C78" w:rsidRPr="00F063CF">
              <w:rPr>
                <w:rStyle w:val="FootnoteReference"/>
                <w:rFonts w:asciiTheme="majorHAnsi" w:hAnsiTheme="majorHAnsi"/>
                <w:bCs/>
                <w:sz w:val="19"/>
                <w:szCs w:val="19"/>
                <w:lang w:val="es-PA"/>
              </w:rPr>
              <w:footnoteReference w:id="4"/>
            </w:r>
          </w:p>
        </w:tc>
      </w:tr>
    </w:tbl>
    <w:p w14:paraId="20263696" w14:textId="77777777" w:rsidR="003239B8" w:rsidRPr="00F063CF" w:rsidRDefault="003239B8" w:rsidP="003239B8">
      <w:pPr>
        <w:spacing w:before="240" w:after="240"/>
        <w:ind w:firstLine="720"/>
        <w:jc w:val="both"/>
        <w:rPr>
          <w:rFonts w:asciiTheme="majorHAnsi" w:hAnsiTheme="majorHAnsi"/>
          <w:b/>
          <w:bCs/>
          <w:sz w:val="19"/>
          <w:szCs w:val="19"/>
          <w:lang w:val="es-ES"/>
        </w:rPr>
      </w:pPr>
      <w:r w:rsidRPr="00F063CF">
        <w:rPr>
          <w:rFonts w:asciiTheme="majorHAnsi" w:hAnsiTheme="majorHAnsi"/>
          <w:b/>
          <w:bCs/>
          <w:sz w:val="19"/>
          <w:szCs w:val="19"/>
          <w:lang w:val="es-ES"/>
        </w:rPr>
        <w:t>II.</w:t>
      </w:r>
      <w:r w:rsidRPr="00F063CF">
        <w:rPr>
          <w:rFonts w:asciiTheme="majorHAnsi" w:hAnsiTheme="majorHAnsi"/>
          <w:b/>
          <w:bCs/>
          <w:sz w:val="19"/>
          <w:szCs w:val="19"/>
          <w:lang w:val="es-ES"/>
        </w:rPr>
        <w:tab/>
        <w:t>TRÁMITE ANTE LA CIDH</w:t>
      </w:r>
      <w:r w:rsidR="008E3BFE" w:rsidRPr="00F063CF">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063CF"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F063CF" w:rsidRDefault="004A6A54" w:rsidP="004A6A54">
            <w:pPr>
              <w:jc w:val="center"/>
              <w:rPr>
                <w:rFonts w:asciiTheme="majorHAnsi" w:hAnsiTheme="majorHAnsi"/>
                <w:b/>
                <w:bCs/>
                <w:color w:val="FFFFFF" w:themeColor="background1"/>
                <w:sz w:val="19"/>
                <w:szCs w:val="19"/>
                <w:lang w:val="es-ES"/>
              </w:rPr>
            </w:pPr>
            <w:r w:rsidRPr="00F063CF">
              <w:rPr>
                <w:rFonts w:asciiTheme="majorHAnsi" w:hAnsiTheme="majorHAnsi"/>
                <w:b/>
                <w:bCs/>
                <w:color w:val="FFFFFF" w:themeColor="background1"/>
                <w:sz w:val="19"/>
                <w:szCs w:val="19"/>
                <w:lang w:val="es-ES"/>
              </w:rPr>
              <w:t>P</w:t>
            </w:r>
            <w:r w:rsidR="004C2312" w:rsidRPr="00F063CF">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13852757" w:rsidR="004C2312" w:rsidRPr="00F063CF" w:rsidRDefault="00C87390" w:rsidP="0031448D">
            <w:pPr>
              <w:jc w:val="both"/>
              <w:rPr>
                <w:rFonts w:asciiTheme="majorHAnsi" w:hAnsiTheme="majorHAnsi"/>
                <w:bCs/>
                <w:sz w:val="19"/>
                <w:szCs w:val="19"/>
                <w:lang w:val="es-ES"/>
              </w:rPr>
            </w:pPr>
            <w:r w:rsidRPr="00F063CF">
              <w:rPr>
                <w:rFonts w:asciiTheme="majorHAnsi" w:hAnsiTheme="majorHAnsi"/>
                <w:bCs/>
                <w:sz w:val="19"/>
                <w:szCs w:val="19"/>
                <w:lang w:val="es-ES"/>
              </w:rPr>
              <w:t xml:space="preserve">19 de junio de 2008  </w:t>
            </w:r>
          </w:p>
        </w:tc>
      </w:tr>
      <w:tr w:rsidR="001E49E7" w:rsidRPr="00F063CF"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F063CF" w:rsidRDefault="001E49E7" w:rsidP="001E49E7">
            <w:pPr>
              <w:jc w:val="center"/>
              <w:rPr>
                <w:rFonts w:asciiTheme="majorHAnsi" w:hAnsiTheme="majorHAnsi"/>
                <w:b/>
                <w:bCs/>
                <w:color w:val="FFFFFF" w:themeColor="background1"/>
                <w:sz w:val="19"/>
                <w:szCs w:val="19"/>
                <w:lang w:val="es-ES"/>
              </w:rPr>
            </w:pPr>
            <w:r w:rsidRPr="00F063CF">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43BA4FDD" w14:textId="70A60624" w:rsidR="001E49E7" w:rsidRPr="00F063CF" w:rsidRDefault="00C87390" w:rsidP="00C87390">
            <w:pPr>
              <w:rPr>
                <w:rFonts w:asciiTheme="majorHAnsi" w:hAnsiTheme="majorHAnsi"/>
                <w:bCs/>
                <w:sz w:val="19"/>
                <w:szCs w:val="19"/>
                <w:lang w:val="es-AR"/>
              </w:rPr>
            </w:pPr>
            <w:r w:rsidRPr="00F063CF">
              <w:rPr>
                <w:rFonts w:asciiTheme="majorHAnsi" w:hAnsiTheme="majorHAnsi"/>
                <w:bCs/>
                <w:sz w:val="19"/>
                <w:szCs w:val="19"/>
                <w:lang w:val="es-AR"/>
              </w:rPr>
              <w:t>3 de octubre de 2016</w:t>
            </w:r>
          </w:p>
        </w:tc>
      </w:tr>
      <w:tr w:rsidR="004C2312" w:rsidRPr="00F063C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F063CF" w:rsidRDefault="004A6A54" w:rsidP="004A6A54">
            <w:pPr>
              <w:jc w:val="center"/>
              <w:rPr>
                <w:rFonts w:asciiTheme="majorHAnsi" w:hAnsiTheme="majorHAnsi"/>
                <w:b/>
                <w:bCs/>
                <w:color w:val="FFFFFF" w:themeColor="background1"/>
                <w:sz w:val="19"/>
                <w:szCs w:val="19"/>
                <w:lang w:val="es-ES"/>
              </w:rPr>
            </w:pPr>
            <w:r w:rsidRPr="00F063CF">
              <w:rPr>
                <w:rFonts w:asciiTheme="majorHAnsi" w:hAnsiTheme="majorHAnsi"/>
                <w:b/>
                <w:color w:val="FFFFFF" w:themeColor="background1"/>
                <w:sz w:val="19"/>
                <w:szCs w:val="19"/>
                <w:lang w:val="es-ES"/>
              </w:rPr>
              <w:t>N</w:t>
            </w:r>
            <w:r w:rsidR="004C2312" w:rsidRPr="00F063CF">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45A617B3" w:rsidR="004C2312" w:rsidRPr="00F063CF" w:rsidRDefault="000E62F3" w:rsidP="0031448D">
            <w:pPr>
              <w:jc w:val="both"/>
              <w:rPr>
                <w:rFonts w:asciiTheme="majorHAnsi" w:hAnsiTheme="majorHAnsi"/>
                <w:bCs/>
                <w:sz w:val="19"/>
                <w:szCs w:val="19"/>
                <w:lang w:val="es-ES"/>
              </w:rPr>
            </w:pPr>
            <w:r w:rsidRPr="00F063CF">
              <w:rPr>
                <w:rFonts w:asciiTheme="majorHAnsi" w:hAnsiTheme="majorHAnsi"/>
                <w:bCs/>
                <w:sz w:val="19"/>
                <w:szCs w:val="19"/>
                <w:lang w:val="es-ES"/>
              </w:rPr>
              <w:t>25 de octubre de 2016</w:t>
            </w:r>
          </w:p>
        </w:tc>
      </w:tr>
      <w:tr w:rsidR="004C2312" w:rsidRPr="00F063CF"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F063CF" w:rsidRDefault="004A6A54" w:rsidP="004A6A54">
            <w:pPr>
              <w:jc w:val="center"/>
              <w:rPr>
                <w:rFonts w:asciiTheme="majorHAnsi" w:hAnsiTheme="majorHAnsi"/>
                <w:b/>
                <w:bCs/>
                <w:color w:val="FFFFFF" w:themeColor="background1"/>
                <w:sz w:val="19"/>
                <w:szCs w:val="19"/>
                <w:lang w:val="es-ES"/>
              </w:rPr>
            </w:pPr>
            <w:r w:rsidRPr="00F063CF">
              <w:rPr>
                <w:rFonts w:asciiTheme="majorHAnsi" w:hAnsiTheme="majorHAnsi"/>
                <w:b/>
                <w:color w:val="FFFFFF" w:themeColor="background1"/>
                <w:sz w:val="19"/>
                <w:szCs w:val="19"/>
                <w:lang w:val="es-ES"/>
              </w:rPr>
              <w:t>P</w:t>
            </w:r>
            <w:r w:rsidR="004C2312" w:rsidRPr="00F063CF">
              <w:rPr>
                <w:rFonts w:asciiTheme="majorHAnsi" w:hAnsiTheme="majorHAnsi"/>
                <w:b/>
                <w:color w:val="FFFFFF" w:themeColor="background1"/>
                <w:sz w:val="19"/>
                <w:szCs w:val="19"/>
                <w:lang w:val="es-ES"/>
              </w:rPr>
              <w:t>rimera respuesta del Estado:</w:t>
            </w:r>
          </w:p>
        </w:tc>
        <w:tc>
          <w:tcPr>
            <w:tcW w:w="5760" w:type="dxa"/>
            <w:vAlign w:val="center"/>
          </w:tcPr>
          <w:p w14:paraId="1972B99E" w14:textId="5D58293E" w:rsidR="004C2312" w:rsidRPr="00F063CF" w:rsidRDefault="00834453" w:rsidP="0031448D">
            <w:pPr>
              <w:jc w:val="both"/>
              <w:rPr>
                <w:rFonts w:asciiTheme="majorHAnsi" w:hAnsiTheme="majorHAnsi"/>
                <w:bCs/>
                <w:sz w:val="19"/>
                <w:szCs w:val="19"/>
                <w:lang w:val="es-ES"/>
              </w:rPr>
            </w:pPr>
            <w:r w:rsidRPr="00F063CF">
              <w:rPr>
                <w:rFonts w:asciiTheme="majorHAnsi" w:hAnsiTheme="majorHAnsi"/>
                <w:bCs/>
                <w:sz w:val="19"/>
                <w:szCs w:val="19"/>
                <w:lang w:val="es-ES"/>
              </w:rPr>
              <w:t>25 de enero de 2017</w:t>
            </w:r>
          </w:p>
        </w:tc>
      </w:tr>
    </w:tbl>
    <w:p w14:paraId="21DAA666" w14:textId="77777777" w:rsidR="003239B8" w:rsidRPr="00F063CF" w:rsidRDefault="003239B8" w:rsidP="003239B8">
      <w:pPr>
        <w:spacing w:before="240" w:after="240"/>
        <w:ind w:firstLine="720"/>
        <w:jc w:val="both"/>
        <w:rPr>
          <w:rFonts w:asciiTheme="majorHAnsi" w:hAnsiTheme="majorHAnsi"/>
          <w:b/>
          <w:bCs/>
          <w:sz w:val="19"/>
          <w:szCs w:val="19"/>
          <w:lang w:val="es-ES"/>
        </w:rPr>
      </w:pPr>
      <w:r w:rsidRPr="00F063CF">
        <w:rPr>
          <w:rFonts w:asciiTheme="majorHAnsi" w:hAnsiTheme="majorHAnsi"/>
          <w:b/>
          <w:bCs/>
          <w:sz w:val="19"/>
          <w:szCs w:val="19"/>
          <w:lang w:val="es-ES"/>
        </w:rPr>
        <w:t xml:space="preserve">III. </w:t>
      </w:r>
      <w:r w:rsidRPr="00F063CF">
        <w:rPr>
          <w:rFonts w:asciiTheme="majorHAnsi" w:hAnsiTheme="majorHAnsi"/>
          <w:b/>
          <w:bCs/>
          <w:sz w:val="19"/>
          <w:szCs w:val="19"/>
          <w:lang w:val="es-ES"/>
        </w:rPr>
        <w:tab/>
        <w:t>COMPETENCIA</w:t>
      </w:r>
      <w:r w:rsidR="00EE00E9" w:rsidRPr="00F063CF">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063CF"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F063CF" w:rsidRDefault="003239B8" w:rsidP="0031448D">
            <w:pPr>
              <w:jc w:val="center"/>
              <w:rPr>
                <w:rFonts w:asciiTheme="majorHAnsi" w:hAnsiTheme="majorHAnsi"/>
                <w:b/>
                <w:bCs/>
                <w:i/>
                <w:color w:val="FFFFFF" w:themeColor="background1"/>
                <w:sz w:val="19"/>
                <w:szCs w:val="19"/>
              </w:rPr>
            </w:pPr>
            <w:r w:rsidRPr="00F063CF">
              <w:rPr>
                <w:rFonts w:asciiTheme="majorHAnsi" w:hAnsiTheme="majorHAnsi"/>
                <w:b/>
                <w:bCs/>
                <w:color w:val="FFFFFF" w:themeColor="background1"/>
                <w:sz w:val="19"/>
                <w:szCs w:val="19"/>
              </w:rPr>
              <w:t>Competencia</w:t>
            </w:r>
            <w:r w:rsidRPr="00F063CF">
              <w:rPr>
                <w:rFonts w:asciiTheme="majorHAnsi" w:hAnsiTheme="majorHAnsi"/>
                <w:b/>
                <w:bCs/>
                <w:i/>
                <w:color w:val="FFFFFF" w:themeColor="background1"/>
                <w:sz w:val="19"/>
                <w:szCs w:val="19"/>
              </w:rPr>
              <w:t xml:space="preserve"> Ratione personae:</w:t>
            </w:r>
          </w:p>
        </w:tc>
        <w:tc>
          <w:tcPr>
            <w:tcW w:w="5760" w:type="dxa"/>
            <w:vAlign w:val="center"/>
          </w:tcPr>
          <w:p w14:paraId="7707F3E9" w14:textId="33B01E4F" w:rsidR="003239B8" w:rsidRPr="00F063CF" w:rsidRDefault="00834453" w:rsidP="0031448D">
            <w:pPr>
              <w:rPr>
                <w:rFonts w:asciiTheme="majorHAnsi" w:hAnsiTheme="majorHAnsi"/>
                <w:bCs/>
                <w:sz w:val="19"/>
                <w:szCs w:val="19"/>
              </w:rPr>
            </w:pPr>
            <w:r w:rsidRPr="00F063CF">
              <w:rPr>
                <w:rFonts w:asciiTheme="majorHAnsi" w:hAnsiTheme="majorHAnsi"/>
                <w:bCs/>
                <w:sz w:val="19"/>
                <w:szCs w:val="19"/>
              </w:rPr>
              <w:t>Sí</w:t>
            </w:r>
          </w:p>
        </w:tc>
      </w:tr>
      <w:tr w:rsidR="003239B8" w:rsidRPr="00F063CF"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F063CF" w:rsidRDefault="003239B8" w:rsidP="0031448D">
            <w:pPr>
              <w:jc w:val="center"/>
              <w:rPr>
                <w:rFonts w:asciiTheme="majorHAnsi" w:hAnsiTheme="majorHAnsi"/>
                <w:b/>
                <w:bCs/>
                <w:color w:val="FFFFFF" w:themeColor="background1"/>
                <w:sz w:val="19"/>
                <w:szCs w:val="19"/>
              </w:rPr>
            </w:pPr>
            <w:r w:rsidRPr="00F063CF">
              <w:rPr>
                <w:rFonts w:asciiTheme="majorHAnsi" w:hAnsiTheme="majorHAnsi"/>
                <w:b/>
                <w:bCs/>
                <w:color w:val="FFFFFF" w:themeColor="background1"/>
                <w:sz w:val="19"/>
                <w:szCs w:val="19"/>
              </w:rPr>
              <w:t>Competencia</w:t>
            </w:r>
            <w:r w:rsidRPr="00F063CF">
              <w:rPr>
                <w:rFonts w:asciiTheme="majorHAnsi" w:hAnsiTheme="majorHAnsi"/>
                <w:b/>
                <w:bCs/>
                <w:i/>
                <w:color w:val="FFFFFF" w:themeColor="background1"/>
                <w:sz w:val="19"/>
                <w:szCs w:val="19"/>
              </w:rPr>
              <w:t xml:space="preserve"> Ratione loci</w:t>
            </w:r>
            <w:r w:rsidRPr="00F063CF">
              <w:rPr>
                <w:rFonts w:asciiTheme="majorHAnsi" w:hAnsiTheme="majorHAnsi"/>
                <w:b/>
                <w:bCs/>
                <w:color w:val="FFFFFF" w:themeColor="background1"/>
                <w:sz w:val="19"/>
                <w:szCs w:val="19"/>
              </w:rPr>
              <w:t>:</w:t>
            </w:r>
          </w:p>
        </w:tc>
        <w:tc>
          <w:tcPr>
            <w:tcW w:w="5760" w:type="dxa"/>
            <w:vAlign w:val="center"/>
          </w:tcPr>
          <w:p w14:paraId="12C931CB" w14:textId="1BEBCF31" w:rsidR="003239B8" w:rsidRPr="00F063CF" w:rsidRDefault="00834453" w:rsidP="0031448D">
            <w:pPr>
              <w:rPr>
                <w:rFonts w:asciiTheme="majorHAnsi" w:hAnsiTheme="majorHAnsi"/>
                <w:bCs/>
                <w:sz w:val="19"/>
                <w:szCs w:val="19"/>
              </w:rPr>
            </w:pPr>
            <w:r w:rsidRPr="00F063CF">
              <w:rPr>
                <w:rFonts w:asciiTheme="majorHAnsi" w:hAnsiTheme="majorHAnsi"/>
                <w:bCs/>
                <w:sz w:val="19"/>
                <w:szCs w:val="19"/>
              </w:rPr>
              <w:t>Sí</w:t>
            </w:r>
          </w:p>
        </w:tc>
      </w:tr>
      <w:tr w:rsidR="003239B8" w:rsidRPr="00F063CF"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F063CF" w:rsidRDefault="003239B8" w:rsidP="0031448D">
            <w:pPr>
              <w:jc w:val="center"/>
              <w:rPr>
                <w:rFonts w:asciiTheme="majorHAnsi" w:hAnsiTheme="majorHAnsi"/>
                <w:b/>
                <w:bCs/>
                <w:color w:val="FFFFFF" w:themeColor="background1"/>
                <w:sz w:val="19"/>
                <w:szCs w:val="19"/>
              </w:rPr>
            </w:pPr>
            <w:r w:rsidRPr="00F063CF">
              <w:rPr>
                <w:rFonts w:asciiTheme="majorHAnsi" w:hAnsiTheme="majorHAnsi"/>
                <w:b/>
                <w:bCs/>
                <w:color w:val="FFFFFF" w:themeColor="background1"/>
                <w:sz w:val="19"/>
                <w:szCs w:val="19"/>
              </w:rPr>
              <w:t>Competencia</w:t>
            </w:r>
            <w:r w:rsidRPr="00F063CF">
              <w:rPr>
                <w:rFonts w:asciiTheme="majorHAnsi" w:hAnsiTheme="majorHAnsi"/>
                <w:b/>
                <w:bCs/>
                <w:i/>
                <w:color w:val="FFFFFF" w:themeColor="background1"/>
                <w:sz w:val="19"/>
                <w:szCs w:val="19"/>
              </w:rPr>
              <w:t xml:space="preserve"> Ratione temporis</w:t>
            </w:r>
            <w:r w:rsidRPr="00F063CF">
              <w:rPr>
                <w:rFonts w:asciiTheme="majorHAnsi" w:hAnsiTheme="majorHAnsi"/>
                <w:b/>
                <w:bCs/>
                <w:color w:val="FFFFFF" w:themeColor="background1"/>
                <w:sz w:val="19"/>
                <w:szCs w:val="19"/>
              </w:rPr>
              <w:t>:</w:t>
            </w:r>
          </w:p>
        </w:tc>
        <w:tc>
          <w:tcPr>
            <w:tcW w:w="5760" w:type="dxa"/>
            <w:vAlign w:val="center"/>
          </w:tcPr>
          <w:p w14:paraId="6F8B059B" w14:textId="64DC6335" w:rsidR="003239B8" w:rsidRPr="00F063CF" w:rsidRDefault="00834453" w:rsidP="0031448D">
            <w:pPr>
              <w:rPr>
                <w:rFonts w:asciiTheme="majorHAnsi" w:hAnsiTheme="majorHAnsi"/>
                <w:bCs/>
                <w:sz w:val="19"/>
                <w:szCs w:val="19"/>
              </w:rPr>
            </w:pPr>
            <w:r w:rsidRPr="00F063CF">
              <w:rPr>
                <w:rFonts w:asciiTheme="majorHAnsi" w:hAnsiTheme="majorHAnsi"/>
                <w:bCs/>
                <w:sz w:val="19"/>
                <w:szCs w:val="19"/>
              </w:rPr>
              <w:t>Sí</w:t>
            </w:r>
          </w:p>
        </w:tc>
      </w:tr>
      <w:tr w:rsidR="003239B8" w:rsidRPr="005239F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F063CF" w:rsidRDefault="003239B8" w:rsidP="0031448D">
            <w:pPr>
              <w:jc w:val="center"/>
              <w:rPr>
                <w:rFonts w:asciiTheme="majorHAnsi" w:hAnsiTheme="majorHAnsi"/>
                <w:b/>
                <w:bCs/>
                <w:color w:val="FFFFFF" w:themeColor="background1"/>
                <w:sz w:val="19"/>
                <w:szCs w:val="19"/>
              </w:rPr>
            </w:pPr>
            <w:r w:rsidRPr="00F063CF">
              <w:rPr>
                <w:rFonts w:asciiTheme="majorHAnsi" w:hAnsiTheme="majorHAnsi"/>
                <w:b/>
                <w:bCs/>
                <w:color w:val="FFFFFF" w:themeColor="background1"/>
                <w:sz w:val="19"/>
                <w:szCs w:val="19"/>
              </w:rPr>
              <w:t>Competencia</w:t>
            </w:r>
            <w:r w:rsidRPr="00F063CF">
              <w:rPr>
                <w:rFonts w:asciiTheme="majorHAnsi" w:hAnsiTheme="majorHAnsi"/>
                <w:b/>
                <w:bCs/>
                <w:i/>
                <w:color w:val="FFFFFF" w:themeColor="background1"/>
                <w:sz w:val="19"/>
                <w:szCs w:val="19"/>
              </w:rPr>
              <w:t xml:space="preserve"> Ratione materia</w:t>
            </w:r>
            <w:r w:rsidR="00EE00E9" w:rsidRPr="00F063CF">
              <w:rPr>
                <w:rFonts w:asciiTheme="majorHAnsi" w:hAnsiTheme="majorHAnsi"/>
                <w:b/>
                <w:bCs/>
                <w:i/>
                <w:color w:val="FFFFFF" w:themeColor="background1"/>
                <w:sz w:val="19"/>
                <w:szCs w:val="19"/>
              </w:rPr>
              <w:t>e</w:t>
            </w:r>
            <w:r w:rsidRPr="00F063CF">
              <w:rPr>
                <w:rFonts w:asciiTheme="majorHAnsi" w:hAnsiTheme="majorHAnsi"/>
                <w:b/>
                <w:bCs/>
                <w:color w:val="FFFFFF" w:themeColor="background1"/>
                <w:sz w:val="19"/>
                <w:szCs w:val="19"/>
              </w:rPr>
              <w:t>:</w:t>
            </w:r>
          </w:p>
        </w:tc>
        <w:tc>
          <w:tcPr>
            <w:tcW w:w="5760" w:type="dxa"/>
            <w:vAlign w:val="center"/>
          </w:tcPr>
          <w:p w14:paraId="0C122F44" w14:textId="2BAB2D64" w:rsidR="003239B8" w:rsidRPr="00F063CF" w:rsidRDefault="00834453" w:rsidP="00E8657B">
            <w:pPr>
              <w:jc w:val="both"/>
              <w:rPr>
                <w:rFonts w:asciiTheme="majorHAnsi" w:hAnsiTheme="majorHAnsi"/>
                <w:bCs/>
                <w:sz w:val="19"/>
                <w:szCs w:val="19"/>
                <w:lang w:val="es-ES"/>
              </w:rPr>
            </w:pPr>
            <w:r w:rsidRPr="00F063CF">
              <w:rPr>
                <w:rFonts w:asciiTheme="majorHAnsi" w:hAnsiTheme="majorHAnsi"/>
                <w:bCs/>
                <w:sz w:val="19"/>
                <w:szCs w:val="19"/>
                <w:lang w:val="es-ES"/>
              </w:rPr>
              <w:t>S</w:t>
            </w:r>
            <w:r w:rsidR="00E84136" w:rsidRPr="00F063CF">
              <w:rPr>
                <w:rFonts w:asciiTheme="majorHAnsi" w:hAnsiTheme="majorHAnsi"/>
                <w:bCs/>
                <w:sz w:val="19"/>
                <w:szCs w:val="19"/>
                <w:lang w:val="es-ES"/>
              </w:rPr>
              <w:t>í, Convención Americana (depósito de instrumento realizado el 28 de julio de 1978)</w:t>
            </w:r>
          </w:p>
        </w:tc>
      </w:tr>
    </w:tbl>
    <w:p w14:paraId="4E92C444" w14:textId="1DAF1B79" w:rsidR="003239B8" w:rsidRPr="00F063CF" w:rsidRDefault="003239B8" w:rsidP="003239B8">
      <w:pPr>
        <w:spacing w:before="240" w:after="240"/>
        <w:ind w:firstLine="720"/>
        <w:jc w:val="both"/>
        <w:rPr>
          <w:rFonts w:asciiTheme="majorHAnsi" w:hAnsiTheme="majorHAnsi"/>
          <w:b/>
          <w:bCs/>
          <w:sz w:val="19"/>
          <w:szCs w:val="19"/>
          <w:lang w:val="es-ES"/>
        </w:rPr>
      </w:pPr>
      <w:r w:rsidRPr="00F063CF">
        <w:rPr>
          <w:rFonts w:asciiTheme="majorHAnsi" w:hAnsiTheme="majorHAnsi"/>
          <w:b/>
          <w:bCs/>
          <w:sz w:val="19"/>
          <w:szCs w:val="19"/>
          <w:lang w:val="es-ES"/>
        </w:rPr>
        <w:t xml:space="preserve">IV. </w:t>
      </w:r>
      <w:r w:rsidRPr="00F063CF">
        <w:rPr>
          <w:rFonts w:asciiTheme="majorHAnsi" w:hAnsiTheme="majorHAnsi"/>
          <w:b/>
          <w:bCs/>
          <w:sz w:val="19"/>
          <w:szCs w:val="19"/>
          <w:lang w:val="es-ES"/>
        </w:rPr>
        <w:tab/>
      </w:r>
      <w:r w:rsidR="00EE00E9" w:rsidRPr="00F063CF">
        <w:rPr>
          <w:rFonts w:asciiTheme="majorHAnsi" w:hAnsiTheme="majorHAnsi"/>
          <w:b/>
          <w:bCs/>
          <w:sz w:val="19"/>
          <w:szCs w:val="19"/>
          <w:lang w:val="es-ES"/>
        </w:rPr>
        <w:t>DUPLICACIÓN</w:t>
      </w:r>
      <w:r w:rsidR="00EE00E9" w:rsidRPr="00F063CF">
        <w:rPr>
          <w:rFonts w:asciiTheme="majorHAnsi" w:hAnsiTheme="majorHAnsi"/>
          <w:b/>
          <w:bCs/>
          <w:color w:val="FFFFFF" w:themeColor="background1"/>
          <w:sz w:val="19"/>
          <w:szCs w:val="19"/>
          <w:lang w:val="es-ES"/>
        </w:rPr>
        <w:t xml:space="preserve"> </w:t>
      </w:r>
      <w:r w:rsidR="00EE00E9" w:rsidRPr="00F063CF">
        <w:rPr>
          <w:rFonts w:asciiTheme="majorHAnsi" w:hAnsiTheme="majorHAnsi"/>
          <w:b/>
          <w:bCs/>
          <w:sz w:val="19"/>
          <w:szCs w:val="19"/>
          <w:lang w:val="es-ES"/>
        </w:rPr>
        <w:t>DE PROCEDIMIENTOS Y COSA JUZGADA</w:t>
      </w:r>
      <w:r w:rsidR="00EE00E9" w:rsidRPr="00F063CF">
        <w:rPr>
          <w:rFonts w:asciiTheme="majorHAnsi" w:hAnsiTheme="majorHAnsi"/>
          <w:b/>
          <w:bCs/>
          <w:i/>
          <w:sz w:val="19"/>
          <w:szCs w:val="19"/>
          <w:lang w:val="es-ES"/>
        </w:rPr>
        <w:t xml:space="preserve"> </w:t>
      </w:r>
      <w:r w:rsidR="00EE00E9" w:rsidRPr="00F063CF">
        <w:rPr>
          <w:rFonts w:asciiTheme="majorHAnsi" w:hAnsiTheme="majorHAnsi"/>
          <w:b/>
          <w:bCs/>
          <w:sz w:val="19"/>
          <w:szCs w:val="19"/>
          <w:lang w:val="es-ES"/>
        </w:rPr>
        <w:t xml:space="preserve">INTERNACIONAL, </w:t>
      </w:r>
      <w:r w:rsidRPr="00F063CF">
        <w:rPr>
          <w:rFonts w:asciiTheme="majorHAnsi" w:hAnsiTheme="majorHAnsi"/>
          <w:b/>
          <w:bCs/>
          <w:sz w:val="19"/>
          <w:szCs w:val="19"/>
          <w:lang w:val="es-ES"/>
        </w:rPr>
        <w:t xml:space="preserve"> CARACTERIZACIÓN, </w:t>
      </w:r>
      <w:r w:rsidRPr="00F063CF">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239F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F063CF" w:rsidRDefault="00EE00E9" w:rsidP="0031448D">
            <w:pPr>
              <w:jc w:val="center"/>
              <w:rPr>
                <w:rFonts w:asciiTheme="majorHAnsi" w:hAnsiTheme="majorHAnsi"/>
                <w:b/>
                <w:bCs/>
                <w:color w:val="FFFFFF" w:themeColor="background1"/>
                <w:sz w:val="19"/>
                <w:szCs w:val="19"/>
                <w:lang w:val="es-ES"/>
              </w:rPr>
            </w:pPr>
            <w:r w:rsidRPr="00F063CF">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3D6EF6DC" w:rsidR="00EE00E9" w:rsidRPr="00F063CF" w:rsidRDefault="00824571" w:rsidP="00824571">
            <w:pPr>
              <w:jc w:val="both"/>
              <w:rPr>
                <w:rFonts w:asciiTheme="majorHAnsi" w:hAnsiTheme="majorHAnsi"/>
                <w:bCs/>
                <w:sz w:val="19"/>
                <w:szCs w:val="19"/>
                <w:lang w:val="es-ES"/>
              </w:rPr>
            </w:pPr>
            <w:r w:rsidRPr="00F063CF">
              <w:rPr>
                <w:rFonts w:asciiTheme="majorHAnsi" w:hAnsiTheme="majorHAnsi"/>
                <w:bCs/>
                <w:sz w:val="19"/>
                <w:szCs w:val="19"/>
                <w:lang w:val="es-ES"/>
              </w:rPr>
              <w:t>P</w:t>
            </w:r>
            <w:r w:rsidR="00673EE9" w:rsidRPr="00F063CF">
              <w:rPr>
                <w:rFonts w:asciiTheme="majorHAnsi" w:hAnsiTheme="majorHAnsi"/>
                <w:bCs/>
                <w:sz w:val="19"/>
                <w:szCs w:val="19"/>
                <w:lang w:val="es-ES"/>
              </w:rPr>
              <w:t xml:space="preserve">arcial, </w:t>
            </w:r>
            <w:r w:rsidR="00CF01B3" w:rsidRPr="00F063CF">
              <w:rPr>
                <w:rFonts w:asciiTheme="majorHAnsi" w:hAnsiTheme="majorHAnsi"/>
                <w:bCs/>
                <w:sz w:val="19"/>
                <w:szCs w:val="19"/>
                <w:lang w:val="es-ES"/>
              </w:rPr>
              <w:t>en los términos de la sección VII</w:t>
            </w:r>
          </w:p>
        </w:tc>
      </w:tr>
      <w:tr w:rsidR="003239B8" w:rsidRPr="005239F7"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F063CF" w:rsidRDefault="003239B8" w:rsidP="0031448D">
            <w:pPr>
              <w:jc w:val="center"/>
              <w:rPr>
                <w:rFonts w:asciiTheme="majorHAnsi" w:hAnsiTheme="majorHAnsi"/>
                <w:b/>
                <w:bCs/>
                <w:i/>
                <w:color w:val="FFFFFF" w:themeColor="background1"/>
                <w:sz w:val="19"/>
                <w:szCs w:val="19"/>
              </w:rPr>
            </w:pPr>
            <w:r w:rsidRPr="00F063CF">
              <w:rPr>
                <w:rFonts w:asciiTheme="majorHAnsi" w:hAnsiTheme="majorHAnsi"/>
                <w:b/>
                <w:bCs/>
                <w:color w:val="FFFFFF" w:themeColor="background1"/>
                <w:sz w:val="19"/>
                <w:szCs w:val="19"/>
              </w:rPr>
              <w:t xml:space="preserve">Derechos </w:t>
            </w:r>
            <w:proofErr w:type="spellStart"/>
            <w:r w:rsidRPr="00F063CF">
              <w:rPr>
                <w:rFonts w:asciiTheme="majorHAnsi" w:hAnsiTheme="majorHAnsi"/>
                <w:b/>
                <w:bCs/>
                <w:color w:val="FFFFFF" w:themeColor="background1"/>
                <w:sz w:val="19"/>
                <w:szCs w:val="19"/>
              </w:rPr>
              <w:t>declarados</w:t>
            </w:r>
            <w:proofErr w:type="spellEnd"/>
            <w:r w:rsidRPr="00F063CF">
              <w:rPr>
                <w:rFonts w:asciiTheme="majorHAnsi" w:hAnsiTheme="majorHAnsi"/>
                <w:b/>
                <w:bCs/>
                <w:color w:val="FFFFFF" w:themeColor="background1"/>
                <w:sz w:val="19"/>
                <w:szCs w:val="19"/>
              </w:rPr>
              <w:t xml:space="preserve"> </w:t>
            </w:r>
            <w:proofErr w:type="spellStart"/>
            <w:r w:rsidRPr="00F063CF">
              <w:rPr>
                <w:rFonts w:asciiTheme="majorHAnsi" w:hAnsiTheme="majorHAnsi"/>
                <w:b/>
                <w:bCs/>
                <w:color w:val="FFFFFF" w:themeColor="background1"/>
                <w:sz w:val="19"/>
                <w:szCs w:val="19"/>
              </w:rPr>
              <w:t>admisibles</w:t>
            </w:r>
            <w:proofErr w:type="spellEnd"/>
            <w:r w:rsidRPr="00F063CF">
              <w:rPr>
                <w:rFonts w:asciiTheme="majorHAnsi" w:hAnsiTheme="majorHAnsi"/>
                <w:b/>
                <w:bCs/>
                <w:i/>
                <w:color w:val="FFFFFF" w:themeColor="background1"/>
                <w:sz w:val="19"/>
                <w:szCs w:val="19"/>
              </w:rPr>
              <w:t>:</w:t>
            </w:r>
          </w:p>
        </w:tc>
        <w:tc>
          <w:tcPr>
            <w:tcW w:w="5760" w:type="dxa"/>
            <w:vAlign w:val="center"/>
          </w:tcPr>
          <w:p w14:paraId="6310C8F7" w14:textId="5DB9E743" w:rsidR="003239B8" w:rsidRPr="00F063CF" w:rsidRDefault="00573F77" w:rsidP="0031448D">
            <w:pPr>
              <w:jc w:val="both"/>
              <w:rPr>
                <w:rFonts w:asciiTheme="majorHAnsi" w:hAnsiTheme="majorHAnsi"/>
                <w:bCs/>
                <w:sz w:val="19"/>
                <w:szCs w:val="19"/>
                <w:lang w:val="es-PA"/>
              </w:rPr>
            </w:pPr>
            <w:r w:rsidRPr="00F063CF">
              <w:rPr>
                <w:rFonts w:asciiTheme="majorHAnsi" w:hAnsiTheme="majorHAnsi"/>
                <w:bCs/>
                <w:sz w:val="19"/>
                <w:szCs w:val="19"/>
                <w:lang w:val="es-PA"/>
              </w:rPr>
              <w:t>Artículos</w:t>
            </w:r>
            <w:r w:rsidR="00A244B8" w:rsidRPr="00F063CF">
              <w:rPr>
                <w:rFonts w:asciiTheme="majorHAnsi" w:hAnsiTheme="majorHAnsi"/>
                <w:bCs/>
                <w:sz w:val="19"/>
                <w:szCs w:val="19"/>
                <w:lang w:val="es-PA"/>
              </w:rPr>
              <w:t xml:space="preserve"> </w:t>
            </w:r>
            <w:r w:rsidR="00005AB5" w:rsidRPr="00F063CF">
              <w:rPr>
                <w:rFonts w:asciiTheme="majorHAnsi" w:hAnsiTheme="majorHAnsi"/>
                <w:bCs/>
                <w:sz w:val="19"/>
                <w:szCs w:val="19"/>
                <w:lang w:val="es-PA"/>
              </w:rPr>
              <w:t xml:space="preserve">5 (integridad personal), </w:t>
            </w:r>
            <w:r w:rsidR="00A244B8" w:rsidRPr="00F063CF">
              <w:rPr>
                <w:rFonts w:asciiTheme="majorHAnsi" w:hAnsiTheme="majorHAnsi"/>
                <w:bCs/>
                <w:sz w:val="19"/>
                <w:szCs w:val="19"/>
                <w:lang w:val="es-PA"/>
              </w:rPr>
              <w:t>8 (garantías judiciales),</w:t>
            </w:r>
            <w:r w:rsidRPr="00F063CF">
              <w:rPr>
                <w:rFonts w:asciiTheme="majorHAnsi" w:hAnsiTheme="majorHAnsi"/>
                <w:bCs/>
                <w:sz w:val="19"/>
                <w:szCs w:val="19"/>
                <w:lang w:val="es-PA"/>
              </w:rPr>
              <w:t xml:space="preserve"> 21 (derecho a  la propiedad), 25 (protección judicial) y 26 (derechos económicos, sociales y culturales) de la Convención Americana en relación</w:t>
            </w:r>
            <w:r w:rsidR="006D6AED" w:rsidRPr="00F063CF">
              <w:rPr>
                <w:rFonts w:asciiTheme="majorHAnsi" w:hAnsiTheme="majorHAnsi"/>
                <w:bCs/>
                <w:sz w:val="19"/>
                <w:szCs w:val="19"/>
                <w:lang w:val="es-PA"/>
              </w:rPr>
              <w:t xml:space="preserve"> con</w:t>
            </w:r>
            <w:r w:rsidRPr="00F063CF">
              <w:rPr>
                <w:rFonts w:asciiTheme="majorHAnsi" w:hAnsiTheme="majorHAnsi"/>
                <w:bCs/>
                <w:sz w:val="19"/>
                <w:szCs w:val="19"/>
                <w:lang w:val="es-PA"/>
              </w:rPr>
              <w:t xml:space="preserve"> su</w:t>
            </w:r>
            <w:r w:rsidR="003D6164" w:rsidRPr="00F063CF">
              <w:rPr>
                <w:rFonts w:asciiTheme="majorHAnsi" w:hAnsiTheme="majorHAnsi"/>
                <w:bCs/>
                <w:sz w:val="19"/>
                <w:szCs w:val="19"/>
                <w:lang w:val="es-PA"/>
              </w:rPr>
              <w:t>s</w:t>
            </w:r>
            <w:r w:rsidRPr="00F063CF">
              <w:rPr>
                <w:rFonts w:asciiTheme="majorHAnsi" w:hAnsiTheme="majorHAnsi"/>
                <w:bCs/>
                <w:sz w:val="19"/>
                <w:szCs w:val="19"/>
                <w:lang w:val="es-PA"/>
              </w:rPr>
              <w:t xml:space="preserve"> artículo</w:t>
            </w:r>
            <w:r w:rsidR="003D6164" w:rsidRPr="00F063CF">
              <w:rPr>
                <w:rFonts w:asciiTheme="majorHAnsi" w:hAnsiTheme="majorHAnsi"/>
                <w:bCs/>
                <w:sz w:val="19"/>
                <w:szCs w:val="19"/>
                <w:lang w:val="es-PA"/>
              </w:rPr>
              <w:t>s</w:t>
            </w:r>
            <w:r w:rsidRPr="00F063CF">
              <w:rPr>
                <w:rFonts w:asciiTheme="majorHAnsi" w:hAnsiTheme="majorHAnsi"/>
                <w:bCs/>
                <w:sz w:val="19"/>
                <w:szCs w:val="19"/>
                <w:lang w:val="es-PA"/>
              </w:rPr>
              <w:t xml:space="preserve"> 1</w:t>
            </w:r>
            <w:r w:rsidR="00DF62C7" w:rsidRPr="00F063CF">
              <w:rPr>
                <w:rFonts w:asciiTheme="majorHAnsi" w:hAnsiTheme="majorHAnsi"/>
                <w:bCs/>
                <w:sz w:val="19"/>
                <w:szCs w:val="19"/>
                <w:lang w:val="es-PA"/>
              </w:rPr>
              <w:t>.1</w:t>
            </w:r>
            <w:r w:rsidRPr="00F063CF">
              <w:rPr>
                <w:rFonts w:asciiTheme="majorHAnsi" w:hAnsiTheme="majorHAnsi"/>
                <w:bCs/>
                <w:sz w:val="19"/>
                <w:szCs w:val="19"/>
                <w:lang w:val="es-PA"/>
              </w:rPr>
              <w:t xml:space="preserve"> (obligación de respetar derechos)</w:t>
            </w:r>
            <w:r w:rsidR="003D6164" w:rsidRPr="00F063CF">
              <w:rPr>
                <w:rFonts w:asciiTheme="majorHAnsi" w:hAnsiTheme="majorHAnsi"/>
                <w:bCs/>
                <w:sz w:val="19"/>
                <w:szCs w:val="19"/>
                <w:lang w:val="es-PA"/>
              </w:rPr>
              <w:t xml:space="preserve"> y 2 (obligación de adoptar disposiciones de derecho interno)</w:t>
            </w:r>
            <w:r w:rsidRPr="00F063CF">
              <w:rPr>
                <w:rFonts w:asciiTheme="majorHAnsi" w:hAnsiTheme="majorHAnsi"/>
                <w:bCs/>
                <w:sz w:val="19"/>
                <w:szCs w:val="19"/>
                <w:lang w:val="es-PA"/>
              </w:rPr>
              <w:t xml:space="preserve"> </w:t>
            </w:r>
          </w:p>
        </w:tc>
      </w:tr>
      <w:tr w:rsidR="003239B8" w:rsidRPr="005239F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F063CF" w:rsidRDefault="003239B8" w:rsidP="0031448D">
            <w:pPr>
              <w:jc w:val="center"/>
              <w:rPr>
                <w:rFonts w:asciiTheme="majorHAnsi" w:hAnsiTheme="majorHAnsi"/>
                <w:b/>
                <w:bCs/>
                <w:color w:val="FFFFFF" w:themeColor="background1"/>
                <w:sz w:val="19"/>
                <w:szCs w:val="19"/>
                <w:lang w:val="es-ES"/>
              </w:rPr>
            </w:pPr>
            <w:r w:rsidRPr="00F063CF">
              <w:rPr>
                <w:rFonts w:asciiTheme="majorHAnsi" w:hAnsiTheme="majorHAnsi"/>
                <w:b/>
                <w:bCs/>
                <w:color w:val="FFFFFF" w:themeColor="background1"/>
                <w:sz w:val="19"/>
                <w:szCs w:val="19"/>
                <w:lang w:val="es-ES"/>
              </w:rPr>
              <w:t>Agotamiento de recursos internos</w:t>
            </w:r>
            <w:r w:rsidR="00EE00E9" w:rsidRPr="00F063CF">
              <w:rPr>
                <w:rFonts w:asciiTheme="majorHAnsi" w:hAnsiTheme="majorHAnsi"/>
                <w:b/>
                <w:bCs/>
                <w:color w:val="FFFFFF" w:themeColor="background1"/>
                <w:sz w:val="19"/>
                <w:szCs w:val="19"/>
                <w:lang w:val="es-ES"/>
              </w:rPr>
              <w:t xml:space="preserve"> o procedencia de una excepción</w:t>
            </w:r>
            <w:r w:rsidRPr="00F063CF">
              <w:rPr>
                <w:rFonts w:asciiTheme="majorHAnsi" w:hAnsiTheme="majorHAnsi"/>
                <w:b/>
                <w:bCs/>
                <w:color w:val="FFFFFF" w:themeColor="background1"/>
                <w:sz w:val="19"/>
                <w:szCs w:val="19"/>
                <w:lang w:val="es-ES"/>
              </w:rPr>
              <w:t>:</w:t>
            </w:r>
          </w:p>
        </w:tc>
        <w:tc>
          <w:tcPr>
            <w:tcW w:w="5760" w:type="dxa"/>
            <w:vAlign w:val="center"/>
          </w:tcPr>
          <w:p w14:paraId="69C53E8A" w14:textId="5BAEA6FE" w:rsidR="003239B8" w:rsidRPr="00F063CF" w:rsidRDefault="00BC71C8" w:rsidP="0031448D">
            <w:pPr>
              <w:rPr>
                <w:rFonts w:asciiTheme="majorHAnsi" w:hAnsiTheme="majorHAnsi"/>
                <w:bCs/>
                <w:sz w:val="19"/>
                <w:szCs w:val="19"/>
                <w:lang w:val="es-ES"/>
              </w:rPr>
            </w:pPr>
            <w:r w:rsidRPr="00F063CF">
              <w:rPr>
                <w:rFonts w:asciiTheme="majorHAnsi" w:hAnsiTheme="majorHAnsi"/>
                <w:bCs/>
                <w:sz w:val="19"/>
                <w:szCs w:val="19"/>
                <w:lang w:val="es-ES"/>
              </w:rPr>
              <w:t>Sí, aplica la excepción del artículo 46.2c de la Convención</w:t>
            </w:r>
          </w:p>
        </w:tc>
      </w:tr>
      <w:tr w:rsidR="003239B8" w:rsidRPr="005239F7"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F063CF" w:rsidRDefault="003239B8" w:rsidP="0031448D">
            <w:pPr>
              <w:jc w:val="center"/>
              <w:rPr>
                <w:rFonts w:asciiTheme="majorHAnsi" w:hAnsiTheme="majorHAnsi"/>
                <w:b/>
                <w:bCs/>
                <w:color w:val="FFFFFF" w:themeColor="background1"/>
                <w:sz w:val="19"/>
                <w:szCs w:val="19"/>
              </w:rPr>
            </w:pPr>
            <w:proofErr w:type="spellStart"/>
            <w:r w:rsidRPr="00F063CF">
              <w:rPr>
                <w:rFonts w:asciiTheme="majorHAnsi" w:hAnsiTheme="majorHAnsi"/>
                <w:b/>
                <w:bCs/>
                <w:color w:val="FFFFFF" w:themeColor="background1"/>
                <w:sz w:val="19"/>
                <w:szCs w:val="19"/>
              </w:rPr>
              <w:t>Presentación</w:t>
            </w:r>
            <w:proofErr w:type="spellEnd"/>
            <w:r w:rsidRPr="00F063CF">
              <w:rPr>
                <w:rFonts w:asciiTheme="majorHAnsi" w:hAnsiTheme="majorHAnsi"/>
                <w:b/>
                <w:bCs/>
                <w:color w:val="FFFFFF" w:themeColor="background1"/>
                <w:sz w:val="19"/>
                <w:szCs w:val="19"/>
              </w:rPr>
              <w:t xml:space="preserve"> </w:t>
            </w:r>
            <w:proofErr w:type="spellStart"/>
            <w:r w:rsidRPr="00F063CF">
              <w:rPr>
                <w:rFonts w:asciiTheme="majorHAnsi" w:hAnsiTheme="majorHAnsi"/>
                <w:b/>
                <w:bCs/>
                <w:color w:val="FFFFFF" w:themeColor="background1"/>
                <w:sz w:val="19"/>
                <w:szCs w:val="19"/>
              </w:rPr>
              <w:t>dentro</w:t>
            </w:r>
            <w:proofErr w:type="spellEnd"/>
            <w:r w:rsidRPr="00F063CF">
              <w:rPr>
                <w:rFonts w:asciiTheme="majorHAnsi" w:hAnsiTheme="majorHAnsi"/>
                <w:b/>
                <w:bCs/>
                <w:color w:val="FFFFFF" w:themeColor="background1"/>
                <w:sz w:val="19"/>
                <w:szCs w:val="19"/>
              </w:rPr>
              <w:t xml:space="preserve"> de </w:t>
            </w:r>
            <w:proofErr w:type="spellStart"/>
            <w:r w:rsidRPr="00F063CF">
              <w:rPr>
                <w:rFonts w:asciiTheme="majorHAnsi" w:hAnsiTheme="majorHAnsi"/>
                <w:b/>
                <w:bCs/>
                <w:color w:val="FFFFFF" w:themeColor="background1"/>
                <w:sz w:val="19"/>
                <w:szCs w:val="19"/>
              </w:rPr>
              <w:t>plazo</w:t>
            </w:r>
            <w:proofErr w:type="spellEnd"/>
            <w:r w:rsidRPr="00F063CF">
              <w:rPr>
                <w:rFonts w:asciiTheme="majorHAnsi" w:hAnsiTheme="majorHAnsi"/>
                <w:b/>
                <w:bCs/>
                <w:color w:val="FFFFFF" w:themeColor="background1"/>
                <w:sz w:val="19"/>
                <w:szCs w:val="19"/>
              </w:rPr>
              <w:t>:</w:t>
            </w:r>
          </w:p>
        </w:tc>
        <w:tc>
          <w:tcPr>
            <w:tcW w:w="5760" w:type="dxa"/>
            <w:vAlign w:val="center"/>
          </w:tcPr>
          <w:p w14:paraId="4A2A4569" w14:textId="52A2662E" w:rsidR="003239B8" w:rsidRPr="00F063CF" w:rsidRDefault="00BC71C8" w:rsidP="0031448D">
            <w:pPr>
              <w:rPr>
                <w:rFonts w:asciiTheme="majorHAnsi" w:hAnsiTheme="majorHAnsi"/>
                <w:bCs/>
                <w:sz w:val="19"/>
                <w:szCs w:val="19"/>
                <w:lang w:val="es-PA"/>
              </w:rPr>
            </w:pPr>
            <w:r w:rsidRPr="00F063CF">
              <w:rPr>
                <w:rFonts w:asciiTheme="majorHAnsi" w:hAnsiTheme="majorHAnsi"/>
                <w:bCs/>
                <w:sz w:val="19"/>
                <w:szCs w:val="19"/>
                <w:lang w:val="es-PA"/>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8D2AD65" w14:textId="283C37FF" w:rsidR="00714570" w:rsidRDefault="00AA255D" w:rsidP="007145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Sr. Rogelio Torres Suárez (en adelante “el peticionario” o “la presunta víctima”) </w:t>
      </w:r>
      <w:r w:rsidR="00000EDC">
        <w:rPr>
          <w:rFonts w:ascii="Cambria" w:hAnsi="Cambria"/>
          <w:sz w:val="20"/>
          <w:szCs w:val="20"/>
          <w:lang w:val="es-PA"/>
        </w:rPr>
        <w:t>laboró en el Poder Judicial desde el 22 de octubre de 1969 hasta el 12 de julio de 2001</w:t>
      </w:r>
      <w:r w:rsidR="00E21082">
        <w:rPr>
          <w:rFonts w:ascii="Cambria" w:hAnsi="Cambria"/>
          <w:sz w:val="20"/>
          <w:szCs w:val="20"/>
          <w:lang w:val="es-PA"/>
        </w:rPr>
        <w:t>,</w:t>
      </w:r>
      <w:r w:rsidR="00000EDC">
        <w:rPr>
          <w:rFonts w:ascii="Cambria" w:hAnsi="Cambria"/>
          <w:sz w:val="20"/>
          <w:szCs w:val="20"/>
          <w:lang w:val="es-PA"/>
        </w:rPr>
        <w:t xml:space="preserve"> cuando el Consejo Nacional de la Magistratura no lo ratificó en el cargo de Vocal Superior Titular del Distrito Judicial de Junín.</w:t>
      </w:r>
      <w:r w:rsidR="0080660C">
        <w:rPr>
          <w:rFonts w:ascii="Cambria" w:hAnsi="Cambria"/>
          <w:sz w:val="20"/>
          <w:szCs w:val="20"/>
          <w:lang w:val="es-PA"/>
        </w:rPr>
        <w:t xml:space="preserve"> </w:t>
      </w:r>
      <w:r w:rsidR="0080660C" w:rsidRPr="00714570">
        <w:rPr>
          <w:rFonts w:ascii="Cambria" w:hAnsi="Cambria"/>
          <w:sz w:val="20"/>
          <w:szCs w:val="20"/>
          <w:lang w:val="es-PA"/>
        </w:rPr>
        <w:t>Producto de su cese de labores</w:t>
      </w:r>
      <w:r w:rsidR="009B1650">
        <w:rPr>
          <w:rFonts w:ascii="Cambria" w:hAnsi="Cambria"/>
          <w:sz w:val="20"/>
          <w:szCs w:val="20"/>
          <w:lang w:val="es-PA"/>
        </w:rPr>
        <w:t>,</w:t>
      </w:r>
      <w:r w:rsidR="0080660C" w:rsidRPr="00714570">
        <w:rPr>
          <w:rFonts w:ascii="Cambria" w:hAnsi="Cambria"/>
          <w:sz w:val="20"/>
          <w:szCs w:val="20"/>
          <w:lang w:val="es-PA"/>
        </w:rPr>
        <w:t xml:space="preserve"> se determinó a favor del peticionario una pensión de 6507.07 Soles</w:t>
      </w:r>
      <w:r w:rsidR="009B1650">
        <w:rPr>
          <w:rStyle w:val="FootnoteReference"/>
          <w:rFonts w:ascii="Cambria" w:hAnsi="Cambria"/>
          <w:sz w:val="20"/>
          <w:szCs w:val="20"/>
          <w:lang w:val="es-PA"/>
        </w:rPr>
        <w:footnoteReference w:id="6"/>
      </w:r>
      <w:r w:rsidR="0080660C" w:rsidRPr="00714570">
        <w:rPr>
          <w:rFonts w:ascii="Cambria" w:hAnsi="Cambria"/>
          <w:sz w:val="20"/>
          <w:szCs w:val="20"/>
          <w:lang w:val="es-PA"/>
        </w:rPr>
        <w:t xml:space="preserve"> mensuales a partir del 12 de julio de 2001 (Resolución No. 793-2002-GPEJ-GG-PJ de la Gerencia de Personal y Escalafón Judicial] y una compensación por tiempo d</w:t>
      </w:r>
      <w:r w:rsidR="00CF01B3">
        <w:rPr>
          <w:rFonts w:ascii="Cambria" w:hAnsi="Cambria"/>
          <w:sz w:val="20"/>
          <w:szCs w:val="20"/>
          <w:lang w:val="es-PA"/>
        </w:rPr>
        <w:t>e servicios de 195,152.10 Soles</w:t>
      </w:r>
      <w:r w:rsidR="0080660C" w:rsidRPr="00714570">
        <w:rPr>
          <w:rFonts w:ascii="Cambria" w:hAnsi="Cambria"/>
          <w:sz w:val="20"/>
          <w:szCs w:val="20"/>
          <w:lang w:val="es-PA"/>
        </w:rPr>
        <w:t xml:space="preserve">. </w:t>
      </w:r>
    </w:p>
    <w:p w14:paraId="5352D35F" w14:textId="2E3C9B3F" w:rsidR="00174310" w:rsidRDefault="00154C47" w:rsidP="00807A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14570">
        <w:rPr>
          <w:rFonts w:ascii="Cambria" w:hAnsi="Cambria"/>
          <w:sz w:val="20"/>
          <w:szCs w:val="20"/>
          <w:lang w:val="es-PA"/>
        </w:rPr>
        <w:lastRenderedPageBreak/>
        <w:t>E</w:t>
      </w:r>
      <w:r w:rsidR="001424C2" w:rsidRPr="00714570">
        <w:rPr>
          <w:rFonts w:ascii="Cambria" w:hAnsi="Cambria"/>
          <w:sz w:val="20"/>
          <w:szCs w:val="20"/>
          <w:lang w:val="es-PA"/>
        </w:rPr>
        <w:t>l peticionario</w:t>
      </w:r>
      <w:r w:rsidR="005611D6" w:rsidRPr="00714570">
        <w:rPr>
          <w:rFonts w:ascii="Cambria" w:hAnsi="Cambria"/>
          <w:sz w:val="20"/>
          <w:szCs w:val="20"/>
          <w:lang w:val="es-PA"/>
        </w:rPr>
        <w:t xml:space="preserve"> señala que</w:t>
      </w:r>
      <w:r w:rsidR="00714570">
        <w:rPr>
          <w:rFonts w:ascii="Cambria" w:hAnsi="Cambria"/>
          <w:sz w:val="20"/>
          <w:szCs w:val="20"/>
          <w:lang w:val="es-PA"/>
        </w:rPr>
        <w:t>,</w:t>
      </w:r>
      <w:r w:rsidR="005611D6" w:rsidRPr="00714570">
        <w:rPr>
          <w:rFonts w:ascii="Cambria" w:hAnsi="Cambria"/>
          <w:sz w:val="20"/>
          <w:szCs w:val="20"/>
          <w:lang w:val="es-PA"/>
        </w:rPr>
        <w:t xml:space="preserve"> desde el inició de su condición de pensionista, sólo recibía pagos de 3.489.38 Soles mensuales</w:t>
      </w:r>
      <w:r w:rsidR="00714570">
        <w:rPr>
          <w:rFonts w:ascii="Cambria" w:hAnsi="Cambria"/>
          <w:sz w:val="20"/>
          <w:szCs w:val="20"/>
          <w:lang w:val="es-PA"/>
        </w:rPr>
        <w:t>,</w:t>
      </w:r>
      <w:r w:rsidR="005611D6" w:rsidRPr="00714570">
        <w:rPr>
          <w:rFonts w:ascii="Cambria" w:hAnsi="Cambria"/>
          <w:sz w:val="20"/>
          <w:szCs w:val="20"/>
          <w:lang w:val="es-PA"/>
        </w:rPr>
        <w:t xml:space="preserve"> quedando una diferencia de 3,015.69 Soles mensuales con respecto a la pensión </w:t>
      </w:r>
      <w:r w:rsidR="00714570">
        <w:rPr>
          <w:rFonts w:ascii="Cambria" w:hAnsi="Cambria"/>
          <w:sz w:val="20"/>
          <w:szCs w:val="20"/>
          <w:lang w:val="es-PA"/>
        </w:rPr>
        <w:t>reconocida</w:t>
      </w:r>
      <w:r w:rsidR="00574B5B">
        <w:rPr>
          <w:rFonts w:ascii="Cambria" w:hAnsi="Cambria"/>
          <w:sz w:val="20"/>
          <w:szCs w:val="20"/>
          <w:lang w:val="es-PA"/>
        </w:rPr>
        <w:t>. Por est</w:t>
      </w:r>
      <w:r w:rsidR="006D6AED">
        <w:rPr>
          <w:rFonts w:ascii="Cambria" w:hAnsi="Cambria"/>
          <w:sz w:val="20"/>
          <w:szCs w:val="20"/>
          <w:lang w:val="es-PA"/>
        </w:rPr>
        <w:t>e</w:t>
      </w:r>
      <w:r w:rsidR="00574B5B">
        <w:rPr>
          <w:rFonts w:ascii="Cambria" w:hAnsi="Cambria"/>
          <w:sz w:val="20"/>
          <w:szCs w:val="20"/>
          <w:lang w:val="es-PA"/>
        </w:rPr>
        <w:t xml:space="preserve"> motivo,</w:t>
      </w:r>
      <w:r w:rsidR="005611D6" w:rsidRPr="00714570">
        <w:rPr>
          <w:rFonts w:ascii="Cambria" w:hAnsi="Cambria"/>
          <w:sz w:val="20"/>
          <w:szCs w:val="20"/>
          <w:lang w:val="es-PA"/>
        </w:rPr>
        <w:t xml:space="preserve"> recurrió a la vía judicial obteniendo el 4 de octubre de 2002 una sentencia favorable que ordenó el pago de la deuda por devengados y el pago ín</w:t>
      </w:r>
      <w:r w:rsidR="00DF62C7">
        <w:rPr>
          <w:rFonts w:ascii="Cambria" w:hAnsi="Cambria"/>
          <w:sz w:val="20"/>
          <w:szCs w:val="20"/>
          <w:lang w:val="es-PA"/>
        </w:rPr>
        <w:t>tegro de su pensión de cesantía.</w:t>
      </w:r>
      <w:r w:rsidR="005611D6" w:rsidRPr="00714570">
        <w:rPr>
          <w:rFonts w:ascii="Cambria" w:hAnsi="Cambria"/>
          <w:sz w:val="20"/>
          <w:szCs w:val="20"/>
          <w:lang w:val="es-PA"/>
        </w:rPr>
        <w:t xml:space="preserve">  </w:t>
      </w:r>
      <w:r w:rsidR="00825254" w:rsidRPr="00714570">
        <w:rPr>
          <w:rFonts w:ascii="Cambria" w:hAnsi="Cambria"/>
          <w:sz w:val="20"/>
          <w:szCs w:val="20"/>
          <w:lang w:val="es-PA"/>
        </w:rPr>
        <w:t xml:space="preserve">También </w:t>
      </w:r>
      <w:r w:rsidR="00D262BD" w:rsidRPr="00714570">
        <w:rPr>
          <w:rFonts w:ascii="Cambria" w:hAnsi="Cambria"/>
          <w:sz w:val="20"/>
          <w:szCs w:val="20"/>
          <w:lang w:val="es-PA"/>
        </w:rPr>
        <w:t xml:space="preserve">indica </w:t>
      </w:r>
      <w:r w:rsidR="007859C1" w:rsidRPr="00714570">
        <w:rPr>
          <w:rFonts w:ascii="Cambria" w:hAnsi="Cambria"/>
          <w:sz w:val="20"/>
          <w:szCs w:val="20"/>
          <w:lang w:val="es-PA"/>
        </w:rPr>
        <w:t>que</w:t>
      </w:r>
      <w:r w:rsidR="00FA7FC3" w:rsidRPr="00714570">
        <w:rPr>
          <w:rFonts w:ascii="Cambria" w:hAnsi="Cambria"/>
          <w:sz w:val="20"/>
          <w:szCs w:val="20"/>
          <w:lang w:val="es-PA"/>
        </w:rPr>
        <w:t xml:space="preserve"> no se le había hecho efectivo el pago correspondiente a la compensación por tiempo de servicios</w:t>
      </w:r>
      <w:r w:rsidR="000A0C6C" w:rsidRPr="00714570">
        <w:rPr>
          <w:rFonts w:ascii="Cambria" w:hAnsi="Cambria"/>
          <w:sz w:val="20"/>
          <w:szCs w:val="20"/>
          <w:lang w:val="es-PA"/>
        </w:rPr>
        <w:t xml:space="preserve">, por lo que </w:t>
      </w:r>
      <w:r w:rsidR="00E4081A">
        <w:rPr>
          <w:rFonts w:ascii="Cambria" w:hAnsi="Cambria"/>
          <w:sz w:val="20"/>
          <w:szCs w:val="20"/>
          <w:lang w:val="es-PA"/>
        </w:rPr>
        <w:t>presentó una</w:t>
      </w:r>
      <w:r w:rsidR="00574B5B">
        <w:rPr>
          <w:rFonts w:ascii="Cambria" w:hAnsi="Cambria"/>
          <w:sz w:val="20"/>
          <w:szCs w:val="20"/>
          <w:lang w:val="es-PA"/>
        </w:rPr>
        <w:t xml:space="preserve"> acción de cumplimiento</w:t>
      </w:r>
      <w:r w:rsidR="000A0C6C" w:rsidRPr="00714570">
        <w:rPr>
          <w:rFonts w:ascii="Cambria" w:hAnsi="Cambria"/>
          <w:sz w:val="20"/>
          <w:szCs w:val="20"/>
          <w:lang w:val="es-PA"/>
        </w:rPr>
        <w:t xml:space="preserve"> a la</w:t>
      </w:r>
      <w:r w:rsidR="00D262BD" w:rsidRPr="00714570">
        <w:rPr>
          <w:rFonts w:ascii="Cambria" w:hAnsi="Cambria"/>
          <w:sz w:val="20"/>
          <w:szCs w:val="20"/>
          <w:lang w:val="es-PA"/>
        </w:rPr>
        <w:t xml:space="preserve"> Sexta Sala Civil de la Corte Superior de Justicia de Lima</w:t>
      </w:r>
      <w:r w:rsidR="00574B5B">
        <w:rPr>
          <w:rFonts w:ascii="Cambria" w:hAnsi="Cambria"/>
          <w:sz w:val="20"/>
          <w:szCs w:val="20"/>
          <w:lang w:val="es-PA"/>
        </w:rPr>
        <w:t>,</w:t>
      </w:r>
      <w:r w:rsidR="000A0C6C" w:rsidRPr="00714570">
        <w:rPr>
          <w:rFonts w:ascii="Cambria" w:hAnsi="Cambria"/>
          <w:sz w:val="20"/>
          <w:szCs w:val="20"/>
          <w:lang w:val="es-PA"/>
        </w:rPr>
        <w:t xml:space="preserve"> </w:t>
      </w:r>
      <w:r w:rsidR="00D72D34" w:rsidRPr="00714570">
        <w:rPr>
          <w:rFonts w:ascii="Cambria" w:hAnsi="Cambria"/>
          <w:sz w:val="20"/>
          <w:szCs w:val="20"/>
          <w:lang w:val="es-PA"/>
        </w:rPr>
        <w:t>la cual ordenó mediante resoluci</w:t>
      </w:r>
      <w:r w:rsidR="0035461C" w:rsidRPr="00714570">
        <w:rPr>
          <w:rFonts w:ascii="Cambria" w:hAnsi="Cambria"/>
          <w:sz w:val="20"/>
          <w:szCs w:val="20"/>
          <w:lang w:val="es-PA"/>
        </w:rPr>
        <w:t>ón de 14 de enero de 2003</w:t>
      </w:r>
      <w:r w:rsidR="00D72D34" w:rsidRPr="00714570">
        <w:rPr>
          <w:rFonts w:ascii="Cambria" w:hAnsi="Cambria"/>
          <w:sz w:val="20"/>
          <w:szCs w:val="20"/>
          <w:lang w:val="es-PA"/>
        </w:rPr>
        <w:t xml:space="preserve"> el pago de la suma diferencial de 195,152.10 Soles.</w:t>
      </w:r>
      <w:r w:rsidR="00825254" w:rsidRPr="00714570">
        <w:rPr>
          <w:rFonts w:ascii="Cambria" w:hAnsi="Cambria"/>
          <w:sz w:val="20"/>
          <w:szCs w:val="20"/>
          <w:lang w:val="es-PA"/>
        </w:rPr>
        <w:t xml:space="preserve"> </w:t>
      </w:r>
      <w:r w:rsidR="00E626A0" w:rsidRPr="00807AA3">
        <w:rPr>
          <w:rFonts w:ascii="Cambria" w:hAnsi="Cambria"/>
          <w:sz w:val="20"/>
          <w:szCs w:val="20"/>
          <w:lang w:val="es-PA"/>
        </w:rPr>
        <w:t xml:space="preserve">Mediante Cartas No. 602-2003-BP-SRB-GPEJ-GG-PJ de 14 de abril de 2003 y 681-2003-BP-SRB-GPEJ-GG-PJ de 7 de mayo de 2003, el Gerente de Personal y Escalafón Judicial </w:t>
      </w:r>
      <w:r w:rsidR="00F2778C" w:rsidRPr="00807AA3">
        <w:rPr>
          <w:rFonts w:ascii="Cambria" w:hAnsi="Cambria"/>
          <w:sz w:val="20"/>
          <w:szCs w:val="20"/>
          <w:lang w:val="es-PA"/>
        </w:rPr>
        <w:t>del Poder Judicial informó al peticionario que</w:t>
      </w:r>
      <w:r w:rsidR="00574B5B" w:rsidRPr="00807AA3">
        <w:rPr>
          <w:rFonts w:ascii="Cambria" w:hAnsi="Cambria"/>
          <w:sz w:val="20"/>
          <w:szCs w:val="20"/>
          <w:lang w:val="es-PA"/>
        </w:rPr>
        <w:t>,</w:t>
      </w:r>
      <w:r w:rsidR="00F2778C" w:rsidRPr="00807AA3">
        <w:rPr>
          <w:rFonts w:ascii="Cambria" w:hAnsi="Cambria"/>
          <w:sz w:val="20"/>
          <w:szCs w:val="20"/>
          <w:lang w:val="es-PA"/>
        </w:rPr>
        <w:t xml:space="preserve"> en virtud de lo dispuesto por el Decreto Supremo No. 175-2002-EF</w:t>
      </w:r>
      <w:r w:rsidR="00574B5B" w:rsidRPr="00807AA3">
        <w:rPr>
          <w:rFonts w:ascii="Cambria" w:hAnsi="Cambria"/>
          <w:sz w:val="20"/>
          <w:szCs w:val="20"/>
          <w:lang w:val="es-PA"/>
        </w:rPr>
        <w:t>,</w:t>
      </w:r>
      <w:r w:rsidR="00F2778C" w:rsidRPr="00807AA3">
        <w:rPr>
          <w:rFonts w:ascii="Cambria" w:hAnsi="Cambria"/>
          <w:sz w:val="20"/>
          <w:szCs w:val="20"/>
          <w:lang w:val="es-PA"/>
        </w:rPr>
        <w:t xml:space="preserve"> los pagos ordenados por estas sentencias serían considerados para el año 2004, por no contar el Poder Judicial con posibilidad de financiamiento</w:t>
      </w:r>
      <w:r w:rsidR="00DF62C7">
        <w:rPr>
          <w:rFonts w:ascii="Cambria" w:hAnsi="Cambria"/>
          <w:sz w:val="20"/>
          <w:szCs w:val="20"/>
          <w:lang w:val="es-PA"/>
        </w:rPr>
        <w:t xml:space="preserve"> en el Ejercicio Presupuestal. </w:t>
      </w:r>
      <w:r w:rsidR="00327842">
        <w:rPr>
          <w:rFonts w:ascii="Cambria" w:hAnsi="Cambria"/>
          <w:sz w:val="20"/>
          <w:szCs w:val="20"/>
          <w:lang w:val="es-PA"/>
        </w:rPr>
        <w:t>Agrega que continuó la falta de pago por lo que interpuso una acción de ejecución de resolución administrativa ante el Juzgado Laboral de Hua</w:t>
      </w:r>
      <w:r w:rsidR="00FD4F67">
        <w:rPr>
          <w:rFonts w:ascii="Cambria" w:hAnsi="Cambria"/>
          <w:sz w:val="20"/>
          <w:szCs w:val="20"/>
          <w:lang w:val="es-PA"/>
        </w:rPr>
        <w:t>ncayo el cual emitió resolución de 3 de enero de 2008 ordenando al Poder Judicial la nivelación de la pensión de cesantía y el pago total de la suma adeudada por devengados</w:t>
      </w:r>
      <w:r w:rsidR="00174310">
        <w:rPr>
          <w:rFonts w:ascii="Cambria" w:hAnsi="Cambria"/>
          <w:sz w:val="20"/>
          <w:szCs w:val="20"/>
          <w:lang w:val="es-PA"/>
        </w:rPr>
        <w:t>.</w:t>
      </w:r>
    </w:p>
    <w:p w14:paraId="56F72238" w14:textId="293CFEE4" w:rsidR="001424C2" w:rsidRPr="00807AA3" w:rsidRDefault="00E4081A" w:rsidP="00807A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En su última</w:t>
      </w:r>
      <w:r w:rsidR="00714B2C">
        <w:rPr>
          <w:rFonts w:ascii="Cambria" w:hAnsi="Cambria"/>
          <w:sz w:val="20"/>
          <w:szCs w:val="20"/>
          <w:lang w:val="es-PA"/>
        </w:rPr>
        <w:t xml:space="preserve"> </w:t>
      </w:r>
      <w:r>
        <w:rPr>
          <w:rFonts w:ascii="Cambria" w:hAnsi="Cambria"/>
          <w:sz w:val="20"/>
          <w:szCs w:val="20"/>
          <w:lang w:val="es-PA"/>
        </w:rPr>
        <w:t>comunicación, del 21 de septiembre de 2016, e</w:t>
      </w:r>
      <w:r w:rsidR="00DF62C7">
        <w:rPr>
          <w:rFonts w:ascii="Cambria" w:hAnsi="Cambria"/>
          <w:sz w:val="20"/>
          <w:szCs w:val="20"/>
          <w:lang w:val="es-PA"/>
        </w:rPr>
        <w:t xml:space="preserve">l peticionario alega </w:t>
      </w:r>
      <w:r w:rsidR="00294829">
        <w:rPr>
          <w:rFonts w:ascii="Cambria" w:hAnsi="Cambria"/>
          <w:sz w:val="20"/>
          <w:szCs w:val="20"/>
          <w:lang w:val="es-PA"/>
        </w:rPr>
        <w:t>que</w:t>
      </w:r>
      <w:r w:rsidR="00DF62C7">
        <w:rPr>
          <w:rFonts w:ascii="Cambria" w:hAnsi="Cambria"/>
          <w:sz w:val="20"/>
          <w:szCs w:val="20"/>
          <w:lang w:val="es-PA"/>
        </w:rPr>
        <w:t>,</w:t>
      </w:r>
      <w:r w:rsidR="00294829">
        <w:rPr>
          <w:rFonts w:ascii="Cambria" w:hAnsi="Cambria"/>
          <w:sz w:val="20"/>
          <w:szCs w:val="20"/>
          <w:lang w:val="es-PA"/>
        </w:rPr>
        <w:t xml:space="preserve"> pese a las sentencias definitivas a su favor, el Estado no ha cumplido a totalidad con los pagos</w:t>
      </w:r>
      <w:r w:rsidR="008537A1">
        <w:rPr>
          <w:rFonts w:ascii="Cambria" w:hAnsi="Cambria"/>
          <w:sz w:val="20"/>
          <w:szCs w:val="20"/>
          <w:lang w:val="es-PA"/>
        </w:rPr>
        <w:t>,</w:t>
      </w:r>
      <w:r w:rsidR="00294829">
        <w:rPr>
          <w:rFonts w:ascii="Cambria" w:hAnsi="Cambria"/>
          <w:sz w:val="20"/>
          <w:szCs w:val="20"/>
          <w:lang w:val="es-PA"/>
        </w:rPr>
        <w:t xml:space="preserve"> quedando pendiente de pago algunos montos sobre devengados</w:t>
      </w:r>
      <w:r>
        <w:rPr>
          <w:rFonts w:ascii="Cambria" w:hAnsi="Cambria"/>
          <w:sz w:val="20"/>
          <w:szCs w:val="20"/>
          <w:lang w:val="es-PA"/>
        </w:rPr>
        <w:t>.</w:t>
      </w:r>
      <w:r w:rsidR="006F3139">
        <w:rPr>
          <w:rFonts w:ascii="Cambria" w:hAnsi="Cambria"/>
          <w:sz w:val="20"/>
          <w:szCs w:val="20"/>
          <w:lang w:val="es-PA"/>
        </w:rPr>
        <w:t xml:space="preserve"> Tambi</w:t>
      </w:r>
      <w:r w:rsidR="00ED3C7F">
        <w:rPr>
          <w:rFonts w:ascii="Cambria" w:hAnsi="Cambria"/>
          <w:sz w:val="20"/>
          <w:szCs w:val="20"/>
          <w:lang w:val="es-PA"/>
        </w:rPr>
        <w:t>én aduce que el Estado ha intentado sustentar su falta de pago en normas</w:t>
      </w:r>
      <w:r w:rsidR="003C2AB4">
        <w:rPr>
          <w:rFonts w:ascii="Cambria" w:hAnsi="Cambria"/>
          <w:sz w:val="20"/>
          <w:szCs w:val="20"/>
          <w:lang w:val="es-PA"/>
        </w:rPr>
        <w:t xml:space="preserve"> presupu</w:t>
      </w:r>
      <w:r w:rsidR="00762700">
        <w:rPr>
          <w:rFonts w:ascii="Cambria" w:hAnsi="Cambria"/>
          <w:sz w:val="20"/>
          <w:szCs w:val="20"/>
          <w:lang w:val="es-PA"/>
        </w:rPr>
        <w:t>estaria</w:t>
      </w:r>
      <w:r w:rsidR="003C2AB4">
        <w:rPr>
          <w:rFonts w:ascii="Cambria" w:hAnsi="Cambria"/>
          <w:sz w:val="20"/>
          <w:szCs w:val="20"/>
          <w:lang w:val="es-PA"/>
        </w:rPr>
        <w:t xml:space="preserve">s </w:t>
      </w:r>
      <w:r w:rsidR="00ED3C7F">
        <w:rPr>
          <w:rFonts w:ascii="Cambria" w:hAnsi="Cambria"/>
          <w:sz w:val="20"/>
          <w:szCs w:val="20"/>
          <w:lang w:val="es-PA"/>
        </w:rPr>
        <w:t xml:space="preserve">posteriores que no son retroactivas y que no son aplicables al pago de beneficios sociales. Agrega, que </w:t>
      </w:r>
      <w:r w:rsidR="006F3139">
        <w:rPr>
          <w:rFonts w:ascii="Cambria" w:hAnsi="Cambria"/>
          <w:sz w:val="20"/>
          <w:szCs w:val="20"/>
          <w:lang w:val="es-PA"/>
        </w:rPr>
        <w:t>la falta de pago le ha causado grave perjuicios, afectándole en su capacidad de</w:t>
      </w:r>
      <w:r w:rsidR="008537A1">
        <w:rPr>
          <w:rFonts w:ascii="Cambria" w:hAnsi="Cambria"/>
          <w:sz w:val="20"/>
          <w:szCs w:val="20"/>
          <w:lang w:val="es-PA"/>
        </w:rPr>
        <w:t xml:space="preserve"> apoyar económicamente a su familia y de</w:t>
      </w:r>
      <w:r w:rsidR="006F3139">
        <w:rPr>
          <w:rFonts w:ascii="Cambria" w:hAnsi="Cambria"/>
          <w:sz w:val="20"/>
          <w:szCs w:val="20"/>
          <w:lang w:val="es-PA"/>
        </w:rPr>
        <w:t xml:space="preserve"> atender </w:t>
      </w:r>
      <w:r w:rsidR="008537A1">
        <w:rPr>
          <w:rFonts w:ascii="Cambria" w:hAnsi="Cambria"/>
          <w:sz w:val="20"/>
          <w:szCs w:val="20"/>
          <w:lang w:val="es-PA"/>
        </w:rPr>
        <w:t xml:space="preserve">la delicada salud suya y de su esposa. </w:t>
      </w:r>
    </w:p>
    <w:p w14:paraId="4A159FAB" w14:textId="5D1BCBEE" w:rsidR="00714570" w:rsidRDefault="008537A1" w:rsidP="007145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Por otra parte, </w:t>
      </w:r>
      <w:r w:rsidR="00C2283A">
        <w:rPr>
          <w:rFonts w:ascii="Cambria" w:hAnsi="Cambria"/>
          <w:sz w:val="20"/>
          <w:szCs w:val="20"/>
          <w:lang w:val="es-PA"/>
        </w:rPr>
        <w:t>el 14 de octubre de</w:t>
      </w:r>
      <w:r w:rsidR="00714570" w:rsidRPr="0080660C">
        <w:rPr>
          <w:rFonts w:ascii="Cambria" w:hAnsi="Cambria"/>
          <w:sz w:val="20"/>
          <w:szCs w:val="20"/>
          <w:lang w:val="es-PA"/>
        </w:rPr>
        <w:t xml:space="preserve"> 2003 el peticionario presentó ante </w:t>
      </w:r>
      <w:r w:rsidR="00DF62C7">
        <w:rPr>
          <w:rFonts w:ascii="Cambria" w:hAnsi="Cambria"/>
          <w:sz w:val="20"/>
          <w:szCs w:val="20"/>
          <w:lang w:val="es-PA"/>
        </w:rPr>
        <w:t xml:space="preserve">la CIDH </w:t>
      </w:r>
      <w:r w:rsidR="00744A09">
        <w:rPr>
          <w:rFonts w:ascii="Cambria" w:hAnsi="Cambria"/>
          <w:sz w:val="20"/>
          <w:szCs w:val="20"/>
          <w:lang w:val="es-PA"/>
        </w:rPr>
        <w:t>la</w:t>
      </w:r>
      <w:r w:rsidR="00714570" w:rsidRPr="0080660C">
        <w:rPr>
          <w:rFonts w:ascii="Cambria" w:hAnsi="Cambria"/>
          <w:sz w:val="20"/>
          <w:szCs w:val="20"/>
          <w:lang w:val="es-PA"/>
        </w:rPr>
        <w:t xml:space="preserve"> petición </w:t>
      </w:r>
      <w:r w:rsidR="00744A09">
        <w:rPr>
          <w:rFonts w:ascii="Cambria" w:hAnsi="Cambria"/>
          <w:sz w:val="20"/>
          <w:szCs w:val="20"/>
          <w:lang w:val="es-PA"/>
        </w:rPr>
        <w:t xml:space="preserve">P-847-03 </w:t>
      </w:r>
      <w:r w:rsidR="00714570" w:rsidRPr="0080660C">
        <w:rPr>
          <w:rFonts w:ascii="Cambria" w:hAnsi="Cambria"/>
          <w:sz w:val="20"/>
          <w:szCs w:val="20"/>
          <w:lang w:val="es-PA"/>
        </w:rPr>
        <w:t xml:space="preserve">relacionada con violaciones a los derechos humanos cometidas por el Estado en el contexto de su no ratificación, la cual fue acumulada a la </w:t>
      </w:r>
      <w:r w:rsidR="00BD421B">
        <w:rPr>
          <w:rFonts w:ascii="Cambria" w:hAnsi="Cambria"/>
          <w:sz w:val="20"/>
          <w:szCs w:val="20"/>
          <w:lang w:val="es-PA"/>
        </w:rPr>
        <w:t>P-119-03</w:t>
      </w:r>
      <w:r w:rsidR="001F138A">
        <w:rPr>
          <w:rFonts w:ascii="Cambria" w:hAnsi="Cambria"/>
          <w:sz w:val="20"/>
          <w:szCs w:val="20"/>
          <w:lang w:val="es-PA"/>
        </w:rPr>
        <w:t xml:space="preserve"> presentada el 7 de febrero de 2003</w:t>
      </w:r>
      <w:r w:rsidR="00714570" w:rsidRPr="0080660C">
        <w:rPr>
          <w:rFonts w:ascii="Cambria" w:hAnsi="Cambria"/>
          <w:sz w:val="20"/>
          <w:szCs w:val="20"/>
          <w:lang w:val="es-PA"/>
        </w:rPr>
        <w:t xml:space="preserve">. Mediante acuerdo de solución amistosa </w:t>
      </w:r>
      <w:r w:rsidR="00714570" w:rsidRPr="000F4B09">
        <w:rPr>
          <w:rFonts w:ascii="Cambria" w:hAnsi="Cambria"/>
          <w:sz w:val="20"/>
          <w:szCs w:val="20"/>
          <w:lang w:val="es-PA"/>
        </w:rPr>
        <w:t>R.S. No 261-2005-JUS,</w:t>
      </w:r>
      <w:r w:rsidR="00714570" w:rsidRPr="0080660C">
        <w:rPr>
          <w:rFonts w:ascii="Cambria" w:hAnsi="Cambria"/>
          <w:sz w:val="20"/>
          <w:szCs w:val="20"/>
          <w:lang w:val="es-PA"/>
        </w:rPr>
        <w:t xml:space="preserve"> aprobado por esta Comisión</w:t>
      </w:r>
      <w:r w:rsidR="007C7910">
        <w:rPr>
          <w:rStyle w:val="FootnoteReference"/>
          <w:rFonts w:ascii="Cambria" w:hAnsi="Cambria"/>
          <w:sz w:val="20"/>
          <w:szCs w:val="20"/>
          <w:lang w:val="es-PA"/>
        </w:rPr>
        <w:footnoteReference w:id="7"/>
      </w:r>
      <w:r w:rsidR="006629A1">
        <w:rPr>
          <w:rFonts w:ascii="Cambria" w:hAnsi="Cambria"/>
          <w:sz w:val="20"/>
          <w:szCs w:val="20"/>
          <w:lang w:val="es-PA"/>
        </w:rPr>
        <w:t>,</w:t>
      </w:r>
      <w:r w:rsidR="00714570" w:rsidRPr="0080660C">
        <w:rPr>
          <w:rFonts w:ascii="Cambria" w:hAnsi="Cambria"/>
          <w:sz w:val="20"/>
          <w:szCs w:val="20"/>
          <w:lang w:val="es-PA"/>
        </w:rPr>
        <w:t xml:space="preserve"> el Estado reconoció que el proceso que llevó a la no ratificación del peticionario “</w:t>
      </w:r>
      <w:r w:rsidR="00714570" w:rsidRPr="00BD421B">
        <w:rPr>
          <w:rFonts w:ascii="Cambria" w:hAnsi="Cambria"/>
          <w:i/>
          <w:sz w:val="20"/>
          <w:szCs w:val="20"/>
          <w:lang w:val="es-PA"/>
        </w:rPr>
        <w:t>no incorporó ciertas garantías de la Tutela Procesal Efectiva, particularmente la exigencia de resolución motivada</w:t>
      </w:r>
      <w:r w:rsidR="00714570" w:rsidRPr="0080660C">
        <w:rPr>
          <w:rFonts w:ascii="Cambria" w:hAnsi="Cambria"/>
          <w:sz w:val="20"/>
          <w:szCs w:val="20"/>
          <w:lang w:val="es-PA"/>
        </w:rPr>
        <w:t>”. En este acuerdo, el Estado se comprometió a “</w:t>
      </w:r>
      <w:r w:rsidR="00714570" w:rsidRPr="00BD421B">
        <w:rPr>
          <w:rFonts w:ascii="Cambria" w:hAnsi="Cambria"/>
          <w:i/>
          <w:sz w:val="20"/>
          <w:szCs w:val="20"/>
          <w:lang w:val="es-PA"/>
        </w:rPr>
        <w:t>reconocer el tiempo de servicios no laborados contados desde la fecha de la Resolución de no ratificación, para los efectos del cómputo de su tiempo de servicios, jubilación, y demás beneficios laborales que le corresponden conforme a la ley peruana</w:t>
      </w:r>
      <w:r w:rsidR="00714570" w:rsidRPr="0080660C">
        <w:rPr>
          <w:rFonts w:ascii="Cambria" w:hAnsi="Cambria"/>
          <w:sz w:val="20"/>
          <w:szCs w:val="20"/>
          <w:lang w:val="es-PA"/>
        </w:rPr>
        <w:t xml:space="preserve">” y reconoció el derecho del peticionario a recurrir a la vía interna por cualquier monto indemnizatorio que resultare procedente.   </w:t>
      </w:r>
    </w:p>
    <w:p w14:paraId="54878D86" w14:textId="7095DF6D" w:rsidR="00A11E44" w:rsidRDefault="00CA3DB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peticionario </w:t>
      </w:r>
      <w:r w:rsidR="00ED3C7F">
        <w:rPr>
          <w:rFonts w:ascii="Cambria" w:hAnsi="Cambria"/>
          <w:sz w:val="20"/>
          <w:szCs w:val="20"/>
          <w:lang w:val="es-PA"/>
        </w:rPr>
        <w:t>señala</w:t>
      </w:r>
      <w:r w:rsidR="00BD421B">
        <w:rPr>
          <w:rFonts w:ascii="Cambria" w:hAnsi="Cambria"/>
          <w:sz w:val="20"/>
          <w:szCs w:val="20"/>
          <w:lang w:val="es-PA"/>
        </w:rPr>
        <w:t xml:space="preserve"> que</w:t>
      </w:r>
      <w:r w:rsidR="00744A09">
        <w:rPr>
          <w:rFonts w:ascii="Cambria" w:hAnsi="Cambria"/>
          <w:sz w:val="20"/>
          <w:szCs w:val="20"/>
          <w:lang w:val="es-PA"/>
        </w:rPr>
        <w:t>,</w:t>
      </w:r>
      <w:r w:rsidR="00BD421B">
        <w:rPr>
          <w:rFonts w:ascii="Cambria" w:hAnsi="Cambria"/>
          <w:sz w:val="20"/>
          <w:szCs w:val="20"/>
          <w:lang w:val="es-PA"/>
        </w:rPr>
        <w:t xml:space="preserve"> en cumplimiento del acuerdo de solución a</w:t>
      </w:r>
      <w:r>
        <w:rPr>
          <w:rFonts w:ascii="Cambria" w:hAnsi="Cambria"/>
          <w:sz w:val="20"/>
          <w:szCs w:val="20"/>
          <w:lang w:val="es-PA"/>
        </w:rPr>
        <w:t xml:space="preserve">mistosa, el Consejo Nacional de la Magistratura emitió Resolución de 20 de abril de 2006 dejando sin efecto la resolución por la cual no había sido ratificado y disponiendo </w:t>
      </w:r>
      <w:r w:rsidR="00ED3C7F">
        <w:rPr>
          <w:rFonts w:ascii="Cambria" w:hAnsi="Cambria"/>
          <w:sz w:val="20"/>
          <w:szCs w:val="20"/>
          <w:lang w:val="es-PA"/>
        </w:rPr>
        <w:t xml:space="preserve">que el Poder Judicial le reincorporara en la plaza que ocupaba. </w:t>
      </w:r>
      <w:r w:rsidR="00921C70">
        <w:rPr>
          <w:rFonts w:ascii="Cambria" w:hAnsi="Cambria"/>
          <w:sz w:val="20"/>
          <w:szCs w:val="20"/>
          <w:lang w:val="es-PA"/>
        </w:rPr>
        <w:t>Sin embargo, dicha reincorporación no pud</w:t>
      </w:r>
      <w:r w:rsidR="00F03C11">
        <w:rPr>
          <w:rFonts w:ascii="Cambria" w:hAnsi="Cambria"/>
          <w:sz w:val="20"/>
          <w:szCs w:val="20"/>
          <w:lang w:val="es-PA"/>
        </w:rPr>
        <w:t>o</w:t>
      </w:r>
      <w:r w:rsidR="00921C70">
        <w:rPr>
          <w:rFonts w:ascii="Cambria" w:hAnsi="Cambria"/>
          <w:sz w:val="20"/>
          <w:szCs w:val="20"/>
          <w:lang w:val="es-PA"/>
        </w:rPr>
        <w:t xml:space="preserve"> hacerse efectiva</w:t>
      </w:r>
      <w:r w:rsidR="00BD421B">
        <w:rPr>
          <w:rFonts w:ascii="Cambria" w:hAnsi="Cambria"/>
          <w:sz w:val="20"/>
          <w:szCs w:val="20"/>
          <w:lang w:val="es-PA"/>
        </w:rPr>
        <w:t>,</w:t>
      </w:r>
      <w:r w:rsidR="00921C70">
        <w:rPr>
          <w:rFonts w:ascii="Cambria" w:hAnsi="Cambria"/>
          <w:sz w:val="20"/>
          <w:szCs w:val="20"/>
          <w:lang w:val="es-PA"/>
        </w:rPr>
        <w:t xml:space="preserve"> toda vez que</w:t>
      </w:r>
      <w:r w:rsidR="0020715F">
        <w:rPr>
          <w:rFonts w:ascii="Cambria" w:hAnsi="Cambria"/>
          <w:sz w:val="20"/>
          <w:szCs w:val="20"/>
          <w:lang w:val="es-PA"/>
        </w:rPr>
        <w:t xml:space="preserve"> </w:t>
      </w:r>
      <w:r w:rsidR="00BD421B">
        <w:rPr>
          <w:rFonts w:ascii="Cambria" w:hAnsi="Cambria"/>
          <w:sz w:val="20"/>
          <w:szCs w:val="20"/>
          <w:lang w:val="es-PA"/>
        </w:rPr>
        <w:t>cuando</w:t>
      </w:r>
      <w:r w:rsidR="0020715F">
        <w:rPr>
          <w:rFonts w:ascii="Cambria" w:hAnsi="Cambria"/>
          <w:sz w:val="20"/>
          <w:szCs w:val="20"/>
          <w:lang w:val="es-PA"/>
        </w:rPr>
        <w:t xml:space="preserve"> fue ordenada</w:t>
      </w:r>
      <w:r w:rsidR="00921C70">
        <w:rPr>
          <w:rFonts w:ascii="Cambria" w:hAnsi="Cambria"/>
          <w:sz w:val="20"/>
          <w:szCs w:val="20"/>
          <w:lang w:val="es-PA"/>
        </w:rPr>
        <w:t xml:space="preserve"> el peticionario había excedido el límite de </w:t>
      </w:r>
      <w:r w:rsidR="00E4081A">
        <w:rPr>
          <w:rFonts w:ascii="Cambria" w:hAnsi="Cambria"/>
          <w:sz w:val="20"/>
          <w:szCs w:val="20"/>
          <w:lang w:val="es-PA"/>
        </w:rPr>
        <w:t xml:space="preserve">setenta </w:t>
      </w:r>
      <w:r w:rsidR="00921C70">
        <w:rPr>
          <w:rFonts w:ascii="Cambria" w:hAnsi="Cambria"/>
          <w:sz w:val="20"/>
          <w:szCs w:val="20"/>
          <w:lang w:val="es-PA"/>
        </w:rPr>
        <w:t xml:space="preserve">años de edad establecido por la ley para los cargos de </w:t>
      </w:r>
      <w:r w:rsidR="00744A09">
        <w:rPr>
          <w:rFonts w:ascii="Cambria" w:hAnsi="Cambria"/>
          <w:sz w:val="20"/>
          <w:szCs w:val="20"/>
          <w:lang w:val="es-PA"/>
        </w:rPr>
        <w:t>magistratura</w:t>
      </w:r>
      <w:r w:rsidR="00921C70">
        <w:rPr>
          <w:rFonts w:ascii="Cambria" w:hAnsi="Cambria"/>
          <w:sz w:val="20"/>
          <w:szCs w:val="20"/>
          <w:lang w:val="es-PA"/>
        </w:rPr>
        <w:t xml:space="preserve">. </w:t>
      </w:r>
      <w:r w:rsidR="0020715F">
        <w:rPr>
          <w:rFonts w:ascii="Cambria" w:hAnsi="Cambria"/>
          <w:sz w:val="20"/>
          <w:szCs w:val="20"/>
          <w:lang w:val="es-PA"/>
        </w:rPr>
        <w:t>I</w:t>
      </w:r>
      <w:r w:rsidR="002C3F96">
        <w:rPr>
          <w:rFonts w:ascii="Cambria" w:hAnsi="Cambria"/>
          <w:sz w:val="20"/>
          <w:szCs w:val="20"/>
          <w:lang w:val="es-PA"/>
        </w:rPr>
        <w:t xml:space="preserve">ndica </w:t>
      </w:r>
      <w:r w:rsidR="00A14529">
        <w:rPr>
          <w:rFonts w:ascii="Cambria" w:hAnsi="Cambria"/>
          <w:sz w:val="20"/>
          <w:szCs w:val="20"/>
          <w:lang w:val="es-PA"/>
        </w:rPr>
        <w:t>que solicitó mediante carta dirigida al presidente de la Corte Superi</w:t>
      </w:r>
      <w:r w:rsidR="00E24431">
        <w:rPr>
          <w:rFonts w:ascii="Cambria" w:hAnsi="Cambria"/>
          <w:sz w:val="20"/>
          <w:szCs w:val="20"/>
          <w:lang w:val="es-PA"/>
        </w:rPr>
        <w:t>or de Juní</w:t>
      </w:r>
      <w:r w:rsidR="00A14529">
        <w:rPr>
          <w:rFonts w:ascii="Cambria" w:hAnsi="Cambria"/>
          <w:sz w:val="20"/>
          <w:szCs w:val="20"/>
          <w:lang w:val="es-PA"/>
        </w:rPr>
        <w:t>n que se dispusiera su reincorporación y acto seguido se emitiera una resolución disponiendo su cese por l</w:t>
      </w:r>
      <w:r w:rsidR="002C3F96">
        <w:rPr>
          <w:rFonts w:ascii="Cambria" w:hAnsi="Cambria"/>
          <w:sz w:val="20"/>
          <w:szCs w:val="20"/>
          <w:lang w:val="es-PA"/>
        </w:rPr>
        <w:t>ímite de  edad</w:t>
      </w:r>
      <w:r w:rsidR="00F03C11">
        <w:rPr>
          <w:rFonts w:ascii="Cambria" w:hAnsi="Cambria"/>
          <w:sz w:val="20"/>
          <w:szCs w:val="20"/>
          <w:lang w:val="es-PA"/>
        </w:rPr>
        <w:t xml:space="preserve">, </w:t>
      </w:r>
      <w:r w:rsidR="002C3F96">
        <w:rPr>
          <w:rFonts w:ascii="Cambria" w:hAnsi="Cambria"/>
          <w:sz w:val="20"/>
          <w:szCs w:val="20"/>
          <w:lang w:val="es-PA"/>
        </w:rPr>
        <w:t xml:space="preserve"> y que esta solicitud no ha sido atendida. En adición, alega que requiere que se decrete su reincorporaci</w:t>
      </w:r>
      <w:r w:rsidR="00B41F51">
        <w:rPr>
          <w:rFonts w:ascii="Cambria" w:hAnsi="Cambria"/>
          <w:sz w:val="20"/>
          <w:szCs w:val="20"/>
          <w:lang w:val="es-PA"/>
        </w:rPr>
        <w:t>ón y luego su cese para obtener en la nueva liquidación una determinación actualizada de la pensión de cesantía y la compensaci</w:t>
      </w:r>
      <w:r w:rsidR="002D6431">
        <w:rPr>
          <w:rFonts w:ascii="Cambria" w:hAnsi="Cambria"/>
          <w:sz w:val="20"/>
          <w:szCs w:val="20"/>
          <w:lang w:val="es-PA"/>
        </w:rPr>
        <w:t xml:space="preserve">ón de tiempo de servicios, puesto que la remuneración </w:t>
      </w:r>
      <w:r w:rsidR="00E2762D">
        <w:rPr>
          <w:rFonts w:ascii="Cambria" w:hAnsi="Cambria"/>
          <w:sz w:val="20"/>
          <w:szCs w:val="20"/>
          <w:lang w:val="es-PA"/>
        </w:rPr>
        <w:t>de los vocales s</w:t>
      </w:r>
      <w:r w:rsidR="002D6431">
        <w:rPr>
          <w:rFonts w:ascii="Cambria" w:hAnsi="Cambria"/>
          <w:sz w:val="20"/>
          <w:szCs w:val="20"/>
          <w:lang w:val="es-PA"/>
        </w:rPr>
        <w:t xml:space="preserve">uperiores se incrementó casi al doble en los meses posteriores a su cese irregular. </w:t>
      </w:r>
      <w:r w:rsidR="00B41F51">
        <w:rPr>
          <w:rFonts w:ascii="Cambria" w:hAnsi="Cambria"/>
          <w:sz w:val="20"/>
          <w:szCs w:val="20"/>
          <w:lang w:val="es-PA"/>
        </w:rPr>
        <w:t xml:space="preserve"> </w:t>
      </w:r>
    </w:p>
    <w:p w14:paraId="73670E41" w14:textId="556A26A5" w:rsidR="007515F8" w:rsidRDefault="00E2762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Por último, el peticionario </w:t>
      </w:r>
      <w:r w:rsidR="00B36E86">
        <w:rPr>
          <w:rFonts w:ascii="Cambria" w:hAnsi="Cambria"/>
          <w:sz w:val="20"/>
          <w:szCs w:val="20"/>
          <w:lang w:val="es-PA"/>
        </w:rPr>
        <w:t>indica</w:t>
      </w:r>
      <w:r>
        <w:rPr>
          <w:rFonts w:ascii="Cambria" w:hAnsi="Cambria"/>
          <w:sz w:val="20"/>
          <w:szCs w:val="20"/>
          <w:lang w:val="es-PA"/>
        </w:rPr>
        <w:t xml:space="preserve"> que</w:t>
      </w:r>
      <w:r w:rsidR="007515F8">
        <w:rPr>
          <w:rFonts w:ascii="Cambria" w:hAnsi="Cambria"/>
          <w:sz w:val="20"/>
          <w:szCs w:val="20"/>
          <w:lang w:val="es-PA"/>
        </w:rPr>
        <w:t xml:space="preserve"> el 15 de octubre de 2007</w:t>
      </w:r>
      <w:r>
        <w:rPr>
          <w:rFonts w:ascii="Cambria" w:hAnsi="Cambria"/>
          <w:sz w:val="20"/>
          <w:szCs w:val="20"/>
          <w:lang w:val="es-PA"/>
        </w:rPr>
        <w:t xml:space="preserve"> </w:t>
      </w:r>
      <w:r w:rsidR="00D0584B">
        <w:rPr>
          <w:rFonts w:ascii="Cambria" w:hAnsi="Cambria"/>
          <w:sz w:val="20"/>
          <w:szCs w:val="20"/>
          <w:lang w:val="es-PA"/>
        </w:rPr>
        <w:t xml:space="preserve">presentó una demanda de </w:t>
      </w:r>
      <w:r w:rsidR="00B36E86">
        <w:rPr>
          <w:rFonts w:ascii="Cambria" w:hAnsi="Cambria"/>
          <w:sz w:val="20"/>
          <w:szCs w:val="20"/>
          <w:lang w:val="es-PA"/>
        </w:rPr>
        <w:t>daños y perjuicios contra el Estado, el Consejo Nacional de la Magistratura, el Poder Judicial y el Tribunal Constitucional por motivo de su cese irregular y el incumplimiento del acuerdo de soluci</w:t>
      </w:r>
      <w:r w:rsidR="007515F8">
        <w:rPr>
          <w:rFonts w:ascii="Cambria" w:hAnsi="Cambria"/>
          <w:sz w:val="20"/>
          <w:szCs w:val="20"/>
          <w:lang w:val="es-PA"/>
        </w:rPr>
        <w:t xml:space="preserve">ón amistosa, la cual </w:t>
      </w:r>
      <w:r w:rsidR="00B36E86">
        <w:rPr>
          <w:rFonts w:ascii="Cambria" w:hAnsi="Cambria"/>
          <w:sz w:val="20"/>
          <w:szCs w:val="20"/>
          <w:lang w:val="es-PA"/>
        </w:rPr>
        <w:lastRenderedPageBreak/>
        <w:t xml:space="preserve">fue admitida </w:t>
      </w:r>
      <w:r w:rsidR="007515F8">
        <w:rPr>
          <w:rFonts w:ascii="Cambria" w:hAnsi="Cambria"/>
          <w:sz w:val="20"/>
          <w:szCs w:val="20"/>
          <w:lang w:val="es-PA"/>
        </w:rPr>
        <w:t xml:space="preserve">por el Cuarto Juzgado Civil de Lima. Alega que han pasado más de </w:t>
      </w:r>
      <w:r w:rsidR="00BD421B">
        <w:rPr>
          <w:rFonts w:ascii="Cambria" w:hAnsi="Cambria"/>
          <w:sz w:val="20"/>
          <w:szCs w:val="20"/>
          <w:lang w:val="es-PA"/>
        </w:rPr>
        <w:t>diez</w:t>
      </w:r>
      <w:r w:rsidR="007515F8">
        <w:rPr>
          <w:rFonts w:ascii="Cambria" w:hAnsi="Cambria"/>
          <w:sz w:val="20"/>
          <w:szCs w:val="20"/>
          <w:lang w:val="es-PA"/>
        </w:rPr>
        <w:t xml:space="preserve"> años sin que esta demanda sea resuelta.</w:t>
      </w:r>
    </w:p>
    <w:p w14:paraId="0F8FD318" w14:textId="4A66BBDC" w:rsidR="00E2762D" w:rsidRDefault="007515F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Por su parte, el Estado </w:t>
      </w:r>
      <w:r w:rsidR="006F7213">
        <w:rPr>
          <w:rFonts w:ascii="Cambria" w:hAnsi="Cambria"/>
          <w:sz w:val="20"/>
          <w:szCs w:val="20"/>
          <w:lang w:val="es-PA"/>
        </w:rPr>
        <w:t>considera que la petición no de</w:t>
      </w:r>
      <w:r w:rsidR="00BD421B">
        <w:rPr>
          <w:rFonts w:ascii="Cambria" w:hAnsi="Cambria"/>
          <w:sz w:val="20"/>
          <w:szCs w:val="20"/>
          <w:lang w:val="es-PA"/>
        </w:rPr>
        <w:t>be ser admitida por no cumplir</w:t>
      </w:r>
      <w:r w:rsidR="006F7213">
        <w:rPr>
          <w:rFonts w:ascii="Cambria" w:hAnsi="Cambria"/>
          <w:sz w:val="20"/>
          <w:szCs w:val="20"/>
          <w:lang w:val="es-PA"/>
        </w:rPr>
        <w:t xml:space="preserve"> los requisitos relativos al agotamiento de los recursos internos, plazo de presentación y caracterización (artículos 46.1 y 47 de la Convención Americana).</w:t>
      </w:r>
      <w:r w:rsidR="008D7305">
        <w:rPr>
          <w:rFonts w:ascii="Cambria" w:hAnsi="Cambria"/>
          <w:sz w:val="20"/>
          <w:szCs w:val="20"/>
          <w:lang w:val="es-PA"/>
        </w:rPr>
        <w:t xml:space="preserve"> </w:t>
      </w:r>
    </w:p>
    <w:p w14:paraId="65053716" w14:textId="2F955FF1" w:rsidR="003A675B" w:rsidRDefault="008D7305" w:rsidP="007E2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sidRPr="00F01CF4">
        <w:rPr>
          <w:rFonts w:ascii="Cambria" w:hAnsi="Cambria"/>
          <w:sz w:val="20"/>
          <w:szCs w:val="20"/>
          <w:lang w:val="es-PA"/>
        </w:rPr>
        <w:t xml:space="preserve">El Estado aduce que el peticionario no ha presentado en sede nacional sus cuestionamientos respecto </w:t>
      </w:r>
      <w:r w:rsidR="00077414" w:rsidRPr="00F01CF4">
        <w:rPr>
          <w:rFonts w:ascii="Cambria" w:hAnsi="Cambria"/>
          <w:sz w:val="20"/>
          <w:szCs w:val="20"/>
          <w:lang w:val="es-PA"/>
        </w:rPr>
        <w:t>a la</w:t>
      </w:r>
      <w:r w:rsidR="00F01CF4" w:rsidRPr="00F01CF4">
        <w:rPr>
          <w:rFonts w:ascii="Cambria" w:hAnsi="Cambria"/>
          <w:sz w:val="20"/>
          <w:szCs w:val="20"/>
          <w:lang w:val="es-PA"/>
        </w:rPr>
        <w:t xml:space="preserve"> supuesta</w:t>
      </w:r>
      <w:r w:rsidR="00077414" w:rsidRPr="00F01CF4">
        <w:rPr>
          <w:rFonts w:ascii="Cambria" w:hAnsi="Cambria"/>
          <w:sz w:val="20"/>
          <w:szCs w:val="20"/>
          <w:lang w:val="es-PA"/>
        </w:rPr>
        <w:t xml:space="preserve"> </w:t>
      </w:r>
      <w:r w:rsidR="00F01CF4" w:rsidRPr="00F01CF4">
        <w:rPr>
          <w:rFonts w:ascii="Cambria" w:hAnsi="Cambria"/>
          <w:sz w:val="20"/>
          <w:szCs w:val="20"/>
          <w:lang w:val="es-PA"/>
        </w:rPr>
        <w:t>ilegítima aplicación retroactiva y errada de la normativa presupuestaria</w:t>
      </w:r>
      <w:r w:rsidR="00F01CF4">
        <w:rPr>
          <w:rFonts w:ascii="Cambria" w:hAnsi="Cambria"/>
          <w:sz w:val="20"/>
          <w:szCs w:val="20"/>
          <w:lang w:val="es-PA"/>
        </w:rPr>
        <w:t xml:space="preserve"> </w:t>
      </w:r>
      <w:r w:rsidR="007E25C3">
        <w:rPr>
          <w:rFonts w:ascii="Cambria" w:hAnsi="Cambria"/>
          <w:sz w:val="20"/>
          <w:szCs w:val="20"/>
          <w:lang w:val="es-PA"/>
        </w:rPr>
        <w:t>por lo que los recursos internos no estar</w:t>
      </w:r>
      <w:r w:rsidR="00ED7BB6">
        <w:rPr>
          <w:rFonts w:ascii="Cambria" w:hAnsi="Cambria"/>
          <w:sz w:val="20"/>
          <w:szCs w:val="20"/>
          <w:lang w:val="es-PA"/>
        </w:rPr>
        <w:t>ían agotados respecto a esos</w:t>
      </w:r>
      <w:r w:rsidR="007E25C3">
        <w:rPr>
          <w:rFonts w:ascii="Cambria" w:hAnsi="Cambria"/>
          <w:sz w:val="20"/>
          <w:szCs w:val="20"/>
          <w:lang w:val="es-PA"/>
        </w:rPr>
        <w:t xml:space="preserve"> punto</w:t>
      </w:r>
      <w:r w:rsidR="00ED7BB6">
        <w:rPr>
          <w:rFonts w:ascii="Cambria" w:hAnsi="Cambria"/>
          <w:sz w:val="20"/>
          <w:szCs w:val="20"/>
          <w:lang w:val="es-PA"/>
        </w:rPr>
        <w:t>s</w:t>
      </w:r>
      <w:r w:rsidR="007E25C3">
        <w:rPr>
          <w:rFonts w:ascii="Cambria" w:hAnsi="Cambria"/>
          <w:sz w:val="20"/>
          <w:szCs w:val="20"/>
          <w:lang w:val="es-PA"/>
        </w:rPr>
        <w:t xml:space="preserve">. De igual manera, argumenta que los recursos no están agotados respecto a la pretensión del peticionario de obtener una indemnización por daños y perjuicios, toda vez que la demanda que interpuso todavía está pendiente de resolución. </w:t>
      </w:r>
      <w:r w:rsidR="00F03744">
        <w:rPr>
          <w:rFonts w:ascii="Cambria" w:hAnsi="Cambria"/>
          <w:sz w:val="20"/>
          <w:szCs w:val="20"/>
          <w:lang w:val="es-PA"/>
        </w:rPr>
        <w:t>Alega</w:t>
      </w:r>
      <w:r w:rsidR="00F03C11">
        <w:rPr>
          <w:rFonts w:ascii="Cambria" w:hAnsi="Cambria"/>
          <w:sz w:val="20"/>
          <w:szCs w:val="20"/>
          <w:lang w:val="es-PA"/>
        </w:rPr>
        <w:t>,</w:t>
      </w:r>
      <w:r w:rsidR="007E25C3">
        <w:rPr>
          <w:rFonts w:ascii="Cambria" w:hAnsi="Cambria"/>
          <w:sz w:val="20"/>
          <w:szCs w:val="20"/>
          <w:lang w:val="es-PA"/>
        </w:rPr>
        <w:t xml:space="preserve"> respecto a la supuesta demora en la resoluci</w:t>
      </w:r>
      <w:r w:rsidR="00D95E30">
        <w:rPr>
          <w:rFonts w:ascii="Cambria" w:hAnsi="Cambria"/>
          <w:sz w:val="20"/>
          <w:szCs w:val="20"/>
          <w:lang w:val="es-PA"/>
        </w:rPr>
        <w:t>ón de dicha demanda</w:t>
      </w:r>
      <w:r w:rsidR="00C633FF">
        <w:rPr>
          <w:rFonts w:ascii="Cambria" w:hAnsi="Cambria"/>
          <w:sz w:val="20"/>
          <w:szCs w:val="20"/>
          <w:lang w:val="es-PA"/>
        </w:rPr>
        <w:t xml:space="preserve">, </w:t>
      </w:r>
      <w:r w:rsidR="00F03744">
        <w:rPr>
          <w:rFonts w:ascii="Cambria" w:hAnsi="Cambria"/>
          <w:sz w:val="20"/>
          <w:szCs w:val="20"/>
          <w:lang w:val="es-PA"/>
        </w:rPr>
        <w:t xml:space="preserve">que </w:t>
      </w:r>
      <w:r w:rsidR="00C633FF">
        <w:rPr>
          <w:rFonts w:ascii="Cambria" w:hAnsi="Cambria"/>
          <w:sz w:val="20"/>
          <w:szCs w:val="20"/>
          <w:lang w:val="es-PA"/>
        </w:rPr>
        <w:t xml:space="preserve">el peticionario no ha agotado el proceso de amparo que sería el mecanismo idóneo para la tutela de su derecho al debido proceso y </w:t>
      </w:r>
      <w:r w:rsidR="00D95E30">
        <w:rPr>
          <w:rFonts w:ascii="Cambria" w:hAnsi="Cambria"/>
          <w:sz w:val="20"/>
          <w:szCs w:val="20"/>
          <w:lang w:val="es-PA"/>
        </w:rPr>
        <w:t xml:space="preserve">cita ejemplo de un caso </w:t>
      </w:r>
      <w:r w:rsidR="00F03C11">
        <w:rPr>
          <w:rFonts w:ascii="Cambria" w:hAnsi="Cambria"/>
          <w:sz w:val="20"/>
          <w:szCs w:val="20"/>
          <w:lang w:val="es-PA"/>
        </w:rPr>
        <w:t>en que</w:t>
      </w:r>
      <w:r w:rsidR="00C633FF">
        <w:rPr>
          <w:rFonts w:ascii="Cambria" w:hAnsi="Cambria"/>
          <w:sz w:val="20"/>
          <w:szCs w:val="20"/>
          <w:lang w:val="es-PA"/>
        </w:rPr>
        <w:t xml:space="preserve"> el derecho al plazo razonable</w:t>
      </w:r>
      <w:r w:rsidR="00D95E30">
        <w:rPr>
          <w:rFonts w:ascii="Cambria" w:hAnsi="Cambria"/>
          <w:sz w:val="20"/>
          <w:szCs w:val="20"/>
          <w:lang w:val="es-PA"/>
        </w:rPr>
        <w:t xml:space="preserve"> fue</w:t>
      </w:r>
      <w:r w:rsidR="00C633FF">
        <w:rPr>
          <w:rFonts w:ascii="Cambria" w:hAnsi="Cambria"/>
          <w:sz w:val="20"/>
          <w:szCs w:val="20"/>
          <w:lang w:val="es-PA"/>
        </w:rPr>
        <w:t xml:space="preserve"> tutelado con éxito</w:t>
      </w:r>
      <w:r w:rsidR="00D95E30">
        <w:rPr>
          <w:rFonts w:ascii="Cambria" w:hAnsi="Cambria"/>
          <w:sz w:val="20"/>
          <w:szCs w:val="20"/>
          <w:lang w:val="es-PA"/>
        </w:rPr>
        <w:t xml:space="preserve"> por el Tribunal Constitucional</w:t>
      </w:r>
      <w:r w:rsidR="00C633FF">
        <w:rPr>
          <w:rFonts w:ascii="Cambria" w:hAnsi="Cambria"/>
          <w:sz w:val="20"/>
          <w:szCs w:val="20"/>
          <w:lang w:val="es-PA"/>
        </w:rPr>
        <w:t xml:space="preserve"> a través de</w:t>
      </w:r>
      <w:r w:rsidR="00D95E30">
        <w:rPr>
          <w:rFonts w:ascii="Cambria" w:hAnsi="Cambria"/>
          <w:sz w:val="20"/>
          <w:szCs w:val="20"/>
          <w:lang w:val="es-PA"/>
        </w:rPr>
        <w:t xml:space="preserve"> un proceso</w:t>
      </w:r>
      <w:r w:rsidR="00C633FF">
        <w:rPr>
          <w:rFonts w:ascii="Cambria" w:hAnsi="Cambria"/>
          <w:sz w:val="20"/>
          <w:szCs w:val="20"/>
          <w:lang w:val="es-PA"/>
        </w:rPr>
        <w:t xml:space="preserve"> de amparo</w:t>
      </w:r>
      <w:r w:rsidR="00D95E30">
        <w:rPr>
          <w:rFonts w:ascii="Cambria" w:hAnsi="Cambria"/>
          <w:sz w:val="20"/>
          <w:szCs w:val="20"/>
          <w:lang w:val="es-PA"/>
        </w:rPr>
        <w:t xml:space="preserve"> [Expediente No. 06390-2006-A.A]</w:t>
      </w:r>
      <w:r w:rsidR="00C633FF">
        <w:rPr>
          <w:rFonts w:ascii="Cambria" w:hAnsi="Cambria"/>
          <w:sz w:val="20"/>
          <w:szCs w:val="20"/>
          <w:lang w:val="es-PA"/>
        </w:rPr>
        <w:t>.</w:t>
      </w:r>
    </w:p>
    <w:p w14:paraId="0A1E72D6" w14:textId="77777777" w:rsidR="003A675B" w:rsidRDefault="003A675B" w:rsidP="003A67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PA"/>
        </w:rPr>
      </w:pPr>
    </w:p>
    <w:p w14:paraId="2760609B" w14:textId="1886930D" w:rsidR="006313E8" w:rsidRDefault="00D95E30" w:rsidP="007E2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Pr>
          <w:rFonts w:ascii="Cambria" w:hAnsi="Cambria"/>
          <w:sz w:val="20"/>
          <w:szCs w:val="20"/>
          <w:lang w:val="es-PA"/>
        </w:rPr>
        <w:t xml:space="preserve"> Respecto a la solicitud de reincorporación y cese, el Estado</w:t>
      </w:r>
      <w:r w:rsidR="003A675B">
        <w:rPr>
          <w:rFonts w:ascii="Cambria" w:hAnsi="Cambria"/>
          <w:sz w:val="20"/>
          <w:szCs w:val="20"/>
          <w:lang w:val="es-PA"/>
        </w:rPr>
        <w:t xml:space="preserve"> señala que en efecto </w:t>
      </w:r>
      <w:r w:rsidR="005F48F8">
        <w:rPr>
          <w:rFonts w:ascii="Cambria" w:hAnsi="Cambria"/>
          <w:sz w:val="20"/>
          <w:szCs w:val="20"/>
          <w:lang w:val="es-PA"/>
        </w:rPr>
        <w:t>se ha dado respuesta a la misma. Primero, por la Tercera Sala Superior de la Corte Superior de Junín</w:t>
      </w:r>
      <w:r w:rsidR="006313E8">
        <w:rPr>
          <w:rFonts w:ascii="Cambria" w:hAnsi="Cambria"/>
          <w:sz w:val="20"/>
          <w:szCs w:val="20"/>
          <w:lang w:val="es-PA"/>
        </w:rPr>
        <w:t xml:space="preserve"> </w:t>
      </w:r>
      <w:r w:rsidR="00BD421B">
        <w:rPr>
          <w:rFonts w:ascii="Cambria" w:hAnsi="Cambria"/>
          <w:sz w:val="20"/>
          <w:szCs w:val="20"/>
          <w:lang w:val="es-PA"/>
        </w:rPr>
        <w:t xml:space="preserve">que </w:t>
      </w:r>
      <w:r w:rsidR="005F48F8">
        <w:rPr>
          <w:rFonts w:ascii="Cambria" w:hAnsi="Cambria"/>
          <w:sz w:val="20"/>
          <w:szCs w:val="20"/>
          <w:lang w:val="es-PA"/>
        </w:rPr>
        <w:t xml:space="preserve">declaró improcedente la solicitud </w:t>
      </w:r>
      <w:r w:rsidR="00E24431">
        <w:rPr>
          <w:rFonts w:ascii="Cambria" w:hAnsi="Cambria"/>
          <w:sz w:val="20"/>
          <w:szCs w:val="20"/>
          <w:lang w:val="es-PA"/>
        </w:rPr>
        <w:t>mediante r</w:t>
      </w:r>
      <w:r w:rsidR="005F48F8">
        <w:rPr>
          <w:rFonts w:ascii="Cambria" w:hAnsi="Cambria"/>
          <w:sz w:val="20"/>
          <w:szCs w:val="20"/>
          <w:lang w:val="es-PA"/>
        </w:rPr>
        <w:t>esolución de fecha 30 de mayo de 2006</w:t>
      </w:r>
      <w:r w:rsidR="00BD421B">
        <w:rPr>
          <w:rFonts w:ascii="Cambria" w:hAnsi="Cambria"/>
          <w:sz w:val="20"/>
          <w:szCs w:val="20"/>
          <w:lang w:val="es-PA"/>
        </w:rPr>
        <w:t>;</w:t>
      </w:r>
      <w:r w:rsidR="00E24431">
        <w:rPr>
          <w:rFonts w:ascii="Cambria" w:hAnsi="Cambria"/>
          <w:sz w:val="20"/>
          <w:szCs w:val="20"/>
          <w:lang w:val="es-PA"/>
        </w:rPr>
        <w:t xml:space="preserve"> luego por la Presidencia de la Corte Superior de Junín la que rechazó el recurso de reconsideración interpuesto por el peticionario mediante resolución de</w:t>
      </w:r>
      <w:r w:rsidR="00324840">
        <w:rPr>
          <w:rFonts w:ascii="Cambria" w:hAnsi="Cambria"/>
          <w:sz w:val="20"/>
          <w:szCs w:val="20"/>
          <w:lang w:val="es-PA"/>
        </w:rPr>
        <w:t xml:space="preserve"> fecha 19 de septiembre de 2006;</w:t>
      </w:r>
      <w:r w:rsidR="00E24431">
        <w:rPr>
          <w:rFonts w:ascii="Cambria" w:hAnsi="Cambria"/>
          <w:sz w:val="20"/>
          <w:szCs w:val="20"/>
          <w:lang w:val="es-PA"/>
        </w:rPr>
        <w:t xml:space="preserve"> y por último el Consejo Ejecutivo del Poder Judicial quien </w:t>
      </w:r>
      <w:r w:rsidR="006313E8">
        <w:rPr>
          <w:rFonts w:ascii="Cambria" w:hAnsi="Cambria"/>
          <w:sz w:val="20"/>
          <w:szCs w:val="20"/>
          <w:lang w:val="es-PA"/>
        </w:rPr>
        <w:t>conoció</w:t>
      </w:r>
      <w:r w:rsidR="00E24431">
        <w:rPr>
          <w:rFonts w:ascii="Cambria" w:hAnsi="Cambria"/>
          <w:sz w:val="20"/>
          <w:szCs w:val="20"/>
          <w:lang w:val="es-PA"/>
        </w:rPr>
        <w:t xml:space="preserve"> el asunto en grado de apelación y confirmó la decisión mediante resolución de fecha 21 de mayo de 2009.</w:t>
      </w:r>
      <w:r w:rsidR="006313E8">
        <w:rPr>
          <w:rFonts w:ascii="Cambria" w:hAnsi="Cambria"/>
          <w:sz w:val="20"/>
          <w:szCs w:val="20"/>
          <w:lang w:val="es-PA"/>
        </w:rPr>
        <w:t xml:space="preserve"> </w:t>
      </w:r>
      <w:r w:rsidR="00E24431">
        <w:rPr>
          <w:rFonts w:ascii="Cambria" w:hAnsi="Cambria"/>
          <w:sz w:val="20"/>
          <w:szCs w:val="20"/>
          <w:lang w:val="es-PA"/>
        </w:rPr>
        <w:t xml:space="preserve">En adición, argumenta que el peticionario no ha agotado las vías judiciales a su disposición, siendo estas </w:t>
      </w:r>
      <w:r w:rsidR="006313E8">
        <w:rPr>
          <w:rFonts w:ascii="Cambria" w:hAnsi="Cambria"/>
          <w:sz w:val="20"/>
          <w:szCs w:val="20"/>
          <w:lang w:val="es-PA"/>
        </w:rPr>
        <w:t>la vía extraordinaria del proceso de amparo o la del proceso contencioso administrativo.</w:t>
      </w:r>
    </w:p>
    <w:p w14:paraId="179E6BCF" w14:textId="79844CEC" w:rsidR="003A675B" w:rsidRPr="006313E8" w:rsidRDefault="006313E8" w:rsidP="006313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Pr>
          <w:rFonts w:ascii="Cambria" w:hAnsi="Cambria"/>
          <w:sz w:val="20"/>
          <w:szCs w:val="20"/>
          <w:lang w:val="es-PA"/>
        </w:rPr>
        <w:t xml:space="preserve"> </w:t>
      </w:r>
    </w:p>
    <w:p w14:paraId="1D4A4E89" w14:textId="367A91BC" w:rsidR="00213B5A" w:rsidRDefault="00C633FF" w:rsidP="007E2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Pr>
          <w:rFonts w:ascii="Cambria" w:hAnsi="Cambria"/>
          <w:sz w:val="20"/>
          <w:szCs w:val="20"/>
          <w:lang w:val="es-PA"/>
        </w:rPr>
        <w:t xml:space="preserve"> </w:t>
      </w:r>
      <w:r w:rsidR="006313E8">
        <w:rPr>
          <w:rFonts w:ascii="Cambria" w:hAnsi="Cambria"/>
          <w:sz w:val="20"/>
          <w:szCs w:val="20"/>
          <w:lang w:val="es-PA"/>
        </w:rPr>
        <w:t xml:space="preserve">En cuanto al plazo de presentación, el Estado argumenta que no existe medio probatorio ni argumento aportado por el peticionario del cual se pueda desprender que la petición </w:t>
      </w:r>
      <w:r w:rsidR="008510A3">
        <w:rPr>
          <w:rFonts w:ascii="Cambria" w:hAnsi="Cambria"/>
          <w:sz w:val="20"/>
          <w:szCs w:val="20"/>
          <w:lang w:val="es-PA"/>
        </w:rPr>
        <w:t xml:space="preserve">haya sido presentada dentro del plazo convencional de seis meses. </w:t>
      </w:r>
    </w:p>
    <w:p w14:paraId="01E3FA5E" w14:textId="77777777" w:rsidR="008510A3" w:rsidRDefault="008510A3" w:rsidP="008510A3">
      <w:pPr>
        <w:pStyle w:val="ListParagraph"/>
        <w:rPr>
          <w:sz w:val="20"/>
          <w:szCs w:val="20"/>
          <w:lang w:val="es-PA"/>
        </w:rPr>
      </w:pPr>
    </w:p>
    <w:p w14:paraId="1735B16A" w14:textId="7DC42818" w:rsidR="008510A3" w:rsidRPr="00F01CF4" w:rsidRDefault="008510A3" w:rsidP="007E2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Pr>
          <w:rFonts w:ascii="Cambria" w:hAnsi="Cambria"/>
          <w:sz w:val="20"/>
          <w:szCs w:val="20"/>
          <w:lang w:val="es-PA"/>
        </w:rPr>
        <w:t>Por último, alega</w:t>
      </w:r>
      <w:r w:rsidR="00ED7BB6">
        <w:rPr>
          <w:rFonts w:ascii="Cambria" w:hAnsi="Cambria"/>
          <w:sz w:val="20"/>
          <w:szCs w:val="20"/>
          <w:lang w:val="es-PA"/>
        </w:rPr>
        <w:t xml:space="preserve"> que</w:t>
      </w:r>
      <w:r>
        <w:rPr>
          <w:rFonts w:ascii="Cambria" w:hAnsi="Cambria"/>
          <w:sz w:val="20"/>
          <w:szCs w:val="20"/>
          <w:lang w:val="es-PA"/>
        </w:rPr>
        <w:t xml:space="preserve"> </w:t>
      </w:r>
      <w:r w:rsidR="00ED7BB6">
        <w:rPr>
          <w:rFonts w:ascii="Cambria" w:hAnsi="Cambria"/>
          <w:sz w:val="20"/>
          <w:szCs w:val="20"/>
          <w:lang w:val="es-PA"/>
        </w:rPr>
        <w:t>la denegatoria de la solicitud de reincorporación y cese no configura una vulneración de los derechos del peticionario</w:t>
      </w:r>
      <w:r w:rsidR="008218CD">
        <w:rPr>
          <w:rFonts w:ascii="Cambria" w:hAnsi="Cambria"/>
          <w:sz w:val="20"/>
          <w:szCs w:val="20"/>
          <w:lang w:val="es-PA"/>
        </w:rPr>
        <w:t xml:space="preserve"> toda vez que las autoridades sustentaron debidamente su decisión en la legislación aplicable y la realidad fáctica de la edad del peticionario que hacía inviable su reincorporación. Agrega que esta denegatoria no afecta los derechos a pensión y compensación por años de servicio del peticionario, los que ya le han sido debidamente reconocidos.</w:t>
      </w:r>
      <w:r w:rsidR="000D285E">
        <w:rPr>
          <w:rFonts w:ascii="Cambria" w:hAnsi="Cambria"/>
          <w:sz w:val="20"/>
          <w:szCs w:val="20"/>
          <w:lang w:val="es-PA"/>
        </w:rPr>
        <w:t xml:space="preserve"> Respecto a los supuestos montos adeudados al peticionario por motivo del pago incompleto de su pensión, </w:t>
      </w:r>
      <w:r w:rsidR="00BE4DAD">
        <w:rPr>
          <w:rFonts w:ascii="Cambria" w:hAnsi="Cambria"/>
          <w:sz w:val="20"/>
          <w:szCs w:val="20"/>
          <w:lang w:val="es-PA"/>
        </w:rPr>
        <w:t xml:space="preserve">el Estado argumenta que el peticionario no ha probado que la situación que precisó en su petición se continúe dando en la actualidad por lo que no estaría demostrada una vulneración de sus derechos.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51126286" w14:textId="73A618C5" w:rsidR="00F559B9" w:rsidRPr="00F559B9" w:rsidRDefault="0047192B" w:rsidP="00F559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Respecto a la parte de la petición que se refiere a l</w:t>
      </w:r>
      <w:r w:rsidR="00E26623">
        <w:rPr>
          <w:rFonts w:ascii="Cambria" w:hAnsi="Cambria"/>
          <w:sz w:val="20"/>
          <w:szCs w:val="20"/>
          <w:lang w:val="es-ES"/>
        </w:rPr>
        <w:t>a demanda por daños y perjuicios, ésta fue interpuesta el 15 de octubre de 2007</w:t>
      </w:r>
      <w:r w:rsidR="00FF5C34">
        <w:rPr>
          <w:rFonts w:ascii="Cambria" w:hAnsi="Cambria"/>
          <w:sz w:val="20"/>
          <w:szCs w:val="20"/>
          <w:lang w:val="es-ES"/>
        </w:rPr>
        <w:t xml:space="preserve"> y</w:t>
      </w:r>
      <w:r w:rsidR="001D4666">
        <w:rPr>
          <w:rFonts w:ascii="Cambria" w:hAnsi="Cambria"/>
          <w:sz w:val="20"/>
          <w:szCs w:val="20"/>
          <w:lang w:val="es-ES"/>
        </w:rPr>
        <w:t xml:space="preserve"> según la información que consta en el expediente</w:t>
      </w:r>
      <w:r w:rsidR="00E26623">
        <w:rPr>
          <w:rFonts w:ascii="Cambria" w:hAnsi="Cambria"/>
          <w:sz w:val="20"/>
          <w:szCs w:val="20"/>
          <w:lang w:val="es-ES"/>
        </w:rPr>
        <w:t xml:space="preserve">, </w:t>
      </w:r>
      <w:r w:rsidR="00FF5C34">
        <w:rPr>
          <w:rFonts w:ascii="Cambria" w:hAnsi="Cambria"/>
          <w:sz w:val="20"/>
          <w:szCs w:val="20"/>
          <w:lang w:val="es-ES"/>
        </w:rPr>
        <w:t xml:space="preserve">sigue </w:t>
      </w:r>
      <w:r w:rsidR="00E1663E">
        <w:rPr>
          <w:rFonts w:ascii="Cambria" w:hAnsi="Cambria"/>
          <w:sz w:val="20"/>
          <w:szCs w:val="20"/>
          <w:lang w:val="es-ES"/>
        </w:rPr>
        <w:t>pen</w:t>
      </w:r>
      <w:r w:rsidR="00E26623">
        <w:rPr>
          <w:rFonts w:ascii="Cambria" w:hAnsi="Cambria"/>
          <w:sz w:val="20"/>
          <w:szCs w:val="20"/>
          <w:lang w:val="es-ES"/>
        </w:rPr>
        <w:t>diente de resoluci</w:t>
      </w:r>
      <w:r w:rsidR="00FF5C34">
        <w:rPr>
          <w:rFonts w:ascii="Cambria" w:hAnsi="Cambria"/>
          <w:sz w:val="20"/>
          <w:szCs w:val="20"/>
          <w:lang w:val="es-ES"/>
        </w:rPr>
        <w:t>ón habiendo transcurrido más de diez años</w:t>
      </w:r>
      <w:r w:rsidR="00354AA4">
        <w:rPr>
          <w:rFonts w:ascii="Cambria" w:hAnsi="Cambria"/>
          <w:sz w:val="20"/>
          <w:szCs w:val="20"/>
          <w:lang w:val="es-ES"/>
        </w:rPr>
        <w:t>.</w:t>
      </w:r>
      <w:r w:rsidR="00FF5C34">
        <w:rPr>
          <w:rFonts w:ascii="Cambria" w:hAnsi="Cambria"/>
          <w:sz w:val="20"/>
          <w:szCs w:val="20"/>
          <w:lang w:val="es-ES"/>
        </w:rPr>
        <w:t xml:space="preserve"> </w:t>
      </w:r>
      <w:r w:rsidR="0051787C" w:rsidRPr="00F559B9">
        <w:rPr>
          <w:rFonts w:asciiTheme="majorHAnsi" w:hAnsiTheme="majorHAnsi"/>
          <w:sz w:val="20"/>
          <w:szCs w:val="20"/>
          <w:lang w:val="es-ES"/>
        </w:rPr>
        <w:t>E</w:t>
      </w:r>
      <w:r w:rsidR="00354AA4" w:rsidRPr="00F559B9">
        <w:rPr>
          <w:rFonts w:asciiTheme="majorHAnsi" w:hAnsiTheme="majorHAnsi"/>
          <w:sz w:val="20"/>
          <w:szCs w:val="20"/>
          <w:lang w:val="es-ES"/>
        </w:rPr>
        <w:t xml:space="preserve">l Estado </w:t>
      </w:r>
      <w:r w:rsidR="003E54FC" w:rsidRPr="00F559B9">
        <w:rPr>
          <w:rFonts w:asciiTheme="majorHAnsi" w:hAnsiTheme="majorHAnsi"/>
          <w:sz w:val="20"/>
          <w:szCs w:val="20"/>
          <w:lang w:val="es-ES"/>
        </w:rPr>
        <w:t>argumenta</w:t>
      </w:r>
      <w:r w:rsidR="00354AA4" w:rsidRPr="00F559B9">
        <w:rPr>
          <w:rFonts w:asciiTheme="majorHAnsi" w:hAnsiTheme="majorHAnsi"/>
          <w:sz w:val="20"/>
          <w:szCs w:val="20"/>
          <w:lang w:val="es-ES"/>
        </w:rPr>
        <w:t xml:space="preserve"> que el peticionario </w:t>
      </w:r>
      <w:r w:rsidR="0051787C" w:rsidRPr="00F559B9">
        <w:rPr>
          <w:rFonts w:asciiTheme="majorHAnsi" w:hAnsiTheme="majorHAnsi"/>
          <w:sz w:val="20"/>
          <w:szCs w:val="20"/>
          <w:lang w:val="es-ES"/>
        </w:rPr>
        <w:t xml:space="preserve">no ha agotado el proceso de amparo como recurso para la tutela de su derecho a obtener una decisión en plazo razonable </w:t>
      </w:r>
      <w:r w:rsidR="00F73866" w:rsidRPr="00F559B9">
        <w:rPr>
          <w:rFonts w:asciiTheme="majorHAnsi" w:hAnsiTheme="majorHAnsi"/>
          <w:sz w:val="20"/>
          <w:szCs w:val="20"/>
          <w:lang w:val="es-ES"/>
        </w:rPr>
        <w:t xml:space="preserve">y ha </w:t>
      </w:r>
      <w:r w:rsidR="003E54FC" w:rsidRPr="00F559B9">
        <w:rPr>
          <w:rFonts w:asciiTheme="majorHAnsi" w:hAnsiTheme="majorHAnsi"/>
          <w:sz w:val="20"/>
          <w:szCs w:val="20"/>
          <w:lang w:val="es-ES"/>
        </w:rPr>
        <w:t xml:space="preserve">hecho referencias </w:t>
      </w:r>
      <w:r w:rsidR="001767F9" w:rsidRPr="00F559B9">
        <w:rPr>
          <w:rFonts w:asciiTheme="majorHAnsi" w:hAnsiTheme="majorHAnsi"/>
          <w:sz w:val="20"/>
          <w:szCs w:val="20"/>
          <w:lang w:val="es-ES"/>
        </w:rPr>
        <w:t xml:space="preserve">a la existencia de precedentes que </w:t>
      </w:r>
      <w:r w:rsidR="003E54FC" w:rsidRPr="00F559B9">
        <w:rPr>
          <w:rFonts w:asciiTheme="majorHAnsi" w:hAnsiTheme="majorHAnsi"/>
          <w:sz w:val="20"/>
          <w:szCs w:val="20"/>
          <w:lang w:val="es-ES"/>
        </w:rPr>
        <w:t>indician la posible efectividad de dicho proceso para remediar situaciones como las planteadas por el peticionario.</w:t>
      </w:r>
      <w:r w:rsidR="00067C64">
        <w:rPr>
          <w:rFonts w:asciiTheme="majorHAnsi" w:hAnsiTheme="majorHAnsi"/>
          <w:sz w:val="20"/>
          <w:szCs w:val="20"/>
          <w:lang w:val="es-ES"/>
        </w:rPr>
        <w:t xml:space="preserve"> Sin embargo, no ha señalado que existan causas imputables al peticionario que hayan demorado el alcanza de una determinación con respecto a la demanda.</w:t>
      </w:r>
      <w:r w:rsidR="001767F9" w:rsidRPr="00F559B9">
        <w:rPr>
          <w:rFonts w:asciiTheme="majorHAnsi" w:hAnsiTheme="majorHAnsi"/>
          <w:sz w:val="20"/>
          <w:szCs w:val="20"/>
          <w:lang w:val="es-ES"/>
        </w:rPr>
        <w:t xml:space="preserve"> </w:t>
      </w:r>
    </w:p>
    <w:p w14:paraId="425AEDBC" w14:textId="0DFD5807" w:rsidR="00255A97" w:rsidRPr="00F559B9" w:rsidRDefault="001767F9" w:rsidP="00F559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559B9">
        <w:rPr>
          <w:rFonts w:asciiTheme="majorHAnsi" w:hAnsiTheme="majorHAnsi"/>
          <w:sz w:val="20"/>
          <w:szCs w:val="20"/>
          <w:lang w:val="es-ES"/>
        </w:rPr>
        <w:t>L</w:t>
      </w:r>
      <w:r w:rsidR="003E54FC" w:rsidRPr="00F559B9">
        <w:rPr>
          <w:rFonts w:asciiTheme="majorHAnsi" w:hAnsiTheme="majorHAnsi"/>
          <w:sz w:val="20"/>
          <w:szCs w:val="20"/>
          <w:lang w:val="es-ES"/>
        </w:rPr>
        <w:t>a Comisión considera que la interposición de un proceso de amparo</w:t>
      </w:r>
      <w:r w:rsidRPr="00F559B9">
        <w:rPr>
          <w:rFonts w:asciiTheme="majorHAnsi" w:hAnsiTheme="majorHAnsi"/>
          <w:sz w:val="20"/>
          <w:szCs w:val="20"/>
          <w:lang w:val="es-ES"/>
        </w:rPr>
        <w:t xml:space="preserve"> contra una situación de estancamiento procesal</w:t>
      </w:r>
      <w:r w:rsidR="003E54FC" w:rsidRPr="00F559B9">
        <w:rPr>
          <w:rFonts w:asciiTheme="majorHAnsi" w:hAnsiTheme="majorHAnsi"/>
          <w:sz w:val="20"/>
          <w:szCs w:val="20"/>
          <w:lang w:val="es-ES"/>
        </w:rPr>
        <w:t xml:space="preserve"> constituir</w:t>
      </w:r>
      <w:r w:rsidRPr="00F559B9">
        <w:rPr>
          <w:rFonts w:asciiTheme="majorHAnsi" w:hAnsiTheme="majorHAnsi"/>
          <w:sz w:val="20"/>
          <w:szCs w:val="20"/>
          <w:lang w:val="es-ES"/>
        </w:rPr>
        <w:t>ía un</w:t>
      </w:r>
      <w:r w:rsidR="003E54FC" w:rsidRPr="00F559B9">
        <w:rPr>
          <w:rFonts w:asciiTheme="majorHAnsi" w:hAnsiTheme="majorHAnsi"/>
          <w:sz w:val="20"/>
          <w:szCs w:val="20"/>
          <w:lang w:val="es-ES"/>
        </w:rPr>
        <w:t xml:space="preserve"> </w:t>
      </w:r>
      <w:r w:rsidRPr="00F559B9">
        <w:rPr>
          <w:rFonts w:asciiTheme="majorHAnsi" w:hAnsiTheme="majorHAnsi"/>
          <w:sz w:val="20"/>
          <w:szCs w:val="20"/>
          <w:lang w:val="es-ES"/>
        </w:rPr>
        <w:t xml:space="preserve">recurso extraordinario. </w:t>
      </w:r>
      <w:r w:rsidR="00E70CE8" w:rsidRPr="00F559B9">
        <w:rPr>
          <w:rFonts w:asciiTheme="majorHAnsi" w:hAnsiTheme="majorHAnsi"/>
          <w:sz w:val="20"/>
          <w:szCs w:val="20"/>
          <w:lang w:val="es-ES"/>
        </w:rPr>
        <w:t xml:space="preserve">El criterio sostenido de la Comisión es </w:t>
      </w:r>
      <w:r w:rsidR="00E70CE8" w:rsidRPr="00F559B9">
        <w:rPr>
          <w:rFonts w:asciiTheme="majorHAnsi" w:hAnsiTheme="majorHAnsi" w:cs="Arial"/>
          <w:sz w:val="20"/>
          <w:szCs w:val="20"/>
          <w:lang w:val="es-ES"/>
        </w:rPr>
        <w:t xml:space="preserve">que, como norma general, los recursos internos que </w:t>
      </w:r>
      <w:r w:rsidR="00F559B9">
        <w:rPr>
          <w:rFonts w:asciiTheme="majorHAnsi" w:hAnsiTheme="majorHAnsi" w:cs="Arial"/>
          <w:sz w:val="20"/>
          <w:szCs w:val="20"/>
          <w:lang w:val="es-ES"/>
        </w:rPr>
        <w:t>el peticionario está obligado a</w:t>
      </w:r>
      <w:r w:rsidR="00E70CE8" w:rsidRPr="00F559B9">
        <w:rPr>
          <w:rFonts w:asciiTheme="majorHAnsi" w:hAnsiTheme="majorHAnsi" w:cs="Arial"/>
          <w:sz w:val="20"/>
          <w:szCs w:val="20"/>
          <w:lang w:val="es-ES"/>
        </w:rPr>
        <w:t xml:space="preserve"> agotar son los ordinarios y no </w:t>
      </w:r>
      <w:r w:rsidR="00E70CE8" w:rsidRPr="00F559B9">
        <w:rPr>
          <w:rFonts w:asciiTheme="majorHAnsi" w:hAnsiTheme="majorHAnsi" w:cs="Arial"/>
          <w:sz w:val="20"/>
          <w:szCs w:val="20"/>
          <w:lang w:val="es-ES"/>
        </w:rPr>
        <w:lastRenderedPageBreak/>
        <w:t>los extraordinarios</w:t>
      </w:r>
      <w:r w:rsidR="00E70CE8" w:rsidRPr="00F559B9">
        <w:rPr>
          <w:rStyle w:val="FootnoteReference"/>
          <w:rFonts w:asciiTheme="majorHAnsi" w:hAnsiTheme="majorHAnsi" w:cs="Arial"/>
          <w:sz w:val="20"/>
          <w:szCs w:val="20"/>
          <w:lang w:val="es-ES"/>
        </w:rPr>
        <w:t xml:space="preserve"> </w:t>
      </w:r>
      <w:r w:rsidR="009F3BCD">
        <w:rPr>
          <w:rStyle w:val="FootnoteReference"/>
          <w:rFonts w:asciiTheme="majorHAnsi" w:hAnsiTheme="majorHAnsi" w:cs="Arial"/>
          <w:sz w:val="20"/>
          <w:szCs w:val="20"/>
          <w:lang w:val="es-ES"/>
        </w:rPr>
        <w:footnoteReference w:id="8"/>
      </w:r>
      <w:r w:rsidR="00255A97" w:rsidRPr="00F559B9">
        <w:rPr>
          <w:rFonts w:asciiTheme="majorHAnsi" w:hAnsiTheme="majorHAnsi"/>
          <w:sz w:val="20"/>
          <w:szCs w:val="20"/>
          <w:lang w:val="es-MX"/>
        </w:rPr>
        <w:t xml:space="preserve"> Si bien en algunos casos la Comisión puede estimar necesario el agotamiento de recursos extraordinarios, v</w:t>
      </w:r>
      <w:r w:rsidR="00E70CE8" w:rsidRPr="00F559B9">
        <w:rPr>
          <w:rFonts w:asciiTheme="majorHAnsi" w:hAnsiTheme="majorHAnsi"/>
          <w:sz w:val="20"/>
          <w:szCs w:val="20"/>
          <w:lang w:val="es-MX"/>
        </w:rPr>
        <w:t xml:space="preserve">istas las circunstancias del caso y el tiempo transcurrido, </w:t>
      </w:r>
      <w:r w:rsidR="00255A97" w:rsidRPr="00F559B9">
        <w:rPr>
          <w:rFonts w:asciiTheme="majorHAnsi" w:hAnsiTheme="majorHAnsi"/>
          <w:sz w:val="20"/>
          <w:szCs w:val="20"/>
          <w:lang w:val="es-MX"/>
        </w:rPr>
        <w:t>la Comisión concluye que no es exigible al peticionario el agotamiento del proceso de amparo.</w:t>
      </w:r>
      <w:r w:rsidR="00067C64">
        <w:rPr>
          <w:rFonts w:asciiTheme="majorHAnsi" w:hAnsiTheme="majorHAnsi"/>
          <w:sz w:val="20"/>
          <w:szCs w:val="20"/>
          <w:lang w:val="es-MX"/>
        </w:rPr>
        <w:t xml:space="preserve"> </w:t>
      </w:r>
      <w:r w:rsidR="00C136AC">
        <w:rPr>
          <w:rFonts w:asciiTheme="majorHAnsi" w:hAnsiTheme="majorHAnsi"/>
          <w:sz w:val="20"/>
          <w:szCs w:val="20"/>
          <w:lang w:val="es-MX"/>
        </w:rPr>
        <w:t>Por lo tanto,</w:t>
      </w:r>
      <w:r w:rsidR="00067C64">
        <w:rPr>
          <w:rFonts w:asciiTheme="majorHAnsi" w:hAnsiTheme="majorHAnsi"/>
          <w:sz w:val="20"/>
          <w:szCs w:val="20"/>
          <w:lang w:val="es-MX"/>
        </w:rPr>
        <w:t xml:space="preserve"> dado</w:t>
      </w:r>
      <w:r w:rsidR="00C136AC">
        <w:rPr>
          <w:rFonts w:asciiTheme="majorHAnsi" w:hAnsiTheme="majorHAnsi"/>
          <w:sz w:val="20"/>
          <w:szCs w:val="20"/>
          <w:lang w:val="es-MX"/>
        </w:rPr>
        <w:t xml:space="preserve"> el </w:t>
      </w:r>
      <w:r w:rsidR="00C136AC">
        <w:rPr>
          <w:rFonts w:ascii="Cambria" w:hAnsi="Cambria"/>
          <w:sz w:val="20"/>
          <w:szCs w:val="20"/>
          <w:lang w:val="es-ES"/>
        </w:rPr>
        <w:t>tiempo transcurrido desde la interposición de la demanda sin que exista un pronunciamiento de primera instancia</w:t>
      </w:r>
      <w:r w:rsidR="00593336">
        <w:rPr>
          <w:rFonts w:ascii="Cambria" w:hAnsi="Cambria"/>
          <w:sz w:val="20"/>
          <w:szCs w:val="20"/>
          <w:lang w:val="es-ES"/>
        </w:rPr>
        <w:t xml:space="preserve"> y la ausencia de elementos que indiquen que la demora pueda ser imputable al peticionario, la Comisión concluye</w:t>
      </w:r>
      <w:r w:rsidR="00C136AC">
        <w:rPr>
          <w:rFonts w:ascii="Cambria" w:hAnsi="Cambria"/>
          <w:sz w:val="20"/>
          <w:szCs w:val="20"/>
          <w:lang w:val="es-ES"/>
        </w:rPr>
        <w:t xml:space="preserve"> que se configura la excepción al requisito de agotamiento de los recursos internos contenida en el artículo 46.2.c de la Convención Americana.</w:t>
      </w:r>
    </w:p>
    <w:p w14:paraId="01D47E3F" w14:textId="0F02F4BC" w:rsidR="003239B8" w:rsidRPr="008D2478" w:rsidRDefault="00255A97"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MX"/>
        </w:rPr>
        <w:t xml:space="preserve"> </w:t>
      </w:r>
      <w:r w:rsidR="00BF248A" w:rsidRPr="008D2478">
        <w:rPr>
          <w:rFonts w:asciiTheme="majorHAnsi" w:hAnsiTheme="majorHAnsi"/>
          <w:sz w:val="20"/>
          <w:szCs w:val="20"/>
          <w:lang w:val="es-MX"/>
        </w:rPr>
        <w:t xml:space="preserve">En cuanto a la falta de cumplimiento de las sentencias </w:t>
      </w:r>
      <w:r w:rsidR="00523BEB" w:rsidRPr="008D2478">
        <w:rPr>
          <w:rFonts w:asciiTheme="majorHAnsi" w:hAnsiTheme="majorHAnsi"/>
          <w:sz w:val="20"/>
          <w:szCs w:val="20"/>
          <w:lang w:val="es-MX"/>
        </w:rPr>
        <w:t xml:space="preserve">relativas a los montos adeudados al peticionario y la nivelación de su pensión, </w:t>
      </w:r>
      <w:r w:rsidR="00AB45D1" w:rsidRPr="008D2478">
        <w:rPr>
          <w:rFonts w:asciiTheme="majorHAnsi" w:hAnsiTheme="majorHAnsi"/>
          <w:sz w:val="20"/>
          <w:szCs w:val="20"/>
          <w:lang w:val="es-MX"/>
        </w:rPr>
        <w:t>las sentencias ordenando</w:t>
      </w:r>
      <w:r w:rsidR="00523BEB" w:rsidRPr="008D2478">
        <w:rPr>
          <w:rFonts w:asciiTheme="majorHAnsi" w:hAnsiTheme="majorHAnsi"/>
          <w:sz w:val="20"/>
          <w:szCs w:val="20"/>
          <w:lang w:val="es-MX"/>
        </w:rPr>
        <w:t xml:space="preserve"> estos pagos </w:t>
      </w:r>
      <w:r w:rsidR="00AB45D1" w:rsidRPr="008D2478">
        <w:rPr>
          <w:rFonts w:asciiTheme="majorHAnsi" w:hAnsiTheme="majorHAnsi"/>
          <w:sz w:val="20"/>
          <w:szCs w:val="20"/>
          <w:lang w:val="es-MX"/>
        </w:rPr>
        <w:t>fueron emitidas el 4 de octubre de 2002, 14 de enero de 2003 y 3 de enero de 2008</w:t>
      </w:r>
      <w:r w:rsidR="00FA5FB4" w:rsidRPr="008D2478">
        <w:rPr>
          <w:rFonts w:asciiTheme="majorHAnsi" w:hAnsiTheme="majorHAnsi"/>
          <w:sz w:val="20"/>
          <w:szCs w:val="20"/>
          <w:lang w:val="es-MX"/>
        </w:rPr>
        <w:t>. De verificarse que siguen sin cumplirse</w:t>
      </w:r>
      <w:r w:rsidR="0026187D">
        <w:rPr>
          <w:rFonts w:asciiTheme="majorHAnsi" w:hAnsiTheme="majorHAnsi"/>
          <w:sz w:val="20"/>
          <w:szCs w:val="20"/>
          <w:lang w:val="es-MX"/>
        </w:rPr>
        <w:t>, habrían transcurrido más de diez</w:t>
      </w:r>
      <w:r w:rsidR="00FA5FB4" w:rsidRPr="008D2478">
        <w:rPr>
          <w:rFonts w:asciiTheme="majorHAnsi" w:hAnsiTheme="majorHAnsi"/>
          <w:sz w:val="20"/>
          <w:szCs w:val="20"/>
          <w:lang w:val="es-MX"/>
        </w:rPr>
        <w:t xml:space="preserve"> años desde la emisión de las sentencias sin que éstas hayan sido ejecutadas. Como ya ha concluido en otros casos, la Comisión considera que, dadas las características de la presente petición, la excepción establecida en el artículo 46.2</w:t>
      </w:r>
      <w:r w:rsidR="00C36DF7">
        <w:rPr>
          <w:rFonts w:asciiTheme="majorHAnsi" w:hAnsiTheme="majorHAnsi"/>
          <w:sz w:val="20"/>
          <w:szCs w:val="20"/>
          <w:lang w:val="es-MX"/>
        </w:rPr>
        <w:t>c</w:t>
      </w:r>
      <w:r w:rsidR="00FA5FB4" w:rsidRPr="008D2478">
        <w:rPr>
          <w:rFonts w:asciiTheme="majorHAnsi" w:hAnsiTheme="majorHAnsi"/>
          <w:sz w:val="20"/>
          <w:szCs w:val="20"/>
          <w:lang w:val="es-MX"/>
        </w:rPr>
        <w:t xml:space="preserve"> de la Convención Americana</w:t>
      </w:r>
      <w:r w:rsidR="00A72BD3">
        <w:rPr>
          <w:rFonts w:asciiTheme="majorHAnsi" w:hAnsiTheme="majorHAnsi"/>
          <w:sz w:val="20"/>
          <w:szCs w:val="20"/>
          <w:lang w:val="es-MX"/>
        </w:rPr>
        <w:t xml:space="preserve"> es aplicable</w:t>
      </w:r>
      <w:r w:rsidR="00503C88">
        <w:rPr>
          <w:rStyle w:val="FootnoteReference"/>
          <w:rFonts w:asciiTheme="majorHAnsi" w:hAnsiTheme="majorHAnsi"/>
          <w:sz w:val="20"/>
          <w:szCs w:val="20"/>
          <w:lang w:val="es-MX"/>
        </w:rPr>
        <w:footnoteReference w:id="9"/>
      </w:r>
      <w:r w:rsidR="008D2478" w:rsidRPr="008D2478">
        <w:rPr>
          <w:rFonts w:asciiTheme="majorHAnsi" w:hAnsiTheme="majorHAnsi" w:cs="Calibri"/>
          <w:sz w:val="20"/>
          <w:szCs w:val="20"/>
          <w:lang w:val="es-ES"/>
        </w:rPr>
        <w:t>.</w:t>
      </w:r>
    </w:p>
    <w:p w14:paraId="6230F812" w14:textId="30F2CE6E" w:rsidR="008D2478" w:rsidRPr="008D2478" w:rsidRDefault="008D2478"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cs="Calibri"/>
          <w:sz w:val="20"/>
          <w:szCs w:val="20"/>
          <w:lang w:val="es-ES"/>
        </w:rPr>
        <w:t>En lo referente a la supuesta aplicación ilegítima y errada de la normativa presupuestaria y la denegatoria de la solicitud de reincorporación y cese, la Comisión no procederá con el análisis estos puntos dentro de la presente petición por lo que no se hace necesario examinar si los recursos internos se encuentran agotados respecto a los mismos.</w:t>
      </w:r>
    </w:p>
    <w:p w14:paraId="6DE61B03" w14:textId="2A0EB27C" w:rsidR="008D2478" w:rsidRPr="008D2478" w:rsidRDefault="00C36DF7"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cs="Calibri"/>
          <w:sz w:val="20"/>
          <w:szCs w:val="20"/>
          <w:lang w:val="es-ES"/>
        </w:rPr>
        <w:t>Respecto al plazo de presentación, toda vez que ha concluido la aplicabilidad de la excepción establecida en el artículo 46.2.c de la Convención Americana la Comisi</w:t>
      </w:r>
      <w:r w:rsidR="00A72BD3">
        <w:rPr>
          <w:rFonts w:asciiTheme="majorHAnsi" w:hAnsiTheme="majorHAnsi" w:cs="Calibri"/>
          <w:sz w:val="20"/>
          <w:szCs w:val="20"/>
          <w:lang w:val="es-ES"/>
        </w:rPr>
        <w:t xml:space="preserve">ón debe, según dispone el artículo 32 de su reglamento, examinar si la petición ha sido presentada dentro de un plazo razonable atendiendo a las circunstancias del caso. </w:t>
      </w:r>
      <w:r w:rsidR="00324647">
        <w:rPr>
          <w:rFonts w:asciiTheme="majorHAnsi" w:hAnsiTheme="majorHAnsi" w:cs="Calibri"/>
          <w:sz w:val="20"/>
          <w:szCs w:val="20"/>
          <w:lang w:val="es-ES"/>
        </w:rPr>
        <w:t xml:space="preserve">Considerando el tiempo transcurrido desde que se emitieron las sentencias ordenando pagos a favor del peticionario y desde que éste interpuso su demanda por daños y perjuicios, la Comisión concluye que la petición fue presentada dentro de un plazo razonable. </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448EA892" w:rsidR="00A11E44" w:rsidRPr="00EB14A3" w:rsidRDefault="00324647"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B14A3">
        <w:rPr>
          <w:rFonts w:ascii="Cambria" w:hAnsi="Cambria"/>
          <w:sz w:val="20"/>
          <w:szCs w:val="20"/>
          <w:lang w:val="es-ES"/>
        </w:rPr>
        <w:t xml:space="preserve">La Comisión considera que de ser ciertos los hechos alegados por el peticionario respecto </w:t>
      </w:r>
      <w:r w:rsidR="00EB14A3" w:rsidRPr="00EB14A3">
        <w:rPr>
          <w:rFonts w:ascii="Cambria" w:hAnsi="Cambria"/>
          <w:sz w:val="20"/>
          <w:szCs w:val="20"/>
          <w:lang w:val="es-ES"/>
        </w:rPr>
        <w:t>a la no ejecución de</w:t>
      </w:r>
      <w:r w:rsidR="00320281">
        <w:rPr>
          <w:rFonts w:ascii="Cambria" w:hAnsi="Cambria"/>
          <w:sz w:val="20"/>
          <w:szCs w:val="20"/>
          <w:lang w:val="es-ES"/>
        </w:rPr>
        <w:t xml:space="preserve"> sentencias a su favor más de diez</w:t>
      </w:r>
      <w:r w:rsidR="00EB14A3" w:rsidRPr="00EB14A3">
        <w:rPr>
          <w:rFonts w:ascii="Cambria" w:hAnsi="Cambria"/>
          <w:sz w:val="20"/>
          <w:szCs w:val="20"/>
          <w:lang w:val="es-ES"/>
        </w:rPr>
        <w:t xml:space="preserve"> años luego de su emisión y la falta de pronunciamiento de primera instancia respecto a su demanda por daños y per</w:t>
      </w:r>
      <w:r w:rsidR="00320281">
        <w:rPr>
          <w:rFonts w:ascii="Cambria" w:hAnsi="Cambria"/>
          <w:sz w:val="20"/>
          <w:szCs w:val="20"/>
          <w:lang w:val="es-ES"/>
        </w:rPr>
        <w:t>juicios más de diez</w:t>
      </w:r>
      <w:r w:rsidR="00EB14A3" w:rsidRPr="00EB14A3">
        <w:rPr>
          <w:rFonts w:ascii="Cambria" w:hAnsi="Cambria"/>
          <w:sz w:val="20"/>
          <w:szCs w:val="20"/>
          <w:lang w:val="es-ES"/>
        </w:rPr>
        <w:t xml:space="preserve"> años luego de su interposición, esto podría caracterizar violaciones a los artículos</w:t>
      </w:r>
      <w:r w:rsidR="00C136AC">
        <w:rPr>
          <w:rFonts w:ascii="Cambria" w:hAnsi="Cambria"/>
          <w:sz w:val="20"/>
          <w:szCs w:val="20"/>
          <w:lang w:val="es-ES"/>
        </w:rPr>
        <w:t xml:space="preserve"> </w:t>
      </w:r>
      <w:r w:rsidR="00E1663E">
        <w:rPr>
          <w:rFonts w:ascii="Cambria" w:hAnsi="Cambria"/>
          <w:sz w:val="20"/>
          <w:szCs w:val="20"/>
          <w:lang w:val="es-ES"/>
        </w:rPr>
        <w:t xml:space="preserve">5 (integridad personal), </w:t>
      </w:r>
      <w:r w:rsidR="00C136AC">
        <w:rPr>
          <w:rFonts w:ascii="Cambria" w:hAnsi="Cambria"/>
          <w:sz w:val="20"/>
          <w:szCs w:val="20"/>
          <w:lang w:val="es-ES"/>
        </w:rPr>
        <w:t>8 (garant</w:t>
      </w:r>
      <w:r w:rsidR="0026187D">
        <w:rPr>
          <w:rFonts w:ascii="Cambria" w:hAnsi="Cambria"/>
          <w:sz w:val="20"/>
          <w:szCs w:val="20"/>
          <w:lang w:val="es-ES"/>
        </w:rPr>
        <w:t>ías judiciales),</w:t>
      </w:r>
      <w:r w:rsidR="00EB14A3" w:rsidRPr="00EB14A3">
        <w:rPr>
          <w:rFonts w:ascii="Cambria" w:hAnsi="Cambria"/>
          <w:sz w:val="20"/>
          <w:szCs w:val="20"/>
          <w:lang w:val="es-ES"/>
        </w:rPr>
        <w:t xml:space="preserve"> 21</w:t>
      </w:r>
      <w:r w:rsidR="00517D86">
        <w:rPr>
          <w:rFonts w:ascii="Cambria" w:hAnsi="Cambria"/>
          <w:sz w:val="20"/>
          <w:szCs w:val="20"/>
          <w:lang w:val="es-ES"/>
        </w:rPr>
        <w:t xml:space="preserve"> </w:t>
      </w:r>
      <w:r w:rsidR="00EB14A3" w:rsidRPr="00EB14A3">
        <w:rPr>
          <w:rFonts w:ascii="Cambria" w:hAnsi="Cambria"/>
          <w:sz w:val="20"/>
          <w:szCs w:val="20"/>
          <w:lang w:val="es-ES"/>
        </w:rPr>
        <w:t>(propiedad privada), 25 (protección judicial) y 26 (derechos económicos, sociales y culturales</w:t>
      </w:r>
      <w:r w:rsidR="00E1663E">
        <w:rPr>
          <w:rFonts w:ascii="Cambria" w:hAnsi="Cambria"/>
          <w:sz w:val="20"/>
          <w:szCs w:val="20"/>
          <w:lang w:val="es-ES"/>
        </w:rPr>
        <w:t>) de la Convención Americana en</w:t>
      </w:r>
      <w:r w:rsidR="003D6164">
        <w:rPr>
          <w:rFonts w:ascii="Cambria" w:hAnsi="Cambria"/>
          <w:sz w:val="20"/>
          <w:szCs w:val="20"/>
          <w:lang w:val="es-ES"/>
        </w:rPr>
        <w:t xml:space="preserve"> relación</w:t>
      </w:r>
      <w:r w:rsidR="00E1663E">
        <w:rPr>
          <w:rFonts w:ascii="Cambria" w:hAnsi="Cambria"/>
          <w:sz w:val="20"/>
          <w:szCs w:val="20"/>
          <w:lang w:val="es-ES"/>
        </w:rPr>
        <w:t xml:space="preserve"> </w:t>
      </w:r>
      <w:r w:rsidR="00EB14A3" w:rsidRPr="00EB14A3">
        <w:rPr>
          <w:rFonts w:ascii="Cambria" w:hAnsi="Cambria"/>
          <w:sz w:val="20"/>
          <w:szCs w:val="20"/>
          <w:lang w:val="es-ES"/>
        </w:rPr>
        <w:t>con su</w:t>
      </w:r>
      <w:r w:rsidR="003D6164">
        <w:rPr>
          <w:rFonts w:ascii="Cambria" w:hAnsi="Cambria"/>
          <w:sz w:val="20"/>
          <w:szCs w:val="20"/>
          <w:lang w:val="es-ES"/>
        </w:rPr>
        <w:t>s</w:t>
      </w:r>
      <w:r w:rsidR="00EB14A3" w:rsidRPr="00EB14A3">
        <w:rPr>
          <w:rFonts w:ascii="Cambria" w:hAnsi="Cambria"/>
          <w:sz w:val="20"/>
          <w:szCs w:val="20"/>
          <w:lang w:val="es-ES"/>
        </w:rPr>
        <w:t xml:space="preserve"> artículo</w:t>
      </w:r>
      <w:r w:rsidR="003D6164">
        <w:rPr>
          <w:rFonts w:ascii="Cambria" w:hAnsi="Cambria"/>
          <w:sz w:val="20"/>
          <w:szCs w:val="20"/>
          <w:lang w:val="es-ES"/>
        </w:rPr>
        <w:t>s</w:t>
      </w:r>
      <w:r w:rsidR="00EB14A3" w:rsidRPr="00EB14A3">
        <w:rPr>
          <w:rFonts w:ascii="Cambria" w:hAnsi="Cambria"/>
          <w:sz w:val="20"/>
          <w:szCs w:val="20"/>
          <w:lang w:val="es-ES"/>
        </w:rPr>
        <w:t xml:space="preserve"> 1</w:t>
      </w:r>
      <w:r w:rsidR="00C136AC">
        <w:rPr>
          <w:rFonts w:ascii="Cambria" w:hAnsi="Cambria"/>
          <w:sz w:val="20"/>
          <w:szCs w:val="20"/>
          <w:lang w:val="es-ES"/>
        </w:rPr>
        <w:t>.1</w:t>
      </w:r>
      <w:r w:rsidR="00EB14A3" w:rsidRPr="00EB14A3">
        <w:rPr>
          <w:rFonts w:ascii="Cambria" w:hAnsi="Cambria"/>
          <w:sz w:val="20"/>
          <w:szCs w:val="20"/>
          <w:lang w:val="es-ES"/>
        </w:rPr>
        <w:t xml:space="preserve"> (obligación de respetar derechos)</w:t>
      </w:r>
      <w:r w:rsidR="003D6164">
        <w:rPr>
          <w:rFonts w:ascii="Cambria" w:hAnsi="Cambria"/>
          <w:sz w:val="20"/>
          <w:szCs w:val="20"/>
          <w:lang w:val="es-ES"/>
        </w:rPr>
        <w:t xml:space="preserve"> y 2 (obligación de adoptar disposiciones de derecho interno)</w:t>
      </w:r>
      <w:r w:rsidR="00EB14A3" w:rsidRPr="00EB14A3">
        <w:rPr>
          <w:rFonts w:ascii="Cambria" w:hAnsi="Cambria"/>
          <w:sz w:val="20"/>
          <w:szCs w:val="20"/>
          <w:lang w:val="es-ES"/>
        </w:rPr>
        <w:t>.</w:t>
      </w:r>
    </w:p>
    <w:p w14:paraId="398F6653" w14:textId="209BAE48" w:rsidR="00EB14A3" w:rsidRDefault="00EB14A3"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B14A3">
        <w:rPr>
          <w:rFonts w:ascii="Cambria" w:hAnsi="Cambria"/>
          <w:sz w:val="20"/>
          <w:szCs w:val="20"/>
          <w:lang w:val="es-ES"/>
        </w:rPr>
        <w:t xml:space="preserve">Respecto a lo denunciado por el peticionario respecto a una supuesta </w:t>
      </w:r>
      <w:r>
        <w:rPr>
          <w:rFonts w:ascii="Cambria" w:hAnsi="Cambria"/>
          <w:sz w:val="20"/>
          <w:szCs w:val="20"/>
          <w:lang w:val="es-ES"/>
        </w:rPr>
        <w:t>ilegítima aplicación retroactiva y errada de la norma presupuestaria por parte del Poder Judicial, la Comisión considera que</w:t>
      </w:r>
      <w:r w:rsidR="003A19BC">
        <w:rPr>
          <w:rFonts w:ascii="Cambria" w:hAnsi="Cambria"/>
          <w:sz w:val="20"/>
          <w:szCs w:val="20"/>
          <w:lang w:val="es-ES"/>
        </w:rPr>
        <w:t xml:space="preserve"> no</w:t>
      </w:r>
      <w:r w:rsidR="00517D86">
        <w:rPr>
          <w:rFonts w:ascii="Cambria" w:hAnsi="Cambria"/>
          <w:sz w:val="20"/>
          <w:szCs w:val="20"/>
          <w:lang w:val="es-ES"/>
        </w:rPr>
        <w:t xml:space="preserve"> le corresponde</w:t>
      </w:r>
      <w:r>
        <w:rPr>
          <w:rFonts w:ascii="Cambria" w:hAnsi="Cambria"/>
          <w:sz w:val="20"/>
          <w:szCs w:val="20"/>
          <w:lang w:val="es-ES"/>
        </w:rPr>
        <w:t xml:space="preserve"> examinar </w:t>
      </w:r>
      <w:r w:rsidR="003A19BC">
        <w:rPr>
          <w:rFonts w:ascii="Cambria" w:hAnsi="Cambria"/>
          <w:sz w:val="20"/>
          <w:szCs w:val="20"/>
          <w:lang w:val="es-ES"/>
        </w:rPr>
        <w:t>si a dicha institución le era viable o no, de acuerdo a la normativa presupuestaria interna, realizar los pagos ordenados judicialmente. El examen de la Comisión se limitará a determinar si el Estado, considerado como un todo, vulneró o no los derechos humanos del peticionario.</w:t>
      </w:r>
      <w:r w:rsidR="00D11D58">
        <w:rPr>
          <w:rStyle w:val="FootnoteReference"/>
          <w:rFonts w:ascii="Cambria" w:hAnsi="Cambria"/>
          <w:sz w:val="20"/>
          <w:szCs w:val="20"/>
          <w:lang w:val="es-ES"/>
        </w:rPr>
        <w:footnoteReference w:id="10"/>
      </w:r>
      <w:r w:rsidR="003A19BC">
        <w:rPr>
          <w:rFonts w:ascii="Cambria" w:hAnsi="Cambria"/>
          <w:sz w:val="20"/>
          <w:szCs w:val="20"/>
          <w:lang w:val="es-ES"/>
        </w:rPr>
        <w:t xml:space="preserve">  </w:t>
      </w:r>
    </w:p>
    <w:p w14:paraId="00CF4DEA" w14:textId="457A62F2" w:rsidR="0031448D" w:rsidRPr="00EB14A3" w:rsidRDefault="0031448D"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cuanto a la solicitud de reincorporación y cese presentada por el peticionario, el Estado ha demostrado que la misma ha sido respondida por las autoridades competentes, aunque en un sentido contrario a las pretensiones del peticionario. La Comisión considera que </w:t>
      </w:r>
      <w:r w:rsidR="006C322B">
        <w:rPr>
          <w:rFonts w:ascii="Cambria" w:hAnsi="Cambria"/>
          <w:sz w:val="20"/>
          <w:szCs w:val="20"/>
          <w:lang w:val="es-ES"/>
        </w:rPr>
        <w:t>lo planteado por el peticionario en este respecto no caracteriza violaciones nuevas a los derechos humanos</w:t>
      </w:r>
      <w:r w:rsidR="003F36C1">
        <w:rPr>
          <w:rFonts w:ascii="Cambria" w:hAnsi="Cambria"/>
          <w:sz w:val="20"/>
          <w:szCs w:val="20"/>
          <w:lang w:val="es-ES"/>
        </w:rPr>
        <w:t>.</w:t>
      </w:r>
      <w:r w:rsidR="006C322B">
        <w:rPr>
          <w:rFonts w:ascii="Cambria" w:hAnsi="Cambria"/>
          <w:sz w:val="20"/>
          <w:szCs w:val="20"/>
          <w:lang w:val="es-ES"/>
        </w:rPr>
        <w:t xml:space="preserve"> </w:t>
      </w:r>
      <w:r w:rsidR="003F36C1">
        <w:rPr>
          <w:rFonts w:ascii="Cambria" w:hAnsi="Cambria"/>
          <w:sz w:val="20"/>
          <w:szCs w:val="20"/>
          <w:lang w:val="es-ES"/>
        </w:rPr>
        <w:t>En cambio, lo que se denota es</w:t>
      </w:r>
      <w:r w:rsidR="006C322B">
        <w:rPr>
          <w:rFonts w:ascii="Cambria" w:hAnsi="Cambria"/>
          <w:sz w:val="20"/>
          <w:szCs w:val="20"/>
          <w:lang w:val="es-ES"/>
        </w:rPr>
        <w:t xml:space="preserve"> </w:t>
      </w:r>
      <w:r w:rsidR="003F36C1">
        <w:rPr>
          <w:rFonts w:ascii="Cambria" w:hAnsi="Cambria"/>
          <w:sz w:val="20"/>
          <w:szCs w:val="20"/>
          <w:lang w:val="es-ES"/>
        </w:rPr>
        <w:t xml:space="preserve">la </w:t>
      </w:r>
      <w:r w:rsidR="006C322B">
        <w:rPr>
          <w:rFonts w:ascii="Cambria" w:hAnsi="Cambria"/>
          <w:sz w:val="20"/>
          <w:szCs w:val="20"/>
          <w:lang w:val="es-ES"/>
        </w:rPr>
        <w:t xml:space="preserve"> posible falta de reparación de una violació</w:t>
      </w:r>
      <w:r w:rsidR="00744A09">
        <w:rPr>
          <w:rFonts w:ascii="Cambria" w:hAnsi="Cambria"/>
          <w:sz w:val="20"/>
          <w:szCs w:val="20"/>
          <w:lang w:val="es-ES"/>
        </w:rPr>
        <w:t xml:space="preserve">n ya reconocida por el Estado (el cese </w:t>
      </w:r>
      <w:r w:rsidR="006C322B">
        <w:rPr>
          <w:rFonts w:ascii="Cambria" w:hAnsi="Cambria"/>
          <w:sz w:val="20"/>
          <w:szCs w:val="20"/>
          <w:lang w:val="es-ES"/>
        </w:rPr>
        <w:t xml:space="preserve"> irregular del peticionario</w:t>
      </w:r>
      <w:r w:rsidR="003F36C1">
        <w:rPr>
          <w:rFonts w:ascii="Cambria" w:hAnsi="Cambria"/>
          <w:sz w:val="20"/>
          <w:szCs w:val="20"/>
          <w:lang w:val="es-ES"/>
        </w:rPr>
        <w:t xml:space="preserve">) o una falta de cumplimiento del Acuerdo de Solución Amistosa suscrito entre el peticionario y el Estado y ya aprobado por esta Comisión. Por estos motivos, la  Comisión </w:t>
      </w:r>
      <w:r w:rsidR="00517D86">
        <w:rPr>
          <w:rFonts w:ascii="Cambria" w:hAnsi="Cambria"/>
          <w:sz w:val="20"/>
          <w:szCs w:val="20"/>
          <w:lang w:val="es-ES"/>
        </w:rPr>
        <w:t xml:space="preserve">considerará </w:t>
      </w:r>
      <w:r w:rsidR="003F36C1">
        <w:rPr>
          <w:rFonts w:ascii="Cambria" w:hAnsi="Cambria"/>
          <w:sz w:val="20"/>
          <w:szCs w:val="20"/>
          <w:lang w:val="es-ES"/>
        </w:rPr>
        <w:t>est</w:t>
      </w:r>
      <w:r w:rsidR="00517D86">
        <w:rPr>
          <w:rFonts w:ascii="Cambria" w:hAnsi="Cambria"/>
          <w:sz w:val="20"/>
          <w:szCs w:val="20"/>
          <w:lang w:val="es-ES"/>
        </w:rPr>
        <w:t>a parte de la petición</w:t>
      </w:r>
      <w:r w:rsidR="003F36C1">
        <w:rPr>
          <w:rFonts w:ascii="Cambria" w:hAnsi="Cambria"/>
          <w:sz w:val="20"/>
          <w:szCs w:val="20"/>
          <w:lang w:val="es-ES"/>
        </w:rPr>
        <w:t xml:space="preserve"> como parte </w:t>
      </w:r>
      <w:r w:rsidR="003F36C1">
        <w:rPr>
          <w:rFonts w:ascii="Cambria" w:hAnsi="Cambria"/>
          <w:sz w:val="20"/>
          <w:szCs w:val="20"/>
          <w:lang w:val="es-ES"/>
        </w:rPr>
        <w:lastRenderedPageBreak/>
        <w:t>de su seguimiento al acuerdo de Solución Amistosa</w:t>
      </w:r>
      <w:r w:rsidR="00517D86">
        <w:rPr>
          <w:rFonts w:ascii="Cambria" w:hAnsi="Cambria"/>
          <w:sz w:val="20"/>
          <w:szCs w:val="20"/>
          <w:lang w:val="es-ES"/>
        </w:rPr>
        <w:t xml:space="preserve"> aprobado mediante </w:t>
      </w:r>
      <w:r w:rsidR="000F4B09">
        <w:rPr>
          <w:rFonts w:asciiTheme="majorHAnsi" w:hAnsiTheme="majorHAnsi"/>
          <w:sz w:val="20"/>
          <w:szCs w:val="20"/>
          <w:lang w:val="es-PA"/>
        </w:rPr>
        <w:t>Informe No. 50</w:t>
      </w:r>
      <w:r w:rsidR="00517D86" w:rsidRPr="008537A1">
        <w:rPr>
          <w:rFonts w:asciiTheme="majorHAnsi" w:hAnsiTheme="majorHAnsi"/>
          <w:sz w:val="20"/>
          <w:szCs w:val="20"/>
          <w:lang w:val="es-PA"/>
        </w:rPr>
        <w:t>/06</w:t>
      </w:r>
      <w:r w:rsidR="00517D86">
        <w:rPr>
          <w:rFonts w:ascii="Cambria" w:hAnsi="Cambria"/>
          <w:sz w:val="20"/>
          <w:szCs w:val="20"/>
          <w:lang w:val="es-ES"/>
        </w:rPr>
        <w:t>,</w:t>
      </w:r>
      <w:r w:rsidR="003F36C1">
        <w:rPr>
          <w:rFonts w:ascii="Cambria" w:hAnsi="Cambria"/>
          <w:sz w:val="20"/>
          <w:szCs w:val="20"/>
          <w:lang w:val="es-ES"/>
        </w:rPr>
        <w:t xml:space="preserve"> </w:t>
      </w:r>
      <w:r w:rsidR="00517D86">
        <w:rPr>
          <w:rFonts w:ascii="Cambria" w:hAnsi="Cambria"/>
          <w:sz w:val="20"/>
          <w:szCs w:val="20"/>
          <w:lang w:val="es-ES"/>
        </w:rPr>
        <w:t>y no la</w:t>
      </w:r>
      <w:r w:rsidR="003F36C1">
        <w:rPr>
          <w:rFonts w:ascii="Cambria" w:hAnsi="Cambria"/>
          <w:sz w:val="20"/>
          <w:szCs w:val="20"/>
          <w:lang w:val="es-ES"/>
        </w:rPr>
        <w:t xml:space="preserve"> contemplará</w:t>
      </w:r>
      <w:r w:rsidR="0026187D">
        <w:rPr>
          <w:rFonts w:ascii="Cambria" w:hAnsi="Cambria"/>
          <w:sz w:val="20"/>
          <w:szCs w:val="20"/>
          <w:lang w:val="es-ES"/>
        </w:rPr>
        <w:t xml:space="preserve"> como parte del marco fáctico para efectos del</w:t>
      </w:r>
      <w:r w:rsidR="003F36C1">
        <w:rPr>
          <w:rFonts w:ascii="Cambria" w:hAnsi="Cambria"/>
          <w:sz w:val="20"/>
          <w:szCs w:val="20"/>
          <w:lang w:val="es-ES"/>
        </w:rPr>
        <w:t xml:space="preserve"> análisis de fondo de la presente petición.</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3195B8D2" w:rsidR="000419AD" w:rsidRPr="00A357DD"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517D86">
        <w:rPr>
          <w:rFonts w:asciiTheme="majorHAnsi" w:hAnsiTheme="majorHAnsi"/>
          <w:sz w:val="20"/>
          <w:szCs w:val="20"/>
          <w:lang w:val="es-ES"/>
        </w:rPr>
        <w:t>los artículos</w:t>
      </w:r>
      <w:r w:rsidR="001D4666">
        <w:rPr>
          <w:rFonts w:asciiTheme="majorHAnsi" w:hAnsiTheme="majorHAnsi"/>
          <w:sz w:val="20"/>
          <w:szCs w:val="20"/>
          <w:lang w:val="es-ES"/>
        </w:rPr>
        <w:t xml:space="preserve"> </w:t>
      </w:r>
      <w:r w:rsidR="006B5238">
        <w:rPr>
          <w:rFonts w:asciiTheme="majorHAnsi" w:hAnsiTheme="majorHAnsi"/>
          <w:sz w:val="20"/>
          <w:szCs w:val="20"/>
          <w:lang w:val="es-ES"/>
        </w:rPr>
        <w:t xml:space="preserve">5, </w:t>
      </w:r>
      <w:r w:rsidR="001D4666">
        <w:rPr>
          <w:rFonts w:asciiTheme="majorHAnsi" w:hAnsiTheme="majorHAnsi"/>
          <w:sz w:val="20"/>
          <w:szCs w:val="20"/>
          <w:lang w:val="es-ES"/>
        </w:rPr>
        <w:t>8,</w:t>
      </w:r>
      <w:r w:rsidR="00517D86">
        <w:rPr>
          <w:rFonts w:asciiTheme="majorHAnsi" w:hAnsiTheme="majorHAnsi"/>
          <w:sz w:val="20"/>
          <w:szCs w:val="20"/>
          <w:lang w:val="es-ES"/>
        </w:rPr>
        <w:t xml:space="preserve"> 21, 25 y 26 de la Convención Americana, en relaci</w:t>
      </w:r>
      <w:r w:rsidR="00422FA7">
        <w:rPr>
          <w:rFonts w:asciiTheme="majorHAnsi" w:hAnsiTheme="majorHAnsi"/>
          <w:sz w:val="20"/>
          <w:szCs w:val="20"/>
          <w:lang w:val="es-ES"/>
        </w:rPr>
        <w:t>ón con su</w:t>
      </w:r>
      <w:r w:rsidR="00BB456E">
        <w:rPr>
          <w:rFonts w:asciiTheme="majorHAnsi" w:hAnsiTheme="majorHAnsi"/>
          <w:sz w:val="20"/>
          <w:szCs w:val="20"/>
          <w:lang w:val="es-ES"/>
        </w:rPr>
        <w:t>s</w:t>
      </w:r>
      <w:r w:rsidR="00517D86">
        <w:rPr>
          <w:rFonts w:asciiTheme="majorHAnsi" w:hAnsiTheme="majorHAnsi"/>
          <w:sz w:val="20"/>
          <w:szCs w:val="20"/>
          <w:lang w:val="es-ES"/>
        </w:rPr>
        <w:t xml:space="preserve"> artículo</w:t>
      </w:r>
      <w:r w:rsidR="006B5238">
        <w:rPr>
          <w:rFonts w:asciiTheme="majorHAnsi" w:hAnsiTheme="majorHAnsi"/>
          <w:sz w:val="20"/>
          <w:szCs w:val="20"/>
          <w:lang w:val="es-ES"/>
        </w:rPr>
        <w:t>s</w:t>
      </w:r>
      <w:r w:rsidR="00517D86">
        <w:rPr>
          <w:rFonts w:asciiTheme="majorHAnsi" w:hAnsiTheme="majorHAnsi"/>
          <w:sz w:val="20"/>
          <w:szCs w:val="20"/>
          <w:lang w:val="es-ES"/>
        </w:rPr>
        <w:t xml:space="preserve"> 1.1.</w:t>
      </w:r>
      <w:r w:rsidR="00BB456E">
        <w:rPr>
          <w:rFonts w:asciiTheme="majorHAnsi" w:hAnsiTheme="majorHAnsi"/>
          <w:sz w:val="20"/>
          <w:szCs w:val="20"/>
          <w:lang w:val="es-ES"/>
        </w:rPr>
        <w:t xml:space="preserve"> y 2</w:t>
      </w:r>
      <w:r w:rsidR="00517D86">
        <w:rPr>
          <w:rFonts w:asciiTheme="majorHAnsi" w:hAnsiTheme="majorHAnsi"/>
          <w:sz w:val="20"/>
          <w:szCs w:val="20"/>
          <w:lang w:val="es-ES"/>
        </w:rPr>
        <w:t xml:space="preserve"> </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2E003F4" w14:textId="748BB627" w:rsidR="005239F7" w:rsidRPr="002B7B81" w:rsidRDefault="005239F7" w:rsidP="005239F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29</w:t>
      </w:r>
      <w:r w:rsidRPr="002B7B81">
        <w:rPr>
          <w:rFonts w:ascii="Cambria" w:hAnsi="Cambria"/>
          <w:sz w:val="20"/>
          <w:szCs w:val="20"/>
          <w:lang w:val="es-ES"/>
        </w:rPr>
        <w:t xml:space="preserve"> días del mes de </w:t>
      </w:r>
      <w:r>
        <w:rPr>
          <w:rFonts w:ascii="Cambria" w:hAnsi="Cambria" w:cs="Arial"/>
          <w:noProof/>
          <w:spacing w:val="-2"/>
          <w:sz w:val="20"/>
          <w:szCs w:val="20"/>
          <w:lang w:val="es-CL"/>
        </w:rPr>
        <w:t>marzo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w:t>
      </w:r>
      <w:proofErr w:type="spellStart"/>
      <w:r w:rsidRPr="002B7B81">
        <w:rPr>
          <w:rFonts w:ascii="Cambria" w:hAnsi="Cambria"/>
          <w:sz w:val="20"/>
          <w:szCs w:val="20"/>
          <w:lang w:val="es-ES"/>
        </w:rPr>
        <w:t>May</w:t>
      </w:r>
      <w:proofErr w:type="spellEnd"/>
      <w:r w:rsidRPr="002B7B81">
        <w:rPr>
          <w:rFonts w:ascii="Cambria" w:hAnsi="Cambria"/>
          <w:sz w:val="20"/>
          <w:szCs w:val="20"/>
          <w:lang w:val="es-ES"/>
        </w:rPr>
        <w:t xml:space="preserve"> Macaulay</w:t>
      </w:r>
      <w:r>
        <w:rPr>
          <w:rFonts w:ascii="Cambria" w:hAnsi="Cambria"/>
          <w:sz w:val="20"/>
          <w:szCs w:val="20"/>
          <w:lang w:val="es-ES"/>
        </w:rPr>
        <w:t>, Luis Ernesto Vargas Silva</w:t>
      </w:r>
      <w:r w:rsidRPr="002B7B81">
        <w:rPr>
          <w:rFonts w:ascii="Cambria" w:hAnsi="Cambria"/>
          <w:sz w:val="20"/>
          <w:szCs w:val="20"/>
          <w:lang w:val="es-ES"/>
        </w:rPr>
        <w:t xml:space="preserve"> y Flávia Piovesan, Miembros de la Comisión.</w:t>
      </w: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EB3FB" w14:textId="77777777" w:rsidR="00653406" w:rsidRDefault="00653406">
      <w:r>
        <w:separator/>
      </w:r>
    </w:p>
  </w:endnote>
  <w:endnote w:type="continuationSeparator" w:id="0">
    <w:p w14:paraId="7237BAF2" w14:textId="77777777" w:rsidR="00653406" w:rsidRDefault="0065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CCE20" w14:textId="77777777" w:rsidR="0045449C" w:rsidRDefault="00454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31448D" w:rsidRPr="00934A2C" w:rsidRDefault="003144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5449C">
          <w:rPr>
            <w:noProof/>
            <w:sz w:val="16"/>
            <w:szCs w:val="22"/>
          </w:rPr>
          <w:t>5</w:t>
        </w:r>
        <w:r w:rsidRPr="00934A2C">
          <w:rPr>
            <w:noProof/>
            <w:sz w:val="16"/>
            <w:szCs w:val="22"/>
          </w:rPr>
          <w:fldChar w:fldCharType="end"/>
        </w:r>
      </w:p>
    </w:sdtContent>
  </w:sdt>
  <w:p w14:paraId="68530E6A" w14:textId="77777777" w:rsidR="0031448D" w:rsidRDefault="003144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1448D" w:rsidRPr="00934A2C" w:rsidRDefault="0031448D">
    <w:pPr>
      <w:pStyle w:val="Footer"/>
      <w:jc w:val="center"/>
      <w:rPr>
        <w:sz w:val="16"/>
        <w:szCs w:val="22"/>
      </w:rPr>
    </w:pPr>
  </w:p>
  <w:p w14:paraId="49059CE3" w14:textId="77777777" w:rsidR="0031448D" w:rsidRDefault="00314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44076" w14:textId="77777777" w:rsidR="00653406" w:rsidRPr="000F35ED" w:rsidRDefault="0065340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58521D" w14:textId="77777777" w:rsidR="00653406" w:rsidRPr="000F35ED" w:rsidRDefault="00653406" w:rsidP="000F35ED">
      <w:pPr>
        <w:rPr>
          <w:rFonts w:asciiTheme="majorHAnsi" w:hAnsiTheme="majorHAnsi"/>
          <w:sz w:val="16"/>
          <w:szCs w:val="16"/>
        </w:rPr>
      </w:pPr>
      <w:r w:rsidRPr="000F35ED">
        <w:rPr>
          <w:rFonts w:asciiTheme="majorHAnsi" w:hAnsiTheme="majorHAnsi"/>
          <w:sz w:val="16"/>
          <w:szCs w:val="16"/>
        </w:rPr>
        <w:separator/>
      </w:r>
    </w:p>
    <w:p w14:paraId="7552F780" w14:textId="77777777" w:rsidR="00653406" w:rsidRPr="000F35ED" w:rsidRDefault="0065340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40EB16E" w14:textId="77777777" w:rsidR="00653406" w:rsidRPr="000F35ED" w:rsidRDefault="0065340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3A5600E9" w:rsidR="0031448D" w:rsidRPr="00E1663E" w:rsidRDefault="0031448D" w:rsidP="00714570">
      <w:pPr>
        <w:pStyle w:val="FootnoteText"/>
        <w:ind w:firstLine="720"/>
        <w:jc w:val="both"/>
        <w:rPr>
          <w:rFonts w:asciiTheme="majorHAnsi" w:hAnsiTheme="majorHAnsi"/>
          <w:sz w:val="16"/>
          <w:szCs w:val="16"/>
          <w:lang w:val="es-ES"/>
        </w:rPr>
      </w:pPr>
      <w:r w:rsidRPr="00E1663E">
        <w:rPr>
          <w:rStyle w:val="FootnoteReference"/>
          <w:rFonts w:asciiTheme="majorHAnsi" w:hAnsiTheme="majorHAnsi"/>
          <w:sz w:val="16"/>
          <w:szCs w:val="16"/>
        </w:rPr>
        <w:footnoteRef/>
      </w:r>
      <w:r w:rsidRPr="00E1663E">
        <w:rPr>
          <w:rFonts w:asciiTheme="majorHAnsi" w:hAnsiTheme="majorHAnsi"/>
          <w:sz w:val="16"/>
          <w:szCs w:val="16"/>
          <w:lang w:val="es-ES"/>
        </w:rPr>
        <w:t xml:space="preserve"> Conforme a lo dispuesto en el artículo 17.2.a del Reglamento de la Comisión, el Comisionado Francisco José Eguiguren Praeli, de nacionalidad Peruana, no participó en el debate ni en la decisión del presente asunto.</w:t>
      </w:r>
    </w:p>
  </w:footnote>
  <w:footnote w:id="3">
    <w:p w14:paraId="706F79FB" w14:textId="5968FC7D" w:rsidR="00E8657B" w:rsidRPr="00E1663E" w:rsidRDefault="00E8657B" w:rsidP="00E8657B">
      <w:pPr>
        <w:pStyle w:val="FootnoteText"/>
        <w:ind w:firstLine="720"/>
        <w:rPr>
          <w:rFonts w:asciiTheme="majorHAnsi" w:hAnsiTheme="majorHAnsi"/>
          <w:sz w:val="16"/>
          <w:szCs w:val="16"/>
          <w:lang w:val="es-PA"/>
        </w:rPr>
      </w:pPr>
      <w:r w:rsidRPr="00E1663E">
        <w:rPr>
          <w:rStyle w:val="FootnoteReference"/>
          <w:rFonts w:asciiTheme="majorHAnsi" w:hAnsiTheme="majorHAnsi"/>
          <w:sz w:val="16"/>
          <w:szCs w:val="16"/>
        </w:rPr>
        <w:footnoteRef/>
      </w:r>
      <w:r w:rsidRPr="00E1663E">
        <w:rPr>
          <w:rFonts w:asciiTheme="majorHAnsi" w:hAnsiTheme="majorHAnsi"/>
          <w:sz w:val="16"/>
          <w:szCs w:val="16"/>
          <w:lang w:val="es-PA"/>
        </w:rPr>
        <w:t xml:space="preserve"> </w:t>
      </w:r>
      <w:r w:rsidRPr="00E1663E">
        <w:rPr>
          <w:rFonts w:asciiTheme="majorHAnsi" w:hAnsiTheme="majorHAnsi"/>
          <w:sz w:val="16"/>
          <w:szCs w:val="16"/>
          <w:lang w:val="es-ES"/>
        </w:rPr>
        <w:t>En adelante “la Convención” o “la Convención Americana”.</w:t>
      </w:r>
    </w:p>
  </w:footnote>
  <w:footnote w:id="4">
    <w:p w14:paraId="68C7F654" w14:textId="698EE1AE" w:rsidR="0031448D" w:rsidRPr="00E1663E" w:rsidRDefault="0031448D" w:rsidP="00714570">
      <w:pPr>
        <w:pStyle w:val="FootnoteText"/>
        <w:ind w:firstLine="720"/>
        <w:jc w:val="both"/>
        <w:rPr>
          <w:rFonts w:asciiTheme="majorHAnsi" w:hAnsiTheme="majorHAnsi"/>
          <w:sz w:val="16"/>
          <w:szCs w:val="16"/>
          <w:lang w:val="es-PA"/>
        </w:rPr>
      </w:pPr>
      <w:r w:rsidRPr="00E1663E">
        <w:rPr>
          <w:rStyle w:val="FootnoteReference"/>
          <w:rFonts w:asciiTheme="majorHAnsi" w:hAnsiTheme="majorHAnsi"/>
          <w:sz w:val="16"/>
          <w:szCs w:val="16"/>
        </w:rPr>
        <w:footnoteRef/>
      </w:r>
      <w:r w:rsidRPr="00E1663E">
        <w:rPr>
          <w:rFonts w:asciiTheme="majorHAnsi" w:hAnsiTheme="majorHAnsi"/>
          <w:sz w:val="16"/>
          <w:szCs w:val="16"/>
          <w:lang w:val="es-PA"/>
        </w:rPr>
        <w:t xml:space="preserve"> Declaración</w:t>
      </w:r>
      <w:r w:rsidR="00DF62C7" w:rsidRPr="00E1663E">
        <w:rPr>
          <w:rFonts w:asciiTheme="majorHAnsi" w:hAnsiTheme="majorHAnsi"/>
          <w:sz w:val="16"/>
          <w:szCs w:val="16"/>
          <w:lang w:val="es-PA"/>
        </w:rPr>
        <w:t xml:space="preserve"> Universal de Derechos Humanos a</w:t>
      </w:r>
      <w:r w:rsidR="00B556F9" w:rsidRPr="00E1663E">
        <w:rPr>
          <w:rFonts w:asciiTheme="majorHAnsi" w:hAnsiTheme="majorHAnsi"/>
          <w:sz w:val="16"/>
          <w:szCs w:val="16"/>
          <w:lang w:val="es-PA"/>
        </w:rPr>
        <w:t>rtículos 7</w:t>
      </w:r>
      <w:r w:rsidR="00CF01B3" w:rsidRPr="00E1663E">
        <w:rPr>
          <w:rFonts w:asciiTheme="majorHAnsi" w:hAnsiTheme="majorHAnsi"/>
          <w:sz w:val="16"/>
          <w:szCs w:val="16"/>
          <w:lang w:val="es-PA"/>
        </w:rPr>
        <w:t xml:space="preserve"> </w:t>
      </w:r>
      <w:r w:rsidR="00B556F9" w:rsidRPr="00E1663E">
        <w:rPr>
          <w:rFonts w:asciiTheme="majorHAnsi" w:hAnsiTheme="majorHAnsi"/>
          <w:sz w:val="16"/>
          <w:szCs w:val="16"/>
          <w:lang w:val="es-PA"/>
        </w:rPr>
        <w:t>(igualdad ante la ley), 22 (seguridad social) y 25 (nivel de vida adecuado)</w:t>
      </w:r>
      <w:r w:rsidR="00E8657B" w:rsidRPr="00E1663E">
        <w:rPr>
          <w:rFonts w:asciiTheme="majorHAnsi" w:hAnsiTheme="majorHAnsi"/>
          <w:sz w:val="16"/>
          <w:szCs w:val="16"/>
          <w:lang w:val="es-PA"/>
        </w:rPr>
        <w:t>.</w:t>
      </w:r>
    </w:p>
  </w:footnote>
  <w:footnote w:id="5">
    <w:p w14:paraId="79F07139" w14:textId="77777777" w:rsidR="0031448D" w:rsidRPr="00E1663E" w:rsidRDefault="0031448D" w:rsidP="00714570">
      <w:pPr>
        <w:pStyle w:val="FootnoteText"/>
        <w:ind w:firstLine="720"/>
        <w:jc w:val="both"/>
        <w:rPr>
          <w:rFonts w:asciiTheme="majorHAnsi" w:hAnsiTheme="majorHAnsi"/>
          <w:sz w:val="16"/>
          <w:szCs w:val="16"/>
          <w:lang w:val="es-ES"/>
        </w:rPr>
      </w:pPr>
      <w:r w:rsidRPr="00E1663E">
        <w:rPr>
          <w:rStyle w:val="FootnoteReference"/>
          <w:rFonts w:asciiTheme="majorHAnsi" w:hAnsiTheme="majorHAnsi"/>
          <w:sz w:val="16"/>
          <w:szCs w:val="16"/>
        </w:rPr>
        <w:footnoteRef/>
      </w:r>
      <w:r w:rsidRPr="00E1663E">
        <w:rPr>
          <w:rFonts w:asciiTheme="majorHAnsi" w:hAnsiTheme="majorHAnsi"/>
          <w:sz w:val="16"/>
          <w:szCs w:val="16"/>
          <w:lang w:val="es-ES"/>
        </w:rPr>
        <w:t xml:space="preserve"> Las observaciones de cada parte fueron debidamente trasladadas a la parte contraria.</w:t>
      </w:r>
    </w:p>
  </w:footnote>
  <w:footnote w:id="6">
    <w:p w14:paraId="78822E89" w14:textId="22B979E2" w:rsidR="009B1650" w:rsidRPr="00E1663E" w:rsidRDefault="009B1650" w:rsidP="009B1650">
      <w:pPr>
        <w:pStyle w:val="FootnoteText"/>
        <w:ind w:firstLine="720"/>
        <w:jc w:val="both"/>
        <w:rPr>
          <w:rFonts w:asciiTheme="majorHAnsi" w:hAnsiTheme="majorHAnsi"/>
          <w:sz w:val="16"/>
          <w:szCs w:val="16"/>
          <w:lang w:val="es-PA"/>
        </w:rPr>
      </w:pPr>
      <w:r w:rsidRPr="00E1663E">
        <w:rPr>
          <w:rStyle w:val="FootnoteReference"/>
          <w:rFonts w:asciiTheme="majorHAnsi" w:hAnsiTheme="majorHAnsi"/>
          <w:sz w:val="16"/>
          <w:szCs w:val="16"/>
        </w:rPr>
        <w:footnoteRef/>
      </w:r>
      <w:r w:rsidRPr="00E1663E">
        <w:rPr>
          <w:rFonts w:asciiTheme="majorHAnsi" w:hAnsiTheme="majorHAnsi"/>
          <w:sz w:val="16"/>
          <w:szCs w:val="16"/>
          <w:lang w:val="es-PA"/>
        </w:rPr>
        <w:t xml:space="preserve"> En el </w:t>
      </w:r>
      <w:r w:rsidR="000F50C7" w:rsidRPr="00E1663E">
        <w:rPr>
          <w:rFonts w:asciiTheme="majorHAnsi" w:hAnsiTheme="majorHAnsi"/>
          <w:sz w:val="16"/>
          <w:szCs w:val="16"/>
          <w:lang w:val="es-PA"/>
        </w:rPr>
        <w:t>2001 la tasa de cambio era</w:t>
      </w:r>
      <w:r w:rsidR="00067C64" w:rsidRPr="00E1663E">
        <w:rPr>
          <w:rFonts w:asciiTheme="majorHAnsi" w:hAnsiTheme="majorHAnsi"/>
          <w:sz w:val="16"/>
          <w:szCs w:val="16"/>
          <w:lang w:val="es-PA"/>
        </w:rPr>
        <w:t xml:space="preserve"> aproximadamente</w:t>
      </w:r>
      <w:r w:rsidR="000F50C7" w:rsidRPr="00E1663E">
        <w:rPr>
          <w:rFonts w:asciiTheme="majorHAnsi" w:hAnsiTheme="majorHAnsi"/>
          <w:sz w:val="16"/>
          <w:szCs w:val="16"/>
          <w:lang w:val="es-PA"/>
        </w:rPr>
        <w:t xml:space="preserve"> de 3</w:t>
      </w:r>
      <w:r w:rsidR="00C2283A" w:rsidRPr="00E1663E">
        <w:rPr>
          <w:rFonts w:asciiTheme="majorHAnsi" w:hAnsiTheme="majorHAnsi"/>
          <w:sz w:val="16"/>
          <w:szCs w:val="16"/>
          <w:lang w:val="es-PA"/>
        </w:rPr>
        <w:t>.490</w:t>
      </w:r>
      <w:r w:rsidR="00067C64" w:rsidRPr="00E1663E">
        <w:rPr>
          <w:rFonts w:asciiTheme="majorHAnsi" w:hAnsiTheme="majorHAnsi"/>
          <w:sz w:val="16"/>
          <w:szCs w:val="16"/>
          <w:lang w:val="es-PA"/>
        </w:rPr>
        <w:t xml:space="preserve"> S</w:t>
      </w:r>
      <w:r w:rsidR="000F50C7" w:rsidRPr="00E1663E">
        <w:rPr>
          <w:rFonts w:asciiTheme="majorHAnsi" w:hAnsiTheme="majorHAnsi"/>
          <w:sz w:val="16"/>
          <w:szCs w:val="16"/>
          <w:lang w:val="es-PA"/>
        </w:rPr>
        <w:t xml:space="preserve">oles por 1 dólar. </w:t>
      </w:r>
    </w:p>
  </w:footnote>
  <w:footnote w:id="7">
    <w:p w14:paraId="0E6B635F" w14:textId="02F5FDAE" w:rsidR="007C7910" w:rsidRPr="00E1663E" w:rsidRDefault="007C7910" w:rsidP="007C7910">
      <w:pPr>
        <w:pStyle w:val="FootnoteText"/>
        <w:ind w:firstLine="720"/>
        <w:rPr>
          <w:rFonts w:asciiTheme="majorHAnsi" w:hAnsiTheme="majorHAnsi"/>
          <w:sz w:val="16"/>
          <w:szCs w:val="16"/>
          <w:lang w:val="es-AR"/>
        </w:rPr>
      </w:pPr>
      <w:r w:rsidRPr="00E1663E">
        <w:rPr>
          <w:rStyle w:val="FootnoteReference"/>
          <w:rFonts w:asciiTheme="majorHAnsi" w:hAnsiTheme="majorHAnsi"/>
          <w:sz w:val="16"/>
          <w:szCs w:val="16"/>
        </w:rPr>
        <w:footnoteRef/>
      </w:r>
      <w:r w:rsidRPr="00E1663E">
        <w:rPr>
          <w:rFonts w:asciiTheme="majorHAnsi" w:hAnsiTheme="majorHAnsi"/>
          <w:sz w:val="16"/>
          <w:szCs w:val="16"/>
          <w:lang w:val="es-AR"/>
        </w:rPr>
        <w:t xml:space="preserve">CIDH, Solución Amistosa, Informe No. 50/06 Petición 711-01 y otras (Miguel Grimaldo Castañeda Sanchez y otros. Perú, 15 de marzo de 2006, </w:t>
      </w:r>
      <w:proofErr w:type="spellStart"/>
      <w:r w:rsidRPr="00E1663E">
        <w:rPr>
          <w:rFonts w:asciiTheme="majorHAnsi" w:hAnsiTheme="majorHAnsi"/>
          <w:sz w:val="16"/>
          <w:szCs w:val="16"/>
          <w:lang w:val="es-AR"/>
        </w:rPr>
        <w:t>parrs</w:t>
      </w:r>
      <w:proofErr w:type="spellEnd"/>
      <w:r w:rsidRPr="00E1663E">
        <w:rPr>
          <w:rFonts w:asciiTheme="majorHAnsi" w:hAnsiTheme="majorHAnsi"/>
          <w:sz w:val="16"/>
          <w:szCs w:val="16"/>
          <w:lang w:val="es-AR"/>
        </w:rPr>
        <w:t xml:space="preserve">. 107-108 (Hechos denunciado, tramite ante la CIDH: D. Peticionarios que suscribieron el Acuerdo de Solución Amistosa el 10 de febrero de 2006), 127 (Determinación de compatibilidad y cumplimiento) y 4 (Decide). Disponible en: </w:t>
      </w:r>
      <w:hyperlink r:id="rId1" w:history="1">
        <w:r w:rsidRPr="00E1663E">
          <w:rPr>
            <w:rFonts w:asciiTheme="majorHAnsi" w:eastAsia="Arial Unicode MS" w:hAnsiTheme="majorHAnsi" w:cs="Times New Roman"/>
            <w:color w:val="0000FF"/>
            <w:sz w:val="16"/>
            <w:szCs w:val="16"/>
            <w:u w:val="single"/>
            <w:lang w:val="es-AR" w:eastAsia="en-US"/>
          </w:rPr>
          <w:t>http://www.cidh.oas.org/annualrep/2006sp/Peru71101sp.htm</w:t>
        </w:r>
      </w:hyperlink>
    </w:p>
  </w:footnote>
  <w:footnote w:id="8">
    <w:p w14:paraId="22C764C8" w14:textId="361326D5" w:rsidR="009F3BCD" w:rsidRPr="00E1663E" w:rsidRDefault="009F3BCD" w:rsidP="00E1663E">
      <w:pPr>
        <w:pStyle w:val="FootnoteText"/>
        <w:ind w:firstLine="720"/>
        <w:rPr>
          <w:rFonts w:asciiTheme="majorHAnsi" w:hAnsiTheme="majorHAnsi"/>
          <w:b/>
          <w:color w:val="auto"/>
          <w:sz w:val="16"/>
          <w:szCs w:val="16"/>
          <w:lang w:val="es-PA"/>
        </w:rPr>
      </w:pPr>
      <w:r w:rsidRPr="00E1663E">
        <w:rPr>
          <w:rStyle w:val="FootnoteReference"/>
          <w:rFonts w:asciiTheme="majorHAnsi" w:hAnsiTheme="majorHAnsi"/>
          <w:color w:val="auto"/>
          <w:sz w:val="16"/>
          <w:szCs w:val="16"/>
        </w:rPr>
        <w:footnoteRef/>
      </w:r>
      <w:r w:rsidRPr="00E1663E">
        <w:rPr>
          <w:rFonts w:asciiTheme="majorHAnsi" w:hAnsiTheme="majorHAnsi"/>
          <w:color w:val="auto"/>
          <w:sz w:val="16"/>
          <w:szCs w:val="16"/>
          <w:lang w:val="es-PA"/>
        </w:rPr>
        <w:t xml:space="preserve"> </w:t>
      </w:r>
      <w:r w:rsidRPr="00E1663E">
        <w:rPr>
          <w:rFonts w:asciiTheme="majorHAnsi" w:hAnsiTheme="majorHAnsi"/>
          <w:color w:val="auto"/>
          <w:sz w:val="16"/>
          <w:szCs w:val="16"/>
          <w:lang w:val="es-MX"/>
        </w:rPr>
        <w:t>CIDH, Informe No. 51/03, Petición 11.819, Admisibilidad</w:t>
      </w:r>
      <w:r w:rsidR="00503C88" w:rsidRPr="00E1663E">
        <w:rPr>
          <w:rFonts w:asciiTheme="majorHAnsi" w:hAnsiTheme="majorHAnsi"/>
          <w:color w:val="auto"/>
          <w:sz w:val="16"/>
          <w:szCs w:val="16"/>
          <w:lang w:val="es-MX"/>
        </w:rPr>
        <w:t xml:space="preserve">. </w:t>
      </w:r>
      <w:r w:rsidR="00503C88" w:rsidRPr="00E1663E">
        <w:rPr>
          <w:rFonts w:asciiTheme="majorHAnsi" w:hAnsiTheme="majorHAnsi"/>
          <w:color w:val="auto"/>
          <w:sz w:val="16"/>
          <w:szCs w:val="16"/>
          <w:lang w:val="es-PA"/>
        </w:rPr>
        <w:t xml:space="preserve">Christian Daniel Domínguez </w:t>
      </w:r>
      <w:proofErr w:type="spellStart"/>
      <w:r w:rsidR="00503C88" w:rsidRPr="00E1663E">
        <w:rPr>
          <w:rFonts w:asciiTheme="majorHAnsi" w:hAnsiTheme="majorHAnsi"/>
          <w:color w:val="auto"/>
          <w:sz w:val="16"/>
          <w:szCs w:val="16"/>
          <w:lang w:val="es-PA"/>
        </w:rPr>
        <w:t>Domen</w:t>
      </w:r>
      <w:r w:rsidR="00E76ABD" w:rsidRPr="00E1663E">
        <w:rPr>
          <w:rFonts w:asciiTheme="majorHAnsi" w:hAnsiTheme="majorHAnsi"/>
          <w:color w:val="auto"/>
          <w:sz w:val="16"/>
          <w:szCs w:val="16"/>
          <w:lang w:val="es-PA"/>
        </w:rPr>
        <w:t>ichetti</w:t>
      </w:r>
      <w:proofErr w:type="spellEnd"/>
      <w:r w:rsidR="00E76ABD" w:rsidRPr="00E1663E">
        <w:rPr>
          <w:rFonts w:asciiTheme="majorHAnsi" w:hAnsiTheme="majorHAnsi"/>
          <w:color w:val="auto"/>
          <w:sz w:val="16"/>
          <w:szCs w:val="16"/>
          <w:lang w:val="es-PA"/>
        </w:rPr>
        <w:t>, 24 de octubre de 2003, párrafo 45.</w:t>
      </w:r>
    </w:p>
  </w:footnote>
  <w:footnote w:id="9">
    <w:p w14:paraId="7F739C0C" w14:textId="03FC814A" w:rsidR="00503C88" w:rsidRPr="00E1663E" w:rsidRDefault="00503C88" w:rsidP="00E1663E">
      <w:pPr>
        <w:ind w:firstLine="720"/>
        <w:jc w:val="both"/>
        <w:rPr>
          <w:rFonts w:asciiTheme="majorHAnsi" w:hAnsiTheme="majorHAnsi"/>
          <w:sz w:val="16"/>
          <w:szCs w:val="16"/>
          <w:lang w:val="es-ES"/>
        </w:rPr>
      </w:pPr>
      <w:r w:rsidRPr="00E1663E">
        <w:rPr>
          <w:rStyle w:val="FootnoteReference"/>
          <w:rFonts w:asciiTheme="majorHAnsi" w:hAnsiTheme="majorHAnsi"/>
          <w:sz w:val="16"/>
          <w:szCs w:val="16"/>
        </w:rPr>
        <w:footnoteRef/>
      </w:r>
      <w:r w:rsidRPr="00E1663E">
        <w:rPr>
          <w:rFonts w:asciiTheme="majorHAnsi" w:hAnsiTheme="majorHAnsi"/>
          <w:sz w:val="16"/>
          <w:szCs w:val="16"/>
          <w:lang w:val="es-PA"/>
        </w:rPr>
        <w:t xml:space="preserve"> CIDH, Informe No. 18/17. </w:t>
      </w:r>
      <w:proofErr w:type="spellStart"/>
      <w:r w:rsidRPr="00E1663E">
        <w:rPr>
          <w:rFonts w:asciiTheme="majorHAnsi" w:hAnsiTheme="majorHAnsi"/>
          <w:sz w:val="16"/>
          <w:szCs w:val="16"/>
          <w:lang w:val="es-ES"/>
        </w:rPr>
        <w:t>Adm</w:t>
      </w:r>
      <w:r w:rsidRPr="00E1663E">
        <w:rPr>
          <w:rFonts w:asciiTheme="majorHAnsi" w:hAnsiTheme="majorHAnsi"/>
          <w:sz w:val="16"/>
          <w:szCs w:val="16"/>
          <w:lang w:val="es-ES_tradnl"/>
        </w:rPr>
        <w:t>isibilidad</w:t>
      </w:r>
      <w:proofErr w:type="spellEnd"/>
      <w:r w:rsidRPr="00E1663E">
        <w:rPr>
          <w:rFonts w:asciiTheme="majorHAnsi" w:hAnsiTheme="majorHAnsi"/>
          <w:sz w:val="16"/>
          <w:szCs w:val="16"/>
          <w:lang w:val="es-ES_tradnl"/>
        </w:rPr>
        <w:t xml:space="preserve">. Ana Luisa Ontiveros López. México. </w:t>
      </w:r>
      <w:r w:rsidRPr="00E1663E">
        <w:rPr>
          <w:rFonts w:asciiTheme="majorHAnsi" w:hAnsiTheme="majorHAnsi"/>
          <w:sz w:val="16"/>
          <w:szCs w:val="16"/>
          <w:lang w:val="es-ES"/>
        </w:rPr>
        <w:t>27 de enero de 2017, párrafo 7.</w:t>
      </w:r>
    </w:p>
  </w:footnote>
  <w:footnote w:id="10">
    <w:p w14:paraId="60D46B22" w14:textId="3B7D0D44" w:rsidR="0031448D" w:rsidRPr="00E1663E" w:rsidRDefault="0031448D" w:rsidP="00503C88">
      <w:pPr>
        <w:pStyle w:val="FootnoteText"/>
        <w:rPr>
          <w:rFonts w:asciiTheme="majorHAnsi" w:hAnsiTheme="majorHAnsi"/>
          <w:sz w:val="16"/>
          <w:szCs w:val="16"/>
          <w:lang w:val="es-P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1448D" w:rsidRDefault="0031448D" w:rsidP="003144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1448D" w:rsidRDefault="00314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31448D" w:rsidRDefault="0031448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1448D" w:rsidRPr="00EC7D62" w:rsidRDefault="0065340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0B2F" w14:textId="77777777" w:rsidR="0045449C" w:rsidRDefault="00454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02E16B1"/>
    <w:multiLevelType w:val="hybridMultilevel"/>
    <w:tmpl w:val="8AE85F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0EDC"/>
    <w:rsid w:val="00005AB5"/>
    <w:rsid w:val="00006E1F"/>
    <w:rsid w:val="000070D7"/>
    <w:rsid w:val="0001788C"/>
    <w:rsid w:val="000203AA"/>
    <w:rsid w:val="000337EF"/>
    <w:rsid w:val="00040C3A"/>
    <w:rsid w:val="000419AD"/>
    <w:rsid w:val="00067C64"/>
    <w:rsid w:val="000716C5"/>
    <w:rsid w:val="00075E23"/>
    <w:rsid w:val="00077414"/>
    <w:rsid w:val="00092DC5"/>
    <w:rsid w:val="0009344A"/>
    <w:rsid w:val="000A0C6C"/>
    <w:rsid w:val="000A392E"/>
    <w:rsid w:val="000A575F"/>
    <w:rsid w:val="000C463F"/>
    <w:rsid w:val="000D10DB"/>
    <w:rsid w:val="000D285E"/>
    <w:rsid w:val="000E5EB5"/>
    <w:rsid w:val="000E62F3"/>
    <w:rsid w:val="000F1C78"/>
    <w:rsid w:val="000F35ED"/>
    <w:rsid w:val="000F4B09"/>
    <w:rsid w:val="000F50C7"/>
    <w:rsid w:val="00107131"/>
    <w:rsid w:val="0010736F"/>
    <w:rsid w:val="0011231A"/>
    <w:rsid w:val="00113F73"/>
    <w:rsid w:val="0011725E"/>
    <w:rsid w:val="00121CC2"/>
    <w:rsid w:val="00133EE5"/>
    <w:rsid w:val="001424C2"/>
    <w:rsid w:val="00153722"/>
    <w:rsid w:val="00154C47"/>
    <w:rsid w:val="0016680E"/>
    <w:rsid w:val="00167A34"/>
    <w:rsid w:val="00174310"/>
    <w:rsid w:val="001767F9"/>
    <w:rsid w:val="001A0405"/>
    <w:rsid w:val="001A408D"/>
    <w:rsid w:val="001A7870"/>
    <w:rsid w:val="001B3A00"/>
    <w:rsid w:val="001C1B41"/>
    <w:rsid w:val="001D4666"/>
    <w:rsid w:val="001D65EF"/>
    <w:rsid w:val="001E49E7"/>
    <w:rsid w:val="001F0DAF"/>
    <w:rsid w:val="001F138A"/>
    <w:rsid w:val="001F7201"/>
    <w:rsid w:val="001F76DC"/>
    <w:rsid w:val="0020715F"/>
    <w:rsid w:val="00211CDB"/>
    <w:rsid w:val="00213B5A"/>
    <w:rsid w:val="00223A29"/>
    <w:rsid w:val="002250A3"/>
    <w:rsid w:val="00235217"/>
    <w:rsid w:val="002354AB"/>
    <w:rsid w:val="00246D1F"/>
    <w:rsid w:val="00247403"/>
    <w:rsid w:val="00247542"/>
    <w:rsid w:val="00255A97"/>
    <w:rsid w:val="0026187D"/>
    <w:rsid w:val="00266B61"/>
    <w:rsid w:val="0026712A"/>
    <w:rsid w:val="002704DB"/>
    <w:rsid w:val="00294829"/>
    <w:rsid w:val="002A0AAE"/>
    <w:rsid w:val="002A5820"/>
    <w:rsid w:val="002C3F96"/>
    <w:rsid w:val="002D2B26"/>
    <w:rsid w:val="002D6431"/>
    <w:rsid w:val="002D7EA2"/>
    <w:rsid w:val="002E187C"/>
    <w:rsid w:val="00302733"/>
    <w:rsid w:val="00304C57"/>
    <w:rsid w:val="00314078"/>
    <w:rsid w:val="0031448D"/>
    <w:rsid w:val="0031535D"/>
    <w:rsid w:val="00320281"/>
    <w:rsid w:val="003239B8"/>
    <w:rsid w:val="00324647"/>
    <w:rsid w:val="00324840"/>
    <w:rsid w:val="00327842"/>
    <w:rsid w:val="0033169F"/>
    <w:rsid w:val="00344977"/>
    <w:rsid w:val="00346C95"/>
    <w:rsid w:val="0035461C"/>
    <w:rsid w:val="00354AA4"/>
    <w:rsid w:val="00356185"/>
    <w:rsid w:val="00360380"/>
    <w:rsid w:val="0037519E"/>
    <w:rsid w:val="00386CF0"/>
    <w:rsid w:val="0039740B"/>
    <w:rsid w:val="003A19BC"/>
    <w:rsid w:val="003A675B"/>
    <w:rsid w:val="003B70FB"/>
    <w:rsid w:val="003C2AB4"/>
    <w:rsid w:val="003C676B"/>
    <w:rsid w:val="003D30B2"/>
    <w:rsid w:val="003D3BC2"/>
    <w:rsid w:val="003D6164"/>
    <w:rsid w:val="003E54FC"/>
    <w:rsid w:val="003E6CA1"/>
    <w:rsid w:val="003F36C1"/>
    <w:rsid w:val="004065A8"/>
    <w:rsid w:val="004132C9"/>
    <w:rsid w:val="004165C2"/>
    <w:rsid w:val="00422FA7"/>
    <w:rsid w:val="004415BF"/>
    <w:rsid w:val="00441ECB"/>
    <w:rsid w:val="00445193"/>
    <w:rsid w:val="0045449C"/>
    <w:rsid w:val="00462C1B"/>
    <w:rsid w:val="00467B7E"/>
    <w:rsid w:val="0047192B"/>
    <w:rsid w:val="00473BB4"/>
    <w:rsid w:val="00477592"/>
    <w:rsid w:val="00481476"/>
    <w:rsid w:val="00486F1C"/>
    <w:rsid w:val="0049419D"/>
    <w:rsid w:val="004A6A54"/>
    <w:rsid w:val="004A6C8C"/>
    <w:rsid w:val="004C20D2"/>
    <w:rsid w:val="004C2312"/>
    <w:rsid w:val="004C4B62"/>
    <w:rsid w:val="004C54C9"/>
    <w:rsid w:val="004D2948"/>
    <w:rsid w:val="004D4ABA"/>
    <w:rsid w:val="004D6025"/>
    <w:rsid w:val="004E2649"/>
    <w:rsid w:val="00501399"/>
    <w:rsid w:val="00503C88"/>
    <w:rsid w:val="0050633D"/>
    <w:rsid w:val="00507BC4"/>
    <w:rsid w:val="005128E4"/>
    <w:rsid w:val="005133DB"/>
    <w:rsid w:val="00514403"/>
    <w:rsid w:val="0051787C"/>
    <w:rsid w:val="00517D86"/>
    <w:rsid w:val="005239F7"/>
    <w:rsid w:val="00523BEB"/>
    <w:rsid w:val="00525560"/>
    <w:rsid w:val="00544C49"/>
    <w:rsid w:val="005516A1"/>
    <w:rsid w:val="005611D6"/>
    <w:rsid w:val="00563557"/>
    <w:rsid w:val="00573F77"/>
    <w:rsid w:val="0057402A"/>
    <w:rsid w:val="00574B5B"/>
    <w:rsid w:val="005771D0"/>
    <w:rsid w:val="0059191A"/>
    <w:rsid w:val="005921FF"/>
    <w:rsid w:val="00593336"/>
    <w:rsid w:val="005A24ED"/>
    <w:rsid w:val="005A6D0E"/>
    <w:rsid w:val="005B43C3"/>
    <w:rsid w:val="005B52B0"/>
    <w:rsid w:val="005B6806"/>
    <w:rsid w:val="005C4225"/>
    <w:rsid w:val="005F0DAD"/>
    <w:rsid w:val="005F0F33"/>
    <w:rsid w:val="005F48F8"/>
    <w:rsid w:val="00600DEB"/>
    <w:rsid w:val="006218E4"/>
    <w:rsid w:val="00627C9F"/>
    <w:rsid w:val="006311E9"/>
    <w:rsid w:val="006313E8"/>
    <w:rsid w:val="00632354"/>
    <w:rsid w:val="00642810"/>
    <w:rsid w:val="00652333"/>
    <w:rsid w:val="00653406"/>
    <w:rsid w:val="006606EA"/>
    <w:rsid w:val="006629A1"/>
    <w:rsid w:val="0066427C"/>
    <w:rsid w:val="006679BC"/>
    <w:rsid w:val="00673EE9"/>
    <w:rsid w:val="00675CFC"/>
    <w:rsid w:val="0068009E"/>
    <w:rsid w:val="00692219"/>
    <w:rsid w:val="006A17D2"/>
    <w:rsid w:val="006A73E6"/>
    <w:rsid w:val="006B2D5C"/>
    <w:rsid w:val="006B5238"/>
    <w:rsid w:val="006C322B"/>
    <w:rsid w:val="006C4EB1"/>
    <w:rsid w:val="006D6AED"/>
    <w:rsid w:val="006E0166"/>
    <w:rsid w:val="006E7B34"/>
    <w:rsid w:val="006F1692"/>
    <w:rsid w:val="006F16D9"/>
    <w:rsid w:val="006F3139"/>
    <w:rsid w:val="006F7213"/>
    <w:rsid w:val="0070697F"/>
    <w:rsid w:val="00714570"/>
    <w:rsid w:val="00714B2C"/>
    <w:rsid w:val="0072199C"/>
    <w:rsid w:val="00722C9F"/>
    <w:rsid w:val="007253B8"/>
    <w:rsid w:val="0073741F"/>
    <w:rsid w:val="00744A09"/>
    <w:rsid w:val="007515F8"/>
    <w:rsid w:val="00762700"/>
    <w:rsid w:val="0076643F"/>
    <w:rsid w:val="00777F63"/>
    <w:rsid w:val="007859C1"/>
    <w:rsid w:val="007A5817"/>
    <w:rsid w:val="007B05C4"/>
    <w:rsid w:val="007B60E9"/>
    <w:rsid w:val="007B6CC3"/>
    <w:rsid w:val="007C3334"/>
    <w:rsid w:val="007C7910"/>
    <w:rsid w:val="007D2B98"/>
    <w:rsid w:val="007E21BC"/>
    <w:rsid w:val="007E25C3"/>
    <w:rsid w:val="007E7C82"/>
    <w:rsid w:val="007F588D"/>
    <w:rsid w:val="00803F1C"/>
    <w:rsid w:val="0080600E"/>
    <w:rsid w:val="0080660C"/>
    <w:rsid w:val="00807AA3"/>
    <w:rsid w:val="00817612"/>
    <w:rsid w:val="008218CD"/>
    <w:rsid w:val="00824571"/>
    <w:rsid w:val="00825254"/>
    <w:rsid w:val="008338A4"/>
    <w:rsid w:val="00834453"/>
    <w:rsid w:val="00834D49"/>
    <w:rsid w:val="00834D86"/>
    <w:rsid w:val="00837C45"/>
    <w:rsid w:val="00844730"/>
    <w:rsid w:val="008457C2"/>
    <w:rsid w:val="008510A3"/>
    <w:rsid w:val="008537A1"/>
    <w:rsid w:val="00857A82"/>
    <w:rsid w:val="008707C2"/>
    <w:rsid w:val="00873836"/>
    <w:rsid w:val="00873D23"/>
    <w:rsid w:val="00880569"/>
    <w:rsid w:val="00885737"/>
    <w:rsid w:val="00890650"/>
    <w:rsid w:val="00897E12"/>
    <w:rsid w:val="008A7E0F"/>
    <w:rsid w:val="008B12F5"/>
    <w:rsid w:val="008D2478"/>
    <w:rsid w:val="008D7305"/>
    <w:rsid w:val="008D768D"/>
    <w:rsid w:val="008E3759"/>
    <w:rsid w:val="008E3BFE"/>
    <w:rsid w:val="008F1912"/>
    <w:rsid w:val="0090270B"/>
    <w:rsid w:val="009041DC"/>
    <w:rsid w:val="00915820"/>
    <w:rsid w:val="00917B5A"/>
    <w:rsid w:val="00920A58"/>
    <w:rsid w:val="00920A8C"/>
    <w:rsid w:val="00921C70"/>
    <w:rsid w:val="00934A2C"/>
    <w:rsid w:val="0096706E"/>
    <w:rsid w:val="00974491"/>
    <w:rsid w:val="00975C4E"/>
    <w:rsid w:val="00981FBA"/>
    <w:rsid w:val="00983F60"/>
    <w:rsid w:val="00997BC5"/>
    <w:rsid w:val="009A4F41"/>
    <w:rsid w:val="009B1650"/>
    <w:rsid w:val="009B381B"/>
    <w:rsid w:val="009C0086"/>
    <w:rsid w:val="009D1753"/>
    <w:rsid w:val="009D7611"/>
    <w:rsid w:val="009E0B61"/>
    <w:rsid w:val="009E2F55"/>
    <w:rsid w:val="009E53DE"/>
    <w:rsid w:val="009F3BCD"/>
    <w:rsid w:val="00A11E44"/>
    <w:rsid w:val="00A14529"/>
    <w:rsid w:val="00A20D1D"/>
    <w:rsid w:val="00A244B8"/>
    <w:rsid w:val="00A328B3"/>
    <w:rsid w:val="00A357DD"/>
    <w:rsid w:val="00A3719A"/>
    <w:rsid w:val="00A50FCF"/>
    <w:rsid w:val="00A528D1"/>
    <w:rsid w:val="00A610CD"/>
    <w:rsid w:val="00A72BD3"/>
    <w:rsid w:val="00A758AA"/>
    <w:rsid w:val="00AA09A2"/>
    <w:rsid w:val="00AA255D"/>
    <w:rsid w:val="00AA7996"/>
    <w:rsid w:val="00AB45D1"/>
    <w:rsid w:val="00AC19CB"/>
    <w:rsid w:val="00AE5488"/>
    <w:rsid w:val="00AE6F91"/>
    <w:rsid w:val="00AF5571"/>
    <w:rsid w:val="00B07341"/>
    <w:rsid w:val="00B30539"/>
    <w:rsid w:val="00B314DB"/>
    <w:rsid w:val="00B361F2"/>
    <w:rsid w:val="00B36E86"/>
    <w:rsid w:val="00B3718B"/>
    <w:rsid w:val="00B41F51"/>
    <w:rsid w:val="00B4632A"/>
    <w:rsid w:val="00B530F1"/>
    <w:rsid w:val="00B556F9"/>
    <w:rsid w:val="00BA276C"/>
    <w:rsid w:val="00BB306F"/>
    <w:rsid w:val="00BB456E"/>
    <w:rsid w:val="00BC1EE3"/>
    <w:rsid w:val="00BC71C8"/>
    <w:rsid w:val="00BD421B"/>
    <w:rsid w:val="00BD4B89"/>
    <w:rsid w:val="00BD5922"/>
    <w:rsid w:val="00BE4DAD"/>
    <w:rsid w:val="00BF02CB"/>
    <w:rsid w:val="00BF248A"/>
    <w:rsid w:val="00BF6FD8"/>
    <w:rsid w:val="00C03680"/>
    <w:rsid w:val="00C054DF"/>
    <w:rsid w:val="00C136AC"/>
    <w:rsid w:val="00C14EBB"/>
    <w:rsid w:val="00C21762"/>
    <w:rsid w:val="00C21FEF"/>
    <w:rsid w:val="00C2283A"/>
    <w:rsid w:val="00C24543"/>
    <w:rsid w:val="00C256A2"/>
    <w:rsid w:val="00C308C5"/>
    <w:rsid w:val="00C36DF7"/>
    <w:rsid w:val="00C51515"/>
    <w:rsid w:val="00C5660B"/>
    <w:rsid w:val="00C633FF"/>
    <w:rsid w:val="00C66B72"/>
    <w:rsid w:val="00C670D1"/>
    <w:rsid w:val="00C87390"/>
    <w:rsid w:val="00C87AC4"/>
    <w:rsid w:val="00C9567A"/>
    <w:rsid w:val="00CA3DBD"/>
    <w:rsid w:val="00CA7770"/>
    <w:rsid w:val="00CB212D"/>
    <w:rsid w:val="00CB2660"/>
    <w:rsid w:val="00CC5E90"/>
    <w:rsid w:val="00CD046C"/>
    <w:rsid w:val="00CD5741"/>
    <w:rsid w:val="00CE076C"/>
    <w:rsid w:val="00CE5199"/>
    <w:rsid w:val="00CE66D5"/>
    <w:rsid w:val="00CF01B3"/>
    <w:rsid w:val="00CF637A"/>
    <w:rsid w:val="00D0584B"/>
    <w:rsid w:val="00D059DE"/>
    <w:rsid w:val="00D05ABD"/>
    <w:rsid w:val="00D11D58"/>
    <w:rsid w:val="00D13FCE"/>
    <w:rsid w:val="00D262BD"/>
    <w:rsid w:val="00D306D1"/>
    <w:rsid w:val="00D30800"/>
    <w:rsid w:val="00D34786"/>
    <w:rsid w:val="00D37BFC"/>
    <w:rsid w:val="00D47A8E"/>
    <w:rsid w:val="00D52D14"/>
    <w:rsid w:val="00D712D3"/>
    <w:rsid w:val="00D71422"/>
    <w:rsid w:val="00D72D34"/>
    <w:rsid w:val="00D72DC6"/>
    <w:rsid w:val="00D7558D"/>
    <w:rsid w:val="00D81D92"/>
    <w:rsid w:val="00D876F9"/>
    <w:rsid w:val="00D95E30"/>
    <w:rsid w:val="00DA7B5F"/>
    <w:rsid w:val="00DB168F"/>
    <w:rsid w:val="00DC11E7"/>
    <w:rsid w:val="00DC7023"/>
    <w:rsid w:val="00DC769A"/>
    <w:rsid w:val="00DD3D86"/>
    <w:rsid w:val="00DF1EC4"/>
    <w:rsid w:val="00DF62C7"/>
    <w:rsid w:val="00E0340B"/>
    <w:rsid w:val="00E04A90"/>
    <w:rsid w:val="00E0551F"/>
    <w:rsid w:val="00E1663E"/>
    <w:rsid w:val="00E21082"/>
    <w:rsid w:val="00E219C7"/>
    <w:rsid w:val="00E24431"/>
    <w:rsid w:val="00E26623"/>
    <w:rsid w:val="00E2762D"/>
    <w:rsid w:val="00E4081A"/>
    <w:rsid w:val="00E4118C"/>
    <w:rsid w:val="00E43157"/>
    <w:rsid w:val="00E461CE"/>
    <w:rsid w:val="00E626A0"/>
    <w:rsid w:val="00E70CE8"/>
    <w:rsid w:val="00E720CA"/>
    <w:rsid w:val="00E76ABD"/>
    <w:rsid w:val="00E84136"/>
    <w:rsid w:val="00E84EB5"/>
    <w:rsid w:val="00E85662"/>
    <w:rsid w:val="00E8657B"/>
    <w:rsid w:val="00E8789F"/>
    <w:rsid w:val="00E96860"/>
    <w:rsid w:val="00E97B71"/>
    <w:rsid w:val="00EA3D34"/>
    <w:rsid w:val="00EB14A3"/>
    <w:rsid w:val="00EB454D"/>
    <w:rsid w:val="00EC33A0"/>
    <w:rsid w:val="00ED3C7F"/>
    <w:rsid w:val="00ED549D"/>
    <w:rsid w:val="00ED76BE"/>
    <w:rsid w:val="00ED7BB6"/>
    <w:rsid w:val="00EE00E9"/>
    <w:rsid w:val="00EF619B"/>
    <w:rsid w:val="00F00B55"/>
    <w:rsid w:val="00F01CF4"/>
    <w:rsid w:val="00F02AD1"/>
    <w:rsid w:val="00F03744"/>
    <w:rsid w:val="00F03C11"/>
    <w:rsid w:val="00F063CF"/>
    <w:rsid w:val="00F253CC"/>
    <w:rsid w:val="00F2778C"/>
    <w:rsid w:val="00F37106"/>
    <w:rsid w:val="00F422D7"/>
    <w:rsid w:val="00F50D98"/>
    <w:rsid w:val="00F519CF"/>
    <w:rsid w:val="00F559B9"/>
    <w:rsid w:val="00F56BA5"/>
    <w:rsid w:val="00F60E22"/>
    <w:rsid w:val="00F70316"/>
    <w:rsid w:val="00F73866"/>
    <w:rsid w:val="00F81395"/>
    <w:rsid w:val="00F81BB8"/>
    <w:rsid w:val="00F917D1"/>
    <w:rsid w:val="00F922F9"/>
    <w:rsid w:val="00F9653B"/>
    <w:rsid w:val="00FA5FB4"/>
    <w:rsid w:val="00FA7FC3"/>
    <w:rsid w:val="00FB62CF"/>
    <w:rsid w:val="00FD3C3B"/>
    <w:rsid w:val="00FD4F67"/>
    <w:rsid w:val="00FE07DD"/>
    <w:rsid w:val="00FE6B45"/>
    <w:rsid w:val="00FF55F3"/>
    <w:rsid w:val="00FF5851"/>
    <w:rsid w:val="00FF5C3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E70CE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Spacing">
    <w:name w:val="No Spacing"/>
    <w:uiPriority w:val="1"/>
    <w:qFormat/>
    <w:rsid w:val="00E70CE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apple-converted-space">
    <w:name w:val="apple-converted-space"/>
    <w:rsid w:val="00E70CE8"/>
  </w:style>
  <w:style w:type="character" w:styleId="CommentReference">
    <w:name w:val="annotation reference"/>
    <w:basedOn w:val="DefaultParagraphFont"/>
    <w:uiPriority w:val="99"/>
    <w:semiHidden/>
    <w:unhideWhenUsed/>
    <w:rsid w:val="00A244B8"/>
    <w:rPr>
      <w:sz w:val="16"/>
      <w:szCs w:val="16"/>
    </w:rPr>
  </w:style>
  <w:style w:type="paragraph" w:styleId="CommentText">
    <w:name w:val="annotation text"/>
    <w:basedOn w:val="Normal"/>
    <w:link w:val="CommentTextChar"/>
    <w:uiPriority w:val="99"/>
    <w:semiHidden/>
    <w:unhideWhenUsed/>
    <w:rsid w:val="00A244B8"/>
    <w:rPr>
      <w:sz w:val="20"/>
      <w:szCs w:val="20"/>
    </w:rPr>
  </w:style>
  <w:style w:type="character" w:customStyle="1" w:styleId="CommentTextChar">
    <w:name w:val="Comment Text Char"/>
    <w:basedOn w:val="DefaultParagraphFont"/>
    <w:link w:val="CommentText"/>
    <w:uiPriority w:val="99"/>
    <w:semiHidden/>
    <w:rsid w:val="00A244B8"/>
    <w:rPr>
      <w:lang w:val="en-US" w:eastAsia="en-US"/>
    </w:rPr>
  </w:style>
  <w:style w:type="paragraph" w:styleId="CommentSubject">
    <w:name w:val="annotation subject"/>
    <w:basedOn w:val="CommentText"/>
    <w:next w:val="CommentText"/>
    <w:link w:val="CommentSubjectChar"/>
    <w:uiPriority w:val="99"/>
    <w:semiHidden/>
    <w:unhideWhenUsed/>
    <w:rsid w:val="00A244B8"/>
    <w:rPr>
      <w:b/>
      <w:bCs/>
    </w:rPr>
  </w:style>
  <w:style w:type="character" w:customStyle="1" w:styleId="CommentSubjectChar">
    <w:name w:val="Comment Subject Char"/>
    <w:basedOn w:val="CommentTextChar"/>
    <w:link w:val="CommentSubject"/>
    <w:uiPriority w:val="99"/>
    <w:semiHidden/>
    <w:rsid w:val="00A244B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0036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idh.oas.org/annualrep/2006sp/Peru71101s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5021"/>
    <w:rsid w:val="00274F22"/>
    <w:rsid w:val="00394049"/>
    <w:rsid w:val="004B2396"/>
    <w:rsid w:val="004F2DF8"/>
    <w:rsid w:val="0059725D"/>
    <w:rsid w:val="0060264A"/>
    <w:rsid w:val="006A63FB"/>
    <w:rsid w:val="007C3202"/>
    <w:rsid w:val="0088651C"/>
    <w:rsid w:val="00942E87"/>
    <w:rsid w:val="009A261B"/>
    <w:rsid w:val="009C3EC2"/>
    <w:rsid w:val="009F2AC8"/>
    <w:rsid w:val="00AC15A4"/>
    <w:rsid w:val="00AC40B0"/>
    <w:rsid w:val="00B0336C"/>
    <w:rsid w:val="00BB4CCB"/>
    <w:rsid w:val="00D937B2"/>
    <w:rsid w:val="00DE7283"/>
    <w:rsid w:val="00E62BD8"/>
    <w:rsid w:val="00ED059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B7D88-90B1-44ED-9AD8-AAAD19E0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13782</Characters>
  <Application>Microsoft Office Word</Application>
  <DocSecurity>0</DocSecurity>
  <Lines>114</Lines>
  <Paragraphs>32</Paragraphs>
  <ScaleCrop>false</ScaleCrop>
  <Company/>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30/19</dc:title>
  <dc:creator/>
  <cp:lastModifiedBy/>
  <cp:revision>1</cp:revision>
  <dcterms:created xsi:type="dcterms:W3CDTF">2019-05-23T19:55:00Z</dcterms:created>
  <dcterms:modified xsi:type="dcterms:W3CDTF">2019-05-23T19:55:00Z</dcterms:modified>
</cp:coreProperties>
</file>