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10D22" w14:textId="65246F52"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54144" behindDoc="0" locked="0" layoutInCell="1" allowOverlap="1" wp14:anchorId="32956FAC" wp14:editId="197050CC">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6F521" id="Rectangle 1" o:spid="_x0000_s1026" style="position:absolute;margin-left:-32.75pt;margin-top:-34.6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0B00F8AE" wp14:editId="3F50D47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61853" w14:textId="43A3DA19" w:rsidR="0099258D" w:rsidRDefault="0099258D" w:rsidP="00AE5488">
                            <w:r>
                              <w:rPr>
                                <w:noProof/>
                              </w:rPr>
                              <w:drawing>
                                <wp:inline distT="0" distB="0" distL="0" distR="0" wp14:anchorId="26C29AFB" wp14:editId="12C0599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r w:rsidR="00057B5E">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0F8A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5C161853" w14:textId="43A3DA19" w:rsidR="0099258D" w:rsidRDefault="0099258D" w:rsidP="00AE5488">
                      <w:r>
                        <w:rPr>
                          <w:noProof/>
                        </w:rPr>
                        <w:drawing>
                          <wp:inline distT="0" distB="0" distL="0" distR="0" wp14:anchorId="26C29AFB" wp14:editId="12C0599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r w:rsidR="00057B5E">
                        <w:t xml:space="preserve">               </w:t>
                      </w:r>
                    </w:p>
                  </w:txbxContent>
                </v:textbox>
              </v:shape>
            </w:pict>
          </mc:Fallback>
        </mc:AlternateContent>
      </w:r>
    </w:p>
    <w:p w14:paraId="76319F33" w14:textId="3C9A0FDA" w:rsidR="00040C3A" w:rsidRPr="0090270B" w:rsidRDefault="00040C3A" w:rsidP="00040C3A">
      <w:pPr>
        <w:tabs>
          <w:tab w:val="center" w:pos="5400"/>
        </w:tabs>
        <w:suppressAutoHyphens/>
        <w:jc w:val="both"/>
        <w:rPr>
          <w:rFonts w:asciiTheme="majorHAnsi" w:hAnsiTheme="majorHAnsi"/>
          <w:sz w:val="22"/>
          <w:szCs w:val="22"/>
          <w:lang w:val="es-ES"/>
        </w:rPr>
      </w:pPr>
    </w:p>
    <w:p w14:paraId="68B55D2A" w14:textId="3DB3CA2D" w:rsidR="00040C3A" w:rsidRPr="0090270B" w:rsidRDefault="00040C3A" w:rsidP="00040C3A">
      <w:pPr>
        <w:tabs>
          <w:tab w:val="center" w:pos="5400"/>
        </w:tabs>
        <w:suppressAutoHyphens/>
        <w:jc w:val="both"/>
        <w:rPr>
          <w:rFonts w:asciiTheme="majorHAnsi" w:hAnsiTheme="majorHAnsi"/>
          <w:sz w:val="22"/>
          <w:szCs w:val="22"/>
          <w:lang w:val="es-ES"/>
        </w:rPr>
      </w:pPr>
    </w:p>
    <w:p w14:paraId="10C3F4FE"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89A7AD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680171"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60C3CBE"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E83260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857C98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BA6E5" w14:textId="26D32AFD" w:rsidR="005B52B0" w:rsidRPr="0090270B" w:rsidRDefault="005B52B0" w:rsidP="005128E4">
      <w:pPr>
        <w:tabs>
          <w:tab w:val="center" w:pos="5400"/>
        </w:tabs>
        <w:suppressAutoHyphens/>
        <w:jc w:val="center"/>
        <w:rPr>
          <w:rFonts w:asciiTheme="majorHAnsi" w:hAnsiTheme="majorHAnsi"/>
          <w:sz w:val="22"/>
          <w:szCs w:val="22"/>
          <w:lang w:val="es-ES_tradnl"/>
        </w:rPr>
      </w:pPr>
    </w:p>
    <w:p w14:paraId="379E9175" w14:textId="2CED69B5" w:rsidR="005B52B0" w:rsidRPr="0090270B" w:rsidRDefault="005B52B0" w:rsidP="005128E4">
      <w:pPr>
        <w:tabs>
          <w:tab w:val="center" w:pos="5400"/>
        </w:tabs>
        <w:suppressAutoHyphens/>
        <w:jc w:val="center"/>
        <w:rPr>
          <w:rFonts w:asciiTheme="majorHAnsi" w:hAnsiTheme="majorHAnsi"/>
          <w:sz w:val="22"/>
          <w:szCs w:val="22"/>
          <w:lang w:val="es-ES_tradnl"/>
        </w:rPr>
      </w:pPr>
    </w:p>
    <w:p w14:paraId="593F0F6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33F548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F99FADD"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6192" behindDoc="0" locked="0" layoutInCell="1" allowOverlap="1" wp14:anchorId="1AF4E933" wp14:editId="40A313EE">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E3E879" w14:textId="357C5616" w:rsidR="00CB3401" w:rsidRPr="00CB3401" w:rsidRDefault="00CB3401" w:rsidP="00CB3401">
                            <w:pPr>
                              <w:spacing w:line="276" w:lineRule="auto"/>
                              <w:rPr>
                                <w:rFonts w:asciiTheme="majorHAnsi" w:hAnsiTheme="majorHAnsi" w:cs="Arial"/>
                                <w:b/>
                                <w:bCs/>
                                <w:color w:val="0D0D0D" w:themeColor="text1" w:themeTint="F2"/>
                                <w:sz w:val="36"/>
                                <w:szCs w:val="40"/>
                                <w:lang w:val="es-ES"/>
                              </w:rPr>
                            </w:pPr>
                            <w:r>
                              <w:rPr>
                                <w:rFonts w:asciiTheme="majorHAnsi" w:hAnsiTheme="majorHAnsi" w:cs="Arial"/>
                                <w:b/>
                                <w:bCs/>
                                <w:color w:val="0D0D0D" w:themeColor="text1" w:themeTint="F2"/>
                                <w:sz w:val="36"/>
                                <w:szCs w:val="40"/>
                                <w:lang w:val="es"/>
                              </w:rPr>
                              <w:t>INFORME N</w:t>
                            </w:r>
                            <w:r w:rsidR="00C22B46">
                              <w:rPr>
                                <w:rFonts w:asciiTheme="majorHAnsi" w:hAnsiTheme="majorHAnsi" w:cs="Arial"/>
                                <w:b/>
                                <w:bCs/>
                                <w:color w:val="0D0D0D" w:themeColor="text1" w:themeTint="F2"/>
                                <w:sz w:val="36"/>
                                <w:szCs w:val="40"/>
                                <w:lang w:val="es"/>
                              </w:rPr>
                              <w:t>o.</w:t>
                            </w:r>
                            <w:r>
                              <w:rPr>
                                <w:rFonts w:asciiTheme="majorHAnsi" w:hAnsiTheme="majorHAnsi" w:cs="Arial"/>
                                <w:b/>
                                <w:bCs/>
                                <w:color w:val="0D0D0D" w:themeColor="text1" w:themeTint="F2"/>
                                <w:sz w:val="36"/>
                                <w:szCs w:val="40"/>
                                <w:lang w:val="es"/>
                              </w:rPr>
                              <w:t xml:space="preserve"> </w:t>
                            </w:r>
                            <w:r w:rsidR="00F2657C">
                              <w:rPr>
                                <w:rFonts w:asciiTheme="majorHAnsi" w:hAnsiTheme="majorHAnsi" w:cs="Arial"/>
                                <w:b/>
                                <w:bCs/>
                                <w:color w:val="0D0D0D" w:themeColor="text1" w:themeTint="F2"/>
                                <w:sz w:val="36"/>
                                <w:szCs w:val="40"/>
                                <w:lang w:val="es"/>
                              </w:rPr>
                              <w:t>210</w:t>
                            </w:r>
                            <w:r>
                              <w:rPr>
                                <w:rFonts w:asciiTheme="majorHAnsi" w:hAnsiTheme="majorHAnsi" w:cs="Arial"/>
                                <w:b/>
                                <w:bCs/>
                                <w:color w:val="0D0D0D" w:themeColor="text1" w:themeTint="F2"/>
                                <w:sz w:val="36"/>
                                <w:szCs w:val="40"/>
                                <w:lang w:val="es"/>
                              </w:rPr>
                              <w:t>/1</w:t>
                            </w:r>
                            <w:r w:rsidR="00F2657C">
                              <w:rPr>
                                <w:rFonts w:asciiTheme="majorHAnsi" w:hAnsiTheme="majorHAnsi" w:cs="Arial"/>
                                <w:b/>
                                <w:bCs/>
                                <w:color w:val="0D0D0D" w:themeColor="text1" w:themeTint="F2"/>
                                <w:sz w:val="36"/>
                                <w:szCs w:val="40"/>
                                <w:lang w:val="es"/>
                              </w:rPr>
                              <w:t>9</w:t>
                            </w:r>
                          </w:p>
                          <w:p w14:paraId="205A5209" w14:textId="77777777" w:rsidR="00CB3401" w:rsidRPr="00CB3401" w:rsidRDefault="00CB3401" w:rsidP="00CB3401">
                            <w:pPr>
                              <w:spacing w:line="276" w:lineRule="auto"/>
                              <w:rPr>
                                <w:rFonts w:asciiTheme="majorHAnsi" w:hAnsiTheme="majorHAnsi" w:cs="Arial"/>
                                <w:b/>
                                <w:bCs/>
                                <w:color w:val="0D0D0D" w:themeColor="text1" w:themeTint="F2"/>
                                <w:sz w:val="36"/>
                                <w:szCs w:val="40"/>
                                <w:lang w:val="es-ES"/>
                              </w:rPr>
                            </w:pPr>
                            <w:r>
                              <w:rPr>
                                <w:rFonts w:asciiTheme="majorHAnsi" w:hAnsiTheme="majorHAnsi" w:cs="Arial"/>
                                <w:b/>
                                <w:bCs/>
                                <w:color w:val="0D0D0D" w:themeColor="text1" w:themeTint="F2"/>
                                <w:sz w:val="36"/>
                                <w:szCs w:val="40"/>
                                <w:lang w:val="es"/>
                              </w:rPr>
                              <w:t>PETICIÓN 1201-13</w:t>
                            </w:r>
                          </w:p>
                          <w:p w14:paraId="4409EDD3" w14:textId="77777777" w:rsidR="00CB3401" w:rsidRPr="00F2657C" w:rsidRDefault="00CB3401" w:rsidP="00CB3401">
                            <w:pPr>
                              <w:spacing w:line="276" w:lineRule="auto"/>
                              <w:rPr>
                                <w:rFonts w:asciiTheme="majorHAnsi" w:hAnsiTheme="majorHAnsi" w:cs="Arial"/>
                                <w:color w:val="0D0D0D" w:themeColor="text1" w:themeTint="F2"/>
                                <w:szCs w:val="22"/>
                                <w:lang w:val="es-419"/>
                              </w:rPr>
                            </w:pPr>
                            <w:r>
                              <w:rPr>
                                <w:rFonts w:asciiTheme="majorHAnsi" w:hAnsiTheme="majorHAnsi" w:cs="Arial"/>
                                <w:color w:val="0D0D0D" w:themeColor="text1" w:themeTint="F2"/>
                                <w:szCs w:val="22"/>
                                <w:lang w:val="es"/>
                              </w:rPr>
                              <w:t xml:space="preserve">INFORME DE </w:t>
                            </w:r>
                            <w:r w:rsidRPr="00B531CB">
                              <w:rPr>
                                <w:rFonts w:asciiTheme="majorHAnsi" w:hAnsiTheme="majorHAnsi" w:cs="Arial"/>
                                <w:szCs w:val="22"/>
                                <w:lang w:val="es"/>
                              </w:rPr>
                              <w:t xml:space="preserve">ADMISIBILIDAD </w:t>
                            </w:r>
                          </w:p>
                          <w:p w14:paraId="4BF5873A" w14:textId="77777777" w:rsidR="00CB3401" w:rsidRPr="00F2657C" w:rsidRDefault="00CB3401" w:rsidP="00CB3401">
                            <w:pPr>
                              <w:spacing w:line="276" w:lineRule="auto"/>
                              <w:rPr>
                                <w:rFonts w:asciiTheme="majorHAnsi" w:hAnsiTheme="majorHAnsi" w:cs="Arial"/>
                                <w:color w:val="0D0D0D" w:themeColor="text1" w:themeTint="F2"/>
                                <w:szCs w:val="22"/>
                                <w:lang w:val="es-419"/>
                              </w:rPr>
                            </w:pPr>
                          </w:p>
                          <w:p w14:paraId="2551922A" w14:textId="77777777" w:rsidR="00CB3401" w:rsidRPr="004B625D" w:rsidRDefault="00CB3401" w:rsidP="00CB340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F2657C">
                              <w:rPr>
                                <w:rFonts w:ascii="Cambria" w:hAnsi="Cambria" w:cs="Arial"/>
                                <w:color w:val="0D0D0D"/>
                                <w:szCs w:val="22"/>
                              </w:rPr>
                              <w:t>URBIAN BURLESON, JULES GODDARD, KENNETH AMZINK Y ERROL HARRYSON</w:t>
                            </w:r>
                          </w:p>
                          <w:p w14:paraId="456123C8" w14:textId="0BCDAC2D" w:rsidR="00CB3401" w:rsidRPr="004B625D" w:rsidRDefault="00CB3401" w:rsidP="00CB340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lang w:val="es"/>
                              </w:rPr>
                              <w:t>SURINAM</w:t>
                            </w:r>
                          </w:p>
                          <w:p w14:paraId="3AA69748" w14:textId="77777777" w:rsidR="00CB3401" w:rsidRPr="000C4365" w:rsidRDefault="00CB3401" w:rsidP="00CB3401">
                            <w:pPr>
                              <w:spacing w:line="276" w:lineRule="auto"/>
                              <w:rPr>
                                <w:rFonts w:asciiTheme="majorHAnsi" w:hAnsiTheme="majorHAnsi"/>
                                <w:color w:val="0D0D0D" w:themeColor="text1" w:themeTint="F2"/>
                              </w:rPr>
                            </w:pPr>
                          </w:p>
                          <w:p w14:paraId="2F110FE5" w14:textId="77777777" w:rsidR="0099258D" w:rsidRPr="00AE5488" w:rsidRDefault="0099258D"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4E933" id="Text Box 5" o:spid="_x0000_s1027" type="#_x0000_t202" style="position:absolute;left:0;text-align:left;margin-left:106.5pt;margin-top:8.45pt;width:349.7pt;height:17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76E3E879" w14:textId="357C5616" w:rsidR="00CB3401" w:rsidRPr="00CB3401" w:rsidRDefault="00CB3401" w:rsidP="00CB3401">
                      <w:pPr>
                        <w:spacing w:line="276" w:lineRule="auto"/>
                        <w:rPr>
                          <w:rFonts w:asciiTheme="majorHAnsi" w:hAnsiTheme="majorHAnsi" w:cs="Arial"/>
                          <w:b/>
                          <w:bCs/>
                          <w:color w:val="0D0D0D" w:themeColor="text1" w:themeTint="F2"/>
                          <w:sz w:val="36"/>
                          <w:szCs w:val="40"/>
                          <w:lang w:val="es-ES"/>
                        </w:rPr>
                      </w:pPr>
                      <w:r>
                        <w:rPr>
                          <w:rFonts w:asciiTheme="majorHAnsi" w:hAnsiTheme="majorHAnsi" w:cs="Arial"/>
                          <w:b/>
                          <w:bCs/>
                          <w:color w:val="0D0D0D" w:themeColor="text1" w:themeTint="F2"/>
                          <w:sz w:val="36"/>
                          <w:szCs w:val="40"/>
                          <w:lang w:val="es"/>
                        </w:rPr>
                        <w:t>INFORME N</w:t>
                      </w:r>
                      <w:r w:rsidR="00C22B46">
                        <w:rPr>
                          <w:rFonts w:asciiTheme="majorHAnsi" w:hAnsiTheme="majorHAnsi" w:cs="Arial"/>
                          <w:b/>
                          <w:bCs/>
                          <w:color w:val="0D0D0D" w:themeColor="text1" w:themeTint="F2"/>
                          <w:sz w:val="36"/>
                          <w:szCs w:val="40"/>
                          <w:lang w:val="es"/>
                        </w:rPr>
                        <w:t>o.</w:t>
                      </w:r>
                      <w:r>
                        <w:rPr>
                          <w:rFonts w:asciiTheme="majorHAnsi" w:hAnsiTheme="majorHAnsi" w:cs="Arial"/>
                          <w:b/>
                          <w:bCs/>
                          <w:color w:val="0D0D0D" w:themeColor="text1" w:themeTint="F2"/>
                          <w:sz w:val="36"/>
                          <w:szCs w:val="40"/>
                          <w:lang w:val="es"/>
                        </w:rPr>
                        <w:t xml:space="preserve"> </w:t>
                      </w:r>
                      <w:r w:rsidR="00F2657C">
                        <w:rPr>
                          <w:rFonts w:asciiTheme="majorHAnsi" w:hAnsiTheme="majorHAnsi" w:cs="Arial"/>
                          <w:b/>
                          <w:bCs/>
                          <w:color w:val="0D0D0D" w:themeColor="text1" w:themeTint="F2"/>
                          <w:sz w:val="36"/>
                          <w:szCs w:val="40"/>
                          <w:lang w:val="es"/>
                        </w:rPr>
                        <w:t>210</w:t>
                      </w:r>
                      <w:r>
                        <w:rPr>
                          <w:rFonts w:asciiTheme="majorHAnsi" w:hAnsiTheme="majorHAnsi" w:cs="Arial"/>
                          <w:b/>
                          <w:bCs/>
                          <w:color w:val="0D0D0D" w:themeColor="text1" w:themeTint="F2"/>
                          <w:sz w:val="36"/>
                          <w:szCs w:val="40"/>
                          <w:lang w:val="es"/>
                        </w:rPr>
                        <w:t>/1</w:t>
                      </w:r>
                      <w:r w:rsidR="00F2657C">
                        <w:rPr>
                          <w:rFonts w:asciiTheme="majorHAnsi" w:hAnsiTheme="majorHAnsi" w:cs="Arial"/>
                          <w:b/>
                          <w:bCs/>
                          <w:color w:val="0D0D0D" w:themeColor="text1" w:themeTint="F2"/>
                          <w:sz w:val="36"/>
                          <w:szCs w:val="40"/>
                          <w:lang w:val="es"/>
                        </w:rPr>
                        <w:t>9</w:t>
                      </w:r>
                    </w:p>
                    <w:p w14:paraId="205A5209" w14:textId="77777777" w:rsidR="00CB3401" w:rsidRPr="00CB3401" w:rsidRDefault="00CB3401" w:rsidP="00CB3401">
                      <w:pPr>
                        <w:spacing w:line="276" w:lineRule="auto"/>
                        <w:rPr>
                          <w:rFonts w:asciiTheme="majorHAnsi" w:hAnsiTheme="majorHAnsi" w:cs="Arial"/>
                          <w:b/>
                          <w:bCs/>
                          <w:color w:val="0D0D0D" w:themeColor="text1" w:themeTint="F2"/>
                          <w:sz w:val="36"/>
                          <w:szCs w:val="40"/>
                          <w:lang w:val="es-ES"/>
                        </w:rPr>
                      </w:pPr>
                      <w:r>
                        <w:rPr>
                          <w:rFonts w:asciiTheme="majorHAnsi" w:hAnsiTheme="majorHAnsi" w:cs="Arial"/>
                          <w:b/>
                          <w:bCs/>
                          <w:color w:val="0D0D0D" w:themeColor="text1" w:themeTint="F2"/>
                          <w:sz w:val="36"/>
                          <w:szCs w:val="40"/>
                          <w:lang w:val="es"/>
                        </w:rPr>
                        <w:t>PETICIÓN 1201-13</w:t>
                      </w:r>
                    </w:p>
                    <w:p w14:paraId="4409EDD3" w14:textId="77777777" w:rsidR="00CB3401" w:rsidRPr="00F2657C" w:rsidRDefault="00CB3401" w:rsidP="00CB3401">
                      <w:pPr>
                        <w:spacing w:line="276" w:lineRule="auto"/>
                        <w:rPr>
                          <w:rFonts w:asciiTheme="majorHAnsi" w:hAnsiTheme="majorHAnsi" w:cs="Arial"/>
                          <w:color w:val="0D0D0D" w:themeColor="text1" w:themeTint="F2"/>
                          <w:szCs w:val="22"/>
                          <w:lang w:val="es-419"/>
                        </w:rPr>
                      </w:pPr>
                      <w:r>
                        <w:rPr>
                          <w:rFonts w:asciiTheme="majorHAnsi" w:hAnsiTheme="majorHAnsi" w:cs="Arial"/>
                          <w:color w:val="0D0D0D" w:themeColor="text1" w:themeTint="F2"/>
                          <w:szCs w:val="22"/>
                          <w:lang w:val="es"/>
                        </w:rPr>
                        <w:t xml:space="preserve">INFORME DE </w:t>
                      </w:r>
                      <w:r w:rsidRPr="00B531CB">
                        <w:rPr>
                          <w:rFonts w:asciiTheme="majorHAnsi" w:hAnsiTheme="majorHAnsi" w:cs="Arial"/>
                          <w:szCs w:val="22"/>
                          <w:lang w:val="es"/>
                        </w:rPr>
                        <w:t xml:space="preserve">ADMISIBILIDAD </w:t>
                      </w:r>
                    </w:p>
                    <w:p w14:paraId="4BF5873A" w14:textId="77777777" w:rsidR="00CB3401" w:rsidRPr="00F2657C" w:rsidRDefault="00CB3401" w:rsidP="00CB3401">
                      <w:pPr>
                        <w:spacing w:line="276" w:lineRule="auto"/>
                        <w:rPr>
                          <w:rFonts w:asciiTheme="majorHAnsi" w:hAnsiTheme="majorHAnsi" w:cs="Arial"/>
                          <w:color w:val="0D0D0D" w:themeColor="text1" w:themeTint="F2"/>
                          <w:szCs w:val="22"/>
                          <w:lang w:val="es-419"/>
                        </w:rPr>
                      </w:pPr>
                    </w:p>
                    <w:p w14:paraId="2551922A" w14:textId="77777777" w:rsidR="00CB3401" w:rsidRPr="004B625D" w:rsidRDefault="00CB3401" w:rsidP="00CB340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F2657C">
                        <w:rPr>
                          <w:rFonts w:ascii="Cambria" w:hAnsi="Cambria" w:cs="Arial"/>
                          <w:color w:val="0D0D0D"/>
                          <w:szCs w:val="22"/>
                        </w:rPr>
                        <w:t>URBIAN BURLESON, JULES GODDARD, KENNETH AMZINK Y ERROL HARRYSON</w:t>
                      </w:r>
                    </w:p>
                    <w:p w14:paraId="456123C8" w14:textId="0BCDAC2D" w:rsidR="00CB3401" w:rsidRPr="004B625D" w:rsidRDefault="00CB3401" w:rsidP="00CB340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lang w:val="es"/>
                        </w:rPr>
                        <w:t>SURINAM</w:t>
                      </w:r>
                    </w:p>
                    <w:p w14:paraId="3AA69748" w14:textId="77777777" w:rsidR="00CB3401" w:rsidRPr="000C4365" w:rsidRDefault="00CB3401" w:rsidP="00CB3401">
                      <w:pPr>
                        <w:spacing w:line="276" w:lineRule="auto"/>
                        <w:rPr>
                          <w:rFonts w:asciiTheme="majorHAnsi" w:hAnsiTheme="majorHAnsi"/>
                          <w:color w:val="0D0D0D" w:themeColor="text1" w:themeTint="F2"/>
                        </w:rPr>
                      </w:pPr>
                    </w:p>
                    <w:p w14:paraId="2F110FE5" w14:textId="77777777" w:rsidR="0099258D" w:rsidRPr="00AE5488" w:rsidRDefault="0099258D"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4B407976" wp14:editId="0380823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6154BD" w14:textId="7D03067C" w:rsidR="0099258D" w:rsidRPr="004E2649" w:rsidRDefault="0099258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FCB0CC" w14:textId="24D3D0A9" w:rsidR="0099258D" w:rsidRPr="00F2657C" w:rsidRDefault="0099258D" w:rsidP="007A5817">
                            <w:pPr>
                              <w:spacing w:line="276" w:lineRule="auto"/>
                              <w:jc w:val="right"/>
                              <w:rPr>
                                <w:rFonts w:asciiTheme="minorHAnsi" w:hAnsiTheme="minorHAnsi"/>
                                <w:color w:val="FFFFFF" w:themeColor="background1"/>
                                <w:sz w:val="22"/>
                                <w:lang w:val="es-419"/>
                              </w:rPr>
                            </w:pPr>
                            <w:r w:rsidRPr="00F2657C">
                              <w:rPr>
                                <w:rFonts w:asciiTheme="minorHAnsi" w:hAnsiTheme="minorHAnsi"/>
                                <w:color w:val="FFFFFF" w:themeColor="background1"/>
                                <w:sz w:val="22"/>
                                <w:lang w:val="es-419"/>
                              </w:rPr>
                              <w:t xml:space="preserve">Doc. </w:t>
                            </w:r>
                            <w:r w:rsidR="00F2657C" w:rsidRPr="00F2657C">
                              <w:rPr>
                                <w:rFonts w:asciiTheme="minorHAnsi" w:hAnsiTheme="minorHAnsi"/>
                                <w:color w:val="FFFFFF" w:themeColor="background1"/>
                                <w:sz w:val="22"/>
                                <w:lang w:val="es-419"/>
                              </w:rPr>
                              <w:t>232</w:t>
                            </w:r>
                          </w:p>
                          <w:p w14:paraId="06176FA9" w14:textId="61BE0FBB" w:rsidR="0099258D" w:rsidRPr="007160BD" w:rsidRDefault="00F2657C"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6 diciembre 2019</w:t>
                            </w:r>
                          </w:p>
                          <w:p w14:paraId="4C234916" w14:textId="4A121D8D" w:rsidR="0099258D" w:rsidRPr="007160BD" w:rsidRDefault="0099258D" w:rsidP="007A5817">
                            <w:pPr>
                              <w:spacing w:line="276" w:lineRule="auto"/>
                              <w:jc w:val="right"/>
                              <w:rPr>
                                <w:rFonts w:asciiTheme="minorHAnsi" w:hAnsiTheme="minorHAnsi"/>
                                <w:color w:val="FFFFFF" w:themeColor="background1"/>
                                <w:sz w:val="22"/>
                                <w:lang w:val="es-US"/>
                              </w:rPr>
                            </w:pPr>
                            <w:r w:rsidRPr="007160BD">
                              <w:rPr>
                                <w:rFonts w:asciiTheme="minorHAnsi" w:hAnsiTheme="minorHAnsi"/>
                                <w:color w:val="FFFFFF" w:themeColor="background1"/>
                                <w:sz w:val="22"/>
                                <w:lang w:val="es-US"/>
                              </w:rPr>
                              <w:t xml:space="preserve">Original: </w:t>
                            </w:r>
                            <w:r w:rsidR="00802833">
                              <w:rPr>
                                <w:rFonts w:asciiTheme="minorHAnsi" w:hAnsiTheme="minorHAnsi"/>
                                <w:color w:val="FFFFFF" w:themeColor="background1"/>
                                <w:sz w:val="22"/>
                                <w:lang w:val="es-US"/>
                              </w:rPr>
                              <w:t>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07976" id="Text Box 8" o:spid="_x0000_s1028" type="#_x0000_t202" style="position:absolute;left:0;text-align:left;margin-left:-27pt;margin-top:12.95pt;width:109.5pt;height:10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356154BD" w14:textId="7D03067C" w:rsidR="0099258D" w:rsidRPr="004E2649" w:rsidRDefault="0099258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FCB0CC" w14:textId="24D3D0A9" w:rsidR="0099258D" w:rsidRPr="00F2657C" w:rsidRDefault="0099258D" w:rsidP="007A5817">
                      <w:pPr>
                        <w:spacing w:line="276" w:lineRule="auto"/>
                        <w:jc w:val="right"/>
                        <w:rPr>
                          <w:rFonts w:asciiTheme="minorHAnsi" w:hAnsiTheme="minorHAnsi"/>
                          <w:color w:val="FFFFFF" w:themeColor="background1"/>
                          <w:sz w:val="22"/>
                          <w:lang w:val="es-419"/>
                        </w:rPr>
                      </w:pPr>
                      <w:r w:rsidRPr="00F2657C">
                        <w:rPr>
                          <w:rFonts w:asciiTheme="minorHAnsi" w:hAnsiTheme="minorHAnsi"/>
                          <w:color w:val="FFFFFF" w:themeColor="background1"/>
                          <w:sz w:val="22"/>
                          <w:lang w:val="es-419"/>
                        </w:rPr>
                        <w:t xml:space="preserve">Doc. </w:t>
                      </w:r>
                      <w:r w:rsidR="00F2657C" w:rsidRPr="00F2657C">
                        <w:rPr>
                          <w:rFonts w:asciiTheme="minorHAnsi" w:hAnsiTheme="minorHAnsi"/>
                          <w:color w:val="FFFFFF" w:themeColor="background1"/>
                          <w:sz w:val="22"/>
                          <w:lang w:val="es-419"/>
                        </w:rPr>
                        <w:t>232</w:t>
                      </w:r>
                    </w:p>
                    <w:p w14:paraId="06176FA9" w14:textId="61BE0FBB" w:rsidR="0099258D" w:rsidRPr="007160BD" w:rsidRDefault="00F2657C"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6 diciembre 2019</w:t>
                      </w:r>
                    </w:p>
                    <w:p w14:paraId="4C234916" w14:textId="4A121D8D" w:rsidR="0099258D" w:rsidRPr="007160BD" w:rsidRDefault="0099258D" w:rsidP="007A5817">
                      <w:pPr>
                        <w:spacing w:line="276" w:lineRule="auto"/>
                        <w:jc w:val="right"/>
                        <w:rPr>
                          <w:rFonts w:asciiTheme="minorHAnsi" w:hAnsiTheme="minorHAnsi"/>
                          <w:color w:val="FFFFFF" w:themeColor="background1"/>
                          <w:sz w:val="22"/>
                          <w:lang w:val="es-US"/>
                        </w:rPr>
                      </w:pPr>
                      <w:r w:rsidRPr="007160BD">
                        <w:rPr>
                          <w:rFonts w:asciiTheme="minorHAnsi" w:hAnsiTheme="minorHAnsi"/>
                          <w:color w:val="FFFFFF" w:themeColor="background1"/>
                          <w:sz w:val="22"/>
                          <w:lang w:val="es-US"/>
                        </w:rPr>
                        <w:t xml:space="preserve">Original: </w:t>
                      </w:r>
                      <w:r w:rsidR="00802833">
                        <w:rPr>
                          <w:rFonts w:asciiTheme="minorHAnsi" w:hAnsiTheme="minorHAnsi"/>
                          <w:color w:val="FFFFFF" w:themeColor="background1"/>
                          <w:sz w:val="22"/>
                          <w:lang w:val="es-US"/>
                        </w:rPr>
                        <w:t>inglés</w:t>
                      </w:r>
                    </w:p>
                  </w:txbxContent>
                </v:textbox>
              </v:shape>
            </w:pict>
          </mc:Fallback>
        </mc:AlternateContent>
      </w:r>
    </w:p>
    <w:p w14:paraId="2139988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99D14E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380C61"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333FC7F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0E8448D" w14:textId="7C4144BA" w:rsidR="00040C3A" w:rsidRPr="0090270B" w:rsidRDefault="00040C3A" w:rsidP="00040C3A">
      <w:pPr>
        <w:tabs>
          <w:tab w:val="center" w:pos="5400"/>
        </w:tabs>
        <w:suppressAutoHyphens/>
        <w:jc w:val="center"/>
        <w:rPr>
          <w:rFonts w:asciiTheme="majorHAnsi" w:hAnsiTheme="majorHAnsi"/>
          <w:sz w:val="22"/>
          <w:szCs w:val="22"/>
          <w:lang w:val="es-ES_tradnl"/>
        </w:rPr>
      </w:pPr>
    </w:p>
    <w:p w14:paraId="599A9091" w14:textId="2C2DD17E" w:rsidR="00040C3A" w:rsidRPr="0090270B" w:rsidRDefault="00040C3A" w:rsidP="00040C3A">
      <w:pPr>
        <w:tabs>
          <w:tab w:val="center" w:pos="5400"/>
        </w:tabs>
        <w:suppressAutoHyphens/>
        <w:jc w:val="center"/>
        <w:rPr>
          <w:rFonts w:asciiTheme="majorHAnsi" w:hAnsiTheme="majorHAnsi"/>
          <w:sz w:val="22"/>
          <w:szCs w:val="22"/>
          <w:lang w:val="es-ES_tradnl"/>
        </w:rPr>
      </w:pPr>
    </w:p>
    <w:p w14:paraId="19A8DF1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E8476E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AD3A46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5643A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C6E47C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DC40BD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506DE3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387DD23" w14:textId="577A8A26" w:rsidR="00040C3A" w:rsidRPr="0090270B" w:rsidRDefault="00040C3A" w:rsidP="00040C3A">
      <w:pPr>
        <w:tabs>
          <w:tab w:val="center" w:pos="5400"/>
        </w:tabs>
        <w:suppressAutoHyphens/>
        <w:jc w:val="center"/>
        <w:rPr>
          <w:rFonts w:asciiTheme="majorHAnsi" w:hAnsiTheme="majorHAnsi"/>
          <w:sz w:val="22"/>
          <w:szCs w:val="22"/>
          <w:lang w:val="es-ES_tradnl"/>
        </w:rPr>
      </w:pPr>
    </w:p>
    <w:p w14:paraId="6E3B7CE6" w14:textId="7C5AC137" w:rsidR="00A50FCF" w:rsidRPr="0090270B" w:rsidRDefault="00A50FCF" w:rsidP="00040C3A">
      <w:pPr>
        <w:tabs>
          <w:tab w:val="center" w:pos="5400"/>
        </w:tabs>
        <w:suppressAutoHyphens/>
        <w:jc w:val="center"/>
        <w:rPr>
          <w:rFonts w:asciiTheme="majorHAnsi" w:hAnsiTheme="majorHAnsi"/>
          <w:sz w:val="18"/>
          <w:szCs w:val="22"/>
          <w:lang w:val="es-ES_tradnl"/>
        </w:rPr>
      </w:pPr>
    </w:p>
    <w:p w14:paraId="7B33870D" w14:textId="689834AA" w:rsidR="00A50FCF" w:rsidRPr="0090270B" w:rsidRDefault="00A50FCF" w:rsidP="00040C3A">
      <w:pPr>
        <w:tabs>
          <w:tab w:val="center" w:pos="5400"/>
        </w:tabs>
        <w:suppressAutoHyphens/>
        <w:jc w:val="center"/>
        <w:rPr>
          <w:rFonts w:asciiTheme="majorHAnsi" w:hAnsiTheme="majorHAnsi"/>
          <w:sz w:val="18"/>
          <w:szCs w:val="22"/>
          <w:lang w:val="es-ES_tradnl"/>
        </w:rPr>
      </w:pPr>
    </w:p>
    <w:p w14:paraId="02D0F589" w14:textId="3AC3EF19" w:rsidR="00A50FCF" w:rsidRPr="0090270B" w:rsidRDefault="00A50FCF" w:rsidP="00040C3A">
      <w:pPr>
        <w:tabs>
          <w:tab w:val="center" w:pos="5400"/>
        </w:tabs>
        <w:suppressAutoHyphens/>
        <w:jc w:val="center"/>
        <w:rPr>
          <w:rFonts w:asciiTheme="majorHAnsi" w:hAnsiTheme="majorHAnsi"/>
          <w:sz w:val="18"/>
          <w:szCs w:val="22"/>
          <w:lang w:val="es-ES_tradnl"/>
        </w:rPr>
      </w:pPr>
    </w:p>
    <w:p w14:paraId="25684D5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D6B7113" w14:textId="1E4BFEF2" w:rsidR="00A50FCF" w:rsidRPr="0090270B" w:rsidRDefault="00A50FCF" w:rsidP="00040C3A">
      <w:pPr>
        <w:tabs>
          <w:tab w:val="center" w:pos="5400"/>
        </w:tabs>
        <w:suppressAutoHyphens/>
        <w:jc w:val="center"/>
        <w:rPr>
          <w:rFonts w:asciiTheme="majorHAnsi" w:hAnsiTheme="majorHAnsi"/>
          <w:sz w:val="18"/>
          <w:szCs w:val="22"/>
          <w:lang w:val="es-ES_tradnl"/>
        </w:rPr>
      </w:pPr>
    </w:p>
    <w:p w14:paraId="0DDDC36B" w14:textId="6893276E" w:rsidR="00A50FCF" w:rsidRPr="0090270B" w:rsidRDefault="00A50FCF" w:rsidP="00040C3A">
      <w:pPr>
        <w:tabs>
          <w:tab w:val="center" w:pos="5400"/>
        </w:tabs>
        <w:suppressAutoHyphens/>
        <w:jc w:val="center"/>
        <w:rPr>
          <w:rFonts w:asciiTheme="majorHAnsi" w:hAnsiTheme="majorHAnsi"/>
          <w:sz w:val="18"/>
          <w:szCs w:val="22"/>
          <w:lang w:val="es-ES_tradnl"/>
        </w:rPr>
      </w:pPr>
    </w:p>
    <w:p w14:paraId="0F9E875D" w14:textId="7373E989" w:rsidR="00A50FCF" w:rsidRPr="0090270B" w:rsidRDefault="00A50FCF" w:rsidP="00040C3A">
      <w:pPr>
        <w:tabs>
          <w:tab w:val="center" w:pos="5400"/>
        </w:tabs>
        <w:suppressAutoHyphens/>
        <w:jc w:val="center"/>
        <w:rPr>
          <w:rFonts w:asciiTheme="majorHAnsi" w:hAnsiTheme="majorHAnsi"/>
          <w:sz w:val="18"/>
          <w:szCs w:val="22"/>
          <w:lang w:val="es-ES_tradnl"/>
        </w:rPr>
      </w:pPr>
    </w:p>
    <w:p w14:paraId="4FBBA3B2" w14:textId="2EE307A8" w:rsidR="00A50FCF" w:rsidRPr="0090270B" w:rsidRDefault="00A50FCF" w:rsidP="00040C3A">
      <w:pPr>
        <w:tabs>
          <w:tab w:val="center" w:pos="5400"/>
        </w:tabs>
        <w:suppressAutoHyphens/>
        <w:jc w:val="center"/>
        <w:rPr>
          <w:rFonts w:asciiTheme="majorHAnsi" w:hAnsiTheme="majorHAnsi"/>
          <w:sz w:val="18"/>
          <w:szCs w:val="22"/>
          <w:lang w:val="es-ES_tradnl"/>
        </w:rPr>
      </w:pPr>
    </w:p>
    <w:p w14:paraId="6C83C43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C83E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CCE5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F3E95E" w14:textId="40281EE8" w:rsidR="00A50FCF" w:rsidRPr="0090270B" w:rsidRDefault="00A50FCF" w:rsidP="00040C3A">
      <w:pPr>
        <w:tabs>
          <w:tab w:val="center" w:pos="5400"/>
        </w:tabs>
        <w:suppressAutoHyphens/>
        <w:jc w:val="center"/>
        <w:rPr>
          <w:rFonts w:asciiTheme="majorHAnsi" w:hAnsiTheme="majorHAnsi"/>
          <w:sz w:val="18"/>
          <w:szCs w:val="22"/>
          <w:lang w:val="es-ES_tradnl"/>
        </w:rPr>
      </w:pPr>
    </w:p>
    <w:p w14:paraId="164CA360" w14:textId="1AF942CE" w:rsidR="00A50FCF" w:rsidRPr="0090270B" w:rsidRDefault="00A50FCF" w:rsidP="00040C3A">
      <w:pPr>
        <w:tabs>
          <w:tab w:val="center" w:pos="5400"/>
        </w:tabs>
        <w:suppressAutoHyphens/>
        <w:jc w:val="center"/>
        <w:rPr>
          <w:rFonts w:asciiTheme="majorHAnsi" w:hAnsiTheme="majorHAnsi"/>
          <w:sz w:val="18"/>
          <w:szCs w:val="22"/>
          <w:lang w:val="es-ES_tradnl"/>
        </w:rPr>
      </w:pPr>
    </w:p>
    <w:p w14:paraId="152466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86BB87" w14:textId="29F1735A"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7216" behindDoc="0" locked="0" layoutInCell="1" allowOverlap="1" wp14:anchorId="740FD2AA" wp14:editId="308F5C12">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A7A46C" w14:textId="45DE7172" w:rsidR="00F2657C" w:rsidRPr="00890650" w:rsidRDefault="00F2657C" w:rsidP="00F2657C">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por la Comisión</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el </w:t>
                            </w:r>
                            <w:r>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w:t>
                            </w:r>
                            <w:r>
                              <w:rPr>
                                <w:rFonts w:asciiTheme="majorHAnsi" w:hAnsiTheme="majorHAnsi"/>
                                <w:color w:val="0D0D0D" w:themeColor="text1" w:themeTint="F2"/>
                                <w:sz w:val="18"/>
                                <w:szCs w:val="22"/>
                                <w:lang w:val="es-ES"/>
                              </w:rPr>
                              <w:t>d</w:t>
                            </w:r>
                            <w:r w:rsidRPr="00890650">
                              <w:rPr>
                                <w:rFonts w:asciiTheme="majorHAnsi" w:hAnsiTheme="majorHAnsi"/>
                                <w:color w:val="0D0D0D" w:themeColor="text1" w:themeTint="F2"/>
                                <w:sz w:val="18"/>
                                <w:szCs w:val="22"/>
                                <w:lang w:val="es-ES"/>
                              </w:rPr>
                              <w:t xml:space="preserve">e </w:t>
                            </w:r>
                            <w:r>
                              <w:rPr>
                                <w:rFonts w:asciiTheme="majorHAnsi" w:hAnsiTheme="majorHAnsi"/>
                                <w:color w:val="0D0D0D" w:themeColor="text1" w:themeTint="F2"/>
                                <w:sz w:val="18"/>
                                <w:szCs w:val="22"/>
                                <w:lang w:val="es-ES"/>
                              </w:rPr>
                              <w:t xml:space="preserve">diciembre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 en San Salvador, El Salvador</w:t>
                            </w:r>
                            <w:r w:rsidR="00C22B46">
                              <w:rPr>
                                <w:rFonts w:asciiTheme="majorHAnsi" w:hAnsiTheme="majorHAnsi"/>
                                <w:color w:val="0D0D0D" w:themeColor="text1" w:themeTint="F2"/>
                                <w:sz w:val="18"/>
                                <w:szCs w:val="22"/>
                                <w:lang w:val="es-ES"/>
                              </w:rPr>
                              <w:t>.</w:t>
                            </w:r>
                          </w:p>
                          <w:p w14:paraId="2CE69D90" w14:textId="77777777" w:rsidR="0099258D" w:rsidRPr="00167A34" w:rsidRDefault="0099258D"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FD2AA" id="Text Box 7" o:spid="_x0000_s1029" type="#_x0000_t202" style="position:absolute;left:0;text-align:left;margin-left:105.65pt;margin-top:1.8pt;width:388.5pt;height:5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AA7A46C" w14:textId="45DE7172" w:rsidR="00F2657C" w:rsidRPr="00890650" w:rsidRDefault="00F2657C" w:rsidP="00F2657C">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por la Comisión</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el </w:t>
                      </w:r>
                      <w:r>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w:t>
                      </w:r>
                      <w:r>
                        <w:rPr>
                          <w:rFonts w:asciiTheme="majorHAnsi" w:hAnsiTheme="majorHAnsi"/>
                          <w:color w:val="0D0D0D" w:themeColor="text1" w:themeTint="F2"/>
                          <w:sz w:val="18"/>
                          <w:szCs w:val="22"/>
                          <w:lang w:val="es-ES"/>
                        </w:rPr>
                        <w:t>d</w:t>
                      </w:r>
                      <w:r w:rsidRPr="00890650">
                        <w:rPr>
                          <w:rFonts w:asciiTheme="majorHAnsi" w:hAnsiTheme="majorHAnsi"/>
                          <w:color w:val="0D0D0D" w:themeColor="text1" w:themeTint="F2"/>
                          <w:sz w:val="18"/>
                          <w:szCs w:val="22"/>
                          <w:lang w:val="es-ES"/>
                        </w:rPr>
                        <w:t xml:space="preserve">e </w:t>
                      </w:r>
                      <w:r>
                        <w:rPr>
                          <w:rFonts w:asciiTheme="majorHAnsi" w:hAnsiTheme="majorHAnsi"/>
                          <w:color w:val="0D0D0D" w:themeColor="text1" w:themeTint="F2"/>
                          <w:sz w:val="18"/>
                          <w:szCs w:val="22"/>
                          <w:lang w:val="es-ES"/>
                        </w:rPr>
                        <w:t xml:space="preserve">diciembre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 en San Salvador, El Salvador</w:t>
                      </w:r>
                      <w:r w:rsidR="00C22B46">
                        <w:rPr>
                          <w:rFonts w:asciiTheme="majorHAnsi" w:hAnsiTheme="majorHAnsi"/>
                          <w:color w:val="0D0D0D" w:themeColor="text1" w:themeTint="F2"/>
                          <w:sz w:val="18"/>
                          <w:szCs w:val="22"/>
                          <w:lang w:val="es-ES"/>
                        </w:rPr>
                        <w:t>.</w:t>
                      </w:r>
                    </w:p>
                    <w:p w14:paraId="2CE69D90" w14:textId="77777777" w:rsidR="0099258D" w:rsidRPr="00167A34" w:rsidRDefault="0099258D"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BD4F37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8D431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D53DD4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55C42C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79EA24" w14:textId="38C73D43"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60288" behindDoc="0" locked="0" layoutInCell="1" allowOverlap="1" wp14:anchorId="27F6E461" wp14:editId="06F0F82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BB61D" w14:textId="3EFC90D0" w:rsidR="0099258D" w:rsidRPr="007B05C4" w:rsidRDefault="0099258D" w:rsidP="00414671">
                            <w:pPr>
                              <w:spacing w:line="276" w:lineRule="auto"/>
                              <w:rPr>
                                <w:rFonts w:asciiTheme="majorHAnsi" w:hAnsiTheme="majorHAnsi"/>
                                <w:color w:val="595959" w:themeColor="text1" w:themeTint="A6"/>
                                <w:sz w:val="18"/>
                                <w:szCs w:val="18"/>
                                <w:lang w:val="es-ES"/>
                              </w:rPr>
                            </w:pPr>
                            <w:r w:rsidRPr="00F2657C">
                              <w:rPr>
                                <w:rFonts w:asciiTheme="majorHAnsi" w:hAnsiTheme="majorHAnsi"/>
                                <w:b/>
                                <w:color w:val="595959" w:themeColor="text1" w:themeTint="A6"/>
                                <w:sz w:val="18"/>
                                <w:szCs w:val="18"/>
                                <w:lang w:val="es-419"/>
                              </w:rPr>
                              <w:t>Citar como:</w:t>
                            </w:r>
                            <w:r w:rsidRPr="00F2657C">
                              <w:rPr>
                                <w:rFonts w:asciiTheme="majorHAnsi" w:hAnsiTheme="majorHAnsi"/>
                                <w:color w:val="595959" w:themeColor="text1" w:themeTint="A6"/>
                                <w:sz w:val="18"/>
                                <w:szCs w:val="18"/>
                                <w:lang w:val="es-419"/>
                              </w:rPr>
                              <w:t xml:space="preserve"> CIDH, Informe No. </w:t>
                            </w:r>
                            <w:r w:rsidR="00F2657C" w:rsidRPr="00F2657C">
                              <w:rPr>
                                <w:rFonts w:asciiTheme="majorHAnsi" w:hAnsiTheme="majorHAnsi"/>
                                <w:color w:val="595959" w:themeColor="text1" w:themeTint="A6"/>
                                <w:sz w:val="18"/>
                                <w:szCs w:val="18"/>
                                <w:lang w:val="es-419"/>
                              </w:rPr>
                              <w:t>210</w:t>
                            </w:r>
                            <w:r w:rsidR="00C725B5" w:rsidRPr="00F2657C">
                              <w:rPr>
                                <w:rFonts w:asciiTheme="majorHAnsi" w:hAnsiTheme="majorHAnsi"/>
                                <w:color w:val="595959" w:themeColor="text1" w:themeTint="A6"/>
                                <w:sz w:val="18"/>
                                <w:szCs w:val="18"/>
                                <w:lang w:val="es-419"/>
                              </w:rPr>
                              <w:t>/</w:t>
                            </w:r>
                            <w:r w:rsidR="00F2657C" w:rsidRPr="00F2657C">
                              <w:rPr>
                                <w:rFonts w:asciiTheme="majorHAnsi" w:hAnsiTheme="majorHAnsi"/>
                                <w:color w:val="595959" w:themeColor="text1" w:themeTint="A6"/>
                                <w:sz w:val="18"/>
                                <w:szCs w:val="18"/>
                                <w:lang w:val="es-419"/>
                              </w:rPr>
                              <w:t>19</w:t>
                            </w:r>
                            <w:r w:rsidRPr="00F2657C">
                              <w:rPr>
                                <w:rFonts w:asciiTheme="majorHAnsi" w:hAnsiTheme="majorHAnsi"/>
                                <w:color w:val="595959" w:themeColor="text1" w:themeTint="A6"/>
                                <w:sz w:val="18"/>
                                <w:szCs w:val="18"/>
                                <w:lang w:val="es-419"/>
                              </w:rPr>
                              <w:t xml:space="preserve">. </w:t>
                            </w:r>
                            <w:r w:rsidR="00C22B46">
                              <w:rPr>
                                <w:rFonts w:asciiTheme="majorHAnsi" w:hAnsiTheme="majorHAnsi"/>
                                <w:color w:val="595959" w:themeColor="text1" w:themeTint="A6"/>
                                <w:sz w:val="18"/>
                                <w:szCs w:val="18"/>
                                <w:lang w:val="es-419"/>
                              </w:rPr>
                              <w:t xml:space="preserve"> </w:t>
                            </w:r>
                            <w:proofErr w:type="spellStart"/>
                            <w:r w:rsidR="00C22B46">
                              <w:rPr>
                                <w:rFonts w:asciiTheme="majorHAnsi" w:hAnsiTheme="majorHAnsi"/>
                                <w:color w:val="595959" w:themeColor="text1" w:themeTint="A6"/>
                                <w:sz w:val="18"/>
                                <w:szCs w:val="18"/>
                                <w:lang w:val="es-419"/>
                              </w:rPr>
                              <w:t>Petici</w:t>
                            </w:r>
                            <w:proofErr w:type="gramStart"/>
                            <w:r w:rsidR="00C22B46">
                              <w:rPr>
                                <w:rFonts w:asciiTheme="majorHAnsi" w:hAnsiTheme="majorHAnsi"/>
                                <w:color w:val="595959" w:themeColor="text1" w:themeTint="A6"/>
                                <w:sz w:val="18"/>
                                <w:szCs w:val="18"/>
                                <w:lang w:val="es-419"/>
                              </w:rPr>
                              <w:t>;on</w:t>
                            </w:r>
                            <w:proofErr w:type="spellEnd"/>
                            <w:proofErr w:type="gramEnd"/>
                            <w:r w:rsidR="00C22B46">
                              <w:rPr>
                                <w:rFonts w:asciiTheme="majorHAnsi" w:hAnsiTheme="majorHAnsi"/>
                                <w:color w:val="595959" w:themeColor="text1" w:themeTint="A6"/>
                                <w:sz w:val="18"/>
                                <w:szCs w:val="18"/>
                                <w:lang w:val="es-419"/>
                              </w:rPr>
                              <w:t xml:space="preserve"> 1201-13. </w:t>
                            </w:r>
                            <w:r w:rsidRPr="00A9469E">
                              <w:rPr>
                                <w:rFonts w:asciiTheme="majorHAnsi" w:hAnsiTheme="majorHAnsi"/>
                                <w:color w:val="595959" w:themeColor="text1" w:themeTint="A6"/>
                                <w:sz w:val="18"/>
                                <w:szCs w:val="18"/>
                                <w:lang w:val="es-US"/>
                              </w:rPr>
                              <w:t xml:space="preserve">Admisibilidad. </w:t>
                            </w:r>
                            <w:proofErr w:type="spellStart"/>
                            <w:r w:rsidR="00F2657C" w:rsidRPr="00032A42">
                              <w:rPr>
                                <w:rFonts w:asciiTheme="majorHAnsi" w:hAnsiTheme="majorHAnsi"/>
                                <w:color w:val="595959" w:themeColor="text1" w:themeTint="A6"/>
                                <w:sz w:val="18"/>
                              </w:rPr>
                              <w:t>Urbian</w:t>
                            </w:r>
                            <w:proofErr w:type="spellEnd"/>
                            <w:r w:rsidR="00F2657C" w:rsidRPr="00032A42">
                              <w:rPr>
                                <w:rFonts w:asciiTheme="majorHAnsi" w:hAnsiTheme="majorHAnsi"/>
                                <w:color w:val="595959" w:themeColor="text1" w:themeTint="A6"/>
                                <w:sz w:val="18"/>
                              </w:rPr>
                              <w:t xml:space="preserve"> Burleson, Jules Goddard, Kenneth </w:t>
                            </w:r>
                            <w:proofErr w:type="spellStart"/>
                            <w:r w:rsidR="00F2657C" w:rsidRPr="00032A42">
                              <w:rPr>
                                <w:rFonts w:asciiTheme="majorHAnsi" w:hAnsiTheme="majorHAnsi"/>
                                <w:color w:val="595959" w:themeColor="text1" w:themeTint="A6"/>
                                <w:sz w:val="18"/>
                              </w:rPr>
                              <w:t>Amzink</w:t>
                            </w:r>
                            <w:proofErr w:type="spellEnd"/>
                            <w:r w:rsidR="00F2657C" w:rsidRPr="00032A42">
                              <w:rPr>
                                <w:rFonts w:asciiTheme="majorHAnsi" w:hAnsiTheme="majorHAnsi"/>
                                <w:color w:val="595959" w:themeColor="text1" w:themeTint="A6"/>
                                <w:sz w:val="18"/>
                              </w:rPr>
                              <w:t xml:space="preserve"> and Errol </w:t>
                            </w:r>
                            <w:proofErr w:type="spellStart"/>
                            <w:r w:rsidR="00F2657C" w:rsidRPr="00032A42">
                              <w:rPr>
                                <w:rFonts w:asciiTheme="majorHAnsi" w:hAnsiTheme="majorHAnsi"/>
                                <w:color w:val="595959" w:themeColor="text1" w:themeTint="A6"/>
                                <w:sz w:val="18"/>
                              </w:rPr>
                              <w:t>Harryson</w:t>
                            </w:r>
                            <w:proofErr w:type="spellEnd"/>
                            <w:r w:rsidR="00F2657C" w:rsidRPr="003C32BC">
                              <w:rPr>
                                <w:rFonts w:asciiTheme="majorHAnsi" w:hAnsiTheme="majorHAnsi"/>
                                <w:color w:val="595959" w:themeColor="text1" w:themeTint="A6"/>
                                <w:sz w:val="18"/>
                              </w:rPr>
                              <w:t>.</w:t>
                            </w:r>
                            <w:r w:rsidRPr="00F2657C">
                              <w:rPr>
                                <w:rFonts w:asciiTheme="majorHAnsi" w:hAnsiTheme="majorHAnsi"/>
                                <w:color w:val="595959" w:themeColor="text1" w:themeTint="A6"/>
                                <w:sz w:val="18"/>
                                <w:szCs w:val="18"/>
                              </w:rPr>
                              <w:t xml:space="preserve"> </w:t>
                            </w:r>
                            <w:r w:rsidR="00F2657C">
                              <w:rPr>
                                <w:rFonts w:asciiTheme="majorHAnsi" w:hAnsiTheme="majorHAnsi"/>
                                <w:color w:val="595959" w:themeColor="text1" w:themeTint="A6"/>
                                <w:sz w:val="18"/>
                                <w:szCs w:val="18"/>
                                <w:lang w:val="es-ES_tradnl"/>
                              </w:rPr>
                              <w:t>Surinam</w:t>
                            </w:r>
                            <w:r w:rsidRPr="00890650">
                              <w:rPr>
                                <w:rFonts w:asciiTheme="majorHAnsi" w:hAnsiTheme="majorHAnsi"/>
                                <w:color w:val="595959" w:themeColor="text1" w:themeTint="A6"/>
                                <w:sz w:val="18"/>
                                <w:szCs w:val="18"/>
                                <w:lang w:val="es-ES_tradnl"/>
                              </w:rPr>
                              <w:t xml:space="preserve">. </w:t>
                            </w:r>
                            <w:r w:rsidR="00F2657C">
                              <w:rPr>
                                <w:rFonts w:asciiTheme="majorHAnsi" w:hAnsiTheme="majorHAnsi"/>
                                <w:color w:val="595959" w:themeColor="text1" w:themeTint="A6"/>
                                <w:sz w:val="18"/>
                                <w:szCs w:val="18"/>
                                <w:lang w:val="es-ES"/>
                              </w:rPr>
                              <w:t>6 de diciembre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6E461" id="Text Box 10" o:spid="_x0000_s1030" type="#_x0000_t202" style="position:absolute;left:0;text-align:left;margin-left:105pt;margin-top:.45pt;width:389.2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349BB61D" w14:textId="3EFC90D0" w:rsidR="0099258D" w:rsidRPr="007B05C4" w:rsidRDefault="0099258D" w:rsidP="00414671">
                      <w:pPr>
                        <w:spacing w:line="276" w:lineRule="auto"/>
                        <w:rPr>
                          <w:rFonts w:asciiTheme="majorHAnsi" w:hAnsiTheme="majorHAnsi"/>
                          <w:color w:val="595959" w:themeColor="text1" w:themeTint="A6"/>
                          <w:sz w:val="18"/>
                          <w:szCs w:val="18"/>
                          <w:lang w:val="es-ES"/>
                        </w:rPr>
                      </w:pPr>
                      <w:r w:rsidRPr="00F2657C">
                        <w:rPr>
                          <w:rFonts w:asciiTheme="majorHAnsi" w:hAnsiTheme="majorHAnsi"/>
                          <w:b/>
                          <w:color w:val="595959" w:themeColor="text1" w:themeTint="A6"/>
                          <w:sz w:val="18"/>
                          <w:szCs w:val="18"/>
                          <w:lang w:val="es-419"/>
                        </w:rPr>
                        <w:t>Citar como:</w:t>
                      </w:r>
                      <w:r w:rsidRPr="00F2657C">
                        <w:rPr>
                          <w:rFonts w:asciiTheme="majorHAnsi" w:hAnsiTheme="majorHAnsi"/>
                          <w:color w:val="595959" w:themeColor="text1" w:themeTint="A6"/>
                          <w:sz w:val="18"/>
                          <w:szCs w:val="18"/>
                          <w:lang w:val="es-419"/>
                        </w:rPr>
                        <w:t xml:space="preserve"> CIDH, Informe No. </w:t>
                      </w:r>
                      <w:r w:rsidR="00F2657C" w:rsidRPr="00F2657C">
                        <w:rPr>
                          <w:rFonts w:asciiTheme="majorHAnsi" w:hAnsiTheme="majorHAnsi"/>
                          <w:color w:val="595959" w:themeColor="text1" w:themeTint="A6"/>
                          <w:sz w:val="18"/>
                          <w:szCs w:val="18"/>
                          <w:lang w:val="es-419"/>
                        </w:rPr>
                        <w:t>210</w:t>
                      </w:r>
                      <w:r w:rsidR="00C725B5" w:rsidRPr="00F2657C">
                        <w:rPr>
                          <w:rFonts w:asciiTheme="majorHAnsi" w:hAnsiTheme="majorHAnsi"/>
                          <w:color w:val="595959" w:themeColor="text1" w:themeTint="A6"/>
                          <w:sz w:val="18"/>
                          <w:szCs w:val="18"/>
                          <w:lang w:val="es-419"/>
                        </w:rPr>
                        <w:t>/</w:t>
                      </w:r>
                      <w:r w:rsidR="00F2657C" w:rsidRPr="00F2657C">
                        <w:rPr>
                          <w:rFonts w:asciiTheme="majorHAnsi" w:hAnsiTheme="majorHAnsi"/>
                          <w:color w:val="595959" w:themeColor="text1" w:themeTint="A6"/>
                          <w:sz w:val="18"/>
                          <w:szCs w:val="18"/>
                          <w:lang w:val="es-419"/>
                        </w:rPr>
                        <w:t>19</w:t>
                      </w:r>
                      <w:r w:rsidRPr="00F2657C">
                        <w:rPr>
                          <w:rFonts w:asciiTheme="majorHAnsi" w:hAnsiTheme="majorHAnsi"/>
                          <w:color w:val="595959" w:themeColor="text1" w:themeTint="A6"/>
                          <w:sz w:val="18"/>
                          <w:szCs w:val="18"/>
                          <w:lang w:val="es-419"/>
                        </w:rPr>
                        <w:t xml:space="preserve">. </w:t>
                      </w:r>
                      <w:r w:rsidR="00C22B46">
                        <w:rPr>
                          <w:rFonts w:asciiTheme="majorHAnsi" w:hAnsiTheme="majorHAnsi"/>
                          <w:color w:val="595959" w:themeColor="text1" w:themeTint="A6"/>
                          <w:sz w:val="18"/>
                          <w:szCs w:val="18"/>
                          <w:lang w:val="es-419"/>
                        </w:rPr>
                        <w:t xml:space="preserve"> </w:t>
                      </w:r>
                      <w:proofErr w:type="spellStart"/>
                      <w:r w:rsidR="00C22B46">
                        <w:rPr>
                          <w:rFonts w:asciiTheme="majorHAnsi" w:hAnsiTheme="majorHAnsi"/>
                          <w:color w:val="595959" w:themeColor="text1" w:themeTint="A6"/>
                          <w:sz w:val="18"/>
                          <w:szCs w:val="18"/>
                          <w:lang w:val="es-419"/>
                        </w:rPr>
                        <w:t>Petici</w:t>
                      </w:r>
                      <w:proofErr w:type="gramStart"/>
                      <w:r w:rsidR="00C22B46">
                        <w:rPr>
                          <w:rFonts w:asciiTheme="majorHAnsi" w:hAnsiTheme="majorHAnsi"/>
                          <w:color w:val="595959" w:themeColor="text1" w:themeTint="A6"/>
                          <w:sz w:val="18"/>
                          <w:szCs w:val="18"/>
                          <w:lang w:val="es-419"/>
                        </w:rPr>
                        <w:t>;on</w:t>
                      </w:r>
                      <w:proofErr w:type="spellEnd"/>
                      <w:proofErr w:type="gramEnd"/>
                      <w:r w:rsidR="00C22B46">
                        <w:rPr>
                          <w:rFonts w:asciiTheme="majorHAnsi" w:hAnsiTheme="majorHAnsi"/>
                          <w:color w:val="595959" w:themeColor="text1" w:themeTint="A6"/>
                          <w:sz w:val="18"/>
                          <w:szCs w:val="18"/>
                          <w:lang w:val="es-419"/>
                        </w:rPr>
                        <w:t xml:space="preserve"> 1201-13. </w:t>
                      </w:r>
                      <w:r w:rsidRPr="00A9469E">
                        <w:rPr>
                          <w:rFonts w:asciiTheme="majorHAnsi" w:hAnsiTheme="majorHAnsi"/>
                          <w:color w:val="595959" w:themeColor="text1" w:themeTint="A6"/>
                          <w:sz w:val="18"/>
                          <w:szCs w:val="18"/>
                          <w:lang w:val="es-US"/>
                        </w:rPr>
                        <w:t xml:space="preserve">Admisibilidad. </w:t>
                      </w:r>
                      <w:proofErr w:type="spellStart"/>
                      <w:r w:rsidR="00F2657C" w:rsidRPr="00032A42">
                        <w:rPr>
                          <w:rFonts w:asciiTheme="majorHAnsi" w:hAnsiTheme="majorHAnsi"/>
                          <w:color w:val="595959" w:themeColor="text1" w:themeTint="A6"/>
                          <w:sz w:val="18"/>
                        </w:rPr>
                        <w:t>Urbian</w:t>
                      </w:r>
                      <w:proofErr w:type="spellEnd"/>
                      <w:r w:rsidR="00F2657C" w:rsidRPr="00032A42">
                        <w:rPr>
                          <w:rFonts w:asciiTheme="majorHAnsi" w:hAnsiTheme="majorHAnsi"/>
                          <w:color w:val="595959" w:themeColor="text1" w:themeTint="A6"/>
                          <w:sz w:val="18"/>
                        </w:rPr>
                        <w:t xml:space="preserve"> Burleson, Jules Goddard, Kenneth </w:t>
                      </w:r>
                      <w:proofErr w:type="spellStart"/>
                      <w:r w:rsidR="00F2657C" w:rsidRPr="00032A42">
                        <w:rPr>
                          <w:rFonts w:asciiTheme="majorHAnsi" w:hAnsiTheme="majorHAnsi"/>
                          <w:color w:val="595959" w:themeColor="text1" w:themeTint="A6"/>
                          <w:sz w:val="18"/>
                        </w:rPr>
                        <w:t>Amzink</w:t>
                      </w:r>
                      <w:proofErr w:type="spellEnd"/>
                      <w:r w:rsidR="00F2657C" w:rsidRPr="00032A42">
                        <w:rPr>
                          <w:rFonts w:asciiTheme="majorHAnsi" w:hAnsiTheme="majorHAnsi"/>
                          <w:color w:val="595959" w:themeColor="text1" w:themeTint="A6"/>
                          <w:sz w:val="18"/>
                        </w:rPr>
                        <w:t xml:space="preserve"> and Errol </w:t>
                      </w:r>
                      <w:proofErr w:type="spellStart"/>
                      <w:r w:rsidR="00F2657C" w:rsidRPr="00032A42">
                        <w:rPr>
                          <w:rFonts w:asciiTheme="majorHAnsi" w:hAnsiTheme="majorHAnsi"/>
                          <w:color w:val="595959" w:themeColor="text1" w:themeTint="A6"/>
                          <w:sz w:val="18"/>
                        </w:rPr>
                        <w:t>Harryson</w:t>
                      </w:r>
                      <w:proofErr w:type="spellEnd"/>
                      <w:r w:rsidR="00F2657C" w:rsidRPr="003C32BC">
                        <w:rPr>
                          <w:rFonts w:asciiTheme="majorHAnsi" w:hAnsiTheme="majorHAnsi"/>
                          <w:color w:val="595959" w:themeColor="text1" w:themeTint="A6"/>
                          <w:sz w:val="18"/>
                        </w:rPr>
                        <w:t>.</w:t>
                      </w:r>
                      <w:r w:rsidRPr="00F2657C">
                        <w:rPr>
                          <w:rFonts w:asciiTheme="majorHAnsi" w:hAnsiTheme="majorHAnsi"/>
                          <w:color w:val="595959" w:themeColor="text1" w:themeTint="A6"/>
                          <w:sz w:val="18"/>
                          <w:szCs w:val="18"/>
                        </w:rPr>
                        <w:t xml:space="preserve"> </w:t>
                      </w:r>
                      <w:r w:rsidR="00F2657C">
                        <w:rPr>
                          <w:rFonts w:asciiTheme="majorHAnsi" w:hAnsiTheme="majorHAnsi"/>
                          <w:color w:val="595959" w:themeColor="text1" w:themeTint="A6"/>
                          <w:sz w:val="18"/>
                          <w:szCs w:val="18"/>
                          <w:lang w:val="es-ES_tradnl"/>
                        </w:rPr>
                        <w:t>Surinam</w:t>
                      </w:r>
                      <w:r w:rsidRPr="00890650">
                        <w:rPr>
                          <w:rFonts w:asciiTheme="majorHAnsi" w:hAnsiTheme="majorHAnsi"/>
                          <w:color w:val="595959" w:themeColor="text1" w:themeTint="A6"/>
                          <w:sz w:val="18"/>
                          <w:szCs w:val="18"/>
                          <w:lang w:val="es-ES_tradnl"/>
                        </w:rPr>
                        <w:t xml:space="preserve">. </w:t>
                      </w:r>
                      <w:r w:rsidR="00F2657C">
                        <w:rPr>
                          <w:rFonts w:asciiTheme="majorHAnsi" w:hAnsiTheme="majorHAnsi"/>
                          <w:color w:val="595959" w:themeColor="text1" w:themeTint="A6"/>
                          <w:sz w:val="18"/>
                          <w:szCs w:val="18"/>
                          <w:lang w:val="es-ES"/>
                        </w:rPr>
                        <w:t>6 de diciembre de 2019</w:t>
                      </w:r>
                      <w:r w:rsidRPr="007B05C4">
                        <w:rPr>
                          <w:rFonts w:asciiTheme="majorHAnsi" w:hAnsiTheme="majorHAnsi"/>
                          <w:color w:val="595959" w:themeColor="text1" w:themeTint="A6"/>
                          <w:sz w:val="18"/>
                          <w:szCs w:val="18"/>
                          <w:lang w:val="es-ES"/>
                        </w:rPr>
                        <w:t>.</w:t>
                      </w:r>
                    </w:p>
                  </w:txbxContent>
                </v:textbox>
              </v:shape>
            </w:pict>
          </mc:Fallback>
        </mc:AlternateContent>
      </w:r>
    </w:p>
    <w:p w14:paraId="23181C8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F0A47E5" w14:textId="44F37CE2"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53120" behindDoc="0" locked="0" layoutInCell="1" allowOverlap="1" wp14:anchorId="4012B702" wp14:editId="2F347E0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8654C2" w14:textId="77777777" w:rsidR="0099258D" w:rsidRPr="004B7EB6" w:rsidRDefault="0099258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2B702" id="Text Box 4" o:spid="_x0000_s1031" type="#_x0000_t202" style="position:absolute;left:0;text-align:left;margin-left:-21.45pt;margin-top:72.05pt;width:93pt;height:26.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1D8654C2" w14:textId="77777777" w:rsidR="0099258D" w:rsidRPr="004B7EB6" w:rsidRDefault="0099258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874FD85" w14:textId="09B86362" w:rsidR="0070697F" w:rsidRDefault="00D14CBD"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even" r:id="rId11"/>
          <w:footerReference w:type="default" r:id="rId12"/>
          <w:headerReference w:type="first" r:id="rId13"/>
          <w:footerReference w:type="first" r:id="rId14"/>
          <w:type w:val="oddPage"/>
          <w:pgSz w:w="12240" w:h="15840"/>
          <w:pgMar w:top="1440" w:right="1440" w:bottom="1440" w:left="1440" w:header="720" w:footer="720" w:gutter="0"/>
          <w:pgNumType w:start="0"/>
          <w:cols w:space="720"/>
          <w:titlePg/>
          <w:docGrid w:linePitch="326"/>
        </w:sectPr>
      </w:pPr>
      <w:r w:rsidRPr="00625030">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1DD412C6" wp14:editId="7D47C22A">
                <wp:simplePos x="0" y="0"/>
                <wp:positionH relativeFrom="column">
                  <wp:posOffset>-230970</wp:posOffset>
                </wp:positionH>
                <wp:positionV relativeFrom="paragraph">
                  <wp:posOffset>725587</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C9E9FD" w14:textId="77777777" w:rsidR="00D14CBD" w:rsidRPr="004B7EB6" w:rsidRDefault="00D14CBD" w:rsidP="00D14CBD">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412C6" id="Text Box 3" o:spid="_x0000_s1032" type="#_x0000_t202" style="position:absolute;left:0;text-align:left;margin-left:-18.2pt;margin-top:57.1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" filled="f" stroked="f" strokeweight=".5pt">
                <v:textbox>
                  <w:txbxContent>
                    <w:p w14:paraId="2FC9E9FD" w14:textId="77777777" w:rsidR="00D14CBD" w:rsidRPr="004B7EB6" w:rsidRDefault="00D14CBD" w:rsidP="00D14CBD">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0045247F">
        <w:rPr>
          <w:rFonts w:asciiTheme="majorHAnsi" w:hAnsiTheme="majorHAnsi"/>
          <w:noProof/>
          <w:sz w:val="18"/>
          <w:szCs w:val="22"/>
        </w:rPr>
        <mc:AlternateContent>
          <mc:Choice Requires="wps">
            <w:drawing>
              <wp:anchor distT="0" distB="0" distL="114300" distR="114300" simplePos="0" relativeHeight="251655680" behindDoc="0" locked="0" layoutInCell="1" allowOverlap="1" wp14:anchorId="43E559D9" wp14:editId="59B4FD3E">
                <wp:simplePos x="0" y="0"/>
                <wp:positionH relativeFrom="column">
                  <wp:posOffset>1330658</wp:posOffset>
                </wp:positionH>
                <wp:positionV relativeFrom="paragraph">
                  <wp:posOffset>489651</wp:posOffset>
                </wp:positionV>
                <wp:extent cx="2286000"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2286000"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EAAA1D" w14:textId="4961D543" w:rsidR="0099258D" w:rsidRPr="00D72DC6" w:rsidRDefault="0099258D" w:rsidP="00F02AD1">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559D9" id="Text Box 9" o:spid="_x0000_s1033" type="#_x0000_t202" style="position:absolute;left:0;text-align:left;margin-left:104.8pt;margin-top:38.55pt;width:180pt;height:44.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" fillcolor="white [3201]" stroked="f" strokeweight=".5pt">
                <v:textbox>
                  <w:txbxContent>
                    <w:p w14:paraId="0AEAAA1D" w14:textId="4961D543" w:rsidR="0099258D" w:rsidRPr="00D72DC6" w:rsidRDefault="0099258D" w:rsidP="00F02AD1">
                      <w:pPr>
                        <w:rPr>
                          <w:color w:val="FFFFFF" w:themeColor="background1"/>
                          <w14:textFill>
                            <w14:noFill/>
                          </w14:textFill>
                        </w:rPr>
                      </w:pPr>
                    </w:p>
                  </w:txbxContent>
                </v:textbox>
              </v:shape>
            </w:pict>
          </mc:Fallback>
        </mc:AlternateContent>
      </w:r>
      <w:r w:rsidR="0045247F" w:rsidRPr="00D72DC6">
        <w:rPr>
          <w:noProof/>
          <w:color w:val="FFFFFF" w:themeColor="background1"/>
          <w14:textFill>
            <w14:noFill/>
          </w14:textFill>
        </w:rPr>
        <w:drawing>
          <wp:anchor distT="0" distB="0" distL="114300" distR="114300" simplePos="0" relativeHeight="251683840" behindDoc="0" locked="0" layoutInCell="1" allowOverlap="1" wp14:anchorId="1E3925C3" wp14:editId="0F5D3F10">
            <wp:simplePos x="0" y="0"/>
            <wp:positionH relativeFrom="column">
              <wp:posOffset>1466850</wp:posOffset>
            </wp:positionH>
            <wp:positionV relativeFrom="paragraph">
              <wp:posOffset>558165</wp:posOffset>
            </wp:positionV>
            <wp:extent cx="1515600" cy="390950"/>
            <wp:effectExtent l="0" t="0" r="0" b="9525"/>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5" cstate="print">
                      <a:extLst>
                        <a:ext uri="{28A0092B-C50C-407E-A947-70E740481C1C}">
                          <a14:useLocalDpi xmlns:a14="http://schemas.microsoft.com/office/drawing/2010/main"/>
                        </a:ext>
                      </a:extLst>
                    </a:blip>
                    <a:stretch>
                      <a:fillRect/>
                    </a:stretch>
                  </pic:blipFill>
                  <pic:spPr bwMode="auto">
                    <a:xfrm>
                      <a:off x="0" y="0"/>
                      <a:ext cx="1515600" cy="390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2ED5B9"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56" w:type="dxa"/>
        <w:tblInd w:w="108" w:type="dxa"/>
        <w:tblLook w:val="04A0" w:firstRow="1" w:lastRow="0" w:firstColumn="1" w:lastColumn="0" w:noHBand="0" w:noVBand="1"/>
      </w:tblPr>
      <w:tblGrid>
        <w:gridCol w:w="3544"/>
        <w:gridCol w:w="5812"/>
      </w:tblGrid>
      <w:tr w:rsidR="00485724" w:rsidRPr="009629C7" w14:paraId="14353E3A" w14:textId="77777777" w:rsidTr="00485724">
        <w:tc>
          <w:tcPr>
            <w:tcW w:w="3544" w:type="dxa"/>
            <w:shd w:val="clear" w:color="auto" w:fill="386294"/>
            <w:vAlign w:val="center"/>
          </w:tcPr>
          <w:p w14:paraId="0EC9DE2C" w14:textId="0CB5568C" w:rsidR="00485724" w:rsidRPr="009629C7" w:rsidRDefault="00485724" w:rsidP="00485724">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Parte peticionaria</w:t>
            </w:r>
          </w:p>
        </w:tc>
        <w:tc>
          <w:tcPr>
            <w:tcW w:w="5812" w:type="dxa"/>
            <w:vAlign w:val="center"/>
          </w:tcPr>
          <w:p w14:paraId="73F854E4" w14:textId="6D0AD7D1" w:rsidR="00485724" w:rsidRPr="00802833" w:rsidRDefault="00485724" w:rsidP="00485724">
            <w:pPr>
              <w:jc w:val="both"/>
              <w:rPr>
                <w:rFonts w:ascii="Cambria" w:hAnsi="Cambria"/>
                <w:bCs/>
                <w:sz w:val="20"/>
                <w:szCs w:val="20"/>
                <w:lang w:val="es-ES"/>
              </w:rPr>
            </w:pPr>
            <w:r>
              <w:rPr>
                <w:rFonts w:ascii="Cambria" w:hAnsi="Cambria"/>
                <w:bCs/>
                <w:sz w:val="19"/>
                <w:szCs w:val="19"/>
              </w:rPr>
              <w:t>Robert Karel Hewitt</w:t>
            </w:r>
          </w:p>
        </w:tc>
      </w:tr>
      <w:tr w:rsidR="00485724" w:rsidRPr="00171A7E" w14:paraId="2355CD53" w14:textId="77777777" w:rsidTr="00485724">
        <w:tc>
          <w:tcPr>
            <w:tcW w:w="3544" w:type="dxa"/>
            <w:shd w:val="clear" w:color="auto" w:fill="386294"/>
            <w:vAlign w:val="center"/>
          </w:tcPr>
          <w:p w14:paraId="59A0E4B3" w14:textId="681B2534" w:rsidR="00485724" w:rsidRPr="009629C7" w:rsidRDefault="00184E9F" w:rsidP="00485724">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FD4269610B8647E98983C315A0E43777"/>
                </w:placeholder>
                <w:dropDownList>
                  <w:listItem w:value="Choose an item."/>
                  <w:listItem w:displayText="Presunta víctima" w:value="Presunta víctima"/>
                  <w:listItem w:displayText="Presuntas víctimas" w:value="Presuntas víctimas"/>
                </w:dropDownList>
              </w:sdtPr>
              <w:sdtEndPr/>
              <w:sdtContent>
                <w:r w:rsidR="00485724">
                  <w:rPr>
                    <w:rFonts w:ascii="Cambria" w:hAnsi="Cambria"/>
                    <w:bCs/>
                    <w:color w:val="FFFFFF" w:themeColor="background1"/>
                    <w:sz w:val="19"/>
                    <w:szCs w:val="19"/>
                    <w:lang w:val="es-ES"/>
                  </w:rPr>
                  <w:t>Presuntas víctimas</w:t>
                </w:r>
              </w:sdtContent>
            </w:sdt>
          </w:p>
        </w:tc>
        <w:tc>
          <w:tcPr>
            <w:tcW w:w="5812" w:type="dxa"/>
            <w:vAlign w:val="center"/>
          </w:tcPr>
          <w:p w14:paraId="076ED2CA" w14:textId="3E78C641" w:rsidR="00485724" w:rsidRDefault="00485724" w:rsidP="00485724">
            <w:pPr>
              <w:jc w:val="both"/>
              <w:rPr>
                <w:rFonts w:ascii="Cambria" w:hAnsi="Cambria"/>
                <w:bCs/>
                <w:sz w:val="20"/>
                <w:szCs w:val="20"/>
              </w:rPr>
            </w:pPr>
            <w:r w:rsidRPr="00C77DE7">
              <w:rPr>
                <w:rFonts w:ascii="Cambria" w:hAnsi="Cambria"/>
                <w:bCs/>
                <w:sz w:val="19"/>
                <w:szCs w:val="19"/>
              </w:rPr>
              <w:t xml:space="preserve">Urbian Burleson, Jules Goddard, Kenneth Amzink </w:t>
            </w:r>
            <w:r w:rsidR="00DA0AC1">
              <w:rPr>
                <w:rFonts w:ascii="Cambria" w:hAnsi="Cambria"/>
                <w:bCs/>
                <w:sz w:val="19"/>
                <w:szCs w:val="19"/>
              </w:rPr>
              <w:t>y</w:t>
            </w:r>
            <w:r w:rsidRPr="00C77DE7">
              <w:rPr>
                <w:rFonts w:ascii="Cambria" w:hAnsi="Cambria"/>
                <w:bCs/>
                <w:sz w:val="19"/>
                <w:szCs w:val="19"/>
              </w:rPr>
              <w:t xml:space="preserve"> Errol Harryson</w:t>
            </w:r>
          </w:p>
        </w:tc>
      </w:tr>
      <w:tr w:rsidR="00485724" w14:paraId="6B9385E9" w14:textId="77777777" w:rsidTr="00485724">
        <w:tc>
          <w:tcPr>
            <w:tcW w:w="3544" w:type="dxa"/>
            <w:shd w:val="clear" w:color="auto" w:fill="386294"/>
            <w:vAlign w:val="center"/>
          </w:tcPr>
          <w:p w14:paraId="2DB2C085" w14:textId="7CA93E29" w:rsidR="00485724" w:rsidRPr="009629C7" w:rsidRDefault="00485724" w:rsidP="00485724">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Estado denunciado</w:t>
            </w:r>
          </w:p>
        </w:tc>
        <w:tc>
          <w:tcPr>
            <w:tcW w:w="5812" w:type="dxa"/>
            <w:vAlign w:val="center"/>
          </w:tcPr>
          <w:p w14:paraId="2DC6B931" w14:textId="67F8E2B9" w:rsidR="00485724" w:rsidRDefault="00485724" w:rsidP="00485724">
            <w:pPr>
              <w:jc w:val="both"/>
              <w:rPr>
                <w:rFonts w:ascii="Cambria" w:hAnsi="Cambria"/>
                <w:bCs/>
                <w:sz w:val="20"/>
                <w:szCs w:val="20"/>
              </w:rPr>
            </w:pPr>
            <w:r>
              <w:rPr>
                <w:rFonts w:ascii="Cambria" w:hAnsi="Cambria"/>
                <w:bCs/>
                <w:sz w:val="19"/>
                <w:szCs w:val="19"/>
              </w:rPr>
              <w:t>Surinam</w:t>
            </w:r>
          </w:p>
        </w:tc>
      </w:tr>
      <w:tr w:rsidR="00485724" w:rsidRPr="00A9469E" w14:paraId="2485421D" w14:textId="77777777" w:rsidTr="00485724">
        <w:tc>
          <w:tcPr>
            <w:tcW w:w="3544" w:type="dxa"/>
            <w:shd w:val="clear" w:color="auto" w:fill="386294"/>
            <w:vAlign w:val="center"/>
          </w:tcPr>
          <w:p w14:paraId="158523DF" w14:textId="03C2948C" w:rsidR="00485724" w:rsidRPr="009629C7" w:rsidRDefault="00485724" w:rsidP="00485724">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Derechos invocados</w:t>
            </w:r>
          </w:p>
        </w:tc>
        <w:tc>
          <w:tcPr>
            <w:tcW w:w="5812" w:type="dxa"/>
            <w:vAlign w:val="center"/>
          </w:tcPr>
          <w:p w14:paraId="1EF3180A" w14:textId="45C14528" w:rsidR="00485724" w:rsidRPr="00485724" w:rsidRDefault="00485724" w:rsidP="00485724">
            <w:pPr>
              <w:jc w:val="both"/>
              <w:rPr>
                <w:rFonts w:ascii="Cambria" w:hAnsi="Cambria"/>
                <w:bCs/>
                <w:sz w:val="20"/>
                <w:szCs w:val="20"/>
                <w:lang w:val="es-ES"/>
              </w:rPr>
            </w:pPr>
            <w:r w:rsidRPr="00485724">
              <w:rPr>
                <w:rFonts w:ascii="Cambria" w:hAnsi="Cambria"/>
                <w:bCs/>
                <w:sz w:val="19"/>
                <w:szCs w:val="19"/>
                <w:lang w:val="es-ES"/>
              </w:rPr>
              <w:t>Artículos 4, 8 y 27 (1) y (2) de la Convención Americana sobre Derechos Humanos</w:t>
            </w:r>
            <w:r>
              <w:rPr>
                <w:rStyle w:val="FootnoteReference"/>
                <w:rFonts w:ascii="Cambria" w:hAnsi="Cambria"/>
                <w:bCs/>
                <w:sz w:val="19"/>
                <w:szCs w:val="19"/>
              </w:rPr>
              <w:footnoteReference w:id="2"/>
            </w:r>
          </w:p>
        </w:tc>
      </w:tr>
    </w:tbl>
    <w:p w14:paraId="274617D8"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56" w:type="dxa"/>
        <w:tblInd w:w="108" w:type="dxa"/>
        <w:tblLook w:val="04A0" w:firstRow="1" w:lastRow="0" w:firstColumn="1" w:lastColumn="0" w:noHBand="0" w:noVBand="1"/>
      </w:tblPr>
      <w:tblGrid>
        <w:gridCol w:w="3544"/>
        <w:gridCol w:w="5812"/>
      </w:tblGrid>
      <w:tr w:rsidR="009629C7" w:rsidRPr="00960625" w14:paraId="78A941EA" w14:textId="77777777" w:rsidTr="00DA0AC1">
        <w:tc>
          <w:tcPr>
            <w:tcW w:w="3544" w:type="dxa"/>
            <w:shd w:val="clear" w:color="auto" w:fill="386294"/>
            <w:vAlign w:val="center"/>
          </w:tcPr>
          <w:p w14:paraId="470D93FB" w14:textId="4BD55022" w:rsidR="009629C7" w:rsidRPr="009629C7" w:rsidRDefault="009629C7" w:rsidP="00802833">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 xml:space="preserve">Recepción </w:t>
            </w:r>
            <w:r w:rsidRPr="009629C7">
              <w:rPr>
                <w:rFonts w:ascii="Cambria" w:hAnsi="Cambria"/>
                <w:bCs/>
                <w:color w:val="FFFFFF" w:themeColor="background1"/>
                <w:sz w:val="19"/>
                <w:szCs w:val="19"/>
                <w:lang w:val="es-ES"/>
              </w:rPr>
              <w:t>de la petición</w:t>
            </w:r>
          </w:p>
        </w:tc>
        <w:tc>
          <w:tcPr>
            <w:tcW w:w="5812" w:type="dxa"/>
            <w:vAlign w:val="center"/>
          </w:tcPr>
          <w:p w14:paraId="1C0FBE93" w14:textId="2E8A08B4" w:rsidR="009629C7" w:rsidRPr="00DA0AC1" w:rsidRDefault="00DA0AC1" w:rsidP="00802833">
            <w:pPr>
              <w:jc w:val="both"/>
              <w:rPr>
                <w:rFonts w:ascii="Cambria" w:hAnsi="Cambria"/>
                <w:bCs/>
                <w:sz w:val="19"/>
                <w:szCs w:val="19"/>
                <w:lang w:val="es-ES"/>
              </w:rPr>
            </w:pPr>
            <w:r w:rsidRPr="00DA0AC1">
              <w:rPr>
                <w:rFonts w:ascii="Cambria" w:hAnsi="Cambria"/>
                <w:bCs/>
                <w:sz w:val="19"/>
                <w:szCs w:val="19"/>
                <w:lang w:val="es-ES"/>
              </w:rPr>
              <w:t>26 de julio de 2013</w:t>
            </w:r>
          </w:p>
        </w:tc>
      </w:tr>
      <w:tr w:rsidR="009629C7" w:rsidRPr="00A9469E" w14:paraId="33F566F4" w14:textId="77777777" w:rsidTr="00DA0AC1">
        <w:tc>
          <w:tcPr>
            <w:tcW w:w="3544" w:type="dxa"/>
            <w:shd w:val="clear" w:color="auto" w:fill="386294"/>
            <w:vAlign w:val="center"/>
          </w:tcPr>
          <w:p w14:paraId="1052A61F" w14:textId="253FFD1F" w:rsidR="009629C7" w:rsidRPr="009629C7" w:rsidRDefault="009629C7"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Información adicional recibida durante</w:t>
            </w:r>
            <w:r w:rsidR="00DA0AC1">
              <w:rPr>
                <w:rFonts w:ascii="Cambria" w:hAnsi="Cambria"/>
                <w:bCs/>
                <w:color w:val="FFFFFF" w:themeColor="background1"/>
                <w:sz w:val="19"/>
                <w:szCs w:val="19"/>
                <w:lang w:val="es-ES"/>
              </w:rPr>
              <w:t xml:space="preserve"> l</w:t>
            </w:r>
            <w:r w:rsidRPr="009629C7">
              <w:rPr>
                <w:rFonts w:ascii="Cambria" w:hAnsi="Cambria"/>
                <w:bCs/>
                <w:color w:val="FFFFFF" w:themeColor="background1"/>
                <w:sz w:val="19"/>
                <w:szCs w:val="19"/>
                <w:lang w:val="es-ES"/>
              </w:rPr>
              <w:t>a etapa de estudio</w:t>
            </w:r>
          </w:p>
        </w:tc>
        <w:tc>
          <w:tcPr>
            <w:tcW w:w="5812" w:type="dxa"/>
            <w:vAlign w:val="center"/>
          </w:tcPr>
          <w:p w14:paraId="08E4BF96" w14:textId="34BA16C9" w:rsidR="00DA0AC1" w:rsidRPr="00DA0AC1" w:rsidRDefault="00DA0AC1" w:rsidP="00DA0AC1">
            <w:pPr>
              <w:jc w:val="both"/>
              <w:rPr>
                <w:rFonts w:ascii="Cambria" w:hAnsi="Cambria"/>
                <w:sz w:val="19"/>
                <w:szCs w:val="19"/>
                <w:lang w:val="es"/>
              </w:rPr>
            </w:pPr>
            <w:r w:rsidRPr="00B531CB">
              <w:rPr>
                <w:rFonts w:ascii="Cambria" w:hAnsi="Cambria"/>
                <w:bCs/>
                <w:sz w:val="19"/>
                <w:szCs w:val="19"/>
                <w:lang w:val="es-ES"/>
              </w:rPr>
              <w:t>28</w:t>
            </w:r>
            <w:r w:rsidRPr="00DA0AC1">
              <w:rPr>
                <w:rFonts w:ascii="Cambria" w:hAnsi="Cambria"/>
                <w:sz w:val="19"/>
                <w:szCs w:val="19"/>
                <w:lang w:val="es"/>
              </w:rPr>
              <w:t xml:space="preserve"> de octubre de 2013 y 9 de </w:t>
            </w:r>
            <w:r w:rsidRPr="00B531CB">
              <w:rPr>
                <w:rFonts w:ascii="Cambria" w:hAnsi="Cambria"/>
                <w:bCs/>
                <w:sz w:val="19"/>
                <w:szCs w:val="19"/>
                <w:lang w:val="es-ES"/>
              </w:rPr>
              <w:t>febrero</w:t>
            </w:r>
            <w:r w:rsidRPr="00DA0AC1">
              <w:rPr>
                <w:rFonts w:ascii="Cambria" w:hAnsi="Cambria"/>
                <w:sz w:val="19"/>
                <w:szCs w:val="19"/>
                <w:lang w:val="es"/>
              </w:rPr>
              <w:t xml:space="preserve"> de 2016</w:t>
            </w:r>
          </w:p>
        </w:tc>
      </w:tr>
      <w:tr w:rsidR="009629C7" w:rsidRPr="00802833" w14:paraId="4C078278" w14:textId="77777777" w:rsidTr="00DA0AC1">
        <w:tc>
          <w:tcPr>
            <w:tcW w:w="3544" w:type="dxa"/>
            <w:shd w:val="clear" w:color="auto" w:fill="386294"/>
            <w:vAlign w:val="center"/>
          </w:tcPr>
          <w:p w14:paraId="687B66A5" w14:textId="7667493E" w:rsidR="009629C7" w:rsidRPr="009629C7" w:rsidRDefault="009629C7"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Notificación de la petición</w:t>
            </w:r>
          </w:p>
        </w:tc>
        <w:tc>
          <w:tcPr>
            <w:tcW w:w="5812" w:type="dxa"/>
            <w:vAlign w:val="center"/>
          </w:tcPr>
          <w:p w14:paraId="0C419769" w14:textId="2B31014B" w:rsidR="009629C7" w:rsidRPr="00DA0AC1" w:rsidRDefault="00DA0AC1" w:rsidP="00802833">
            <w:pPr>
              <w:jc w:val="both"/>
              <w:rPr>
                <w:rFonts w:ascii="Cambria" w:hAnsi="Cambria"/>
                <w:sz w:val="19"/>
                <w:szCs w:val="19"/>
                <w:lang w:val="es"/>
              </w:rPr>
            </w:pPr>
            <w:r w:rsidRPr="00DA0AC1">
              <w:rPr>
                <w:rFonts w:ascii="Cambria" w:hAnsi="Cambria"/>
                <w:sz w:val="19"/>
                <w:szCs w:val="19"/>
                <w:lang w:val="es"/>
              </w:rPr>
              <w:t xml:space="preserve">26 de febrero </w:t>
            </w:r>
            <w:r>
              <w:rPr>
                <w:rFonts w:ascii="Cambria" w:hAnsi="Cambria"/>
                <w:sz w:val="19"/>
                <w:szCs w:val="19"/>
                <w:lang w:val="es"/>
              </w:rPr>
              <w:t>de 2016</w:t>
            </w:r>
          </w:p>
        </w:tc>
      </w:tr>
      <w:tr w:rsidR="009629C7" w:rsidRPr="004A6A54" w14:paraId="13AC9F25" w14:textId="77777777" w:rsidTr="00DA0AC1">
        <w:tc>
          <w:tcPr>
            <w:tcW w:w="3544" w:type="dxa"/>
            <w:shd w:val="clear" w:color="auto" w:fill="386294"/>
            <w:vAlign w:val="center"/>
          </w:tcPr>
          <w:p w14:paraId="57251DBE" w14:textId="7371D139" w:rsidR="009629C7" w:rsidRPr="009629C7" w:rsidRDefault="009629C7"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Primera respuesta del Estado</w:t>
            </w:r>
          </w:p>
        </w:tc>
        <w:tc>
          <w:tcPr>
            <w:tcW w:w="5812" w:type="dxa"/>
            <w:vAlign w:val="center"/>
          </w:tcPr>
          <w:p w14:paraId="5FF39E31" w14:textId="503B8F5F" w:rsidR="009629C7" w:rsidRPr="00DA0AC1" w:rsidRDefault="00DA0AC1" w:rsidP="00802833">
            <w:pPr>
              <w:jc w:val="both"/>
              <w:rPr>
                <w:rFonts w:ascii="Cambria" w:hAnsi="Cambria"/>
                <w:sz w:val="19"/>
                <w:szCs w:val="19"/>
                <w:lang w:val="es"/>
              </w:rPr>
            </w:pPr>
            <w:r>
              <w:rPr>
                <w:rFonts w:ascii="Cambria" w:hAnsi="Cambria"/>
                <w:sz w:val="19"/>
                <w:szCs w:val="19"/>
                <w:lang w:val="es"/>
              </w:rPr>
              <w:t>26 de diciembre de 2017</w:t>
            </w:r>
          </w:p>
        </w:tc>
      </w:tr>
      <w:tr w:rsidR="009629C7" w:rsidRPr="00A9469E" w14:paraId="72BEADE5" w14:textId="77777777" w:rsidTr="00DA0AC1">
        <w:tc>
          <w:tcPr>
            <w:tcW w:w="3544" w:type="dxa"/>
            <w:shd w:val="clear" w:color="auto" w:fill="386294"/>
            <w:vAlign w:val="center"/>
          </w:tcPr>
          <w:p w14:paraId="3B4BFBD8" w14:textId="77777777" w:rsidR="009629C7" w:rsidRDefault="009629C7"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 xml:space="preserve">Observaciones adicionales de la </w:t>
            </w:r>
          </w:p>
          <w:p w14:paraId="6062177F" w14:textId="345EFE3B" w:rsidR="009629C7" w:rsidRPr="009629C7" w:rsidRDefault="009629C7"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parte peticionaria</w:t>
            </w:r>
          </w:p>
        </w:tc>
        <w:tc>
          <w:tcPr>
            <w:tcW w:w="5812" w:type="dxa"/>
            <w:vAlign w:val="center"/>
          </w:tcPr>
          <w:p w14:paraId="09D2C506" w14:textId="23AACAE6" w:rsidR="009629C7" w:rsidRPr="00DA0AC1" w:rsidRDefault="00DA0AC1" w:rsidP="00802833">
            <w:pPr>
              <w:jc w:val="both"/>
              <w:rPr>
                <w:rFonts w:ascii="Cambria" w:hAnsi="Cambria"/>
                <w:sz w:val="19"/>
                <w:szCs w:val="19"/>
                <w:lang w:val="es"/>
              </w:rPr>
            </w:pPr>
            <w:r>
              <w:rPr>
                <w:rFonts w:ascii="Cambria" w:hAnsi="Cambria"/>
                <w:sz w:val="19"/>
                <w:szCs w:val="19"/>
                <w:lang w:val="es"/>
              </w:rPr>
              <w:t>4 de enero y 11 de agosto de 2018</w:t>
            </w:r>
          </w:p>
        </w:tc>
      </w:tr>
    </w:tbl>
    <w:p w14:paraId="18221797" w14:textId="0789F5CE" w:rsidR="003239B8" w:rsidRPr="003239B8" w:rsidRDefault="003239B8" w:rsidP="00CE2A41">
      <w:pPr>
        <w:tabs>
          <w:tab w:val="left" w:pos="720"/>
          <w:tab w:val="left" w:pos="1440"/>
          <w:tab w:val="left" w:pos="2160"/>
          <w:tab w:val="left" w:pos="2880"/>
          <w:tab w:val="left" w:pos="4500"/>
        </w:tabs>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60" w:type="dxa"/>
        <w:tblInd w:w="108" w:type="dxa"/>
        <w:tblLook w:val="04A0" w:firstRow="1" w:lastRow="0" w:firstColumn="1" w:lastColumn="0" w:noHBand="0" w:noVBand="1"/>
      </w:tblPr>
      <w:tblGrid>
        <w:gridCol w:w="3600"/>
        <w:gridCol w:w="5760"/>
      </w:tblGrid>
      <w:tr w:rsidR="00802833" w:rsidRPr="00556284" w14:paraId="716354D3" w14:textId="77777777" w:rsidTr="00FA35FE">
        <w:trPr>
          <w:cantSplit/>
        </w:trPr>
        <w:tc>
          <w:tcPr>
            <w:tcW w:w="3600" w:type="dxa"/>
            <w:shd w:val="clear" w:color="auto" w:fill="386294"/>
            <w:vAlign w:val="center"/>
          </w:tcPr>
          <w:p w14:paraId="6EEFB6D2" w14:textId="4CA13AE7" w:rsidR="00802833" w:rsidRPr="00556284" w:rsidRDefault="00802833" w:rsidP="00802833">
            <w:pPr>
              <w:jc w:val="center"/>
              <w:rPr>
                <w:rFonts w:ascii="Cambria" w:hAnsi="Cambria"/>
                <w:bCs/>
                <w:i/>
                <w:iCs/>
                <w:color w:val="FFFFFF" w:themeColor="background1"/>
                <w:sz w:val="19"/>
                <w:szCs w:val="19"/>
                <w:lang w:val="es-ES"/>
              </w:rPr>
            </w:pPr>
            <w:r w:rsidRPr="00556284">
              <w:rPr>
                <w:rFonts w:ascii="Cambria" w:hAnsi="Cambria"/>
                <w:bCs/>
                <w:i/>
                <w:iCs/>
                <w:color w:val="FFFFFF" w:themeColor="background1"/>
                <w:sz w:val="19"/>
                <w:szCs w:val="19"/>
                <w:lang w:val="es-ES"/>
              </w:rPr>
              <w:t>Ratione personae</w:t>
            </w:r>
          </w:p>
        </w:tc>
        <w:tc>
          <w:tcPr>
            <w:tcW w:w="5760" w:type="dxa"/>
            <w:vAlign w:val="center"/>
          </w:tcPr>
          <w:p w14:paraId="5E836BC1" w14:textId="282A5AA1" w:rsidR="00802833" w:rsidRPr="00556284" w:rsidRDefault="00FA35FE" w:rsidP="00802833">
            <w:pPr>
              <w:rPr>
                <w:rFonts w:asciiTheme="majorHAnsi" w:hAnsiTheme="majorHAnsi"/>
                <w:bCs/>
                <w:sz w:val="19"/>
                <w:szCs w:val="19"/>
              </w:rPr>
            </w:pPr>
            <w:r w:rsidRPr="00556284">
              <w:rPr>
                <w:rFonts w:asciiTheme="majorHAnsi" w:hAnsiTheme="majorHAnsi"/>
                <w:bCs/>
                <w:sz w:val="19"/>
                <w:szCs w:val="19"/>
              </w:rPr>
              <w:t>Sí</w:t>
            </w:r>
          </w:p>
        </w:tc>
      </w:tr>
      <w:tr w:rsidR="00802833" w:rsidRPr="00556284" w14:paraId="139DBF83" w14:textId="77777777" w:rsidTr="00FA35FE">
        <w:trPr>
          <w:cantSplit/>
        </w:trPr>
        <w:tc>
          <w:tcPr>
            <w:tcW w:w="3600" w:type="dxa"/>
            <w:shd w:val="clear" w:color="auto" w:fill="386294"/>
            <w:vAlign w:val="center"/>
          </w:tcPr>
          <w:p w14:paraId="0ABA245B" w14:textId="7CD6845F" w:rsidR="00802833" w:rsidRPr="00556284" w:rsidRDefault="00802833" w:rsidP="00802833">
            <w:pPr>
              <w:jc w:val="center"/>
              <w:rPr>
                <w:rFonts w:ascii="Cambria" w:hAnsi="Cambria"/>
                <w:bCs/>
                <w:i/>
                <w:iCs/>
                <w:color w:val="FFFFFF" w:themeColor="background1"/>
                <w:sz w:val="19"/>
                <w:szCs w:val="19"/>
                <w:lang w:val="es-ES"/>
              </w:rPr>
            </w:pPr>
            <w:r w:rsidRPr="00556284">
              <w:rPr>
                <w:rFonts w:ascii="Cambria" w:hAnsi="Cambria"/>
                <w:bCs/>
                <w:i/>
                <w:iCs/>
                <w:color w:val="FFFFFF" w:themeColor="background1"/>
                <w:sz w:val="19"/>
                <w:szCs w:val="19"/>
                <w:lang w:val="es-ES"/>
              </w:rPr>
              <w:t>Ratione loci</w:t>
            </w:r>
          </w:p>
        </w:tc>
        <w:tc>
          <w:tcPr>
            <w:tcW w:w="5760" w:type="dxa"/>
            <w:vAlign w:val="center"/>
          </w:tcPr>
          <w:p w14:paraId="41226443" w14:textId="66573B35" w:rsidR="00802833" w:rsidRPr="00556284" w:rsidRDefault="00FA35FE" w:rsidP="00802833">
            <w:pPr>
              <w:rPr>
                <w:rFonts w:asciiTheme="majorHAnsi" w:hAnsiTheme="majorHAnsi"/>
                <w:bCs/>
                <w:sz w:val="19"/>
                <w:szCs w:val="19"/>
              </w:rPr>
            </w:pPr>
            <w:r w:rsidRPr="00556284">
              <w:rPr>
                <w:rFonts w:asciiTheme="majorHAnsi" w:hAnsiTheme="majorHAnsi"/>
                <w:bCs/>
                <w:sz w:val="19"/>
                <w:szCs w:val="19"/>
              </w:rPr>
              <w:t>Sí</w:t>
            </w:r>
          </w:p>
        </w:tc>
      </w:tr>
      <w:tr w:rsidR="00802833" w:rsidRPr="00556284" w14:paraId="77BF1F3F" w14:textId="77777777" w:rsidTr="00FA35FE">
        <w:trPr>
          <w:cantSplit/>
        </w:trPr>
        <w:tc>
          <w:tcPr>
            <w:tcW w:w="3600" w:type="dxa"/>
            <w:shd w:val="clear" w:color="auto" w:fill="386294"/>
            <w:vAlign w:val="center"/>
          </w:tcPr>
          <w:p w14:paraId="25C8AFD3" w14:textId="22C50ED3" w:rsidR="00802833" w:rsidRPr="00556284" w:rsidRDefault="00802833" w:rsidP="00802833">
            <w:pPr>
              <w:jc w:val="center"/>
              <w:rPr>
                <w:rFonts w:ascii="Cambria" w:hAnsi="Cambria"/>
                <w:bCs/>
                <w:i/>
                <w:iCs/>
                <w:color w:val="FFFFFF" w:themeColor="background1"/>
                <w:sz w:val="19"/>
                <w:szCs w:val="19"/>
                <w:lang w:val="es-ES"/>
              </w:rPr>
            </w:pPr>
            <w:r w:rsidRPr="00556284">
              <w:rPr>
                <w:rFonts w:ascii="Cambria" w:hAnsi="Cambria"/>
                <w:bCs/>
                <w:i/>
                <w:iCs/>
                <w:color w:val="FFFFFF" w:themeColor="background1"/>
                <w:sz w:val="19"/>
                <w:szCs w:val="19"/>
                <w:lang w:val="es-ES"/>
              </w:rPr>
              <w:t>Ratione temporis</w:t>
            </w:r>
          </w:p>
        </w:tc>
        <w:tc>
          <w:tcPr>
            <w:tcW w:w="5760" w:type="dxa"/>
            <w:vAlign w:val="center"/>
          </w:tcPr>
          <w:p w14:paraId="7E7832B4" w14:textId="4E6D7526" w:rsidR="00802833" w:rsidRPr="00556284" w:rsidRDefault="00FA35FE" w:rsidP="00802833">
            <w:pPr>
              <w:rPr>
                <w:rFonts w:asciiTheme="majorHAnsi" w:hAnsiTheme="majorHAnsi"/>
                <w:bCs/>
                <w:sz w:val="19"/>
                <w:szCs w:val="19"/>
              </w:rPr>
            </w:pPr>
            <w:r w:rsidRPr="00556284">
              <w:rPr>
                <w:rFonts w:asciiTheme="majorHAnsi" w:hAnsiTheme="majorHAnsi"/>
                <w:bCs/>
                <w:sz w:val="19"/>
                <w:szCs w:val="19"/>
              </w:rPr>
              <w:t>Sí</w:t>
            </w:r>
          </w:p>
        </w:tc>
      </w:tr>
      <w:tr w:rsidR="00802833" w:rsidRPr="00A9469E" w14:paraId="0FFDD8DB" w14:textId="77777777" w:rsidTr="00FA35FE">
        <w:trPr>
          <w:cantSplit/>
        </w:trPr>
        <w:tc>
          <w:tcPr>
            <w:tcW w:w="3600" w:type="dxa"/>
            <w:shd w:val="clear" w:color="auto" w:fill="386294"/>
            <w:vAlign w:val="center"/>
          </w:tcPr>
          <w:p w14:paraId="7A1EA5A0" w14:textId="1C41C8E7" w:rsidR="00802833" w:rsidRPr="00556284" w:rsidRDefault="00802833" w:rsidP="00802833">
            <w:pPr>
              <w:jc w:val="center"/>
              <w:rPr>
                <w:rFonts w:ascii="Cambria" w:hAnsi="Cambria"/>
                <w:bCs/>
                <w:i/>
                <w:iCs/>
                <w:color w:val="FFFFFF" w:themeColor="background1"/>
                <w:sz w:val="19"/>
                <w:szCs w:val="19"/>
                <w:lang w:val="es-ES"/>
              </w:rPr>
            </w:pPr>
            <w:r w:rsidRPr="00556284">
              <w:rPr>
                <w:rFonts w:ascii="Cambria" w:hAnsi="Cambria"/>
                <w:bCs/>
                <w:i/>
                <w:iCs/>
                <w:color w:val="FFFFFF" w:themeColor="background1"/>
                <w:sz w:val="19"/>
                <w:szCs w:val="19"/>
                <w:lang w:val="es-ES"/>
              </w:rPr>
              <w:t>Ratione materiae</w:t>
            </w:r>
          </w:p>
        </w:tc>
        <w:tc>
          <w:tcPr>
            <w:tcW w:w="5760" w:type="dxa"/>
            <w:vAlign w:val="center"/>
          </w:tcPr>
          <w:p w14:paraId="3EE84FF7" w14:textId="320785FE" w:rsidR="00802833" w:rsidRPr="00556284" w:rsidRDefault="00FA35FE" w:rsidP="00FA35FE">
            <w:pPr>
              <w:jc w:val="both"/>
              <w:rPr>
                <w:rFonts w:ascii="Cambria" w:hAnsi="Cambria"/>
                <w:bCs/>
                <w:sz w:val="19"/>
                <w:szCs w:val="19"/>
                <w:lang w:val="es-ES"/>
              </w:rPr>
            </w:pPr>
            <w:r w:rsidRPr="00556284">
              <w:rPr>
                <w:rFonts w:ascii="Cambria" w:hAnsi="Cambria"/>
                <w:bCs/>
                <w:sz w:val="19"/>
                <w:szCs w:val="19"/>
                <w:lang w:val="es-ES"/>
              </w:rPr>
              <w:t>Sí, Convención Americana (depósito del instrumento de ratificación el 12 de noviembre de 1987)</w:t>
            </w:r>
          </w:p>
        </w:tc>
      </w:tr>
    </w:tbl>
    <w:p w14:paraId="1874F492" w14:textId="7424B831"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00802833">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 RECURSOS INTERNOS Y PLAZO DE PRESENTACIÓN</w:t>
      </w:r>
    </w:p>
    <w:tbl>
      <w:tblPr>
        <w:tblStyle w:val="TableGrid"/>
        <w:tblW w:w="9360" w:type="dxa"/>
        <w:tblInd w:w="108" w:type="dxa"/>
        <w:tblLook w:val="04A0" w:firstRow="1" w:lastRow="0" w:firstColumn="1" w:lastColumn="0" w:noHBand="0" w:noVBand="1"/>
      </w:tblPr>
      <w:tblGrid>
        <w:gridCol w:w="3600"/>
        <w:gridCol w:w="5760"/>
      </w:tblGrid>
      <w:tr w:rsidR="00802833" w:rsidRPr="00556284" w14:paraId="3BE0CDDD" w14:textId="77777777" w:rsidTr="0045247F">
        <w:trPr>
          <w:cantSplit/>
        </w:trPr>
        <w:tc>
          <w:tcPr>
            <w:tcW w:w="3600" w:type="dxa"/>
            <w:shd w:val="clear" w:color="auto" w:fill="386294"/>
            <w:vAlign w:val="center"/>
          </w:tcPr>
          <w:p w14:paraId="1D139C97" w14:textId="77777777" w:rsidR="009629C7" w:rsidRPr="00556284" w:rsidRDefault="00802833" w:rsidP="00802833">
            <w:pPr>
              <w:jc w:val="center"/>
              <w:rPr>
                <w:rFonts w:asciiTheme="majorHAnsi" w:hAnsiTheme="majorHAnsi"/>
                <w:bCs/>
                <w:color w:val="FFFFFF" w:themeColor="background1"/>
                <w:sz w:val="19"/>
                <w:szCs w:val="19"/>
                <w:lang w:val="es-ES"/>
              </w:rPr>
            </w:pPr>
            <w:r w:rsidRPr="00556284">
              <w:rPr>
                <w:rFonts w:asciiTheme="majorHAnsi" w:hAnsiTheme="majorHAnsi"/>
                <w:bCs/>
                <w:color w:val="FFFFFF" w:themeColor="background1"/>
                <w:sz w:val="19"/>
                <w:szCs w:val="19"/>
                <w:lang w:val="es-ES"/>
              </w:rPr>
              <w:t xml:space="preserve">Duplicación y cosa juzgada </w:t>
            </w:r>
          </w:p>
          <w:p w14:paraId="59D7428E" w14:textId="7C031398" w:rsidR="00802833" w:rsidRPr="00556284" w:rsidRDefault="00802833" w:rsidP="00802833">
            <w:pPr>
              <w:jc w:val="center"/>
              <w:rPr>
                <w:rFonts w:asciiTheme="majorHAnsi" w:hAnsiTheme="majorHAnsi"/>
                <w:bCs/>
                <w:color w:val="FFFFFF" w:themeColor="background1"/>
                <w:sz w:val="19"/>
                <w:szCs w:val="19"/>
                <w:lang w:val="es-ES"/>
              </w:rPr>
            </w:pPr>
            <w:r w:rsidRPr="00556284">
              <w:rPr>
                <w:rFonts w:asciiTheme="majorHAnsi" w:hAnsiTheme="majorHAnsi"/>
                <w:bCs/>
                <w:color w:val="FFFFFF" w:themeColor="background1"/>
                <w:sz w:val="19"/>
                <w:szCs w:val="19"/>
                <w:lang w:val="es-ES"/>
              </w:rPr>
              <w:t>internacional</w:t>
            </w:r>
          </w:p>
        </w:tc>
        <w:tc>
          <w:tcPr>
            <w:tcW w:w="5760" w:type="dxa"/>
            <w:vAlign w:val="center"/>
          </w:tcPr>
          <w:p w14:paraId="44ABEC84" w14:textId="74C47C85" w:rsidR="00802833" w:rsidRPr="00556284" w:rsidRDefault="00EE1F30" w:rsidP="00802833">
            <w:pPr>
              <w:jc w:val="both"/>
              <w:rPr>
                <w:rFonts w:asciiTheme="majorHAnsi" w:hAnsiTheme="majorHAnsi"/>
                <w:bCs/>
                <w:sz w:val="19"/>
                <w:szCs w:val="19"/>
                <w:lang w:val="es-ES"/>
              </w:rPr>
            </w:pPr>
            <w:r w:rsidRPr="00556284">
              <w:rPr>
                <w:rFonts w:asciiTheme="majorHAnsi" w:hAnsiTheme="majorHAnsi"/>
                <w:bCs/>
                <w:sz w:val="19"/>
                <w:szCs w:val="19"/>
                <w:lang w:val="es-ES"/>
              </w:rPr>
              <w:t>No</w:t>
            </w:r>
          </w:p>
        </w:tc>
      </w:tr>
      <w:tr w:rsidR="00802833" w:rsidRPr="00A9469E" w14:paraId="6A5B3CAB" w14:textId="77777777" w:rsidTr="0045247F">
        <w:trPr>
          <w:cantSplit/>
        </w:trPr>
        <w:tc>
          <w:tcPr>
            <w:tcW w:w="3600" w:type="dxa"/>
            <w:shd w:val="clear" w:color="auto" w:fill="386294"/>
            <w:vAlign w:val="center"/>
          </w:tcPr>
          <w:p w14:paraId="3A46715A" w14:textId="66C52666" w:rsidR="00802833" w:rsidRPr="00556284" w:rsidRDefault="00802833" w:rsidP="00802833">
            <w:pPr>
              <w:jc w:val="center"/>
              <w:rPr>
                <w:rFonts w:asciiTheme="majorHAnsi" w:hAnsiTheme="majorHAnsi"/>
                <w:bCs/>
                <w:color w:val="FFFFFF" w:themeColor="background1"/>
                <w:sz w:val="19"/>
                <w:szCs w:val="19"/>
                <w:lang w:val="es-ES"/>
              </w:rPr>
            </w:pPr>
            <w:r w:rsidRPr="00556284">
              <w:rPr>
                <w:rFonts w:asciiTheme="majorHAnsi" w:hAnsiTheme="majorHAnsi"/>
                <w:bCs/>
                <w:color w:val="FFFFFF" w:themeColor="background1"/>
                <w:sz w:val="19"/>
                <w:szCs w:val="19"/>
                <w:lang w:val="es-ES"/>
              </w:rPr>
              <w:t>Derechos admi</w:t>
            </w:r>
            <w:r w:rsidR="009629C7" w:rsidRPr="00556284">
              <w:rPr>
                <w:rFonts w:asciiTheme="majorHAnsi" w:hAnsiTheme="majorHAnsi"/>
                <w:bCs/>
                <w:color w:val="FFFFFF" w:themeColor="background1"/>
                <w:sz w:val="19"/>
                <w:szCs w:val="19"/>
                <w:lang w:val="es-ES"/>
              </w:rPr>
              <w:t>tido</w:t>
            </w:r>
            <w:r w:rsidRPr="00556284">
              <w:rPr>
                <w:rFonts w:asciiTheme="majorHAnsi" w:hAnsiTheme="majorHAnsi"/>
                <w:bCs/>
                <w:color w:val="FFFFFF" w:themeColor="background1"/>
                <w:sz w:val="19"/>
                <w:szCs w:val="19"/>
                <w:lang w:val="es-ES"/>
              </w:rPr>
              <w:t>s</w:t>
            </w:r>
          </w:p>
        </w:tc>
        <w:tc>
          <w:tcPr>
            <w:tcW w:w="5760" w:type="dxa"/>
            <w:vAlign w:val="center"/>
          </w:tcPr>
          <w:p w14:paraId="3A3B0562" w14:textId="770A70AB" w:rsidR="00802833" w:rsidRPr="00556284" w:rsidRDefault="00EE1F30" w:rsidP="00802833">
            <w:pPr>
              <w:jc w:val="both"/>
              <w:rPr>
                <w:rFonts w:asciiTheme="majorHAnsi" w:hAnsiTheme="majorHAnsi"/>
                <w:bCs/>
                <w:sz w:val="19"/>
                <w:szCs w:val="19"/>
                <w:lang w:val="es-PA"/>
              </w:rPr>
            </w:pPr>
            <w:r w:rsidRPr="00556284">
              <w:rPr>
                <w:rFonts w:asciiTheme="majorHAnsi" w:hAnsiTheme="majorHAnsi"/>
                <w:bCs/>
                <w:sz w:val="19"/>
                <w:szCs w:val="19"/>
                <w:lang w:val="es-PA"/>
              </w:rPr>
              <w:t>Artículos 4 (derecho a la vida), 5 (integridad personal), 8 (garantías judiciales) y 25 (protección judicial) de la Convención Americana en concordancia con su artículo 1 (1)</w:t>
            </w:r>
          </w:p>
        </w:tc>
      </w:tr>
      <w:tr w:rsidR="00802833" w:rsidRPr="00A9469E" w14:paraId="6898F859" w14:textId="77777777" w:rsidTr="0045247F">
        <w:trPr>
          <w:cantSplit/>
        </w:trPr>
        <w:tc>
          <w:tcPr>
            <w:tcW w:w="3600" w:type="dxa"/>
            <w:shd w:val="clear" w:color="auto" w:fill="386294"/>
            <w:vAlign w:val="center"/>
          </w:tcPr>
          <w:p w14:paraId="05A42EA0" w14:textId="77777777" w:rsidR="009629C7" w:rsidRPr="00556284" w:rsidRDefault="00802833" w:rsidP="00802833">
            <w:pPr>
              <w:jc w:val="center"/>
              <w:rPr>
                <w:rFonts w:asciiTheme="majorHAnsi" w:hAnsiTheme="majorHAnsi"/>
                <w:bCs/>
                <w:color w:val="FFFFFF" w:themeColor="background1"/>
                <w:sz w:val="19"/>
                <w:szCs w:val="19"/>
                <w:lang w:val="es-ES"/>
              </w:rPr>
            </w:pPr>
            <w:r w:rsidRPr="00556284">
              <w:rPr>
                <w:rFonts w:asciiTheme="majorHAnsi" w:hAnsiTheme="majorHAnsi"/>
                <w:bCs/>
                <w:color w:val="FFFFFF" w:themeColor="background1"/>
                <w:sz w:val="19"/>
                <w:szCs w:val="19"/>
                <w:lang w:val="es-ES"/>
              </w:rPr>
              <w:t xml:space="preserve">Agotamiento de recursos </w:t>
            </w:r>
          </w:p>
          <w:p w14:paraId="493361D5" w14:textId="24B317C9" w:rsidR="00802833" w:rsidRPr="00556284" w:rsidRDefault="00802833" w:rsidP="00802833">
            <w:pPr>
              <w:jc w:val="center"/>
              <w:rPr>
                <w:rFonts w:asciiTheme="majorHAnsi" w:hAnsiTheme="majorHAnsi"/>
                <w:bCs/>
                <w:color w:val="FFFFFF" w:themeColor="background1"/>
                <w:sz w:val="19"/>
                <w:szCs w:val="19"/>
                <w:lang w:val="es-ES"/>
              </w:rPr>
            </w:pPr>
            <w:r w:rsidRPr="00556284">
              <w:rPr>
                <w:rFonts w:asciiTheme="majorHAnsi" w:hAnsiTheme="majorHAnsi"/>
                <w:bCs/>
                <w:color w:val="FFFFFF" w:themeColor="background1"/>
                <w:sz w:val="19"/>
                <w:szCs w:val="19"/>
                <w:lang w:val="es-ES"/>
              </w:rPr>
              <w:t>o procedencia de una excepció</w:t>
            </w:r>
            <w:r w:rsidR="009629C7" w:rsidRPr="00556284">
              <w:rPr>
                <w:rFonts w:asciiTheme="majorHAnsi" w:hAnsiTheme="majorHAnsi"/>
                <w:bCs/>
                <w:color w:val="FFFFFF" w:themeColor="background1"/>
                <w:sz w:val="19"/>
                <w:szCs w:val="19"/>
                <w:lang w:val="es-ES"/>
              </w:rPr>
              <w:t>n</w:t>
            </w:r>
          </w:p>
        </w:tc>
        <w:tc>
          <w:tcPr>
            <w:tcW w:w="5760" w:type="dxa"/>
            <w:vAlign w:val="center"/>
          </w:tcPr>
          <w:p w14:paraId="113A2A31" w14:textId="060999D6" w:rsidR="00802833" w:rsidRPr="00556284" w:rsidRDefault="00EE1F30" w:rsidP="00802833">
            <w:pPr>
              <w:rPr>
                <w:rFonts w:asciiTheme="majorHAnsi" w:hAnsiTheme="majorHAnsi"/>
                <w:bCs/>
                <w:sz w:val="19"/>
                <w:szCs w:val="19"/>
                <w:lang w:val="es-ES"/>
              </w:rPr>
            </w:pPr>
            <w:r w:rsidRPr="00556284">
              <w:rPr>
                <w:rFonts w:asciiTheme="majorHAnsi" w:hAnsiTheme="majorHAnsi"/>
                <w:bCs/>
                <w:sz w:val="19"/>
                <w:szCs w:val="19"/>
                <w:lang w:val="es-ES"/>
              </w:rPr>
              <w:t>Sí, en los términos de la sección VI</w:t>
            </w:r>
          </w:p>
        </w:tc>
      </w:tr>
      <w:tr w:rsidR="00802833" w:rsidRPr="00A9469E" w14:paraId="01019AF2" w14:textId="77777777" w:rsidTr="0045247F">
        <w:trPr>
          <w:cantSplit/>
        </w:trPr>
        <w:tc>
          <w:tcPr>
            <w:tcW w:w="3600" w:type="dxa"/>
            <w:shd w:val="clear" w:color="auto" w:fill="386294"/>
            <w:vAlign w:val="center"/>
          </w:tcPr>
          <w:p w14:paraId="4F7C54D5" w14:textId="5661FE5F" w:rsidR="00802833" w:rsidRPr="00556284" w:rsidRDefault="00802833" w:rsidP="00802833">
            <w:pPr>
              <w:jc w:val="center"/>
              <w:rPr>
                <w:rFonts w:asciiTheme="majorHAnsi" w:hAnsiTheme="majorHAnsi"/>
                <w:bCs/>
                <w:color w:val="FFFFFF" w:themeColor="background1"/>
                <w:sz w:val="19"/>
                <w:szCs w:val="19"/>
                <w:lang w:val="es-ES"/>
              </w:rPr>
            </w:pPr>
            <w:r w:rsidRPr="00556284">
              <w:rPr>
                <w:rFonts w:asciiTheme="majorHAnsi" w:hAnsiTheme="majorHAnsi"/>
                <w:bCs/>
                <w:color w:val="FFFFFF" w:themeColor="background1"/>
                <w:sz w:val="19"/>
                <w:szCs w:val="19"/>
                <w:lang w:val="es-ES"/>
              </w:rPr>
              <w:t>Presentación dentro de plazo</w:t>
            </w:r>
          </w:p>
        </w:tc>
        <w:tc>
          <w:tcPr>
            <w:tcW w:w="5760" w:type="dxa"/>
            <w:vAlign w:val="center"/>
          </w:tcPr>
          <w:p w14:paraId="3818F531" w14:textId="08B88F0F" w:rsidR="00802833" w:rsidRPr="00556284" w:rsidRDefault="00EE1F30" w:rsidP="00802833">
            <w:pPr>
              <w:rPr>
                <w:rFonts w:asciiTheme="majorHAnsi" w:hAnsiTheme="majorHAnsi"/>
                <w:bCs/>
                <w:sz w:val="19"/>
                <w:szCs w:val="19"/>
                <w:lang w:val="es-PA"/>
              </w:rPr>
            </w:pPr>
            <w:r w:rsidRPr="00556284">
              <w:rPr>
                <w:rFonts w:asciiTheme="majorHAnsi" w:hAnsiTheme="majorHAnsi"/>
                <w:bCs/>
                <w:sz w:val="19"/>
                <w:szCs w:val="19"/>
                <w:lang w:val="es-PA"/>
              </w:rPr>
              <w:t>Sí, en los términos de la sección VI</w:t>
            </w:r>
          </w:p>
        </w:tc>
      </w:tr>
    </w:tbl>
    <w:p w14:paraId="35A1F6E1" w14:textId="2FCB2D9E"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CE2A41">
        <w:rPr>
          <w:rFonts w:asciiTheme="majorHAnsi" w:hAnsiTheme="majorHAnsi"/>
          <w:b/>
          <w:sz w:val="20"/>
          <w:szCs w:val="20"/>
          <w:lang w:val="es-UY"/>
        </w:rPr>
        <w:t xml:space="preserve">RESUMEN DE LOS </w:t>
      </w:r>
      <w:r w:rsidR="003239B8">
        <w:rPr>
          <w:rFonts w:asciiTheme="majorHAnsi" w:hAnsiTheme="majorHAnsi"/>
          <w:b/>
          <w:sz w:val="20"/>
          <w:szCs w:val="20"/>
          <w:lang w:val="es-UY"/>
        </w:rPr>
        <w:t xml:space="preserve">HECHOS ALEGADOS </w:t>
      </w:r>
    </w:p>
    <w:p w14:paraId="558A30B2" w14:textId="44359B71" w:rsidR="00DC56F7" w:rsidRPr="00970D05" w:rsidRDefault="00DC56F7" w:rsidP="00C22B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lang w:val="es-ES"/>
        </w:rPr>
      </w:pPr>
      <w:r>
        <w:rPr>
          <w:rFonts w:ascii="Cambria" w:hAnsi="Cambria"/>
          <w:sz w:val="20"/>
          <w:szCs w:val="20"/>
          <w:lang w:val="es"/>
        </w:rPr>
        <w:t xml:space="preserve">El peticionario alega que el 13 de junio de 2012 las presuntas víctimas fueron </w:t>
      </w:r>
      <w:r w:rsidR="00F16376">
        <w:rPr>
          <w:rFonts w:ascii="Cambria" w:hAnsi="Cambria"/>
          <w:sz w:val="20"/>
          <w:szCs w:val="20"/>
          <w:lang w:val="es"/>
        </w:rPr>
        <w:t>asesinadas</w:t>
      </w:r>
      <w:r>
        <w:rPr>
          <w:rFonts w:ascii="Cambria" w:hAnsi="Cambria"/>
          <w:sz w:val="20"/>
          <w:szCs w:val="20"/>
          <w:lang w:val="es"/>
        </w:rPr>
        <w:t xml:space="preserve"> </w:t>
      </w:r>
      <w:r w:rsidR="00F16376">
        <w:rPr>
          <w:rFonts w:ascii="Cambria" w:hAnsi="Cambria"/>
          <w:sz w:val="20"/>
          <w:szCs w:val="20"/>
          <w:lang w:val="es"/>
        </w:rPr>
        <w:t xml:space="preserve">con </w:t>
      </w:r>
      <w:r>
        <w:rPr>
          <w:rFonts w:ascii="Cambria" w:hAnsi="Cambria"/>
          <w:sz w:val="20"/>
          <w:szCs w:val="20"/>
          <w:lang w:val="es"/>
        </w:rPr>
        <w:t xml:space="preserve">arma de fuego por oficiales de policía en un </w:t>
      </w:r>
      <w:r w:rsidR="00F16376">
        <w:rPr>
          <w:rFonts w:ascii="Cambria" w:hAnsi="Cambria"/>
          <w:sz w:val="20"/>
          <w:szCs w:val="20"/>
          <w:lang w:val="es"/>
        </w:rPr>
        <w:t>barrio residencial</w:t>
      </w:r>
      <w:r>
        <w:rPr>
          <w:rFonts w:ascii="Cambria" w:hAnsi="Cambria"/>
          <w:sz w:val="20"/>
          <w:szCs w:val="20"/>
          <w:lang w:val="es"/>
        </w:rPr>
        <w:t xml:space="preserve"> </w:t>
      </w:r>
      <w:r w:rsidR="000641CA">
        <w:rPr>
          <w:rFonts w:ascii="Cambria" w:hAnsi="Cambria"/>
          <w:sz w:val="20"/>
          <w:szCs w:val="20"/>
          <w:lang w:val="es"/>
        </w:rPr>
        <w:t>llamado</w:t>
      </w:r>
      <w:r>
        <w:rPr>
          <w:rFonts w:ascii="Cambria" w:hAnsi="Cambria"/>
          <w:sz w:val="20"/>
          <w:szCs w:val="20"/>
          <w:lang w:val="es"/>
        </w:rPr>
        <w:t xml:space="preserve"> </w:t>
      </w:r>
      <w:r w:rsidRPr="00F16376">
        <w:rPr>
          <w:rFonts w:ascii="Cambria" w:hAnsi="Cambria"/>
          <w:i/>
          <w:iCs/>
          <w:sz w:val="20"/>
          <w:szCs w:val="20"/>
          <w:lang w:val="es"/>
        </w:rPr>
        <w:t>Tout Lui Faut</w:t>
      </w:r>
      <w:r>
        <w:rPr>
          <w:rFonts w:ascii="Cambria" w:hAnsi="Cambria"/>
          <w:sz w:val="20"/>
          <w:szCs w:val="20"/>
          <w:lang w:val="es"/>
        </w:rPr>
        <w:t xml:space="preserve"> en circunstancias propias de una ejecución extrajudicial.</w:t>
      </w:r>
      <w:r w:rsidR="00D61550">
        <w:rPr>
          <w:rFonts w:ascii="Cambria" w:hAnsi="Cambria"/>
          <w:sz w:val="20"/>
          <w:szCs w:val="20"/>
          <w:lang w:val="es"/>
        </w:rPr>
        <w:t xml:space="preserve"> </w:t>
      </w:r>
      <w:r>
        <w:rPr>
          <w:rFonts w:ascii="Cambria" w:hAnsi="Cambria"/>
          <w:sz w:val="20"/>
          <w:szCs w:val="20"/>
          <w:lang w:val="es"/>
        </w:rPr>
        <w:t xml:space="preserve">Según el peticionario, </w:t>
      </w:r>
      <w:r w:rsidR="00375295">
        <w:rPr>
          <w:rFonts w:ascii="Cambria" w:hAnsi="Cambria"/>
          <w:sz w:val="20"/>
          <w:szCs w:val="20"/>
          <w:lang w:val="es"/>
        </w:rPr>
        <w:t xml:space="preserve">cuando </w:t>
      </w:r>
      <w:r>
        <w:rPr>
          <w:rFonts w:ascii="Cambria" w:hAnsi="Cambria"/>
          <w:sz w:val="20"/>
          <w:szCs w:val="20"/>
          <w:lang w:val="es"/>
        </w:rPr>
        <w:t xml:space="preserve">las presuntas víctimas </w:t>
      </w:r>
      <w:r w:rsidR="009C1A6F">
        <w:rPr>
          <w:rFonts w:ascii="Cambria" w:hAnsi="Cambria"/>
          <w:sz w:val="20"/>
          <w:szCs w:val="20"/>
          <w:lang w:val="es"/>
        </w:rPr>
        <w:t xml:space="preserve">fueron asesinadas éstas </w:t>
      </w:r>
      <w:r>
        <w:rPr>
          <w:rFonts w:ascii="Cambria" w:hAnsi="Cambria"/>
          <w:sz w:val="20"/>
          <w:szCs w:val="20"/>
          <w:lang w:val="es"/>
        </w:rPr>
        <w:t xml:space="preserve">no se encontraban armadas, no </w:t>
      </w:r>
      <w:r w:rsidR="00375295">
        <w:rPr>
          <w:rFonts w:ascii="Cambria" w:hAnsi="Cambria"/>
          <w:sz w:val="20"/>
          <w:szCs w:val="20"/>
          <w:lang w:val="es"/>
        </w:rPr>
        <w:t>representaban</w:t>
      </w:r>
      <w:r>
        <w:rPr>
          <w:rFonts w:ascii="Cambria" w:hAnsi="Cambria"/>
          <w:sz w:val="20"/>
          <w:szCs w:val="20"/>
          <w:lang w:val="es"/>
        </w:rPr>
        <w:t xml:space="preserve"> una amenaza a la seguridad nacional ni participaban de un enfrentamiento con las autoridades</w:t>
      </w:r>
      <w:r w:rsidR="00F16376">
        <w:rPr>
          <w:rStyle w:val="FootnoteReference"/>
          <w:rFonts w:ascii="Cambria" w:hAnsi="Cambria"/>
          <w:sz w:val="20"/>
          <w:szCs w:val="20"/>
          <w:lang w:val="es"/>
        </w:rPr>
        <w:footnoteReference w:id="4"/>
      </w:r>
      <w:r>
        <w:rPr>
          <w:rFonts w:ascii="Cambria" w:hAnsi="Cambria"/>
          <w:sz w:val="20"/>
          <w:szCs w:val="20"/>
          <w:lang w:val="es"/>
        </w:rPr>
        <w:t>. El peticionario se basa en información que le aportaron familiares de los hombres fallecidos y otras personas no identificadas. Agrega que el día de las ejecuciones el ministro de justicia, el procurador general y el jefe de policía dieron una conferencia de prensa en la que justificaron el uso de la fuerza letal en la supuesta actividad criminal de las presuntas víctimas.</w:t>
      </w:r>
    </w:p>
    <w:p w14:paraId="317AFF0C" w14:textId="7E5D3898" w:rsidR="00DC56F7" w:rsidRPr="00970D05" w:rsidRDefault="00DC56F7" w:rsidP="00C22B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lang w:val="es-ES"/>
        </w:rPr>
      </w:pPr>
      <w:r>
        <w:rPr>
          <w:rFonts w:ascii="Cambria" w:hAnsi="Cambria"/>
          <w:sz w:val="20"/>
          <w:szCs w:val="20"/>
          <w:lang w:val="es"/>
        </w:rPr>
        <w:lastRenderedPageBreak/>
        <w:t xml:space="preserve">El peticionario indica que el 18 de junio solicitó por escrito a la procuraduría general la investigación penal de los hechos que derivaron en la muerte de las presuntas víctimas. Afirma que la procuraduría general respondió el 20 de junio señalando que existía una investigación penal en curso. El peticionario reclama </w:t>
      </w:r>
      <w:r w:rsidR="00F956D2">
        <w:rPr>
          <w:rFonts w:ascii="Cambria" w:hAnsi="Cambria"/>
          <w:sz w:val="20"/>
          <w:szCs w:val="20"/>
          <w:lang w:val="es"/>
        </w:rPr>
        <w:t xml:space="preserve">(a) </w:t>
      </w:r>
      <w:r>
        <w:rPr>
          <w:rFonts w:ascii="Cambria" w:hAnsi="Cambria"/>
          <w:sz w:val="20"/>
          <w:szCs w:val="20"/>
          <w:lang w:val="es"/>
        </w:rPr>
        <w:t xml:space="preserve">que hasta noviembre de 2012 no recibió ninguna novedad sobre la investigación y (b) que para esa fecha el plazo para </w:t>
      </w:r>
      <w:r w:rsidR="0053557E">
        <w:rPr>
          <w:rFonts w:ascii="Cambria" w:hAnsi="Cambria"/>
          <w:sz w:val="20"/>
          <w:szCs w:val="20"/>
          <w:lang w:val="es"/>
        </w:rPr>
        <w:t>concluir</w:t>
      </w:r>
      <w:r>
        <w:rPr>
          <w:rFonts w:ascii="Cambria" w:hAnsi="Cambria"/>
          <w:sz w:val="20"/>
          <w:szCs w:val="20"/>
          <w:lang w:val="es"/>
        </w:rPr>
        <w:t xml:space="preserve"> la investigación había caducado. Indica que a raíz de ello el 26 de noviembre de 2012 presentó un escrito ante la Corte de Justicia de Surinam, la que él consideraba era la instancia máxima encargada de supervisar la investigación. Afirma que la respuesta de la Corte de Justicia la recibió el 6 de diciembre de 2012 y que en esta la Corte establecía que no podía interferir en la investigación y que correspondía al peticionario consultar a la procura</w:t>
      </w:r>
      <w:r w:rsidR="0053557E">
        <w:rPr>
          <w:rFonts w:ascii="Cambria" w:hAnsi="Cambria"/>
          <w:sz w:val="20"/>
          <w:szCs w:val="20"/>
          <w:lang w:val="es"/>
        </w:rPr>
        <w:t>duría</w:t>
      </w:r>
      <w:r>
        <w:rPr>
          <w:rFonts w:ascii="Cambria" w:hAnsi="Cambria"/>
          <w:sz w:val="20"/>
          <w:szCs w:val="20"/>
          <w:lang w:val="es"/>
        </w:rPr>
        <w:t xml:space="preserve"> general. Por último, el peticionario alega</w:t>
      </w:r>
      <w:r w:rsidR="0053557E">
        <w:rPr>
          <w:rFonts w:ascii="Cambria" w:hAnsi="Cambria"/>
          <w:sz w:val="20"/>
          <w:szCs w:val="20"/>
          <w:lang w:val="es"/>
        </w:rPr>
        <w:t xml:space="preserve"> una</w:t>
      </w:r>
      <w:r>
        <w:rPr>
          <w:rFonts w:ascii="Cambria" w:hAnsi="Cambria"/>
          <w:sz w:val="20"/>
          <w:szCs w:val="20"/>
          <w:lang w:val="es"/>
        </w:rPr>
        <w:t xml:space="preserve"> demora injustificada en la investigación y que, en todo caso, dicho procedimiento no fue imparcial. Agrega que el ordenamiento interno no prevé recursos efectivos para la reparación de este </w:t>
      </w:r>
      <w:r w:rsidRPr="0053557E">
        <w:rPr>
          <w:rFonts w:ascii="Cambria" w:hAnsi="Cambria"/>
          <w:i/>
          <w:iCs/>
          <w:sz w:val="20"/>
          <w:szCs w:val="20"/>
          <w:lang w:val="es"/>
        </w:rPr>
        <w:t>statu</w:t>
      </w:r>
      <w:r w:rsidR="00AF308D">
        <w:rPr>
          <w:rFonts w:ascii="Cambria" w:hAnsi="Cambria"/>
          <w:i/>
          <w:iCs/>
          <w:sz w:val="20"/>
          <w:szCs w:val="20"/>
          <w:lang w:val="es"/>
        </w:rPr>
        <w:t>s</w:t>
      </w:r>
      <w:r w:rsidRPr="0053557E">
        <w:rPr>
          <w:rFonts w:ascii="Cambria" w:hAnsi="Cambria"/>
          <w:i/>
          <w:iCs/>
          <w:sz w:val="20"/>
          <w:szCs w:val="20"/>
          <w:lang w:val="es"/>
        </w:rPr>
        <w:t xml:space="preserve"> quo</w:t>
      </w:r>
      <w:r>
        <w:rPr>
          <w:rFonts w:ascii="Cambria" w:hAnsi="Cambria"/>
          <w:sz w:val="20"/>
          <w:szCs w:val="20"/>
          <w:lang w:val="es"/>
        </w:rPr>
        <w:t>.</w:t>
      </w:r>
    </w:p>
    <w:p w14:paraId="569735CA" w14:textId="689681B7" w:rsidR="00DC56F7" w:rsidRPr="00970D05" w:rsidRDefault="00DC56F7" w:rsidP="00C22B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lang w:val="es-ES"/>
        </w:rPr>
      </w:pPr>
      <w:r>
        <w:rPr>
          <w:rFonts w:ascii="Cambria" w:hAnsi="Cambria"/>
          <w:sz w:val="20"/>
          <w:szCs w:val="20"/>
          <w:lang w:val="es"/>
        </w:rPr>
        <w:t>Por su parte, el Estado indica que en 2012 la procuraduría general llevó a cabo una investigación pero que</w:t>
      </w:r>
      <w:r w:rsidR="00351CF8">
        <w:rPr>
          <w:rFonts w:ascii="Cambria" w:hAnsi="Cambria"/>
          <w:sz w:val="20"/>
          <w:szCs w:val="20"/>
          <w:lang w:val="es"/>
        </w:rPr>
        <w:t>,</w:t>
      </w:r>
      <w:r>
        <w:rPr>
          <w:rFonts w:ascii="Cambria" w:hAnsi="Cambria"/>
          <w:sz w:val="20"/>
          <w:szCs w:val="20"/>
          <w:lang w:val="es"/>
        </w:rPr>
        <w:t xml:space="preserve"> debido a la complejidad del caso, en 2013 la procuraduría general remitió la investigación al juez de control de garantías en materia penal. El Estado afirma que el juez de control de garantías terminó por </w:t>
      </w:r>
      <w:r w:rsidR="0053557E">
        <w:rPr>
          <w:rFonts w:ascii="Cambria" w:hAnsi="Cambria"/>
          <w:sz w:val="20"/>
          <w:szCs w:val="20"/>
          <w:lang w:val="es"/>
        </w:rPr>
        <w:t xml:space="preserve">dar por </w:t>
      </w:r>
      <w:r>
        <w:rPr>
          <w:rFonts w:ascii="Cambria" w:hAnsi="Cambria"/>
          <w:sz w:val="20"/>
          <w:szCs w:val="20"/>
          <w:lang w:val="es"/>
        </w:rPr>
        <w:t>concluida la investigación el 5 de febrero de 2016 al determinar la falta de razones legales o pruebas suficientes para juzgar a los oficiales involucrados en el homicidio de las presuntas víctimas. Afirma que</w:t>
      </w:r>
      <w:r w:rsidR="007176C4">
        <w:rPr>
          <w:rFonts w:ascii="Cambria" w:hAnsi="Cambria"/>
          <w:sz w:val="20"/>
          <w:szCs w:val="20"/>
          <w:lang w:val="es"/>
        </w:rPr>
        <w:t xml:space="preserve">, en consecuencia, </w:t>
      </w:r>
      <w:r>
        <w:rPr>
          <w:rFonts w:ascii="Cambria" w:hAnsi="Cambria"/>
          <w:sz w:val="20"/>
          <w:szCs w:val="20"/>
          <w:lang w:val="es"/>
        </w:rPr>
        <w:t>la procuraduría general se abstuvo de iniciar acciones legales. El Estado argumenta que las presuntas víctimas eran miembros armados de un grupo criminal que se trasladaba en un vehículo y que murieron a manos de la policía cuando intentaban evitar ser arrestad</w:t>
      </w:r>
      <w:r w:rsidR="007176C4">
        <w:rPr>
          <w:rFonts w:ascii="Cambria" w:hAnsi="Cambria"/>
          <w:sz w:val="20"/>
          <w:szCs w:val="20"/>
          <w:lang w:val="es"/>
        </w:rPr>
        <w:t>a</w:t>
      </w:r>
      <w:r>
        <w:rPr>
          <w:rFonts w:ascii="Cambria" w:hAnsi="Cambria"/>
          <w:sz w:val="20"/>
          <w:szCs w:val="20"/>
          <w:lang w:val="es"/>
        </w:rPr>
        <w:t>s.</w:t>
      </w:r>
      <w:r w:rsidR="00057B5E">
        <w:rPr>
          <w:rFonts w:ascii="Cambria" w:hAnsi="Cambria"/>
          <w:sz w:val="20"/>
          <w:szCs w:val="20"/>
          <w:lang w:val="es"/>
        </w:rPr>
        <w:t xml:space="preserve"> </w:t>
      </w:r>
      <w:r>
        <w:rPr>
          <w:rFonts w:ascii="Cambria" w:hAnsi="Cambria"/>
          <w:sz w:val="20"/>
          <w:szCs w:val="20"/>
          <w:lang w:val="es"/>
        </w:rPr>
        <w:t xml:space="preserve">Según el Estado, el uso de la fuerza letal estuvo justificado y que </w:t>
      </w:r>
      <w:r w:rsidR="007176C4">
        <w:rPr>
          <w:rFonts w:ascii="Cambria" w:hAnsi="Cambria"/>
          <w:sz w:val="20"/>
          <w:szCs w:val="20"/>
          <w:lang w:val="es"/>
        </w:rPr>
        <w:t xml:space="preserve">esto fue comprobado en </w:t>
      </w:r>
      <w:r>
        <w:rPr>
          <w:rFonts w:ascii="Cambria" w:hAnsi="Cambria"/>
          <w:sz w:val="20"/>
          <w:szCs w:val="20"/>
          <w:lang w:val="es"/>
        </w:rPr>
        <w:t xml:space="preserve">las investigaciones que la justicia como la procuraduría realizaron sobre estas muertes. El Estado reconoce que la investigación tardó más de lo que </w:t>
      </w:r>
      <w:r w:rsidR="00351CF8">
        <w:rPr>
          <w:rFonts w:ascii="Cambria" w:hAnsi="Cambria"/>
          <w:sz w:val="20"/>
          <w:szCs w:val="20"/>
          <w:lang w:val="es"/>
        </w:rPr>
        <w:t>“</w:t>
      </w:r>
      <w:r>
        <w:rPr>
          <w:rFonts w:ascii="Cambria" w:hAnsi="Cambria"/>
          <w:sz w:val="20"/>
          <w:szCs w:val="20"/>
          <w:lang w:val="es"/>
        </w:rPr>
        <w:t>es común en otros casos penales</w:t>
      </w:r>
      <w:r w:rsidR="00351CF8">
        <w:rPr>
          <w:rFonts w:ascii="Cambria" w:hAnsi="Cambria"/>
          <w:sz w:val="20"/>
          <w:szCs w:val="20"/>
          <w:lang w:val="es"/>
        </w:rPr>
        <w:t>”</w:t>
      </w:r>
      <w:r>
        <w:rPr>
          <w:rFonts w:ascii="Cambria" w:hAnsi="Cambria"/>
          <w:sz w:val="20"/>
          <w:szCs w:val="20"/>
          <w:lang w:val="es"/>
        </w:rPr>
        <w:t xml:space="preserve"> pero </w:t>
      </w:r>
      <w:r w:rsidR="007176C4">
        <w:rPr>
          <w:rFonts w:ascii="Cambria" w:hAnsi="Cambria"/>
          <w:sz w:val="20"/>
          <w:szCs w:val="20"/>
          <w:lang w:val="es"/>
        </w:rPr>
        <w:t xml:space="preserve">lo </w:t>
      </w:r>
      <w:r>
        <w:rPr>
          <w:rFonts w:ascii="Cambria" w:hAnsi="Cambria"/>
          <w:sz w:val="20"/>
          <w:szCs w:val="20"/>
          <w:lang w:val="es"/>
        </w:rPr>
        <w:t xml:space="preserve">atribuye a que </w:t>
      </w:r>
      <w:r w:rsidR="00351CF8">
        <w:rPr>
          <w:rFonts w:ascii="Cambria" w:hAnsi="Cambria"/>
          <w:sz w:val="20"/>
          <w:szCs w:val="20"/>
          <w:lang w:val="es"/>
        </w:rPr>
        <w:t>“</w:t>
      </w:r>
      <w:r>
        <w:rPr>
          <w:rFonts w:ascii="Cambria" w:hAnsi="Cambria"/>
          <w:sz w:val="20"/>
          <w:szCs w:val="20"/>
          <w:lang w:val="es"/>
        </w:rPr>
        <w:t xml:space="preserve">tanto los familiares de los </w:t>
      </w:r>
      <w:r w:rsidR="007176C4">
        <w:rPr>
          <w:rFonts w:ascii="Cambria" w:hAnsi="Cambria"/>
          <w:sz w:val="20"/>
          <w:szCs w:val="20"/>
          <w:lang w:val="es"/>
        </w:rPr>
        <w:t>fallecidos</w:t>
      </w:r>
      <w:r>
        <w:rPr>
          <w:rFonts w:ascii="Cambria" w:hAnsi="Cambria"/>
          <w:sz w:val="20"/>
          <w:szCs w:val="20"/>
          <w:lang w:val="es"/>
        </w:rPr>
        <w:t xml:space="preserve"> como los oficiales merecían un proceso justo...</w:t>
      </w:r>
      <w:r w:rsidR="00351CF8">
        <w:rPr>
          <w:rFonts w:ascii="Cambria" w:hAnsi="Cambria"/>
          <w:sz w:val="20"/>
          <w:szCs w:val="20"/>
          <w:lang w:val="es"/>
        </w:rPr>
        <w:t>”</w:t>
      </w:r>
      <w:r>
        <w:rPr>
          <w:rFonts w:ascii="Cambria" w:hAnsi="Cambria"/>
          <w:sz w:val="20"/>
          <w:szCs w:val="20"/>
          <w:lang w:val="es"/>
        </w:rPr>
        <w:t>.</w:t>
      </w:r>
      <w:r w:rsidR="00057B5E">
        <w:rPr>
          <w:rFonts w:ascii="Cambria" w:hAnsi="Cambria"/>
          <w:sz w:val="20"/>
          <w:szCs w:val="20"/>
          <w:lang w:val="es"/>
        </w:rPr>
        <w:t xml:space="preserve"> </w:t>
      </w:r>
      <w:r>
        <w:rPr>
          <w:rFonts w:ascii="Cambria" w:hAnsi="Cambria"/>
          <w:sz w:val="20"/>
          <w:szCs w:val="20"/>
          <w:lang w:val="es"/>
        </w:rPr>
        <w:t>Resalta que las investigaciones se efectuaron de manera justa e imparcial conforme a las leyes de Surinam.</w:t>
      </w:r>
    </w:p>
    <w:p w14:paraId="01F77CB3" w14:textId="23224CBE" w:rsidR="00DC56F7" w:rsidRPr="00970D05" w:rsidRDefault="00DC56F7" w:rsidP="00C22B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lang w:val="es-ES"/>
        </w:rPr>
      </w:pPr>
      <w:r>
        <w:rPr>
          <w:rFonts w:ascii="Cambria" w:hAnsi="Cambria"/>
          <w:sz w:val="20"/>
          <w:szCs w:val="20"/>
          <w:lang w:val="es"/>
        </w:rPr>
        <w:t>El Estado argumenta que los familiares de las víctimas fatales podrían haber apelado la decisión de la procuraduría general mediante una demanda ante la Corte de Justicia, pero que no lo hicieron.</w:t>
      </w:r>
      <w:r w:rsidR="00057B5E">
        <w:rPr>
          <w:rFonts w:ascii="Cambria" w:hAnsi="Cambria"/>
          <w:sz w:val="20"/>
          <w:szCs w:val="20"/>
          <w:lang w:val="es"/>
        </w:rPr>
        <w:t xml:space="preserve"> </w:t>
      </w:r>
      <w:r>
        <w:rPr>
          <w:rFonts w:ascii="Cambria" w:hAnsi="Cambria"/>
          <w:sz w:val="20"/>
          <w:szCs w:val="20"/>
          <w:lang w:val="es"/>
        </w:rPr>
        <w:t>En consecuencia, el Estado concluye que no se agotaron los recursos internos.</w:t>
      </w:r>
    </w:p>
    <w:p w14:paraId="0E778B3D" w14:textId="77777777" w:rsidR="00DC56F7" w:rsidRPr="00970D05" w:rsidRDefault="00DC56F7" w:rsidP="00DC56F7">
      <w:pPr>
        <w:spacing w:before="120" w:after="120"/>
        <w:ind w:firstLine="720"/>
        <w:jc w:val="both"/>
        <w:rPr>
          <w:rFonts w:ascii="Cambria" w:hAnsi="Cambria"/>
          <w:sz w:val="20"/>
          <w:szCs w:val="20"/>
          <w:lang w:val="es-ES"/>
        </w:rPr>
      </w:pPr>
      <w:r>
        <w:rPr>
          <w:rFonts w:asciiTheme="majorHAnsi" w:hAnsiTheme="majorHAnsi"/>
          <w:b/>
          <w:bCs/>
          <w:color w:val="000000"/>
          <w:sz w:val="20"/>
          <w:szCs w:val="20"/>
          <w:u w:color="000000"/>
          <w:lang w:val="es"/>
        </w:rPr>
        <w:t>VI.</w:t>
      </w:r>
      <w:r>
        <w:rPr>
          <w:rFonts w:asciiTheme="majorHAnsi" w:hAnsiTheme="majorHAnsi"/>
          <w:b/>
          <w:bCs/>
          <w:color w:val="000000"/>
          <w:sz w:val="20"/>
          <w:szCs w:val="20"/>
          <w:u w:color="000000"/>
          <w:lang w:val="es"/>
        </w:rPr>
        <w:tab/>
      </w:r>
      <w:r>
        <w:rPr>
          <w:rFonts w:asciiTheme="majorHAnsi" w:hAnsiTheme="majorHAnsi"/>
          <w:b/>
          <w:bCs/>
          <w:sz w:val="20"/>
          <w:szCs w:val="20"/>
          <w:lang w:val="es"/>
        </w:rPr>
        <w:t>AGOTAMIENTO DE LOS RECURSOS INTERNOS Y PLAZO DE PRESENTACIÓN</w:t>
      </w:r>
      <w:r>
        <w:rPr>
          <w:rFonts w:asciiTheme="majorHAnsi" w:hAnsiTheme="majorHAnsi"/>
          <w:b/>
          <w:bCs/>
          <w:color w:val="000000"/>
          <w:sz w:val="20"/>
          <w:szCs w:val="20"/>
          <w:u w:color="000000"/>
          <w:lang w:val="es"/>
        </w:rPr>
        <w:t xml:space="preserve"> </w:t>
      </w:r>
    </w:p>
    <w:p w14:paraId="1B255D16" w14:textId="3310D7E1" w:rsidR="00DC56F7" w:rsidRPr="00970D05" w:rsidRDefault="00DC56F7" w:rsidP="00C22B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lang w:val="es-ES"/>
        </w:rPr>
      </w:pPr>
      <w:r>
        <w:rPr>
          <w:rFonts w:ascii="Cambria" w:hAnsi="Cambria"/>
          <w:sz w:val="20"/>
          <w:szCs w:val="20"/>
          <w:lang w:val="es"/>
        </w:rPr>
        <w:t>El peticionario alega que aparte de la presentación de una denuncia ante la procuraduría general no había otros recursos efectivos disponibles</w:t>
      </w:r>
      <w:r w:rsidR="007176C4">
        <w:rPr>
          <w:rFonts w:ascii="Cambria" w:hAnsi="Cambria"/>
          <w:sz w:val="20"/>
          <w:szCs w:val="20"/>
          <w:lang w:val="es"/>
        </w:rPr>
        <w:t xml:space="preserve"> en el ordenamiento interno</w:t>
      </w:r>
      <w:r>
        <w:rPr>
          <w:rFonts w:ascii="Cambria" w:hAnsi="Cambria"/>
          <w:sz w:val="20"/>
          <w:szCs w:val="20"/>
          <w:lang w:val="es"/>
        </w:rPr>
        <w:t>.</w:t>
      </w:r>
      <w:r w:rsidR="007176C4">
        <w:rPr>
          <w:rFonts w:ascii="Cambria" w:hAnsi="Cambria"/>
          <w:sz w:val="20"/>
          <w:szCs w:val="20"/>
          <w:lang w:val="es"/>
        </w:rPr>
        <w:t xml:space="preserve"> </w:t>
      </w:r>
      <w:r>
        <w:rPr>
          <w:rFonts w:ascii="Cambria" w:hAnsi="Cambria"/>
          <w:sz w:val="20"/>
          <w:szCs w:val="20"/>
          <w:lang w:val="es"/>
        </w:rPr>
        <w:t>Reclama que la investigación adelantada por el Estado no fue imparcial y que hubo demoras injustificadas en la investigación.</w:t>
      </w:r>
      <w:r w:rsidR="00057B5E">
        <w:rPr>
          <w:rFonts w:ascii="Cambria" w:hAnsi="Cambria"/>
          <w:sz w:val="20"/>
          <w:szCs w:val="20"/>
          <w:lang w:val="es"/>
        </w:rPr>
        <w:t xml:space="preserve"> </w:t>
      </w:r>
      <w:r>
        <w:rPr>
          <w:rFonts w:ascii="Cambria" w:hAnsi="Cambria"/>
          <w:sz w:val="20"/>
          <w:szCs w:val="20"/>
          <w:lang w:val="es"/>
        </w:rPr>
        <w:t xml:space="preserve"> El Estado, a la vez que reconoce que la investigación tardó más de lo usual, asevera que e</w:t>
      </w:r>
      <w:r w:rsidR="00FE4E20">
        <w:rPr>
          <w:rFonts w:ascii="Cambria" w:hAnsi="Cambria"/>
          <w:sz w:val="20"/>
          <w:szCs w:val="20"/>
          <w:lang w:val="es"/>
        </w:rPr>
        <w:t>ll</w:t>
      </w:r>
      <w:r>
        <w:rPr>
          <w:rFonts w:ascii="Cambria" w:hAnsi="Cambria"/>
          <w:sz w:val="20"/>
          <w:szCs w:val="20"/>
          <w:lang w:val="es"/>
        </w:rPr>
        <w:t>o se debió a la complejidad de los hechos en cuestión. Por último</w:t>
      </w:r>
      <w:r w:rsidR="00512455">
        <w:rPr>
          <w:rFonts w:ascii="Cambria" w:hAnsi="Cambria"/>
          <w:sz w:val="20"/>
          <w:szCs w:val="20"/>
          <w:lang w:val="es"/>
        </w:rPr>
        <w:t>,</w:t>
      </w:r>
      <w:r>
        <w:rPr>
          <w:rFonts w:ascii="Cambria" w:hAnsi="Cambria"/>
          <w:sz w:val="20"/>
          <w:szCs w:val="20"/>
          <w:lang w:val="es"/>
        </w:rPr>
        <w:t xml:space="preserve"> </w:t>
      </w:r>
      <w:r w:rsidR="00FE4E20">
        <w:rPr>
          <w:rFonts w:ascii="Cambria" w:hAnsi="Cambria"/>
          <w:sz w:val="20"/>
          <w:szCs w:val="20"/>
          <w:lang w:val="es"/>
        </w:rPr>
        <w:t xml:space="preserve">éste </w:t>
      </w:r>
      <w:r>
        <w:rPr>
          <w:rFonts w:ascii="Cambria" w:hAnsi="Cambria"/>
          <w:sz w:val="20"/>
          <w:szCs w:val="20"/>
          <w:lang w:val="es"/>
        </w:rPr>
        <w:t>señala que la investigación se llevó a cabo conforme a todos los requerimientos del derecho surinamés y que, en todo caso, si</w:t>
      </w:r>
      <w:r w:rsidR="00FE4E20">
        <w:rPr>
          <w:rFonts w:ascii="Cambria" w:hAnsi="Cambria"/>
          <w:sz w:val="20"/>
          <w:szCs w:val="20"/>
          <w:lang w:val="es"/>
        </w:rPr>
        <w:t xml:space="preserve"> el peticionario</w:t>
      </w:r>
      <w:r>
        <w:rPr>
          <w:rFonts w:ascii="Cambria" w:hAnsi="Cambria"/>
          <w:sz w:val="20"/>
          <w:szCs w:val="20"/>
          <w:lang w:val="es"/>
        </w:rPr>
        <w:t xml:space="preserve"> estaba disconforme con el resultado de las averiguaciones</w:t>
      </w:r>
      <w:r w:rsidR="00FE4E20">
        <w:rPr>
          <w:rFonts w:ascii="Cambria" w:hAnsi="Cambria"/>
          <w:sz w:val="20"/>
          <w:szCs w:val="20"/>
          <w:lang w:val="es"/>
        </w:rPr>
        <w:t xml:space="preserve"> dependía de éste apelar ante la Corte de Justicia</w:t>
      </w:r>
      <w:r>
        <w:rPr>
          <w:rFonts w:ascii="Cambria" w:hAnsi="Cambria"/>
          <w:sz w:val="20"/>
          <w:szCs w:val="20"/>
          <w:lang w:val="es"/>
        </w:rPr>
        <w:t>. En ese sentido, el Estado alega que el peticionario no agotó los recursos internos.</w:t>
      </w:r>
    </w:p>
    <w:p w14:paraId="0370C8C6" w14:textId="166DF17A" w:rsidR="00DC56F7" w:rsidRPr="00970D05" w:rsidRDefault="00DC56F7" w:rsidP="00C22B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lang w:val="es-ES"/>
        </w:rPr>
      </w:pPr>
      <w:r>
        <w:rPr>
          <w:rFonts w:ascii="Cambria" w:hAnsi="Cambria"/>
          <w:sz w:val="20"/>
          <w:szCs w:val="20"/>
          <w:lang w:val="es"/>
        </w:rPr>
        <w:t>La Comisión recuerda que en situaciones en las que se alegan violaciones contra la vida y la integridad personal, los recursos internos que deben tomarse en cuenta a los efectos de la admisibilidad de la petición son los relacionados con la investigación penal y sanción de los responsables por dichos hechos, que se traducen en la legislación interna en delitos perseguibles de oficio</w:t>
      </w:r>
      <w:r>
        <w:rPr>
          <w:rStyle w:val="FootnoteReference"/>
          <w:rFonts w:ascii="Cambria" w:hAnsi="Cambria"/>
          <w:sz w:val="20"/>
          <w:szCs w:val="20"/>
          <w:lang w:val="es"/>
        </w:rPr>
        <w:footnoteReference w:id="5"/>
      </w:r>
      <w:r>
        <w:rPr>
          <w:rFonts w:ascii="Cambria" w:hAnsi="Cambria"/>
          <w:sz w:val="20"/>
          <w:szCs w:val="20"/>
          <w:lang w:val="es"/>
        </w:rPr>
        <w:t>. Una investigación de esta naturaleza es la única vía idónea para esclarecer los hechos y establecer las sanciones penales correspondientes, además de posibilitar otros modos de reparación de tipo pecuniario. En este sentido, la Comisión observa que, a solicitud del peticionario, el Estado abrió una investigación tras la cual se determinó la falta de elementos suficientes para juzgar a los agentes estatales involucrados en el homicidio de las presuntas víctimas. A los efectos del agotamiento de los recursos internos, la Comisión considera que el peticionario no estaba obligado a apelar ante la Corte de Justicia como señala el Estado. En cu</w:t>
      </w:r>
      <w:r w:rsidR="00FE4E20">
        <w:rPr>
          <w:rFonts w:ascii="Cambria" w:hAnsi="Cambria"/>
          <w:sz w:val="20"/>
          <w:szCs w:val="20"/>
          <w:lang w:val="es"/>
        </w:rPr>
        <w:t>a</w:t>
      </w:r>
      <w:r>
        <w:rPr>
          <w:rFonts w:ascii="Cambria" w:hAnsi="Cambria"/>
          <w:sz w:val="20"/>
          <w:szCs w:val="20"/>
          <w:lang w:val="es"/>
        </w:rPr>
        <w:t xml:space="preserve">nto a la alegada demora injustificada en la investigación, la Comisión evalúa las circunstancias y realiza un análisis caso por caso para determinar si se </w:t>
      </w:r>
      <w:r>
        <w:rPr>
          <w:rFonts w:ascii="Cambria" w:hAnsi="Cambria"/>
          <w:sz w:val="20"/>
          <w:szCs w:val="20"/>
          <w:lang w:val="es"/>
        </w:rPr>
        <w:lastRenderedPageBreak/>
        <w:t xml:space="preserve">ha producido una demora injustificada. Como regla general, la Comisión establece que una investigación penal debe realizarse con prontitud para proteger los intereses de las víctimas y preservar la prueba. Para establecer si una investigación ha sido realizada </w:t>
      </w:r>
      <w:r w:rsidR="00FE4E20">
        <w:rPr>
          <w:rFonts w:ascii="Cambria" w:hAnsi="Cambria"/>
          <w:sz w:val="20"/>
          <w:szCs w:val="20"/>
          <w:lang w:val="es"/>
        </w:rPr>
        <w:t>“</w:t>
      </w:r>
      <w:r>
        <w:rPr>
          <w:rFonts w:ascii="Cambria" w:hAnsi="Cambria"/>
          <w:sz w:val="20"/>
          <w:szCs w:val="20"/>
          <w:lang w:val="es"/>
        </w:rPr>
        <w:t>con prontitud</w:t>
      </w:r>
      <w:r w:rsidR="00FE4E20">
        <w:rPr>
          <w:rFonts w:ascii="Cambria" w:hAnsi="Cambria"/>
          <w:sz w:val="20"/>
          <w:szCs w:val="20"/>
          <w:lang w:val="es"/>
        </w:rPr>
        <w:t>”</w:t>
      </w:r>
      <w:r>
        <w:rPr>
          <w:rFonts w:ascii="Cambria" w:hAnsi="Cambria"/>
          <w:sz w:val="20"/>
          <w:szCs w:val="20"/>
          <w:lang w:val="es"/>
        </w:rPr>
        <w:t>, la Comisión considera una serie de factores, como el tiempo transcurrido desde que se cometió el delito, si la investigación ha pasado de la etapa preliminar, las medidas que han adoptado las autoridades</w:t>
      </w:r>
      <w:r w:rsidR="00FE4E20">
        <w:rPr>
          <w:rFonts w:ascii="Cambria" w:hAnsi="Cambria"/>
          <w:sz w:val="20"/>
          <w:szCs w:val="20"/>
          <w:lang w:val="es"/>
        </w:rPr>
        <w:t>,</w:t>
      </w:r>
      <w:r>
        <w:rPr>
          <w:rFonts w:ascii="Cambria" w:hAnsi="Cambria"/>
          <w:sz w:val="20"/>
          <w:szCs w:val="20"/>
          <w:lang w:val="es"/>
        </w:rPr>
        <w:t xml:space="preserve"> así como la complejidad del caso. Para la Comisión, el Estado no ha presentado ninguna razón de peso que justifique una investigación de cuatro años de duración. Por ello, la Comisión </w:t>
      </w:r>
      <w:r w:rsidR="003769E1">
        <w:rPr>
          <w:rFonts w:ascii="Cambria" w:hAnsi="Cambria"/>
          <w:sz w:val="20"/>
          <w:szCs w:val="20"/>
          <w:lang w:val="es"/>
        </w:rPr>
        <w:t>concluye</w:t>
      </w:r>
      <w:r>
        <w:rPr>
          <w:rFonts w:ascii="Cambria" w:hAnsi="Cambria"/>
          <w:sz w:val="20"/>
          <w:szCs w:val="20"/>
          <w:lang w:val="es"/>
        </w:rPr>
        <w:t xml:space="preserve"> que existió una demora injustificada en la realización de esta investigación.</w:t>
      </w:r>
    </w:p>
    <w:p w14:paraId="18D2F4C0" w14:textId="2CE62F8B" w:rsidR="00DC56F7" w:rsidRPr="00970D05" w:rsidRDefault="00DC56F7" w:rsidP="00C22B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lang w:val="es-ES"/>
        </w:rPr>
      </w:pPr>
      <w:r>
        <w:rPr>
          <w:rFonts w:ascii="Cambria" w:hAnsi="Cambria"/>
          <w:sz w:val="20"/>
          <w:szCs w:val="20"/>
          <w:lang w:val="es"/>
        </w:rPr>
        <w:t xml:space="preserve">Con base en lo anterior, la Comisión establece que la presente petición cumple con el requisito del agotamiento de recursos internos establecido en el artículo 46 (1)(a) de la Convención. La Comisión observa que la petición fue presentada el 26 de junio de 2013, que considera es una fecha razonable si se tiene en cuenta la cronología de los hechos que motivaron la presentación de esta petición. Por lo tanto, la CIDH considera que la </w:t>
      </w:r>
      <w:r w:rsidR="003769E1">
        <w:rPr>
          <w:rFonts w:ascii="Cambria" w:hAnsi="Cambria"/>
          <w:sz w:val="20"/>
          <w:szCs w:val="20"/>
          <w:lang w:val="es"/>
        </w:rPr>
        <w:t>petición</w:t>
      </w:r>
      <w:r>
        <w:rPr>
          <w:rFonts w:ascii="Cambria" w:hAnsi="Cambria"/>
          <w:sz w:val="20"/>
          <w:szCs w:val="20"/>
          <w:lang w:val="es"/>
        </w:rPr>
        <w:t xml:space="preserve"> cumple con el requisito del plazo de presentación, por lo que la declara admisible.</w:t>
      </w:r>
    </w:p>
    <w:p w14:paraId="700432A7" w14:textId="77777777" w:rsidR="00DC56F7" w:rsidRPr="00970D05" w:rsidRDefault="00DC56F7" w:rsidP="00DC56F7">
      <w:pPr>
        <w:pStyle w:val="ListParagraph"/>
        <w:spacing w:before="120" w:after="120"/>
        <w:jc w:val="both"/>
        <w:rPr>
          <w:rFonts w:asciiTheme="majorHAnsi" w:hAnsiTheme="majorHAnsi"/>
          <w:b/>
          <w:sz w:val="20"/>
          <w:szCs w:val="20"/>
          <w:lang w:val="es-ES"/>
        </w:rPr>
      </w:pPr>
      <w:r>
        <w:rPr>
          <w:rFonts w:asciiTheme="majorHAnsi" w:hAnsiTheme="majorHAnsi"/>
          <w:b/>
          <w:bCs/>
          <w:sz w:val="20"/>
          <w:szCs w:val="20"/>
          <w:lang w:val="es"/>
        </w:rPr>
        <w:t>VII.</w:t>
      </w:r>
      <w:r>
        <w:rPr>
          <w:rFonts w:asciiTheme="majorHAnsi" w:hAnsiTheme="majorHAnsi"/>
          <w:b/>
          <w:bCs/>
          <w:sz w:val="20"/>
          <w:szCs w:val="20"/>
          <w:lang w:val="es"/>
        </w:rPr>
        <w:tab/>
        <w:t>CARACTERIZACIÓN DE LOS HECHOS ALEGADOS</w:t>
      </w:r>
    </w:p>
    <w:p w14:paraId="6C1826C1" w14:textId="51629FA6" w:rsidR="00DC56F7" w:rsidRPr="00970D05" w:rsidRDefault="00DC56F7" w:rsidP="00C22B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lang w:val="es-ES"/>
        </w:rPr>
      </w:pPr>
      <w:r>
        <w:rPr>
          <w:rFonts w:ascii="Cambria" w:hAnsi="Cambria"/>
          <w:sz w:val="20"/>
          <w:szCs w:val="20"/>
          <w:lang w:val="es"/>
        </w:rPr>
        <w:t>En cuanto a la ejecución extrajudicial de las presuntas víctimas, la CIDH observa que el Estado llevó a cabo una investigación tanto a nivel de la procuraduría general como a nivel judicial.</w:t>
      </w:r>
      <w:r w:rsidR="00057B5E">
        <w:rPr>
          <w:rFonts w:ascii="Cambria" w:hAnsi="Cambria"/>
          <w:sz w:val="20"/>
          <w:szCs w:val="20"/>
          <w:lang w:val="es"/>
        </w:rPr>
        <w:t xml:space="preserve"> </w:t>
      </w:r>
      <w:r>
        <w:rPr>
          <w:rFonts w:ascii="Cambria" w:hAnsi="Cambria"/>
          <w:sz w:val="20"/>
          <w:szCs w:val="20"/>
          <w:lang w:val="es"/>
        </w:rPr>
        <w:t xml:space="preserve">Tras esta investigación se determinó que no había razones legales o pruebas suficientes para juzgar a ninguno de los oficiales involucrados en estos homicidios. No obstante, el Estado aún no ha esclarecido los hechos que derivaron en la muerte de las cuatro presuntas víctimas. Por lo tanto, la Comisión considera que la alegada ejecución extrajudicial de las presuntas víctimas, la falta de esclarecimiento de los hechos que derivaron en estos homicidios y la demora en la realización de la investigación podrían configurar posibles violaciones de los derechos consagrados en los artículos 4 (derecho a la vida), 8 (garantías judiciales) y 25 (protección judicial) de la Convención Americana. Asimismo, si son probados, </w:t>
      </w:r>
      <w:r w:rsidR="00A90A98">
        <w:rPr>
          <w:rFonts w:ascii="Cambria" w:hAnsi="Cambria"/>
          <w:sz w:val="20"/>
          <w:szCs w:val="20"/>
          <w:lang w:val="es"/>
        </w:rPr>
        <w:t>estos alegatos</w:t>
      </w:r>
      <w:r>
        <w:rPr>
          <w:rFonts w:ascii="Cambria" w:hAnsi="Cambria"/>
          <w:sz w:val="20"/>
          <w:szCs w:val="20"/>
          <w:lang w:val="es"/>
        </w:rPr>
        <w:t xml:space="preserve"> podrían constituir violaciones de los derechos consagrados en el artículo 5 (integridad personal), 8 (garantías judiciales) y 25 (protección judicial) de la Convención Americana, en relación con su artículo 1 (1) (obligación de respetar los derechos), en perjuicio de los familiares de las presuntas víctimas.</w:t>
      </w:r>
    </w:p>
    <w:p w14:paraId="75939E24" w14:textId="16DBD160" w:rsidR="00DC56F7" w:rsidRPr="00970D05" w:rsidRDefault="00DC56F7" w:rsidP="00C22B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lang w:val="es-ES"/>
        </w:rPr>
      </w:pPr>
      <w:r>
        <w:rPr>
          <w:rFonts w:ascii="Cambria" w:hAnsi="Cambria"/>
          <w:sz w:val="20"/>
          <w:szCs w:val="20"/>
          <w:lang w:val="es"/>
        </w:rPr>
        <w:t xml:space="preserve">La Comisión considera que el peticionario no ha aportado </w:t>
      </w:r>
      <w:r w:rsidR="00B011C7">
        <w:rPr>
          <w:rFonts w:ascii="Cambria" w:hAnsi="Cambria"/>
          <w:sz w:val="20"/>
          <w:szCs w:val="20"/>
          <w:lang w:val="es"/>
        </w:rPr>
        <w:t xml:space="preserve">suficientes </w:t>
      </w:r>
      <w:r>
        <w:rPr>
          <w:rFonts w:ascii="Cambria" w:hAnsi="Cambria"/>
          <w:sz w:val="20"/>
          <w:szCs w:val="20"/>
          <w:lang w:val="es"/>
        </w:rPr>
        <w:t xml:space="preserve">pruebas para </w:t>
      </w:r>
      <w:r w:rsidR="00B011C7">
        <w:rPr>
          <w:rFonts w:ascii="Cambria" w:hAnsi="Cambria"/>
          <w:sz w:val="20"/>
          <w:szCs w:val="20"/>
          <w:lang w:val="es"/>
        </w:rPr>
        <w:t>establecer</w:t>
      </w:r>
      <w:r>
        <w:rPr>
          <w:rFonts w:ascii="Cambria" w:hAnsi="Cambria"/>
          <w:sz w:val="20"/>
          <w:szCs w:val="20"/>
          <w:lang w:val="es"/>
        </w:rPr>
        <w:t xml:space="preserve"> una posible violación de los derechos consagrados en el artículo 27 (suspensión de garantías) incisos (1) y (2) de la Convención Americana.</w:t>
      </w:r>
    </w:p>
    <w:p w14:paraId="3B26B7CD" w14:textId="77777777" w:rsidR="00DC56F7" w:rsidRPr="000B6B7A" w:rsidRDefault="00DC56F7" w:rsidP="00DC56F7">
      <w:pPr>
        <w:pStyle w:val="ListParagraph"/>
        <w:spacing w:before="120" w:after="120"/>
        <w:jc w:val="both"/>
        <w:rPr>
          <w:rFonts w:asciiTheme="majorHAnsi" w:hAnsiTheme="majorHAnsi"/>
          <w:b/>
          <w:bCs/>
          <w:sz w:val="20"/>
          <w:szCs w:val="20"/>
        </w:rPr>
      </w:pPr>
      <w:r>
        <w:rPr>
          <w:rFonts w:asciiTheme="majorHAnsi" w:hAnsiTheme="majorHAnsi"/>
          <w:b/>
          <w:bCs/>
          <w:sz w:val="20"/>
          <w:szCs w:val="20"/>
          <w:lang w:val="es"/>
        </w:rPr>
        <w:t xml:space="preserve">VIII. </w:t>
      </w:r>
      <w:r>
        <w:rPr>
          <w:rFonts w:asciiTheme="majorHAnsi" w:hAnsiTheme="majorHAnsi"/>
          <w:b/>
          <w:bCs/>
          <w:sz w:val="20"/>
          <w:szCs w:val="20"/>
          <w:lang w:val="es"/>
        </w:rPr>
        <w:tab/>
        <w:t>DECISIÓN</w:t>
      </w:r>
    </w:p>
    <w:p w14:paraId="5ED01653" w14:textId="77777777" w:rsidR="00DC56F7" w:rsidRPr="00DC56F7" w:rsidRDefault="00DC56F7" w:rsidP="00C22B46">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before="120" w:after="240"/>
        <w:jc w:val="both"/>
        <w:rPr>
          <w:sz w:val="20"/>
          <w:szCs w:val="20"/>
          <w:lang w:val="es-PA"/>
        </w:rPr>
      </w:pPr>
      <w:r w:rsidRPr="00DC56F7">
        <w:rPr>
          <w:rFonts w:asciiTheme="majorHAnsi" w:hAnsiTheme="majorHAnsi"/>
          <w:sz w:val="20"/>
          <w:szCs w:val="20"/>
          <w:lang w:val="es"/>
        </w:rPr>
        <w:t xml:space="preserve">Declarar admisible la presente petición </w:t>
      </w:r>
      <w:r w:rsidRPr="00DC56F7">
        <w:rPr>
          <w:rFonts w:asciiTheme="majorHAnsi" w:hAnsiTheme="majorHAnsi"/>
          <w:color w:val="auto"/>
          <w:sz w:val="20"/>
          <w:szCs w:val="20"/>
          <w:lang w:val="es"/>
        </w:rPr>
        <w:t>respecto de los artículos 4, 5, 8 y 25 de la Convención Americana en concordancia con el artículo 1 (1) del mismo instrumento;</w:t>
      </w:r>
      <w:r w:rsidRPr="00DC56F7">
        <w:rPr>
          <w:rFonts w:asciiTheme="majorHAnsi" w:hAnsiTheme="majorHAnsi"/>
          <w:color w:val="FF0000"/>
          <w:sz w:val="20"/>
          <w:szCs w:val="20"/>
          <w:lang w:val="es"/>
        </w:rPr>
        <w:t xml:space="preserve"> </w:t>
      </w:r>
    </w:p>
    <w:p w14:paraId="63CC93BE" w14:textId="010CB032" w:rsidR="00DC56F7" w:rsidRPr="00DC56F7" w:rsidRDefault="00DC56F7" w:rsidP="00C22B46">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before="120" w:after="240"/>
        <w:jc w:val="both"/>
        <w:rPr>
          <w:sz w:val="20"/>
          <w:szCs w:val="20"/>
          <w:lang w:val="es-PA"/>
        </w:rPr>
      </w:pPr>
      <w:r w:rsidRPr="00DC56F7">
        <w:rPr>
          <w:rFonts w:asciiTheme="majorHAnsi" w:hAnsiTheme="majorHAnsi"/>
          <w:color w:val="auto"/>
          <w:sz w:val="20"/>
          <w:szCs w:val="20"/>
          <w:lang w:val="es"/>
        </w:rPr>
        <w:t xml:space="preserve">Declarar inadmisible la presente petición respecto del artículo 27 de la Convención Americana; </w:t>
      </w:r>
      <w:r w:rsidRPr="00DC56F7">
        <w:rPr>
          <w:color w:val="auto"/>
          <w:sz w:val="20"/>
          <w:szCs w:val="20"/>
          <w:lang w:val="es"/>
        </w:rPr>
        <w:t xml:space="preserve">y </w:t>
      </w:r>
    </w:p>
    <w:p w14:paraId="58C4B227" w14:textId="44668179" w:rsidR="004A6A54" w:rsidRPr="00DC56F7" w:rsidRDefault="00DC56F7" w:rsidP="00C22B46">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before="120" w:after="240"/>
        <w:jc w:val="both"/>
        <w:rPr>
          <w:sz w:val="20"/>
          <w:szCs w:val="20"/>
          <w:lang w:val="es-PA"/>
        </w:rPr>
      </w:pPr>
      <w:r w:rsidRPr="00DC56F7">
        <w:rPr>
          <w:rFonts w:asciiTheme="majorHAnsi" w:hAnsiTheme="majorHAnsi"/>
          <w:sz w:val="20"/>
          <w:szCs w:val="20"/>
          <w:lang w:val="es"/>
        </w:rPr>
        <w:t>Notificar a las partes la presente decisión, publicar esta decisión e incluirla en su Informe Anual a la Asamblea General de la Organización de los Estados Americanos.</w:t>
      </w:r>
    </w:p>
    <w:p w14:paraId="0CF365D3" w14:textId="3BCDF169" w:rsidR="003239B8" w:rsidRPr="00D33A79" w:rsidRDefault="00F2657C" w:rsidP="00C22B46">
      <w:pPr>
        <w:pStyle w:val="ListParagraph"/>
        <w:suppressAutoHyphens/>
        <w:spacing w:before="120" w:after="240"/>
        <w:ind w:left="0" w:firstLine="720"/>
        <w:jc w:val="both"/>
        <w:rPr>
          <w:rFonts w:asciiTheme="majorHAnsi" w:hAnsiTheme="majorHAnsi"/>
          <w:sz w:val="20"/>
          <w:szCs w:val="20"/>
          <w:lang w:val="es-ES"/>
        </w:rPr>
      </w:pPr>
      <w:r w:rsidRPr="00C12C79">
        <w:rPr>
          <w:sz w:val="20"/>
          <w:szCs w:val="20"/>
          <w:lang w:val="es-ES"/>
        </w:rPr>
        <w:t xml:space="preserve">Aprobado por la Comisión Interamericana de Derechos Humanos a los </w:t>
      </w:r>
      <w:r>
        <w:rPr>
          <w:sz w:val="20"/>
          <w:szCs w:val="20"/>
          <w:lang w:val="es-ES"/>
        </w:rPr>
        <w:t>6</w:t>
      </w:r>
      <w:r w:rsidRPr="00C12C79">
        <w:rPr>
          <w:sz w:val="20"/>
          <w:szCs w:val="20"/>
          <w:lang w:val="es-ES"/>
        </w:rPr>
        <w:t xml:space="preserve"> días del mes de </w:t>
      </w:r>
      <w:r>
        <w:rPr>
          <w:rFonts w:cs="Arial"/>
          <w:noProof/>
          <w:spacing w:val="-2"/>
          <w:sz w:val="20"/>
          <w:szCs w:val="20"/>
          <w:lang w:val="es-CL"/>
        </w:rPr>
        <w:t>diciembre</w:t>
      </w:r>
      <w:r w:rsidRPr="00C12C79">
        <w:rPr>
          <w:sz w:val="20"/>
          <w:szCs w:val="20"/>
          <w:lang w:val="es-ES"/>
        </w:rPr>
        <w:t xml:space="preserve"> de 2019.  (Firmado): Esmeralda E. Arosemena Bernal de Troitiño, Presidenta; Joel Hernández García, Primer Vicepresidente; Antonia Urrejola Noguera, Segunda Vicepresidenta; Margarette May Macaulay, Francisco José Eguiguren Praeli, Luis Ernesto Vargas Silva y Flávia Piovesan, Miembros de la Comisión.</w:t>
      </w:r>
      <w:r>
        <w:rPr>
          <w:sz w:val="20"/>
          <w:szCs w:val="20"/>
          <w:lang w:val="es-ES"/>
        </w:rPr>
        <w:t xml:space="preserve"> </w:t>
      </w:r>
    </w:p>
    <w:p w14:paraId="70961974" w14:textId="77777777" w:rsidR="008D768D" w:rsidRPr="003239B8" w:rsidRDefault="008D768D" w:rsidP="001D65EF">
      <w:pPr>
        <w:tabs>
          <w:tab w:val="center" w:pos="5400"/>
        </w:tabs>
        <w:suppressAutoHyphens/>
        <w:spacing w:line="276" w:lineRule="auto"/>
        <w:rPr>
          <w:rFonts w:asciiTheme="majorHAnsi" w:hAnsiTheme="majorHAnsi"/>
          <w:sz w:val="20"/>
          <w:szCs w:val="20"/>
          <w:lang w:val="es-ES"/>
        </w:rPr>
      </w:pPr>
    </w:p>
    <w:p w14:paraId="495B741F" w14:textId="77777777" w:rsidR="008D768D" w:rsidRPr="007253B8" w:rsidRDefault="008D768D" w:rsidP="001D65EF">
      <w:pPr>
        <w:tabs>
          <w:tab w:val="center" w:pos="5400"/>
        </w:tabs>
        <w:suppressAutoHyphens/>
        <w:spacing w:line="276" w:lineRule="auto"/>
        <w:rPr>
          <w:rFonts w:asciiTheme="majorHAnsi" w:hAnsiTheme="majorHAnsi"/>
          <w:sz w:val="20"/>
          <w:szCs w:val="20"/>
          <w:lang w:val="es-ES_tradnl"/>
        </w:rPr>
      </w:pPr>
    </w:p>
    <w:p w14:paraId="5482A233" w14:textId="77777777" w:rsidR="00722C9F" w:rsidRPr="00974491" w:rsidRDefault="00722C9F" w:rsidP="00974491">
      <w:pPr>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AC8C4" w14:textId="77777777" w:rsidR="00184E9F" w:rsidRDefault="00184E9F">
      <w:r>
        <w:separator/>
      </w:r>
    </w:p>
  </w:endnote>
  <w:endnote w:type="continuationSeparator" w:id="0">
    <w:p w14:paraId="53EEA061" w14:textId="77777777" w:rsidR="00184E9F" w:rsidRDefault="0018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63235" w14:textId="77777777" w:rsidR="00A9469E" w:rsidRDefault="00A946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1200A08A" w14:textId="248F5755" w:rsidR="0099258D" w:rsidRPr="00934A2C" w:rsidRDefault="0099258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9469E">
          <w:rPr>
            <w:noProof/>
            <w:sz w:val="16"/>
            <w:szCs w:val="22"/>
          </w:rPr>
          <w:t>1</w:t>
        </w:r>
        <w:r w:rsidRPr="00934A2C">
          <w:rPr>
            <w:noProof/>
            <w:sz w:val="16"/>
            <w:szCs w:val="22"/>
          </w:rPr>
          <w:fldChar w:fldCharType="end"/>
        </w:r>
      </w:p>
    </w:sdtContent>
  </w:sdt>
  <w:p w14:paraId="3D1B8761" w14:textId="77777777" w:rsidR="0099258D" w:rsidRDefault="009925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F55F1" w14:textId="77777777" w:rsidR="0099258D" w:rsidRPr="00934A2C" w:rsidRDefault="0099258D">
    <w:pPr>
      <w:pStyle w:val="Footer"/>
      <w:jc w:val="center"/>
      <w:rPr>
        <w:sz w:val="16"/>
        <w:szCs w:val="22"/>
      </w:rPr>
    </w:pPr>
  </w:p>
  <w:p w14:paraId="2680C343" w14:textId="77777777" w:rsidR="0099258D" w:rsidRDefault="00992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13CE7" w14:textId="77777777" w:rsidR="00184E9F" w:rsidRPr="000F35ED" w:rsidRDefault="00184E9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A9D2369" w14:textId="77777777" w:rsidR="00184E9F" w:rsidRPr="000F35ED" w:rsidRDefault="00184E9F" w:rsidP="000F35ED">
      <w:pPr>
        <w:rPr>
          <w:rFonts w:asciiTheme="majorHAnsi" w:hAnsiTheme="majorHAnsi"/>
          <w:sz w:val="16"/>
          <w:szCs w:val="16"/>
        </w:rPr>
      </w:pPr>
      <w:r w:rsidRPr="000F35ED">
        <w:rPr>
          <w:rFonts w:asciiTheme="majorHAnsi" w:hAnsiTheme="majorHAnsi"/>
          <w:sz w:val="16"/>
          <w:szCs w:val="16"/>
        </w:rPr>
        <w:separator/>
      </w:r>
    </w:p>
    <w:p w14:paraId="69644111" w14:textId="77777777" w:rsidR="00184E9F" w:rsidRPr="000F35ED" w:rsidRDefault="00184E9F"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00B3461F" w14:textId="77777777" w:rsidR="00184E9F" w:rsidRPr="000F35ED" w:rsidRDefault="00184E9F"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38B96A23" w14:textId="45FCA32D" w:rsidR="00485724" w:rsidRPr="00DA0AC1" w:rsidRDefault="00485724" w:rsidP="007176C4">
      <w:pPr>
        <w:pStyle w:val="FootnoteText"/>
        <w:rPr>
          <w:rFonts w:ascii="Cambria" w:hAnsi="Cambria"/>
          <w:sz w:val="16"/>
          <w:szCs w:val="16"/>
          <w:lang w:val="es-ES"/>
        </w:rPr>
      </w:pPr>
      <w:r w:rsidRPr="008546E5">
        <w:rPr>
          <w:rStyle w:val="FootnoteReference"/>
          <w:rFonts w:ascii="Cambria" w:hAnsi="Cambria"/>
          <w:sz w:val="16"/>
          <w:szCs w:val="16"/>
        </w:rPr>
        <w:footnoteRef/>
      </w:r>
      <w:r w:rsidRPr="00DA0AC1">
        <w:rPr>
          <w:rFonts w:ascii="Cambria" w:hAnsi="Cambria"/>
          <w:sz w:val="16"/>
          <w:szCs w:val="16"/>
          <w:lang w:val="es-ES"/>
        </w:rPr>
        <w:t xml:space="preserve"> </w:t>
      </w:r>
      <w:r w:rsidR="00DA0AC1" w:rsidRPr="00DA0AC1">
        <w:rPr>
          <w:rFonts w:ascii="Cambria" w:hAnsi="Cambria"/>
          <w:sz w:val="16"/>
          <w:szCs w:val="16"/>
          <w:lang w:val="es-ES"/>
        </w:rPr>
        <w:t>En adelante, “Convención Americana” o “la Convención”.</w:t>
      </w:r>
    </w:p>
  </w:footnote>
  <w:footnote w:id="3">
    <w:p w14:paraId="2551BE75" w14:textId="77777777" w:rsidR="0099258D" w:rsidRPr="007C4150" w:rsidRDefault="0099258D" w:rsidP="007176C4">
      <w:pPr>
        <w:pStyle w:val="FootnoteText"/>
        <w:jc w:val="both"/>
        <w:rPr>
          <w:rFonts w:asciiTheme="majorHAnsi" w:hAnsiTheme="majorHAnsi"/>
          <w:sz w:val="16"/>
          <w:szCs w:val="16"/>
          <w:lang w:val="es-ES"/>
        </w:rPr>
      </w:pPr>
      <w:r w:rsidRPr="007C4150">
        <w:rPr>
          <w:rStyle w:val="FootnoteReference"/>
          <w:rFonts w:asciiTheme="majorHAnsi" w:hAnsiTheme="majorHAnsi"/>
          <w:sz w:val="16"/>
          <w:szCs w:val="16"/>
        </w:rPr>
        <w:footnoteRef/>
      </w:r>
      <w:r w:rsidRPr="007C4150">
        <w:rPr>
          <w:rFonts w:asciiTheme="majorHAnsi" w:hAnsiTheme="majorHAnsi"/>
          <w:sz w:val="16"/>
          <w:szCs w:val="16"/>
          <w:lang w:val="es-ES"/>
        </w:rPr>
        <w:t xml:space="preserve"> Las observaciones de cada parte fueron debidamente trasladadas a la parte contraria.</w:t>
      </w:r>
    </w:p>
  </w:footnote>
  <w:footnote w:id="4">
    <w:p w14:paraId="02298FF0" w14:textId="42DBF834" w:rsidR="00F16376" w:rsidRPr="00970D05" w:rsidRDefault="00F16376" w:rsidP="007176C4">
      <w:pPr>
        <w:pStyle w:val="FootnoteText"/>
        <w:jc w:val="both"/>
        <w:rPr>
          <w:rFonts w:asciiTheme="majorHAnsi" w:hAnsiTheme="majorHAnsi"/>
          <w:sz w:val="16"/>
          <w:szCs w:val="16"/>
          <w:lang w:val="es-ES"/>
        </w:rPr>
      </w:pPr>
      <w:r>
        <w:rPr>
          <w:rStyle w:val="FootnoteReference"/>
          <w:rFonts w:asciiTheme="majorHAnsi" w:hAnsiTheme="majorHAnsi"/>
          <w:sz w:val="16"/>
          <w:szCs w:val="16"/>
          <w:lang w:val="es"/>
        </w:rPr>
        <w:footnoteRef/>
      </w:r>
      <w:r>
        <w:rPr>
          <w:rFonts w:asciiTheme="majorHAnsi" w:hAnsiTheme="majorHAnsi"/>
          <w:sz w:val="16"/>
          <w:szCs w:val="16"/>
          <w:lang w:val="es"/>
        </w:rPr>
        <w:t xml:space="preserve"> Según el peticionario, el homicidio de las presuntas víctimas se enmarca en un patrón de ejecuciones extrajudiciales policiales que existe en </w:t>
      </w:r>
      <w:r w:rsidR="00F956D2">
        <w:rPr>
          <w:rFonts w:asciiTheme="majorHAnsi" w:hAnsiTheme="majorHAnsi"/>
          <w:sz w:val="16"/>
          <w:szCs w:val="16"/>
          <w:lang w:val="es"/>
        </w:rPr>
        <w:t>Surinam</w:t>
      </w:r>
      <w:r>
        <w:rPr>
          <w:rFonts w:asciiTheme="majorHAnsi" w:hAnsiTheme="majorHAnsi"/>
          <w:sz w:val="16"/>
          <w:szCs w:val="16"/>
          <w:lang w:val="es"/>
        </w:rPr>
        <w:t xml:space="preserve"> desde 2004.</w:t>
      </w:r>
    </w:p>
  </w:footnote>
  <w:footnote w:id="5">
    <w:p w14:paraId="0F46CA3B" w14:textId="77777777" w:rsidR="00DC56F7" w:rsidRPr="00774436" w:rsidRDefault="00DC56F7" w:rsidP="00DC56F7">
      <w:pPr>
        <w:pStyle w:val="FootnoteText"/>
        <w:rPr>
          <w:rFonts w:asciiTheme="majorHAnsi" w:hAnsiTheme="majorHAnsi"/>
          <w:sz w:val="16"/>
          <w:szCs w:val="16"/>
        </w:rPr>
      </w:pPr>
      <w:r>
        <w:rPr>
          <w:rStyle w:val="FootnoteReference"/>
          <w:rFonts w:asciiTheme="majorHAnsi" w:hAnsiTheme="majorHAnsi"/>
          <w:sz w:val="16"/>
          <w:szCs w:val="16"/>
          <w:lang w:val="es"/>
        </w:rPr>
        <w:footnoteRef/>
      </w:r>
      <w:r>
        <w:rPr>
          <w:rFonts w:asciiTheme="majorHAnsi" w:hAnsiTheme="majorHAnsi"/>
          <w:sz w:val="16"/>
          <w:szCs w:val="16"/>
          <w:lang w:val="es"/>
        </w:rPr>
        <w:t xml:space="preserve"> CIDH, Informe N</w:t>
      </w:r>
      <w:proofErr w:type="gramStart"/>
      <w:r>
        <w:rPr>
          <w:rFonts w:asciiTheme="majorHAnsi" w:hAnsiTheme="majorHAnsi"/>
          <w:sz w:val="16"/>
          <w:szCs w:val="16"/>
          <w:lang w:val="es"/>
        </w:rPr>
        <w:t>.º</w:t>
      </w:r>
      <w:proofErr w:type="gramEnd"/>
      <w:r>
        <w:rPr>
          <w:rFonts w:asciiTheme="majorHAnsi" w:hAnsiTheme="majorHAnsi"/>
          <w:sz w:val="16"/>
          <w:szCs w:val="16"/>
          <w:lang w:val="es"/>
        </w:rPr>
        <w:t xml:space="preserve"> 155/17, Petición 1470-08. Admisibilidad. Beatriz Elena Sanmiguel Bastidas y Familia. Colombia. 30 de noviembre de 2017, párr.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EC5E" w14:textId="77777777" w:rsidR="0099258D" w:rsidRDefault="0099258D" w:rsidP="0099258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A489E21" w14:textId="77777777" w:rsidR="0099258D" w:rsidRDefault="009925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DD9BF" w14:textId="77777777" w:rsidR="0099258D" w:rsidRDefault="0099258D" w:rsidP="00A50FCF">
    <w:pPr>
      <w:pStyle w:val="Header"/>
      <w:tabs>
        <w:tab w:val="clear" w:pos="4320"/>
        <w:tab w:val="clear" w:pos="8640"/>
      </w:tabs>
      <w:jc w:val="center"/>
      <w:rPr>
        <w:sz w:val="22"/>
        <w:szCs w:val="22"/>
      </w:rPr>
    </w:pPr>
    <w:r>
      <w:rPr>
        <w:noProof/>
        <w:sz w:val="22"/>
        <w:szCs w:val="22"/>
      </w:rPr>
      <w:drawing>
        <wp:inline distT="0" distB="0" distL="0" distR="0" wp14:anchorId="281B3C60" wp14:editId="37E7F64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B574A09" w14:textId="77777777" w:rsidR="0099258D" w:rsidRPr="00EC7D62" w:rsidRDefault="00184E9F" w:rsidP="00A50FCF">
    <w:pPr>
      <w:pStyle w:val="Header"/>
      <w:tabs>
        <w:tab w:val="clear" w:pos="4320"/>
        <w:tab w:val="clear" w:pos="8640"/>
      </w:tabs>
      <w:jc w:val="center"/>
      <w:rPr>
        <w:sz w:val="22"/>
        <w:szCs w:val="22"/>
      </w:rPr>
    </w:pPr>
    <w:r>
      <w:rPr>
        <w:sz w:val="22"/>
        <w:szCs w:val="22"/>
      </w:rPr>
      <w:pict w14:anchorId="58E005F7">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51E9A" w14:textId="77777777" w:rsidR="00A9469E" w:rsidRDefault="00A946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34C8462A"/>
    <w:lvl w:ilvl="0" w:tplc="4C5CB61C">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23442C8"/>
    <w:multiLevelType w:val="hybridMultilevel"/>
    <w:tmpl w:val="34C8462A"/>
    <w:lvl w:ilvl="0" w:tplc="4C5CB61C">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4"/>
  </w:num>
  <w:num w:numId="96">
    <w:abstractNumId w:val="57"/>
  </w:num>
  <w:num w:numId="97">
    <w:abstractNumId w:val="54"/>
  </w:num>
  <w:num w:numId="98">
    <w:abstractNumId w:val="48"/>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6"/>
  </w:num>
  <w:num w:numId="110">
    <w:abstractNumId w:val="5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0DFF"/>
    <w:rsid w:val="000121EF"/>
    <w:rsid w:val="0001560F"/>
    <w:rsid w:val="0001788C"/>
    <w:rsid w:val="000337EF"/>
    <w:rsid w:val="00040C3A"/>
    <w:rsid w:val="000419AD"/>
    <w:rsid w:val="00046260"/>
    <w:rsid w:val="00050465"/>
    <w:rsid w:val="00057B5E"/>
    <w:rsid w:val="000641CA"/>
    <w:rsid w:val="000716C5"/>
    <w:rsid w:val="00075E23"/>
    <w:rsid w:val="0009344A"/>
    <w:rsid w:val="000A392E"/>
    <w:rsid w:val="000A575F"/>
    <w:rsid w:val="000A785C"/>
    <w:rsid w:val="000C0F58"/>
    <w:rsid w:val="000C521D"/>
    <w:rsid w:val="000C5F6A"/>
    <w:rsid w:val="000D10DB"/>
    <w:rsid w:val="000E5EB5"/>
    <w:rsid w:val="000F35ED"/>
    <w:rsid w:val="00107131"/>
    <w:rsid w:val="0010736F"/>
    <w:rsid w:val="001136CF"/>
    <w:rsid w:val="00113F73"/>
    <w:rsid w:val="00121CC2"/>
    <w:rsid w:val="00133EE5"/>
    <w:rsid w:val="0013619C"/>
    <w:rsid w:val="00157768"/>
    <w:rsid w:val="00167A34"/>
    <w:rsid w:val="00171A7E"/>
    <w:rsid w:val="00184E9F"/>
    <w:rsid w:val="001A44EB"/>
    <w:rsid w:val="001A7870"/>
    <w:rsid w:val="001B31B5"/>
    <w:rsid w:val="001B3A00"/>
    <w:rsid w:val="001C1B41"/>
    <w:rsid w:val="001D65EF"/>
    <w:rsid w:val="001E49E7"/>
    <w:rsid w:val="001F0322"/>
    <w:rsid w:val="001F7201"/>
    <w:rsid w:val="001F76DC"/>
    <w:rsid w:val="002031A3"/>
    <w:rsid w:val="00207299"/>
    <w:rsid w:val="00210EC0"/>
    <w:rsid w:val="0021484C"/>
    <w:rsid w:val="00217C73"/>
    <w:rsid w:val="00223A29"/>
    <w:rsid w:val="002250A3"/>
    <w:rsid w:val="00231998"/>
    <w:rsid w:val="00235217"/>
    <w:rsid w:val="0024549B"/>
    <w:rsid w:val="00246D1F"/>
    <w:rsid w:val="00247403"/>
    <w:rsid w:val="00247542"/>
    <w:rsid w:val="00266B61"/>
    <w:rsid w:val="0026712A"/>
    <w:rsid w:val="002704DB"/>
    <w:rsid w:val="002A0AAE"/>
    <w:rsid w:val="002A5820"/>
    <w:rsid w:val="002B0C4E"/>
    <w:rsid w:val="002D2B26"/>
    <w:rsid w:val="002D5DFD"/>
    <w:rsid w:val="002D7EA2"/>
    <w:rsid w:val="002E187C"/>
    <w:rsid w:val="00302733"/>
    <w:rsid w:val="00312CCC"/>
    <w:rsid w:val="00314078"/>
    <w:rsid w:val="0031535D"/>
    <w:rsid w:val="003239B8"/>
    <w:rsid w:val="0032427A"/>
    <w:rsid w:val="0033169F"/>
    <w:rsid w:val="00335E12"/>
    <w:rsid w:val="00337F78"/>
    <w:rsid w:val="00344977"/>
    <w:rsid w:val="00346C95"/>
    <w:rsid w:val="00351CF8"/>
    <w:rsid w:val="00356185"/>
    <w:rsid w:val="00360380"/>
    <w:rsid w:val="00364C3F"/>
    <w:rsid w:val="00370BFD"/>
    <w:rsid w:val="00374E78"/>
    <w:rsid w:val="0037519E"/>
    <w:rsid w:val="00375295"/>
    <w:rsid w:val="003769E1"/>
    <w:rsid w:val="00380585"/>
    <w:rsid w:val="0038168A"/>
    <w:rsid w:val="0038296C"/>
    <w:rsid w:val="0038518C"/>
    <w:rsid w:val="00386CF0"/>
    <w:rsid w:val="003A7451"/>
    <w:rsid w:val="003B2204"/>
    <w:rsid w:val="003B6B4F"/>
    <w:rsid w:val="003B70FB"/>
    <w:rsid w:val="003C093F"/>
    <w:rsid w:val="003C676B"/>
    <w:rsid w:val="003D3BC2"/>
    <w:rsid w:val="003E05E8"/>
    <w:rsid w:val="003E2C82"/>
    <w:rsid w:val="003E6CA1"/>
    <w:rsid w:val="004065A8"/>
    <w:rsid w:val="00414671"/>
    <w:rsid w:val="004165C2"/>
    <w:rsid w:val="0043200A"/>
    <w:rsid w:val="004403A2"/>
    <w:rsid w:val="00440B44"/>
    <w:rsid w:val="00441ECB"/>
    <w:rsid w:val="00445193"/>
    <w:rsid w:val="00447897"/>
    <w:rsid w:val="00447BBF"/>
    <w:rsid w:val="004504B2"/>
    <w:rsid w:val="0045247F"/>
    <w:rsid w:val="00454503"/>
    <w:rsid w:val="00462C1B"/>
    <w:rsid w:val="00467B7E"/>
    <w:rsid w:val="00473BB4"/>
    <w:rsid w:val="00477592"/>
    <w:rsid w:val="00485724"/>
    <w:rsid w:val="00486F1C"/>
    <w:rsid w:val="0049419D"/>
    <w:rsid w:val="004A6A54"/>
    <w:rsid w:val="004C20D2"/>
    <w:rsid w:val="004C2312"/>
    <w:rsid w:val="004C4B62"/>
    <w:rsid w:val="004C54C9"/>
    <w:rsid w:val="004D4ABA"/>
    <w:rsid w:val="004D6025"/>
    <w:rsid w:val="004D78C1"/>
    <w:rsid w:val="004E1619"/>
    <w:rsid w:val="004E2649"/>
    <w:rsid w:val="004F7707"/>
    <w:rsid w:val="00501399"/>
    <w:rsid w:val="0050633D"/>
    <w:rsid w:val="00507951"/>
    <w:rsid w:val="00507BC4"/>
    <w:rsid w:val="00512455"/>
    <w:rsid w:val="005128E4"/>
    <w:rsid w:val="005133DB"/>
    <w:rsid w:val="0051652D"/>
    <w:rsid w:val="00525560"/>
    <w:rsid w:val="0053557E"/>
    <w:rsid w:val="00544C49"/>
    <w:rsid w:val="00544E91"/>
    <w:rsid w:val="00547814"/>
    <w:rsid w:val="005516A1"/>
    <w:rsid w:val="00556284"/>
    <w:rsid w:val="00563557"/>
    <w:rsid w:val="00566CB8"/>
    <w:rsid w:val="0057402A"/>
    <w:rsid w:val="005771D0"/>
    <w:rsid w:val="00585D5F"/>
    <w:rsid w:val="00590296"/>
    <w:rsid w:val="0059191A"/>
    <w:rsid w:val="005921FF"/>
    <w:rsid w:val="0059369B"/>
    <w:rsid w:val="005A24ED"/>
    <w:rsid w:val="005A28CC"/>
    <w:rsid w:val="005A6D0E"/>
    <w:rsid w:val="005B226B"/>
    <w:rsid w:val="005B52B0"/>
    <w:rsid w:val="005B6806"/>
    <w:rsid w:val="005C0010"/>
    <w:rsid w:val="005C4225"/>
    <w:rsid w:val="005C5CCF"/>
    <w:rsid w:val="005E5869"/>
    <w:rsid w:val="005F0DAD"/>
    <w:rsid w:val="005F0F33"/>
    <w:rsid w:val="00600DEB"/>
    <w:rsid w:val="00601D91"/>
    <w:rsid w:val="0060356B"/>
    <w:rsid w:val="00606CDA"/>
    <w:rsid w:val="00613C8A"/>
    <w:rsid w:val="006218E4"/>
    <w:rsid w:val="00622697"/>
    <w:rsid w:val="00623C62"/>
    <w:rsid w:val="00627C9F"/>
    <w:rsid w:val="00627DA9"/>
    <w:rsid w:val="006311E9"/>
    <w:rsid w:val="00632354"/>
    <w:rsid w:val="00642810"/>
    <w:rsid w:val="00652333"/>
    <w:rsid w:val="00663E46"/>
    <w:rsid w:val="006731B9"/>
    <w:rsid w:val="0068009E"/>
    <w:rsid w:val="00692219"/>
    <w:rsid w:val="006A0DC2"/>
    <w:rsid w:val="006A17D2"/>
    <w:rsid w:val="006A3251"/>
    <w:rsid w:val="006A73E6"/>
    <w:rsid w:val="006B2D5C"/>
    <w:rsid w:val="006C4EB1"/>
    <w:rsid w:val="006D421B"/>
    <w:rsid w:val="006E0166"/>
    <w:rsid w:val="006E2CC0"/>
    <w:rsid w:val="006E7B34"/>
    <w:rsid w:val="006F00E7"/>
    <w:rsid w:val="006F084F"/>
    <w:rsid w:val="006F1C9E"/>
    <w:rsid w:val="006F5ACD"/>
    <w:rsid w:val="00706149"/>
    <w:rsid w:val="007067C6"/>
    <w:rsid w:val="0070697F"/>
    <w:rsid w:val="00710CE8"/>
    <w:rsid w:val="00711C21"/>
    <w:rsid w:val="007160BD"/>
    <w:rsid w:val="007176C4"/>
    <w:rsid w:val="007218F1"/>
    <w:rsid w:val="0072199C"/>
    <w:rsid w:val="00722C9F"/>
    <w:rsid w:val="007253B8"/>
    <w:rsid w:val="0073741F"/>
    <w:rsid w:val="00742890"/>
    <w:rsid w:val="00742E25"/>
    <w:rsid w:val="00756F85"/>
    <w:rsid w:val="0076643F"/>
    <w:rsid w:val="00777F63"/>
    <w:rsid w:val="0078681C"/>
    <w:rsid w:val="007A0CDE"/>
    <w:rsid w:val="007A5817"/>
    <w:rsid w:val="007B05C4"/>
    <w:rsid w:val="007B60E9"/>
    <w:rsid w:val="007B6CC3"/>
    <w:rsid w:val="007C3334"/>
    <w:rsid w:val="007C4150"/>
    <w:rsid w:val="007D2B98"/>
    <w:rsid w:val="007D48DE"/>
    <w:rsid w:val="007E21BC"/>
    <w:rsid w:val="007E7C82"/>
    <w:rsid w:val="007F203C"/>
    <w:rsid w:val="007F588D"/>
    <w:rsid w:val="00802833"/>
    <w:rsid w:val="00803F1C"/>
    <w:rsid w:val="0080600E"/>
    <w:rsid w:val="0080687A"/>
    <w:rsid w:val="00817612"/>
    <w:rsid w:val="008338A4"/>
    <w:rsid w:val="00834D49"/>
    <w:rsid w:val="00837C45"/>
    <w:rsid w:val="00844730"/>
    <w:rsid w:val="008457C2"/>
    <w:rsid w:val="00857A82"/>
    <w:rsid w:val="00866F3B"/>
    <w:rsid w:val="00873836"/>
    <w:rsid w:val="00876D62"/>
    <w:rsid w:val="00883BDD"/>
    <w:rsid w:val="00885737"/>
    <w:rsid w:val="00890650"/>
    <w:rsid w:val="00890AD8"/>
    <w:rsid w:val="00893CA2"/>
    <w:rsid w:val="008948FF"/>
    <w:rsid w:val="00897E12"/>
    <w:rsid w:val="008A7E0F"/>
    <w:rsid w:val="008B12F5"/>
    <w:rsid w:val="008B20E6"/>
    <w:rsid w:val="008D00AC"/>
    <w:rsid w:val="008D768D"/>
    <w:rsid w:val="008E3759"/>
    <w:rsid w:val="008E3BFE"/>
    <w:rsid w:val="008E6CE0"/>
    <w:rsid w:val="008F1912"/>
    <w:rsid w:val="008F22E7"/>
    <w:rsid w:val="0090270B"/>
    <w:rsid w:val="009041DC"/>
    <w:rsid w:val="00917B5A"/>
    <w:rsid w:val="00920A58"/>
    <w:rsid w:val="00920A8C"/>
    <w:rsid w:val="009223E3"/>
    <w:rsid w:val="009225CF"/>
    <w:rsid w:val="00931F51"/>
    <w:rsid w:val="00933F6A"/>
    <w:rsid w:val="00934A2C"/>
    <w:rsid w:val="00934B2B"/>
    <w:rsid w:val="009559CD"/>
    <w:rsid w:val="00960625"/>
    <w:rsid w:val="00960ABB"/>
    <w:rsid w:val="009629C7"/>
    <w:rsid w:val="0096706E"/>
    <w:rsid w:val="0096709F"/>
    <w:rsid w:val="00974491"/>
    <w:rsid w:val="00975C4E"/>
    <w:rsid w:val="00981FBA"/>
    <w:rsid w:val="00986116"/>
    <w:rsid w:val="0099258D"/>
    <w:rsid w:val="00997BC5"/>
    <w:rsid w:val="009A4F41"/>
    <w:rsid w:val="009B381B"/>
    <w:rsid w:val="009C1A6F"/>
    <w:rsid w:val="009C42F3"/>
    <w:rsid w:val="009D1753"/>
    <w:rsid w:val="009D7611"/>
    <w:rsid w:val="009E0B61"/>
    <w:rsid w:val="009E53DE"/>
    <w:rsid w:val="00A11E44"/>
    <w:rsid w:val="00A1365F"/>
    <w:rsid w:val="00A218EF"/>
    <w:rsid w:val="00A24333"/>
    <w:rsid w:val="00A328B3"/>
    <w:rsid w:val="00A3717F"/>
    <w:rsid w:val="00A50FCF"/>
    <w:rsid w:val="00A528D1"/>
    <w:rsid w:val="00A610CD"/>
    <w:rsid w:val="00A65E58"/>
    <w:rsid w:val="00A74695"/>
    <w:rsid w:val="00A758AA"/>
    <w:rsid w:val="00A90A98"/>
    <w:rsid w:val="00A9469E"/>
    <w:rsid w:val="00AA09A2"/>
    <w:rsid w:val="00AA7996"/>
    <w:rsid w:val="00AC19CB"/>
    <w:rsid w:val="00AE33F9"/>
    <w:rsid w:val="00AE5488"/>
    <w:rsid w:val="00AE6F91"/>
    <w:rsid w:val="00AE7900"/>
    <w:rsid w:val="00AF308D"/>
    <w:rsid w:val="00AF5571"/>
    <w:rsid w:val="00B011C7"/>
    <w:rsid w:val="00B07341"/>
    <w:rsid w:val="00B10D88"/>
    <w:rsid w:val="00B165FF"/>
    <w:rsid w:val="00B254A3"/>
    <w:rsid w:val="00B259EF"/>
    <w:rsid w:val="00B30539"/>
    <w:rsid w:val="00B314DB"/>
    <w:rsid w:val="00B361F2"/>
    <w:rsid w:val="00B3718B"/>
    <w:rsid w:val="00B44E2A"/>
    <w:rsid w:val="00B4632A"/>
    <w:rsid w:val="00B46C68"/>
    <w:rsid w:val="00B530F1"/>
    <w:rsid w:val="00B531CB"/>
    <w:rsid w:val="00B532AA"/>
    <w:rsid w:val="00B60C16"/>
    <w:rsid w:val="00B643B4"/>
    <w:rsid w:val="00B73438"/>
    <w:rsid w:val="00BA276C"/>
    <w:rsid w:val="00BB306F"/>
    <w:rsid w:val="00BC1EE3"/>
    <w:rsid w:val="00BD4B89"/>
    <w:rsid w:val="00BD5460"/>
    <w:rsid w:val="00BD5922"/>
    <w:rsid w:val="00BF02CB"/>
    <w:rsid w:val="00BF561B"/>
    <w:rsid w:val="00BF6FD8"/>
    <w:rsid w:val="00C03680"/>
    <w:rsid w:val="00C05296"/>
    <w:rsid w:val="00C054DF"/>
    <w:rsid w:val="00C21762"/>
    <w:rsid w:val="00C21FEF"/>
    <w:rsid w:val="00C225C4"/>
    <w:rsid w:val="00C22B46"/>
    <w:rsid w:val="00C24543"/>
    <w:rsid w:val="00C256A2"/>
    <w:rsid w:val="00C26D0A"/>
    <w:rsid w:val="00C42788"/>
    <w:rsid w:val="00C450AE"/>
    <w:rsid w:val="00C51515"/>
    <w:rsid w:val="00C53201"/>
    <w:rsid w:val="00C5660B"/>
    <w:rsid w:val="00C66B72"/>
    <w:rsid w:val="00C725B5"/>
    <w:rsid w:val="00C74927"/>
    <w:rsid w:val="00C765B7"/>
    <w:rsid w:val="00C76649"/>
    <w:rsid w:val="00C76849"/>
    <w:rsid w:val="00C85BEA"/>
    <w:rsid w:val="00C87AC4"/>
    <w:rsid w:val="00C9567A"/>
    <w:rsid w:val="00CB212D"/>
    <w:rsid w:val="00CB2660"/>
    <w:rsid w:val="00CB2E5A"/>
    <w:rsid w:val="00CB3401"/>
    <w:rsid w:val="00CC09CB"/>
    <w:rsid w:val="00CC0AD2"/>
    <w:rsid w:val="00CC5E90"/>
    <w:rsid w:val="00CD046C"/>
    <w:rsid w:val="00CE076C"/>
    <w:rsid w:val="00CE2A41"/>
    <w:rsid w:val="00CE5199"/>
    <w:rsid w:val="00CE66D5"/>
    <w:rsid w:val="00CF637A"/>
    <w:rsid w:val="00D059DE"/>
    <w:rsid w:val="00D05ABD"/>
    <w:rsid w:val="00D13FCE"/>
    <w:rsid w:val="00D14CBD"/>
    <w:rsid w:val="00D14F60"/>
    <w:rsid w:val="00D306D1"/>
    <w:rsid w:val="00D30800"/>
    <w:rsid w:val="00D34786"/>
    <w:rsid w:val="00D37BFC"/>
    <w:rsid w:val="00D4529C"/>
    <w:rsid w:val="00D45905"/>
    <w:rsid w:val="00D47A8E"/>
    <w:rsid w:val="00D52D14"/>
    <w:rsid w:val="00D61550"/>
    <w:rsid w:val="00D64F28"/>
    <w:rsid w:val="00D712D3"/>
    <w:rsid w:val="00D71422"/>
    <w:rsid w:val="00D72DC6"/>
    <w:rsid w:val="00D7558D"/>
    <w:rsid w:val="00D81471"/>
    <w:rsid w:val="00D81D92"/>
    <w:rsid w:val="00D876F9"/>
    <w:rsid w:val="00DA0AC1"/>
    <w:rsid w:val="00DA2715"/>
    <w:rsid w:val="00DA671F"/>
    <w:rsid w:val="00DA7B5F"/>
    <w:rsid w:val="00DB42D0"/>
    <w:rsid w:val="00DC11E7"/>
    <w:rsid w:val="00DC56F7"/>
    <w:rsid w:val="00DC7023"/>
    <w:rsid w:val="00DC769A"/>
    <w:rsid w:val="00DD0231"/>
    <w:rsid w:val="00DD26CE"/>
    <w:rsid w:val="00DD3D86"/>
    <w:rsid w:val="00DE02AB"/>
    <w:rsid w:val="00DF05F0"/>
    <w:rsid w:val="00DF1EC4"/>
    <w:rsid w:val="00E0340B"/>
    <w:rsid w:val="00E04A90"/>
    <w:rsid w:val="00E0551F"/>
    <w:rsid w:val="00E069A1"/>
    <w:rsid w:val="00E219C7"/>
    <w:rsid w:val="00E25F59"/>
    <w:rsid w:val="00E2743A"/>
    <w:rsid w:val="00E4118C"/>
    <w:rsid w:val="00E43157"/>
    <w:rsid w:val="00E44035"/>
    <w:rsid w:val="00E461CE"/>
    <w:rsid w:val="00E47256"/>
    <w:rsid w:val="00E50BE8"/>
    <w:rsid w:val="00E6386B"/>
    <w:rsid w:val="00E720CA"/>
    <w:rsid w:val="00E750A3"/>
    <w:rsid w:val="00E75E2E"/>
    <w:rsid w:val="00E84EB5"/>
    <w:rsid w:val="00E85662"/>
    <w:rsid w:val="00E8734F"/>
    <w:rsid w:val="00E87777"/>
    <w:rsid w:val="00E8789F"/>
    <w:rsid w:val="00E91F8C"/>
    <w:rsid w:val="00E97B71"/>
    <w:rsid w:val="00EA3D34"/>
    <w:rsid w:val="00EB454D"/>
    <w:rsid w:val="00EC33A0"/>
    <w:rsid w:val="00EC3C2F"/>
    <w:rsid w:val="00ED0C98"/>
    <w:rsid w:val="00ED549D"/>
    <w:rsid w:val="00ED76BE"/>
    <w:rsid w:val="00EE00E9"/>
    <w:rsid w:val="00EE1F30"/>
    <w:rsid w:val="00EE28EE"/>
    <w:rsid w:val="00EF619B"/>
    <w:rsid w:val="00F00B55"/>
    <w:rsid w:val="00F02AD1"/>
    <w:rsid w:val="00F02C97"/>
    <w:rsid w:val="00F16376"/>
    <w:rsid w:val="00F253CC"/>
    <w:rsid w:val="00F2657C"/>
    <w:rsid w:val="00F34AFF"/>
    <w:rsid w:val="00F37106"/>
    <w:rsid w:val="00F519CF"/>
    <w:rsid w:val="00F55B4E"/>
    <w:rsid w:val="00F56253"/>
    <w:rsid w:val="00F56BA5"/>
    <w:rsid w:val="00F60E22"/>
    <w:rsid w:val="00F717C2"/>
    <w:rsid w:val="00F730D3"/>
    <w:rsid w:val="00F81395"/>
    <w:rsid w:val="00F81BB8"/>
    <w:rsid w:val="00F917D1"/>
    <w:rsid w:val="00F956D2"/>
    <w:rsid w:val="00F9653B"/>
    <w:rsid w:val="00FA35FE"/>
    <w:rsid w:val="00FB62CF"/>
    <w:rsid w:val="00FD3C3B"/>
    <w:rsid w:val="00FD42AD"/>
    <w:rsid w:val="00FD62AD"/>
    <w:rsid w:val="00FE07DD"/>
    <w:rsid w:val="00FE4E20"/>
    <w:rsid w:val="00FE6B45"/>
    <w:rsid w:val="00FF1323"/>
    <w:rsid w:val="00FF3683"/>
    <w:rsid w:val="00FF55F3"/>
    <w:rsid w:val="00FF5851"/>
    <w:rsid w:val="00FF6289"/>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01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709F"/>
    <w:rPr>
      <w:sz w:val="16"/>
      <w:szCs w:val="16"/>
    </w:rPr>
  </w:style>
  <w:style w:type="paragraph" w:styleId="CommentText">
    <w:name w:val="annotation text"/>
    <w:basedOn w:val="Normal"/>
    <w:link w:val="CommentTextChar"/>
    <w:uiPriority w:val="99"/>
    <w:semiHidden/>
    <w:unhideWhenUsed/>
    <w:rsid w:val="0096709F"/>
    <w:rPr>
      <w:sz w:val="20"/>
      <w:szCs w:val="20"/>
    </w:rPr>
  </w:style>
  <w:style w:type="character" w:customStyle="1" w:styleId="CommentTextChar">
    <w:name w:val="Comment Text Char"/>
    <w:basedOn w:val="DefaultParagraphFont"/>
    <w:link w:val="CommentText"/>
    <w:uiPriority w:val="99"/>
    <w:semiHidden/>
    <w:rsid w:val="0096709F"/>
    <w:rPr>
      <w:lang w:val="en-US" w:eastAsia="en-US"/>
    </w:rPr>
  </w:style>
  <w:style w:type="paragraph" w:styleId="CommentSubject">
    <w:name w:val="annotation subject"/>
    <w:basedOn w:val="CommentText"/>
    <w:next w:val="CommentText"/>
    <w:link w:val="CommentSubjectChar"/>
    <w:uiPriority w:val="99"/>
    <w:semiHidden/>
    <w:unhideWhenUsed/>
    <w:rsid w:val="0096709F"/>
    <w:rPr>
      <w:b/>
      <w:bCs/>
    </w:rPr>
  </w:style>
  <w:style w:type="character" w:customStyle="1" w:styleId="CommentSubjectChar">
    <w:name w:val="Comment Subject Char"/>
    <w:basedOn w:val="CommentTextChar"/>
    <w:link w:val="CommentSubject"/>
    <w:uiPriority w:val="99"/>
    <w:semiHidden/>
    <w:rsid w:val="0096709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41391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D4269610B8647E98983C315A0E43777"/>
        <w:category>
          <w:name w:val="General"/>
          <w:gallery w:val="placeholder"/>
        </w:category>
        <w:types>
          <w:type w:val="bbPlcHdr"/>
        </w:types>
        <w:behaviors>
          <w:behavior w:val="content"/>
        </w:behaviors>
        <w:guid w:val="{0674C3F6-1F02-4C53-B7A8-893DA3552155}"/>
      </w:docPartPr>
      <w:docPartBody>
        <w:p w:rsidR="001C3DCC" w:rsidRDefault="000329B7" w:rsidP="000329B7">
          <w:pPr>
            <w:pStyle w:val="FD4269610B8647E98983C315A0E43777"/>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329B7"/>
    <w:rsid w:val="000C41C5"/>
    <w:rsid w:val="000C639B"/>
    <w:rsid w:val="001C3DCC"/>
    <w:rsid w:val="00200821"/>
    <w:rsid w:val="00233774"/>
    <w:rsid w:val="00394049"/>
    <w:rsid w:val="004F2DF8"/>
    <w:rsid w:val="005342BA"/>
    <w:rsid w:val="005C0C44"/>
    <w:rsid w:val="005F1A2F"/>
    <w:rsid w:val="0060264A"/>
    <w:rsid w:val="0067227E"/>
    <w:rsid w:val="007200C3"/>
    <w:rsid w:val="0073427B"/>
    <w:rsid w:val="00782223"/>
    <w:rsid w:val="007C69A5"/>
    <w:rsid w:val="009A261B"/>
    <w:rsid w:val="009E7D65"/>
    <w:rsid w:val="00A56429"/>
    <w:rsid w:val="00AC0348"/>
    <w:rsid w:val="00AC15A4"/>
    <w:rsid w:val="00B0336C"/>
    <w:rsid w:val="00CE7011"/>
    <w:rsid w:val="00D223B1"/>
    <w:rsid w:val="00D435D1"/>
    <w:rsid w:val="00DE5A19"/>
    <w:rsid w:val="00DE7283"/>
    <w:rsid w:val="00E114B9"/>
    <w:rsid w:val="00E32515"/>
    <w:rsid w:val="00EF1061"/>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29B7"/>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BEC911C59E5F4A1AAC4F3DF5804F7AC3">
    <w:name w:val="BEC911C59E5F4A1AAC4F3DF5804F7AC3"/>
    <w:rsid w:val="00233774"/>
    <w:rPr>
      <w:lang w:val="en-GB" w:eastAsia="en-GB"/>
    </w:rPr>
  </w:style>
  <w:style w:type="paragraph" w:customStyle="1" w:styleId="863FF9A67CA24C9188B31A5B16E40309">
    <w:name w:val="863FF9A67CA24C9188B31A5B16E40309"/>
    <w:rsid w:val="00233774"/>
    <w:rPr>
      <w:lang w:val="en-GB" w:eastAsia="en-GB"/>
    </w:rPr>
  </w:style>
  <w:style w:type="paragraph" w:customStyle="1" w:styleId="E065DD10ECF64A568B1C669E7B23DD9E">
    <w:name w:val="E065DD10ECF64A568B1C669E7B23DD9E"/>
    <w:rsid w:val="00233774"/>
    <w:rPr>
      <w:lang w:val="en-GB" w:eastAsia="en-GB"/>
    </w:rPr>
  </w:style>
  <w:style w:type="paragraph" w:customStyle="1" w:styleId="6465614E20AF4A5B8FB5BBB67C515F4F">
    <w:name w:val="6465614E20AF4A5B8FB5BBB67C515F4F"/>
    <w:rsid w:val="005342BA"/>
    <w:pPr>
      <w:spacing w:after="160" w:line="259" w:lineRule="auto"/>
    </w:pPr>
  </w:style>
  <w:style w:type="paragraph" w:customStyle="1" w:styleId="D12B08C479944548B7903D657067B44E">
    <w:name w:val="D12B08C479944548B7903D657067B44E"/>
    <w:rsid w:val="005342BA"/>
    <w:pPr>
      <w:spacing w:after="160" w:line="259" w:lineRule="auto"/>
    </w:pPr>
  </w:style>
  <w:style w:type="paragraph" w:customStyle="1" w:styleId="3CC00BABF2EA4BDC95125B72D2BF8292">
    <w:name w:val="3CC00BABF2EA4BDC95125B72D2BF8292"/>
    <w:rsid w:val="005342BA"/>
    <w:pPr>
      <w:spacing w:after="160" w:line="259" w:lineRule="auto"/>
    </w:pPr>
  </w:style>
  <w:style w:type="paragraph" w:customStyle="1" w:styleId="8A9D3E209836462B8B9BDBA06F04432C">
    <w:name w:val="8A9D3E209836462B8B9BDBA06F04432C"/>
    <w:rsid w:val="000329B7"/>
    <w:pPr>
      <w:spacing w:after="160" w:line="259" w:lineRule="auto"/>
    </w:pPr>
  </w:style>
  <w:style w:type="paragraph" w:customStyle="1" w:styleId="4A5C7E49CFB04445AD19556A278E64C9">
    <w:name w:val="4A5C7E49CFB04445AD19556A278E64C9"/>
    <w:rsid w:val="000329B7"/>
    <w:pPr>
      <w:spacing w:after="160" w:line="259" w:lineRule="auto"/>
    </w:pPr>
  </w:style>
  <w:style w:type="paragraph" w:customStyle="1" w:styleId="FD4269610B8647E98983C315A0E43777">
    <w:name w:val="FD4269610B8647E98983C315A0E43777"/>
    <w:rsid w:val="000329B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55B1F-93AB-4C8D-B2EF-789DFE87A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1722</Words>
  <Characters>9027</Characters>
  <Application>Microsoft Office Word</Application>
  <DocSecurity>0</DocSecurity>
  <Lines>150</Lines>
  <Paragraphs>40</Paragraphs>
  <ScaleCrop>false</ScaleCrop>
  <Company/>
  <LinksUpToDate>false</LinksUpToDate>
  <CharactersWithSpaces>10709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210/19</dc:title>
  <dc:creator/>
  <cp:lastModifiedBy/>
  <cp:revision>1</cp:revision>
  <dcterms:created xsi:type="dcterms:W3CDTF">2020-03-27T15:31:00Z</dcterms:created>
  <dcterms:modified xsi:type="dcterms:W3CDTF">2020-03-27T15:31:00Z</dcterms:modified>
</cp:coreProperties>
</file>