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C00C0" w:rsidRDefault="00D306D1" w:rsidP="00AC00C0">
      <w:pPr>
        <w:jc w:val="both"/>
        <w:rPr>
          <w:rFonts w:asciiTheme="majorHAnsi" w:hAnsiTheme="majorHAnsi" w:cs="Univers"/>
          <w:b/>
          <w:bCs/>
          <w:sz w:val="20"/>
          <w:szCs w:val="20"/>
          <w:lang w:val="es-ES_tradnl"/>
        </w:rPr>
      </w:pPr>
      <w:r w:rsidRPr="00AC00C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BBE192B" wp14:editId="66D8397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9233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C00C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22A3CB" wp14:editId="1BF250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Default="00E34F72" w:rsidP="00AE5488">
                            <w:r>
                              <w:rPr>
                                <w:noProof/>
                              </w:rPr>
                              <w:drawing>
                                <wp:inline distT="0" distB="0" distL="0" distR="0" wp14:anchorId="66B80F55" wp14:editId="3E312B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22A3C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34F72" w:rsidRDefault="00E34F72" w:rsidP="00AE5488">
                      <w:r>
                        <w:rPr>
                          <w:noProof/>
                        </w:rPr>
                        <w:drawing>
                          <wp:inline distT="0" distB="0" distL="0" distR="0" wp14:anchorId="66B80F55" wp14:editId="3E312B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C00C0" w:rsidRDefault="00040C3A" w:rsidP="00AC00C0">
      <w:pPr>
        <w:tabs>
          <w:tab w:val="center" w:pos="5400"/>
        </w:tabs>
        <w:suppressAutoHyphens/>
        <w:jc w:val="both"/>
        <w:rPr>
          <w:rFonts w:asciiTheme="majorHAnsi" w:hAnsiTheme="majorHAnsi"/>
          <w:sz w:val="20"/>
          <w:szCs w:val="20"/>
          <w:lang w:val="es-ES"/>
        </w:rPr>
      </w:pPr>
    </w:p>
    <w:p w:rsidR="00040C3A" w:rsidRPr="00AC00C0" w:rsidRDefault="00040C3A" w:rsidP="00AC00C0">
      <w:pPr>
        <w:tabs>
          <w:tab w:val="center" w:pos="5400"/>
        </w:tabs>
        <w:suppressAutoHyphens/>
        <w:jc w:val="both"/>
        <w:rPr>
          <w:rFonts w:asciiTheme="majorHAnsi" w:hAnsiTheme="majorHAnsi"/>
          <w:sz w:val="20"/>
          <w:szCs w:val="20"/>
          <w:lang w:val="es-ES"/>
        </w:rPr>
      </w:pPr>
    </w:p>
    <w:p w:rsidR="005128E4" w:rsidRPr="00AC00C0" w:rsidRDefault="005128E4" w:rsidP="00AC00C0">
      <w:pPr>
        <w:tabs>
          <w:tab w:val="center" w:pos="5400"/>
        </w:tabs>
        <w:suppressAutoHyphens/>
        <w:rPr>
          <w:rFonts w:asciiTheme="majorHAnsi" w:hAnsiTheme="majorHAnsi"/>
          <w:sz w:val="20"/>
          <w:szCs w:val="20"/>
          <w:lang w:val="es-ES_tradnl"/>
        </w:rPr>
      </w:pPr>
    </w:p>
    <w:p w:rsidR="005128E4" w:rsidRPr="00AC00C0" w:rsidRDefault="005128E4" w:rsidP="00AC00C0">
      <w:pPr>
        <w:tabs>
          <w:tab w:val="center" w:pos="5400"/>
        </w:tabs>
        <w:suppressAutoHyphens/>
        <w:rPr>
          <w:rFonts w:asciiTheme="majorHAnsi" w:hAnsiTheme="majorHAnsi"/>
          <w:sz w:val="20"/>
          <w:szCs w:val="20"/>
          <w:lang w:val="es-ES_tradnl"/>
        </w:rPr>
      </w:pPr>
    </w:p>
    <w:p w:rsidR="005128E4" w:rsidRPr="00AC00C0" w:rsidRDefault="005128E4" w:rsidP="00AC00C0">
      <w:pPr>
        <w:tabs>
          <w:tab w:val="center" w:pos="5400"/>
        </w:tabs>
        <w:suppressAutoHyphens/>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5B52B0" w:rsidRPr="00AC00C0" w:rsidRDefault="005B52B0" w:rsidP="00AC00C0">
      <w:pPr>
        <w:tabs>
          <w:tab w:val="center" w:pos="5400"/>
        </w:tabs>
        <w:suppressAutoHyphens/>
        <w:jc w:val="center"/>
        <w:rPr>
          <w:rFonts w:asciiTheme="majorHAnsi" w:hAnsiTheme="majorHAnsi"/>
          <w:sz w:val="20"/>
          <w:szCs w:val="20"/>
          <w:lang w:val="es-ES_tradnl"/>
        </w:rPr>
      </w:pPr>
    </w:p>
    <w:p w:rsidR="005B52B0" w:rsidRPr="00AC00C0" w:rsidRDefault="005B52B0" w:rsidP="00AC00C0">
      <w:pPr>
        <w:tabs>
          <w:tab w:val="center" w:pos="5400"/>
        </w:tabs>
        <w:suppressAutoHyphens/>
        <w:jc w:val="center"/>
        <w:rPr>
          <w:rFonts w:asciiTheme="majorHAnsi" w:hAnsiTheme="majorHAnsi"/>
          <w:sz w:val="20"/>
          <w:szCs w:val="20"/>
          <w:lang w:val="es-ES_tradnl"/>
        </w:rPr>
      </w:pPr>
      <w:bookmarkStart w:id="0" w:name="_GoBack"/>
      <w:bookmarkEnd w:id="0"/>
    </w:p>
    <w:p w:rsidR="005B52B0" w:rsidRPr="00AC00C0" w:rsidRDefault="005B52B0"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3D3BC2" w:rsidP="00AC00C0">
      <w:pPr>
        <w:tabs>
          <w:tab w:val="center" w:pos="5400"/>
        </w:tabs>
        <w:suppressAutoHyphens/>
        <w:jc w:val="center"/>
        <w:rPr>
          <w:rFonts w:asciiTheme="majorHAnsi" w:hAnsiTheme="majorHAnsi"/>
          <w:sz w:val="20"/>
          <w:szCs w:val="20"/>
          <w:lang w:val="es-ES_tradnl"/>
        </w:rPr>
      </w:pPr>
      <w:r w:rsidRPr="00AC00C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37A5EBC" wp14:editId="38913F7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593C7A" w:rsidRDefault="00E34F72"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593C7A">
                              <w:rPr>
                                <w:rFonts w:asciiTheme="majorHAnsi" w:hAnsiTheme="majorHAnsi" w:cs="Arial"/>
                                <w:b/>
                                <w:bCs/>
                                <w:color w:val="0D0D0D" w:themeColor="text1" w:themeTint="F2"/>
                                <w:sz w:val="36"/>
                                <w:szCs w:val="40"/>
                                <w:lang w:val="es-ES"/>
                              </w:rPr>
                              <w:t>No.</w:t>
                            </w:r>
                            <w:r w:rsidRPr="00593C7A">
                              <w:rPr>
                                <w:rFonts w:asciiTheme="majorHAnsi" w:hAnsiTheme="majorHAnsi" w:cs="Arial"/>
                                <w:b/>
                                <w:bCs/>
                                <w:color w:val="0D0D0D" w:themeColor="text1" w:themeTint="F2"/>
                                <w:sz w:val="36"/>
                                <w:szCs w:val="22"/>
                                <w:lang w:val="es-ES"/>
                              </w:rPr>
                              <w:t xml:space="preserve"> </w:t>
                            </w:r>
                            <w:r w:rsidR="00593C7A" w:rsidRPr="00593C7A">
                              <w:rPr>
                                <w:rFonts w:asciiTheme="majorHAnsi" w:hAnsiTheme="majorHAnsi" w:cs="Arial"/>
                                <w:b/>
                                <w:bCs/>
                                <w:sz w:val="36"/>
                                <w:szCs w:val="22"/>
                                <w:lang w:val="es-ES"/>
                              </w:rPr>
                              <w:t>103</w:t>
                            </w:r>
                            <w:r w:rsidRPr="00593C7A">
                              <w:rPr>
                                <w:rFonts w:asciiTheme="majorHAnsi" w:hAnsiTheme="majorHAnsi" w:cs="Arial"/>
                                <w:b/>
                                <w:bCs/>
                                <w:color w:val="0D0D0D" w:themeColor="text1" w:themeTint="F2"/>
                                <w:sz w:val="36"/>
                                <w:szCs w:val="22"/>
                                <w:lang w:val="es-ES"/>
                              </w:rPr>
                              <w:t>/19</w:t>
                            </w:r>
                          </w:p>
                          <w:p w:rsidR="00E34F72" w:rsidRPr="00593C7A" w:rsidRDefault="0050778A"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_tradnl"/>
                              </w:rPr>
                              <w:t>PETICIÓN 1224</w:t>
                            </w:r>
                            <w:r w:rsidR="00E34F72" w:rsidRPr="00593C7A">
                              <w:rPr>
                                <w:rFonts w:asciiTheme="majorHAnsi" w:hAnsiTheme="majorHAnsi" w:cs="Arial"/>
                                <w:b/>
                                <w:color w:val="0D0D0D" w:themeColor="text1" w:themeTint="F2"/>
                                <w:sz w:val="36"/>
                                <w:szCs w:val="22"/>
                                <w:lang w:val="es-ES_tradnl"/>
                              </w:rPr>
                              <w:t xml:space="preserve">–07 </w:t>
                            </w:r>
                          </w:p>
                          <w:p w:rsidR="00E34F72" w:rsidRPr="0010736F" w:rsidRDefault="00E34F72" w:rsidP="00997BC5">
                            <w:pPr>
                              <w:spacing w:line="276" w:lineRule="auto"/>
                              <w:rPr>
                                <w:rFonts w:asciiTheme="majorHAnsi" w:hAnsiTheme="majorHAnsi" w:cs="Arial"/>
                                <w:color w:val="0D0D0D" w:themeColor="text1" w:themeTint="F2"/>
                                <w:szCs w:val="22"/>
                                <w:lang w:val="es-ES_tradnl"/>
                              </w:rPr>
                            </w:pPr>
                            <w:r w:rsidRPr="00593C7A">
                              <w:rPr>
                                <w:rFonts w:asciiTheme="majorHAnsi" w:hAnsiTheme="majorHAnsi" w:cs="Arial"/>
                                <w:color w:val="0D0D0D" w:themeColor="text1" w:themeTint="F2"/>
                                <w:szCs w:val="22"/>
                                <w:lang w:val="es-ES_tradnl"/>
                              </w:rPr>
                              <w:t>INFORME DE SOLUCIÓN AMISTOSA</w:t>
                            </w:r>
                            <w:r w:rsidRPr="0010736F">
                              <w:rPr>
                                <w:rFonts w:asciiTheme="majorHAnsi" w:hAnsiTheme="majorHAnsi" w:cs="Arial"/>
                                <w:color w:val="0D0D0D" w:themeColor="text1" w:themeTint="F2"/>
                                <w:szCs w:val="22"/>
                                <w:lang w:val="es-ES_tradnl"/>
                              </w:rPr>
                              <w:t xml:space="preserve"> </w:t>
                            </w:r>
                          </w:p>
                          <w:p w:rsidR="00E34F72" w:rsidRDefault="00E34F72" w:rsidP="00997BC5">
                            <w:pPr>
                              <w:spacing w:line="276" w:lineRule="auto"/>
                              <w:rPr>
                                <w:rFonts w:asciiTheme="majorHAnsi" w:hAnsiTheme="majorHAnsi" w:cs="Arial"/>
                                <w:color w:val="0D0D0D" w:themeColor="text1" w:themeTint="F2"/>
                                <w:szCs w:val="22"/>
                                <w:lang w:val="es-ES_tradnl"/>
                              </w:rPr>
                            </w:pPr>
                            <w:bookmarkStart w:id="1" w:name="_ftnref1"/>
                          </w:p>
                          <w:p w:rsidR="00E34F72" w:rsidRPr="00037B41" w:rsidRDefault="00E34F72" w:rsidP="00997BC5">
                            <w:pPr>
                              <w:spacing w:line="276" w:lineRule="auto"/>
                              <w:rPr>
                                <w:rFonts w:asciiTheme="majorHAnsi" w:hAnsiTheme="majorHAnsi" w:cs="Arial"/>
                                <w:color w:val="0D0D0D" w:themeColor="text1" w:themeTint="F2"/>
                                <w:szCs w:val="22"/>
                                <w:lang w:val="es-ES_tradnl"/>
                              </w:rPr>
                            </w:pPr>
                            <w:r w:rsidRPr="00037B41">
                              <w:rPr>
                                <w:rFonts w:asciiTheme="majorHAnsi" w:hAnsiTheme="majorHAnsi" w:cs="Arial"/>
                                <w:color w:val="0D0D0D" w:themeColor="text1" w:themeTint="F2"/>
                                <w:szCs w:val="22"/>
                                <w:lang w:val="es-ES_tradnl"/>
                              </w:rPr>
                              <w:t>DAVID RABINOVICH</w:t>
                            </w:r>
                          </w:p>
                          <w:bookmarkEnd w:id="1"/>
                          <w:p w:rsidR="00E34F72" w:rsidRPr="0010736F" w:rsidRDefault="00E34F72" w:rsidP="00997BC5">
                            <w:pPr>
                              <w:spacing w:line="276" w:lineRule="auto"/>
                              <w:rPr>
                                <w:rFonts w:asciiTheme="majorHAnsi" w:hAnsiTheme="majorHAnsi" w:cs="Arial"/>
                                <w:color w:val="0D0D0D" w:themeColor="text1" w:themeTint="F2"/>
                                <w:szCs w:val="22"/>
                                <w:lang w:val="es-ES"/>
                              </w:rPr>
                            </w:pPr>
                            <w:r w:rsidRPr="00037B41">
                              <w:rPr>
                                <w:rFonts w:asciiTheme="majorHAnsi" w:hAnsiTheme="majorHAnsi" w:cs="Arial"/>
                                <w:color w:val="0D0D0D" w:themeColor="text1" w:themeTint="F2"/>
                                <w:szCs w:val="22"/>
                                <w:lang w:val="es-ES_tradnl"/>
                              </w:rPr>
                              <w:t>URUGUAY</w:t>
                            </w:r>
                          </w:p>
                          <w:p w:rsidR="00E34F72" w:rsidRPr="00AE5488" w:rsidRDefault="00E34F7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A5EB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34F72" w:rsidRPr="00593C7A" w:rsidRDefault="00E34F72"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593C7A">
                        <w:rPr>
                          <w:rFonts w:asciiTheme="majorHAnsi" w:hAnsiTheme="majorHAnsi" w:cs="Arial"/>
                          <w:b/>
                          <w:bCs/>
                          <w:color w:val="0D0D0D" w:themeColor="text1" w:themeTint="F2"/>
                          <w:sz w:val="36"/>
                          <w:szCs w:val="40"/>
                          <w:lang w:val="es-ES"/>
                        </w:rPr>
                        <w:t>No.</w:t>
                      </w:r>
                      <w:r w:rsidRPr="00593C7A">
                        <w:rPr>
                          <w:rFonts w:asciiTheme="majorHAnsi" w:hAnsiTheme="majorHAnsi" w:cs="Arial"/>
                          <w:b/>
                          <w:bCs/>
                          <w:color w:val="0D0D0D" w:themeColor="text1" w:themeTint="F2"/>
                          <w:sz w:val="36"/>
                          <w:szCs w:val="22"/>
                          <w:lang w:val="es-ES"/>
                        </w:rPr>
                        <w:t xml:space="preserve"> </w:t>
                      </w:r>
                      <w:r w:rsidR="00593C7A" w:rsidRPr="00593C7A">
                        <w:rPr>
                          <w:rFonts w:asciiTheme="majorHAnsi" w:hAnsiTheme="majorHAnsi" w:cs="Arial"/>
                          <w:b/>
                          <w:bCs/>
                          <w:sz w:val="36"/>
                          <w:szCs w:val="22"/>
                          <w:lang w:val="es-ES"/>
                        </w:rPr>
                        <w:t>103</w:t>
                      </w:r>
                      <w:r w:rsidRPr="00593C7A">
                        <w:rPr>
                          <w:rFonts w:asciiTheme="majorHAnsi" w:hAnsiTheme="majorHAnsi" w:cs="Arial"/>
                          <w:b/>
                          <w:bCs/>
                          <w:color w:val="0D0D0D" w:themeColor="text1" w:themeTint="F2"/>
                          <w:sz w:val="36"/>
                          <w:szCs w:val="22"/>
                          <w:lang w:val="es-ES"/>
                        </w:rPr>
                        <w:t>/19</w:t>
                      </w:r>
                    </w:p>
                    <w:p w:rsidR="00E34F72" w:rsidRPr="00593C7A" w:rsidRDefault="0050778A"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_tradnl"/>
                        </w:rPr>
                        <w:t>PETICIÓN 1224</w:t>
                      </w:r>
                      <w:r w:rsidR="00E34F72" w:rsidRPr="00593C7A">
                        <w:rPr>
                          <w:rFonts w:asciiTheme="majorHAnsi" w:hAnsiTheme="majorHAnsi" w:cs="Arial"/>
                          <w:b/>
                          <w:color w:val="0D0D0D" w:themeColor="text1" w:themeTint="F2"/>
                          <w:sz w:val="36"/>
                          <w:szCs w:val="22"/>
                          <w:lang w:val="es-ES_tradnl"/>
                        </w:rPr>
                        <w:t xml:space="preserve">–07 </w:t>
                      </w:r>
                    </w:p>
                    <w:p w:rsidR="00E34F72" w:rsidRPr="0010736F" w:rsidRDefault="00E34F72" w:rsidP="00997BC5">
                      <w:pPr>
                        <w:spacing w:line="276" w:lineRule="auto"/>
                        <w:rPr>
                          <w:rFonts w:asciiTheme="majorHAnsi" w:hAnsiTheme="majorHAnsi" w:cs="Arial"/>
                          <w:color w:val="0D0D0D" w:themeColor="text1" w:themeTint="F2"/>
                          <w:szCs w:val="22"/>
                          <w:lang w:val="es-ES_tradnl"/>
                        </w:rPr>
                      </w:pPr>
                      <w:r w:rsidRPr="00593C7A">
                        <w:rPr>
                          <w:rFonts w:asciiTheme="majorHAnsi" w:hAnsiTheme="majorHAnsi" w:cs="Arial"/>
                          <w:color w:val="0D0D0D" w:themeColor="text1" w:themeTint="F2"/>
                          <w:szCs w:val="22"/>
                          <w:lang w:val="es-ES_tradnl"/>
                        </w:rPr>
                        <w:t>INFORME DE SOLUCIÓN AMISTOSA</w:t>
                      </w:r>
                      <w:r w:rsidRPr="0010736F">
                        <w:rPr>
                          <w:rFonts w:asciiTheme="majorHAnsi" w:hAnsiTheme="majorHAnsi" w:cs="Arial"/>
                          <w:color w:val="0D0D0D" w:themeColor="text1" w:themeTint="F2"/>
                          <w:szCs w:val="22"/>
                          <w:lang w:val="es-ES_tradnl"/>
                        </w:rPr>
                        <w:t xml:space="preserve"> </w:t>
                      </w:r>
                    </w:p>
                    <w:p w:rsidR="00E34F72" w:rsidRDefault="00E34F72" w:rsidP="00997BC5">
                      <w:pPr>
                        <w:spacing w:line="276" w:lineRule="auto"/>
                        <w:rPr>
                          <w:rFonts w:asciiTheme="majorHAnsi" w:hAnsiTheme="majorHAnsi" w:cs="Arial"/>
                          <w:color w:val="0D0D0D" w:themeColor="text1" w:themeTint="F2"/>
                          <w:szCs w:val="22"/>
                          <w:lang w:val="es-ES_tradnl"/>
                        </w:rPr>
                      </w:pPr>
                      <w:bookmarkStart w:id="2" w:name="_ftnref1"/>
                    </w:p>
                    <w:p w:rsidR="00E34F72" w:rsidRPr="00037B41" w:rsidRDefault="00E34F72" w:rsidP="00997BC5">
                      <w:pPr>
                        <w:spacing w:line="276" w:lineRule="auto"/>
                        <w:rPr>
                          <w:rFonts w:asciiTheme="majorHAnsi" w:hAnsiTheme="majorHAnsi" w:cs="Arial"/>
                          <w:color w:val="0D0D0D" w:themeColor="text1" w:themeTint="F2"/>
                          <w:szCs w:val="22"/>
                          <w:lang w:val="es-ES_tradnl"/>
                        </w:rPr>
                      </w:pPr>
                      <w:r w:rsidRPr="00037B41">
                        <w:rPr>
                          <w:rFonts w:asciiTheme="majorHAnsi" w:hAnsiTheme="majorHAnsi" w:cs="Arial"/>
                          <w:color w:val="0D0D0D" w:themeColor="text1" w:themeTint="F2"/>
                          <w:szCs w:val="22"/>
                          <w:lang w:val="es-ES_tradnl"/>
                        </w:rPr>
                        <w:t>DAVID RABINOVICH</w:t>
                      </w:r>
                    </w:p>
                    <w:bookmarkEnd w:id="2"/>
                    <w:p w:rsidR="00E34F72" w:rsidRPr="0010736F" w:rsidRDefault="00E34F72" w:rsidP="00997BC5">
                      <w:pPr>
                        <w:spacing w:line="276" w:lineRule="auto"/>
                        <w:rPr>
                          <w:rFonts w:asciiTheme="majorHAnsi" w:hAnsiTheme="majorHAnsi" w:cs="Arial"/>
                          <w:color w:val="0D0D0D" w:themeColor="text1" w:themeTint="F2"/>
                          <w:szCs w:val="22"/>
                          <w:lang w:val="es-ES"/>
                        </w:rPr>
                      </w:pPr>
                      <w:r w:rsidRPr="00037B41">
                        <w:rPr>
                          <w:rFonts w:asciiTheme="majorHAnsi" w:hAnsiTheme="majorHAnsi" w:cs="Arial"/>
                          <w:color w:val="0D0D0D" w:themeColor="text1" w:themeTint="F2"/>
                          <w:szCs w:val="22"/>
                          <w:lang w:val="es-ES_tradnl"/>
                        </w:rPr>
                        <w:t>URUGUAY</w:t>
                      </w:r>
                    </w:p>
                    <w:p w:rsidR="00E34F72" w:rsidRPr="00AE5488" w:rsidRDefault="00E34F72" w:rsidP="007A5817">
                      <w:pPr>
                        <w:rPr>
                          <w:color w:val="0D0D0D" w:themeColor="text1" w:themeTint="F2"/>
                          <w:lang w:val="es-ES_tradnl"/>
                        </w:rPr>
                      </w:pPr>
                    </w:p>
                  </w:txbxContent>
                </v:textbox>
              </v:shape>
            </w:pict>
          </mc:Fallback>
        </mc:AlternateContent>
      </w:r>
      <w:r w:rsidR="004E2649" w:rsidRPr="00AC00C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73CAB19" wp14:editId="2D7CA30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2D2A76" w:rsidRDefault="00E34F72" w:rsidP="007A5817">
                            <w:pPr>
                              <w:spacing w:line="276" w:lineRule="auto"/>
                              <w:jc w:val="right"/>
                              <w:rPr>
                                <w:rFonts w:asciiTheme="minorHAnsi" w:hAnsiTheme="minorHAnsi"/>
                                <w:color w:val="FFFFFF" w:themeColor="background1"/>
                                <w:sz w:val="22"/>
                                <w:lang w:val="pt-BR"/>
                              </w:rPr>
                            </w:pPr>
                            <w:r w:rsidRPr="002D2A76">
                              <w:rPr>
                                <w:rFonts w:asciiTheme="minorHAnsi" w:hAnsiTheme="minorHAnsi"/>
                                <w:color w:val="FFFFFF" w:themeColor="background1"/>
                                <w:sz w:val="22"/>
                                <w:lang w:val="pt-BR"/>
                              </w:rPr>
                              <w:t>OEA/Ser.L/V/II.</w:t>
                            </w:r>
                          </w:p>
                          <w:p w:rsidR="00E34F72" w:rsidRPr="002D2A76" w:rsidRDefault="00E34F72" w:rsidP="007A5817">
                            <w:pPr>
                              <w:spacing w:line="276" w:lineRule="auto"/>
                              <w:jc w:val="right"/>
                              <w:rPr>
                                <w:rFonts w:asciiTheme="minorHAnsi" w:hAnsiTheme="minorHAnsi"/>
                                <w:color w:val="FFFFFF" w:themeColor="background1"/>
                                <w:sz w:val="22"/>
                                <w:lang w:val="pt-BR"/>
                              </w:rPr>
                            </w:pPr>
                            <w:r w:rsidRPr="002D2A76">
                              <w:rPr>
                                <w:rFonts w:asciiTheme="minorHAnsi" w:hAnsiTheme="minorHAnsi"/>
                                <w:color w:val="FFFFFF" w:themeColor="background1"/>
                                <w:sz w:val="22"/>
                                <w:lang w:val="pt-BR"/>
                              </w:rPr>
                              <w:t xml:space="preserve">Doc. </w:t>
                            </w:r>
                            <w:r w:rsidR="00593C7A" w:rsidRPr="002D2A76">
                              <w:rPr>
                                <w:rFonts w:asciiTheme="minorHAnsi" w:hAnsiTheme="minorHAnsi"/>
                                <w:color w:val="FFFFFF" w:themeColor="background1"/>
                                <w:sz w:val="22"/>
                                <w:lang w:val="pt-BR"/>
                              </w:rPr>
                              <w:t>112</w:t>
                            </w:r>
                          </w:p>
                          <w:p w:rsidR="00E34F72" w:rsidRPr="00593C7A" w:rsidRDefault="00593C7A" w:rsidP="007A5817">
                            <w:pPr>
                              <w:spacing w:line="276" w:lineRule="auto"/>
                              <w:jc w:val="right"/>
                              <w:rPr>
                                <w:rFonts w:asciiTheme="minorHAnsi" w:hAnsiTheme="minorHAnsi"/>
                                <w:color w:val="FFFFFF" w:themeColor="background1"/>
                                <w:sz w:val="22"/>
                                <w:lang w:val="es-CO"/>
                              </w:rPr>
                            </w:pPr>
                            <w:r w:rsidRPr="00593C7A">
                              <w:rPr>
                                <w:rFonts w:asciiTheme="minorHAnsi" w:hAnsiTheme="minorHAnsi"/>
                                <w:color w:val="FFFFFF" w:themeColor="background1"/>
                                <w:sz w:val="22"/>
                                <w:lang w:val="es-CO"/>
                              </w:rPr>
                              <w:t>16 jul</w:t>
                            </w:r>
                            <w:r w:rsidR="00E34F72" w:rsidRPr="00593C7A">
                              <w:rPr>
                                <w:rFonts w:asciiTheme="minorHAnsi" w:hAnsiTheme="minorHAnsi"/>
                                <w:color w:val="FFFFFF" w:themeColor="background1"/>
                                <w:sz w:val="22"/>
                                <w:lang w:val="es-CO"/>
                              </w:rPr>
                              <w:t>io 2019</w:t>
                            </w:r>
                          </w:p>
                          <w:p w:rsidR="00E34F72" w:rsidRPr="00613DF7" w:rsidRDefault="00E34F72" w:rsidP="007A5817">
                            <w:pPr>
                              <w:spacing w:line="276" w:lineRule="auto"/>
                              <w:jc w:val="right"/>
                              <w:rPr>
                                <w:rFonts w:asciiTheme="minorHAnsi" w:hAnsiTheme="minorHAnsi"/>
                                <w:color w:val="FFFFFF" w:themeColor="background1"/>
                                <w:sz w:val="22"/>
                                <w:lang w:val="es-CO"/>
                              </w:rPr>
                            </w:pPr>
                            <w:r w:rsidRPr="00593C7A">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3CAB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34F72" w:rsidRPr="00593C7A" w:rsidRDefault="00E34F72" w:rsidP="007A5817">
                      <w:pPr>
                        <w:spacing w:line="276" w:lineRule="auto"/>
                        <w:jc w:val="right"/>
                        <w:rPr>
                          <w:rFonts w:asciiTheme="minorHAnsi" w:hAnsiTheme="minorHAnsi"/>
                          <w:color w:val="FFFFFF" w:themeColor="background1"/>
                          <w:sz w:val="22"/>
                          <w:lang w:val="es-US"/>
                        </w:rPr>
                      </w:pPr>
                      <w:r w:rsidRPr="00593C7A">
                        <w:rPr>
                          <w:rFonts w:asciiTheme="minorHAnsi" w:hAnsiTheme="minorHAnsi"/>
                          <w:color w:val="FFFFFF" w:themeColor="background1"/>
                          <w:sz w:val="22"/>
                          <w:lang w:val="es-US"/>
                        </w:rPr>
                        <w:t>OEA/</w:t>
                      </w:r>
                      <w:proofErr w:type="spellStart"/>
                      <w:r w:rsidRPr="00593C7A">
                        <w:rPr>
                          <w:rFonts w:asciiTheme="minorHAnsi" w:hAnsiTheme="minorHAnsi"/>
                          <w:color w:val="FFFFFF" w:themeColor="background1"/>
                          <w:sz w:val="22"/>
                          <w:lang w:val="es-US"/>
                        </w:rPr>
                        <w:t>Ser.L</w:t>
                      </w:r>
                      <w:proofErr w:type="spellEnd"/>
                      <w:r w:rsidRPr="00593C7A">
                        <w:rPr>
                          <w:rFonts w:asciiTheme="minorHAnsi" w:hAnsiTheme="minorHAnsi"/>
                          <w:color w:val="FFFFFF" w:themeColor="background1"/>
                          <w:sz w:val="22"/>
                          <w:lang w:val="es-US"/>
                        </w:rPr>
                        <w:t>/V/II.</w:t>
                      </w:r>
                    </w:p>
                    <w:p w:rsidR="00E34F72" w:rsidRPr="00593C7A" w:rsidRDefault="00E34F72" w:rsidP="007A5817">
                      <w:pPr>
                        <w:spacing w:line="276" w:lineRule="auto"/>
                        <w:jc w:val="right"/>
                        <w:rPr>
                          <w:rFonts w:asciiTheme="minorHAnsi" w:hAnsiTheme="minorHAnsi"/>
                          <w:color w:val="FFFFFF" w:themeColor="background1"/>
                          <w:sz w:val="22"/>
                          <w:lang w:val="es-US"/>
                        </w:rPr>
                      </w:pPr>
                      <w:r w:rsidRPr="00593C7A">
                        <w:rPr>
                          <w:rFonts w:asciiTheme="minorHAnsi" w:hAnsiTheme="minorHAnsi"/>
                          <w:color w:val="FFFFFF" w:themeColor="background1"/>
                          <w:sz w:val="22"/>
                          <w:lang w:val="es-US"/>
                        </w:rPr>
                        <w:t xml:space="preserve">Doc. </w:t>
                      </w:r>
                      <w:r w:rsidR="00593C7A" w:rsidRPr="00593C7A">
                        <w:rPr>
                          <w:rFonts w:asciiTheme="minorHAnsi" w:hAnsiTheme="minorHAnsi"/>
                          <w:color w:val="FFFFFF" w:themeColor="background1"/>
                          <w:sz w:val="22"/>
                          <w:lang w:val="es-US"/>
                        </w:rPr>
                        <w:t>112</w:t>
                      </w:r>
                    </w:p>
                    <w:p w:rsidR="00E34F72" w:rsidRPr="00593C7A" w:rsidRDefault="00593C7A" w:rsidP="007A5817">
                      <w:pPr>
                        <w:spacing w:line="276" w:lineRule="auto"/>
                        <w:jc w:val="right"/>
                        <w:rPr>
                          <w:rFonts w:asciiTheme="minorHAnsi" w:hAnsiTheme="minorHAnsi"/>
                          <w:color w:val="FFFFFF" w:themeColor="background1"/>
                          <w:sz w:val="22"/>
                          <w:lang w:val="es-CO"/>
                        </w:rPr>
                      </w:pPr>
                      <w:r w:rsidRPr="00593C7A">
                        <w:rPr>
                          <w:rFonts w:asciiTheme="minorHAnsi" w:hAnsiTheme="minorHAnsi"/>
                          <w:color w:val="FFFFFF" w:themeColor="background1"/>
                          <w:sz w:val="22"/>
                          <w:lang w:val="es-CO"/>
                        </w:rPr>
                        <w:t>16 jul</w:t>
                      </w:r>
                      <w:r w:rsidR="00E34F72" w:rsidRPr="00593C7A">
                        <w:rPr>
                          <w:rFonts w:asciiTheme="minorHAnsi" w:hAnsiTheme="minorHAnsi"/>
                          <w:color w:val="FFFFFF" w:themeColor="background1"/>
                          <w:sz w:val="22"/>
                          <w:lang w:val="es-CO"/>
                        </w:rPr>
                        <w:t>io 2019</w:t>
                      </w:r>
                    </w:p>
                    <w:p w:rsidR="00E34F72" w:rsidRPr="00613DF7" w:rsidRDefault="00E34F72" w:rsidP="007A5817">
                      <w:pPr>
                        <w:spacing w:line="276" w:lineRule="auto"/>
                        <w:jc w:val="right"/>
                        <w:rPr>
                          <w:rFonts w:asciiTheme="minorHAnsi" w:hAnsiTheme="minorHAnsi"/>
                          <w:color w:val="FFFFFF" w:themeColor="background1"/>
                          <w:sz w:val="22"/>
                          <w:lang w:val="es-CO"/>
                        </w:rPr>
                      </w:pPr>
                      <w:r w:rsidRPr="00593C7A">
                        <w:rPr>
                          <w:rFonts w:asciiTheme="minorHAnsi" w:hAnsiTheme="minorHAnsi"/>
                          <w:color w:val="FFFFFF" w:themeColor="background1"/>
                          <w:sz w:val="22"/>
                          <w:lang w:val="es-CO"/>
                        </w:rPr>
                        <w:t>Original: español</w:t>
                      </w:r>
                    </w:p>
                  </w:txbxContent>
                </v:textbox>
              </v:shape>
            </w:pict>
          </mc:Fallback>
        </mc:AlternateContent>
      </w: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cs="Arial"/>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5128E4" w:rsidRPr="00AC00C0" w:rsidRDefault="005128E4"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5128E4" w:rsidRPr="00AC00C0" w:rsidRDefault="005128E4" w:rsidP="00AC00C0">
      <w:pPr>
        <w:tabs>
          <w:tab w:val="center" w:pos="5400"/>
        </w:tabs>
        <w:suppressAutoHyphens/>
        <w:jc w:val="center"/>
        <w:rPr>
          <w:rFonts w:asciiTheme="majorHAnsi" w:hAnsiTheme="majorHAnsi"/>
          <w:sz w:val="20"/>
          <w:szCs w:val="20"/>
          <w:lang w:val="es-ES_tradnl"/>
        </w:rPr>
      </w:pPr>
    </w:p>
    <w:p w:rsidR="005128E4" w:rsidRPr="00AC00C0" w:rsidRDefault="005128E4" w:rsidP="00AC00C0">
      <w:pPr>
        <w:tabs>
          <w:tab w:val="center" w:pos="5400"/>
        </w:tabs>
        <w:suppressAutoHyphens/>
        <w:jc w:val="center"/>
        <w:rPr>
          <w:rFonts w:asciiTheme="majorHAnsi" w:hAnsiTheme="majorHAnsi"/>
          <w:sz w:val="20"/>
          <w:szCs w:val="20"/>
          <w:lang w:val="es-ES_tradnl"/>
        </w:rPr>
      </w:pPr>
    </w:p>
    <w:p w:rsidR="005128E4" w:rsidRPr="00AC00C0" w:rsidRDefault="005128E4" w:rsidP="00AC00C0">
      <w:pPr>
        <w:tabs>
          <w:tab w:val="center" w:pos="5400"/>
        </w:tabs>
        <w:suppressAutoHyphens/>
        <w:jc w:val="center"/>
        <w:rPr>
          <w:rFonts w:asciiTheme="majorHAnsi" w:hAnsiTheme="majorHAnsi"/>
          <w:sz w:val="20"/>
          <w:szCs w:val="20"/>
          <w:lang w:val="es-ES_tradnl"/>
        </w:rPr>
      </w:pPr>
    </w:p>
    <w:p w:rsidR="00040C3A" w:rsidRPr="00AC00C0" w:rsidRDefault="00040C3A" w:rsidP="00AC00C0">
      <w:pPr>
        <w:tabs>
          <w:tab w:val="center" w:pos="5400"/>
        </w:tabs>
        <w:suppressAutoHyphens/>
        <w:jc w:val="center"/>
        <w:rPr>
          <w:rFonts w:asciiTheme="majorHAnsi" w:hAnsiTheme="majorHAnsi"/>
          <w:sz w:val="20"/>
          <w:szCs w:val="20"/>
          <w:lang w:val="es-ES_tradnl"/>
        </w:rPr>
      </w:pPr>
    </w:p>
    <w:p w:rsidR="00285241" w:rsidRPr="00AC00C0" w:rsidRDefault="00285241" w:rsidP="00AC00C0">
      <w:pPr>
        <w:tabs>
          <w:tab w:val="center" w:pos="5400"/>
        </w:tabs>
        <w:suppressAutoHyphens/>
        <w:jc w:val="center"/>
        <w:rPr>
          <w:rFonts w:asciiTheme="majorHAnsi" w:hAnsiTheme="majorHAnsi"/>
          <w:sz w:val="20"/>
          <w:szCs w:val="20"/>
          <w:lang w:val="es-ES_tradnl"/>
        </w:rPr>
      </w:pPr>
    </w:p>
    <w:p w:rsidR="00285241" w:rsidRPr="00AC00C0" w:rsidRDefault="00285241" w:rsidP="00AC00C0">
      <w:pPr>
        <w:tabs>
          <w:tab w:val="center" w:pos="5400"/>
        </w:tabs>
        <w:suppressAutoHyphens/>
        <w:jc w:val="center"/>
        <w:rPr>
          <w:rFonts w:asciiTheme="majorHAnsi" w:hAnsiTheme="majorHAnsi"/>
          <w:sz w:val="20"/>
          <w:szCs w:val="20"/>
          <w:lang w:val="es-ES_tradnl"/>
        </w:rPr>
      </w:pPr>
    </w:p>
    <w:p w:rsidR="00285241" w:rsidRPr="00AC00C0" w:rsidRDefault="00285241"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90270B" w:rsidP="00AC00C0">
      <w:pPr>
        <w:tabs>
          <w:tab w:val="center" w:pos="5400"/>
        </w:tabs>
        <w:suppressAutoHyphens/>
        <w:jc w:val="center"/>
        <w:rPr>
          <w:rFonts w:asciiTheme="majorHAnsi" w:hAnsiTheme="majorHAnsi"/>
          <w:sz w:val="20"/>
          <w:szCs w:val="20"/>
          <w:lang w:val="es-ES_tradnl"/>
        </w:rPr>
      </w:pPr>
      <w:r w:rsidRPr="00AC00C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186AE7E" wp14:editId="46E0C9A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890650" w:rsidRDefault="00E34F7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 xml:space="preserve">Comisión </w:t>
                            </w:r>
                            <w:r w:rsidRPr="00593C7A">
                              <w:rPr>
                                <w:rFonts w:asciiTheme="majorHAnsi" w:hAnsiTheme="majorHAnsi"/>
                                <w:color w:val="0D0D0D" w:themeColor="text1" w:themeTint="F2"/>
                                <w:sz w:val="18"/>
                                <w:szCs w:val="22"/>
                                <w:lang w:val="es-ES"/>
                              </w:rPr>
                              <w:t xml:space="preserve">el </w:t>
                            </w:r>
                            <w:r w:rsidR="00593C7A" w:rsidRPr="00593C7A">
                              <w:rPr>
                                <w:rFonts w:asciiTheme="majorHAnsi" w:hAnsiTheme="majorHAnsi"/>
                                <w:color w:val="0D0D0D" w:themeColor="text1" w:themeTint="F2"/>
                                <w:sz w:val="18"/>
                                <w:szCs w:val="22"/>
                                <w:lang w:val="es-ES"/>
                              </w:rPr>
                              <w:t>16</w:t>
                            </w:r>
                            <w:r w:rsidR="007C707D" w:rsidRPr="00593C7A">
                              <w:rPr>
                                <w:rFonts w:asciiTheme="majorHAnsi" w:hAnsiTheme="majorHAnsi"/>
                                <w:color w:val="0D0D0D" w:themeColor="text1" w:themeTint="F2"/>
                                <w:sz w:val="18"/>
                                <w:szCs w:val="22"/>
                                <w:lang w:val="es-ES"/>
                              </w:rPr>
                              <w:t xml:space="preserve"> de jul</w:t>
                            </w:r>
                            <w:r w:rsidRPr="00593C7A">
                              <w:rPr>
                                <w:rFonts w:asciiTheme="majorHAnsi" w:hAnsiTheme="majorHAnsi"/>
                                <w:color w:val="0D0D0D" w:themeColor="text1" w:themeTint="F2"/>
                                <w:sz w:val="18"/>
                                <w:szCs w:val="22"/>
                                <w:lang w:val="es-ES"/>
                              </w:rPr>
                              <w:t>io de 2019.</w:t>
                            </w:r>
                          </w:p>
                          <w:p w:rsidR="00E34F72" w:rsidRPr="007A5817" w:rsidRDefault="00E34F72" w:rsidP="00247403">
                            <w:pPr>
                              <w:tabs>
                                <w:tab w:val="center" w:pos="5400"/>
                              </w:tabs>
                              <w:suppressAutoHyphens/>
                              <w:spacing w:before="60"/>
                              <w:rPr>
                                <w:rFonts w:asciiTheme="minorHAnsi" w:hAnsiTheme="minorHAnsi" w:cs="Univers"/>
                                <w:color w:val="0D0D0D" w:themeColor="text1" w:themeTint="F2"/>
                                <w:sz w:val="20"/>
                                <w:szCs w:val="20"/>
                                <w:lang w:val="es-ES"/>
                              </w:rPr>
                            </w:pPr>
                          </w:p>
                          <w:p w:rsidR="00E34F72" w:rsidRPr="00167A34" w:rsidRDefault="00E34F7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86AE7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34F72" w:rsidRPr="00890650" w:rsidRDefault="00E34F7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 xml:space="preserve">Comisión </w:t>
                      </w:r>
                      <w:r w:rsidRPr="00593C7A">
                        <w:rPr>
                          <w:rFonts w:asciiTheme="majorHAnsi" w:hAnsiTheme="majorHAnsi"/>
                          <w:color w:val="0D0D0D" w:themeColor="text1" w:themeTint="F2"/>
                          <w:sz w:val="18"/>
                          <w:szCs w:val="22"/>
                          <w:lang w:val="es-ES"/>
                        </w:rPr>
                        <w:t xml:space="preserve">el </w:t>
                      </w:r>
                      <w:r w:rsidR="00593C7A" w:rsidRPr="00593C7A">
                        <w:rPr>
                          <w:rFonts w:asciiTheme="majorHAnsi" w:hAnsiTheme="majorHAnsi"/>
                          <w:color w:val="0D0D0D" w:themeColor="text1" w:themeTint="F2"/>
                          <w:sz w:val="18"/>
                          <w:szCs w:val="22"/>
                          <w:lang w:val="es-ES"/>
                        </w:rPr>
                        <w:t>16</w:t>
                      </w:r>
                      <w:r w:rsidR="007C707D" w:rsidRPr="00593C7A">
                        <w:rPr>
                          <w:rFonts w:asciiTheme="majorHAnsi" w:hAnsiTheme="majorHAnsi"/>
                          <w:color w:val="0D0D0D" w:themeColor="text1" w:themeTint="F2"/>
                          <w:sz w:val="18"/>
                          <w:szCs w:val="22"/>
                          <w:lang w:val="es-ES"/>
                        </w:rPr>
                        <w:t xml:space="preserve"> de jul</w:t>
                      </w:r>
                      <w:r w:rsidRPr="00593C7A">
                        <w:rPr>
                          <w:rFonts w:asciiTheme="majorHAnsi" w:hAnsiTheme="majorHAnsi"/>
                          <w:color w:val="0D0D0D" w:themeColor="text1" w:themeTint="F2"/>
                          <w:sz w:val="18"/>
                          <w:szCs w:val="22"/>
                          <w:lang w:val="es-ES"/>
                        </w:rPr>
                        <w:t>io de 2019.</w:t>
                      </w:r>
                    </w:p>
                    <w:p w:rsidR="00E34F72" w:rsidRPr="007A5817" w:rsidRDefault="00E34F72" w:rsidP="00247403">
                      <w:pPr>
                        <w:tabs>
                          <w:tab w:val="center" w:pos="5400"/>
                        </w:tabs>
                        <w:suppressAutoHyphens/>
                        <w:spacing w:before="60"/>
                        <w:rPr>
                          <w:rFonts w:asciiTheme="minorHAnsi" w:hAnsiTheme="minorHAnsi" w:cs="Univers"/>
                          <w:color w:val="0D0D0D" w:themeColor="text1" w:themeTint="F2"/>
                          <w:sz w:val="20"/>
                          <w:szCs w:val="20"/>
                          <w:lang w:val="es-ES"/>
                        </w:rPr>
                      </w:pPr>
                    </w:p>
                    <w:p w:rsidR="00E34F72" w:rsidRPr="00167A34" w:rsidRDefault="00E34F7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A50FCF" w:rsidRPr="00AC00C0" w:rsidRDefault="0090270B" w:rsidP="00AC00C0">
      <w:pPr>
        <w:tabs>
          <w:tab w:val="center" w:pos="5400"/>
        </w:tabs>
        <w:suppressAutoHyphens/>
        <w:jc w:val="center"/>
        <w:rPr>
          <w:rFonts w:asciiTheme="majorHAnsi" w:hAnsiTheme="majorHAnsi"/>
          <w:sz w:val="20"/>
          <w:szCs w:val="20"/>
          <w:lang w:val="es-ES_tradnl"/>
        </w:rPr>
      </w:pPr>
      <w:r w:rsidRPr="00AC00C0">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8A5CAA3" wp14:editId="4B5BB26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3215ED" w:rsidRDefault="00E34F72" w:rsidP="00113F73">
                            <w:pPr>
                              <w:spacing w:line="276" w:lineRule="auto"/>
                              <w:rPr>
                                <w:rFonts w:asciiTheme="majorHAnsi" w:hAnsiTheme="majorHAnsi"/>
                                <w:color w:val="595959" w:themeColor="text1" w:themeTint="A6"/>
                                <w:sz w:val="18"/>
                                <w:szCs w:val="18"/>
                                <w:lang w:val="es-ES"/>
                              </w:rPr>
                            </w:pPr>
                            <w:r w:rsidRPr="00593C7A">
                              <w:rPr>
                                <w:rFonts w:asciiTheme="majorHAnsi" w:hAnsiTheme="majorHAnsi"/>
                                <w:b/>
                                <w:color w:val="595959" w:themeColor="text1" w:themeTint="A6"/>
                                <w:sz w:val="18"/>
                                <w:szCs w:val="18"/>
                                <w:lang w:val="es-US"/>
                              </w:rPr>
                              <w:t>Citar como:</w:t>
                            </w:r>
                            <w:r w:rsidRPr="00593C7A">
                              <w:rPr>
                                <w:rFonts w:asciiTheme="majorHAnsi" w:hAnsiTheme="majorHAnsi"/>
                                <w:color w:val="595959" w:themeColor="text1" w:themeTint="A6"/>
                                <w:sz w:val="18"/>
                                <w:szCs w:val="18"/>
                                <w:lang w:val="es-US"/>
                              </w:rPr>
                              <w:t xml:space="preserve"> CIDH, Informe No. </w:t>
                            </w:r>
                            <w:r w:rsidR="00593C7A" w:rsidRPr="00593C7A">
                              <w:rPr>
                                <w:rFonts w:asciiTheme="majorHAnsi" w:hAnsiTheme="majorHAnsi"/>
                                <w:color w:val="595959" w:themeColor="text1" w:themeTint="A6"/>
                                <w:sz w:val="18"/>
                                <w:szCs w:val="18"/>
                                <w:lang w:val="es-CO"/>
                              </w:rPr>
                              <w:t xml:space="preserve">103/19, Petición 1224 - 07. </w:t>
                            </w:r>
                            <w:r w:rsidRPr="00593C7A">
                              <w:rPr>
                                <w:rFonts w:asciiTheme="majorHAnsi" w:hAnsiTheme="majorHAnsi"/>
                                <w:color w:val="595959" w:themeColor="text1" w:themeTint="A6"/>
                                <w:sz w:val="18"/>
                                <w:szCs w:val="18"/>
                                <w:lang w:val="es-ES_tradnl"/>
                              </w:rPr>
                              <w:t xml:space="preserve">Solución Amistosa. David Rabinovich. Uruguay. </w:t>
                            </w:r>
                            <w:r w:rsidR="00593C7A" w:rsidRPr="00593C7A">
                              <w:rPr>
                                <w:rFonts w:asciiTheme="majorHAnsi" w:hAnsiTheme="majorHAnsi"/>
                                <w:color w:val="595959" w:themeColor="text1" w:themeTint="A6"/>
                                <w:sz w:val="18"/>
                                <w:szCs w:val="18"/>
                                <w:lang w:val="es-ES"/>
                              </w:rPr>
                              <w:t>16</w:t>
                            </w:r>
                            <w:r w:rsidRPr="00593C7A">
                              <w:rPr>
                                <w:rFonts w:asciiTheme="majorHAnsi" w:hAnsiTheme="majorHAnsi"/>
                                <w:color w:val="595959" w:themeColor="text1" w:themeTint="A6"/>
                                <w:sz w:val="18"/>
                                <w:szCs w:val="18"/>
                                <w:lang w:val="es-ES"/>
                              </w:rPr>
                              <w:t xml:space="preserve"> de </w:t>
                            </w:r>
                            <w:r w:rsidR="007C707D" w:rsidRPr="00593C7A">
                              <w:rPr>
                                <w:rFonts w:asciiTheme="majorHAnsi" w:hAnsiTheme="majorHAnsi"/>
                                <w:color w:val="595959" w:themeColor="text1" w:themeTint="A6"/>
                                <w:sz w:val="18"/>
                                <w:szCs w:val="18"/>
                                <w:lang w:val="es-ES"/>
                              </w:rPr>
                              <w:t>julio</w:t>
                            </w:r>
                            <w:r w:rsidRPr="00593C7A">
                              <w:rPr>
                                <w:rFonts w:asciiTheme="majorHAnsi" w:hAnsiTheme="majorHAnsi"/>
                                <w:color w:val="595959" w:themeColor="text1" w:themeTint="A6"/>
                                <w:sz w:val="18"/>
                                <w:szCs w:val="18"/>
                                <w:lang w:val="es-ES"/>
                              </w:rPr>
                              <w:t xml:space="preserv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A5CAA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34F72" w:rsidRPr="003215ED" w:rsidRDefault="00E34F72" w:rsidP="00113F73">
                      <w:pPr>
                        <w:spacing w:line="276" w:lineRule="auto"/>
                        <w:rPr>
                          <w:rFonts w:asciiTheme="majorHAnsi" w:hAnsiTheme="majorHAnsi"/>
                          <w:color w:val="595959" w:themeColor="text1" w:themeTint="A6"/>
                          <w:sz w:val="18"/>
                          <w:szCs w:val="18"/>
                          <w:lang w:val="es-ES"/>
                        </w:rPr>
                      </w:pPr>
                      <w:r w:rsidRPr="00593C7A">
                        <w:rPr>
                          <w:rFonts w:asciiTheme="majorHAnsi" w:hAnsiTheme="majorHAnsi"/>
                          <w:b/>
                          <w:color w:val="595959" w:themeColor="text1" w:themeTint="A6"/>
                          <w:sz w:val="18"/>
                          <w:szCs w:val="18"/>
                          <w:lang w:val="es-US"/>
                        </w:rPr>
                        <w:t>Citar como:</w:t>
                      </w:r>
                      <w:r w:rsidRPr="00593C7A">
                        <w:rPr>
                          <w:rFonts w:asciiTheme="majorHAnsi" w:hAnsiTheme="majorHAnsi"/>
                          <w:color w:val="595959" w:themeColor="text1" w:themeTint="A6"/>
                          <w:sz w:val="18"/>
                          <w:szCs w:val="18"/>
                          <w:lang w:val="es-US"/>
                        </w:rPr>
                        <w:t xml:space="preserve"> CIDH, Informe No. </w:t>
                      </w:r>
                      <w:r w:rsidR="00593C7A" w:rsidRPr="00593C7A">
                        <w:rPr>
                          <w:rFonts w:asciiTheme="majorHAnsi" w:hAnsiTheme="majorHAnsi"/>
                          <w:color w:val="595959" w:themeColor="text1" w:themeTint="A6"/>
                          <w:sz w:val="18"/>
                          <w:szCs w:val="18"/>
                          <w:lang w:val="es-CO"/>
                        </w:rPr>
                        <w:t xml:space="preserve">103/19, Petición 1224 - 07. </w:t>
                      </w:r>
                      <w:r w:rsidRPr="00593C7A">
                        <w:rPr>
                          <w:rFonts w:asciiTheme="majorHAnsi" w:hAnsiTheme="majorHAnsi"/>
                          <w:color w:val="595959" w:themeColor="text1" w:themeTint="A6"/>
                          <w:sz w:val="18"/>
                          <w:szCs w:val="18"/>
                          <w:lang w:val="es-ES_tradnl"/>
                        </w:rPr>
                        <w:t xml:space="preserve">Solución Amistosa. David Rabinovich. Uruguay. </w:t>
                      </w:r>
                      <w:r w:rsidR="00593C7A" w:rsidRPr="00593C7A">
                        <w:rPr>
                          <w:rFonts w:asciiTheme="majorHAnsi" w:hAnsiTheme="majorHAnsi"/>
                          <w:color w:val="595959" w:themeColor="text1" w:themeTint="A6"/>
                          <w:sz w:val="18"/>
                          <w:szCs w:val="18"/>
                          <w:lang w:val="es-ES"/>
                        </w:rPr>
                        <w:t>16</w:t>
                      </w:r>
                      <w:r w:rsidRPr="00593C7A">
                        <w:rPr>
                          <w:rFonts w:asciiTheme="majorHAnsi" w:hAnsiTheme="majorHAnsi"/>
                          <w:color w:val="595959" w:themeColor="text1" w:themeTint="A6"/>
                          <w:sz w:val="18"/>
                          <w:szCs w:val="18"/>
                          <w:lang w:val="es-ES"/>
                        </w:rPr>
                        <w:t xml:space="preserve"> de </w:t>
                      </w:r>
                      <w:r w:rsidR="007C707D" w:rsidRPr="00593C7A">
                        <w:rPr>
                          <w:rFonts w:asciiTheme="majorHAnsi" w:hAnsiTheme="majorHAnsi"/>
                          <w:color w:val="595959" w:themeColor="text1" w:themeTint="A6"/>
                          <w:sz w:val="18"/>
                          <w:szCs w:val="18"/>
                          <w:lang w:val="es-ES"/>
                        </w:rPr>
                        <w:t>julio</w:t>
                      </w:r>
                      <w:r w:rsidRPr="00593C7A">
                        <w:rPr>
                          <w:rFonts w:asciiTheme="majorHAnsi" w:hAnsiTheme="majorHAnsi"/>
                          <w:color w:val="595959" w:themeColor="text1" w:themeTint="A6"/>
                          <w:sz w:val="18"/>
                          <w:szCs w:val="18"/>
                          <w:lang w:val="es-ES"/>
                        </w:rPr>
                        <w:t xml:space="preserve"> de 2019.</w:t>
                      </w:r>
                    </w:p>
                  </w:txbxContent>
                </v:textbox>
              </v:shape>
            </w:pict>
          </mc:Fallback>
        </mc:AlternateContent>
      </w:r>
    </w:p>
    <w:p w:rsidR="00A50FCF" w:rsidRPr="00AC00C0" w:rsidRDefault="00A50FCF" w:rsidP="00AC00C0">
      <w:pPr>
        <w:tabs>
          <w:tab w:val="center" w:pos="5400"/>
        </w:tabs>
        <w:suppressAutoHyphens/>
        <w:jc w:val="center"/>
        <w:rPr>
          <w:rFonts w:asciiTheme="majorHAnsi" w:hAnsiTheme="majorHAnsi"/>
          <w:sz w:val="20"/>
          <w:szCs w:val="20"/>
          <w:lang w:val="es-ES_tradnl"/>
        </w:rPr>
      </w:pPr>
    </w:p>
    <w:p w:rsidR="00285241" w:rsidRPr="00AC00C0" w:rsidRDefault="00285241" w:rsidP="00AC00C0">
      <w:pPr>
        <w:tabs>
          <w:tab w:val="center" w:pos="5400"/>
        </w:tabs>
        <w:suppressAutoHyphens/>
        <w:jc w:val="center"/>
        <w:rPr>
          <w:rFonts w:asciiTheme="majorHAnsi" w:hAnsiTheme="majorHAnsi"/>
          <w:b/>
          <w:sz w:val="20"/>
          <w:szCs w:val="20"/>
          <w:lang w:val="es-ES_tradnl"/>
        </w:rPr>
      </w:pPr>
    </w:p>
    <w:p w:rsidR="0090270B" w:rsidRPr="00AC00C0" w:rsidRDefault="00D306D1" w:rsidP="00AC00C0">
      <w:pPr>
        <w:tabs>
          <w:tab w:val="center" w:pos="5400"/>
        </w:tabs>
        <w:suppressAutoHyphens/>
        <w:jc w:val="center"/>
        <w:rPr>
          <w:rFonts w:asciiTheme="majorHAnsi" w:hAnsiTheme="majorHAnsi"/>
          <w:b/>
          <w:sz w:val="20"/>
          <w:szCs w:val="20"/>
          <w:lang w:val="es-ES_tradnl"/>
        </w:rPr>
      </w:pPr>
      <w:r w:rsidRPr="00AC00C0">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7D89F98" wp14:editId="6C6F533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D72DC6" w:rsidRDefault="00E34F7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675D01" wp14:editId="7067C1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D89F9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34F72" w:rsidRPr="00D72DC6" w:rsidRDefault="00E34F7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675D01" wp14:editId="7067C1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C00C0">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5D7A239" wp14:editId="3C771E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F72" w:rsidRPr="004B7EB6" w:rsidRDefault="00E34F7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D7A23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34F72" w:rsidRPr="004B7EB6" w:rsidRDefault="00E34F7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C00C0" w:rsidRDefault="0070697F" w:rsidP="00AC00C0">
      <w:pPr>
        <w:tabs>
          <w:tab w:val="center" w:pos="5400"/>
        </w:tabs>
        <w:suppressAutoHyphens/>
        <w:jc w:val="center"/>
        <w:rPr>
          <w:rFonts w:asciiTheme="majorHAnsi" w:hAnsiTheme="majorHAnsi"/>
          <w:b/>
          <w:sz w:val="20"/>
          <w:szCs w:val="20"/>
          <w:lang w:val="es-ES_tradnl"/>
        </w:rPr>
        <w:sectPr w:rsidR="0070697F" w:rsidRPr="00AC00C0"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215ED" w:rsidRPr="00593C7A" w:rsidRDefault="003215ED" w:rsidP="00AC00C0">
      <w:pPr>
        <w:tabs>
          <w:tab w:val="center" w:pos="5400"/>
        </w:tabs>
        <w:suppressAutoHyphens/>
        <w:jc w:val="center"/>
        <w:rPr>
          <w:rFonts w:asciiTheme="majorHAnsi" w:hAnsiTheme="majorHAnsi"/>
          <w:b/>
          <w:sz w:val="18"/>
          <w:szCs w:val="18"/>
          <w:lang w:val="es-MX"/>
        </w:rPr>
      </w:pPr>
      <w:r w:rsidRPr="00593C7A">
        <w:rPr>
          <w:rFonts w:asciiTheme="majorHAnsi" w:hAnsiTheme="majorHAnsi"/>
          <w:b/>
          <w:sz w:val="18"/>
          <w:szCs w:val="18"/>
          <w:lang w:val="es-MX"/>
        </w:rPr>
        <w:lastRenderedPageBreak/>
        <w:t xml:space="preserve">INFORME No. </w:t>
      </w:r>
      <w:r w:rsidR="00593C7A" w:rsidRPr="00593C7A">
        <w:rPr>
          <w:rFonts w:asciiTheme="majorHAnsi" w:hAnsiTheme="majorHAnsi"/>
          <w:b/>
          <w:sz w:val="18"/>
          <w:szCs w:val="18"/>
          <w:lang w:val="es-MX"/>
        </w:rPr>
        <w:t>103</w:t>
      </w:r>
      <w:r w:rsidRPr="00593C7A">
        <w:rPr>
          <w:rFonts w:asciiTheme="majorHAnsi" w:hAnsiTheme="majorHAnsi"/>
          <w:b/>
          <w:sz w:val="18"/>
          <w:szCs w:val="18"/>
          <w:lang w:val="es-MX"/>
        </w:rPr>
        <w:t>/19</w:t>
      </w:r>
    </w:p>
    <w:p w:rsidR="003215ED" w:rsidRPr="00593C7A" w:rsidRDefault="00FD60D7" w:rsidP="00AC00C0">
      <w:pPr>
        <w:tabs>
          <w:tab w:val="center" w:pos="5400"/>
        </w:tabs>
        <w:suppressAutoHyphens/>
        <w:jc w:val="center"/>
        <w:rPr>
          <w:rFonts w:asciiTheme="majorHAnsi" w:hAnsiTheme="majorHAnsi"/>
          <w:b/>
          <w:sz w:val="18"/>
          <w:szCs w:val="18"/>
          <w:lang w:val="es-MX"/>
        </w:rPr>
      </w:pPr>
      <w:r w:rsidRPr="00593C7A">
        <w:rPr>
          <w:rFonts w:asciiTheme="majorHAnsi" w:hAnsiTheme="majorHAnsi"/>
          <w:b/>
          <w:sz w:val="18"/>
          <w:szCs w:val="18"/>
          <w:lang w:val="es-MX"/>
        </w:rPr>
        <w:t>PETICIÓN 1224 - 07</w:t>
      </w:r>
    </w:p>
    <w:p w:rsidR="00FD60D7" w:rsidRPr="00593C7A" w:rsidRDefault="003215ED" w:rsidP="00AC00C0">
      <w:pPr>
        <w:tabs>
          <w:tab w:val="center" w:pos="5400"/>
        </w:tabs>
        <w:suppressAutoHyphens/>
        <w:jc w:val="center"/>
        <w:rPr>
          <w:rFonts w:asciiTheme="majorHAnsi" w:hAnsiTheme="majorHAnsi"/>
          <w:sz w:val="18"/>
          <w:szCs w:val="18"/>
          <w:lang w:val="es-ES_tradnl"/>
        </w:rPr>
      </w:pPr>
      <w:r w:rsidRPr="00593C7A">
        <w:rPr>
          <w:rFonts w:asciiTheme="majorHAnsi" w:hAnsiTheme="majorHAnsi"/>
          <w:sz w:val="18"/>
          <w:szCs w:val="18"/>
          <w:lang w:val="es-ES_tradnl"/>
        </w:rPr>
        <w:t>SOLUCIÓN AMISTOSA</w:t>
      </w:r>
    </w:p>
    <w:p w:rsidR="003215ED" w:rsidRPr="00593C7A" w:rsidRDefault="00FD60D7" w:rsidP="00AC00C0">
      <w:pPr>
        <w:tabs>
          <w:tab w:val="center" w:pos="5400"/>
        </w:tabs>
        <w:suppressAutoHyphens/>
        <w:jc w:val="center"/>
        <w:rPr>
          <w:rFonts w:asciiTheme="majorHAnsi" w:hAnsiTheme="majorHAnsi"/>
          <w:sz w:val="18"/>
          <w:szCs w:val="18"/>
          <w:lang w:val="es-ES_tradnl"/>
        </w:rPr>
      </w:pPr>
      <w:r w:rsidRPr="00593C7A">
        <w:rPr>
          <w:rFonts w:asciiTheme="majorHAnsi" w:hAnsiTheme="majorHAnsi"/>
          <w:sz w:val="18"/>
          <w:szCs w:val="18"/>
          <w:lang w:val="es-ES_tradnl"/>
        </w:rPr>
        <w:t>DAVID RABINOVICH</w:t>
      </w:r>
    </w:p>
    <w:p w:rsidR="003215ED" w:rsidRPr="00593C7A" w:rsidRDefault="00FD60D7" w:rsidP="00AC00C0">
      <w:pPr>
        <w:tabs>
          <w:tab w:val="center" w:pos="5400"/>
        </w:tabs>
        <w:suppressAutoHyphens/>
        <w:jc w:val="center"/>
        <w:rPr>
          <w:rFonts w:asciiTheme="majorHAnsi" w:hAnsiTheme="majorHAnsi"/>
          <w:sz w:val="18"/>
          <w:szCs w:val="18"/>
          <w:lang w:val="es-ES_tradnl"/>
        </w:rPr>
      </w:pPr>
      <w:r w:rsidRPr="00593C7A">
        <w:rPr>
          <w:rFonts w:asciiTheme="majorHAnsi" w:hAnsiTheme="majorHAnsi"/>
          <w:sz w:val="18"/>
          <w:szCs w:val="18"/>
          <w:lang w:val="es-ES_tradnl"/>
        </w:rPr>
        <w:t>URUGUAY</w:t>
      </w:r>
    </w:p>
    <w:p w:rsidR="003215ED" w:rsidRPr="00593C7A" w:rsidRDefault="00593C7A" w:rsidP="00AC00C0">
      <w:pPr>
        <w:tabs>
          <w:tab w:val="center" w:pos="5400"/>
        </w:tabs>
        <w:suppressAutoHyphens/>
        <w:jc w:val="center"/>
        <w:rPr>
          <w:rFonts w:asciiTheme="majorHAnsi" w:hAnsiTheme="majorHAnsi"/>
          <w:sz w:val="18"/>
          <w:szCs w:val="18"/>
          <w:lang w:val="es-ES_tradnl"/>
        </w:rPr>
      </w:pPr>
      <w:r w:rsidRPr="00593C7A">
        <w:rPr>
          <w:rFonts w:asciiTheme="majorHAnsi" w:hAnsiTheme="majorHAnsi"/>
          <w:sz w:val="18"/>
          <w:szCs w:val="18"/>
          <w:lang w:val="es-ES_tradnl"/>
        </w:rPr>
        <w:t>16</w:t>
      </w:r>
      <w:r w:rsidR="007C707D" w:rsidRPr="00593C7A">
        <w:rPr>
          <w:rFonts w:asciiTheme="majorHAnsi" w:hAnsiTheme="majorHAnsi"/>
          <w:sz w:val="18"/>
          <w:szCs w:val="18"/>
          <w:lang w:val="es-ES_tradnl"/>
        </w:rPr>
        <w:t xml:space="preserve"> DE JUL</w:t>
      </w:r>
      <w:r w:rsidR="00FD60D7" w:rsidRPr="00593C7A">
        <w:rPr>
          <w:rFonts w:asciiTheme="majorHAnsi" w:hAnsiTheme="majorHAnsi"/>
          <w:sz w:val="18"/>
          <w:szCs w:val="18"/>
          <w:lang w:val="es-ES_tradnl"/>
        </w:rPr>
        <w:t>IO</w:t>
      </w:r>
      <w:r w:rsidR="003215ED" w:rsidRPr="00593C7A">
        <w:rPr>
          <w:rFonts w:asciiTheme="majorHAnsi" w:hAnsiTheme="majorHAnsi"/>
          <w:sz w:val="18"/>
          <w:szCs w:val="18"/>
          <w:lang w:val="es-ES_tradnl"/>
        </w:rPr>
        <w:t xml:space="preserve"> DE 2019</w:t>
      </w:r>
    </w:p>
    <w:p w:rsidR="003215ED" w:rsidRPr="00AC00C0" w:rsidRDefault="003215ED" w:rsidP="00AC00C0">
      <w:pPr>
        <w:tabs>
          <w:tab w:val="center" w:pos="5400"/>
        </w:tabs>
        <w:suppressAutoHyphens/>
        <w:jc w:val="center"/>
        <w:rPr>
          <w:rFonts w:asciiTheme="majorHAnsi" w:hAnsiTheme="majorHAnsi"/>
          <w:sz w:val="20"/>
          <w:szCs w:val="20"/>
          <w:lang w:val="es-ES_tradnl"/>
        </w:rPr>
      </w:pPr>
    </w:p>
    <w:p w:rsidR="00A15D55" w:rsidRPr="00AC00C0" w:rsidRDefault="00A15D55" w:rsidP="00AC00C0">
      <w:pPr>
        <w:tabs>
          <w:tab w:val="center" w:pos="5400"/>
        </w:tabs>
        <w:suppressAutoHyphens/>
        <w:jc w:val="center"/>
        <w:rPr>
          <w:rFonts w:asciiTheme="majorHAnsi" w:hAnsiTheme="majorHAnsi"/>
          <w:sz w:val="20"/>
          <w:szCs w:val="20"/>
          <w:lang w:val="es-ES_tradnl"/>
        </w:rPr>
      </w:pPr>
    </w:p>
    <w:p w:rsidR="003215ED" w:rsidRPr="00AC00C0" w:rsidRDefault="003215ED" w:rsidP="005077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AC00C0">
        <w:rPr>
          <w:rFonts w:asciiTheme="majorHAnsi" w:hAnsiTheme="majorHAnsi"/>
          <w:b/>
          <w:sz w:val="20"/>
          <w:szCs w:val="20"/>
          <w:lang w:val="es-BO"/>
        </w:rPr>
        <w:t>RESUMEN Y ASPECTOS PROCESALES RELEVANTES DEL PROCESO DE SOLUCIÓN AMISTOSA</w:t>
      </w:r>
    </w:p>
    <w:p w:rsidR="003215ED" w:rsidRPr="00AC00C0" w:rsidRDefault="003215ED" w:rsidP="00AC00C0">
      <w:pPr>
        <w:ind w:firstLine="720"/>
        <w:rPr>
          <w:rFonts w:asciiTheme="majorHAnsi" w:hAnsiTheme="majorHAnsi"/>
          <w:b/>
          <w:sz w:val="20"/>
          <w:szCs w:val="20"/>
          <w:lang w:val="es-BO"/>
        </w:rPr>
      </w:pPr>
    </w:p>
    <w:p w:rsidR="003215ED" w:rsidRPr="00AC00C0" w:rsidRDefault="00B95F6D"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Cambria"/>
          <w:color w:val="000000"/>
          <w:sz w:val="20"/>
          <w:szCs w:val="20"/>
          <w:lang w:val="es-CO" w:eastAsia="es-ES"/>
        </w:rPr>
      </w:pPr>
      <w:r w:rsidRPr="00412089">
        <w:rPr>
          <w:rFonts w:asciiTheme="majorHAnsi" w:hAnsiTheme="majorHAnsi" w:cs="Cambria"/>
          <w:color w:val="000000"/>
          <w:sz w:val="20"/>
          <w:szCs w:val="20"/>
          <w:lang w:val="es-CO" w:eastAsia="es-ES"/>
        </w:rPr>
        <w:t>El 25 de octubre de 2007 la Comisión Interamericana de Derechos H</w:t>
      </w:r>
      <w:r w:rsidR="007C707D" w:rsidRPr="00412089">
        <w:rPr>
          <w:rFonts w:asciiTheme="majorHAnsi" w:hAnsiTheme="majorHAnsi" w:cs="Cambria"/>
          <w:color w:val="000000"/>
          <w:sz w:val="20"/>
          <w:szCs w:val="20"/>
          <w:lang w:val="es-CO" w:eastAsia="es-ES"/>
        </w:rPr>
        <w:t>umanos (en adelante “la Comis</w:t>
      </w:r>
      <w:r w:rsidRPr="00412089">
        <w:rPr>
          <w:rFonts w:asciiTheme="majorHAnsi" w:hAnsiTheme="majorHAnsi" w:cs="Cambria"/>
          <w:color w:val="000000"/>
          <w:sz w:val="20"/>
          <w:szCs w:val="20"/>
          <w:lang w:val="es-CO" w:eastAsia="es-ES"/>
        </w:rPr>
        <w:t xml:space="preserve">ión” o la “CIDH”) recibió una petición </w:t>
      </w:r>
      <w:r w:rsidR="0072725D" w:rsidRPr="00412089">
        <w:rPr>
          <w:rFonts w:asciiTheme="majorHAnsi" w:hAnsiTheme="majorHAnsi" w:cs="Cambria"/>
          <w:color w:val="000000"/>
          <w:sz w:val="20"/>
          <w:szCs w:val="20"/>
          <w:lang w:val="es-CO" w:eastAsia="es-ES"/>
        </w:rPr>
        <w:t>presentada por</w:t>
      </w:r>
      <w:r w:rsidR="00B01CB7" w:rsidRPr="00412089">
        <w:rPr>
          <w:rFonts w:asciiTheme="majorHAnsi" w:hAnsiTheme="majorHAnsi" w:cs="Cambria"/>
          <w:color w:val="000000"/>
          <w:sz w:val="20"/>
          <w:szCs w:val="20"/>
          <w:lang w:val="es-CO" w:eastAsia="es-ES"/>
        </w:rPr>
        <w:t xml:space="preserve"> David Rabinovich</w:t>
      </w:r>
      <w:r w:rsidR="0072725D" w:rsidRPr="00412089">
        <w:rPr>
          <w:rFonts w:asciiTheme="majorHAnsi" w:hAnsiTheme="majorHAnsi" w:cs="Cambria"/>
          <w:color w:val="000000"/>
          <w:sz w:val="20"/>
          <w:szCs w:val="20"/>
          <w:lang w:val="es-CO" w:eastAsia="es-ES"/>
        </w:rPr>
        <w:t>, con el patrocinio de la Asociacion de la Prensa Uruguaya (en adelante “APU”) y el Instituto de Estudios Legales del Uruguay (en adelante “ILESUR”), en adelante “los peticionarios” o “la parte peticionaria”</w:t>
      </w:r>
      <w:r w:rsidR="00B01CB7" w:rsidRPr="00412089">
        <w:rPr>
          <w:rFonts w:asciiTheme="majorHAnsi" w:hAnsiTheme="majorHAnsi" w:cs="Cambria"/>
          <w:color w:val="000000"/>
          <w:sz w:val="20"/>
          <w:szCs w:val="20"/>
          <w:lang w:val="es-CO" w:eastAsia="es-ES"/>
        </w:rPr>
        <w:t xml:space="preserve"> en la que se alega</w:t>
      </w:r>
      <w:r w:rsidR="007C707D" w:rsidRPr="00412089">
        <w:rPr>
          <w:rFonts w:asciiTheme="majorHAnsi" w:hAnsiTheme="majorHAnsi" w:cs="Cambria"/>
          <w:color w:val="000000"/>
          <w:sz w:val="20"/>
          <w:szCs w:val="20"/>
          <w:lang w:val="es-CO" w:eastAsia="es-ES"/>
        </w:rPr>
        <w:t>ba</w:t>
      </w:r>
      <w:r w:rsidR="00B01CB7" w:rsidRPr="00412089">
        <w:rPr>
          <w:rFonts w:asciiTheme="majorHAnsi" w:hAnsiTheme="majorHAnsi" w:cs="Cambria"/>
          <w:color w:val="000000"/>
          <w:sz w:val="20"/>
          <w:szCs w:val="20"/>
          <w:lang w:val="es-CO" w:eastAsia="es-ES"/>
        </w:rPr>
        <w:t xml:space="preserve"> que este habría sido víctima de violaciones a su libertad de expresión y al acceso a la información, por </w:t>
      </w:r>
      <w:r w:rsidR="007C707D" w:rsidRPr="00412089">
        <w:rPr>
          <w:rFonts w:asciiTheme="majorHAnsi" w:hAnsiTheme="majorHAnsi" w:cs="Cambria"/>
          <w:color w:val="000000"/>
          <w:sz w:val="20"/>
          <w:szCs w:val="20"/>
          <w:lang w:val="es-CO" w:eastAsia="es-ES"/>
        </w:rPr>
        <w:t>la alegada denegación de acceso a información de interés público sobre la base</w:t>
      </w:r>
      <w:r w:rsidR="00B01CB7" w:rsidRPr="00412089">
        <w:rPr>
          <w:rFonts w:asciiTheme="majorHAnsi" w:hAnsiTheme="majorHAnsi" w:cs="Cambria"/>
          <w:color w:val="000000"/>
          <w:sz w:val="20"/>
          <w:szCs w:val="20"/>
          <w:lang w:val="es-CO" w:eastAsia="es-ES"/>
        </w:rPr>
        <w:t xml:space="preserve"> de una ley incompatible con los estándares internacionales. Según </w:t>
      </w:r>
      <w:r w:rsidR="00D07952" w:rsidRPr="00412089">
        <w:rPr>
          <w:rFonts w:asciiTheme="majorHAnsi" w:hAnsiTheme="majorHAnsi" w:cs="Cambria"/>
          <w:color w:val="000000"/>
          <w:sz w:val="20"/>
          <w:szCs w:val="20"/>
          <w:lang w:val="es-CO" w:eastAsia="es-ES"/>
        </w:rPr>
        <w:t xml:space="preserve">lo alegado, la presunta </w:t>
      </w:r>
      <w:r w:rsidR="007C707D" w:rsidRPr="00412089">
        <w:rPr>
          <w:rFonts w:asciiTheme="majorHAnsi" w:hAnsiTheme="majorHAnsi" w:cs="Cambria"/>
          <w:color w:val="000000"/>
          <w:sz w:val="20"/>
          <w:szCs w:val="20"/>
          <w:lang w:val="es-CO" w:eastAsia="es-ES"/>
        </w:rPr>
        <w:t>víctima,</w:t>
      </w:r>
      <w:r w:rsidR="00B01CB7" w:rsidRPr="00412089">
        <w:rPr>
          <w:rFonts w:asciiTheme="majorHAnsi" w:hAnsiTheme="majorHAnsi" w:cs="Cambria"/>
          <w:color w:val="000000"/>
          <w:sz w:val="20"/>
          <w:szCs w:val="20"/>
          <w:lang w:val="es-CO" w:eastAsia="es-ES"/>
        </w:rPr>
        <w:t xml:space="preserve"> David Rabinovich, periodista de</w:t>
      </w:r>
      <w:r w:rsidR="00B01CB7" w:rsidRPr="00AC00C0">
        <w:rPr>
          <w:rFonts w:asciiTheme="majorHAnsi" w:hAnsiTheme="majorHAnsi" w:cs="Cambria"/>
          <w:color w:val="000000"/>
          <w:sz w:val="20"/>
          <w:szCs w:val="20"/>
          <w:lang w:val="es-CO" w:eastAsia="es-ES"/>
        </w:rPr>
        <w:t xml:space="preserve"> profesión, habría solicitado acceso a las actas, transcripción de grabaciones o cintas de grabación de una sesión de la Comisión Presupuestaria de la </w:t>
      </w:r>
      <w:r w:rsidR="00671818" w:rsidRPr="00AC00C0">
        <w:rPr>
          <w:rFonts w:asciiTheme="majorHAnsi" w:hAnsiTheme="majorHAnsi" w:cs="Cambria"/>
          <w:color w:val="000000"/>
          <w:sz w:val="20"/>
          <w:szCs w:val="20"/>
          <w:lang w:val="es-CO" w:eastAsia="es-ES"/>
        </w:rPr>
        <w:t>Junta Departamental de San José que le fue denegada</w:t>
      </w:r>
      <w:r w:rsidR="00B01CB7" w:rsidRPr="00AC00C0">
        <w:rPr>
          <w:rFonts w:asciiTheme="majorHAnsi" w:hAnsiTheme="majorHAnsi" w:cs="Cambria"/>
          <w:color w:val="000000"/>
          <w:sz w:val="20"/>
          <w:szCs w:val="20"/>
          <w:lang w:val="es-CO" w:eastAsia="es-ES"/>
        </w:rPr>
        <w:t>. El peticionario alegó que el artículo 11 de la Ley Orgánica Municipal No. 9.515 de 1935, permitía que se declararan secretos los asuntos resueltos en la sesión, por decisión de la mayoría absoluta de los presente. El peticionario alegó que el Estado uruguayo no cumplió con los estándares de máxima divulgación, publicidad y transparencia</w:t>
      </w:r>
      <w:r w:rsidR="00B01CB7" w:rsidRPr="00AC00C0">
        <w:rPr>
          <w:rFonts w:asciiTheme="majorHAnsi" w:hAnsiTheme="majorHAnsi" w:cs="Arial"/>
          <w:sz w:val="20"/>
          <w:szCs w:val="20"/>
          <w:lang w:val="es-PE"/>
        </w:rPr>
        <w:t>.</w:t>
      </w:r>
    </w:p>
    <w:p w:rsidR="003215ED" w:rsidRPr="00AC00C0" w:rsidRDefault="003215ED" w:rsidP="00AC00C0">
      <w:pPr>
        <w:tabs>
          <w:tab w:val="left" w:pos="1440"/>
        </w:tabs>
        <w:ind w:firstLine="720"/>
        <w:jc w:val="both"/>
        <w:rPr>
          <w:rFonts w:asciiTheme="majorHAnsi" w:hAnsiTheme="majorHAnsi" w:cs="Arial"/>
          <w:sz w:val="20"/>
          <w:szCs w:val="20"/>
          <w:lang w:val="es-PE"/>
        </w:rPr>
      </w:pPr>
    </w:p>
    <w:p w:rsidR="003215ED" w:rsidRPr="00AC00C0" w:rsidRDefault="00117411"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C00C0">
        <w:rPr>
          <w:rFonts w:asciiTheme="majorHAnsi" w:hAnsiTheme="majorHAnsi" w:cs="Arial"/>
          <w:sz w:val="20"/>
          <w:szCs w:val="20"/>
          <w:lang w:val="es-PE"/>
        </w:rPr>
        <w:t xml:space="preserve">La parte peticionaria alegó </w:t>
      </w:r>
      <w:r w:rsidR="003215ED" w:rsidRPr="00AC00C0">
        <w:rPr>
          <w:rFonts w:asciiTheme="majorHAnsi" w:hAnsiTheme="majorHAnsi" w:cs="Arial"/>
          <w:sz w:val="20"/>
          <w:szCs w:val="20"/>
          <w:lang w:val="es-PE"/>
        </w:rPr>
        <w:t>que el Estado es responsable por la violación de</w:t>
      </w:r>
      <w:r w:rsidR="00E34F72" w:rsidRPr="00AC00C0">
        <w:rPr>
          <w:rFonts w:asciiTheme="majorHAnsi" w:hAnsiTheme="majorHAnsi" w:cs="Arial"/>
          <w:sz w:val="20"/>
          <w:szCs w:val="20"/>
          <w:lang w:val="es-PE"/>
        </w:rPr>
        <w:t xml:space="preserve"> los artículos</w:t>
      </w:r>
      <w:r w:rsidR="00500E62">
        <w:rPr>
          <w:rFonts w:asciiTheme="majorHAnsi" w:hAnsiTheme="majorHAnsi" w:cs="Arial"/>
          <w:sz w:val="20"/>
          <w:szCs w:val="20"/>
          <w:lang w:val="es-PE"/>
        </w:rPr>
        <w:t xml:space="preserve"> </w:t>
      </w:r>
      <w:r w:rsidR="003215ED" w:rsidRPr="00AC00C0">
        <w:rPr>
          <w:rFonts w:asciiTheme="majorHAnsi" w:hAnsiTheme="majorHAnsi" w:cs="Arial"/>
          <w:sz w:val="20"/>
          <w:szCs w:val="20"/>
          <w:lang w:val="es-PE"/>
        </w:rPr>
        <w:t>13 (</w:t>
      </w:r>
      <w:r w:rsidR="002B4D23" w:rsidRPr="00AC00C0">
        <w:rPr>
          <w:rFonts w:asciiTheme="majorHAnsi" w:hAnsiTheme="majorHAnsi" w:cs="Arial"/>
          <w:sz w:val="20"/>
          <w:szCs w:val="20"/>
          <w:lang w:val="es-PE"/>
        </w:rPr>
        <w:t>d</w:t>
      </w:r>
      <w:r w:rsidR="004D450C" w:rsidRPr="00AC00C0">
        <w:rPr>
          <w:rFonts w:asciiTheme="majorHAnsi" w:hAnsiTheme="majorHAnsi" w:cs="Arial"/>
          <w:sz w:val="20"/>
          <w:szCs w:val="20"/>
          <w:lang w:val="es-PE"/>
        </w:rPr>
        <w:t xml:space="preserve">erecho a la </w:t>
      </w:r>
      <w:r w:rsidR="00B95F6D" w:rsidRPr="00AC00C0">
        <w:rPr>
          <w:rFonts w:asciiTheme="majorHAnsi" w:hAnsiTheme="majorHAnsi" w:cs="Arial"/>
          <w:sz w:val="20"/>
          <w:szCs w:val="20"/>
          <w:lang w:val="es-PE"/>
        </w:rPr>
        <w:t>libertad de pensamiento y de expresión</w:t>
      </w:r>
      <w:r w:rsidR="004D450C" w:rsidRPr="00AC00C0">
        <w:rPr>
          <w:rFonts w:asciiTheme="majorHAnsi" w:hAnsiTheme="majorHAnsi" w:cs="Arial"/>
          <w:sz w:val="20"/>
          <w:szCs w:val="20"/>
          <w:lang w:val="es-PE"/>
        </w:rPr>
        <w:t>) y</w:t>
      </w:r>
      <w:r w:rsidR="003215ED" w:rsidRPr="00AC00C0">
        <w:rPr>
          <w:rFonts w:asciiTheme="majorHAnsi" w:hAnsiTheme="majorHAnsi" w:cs="Arial"/>
          <w:sz w:val="20"/>
          <w:szCs w:val="20"/>
          <w:lang w:val="es-PE"/>
        </w:rPr>
        <w:t xml:space="preserve"> 25 (</w:t>
      </w:r>
      <w:r w:rsidR="002B4D23" w:rsidRPr="00AC00C0">
        <w:rPr>
          <w:rFonts w:asciiTheme="majorHAnsi" w:hAnsiTheme="majorHAnsi" w:cs="Arial"/>
          <w:sz w:val="20"/>
          <w:szCs w:val="20"/>
          <w:lang w:val="es-PE"/>
        </w:rPr>
        <w:t>d</w:t>
      </w:r>
      <w:r w:rsidR="004D450C" w:rsidRPr="00AC00C0">
        <w:rPr>
          <w:rFonts w:asciiTheme="majorHAnsi" w:hAnsiTheme="majorHAnsi" w:cs="Arial"/>
          <w:sz w:val="20"/>
          <w:szCs w:val="20"/>
          <w:lang w:val="es-PE"/>
        </w:rPr>
        <w:t xml:space="preserve">erecho a la protección judicial) </w:t>
      </w:r>
      <w:r w:rsidR="003215ED" w:rsidRPr="00AC00C0">
        <w:rPr>
          <w:rFonts w:asciiTheme="majorHAnsi" w:hAnsiTheme="majorHAnsi" w:cs="Arial"/>
          <w:sz w:val="20"/>
          <w:szCs w:val="20"/>
          <w:lang w:val="es-PE"/>
        </w:rPr>
        <w:t>de la Convención Am</w:t>
      </w:r>
      <w:r w:rsidRPr="00AC00C0">
        <w:rPr>
          <w:rFonts w:asciiTheme="majorHAnsi" w:hAnsiTheme="majorHAnsi" w:cs="Arial"/>
          <w:sz w:val="20"/>
          <w:szCs w:val="20"/>
          <w:lang w:val="es-PE"/>
        </w:rPr>
        <w:t>ericana sobre Derechos Humanos (</w:t>
      </w:r>
      <w:r w:rsidR="003215ED" w:rsidRPr="00AC00C0">
        <w:rPr>
          <w:rFonts w:asciiTheme="majorHAnsi" w:hAnsiTheme="majorHAnsi" w:cs="Arial"/>
          <w:sz w:val="20"/>
          <w:szCs w:val="20"/>
          <w:lang w:val="es-PE"/>
        </w:rPr>
        <w:t>en adelante ”la Convención Americana”), todos ellos en concordancia con la obligación general de respetar y garantizar los derech</w:t>
      </w:r>
      <w:r w:rsidRPr="00AC00C0">
        <w:rPr>
          <w:rFonts w:asciiTheme="majorHAnsi" w:hAnsiTheme="majorHAnsi" w:cs="Arial"/>
          <w:sz w:val="20"/>
          <w:szCs w:val="20"/>
          <w:lang w:val="es-PE"/>
        </w:rPr>
        <w:t xml:space="preserve">os y libertades, </w:t>
      </w:r>
      <w:r w:rsidR="004D450C" w:rsidRPr="00AC00C0">
        <w:rPr>
          <w:rFonts w:asciiTheme="majorHAnsi" w:hAnsiTheme="majorHAnsi" w:cs="Arial"/>
          <w:sz w:val="20"/>
          <w:szCs w:val="20"/>
          <w:lang w:val="es-PE"/>
        </w:rPr>
        <w:t>prevista en el artículo 1</w:t>
      </w:r>
      <w:r w:rsidRPr="00AC00C0">
        <w:rPr>
          <w:rFonts w:asciiTheme="majorHAnsi" w:hAnsiTheme="majorHAnsi" w:cs="Arial"/>
          <w:sz w:val="20"/>
          <w:szCs w:val="20"/>
          <w:lang w:val="es-PE"/>
        </w:rPr>
        <w:t xml:space="preserve"> (1)</w:t>
      </w:r>
      <w:r w:rsidR="004D450C" w:rsidRPr="00AC00C0">
        <w:rPr>
          <w:rFonts w:asciiTheme="majorHAnsi" w:hAnsiTheme="majorHAnsi"/>
          <w:sz w:val="20"/>
          <w:szCs w:val="20"/>
          <w:lang w:val="es-CO"/>
        </w:rPr>
        <w:t xml:space="preserve"> y el artículo 2 (</w:t>
      </w:r>
      <w:r w:rsidRPr="00AC00C0">
        <w:rPr>
          <w:rFonts w:asciiTheme="majorHAnsi" w:hAnsiTheme="majorHAnsi"/>
          <w:sz w:val="20"/>
          <w:szCs w:val="20"/>
          <w:lang w:val="es-CO"/>
        </w:rPr>
        <w:t>Deber de adoptar disposiciones de derecho interno)</w:t>
      </w:r>
      <w:r w:rsidRPr="00AC00C0">
        <w:rPr>
          <w:rFonts w:asciiTheme="majorHAnsi" w:hAnsiTheme="majorHAnsi" w:cs="Arial"/>
          <w:sz w:val="20"/>
          <w:szCs w:val="20"/>
          <w:lang w:val="es-PE"/>
        </w:rPr>
        <w:t xml:space="preserve"> </w:t>
      </w:r>
      <w:r w:rsidR="003215ED" w:rsidRPr="00AC00C0">
        <w:rPr>
          <w:rFonts w:asciiTheme="majorHAnsi" w:hAnsiTheme="majorHAnsi" w:cs="Arial"/>
          <w:sz w:val="20"/>
          <w:szCs w:val="20"/>
          <w:lang w:val="es-PE"/>
        </w:rPr>
        <w:t xml:space="preserve">del mismo instrumento. </w:t>
      </w:r>
    </w:p>
    <w:p w:rsidR="007C707D" w:rsidRPr="00AC00C0" w:rsidRDefault="007C707D" w:rsidP="00AC00C0">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jc w:val="both"/>
        <w:rPr>
          <w:rFonts w:asciiTheme="majorHAnsi" w:hAnsiTheme="majorHAnsi" w:cs="Arial"/>
          <w:sz w:val="20"/>
          <w:szCs w:val="20"/>
          <w:lang w:val="es-PE"/>
        </w:rPr>
      </w:pPr>
    </w:p>
    <w:p w:rsidR="005763A6" w:rsidRPr="00AC00C0" w:rsidRDefault="00EB1649"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C00C0">
        <w:rPr>
          <w:rFonts w:asciiTheme="majorHAnsi" w:hAnsiTheme="majorHAnsi" w:cs="Arial"/>
          <w:sz w:val="20"/>
          <w:szCs w:val="20"/>
          <w:lang w:val="es-PE"/>
        </w:rPr>
        <w:t xml:space="preserve"> </w:t>
      </w:r>
      <w:r w:rsidR="00D07952" w:rsidRPr="00AC00C0">
        <w:rPr>
          <w:rFonts w:asciiTheme="majorHAnsi" w:hAnsiTheme="majorHAnsi" w:cs="Tahoma"/>
          <w:sz w:val="20"/>
          <w:szCs w:val="20"/>
          <w:lang w:val="es-CO"/>
        </w:rPr>
        <w:t>El 1 de octubre de 2015, las partes iniciaron</w:t>
      </w:r>
      <w:r w:rsidR="007C707D" w:rsidRPr="00AC00C0">
        <w:rPr>
          <w:rFonts w:asciiTheme="majorHAnsi" w:hAnsiTheme="majorHAnsi" w:cs="Tahoma"/>
          <w:sz w:val="20"/>
          <w:szCs w:val="20"/>
          <w:lang w:val="es-CO"/>
        </w:rPr>
        <w:t xml:space="preserve"> formalmente</w:t>
      </w:r>
      <w:r w:rsidR="00D07952" w:rsidRPr="00AC00C0">
        <w:rPr>
          <w:rFonts w:asciiTheme="majorHAnsi" w:hAnsiTheme="majorHAnsi" w:cs="Tahoma"/>
          <w:sz w:val="20"/>
          <w:szCs w:val="20"/>
          <w:lang w:val="es-CO"/>
        </w:rPr>
        <w:t xml:space="preserve"> la negociación de una de solución amistosa que se materializó con la firma de un acuerdo el 25 de octubre de 2017, en el marco </w:t>
      </w:r>
      <w:r w:rsidR="00671818" w:rsidRPr="00AC00C0">
        <w:rPr>
          <w:rFonts w:asciiTheme="majorHAnsi" w:hAnsiTheme="majorHAnsi" w:cs="Tahoma"/>
          <w:sz w:val="20"/>
          <w:szCs w:val="20"/>
          <w:lang w:val="es-CO"/>
        </w:rPr>
        <w:t xml:space="preserve">de una reunión de trabajo </w:t>
      </w:r>
      <w:r w:rsidR="00671818" w:rsidRPr="00AC00C0">
        <w:rPr>
          <w:rFonts w:asciiTheme="majorHAnsi" w:hAnsiTheme="majorHAnsi" w:cs="Calibri"/>
          <w:sz w:val="20"/>
          <w:szCs w:val="20"/>
          <w:lang w:val="es-ES_tradnl"/>
        </w:rPr>
        <w:t xml:space="preserve">facilitada por el Comisionado Francisco José Eguiguren Praeli, Relator de la CIDH para Uruguay durante el </w:t>
      </w:r>
      <w:r w:rsidR="00D07952" w:rsidRPr="00AC00C0">
        <w:rPr>
          <w:rFonts w:asciiTheme="majorHAnsi" w:hAnsiTheme="majorHAnsi" w:cs="Tahoma"/>
          <w:sz w:val="20"/>
          <w:szCs w:val="20"/>
          <w:lang w:val="es-CO"/>
        </w:rPr>
        <w:t>165</w:t>
      </w:r>
      <w:r w:rsidR="0085036F" w:rsidRPr="00AC00C0">
        <w:rPr>
          <w:rFonts w:asciiTheme="majorHAnsi" w:hAnsiTheme="majorHAnsi" w:cs="Tahoma"/>
          <w:sz w:val="20"/>
          <w:szCs w:val="20"/>
          <w:lang w:val="es-CO"/>
        </w:rPr>
        <w:t xml:space="preserve">° </w:t>
      </w:r>
      <w:r w:rsidR="00D07952" w:rsidRPr="00AC00C0">
        <w:rPr>
          <w:rFonts w:asciiTheme="majorHAnsi" w:hAnsiTheme="majorHAnsi" w:cs="Tahoma"/>
          <w:sz w:val="20"/>
          <w:szCs w:val="20"/>
          <w:lang w:val="es-CO"/>
        </w:rPr>
        <w:t>período de sesiones de la CIDH. A través del acuerdo de solución amistosa, el Estado uruguayo adoptó el compromiso de facilitar la difusión pública del acuerdo alcanzado con énfasis en la difusión de la normativa vigente en materia de acceso a la información pública.</w:t>
      </w:r>
      <w:r w:rsidR="005763A6" w:rsidRPr="00AC00C0">
        <w:rPr>
          <w:rFonts w:asciiTheme="majorHAnsi" w:hAnsiTheme="majorHAnsi" w:cs="Tahoma"/>
          <w:sz w:val="20"/>
          <w:szCs w:val="20"/>
          <w:lang w:val="es-CO"/>
        </w:rPr>
        <w:t xml:space="preserve"> </w:t>
      </w:r>
      <w:r w:rsidR="005763A6" w:rsidRPr="00AC00C0">
        <w:rPr>
          <w:rFonts w:asciiTheme="majorHAnsi" w:hAnsiTheme="majorHAnsi"/>
          <w:sz w:val="20"/>
          <w:szCs w:val="20"/>
          <w:lang w:val="es-ES_tradnl"/>
        </w:rPr>
        <w:t>Así mismo, el Estado reconoció que la negativa de la Junta Departamental de San José a brindar acceso a la información pública solicitada por el señor Rabinovich, se tradujo en una limitación al ejercicio de su derecho de buscar, recibir y difu</w:t>
      </w:r>
      <w:r w:rsidR="00671818" w:rsidRPr="00AC00C0">
        <w:rPr>
          <w:rFonts w:asciiTheme="majorHAnsi" w:hAnsiTheme="majorHAnsi"/>
          <w:sz w:val="20"/>
          <w:szCs w:val="20"/>
          <w:lang w:val="es-ES_tradnl"/>
        </w:rPr>
        <w:t>ndir información</w:t>
      </w:r>
      <w:r w:rsidR="0036641E" w:rsidRPr="00AC00C0">
        <w:rPr>
          <w:rFonts w:asciiTheme="majorHAnsi" w:hAnsiTheme="majorHAnsi"/>
          <w:sz w:val="20"/>
          <w:szCs w:val="20"/>
          <w:lang w:val="es-ES_tradnl"/>
        </w:rPr>
        <w:t xml:space="preserve"> e ideas de to</w:t>
      </w:r>
      <w:r w:rsidR="005763A6" w:rsidRPr="00AC00C0">
        <w:rPr>
          <w:rFonts w:asciiTheme="majorHAnsi" w:hAnsiTheme="majorHAnsi"/>
          <w:sz w:val="20"/>
          <w:szCs w:val="20"/>
          <w:lang w:val="es-ES_tradnl"/>
        </w:rPr>
        <w:t>da índole, en un contexto de inexistencia de procedimientos claros de acceso a la información pública</w:t>
      </w:r>
      <w:r w:rsidR="00671818" w:rsidRPr="00AC00C0">
        <w:rPr>
          <w:rFonts w:asciiTheme="majorHAnsi" w:hAnsiTheme="majorHAnsi"/>
          <w:sz w:val="20"/>
          <w:szCs w:val="20"/>
          <w:lang w:val="es-ES_tradnl"/>
        </w:rPr>
        <w:t xml:space="preserve"> imperante en el momento de los hechos</w:t>
      </w:r>
      <w:r w:rsidR="005763A6" w:rsidRPr="00AC00C0">
        <w:rPr>
          <w:rFonts w:asciiTheme="majorHAnsi" w:hAnsiTheme="majorHAnsi"/>
          <w:sz w:val="20"/>
          <w:szCs w:val="20"/>
          <w:lang w:val="es-ES_tradnl"/>
        </w:rPr>
        <w:t>.</w:t>
      </w:r>
    </w:p>
    <w:p w:rsidR="003215ED" w:rsidRPr="00AC00C0" w:rsidRDefault="003215ED" w:rsidP="00AC00C0">
      <w:pPr>
        <w:ind w:firstLine="720"/>
        <w:rPr>
          <w:rFonts w:asciiTheme="majorHAnsi" w:hAnsiTheme="majorHAnsi" w:cs="Arial"/>
          <w:sz w:val="20"/>
          <w:szCs w:val="20"/>
          <w:lang w:val="es-PE"/>
        </w:rPr>
      </w:pPr>
    </w:p>
    <w:p w:rsidR="003215ED" w:rsidRPr="00AC00C0" w:rsidRDefault="00D07952"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C00C0">
        <w:rPr>
          <w:rFonts w:asciiTheme="majorHAnsi" w:hAnsiTheme="majorHAnsi" w:cs="Tahoma"/>
          <w:sz w:val="20"/>
          <w:szCs w:val="20"/>
          <w:lang w:val="es-CO"/>
        </w:rPr>
        <w:t>Posteriormente, el 3 de mayo de 20</w:t>
      </w:r>
      <w:r w:rsidR="0080028D" w:rsidRPr="00AC00C0">
        <w:rPr>
          <w:rFonts w:asciiTheme="majorHAnsi" w:hAnsiTheme="majorHAnsi" w:cs="Tahoma"/>
          <w:sz w:val="20"/>
          <w:szCs w:val="20"/>
          <w:lang w:val="es-CO"/>
        </w:rPr>
        <w:t>19, las partes suscribieron un Acta de E</w:t>
      </w:r>
      <w:r w:rsidRPr="00AC00C0">
        <w:rPr>
          <w:rFonts w:asciiTheme="majorHAnsi" w:hAnsiTheme="majorHAnsi" w:cs="Tahoma"/>
          <w:sz w:val="20"/>
          <w:szCs w:val="20"/>
          <w:lang w:val="es-CO"/>
        </w:rPr>
        <w:t>ntendimiento para establecer la ruta de trabajo y el contenido de las obligaciones de</w:t>
      </w:r>
      <w:r w:rsidR="0036641E" w:rsidRPr="00AC00C0">
        <w:rPr>
          <w:rFonts w:asciiTheme="majorHAnsi" w:hAnsiTheme="majorHAnsi" w:cs="Tahoma"/>
          <w:sz w:val="20"/>
          <w:szCs w:val="20"/>
          <w:lang w:val="es-CO"/>
        </w:rPr>
        <w:t>l Estado derivadas del acuerdo para</w:t>
      </w:r>
      <w:r w:rsidRPr="00AC00C0">
        <w:rPr>
          <w:rFonts w:asciiTheme="majorHAnsi" w:hAnsiTheme="majorHAnsi" w:cs="Tahoma"/>
          <w:sz w:val="20"/>
          <w:szCs w:val="20"/>
          <w:lang w:val="es-CO"/>
        </w:rPr>
        <w:t xml:space="preserve"> avanzar hacia su cumplimiento total. </w:t>
      </w:r>
    </w:p>
    <w:p w:rsidR="007C707D" w:rsidRPr="00AC00C0" w:rsidRDefault="007C707D" w:rsidP="00AC00C0">
      <w:pPr>
        <w:pStyle w:val="ListParagraph"/>
        <w:rPr>
          <w:rFonts w:asciiTheme="majorHAnsi" w:hAnsiTheme="majorHAnsi" w:cs="Arial"/>
          <w:sz w:val="20"/>
          <w:szCs w:val="20"/>
          <w:lang w:val="es-PE"/>
        </w:rPr>
      </w:pPr>
    </w:p>
    <w:p w:rsidR="007C707D" w:rsidRPr="00AC00C0" w:rsidRDefault="007C707D"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C00C0">
        <w:rPr>
          <w:rFonts w:asciiTheme="majorHAnsi" w:hAnsiTheme="majorHAnsi" w:cs="Arial"/>
          <w:sz w:val="20"/>
          <w:szCs w:val="20"/>
          <w:lang w:val="es-PE"/>
        </w:rPr>
        <w:t>El 11 de junio de 2019, el Estado Uruguayo remitió información sobre el cumplimiento del acuerdo de solución amistosa y solicitó</w:t>
      </w:r>
      <w:r w:rsidR="00671818" w:rsidRPr="00AC00C0">
        <w:rPr>
          <w:rFonts w:asciiTheme="majorHAnsi" w:hAnsiTheme="majorHAnsi" w:cs="Arial"/>
          <w:sz w:val="20"/>
          <w:szCs w:val="20"/>
          <w:lang w:val="es-PE"/>
        </w:rPr>
        <w:t xml:space="preserve"> su homologació</w:t>
      </w:r>
      <w:r w:rsidRPr="00AC00C0">
        <w:rPr>
          <w:rFonts w:asciiTheme="majorHAnsi" w:hAnsiTheme="majorHAnsi" w:cs="Arial"/>
          <w:sz w:val="20"/>
          <w:szCs w:val="20"/>
          <w:lang w:val="es-PE"/>
        </w:rPr>
        <w:t>n por parte de la CIDH. Los peticionarios por su parte, indicaron el 26 de junio de 2019 su satisfacción y conformidad</w:t>
      </w:r>
      <w:r w:rsidR="00671818" w:rsidRPr="00AC00C0">
        <w:rPr>
          <w:rFonts w:asciiTheme="majorHAnsi" w:hAnsiTheme="majorHAnsi" w:cs="Arial"/>
          <w:sz w:val="20"/>
          <w:szCs w:val="20"/>
          <w:lang w:val="es-PE"/>
        </w:rPr>
        <w:t xml:space="preserve"> con la homologació</w:t>
      </w:r>
      <w:r w:rsidRPr="00AC00C0">
        <w:rPr>
          <w:rFonts w:asciiTheme="majorHAnsi" w:hAnsiTheme="majorHAnsi" w:cs="Arial"/>
          <w:sz w:val="20"/>
          <w:szCs w:val="20"/>
          <w:lang w:val="es-PE"/>
        </w:rPr>
        <w:t>n del ASA.</w:t>
      </w:r>
    </w:p>
    <w:p w:rsidR="0036641E" w:rsidRPr="00AC00C0" w:rsidRDefault="0036641E" w:rsidP="00AC00C0">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lang w:val="es-PE"/>
        </w:rPr>
      </w:pPr>
    </w:p>
    <w:p w:rsidR="003215ED" w:rsidRPr="00AC00C0" w:rsidRDefault="003215ED" w:rsidP="00AC0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C00C0">
        <w:rPr>
          <w:rFonts w:asciiTheme="majorHAnsi" w:hAnsiTheme="majorHAnsi"/>
          <w:sz w:val="20"/>
          <w:szCs w:val="20"/>
          <w:lang w:val="es-AR"/>
        </w:rPr>
        <w:t>En el presente informe de solución amistosa, según lo establecido en el artículo 49 de la Convención y en el artículo 40.5 del Reglamento de la Comisión, se efectúa una reseña de los hechos alegados por el peticionario y se transcribe el acuerdo de solución amistos</w:t>
      </w:r>
      <w:r w:rsidR="00D07952" w:rsidRPr="00AC00C0">
        <w:rPr>
          <w:rFonts w:asciiTheme="majorHAnsi" w:hAnsiTheme="majorHAnsi"/>
          <w:sz w:val="20"/>
          <w:szCs w:val="20"/>
          <w:lang w:val="es-AR"/>
        </w:rPr>
        <w:t xml:space="preserve">a, suscrito </w:t>
      </w:r>
      <w:r w:rsidR="005763A6" w:rsidRPr="00AC00C0">
        <w:rPr>
          <w:rFonts w:asciiTheme="majorHAnsi" w:hAnsiTheme="majorHAnsi"/>
          <w:sz w:val="20"/>
          <w:szCs w:val="20"/>
          <w:lang w:val="es-AR"/>
        </w:rPr>
        <w:t>el 25 de octubre del 2017</w:t>
      </w:r>
      <w:r w:rsidR="0036641E" w:rsidRPr="00AC00C0">
        <w:rPr>
          <w:rFonts w:asciiTheme="majorHAnsi" w:hAnsiTheme="majorHAnsi"/>
          <w:sz w:val="20"/>
          <w:szCs w:val="20"/>
          <w:lang w:val="es-AR"/>
        </w:rPr>
        <w:t>,</w:t>
      </w:r>
      <w:r w:rsidR="0084556B" w:rsidRPr="00AC00C0">
        <w:rPr>
          <w:rFonts w:asciiTheme="majorHAnsi" w:hAnsiTheme="majorHAnsi"/>
          <w:sz w:val="20"/>
          <w:szCs w:val="20"/>
          <w:lang w:val="es-AR"/>
        </w:rPr>
        <w:t xml:space="preserve"> </w:t>
      </w:r>
      <w:r w:rsidRPr="00AC00C0">
        <w:rPr>
          <w:rFonts w:asciiTheme="majorHAnsi" w:hAnsiTheme="majorHAnsi"/>
          <w:sz w:val="20"/>
          <w:szCs w:val="20"/>
          <w:lang w:val="es-AR"/>
        </w:rPr>
        <w:t>por el p</w:t>
      </w:r>
      <w:r w:rsidR="00671818" w:rsidRPr="00AC00C0">
        <w:rPr>
          <w:rFonts w:asciiTheme="majorHAnsi" w:hAnsiTheme="majorHAnsi"/>
          <w:sz w:val="20"/>
          <w:szCs w:val="20"/>
          <w:lang w:val="es-AR"/>
        </w:rPr>
        <w:t>eticionario y el representante</w:t>
      </w:r>
      <w:r w:rsidR="00131808" w:rsidRPr="00AC00C0">
        <w:rPr>
          <w:rFonts w:asciiTheme="majorHAnsi" w:hAnsiTheme="majorHAnsi"/>
          <w:sz w:val="20"/>
          <w:szCs w:val="20"/>
          <w:lang w:val="es-AR"/>
        </w:rPr>
        <w:t xml:space="preserve"> de la República Oriental del Uruguay</w:t>
      </w:r>
      <w:r w:rsidRPr="00AC00C0">
        <w:rPr>
          <w:rFonts w:asciiTheme="majorHAnsi" w:hAnsiTheme="majorHAnsi"/>
          <w:sz w:val="20"/>
          <w:szCs w:val="20"/>
          <w:lang w:val="es-AR"/>
        </w:rPr>
        <w:t>. Asimismo, se aprueba el acuerdo suscrito entre las partes y se acuerda la publicación del presente informe en el Informe Anual de la CIDH a la Asamblea General de la Organización de los Estados Americanos.</w:t>
      </w:r>
    </w:p>
    <w:p w:rsidR="00AC00C0" w:rsidRPr="00AC00C0" w:rsidRDefault="00AC00C0" w:rsidP="00AC00C0">
      <w:pPr>
        <w:ind w:firstLine="720"/>
        <w:rPr>
          <w:rFonts w:asciiTheme="majorHAnsi" w:hAnsiTheme="majorHAnsi" w:cs="Calibri"/>
          <w:sz w:val="20"/>
          <w:szCs w:val="20"/>
          <w:lang w:val="es-ES_tradnl"/>
        </w:rPr>
      </w:pPr>
    </w:p>
    <w:p w:rsidR="003215ED" w:rsidRPr="00AC00C0" w:rsidRDefault="003215ED" w:rsidP="00AC00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C00C0">
        <w:rPr>
          <w:rFonts w:asciiTheme="majorHAnsi" w:hAnsiTheme="majorHAnsi"/>
          <w:b/>
          <w:sz w:val="20"/>
          <w:szCs w:val="20"/>
          <w:lang w:val="es-BO"/>
        </w:rPr>
        <w:t>LOS HECHOS ALEGADOS.</w:t>
      </w:r>
    </w:p>
    <w:p w:rsidR="003215ED" w:rsidRPr="00AC00C0" w:rsidRDefault="003215ED" w:rsidP="00AC00C0">
      <w:pPr>
        <w:ind w:firstLine="720"/>
        <w:jc w:val="both"/>
        <w:rPr>
          <w:rFonts w:asciiTheme="majorHAnsi" w:hAnsiTheme="majorHAnsi"/>
          <w:b/>
          <w:sz w:val="20"/>
          <w:szCs w:val="20"/>
          <w:lang w:val="es-BO"/>
        </w:rPr>
      </w:pPr>
    </w:p>
    <w:p w:rsidR="00131808" w:rsidRPr="00AC00C0" w:rsidRDefault="003215ED"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Según </w:t>
      </w:r>
      <w:r w:rsidR="00711399" w:rsidRPr="00AC00C0">
        <w:rPr>
          <w:rFonts w:asciiTheme="majorHAnsi" w:hAnsiTheme="majorHAnsi" w:cs="Calibri"/>
          <w:sz w:val="20"/>
          <w:szCs w:val="20"/>
          <w:lang w:val="es-ES_tradnl"/>
        </w:rPr>
        <w:t>lo alegado por la parte peticionaria</w:t>
      </w:r>
      <w:r w:rsidRPr="00AC00C0">
        <w:rPr>
          <w:rFonts w:asciiTheme="majorHAnsi" w:hAnsiTheme="majorHAnsi" w:cs="Calibri"/>
          <w:sz w:val="20"/>
          <w:szCs w:val="20"/>
          <w:lang w:val="es-ES_tradnl"/>
        </w:rPr>
        <w:t xml:space="preserve">, </w:t>
      </w:r>
      <w:r w:rsidR="0036641E" w:rsidRPr="00AC00C0">
        <w:rPr>
          <w:rFonts w:asciiTheme="majorHAnsi" w:hAnsiTheme="majorHAnsi" w:cs="Calibri"/>
          <w:sz w:val="20"/>
          <w:szCs w:val="20"/>
          <w:lang w:val="es-ES_tradnl"/>
        </w:rPr>
        <w:t xml:space="preserve">el Estado uruguayo </w:t>
      </w:r>
      <w:r w:rsidR="007E5156" w:rsidRPr="00AC00C0">
        <w:rPr>
          <w:rFonts w:asciiTheme="majorHAnsi" w:hAnsiTheme="majorHAnsi" w:cs="Calibri"/>
          <w:sz w:val="20"/>
          <w:szCs w:val="20"/>
          <w:lang w:val="es-ES_tradnl"/>
        </w:rPr>
        <w:t>incurrió en</w:t>
      </w:r>
      <w:r w:rsidR="00131808" w:rsidRPr="00AC00C0">
        <w:rPr>
          <w:rFonts w:asciiTheme="majorHAnsi" w:hAnsiTheme="majorHAnsi" w:cs="Calibri"/>
          <w:sz w:val="20"/>
          <w:szCs w:val="20"/>
          <w:lang w:val="es-ES_tradnl"/>
        </w:rPr>
        <w:t xml:space="preserve"> violaciones al derecho a la libertad de expresión y al derecho </w:t>
      </w:r>
      <w:r w:rsidR="00711399" w:rsidRPr="00AC00C0">
        <w:rPr>
          <w:rFonts w:asciiTheme="majorHAnsi" w:hAnsiTheme="majorHAnsi" w:cs="Calibri"/>
          <w:sz w:val="20"/>
          <w:szCs w:val="20"/>
          <w:lang w:val="es-ES_tradnl"/>
        </w:rPr>
        <w:t>de acceso a la inform</w:t>
      </w:r>
      <w:r w:rsidR="007E5156" w:rsidRPr="00AC00C0">
        <w:rPr>
          <w:rFonts w:asciiTheme="majorHAnsi" w:hAnsiTheme="majorHAnsi" w:cs="Calibri"/>
          <w:sz w:val="20"/>
          <w:szCs w:val="20"/>
          <w:lang w:val="es-ES_tradnl"/>
        </w:rPr>
        <w:t>ación en poder del Estado consagrados en el 13 de la Convención</w:t>
      </w:r>
      <w:r w:rsidR="00711399" w:rsidRPr="00AC00C0">
        <w:rPr>
          <w:rFonts w:asciiTheme="majorHAnsi" w:hAnsiTheme="majorHAnsi" w:cs="Calibri"/>
          <w:sz w:val="20"/>
          <w:szCs w:val="20"/>
          <w:lang w:val="es-ES_tradnl"/>
        </w:rPr>
        <w:t xml:space="preserve">, cuando la Junta Departamental de San José no respondió primero, y </w:t>
      </w:r>
      <w:r w:rsidR="007E5156" w:rsidRPr="00AC00C0">
        <w:rPr>
          <w:rFonts w:asciiTheme="majorHAnsi" w:hAnsiTheme="majorHAnsi" w:cs="Calibri"/>
          <w:sz w:val="20"/>
          <w:szCs w:val="20"/>
          <w:lang w:val="es-ES_tradnl"/>
        </w:rPr>
        <w:t xml:space="preserve">posteriormente </w:t>
      </w:r>
      <w:r w:rsidR="00711399" w:rsidRPr="00AC00C0">
        <w:rPr>
          <w:rFonts w:asciiTheme="majorHAnsi" w:hAnsiTheme="majorHAnsi" w:cs="Calibri"/>
          <w:sz w:val="20"/>
          <w:szCs w:val="20"/>
          <w:lang w:val="es-ES_tradnl"/>
        </w:rPr>
        <w:t xml:space="preserve">denegó sin resolución fundada, un pedido escrito de la víctima para acceder a las actas, transcripción de la grabación o cinta grabada, de las sesiones de la Comisión de Presupuesto de la Junta Departamental de San José. </w:t>
      </w:r>
      <w:r w:rsidR="007E5156" w:rsidRPr="00AC00C0">
        <w:rPr>
          <w:rFonts w:asciiTheme="majorHAnsi" w:hAnsiTheme="majorHAnsi" w:cs="Calibri"/>
          <w:sz w:val="20"/>
          <w:szCs w:val="20"/>
          <w:lang w:val="es-ES_tradnl"/>
        </w:rPr>
        <w:t xml:space="preserve">La parte peticionaria alegó que el Estado no </w:t>
      </w:r>
      <w:r w:rsidR="00AC00C0" w:rsidRPr="00AC00C0">
        <w:rPr>
          <w:rFonts w:asciiTheme="majorHAnsi" w:hAnsiTheme="majorHAnsi" w:cs="Calibri"/>
          <w:sz w:val="20"/>
          <w:szCs w:val="20"/>
          <w:lang w:val="es-ES_tradnl"/>
        </w:rPr>
        <w:t xml:space="preserve">cumplió con los principios de </w:t>
      </w:r>
      <w:r w:rsidR="00711399" w:rsidRPr="00AC00C0">
        <w:rPr>
          <w:rFonts w:asciiTheme="majorHAnsi" w:hAnsiTheme="majorHAnsi" w:cs="Calibri"/>
          <w:sz w:val="20"/>
          <w:szCs w:val="20"/>
          <w:lang w:val="es-ES_tradnl"/>
        </w:rPr>
        <w:t xml:space="preserve"> máxima divulgación, publicidad y transparencia que se desprenden del artículo 13 de la Convención.</w:t>
      </w:r>
    </w:p>
    <w:p w:rsidR="00711399" w:rsidRPr="00AC00C0" w:rsidRDefault="00711399"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rsidR="00711399" w:rsidRPr="00AC00C0" w:rsidRDefault="00711399"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La parte peticionaria afirmó que el Estado uruguayo violó el derecho a buscar y recibir información del periodista Rabinovich </w:t>
      </w:r>
      <w:r w:rsidR="009D3C47" w:rsidRPr="00AC00C0">
        <w:rPr>
          <w:rFonts w:asciiTheme="majorHAnsi" w:hAnsiTheme="majorHAnsi" w:cs="Calibri"/>
          <w:sz w:val="20"/>
          <w:szCs w:val="20"/>
          <w:lang w:val="es-ES_tradnl"/>
        </w:rPr>
        <w:t xml:space="preserve">porque un organismo estatal – en este caso de nivel departamental – le impidió acceder a información sobre el manejo de las cuentas públicas en base a una ley incompatible con los estándares internacionales, al permitir declarar secreta cualquier sesión de la Junta Departamental. </w:t>
      </w:r>
    </w:p>
    <w:p w:rsidR="007E5156" w:rsidRPr="00AC00C0" w:rsidRDefault="007E5156" w:rsidP="00AC00C0">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contextualSpacing/>
        <w:jc w:val="both"/>
        <w:rPr>
          <w:rFonts w:asciiTheme="majorHAnsi" w:hAnsiTheme="majorHAnsi" w:cs="Calibri"/>
          <w:sz w:val="20"/>
          <w:szCs w:val="20"/>
          <w:lang w:val="es-ES_tradnl"/>
        </w:rPr>
      </w:pPr>
    </w:p>
    <w:p w:rsidR="003215ED" w:rsidRPr="00AC00C0" w:rsidRDefault="009D3C47"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C00C0">
        <w:rPr>
          <w:rFonts w:asciiTheme="majorHAnsi" w:hAnsiTheme="majorHAnsi" w:cs="Arial"/>
          <w:sz w:val="20"/>
          <w:szCs w:val="20"/>
          <w:lang w:val="es-PE"/>
        </w:rPr>
        <w:t>En su descripción de los hechos, la parte peticionaria, alegó que el Estado también violó el derecho de acceso a la in</w:t>
      </w:r>
      <w:r w:rsidR="00AC00C0" w:rsidRPr="00AC00C0">
        <w:rPr>
          <w:rFonts w:asciiTheme="majorHAnsi" w:hAnsiTheme="majorHAnsi" w:cs="Arial"/>
          <w:sz w:val="20"/>
          <w:szCs w:val="20"/>
          <w:lang w:val="es-PE"/>
        </w:rPr>
        <w:t xml:space="preserve">formación de la víctima porque se habría destruido </w:t>
      </w:r>
      <w:r w:rsidRPr="00AC00C0">
        <w:rPr>
          <w:rFonts w:asciiTheme="majorHAnsi" w:hAnsiTheme="majorHAnsi" w:cs="Arial"/>
          <w:sz w:val="20"/>
          <w:szCs w:val="20"/>
          <w:lang w:val="es-PE"/>
        </w:rPr>
        <w:t xml:space="preserve">el registro que contenía la información solicitada. </w:t>
      </w:r>
    </w:p>
    <w:p w:rsidR="007E5156" w:rsidRPr="00AC00C0" w:rsidRDefault="007E5156" w:rsidP="00AC00C0">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contextualSpacing/>
        <w:jc w:val="both"/>
        <w:rPr>
          <w:rFonts w:asciiTheme="majorHAnsi" w:hAnsiTheme="majorHAnsi" w:cs="Calibri"/>
          <w:sz w:val="20"/>
          <w:szCs w:val="20"/>
          <w:lang w:val="es-ES_tradnl"/>
        </w:rPr>
      </w:pPr>
    </w:p>
    <w:p w:rsidR="003215ED" w:rsidRPr="00AC00C0" w:rsidRDefault="00F60515"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C00C0">
        <w:rPr>
          <w:rFonts w:asciiTheme="majorHAnsi" w:hAnsiTheme="majorHAnsi" w:cs="Calibri"/>
          <w:sz w:val="20"/>
          <w:szCs w:val="20"/>
          <w:lang w:val="es-ES_tradnl"/>
        </w:rPr>
        <w:t>La parte peticionaria indicó</w:t>
      </w:r>
      <w:r w:rsidR="003215ED" w:rsidRPr="00AC00C0">
        <w:rPr>
          <w:rFonts w:asciiTheme="majorHAnsi" w:hAnsiTheme="majorHAnsi" w:cs="Calibri"/>
          <w:sz w:val="20"/>
          <w:szCs w:val="20"/>
          <w:lang w:val="es-ES_tradnl"/>
        </w:rPr>
        <w:t xml:space="preserve"> que</w:t>
      </w:r>
      <w:r w:rsidR="006870F0" w:rsidRPr="00AC00C0">
        <w:rPr>
          <w:rFonts w:asciiTheme="majorHAnsi" w:hAnsiTheme="majorHAnsi" w:cs="Arial"/>
          <w:sz w:val="20"/>
          <w:szCs w:val="20"/>
          <w:lang w:val="es-PE"/>
        </w:rPr>
        <w:t xml:space="preserve"> el Estado uruguayo n</w:t>
      </w:r>
      <w:r w:rsidR="00AC00C0" w:rsidRPr="00AC00C0">
        <w:rPr>
          <w:rFonts w:asciiTheme="majorHAnsi" w:hAnsiTheme="majorHAnsi" w:cs="Arial"/>
          <w:sz w:val="20"/>
          <w:szCs w:val="20"/>
          <w:lang w:val="es-PE"/>
        </w:rPr>
        <w:t>o garantizó un proceso adecuado</w:t>
      </w:r>
      <w:r w:rsidR="006870F0" w:rsidRPr="00AC00C0">
        <w:rPr>
          <w:rFonts w:asciiTheme="majorHAnsi" w:hAnsiTheme="majorHAnsi" w:cs="Arial"/>
          <w:sz w:val="20"/>
          <w:szCs w:val="20"/>
          <w:lang w:val="es-PE"/>
        </w:rPr>
        <w:t xml:space="preserve"> administrativo y judicial</w:t>
      </w:r>
      <w:r w:rsidR="00AC00C0" w:rsidRPr="00AC00C0">
        <w:rPr>
          <w:rFonts w:asciiTheme="majorHAnsi" w:hAnsiTheme="majorHAnsi" w:cs="Arial"/>
          <w:sz w:val="20"/>
          <w:szCs w:val="20"/>
          <w:lang w:val="es-PE"/>
        </w:rPr>
        <w:t xml:space="preserve"> </w:t>
      </w:r>
      <w:r w:rsidR="006870F0" w:rsidRPr="00AC00C0">
        <w:rPr>
          <w:rFonts w:asciiTheme="majorHAnsi" w:hAnsiTheme="majorHAnsi" w:cs="Arial"/>
          <w:sz w:val="20"/>
          <w:szCs w:val="20"/>
          <w:lang w:val="es-PE"/>
        </w:rPr>
        <w:t xml:space="preserve">para obtener una </w:t>
      </w:r>
      <w:r w:rsidR="007E5156" w:rsidRPr="00AC00C0">
        <w:rPr>
          <w:rFonts w:asciiTheme="majorHAnsi" w:hAnsiTheme="majorHAnsi" w:cs="Arial"/>
          <w:sz w:val="20"/>
          <w:szCs w:val="20"/>
          <w:lang w:val="es-PE"/>
        </w:rPr>
        <w:t xml:space="preserve">decisión </w:t>
      </w:r>
      <w:r w:rsidR="006870F0" w:rsidRPr="00AC00C0">
        <w:rPr>
          <w:rFonts w:asciiTheme="majorHAnsi" w:hAnsiTheme="majorHAnsi" w:cs="Arial"/>
          <w:sz w:val="20"/>
          <w:szCs w:val="20"/>
          <w:lang w:val="es-PE"/>
        </w:rPr>
        <w:t>en relación a su solicitud</w:t>
      </w:r>
      <w:r w:rsidR="007E5156" w:rsidRPr="00AC00C0">
        <w:rPr>
          <w:rFonts w:asciiTheme="majorHAnsi" w:hAnsiTheme="majorHAnsi" w:cs="Arial"/>
          <w:sz w:val="20"/>
          <w:szCs w:val="20"/>
          <w:lang w:val="es-PE"/>
        </w:rPr>
        <w:t xml:space="preserve"> de acceso a información</w:t>
      </w:r>
      <w:r w:rsidR="006870F0" w:rsidRPr="00AC00C0">
        <w:rPr>
          <w:rFonts w:asciiTheme="majorHAnsi" w:hAnsiTheme="majorHAnsi" w:cs="Arial"/>
          <w:sz w:val="20"/>
          <w:szCs w:val="20"/>
          <w:lang w:val="es-PE"/>
        </w:rPr>
        <w:t xml:space="preserve"> en poder del Estado</w:t>
      </w:r>
      <w:r w:rsidR="003215ED" w:rsidRPr="00AC00C0">
        <w:rPr>
          <w:rFonts w:asciiTheme="majorHAnsi" w:hAnsiTheme="majorHAnsi" w:cs="Arial"/>
          <w:sz w:val="20"/>
          <w:szCs w:val="20"/>
          <w:lang w:val="es-PE"/>
        </w:rPr>
        <w:t>.</w:t>
      </w:r>
      <w:r w:rsidR="006870F0" w:rsidRPr="00AC00C0">
        <w:rPr>
          <w:rFonts w:asciiTheme="majorHAnsi" w:hAnsiTheme="majorHAnsi" w:cs="Arial"/>
          <w:sz w:val="20"/>
          <w:szCs w:val="20"/>
          <w:lang w:val="es-PE"/>
        </w:rPr>
        <w:t xml:space="preserve"> </w:t>
      </w:r>
      <w:r w:rsidR="007E5156" w:rsidRPr="00AC00C0">
        <w:rPr>
          <w:rFonts w:asciiTheme="majorHAnsi" w:hAnsiTheme="majorHAnsi" w:cs="Arial"/>
          <w:sz w:val="20"/>
          <w:szCs w:val="20"/>
          <w:lang w:val="es-PE"/>
        </w:rPr>
        <w:t>Adicionalmente, se indicó en la petición que no existía</w:t>
      </w:r>
      <w:r w:rsidR="006870F0" w:rsidRPr="00AC00C0">
        <w:rPr>
          <w:rFonts w:asciiTheme="majorHAnsi" w:hAnsiTheme="majorHAnsi" w:cs="Arial"/>
          <w:sz w:val="20"/>
          <w:szCs w:val="20"/>
          <w:lang w:val="es-PE"/>
        </w:rPr>
        <w:t xml:space="preserve"> un recurso judicial, sencillo, rápido y efectivo para garantizar el a</w:t>
      </w:r>
      <w:r w:rsidR="007E5156" w:rsidRPr="00AC00C0">
        <w:rPr>
          <w:rFonts w:asciiTheme="majorHAnsi" w:hAnsiTheme="majorHAnsi" w:cs="Arial"/>
          <w:sz w:val="20"/>
          <w:szCs w:val="20"/>
          <w:lang w:val="es-PE"/>
        </w:rPr>
        <w:t>cceso a la información pública y que l</w:t>
      </w:r>
      <w:r w:rsidR="006870F0" w:rsidRPr="00AC00C0">
        <w:rPr>
          <w:rFonts w:asciiTheme="majorHAnsi" w:hAnsiTheme="majorHAnsi" w:cs="Arial"/>
          <w:sz w:val="20"/>
          <w:szCs w:val="20"/>
          <w:lang w:val="es-PE"/>
        </w:rPr>
        <w:t>os Tribunales internos se negaron a admitir una posterior acción de amparo contra el Estado, constituyendo así también una violación del derecho a la protección judicial establecido en el artículo 25.2 de la Convención.</w:t>
      </w:r>
    </w:p>
    <w:p w:rsidR="003215ED" w:rsidRPr="00AC00C0" w:rsidRDefault="003215ED" w:rsidP="00AC00C0">
      <w:pPr>
        <w:tabs>
          <w:tab w:val="num" w:pos="0"/>
        </w:tabs>
        <w:ind w:firstLine="720"/>
        <w:rPr>
          <w:rFonts w:asciiTheme="majorHAnsi" w:hAnsiTheme="majorHAnsi" w:cs="Arial"/>
          <w:sz w:val="20"/>
          <w:szCs w:val="20"/>
          <w:lang w:val="es-ES_tradnl"/>
        </w:rPr>
      </w:pPr>
    </w:p>
    <w:p w:rsidR="00F60515" w:rsidRPr="00AC00C0" w:rsidRDefault="00F60515"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C00C0">
        <w:rPr>
          <w:rFonts w:asciiTheme="majorHAnsi" w:hAnsiTheme="majorHAnsi" w:cs="Arial"/>
          <w:sz w:val="20"/>
          <w:szCs w:val="20"/>
          <w:lang w:val="es-PE"/>
        </w:rPr>
        <w:t xml:space="preserve">La parte peticionaria señaló que el Estado uruguayo, en este caso su Parlamento, no </w:t>
      </w:r>
      <w:r w:rsidR="007E5156" w:rsidRPr="00AC00C0">
        <w:rPr>
          <w:rFonts w:asciiTheme="majorHAnsi" w:hAnsiTheme="majorHAnsi" w:cs="Arial"/>
          <w:sz w:val="20"/>
          <w:szCs w:val="20"/>
          <w:lang w:val="es-PE"/>
        </w:rPr>
        <w:t>había</w:t>
      </w:r>
      <w:r w:rsidRPr="00AC00C0">
        <w:rPr>
          <w:rFonts w:asciiTheme="majorHAnsi" w:hAnsiTheme="majorHAnsi" w:cs="Arial"/>
          <w:sz w:val="20"/>
          <w:szCs w:val="20"/>
          <w:lang w:val="es-PE"/>
        </w:rPr>
        <w:t xml:space="preserve"> adoptado medidas legislativas – tales como una ley de acceso a la información pública – o de otro carácter, tendientes a garantizar el libre, rápido y efectivo acceso a la información en poder del Estado, permitiendo por omisión la constante violación de este derecho, como ocurrió en el caso concreto.</w:t>
      </w:r>
    </w:p>
    <w:p w:rsidR="00F60515" w:rsidRPr="00AC00C0" w:rsidRDefault="00F60515" w:rsidP="00AC00C0">
      <w:pPr>
        <w:pStyle w:val="ListParagraph"/>
        <w:ind w:left="0" w:firstLine="720"/>
        <w:rPr>
          <w:rFonts w:asciiTheme="majorHAnsi" w:hAnsiTheme="majorHAnsi" w:cs="Calibri"/>
          <w:sz w:val="20"/>
          <w:szCs w:val="20"/>
          <w:lang w:val="es-ES_tradnl"/>
        </w:rPr>
      </w:pPr>
    </w:p>
    <w:p w:rsidR="000E093A" w:rsidRPr="00AC00C0" w:rsidRDefault="000E093A"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b/>
          <w:sz w:val="20"/>
          <w:szCs w:val="20"/>
          <w:lang w:val="es-BO"/>
        </w:rPr>
      </w:pPr>
      <w:r w:rsidRPr="00AC00C0">
        <w:rPr>
          <w:rFonts w:asciiTheme="majorHAnsi" w:hAnsiTheme="majorHAnsi" w:cs="Calibri"/>
          <w:sz w:val="20"/>
          <w:szCs w:val="20"/>
          <w:lang w:val="es-ES_tradnl"/>
        </w:rPr>
        <w:t xml:space="preserve">Finalmente, </w:t>
      </w:r>
      <w:r w:rsidR="00271E18" w:rsidRPr="00AC00C0">
        <w:rPr>
          <w:rFonts w:asciiTheme="majorHAnsi" w:hAnsiTheme="majorHAnsi" w:cs="Calibri"/>
          <w:sz w:val="20"/>
          <w:szCs w:val="20"/>
          <w:lang w:val="es-ES_tradnl"/>
        </w:rPr>
        <w:t>la parte peticionaria manifestó que en definitiva, el Estado uruguayo, respecto al Dere</w:t>
      </w:r>
      <w:r w:rsidR="00F50D55" w:rsidRPr="00AC00C0">
        <w:rPr>
          <w:rFonts w:asciiTheme="majorHAnsi" w:hAnsiTheme="majorHAnsi" w:cs="Calibri"/>
          <w:sz w:val="20"/>
          <w:szCs w:val="20"/>
          <w:lang w:val="es-ES_tradnl"/>
        </w:rPr>
        <w:t>cho de Acceso a la Información P</w:t>
      </w:r>
      <w:r w:rsidR="00AC00C0" w:rsidRPr="00AC00C0">
        <w:rPr>
          <w:rFonts w:asciiTheme="majorHAnsi" w:hAnsiTheme="majorHAnsi" w:cs="Calibri"/>
          <w:sz w:val="20"/>
          <w:szCs w:val="20"/>
          <w:lang w:val="es-ES_tradnl"/>
        </w:rPr>
        <w:t>ública, se encontraba omiso en</w:t>
      </w:r>
      <w:r w:rsidR="00271E18" w:rsidRPr="00AC00C0">
        <w:rPr>
          <w:rFonts w:asciiTheme="majorHAnsi" w:hAnsiTheme="majorHAnsi" w:cs="Calibri"/>
          <w:sz w:val="20"/>
          <w:szCs w:val="20"/>
          <w:lang w:val="es-ES_tradnl"/>
        </w:rPr>
        <w:t xml:space="preserve"> sus compromisos de respetar los derechos y libertades reconocidos en la Convención y garantizar su libre y pleno ejercicio a toda persona que esté suje</w:t>
      </w:r>
      <w:r w:rsidR="007E5156" w:rsidRPr="00AC00C0">
        <w:rPr>
          <w:rFonts w:asciiTheme="majorHAnsi" w:hAnsiTheme="majorHAnsi" w:cs="Calibri"/>
          <w:sz w:val="20"/>
          <w:szCs w:val="20"/>
          <w:lang w:val="es-ES_tradnl"/>
        </w:rPr>
        <w:t>ta en su jurisdicción</w:t>
      </w:r>
      <w:r w:rsidR="00271E18" w:rsidRPr="00AC00C0">
        <w:rPr>
          <w:rFonts w:asciiTheme="majorHAnsi" w:hAnsiTheme="majorHAnsi" w:cs="Calibri"/>
          <w:sz w:val="20"/>
          <w:szCs w:val="20"/>
          <w:lang w:val="es-ES_tradnl"/>
        </w:rPr>
        <w:t xml:space="preserve">, </w:t>
      </w:r>
      <w:r w:rsidRPr="00AC00C0">
        <w:rPr>
          <w:rFonts w:asciiTheme="majorHAnsi" w:hAnsiTheme="majorHAnsi" w:cs="Calibri"/>
          <w:sz w:val="20"/>
          <w:szCs w:val="20"/>
          <w:lang w:val="es-ES_tradnl"/>
        </w:rPr>
        <w:t>así como en su obligación de adoptar, con arreglo a sus procedimientos constitucionales y a las disposiciones de la Convención, las medidas legislativas o de otro carácter que fueren necesarias para hacer efectivos tale</w:t>
      </w:r>
      <w:r w:rsidR="007E5156" w:rsidRPr="00AC00C0">
        <w:rPr>
          <w:rFonts w:asciiTheme="majorHAnsi" w:hAnsiTheme="majorHAnsi" w:cs="Calibri"/>
          <w:sz w:val="20"/>
          <w:szCs w:val="20"/>
          <w:lang w:val="es-ES_tradnl"/>
        </w:rPr>
        <w:t>s derechos y libertades</w:t>
      </w:r>
      <w:r w:rsidRPr="00AC00C0">
        <w:rPr>
          <w:rFonts w:asciiTheme="majorHAnsi" w:hAnsiTheme="majorHAnsi" w:cs="Calibri"/>
          <w:sz w:val="20"/>
          <w:szCs w:val="20"/>
          <w:lang w:val="es-ES_tradnl"/>
        </w:rPr>
        <w:t>.</w:t>
      </w:r>
    </w:p>
    <w:p w:rsidR="00AC00C0" w:rsidRPr="00AC00C0" w:rsidRDefault="00AC00C0" w:rsidP="00AC00C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BO"/>
        </w:rPr>
      </w:pPr>
    </w:p>
    <w:p w:rsidR="003215ED" w:rsidRPr="00AC00C0" w:rsidRDefault="003215ED" w:rsidP="00AC00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C00C0">
        <w:rPr>
          <w:rFonts w:asciiTheme="majorHAnsi" w:hAnsiTheme="majorHAnsi"/>
          <w:b/>
          <w:sz w:val="20"/>
          <w:szCs w:val="20"/>
          <w:lang w:val="es-BO"/>
        </w:rPr>
        <w:t>SOLUCIÓN AMISTOSA</w:t>
      </w:r>
    </w:p>
    <w:p w:rsidR="003215ED" w:rsidRPr="00AC00C0" w:rsidRDefault="003215ED" w:rsidP="00AC00C0">
      <w:pPr>
        <w:pStyle w:val="ListParagraph"/>
        <w:ind w:left="0" w:firstLine="720"/>
        <w:rPr>
          <w:rFonts w:asciiTheme="majorHAnsi" w:hAnsiTheme="majorHAnsi"/>
          <w:b/>
          <w:sz w:val="20"/>
          <w:szCs w:val="20"/>
          <w:lang w:val="es-BO"/>
        </w:rPr>
      </w:pPr>
    </w:p>
    <w:p w:rsidR="00D72B79" w:rsidRPr="00AC00C0" w:rsidRDefault="00925A7A" w:rsidP="00AC00C0">
      <w:pPr>
        <w:pStyle w:val="ListParagraph"/>
        <w:numPr>
          <w:ilvl w:val="0"/>
          <w:numId w:val="55"/>
        </w:numPr>
        <w:tabs>
          <w:tab w:val="clear" w:pos="4320"/>
          <w:tab w:val="num" w:pos="360"/>
        </w:tabs>
        <w:ind w:left="0" w:firstLine="720"/>
        <w:contextualSpacing/>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El 25 de octubre del 2017 en la ciudad de </w:t>
      </w:r>
      <w:r w:rsidR="00D72B79" w:rsidRPr="00AC00C0">
        <w:rPr>
          <w:rFonts w:asciiTheme="majorHAnsi" w:hAnsiTheme="majorHAnsi" w:cs="Calibri"/>
          <w:sz w:val="20"/>
          <w:szCs w:val="20"/>
          <w:lang w:val="es-ES_tradnl"/>
        </w:rPr>
        <w:t xml:space="preserve">Montevideo, Uruguay, </w:t>
      </w:r>
      <w:r w:rsidR="00671818" w:rsidRPr="00AC00C0">
        <w:rPr>
          <w:rFonts w:asciiTheme="majorHAnsi" w:hAnsiTheme="majorHAnsi" w:cs="Calibri"/>
          <w:sz w:val="20"/>
          <w:szCs w:val="20"/>
          <w:lang w:val="es-ES_tradnl"/>
        </w:rPr>
        <w:t xml:space="preserve">en el marco de una reunión de trabajo facilitada por el Comisionado Francisco José Eguiguren Praeli, Relator de la CIDH para Uruguay, las partes representadas por </w:t>
      </w:r>
      <w:r w:rsidR="00D72B79" w:rsidRPr="00AC00C0">
        <w:rPr>
          <w:rFonts w:asciiTheme="majorHAnsi" w:hAnsiTheme="majorHAnsi" w:cs="Calibri"/>
          <w:sz w:val="20"/>
          <w:szCs w:val="20"/>
          <w:lang w:val="es-ES_tradnl"/>
        </w:rPr>
        <w:t>Ariel Bergamino, Subsecretario del Ministerio de Relaciones Exteriores, y el peticionario David Rabinovich, suscribieron un acuerdo de solución amistosa cuyo texto establece lo siguiente:</w:t>
      </w:r>
    </w:p>
    <w:p w:rsidR="00D72B79" w:rsidRPr="00AC00C0" w:rsidRDefault="00D72B79" w:rsidP="00AC00C0">
      <w:pPr>
        <w:contextualSpacing/>
        <w:jc w:val="both"/>
        <w:rPr>
          <w:rFonts w:asciiTheme="majorHAnsi" w:hAnsiTheme="majorHAnsi" w:cs="Calibri"/>
          <w:sz w:val="20"/>
          <w:szCs w:val="20"/>
          <w:lang w:val="es-ES_tradnl"/>
        </w:rPr>
      </w:pP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center"/>
        <w:rPr>
          <w:rFonts w:asciiTheme="majorHAnsi" w:eastAsia="Times New Roman" w:hAnsiTheme="majorHAnsi"/>
          <w:sz w:val="20"/>
          <w:szCs w:val="20"/>
          <w:lang w:val="es-ES" w:eastAsia="es-BO"/>
        </w:rPr>
      </w:pPr>
      <w:r w:rsidRPr="00AC00C0">
        <w:rPr>
          <w:rFonts w:asciiTheme="majorHAnsi" w:hAnsiTheme="majorHAnsi" w:cs="Calibri"/>
          <w:b/>
          <w:sz w:val="20"/>
          <w:szCs w:val="20"/>
          <w:lang w:val="es-ES"/>
        </w:rPr>
        <w:t>ACUERDO DEFINITIVO DE SOLUCIÓN AMISTOSA</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center"/>
        <w:rPr>
          <w:rFonts w:asciiTheme="majorHAnsi" w:eastAsia="Times New Roman" w:hAnsiTheme="majorHAnsi"/>
          <w:sz w:val="20"/>
          <w:szCs w:val="20"/>
          <w:lang w:val="es-ES" w:eastAsia="es-BO"/>
        </w:rPr>
      </w:pPr>
      <w:r w:rsidRPr="00AC00C0">
        <w:rPr>
          <w:rFonts w:asciiTheme="majorHAnsi" w:hAnsiTheme="majorHAnsi" w:cs="Calibri"/>
          <w:b/>
          <w:sz w:val="20"/>
          <w:szCs w:val="20"/>
          <w:lang w:val="es-ES"/>
        </w:rPr>
        <w:t>PETICIÓN 1224 – 07</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center"/>
        <w:rPr>
          <w:rFonts w:asciiTheme="majorHAnsi" w:hAnsiTheme="majorHAnsi" w:cs="Calibri"/>
          <w:b/>
          <w:sz w:val="20"/>
          <w:szCs w:val="20"/>
          <w:lang w:val="es-ES"/>
        </w:rPr>
      </w:pPr>
      <w:r w:rsidRPr="00AC00C0">
        <w:rPr>
          <w:rFonts w:asciiTheme="majorHAnsi" w:hAnsiTheme="majorHAnsi" w:cs="Calibri"/>
          <w:b/>
          <w:sz w:val="20"/>
          <w:szCs w:val="20"/>
          <w:lang w:val="es-ES"/>
        </w:rPr>
        <w:t>DAVID RAVINOBICH</w:t>
      </w:r>
    </w:p>
    <w:p w:rsidR="00D72B79" w:rsidRPr="00AC00C0" w:rsidRDefault="00D72B79" w:rsidP="00AC00C0">
      <w:pPr>
        <w:tabs>
          <w:tab w:val="left" w:pos="8640"/>
        </w:tabs>
        <w:ind w:left="720"/>
        <w:contextualSpacing/>
        <w:jc w:val="both"/>
        <w:rPr>
          <w:rFonts w:asciiTheme="majorHAnsi" w:hAnsiTheme="majorHAnsi" w:cs="Calibri"/>
          <w:sz w:val="20"/>
          <w:szCs w:val="20"/>
          <w:lang w:val="es-ES_tradnl"/>
        </w:rPr>
      </w:pPr>
    </w:p>
    <w:p w:rsidR="000F7FDF" w:rsidRPr="00AC00C0" w:rsidRDefault="00D72B79" w:rsidP="00AC00C0">
      <w:pPr>
        <w:tabs>
          <w:tab w:val="left" w:pos="8640"/>
        </w:tabs>
        <w:ind w:left="720" w:right="720"/>
        <w:contextualSpacing/>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En  </w:t>
      </w:r>
      <w:r w:rsidR="00925A7A" w:rsidRPr="00AC00C0">
        <w:rPr>
          <w:rFonts w:asciiTheme="majorHAnsi" w:hAnsiTheme="majorHAnsi" w:cs="Calibri"/>
          <w:sz w:val="20"/>
          <w:szCs w:val="20"/>
          <w:lang w:val="es-ES_tradnl"/>
        </w:rPr>
        <w:t xml:space="preserve">Montevideo, República Oriental del Uruguay, en el marco del </w:t>
      </w:r>
      <w:r w:rsidR="00AB5265" w:rsidRPr="00AC00C0">
        <w:rPr>
          <w:rFonts w:asciiTheme="majorHAnsi" w:hAnsiTheme="majorHAnsi" w:cs="Calibri"/>
          <w:sz w:val="20"/>
          <w:szCs w:val="20"/>
          <w:lang w:val="es-ES_tradnl"/>
        </w:rPr>
        <w:t>165° Período de Sesiones de la Comisión Interamericana de</w:t>
      </w:r>
      <w:r w:rsidRPr="00AC00C0">
        <w:rPr>
          <w:rFonts w:asciiTheme="majorHAnsi" w:hAnsiTheme="majorHAnsi" w:cs="Calibri"/>
          <w:sz w:val="20"/>
          <w:szCs w:val="20"/>
          <w:lang w:val="es-ES_tradnl"/>
        </w:rPr>
        <w:t xml:space="preserve"> Derechos Humanos, comparecen</w:t>
      </w:r>
      <w:r w:rsidR="00AB5265" w:rsidRPr="00AC00C0">
        <w:rPr>
          <w:rFonts w:asciiTheme="majorHAnsi" w:hAnsiTheme="majorHAnsi" w:cs="Calibri"/>
          <w:sz w:val="20"/>
          <w:szCs w:val="20"/>
          <w:lang w:val="es-ES_tradnl"/>
        </w:rPr>
        <w:t xml:space="preserve"> por una parte: el Subsecretario del Ministerio de Relaciones Exteriores, Ariel Bergamino, oriental, mayor de edad, titular de la Céd</w:t>
      </w:r>
      <w:r w:rsidRPr="00AC00C0">
        <w:rPr>
          <w:rFonts w:asciiTheme="majorHAnsi" w:hAnsiTheme="majorHAnsi" w:cs="Calibri"/>
          <w:sz w:val="20"/>
          <w:szCs w:val="20"/>
          <w:lang w:val="es-ES_tradnl"/>
        </w:rPr>
        <w:t>ula de Identidad No. […]</w:t>
      </w:r>
      <w:r w:rsidR="00AB5265" w:rsidRPr="00AC00C0">
        <w:rPr>
          <w:rFonts w:asciiTheme="majorHAnsi" w:hAnsiTheme="majorHAnsi" w:cs="Calibri"/>
          <w:sz w:val="20"/>
          <w:szCs w:val="20"/>
          <w:lang w:val="es-ES_tradnl"/>
        </w:rPr>
        <w:t xml:space="preserve">, en representación de la República Oriental del Uruguay, y por otra parte, el señor David Rabinovich, oriental, mayor de edad, titular de la </w:t>
      </w:r>
      <w:r w:rsidR="00AB5265" w:rsidRPr="00AC00C0">
        <w:rPr>
          <w:rFonts w:asciiTheme="majorHAnsi" w:hAnsiTheme="majorHAnsi" w:cs="Calibri"/>
          <w:sz w:val="20"/>
          <w:szCs w:val="20"/>
          <w:lang w:val="es-ES_tradnl"/>
        </w:rPr>
        <w:lastRenderedPageBreak/>
        <w:t>Céd</w:t>
      </w:r>
      <w:r w:rsidRPr="00AC00C0">
        <w:rPr>
          <w:rFonts w:asciiTheme="majorHAnsi" w:hAnsiTheme="majorHAnsi" w:cs="Calibri"/>
          <w:sz w:val="20"/>
          <w:szCs w:val="20"/>
          <w:lang w:val="es-ES_tradnl"/>
        </w:rPr>
        <w:t>ula de Identidad No. […]</w:t>
      </w:r>
      <w:r w:rsidR="00AB5265" w:rsidRPr="00AC00C0">
        <w:rPr>
          <w:rFonts w:asciiTheme="majorHAnsi" w:hAnsiTheme="majorHAnsi" w:cs="Calibri"/>
          <w:sz w:val="20"/>
          <w:szCs w:val="20"/>
          <w:lang w:val="es-ES_tradnl"/>
        </w:rPr>
        <w:t xml:space="preserve"> </w:t>
      </w:r>
      <w:r w:rsidR="00AB5265" w:rsidRPr="00AC00C0">
        <w:rPr>
          <w:rFonts w:asciiTheme="majorHAnsi" w:hAnsiTheme="majorHAnsi"/>
          <w:sz w:val="20"/>
          <w:szCs w:val="20"/>
          <w:lang w:val="es-CO"/>
        </w:rPr>
        <w:t>asistido por su patrocinante, Martin</w:t>
      </w:r>
      <w:r w:rsidRPr="00AC00C0">
        <w:rPr>
          <w:rFonts w:asciiTheme="majorHAnsi" w:hAnsiTheme="majorHAnsi"/>
          <w:sz w:val="20"/>
          <w:szCs w:val="20"/>
          <w:lang w:val="es-CO"/>
        </w:rPr>
        <w:t xml:space="preserve"> Sbrocca, Cédula de Identidad No. […] </w:t>
      </w:r>
      <w:r w:rsidR="00AB5265" w:rsidRPr="00AC00C0">
        <w:rPr>
          <w:rFonts w:asciiTheme="majorHAnsi" w:hAnsiTheme="majorHAnsi"/>
          <w:sz w:val="20"/>
          <w:szCs w:val="20"/>
          <w:lang w:val="es-CO"/>
        </w:rPr>
        <w:t xml:space="preserve">del Instituto de Estudios Legales y Sociales del Uruguay (IELSUR), quienes </w:t>
      </w:r>
      <w:r w:rsidRPr="00AC00C0">
        <w:rPr>
          <w:rFonts w:asciiTheme="majorHAnsi" w:hAnsiTheme="majorHAnsi" w:cs="Calibri"/>
          <w:sz w:val="20"/>
          <w:szCs w:val="20"/>
          <w:lang w:val="es-ES_tradnl"/>
        </w:rPr>
        <w:t>convienen en celebrar el presente acuerdo</w:t>
      </w:r>
      <w:r w:rsidR="003215ED" w:rsidRPr="00AC00C0">
        <w:rPr>
          <w:rFonts w:asciiTheme="majorHAnsi" w:hAnsiTheme="majorHAnsi" w:cs="Calibri"/>
          <w:sz w:val="20"/>
          <w:szCs w:val="20"/>
          <w:lang w:val="es-ES_tradnl"/>
        </w:rPr>
        <w:t>:</w:t>
      </w:r>
    </w:p>
    <w:p w:rsidR="00D72B79" w:rsidRPr="00AC00C0" w:rsidRDefault="00D72B79" w:rsidP="00AC00C0">
      <w:pPr>
        <w:tabs>
          <w:tab w:val="left" w:pos="8640"/>
        </w:tabs>
        <w:ind w:left="720" w:right="720"/>
        <w:contextualSpacing/>
        <w:jc w:val="both"/>
        <w:rPr>
          <w:rFonts w:asciiTheme="majorHAnsi" w:hAnsiTheme="majorHAnsi" w:cs="Calibri"/>
          <w:sz w:val="20"/>
          <w:szCs w:val="20"/>
          <w:lang w:val="es-ES_tradnl"/>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b/>
          <w:sz w:val="20"/>
          <w:szCs w:val="20"/>
          <w:lang w:val="es-CO"/>
        </w:rPr>
        <w:t>ANTECEDENTES:</w:t>
      </w:r>
      <w:r w:rsidRPr="00AC00C0">
        <w:rPr>
          <w:rFonts w:asciiTheme="majorHAnsi" w:hAnsiTheme="majorHAnsi"/>
          <w:sz w:val="20"/>
          <w:szCs w:val="20"/>
          <w:lang w:val="es-CO"/>
        </w:rPr>
        <w:t xml:space="preserve"> El periodista David Rabinovich, amparado en el derecho a la información, solicitó oportunamente a la Junta Departamental de San José acceso a información sobre las deliberaciones entre representantes locales – ediles – de ese órgano legislativo departamen</w:t>
      </w:r>
      <w:r w:rsidR="00CF01AC" w:rsidRPr="00AC00C0">
        <w:rPr>
          <w:rFonts w:asciiTheme="majorHAnsi" w:hAnsiTheme="majorHAnsi"/>
          <w:sz w:val="20"/>
          <w:szCs w:val="20"/>
          <w:lang w:val="es-CO"/>
        </w:rPr>
        <w:t xml:space="preserve">tal de Uruguay. La Junta </w:t>
      </w:r>
      <w:r w:rsidRPr="00AC00C0">
        <w:rPr>
          <w:rFonts w:asciiTheme="majorHAnsi" w:hAnsiTheme="majorHAnsi"/>
          <w:sz w:val="20"/>
          <w:szCs w:val="20"/>
          <w:lang w:val="es-CO"/>
        </w:rPr>
        <w:t>Departamental de San José, amparada en el Artículo 11 de la Ley Orgánica Municipal N°9.515, negó al periodista acceso a actas, transcripción de la grabación o cinta grabada de las sesiones realizadas entre enero y marzo de 2006 por la Comisión de Presupuesto de la mencionada Junta.</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highlight w:val="cyan"/>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Posteriormente, el día 29 de junio de 2006, el periodista entabló acción de amparo – conforme a la Ley 16.011 – ante el Juzgado Letrado Departamental de San José de Segundo Turno. En esa instancia los representantes de la Junta Departamental de San José alegaron que por descuido se habían destruido los registros digitales de una sesión de la Comisión de Presupuesto de la Junta Departamental de San José que había sido solicitado por el periodista.</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Por sentencia No. 177 de 15 de noviembre de 2006, el Juzgado Letrado de Primera Instancia desestimó la acción de amparo, fundado en que no existía ilegitimidad manifiesta en la decisión de la Junta Departamental.</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Ante el fallo adverso de la primera instancia y siguiendo el trámite previsto por el Artículo 10 de la Ley 16.011 se interpuso recurso de apelación contra la sentencia referida ante el Tribunal de Apelaciones en lo Civil de Segundo Turno.</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Dicho Tribunal confirmó la sentencia de primera instancia y por tanto también denegó la pretensión de amparo como vía procedente para proteger el derecho de acceso de la información pública. De acuerdo a la Sentencia 43/2007 de 7 de marzo del 2007, el Tribunal sostuvo que si bien no se descarta la ilegitimidad de la decisión de la Junta Departamental de San José que declaró secreta la información solicitada por el periodista, no se puede sostener que la ilegitimidad sea “manifiesta”, en función de que existe una norma legal que la faculta a declarar secretos determinados asuntos tratados o resueltos.</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highlight w:val="cyan"/>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Habiendo promovido la acción de amparo y posterior apelación del fallo del Tribunal de Apelaciones referido, el 15 de mayo de 2008 el periodista compareció al amparo de lo dispuesto en el Artículo 13 de la Convención Americana sobre Derechos Humanos a deducir su petición ante la Comisión Interamericana de Derechos Humanos (P.1224-07), alegando que la República Oriental del Uruguay había violado los derechos consagrados en el Artículo 13 de la Convención Americana de Derechos Humanos, en especial el derecho de acceso a la información pública.</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También denunció que la República Oriental del Uruguay había violado los derechos a la protección judicial consagrados en el Artículo 25 de la Convención Americana sobre Derechos Humanos, así como las obligaciones generales de respetar y garantizar los derechos y libertades y adoptar disposiciones de derecho interno establecidas en los artículos 1.1 y 2 de la Convención Americana sobre Derechos Humanos, en su perjuicio.</w:t>
      </w:r>
    </w:p>
    <w:p w:rsidR="00D72B79" w:rsidRPr="00AC00C0" w:rsidRDefault="00D72B79"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lang w:val="es-ES" w:eastAsia="es-BO"/>
        </w:rPr>
      </w:pPr>
      <w:r w:rsidRPr="00AC00C0">
        <w:rPr>
          <w:rFonts w:asciiTheme="majorHAnsi" w:hAnsiTheme="majorHAnsi"/>
          <w:sz w:val="20"/>
          <w:szCs w:val="20"/>
          <w:lang w:val="es-CO"/>
        </w:rPr>
        <w:t>El Estado uruguayo, luego de analizar el caso, hizo presente ante la Comisión Interamericana su voluntad de iniciar un diálogo con el peticionario a efectos de alcanzar una solución amistosa.</w:t>
      </w:r>
    </w:p>
    <w:p w:rsidR="003234C1" w:rsidRPr="00AC00C0" w:rsidRDefault="003234C1"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eastAsia="Times New Roman" w:hAnsiTheme="majorHAnsi"/>
          <w:sz w:val="20"/>
          <w:szCs w:val="20"/>
          <w:highlight w:val="cyan"/>
          <w:lang w:val="es-ES" w:eastAsia="es-BO"/>
        </w:rPr>
      </w:pPr>
    </w:p>
    <w:p w:rsidR="0050778A" w:rsidRDefault="0050778A">
      <w:pPr>
        <w:rPr>
          <w:rFonts w:asciiTheme="majorHAnsi" w:hAnsiTheme="majorHAnsi"/>
          <w:b/>
          <w:sz w:val="20"/>
          <w:szCs w:val="20"/>
          <w:u w:val="single"/>
          <w:lang w:val="es-CO"/>
        </w:rPr>
      </w:pPr>
      <w:r>
        <w:rPr>
          <w:rFonts w:asciiTheme="majorHAnsi" w:hAnsiTheme="majorHAnsi"/>
          <w:b/>
          <w:sz w:val="20"/>
          <w:szCs w:val="20"/>
          <w:u w:val="single"/>
          <w:lang w:val="es-CO"/>
        </w:rPr>
        <w:br w:type="page"/>
      </w:r>
    </w:p>
    <w:p w:rsidR="003234C1" w:rsidRPr="00AC00C0" w:rsidRDefault="00435934"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Theme="majorHAnsi" w:hAnsiTheme="majorHAnsi"/>
          <w:b/>
          <w:sz w:val="20"/>
          <w:szCs w:val="20"/>
          <w:u w:val="single"/>
          <w:lang w:val="es-CO"/>
        </w:rPr>
      </w:pPr>
      <w:r w:rsidRPr="00AC00C0">
        <w:rPr>
          <w:rFonts w:asciiTheme="majorHAnsi" w:hAnsiTheme="majorHAnsi"/>
          <w:b/>
          <w:sz w:val="20"/>
          <w:szCs w:val="20"/>
          <w:u w:val="single"/>
          <w:lang w:val="es-CO"/>
        </w:rPr>
        <w:lastRenderedPageBreak/>
        <w:t>ACUERDO</w:t>
      </w:r>
    </w:p>
    <w:p w:rsidR="000F7FDF" w:rsidRPr="00AC00C0" w:rsidRDefault="000F7FDF"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Theme="majorHAnsi" w:eastAsia="Times New Roman" w:hAnsiTheme="majorHAnsi"/>
          <w:sz w:val="20"/>
          <w:szCs w:val="20"/>
          <w:lang w:val="es-ES" w:eastAsia="es-BO"/>
        </w:rPr>
      </w:pPr>
    </w:p>
    <w:p w:rsidR="00AC00C0" w:rsidRPr="00AC00C0" w:rsidRDefault="003234C1" w:rsidP="008D75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ES"/>
        </w:rPr>
      </w:pPr>
      <w:r w:rsidRPr="00AC00C0">
        <w:rPr>
          <w:rFonts w:asciiTheme="majorHAnsi" w:hAnsiTheme="majorHAnsi"/>
          <w:sz w:val="20"/>
          <w:szCs w:val="20"/>
          <w:lang w:val="es-CO"/>
        </w:rPr>
        <w:t>El Estado reconoce que la negativa de la Junta Departamental de San José a brindar acceso a la información pública solicitada por el señor Rabinovich, se tradujo en una limitación al ejercicio de su derecho de buscar, recibir y difundir informaciones e ideas de toda índole, en un contexto de inexistencia de procedimientos claros de acceso a la información pública, lo que lo llevó a promover una petición ante el Poder Judicial uruguayo y posteriormente ante la CIDH.</w:t>
      </w:r>
    </w:p>
    <w:p w:rsidR="00AC00C0" w:rsidRPr="00AC00C0" w:rsidRDefault="00AC00C0"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hAnsiTheme="majorHAnsi"/>
          <w:sz w:val="20"/>
          <w:szCs w:val="20"/>
          <w:lang w:val="es-ES"/>
        </w:rPr>
      </w:pPr>
    </w:p>
    <w:p w:rsidR="00AC00C0" w:rsidRPr="00AC00C0" w:rsidRDefault="007F2957" w:rsidP="008D75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ES"/>
        </w:rPr>
      </w:pPr>
      <w:r w:rsidRPr="00AC00C0">
        <w:rPr>
          <w:rFonts w:asciiTheme="majorHAnsi" w:hAnsiTheme="majorHAnsi"/>
          <w:sz w:val="20"/>
          <w:szCs w:val="20"/>
          <w:lang w:val="es-CO"/>
        </w:rPr>
        <w:t>El Estado señala y el Sr. David Rabinovich reconoce, los avances registrados mediante la adopción de reformas legislativas significativas que han redundado en el fortalecimiento del marco jurídico que garantiza y hace efectivo el derecho de todas las personas a buscar, recibir y difundir información pública: Ley No. 18.220 de 20 de diciembre de 2007, Sistema Nacional de Archivos; Ley No. 18.232 de 22 de diciembre de 2007, Servicio de Radiodifusión Comunitaria; Ley No. 18.331 de 11 de agosto de 2008, Protección de Datos Personales y Acción de Habeas Data; Ley. No. 18.381 de 17 de octubre de 2008, Derecho de Acceso a la Información Pública; Ley No. 18.515 de 26 de junio de 2009, reforma del sistema penal uruguayo relativo a los delitos de comunicación; normativa que siguió los estándares establecidos en el Sistema Interamericano de Derechos Humanos, sin perjuicio de lo establecido por la Ley Modelo Interamericana de Acceso a la Información Pública (Aprobada por la Asamblea de la Organización de los Estados Americanos en el mes de junio de 2010).</w:t>
      </w:r>
    </w:p>
    <w:p w:rsidR="00AC00C0" w:rsidRPr="00AC00C0" w:rsidRDefault="00AC00C0" w:rsidP="00AC00C0">
      <w:pPr>
        <w:pStyle w:val="ListParagraph"/>
        <w:rPr>
          <w:rFonts w:asciiTheme="majorHAnsi" w:hAnsiTheme="majorHAnsi"/>
          <w:sz w:val="20"/>
          <w:szCs w:val="20"/>
          <w:lang w:val="es-CO"/>
        </w:rPr>
      </w:pPr>
    </w:p>
    <w:p w:rsidR="00AC00C0" w:rsidRPr="00AC00C0" w:rsidRDefault="007F2957" w:rsidP="008D75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ES"/>
        </w:rPr>
      </w:pPr>
      <w:r w:rsidRPr="00AC00C0">
        <w:rPr>
          <w:rFonts w:asciiTheme="majorHAnsi" w:hAnsiTheme="majorHAnsi"/>
          <w:sz w:val="20"/>
          <w:szCs w:val="20"/>
          <w:lang w:val="es-CO"/>
        </w:rPr>
        <w:t>El Estado y el peticionario aceptan comparecer conjunta y personalmente ante la Comisión Interamericana de Derechos Humanos en su 165° Períodos de Sesiones que tiene lugar en Montevideo, a efectos de firmar la presente solución amistosa acordada y solicitar ante dicho órgano la clausura de las actuaciones y el archivo de la petición instaurada P. 1224-07.</w:t>
      </w:r>
    </w:p>
    <w:p w:rsidR="00AC00C0" w:rsidRPr="00AC00C0" w:rsidRDefault="00AC00C0" w:rsidP="00AC00C0">
      <w:pPr>
        <w:pStyle w:val="ListParagraph"/>
        <w:rPr>
          <w:rFonts w:asciiTheme="majorHAnsi" w:hAnsiTheme="majorHAnsi"/>
          <w:sz w:val="20"/>
          <w:szCs w:val="20"/>
          <w:lang w:val="es-CO"/>
        </w:rPr>
      </w:pPr>
    </w:p>
    <w:p w:rsidR="002D252E" w:rsidRPr="00AC00C0" w:rsidRDefault="007F2957" w:rsidP="008D75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ES"/>
        </w:rPr>
      </w:pPr>
      <w:r w:rsidRPr="00AC00C0">
        <w:rPr>
          <w:rFonts w:asciiTheme="majorHAnsi" w:hAnsiTheme="majorHAnsi"/>
          <w:sz w:val="20"/>
          <w:szCs w:val="20"/>
          <w:lang w:val="es-CO"/>
        </w:rPr>
        <w:t>El Estado y el periodista concuerdan en cooperar para facilitar la difusión pública del acuerdo alcanzado, con énfasis en la difusión permanente de la normativa vigente de acceso a la información pública.</w:t>
      </w:r>
    </w:p>
    <w:p w:rsidR="00671818" w:rsidRPr="00AC00C0" w:rsidRDefault="00671818" w:rsidP="00AC00C0">
      <w:pPr>
        <w:pStyle w:val="ListParagraph"/>
        <w:tabs>
          <w:tab w:val="left" w:pos="810"/>
          <w:tab w:val="left" w:pos="8640"/>
        </w:tabs>
        <w:rPr>
          <w:rFonts w:asciiTheme="majorHAnsi" w:hAnsiTheme="majorHAnsi"/>
          <w:sz w:val="20"/>
          <w:szCs w:val="20"/>
          <w:lang w:val="es-ES"/>
        </w:rPr>
      </w:pPr>
    </w:p>
    <w:p w:rsidR="00671818" w:rsidRPr="00AC00C0" w:rsidRDefault="00671818"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both"/>
        <w:rPr>
          <w:rFonts w:asciiTheme="majorHAnsi" w:hAnsiTheme="majorHAnsi"/>
          <w:sz w:val="20"/>
          <w:szCs w:val="20"/>
          <w:lang w:val="es-ES"/>
        </w:rPr>
      </w:pPr>
      <w:r w:rsidRPr="00AC00C0">
        <w:rPr>
          <w:rFonts w:asciiTheme="majorHAnsi" w:hAnsiTheme="majorHAnsi"/>
          <w:sz w:val="20"/>
          <w:szCs w:val="20"/>
          <w:lang w:val="es-ES"/>
        </w:rPr>
        <w:t xml:space="preserve">Para constancia del compromiso contraído y en fe de lo cual, firman el presente en Montevideo a los veinticinco días del mes de octubre de 2017. </w:t>
      </w:r>
    </w:p>
    <w:p w:rsidR="00AC00C0" w:rsidRPr="00AC00C0" w:rsidRDefault="00AC00C0"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highlight w:val="cyan"/>
          <w:lang w:val="es-ES"/>
        </w:rPr>
      </w:pPr>
    </w:p>
    <w:p w:rsidR="002D252E" w:rsidRPr="00AC00C0" w:rsidRDefault="002D252E"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center"/>
        <w:rPr>
          <w:rFonts w:asciiTheme="majorHAnsi" w:hAnsiTheme="majorHAnsi"/>
          <w:b/>
          <w:sz w:val="20"/>
          <w:szCs w:val="20"/>
          <w:lang w:val="es-CO"/>
        </w:rPr>
      </w:pPr>
      <w:r w:rsidRPr="00AC00C0">
        <w:rPr>
          <w:rFonts w:asciiTheme="majorHAnsi" w:hAnsiTheme="majorHAnsi"/>
          <w:b/>
          <w:sz w:val="20"/>
          <w:szCs w:val="20"/>
          <w:lang w:val="es-CO"/>
        </w:rPr>
        <w:t>ACTA DE ENTENDIMIENTO SOBRE EL CUMPLIMIENTO DEL ACUERDO DE SOLUCION AMISTOSA Petición No. 1224-07</w:t>
      </w:r>
    </w:p>
    <w:p w:rsidR="002D252E" w:rsidRPr="00AC00C0" w:rsidRDefault="002D252E"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center"/>
        <w:rPr>
          <w:rFonts w:asciiTheme="majorHAnsi" w:hAnsiTheme="majorHAnsi"/>
          <w:b/>
          <w:sz w:val="20"/>
          <w:szCs w:val="20"/>
          <w:lang w:val="es-CO"/>
        </w:rPr>
      </w:pPr>
    </w:p>
    <w:p w:rsidR="002D252E" w:rsidRPr="00AC00C0" w:rsidRDefault="002D252E"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both"/>
        <w:rPr>
          <w:rFonts w:asciiTheme="majorHAnsi" w:hAnsiTheme="majorHAnsi"/>
          <w:sz w:val="20"/>
          <w:szCs w:val="20"/>
          <w:lang w:val="es-CO"/>
        </w:rPr>
      </w:pPr>
      <w:r w:rsidRPr="00AC00C0">
        <w:rPr>
          <w:rFonts w:asciiTheme="majorHAnsi" w:hAnsiTheme="majorHAnsi"/>
          <w:sz w:val="20"/>
          <w:szCs w:val="20"/>
          <w:lang w:val="es-CO"/>
        </w:rPr>
        <w:t>En Montevideo el 3 de mayo de 2019, el Estado de Uruguay representado por Dianela Pi, Directora de Derechos Humanos y Derecho Humanitario del Ministerio de Relaciones Exteriores y en su calidad de peticionarios el Sr. David Rabinovich y el Dr. Martín Prats del Instituto de Estudios Legales y Sociales del Uruguay (IELSUR), suscriben la siguiente acta de entendimiento sobre lo que las partes entienden que son los elementos para el cumplimiento total del acuerdo de solución amistosa suscrito el 25 de octubre del 2017.</w:t>
      </w:r>
    </w:p>
    <w:p w:rsidR="00AC00C0" w:rsidRPr="00AC00C0" w:rsidRDefault="00AC00C0"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both"/>
        <w:rPr>
          <w:rFonts w:asciiTheme="majorHAnsi" w:hAnsiTheme="majorHAnsi"/>
          <w:sz w:val="20"/>
          <w:szCs w:val="20"/>
          <w:lang w:val="es-CO"/>
        </w:rPr>
      </w:pPr>
    </w:p>
    <w:p w:rsidR="002D252E" w:rsidRPr="00AC00C0" w:rsidRDefault="002D252E"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both"/>
        <w:rPr>
          <w:rFonts w:asciiTheme="majorHAnsi" w:hAnsiTheme="majorHAnsi"/>
          <w:sz w:val="20"/>
          <w:szCs w:val="20"/>
          <w:lang w:val="es-CO"/>
        </w:rPr>
      </w:pPr>
      <w:r w:rsidRPr="00AC00C0">
        <w:rPr>
          <w:rFonts w:asciiTheme="majorHAnsi" w:hAnsiTheme="majorHAnsi"/>
          <w:sz w:val="20"/>
          <w:szCs w:val="20"/>
          <w:lang w:val="es-CO"/>
        </w:rPr>
        <w:t>Las partes consideran que el acuerdo de solución amistosa suscrito en el caso de referencia se entenderá cumplido totalmente cuando se ejecuten las siguientes acciones o actividades:</w:t>
      </w:r>
    </w:p>
    <w:p w:rsidR="00AC00C0" w:rsidRPr="00AC00C0" w:rsidRDefault="00AC00C0"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right="720"/>
        <w:contextualSpacing/>
        <w:jc w:val="both"/>
        <w:rPr>
          <w:rFonts w:asciiTheme="majorHAnsi" w:eastAsia="Cambria" w:hAnsiTheme="majorHAnsi" w:cs="Cambria"/>
          <w:color w:val="000000"/>
          <w:sz w:val="20"/>
          <w:szCs w:val="20"/>
          <w:highlight w:val="cyan"/>
          <w:u w:color="000000"/>
          <w:lang w:val="es-CO" w:eastAsia="es-ES"/>
        </w:rPr>
      </w:pPr>
    </w:p>
    <w:p w:rsidR="00AC00C0" w:rsidRPr="00AC00C0" w:rsidRDefault="002D252E" w:rsidP="008D75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CO"/>
        </w:rPr>
      </w:pPr>
      <w:r w:rsidRPr="00AC00C0">
        <w:rPr>
          <w:rFonts w:asciiTheme="majorHAnsi" w:hAnsiTheme="majorHAnsi"/>
          <w:sz w:val="20"/>
          <w:szCs w:val="20"/>
          <w:lang w:val="es-CO"/>
        </w:rPr>
        <w:t>Realizar un evento académico, abierto al público, relacionado con la Petición y la aprobación de la ley de acceso a la información pública y otras normas significativas en la materia.</w:t>
      </w:r>
    </w:p>
    <w:p w:rsidR="00AC00C0" w:rsidRPr="00AC00C0" w:rsidRDefault="00AC00C0" w:rsidP="00AC0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hAnsiTheme="majorHAnsi"/>
          <w:sz w:val="20"/>
          <w:szCs w:val="20"/>
          <w:lang w:val="es-CO"/>
        </w:rPr>
      </w:pPr>
    </w:p>
    <w:p w:rsidR="00AC00C0" w:rsidRPr="00AC00C0" w:rsidRDefault="002D252E" w:rsidP="008D75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CO"/>
        </w:rPr>
      </w:pPr>
      <w:r w:rsidRPr="00AC00C0">
        <w:rPr>
          <w:rFonts w:asciiTheme="majorHAnsi" w:hAnsiTheme="majorHAnsi"/>
          <w:sz w:val="20"/>
          <w:szCs w:val="20"/>
          <w:lang w:val="es-CO"/>
        </w:rPr>
        <w:t>Confeccionar en forma conjunta una lista de invitados que incluya actores relevantes, organismos públicos y organizaciones de la sociedad civil, de la prensa y medios de comunicación.</w:t>
      </w:r>
    </w:p>
    <w:p w:rsidR="00AC00C0" w:rsidRPr="00AC00C0" w:rsidRDefault="00AC00C0" w:rsidP="00AC00C0">
      <w:pPr>
        <w:pStyle w:val="ListParagraph"/>
        <w:rPr>
          <w:rFonts w:asciiTheme="majorHAnsi" w:hAnsiTheme="majorHAnsi"/>
          <w:sz w:val="20"/>
          <w:szCs w:val="20"/>
          <w:highlight w:val="cyan"/>
          <w:lang w:val="es-CO"/>
        </w:rPr>
      </w:pPr>
    </w:p>
    <w:p w:rsidR="000F7FDF" w:rsidRPr="00AC00C0" w:rsidRDefault="002D252E" w:rsidP="008D75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sz w:val="20"/>
          <w:szCs w:val="20"/>
          <w:lang w:val="es-CO"/>
        </w:rPr>
      </w:pPr>
      <w:r w:rsidRPr="00AC00C0">
        <w:rPr>
          <w:rFonts w:asciiTheme="majorHAnsi" w:hAnsiTheme="majorHAnsi"/>
          <w:sz w:val="20"/>
          <w:szCs w:val="20"/>
          <w:lang w:val="es-CO"/>
        </w:rPr>
        <w:t>Asegurar la más amplia difusión del evento a través de un comunicado de prensa de la Cancillería y la grabación del evento, la que será entregada a los peticionarios y a la Secretaría de la Presidencia de la República, a la Institución Nacional de Derechos Humanos y Defensoría del Pueblo, a la Asociación de Prensa del Uruguay y a la Organización de la Prensa del Interior, a los que se les solicitará apoyo en su difusión, lo que será debidamente comunicado tanto a los peticionarios como a la Comisión Interamericana de Derechos Humanos.</w:t>
      </w:r>
    </w:p>
    <w:p w:rsidR="000F7FDF" w:rsidRPr="00AC00C0" w:rsidRDefault="000F7FDF"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640"/>
        </w:tabs>
        <w:ind w:left="720" w:right="720"/>
        <w:contextualSpacing/>
        <w:jc w:val="both"/>
        <w:rPr>
          <w:rFonts w:asciiTheme="majorHAnsi" w:hAnsiTheme="majorHAnsi"/>
          <w:sz w:val="20"/>
          <w:szCs w:val="20"/>
          <w:lang w:val="es-CO"/>
        </w:rPr>
      </w:pPr>
    </w:p>
    <w:p w:rsidR="000F7FDF" w:rsidRPr="00AC00C0" w:rsidRDefault="002D252E"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Una vez se cumplan las acciones mencionadas, las partes solicitarán a la CIDH la homologación del acuerdo de solución amistosa según lo establecido en el artículo 49 de la Comisión Americana sobre Derechos Humanos.</w:t>
      </w:r>
    </w:p>
    <w:p w:rsidR="000F7FDF" w:rsidRPr="00AC00C0" w:rsidRDefault="000F7FDF"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8640"/>
        </w:tabs>
        <w:ind w:left="720" w:right="720"/>
        <w:contextualSpacing/>
        <w:jc w:val="both"/>
        <w:rPr>
          <w:rFonts w:asciiTheme="majorHAnsi" w:hAnsiTheme="majorHAnsi"/>
          <w:sz w:val="20"/>
          <w:szCs w:val="20"/>
          <w:lang w:val="es-CO"/>
        </w:rPr>
      </w:pPr>
    </w:p>
    <w:p w:rsidR="002D252E" w:rsidRPr="00AC00C0" w:rsidRDefault="002D252E"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8640"/>
        </w:tabs>
        <w:ind w:left="720" w:right="720"/>
        <w:contextualSpacing/>
        <w:jc w:val="both"/>
        <w:rPr>
          <w:rFonts w:asciiTheme="majorHAnsi" w:hAnsiTheme="majorHAnsi"/>
          <w:sz w:val="20"/>
          <w:szCs w:val="20"/>
          <w:lang w:val="es-CO"/>
        </w:rPr>
      </w:pPr>
      <w:r w:rsidRPr="00AC00C0">
        <w:rPr>
          <w:rFonts w:asciiTheme="majorHAnsi" w:hAnsiTheme="majorHAnsi"/>
          <w:sz w:val="20"/>
          <w:szCs w:val="20"/>
          <w:lang w:val="es-CO"/>
        </w:rPr>
        <w:t>Sin perjuicio de lo anterior, el Estado se compromete a continuar avanzando en la difusión permanente de la normativa vigente de acceso a la información pública.</w:t>
      </w:r>
    </w:p>
    <w:p w:rsidR="00AC00C0" w:rsidRPr="00AC00C0" w:rsidRDefault="00AC00C0" w:rsidP="00AC00C0">
      <w:pPr>
        <w:tabs>
          <w:tab w:val="left" w:pos="360"/>
        </w:tabs>
        <w:jc w:val="both"/>
        <w:rPr>
          <w:rFonts w:asciiTheme="majorHAnsi" w:hAnsiTheme="majorHAnsi" w:cs="Calibri"/>
          <w:sz w:val="20"/>
          <w:szCs w:val="20"/>
          <w:highlight w:val="cyan"/>
          <w:lang w:val="es-ES"/>
        </w:rPr>
      </w:pPr>
    </w:p>
    <w:p w:rsidR="003215ED" w:rsidRPr="00AC00C0" w:rsidRDefault="003215ED" w:rsidP="00AC00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C00C0">
        <w:rPr>
          <w:rFonts w:asciiTheme="majorHAnsi" w:hAnsiTheme="majorHAnsi"/>
          <w:b/>
          <w:sz w:val="20"/>
          <w:szCs w:val="20"/>
          <w:lang w:val="es-BO"/>
        </w:rPr>
        <w:t>DETERMINACIÓN DE COMPATIBILIDAD Y CUMPLIMIENTO.</w:t>
      </w:r>
    </w:p>
    <w:p w:rsidR="003215ED" w:rsidRPr="00AC00C0" w:rsidRDefault="003215ED" w:rsidP="00AC00C0">
      <w:pPr>
        <w:pStyle w:val="ListParagraph"/>
        <w:ind w:left="0" w:firstLine="720"/>
        <w:rPr>
          <w:rFonts w:asciiTheme="majorHAnsi" w:hAnsiTheme="majorHAnsi"/>
          <w:b/>
          <w:sz w:val="20"/>
          <w:szCs w:val="20"/>
          <w:highlight w:val="cyan"/>
          <w:lang w:val="es-BO"/>
        </w:rPr>
      </w:pPr>
    </w:p>
    <w:p w:rsidR="003215ED" w:rsidRPr="00AC00C0" w:rsidRDefault="003215ED" w:rsidP="00AC00C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C00C0">
        <w:rPr>
          <w:rFonts w:asciiTheme="majorHAnsi" w:hAnsiTheme="majorHAnsi" w:cs="Calibri"/>
          <w:i/>
          <w:sz w:val="20"/>
          <w:szCs w:val="20"/>
          <w:lang w:val="es-ES_tradnl"/>
        </w:rPr>
        <w:t>pacta sunt servanda</w:t>
      </w:r>
      <w:r w:rsidRPr="00AC00C0">
        <w:rPr>
          <w:rFonts w:asciiTheme="majorHAnsi" w:hAnsiTheme="majorHAnsi" w:cs="Calibri"/>
          <w:sz w:val="20"/>
          <w:szCs w:val="20"/>
          <w:lang w:val="es-ES_tradnl"/>
        </w:rPr>
        <w:t>, por el cual los Estados deben cumplir de buena fe las obligaciones asumidas en los tratados</w:t>
      </w:r>
      <w:r w:rsidRPr="00AC00C0">
        <w:rPr>
          <w:rStyle w:val="FootnoteReference"/>
          <w:rFonts w:asciiTheme="majorHAnsi" w:hAnsiTheme="majorHAnsi" w:cs="Calibri"/>
          <w:sz w:val="20"/>
          <w:szCs w:val="20"/>
          <w:lang w:val="es-ES_tradnl"/>
        </w:rPr>
        <w:footnoteReference w:id="2"/>
      </w:r>
      <w:r w:rsidRPr="00AC00C0">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215ED" w:rsidRPr="00AC00C0" w:rsidRDefault="003215ED" w:rsidP="00AC00C0">
      <w:pPr>
        <w:pStyle w:val="ListParagraph"/>
        <w:tabs>
          <w:tab w:val="left" w:pos="0"/>
          <w:tab w:val="left" w:pos="180"/>
          <w:tab w:val="left" w:pos="810"/>
        </w:tabs>
        <w:ind w:left="0" w:firstLine="720"/>
        <w:jc w:val="both"/>
        <w:rPr>
          <w:rFonts w:asciiTheme="majorHAnsi" w:hAnsiTheme="majorHAnsi" w:cs="Calibri"/>
          <w:sz w:val="20"/>
          <w:szCs w:val="20"/>
          <w:lang w:val="es-ES_tradnl"/>
        </w:rPr>
      </w:pPr>
    </w:p>
    <w:p w:rsidR="003215ED" w:rsidRPr="00AC00C0" w:rsidRDefault="003215ED" w:rsidP="00AC00C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C00C0">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3215ED" w:rsidRPr="00AC00C0" w:rsidRDefault="003215ED" w:rsidP="00AC00C0">
      <w:pPr>
        <w:tabs>
          <w:tab w:val="left" w:pos="0"/>
          <w:tab w:val="left" w:pos="180"/>
          <w:tab w:val="left" w:pos="810"/>
        </w:tabs>
        <w:ind w:firstLine="720"/>
        <w:jc w:val="both"/>
        <w:rPr>
          <w:rFonts w:asciiTheme="majorHAnsi" w:hAnsiTheme="majorHAnsi" w:cs="Calibri"/>
          <w:sz w:val="20"/>
          <w:szCs w:val="20"/>
          <w:lang w:val="es-ES_tradnl"/>
        </w:rPr>
      </w:pPr>
    </w:p>
    <w:p w:rsidR="003215ED" w:rsidRPr="00AC00C0" w:rsidRDefault="003215ED" w:rsidP="00AC00C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u w:val="single"/>
          <w:lang w:val="es-ES_tradnl"/>
        </w:rPr>
      </w:pPr>
      <w:r w:rsidRPr="00AC00C0">
        <w:rPr>
          <w:rFonts w:asciiTheme="majorHAnsi" w:hAnsiTheme="majorHAnsi" w:cs="Calibri"/>
          <w:sz w:val="20"/>
          <w:szCs w:val="20"/>
          <w:lang w:val="es-ES_tradnl"/>
        </w:rPr>
        <w:t>La Comisión observa que las partes han</w:t>
      </w:r>
      <w:r w:rsidR="000F7FDF" w:rsidRPr="00AC00C0">
        <w:rPr>
          <w:rFonts w:asciiTheme="majorHAnsi" w:hAnsiTheme="majorHAnsi" w:cs="Calibri"/>
          <w:sz w:val="20"/>
          <w:szCs w:val="20"/>
          <w:lang w:val="es-ES_tradnl"/>
        </w:rPr>
        <w:t xml:space="preserve"> suscrito</w:t>
      </w:r>
      <w:r w:rsidRPr="00AC00C0">
        <w:rPr>
          <w:rFonts w:asciiTheme="majorHAnsi" w:hAnsiTheme="majorHAnsi" w:cs="Calibri"/>
          <w:sz w:val="20"/>
          <w:szCs w:val="20"/>
          <w:lang w:val="es-ES_tradnl"/>
        </w:rPr>
        <w:t xml:space="preserve"> </w:t>
      </w:r>
      <w:r w:rsidR="000F7FDF" w:rsidRPr="00AC00C0">
        <w:rPr>
          <w:rFonts w:asciiTheme="majorHAnsi" w:hAnsiTheme="majorHAnsi" w:cs="Calibri"/>
          <w:sz w:val="20"/>
          <w:szCs w:val="20"/>
          <w:lang w:val="es-ES_tradnl"/>
        </w:rPr>
        <w:t xml:space="preserve">un Acta de Entendimiento que </w:t>
      </w:r>
      <w:r w:rsidR="007528E2">
        <w:rPr>
          <w:rFonts w:asciiTheme="majorHAnsi" w:hAnsiTheme="majorHAnsi" w:cs="Calibri"/>
          <w:sz w:val="20"/>
          <w:szCs w:val="20"/>
          <w:lang w:val="es-ES_tradnl"/>
        </w:rPr>
        <w:t xml:space="preserve">define las obligaciones del Estado derivadas del </w:t>
      </w:r>
      <w:r w:rsidRPr="00AC00C0">
        <w:rPr>
          <w:rFonts w:asciiTheme="majorHAnsi" w:hAnsiTheme="majorHAnsi" w:cs="Calibri"/>
          <w:sz w:val="20"/>
          <w:szCs w:val="20"/>
          <w:lang w:val="es-ES_tradnl"/>
        </w:rPr>
        <w:t>acuerdo de solución amistosa el</w:t>
      </w:r>
      <w:r w:rsidR="007528E2">
        <w:rPr>
          <w:rFonts w:asciiTheme="majorHAnsi" w:hAnsiTheme="majorHAnsi" w:cs="Calibri"/>
          <w:sz w:val="20"/>
          <w:szCs w:val="20"/>
          <w:lang w:val="es-ES_tradnl"/>
        </w:rPr>
        <w:t xml:space="preserve"> </w:t>
      </w:r>
      <w:r w:rsidR="000F7FDF" w:rsidRPr="00AC00C0">
        <w:rPr>
          <w:rFonts w:asciiTheme="majorHAnsi" w:hAnsiTheme="majorHAnsi" w:cs="Calibri"/>
          <w:sz w:val="20"/>
          <w:szCs w:val="20"/>
          <w:lang w:val="es-ES_tradnl"/>
        </w:rPr>
        <w:t>3 de mayo de 2019</w:t>
      </w:r>
      <w:r w:rsidRPr="00AC00C0">
        <w:rPr>
          <w:rFonts w:asciiTheme="majorHAnsi" w:hAnsiTheme="majorHAnsi" w:cs="Calibri"/>
          <w:sz w:val="20"/>
          <w:szCs w:val="20"/>
          <w:lang w:val="es-ES_tradnl"/>
        </w:rPr>
        <w:t>, p</w:t>
      </w:r>
      <w:r w:rsidR="000F7FDF" w:rsidRPr="00AC00C0">
        <w:rPr>
          <w:rFonts w:asciiTheme="majorHAnsi" w:hAnsiTheme="majorHAnsi" w:cs="Calibri"/>
          <w:sz w:val="20"/>
          <w:szCs w:val="20"/>
          <w:lang w:val="es-ES_tradnl"/>
        </w:rPr>
        <w:t>or lo que declara que la misma hace</w:t>
      </w:r>
      <w:r w:rsidRPr="00AC00C0">
        <w:rPr>
          <w:rFonts w:asciiTheme="majorHAnsi" w:hAnsiTheme="majorHAnsi" w:cs="Calibri"/>
          <w:sz w:val="20"/>
          <w:szCs w:val="20"/>
          <w:lang w:val="es-ES_tradnl"/>
        </w:rPr>
        <w:t xml:space="preserve"> parte integral del acuerdo suscrito entre las partes.</w:t>
      </w:r>
      <w:r w:rsidR="00B63676" w:rsidRPr="00AC00C0">
        <w:rPr>
          <w:rFonts w:asciiTheme="majorHAnsi" w:hAnsiTheme="majorHAnsi" w:cs="Calibri"/>
          <w:sz w:val="20"/>
          <w:szCs w:val="20"/>
          <w:lang w:val="es-ES_tradnl"/>
        </w:rPr>
        <w:t xml:space="preserve"> </w:t>
      </w:r>
    </w:p>
    <w:p w:rsidR="003215ED" w:rsidRPr="00AC00C0" w:rsidRDefault="003215ED" w:rsidP="007528E2">
      <w:pPr>
        <w:tabs>
          <w:tab w:val="left" w:pos="0"/>
          <w:tab w:val="left" w:pos="180"/>
          <w:tab w:val="left" w:pos="810"/>
        </w:tabs>
        <w:jc w:val="both"/>
        <w:rPr>
          <w:rFonts w:asciiTheme="majorHAnsi" w:hAnsiTheme="majorHAnsi" w:cs="Calibri"/>
          <w:sz w:val="20"/>
          <w:szCs w:val="20"/>
          <w:lang w:val="es-ES_tradnl"/>
        </w:rPr>
      </w:pPr>
    </w:p>
    <w:p w:rsidR="003215ED" w:rsidRPr="00AC00C0" w:rsidRDefault="003215ED" w:rsidP="00AC00C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C00C0">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rsidR="003215ED" w:rsidRPr="00AC00C0" w:rsidRDefault="003215ED" w:rsidP="00AC00C0">
      <w:pPr>
        <w:pStyle w:val="ListParagraph"/>
        <w:tabs>
          <w:tab w:val="left" w:pos="0"/>
        </w:tabs>
        <w:ind w:left="0" w:firstLine="720"/>
        <w:rPr>
          <w:rFonts w:asciiTheme="majorHAnsi" w:hAnsiTheme="majorHAnsi" w:cs="Calibri"/>
          <w:sz w:val="20"/>
          <w:szCs w:val="20"/>
          <w:lang w:val="es-ES_tradnl"/>
        </w:rPr>
      </w:pPr>
    </w:p>
    <w:p w:rsidR="003215ED" w:rsidRPr="00AC00C0" w:rsidRDefault="003215ED" w:rsidP="00AC00C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C00C0">
        <w:rPr>
          <w:rFonts w:asciiTheme="majorHAnsi" w:hAnsiTheme="majorHAnsi" w:cs="Calibri"/>
          <w:sz w:val="20"/>
          <w:szCs w:val="20"/>
          <w:lang w:val="es-ES_tradnl"/>
        </w:rPr>
        <w:t xml:space="preserve">La Comisión Interamericana valora la cláusula declarativa primera, en la cual se reconoce la responsabilidad internacional del Estado </w:t>
      </w:r>
      <w:r w:rsidR="002B4D23" w:rsidRPr="00AC00C0">
        <w:rPr>
          <w:rFonts w:asciiTheme="majorHAnsi" w:hAnsiTheme="majorHAnsi" w:cs="Calibri"/>
          <w:sz w:val="20"/>
          <w:szCs w:val="20"/>
          <w:lang w:val="es-ES_tradnl"/>
        </w:rPr>
        <w:t xml:space="preserve">uruguayo </w:t>
      </w:r>
      <w:r w:rsidRPr="00AC00C0">
        <w:rPr>
          <w:rFonts w:asciiTheme="majorHAnsi" w:hAnsiTheme="majorHAnsi" w:cs="Calibri"/>
          <w:sz w:val="20"/>
          <w:szCs w:val="20"/>
          <w:lang w:val="es-ES_tradnl"/>
        </w:rPr>
        <w:t xml:space="preserve">por la violación de los derechos </w:t>
      </w:r>
      <w:r w:rsidR="002B4D23" w:rsidRPr="00AC00C0">
        <w:rPr>
          <w:rFonts w:asciiTheme="majorHAnsi" w:hAnsiTheme="majorHAnsi" w:cs="Arial"/>
          <w:sz w:val="20"/>
          <w:szCs w:val="20"/>
          <w:lang w:val="es-PE"/>
        </w:rPr>
        <w:t>a la libertad de pensamiento y de expresión</w:t>
      </w:r>
      <w:r w:rsidR="007528E2">
        <w:rPr>
          <w:rFonts w:asciiTheme="majorHAnsi" w:hAnsiTheme="majorHAnsi" w:cs="Arial"/>
          <w:sz w:val="20"/>
          <w:szCs w:val="20"/>
          <w:lang w:val="es-PE"/>
        </w:rPr>
        <w:t xml:space="preserve"> y</w:t>
      </w:r>
      <w:r w:rsidR="002B4D23" w:rsidRPr="00AC00C0">
        <w:rPr>
          <w:rFonts w:asciiTheme="majorHAnsi" w:hAnsiTheme="majorHAnsi" w:cs="Arial"/>
          <w:sz w:val="20"/>
          <w:szCs w:val="20"/>
          <w:lang w:val="es-PE"/>
        </w:rPr>
        <w:t xml:space="preserve"> a la protección </w:t>
      </w:r>
      <w:r w:rsidR="007528E2">
        <w:rPr>
          <w:rFonts w:asciiTheme="majorHAnsi" w:hAnsiTheme="majorHAnsi" w:cs="Arial"/>
          <w:sz w:val="20"/>
          <w:szCs w:val="20"/>
          <w:lang w:val="es-PE"/>
        </w:rPr>
        <w:t xml:space="preserve">judicial </w:t>
      </w:r>
      <w:r w:rsidR="002B4D23" w:rsidRPr="00AC00C0">
        <w:rPr>
          <w:rFonts w:asciiTheme="majorHAnsi" w:hAnsiTheme="majorHAnsi" w:cs="Calibri"/>
          <w:sz w:val="20"/>
          <w:szCs w:val="20"/>
          <w:lang w:val="es-ES_tradnl"/>
        </w:rPr>
        <w:t xml:space="preserve">en perjuicio del </w:t>
      </w:r>
      <w:r w:rsidR="002B4D23" w:rsidRPr="00AC00C0">
        <w:rPr>
          <w:rFonts w:asciiTheme="majorHAnsi" w:hAnsiTheme="majorHAnsi"/>
          <w:sz w:val="20"/>
          <w:szCs w:val="20"/>
          <w:lang w:val="es-CO"/>
        </w:rPr>
        <w:t>Sr. David Rabinovich.</w:t>
      </w:r>
    </w:p>
    <w:p w:rsidR="003215ED" w:rsidRPr="00AC00C0" w:rsidRDefault="003215ED" w:rsidP="00AC00C0">
      <w:pPr>
        <w:tabs>
          <w:tab w:val="left" w:pos="0"/>
          <w:tab w:val="left" w:pos="180"/>
          <w:tab w:val="left" w:pos="810"/>
        </w:tabs>
        <w:ind w:firstLine="720"/>
        <w:jc w:val="both"/>
        <w:rPr>
          <w:rFonts w:asciiTheme="majorHAnsi" w:hAnsiTheme="majorHAnsi" w:cs="Calibri"/>
          <w:sz w:val="20"/>
          <w:szCs w:val="20"/>
          <w:lang w:val="es-ES_tradnl"/>
        </w:rPr>
      </w:pPr>
    </w:p>
    <w:p w:rsidR="008801C7" w:rsidRPr="008801C7" w:rsidRDefault="003215ED" w:rsidP="008801C7">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C00C0">
        <w:rPr>
          <w:rFonts w:asciiTheme="majorHAnsi" w:hAnsiTheme="majorHAnsi" w:cs="Calibri"/>
          <w:sz w:val="20"/>
          <w:szCs w:val="20"/>
          <w:lang w:val="es-ES_tradnl"/>
        </w:rPr>
        <w:t>En relación a la</w:t>
      </w:r>
      <w:r w:rsidR="008801C7">
        <w:rPr>
          <w:rFonts w:asciiTheme="majorHAnsi" w:hAnsiTheme="majorHAnsi" w:cs="Calibri"/>
          <w:sz w:val="20"/>
          <w:szCs w:val="20"/>
          <w:lang w:val="es-ES_tradnl"/>
        </w:rPr>
        <w:t>s</w:t>
      </w:r>
      <w:r w:rsidR="001F0CDC" w:rsidRPr="00AC00C0">
        <w:rPr>
          <w:rFonts w:asciiTheme="majorHAnsi" w:hAnsiTheme="majorHAnsi" w:cs="Calibri"/>
          <w:sz w:val="20"/>
          <w:szCs w:val="20"/>
          <w:lang w:val="es-ES_tradnl"/>
        </w:rPr>
        <w:t xml:space="preserve"> cláusula</w:t>
      </w:r>
      <w:r w:rsidR="008801C7">
        <w:rPr>
          <w:rFonts w:asciiTheme="majorHAnsi" w:hAnsiTheme="majorHAnsi" w:cs="Calibri"/>
          <w:sz w:val="20"/>
          <w:szCs w:val="20"/>
          <w:lang w:val="es-ES_tradnl"/>
        </w:rPr>
        <w:t>s</w:t>
      </w:r>
      <w:r w:rsidR="001F0CDC" w:rsidRPr="00AC00C0">
        <w:rPr>
          <w:rFonts w:asciiTheme="majorHAnsi" w:hAnsiTheme="majorHAnsi" w:cs="Calibri"/>
          <w:sz w:val="20"/>
          <w:szCs w:val="20"/>
          <w:lang w:val="es-ES_tradnl"/>
        </w:rPr>
        <w:t xml:space="preserve"> segunda</w:t>
      </w:r>
      <w:r w:rsidR="008801C7">
        <w:rPr>
          <w:rFonts w:asciiTheme="majorHAnsi" w:hAnsiTheme="majorHAnsi" w:cs="Calibri"/>
          <w:sz w:val="20"/>
          <w:szCs w:val="20"/>
          <w:lang w:val="es-ES_tradnl"/>
        </w:rPr>
        <w:t xml:space="preserve"> y tercera del acuerdo</w:t>
      </w:r>
      <w:r w:rsidRPr="00AC00C0">
        <w:rPr>
          <w:rFonts w:asciiTheme="majorHAnsi" w:hAnsiTheme="majorHAnsi" w:cs="Calibri"/>
          <w:sz w:val="20"/>
          <w:szCs w:val="20"/>
          <w:lang w:val="es-ES_tradnl"/>
        </w:rPr>
        <w:t xml:space="preserve">, </w:t>
      </w:r>
      <w:r w:rsidR="008801C7">
        <w:rPr>
          <w:rFonts w:asciiTheme="majorHAnsi" w:hAnsiTheme="majorHAnsi" w:cs="Calibri"/>
          <w:sz w:val="20"/>
          <w:szCs w:val="20"/>
          <w:lang w:val="es-ES_tradnl"/>
        </w:rPr>
        <w:t>la Comisión considera que se trata de cláusulas declarativas</w:t>
      </w:r>
      <w:r w:rsidR="008801C7">
        <w:rPr>
          <w:rFonts w:asciiTheme="majorHAnsi" w:hAnsiTheme="majorHAnsi"/>
          <w:sz w:val="20"/>
          <w:szCs w:val="20"/>
          <w:lang w:val="es-CO"/>
        </w:rPr>
        <w:t xml:space="preserve">, por lo que no corresponde supervisar su implementación. </w:t>
      </w:r>
    </w:p>
    <w:p w:rsidR="008801C7" w:rsidRPr="008801C7" w:rsidRDefault="008801C7" w:rsidP="008801C7">
      <w:pPr>
        <w:pStyle w:val="ListParagraph"/>
        <w:rPr>
          <w:rFonts w:asciiTheme="majorHAnsi" w:hAnsiTheme="majorHAnsi" w:cs="Calibri"/>
          <w:sz w:val="20"/>
          <w:szCs w:val="20"/>
          <w:lang w:val="es-ES_tradnl"/>
        </w:rPr>
      </w:pPr>
    </w:p>
    <w:p w:rsidR="00D94D95" w:rsidRPr="008801C7" w:rsidRDefault="00D94D95" w:rsidP="008801C7">
      <w:pPr>
        <w:tabs>
          <w:tab w:val="left" w:pos="0"/>
          <w:tab w:val="left" w:pos="810"/>
        </w:tabs>
        <w:jc w:val="both"/>
        <w:rPr>
          <w:rFonts w:asciiTheme="majorHAnsi" w:hAnsiTheme="majorHAnsi" w:cs="Calibri"/>
          <w:sz w:val="20"/>
          <w:szCs w:val="20"/>
          <w:lang w:val="es-ES_tradnl"/>
        </w:rPr>
      </w:pPr>
    </w:p>
    <w:p w:rsidR="008801C7" w:rsidRPr="008801C7" w:rsidRDefault="001E1E3D"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sidRPr="00AC00C0">
        <w:rPr>
          <w:rFonts w:asciiTheme="majorHAnsi" w:hAnsiTheme="majorHAnsi" w:cs="Calibri"/>
          <w:color w:val="auto"/>
          <w:sz w:val="20"/>
          <w:szCs w:val="20"/>
          <w:lang w:val="es-ES_tradnl"/>
        </w:rPr>
        <w:t xml:space="preserve">En relación a la cláusula cuarta </w:t>
      </w:r>
      <w:r w:rsidR="00EC3106" w:rsidRPr="00AC00C0">
        <w:rPr>
          <w:rFonts w:asciiTheme="majorHAnsi" w:hAnsiTheme="majorHAnsi" w:cs="Calibri"/>
          <w:color w:val="auto"/>
          <w:sz w:val="20"/>
          <w:szCs w:val="20"/>
          <w:lang w:val="es-ES_tradnl"/>
        </w:rPr>
        <w:t>del acuerdo de solución a</w:t>
      </w:r>
      <w:r w:rsidR="00FD703C" w:rsidRPr="00AC00C0">
        <w:rPr>
          <w:rFonts w:asciiTheme="majorHAnsi" w:hAnsiTheme="majorHAnsi" w:cs="Calibri"/>
          <w:color w:val="auto"/>
          <w:sz w:val="20"/>
          <w:szCs w:val="20"/>
          <w:lang w:val="es-ES_tradnl"/>
        </w:rPr>
        <w:t xml:space="preserve">mistosa </w:t>
      </w:r>
      <w:r w:rsidR="008801C7">
        <w:rPr>
          <w:rFonts w:asciiTheme="majorHAnsi" w:hAnsiTheme="majorHAnsi" w:cs="Calibri"/>
          <w:color w:val="auto"/>
          <w:sz w:val="20"/>
          <w:szCs w:val="20"/>
          <w:lang w:val="es-ES_tradnl"/>
        </w:rPr>
        <w:t>sobre el compromiso de las parte de “</w:t>
      </w:r>
      <w:r w:rsidR="008801C7" w:rsidRPr="00AC00C0">
        <w:rPr>
          <w:rFonts w:asciiTheme="majorHAnsi" w:hAnsiTheme="majorHAnsi"/>
          <w:sz w:val="20"/>
          <w:szCs w:val="20"/>
          <w:lang w:val="es-CO"/>
        </w:rPr>
        <w:t>cooperar para facilitar la difusión pública del acuerdo alcanzado, con énfasis en la difusión permanente de la normativa vigente de acceso a la información pública</w:t>
      </w:r>
      <w:r w:rsidR="008801C7">
        <w:rPr>
          <w:rFonts w:asciiTheme="majorHAnsi" w:hAnsiTheme="majorHAnsi"/>
          <w:sz w:val="20"/>
          <w:szCs w:val="20"/>
          <w:lang w:val="es-CO"/>
        </w:rPr>
        <w:t xml:space="preserve">”, la Comisión observa que la misma constituía una obligación amplia que debía ser delimitada por las partes para facilitar la implementación de la </w:t>
      </w:r>
      <w:r w:rsidR="008801C7">
        <w:rPr>
          <w:rFonts w:asciiTheme="majorHAnsi" w:hAnsiTheme="majorHAnsi"/>
          <w:sz w:val="20"/>
          <w:szCs w:val="20"/>
          <w:lang w:val="es-CO"/>
        </w:rPr>
        <w:lastRenderedPageBreak/>
        <w:t xml:space="preserve">medida, por lo que las partes decidieron conjuntamente darle contenido a la misma a través del acta de entendimiento de fecha 3 de mayo de 2019. </w:t>
      </w:r>
    </w:p>
    <w:p w:rsidR="008801C7" w:rsidRPr="008801C7" w:rsidRDefault="008801C7" w:rsidP="008801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jc w:val="both"/>
        <w:rPr>
          <w:rFonts w:asciiTheme="majorHAnsi" w:hAnsiTheme="majorHAnsi"/>
          <w:color w:val="auto"/>
          <w:sz w:val="20"/>
          <w:szCs w:val="20"/>
          <w:lang w:val="es-CO"/>
        </w:rPr>
      </w:pPr>
    </w:p>
    <w:p w:rsidR="0006427E" w:rsidRPr="0006427E" w:rsidRDefault="008801C7" w:rsidP="003D16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Pr>
          <w:rFonts w:asciiTheme="majorHAnsi" w:hAnsiTheme="majorHAnsi" w:cs="Calibri"/>
          <w:color w:val="auto"/>
          <w:sz w:val="20"/>
          <w:szCs w:val="20"/>
          <w:lang w:val="es-CO"/>
        </w:rPr>
        <w:t xml:space="preserve">Según lo informado por las partes,  </w:t>
      </w:r>
      <w:r>
        <w:rPr>
          <w:rFonts w:asciiTheme="majorHAnsi" w:hAnsiTheme="majorHAnsi" w:cs="Tahoma"/>
          <w:color w:val="auto"/>
          <w:sz w:val="20"/>
          <w:szCs w:val="20"/>
          <w:lang w:val="es-CO"/>
        </w:rPr>
        <w:t xml:space="preserve">el </w:t>
      </w:r>
      <w:r w:rsidR="00FD703C" w:rsidRPr="00AC00C0">
        <w:rPr>
          <w:rFonts w:asciiTheme="majorHAnsi" w:hAnsiTheme="majorHAnsi" w:cs="Tahoma"/>
          <w:color w:val="auto"/>
          <w:sz w:val="20"/>
          <w:szCs w:val="20"/>
          <w:lang w:val="es-CO"/>
        </w:rPr>
        <w:t>27 de mayo de 2019, el Estado realizó el evento “Seminario sobre Impactos del Procedimiento de Solución Amistosa ante la CIDH en el desarrollo normativo nacional de Uruguay”, en la ciudad de Montevideo. El Seminario contó con la participación de Felipe Michelini, Coordinador de la Catedra UNESCO de la Universidad de la República de Uruguay; la Comisionada Esmeralda Arosemena de Troitiño, en su calidad de Presidenta de la CIDH; y la Comisionada Antonia Urrejola, en su calidad Relatora de país; David Rabinovich y Martin Prats en su calidad de peticionarios; Juan Faroppa, Representante de la Institución Nacional de Derechos Humanos y Defensoría del Pueblo; y de la Ministra Daniela Pi, Directora de Derechos Humanos y Derecho Internacional Humanitario del Ministerio de Relaciones Exteriores.</w:t>
      </w:r>
      <w:r>
        <w:rPr>
          <w:rFonts w:asciiTheme="majorHAnsi" w:hAnsiTheme="majorHAnsi" w:cs="Tahoma"/>
          <w:color w:val="auto"/>
          <w:sz w:val="20"/>
          <w:szCs w:val="20"/>
          <w:lang w:val="es-CO"/>
        </w:rPr>
        <w:t xml:space="preserve"> Para la organización de dicho evento, las partes intercambiaron comentarios sobre el contenido de la agenda y la lista de invitados con la facilitación de la Sección de Soluciones Amistosas y Seguimiento de la CIDH. </w:t>
      </w:r>
    </w:p>
    <w:p w:rsidR="0006427E" w:rsidRPr="0006427E" w:rsidRDefault="0006427E" w:rsidP="0006427E">
      <w:pPr>
        <w:pStyle w:val="ListParagraph"/>
        <w:rPr>
          <w:rFonts w:asciiTheme="majorHAnsi" w:hAnsiTheme="majorHAnsi" w:cs="Tahoma"/>
          <w:color w:val="auto"/>
          <w:sz w:val="20"/>
          <w:szCs w:val="20"/>
          <w:lang w:val="es-CO"/>
        </w:rPr>
      </w:pPr>
    </w:p>
    <w:p w:rsidR="003D1603" w:rsidRPr="003D1603" w:rsidRDefault="0006427E" w:rsidP="003D16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Pr>
          <w:rFonts w:asciiTheme="majorHAnsi" w:hAnsiTheme="majorHAnsi" w:cs="Tahoma"/>
          <w:color w:val="auto"/>
          <w:sz w:val="20"/>
          <w:szCs w:val="20"/>
          <w:lang w:val="es-CO"/>
        </w:rPr>
        <w:t xml:space="preserve">Al respecto, los peticionarios </w:t>
      </w:r>
      <w:r>
        <w:rPr>
          <w:rFonts w:asciiTheme="majorHAnsi" w:hAnsiTheme="majorHAnsi" w:cs="Calibri"/>
          <w:sz w:val="20"/>
          <w:szCs w:val="20"/>
          <w:lang w:val="es-ES_tradnl"/>
        </w:rPr>
        <w:t>indicaron su satisfacción con el cumplimiento de los compromisos derivados del acuerdo de solución amistosa y el acta de entendimiento</w:t>
      </w:r>
      <w:r>
        <w:rPr>
          <w:rFonts w:asciiTheme="majorHAnsi" w:hAnsiTheme="majorHAnsi" w:cs="Tahoma"/>
          <w:color w:val="auto"/>
          <w:sz w:val="20"/>
          <w:szCs w:val="20"/>
          <w:lang w:val="es-CO"/>
        </w:rPr>
        <w:t xml:space="preserve">. </w:t>
      </w:r>
      <w:r w:rsidR="004E3E90">
        <w:rPr>
          <w:rFonts w:asciiTheme="majorHAnsi" w:hAnsiTheme="majorHAnsi" w:cs="Tahoma"/>
          <w:color w:val="auto"/>
          <w:sz w:val="20"/>
          <w:szCs w:val="20"/>
          <w:lang w:val="es-CO"/>
        </w:rPr>
        <w:t>Por lo anterior, la Comisión</w:t>
      </w:r>
      <w:r w:rsidR="008D755B">
        <w:rPr>
          <w:rFonts w:asciiTheme="majorHAnsi" w:hAnsiTheme="majorHAnsi" w:cs="Tahoma"/>
          <w:color w:val="auto"/>
          <w:sz w:val="20"/>
          <w:szCs w:val="20"/>
          <w:lang w:val="es-CO"/>
        </w:rPr>
        <w:t xml:space="preserve"> considera que </w:t>
      </w:r>
      <w:r w:rsidR="004E3E90">
        <w:rPr>
          <w:rFonts w:asciiTheme="majorHAnsi" w:hAnsiTheme="majorHAnsi" w:cs="Tahoma"/>
          <w:color w:val="auto"/>
          <w:sz w:val="20"/>
          <w:szCs w:val="20"/>
          <w:lang w:val="es-CO"/>
        </w:rPr>
        <w:t>l</w:t>
      </w:r>
      <w:r w:rsidR="008D755B">
        <w:rPr>
          <w:rFonts w:asciiTheme="majorHAnsi" w:hAnsiTheme="majorHAnsi" w:cs="Tahoma"/>
          <w:color w:val="auto"/>
          <w:sz w:val="20"/>
          <w:szCs w:val="20"/>
          <w:lang w:val="es-CO"/>
        </w:rPr>
        <w:t>os</w:t>
      </w:r>
      <w:r w:rsidR="004E3E90">
        <w:rPr>
          <w:rFonts w:asciiTheme="majorHAnsi" w:hAnsiTheme="majorHAnsi" w:cs="Tahoma"/>
          <w:color w:val="auto"/>
          <w:sz w:val="20"/>
          <w:szCs w:val="20"/>
          <w:lang w:val="es-CO"/>
        </w:rPr>
        <w:t xml:space="preserve"> punto</w:t>
      </w:r>
      <w:r w:rsidR="008D755B">
        <w:rPr>
          <w:rFonts w:asciiTheme="majorHAnsi" w:hAnsiTheme="majorHAnsi" w:cs="Tahoma"/>
          <w:color w:val="auto"/>
          <w:sz w:val="20"/>
          <w:szCs w:val="20"/>
          <w:lang w:val="es-CO"/>
        </w:rPr>
        <w:t>s</w:t>
      </w:r>
      <w:r w:rsidR="004E3E90">
        <w:rPr>
          <w:rFonts w:asciiTheme="majorHAnsi" w:hAnsiTheme="majorHAnsi" w:cs="Tahoma"/>
          <w:color w:val="auto"/>
          <w:sz w:val="20"/>
          <w:szCs w:val="20"/>
          <w:lang w:val="es-CO"/>
        </w:rPr>
        <w:t xml:space="preserve"> 1 y 2 del acta de entendimiento de 3 de mayo de 2019 se encuentran totalmente cumplidos y así lo declara.</w:t>
      </w:r>
    </w:p>
    <w:p w:rsidR="003D1603" w:rsidRPr="003D1603" w:rsidRDefault="003D1603" w:rsidP="003D1603">
      <w:pPr>
        <w:pStyle w:val="ListParagraph"/>
        <w:rPr>
          <w:rFonts w:asciiTheme="majorHAnsi" w:hAnsiTheme="majorHAnsi"/>
          <w:color w:val="auto"/>
          <w:sz w:val="20"/>
          <w:szCs w:val="20"/>
          <w:lang w:val="es-CO"/>
        </w:rPr>
      </w:pPr>
    </w:p>
    <w:p w:rsidR="003D1603" w:rsidRPr="003D1603" w:rsidRDefault="003D1603" w:rsidP="003D16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sidRPr="003D1603">
        <w:rPr>
          <w:rFonts w:asciiTheme="majorHAnsi" w:hAnsiTheme="majorHAnsi"/>
          <w:color w:val="auto"/>
          <w:sz w:val="20"/>
          <w:szCs w:val="20"/>
          <w:lang w:val="es-CO"/>
        </w:rPr>
        <w:t>Al respecto, es de indicar que la Comisión</w:t>
      </w:r>
      <w:r>
        <w:rPr>
          <w:rFonts w:asciiTheme="majorHAnsi" w:hAnsiTheme="majorHAnsi"/>
          <w:color w:val="auto"/>
          <w:sz w:val="20"/>
          <w:szCs w:val="20"/>
          <w:lang w:val="es-CO"/>
        </w:rPr>
        <w:t xml:space="preserve"> valoró</w:t>
      </w:r>
      <w:r w:rsidRPr="003D1603">
        <w:rPr>
          <w:rFonts w:asciiTheme="majorHAnsi" w:hAnsiTheme="majorHAnsi"/>
          <w:color w:val="auto"/>
          <w:sz w:val="20"/>
          <w:szCs w:val="20"/>
          <w:lang w:val="es-CO"/>
        </w:rPr>
        <w:t xml:space="preserve"> </w:t>
      </w:r>
      <w:r>
        <w:rPr>
          <w:rFonts w:asciiTheme="majorHAnsi" w:hAnsiTheme="majorHAnsi"/>
          <w:color w:val="auto"/>
          <w:sz w:val="20"/>
          <w:szCs w:val="20"/>
          <w:lang w:val="es-CO"/>
        </w:rPr>
        <w:t>en su momento l</w:t>
      </w:r>
      <w:r w:rsidRPr="003D1603">
        <w:rPr>
          <w:rFonts w:asciiTheme="majorHAnsi" w:hAnsiTheme="majorHAnsi"/>
          <w:color w:val="auto"/>
          <w:sz w:val="20"/>
          <w:szCs w:val="20"/>
          <w:lang w:val="es-CO"/>
        </w:rPr>
        <w:t xml:space="preserve">os esfuerzos del Estado uruguayo, la colaboración y el apoyo de la Dirección de Derechos Humanos y Derecho Internacional Humanitario del Ministerio de Relaciones Exteriores en la organización y ejecución de este seminario y en las actividades de implementación del acuerdo de solución amistosa en la referida petición. </w:t>
      </w:r>
      <w:r>
        <w:rPr>
          <w:rFonts w:asciiTheme="majorHAnsi" w:hAnsiTheme="majorHAnsi"/>
          <w:color w:val="auto"/>
          <w:sz w:val="20"/>
          <w:szCs w:val="20"/>
          <w:lang w:val="es-CO"/>
        </w:rPr>
        <w:t>Al mismo tiempo, la Comisión instó</w:t>
      </w:r>
      <w:r w:rsidRPr="003D1603">
        <w:rPr>
          <w:rFonts w:asciiTheme="majorHAnsi" w:hAnsiTheme="majorHAnsi"/>
          <w:color w:val="auto"/>
          <w:sz w:val="20"/>
          <w:szCs w:val="20"/>
          <w:lang w:val="es-CO"/>
        </w:rPr>
        <w:t xml:space="preserve"> al Estado uruguayo a finalizar la ejecución de la ruta de trabajo acordada para el cumplimiento total del acuerdo de solución amistosa</w:t>
      </w:r>
      <w:r>
        <w:rPr>
          <w:rStyle w:val="FootnoteReference"/>
          <w:rFonts w:asciiTheme="majorHAnsi" w:hAnsiTheme="majorHAnsi"/>
          <w:color w:val="auto"/>
          <w:sz w:val="20"/>
          <w:szCs w:val="20"/>
          <w:lang w:val="es-CO"/>
        </w:rPr>
        <w:footnoteReference w:id="3"/>
      </w:r>
      <w:r w:rsidRPr="003D1603">
        <w:rPr>
          <w:rFonts w:asciiTheme="majorHAnsi" w:hAnsiTheme="majorHAnsi"/>
          <w:color w:val="auto"/>
          <w:sz w:val="20"/>
          <w:szCs w:val="20"/>
          <w:lang w:val="es-CO"/>
        </w:rPr>
        <w:t>.</w:t>
      </w:r>
    </w:p>
    <w:p w:rsidR="008801C7" w:rsidRPr="008801C7" w:rsidRDefault="008801C7" w:rsidP="008801C7">
      <w:pPr>
        <w:pStyle w:val="ListParagraph"/>
        <w:rPr>
          <w:rFonts w:asciiTheme="majorHAnsi" w:hAnsiTheme="majorHAnsi"/>
          <w:color w:val="auto"/>
          <w:sz w:val="20"/>
          <w:szCs w:val="20"/>
          <w:lang w:val="es-CO"/>
        </w:rPr>
      </w:pPr>
    </w:p>
    <w:p w:rsidR="003D1603" w:rsidRPr="004E3E90" w:rsidRDefault="003406B8"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Pr>
          <w:rFonts w:asciiTheme="majorHAnsi" w:hAnsiTheme="majorHAnsi"/>
          <w:color w:val="auto"/>
          <w:sz w:val="20"/>
          <w:szCs w:val="20"/>
          <w:lang w:val="es-CO"/>
        </w:rPr>
        <w:t>Posteriormente</w:t>
      </w:r>
      <w:r w:rsidR="008801C7" w:rsidRPr="004E3E90">
        <w:rPr>
          <w:rFonts w:asciiTheme="majorHAnsi" w:hAnsiTheme="majorHAnsi"/>
          <w:color w:val="auto"/>
          <w:sz w:val="20"/>
          <w:szCs w:val="20"/>
          <w:lang w:val="es-CO"/>
        </w:rPr>
        <w:t>, el Estado aportó el registro del comunicado de prensa</w:t>
      </w:r>
      <w:r w:rsidR="003D1603" w:rsidRPr="004E3E90">
        <w:rPr>
          <w:rFonts w:asciiTheme="majorHAnsi" w:hAnsiTheme="majorHAnsi"/>
          <w:color w:val="auto"/>
          <w:sz w:val="20"/>
          <w:szCs w:val="20"/>
          <w:lang w:val="es-CO"/>
        </w:rPr>
        <w:t xml:space="preserve"> No. 65/19</w:t>
      </w:r>
      <w:r w:rsidR="0006427E">
        <w:rPr>
          <w:rFonts w:asciiTheme="majorHAnsi" w:hAnsiTheme="majorHAnsi"/>
          <w:color w:val="auto"/>
          <w:sz w:val="20"/>
          <w:szCs w:val="20"/>
          <w:lang w:val="es-CO"/>
        </w:rPr>
        <w:t xml:space="preserve"> publicado por el Ministerio de Relaciones Exteriores,</w:t>
      </w:r>
      <w:r w:rsidR="003D1603" w:rsidRPr="004E3E90">
        <w:rPr>
          <w:rFonts w:asciiTheme="majorHAnsi" w:hAnsiTheme="majorHAnsi"/>
          <w:color w:val="auto"/>
          <w:sz w:val="20"/>
          <w:szCs w:val="20"/>
          <w:lang w:val="es-CO"/>
        </w:rPr>
        <w:t xml:space="preserve"> en el cual se dio el detalle del contenido del evento académico y que incluyó el enlace al registro audiovisual del evento que, al momento de publicación de este informe, se encuentra disponible al público</w:t>
      </w:r>
      <w:r w:rsidR="003D1603" w:rsidRPr="004E3E90">
        <w:rPr>
          <w:rStyle w:val="FootnoteReference"/>
          <w:rFonts w:asciiTheme="majorHAnsi" w:hAnsiTheme="majorHAnsi"/>
          <w:color w:val="auto"/>
          <w:sz w:val="20"/>
          <w:szCs w:val="20"/>
          <w:lang w:val="es-CO"/>
        </w:rPr>
        <w:footnoteReference w:id="4"/>
      </w:r>
      <w:r w:rsidR="003D1603" w:rsidRPr="004E3E90">
        <w:rPr>
          <w:rFonts w:asciiTheme="majorHAnsi" w:hAnsiTheme="majorHAnsi"/>
          <w:color w:val="auto"/>
          <w:sz w:val="20"/>
          <w:szCs w:val="20"/>
          <w:lang w:val="es-CO"/>
        </w:rPr>
        <w:t>.</w:t>
      </w:r>
    </w:p>
    <w:p w:rsidR="003D1603" w:rsidRPr="004E3E90" w:rsidRDefault="003D1603" w:rsidP="003D1603">
      <w:pPr>
        <w:pStyle w:val="ListParagraph"/>
        <w:rPr>
          <w:rFonts w:asciiTheme="majorHAnsi" w:hAnsiTheme="majorHAnsi"/>
          <w:color w:val="auto"/>
          <w:sz w:val="20"/>
          <w:szCs w:val="20"/>
          <w:lang w:val="es-CO"/>
        </w:rPr>
      </w:pPr>
    </w:p>
    <w:p w:rsidR="008801C7" w:rsidRPr="004E3E90" w:rsidRDefault="008801C7" w:rsidP="00AC0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sidRPr="004E3E90">
        <w:rPr>
          <w:rFonts w:asciiTheme="majorHAnsi" w:hAnsiTheme="majorHAnsi"/>
          <w:color w:val="auto"/>
          <w:sz w:val="20"/>
          <w:szCs w:val="20"/>
          <w:lang w:val="es-CO"/>
        </w:rPr>
        <w:t xml:space="preserve"> </w:t>
      </w:r>
      <w:r w:rsidR="004E3E90" w:rsidRPr="004E3E90">
        <w:rPr>
          <w:rFonts w:asciiTheme="majorHAnsi" w:hAnsiTheme="majorHAnsi"/>
          <w:color w:val="auto"/>
          <w:sz w:val="20"/>
          <w:szCs w:val="20"/>
          <w:lang w:val="es-CO"/>
        </w:rPr>
        <w:t xml:space="preserve">Por otro lado, el 11 de junio de 2019, el Estado remitió copia de los oficios enviados a </w:t>
      </w:r>
      <w:r w:rsidR="004E3E90" w:rsidRPr="004E3E90">
        <w:rPr>
          <w:rFonts w:asciiTheme="majorHAnsi" w:hAnsiTheme="majorHAnsi"/>
          <w:sz w:val="20"/>
          <w:szCs w:val="20"/>
          <w:lang w:val="es-CO"/>
        </w:rPr>
        <w:t xml:space="preserve">Secretaría de la Presidencia de la República, a la Institución Nacional de Derechos Humanos y Defensoría del Pueblo, a la Asociación de Prensa del Uruguay y a la Organización de la Prensa del Interior, en los que se les brindo el detalle del acuerdo de solución amistosa, del evento realizado en cumplimiento del acta de entendimiento de 3 de mayo de 2019, se les proporcionó el enlace al registro audiovisual del seminario nacional y se les solicitó su apoyo en la difusión del evento. </w:t>
      </w:r>
      <w:r w:rsidR="004E3E90">
        <w:rPr>
          <w:rFonts w:asciiTheme="majorHAnsi" w:hAnsiTheme="majorHAnsi"/>
          <w:sz w:val="20"/>
          <w:szCs w:val="20"/>
          <w:lang w:val="es-CO"/>
        </w:rPr>
        <w:t>Finalmente, se le proporcion</w:t>
      </w:r>
      <w:r w:rsidR="004E3E90" w:rsidRPr="00AC00C0">
        <w:rPr>
          <w:rFonts w:asciiTheme="majorHAnsi" w:hAnsiTheme="majorHAnsi"/>
          <w:sz w:val="20"/>
          <w:szCs w:val="20"/>
          <w:lang w:val="es-CO"/>
        </w:rPr>
        <w:t>ó</w:t>
      </w:r>
      <w:r w:rsidR="004E3E90">
        <w:rPr>
          <w:rFonts w:asciiTheme="majorHAnsi" w:hAnsiTheme="majorHAnsi"/>
          <w:sz w:val="20"/>
          <w:szCs w:val="20"/>
          <w:lang w:val="es-CO"/>
        </w:rPr>
        <w:t xml:space="preserve"> a los peticionarios el mismo enlace para su conocimiento y difusión. </w:t>
      </w:r>
    </w:p>
    <w:p w:rsidR="008801C7" w:rsidRPr="008801C7" w:rsidRDefault="008801C7" w:rsidP="008801C7">
      <w:pPr>
        <w:pStyle w:val="ListParagraph"/>
        <w:rPr>
          <w:rFonts w:asciiTheme="majorHAnsi" w:hAnsiTheme="majorHAnsi" w:cs="Tahoma"/>
          <w:color w:val="auto"/>
          <w:sz w:val="20"/>
          <w:szCs w:val="20"/>
          <w:lang w:val="es-CO"/>
        </w:rPr>
      </w:pPr>
    </w:p>
    <w:p w:rsidR="008801C7" w:rsidRPr="0006427E" w:rsidRDefault="00FD703C" w:rsidP="00880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0"/>
          <w:tab w:val="num" w:pos="180"/>
          <w:tab w:val="left" w:pos="810"/>
        </w:tabs>
        <w:ind w:left="0" w:firstLine="720"/>
        <w:jc w:val="both"/>
        <w:rPr>
          <w:rFonts w:asciiTheme="majorHAnsi" w:hAnsiTheme="majorHAnsi"/>
          <w:color w:val="auto"/>
          <w:sz w:val="20"/>
          <w:szCs w:val="20"/>
          <w:lang w:val="es-CO"/>
        </w:rPr>
      </w:pPr>
      <w:r w:rsidRPr="0006427E">
        <w:rPr>
          <w:rFonts w:asciiTheme="majorHAnsi" w:hAnsiTheme="majorHAnsi" w:cs="Tahoma"/>
          <w:color w:val="auto"/>
          <w:sz w:val="20"/>
          <w:szCs w:val="20"/>
          <w:lang w:val="es-CO"/>
        </w:rPr>
        <w:t xml:space="preserve"> </w:t>
      </w:r>
      <w:r w:rsidR="0006427E" w:rsidRPr="0006427E">
        <w:rPr>
          <w:rFonts w:asciiTheme="majorHAnsi" w:hAnsiTheme="majorHAnsi" w:cs="Tahoma"/>
          <w:color w:val="auto"/>
          <w:sz w:val="20"/>
          <w:szCs w:val="20"/>
          <w:lang w:val="es-CO"/>
        </w:rPr>
        <w:t xml:space="preserve">Al respecto, los peticionarios </w:t>
      </w:r>
      <w:r w:rsidR="0006427E" w:rsidRPr="0006427E">
        <w:rPr>
          <w:rFonts w:asciiTheme="majorHAnsi" w:hAnsiTheme="majorHAnsi" w:cs="Calibri"/>
          <w:sz w:val="20"/>
          <w:szCs w:val="20"/>
          <w:lang w:val="es-ES_tradnl"/>
        </w:rPr>
        <w:t>indicaron su satisfacción con el cumplimiento de los compromisos derivados del acuerdo de solución amistosa y el acta de entendimiento</w:t>
      </w:r>
      <w:r w:rsidR="0006427E" w:rsidRPr="0006427E">
        <w:rPr>
          <w:rFonts w:asciiTheme="majorHAnsi" w:hAnsiTheme="majorHAnsi" w:cs="Tahoma"/>
          <w:color w:val="auto"/>
          <w:sz w:val="20"/>
          <w:szCs w:val="20"/>
          <w:lang w:val="es-CO"/>
        </w:rPr>
        <w:t xml:space="preserve">. </w:t>
      </w:r>
      <w:r w:rsidR="0006427E">
        <w:rPr>
          <w:rFonts w:asciiTheme="majorHAnsi" w:hAnsiTheme="majorHAnsi" w:cs="Tahoma"/>
          <w:color w:val="auto"/>
          <w:sz w:val="20"/>
          <w:szCs w:val="20"/>
          <w:lang w:val="es-CO"/>
        </w:rPr>
        <w:t>Por lo anterior, la Comisión considera que el punto 3 del acta de entendimiento de 3 de mayo de 2019 se encuentra totalmente cumplidos y así lo declara.</w:t>
      </w:r>
    </w:p>
    <w:p w:rsidR="00593C7A" w:rsidRDefault="00593C7A" w:rsidP="00593C7A">
      <w:pPr>
        <w:pStyle w:val="ListParagraph"/>
        <w:tabs>
          <w:tab w:val="left" w:pos="0"/>
          <w:tab w:val="left" w:pos="810"/>
        </w:tabs>
        <w:jc w:val="both"/>
        <w:rPr>
          <w:rFonts w:asciiTheme="majorHAnsi" w:hAnsiTheme="majorHAnsi" w:cs="Calibri"/>
          <w:sz w:val="20"/>
          <w:szCs w:val="20"/>
          <w:lang w:val="es-ES_tradnl"/>
        </w:rPr>
      </w:pPr>
    </w:p>
    <w:p w:rsidR="00F939D4" w:rsidRPr="0006427E" w:rsidRDefault="004E3E90" w:rsidP="004E3E90">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06427E">
        <w:rPr>
          <w:rFonts w:asciiTheme="majorHAnsi" w:hAnsiTheme="majorHAnsi" w:cs="Calibri"/>
          <w:sz w:val="20"/>
          <w:szCs w:val="20"/>
          <w:lang w:val="es-ES_tradnl"/>
        </w:rPr>
        <w:t>Por lo anterior,</w:t>
      </w:r>
      <w:r w:rsidR="00F939D4" w:rsidRPr="0006427E">
        <w:rPr>
          <w:rFonts w:asciiTheme="majorHAnsi" w:hAnsiTheme="majorHAnsi"/>
          <w:sz w:val="20"/>
          <w:szCs w:val="20"/>
          <w:lang w:val="es-CO"/>
        </w:rPr>
        <w:t xml:space="preserve"> </w:t>
      </w:r>
      <w:r w:rsidR="00F939D4" w:rsidRPr="0006427E">
        <w:rPr>
          <w:rFonts w:asciiTheme="majorHAnsi" w:hAnsiTheme="majorHAnsi" w:cs="Calibri"/>
          <w:sz w:val="20"/>
          <w:szCs w:val="20"/>
          <w:lang w:val="es-ES_tradnl"/>
        </w:rPr>
        <w:t xml:space="preserve">tomando en consideración los elementos de información anteriormente descritos, la Comisión considera que </w:t>
      </w:r>
      <w:r w:rsidRPr="0006427E">
        <w:rPr>
          <w:rFonts w:asciiTheme="majorHAnsi" w:hAnsiTheme="majorHAnsi" w:cs="Calibri"/>
          <w:sz w:val="20"/>
          <w:szCs w:val="20"/>
          <w:lang w:val="es-ES_tradnl"/>
        </w:rPr>
        <w:t>el punto</w:t>
      </w:r>
      <w:r w:rsidR="00593C7A">
        <w:rPr>
          <w:rFonts w:asciiTheme="majorHAnsi" w:hAnsiTheme="majorHAnsi" w:cs="Calibri"/>
          <w:sz w:val="20"/>
          <w:szCs w:val="20"/>
          <w:lang w:val="es-ES_tradnl"/>
        </w:rPr>
        <w:t xml:space="preserve"> 4 </w:t>
      </w:r>
      <w:r w:rsidR="00F939D4" w:rsidRPr="0006427E">
        <w:rPr>
          <w:rFonts w:asciiTheme="majorHAnsi" w:hAnsiTheme="majorHAnsi" w:cs="Calibri"/>
          <w:sz w:val="20"/>
          <w:szCs w:val="20"/>
          <w:lang w:val="es-ES_tradnl"/>
        </w:rPr>
        <w:t xml:space="preserve">del acuerdo de solución amistosa </w:t>
      </w:r>
      <w:r w:rsidR="00BB2423" w:rsidRPr="0006427E">
        <w:rPr>
          <w:rFonts w:asciiTheme="majorHAnsi" w:hAnsiTheme="majorHAnsi" w:cs="Calibri"/>
          <w:sz w:val="20"/>
          <w:szCs w:val="20"/>
          <w:lang w:val="es-ES_tradnl"/>
        </w:rPr>
        <w:t>y los puntos 1, 2 y 3 del acta de entendimiento suscrita entre las partes</w:t>
      </w:r>
      <w:r w:rsidR="0006427E" w:rsidRPr="0006427E">
        <w:rPr>
          <w:rFonts w:asciiTheme="majorHAnsi" w:hAnsiTheme="majorHAnsi" w:cs="Calibri"/>
          <w:sz w:val="20"/>
          <w:szCs w:val="20"/>
          <w:lang w:val="es-ES_tradnl"/>
        </w:rPr>
        <w:t>, que le dieron contenido al punto ejecutivo del acuerdo</w:t>
      </w:r>
      <w:r w:rsidR="00BB2423" w:rsidRPr="0006427E">
        <w:rPr>
          <w:rFonts w:asciiTheme="majorHAnsi" w:hAnsiTheme="majorHAnsi" w:cs="Calibri"/>
          <w:sz w:val="20"/>
          <w:szCs w:val="20"/>
          <w:lang w:val="es-ES_tradnl"/>
        </w:rPr>
        <w:t xml:space="preserve">, </w:t>
      </w:r>
      <w:r w:rsidR="00F939D4" w:rsidRPr="0006427E">
        <w:rPr>
          <w:rFonts w:asciiTheme="majorHAnsi" w:hAnsiTheme="majorHAnsi" w:cs="Calibri"/>
          <w:sz w:val="20"/>
          <w:szCs w:val="20"/>
          <w:lang w:val="es-ES_tradnl"/>
        </w:rPr>
        <w:t xml:space="preserve">se encuentran totalmente cumplidos y así los declara. Por otro lado, la Comisión considera que los puntos 1 y 2 </w:t>
      </w:r>
      <w:r w:rsidR="00F939D4" w:rsidRPr="0006427E">
        <w:rPr>
          <w:rFonts w:asciiTheme="majorHAnsi" w:hAnsiTheme="majorHAnsi" w:cs="Calibri"/>
          <w:sz w:val="20"/>
          <w:szCs w:val="20"/>
          <w:lang w:val="es-ES_tradnl"/>
        </w:rPr>
        <w:lastRenderedPageBreak/>
        <w:t>son declarativos y se relacionan con la metodología acordada por las partes por lo que no corresponde a la Comisión pronunciarse sobre ellos. Por lo anterior, la CIDH declara que el acuerdo de solución amistosa se encuentra cumplido totalmente.</w:t>
      </w:r>
    </w:p>
    <w:p w:rsidR="00F939D4" w:rsidRPr="00AC00C0" w:rsidRDefault="00F939D4" w:rsidP="00AC00C0">
      <w:pPr>
        <w:pStyle w:val="ListParagraph"/>
        <w:tabs>
          <w:tab w:val="left" w:pos="0"/>
          <w:tab w:val="left" w:pos="180"/>
        </w:tabs>
        <w:ind w:left="0" w:firstLine="720"/>
        <w:jc w:val="both"/>
        <w:rPr>
          <w:rFonts w:asciiTheme="majorHAnsi" w:hAnsiTheme="majorHAnsi" w:cs="Calibri"/>
          <w:sz w:val="20"/>
          <w:szCs w:val="20"/>
          <w:lang w:val="es-ES_tradnl"/>
        </w:rPr>
      </w:pPr>
    </w:p>
    <w:p w:rsidR="00F939D4" w:rsidRPr="00AC00C0" w:rsidRDefault="00F939D4" w:rsidP="008D755B">
      <w:pPr>
        <w:tabs>
          <w:tab w:val="left" w:pos="360"/>
        </w:tabs>
        <w:ind w:firstLine="720"/>
        <w:jc w:val="both"/>
        <w:rPr>
          <w:rFonts w:asciiTheme="majorHAnsi" w:hAnsiTheme="majorHAnsi" w:cs="Calibri"/>
          <w:b/>
          <w:sz w:val="20"/>
          <w:szCs w:val="20"/>
          <w:lang w:val="es-ES_tradnl"/>
        </w:rPr>
      </w:pPr>
      <w:r w:rsidRPr="00AC00C0">
        <w:rPr>
          <w:rFonts w:asciiTheme="majorHAnsi" w:hAnsiTheme="majorHAnsi" w:cs="Calibri"/>
          <w:b/>
          <w:sz w:val="20"/>
          <w:szCs w:val="20"/>
          <w:lang w:val="es-ES_tradnl"/>
        </w:rPr>
        <w:tab/>
      </w:r>
      <w:r w:rsidRPr="00AC00C0">
        <w:rPr>
          <w:rFonts w:asciiTheme="majorHAnsi" w:hAnsiTheme="majorHAnsi" w:cs="Calibri"/>
          <w:b/>
          <w:sz w:val="20"/>
          <w:szCs w:val="20"/>
          <w:lang w:val="es-ES_tradnl"/>
        </w:rPr>
        <w:tab/>
        <w:t>IV.</w:t>
      </w:r>
      <w:r w:rsidRPr="00AC00C0">
        <w:rPr>
          <w:rFonts w:asciiTheme="majorHAnsi" w:hAnsiTheme="majorHAnsi" w:cs="Calibri"/>
          <w:b/>
          <w:sz w:val="20"/>
          <w:szCs w:val="20"/>
          <w:lang w:val="es-ES_tradnl"/>
        </w:rPr>
        <w:tab/>
        <w:t xml:space="preserve">CONCLUSIONES </w:t>
      </w:r>
    </w:p>
    <w:p w:rsidR="00F939D4" w:rsidRPr="00AC00C0" w:rsidRDefault="00F939D4" w:rsidP="008D755B">
      <w:pPr>
        <w:tabs>
          <w:tab w:val="left" w:pos="360"/>
        </w:tabs>
        <w:ind w:firstLine="720"/>
        <w:jc w:val="both"/>
        <w:rPr>
          <w:rFonts w:asciiTheme="majorHAnsi" w:hAnsiTheme="majorHAnsi" w:cs="Calibri"/>
          <w:b/>
          <w:sz w:val="20"/>
          <w:szCs w:val="20"/>
          <w:lang w:val="es-ES_tradnl"/>
        </w:rPr>
      </w:pPr>
    </w:p>
    <w:p w:rsidR="00F939D4" w:rsidRPr="00AC00C0" w:rsidRDefault="00F939D4" w:rsidP="008D755B">
      <w:pPr>
        <w:pStyle w:val="ListParagraph"/>
        <w:numPr>
          <w:ilvl w:val="0"/>
          <w:numId w:val="58"/>
        </w:numPr>
        <w:tabs>
          <w:tab w:val="left" w:pos="360"/>
        </w:tabs>
        <w:ind w:left="0" w:firstLine="720"/>
        <w:contextualSpacing/>
        <w:jc w:val="both"/>
        <w:rPr>
          <w:rFonts w:asciiTheme="majorHAnsi" w:hAnsiTheme="majorHAnsi" w:cs="Calibri"/>
          <w:sz w:val="20"/>
          <w:szCs w:val="20"/>
          <w:lang w:val="es-ES_tradnl"/>
        </w:rPr>
      </w:pPr>
      <w:r w:rsidRPr="00AC00C0">
        <w:rPr>
          <w:rFonts w:asciiTheme="majorHAnsi" w:hAnsiTheme="majorHAnsi"/>
          <w:sz w:val="20"/>
          <w:szCs w:val="20"/>
          <w:lang w:val="es-ES_tradnl"/>
        </w:rPr>
        <w:t xml:space="preserve"> </w:t>
      </w:r>
      <w:r w:rsidRPr="00AC00C0">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F939D4" w:rsidRPr="00AC00C0" w:rsidRDefault="00F939D4" w:rsidP="008D755B">
      <w:pPr>
        <w:pStyle w:val="ListParagraph"/>
        <w:tabs>
          <w:tab w:val="left" w:pos="360"/>
        </w:tabs>
        <w:ind w:left="0" w:firstLine="720"/>
        <w:jc w:val="both"/>
        <w:rPr>
          <w:rFonts w:asciiTheme="majorHAnsi" w:hAnsiTheme="majorHAnsi" w:cs="Calibri"/>
          <w:sz w:val="20"/>
          <w:szCs w:val="20"/>
          <w:lang w:val="es-ES_tradnl"/>
        </w:rPr>
      </w:pPr>
    </w:p>
    <w:p w:rsidR="00F939D4" w:rsidRPr="00AC00C0" w:rsidRDefault="00F939D4" w:rsidP="008D755B">
      <w:pPr>
        <w:pStyle w:val="ListParagraph"/>
        <w:numPr>
          <w:ilvl w:val="0"/>
          <w:numId w:val="58"/>
        </w:numPr>
        <w:tabs>
          <w:tab w:val="left" w:pos="360"/>
        </w:tabs>
        <w:ind w:left="0" w:firstLine="720"/>
        <w:contextualSpacing/>
        <w:jc w:val="both"/>
        <w:rPr>
          <w:rFonts w:asciiTheme="majorHAnsi" w:hAnsiTheme="majorHAnsi" w:cs="Calibri"/>
          <w:sz w:val="20"/>
          <w:szCs w:val="20"/>
          <w:lang w:val="es-ES_tradnl"/>
        </w:rPr>
      </w:pPr>
      <w:r w:rsidRPr="00AC00C0">
        <w:rPr>
          <w:rFonts w:asciiTheme="majorHAnsi" w:hAnsiTheme="majorHAnsi"/>
          <w:sz w:val="20"/>
          <w:szCs w:val="20"/>
          <w:lang w:val="es-ES"/>
        </w:rPr>
        <w:t xml:space="preserve">En virtud de las consideraciones y conclusiones expuestas en este informe, </w:t>
      </w:r>
    </w:p>
    <w:p w:rsidR="00F939D4" w:rsidRPr="00AC00C0" w:rsidRDefault="00F939D4" w:rsidP="00AC00C0">
      <w:pPr>
        <w:tabs>
          <w:tab w:val="left" w:pos="360"/>
        </w:tabs>
        <w:jc w:val="both"/>
        <w:rPr>
          <w:rFonts w:asciiTheme="majorHAnsi" w:hAnsiTheme="majorHAnsi" w:cs="Calibri"/>
          <w:b/>
          <w:sz w:val="20"/>
          <w:szCs w:val="20"/>
          <w:highlight w:val="yellow"/>
          <w:lang w:val="es-ES_tradnl"/>
        </w:rPr>
      </w:pPr>
    </w:p>
    <w:p w:rsidR="00F939D4" w:rsidRPr="00AC00C0" w:rsidRDefault="00F939D4" w:rsidP="00AC00C0">
      <w:pPr>
        <w:tabs>
          <w:tab w:val="left" w:pos="720"/>
          <w:tab w:val="left" w:pos="1440"/>
        </w:tabs>
        <w:jc w:val="center"/>
        <w:rPr>
          <w:rFonts w:asciiTheme="majorHAnsi" w:hAnsiTheme="majorHAnsi"/>
          <w:b/>
          <w:bCs/>
          <w:sz w:val="20"/>
          <w:szCs w:val="20"/>
          <w:lang w:val="es-ES"/>
        </w:rPr>
      </w:pPr>
      <w:r w:rsidRPr="00AC00C0">
        <w:rPr>
          <w:rFonts w:asciiTheme="majorHAnsi" w:hAnsiTheme="majorHAnsi"/>
          <w:b/>
          <w:bCs/>
          <w:sz w:val="20"/>
          <w:szCs w:val="20"/>
          <w:lang w:val="es-ES"/>
        </w:rPr>
        <w:t>LA COMISIÓN INTERAMERICANA DE DERECHOS HUMANOS</w:t>
      </w:r>
    </w:p>
    <w:p w:rsidR="00F939D4" w:rsidRPr="00AC00C0" w:rsidRDefault="00F939D4" w:rsidP="00AC00C0">
      <w:pPr>
        <w:tabs>
          <w:tab w:val="left" w:pos="720"/>
          <w:tab w:val="left" w:pos="1440"/>
        </w:tabs>
        <w:jc w:val="center"/>
        <w:rPr>
          <w:rFonts w:asciiTheme="majorHAnsi" w:hAnsiTheme="majorHAnsi"/>
          <w:b/>
          <w:bCs/>
          <w:sz w:val="20"/>
          <w:szCs w:val="20"/>
          <w:lang w:val="es-ES"/>
        </w:rPr>
      </w:pPr>
    </w:p>
    <w:p w:rsidR="00F939D4" w:rsidRPr="00AC00C0" w:rsidRDefault="00F939D4" w:rsidP="00AC00C0">
      <w:pPr>
        <w:jc w:val="both"/>
        <w:rPr>
          <w:rFonts w:asciiTheme="majorHAnsi" w:hAnsiTheme="majorHAnsi"/>
          <w:b/>
          <w:bCs/>
          <w:sz w:val="20"/>
          <w:szCs w:val="20"/>
        </w:rPr>
      </w:pPr>
      <w:r w:rsidRPr="00AC00C0">
        <w:rPr>
          <w:rFonts w:asciiTheme="majorHAnsi" w:hAnsiTheme="majorHAnsi"/>
          <w:b/>
          <w:bCs/>
          <w:sz w:val="20"/>
          <w:szCs w:val="20"/>
        </w:rPr>
        <w:t>DECIDE:</w:t>
      </w:r>
    </w:p>
    <w:p w:rsidR="00F939D4" w:rsidRPr="00AC00C0" w:rsidRDefault="00F939D4" w:rsidP="00AC00C0">
      <w:pPr>
        <w:jc w:val="both"/>
        <w:rPr>
          <w:rFonts w:asciiTheme="majorHAnsi" w:hAnsiTheme="majorHAnsi"/>
          <w:b/>
          <w:bCs/>
          <w:sz w:val="20"/>
          <w:szCs w:val="20"/>
        </w:rPr>
      </w:pPr>
    </w:p>
    <w:p w:rsidR="00BB2423" w:rsidRPr="008D755B" w:rsidRDefault="00F939D4" w:rsidP="00AC00C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D755B">
        <w:rPr>
          <w:rFonts w:asciiTheme="majorHAnsi" w:hAnsiTheme="majorHAnsi"/>
          <w:sz w:val="20"/>
          <w:szCs w:val="20"/>
          <w:lang w:val="es-ES"/>
        </w:rPr>
        <w:t xml:space="preserve">Aprobar los términos del acuerdo suscrito por las partes el </w:t>
      </w:r>
      <w:r w:rsidR="00BB2423" w:rsidRPr="008D755B">
        <w:rPr>
          <w:rFonts w:asciiTheme="majorHAnsi" w:hAnsiTheme="majorHAnsi"/>
          <w:sz w:val="20"/>
          <w:szCs w:val="20"/>
          <w:lang w:val="es-ES"/>
        </w:rPr>
        <w:t>25 de octubre de 2017</w:t>
      </w:r>
      <w:r w:rsidRPr="008D755B">
        <w:rPr>
          <w:rFonts w:asciiTheme="majorHAnsi" w:hAnsiTheme="majorHAnsi"/>
          <w:sz w:val="20"/>
          <w:szCs w:val="20"/>
          <w:lang w:val="es-ES"/>
        </w:rPr>
        <w:t>.</w:t>
      </w:r>
    </w:p>
    <w:p w:rsidR="00BB2423" w:rsidRPr="008D755B" w:rsidRDefault="00BB2423" w:rsidP="00AC00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BB2423" w:rsidRPr="008D755B" w:rsidRDefault="00BB2423" w:rsidP="00AC00C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8D755B">
        <w:rPr>
          <w:rFonts w:asciiTheme="majorHAnsi" w:hAnsiTheme="majorHAnsi"/>
          <w:sz w:val="20"/>
          <w:szCs w:val="20"/>
          <w:lang w:val="es-ES"/>
        </w:rPr>
        <w:t>Declarar cumplidas los puntos 4 del acuerdo de solución amistosa y los puntos 1, 2 y 3 del acta de entendimiento</w:t>
      </w:r>
      <w:r w:rsidR="008D755B">
        <w:rPr>
          <w:rFonts w:asciiTheme="majorHAnsi" w:hAnsiTheme="majorHAnsi"/>
          <w:sz w:val="20"/>
          <w:szCs w:val="20"/>
          <w:lang w:val="es-ES"/>
        </w:rPr>
        <w:t xml:space="preserve"> de 3 de mayo de 2019</w:t>
      </w:r>
      <w:r w:rsidRPr="008D755B">
        <w:rPr>
          <w:rFonts w:asciiTheme="majorHAnsi" w:hAnsiTheme="majorHAnsi"/>
          <w:sz w:val="20"/>
          <w:szCs w:val="20"/>
          <w:lang w:val="es-ES"/>
        </w:rPr>
        <w:t xml:space="preserve">, </w:t>
      </w:r>
      <w:r w:rsidRPr="008D755B">
        <w:rPr>
          <w:rFonts w:asciiTheme="majorHAnsi" w:hAnsiTheme="majorHAnsi"/>
          <w:sz w:val="20"/>
          <w:szCs w:val="20"/>
          <w:lang w:val="es-CO"/>
        </w:rPr>
        <w:t>de acuerdo al análisis contenido en este informe.</w:t>
      </w:r>
    </w:p>
    <w:p w:rsidR="00BB2423" w:rsidRPr="00AC00C0" w:rsidRDefault="00BB2423" w:rsidP="00AC0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rsidR="00F939D4" w:rsidRPr="00AC00C0" w:rsidRDefault="00F939D4" w:rsidP="00AC00C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AC00C0">
        <w:rPr>
          <w:rFonts w:asciiTheme="majorHAnsi" w:hAnsiTheme="majorHAnsi"/>
          <w:sz w:val="20"/>
          <w:szCs w:val="20"/>
          <w:lang w:val="es-ES"/>
        </w:rPr>
        <w:t xml:space="preserve">Declarar cumplido totalmente el acuerdo de solución amistosa. </w:t>
      </w:r>
    </w:p>
    <w:p w:rsidR="00F939D4" w:rsidRPr="00AC00C0" w:rsidRDefault="00F939D4" w:rsidP="00AC00C0">
      <w:pPr>
        <w:tabs>
          <w:tab w:val="left" w:pos="1440"/>
          <w:tab w:val="num" w:pos="3240"/>
        </w:tabs>
        <w:ind w:left="720"/>
        <w:jc w:val="both"/>
        <w:rPr>
          <w:rFonts w:asciiTheme="majorHAnsi" w:hAnsiTheme="majorHAnsi"/>
          <w:sz w:val="20"/>
          <w:szCs w:val="20"/>
          <w:highlight w:val="yellow"/>
          <w:lang w:val="es-ES"/>
        </w:rPr>
      </w:pPr>
    </w:p>
    <w:p w:rsidR="00F939D4" w:rsidRPr="00AC00C0" w:rsidRDefault="00F939D4" w:rsidP="0050778A">
      <w:pPr>
        <w:tabs>
          <w:tab w:val="num" w:pos="1440"/>
        </w:tabs>
        <w:ind w:firstLine="720"/>
        <w:jc w:val="both"/>
        <w:rPr>
          <w:rFonts w:asciiTheme="majorHAnsi" w:hAnsiTheme="majorHAnsi"/>
          <w:sz w:val="20"/>
          <w:szCs w:val="20"/>
          <w:highlight w:val="yellow"/>
          <w:lang w:val="es-ES"/>
        </w:rPr>
      </w:pPr>
      <w:r w:rsidRPr="00AC00C0">
        <w:rPr>
          <w:rFonts w:asciiTheme="majorHAnsi" w:hAnsiTheme="majorHAnsi"/>
          <w:sz w:val="20"/>
          <w:szCs w:val="20"/>
          <w:lang w:val="es-ES"/>
        </w:rPr>
        <w:t>4.</w:t>
      </w:r>
      <w:r w:rsidRPr="00AC00C0">
        <w:rPr>
          <w:rFonts w:asciiTheme="majorHAnsi" w:hAnsiTheme="majorHAnsi"/>
          <w:sz w:val="20"/>
          <w:szCs w:val="20"/>
          <w:lang w:val="es-ES"/>
        </w:rPr>
        <w:tab/>
        <w:t>Hacer público el presente informe e incluirlo en su Informe Anual a la Asamblea General de la OEA.</w:t>
      </w:r>
    </w:p>
    <w:p w:rsidR="00F939D4" w:rsidRPr="00AC00C0" w:rsidRDefault="00F939D4" w:rsidP="00AC00C0">
      <w:pPr>
        <w:ind w:firstLine="720"/>
        <w:jc w:val="both"/>
        <w:rPr>
          <w:rFonts w:asciiTheme="majorHAnsi" w:eastAsia="Calibri" w:hAnsiTheme="majorHAnsi"/>
          <w:sz w:val="20"/>
          <w:szCs w:val="20"/>
          <w:lang w:val="es-VE"/>
        </w:rPr>
      </w:pPr>
    </w:p>
    <w:p w:rsidR="00593C7A" w:rsidRPr="00A15D55" w:rsidRDefault="00593C7A" w:rsidP="00593C7A">
      <w:pPr>
        <w:suppressAutoHyphens/>
        <w:ind w:firstLine="720"/>
        <w:jc w:val="both"/>
        <w:rPr>
          <w:rFonts w:asciiTheme="majorHAnsi" w:hAnsiTheme="majorHAnsi"/>
          <w:sz w:val="20"/>
          <w:szCs w:val="20"/>
          <w:lang w:val="es-ES"/>
        </w:rPr>
      </w:pPr>
      <w:r w:rsidRPr="00A15D55">
        <w:rPr>
          <w:rFonts w:asciiTheme="majorHAnsi" w:hAnsiTheme="majorHAnsi"/>
          <w:sz w:val="20"/>
          <w:szCs w:val="20"/>
          <w:lang w:val="es-ES"/>
        </w:rPr>
        <w:t>Aprobado por la Comisión Interameric</w:t>
      </w:r>
      <w:r>
        <w:rPr>
          <w:rFonts w:asciiTheme="majorHAnsi" w:hAnsiTheme="majorHAnsi"/>
          <w:sz w:val="20"/>
          <w:szCs w:val="20"/>
          <w:lang w:val="es-ES"/>
        </w:rPr>
        <w:t>ana de Derechos Humanos a los 16</w:t>
      </w:r>
      <w:r w:rsidRPr="00A15D55">
        <w:rPr>
          <w:rFonts w:asciiTheme="majorHAnsi" w:hAnsiTheme="majorHAnsi"/>
          <w:sz w:val="20"/>
          <w:szCs w:val="20"/>
          <w:lang w:val="es-ES"/>
        </w:rPr>
        <w:t xml:space="preserve"> días del mes de </w:t>
      </w:r>
      <w:r>
        <w:rPr>
          <w:rFonts w:asciiTheme="majorHAnsi" w:hAnsiTheme="majorHAnsi"/>
          <w:sz w:val="20"/>
          <w:szCs w:val="20"/>
          <w:lang w:val="es-ES"/>
        </w:rPr>
        <w:t>julio</w:t>
      </w:r>
      <w:r w:rsidRPr="00A15D55">
        <w:rPr>
          <w:rFonts w:asciiTheme="majorHAnsi" w:hAnsiTheme="majorHAnsi"/>
          <w:sz w:val="20"/>
          <w:szCs w:val="20"/>
          <w:lang w:val="es-ES"/>
        </w:rPr>
        <w:t xml:space="preserve"> de 2019.  (Firmado): Esmeralda E. Arosemena Bernal de Troitiño, Presidenta; Joel Hernández, Primer Vicepresidente; Antonia Urrejola, Segunda Vicepresidenta; Margarette May Mac</w:t>
      </w:r>
      <w:r>
        <w:rPr>
          <w:rFonts w:asciiTheme="majorHAnsi" w:hAnsiTheme="majorHAnsi"/>
          <w:sz w:val="20"/>
          <w:szCs w:val="20"/>
          <w:lang w:val="es-ES"/>
        </w:rPr>
        <w:t xml:space="preserve">aulay, Francisco José Eguiguren, </w:t>
      </w:r>
      <w:r w:rsidR="002D2A76">
        <w:rPr>
          <w:rFonts w:asciiTheme="majorHAnsi" w:hAnsiTheme="majorHAnsi"/>
          <w:sz w:val="20"/>
          <w:szCs w:val="20"/>
          <w:lang w:val="es-ES"/>
        </w:rPr>
        <w:t>Luis Ernesto Vargas Silva</w:t>
      </w:r>
      <w:r>
        <w:rPr>
          <w:rFonts w:asciiTheme="majorHAnsi" w:hAnsiTheme="majorHAnsi"/>
          <w:sz w:val="20"/>
          <w:szCs w:val="20"/>
          <w:lang w:val="es-ES"/>
        </w:rPr>
        <w:t xml:space="preserve"> </w:t>
      </w:r>
      <w:r w:rsidRPr="00A15D55">
        <w:rPr>
          <w:rFonts w:asciiTheme="majorHAnsi" w:hAnsiTheme="majorHAnsi"/>
          <w:sz w:val="20"/>
          <w:szCs w:val="20"/>
          <w:lang w:val="es-ES"/>
        </w:rPr>
        <w:t>y Flávia Piovesan, Miembros de la Comisión.</w:t>
      </w:r>
    </w:p>
    <w:sectPr w:rsidR="00593C7A" w:rsidRPr="00A15D5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47" w:rsidRDefault="00AD3547">
      <w:r>
        <w:separator/>
      </w:r>
    </w:p>
  </w:endnote>
  <w:endnote w:type="continuationSeparator" w:id="0">
    <w:p w:rsidR="00AD3547" w:rsidRDefault="00AD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46" w:rsidRDefault="00D03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E34F72" w:rsidRPr="00934A2C" w:rsidRDefault="00E34F7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03846">
          <w:rPr>
            <w:noProof/>
            <w:sz w:val="16"/>
            <w:szCs w:val="22"/>
          </w:rPr>
          <w:t>1</w:t>
        </w:r>
        <w:r w:rsidRPr="00934A2C">
          <w:rPr>
            <w:noProof/>
            <w:sz w:val="16"/>
            <w:szCs w:val="22"/>
          </w:rPr>
          <w:fldChar w:fldCharType="end"/>
        </w:r>
      </w:p>
    </w:sdtContent>
  </w:sdt>
  <w:p w:rsidR="00E34F72" w:rsidRDefault="00E34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72" w:rsidRPr="00934A2C" w:rsidRDefault="00E34F72">
    <w:pPr>
      <w:pStyle w:val="Footer"/>
      <w:jc w:val="center"/>
      <w:rPr>
        <w:sz w:val="16"/>
        <w:szCs w:val="22"/>
      </w:rPr>
    </w:pPr>
  </w:p>
  <w:p w:rsidR="00E34F72" w:rsidRDefault="00E34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47" w:rsidRPr="000F35ED" w:rsidRDefault="00AD354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D3547" w:rsidRPr="000F35ED" w:rsidRDefault="00AD3547" w:rsidP="000F35ED">
      <w:pPr>
        <w:rPr>
          <w:rFonts w:asciiTheme="majorHAnsi" w:hAnsiTheme="majorHAnsi"/>
          <w:sz w:val="16"/>
          <w:szCs w:val="16"/>
        </w:rPr>
      </w:pPr>
      <w:r w:rsidRPr="000F35ED">
        <w:rPr>
          <w:rFonts w:asciiTheme="majorHAnsi" w:hAnsiTheme="majorHAnsi"/>
          <w:sz w:val="16"/>
          <w:szCs w:val="16"/>
        </w:rPr>
        <w:separator/>
      </w:r>
    </w:p>
    <w:p w:rsidR="00AD3547" w:rsidRPr="000F35ED" w:rsidRDefault="00AD354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D3547" w:rsidRPr="000F35ED" w:rsidRDefault="00AD35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34F72" w:rsidRPr="003D1603" w:rsidRDefault="00E34F72" w:rsidP="003D1603">
      <w:pPr>
        <w:pStyle w:val="FootnoteText"/>
        <w:jc w:val="both"/>
        <w:rPr>
          <w:rFonts w:asciiTheme="majorHAnsi" w:hAnsiTheme="majorHAnsi"/>
          <w:color w:val="auto"/>
          <w:sz w:val="16"/>
          <w:szCs w:val="16"/>
          <w:lang w:val="es-ES"/>
        </w:rPr>
      </w:pPr>
      <w:r w:rsidRPr="003D1603">
        <w:rPr>
          <w:rStyle w:val="FootnoteReference"/>
          <w:rFonts w:asciiTheme="majorHAnsi" w:hAnsiTheme="majorHAnsi"/>
          <w:color w:val="auto"/>
          <w:sz w:val="16"/>
          <w:szCs w:val="16"/>
        </w:rPr>
        <w:footnoteRef/>
      </w:r>
      <w:r w:rsidRPr="003D1603">
        <w:rPr>
          <w:rFonts w:asciiTheme="majorHAnsi" w:hAnsiTheme="majorHAnsi"/>
          <w:color w:val="auto"/>
          <w:sz w:val="16"/>
          <w:szCs w:val="16"/>
          <w:lang w:val="es-ES"/>
        </w:rPr>
        <w:t xml:space="preserve"> Convención de Viena sobre el Derecho de los Tratados, U.N. Doc A/CONF.39/27 (1969), Artículo 26: </w:t>
      </w:r>
      <w:r w:rsidRPr="003D1603">
        <w:rPr>
          <w:rFonts w:asciiTheme="majorHAnsi" w:hAnsiTheme="majorHAnsi"/>
          <w:b/>
          <w:color w:val="auto"/>
          <w:sz w:val="16"/>
          <w:szCs w:val="16"/>
          <w:lang w:val="es-ES"/>
        </w:rPr>
        <w:t xml:space="preserve">"Pacta sunt servanda". </w:t>
      </w:r>
      <w:r w:rsidRPr="003D1603">
        <w:rPr>
          <w:rFonts w:asciiTheme="majorHAnsi" w:hAnsiTheme="majorHAnsi"/>
          <w:i/>
          <w:color w:val="auto"/>
          <w:sz w:val="16"/>
          <w:szCs w:val="16"/>
          <w:lang w:val="es-ES"/>
        </w:rPr>
        <w:t>Todo tratado en vigor obliga a las partes y debe ser cumplido por ellas de buena fe.</w:t>
      </w:r>
    </w:p>
  </w:footnote>
  <w:footnote w:id="3">
    <w:p w:rsidR="003D1603" w:rsidRPr="003D1603" w:rsidRDefault="003D1603" w:rsidP="003D1603">
      <w:pPr>
        <w:pStyle w:val="FootnoteText"/>
        <w:jc w:val="both"/>
        <w:rPr>
          <w:rFonts w:asciiTheme="majorHAnsi" w:hAnsiTheme="majorHAnsi"/>
          <w:color w:val="auto"/>
          <w:sz w:val="16"/>
          <w:szCs w:val="16"/>
          <w:lang w:val="es-ES"/>
        </w:rPr>
      </w:pPr>
      <w:r w:rsidRPr="003D1603">
        <w:rPr>
          <w:rStyle w:val="FootnoteReference"/>
          <w:rFonts w:asciiTheme="majorHAnsi" w:hAnsiTheme="majorHAnsi"/>
          <w:color w:val="auto"/>
          <w:sz w:val="16"/>
          <w:szCs w:val="16"/>
        </w:rPr>
        <w:footnoteRef/>
      </w:r>
      <w:r w:rsidRPr="003D1603">
        <w:rPr>
          <w:rFonts w:asciiTheme="majorHAnsi" w:hAnsiTheme="majorHAnsi"/>
          <w:color w:val="auto"/>
          <w:sz w:val="16"/>
          <w:szCs w:val="16"/>
          <w:lang w:val="es-ES"/>
        </w:rPr>
        <w:t xml:space="preserve"> Ver CIDH, Comunicado de Prensa 148/19 “CIDH saluda los avances de Uruguay en el cumplimiento del acuerdo de solución amistosa suscrito en la petición 1227-07 David Rabinovich” publicado el 12 de junio de 2019. Disponible electrónicamente en: </w:t>
      </w:r>
      <w:hyperlink r:id="rId1" w:history="1">
        <w:r w:rsidRPr="003D1603">
          <w:rPr>
            <w:rStyle w:val="Hyperlink"/>
            <w:rFonts w:asciiTheme="majorHAnsi" w:hAnsiTheme="majorHAnsi"/>
            <w:color w:val="auto"/>
            <w:sz w:val="16"/>
            <w:szCs w:val="16"/>
            <w:lang w:val="es-ES"/>
          </w:rPr>
          <w:t>http://www.oas.org/es/cidh/prensa/comunicados/2019/148.asp</w:t>
        </w:r>
      </w:hyperlink>
      <w:r w:rsidRPr="003D1603">
        <w:rPr>
          <w:rFonts w:asciiTheme="majorHAnsi" w:hAnsiTheme="majorHAnsi"/>
          <w:color w:val="auto"/>
          <w:sz w:val="16"/>
          <w:szCs w:val="16"/>
          <w:lang w:val="es-ES"/>
        </w:rPr>
        <w:t xml:space="preserve"> </w:t>
      </w:r>
    </w:p>
  </w:footnote>
  <w:footnote w:id="4">
    <w:p w:rsidR="003D1603" w:rsidRPr="003D1603" w:rsidRDefault="003D1603" w:rsidP="003D1603">
      <w:pPr>
        <w:pStyle w:val="NormalWeb"/>
        <w:jc w:val="both"/>
        <w:rPr>
          <w:rFonts w:asciiTheme="majorHAnsi" w:hAnsiTheme="majorHAnsi"/>
          <w:sz w:val="16"/>
          <w:szCs w:val="16"/>
        </w:rPr>
      </w:pPr>
      <w:r w:rsidRPr="003D1603">
        <w:rPr>
          <w:rStyle w:val="FootnoteReference"/>
          <w:rFonts w:asciiTheme="majorHAnsi" w:hAnsiTheme="majorHAnsi"/>
          <w:sz w:val="16"/>
          <w:szCs w:val="16"/>
        </w:rPr>
        <w:footnoteRef/>
      </w:r>
      <w:r w:rsidRPr="003D1603">
        <w:rPr>
          <w:rFonts w:asciiTheme="majorHAnsi" w:hAnsiTheme="majorHAnsi"/>
          <w:sz w:val="16"/>
          <w:szCs w:val="16"/>
        </w:rPr>
        <w:t xml:space="preserve"> Ver, YouTube, Audiovisuales Prensa, Cancillería de Uruguay, “Seminario: Impactos del Procedimiento de Solución Amistosa ante la CIDH en el desarrollo normativo nacional de Uruguay - 27 de mayo 2019”. Publicado el 31 de mayo de 2019. Disponible electrónicamente en: </w:t>
      </w:r>
      <w:hyperlink r:id="rId2" w:history="1">
        <w:r w:rsidRPr="003D1603">
          <w:rPr>
            <w:rStyle w:val="Hyperlink"/>
            <w:rFonts w:asciiTheme="majorHAnsi" w:hAnsiTheme="majorHAnsi"/>
            <w:sz w:val="16"/>
            <w:szCs w:val="16"/>
          </w:rPr>
          <w:t>https://www.youtube.com/watch?v=i5IJcZ_0tVw&amp;t=13s</w:t>
        </w:r>
      </w:hyperlink>
      <w:r w:rsidRPr="003D1603">
        <w:rPr>
          <w:rFonts w:asciiTheme="majorHAnsi" w:hAnsiTheme="majorHAnsi"/>
          <w:sz w:val="16"/>
          <w:szCs w:val="16"/>
        </w:rPr>
        <w:t xml:space="preserve"> (Consultado por última vez el 7 de julio de 2019). </w:t>
      </w:r>
    </w:p>
    <w:p w:rsidR="003D1603" w:rsidRPr="003D1603" w:rsidRDefault="003D1603" w:rsidP="003D1603">
      <w:pPr>
        <w:pStyle w:val="FootnoteText"/>
        <w:jc w:val="both"/>
        <w:rPr>
          <w:rFonts w:asciiTheme="majorHAnsi" w:hAnsiTheme="majorHAnsi"/>
          <w:color w:val="auto"/>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72" w:rsidRDefault="00E34F72" w:rsidP="001E3E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34F72" w:rsidRDefault="00E34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72" w:rsidRDefault="00E34F72" w:rsidP="00A50FCF">
    <w:pPr>
      <w:pStyle w:val="Header"/>
      <w:tabs>
        <w:tab w:val="clear" w:pos="4320"/>
        <w:tab w:val="clear" w:pos="8640"/>
      </w:tabs>
      <w:jc w:val="center"/>
      <w:rPr>
        <w:sz w:val="22"/>
        <w:szCs w:val="22"/>
      </w:rPr>
    </w:pPr>
    <w:r>
      <w:rPr>
        <w:noProof/>
        <w:sz w:val="22"/>
        <w:szCs w:val="22"/>
      </w:rPr>
      <w:drawing>
        <wp:inline distT="0" distB="0" distL="0" distR="0" wp14:anchorId="784045EC" wp14:editId="54C767E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34F72" w:rsidRPr="00EC7D62" w:rsidRDefault="00AD354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46" w:rsidRDefault="00D03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36197C"/>
    <w:multiLevelType w:val="hybridMultilevel"/>
    <w:tmpl w:val="61E2972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DB47BF7"/>
    <w:multiLevelType w:val="hybridMultilevel"/>
    <w:tmpl w:val="61E2972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6"/>
  </w:num>
  <w:num w:numId="6">
    <w:abstractNumId w:val="26"/>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50"/>
  </w:num>
  <w:num w:numId="54">
    <w:abstractNumId w:val="42"/>
  </w:num>
  <w:num w:numId="55">
    <w:abstractNumId w:val="48"/>
  </w:num>
  <w:num w:numId="56">
    <w:abstractNumId w:val="52"/>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18"/>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7B41"/>
    <w:rsid w:val="00040C3A"/>
    <w:rsid w:val="0006427E"/>
    <w:rsid w:val="00065CA5"/>
    <w:rsid w:val="00070589"/>
    <w:rsid w:val="000716C5"/>
    <w:rsid w:val="00075E23"/>
    <w:rsid w:val="0009344A"/>
    <w:rsid w:val="000965B5"/>
    <w:rsid w:val="000A392E"/>
    <w:rsid w:val="000A575F"/>
    <w:rsid w:val="000D10DB"/>
    <w:rsid w:val="000E093A"/>
    <w:rsid w:val="000E5EB5"/>
    <w:rsid w:val="000F35ED"/>
    <w:rsid w:val="000F7FDF"/>
    <w:rsid w:val="00107131"/>
    <w:rsid w:val="0010736F"/>
    <w:rsid w:val="00113F73"/>
    <w:rsid w:val="00117411"/>
    <w:rsid w:val="00121CC2"/>
    <w:rsid w:val="00130242"/>
    <w:rsid w:val="00130BF0"/>
    <w:rsid w:val="00131808"/>
    <w:rsid w:val="00133EE5"/>
    <w:rsid w:val="001466FC"/>
    <w:rsid w:val="00167A34"/>
    <w:rsid w:val="001760A2"/>
    <w:rsid w:val="001A7870"/>
    <w:rsid w:val="001C1B41"/>
    <w:rsid w:val="001D3792"/>
    <w:rsid w:val="001D65EF"/>
    <w:rsid w:val="001E1E3D"/>
    <w:rsid w:val="001E3E08"/>
    <w:rsid w:val="001F0CDC"/>
    <w:rsid w:val="001F261D"/>
    <w:rsid w:val="00204FD7"/>
    <w:rsid w:val="002250A3"/>
    <w:rsid w:val="002252C9"/>
    <w:rsid w:val="00235217"/>
    <w:rsid w:val="00246D1F"/>
    <w:rsid w:val="00247403"/>
    <w:rsid w:val="00247542"/>
    <w:rsid w:val="00266B61"/>
    <w:rsid w:val="0026712A"/>
    <w:rsid w:val="002704DB"/>
    <w:rsid w:val="00271E18"/>
    <w:rsid w:val="00285241"/>
    <w:rsid w:val="002A0AAE"/>
    <w:rsid w:val="002A5820"/>
    <w:rsid w:val="002B4D23"/>
    <w:rsid w:val="002D252E"/>
    <w:rsid w:val="002D2A76"/>
    <w:rsid w:val="002D2B26"/>
    <w:rsid w:val="002D7EA2"/>
    <w:rsid w:val="002E187C"/>
    <w:rsid w:val="00302733"/>
    <w:rsid w:val="00314078"/>
    <w:rsid w:val="0031535D"/>
    <w:rsid w:val="003215ED"/>
    <w:rsid w:val="003234C1"/>
    <w:rsid w:val="0033169F"/>
    <w:rsid w:val="003348FE"/>
    <w:rsid w:val="003406B8"/>
    <w:rsid w:val="00346C95"/>
    <w:rsid w:val="00356185"/>
    <w:rsid w:val="00360380"/>
    <w:rsid w:val="0036641E"/>
    <w:rsid w:val="0037519E"/>
    <w:rsid w:val="00386CF0"/>
    <w:rsid w:val="003A735A"/>
    <w:rsid w:val="003C676B"/>
    <w:rsid w:val="003D1603"/>
    <w:rsid w:val="003D3BC2"/>
    <w:rsid w:val="003D5705"/>
    <w:rsid w:val="003E6CA1"/>
    <w:rsid w:val="00412089"/>
    <w:rsid w:val="004165C2"/>
    <w:rsid w:val="00435934"/>
    <w:rsid w:val="00441ECB"/>
    <w:rsid w:val="00467B7E"/>
    <w:rsid w:val="00477592"/>
    <w:rsid w:val="00486F1C"/>
    <w:rsid w:val="0049419D"/>
    <w:rsid w:val="004B6C1D"/>
    <w:rsid w:val="004C20D2"/>
    <w:rsid w:val="004C4B62"/>
    <w:rsid w:val="004C54C9"/>
    <w:rsid w:val="004D450C"/>
    <w:rsid w:val="004D6025"/>
    <w:rsid w:val="004E2649"/>
    <w:rsid w:val="004E3E90"/>
    <w:rsid w:val="004E6FAC"/>
    <w:rsid w:val="00500E62"/>
    <w:rsid w:val="00501399"/>
    <w:rsid w:val="0050633D"/>
    <w:rsid w:val="0050778A"/>
    <w:rsid w:val="00507BC4"/>
    <w:rsid w:val="005128E4"/>
    <w:rsid w:val="005133DB"/>
    <w:rsid w:val="00525560"/>
    <w:rsid w:val="00544C49"/>
    <w:rsid w:val="005516A1"/>
    <w:rsid w:val="0057402A"/>
    <w:rsid w:val="005763A6"/>
    <w:rsid w:val="005771D0"/>
    <w:rsid w:val="0059191A"/>
    <w:rsid w:val="005921FF"/>
    <w:rsid w:val="00593C7A"/>
    <w:rsid w:val="005A6D0E"/>
    <w:rsid w:val="005B52B0"/>
    <w:rsid w:val="005B6806"/>
    <w:rsid w:val="005C4225"/>
    <w:rsid w:val="005F0DAD"/>
    <w:rsid w:val="005F0F33"/>
    <w:rsid w:val="00600DEB"/>
    <w:rsid w:val="00613DF7"/>
    <w:rsid w:val="00627C9F"/>
    <w:rsid w:val="006311E9"/>
    <w:rsid w:val="00632354"/>
    <w:rsid w:val="00635CE2"/>
    <w:rsid w:val="00642810"/>
    <w:rsid w:val="006474C5"/>
    <w:rsid w:val="00652333"/>
    <w:rsid w:val="006638C3"/>
    <w:rsid w:val="00671818"/>
    <w:rsid w:val="0068009E"/>
    <w:rsid w:val="006870F0"/>
    <w:rsid w:val="00692219"/>
    <w:rsid w:val="006A17D2"/>
    <w:rsid w:val="006A73E6"/>
    <w:rsid w:val="006B2D5C"/>
    <w:rsid w:val="006C4EB1"/>
    <w:rsid w:val="006E0166"/>
    <w:rsid w:val="006E7B34"/>
    <w:rsid w:val="0070697F"/>
    <w:rsid w:val="00711399"/>
    <w:rsid w:val="0072199C"/>
    <w:rsid w:val="00722C9F"/>
    <w:rsid w:val="007253B8"/>
    <w:rsid w:val="0072725D"/>
    <w:rsid w:val="0073741F"/>
    <w:rsid w:val="007528E2"/>
    <w:rsid w:val="0076643F"/>
    <w:rsid w:val="00776A2B"/>
    <w:rsid w:val="00777F63"/>
    <w:rsid w:val="007A5817"/>
    <w:rsid w:val="007B3198"/>
    <w:rsid w:val="007B60E9"/>
    <w:rsid w:val="007B6CC3"/>
    <w:rsid w:val="007C3334"/>
    <w:rsid w:val="007C707D"/>
    <w:rsid w:val="007D2B98"/>
    <w:rsid w:val="007E21BC"/>
    <w:rsid w:val="007E5156"/>
    <w:rsid w:val="007F2957"/>
    <w:rsid w:val="0080028D"/>
    <w:rsid w:val="00803F1C"/>
    <w:rsid w:val="0080600E"/>
    <w:rsid w:val="00817612"/>
    <w:rsid w:val="008338A4"/>
    <w:rsid w:val="00837C45"/>
    <w:rsid w:val="00844730"/>
    <w:rsid w:val="0084556B"/>
    <w:rsid w:val="008457C2"/>
    <w:rsid w:val="0085036F"/>
    <w:rsid w:val="00857A82"/>
    <w:rsid w:val="00872835"/>
    <w:rsid w:val="00873836"/>
    <w:rsid w:val="008801C7"/>
    <w:rsid w:val="00885737"/>
    <w:rsid w:val="00890650"/>
    <w:rsid w:val="00897E12"/>
    <w:rsid w:val="008A7E0F"/>
    <w:rsid w:val="008B12F5"/>
    <w:rsid w:val="008D755B"/>
    <w:rsid w:val="008D768D"/>
    <w:rsid w:val="008E3759"/>
    <w:rsid w:val="008F1912"/>
    <w:rsid w:val="00901874"/>
    <w:rsid w:val="0090270B"/>
    <w:rsid w:val="009041DC"/>
    <w:rsid w:val="00917B5A"/>
    <w:rsid w:val="00920A58"/>
    <w:rsid w:val="00920A8C"/>
    <w:rsid w:val="00925A7A"/>
    <w:rsid w:val="00934A2C"/>
    <w:rsid w:val="00936BB9"/>
    <w:rsid w:val="009661C5"/>
    <w:rsid w:val="0096706E"/>
    <w:rsid w:val="00975C4E"/>
    <w:rsid w:val="00981FBA"/>
    <w:rsid w:val="00997BC5"/>
    <w:rsid w:val="009A4F41"/>
    <w:rsid w:val="009B381B"/>
    <w:rsid w:val="009D1753"/>
    <w:rsid w:val="009D3C47"/>
    <w:rsid w:val="009D7611"/>
    <w:rsid w:val="009E0B61"/>
    <w:rsid w:val="009E53DE"/>
    <w:rsid w:val="00A021D8"/>
    <w:rsid w:val="00A15D55"/>
    <w:rsid w:val="00A24947"/>
    <w:rsid w:val="00A30046"/>
    <w:rsid w:val="00A328B3"/>
    <w:rsid w:val="00A47BA7"/>
    <w:rsid w:val="00A50FCF"/>
    <w:rsid w:val="00A528D1"/>
    <w:rsid w:val="00A610CD"/>
    <w:rsid w:val="00AA09A2"/>
    <w:rsid w:val="00AA7996"/>
    <w:rsid w:val="00AB5265"/>
    <w:rsid w:val="00AC00C0"/>
    <w:rsid w:val="00AC19CB"/>
    <w:rsid w:val="00AD3547"/>
    <w:rsid w:val="00AD57AD"/>
    <w:rsid w:val="00AE4547"/>
    <w:rsid w:val="00AE5488"/>
    <w:rsid w:val="00AE6F91"/>
    <w:rsid w:val="00AF5571"/>
    <w:rsid w:val="00B01CB7"/>
    <w:rsid w:val="00B07341"/>
    <w:rsid w:val="00B30539"/>
    <w:rsid w:val="00B314DB"/>
    <w:rsid w:val="00B361F2"/>
    <w:rsid w:val="00B3718B"/>
    <w:rsid w:val="00B4059F"/>
    <w:rsid w:val="00B4632A"/>
    <w:rsid w:val="00B530F1"/>
    <w:rsid w:val="00B63676"/>
    <w:rsid w:val="00B744AE"/>
    <w:rsid w:val="00B95F6D"/>
    <w:rsid w:val="00BA276C"/>
    <w:rsid w:val="00BB2423"/>
    <w:rsid w:val="00BB306F"/>
    <w:rsid w:val="00BD4B89"/>
    <w:rsid w:val="00BE4C43"/>
    <w:rsid w:val="00BF6FD8"/>
    <w:rsid w:val="00C03680"/>
    <w:rsid w:val="00C054DF"/>
    <w:rsid w:val="00C21762"/>
    <w:rsid w:val="00C22B84"/>
    <w:rsid w:val="00C23F10"/>
    <w:rsid w:val="00C24543"/>
    <w:rsid w:val="00C256A2"/>
    <w:rsid w:val="00C51515"/>
    <w:rsid w:val="00C5660B"/>
    <w:rsid w:val="00C66B72"/>
    <w:rsid w:val="00C75EB8"/>
    <w:rsid w:val="00C774F5"/>
    <w:rsid w:val="00C9567A"/>
    <w:rsid w:val="00CA614A"/>
    <w:rsid w:val="00CB212D"/>
    <w:rsid w:val="00CB2660"/>
    <w:rsid w:val="00CB6A58"/>
    <w:rsid w:val="00CC5E90"/>
    <w:rsid w:val="00CC667B"/>
    <w:rsid w:val="00CD046C"/>
    <w:rsid w:val="00CE076C"/>
    <w:rsid w:val="00CE1255"/>
    <w:rsid w:val="00CE5199"/>
    <w:rsid w:val="00CE66D5"/>
    <w:rsid w:val="00CF01AC"/>
    <w:rsid w:val="00CF637A"/>
    <w:rsid w:val="00D03846"/>
    <w:rsid w:val="00D059DE"/>
    <w:rsid w:val="00D07952"/>
    <w:rsid w:val="00D129D7"/>
    <w:rsid w:val="00D13FCE"/>
    <w:rsid w:val="00D306D1"/>
    <w:rsid w:val="00D34786"/>
    <w:rsid w:val="00D37BFC"/>
    <w:rsid w:val="00D47A8E"/>
    <w:rsid w:val="00D52D14"/>
    <w:rsid w:val="00D712D3"/>
    <w:rsid w:val="00D71422"/>
    <w:rsid w:val="00D72B79"/>
    <w:rsid w:val="00D72DC6"/>
    <w:rsid w:val="00D7558D"/>
    <w:rsid w:val="00D81D92"/>
    <w:rsid w:val="00D94D95"/>
    <w:rsid w:val="00DA7B5F"/>
    <w:rsid w:val="00DC11E7"/>
    <w:rsid w:val="00DC7023"/>
    <w:rsid w:val="00DC769A"/>
    <w:rsid w:val="00DD3D86"/>
    <w:rsid w:val="00DE38D5"/>
    <w:rsid w:val="00DF1EC4"/>
    <w:rsid w:val="00E0340B"/>
    <w:rsid w:val="00E04A90"/>
    <w:rsid w:val="00E219C7"/>
    <w:rsid w:val="00E311B6"/>
    <w:rsid w:val="00E34F72"/>
    <w:rsid w:val="00E43157"/>
    <w:rsid w:val="00E461CE"/>
    <w:rsid w:val="00E720CA"/>
    <w:rsid w:val="00E84EB5"/>
    <w:rsid w:val="00E85662"/>
    <w:rsid w:val="00E8789F"/>
    <w:rsid w:val="00E97B71"/>
    <w:rsid w:val="00EA3D34"/>
    <w:rsid w:val="00EB01E6"/>
    <w:rsid w:val="00EB1649"/>
    <w:rsid w:val="00EB454D"/>
    <w:rsid w:val="00EB6EFB"/>
    <w:rsid w:val="00EC3106"/>
    <w:rsid w:val="00ED580D"/>
    <w:rsid w:val="00ED76BE"/>
    <w:rsid w:val="00EF619B"/>
    <w:rsid w:val="00F00B55"/>
    <w:rsid w:val="00F02AD1"/>
    <w:rsid w:val="00F16861"/>
    <w:rsid w:val="00F253CC"/>
    <w:rsid w:val="00F2685A"/>
    <w:rsid w:val="00F37106"/>
    <w:rsid w:val="00F43C31"/>
    <w:rsid w:val="00F43C5B"/>
    <w:rsid w:val="00F50D55"/>
    <w:rsid w:val="00F519CF"/>
    <w:rsid w:val="00F56BA5"/>
    <w:rsid w:val="00F60515"/>
    <w:rsid w:val="00F60E22"/>
    <w:rsid w:val="00F81395"/>
    <w:rsid w:val="00F917D1"/>
    <w:rsid w:val="00F939D4"/>
    <w:rsid w:val="00F9653B"/>
    <w:rsid w:val="00FA4EF0"/>
    <w:rsid w:val="00FB62CF"/>
    <w:rsid w:val="00FB6503"/>
    <w:rsid w:val="00FD3C3B"/>
    <w:rsid w:val="00FD60D7"/>
    <w:rsid w:val="00FD703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3215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3215ED"/>
    <w:rPr>
      <w:sz w:val="20"/>
    </w:rPr>
  </w:style>
  <w:style w:type="paragraph" w:customStyle="1" w:styleId="Style2">
    <w:name w:val="Style 2"/>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E311B6"/>
    <w:rPr>
      <w:sz w:val="20"/>
      <w:szCs w:val="20"/>
    </w:rPr>
  </w:style>
  <w:style w:type="character" w:customStyle="1" w:styleId="CharacterStyle3">
    <w:name w:val="Character Style 3"/>
    <w:uiPriority w:val="99"/>
    <w:rsid w:val="00E311B6"/>
    <w:rPr>
      <w:rFonts w:ascii="Calibri" w:hAnsi="Calibri" w:cs="Calibri"/>
      <w:sz w:val="22"/>
      <w:szCs w:val="22"/>
    </w:rPr>
  </w:style>
  <w:style w:type="paragraph" w:styleId="NormalWeb">
    <w:name w:val="Normal (Web)"/>
    <w:basedOn w:val="Normal"/>
    <w:uiPriority w:val="99"/>
    <w:semiHidden/>
    <w:unhideWhenUsed/>
    <w:rsid w:val="003D16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7052">
      <w:bodyDiv w:val="1"/>
      <w:marLeft w:val="0"/>
      <w:marRight w:val="0"/>
      <w:marTop w:val="0"/>
      <w:marBottom w:val="0"/>
      <w:divBdr>
        <w:top w:val="none" w:sz="0" w:space="0" w:color="auto"/>
        <w:left w:val="none" w:sz="0" w:space="0" w:color="auto"/>
        <w:bottom w:val="none" w:sz="0" w:space="0" w:color="auto"/>
        <w:right w:val="none" w:sz="0" w:space="0" w:color="auto"/>
      </w:divBdr>
      <w:divsChild>
        <w:div w:id="1774549848">
          <w:marLeft w:val="0"/>
          <w:marRight w:val="0"/>
          <w:marTop w:val="0"/>
          <w:marBottom w:val="0"/>
          <w:divBdr>
            <w:top w:val="none" w:sz="0" w:space="0" w:color="auto"/>
            <w:left w:val="none" w:sz="0" w:space="0" w:color="auto"/>
            <w:bottom w:val="none" w:sz="0" w:space="0" w:color="auto"/>
            <w:right w:val="none" w:sz="0" w:space="0" w:color="auto"/>
          </w:divBdr>
          <w:divsChild>
            <w:div w:id="1277760493">
              <w:marLeft w:val="0"/>
              <w:marRight w:val="0"/>
              <w:marTop w:val="0"/>
              <w:marBottom w:val="0"/>
              <w:divBdr>
                <w:top w:val="none" w:sz="0" w:space="0" w:color="auto"/>
                <w:left w:val="none" w:sz="0" w:space="0" w:color="auto"/>
                <w:bottom w:val="none" w:sz="0" w:space="0" w:color="auto"/>
                <w:right w:val="none" w:sz="0" w:space="0" w:color="auto"/>
              </w:divBdr>
              <w:divsChild>
                <w:div w:id="135343893">
                  <w:marLeft w:val="0"/>
                  <w:marRight w:val="0"/>
                  <w:marTop w:val="0"/>
                  <w:marBottom w:val="0"/>
                  <w:divBdr>
                    <w:top w:val="none" w:sz="0" w:space="0" w:color="auto"/>
                    <w:left w:val="none" w:sz="0" w:space="0" w:color="auto"/>
                    <w:bottom w:val="none" w:sz="0" w:space="0" w:color="auto"/>
                    <w:right w:val="none" w:sz="0" w:space="0" w:color="auto"/>
                  </w:divBdr>
                  <w:divsChild>
                    <w:div w:id="2040623112">
                      <w:marLeft w:val="0"/>
                      <w:marRight w:val="0"/>
                      <w:marTop w:val="0"/>
                      <w:marBottom w:val="0"/>
                      <w:divBdr>
                        <w:top w:val="none" w:sz="0" w:space="0" w:color="auto"/>
                        <w:left w:val="none" w:sz="0" w:space="0" w:color="auto"/>
                        <w:bottom w:val="none" w:sz="0" w:space="0" w:color="auto"/>
                        <w:right w:val="none" w:sz="0" w:space="0" w:color="auto"/>
                      </w:divBdr>
                      <w:divsChild>
                        <w:div w:id="101922493">
                          <w:marLeft w:val="0"/>
                          <w:marRight w:val="0"/>
                          <w:marTop w:val="0"/>
                          <w:marBottom w:val="0"/>
                          <w:divBdr>
                            <w:top w:val="none" w:sz="0" w:space="0" w:color="auto"/>
                            <w:left w:val="none" w:sz="0" w:space="0" w:color="auto"/>
                            <w:bottom w:val="none" w:sz="0" w:space="0" w:color="auto"/>
                            <w:right w:val="none" w:sz="0" w:space="0" w:color="auto"/>
                          </w:divBdr>
                          <w:divsChild>
                            <w:div w:id="226191361">
                              <w:marLeft w:val="0"/>
                              <w:marRight w:val="0"/>
                              <w:marTop w:val="0"/>
                              <w:marBottom w:val="0"/>
                              <w:divBdr>
                                <w:top w:val="none" w:sz="0" w:space="0" w:color="auto"/>
                                <w:left w:val="none" w:sz="0" w:space="0" w:color="auto"/>
                                <w:bottom w:val="none" w:sz="0" w:space="0" w:color="auto"/>
                                <w:right w:val="none" w:sz="0" w:space="0" w:color="auto"/>
                              </w:divBdr>
                              <w:divsChild>
                                <w:div w:id="36587395">
                                  <w:marLeft w:val="0"/>
                                  <w:marRight w:val="0"/>
                                  <w:marTop w:val="0"/>
                                  <w:marBottom w:val="450"/>
                                  <w:divBdr>
                                    <w:top w:val="none" w:sz="0" w:space="0" w:color="auto"/>
                                    <w:left w:val="none" w:sz="0" w:space="0" w:color="auto"/>
                                    <w:bottom w:val="none" w:sz="0" w:space="0" w:color="auto"/>
                                    <w:right w:val="none" w:sz="0" w:space="0" w:color="auto"/>
                                  </w:divBdr>
                                  <w:divsChild>
                                    <w:div w:id="28992215">
                                      <w:marLeft w:val="0"/>
                                      <w:marRight w:val="0"/>
                                      <w:marTop w:val="0"/>
                                      <w:marBottom w:val="0"/>
                                      <w:divBdr>
                                        <w:top w:val="none" w:sz="0" w:space="0" w:color="auto"/>
                                        <w:left w:val="none" w:sz="0" w:space="0" w:color="auto"/>
                                        <w:bottom w:val="none" w:sz="0" w:space="0" w:color="auto"/>
                                        <w:right w:val="none" w:sz="0" w:space="0" w:color="auto"/>
                                      </w:divBdr>
                                      <w:divsChild>
                                        <w:div w:id="1315136329">
                                          <w:marLeft w:val="0"/>
                                          <w:marRight w:val="0"/>
                                          <w:marTop w:val="0"/>
                                          <w:marBottom w:val="0"/>
                                          <w:divBdr>
                                            <w:top w:val="none" w:sz="0" w:space="0" w:color="auto"/>
                                            <w:left w:val="none" w:sz="0" w:space="0" w:color="auto"/>
                                            <w:bottom w:val="none" w:sz="0" w:space="0" w:color="auto"/>
                                            <w:right w:val="none" w:sz="0" w:space="0" w:color="auto"/>
                                          </w:divBdr>
                                          <w:divsChild>
                                            <w:div w:id="1809973510">
                                              <w:marLeft w:val="0"/>
                                              <w:marRight w:val="0"/>
                                              <w:marTop w:val="0"/>
                                              <w:marBottom w:val="0"/>
                                              <w:divBdr>
                                                <w:top w:val="none" w:sz="0" w:space="0" w:color="auto"/>
                                                <w:left w:val="none" w:sz="0" w:space="0" w:color="auto"/>
                                                <w:bottom w:val="none" w:sz="0" w:space="0" w:color="auto"/>
                                                <w:right w:val="none" w:sz="0" w:space="0" w:color="auto"/>
                                              </w:divBdr>
                                              <w:divsChild>
                                                <w:div w:id="1337342449">
                                                  <w:marLeft w:val="0"/>
                                                  <w:marRight w:val="0"/>
                                                  <w:marTop w:val="0"/>
                                                  <w:marBottom w:val="0"/>
                                                  <w:divBdr>
                                                    <w:top w:val="none" w:sz="0" w:space="0" w:color="auto"/>
                                                    <w:left w:val="none" w:sz="0" w:space="0" w:color="auto"/>
                                                    <w:bottom w:val="none" w:sz="0" w:space="0" w:color="auto"/>
                                                    <w:right w:val="none" w:sz="0" w:space="0" w:color="auto"/>
                                                  </w:divBdr>
                                                  <w:divsChild>
                                                    <w:div w:id="1040207302">
                                                      <w:marLeft w:val="0"/>
                                                      <w:marRight w:val="0"/>
                                                      <w:marTop w:val="0"/>
                                                      <w:marBottom w:val="0"/>
                                                      <w:divBdr>
                                                        <w:top w:val="none" w:sz="0" w:space="0" w:color="auto"/>
                                                        <w:left w:val="none" w:sz="0" w:space="0" w:color="auto"/>
                                                        <w:bottom w:val="none" w:sz="0" w:space="0" w:color="auto"/>
                                                        <w:right w:val="none" w:sz="0" w:space="0" w:color="auto"/>
                                                      </w:divBdr>
                                                      <w:divsChild>
                                                        <w:div w:id="17848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31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i5IJcZ_0tVw&amp;t=13s" TargetMode="External"/><Relationship Id="rId1" Type="http://schemas.openxmlformats.org/officeDocument/2006/relationships/hyperlink" Target="http://www.oas.org/es/cidh/prensa/comunicados/2019/148.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078F-2522-4FC1-B25F-B9F7356E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3793</Words>
  <Characters>20107</Characters>
  <Application>Microsoft Office Word</Application>
  <DocSecurity>0</DocSecurity>
  <Lines>402</Lines>
  <Paragraphs>87</Paragraphs>
  <ScaleCrop>false</ScaleCrop>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103/19</dc:title>
  <dc:creator/>
  <cp:lastModifiedBy/>
  <cp:revision>1</cp:revision>
  <dcterms:created xsi:type="dcterms:W3CDTF">2019-07-22T13:52:00Z</dcterms:created>
  <dcterms:modified xsi:type="dcterms:W3CDTF">2019-07-22T13:52:00Z</dcterms:modified>
</cp:coreProperties>
</file>