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0D2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2956FAC" wp14:editId="29E9D7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1266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319F3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8B55D2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0C3F4F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89A7AD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6801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0C3CB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E83260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857C98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5ADBA6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9E917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93F0F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3F54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F99FADD"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AF4E933" wp14:editId="40A313E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50C87" w14:textId="3C56E68A" w:rsidR="00664B2A" w:rsidRPr="00664CF4" w:rsidRDefault="005C70E0" w:rsidP="00664B2A">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
                              </w:rPr>
                              <w:t>INFORME No.</w:t>
                            </w:r>
                            <w:r w:rsidR="00664B2A">
                              <w:rPr>
                                <w:rFonts w:asciiTheme="majorHAnsi" w:hAnsiTheme="majorHAnsi" w:cs="Arial"/>
                                <w:b/>
                                <w:bCs/>
                                <w:color w:val="0D0D0D" w:themeColor="text1" w:themeTint="F2"/>
                                <w:sz w:val="36"/>
                                <w:szCs w:val="40"/>
                                <w:lang w:val="es"/>
                              </w:rPr>
                              <w:t xml:space="preserve"> </w:t>
                            </w:r>
                            <w:r>
                              <w:rPr>
                                <w:rFonts w:asciiTheme="majorHAnsi" w:hAnsiTheme="majorHAnsi" w:cs="Arial"/>
                                <w:b/>
                                <w:bCs/>
                                <w:color w:val="0D0D0D" w:themeColor="text1" w:themeTint="F2"/>
                                <w:sz w:val="36"/>
                                <w:szCs w:val="40"/>
                                <w:lang w:val="es"/>
                              </w:rPr>
                              <w:t>219</w:t>
                            </w:r>
                            <w:r w:rsidR="00664B2A">
                              <w:rPr>
                                <w:rFonts w:asciiTheme="majorHAnsi" w:hAnsiTheme="majorHAnsi" w:cs="Arial"/>
                                <w:b/>
                                <w:bCs/>
                                <w:color w:val="0D0D0D" w:themeColor="text1" w:themeTint="F2"/>
                                <w:sz w:val="36"/>
                                <w:szCs w:val="40"/>
                                <w:lang w:val="es"/>
                              </w:rPr>
                              <w:t>/</w:t>
                            </w:r>
                            <w:r>
                              <w:rPr>
                                <w:rFonts w:asciiTheme="majorHAnsi" w:hAnsiTheme="majorHAnsi" w:cs="Arial"/>
                                <w:b/>
                                <w:bCs/>
                                <w:color w:val="0D0D0D" w:themeColor="text1" w:themeTint="F2"/>
                                <w:sz w:val="36"/>
                                <w:szCs w:val="40"/>
                                <w:lang w:val="es"/>
                              </w:rPr>
                              <w:t>19</w:t>
                            </w:r>
                          </w:p>
                          <w:p w14:paraId="25BE81D1" w14:textId="77777777" w:rsidR="00664B2A" w:rsidRPr="00664CF4" w:rsidRDefault="00664B2A" w:rsidP="00664B2A">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
                              </w:rPr>
                              <w:t>PETICIÓN 459-08</w:t>
                            </w:r>
                          </w:p>
                          <w:p w14:paraId="1887028C" w14:textId="77777777" w:rsidR="00664B2A" w:rsidRPr="005C70E0" w:rsidRDefault="00664B2A" w:rsidP="00664B2A">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
                              </w:rPr>
                              <w:t xml:space="preserve">INFORME DE ADMISIBILIDAD </w:t>
                            </w:r>
                          </w:p>
                          <w:p w14:paraId="0E79839D" w14:textId="77777777" w:rsidR="00664B2A" w:rsidRPr="005C70E0" w:rsidRDefault="00664B2A" w:rsidP="00664B2A">
                            <w:pPr>
                              <w:spacing w:line="276" w:lineRule="auto"/>
                              <w:rPr>
                                <w:rFonts w:asciiTheme="majorHAnsi" w:hAnsiTheme="majorHAnsi" w:cs="Arial"/>
                                <w:color w:val="0D0D0D" w:themeColor="text1" w:themeTint="F2"/>
                                <w:szCs w:val="22"/>
                                <w:lang w:val="es-US"/>
                              </w:rPr>
                            </w:pPr>
                          </w:p>
                          <w:p w14:paraId="66BACDD6" w14:textId="77777777" w:rsidR="00664B2A" w:rsidRPr="005C70E0" w:rsidRDefault="00664B2A" w:rsidP="00664B2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Pr>
                                <w:rFonts w:ascii="Cambria" w:hAnsi="Cambria" w:cs="Arial"/>
                                <w:color w:val="0D0D0D"/>
                                <w:szCs w:val="22"/>
                                <w:lang w:val="es"/>
                              </w:rPr>
                              <w:t xml:space="preserve">ANANT KUMAR TRIPATI </w:t>
                            </w:r>
                          </w:p>
                          <w:p w14:paraId="2777869A" w14:textId="77777777" w:rsidR="00664B2A" w:rsidRPr="005C70E0" w:rsidRDefault="00664B2A" w:rsidP="00664B2A">
                            <w:pPr>
                              <w:spacing w:line="276" w:lineRule="auto"/>
                              <w:rPr>
                                <w:rFonts w:asciiTheme="majorHAnsi" w:hAnsiTheme="majorHAnsi"/>
                                <w:color w:val="0D0D0D" w:themeColor="text1" w:themeTint="F2"/>
                                <w:lang w:val="es-US"/>
                              </w:rPr>
                            </w:pPr>
                            <w:r>
                              <w:rPr>
                                <w:rFonts w:ascii="Cambria" w:hAnsi="Cambria" w:cs="Arial"/>
                                <w:color w:val="0D0D0D"/>
                                <w:szCs w:val="22"/>
                                <w:lang w:val="es"/>
                              </w:rPr>
                              <w:t>ESTADOS UNIDOS DE AMÉRICA</w:t>
                            </w: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4E933"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D050C87" w14:textId="3C56E68A" w:rsidR="00664B2A" w:rsidRPr="00664CF4" w:rsidRDefault="005C70E0" w:rsidP="00664B2A">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
                        </w:rPr>
                        <w:t>INFORME No.</w:t>
                      </w:r>
                      <w:r w:rsidR="00664B2A">
                        <w:rPr>
                          <w:rFonts w:asciiTheme="majorHAnsi" w:hAnsiTheme="majorHAnsi" w:cs="Arial"/>
                          <w:b/>
                          <w:bCs/>
                          <w:color w:val="0D0D0D" w:themeColor="text1" w:themeTint="F2"/>
                          <w:sz w:val="36"/>
                          <w:szCs w:val="40"/>
                          <w:lang w:val="es"/>
                        </w:rPr>
                        <w:t xml:space="preserve"> </w:t>
                      </w:r>
                      <w:r>
                        <w:rPr>
                          <w:rFonts w:asciiTheme="majorHAnsi" w:hAnsiTheme="majorHAnsi" w:cs="Arial"/>
                          <w:b/>
                          <w:bCs/>
                          <w:color w:val="0D0D0D" w:themeColor="text1" w:themeTint="F2"/>
                          <w:sz w:val="36"/>
                          <w:szCs w:val="40"/>
                          <w:lang w:val="es"/>
                        </w:rPr>
                        <w:t>219</w:t>
                      </w:r>
                      <w:r w:rsidR="00664B2A">
                        <w:rPr>
                          <w:rFonts w:asciiTheme="majorHAnsi" w:hAnsiTheme="majorHAnsi" w:cs="Arial"/>
                          <w:b/>
                          <w:bCs/>
                          <w:color w:val="0D0D0D" w:themeColor="text1" w:themeTint="F2"/>
                          <w:sz w:val="36"/>
                          <w:szCs w:val="40"/>
                          <w:lang w:val="es"/>
                        </w:rPr>
                        <w:t>/</w:t>
                      </w:r>
                      <w:r>
                        <w:rPr>
                          <w:rFonts w:asciiTheme="majorHAnsi" w:hAnsiTheme="majorHAnsi" w:cs="Arial"/>
                          <w:b/>
                          <w:bCs/>
                          <w:color w:val="0D0D0D" w:themeColor="text1" w:themeTint="F2"/>
                          <w:sz w:val="36"/>
                          <w:szCs w:val="40"/>
                          <w:lang w:val="es"/>
                        </w:rPr>
                        <w:t>19</w:t>
                      </w:r>
                    </w:p>
                    <w:p w14:paraId="25BE81D1" w14:textId="77777777" w:rsidR="00664B2A" w:rsidRPr="00664CF4" w:rsidRDefault="00664B2A" w:rsidP="00664B2A">
                      <w:pPr>
                        <w:spacing w:line="276" w:lineRule="auto"/>
                        <w:rPr>
                          <w:rFonts w:asciiTheme="majorHAnsi" w:hAnsiTheme="majorHAnsi" w:cs="Arial"/>
                          <w:b/>
                          <w:bCs/>
                          <w:color w:val="0D0D0D" w:themeColor="text1" w:themeTint="F2"/>
                          <w:sz w:val="36"/>
                          <w:szCs w:val="40"/>
                          <w:lang w:val="es-ES"/>
                        </w:rPr>
                      </w:pPr>
                      <w:r>
                        <w:rPr>
                          <w:rFonts w:asciiTheme="majorHAnsi" w:hAnsiTheme="majorHAnsi" w:cs="Arial"/>
                          <w:b/>
                          <w:bCs/>
                          <w:color w:val="0D0D0D" w:themeColor="text1" w:themeTint="F2"/>
                          <w:sz w:val="36"/>
                          <w:szCs w:val="40"/>
                          <w:lang w:val="es"/>
                        </w:rPr>
                        <w:t>PETICIÓN 459-08</w:t>
                      </w:r>
                    </w:p>
                    <w:p w14:paraId="1887028C" w14:textId="77777777" w:rsidR="00664B2A" w:rsidRPr="005C70E0" w:rsidRDefault="00664B2A" w:rsidP="00664B2A">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
                        </w:rPr>
                        <w:t xml:space="preserve">INFORME DE ADMISIBILIDAD </w:t>
                      </w:r>
                    </w:p>
                    <w:p w14:paraId="0E79839D" w14:textId="77777777" w:rsidR="00664B2A" w:rsidRPr="005C70E0" w:rsidRDefault="00664B2A" w:rsidP="00664B2A">
                      <w:pPr>
                        <w:spacing w:line="276" w:lineRule="auto"/>
                        <w:rPr>
                          <w:rFonts w:asciiTheme="majorHAnsi" w:hAnsiTheme="majorHAnsi" w:cs="Arial"/>
                          <w:color w:val="0D0D0D" w:themeColor="text1" w:themeTint="F2"/>
                          <w:szCs w:val="22"/>
                          <w:lang w:val="es-US"/>
                        </w:rPr>
                      </w:pPr>
                    </w:p>
                    <w:p w14:paraId="66BACDD6" w14:textId="77777777" w:rsidR="00664B2A" w:rsidRPr="005C70E0" w:rsidRDefault="00664B2A" w:rsidP="00664B2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Pr>
                          <w:rFonts w:ascii="Cambria" w:hAnsi="Cambria" w:cs="Arial"/>
                          <w:color w:val="0D0D0D"/>
                          <w:szCs w:val="22"/>
                          <w:lang w:val="es"/>
                        </w:rPr>
                        <w:t xml:space="preserve">ANANT KUMAR TRIPATI </w:t>
                      </w:r>
                    </w:p>
                    <w:p w14:paraId="2777869A" w14:textId="77777777" w:rsidR="00664B2A" w:rsidRPr="005C70E0" w:rsidRDefault="00664B2A" w:rsidP="00664B2A">
                      <w:pPr>
                        <w:spacing w:line="276" w:lineRule="auto"/>
                        <w:rPr>
                          <w:rFonts w:asciiTheme="majorHAnsi" w:hAnsiTheme="majorHAnsi"/>
                          <w:color w:val="0D0D0D" w:themeColor="text1" w:themeTint="F2"/>
                          <w:lang w:val="es-US"/>
                        </w:rPr>
                      </w:pPr>
                      <w:r>
                        <w:rPr>
                          <w:rFonts w:ascii="Cambria" w:hAnsi="Cambria" w:cs="Arial"/>
                          <w:color w:val="0D0D0D"/>
                          <w:szCs w:val="22"/>
                          <w:lang w:val="es"/>
                        </w:rPr>
                        <w:t>ESTADOS UNIDOS DE AMÉRICA</w:t>
                      </w: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71CEC290"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6045D379"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C70E0">
                              <w:rPr>
                                <w:rFonts w:asciiTheme="minorHAnsi" w:hAnsiTheme="minorHAnsi"/>
                                <w:color w:val="FFFFFF" w:themeColor="background1"/>
                                <w:sz w:val="22"/>
                                <w:lang w:val="pt-BR"/>
                              </w:rPr>
                              <w:t>246</w:t>
                            </w:r>
                          </w:p>
                          <w:p w14:paraId="06176FA9" w14:textId="38E29E65" w:rsidR="0099258D" w:rsidRPr="007160BD" w:rsidRDefault="005C70E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octubre</w:t>
                            </w:r>
                            <w:r w:rsidR="0099258D" w:rsidRPr="007160BD">
                              <w:rPr>
                                <w:rFonts w:asciiTheme="minorHAnsi" w:hAnsiTheme="minorHAnsi"/>
                                <w:color w:val="FFFFFF" w:themeColor="background1"/>
                                <w:sz w:val="22"/>
                                <w:lang w:val="es-US"/>
                              </w:rPr>
                              <w:t xml:space="preserve">  201</w:t>
                            </w:r>
                            <w:r w:rsidR="00802833">
                              <w:rPr>
                                <w:rFonts w:asciiTheme="minorHAnsi" w:hAnsiTheme="minorHAnsi"/>
                                <w:color w:val="FFFFFF" w:themeColor="background1"/>
                                <w:sz w:val="22"/>
                                <w:lang w:val="es-US"/>
                              </w:rPr>
                              <w:t>9</w:t>
                            </w:r>
                          </w:p>
                          <w:p w14:paraId="4C234916" w14:textId="6D5AEA22"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797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71CEC290"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6045D379"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5C70E0">
                        <w:rPr>
                          <w:rFonts w:asciiTheme="minorHAnsi" w:hAnsiTheme="minorHAnsi"/>
                          <w:color w:val="FFFFFF" w:themeColor="background1"/>
                          <w:sz w:val="22"/>
                          <w:lang w:val="pt-BR"/>
                        </w:rPr>
                        <w:t>246</w:t>
                      </w:r>
                    </w:p>
                    <w:p w14:paraId="06176FA9" w14:textId="38E29E65" w:rsidR="0099258D" w:rsidRPr="007160BD" w:rsidRDefault="005C70E0"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octubre</w:t>
                      </w:r>
                      <w:r w:rsidR="0099258D" w:rsidRPr="007160BD">
                        <w:rPr>
                          <w:rFonts w:asciiTheme="minorHAnsi" w:hAnsiTheme="minorHAnsi"/>
                          <w:color w:val="FFFFFF" w:themeColor="background1"/>
                          <w:sz w:val="22"/>
                          <w:lang w:val="es-US"/>
                        </w:rPr>
                        <w:t xml:space="preserve">  201</w:t>
                      </w:r>
                      <w:r w:rsidR="00802833">
                        <w:rPr>
                          <w:rFonts w:asciiTheme="minorHAnsi" w:hAnsiTheme="minorHAnsi"/>
                          <w:color w:val="FFFFFF" w:themeColor="background1"/>
                          <w:sz w:val="22"/>
                          <w:lang w:val="es-US"/>
                        </w:rPr>
                        <w:t>9</w:t>
                      </w:r>
                    </w:p>
                    <w:p w14:paraId="4C234916" w14:textId="6D5AEA22"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9D14E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380C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33FC7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E8448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9A90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A8DF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8476E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AD3A46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5643A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C6E47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C40B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506DE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87DD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3B7C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387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D0F58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684D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6B71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DDC3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9E875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BBA3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C83C4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C83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CCE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F3E9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4CA3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2466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86BB8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40FD2AA" wp14:editId="1E11B2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B078A" w14:textId="05F844B5"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C70E0">
                              <w:rPr>
                                <w:rFonts w:asciiTheme="majorHAnsi" w:hAnsiTheme="majorHAnsi"/>
                                <w:color w:val="0D0D0D" w:themeColor="text1" w:themeTint="F2"/>
                                <w:sz w:val="18"/>
                                <w:szCs w:val="22"/>
                                <w:lang w:val="es-ES"/>
                              </w:rPr>
                              <w:t xml:space="preserve">24 de octubre </w:t>
                            </w:r>
                            <w:r w:rsidRPr="00890650">
                              <w:rPr>
                                <w:rFonts w:asciiTheme="majorHAnsi" w:hAnsiTheme="majorHAnsi"/>
                                <w:color w:val="0D0D0D" w:themeColor="text1" w:themeTint="F2"/>
                                <w:sz w:val="18"/>
                                <w:szCs w:val="22"/>
                                <w:lang w:val="es-ES"/>
                              </w:rPr>
                              <w:t>de 201</w:t>
                            </w:r>
                            <w:r w:rsidR="00802833">
                              <w:rPr>
                                <w:rFonts w:asciiTheme="majorHAnsi" w:hAnsiTheme="majorHAnsi"/>
                                <w:color w:val="0D0D0D" w:themeColor="text1" w:themeTint="F2"/>
                                <w:sz w:val="18"/>
                                <w:szCs w:val="22"/>
                                <w:lang w:val="es-ES"/>
                              </w:rPr>
                              <w:t>9</w:t>
                            </w:r>
                            <w:r w:rsidR="005C70E0">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D2A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51B078A" w14:textId="05F844B5"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C70E0">
                        <w:rPr>
                          <w:rFonts w:asciiTheme="majorHAnsi" w:hAnsiTheme="majorHAnsi"/>
                          <w:color w:val="0D0D0D" w:themeColor="text1" w:themeTint="F2"/>
                          <w:sz w:val="18"/>
                          <w:szCs w:val="22"/>
                          <w:lang w:val="es-ES"/>
                        </w:rPr>
                        <w:t xml:space="preserve">24 de octubre </w:t>
                      </w:r>
                      <w:r w:rsidRPr="00890650">
                        <w:rPr>
                          <w:rFonts w:asciiTheme="majorHAnsi" w:hAnsiTheme="majorHAnsi"/>
                          <w:color w:val="0D0D0D" w:themeColor="text1" w:themeTint="F2"/>
                          <w:sz w:val="18"/>
                          <w:szCs w:val="22"/>
                          <w:lang w:val="es-ES"/>
                        </w:rPr>
                        <w:t>de 201</w:t>
                      </w:r>
                      <w:r w:rsidR="00802833">
                        <w:rPr>
                          <w:rFonts w:asciiTheme="majorHAnsi" w:hAnsiTheme="majorHAnsi"/>
                          <w:color w:val="0D0D0D" w:themeColor="text1" w:themeTint="F2"/>
                          <w:sz w:val="18"/>
                          <w:szCs w:val="22"/>
                          <w:lang w:val="es-ES"/>
                        </w:rPr>
                        <w:t>9</w:t>
                      </w:r>
                      <w:r w:rsidR="005C70E0">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D431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53DD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5C42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79EA2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7F6E461" wp14:editId="45A41C7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42104A1E"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725B5">
                              <w:rPr>
                                <w:rFonts w:asciiTheme="majorHAnsi" w:hAnsiTheme="majorHAnsi"/>
                                <w:color w:val="595959" w:themeColor="text1" w:themeTint="A6"/>
                                <w:sz w:val="18"/>
                                <w:szCs w:val="18"/>
                                <w:lang w:val="es-ES_tradnl"/>
                              </w:rPr>
                              <w:t>[</w:t>
                            </w:r>
                            <w:r w:rsidR="005C70E0">
                              <w:rPr>
                                <w:rFonts w:asciiTheme="majorHAnsi" w:hAnsiTheme="majorHAnsi"/>
                                <w:color w:val="595959" w:themeColor="text1" w:themeTint="A6"/>
                                <w:sz w:val="18"/>
                                <w:szCs w:val="18"/>
                                <w:lang w:val="es-ES_tradnl"/>
                              </w:rPr>
                              <w:t>219</w:t>
                            </w:r>
                            <w:r w:rsidR="00C725B5">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w:t>
                            </w:r>
                            <w:r w:rsidR="00802833">
                              <w:rPr>
                                <w:rFonts w:asciiTheme="majorHAnsi" w:hAnsiTheme="majorHAnsi"/>
                                <w:color w:val="595959" w:themeColor="text1" w:themeTint="A6"/>
                                <w:sz w:val="18"/>
                                <w:szCs w:val="18"/>
                                <w:lang w:val="es-ES_tradnl"/>
                              </w:rPr>
                              <w:t>9</w:t>
                            </w:r>
                            <w:r w:rsidR="005C70E0">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5C70E0">
                              <w:rPr>
                                <w:rFonts w:asciiTheme="majorHAnsi" w:hAnsiTheme="majorHAnsi"/>
                                <w:color w:val="595959" w:themeColor="text1" w:themeTint="A6"/>
                                <w:sz w:val="18"/>
                                <w:szCs w:val="18"/>
                                <w:lang w:val="es-ES_tradnl"/>
                              </w:rPr>
                              <w:t xml:space="preserve">. </w:t>
                            </w:r>
                            <w:proofErr w:type="spellStart"/>
                            <w:r w:rsidR="005C70E0">
                              <w:rPr>
                                <w:rFonts w:asciiTheme="majorHAnsi" w:hAnsiTheme="majorHAnsi"/>
                                <w:color w:val="595959" w:themeColor="text1" w:themeTint="A6"/>
                                <w:sz w:val="18"/>
                                <w:szCs w:val="18"/>
                                <w:lang w:val="es-ES_tradnl"/>
                              </w:rPr>
                              <w:t>Anant</w:t>
                            </w:r>
                            <w:proofErr w:type="spellEnd"/>
                            <w:r w:rsidR="005C70E0">
                              <w:rPr>
                                <w:rFonts w:asciiTheme="majorHAnsi" w:hAnsiTheme="majorHAnsi"/>
                                <w:color w:val="595959" w:themeColor="text1" w:themeTint="A6"/>
                                <w:sz w:val="18"/>
                                <w:szCs w:val="18"/>
                                <w:lang w:val="es-ES_tradnl"/>
                              </w:rPr>
                              <w:t xml:space="preserve"> </w:t>
                            </w:r>
                            <w:proofErr w:type="spellStart"/>
                            <w:r w:rsidR="005C70E0">
                              <w:rPr>
                                <w:rFonts w:asciiTheme="majorHAnsi" w:hAnsiTheme="majorHAnsi"/>
                                <w:color w:val="595959" w:themeColor="text1" w:themeTint="A6"/>
                                <w:sz w:val="18"/>
                                <w:szCs w:val="18"/>
                                <w:lang w:val="es-ES_tradnl"/>
                              </w:rPr>
                              <w:t>Kumar</w:t>
                            </w:r>
                            <w:proofErr w:type="spellEnd"/>
                            <w:r w:rsidR="005C70E0">
                              <w:rPr>
                                <w:rFonts w:asciiTheme="majorHAnsi" w:hAnsiTheme="majorHAnsi"/>
                                <w:color w:val="595959" w:themeColor="text1" w:themeTint="A6"/>
                                <w:sz w:val="18"/>
                                <w:szCs w:val="18"/>
                                <w:lang w:val="es-ES_tradnl"/>
                              </w:rPr>
                              <w:t xml:space="preserve"> </w:t>
                            </w:r>
                            <w:proofErr w:type="spellStart"/>
                            <w:r w:rsidR="005C70E0">
                              <w:rPr>
                                <w:rFonts w:asciiTheme="majorHAnsi" w:hAnsiTheme="majorHAnsi"/>
                                <w:color w:val="595959" w:themeColor="text1" w:themeTint="A6"/>
                                <w:sz w:val="18"/>
                                <w:szCs w:val="18"/>
                                <w:lang w:val="es-ES_tradnl"/>
                              </w:rPr>
                              <w:t>Tripati</w:t>
                            </w:r>
                            <w:proofErr w:type="spellEnd"/>
                            <w:r w:rsidR="005C70E0">
                              <w:rPr>
                                <w:rFonts w:asciiTheme="majorHAnsi" w:hAnsiTheme="majorHAnsi"/>
                                <w:color w:val="595959" w:themeColor="text1" w:themeTint="A6"/>
                                <w:sz w:val="18"/>
                                <w:szCs w:val="18"/>
                                <w:lang w:val="es-ES_tradnl"/>
                              </w:rPr>
                              <w:t>. Estados Unidos de América. 24 de octubre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E46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42104A1E"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725B5">
                        <w:rPr>
                          <w:rFonts w:asciiTheme="majorHAnsi" w:hAnsiTheme="majorHAnsi"/>
                          <w:color w:val="595959" w:themeColor="text1" w:themeTint="A6"/>
                          <w:sz w:val="18"/>
                          <w:szCs w:val="18"/>
                          <w:lang w:val="es-ES_tradnl"/>
                        </w:rPr>
                        <w:t>[</w:t>
                      </w:r>
                      <w:r w:rsidR="005C70E0">
                        <w:rPr>
                          <w:rFonts w:asciiTheme="majorHAnsi" w:hAnsiTheme="majorHAnsi"/>
                          <w:color w:val="595959" w:themeColor="text1" w:themeTint="A6"/>
                          <w:sz w:val="18"/>
                          <w:szCs w:val="18"/>
                          <w:lang w:val="es-ES_tradnl"/>
                        </w:rPr>
                        <w:t>219</w:t>
                      </w:r>
                      <w:r w:rsidR="00C725B5">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1</w:t>
                      </w:r>
                      <w:r w:rsidR="00802833">
                        <w:rPr>
                          <w:rFonts w:asciiTheme="majorHAnsi" w:hAnsiTheme="majorHAnsi"/>
                          <w:color w:val="595959" w:themeColor="text1" w:themeTint="A6"/>
                          <w:sz w:val="18"/>
                          <w:szCs w:val="18"/>
                          <w:lang w:val="es-ES_tradnl"/>
                        </w:rPr>
                        <w:t>9</w:t>
                      </w:r>
                      <w:r w:rsidR="005C70E0">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5C70E0">
                        <w:rPr>
                          <w:rFonts w:asciiTheme="majorHAnsi" w:hAnsiTheme="majorHAnsi"/>
                          <w:color w:val="595959" w:themeColor="text1" w:themeTint="A6"/>
                          <w:sz w:val="18"/>
                          <w:szCs w:val="18"/>
                          <w:lang w:val="es-ES_tradnl"/>
                        </w:rPr>
                        <w:t xml:space="preserve">. </w:t>
                      </w:r>
                      <w:proofErr w:type="spellStart"/>
                      <w:r w:rsidR="005C70E0">
                        <w:rPr>
                          <w:rFonts w:asciiTheme="majorHAnsi" w:hAnsiTheme="majorHAnsi"/>
                          <w:color w:val="595959" w:themeColor="text1" w:themeTint="A6"/>
                          <w:sz w:val="18"/>
                          <w:szCs w:val="18"/>
                          <w:lang w:val="es-ES_tradnl"/>
                        </w:rPr>
                        <w:t>Anant</w:t>
                      </w:r>
                      <w:proofErr w:type="spellEnd"/>
                      <w:r w:rsidR="005C70E0">
                        <w:rPr>
                          <w:rFonts w:asciiTheme="majorHAnsi" w:hAnsiTheme="majorHAnsi"/>
                          <w:color w:val="595959" w:themeColor="text1" w:themeTint="A6"/>
                          <w:sz w:val="18"/>
                          <w:szCs w:val="18"/>
                          <w:lang w:val="es-ES_tradnl"/>
                        </w:rPr>
                        <w:t xml:space="preserve"> </w:t>
                      </w:r>
                      <w:proofErr w:type="spellStart"/>
                      <w:r w:rsidR="005C70E0">
                        <w:rPr>
                          <w:rFonts w:asciiTheme="majorHAnsi" w:hAnsiTheme="majorHAnsi"/>
                          <w:color w:val="595959" w:themeColor="text1" w:themeTint="A6"/>
                          <w:sz w:val="18"/>
                          <w:szCs w:val="18"/>
                          <w:lang w:val="es-ES_tradnl"/>
                        </w:rPr>
                        <w:t>Kumar</w:t>
                      </w:r>
                      <w:proofErr w:type="spellEnd"/>
                      <w:r w:rsidR="005C70E0">
                        <w:rPr>
                          <w:rFonts w:asciiTheme="majorHAnsi" w:hAnsiTheme="majorHAnsi"/>
                          <w:color w:val="595959" w:themeColor="text1" w:themeTint="A6"/>
                          <w:sz w:val="18"/>
                          <w:szCs w:val="18"/>
                          <w:lang w:val="es-ES_tradnl"/>
                        </w:rPr>
                        <w:t xml:space="preserve"> </w:t>
                      </w:r>
                      <w:proofErr w:type="spellStart"/>
                      <w:r w:rsidR="005C70E0">
                        <w:rPr>
                          <w:rFonts w:asciiTheme="majorHAnsi" w:hAnsiTheme="majorHAnsi"/>
                          <w:color w:val="595959" w:themeColor="text1" w:themeTint="A6"/>
                          <w:sz w:val="18"/>
                          <w:szCs w:val="18"/>
                          <w:lang w:val="es-ES_tradnl"/>
                        </w:rPr>
                        <w:t>Tripati</w:t>
                      </w:r>
                      <w:proofErr w:type="spellEnd"/>
                      <w:r w:rsidR="005C70E0">
                        <w:rPr>
                          <w:rFonts w:asciiTheme="majorHAnsi" w:hAnsiTheme="majorHAnsi"/>
                          <w:color w:val="595959" w:themeColor="text1" w:themeTint="A6"/>
                          <w:sz w:val="18"/>
                          <w:szCs w:val="18"/>
                          <w:lang w:val="es-ES_tradnl"/>
                        </w:rPr>
                        <w:t>. Estados Unidos de América. 24 de octubre de 2019.</w:t>
                      </w:r>
                    </w:p>
                  </w:txbxContent>
                </v:textbox>
              </v:shape>
            </w:pict>
          </mc:Fallback>
        </mc:AlternateContent>
      </w:r>
    </w:p>
    <w:p w14:paraId="23181C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0A47E5"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3E559D9" wp14:editId="50B4B86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839B77D" wp14:editId="59413B1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59D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AEAAA1D"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839B77D" wp14:editId="59413B1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012B702" wp14:editId="2903AA0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B70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B2ED5B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664B2A" w:rsidRPr="003C40D3" w14:paraId="14353E3A" w14:textId="77777777" w:rsidTr="00664B2A">
        <w:tc>
          <w:tcPr>
            <w:tcW w:w="3544" w:type="dxa"/>
            <w:tcBorders>
              <w:top w:val="single" w:sz="4" w:space="0" w:color="auto"/>
              <w:bottom w:val="single" w:sz="6" w:space="0" w:color="auto"/>
            </w:tcBorders>
            <w:shd w:val="clear" w:color="auto" w:fill="386294"/>
            <w:vAlign w:val="center"/>
          </w:tcPr>
          <w:p w14:paraId="0EC9DE2C" w14:textId="0C40496A" w:rsidR="00664B2A" w:rsidRPr="003C40D3" w:rsidRDefault="00664B2A" w:rsidP="00664B2A">
            <w:pPr>
              <w:jc w:val="center"/>
              <w:rPr>
                <w:rFonts w:ascii="Cambria" w:hAnsi="Cambria"/>
                <w:color w:val="FFFFFF" w:themeColor="background1"/>
                <w:sz w:val="19"/>
                <w:szCs w:val="19"/>
                <w:lang w:val="es-ES"/>
              </w:rPr>
            </w:pPr>
            <w:r w:rsidRPr="003C40D3">
              <w:rPr>
                <w:rFonts w:ascii="Cambria" w:hAnsi="Cambria"/>
                <w:color w:val="FFFFFF" w:themeColor="background1"/>
                <w:sz w:val="19"/>
                <w:szCs w:val="19"/>
                <w:lang w:val="es-ES"/>
              </w:rPr>
              <w:t>Parte peticionaria</w:t>
            </w:r>
          </w:p>
        </w:tc>
        <w:tc>
          <w:tcPr>
            <w:tcW w:w="5812" w:type="dxa"/>
          </w:tcPr>
          <w:p w14:paraId="35619403" w14:textId="20CC1846" w:rsidR="00664B2A" w:rsidRPr="003C40D3" w:rsidRDefault="00664B2A" w:rsidP="00664B2A">
            <w:pPr>
              <w:jc w:val="both"/>
              <w:rPr>
                <w:rFonts w:ascii="Cambria" w:hAnsi="Cambria"/>
                <w:sz w:val="20"/>
                <w:szCs w:val="20"/>
                <w:lang w:val="es-ES"/>
              </w:rPr>
            </w:pPr>
            <w:proofErr w:type="spellStart"/>
            <w:r w:rsidRPr="003C40D3">
              <w:rPr>
                <w:rFonts w:asciiTheme="majorHAnsi" w:hAnsiTheme="majorHAnsi"/>
                <w:sz w:val="19"/>
                <w:szCs w:val="19"/>
                <w:lang w:val="es-ES"/>
              </w:rPr>
              <w:t>Anant</w:t>
            </w:r>
            <w:proofErr w:type="spellEnd"/>
            <w:r w:rsidRPr="003C40D3">
              <w:rPr>
                <w:rFonts w:asciiTheme="majorHAnsi" w:hAnsiTheme="majorHAnsi"/>
                <w:sz w:val="19"/>
                <w:szCs w:val="19"/>
                <w:lang w:val="es-ES"/>
              </w:rPr>
              <w:t xml:space="preserve"> </w:t>
            </w:r>
            <w:proofErr w:type="spellStart"/>
            <w:r w:rsidRPr="003C40D3">
              <w:rPr>
                <w:rFonts w:asciiTheme="majorHAnsi" w:hAnsiTheme="majorHAnsi"/>
                <w:sz w:val="19"/>
                <w:szCs w:val="19"/>
                <w:lang w:val="es-ES"/>
              </w:rPr>
              <w:t>Kumar</w:t>
            </w:r>
            <w:proofErr w:type="spellEnd"/>
            <w:r w:rsidRPr="003C40D3">
              <w:rPr>
                <w:rFonts w:asciiTheme="majorHAnsi" w:hAnsiTheme="majorHAnsi"/>
                <w:sz w:val="19"/>
                <w:szCs w:val="19"/>
                <w:lang w:val="es-ES"/>
              </w:rPr>
              <w:t xml:space="preserve"> </w:t>
            </w:r>
            <w:proofErr w:type="spellStart"/>
            <w:r w:rsidRPr="003C40D3">
              <w:rPr>
                <w:rFonts w:asciiTheme="majorHAnsi" w:hAnsiTheme="majorHAnsi"/>
                <w:sz w:val="19"/>
                <w:szCs w:val="19"/>
                <w:lang w:val="es-ES"/>
              </w:rPr>
              <w:t>Tripati</w:t>
            </w:r>
            <w:proofErr w:type="spellEnd"/>
            <w:r w:rsidRPr="003C40D3">
              <w:rPr>
                <w:rFonts w:asciiTheme="majorHAnsi" w:hAnsiTheme="majorHAnsi"/>
                <w:sz w:val="19"/>
                <w:szCs w:val="19"/>
                <w:vertAlign w:val="superscript"/>
                <w:lang w:val="es-ES"/>
              </w:rPr>
              <w:footnoteReference w:id="2"/>
            </w:r>
            <w:r w:rsidRPr="003C40D3">
              <w:rPr>
                <w:rFonts w:asciiTheme="majorHAnsi" w:hAnsiTheme="majorHAnsi"/>
                <w:sz w:val="19"/>
                <w:szCs w:val="19"/>
                <w:lang w:val="es-ES"/>
              </w:rPr>
              <w:t xml:space="preserve">  </w:t>
            </w:r>
          </w:p>
        </w:tc>
      </w:tr>
      <w:tr w:rsidR="00664B2A" w:rsidRPr="003C40D3" w14:paraId="2355CD53" w14:textId="77777777" w:rsidTr="00664B2A">
        <w:tc>
          <w:tcPr>
            <w:tcW w:w="3544" w:type="dxa"/>
            <w:tcBorders>
              <w:top w:val="single" w:sz="6" w:space="0" w:color="auto"/>
              <w:bottom w:val="single" w:sz="6" w:space="0" w:color="auto"/>
            </w:tcBorders>
            <w:shd w:val="clear" w:color="auto" w:fill="386294"/>
            <w:vAlign w:val="center"/>
          </w:tcPr>
          <w:p w14:paraId="59A0E4B3" w14:textId="194D21E1" w:rsidR="00664B2A" w:rsidRPr="003C40D3" w:rsidRDefault="002419D0" w:rsidP="00664B2A">
            <w:pPr>
              <w:jc w:val="center"/>
              <w:rPr>
                <w:rFonts w:ascii="Cambria" w:hAnsi="Cambria"/>
                <w:color w:val="FFFFFF" w:themeColor="background1"/>
                <w:sz w:val="19"/>
                <w:szCs w:val="19"/>
                <w:lang w:val="es-ES"/>
              </w:rPr>
            </w:pPr>
            <w:sdt>
              <w:sdtPr>
                <w:rPr>
                  <w:rFonts w:ascii="Cambria" w:hAnsi="Cambria"/>
                  <w:color w:val="FFFFFF" w:themeColor="background1"/>
                  <w:sz w:val="19"/>
                  <w:szCs w:val="19"/>
                  <w:lang w:val="es-ES"/>
                </w:rPr>
                <w:alias w:val="Elegir una opción"/>
                <w:tag w:val="Elegir una opción"/>
                <w:id w:val="931095713"/>
                <w:placeholder>
                  <w:docPart w:val="B1FE9B4785F0495CBBA98EAEFA354A25"/>
                </w:placeholder>
                <w:dropDownList>
                  <w:listItem w:value="Choose an item."/>
                  <w:listItem w:displayText="Presunta víctima" w:value="Presunta víctima"/>
                  <w:listItem w:displayText="Presuntas víctimas" w:value="Presuntas víctimas"/>
                </w:dropDownList>
              </w:sdtPr>
              <w:sdtEndPr/>
              <w:sdtContent>
                <w:r w:rsidR="00664B2A" w:rsidRPr="003C40D3">
                  <w:rPr>
                    <w:rFonts w:ascii="Cambria" w:hAnsi="Cambria"/>
                    <w:color w:val="FFFFFF" w:themeColor="background1"/>
                    <w:sz w:val="19"/>
                    <w:szCs w:val="19"/>
                    <w:lang w:val="es-ES"/>
                  </w:rPr>
                  <w:t>Presunta víctima</w:t>
                </w:r>
              </w:sdtContent>
            </w:sdt>
          </w:p>
        </w:tc>
        <w:tc>
          <w:tcPr>
            <w:tcW w:w="5812" w:type="dxa"/>
          </w:tcPr>
          <w:p w14:paraId="45097058" w14:textId="39DB1C25" w:rsidR="00664B2A" w:rsidRPr="003C40D3" w:rsidRDefault="00664B2A" w:rsidP="00664B2A">
            <w:pPr>
              <w:jc w:val="both"/>
              <w:rPr>
                <w:rFonts w:ascii="Cambria" w:hAnsi="Cambria"/>
                <w:sz w:val="20"/>
                <w:szCs w:val="20"/>
                <w:lang w:val="es-ES"/>
              </w:rPr>
            </w:pPr>
            <w:proofErr w:type="spellStart"/>
            <w:r w:rsidRPr="003C40D3">
              <w:rPr>
                <w:rFonts w:asciiTheme="majorHAnsi" w:hAnsiTheme="majorHAnsi"/>
                <w:sz w:val="19"/>
                <w:szCs w:val="19"/>
                <w:lang w:val="es-ES"/>
              </w:rPr>
              <w:t>Anant</w:t>
            </w:r>
            <w:proofErr w:type="spellEnd"/>
            <w:r w:rsidRPr="003C40D3">
              <w:rPr>
                <w:rFonts w:asciiTheme="majorHAnsi" w:hAnsiTheme="majorHAnsi"/>
                <w:sz w:val="19"/>
                <w:szCs w:val="19"/>
                <w:lang w:val="es-ES"/>
              </w:rPr>
              <w:t xml:space="preserve"> </w:t>
            </w:r>
            <w:proofErr w:type="spellStart"/>
            <w:r w:rsidRPr="003C40D3">
              <w:rPr>
                <w:rFonts w:asciiTheme="majorHAnsi" w:hAnsiTheme="majorHAnsi"/>
                <w:sz w:val="19"/>
                <w:szCs w:val="19"/>
                <w:lang w:val="es-ES"/>
              </w:rPr>
              <w:t>Kumar</w:t>
            </w:r>
            <w:proofErr w:type="spellEnd"/>
            <w:r w:rsidRPr="003C40D3">
              <w:rPr>
                <w:rFonts w:asciiTheme="majorHAnsi" w:hAnsiTheme="majorHAnsi"/>
                <w:sz w:val="19"/>
                <w:szCs w:val="19"/>
                <w:lang w:val="es-ES"/>
              </w:rPr>
              <w:t xml:space="preserve"> </w:t>
            </w:r>
            <w:proofErr w:type="spellStart"/>
            <w:r w:rsidRPr="003C40D3">
              <w:rPr>
                <w:rFonts w:asciiTheme="majorHAnsi" w:hAnsiTheme="majorHAnsi"/>
                <w:sz w:val="19"/>
                <w:szCs w:val="19"/>
                <w:lang w:val="es-ES"/>
              </w:rPr>
              <w:t>Tripati</w:t>
            </w:r>
            <w:proofErr w:type="spellEnd"/>
            <w:r w:rsidRPr="003C40D3">
              <w:rPr>
                <w:rFonts w:asciiTheme="majorHAnsi" w:hAnsiTheme="majorHAnsi"/>
                <w:sz w:val="19"/>
                <w:szCs w:val="19"/>
                <w:lang w:val="es-ES"/>
              </w:rPr>
              <w:t xml:space="preserve"> </w:t>
            </w:r>
          </w:p>
        </w:tc>
      </w:tr>
      <w:tr w:rsidR="00664B2A" w:rsidRPr="003C40D3" w14:paraId="6B9385E9" w14:textId="77777777" w:rsidTr="00664B2A">
        <w:tc>
          <w:tcPr>
            <w:tcW w:w="3544" w:type="dxa"/>
            <w:tcBorders>
              <w:top w:val="single" w:sz="6" w:space="0" w:color="auto"/>
              <w:bottom w:val="single" w:sz="6" w:space="0" w:color="auto"/>
            </w:tcBorders>
            <w:shd w:val="clear" w:color="auto" w:fill="386294"/>
            <w:vAlign w:val="center"/>
          </w:tcPr>
          <w:p w14:paraId="2DB2C085" w14:textId="3F197B52" w:rsidR="00664B2A" w:rsidRPr="003C40D3" w:rsidRDefault="00664B2A" w:rsidP="00664B2A">
            <w:pPr>
              <w:jc w:val="center"/>
              <w:rPr>
                <w:rFonts w:ascii="Cambria" w:hAnsi="Cambria"/>
                <w:color w:val="FFFFFF" w:themeColor="background1"/>
                <w:sz w:val="19"/>
                <w:szCs w:val="19"/>
                <w:lang w:val="es-ES"/>
              </w:rPr>
            </w:pPr>
            <w:r w:rsidRPr="003C40D3">
              <w:rPr>
                <w:rFonts w:ascii="Cambria" w:hAnsi="Cambria"/>
                <w:color w:val="FFFFFF" w:themeColor="background1"/>
                <w:sz w:val="19"/>
                <w:szCs w:val="19"/>
                <w:lang w:val="es-ES"/>
              </w:rPr>
              <w:t>Estado denunciado</w:t>
            </w:r>
          </w:p>
        </w:tc>
        <w:tc>
          <w:tcPr>
            <w:tcW w:w="5812" w:type="dxa"/>
          </w:tcPr>
          <w:p w14:paraId="0D778738" w14:textId="25D37D80" w:rsidR="00664B2A" w:rsidRPr="003C40D3" w:rsidRDefault="00664B2A" w:rsidP="00664B2A">
            <w:pPr>
              <w:jc w:val="both"/>
              <w:rPr>
                <w:rFonts w:ascii="Cambria" w:hAnsi="Cambria"/>
                <w:sz w:val="20"/>
                <w:szCs w:val="20"/>
                <w:lang w:val="es-ES"/>
              </w:rPr>
            </w:pPr>
            <w:r w:rsidRPr="003C40D3">
              <w:rPr>
                <w:rFonts w:asciiTheme="majorHAnsi" w:hAnsiTheme="majorHAnsi"/>
                <w:sz w:val="19"/>
                <w:szCs w:val="19"/>
                <w:lang w:val="es-ES"/>
              </w:rPr>
              <w:t>Estados Unidos</w:t>
            </w:r>
          </w:p>
        </w:tc>
      </w:tr>
      <w:tr w:rsidR="00664B2A" w:rsidRPr="005C70E0" w14:paraId="2485421D" w14:textId="77777777" w:rsidTr="00664B2A">
        <w:tc>
          <w:tcPr>
            <w:tcW w:w="3544" w:type="dxa"/>
            <w:tcBorders>
              <w:top w:val="single" w:sz="6" w:space="0" w:color="auto"/>
              <w:bottom w:val="single" w:sz="6" w:space="0" w:color="auto"/>
            </w:tcBorders>
            <w:shd w:val="clear" w:color="auto" w:fill="386294"/>
            <w:vAlign w:val="center"/>
          </w:tcPr>
          <w:p w14:paraId="158523DF" w14:textId="2D702062" w:rsidR="00664B2A" w:rsidRPr="003C40D3" w:rsidRDefault="00664B2A" w:rsidP="00664B2A">
            <w:pPr>
              <w:jc w:val="center"/>
              <w:rPr>
                <w:rFonts w:ascii="Cambria" w:hAnsi="Cambria"/>
                <w:color w:val="FFFFFF" w:themeColor="background1"/>
                <w:sz w:val="19"/>
                <w:szCs w:val="19"/>
                <w:lang w:val="es-ES"/>
              </w:rPr>
            </w:pPr>
            <w:r w:rsidRPr="003C40D3">
              <w:rPr>
                <w:rFonts w:ascii="Cambria" w:hAnsi="Cambria"/>
                <w:color w:val="FFFFFF" w:themeColor="background1"/>
                <w:sz w:val="19"/>
                <w:szCs w:val="19"/>
                <w:lang w:val="es-ES"/>
              </w:rPr>
              <w:t>Derechos invocados</w:t>
            </w:r>
          </w:p>
        </w:tc>
        <w:tc>
          <w:tcPr>
            <w:tcW w:w="5812" w:type="dxa"/>
          </w:tcPr>
          <w:p w14:paraId="1E75DBF2" w14:textId="3D826AF8" w:rsidR="00664B2A" w:rsidRPr="003C40D3" w:rsidRDefault="00664B2A" w:rsidP="003C40D3">
            <w:pPr>
              <w:jc w:val="both"/>
              <w:rPr>
                <w:rFonts w:ascii="Cambria" w:hAnsi="Cambria"/>
                <w:sz w:val="20"/>
                <w:szCs w:val="20"/>
                <w:lang w:val="es-ES"/>
              </w:rPr>
            </w:pPr>
            <w:r w:rsidRPr="003C40D3">
              <w:rPr>
                <w:rFonts w:asciiTheme="majorHAnsi" w:hAnsiTheme="majorHAnsi"/>
                <w:sz w:val="19"/>
                <w:szCs w:val="19"/>
                <w:lang w:val="es-ES"/>
              </w:rPr>
              <w:t>Artículos 5 (integridad personal), 8 (garantías judiciales), 12 (libertad de conciencia y religión) y 24 (igualdad) de la Convención Americana sobre Derechos Humanos</w:t>
            </w:r>
            <w:r w:rsidRPr="003C40D3">
              <w:rPr>
                <w:rFonts w:asciiTheme="majorHAnsi" w:hAnsiTheme="majorHAnsi"/>
                <w:sz w:val="19"/>
                <w:szCs w:val="19"/>
                <w:vertAlign w:val="superscript"/>
                <w:lang w:val="es-ES"/>
              </w:rPr>
              <w:footnoteReference w:id="3"/>
            </w:r>
            <w:r w:rsidRPr="003C40D3">
              <w:rPr>
                <w:rFonts w:asciiTheme="majorHAnsi" w:hAnsiTheme="majorHAnsi"/>
                <w:sz w:val="19"/>
                <w:szCs w:val="19"/>
                <w:lang w:val="es-ES"/>
              </w:rPr>
              <w:t xml:space="preserve"> y otros tratados internacionales</w:t>
            </w:r>
            <w:r w:rsidRPr="003C40D3">
              <w:rPr>
                <w:rFonts w:asciiTheme="majorHAnsi" w:hAnsiTheme="majorHAnsi"/>
                <w:sz w:val="19"/>
                <w:szCs w:val="19"/>
                <w:vertAlign w:val="superscript"/>
                <w:lang w:val="es-ES"/>
              </w:rPr>
              <w:footnoteReference w:id="4"/>
            </w:r>
            <w:r w:rsidRPr="003C40D3">
              <w:rPr>
                <w:rFonts w:asciiTheme="majorHAnsi" w:hAnsiTheme="majorHAnsi"/>
                <w:sz w:val="19"/>
                <w:szCs w:val="19"/>
                <w:lang w:val="es-ES"/>
              </w:rPr>
              <w:t xml:space="preserve">  </w:t>
            </w:r>
          </w:p>
        </w:tc>
      </w:tr>
    </w:tbl>
    <w:p w14:paraId="274617D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64B2A" w:rsidRPr="00D060B8" w14:paraId="78A941EA" w14:textId="77777777" w:rsidTr="00664B2A">
        <w:tc>
          <w:tcPr>
            <w:tcW w:w="3600" w:type="dxa"/>
            <w:tcBorders>
              <w:top w:val="single" w:sz="6" w:space="0" w:color="auto"/>
              <w:bottom w:val="single" w:sz="6" w:space="0" w:color="auto"/>
            </w:tcBorders>
            <w:shd w:val="clear" w:color="auto" w:fill="386294"/>
            <w:vAlign w:val="center"/>
          </w:tcPr>
          <w:p w14:paraId="470D93FB" w14:textId="0AD6D26B" w:rsidR="00664B2A" w:rsidRPr="00D060B8" w:rsidRDefault="00664B2A" w:rsidP="00664B2A">
            <w:pPr>
              <w:jc w:val="center"/>
              <w:rPr>
                <w:rFonts w:ascii="Cambria" w:hAnsi="Cambria"/>
                <w:color w:val="FFFFFF" w:themeColor="background1"/>
                <w:sz w:val="19"/>
                <w:szCs w:val="19"/>
                <w:lang w:val="es-ES"/>
              </w:rPr>
            </w:pPr>
            <w:r w:rsidRPr="00D060B8">
              <w:rPr>
                <w:rFonts w:ascii="Cambria" w:hAnsi="Cambria"/>
                <w:color w:val="FFFFFF" w:themeColor="background1"/>
                <w:sz w:val="19"/>
                <w:szCs w:val="19"/>
                <w:lang w:val="es-ES"/>
              </w:rPr>
              <w:t>Presentación de la petición</w:t>
            </w:r>
          </w:p>
        </w:tc>
        <w:tc>
          <w:tcPr>
            <w:tcW w:w="5760" w:type="dxa"/>
            <w:vAlign w:val="center"/>
          </w:tcPr>
          <w:p w14:paraId="07538036" w14:textId="13A643D2" w:rsidR="00664B2A" w:rsidRPr="00D060B8" w:rsidRDefault="00664B2A" w:rsidP="00664B2A">
            <w:pPr>
              <w:jc w:val="both"/>
              <w:rPr>
                <w:rFonts w:ascii="Cambria" w:hAnsi="Cambria"/>
                <w:sz w:val="20"/>
                <w:szCs w:val="20"/>
                <w:lang w:val="es-ES"/>
              </w:rPr>
            </w:pPr>
            <w:r w:rsidRPr="00D060B8">
              <w:rPr>
                <w:rFonts w:asciiTheme="majorHAnsi" w:hAnsiTheme="majorHAnsi"/>
                <w:sz w:val="19"/>
                <w:szCs w:val="19"/>
                <w:lang w:val="es-ES"/>
              </w:rPr>
              <w:t>17 de abril de 2008</w:t>
            </w:r>
          </w:p>
        </w:tc>
      </w:tr>
      <w:tr w:rsidR="00664B2A" w:rsidRPr="005C70E0" w14:paraId="33F566F4" w14:textId="77777777" w:rsidTr="00664B2A">
        <w:tc>
          <w:tcPr>
            <w:tcW w:w="3600" w:type="dxa"/>
            <w:tcBorders>
              <w:top w:val="single" w:sz="6" w:space="0" w:color="auto"/>
              <w:bottom w:val="single" w:sz="6" w:space="0" w:color="auto"/>
            </w:tcBorders>
            <w:shd w:val="clear" w:color="auto" w:fill="386294"/>
            <w:vAlign w:val="center"/>
          </w:tcPr>
          <w:p w14:paraId="1052A61F" w14:textId="49389437" w:rsidR="00664B2A" w:rsidRPr="00D060B8" w:rsidRDefault="00664B2A" w:rsidP="00664B2A">
            <w:pPr>
              <w:jc w:val="center"/>
              <w:rPr>
                <w:rFonts w:ascii="Cambria" w:hAnsi="Cambria"/>
                <w:color w:val="FFFFFF" w:themeColor="background1"/>
                <w:sz w:val="19"/>
                <w:szCs w:val="19"/>
                <w:lang w:val="es-ES"/>
              </w:rPr>
            </w:pPr>
            <w:r w:rsidRPr="00D060B8">
              <w:rPr>
                <w:rFonts w:ascii="Cambria" w:hAnsi="Cambria"/>
                <w:color w:val="FFFFFF" w:themeColor="background1"/>
                <w:sz w:val="19"/>
                <w:szCs w:val="19"/>
                <w:lang w:val="es-ES"/>
              </w:rPr>
              <w:t xml:space="preserve">Información adicional recibida durante la etapa de </w:t>
            </w:r>
            <w:r w:rsidR="00D060B8">
              <w:rPr>
                <w:rFonts w:ascii="Cambria" w:hAnsi="Cambria"/>
                <w:color w:val="FFFFFF" w:themeColor="background1"/>
                <w:sz w:val="19"/>
                <w:szCs w:val="19"/>
                <w:lang w:val="es-ES"/>
              </w:rPr>
              <w:t>e</w:t>
            </w:r>
            <w:r w:rsidRPr="00D060B8">
              <w:rPr>
                <w:rFonts w:ascii="Cambria" w:hAnsi="Cambria"/>
                <w:color w:val="FFFFFF" w:themeColor="background1"/>
                <w:sz w:val="19"/>
                <w:szCs w:val="19"/>
                <w:lang w:val="es-ES"/>
              </w:rPr>
              <w:t>studio</w:t>
            </w:r>
          </w:p>
        </w:tc>
        <w:tc>
          <w:tcPr>
            <w:tcW w:w="5760" w:type="dxa"/>
            <w:vAlign w:val="center"/>
          </w:tcPr>
          <w:p w14:paraId="702B4E3B" w14:textId="6C84823D" w:rsidR="00664B2A" w:rsidRPr="00D060B8" w:rsidRDefault="00664B2A" w:rsidP="00664B2A">
            <w:pPr>
              <w:rPr>
                <w:rFonts w:ascii="Cambria" w:hAnsi="Cambria"/>
                <w:sz w:val="20"/>
                <w:szCs w:val="20"/>
                <w:lang w:val="es-ES"/>
              </w:rPr>
            </w:pPr>
            <w:r w:rsidRPr="00D060B8">
              <w:rPr>
                <w:rFonts w:asciiTheme="majorHAnsi" w:hAnsiTheme="majorHAnsi"/>
                <w:sz w:val="19"/>
                <w:szCs w:val="19"/>
                <w:lang w:val="es-ES"/>
              </w:rPr>
              <w:t>30 de agosto y 12 de octubre de 2011, 8 de febrero y 14 de noviembre de 2012</w:t>
            </w:r>
          </w:p>
        </w:tc>
      </w:tr>
      <w:tr w:rsidR="00664B2A" w:rsidRPr="00D060B8" w14:paraId="4C078278" w14:textId="77777777" w:rsidTr="00664B2A">
        <w:tc>
          <w:tcPr>
            <w:tcW w:w="3600" w:type="dxa"/>
            <w:tcBorders>
              <w:top w:val="single" w:sz="6" w:space="0" w:color="auto"/>
              <w:bottom w:val="single" w:sz="6" w:space="0" w:color="auto"/>
            </w:tcBorders>
            <w:shd w:val="clear" w:color="auto" w:fill="386294"/>
            <w:vAlign w:val="center"/>
          </w:tcPr>
          <w:p w14:paraId="687B66A5" w14:textId="250E496D" w:rsidR="00664B2A" w:rsidRPr="00D060B8" w:rsidRDefault="00664B2A" w:rsidP="00664B2A">
            <w:pPr>
              <w:jc w:val="center"/>
              <w:rPr>
                <w:rFonts w:ascii="Cambria" w:hAnsi="Cambria"/>
                <w:color w:val="FFFFFF" w:themeColor="background1"/>
                <w:sz w:val="19"/>
                <w:szCs w:val="19"/>
                <w:lang w:val="es-ES"/>
              </w:rPr>
            </w:pPr>
            <w:r w:rsidRPr="00D060B8">
              <w:rPr>
                <w:rFonts w:ascii="Cambria" w:hAnsi="Cambria"/>
                <w:color w:val="FFFFFF" w:themeColor="background1"/>
                <w:sz w:val="19"/>
                <w:szCs w:val="19"/>
                <w:lang w:val="es-ES"/>
              </w:rPr>
              <w:t>Notificación de la petición</w:t>
            </w:r>
          </w:p>
        </w:tc>
        <w:tc>
          <w:tcPr>
            <w:tcW w:w="5760" w:type="dxa"/>
            <w:vAlign w:val="center"/>
          </w:tcPr>
          <w:p w14:paraId="694D3DB9" w14:textId="32854BC8" w:rsidR="00664B2A" w:rsidRPr="00D060B8" w:rsidRDefault="00664B2A" w:rsidP="00664B2A">
            <w:pPr>
              <w:jc w:val="both"/>
              <w:rPr>
                <w:rFonts w:ascii="Cambria" w:hAnsi="Cambria"/>
                <w:sz w:val="20"/>
                <w:szCs w:val="20"/>
                <w:lang w:val="es-ES"/>
              </w:rPr>
            </w:pPr>
            <w:r w:rsidRPr="00D060B8">
              <w:rPr>
                <w:rFonts w:asciiTheme="majorHAnsi" w:hAnsiTheme="majorHAnsi"/>
                <w:sz w:val="19"/>
                <w:szCs w:val="19"/>
                <w:lang w:val="es-ES"/>
              </w:rPr>
              <w:t>24 de septiembre de 2013</w:t>
            </w:r>
          </w:p>
        </w:tc>
      </w:tr>
      <w:tr w:rsidR="00664B2A" w:rsidRPr="00D060B8" w14:paraId="13AC9F25" w14:textId="77777777" w:rsidTr="00664B2A">
        <w:tc>
          <w:tcPr>
            <w:tcW w:w="3600" w:type="dxa"/>
            <w:tcBorders>
              <w:top w:val="single" w:sz="6" w:space="0" w:color="auto"/>
              <w:bottom w:val="single" w:sz="6" w:space="0" w:color="auto"/>
            </w:tcBorders>
            <w:shd w:val="clear" w:color="auto" w:fill="386294"/>
            <w:vAlign w:val="center"/>
          </w:tcPr>
          <w:p w14:paraId="57251DBE" w14:textId="3023A06F" w:rsidR="00664B2A" w:rsidRPr="00D060B8" w:rsidRDefault="00664B2A" w:rsidP="00664B2A">
            <w:pPr>
              <w:jc w:val="center"/>
              <w:rPr>
                <w:rFonts w:ascii="Cambria" w:hAnsi="Cambria"/>
                <w:color w:val="FFFFFF" w:themeColor="background1"/>
                <w:sz w:val="19"/>
                <w:szCs w:val="19"/>
                <w:lang w:val="es-ES"/>
              </w:rPr>
            </w:pPr>
            <w:r w:rsidRPr="00D060B8">
              <w:rPr>
                <w:rFonts w:ascii="Cambria" w:hAnsi="Cambria"/>
                <w:color w:val="FFFFFF" w:themeColor="background1"/>
                <w:sz w:val="19"/>
                <w:szCs w:val="19"/>
                <w:lang w:val="es-ES"/>
              </w:rPr>
              <w:t>Primera respuesta del Estado</w:t>
            </w:r>
          </w:p>
        </w:tc>
        <w:tc>
          <w:tcPr>
            <w:tcW w:w="5760" w:type="dxa"/>
            <w:vAlign w:val="center"/>
          </w:tcPr>
          <w:p w14:paraId="38626678" w14:textId="3EB9079B" w:rsidR="00664B2A" w:rsidRPr="00D060B8" w:rsidRDefault="00664B2A" w:rsidP="00664B2A">
            <w:pPr>
              <w:jc w:val="both"/>
              <w:rPr>
                <w:rFonts w:ascii="Cambria" w:hAnsi="Cambria"/>
                <w:sz w:val="20"/>
                <w:szCs w:val="20"/>
                <w:lang w:val="es-ES"/>
              </w:rPr>
            </w:pPr>
            <w:r w:rsidRPr="00D060B8">
              <w:rPr>
                <w:rFonts w:asciiTheme="majorHAnsi" w:hAnsiTheme="majorHAnsi"/>
                <w:sz w:val="19"/>
                <w:szCs w:val="19"/>
                <w:lang w:val="es-ES"/>
              </w:rPr>
              <w:t>22 de octubre de 2014</w:t>
            </w:r>
          </w:p>
        </w:tc>
      </w:tr>
      <w:tr w:rsidR="00664B2A" w:rsidRPr="005C70E0" w14:paraId="72BEADE5" w14:textId="77777777" w:rsidTr="00664B2A">
        <w:tc>
          <w:tcPr>
            <w:tcW w:w="3600" w:type="dxa"/>
            <w:tcBorders>
              <w:top w:val="single" w:sz="6" w:space="0" w:color="auto"/>
              <w:bottom w:val="single" w:sz="6" w:space="0" w:color="auto"/>
            </w:tcBorders>
            <w:shd w:val="clear" w:color="auto" w:fill="386294"/>
            <w:vAlign w:val="center"/>
          </w:tcPr>
          <w:p w14:paraId="6062177F" w14:textId="61CE80E3" w:rsidR="00664B2A" w:rsidRPr="00D060B8" w:rsidRDefault="00664B2A" w:rsidP="00664B2A">
            <w:pPr>
              <w:jc w:val="center"/>
              <w:rPr>
                <w:rFonts w:ascii="Cambria" w:hAnsi="Cambria"/>
                <w:color w:val="FFFFFF" w:themeColor="background1"/>
                <w:sz w:val="19"/>
                <w:szCs w:val="19"/>
                <w:lang w:val="es-ES"/>
              </w:rPr>
            </w:pPr>
            <w:r w:rsidRPr="00D060B8">
              <w:rPr>
                <w:rFonts w:ascii="Cambria" w:hAnsi="Cambria"/>
                <w:color w:val="FFFFFF" w:themeColor="background1"/>
                <w:sz w:val="19"/>
                <w:szCs w:val="19"/>
                <w:lang w:val="es-ES"/>
              </w:rPr>
              <w:t>Observaciones adicionales de la parte peticionaria</w:t>
            </w:r>
          </w:p>
        </w:tc>
        <w:tc>
          <w:tcPr>
            <w:tcW w:w="5760" w:type="dxa"/>
            <w:vAlign w:val="center"/>
          </w:tcPr>
          <w:p w14:paraId="0A516F99" w14:textId="5B6597E1" w:rsidR="00664B2A" w:rsidRPr="00D060B8" w:rsidRDefault="00664B2A" w:rsidP="00664B2A">
            <w:pPr>
              <w:jc w:val="both"/>
              <w:rPr>
                <w:rFonts w:ascii="Cambria" w:hAnsi="Cambria"/>
                <w:sz w:val="20"/>
                <w:szCs w:val="20"/>
                <w:lang w:val="es-ES"/>
              </w:rPr>
            </w:pPr>
            <w:r w:rsidRPr="00D060B8">
              <w:rPr>
                <w:rFonts w:asciiTheme="majorHAnsi" w:hAnsiTheme="majorHAnsi"/>
                <w:sz w:val="19"/>
                <w:szCs w:val="19"/>
                <w:lang w:val="es-ES"/>
              </w:rPr>
              <w:t>12 de enero de 2015, 11 de noviembre y 4 de diciembre de 2017</w:t>
            </w:r>
          </w:p>
        </w:tc>
      </w:tr>
      <w:tr w:rsidR="00664B2A" w:rsidRPr="00D060B8" w14:paraId="5205865D" w14:textId="77777777" w:rsidTr="00664B2A">
        <w:tc>
          <w:tcPr>
            <w:tcW w:w="3600" w:type="dxa"/>
            <w:tcBorders>
              <w:top w:val="single" w:sz="6" w:space="0" w:color="auto"/>
              <w:bottom w:val="single" w:sz="6" w:space="0" w:color="auto"/>
            </w:tcBorders>
            <w:shd w:val="clear" w:color="auto" w:fill="386294"/>
            <w:vAlign w:val="center"/>
          </w:tcPr>
          <w:p w14:paraId="2AE512A8" w14:textId="4A337801" w:rsidR="00664B2A" w:rsidRPr="00D060B8" w:rsidRDefault="00664B2A" w:rsidP="00664B2A">
            <w:pPr>
              <w:jc w:val="center"/>
              <w:rPr>
                <w:rFonts w:ascii="Cambria" w:hAnsi="Cambria"/>
                <w:color w:val="FFFFFF" w:themeColor="background1"/>
                <w:sz w:val="19"/>
                <w:szCs w:val="19"/>
                <w:lang w:val="es-ES"/>
              </w:rPr>
            </w:pPr>
            <w:r w:rsidRPr="00D060B8">
              <w:rPr>
                <w:rFonts w:ascii="Cambria" w:hAnsi="Cambria"/>
                <w:color w:val="FFFFFF" w:themeColor="background1"/>
                <w:sz w:val="19"/>
                <w:szCs w:val="19"/>
                <w:lang w:val="es-ES"/>
              </w:rPr>
              <w:t>Observaciones adicionales del Estado</w:t>
            </w:r>
          </w:p>
        </w:tc>
        <w:tc>
          <w:tcPr>
            <w:tcW w:w="5760" w:type="dxa"/>
            <w:vAlign w:val="center"/>
          </w:tcPr>
          <w:p w14:paraId="4D05BB62" w14:textId="63807305" w:rsidR="00664B2A" w:rsidRPr="00D060B8" w:rsidRDefault="00664B2A" w:rsidP="00664B2A">
            <w:pPr>
              <w:jc w:val="both"/>
              <w:rPr>
                <w:rFonts w:ascii="Cambria" w:hAnsi="Cambria"/>
                <w:sz w:val="20"/>
                <w:szCs w:val="20"/>
                <w:lang w:val="es-ES"/>
              </w:rPr>
            </w:pPr>
            <w:r w:rsidRPr="00D060B8">
              <w:rPr>
                <w:rFonts w:asciiTheme="majorHAnsi" w:hAnsiTheme="majorHAnsi"/>
                <w:sz w:val="19"/>
                <w:szCs w:val="19"/>
                <w:lang w:val="es-ES"/>
              </w:rPr>
              <w:t xml:space="preserve">10 de agosto de 2015 </w:t>
            </w:r>
          </w:p>
        </w:tc>
      </w:tr>
    </w:tbl>
    <w:p w14:paraId="18221797"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64B2A" w:rsidRPr="00540F17" w14:paraId="716354D3" w14:textId="77777777" w:rsidTr="00664B2A">
        <w:trPr>
          <w:cantSplit/>
        </w:trPr>
        <w:tc>
          <w:tcPr>
            <w:tcW w:w="3600" w:type="dxa"/>
            <w:tcBorders>
              <w:top w:val="single" w:sz="4" w:space="0" w:color="auto"/>
              <w:bottom w:val="single" w:sz="6" w:space="0" w:color="auto"/>
            </w:tcBorders>
            <w:shd w:val="clear" w:color="auto" w:fill="386294"/>
            <w:vAlign w:val="center"/>
          </w:tcPr>
          <w:p w14:paraId="6EEFB6D2" w14:textId="23CD57A1" w:rsidR="00664B2A" w:rsidRPr="00664B2A" w:rsidRDefault="00664B2A" w:rsidP="00664B2A">
            <w:pPr>
              <w:jc w:val="center"/>
              <w:rPr>
                <w:rFonts w:ascii="Cambria" w:hAnsi="Cambria"/>
                <w:i/>
                <w:color w:val="FFFFFF" w:themeColor="background1"/>
                <w:sz w:val="19"/>
                <w:szCs w:val="19"/>
              </w:rPr>
            </w:pPr>
            <w:r w:rsidRPr="00664B2A">
              <w:rPr>
                <w:rFonts w:ascii="Cambria" w:hAnsi="Cambria"/>
                <w:i/>
                <w:color w:val="FFFFFF" w:themeColor="background1"/>
                <w:sz w:val="19"/>
                <w:szCs w:val="19"/>
              </w:rPr>
              <w:t>Ratione personae</w:t>
            </w:r>
          </w:p>
        </w:tc>
        <w:tc>
          <w:tcPr>
            <w:tcW w:w="5760" w:type="dxa"/>
            <w:vAlign w:val="center"/>
          </w:tcPr>
          <w:p w14:paraId="2FB7B8F8" w14:textId="6567FED9" w:rsidR="00664B2A" w:rsidRDefault="00664B2A" w:rsidP="00664B2A">
            <w:pPr>
              <w:rPr>
                <w:rFonts w:ascii="Cambria" w:hAnsi="Cambria"/>
                <w:sz w:val="20"/>
                <w:szCs w:val="20"/>
                <w:lang w:val="es"/>
              </w:rPr>
            </w:pPr>
            <w:r>
              <w:rPr>
                <w:rFonts w:asciiTheme="majorHAnsi" w:hAnsiTheme="majorHAnsi"/>
                <w:sz w:val="19"/>
                <w:szCs w:val="19"/>
                <w:lang w:val="es"/>
              </w:rPr>
              <w:t>Sí</w:t>
            </w:r>
          </w:p>
        </w:tc>
      </w:tr>
      <w:tr w:rsidR="00664B2A" w:rsidRPr="00540F17" w14:paraId="139DBF83" w14:textId="77777777" w:rsidTr="00664B2A">
        <w:trPr>
          <w:cantSplit/>
        </w:trPr>
        <w:tc>
          <w:tcPr>
            <w:tcW w:w="3600" w:type="dxa"/>
            <w:tcBorders>
              <w:top w:val="single" w:sz="6" w:space="0" w:color="auto"/>
              <w:bottom w:val="single" w:sz="6" w:space="0" w:color="auto"/>
            </w:tcBorders>
            <w:shd w:val="clear" w:color="auto" w:fill="386294"/>
            <w:vAlign w:val="center"/>
          </w:tcPr>
          <w:p w14:paraId="0ABA245B" w14:textId="77E83F32" w:rsidR="00664B2A" w:rsidRPr="00664B2A" w:rsidRDefault="00664B2A" w:rsidP="00664B2A">
            <w:pPr>
              <w:jc w:val="center"/>
              <w:rPr>
                <w:rFonts w:ascii="Cambria" w:hAnsi="Cambria"/>
                <w:color w:val="FFFFFF" w:themeColor="background1"/>
                <w:sz w:val="19"/>
                <w:szCs w:val="19"/>
              </w:rPr>
            </w:pPr>
            <w:r w:rsidRPr="00664B2A">
              <w:rPr>
                <w:rFonts w:ascii="Cambria" w:hAnsi="Cambria"/>
                <w:i/>
                <w:color w:val="FFFFFF" w:themeColor="background1"/>
                <w:sz w:val="19"/>
                <w:szCs w:val="19"/>
              </w:rPr>
              <w:t>Ratione loci</w:t>
            </w:r>
          </w:p>
        </w:tc>
        <w:tc>
          <w:tcPr>
            <w:tcW w:w="5760" w:type="dxa"/>
            <w:vAlign w:val="center"/>
          </w:tcPr>
          <w:p w14:paraId="490AE6D6" w14:textId="61A8C08B" w:rsidR="00664B2A" w:rsidRDefault="00664B2A" w:rsidP="00664B2A">
            <w:pPr>
              <w:rPr>
                <w:rFonts w:ascii="Cambria" w:hAnsi="Cambria"/>
                <w:sz w:val="20"/>
                <w:szCs w:val="20"/>
                <w:lang w:val="es"/>
              </w:rPr>
            </w:pPr>
            <w:r>
              <w:rPr>
                <w:rFonts w:asciiTheme="majorHAnsi" w:hAnsiTheme="majorHAnsi"/>
                <w:sz w:val="19"/>
                <w:szCs w:val="19"/>
                <w:lang w:val="es"/>
              </w:rPr>
              <w:t>Sí</w:t>
            </w:r>
          </w:p>
        </w:tc>
      </w:tr>
      <w:tr w:rsidR="00664B2A" w:rsidRPr="00540F17" w14:paraId="77BF1F3F" w14:textId="77777777" w:rsidTr="00664B2A">
        <w:trPr>
          <w:cantSplit/>
        </w:trPr>
        <w:tc>
          <w:tcPr>
            <w:tcW w:w="3600" w:type="dxa"/>
            <w:tcBorders>
              <w:top w:val="single" w:sz="6" w:space="0" w:color="auto"/>
              <w:bottom w:val="single" w:sz="6" w:space="0" w:color="auto"/>
            </w:tcBorders>
            <w:shd w:val="clear" w:color="auto" w:fill="386294"/>
            <w:vAlign w:val="center"/>
          </w:tcPr>
          <w:p w14:paraId="25C8AFD3" w14:textId="4BE3A971" w:rsidR="00664B2A" w:rsidRPr="00664B2A" w:rsidRDefault="00664B2A" w:rsidP="00664B2A">
            <w:pPr>
              <w:jc w:val="center"/>
              <w:rPr>
                <w:rFonts w:ascii="Cambria" w:hAnsi="Cambria"/>
                <w:color w:val="FFFFFF" w:themeColor="background1"/>
                <w:sz w:val="19"/>
                <w:szCs w:val="19"/>
              </w:rPr>
            </w:pPr>
            <w:r w:rsidRPr="00664B2A">
              <w:rPr>
                <w:rFonts w:ascii="Cambria" w:hAnsi="Cambria"/>
                <w:i/>
                <w:color w:val="FFFFFF" w:themeColor="background1"/>
                <w:sz w:val="19"/>
                <w:szCs w:val="19"/>
              </w:rPr>
              <w:t>Ratione temporis</w:t>
            </w:r>
          </w:p>
        </w:tc>
        <w:tc>
          <w:tcPr>
            <w:tcW w:w="5760" w:type="dxa"/>
            <w:vAlign w:val="center"/>
          </w:tcPr>
          <w:p w14:paraId="230C8DD0" w14:textId="21EF7C0D" w:rsidR="00664B2A" w:rsidRDefault="00664B2A" w:rsidP="00664B2A">
            <w:pPr>
              <w:rPr>
                <w:rFonts w:ascii="Cambria" w:hAnsi="Cambria"/>
                <w:sz w:val="20"/>
                <w:szCs w:val="20"/>
                <w:lang w:val="es"/>
              </w:rPr>
            </w:pPr>
            <w:r>
              <w:rPr>
                <w:rFonts w:asciiTheme="majorHAnsi" w:hAnsiTheme="majorHAnsi"/>
                <w:sz w:val="19"/>
                <w:szCs w:val="19"/>
                <w:lang w:val="es"/>
              </w:rPr>
              <w:t>Sí</w:t>
            </w:r>
          </w:p>
        </w:tc>
      </w:tr>
      <w:tr w:rsidR="00664B2A" w:rsidRPr="005C70E0" w14:paraId="0FFDD8DB" w14:textId="77777777" w:rsidTr="00664B2A">
        <w:trPr>
          <w:cantSplit/>
        </w:trPr>
        <w:tc>
          <w:tcPr>
            <w:tcW w:w="3600" w:type="dxa"/>
            <w:tcBorders>
              <w:top w:val="single" w:sz="6" w:space="0" w:color="auto"/>
              <w:bottom w:val="single" w:sz="6" w:space="0" w:color="auto"/>
            </w:tcBorders>
            <w:shd w:val="clear" w:color="auto" w:fill="386294"/>
            <w:vAlign w:val="center"/>
          </w:tcPr>
          <w:p w14:paraId="7A1EA5A0" w14:textId="46DA9DC7" w:rsidR="00664B2A" w:rsidRPr="00664B2A" w:rsidRDefault="00664B2A" w:rsidP="00664B2A">
            <w:pPr>
              <w:jc w:val="center"/>
              <w:rPr>
                <w:rFonts w:ascii="Cambria" w:hAnsi="Cambria"/>
                <w:color w:val="FFFFFF" w:themeColor="background1"/>
                <w:sz w:val="19"/>
                <w:szCs w:val="19"/>
              </w:rPr>
            </w:pPr>
            <w:r w:rsidRPr="00664B2A">
              <w:rPr>
                <w:rFonts w:ascii="Cambria" w:hAnsi="Cambria"/>
                <w:i/>
                <w:color w:val="FFFFFF" w:themeColor="background1"/>
                <w:sz w:val="19"/>
                <w:szCs w:val="19"/>
              </w:rPr>
              <w:t>Ratione materiae</w:t>
            </w:r>
          </w:p>
        </w:tc>
        <w:tc>
          <w:tcPr>
            <w:tcW w:w="5760" w:type="dxa"/>
            <w:vAlign w:val="center"/>
          </w:tcPr>
          <w:p w14:paraId="7D86F5B3" w14:textId="17A775B6" w:rsidR="00664B2A" w:rsidRDefault="00664B2A" w:rsidP="00664B2A">
            <w:pPr>
              <w:jc w:val="both"/>
              <w:rPr>
                <w:rFonts w:ascii="Cambria" w:hAnsi="Cambria"/>
                <w:sz w:val="20"/>
                <w:szCs w:val="20"/>
                <w:lang w:val="es"/>
              </w:rPr>
            </w:pPr>
            <w:r>
              <w:rPr>
                <w:rFonts w:asciiTheme="majorHAnsi" w:hAnsiTheme="majorHAnsi"/>
                <w:sz w:val="19"/>
                <w:szCs w:val="19"/>
                <w:lang w:val="es"/>
              </w:rPr>
              <w:t>Sí, Declaración Americana de los Derechos y Deberes del Hombre</w:t>
            </w:r>
            <w:r>
              <w:rPr>
                <w:rFonts w:asciiTheme="majorHAnsi" w:hAnsiTheme="majorHAnsi"/>
                <w:sz w:val="19"/>
                <w:szCs w:val="19"/>
                <w:vertAlign w:val="superscript"/>
                <w:lang w:val="es"/>
              </w:rPr>
              <w:footnoteReference w:id="6"/>
            </w:r>
            <w:r>
              <w:rPr>
                <w:rFonts w:asciiTheme="majorHAnsi" w:hAnsiTheme="majorHAnsi"/>
                <w:sz w:val="19"/>
                <w:szCs w:val="19"/>
                <w:lang w:val="es"/>
              </w:rPr>
              <w:t xml:space="preserve"> (ratificación de la Carta de la OEA el 19 de junio de 1951; de conformidad con el artículo 20 del Estatuto de la CIDH y el artículo 51 de su Reglamento)</w:t>
            </w:r>
          </w:p>
        </w:tc>
      </w:tr>
    </w:tbl>
    <w:p w14:paraId="1874F492" w14:textId="7424B831"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64B2A" w:rsidRPr="00D060B8" w14:paraId="3BE0CDDD" w14:textId="77777777" w:rsidTr="00664B2A">
        <w:trPr>
          <w:cantSplit/>
        </w:trPr>
        <w:tc>
          <w:tcPr>
            <w:tcW w:w="3600" w:type="dxa"/>
            <w:tcBorders>
              <w:top w:val="single" w:sz="4" w:space="0" w:color="auto"/>
              <w:bottom w:val="single" w:sz="6" w:space="0" w:color="auto"/>
            </w:tcBorders>
            <w:shd w:val="clear" w:color="auto" w:fill="386294"/>
            <w:vAlign w:val="center"/>
          </w:tcPr>
          <w:p w14:paraId="59D7428E" w14:textId="548D3205" w:rsidR="00664B2A" w:rsidRPr="00D060B8" w:rsidRDefault="00664B2A" w:rsidP="00664B2A">
            <w:pPr>
              <w:jc w:val="center"/>
              <w:rPr>
                <w:rFonts w:ascii="Cambria" w:hAnsi="Cambria"/>
                <w:color w:val="FFFFFF" w:themeColor="background1"/>
                <w:sz w:val="19"/>
                <w:szCs w:val="19"/>
                <w:lang w:val="es-ES"/>
              </w:rPr>
            </w:pPr>
            <w:r w:rsidRPr="00D060B8">
              <w:rPr>
                <w:rFonts w:ascii="Cambria" w:hAnsi="Cambria"/>
                <w:color w:val="FFFFFF" w:themeColor="background1"/>
                <w:sz w:val="19"/>
                <w:szCs w:val="19"/>
                <w:lang w:val="es-ES"/>
              </w:rPr>
              <w:t>Duplicación de procedimientos y cosa juzgada internacional</w:t>
            </w:r>
          </w:p>
        </w:tc>
        <w:tc>
          <w:tcPr>
            <w:tcW w:w="5760" w:type="dxa"/>
            <w:vAlign w:val="center"/>
          </w:tcPr>
          <w:p w14:paraId="7D4F0FE9" w14:textId="4BDC77BC" w:rsidR="00664B2A" w:rsidRPr="00D060B8" w:rsidRDefault="00664B2A" w:rsidP="00664B2A">
            <w:pPr>
              <w:jc w:val="both"/>
              <w:rPr>
                <w:rFonts w:ascii="Cambria" w:hAnsi="Cambria"/>
                <w:sz w:val="20"/>
                <w:szCs w:val="20"/>
                <w:lang w:val="es-ES"/>
              </w:rPr>
            </w:pPr>
            <w:r w:rsidRPr="00D060B8">
              <w:rPr>
                <w:rFonts w:asciiTheme="majorHAnsi" w:hAnsiTheme="majorHAnsi"/>
                <w:sz w:val="19"/>
                <w:szCs w:val="19"/>
                <w:lang w:val="es-ES"/>
              </w:rPr>
              <w:t>No</w:t>
            </w:r>
          </w:p>
        </w:tc>
      </w:tr>
      <w:tr w:rsidR="00664B2A" w:rsidRPr="005C70E0" w14:paraId="6A5B3CAB" w14:textId="77777777" w:rsidTr="00664B2A">
        <w:trPr>
          <w:cantSplit/>
        </w:trPr>
        <w:tc>
          <w:tcPr>
            <w:tcW w:w="3600" w:type="dxa"/>
            <w:tcBorders>
              <w:top w:val="single" w:sz="4" w:space="0" w:color="auto"/>
              <w:bottom w:val="single" w:sz="6" w:space="0" w:color="auto"/>
            </w:tcBorders>
            <w:shd w:val="clear" w:color="auto" w:fill="386294"/>
            <w:vAlign w:val="center"/>
          </w:tcPr>
          <w:p w14:paraId="3A46715A" w14:textId="48252870" w:rsidR="00664B2A" w:rsidRPr="00D060B8" w:rsidRDefault="00664B2A" w:rsidP="00664B2A">
            <w:pPr>
              <w:jc w:val="center"/>
              <w:rPr>
                <w:rFonts w:ascii="Cambria" w:hAnsi="Cambria"/>
                <w:i/>
                <w:color w:val="FFFFFF" w:themeColor="background1"/>
                <w:sz w:val="19"/>
                <w:szCs w:val="19"/>
                <w:lang w:val="es-ES"/>
              </w:rPr>
            </w:pPr>
            <w:r w:rsidRPr="00D060B8">
              <w:rPr>
                <w:rFonts w:ascii="Cambria" w:hAnsi="Cambria"/>
                <w:color w:val="FFFFFF" w:themeColor="background1"/>
                <w:sz w:val="19"/>
                <w:szCs w:val="19"/>
                <w:lang w:val="es-ES"/>
              </w:rPr>
              <w:t>Derechos declarados admisibles</w:t>
            </w:r>
          </w:p>
        </w:tc>
        <w:tc>
          <w:tcPr>
            <w:tcW w:w="5760" w:type="dxa"/>
            <w:vAlign w:val="center"/>
          </w:tcPr>
          <w:p w14:paraId="0A51C157" w14:textId="63EA566A" w:rsidR="00664B2A" w:rsidRPr="00D060B8" w:rsidRDefault="00664B2A" w:rsidP="00664B2A">
            <w:pPr>
              <w:jc w:val="both"/>
              <w:rPr>
                <w:rFonts w:ascii="Cambria" w:hAnsi="Cambria"/>
                <w:sz w:val="20"/>
                <w:szCs w:val="20"/>
                <w:lang w:val="es-ES"/>
              </w:rPr>
            </w:pPr>
            <w:r w:rsidRPr="00D060B8">
              <w:rPr>
                <w:rFonts w:asciiTheme="majorHAnsi" w:hAnsiTheme="majorHAnsi"/>
                <w:sz w:val="19"/>
                <w:szCs w:val="19"/>
                <w:lang w:val="es-ES"/>
              </w:rPr>
              <w:t>Artículos I (vida, libertad, seguridad e integridad), II (igualdad ante la ley), III (libertad religiosa y de culto), IV (libertad de investigación, opinión, expresión y difusión), X (inviolabilidad y circulación de la correspondencia), XI (preservación de la salud y bienestar), XVIII (justicia), XXV (protección contra la detención arbitraria) y XXVI (proceso regular) de la Declaración Americana</w:t>
            </w:r>
          </w:p>
        </w:tc>
      </w:tr>
      <w:tr w:rsidR="00664B2A" w:rsidRPr="005C70E0" w14:paraId="6898F859" w14:textId="77777777" w:rsidTr="00664B2A">
        <w:trPr>
          <w:cantSplit/>
        </w:trPr>
        <w:tc>
          <w:tcPr>
            <w:tcW w:w="3600" w:type="dxa"/>
            <w:tcBorders>
              <w:top w:val="single" w:sz="6" w:space="0" w:color="auto"/>
              <w:bottom w:val="single" w:sz="6" w:space="0" w:color="auto"/>
            </w:tcBorders>
            <w:shd w:val="clear" w:color="auto" w:fill="386294"/>
            <w:vAlign w:val="center"/>
          </w:tcPr>
          <w:p w14:paraId="493361D5" w14:textId="713CDC83" w:rsidR="00664B2A" w:rsidRPr="00D060B8" w:rsidRDefault="00664B2A" w:rsidP="00664B2A">
            <w:pPr>
              <w:jc w:val="center"/>
              <w:rPr>
                <w:rFonts w:ascii="Cambria" w:hAnsi="Cambria"/>
                <w:color w:val="FFFFFF" w:themeColor="background1"/>
                <w:sz w:val="19"/>
                <w:szCs w:val="19"/>
                <w:lang w:val="es-ES"/>
              </w:rPr>
            </w:pPr>
            <w:r w:rsidRPr="00D060B8">
              <w:rPr>
                <w:rFonts w:ascii="Cambria" w:hAnsi="Cambria"/>
                <w:color w:val="FFFFFF" w:themeColor="background1"/>
                <w:sz w:val="19"/>
                <w:szCs w:val="19"/>
                <w:lang w:val="es-ES"/>
              </w:rPr>
              <w:t>Agotamiento de recursos o procedencia de una excepción</w:t>
            </w:r>
          </w:p>
        </w:tc>
        <w:tc>
          <w:tcPr>
            <w:tcW w:w="5760" w:type="dxa"/>
            <w:vAlign w:val="center"/>
          </w:tcPr>
          <w:p w14:paraId="38B259FC" w14:textId="300208A9" w:rsidR="00664B2A" w:rsidRPr="00D060B8" w:rsidRDefault="00664B2A" w:rsidP="00664B2A">
            <w:pPr>
              <w:rPr>
                <w:rFonts w:ascii="Cambria" w:hAnsi="Cambria"/>
                <w:sz w:val="20"/>
                <w:szCs w:val="20"/>
                <w:lang w:val="es-ES"/>
              </w:rPr>
            </w:pPr>
            <w:r w:rsidRPr="00D060B8">
              <w:rPr>
                <w:rFonts w:asciiTheme="majorHAnsi" w:hAnsiTheme="majorHAnsi"/>
                <w:sz w:val="19"/>
                <w:szCs w:val="19"/>
                <w:lang w:val="es-ES"/>
              </w:rPr>
              <w:t>Sí, en los términos de la sección VI</w:t>
            </w:r>
          </w:p>
        </w:tc>
      </w:tr>
      <w:tr w:rsidR="00664B2A" w:rsidRPr="005C70E0" w14:paraId="01019AF2" w14:textId="77777777" w:rsidTr="00664B2A">
        <w:trPr>
          <w:cantSplit/>
        </w:trPr>
        <w:tc>
          <w:tcPr>
            <w:tcW w:w="3600" w:type="dxa"/>
            <w:tcBorders>
              <w:top w:val="single" w:sz="6" w:space="0" w:color="auto"/>
              <w:bottom w:val="single" w:sz="6" w:space="0" w:color="auto"/>
            </w:tcBorders>
            <w:shd w:val="clear" w:color="auto" w:fill="386294"/>
            <w:vAlign w:val="center"/>
          </w:tcPr>
          <w:p w14:paraId="4F7C54D5" w14:textId="624AF8EF" w:rsidR="00664B2A" w:rsidRPr="00D060B8" w:rsidRDefault="00664B2A" w:rsidP="00664B2A">
            <w:pPr>
              <w:jc w:val="center"/>
              <w:rPr>
                <w:rFonts w:ascii="Cambria" w:hAnsi="Cambria"/>
                <w:color w:val="FFFFFF" w:themeColor="background1"/>
                <w:sz w:val="19"/>
                <w:szCs w:val="19"/>
                <w:lang w:val="es-ES"/>
              </w:rPr>
            </w:pPr>
            <w:r w:rsidRPr="00D060B8">
              <w:rPr>
                <w:rFonts w:ascii="Cambria" w:hAnsi="Cambria"/>
                <w:color w:val="FFFFFF" w:themeColor="background1"/>
                <w:sz w:val="19"/>
                <w:szCs w:val="19"/>
                <w:lang w:val="es-ES"/>
              </w:rPr>
              <w:t>Presentación dentro de plazo</w:t>
            </w:r>
          </w:p>
        </w:tc>
        <w:tc>
          <w:tcPr>
            <w:tcW w:w="5760" w:type="dxa"/>
            <w:vAlign w:val="center"/>
          </w:tcPr>
          <w:p w14:paraId="15A95BBA" w14:textId="5913014D" w:rsidR="00664B2A" w:rsidRPr="00D060B8" w:rsidRDefault="00664B2A" w:rsidP="00664B2A">
            <w:pPr>
              <w:rPr>
                <w:rFonts w:ascii="Cambria" w:hAnsi="Cambria"/>
                <w:sz w:val="20"/>
                <w:szCs w:val="20"/>
                <w:lang w:val="es-ES"/>
              </w:rPr>
            </w:pPr>
            <w:r w:rsidRPr="00D060B8">
              <w:rPr>
                <w:rFonts w:asciiTheme="majorHAnsi" w:hAnsiTheme="majorHAnsi"/>
                <w:sz w:val="19"/>
                <w:szCs w:val="19"/>
                <w:lang w:val="es-ES"/>
              </w:rPr>
              <w:t>Sí, en los términos de la sección VI</w:t>
            </w:r>
          </w:p>
        </w:tc>
      </w:tr>
    </w:tbl>
    <w:p w14:paraId="7C8A49AD" w14:textId="77777777" w:rsidR="00664B2A" w:rsidRDefault="00664B2A" w:rsidP="003239B8">
      <w:pPr>
        <w:spacing w:before="240" w:after="240"/>
        <w:ind w:firstLine="720"/>
        <w:jc w:val="both"/>
        <w:rPr>
          <w:rFonts w:asciiTheme="majorHAnsi" w:hAnsiTheme="majorHAnsi"/>
          <w:b/>
          <w:sz w:val="20"/>
          <w:szCs w:val="20"/>
          <w:lang w:val="es-UY"/>
        </w:rPr>
      </w:pPr>
    </w:p>
    <w:p w14:paraId="35A1F6E1" w14:textId="606ACEBE"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5100929"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 xml:space="preserve">El señor </w:t>
      </w:r>
      <w:proofErr w:type="spellStart"/>
      <w:r>
        <w:rPr>
          <w:rFonts w:ascii="Cambria" w:hAnsi="Cambria"/>
          <w:sz w:val="20"/>
          <w:szCs w:val="20"/>
          <w:lang w:val="es"/>
        </w:rPr>
        <w:t>Anant</w:t>
      </w:r>
      <w:proofErr w:type="spellEnd"/>
      <w:r>
        <w:rPr>
          <w:rFonts w:ascii="Cambria" w:hAnsi="Cambria"/>
          <w:sz w:val="20"/>
          <w:szCs w:val="20"/>
          <w:lang w:val="es"/>
        </w:rPr>
        <w:t xml:space="preserve"> </w:t>
      </w:r>
      <w:proofErr w:type="spellStart"/>
      <w:r>
        <w:rPr>
          <w:rFonts w:ascii="Cambria" w:hAnsi="Cambria"/>
          <w:sz w:val="20"/>
          <w:szCs w:val="20"/>
          <w:lang w:val="es"/>
        </w:rPr>
        <w:t>Kumar</w:t>
      </w:r>
      <w:proofErr w:type="spellEnd"/>
      <w:r>
        <w:rPr>
          <w:rFonts w:ascii="Cambria" w:hAnsi="Cambria"/>
          <w:sz w:val="20"/>
          <w:szCs w:val="20"/>
          <w:lang w:val="es"/>
        </w:rPr>
        <w:t xml:space="preserve"> </w:t>
      </w:r>
      <w:proofErr w:type="spellStart"/>
      <w:r>
        <w:rPr>
          <w:rFonts w:ascii="Cambria" w:hAnsi="Cambria"/>
          <w:sz w:val="20"/>
          <w:szCs w:val="20"/>
          <w:lang w:val="es"/>
        </w:rPr>
        <w:t>Tripati</w:t>
      </w:r>
      <w:proofErr w:type="spellEnd"/>
      <w:r>
        <w:rPr>
          <w:rFonts w:ascii="Cambria" w:hAnsi="Cambria"/>
          <w:sz w:val="20"/>
          <w:szCs w:val="20"/>
          <w:lang w:val="es"/>
        </w:rPr>
        <w:t xml:space="preserve"> (“el señor </w:t>
      </w:r>
      <w:proofErr w:type="spellStart"/>
      <w:r>
        <w:rPr>
          <w:rFonts w:ascii="Cambria" w:hAnsi="Cambria"/>
          <w:sz w:val="20"/>
          <w:szCs w:val="20"/>
          <w:lang w:val="es"/>
        </w:rPr>
        <w:t>Tripati</w:t>
      </w:r>
      <w:proofErr w:type="spellEnd"/>
      <w:r>
        <w:rPr>
          <w:rFonts w:ascii="Cambria" w:hAnsi="Cambria"/>
          <w:sz w:val="20"/>
          <w:szCs w:val="20"/>
          <w:lang w:val="es"/>
        </w:rPr>
        <w:t>” o “la presunta víctima”) alega que desde 1992 se halla «condenado a prisión por error» en Estados Unidos y que su arresto, procesamiento y sentencia son producto de acusaciones falsas y la connivencia entre los tribunales estatales, abogados y las fuerzas de seguridad, con todo lo cual se han violado sus derechos. Alega también que en prisión ha sido sometido a actos de represalia, entre ellos la privación de alimentación y de asistencia médica, la destrucción de sus efectos personales y documentación judicial y la negación del acceso a representación legal y a material y recursos judiciales.</w:t>
      </w:r>
    </w:p>
    <w:p w14:paraId="333C4409" w14:textId="77777777" w:rsidR="00664B2A"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 xml:space="preserve">Según la petición, el señor </w:t>
      </w:r>
      <w:proofErr w:type="spellStart"/>
      <w:r>
        <w:rPr>
          <w:rFonts w:ascii="Cambria" w:hAnsi="Cambria"/>
          <w:sz w:val="20"/>
          <w:szCs w:val="20"/>
          <w:lang w:val="es"/>
        </w:rPr>
        <w:t>Tripati</w:t>
      </w:r>
      <w:proofErr w:type="spellEnd"/>
      <w:r>
        <w:rPr>
          <w:rFonts w:ascii="Cambria" w:hAnsi="Cambria"/>
          <w:sz w:val="20"/>
          <w:szCs w:val="20"/>
          <w:lang w:val="es"/>
        </w:rPr>
        <w:t xml:space="preserve"> vivía en California, donde fundó Legal </w:t>
      </w:r>
      <w:proofErr w:type="spellStart"/>
      <w:r>
        <w:rPr>
          <w:rFonts w:ascii="Cambria" w:hAnsi="Cambria"/>
          <w:sz w:val="20"/>
          <w:szCs w:val="20"/>
          <w:lang w:val="es"/>
        </w:rPr>
        <w:t>Research</w:t>
      </w:r>
      <w:proofErr w:type="spellEnd"/>
      <w:r>
        <w:rPr>
          <w:rFonts w:ascii="Cambria" w:hAnsi="Cambria"/>
          <w:sz w:val="20"/>
          <w:szCs w:val="20"/>
          <w:lang w:val="es"/>
        </w:rPr>
        <w:t xml:space="preserve"> </w:t>
      </w:r>
      <w:proofErr w:type="spellStart"/>
      <w:r>
        <w:rPr>
          <w:rFonts w:ascii="Cambria" w:hAnsi="Cambria"/>
          <w:sz w:val="20"/>
          <w:szCs w:val="20"/>
          <w:lang w:val="es"/>
        </w:rPr>
        <w:t>Associates</w:t>
      </w:r>
      <w:proofErr w:type="spellEnd"/>
      <w:r>
        <w:rPr>
          <w:rFonts w:ascii="Cambria" w:hAnsi="Cambria"/>
          <w:sz w:val="20"/>
          <w:szCs w:val="20"/>
          <w:lang w:val="es"/>
        </w:rPr>
        <w:t xml:space="preserve"> en Beverly </w:t>
      </w:r>
      <w:proofErr w:type="spellStart"/>
      <w:r>
        <w:rPr>
          <w:rFonts w:ascii="Cambria" w:hAnsi="Cambria"/>
          <w:sz w:val="20"/>
          <w:szCs w:val="20"/>
          <w:lang w:val="es"/>
        </w:rPr>
        <w:t>Hills</w:t>
      </w:r>
      <w:proofErr w:type="spellEnd"/>
      <w:r>
        <w:rPr>
          <w:rFonts w:ascii="Cambria" w:hAnsi="Cambria"/>
          <w:sz w:val="20"/>
          <w:szCs w:val="20"/>
          <w:lang w:val="es"/>
        </w:rPr>
        <w:t xml:space="preserve">. Alega que él investigaba hechos de corrupción y otras acciones ilegales de funcionarios del condado de </w:t>
      </w:r>
      <w:proofErr w:type="spellStart"/>
      <w:r>
        <w:rPr>
          <w:rFonts w:ascii="Cambria" w:hAnsi="Cambria"/>
          <w:sz w:val="20"/>
          <w:szCs w:val="20"/>
          <w:lang w:val="es"/>
        </w:rPr>
        <w:t>Maricopa</w:t>
      </w:r>
      <w:proofErr w:type="spellEnd"/>
      <w:r>
        <w:rPr>
          <w:rFonts w:ascii="Cambria" w:hAnsi="Cambria"/>
          <w:sz w:val="20"/>
          <w:szCs w:val="20"/>
          <w:lang w:val="es"/>
        </w:rPr>
        <w:t xml:space="preserve"> y del sistema judicial de Arizona y que dichas autoridades, al enterarse de la intención del señor </w:t>
      </w:r>
      <w:proofErr w:type="spellStart"/>
      <w:r>
        <w:rPr>
          <w:rFonts w:ascii="Cambria" w:hAnsi="Cambria"/>
          <w:sz w:val="20"/>
          <w:szCs w:val="20"/>
          <w:lang w:val="es"/>
        </w:rPr>
        <w:t>Tripati</w:t>
      </w:r>
      <w:proofErr w:type="spellEnd"/>
      <w:r>
        <w:rPr>
          <w:rFonts w:ascii="Cambria" w:hAnsi="Cambria"/>
          <w:sz w:val="20"/>
          <w:szCs w:val="20"/>
          <w:lang w:val="es"/>
        </w:rPr>
        <w:t xml:space="preserve"> de publicar sus hallazgos, adoptaron medidas de represalia en su contra.</w:t>
      </w:r>
    </w:p>
    <w:p w14:paraId="2A0AD474" w14:textId="77777777" w:rsidR="00664B2A" w:rsidRPr="00632E0A"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632E0A">
        <w:rPr>
          <w:rFonts w:ascii="Cambria" w:hAnsi="Cambria"/>
          <w:sz w:val="20"/>
          <w:szCs w:val="20"/>
          <w:lang w:val="es"/>
        </w:rPr>
        <w:t xml:space="preserve">En este sentido, señala que la Fiscalía de Distrito del Condado de </w:t>
      </w:r>
      <w:proofErr w:type="spellStart"/>
      <w:r w:rsidRPr="00632E0A">
        <w:rPr>
          <w:rFonts w:ascii="Cambria" w:hAnsi="Cambria"/>
          <w:sz w:val="20"/>
          <w:szCs w:val="20"/>
          <w:lang w:val="es"/>
        </w:rPr>
        <w:t>Maricopa</w:t>
      </w:r>
      <w:proofErr w:type="spellEnd"/>
      <w:r w:rsidRPr="00632E0A">
        <w:rPr>
          <w:rFonts w:ascii="Cambria" w:hAnsi="Cambria"/>
          <w:sz w:val="20"/>
          <w:szCs w:val="20"/>
          <w:lang w:val="es"/>
        </w:rPr>
        <w:t xml:space="preserve"> fabricó pruebas en su contra y lo acusó en falso de intento de fraude al estado de Arizona mediante un plan de fianza respecto de cuatro detenidos en la prisión del condado de </w:t>
      </w:r>
      <w:proofErr w:type="spellStart"/>
      <w:r w:rsidRPr="00632E0A">
        <w:rPr>
          <w:rFonts w:ascii="Cambria" w:hAnsi="Cambria"/>
          <w:sz w:val="20"/>
          <w:szCs w:val="20"/>
          <w:lang w:val="es"/>
        </w:rPr>
        <w:t>Maricopa</w:t>
      </w:r>
      <w:proofErr w:type="spellEnd"/>
      <w:r w:rsidRPr="00632E0A">
        <w:rPr>
          <w:rFonts w:ascii="Cambria" w:hAnsi="Cambria"/>
          <w:sz w:val="20"/>
          <w:szCs w:val="20"/>
          <w:lang w:val="es"/>
        </w:rPr>
        <w:t xml:space="preserve">. Alega que a raíz de estas acusaciones, un tribunal de California ordenó su arresto y el secuestro de sus bienes. Afirma que el 24 de junio de 1992 autoridades de los estados de California y Arizona lo arrestaron en su lugar de trabajo y secuestraron documentación que no estaba incluida en la orden judicial, tales como la referida a los hechos de corrupción y a las acciones ilegales de las autoridades del condado de </w:t>
      </w:r>
      <w:proofErr w:type="spellStart"/>
      <w:r w:rsidRPr="00632E0A">
        <w:rPr>
          <w:rFonts w:ascii="Cambria" w:hAnsi="Cambria"/>
          <w:sz w:val="20"/>
          <w:szCs w:val="20"/>
          <w:lang w:val="es"/>
        </w:rPr>
        <w:t>Maricopa</w:t>
      </w:r>
      <w:proofErr w:type="spellEnd"/>
      <w:r w:rsidRPr="00632E0A">
        <w:rPr>
          <w:rFonts w:ascii="Cambria" w:hAnsi="Cambria"/>
          <w:sz w:val="20"/>
          <w:szCs w:val="20"/>
          <w:lang w:val="es"/>
        </w:rPr>
        <w:t xml:space="preserve"> —luego éstas fueron deliberadamente destruidas por dichas autoridades—.</w:t>
      </w:r>
    </w:p>
    <w:p w14:paraId="7C852F0B"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 xml:space="preserve">El señor </w:t>
      </w:r>
      <w:proofErr w:type="spellStart"/>
      <w:r>
        <w:rPr>
          <w:rFonts w:ascii="Cambria" w:hAnsi="Cambria"/>
          <w:sz w:val="20"/>
          <w:szCs w:val="20"/>
          <w:lang w:val="es"/>
        </w:rPr>
        <w:t>Tripati</w:t>
      </w:r>
      <w:proofErr w:type="spellEnd"/>
      <w:r>
        <w:rPr>
          <w:rFonts w:ascii="Cambria" w:hAnsi="Cambria"/>
          <w:sz w:val="20"/>
          <w:szCs w:val="20"/>
          <w:lang w:val="es"/>
        </w:rPr>
        <w:t xml:space="preserve"> también asevera que fue privado del derecho a las garantías judiciales debido a su falta de representación legal efectiva tanto durante el juicio de primera instancia como en la apelación, y porque la fiscalía presionó a los testigos y presentó falsos testimonios como pruebas. Asimismo, aduce que su representante de oficio se encontraba sobrecargado de labores y no incluyó pruebas que eran esenciales para la causa y que tampoco el tribunal de primera instancia le permitió presentar pruebas en su defensa. El 30 de noviembre de 1993 fue condenado y sentenciado a 28 años por fianzas fraudulentas, a 20 años por intentos de fraude y a 4 años y medio por juramento en falso; por lo que acumula una condena en prisión de 52 años y medio sin posibilidades de libertad condicional.</w:t>
      </w:r>
    </w:p>
    <w:p w14:paraId="1C6AAF16"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 xml:space="preserve">Se indica que la presunta víctima apeló su condena de 1993 ante la Corte de Apelaciones estatal de Arizona, la que el 22 de febrero de 1996 determinó que no hubo error fundamental y confirmó la condena y las sentencias. Señala que desde entonces ha presentado numerosas demandas, recursos y </w:t>
      </w:r>
      <w:r w:rsidRPr="00CF752A">
        <w:rPr>
          <w:rFonts w:ascii="Cambria" w:hAnsi="Cambria"/>
          <w:i/>
          <w:iCs/>
          <w:sz w:val="20"/>
          <w:szCs w:val="20"/>
          <w:lang w:val="es"/>
        </w:rPr>
        <w:t>habeas corpus</w:t>
      </w:r>
      <w:r>
        <w:rPr>
          <w:rFonts w:ascii="Cambria" w:hAnsi="Cambria"/>
          <w:sz w:val="20"/>
          <w:szCs w:val="20"/>
          <w:lang w:val="es"/>
        </w:rPr>
        <w:t xml:space="preserve"> a fin de obtener la exención de su condena penal y protección respecto de la violación de sus derechos fundamentales según la Ley de Derechos Civiles estadounidense. Alega que el proceso por la violación de sus derechos civiles concluyó cuando la Corte Suprema rechazó su solicitud de revisión (</w:t>
      </w:r>
      <w:proofErr w:type="spellStart"/>
      <w:r>
        <w:rPr>
          <w:rFonts w:ascii="Cambria" w:hAnsi="Cambria"/>
          <w:i/>
          <w:iCs/>
          <w:sz w:val="20"/>
          <w:szCs w:val="20"/>
          <w:lang w:val="es"/>
        </w:rPr>
        <w:t>writ</w:t>
      </w:r>
      <w:proofErr w:type="spellEnd"/>
      <w:r>
        <w:rPr>
          <w:rFonts w:ascii="Cambria" w:hAnsi="Cambria"/>
          <w:i/>
          <w:iCs/>
          <w:sz w:val="20"/>
          <w:szCs w:val="20"/>
          <w:lang w:val="es"/>
        </w:rPr>
        <w:t xml:space="preserve"> of </w:t>
      </w:r>
      <w:proofErr w:type="spellStart"/>
      <w:r>
        <w:rPr>
          <w:rFonts w:ascii="Cambria" w:hAnsi="Cambria"/>
          <w:i/>
          <w:iCs/>
          <w:sz w:val="20"/>
          <w:szCs w:val="20"/>
          <w:lang w:val="es"/>
        </w:rPr>
        <w:t>certiorari</w:t>
      </w:r>
      <w:proofErr w:type="spellEnd"/>
      <w:r>
        <w:rPr>
          <w:rFonts w:ascii="Cambria" w:hAnsi="Cambria"/>
          <w:sz w:val="20"/>
          <w:szCs w:val="20"/>
          <w:lang w:val="es"/>
        </w:rPr>
        <w:t>) el 19 de febrero de 2008</w:t>
      </w:r>
      <w:r>
        <w:rPr>
          <w:rStyle w:val="FootnoteReference"/>
          <w:rFonts w:ascii="Cambria" w:hAnsi="Cambria"/>
          <w:sz w:val="20"/>
          <w:szCs w:val="20"/>
          <w:lang w:val="es"/>
        </w:rPr>
        <w:footnoteReference w:id="7"/>
      </w:r>
      <w:r>
        <w:rPr>
          <w:rFonts w:ascii="Cambria" w:hAnsi="Cambria"/>
          <w:sz w:val="20"/>
          <w:szCs w:val="20"/>
          <w:lang w:val="es"/>
        </w:rPr>
        <w:t>.</w:t>
      </w:r>
    </w:p>
    <w:p w14:paraId="43CB9CA9"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El peticionario alega que las autoridades carcelarias adoptaron medidas de represalia en su contra debido a sus continuos esfuerzos de litigar su caso y a las demandas que instauró contra el Departamento Correccional de Arizona (“ADOC”). En este sentido, denuncia la destrucción de documentación relacionada con su caso y la privación del acceso a atención médica adecuada, la representación legal y a alimentación acorde a sus creencias religiosas, el hinduismo. Indica que también le negaron el acceso a recursos e información judiciales que otros convictos sí recibieron y que lo colocaron en el extremo de la prisión más lejano con el fin de privarle el acceso a estos recursos.</w:t>
      </w:r>
    </w:p>
    <w:p w14:paraId="7545C5AD"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 xml:space="preserve">La petición indica que la presunta víctima intentó obtener reparaciones por dichas medidas al ponerlas en conocimiento de varias autoridades. Además, en 2017, con el fin de responder a una solicitud de información por parte de la CIDH, el peticionario solicitó a la Corte Federal de Distrito para el Distrito de Arizona una copia electrónica de la documentación judicial de su caso, ya que las copias que él tenía habían sido extraviadas o destruidas por el ADOC y él no contaba con dinero suficiente para adquirir copias nuevas. La Corte de Distrito consideró que, si bien ésta podía abonar los costos de notificación en nombre de un </w:t>
      </w:r>
      <w:r>
        <w:rPr>
          <w:rFonts w:ascii="Cambria" w:hAnsi="Cambria"/>
          <w:sz w:val="20"/>
          <w:szCs w:val="20"/>
          <w:lang w:val="es"/>
        </w:rPr>
        <w:lastRenderedPageBreak/>
        <w:t>litigante indigente y, en algunos casos, abonar los costos de impresión de expedientes para la apelación, ésta no estaba autorizada a pagar costos de copias en general en nombre de litigantes indigentes. Por ello, la Corte rechazó el pedido y agregó que el peticionario podía obtener las copias que deseara enviando una solicitud por escrito acompañada del pago de 50 centavos por página más una tasa de 64 dólares para recuperar su expediente del archivo.</w:t>
      </w:r>
    </w:p>
    <w:p w14:paraId="10BD663A"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 xml:space="preserve">Estados Unidos resalta que el sistema judicial penal federal incorpora las garantías enumeradas en la Declaración Americana y que el peticionario pudo beneficiarse de esas garantías en este caso, principalmente en su juicio penal y en diversas instancias de apelación. Adicionalmente, señala que para agosto de 2015 el peticionario había instaurado no menos de 43 demandas civiles, la última de las cuales fue un </w:t>
      </w:r>
      <w:r w:rsidRPr="005F1B93">
        <w:rPr>
          <w:rFonts w:ascii="Cambria" w:hAnsi="Cambria"/>
          <w:i/>
          <w:iCs/>
          <w:sz w:val="20"/>
          <w:szCs w:val="20"/>
          <w:lang w:val="es"/>
        </w:rPr>
        <w:t>habeas corpus</w:t>
      </w:r>
      <w:r>
        <w:rPr>
          <w:rFonts w:ascii="Cambria" w:hAnsi="Cambria"/>
          <w:sz w:val="20"/>
          <w:szCs w:val="20"/>
          <w:lang w:val="es"/>
        </w:rPr>
        <w:t xml:space="preserve"> presentado el 27 de julio de 2015 —que para entonces no había sido resuelto—.</w:t>
      </w:r>
    </w:p>
    <w:p w14:paraId="4D077398"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Cambria" w:hAnsi="Cambria"/>
          <w:sz w:val="20"/>
          <w:szCs w:val="20"/>
          <w:lang w:val="es"/>
        </w:rPr>
        <w:t>El Estado alega que no halla motivos para considerar este asunto a la luz del Reglamento de la Comisión. Sostiene que el peticionario no expone hechos que constituyan violaciones de los derechos consagrados en la Declaración Americana ni aún ha agotado los recursos internos.</w:t>
      </w:r>
    </w:p>
    <w:p w14:paraId="31EA74B9" w14:textId="77777777" w:rsidR="00664B2A" w:rsidRPr="00664CF4" w:rsidRDefault="00664B2A" w:rsidP="00664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Cambria" w:hAnsi="Cambria"/>
          <w:sz w:val="20"/>
          <w:szCs w:val="20"/>
          <w:lang w:val="es-ES"/>
        </w:rPr>
      </w:pPr>
      <w:r>
        <w:rPr>
          <w:rFonts w:asciiTheme="majorHAnsi" w:hAnsiTheme="majorHAnsi"/>
          <w:b/>
          <w:bCs/>
          <w:color w:val="000000"/>
          <w:sz w:val="20"/>
          <w:szCs w:val="20"/>
          <w:u w:color="000000"/>
          <w:lang w:val="es"/>
        </w:rPr>
        <w:t>VI.</w:t>
      </w:r>
      <w:r>
        <w:rPr>
          <w:rFonts w:asciiTheme="majorHAnsi" w:hAnsiTheme="majorHAnsi"/>
          <w:b/>
          <w:bCs/>
          <w:color w:val="000000"/>
          <w:sz w:val="20"/>
          <w:szCs w:val="20"/>
          <w:u w:color="000000"/>
          <w:lang w:val="es"/>
        </w:rPr>
        <w:tab/>
      </w:r>
      <w:r>
        <w:rPr>
          <w:rFonts w:asciiTheme="majorHAnsi" w:hAnsiTheme="majorHAnsi"/>
          <w:b/>
          <w:bCs/>
          <w:sz w:val="20"/>
          <w:szCs w:val="20"/>
          <w:lang w:val="es"/>
        </w:rPr>
        <w:t>AGOTAMIENTO DE LOS RECURSOS INTERNOS Y PLAZO DE PRESENTACIÓN</w:t>
      </w:r>
      <w:r>
        <w:rPr>
          <w:rFonts w:asciiTheme="majorHAnsi" w:hAnsiTheme="majorHAnsi"/>
          <w:b/>
          <w:bCs/>
          <w:color w:val="000000"/>
          <w:sz w:val="20"/>
          <w:szCs w:val="20"/>
          <w:u w:color="000000"/>
          <w:lang w:val="es"/>
        </w:rPr>
        <w:t xml:space="preserve"> </w:t>
      </w:r>
    </w:p>
    <w:p w14:paraId="0A8CA345"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
        </w:rPr>
        <w:t xml:space="preserve">Las partes indican que en los últimos 25 años el señor </w:t>
      </w:r>
      <w:proofErr w:type="spellStart"/>
      <w:r>
        <w:rPr>
          <w:rFonts w:asciiTheme="majorHAnsi" w:hAnsiTheme="majorHAnsi"/>
          <w:sz w:val="20"/>
          <w:szCs w:val="20"/>
          <w:lang w:val="es"/>
        </w:rPr>
        <w:t>Tripati</w:t>
      </w:r>
      <w:proofErr w:type="spellEnd"/>
      <w:r>
        <w:rPr>
          <w:rFonts w:asciiTheme="majorHAnsi" w:hAnsiTheme="majorHAnsi"/>
          <w:sz w:val="20"/>
          <w:szCs w:val="20"/>
          <w:lang w:val="es"/>
        </w:rPr>
        <w:t xml:space="preserve"> ha presentado numerosas demandas y recursos para la revisión de su condena, tanto en procesos penales como civiles. La presunta víctima alega que agotó los recursos internos el 19 de febrero de 2008, cuando la Corte Suprema de Estados Unidos desestimó el </w:t>
      </w:r>
      <w:proofErr w:type="spellStart"/>
      <w:r w:rsidRPr="00E30B9F">
        <w:rPr>
          <w:rFonts w:asciiTheme="majorHAnsi" w:hAnsiTheme="majorHAnsi"/>
          <w:i/>
          <w:iCs/>
          <w:sz w:val="20"/>
          <w:szCs w:val="20"/>
          <w:lang w:val="es"/>
        </w:rPr>
        <w:t>writ</w:t>
      </w:r>
      <w:proofErr w:type="spellEnd"/>
      <w:r w:rsidRPr="00E30B9F">
        <w:rPr>
          <w:rFonts w:asciiTheme="majorHAnsi" w:hAnsiTheme="majorHAnsi"/>
          <w:i/>
          <w:iCs/>
          <w:sz w:val="20"/>
          <w:szCs w:val="20"/>
          <w:lang w:val="es"/>
        </w:rPr>
        <w:t xml:space="preserve"> of </w:t>
      </w:r>
      <w:proofErr w:type="spellStart"/>
      <w:r w:rsidRPr="00E30B9F">
        <w:rPr>
          <w:rFonts w:asciiTheme="majorHAnsi" w:hAnsiTheme="majorHAnsi"/>
          <w:i/>
          <w:iCs/>
          <w:sz w:val="20"/>
          <w:szCs w:val="20"/>
          <w:lang w:val="es"/>
        </w:rPr>
        <w:t>certiorari</w:t>
      </w:r>
      <w:proofErr w:type="spellEnd"/>
      <w:r>
        <w:rPr>
          <w:rFonts w:asciiTheme="majorHAnsi" w:hAnsiTheme="majorHAnsi"/>
          <w:sz w:val="20"/>
          <w:szCs w:val="20"/>
          <w:lang w:val="es"/>
        </w:rPr>
        <w:t xml:space="preserve"> que él presentó por la violación de sus derechos civiles, y que luego procedió a enviar esta petición a la CIDH oportunamente, el 17 de abril de 2008. Por su parte, el Estado alega en su comunicación del 10 de agosto de 2015 que desde que la presentación de la petición ante la CIDH, el señor </w:t>
      </w:r>
      <w:proofErr w:type="spellStart"/>
      <w:r>
        <w:rPr>
          <w:rFonts w:asciiTheme="majorHAnsi" w:hAnsiTheme="majorHAnsi"/>
          <w:sz w:val="20"/>
          <w:szCs w:val="20"/>
          <w:lang w:val="es"/>
        </w:rPr>
        <w:t>Tripati</w:t>
      </w:r>
      <w:proofErr w:type="spellEnd"/>
      <w:r>
        <w:rPr>
          <w:rFonts w:asciiTheme="majorHAnsi" w:hAnsiTheme="majorHAnsi"/>
          <w:sz w:val="20"/>
          <w:szCs w:val="20"/>
          <w:lang w:val="es"/>
        </w:rPr>
        <w:t xml:space="preserve"> ha continuado presentando recursos, el último de ellos es una solicitud de </w:t>
      </w:r>
      <w:r w:rsidRPr="00E30B9F">
        <w:rPr>
          <w:rFonts w:asciiTheme="majorHAnsi" w:hAnsiTheme="majorHAnsi"/>
          <w:i/>
          <w:iCs/>
          <w:sz w:val="20"/>
          <w:szCs w:val="20"/>
          <w:lang w:val="es"/>
        </w:rPr>
        <w:t>habeas corpus</w:t>
      </w:r>
      <w:r>
        <w:rPr>
          <w:rFonts w:asciiTheme="majorHAnsi" w:hAnsiTheme="majorHAnsi"/>
          <w:sz w:val="20"/>
          <w:szCs w:val="20"/>
          <w:lang w:val="es"/>
        </w:rPr>
        <w:t xml:space="preserve"> con fecha del 27 de julio de 2015, que para entonces aún no había sido resuelta. La CIDH no cuenta con información adicional respecto del estado actual del recurso de </w:t>
      </w:r>
      <w:r w:rsidRPr="00E30B9F">
        <w:rPr>
          <w:rFonts w:asciiTheme="majorHAnsi" w:hAnsiTheme="majorHAnsi"/>
          <w:i/>
          <w:iCs/>
          <w:sz w:val="20"/>
          <w:szCs w:val="20"/>
          <w:lang w:val="es"/>
        </w:rPr>
        <w:t>habeas corpus</w:t>
      </w:r>
      <w:r>
        <w:rPr>
          <w:rFonts w:asciiTheme="majorHAnsi" w:hAnsiTheme="majorHAnsi"/>
          <w:sz w:val="20"/>
          <w:szCs w:val="20"/>
          <w:lang w:val="es"/>
        </w:rPr>
        <w:t>.</w:t>
      </w:r>
    </w:p>
    <w:p w14:paraId="50603B2C"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
        </w:rPr>
        <w:t xml:space="preserve">La CIDH reitera que toda vez que un Estado alega falta de agotamiento de los recursos internos, corresponde a éste indicar cuáles recursos deberían haberse interpuesto y, además, demostrar que éstos son adecuados para resolver la violación alegada. En este caso, el Estado indica que el señor </w:t>
      </w:r>
      <w:proofErr w:type="spellStart"/>
      <w:r>
        <w:rPr>
          <w:rFonts w:asciiTheme="majorHAnsi" w:hAnsiTheme="majorHAnsi"/>
          <w:sz w:val="20"/>
          <w:szCs w:val="20"/>
          <w:lang w:val="es"/>
        </w:rPr>
        <w:t>Tripati</w:t>
      </w:r>
      <w:proofErr w:type="spellEnd"/>
      <w:r>
        <w:rPr>
          <w:rFonts w:asciiTheme="majorHAnsi" w:hAnsiTheme="majorHAnsi"/>
          <w:sz w:val="20"/>
          <w:szCs w:val="20"/>
          <w:lang w:val="es"/>
        </w:rPr>
        <w:t xml:space="preserve"> no ha agotado los recursos internos puesto que una solicitud de </w:t>
      </w:r>
      <w:r w:rsidRPr="00E30B9F">
        <w:rPr>
          <w:rFonts w:asciiTheme="majorHAnsi" w:hAnsiTheme="majorHAnsi"/>
          <w:i/>
          <w:iCs/>
          <w:sz w:val="20"/>
          <w:szCs w:val="20"/>
          <w:lang w:val="es"/>
        </w:rPr>
        <w:t>habeas corpus</w:t>
      </w:r>
      <w:r>
        <w:rPr>
          <w:rFonts w:asciiTheme="majorHAnsi" w:hAnsiTheme="majorHAnsi"/>
          <w:sz w:val="20"/>
          <w:szCs w:val="20"/>
          <w:lang w:val="es"/>
        </w:rPr>
        <w:t xml:space="preserve"> presentada el 27 de julio de 2015 se halla pendiente de resolución. No obstante, la Comisión recuerda que el propósito del requisito de agotamiento de los recursos internos es brindar al Estado la oportunidad de conocer la violación que se alega. De la información disponible surge que para 2015 el peticionario ya había agotado alrededor de unas 40 demandas de apelación contra su condena y las alegadas violaciones de sus derechos constitucionales, entre ellas solicitudes de </w:t>
      </w:r>
      <w:r w:rsidRPr="00E30B9F">
        <w:rPr>
          <w:rFonts w:asciiTheme="majorHAnsi" w:hAnsiTheme="majorHAnsi"/>
          <w:i/>
          <w:iCs/>
          <w:sz w:val="20"/>
          <w:szCs w:val="20"/>
          <w:lang w:val="es"/>
        </w:rPr>
        <w:t>habeas corpus</w:t>
      </w:r>
      <w:r w:rsidRPr="00E30B9F">
        <w:rPr>
          <w:rFonts w:asciiTheme="majorHAnsi" w:hAnsiTheme="majorHAnsi"/>
          <w:sz w:val="20"/>
          <w:szCs w:val="20"/>
          <w:lang w:val="es"/>
        </w:rPr>
        <w:t>.</w:t>
      </w:r>
      <w:r>
        <w:rPr>
          <w:rFonts w:asciiTheme="majorHAnsi" w:hAnsiTheme="majorHAnsi"/>
          <w:sz w:val="20"/>
          <w:szCs w:val="20"/>
          <w:lang w:val="es"/>
        </w:rPr>
        <w:t xml:space="preserve"> En consecuencia, la CIDH considera que el peticionario no tenía la obligación de agotar el </w:t>
      </w:r>
      <w:r w:rsidRPr="00E30B9F">
        <w:rPr>
          <w:rFonts w:asciiTheme="majorHAnsi" w:hAnsiTheme="majorHAnsi"/>
          <w:i/>
          <w:iCs/>
          <w:sz w:val="20"/>
          <w:szCs w:val="20"/>
          <w:lang w:val="es"/>
        </w:rPr>
        <w:t>habeas corpus</w:t>
      </w:r>
      <w:r>
        <w:rPr>
          <w:rFonts w:asciiTheme="majorHAnsi" w:hAnsiTheme="majorHAnsi"/>
          <w:sz w:val="20"/>
          <w:szCs w:val="20"/>
          <w:lang w:val="es"/>
        </w:rPr>
        <w:t xml:space="preserve"> de julio de 2015 como requisito para presentar su petición ante la Comisión. </w:t>
      </w:r>
    </w:p>
    <w:p w14:paraId="16CAEE2A"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
        </w:rPr>
        <w:t xml:space="preserve">En vista de lo anterior, la CIDH estima que la presunta víctima agotó los recursos internos el 19 de febrero de 2008, cuando la Corte Suprema de Estados Unidos desestimó el </w:t>
      </w:r>
      <w:proofErr w:type="spellStart"/>
      <w:r>
        <w:rPr>
          <w:rFonts w:asciiTheme="majorHAnsi" w:hAnsiTheme="majorHAnsi"/>
          <w:i/>
          <w:iCs/>
          <w:sz w:val="20"/>
          <w:szCs w:val="20"/>
          <w:lang w:val="es"/>
        </w:rPr>
        <w:t>writ</w:t>
      </w:r>
      <w:proofErr w:type="spellEnd"/>
      <w:r>
        <w:rPr>
          <w:rFonts w:asciiTheme="majorHAnsi" w:hAnsiTheme="majorHAnsi"/>
          <w:i/>
          <w:iCs/>
          <w:sz w:val="20"/>
          <w:szCs w:val="20"/>
          <w:lang w:val="es"/>
        </w:rPr>
        <w:t xml:space="preserve"> of </w:t>
      </w:r>
      <w:proofErr w:type="spellStart"/>
      <w:r>
        <w:rPr>
          <w:rFonts w:asciiTheme="majorHAnsi" w:hAnsiTheme="majorHAnsi"/>
          <w:i/>
          <w:iCs/>
          <w:sz w:val="20"/>
          <w:szCs w:val="20"/>
          <w:lang w:val="es"/>
        </w:rPr>
        <w:t>certiorari</w:t>
      </w:r>
      <w:proofErr w:type="spellEnd"/>
      <w:r>
        <w:rPr>
          <w:rFonts w:asciiTheme="majorHAnsi" w:hAnsiTheme="majorHAnsi"/>
          <w:sz w:val="20"/>
          <w:szCs w:val="20"/>
          <w:lang w:val="es"/>
        </w:rPr>
        <w:t xml:space="preserve"> que éste presentó en el juicio civil por la violación de sus derechos constitucionales. Adicionalmente, considerando que los recursos internos fueron agotados el 19 de febrero de 2008 y que la petición fue presentada el 17 de abril de 2008, la Comisión concluye que el artículo 32(1) del Reglamento debe darse por satisfecho.</w:t>
      </w:r>
    </w:p>
    <w:p w14:paraId="021F794F"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Theme="majorHAnsi" w:hAnsiTheme="majorHAnsi"/>
          <w:sz w:val="20"/>
          <w:szCs w:val="20"/>
          <w:lang w:val="es"/>
        </w:rPr>
        <w:t xml:space="preserve">Con respecto a la supuesta privación de alimentos y de atención médica, la CIDH observa que el señor </w:t>
      </w:r>
      <w:proofErr w:type="spellStart"/>
      <w:r>
        <w:rPr>
          <w:rFonts w:asciiTheme="majorHAnsi" w:hAnsiTheme="majorHAnsi"/>
          <w:sz w:val="20"/>
          <w:szCs w:val="20"/>
          <w:lang w:val="es"/>
        </w:rPr>
        <w:t>Tripati</w:t>
      </w:r>
      <w:proofErr w:type="spellEnd"/>
      <w:r>
        <w:rPr>
          <w:rFonts w:asciiTheme="majorHAnsi" w:hAnsiTheme="majorHAnsi"/>
          <w:sz w:val="20"/>
          <w:szCs w:val="20"/>
          <w:lang w:val="es"/>
        </w:rPr>
        <w:t xml:space="preserve"> presentó ante el ADOC varios reclamos sobre la atención médica, muchos de estos fueron posteriores a la presentación de esta petición a la CIDH. Además, en relación con la supuesta destrucción y fabricación de pruebas, la privación del acceso a la representación legal, la violación de su correspondencia legal y la privación del acceso a recursos judiciales se observa que el expediente judicial también incluye varias comunicaciones escritas al director de la cárcel y el ADOC entre 2009 y 2016 sobre estas cuestiones. Según la práctica de la CIDH, el requisito establecido en el artículo 32(1) del Reglamento de la CIDH debe </w:t>
      </w:r>
      <w:r>
        <w:rPr>
          <w:rFonts w:asciiTheme="majorHAnsi" w:hAnsiTheme="majorHAnsi"/>
          <w:sz w:val="20"/>
          <w:szCs w:val="20"/>
          <w:lang w:val="es"/>
        </w:rPr>
        <w:lastRenderedPageBreak/>
        <w:t>analizarse a la luz de la situación vigente al momento en que la Comisión se pronuncia sobre la admisibilidad o inadmisibilidad del reclamo</w:t>
      </w:r>
      <w:r>
        <w:rPr>
          <w:rFonts w:asciiTheme="majorHAnsi" w:hAnsiTheme="majorHAnsi"/>
          <w:sz w:val="20"/>
          <w:szCs w:val="20"/>
          <w:vertAlign w:val="superscript"/>
          <w:lang w:val="es"/>
        </w:rPr>
        <w:footnoteReference w:id="8"/>
      </w:r>
      <w:r>
        <w:rPr>
          <w:rFonts w:asciiTheme="majorHAnsi" w:hAnsiTheme="majorHAnsi"/>
          <w:sz w:val="20"/>
          <w:szCs w:val="20"/>
          <w:lang w:val="es"/>
        </w:rPr>
        <w:t>.</w:t>
      </w:r>
    </w:p>
    <w:p w14:paraId="0C7D7A15" w14:textId="77777777" w:rsidR="00664B2A" w:rsidRPr="00664CF4" w:rsidRDefault="00664B2A" w:rsidP="00664B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sz w:val="20"/>
          <w:szCs w:val="20"/>
          <w:lang w:val="es-ES"/>
        </w:rPr>
      </w:pPr>
      <w:r>
        <w:rPr>
          <w:rFonts w:asciiTheme="majorHAnsi" w:hAnsiTheme="majorHAnsi"/>
          <w:b/>
          <w:bCs/>
          <w:sz w:val="20"/>
          <w:szCs w:val="20"/>
          <w:lang w:val="es"/>
        </w:rPr>
        <w:t>VII.</w:t>
      </w:r>
      <w:r>
        <w:rPr>
          <w:rFonts w:asciiTheme="majorHAnsi" w:hAnsiTheme="majorHAnsi"/>
          <w:b/>
          <w:bCs/>
          <w:sz w:val="20"/>
          <w:szCs w:val="20"/>
          <w:lang w:val="es"/>
        </w:rPr>
        <w:tab/>
        <w:t>CARACTERIZACIÓN DE LOS HECHOS ALEGADOS</w:t>
      </w:r>
    </w:p>
    <w:p w14:paraId="44C13BD1" w14:textId="77777777" w:rsidR="00664B2A" w:rsidRPr="00E30B9F" w:rsidRDefault="00664B2A" w:rsidP="00664B2A">
      <w:pPr>
        <w:pStyle w:val="ListParagraph"/>
        <w:numPr>
          <w:ilvl w:val="0"/>
          <w:numId w:val="103"/>
        </w:numPr>
        <w:jc w:val="both"/>
        <w:rPr>
          <w:rFonts w:asciiTheme="majorHAnsi" w:eastAsia="Arial Unicode MS" w:hAnsiTheme="majorHAnsi"/>
          <w:sz w:val="20"/>
          <w:szCs w:val="20"/>
          <w:lang w:val="es-ES"/>
        </w:rPr>
      </w:pPr>
      <w:r w:rsidRPr="00E30B9F">
        <w:rPr>
          <w:rFonts w:asciiTheme="majorHAnsi" w:eastAsia="Arial Unicode MS" w:hAnsiTheme="majorHAnsi"/>
          <w:sz w:val="20"/>
          <w:szCs w:val="20"/>
          <w:lang w:val="es"/>
        </w:rPr>
        <w:t xml:space="preserve">Sin prejuzgar el fondo del reclamo, tras analizar la postura de ambas partes y en virtud de los requisitos mencionados en los artículos 31 a 34 del Reglamento, la Comisión Interamericana decide declarar admisible la presente petición a los fines de examinar las alegadas violaciones de los derechos consagrados en los artículos I (vida, libertad, seguridad e integridad), II (igualdad ante la ley), III (libertad religiosa y de culto), X (inviolabilidad y circulación de la correspondencia), XI (preservación de la salud y bienestar), XVIII (justicia), XXV (protección contra la detención arbitraria) y XXVI (proceso regular) de la Declaración Americana, en perjuicio del señor </w:t>
      </w:r>
      <w:proofErr w:type="spellStart"/>
      <w:r w:rsidRPr="00E30B9F">
        <w:rPr>
          <w:rFonts w:asciiTheme="majorHAnsi" w:eastAsia="Arial Unicode MS" w:hAnsiTheme="majorHAnsi"/>
          <w:sz w:val="20"/>
          <w:szCs w:val="20"/>
          <w:lang w:val="es"/>
        </w:rPr>
        <w:t>Tripati</w:t>
      </w:r>
      <w:proofErr w:type="spellEnd"/>
      <w:r w:rsidRPr="00E30B9F">
        <w:rPr>
          <w:rFonts w:asciiTheme="majorHAnsi" w:eastAsia="Arial Unicode MS" w:hAnsiTheme="majorHAnsi"/>
          <w:sz w:val="20"/>
          <w:szCs w:val="20"/>
          <w:lang w:val="es"/>
        </w:rPr>
        <w:t>.</w:t>
      </w:r>
    </w:p>
    <w:p w14:paraId="442096A2" w14:textId="77777777" w:rsidR="00664B2A" w:rsidRPr="00E30B9F" w:rsidRDefault="00664B2A" w:rsidP="00664B2A">
      <w:pPr>
        <w:pStyle w:val="ListParagraph"/>
        <w:numPr>
          <w:ilvl w:val="0"/>
          <w:numId w:val="103"/>
        </w:numPr>
        <w:spacing w:before="240" w:after="240"/>
        <w:jc w:val="both"/>
        <w:rPr>
          <w:rFonts w:asciiTheme="majorHAnsi" w:eastAsia="Arial Unicode MS" w:hAnsiTheme="majorHAnsi"/>
          <w:sz w:val="20"/>
          <w:szCs w:val="20"/>
          <w:lang w:val="es-ES"/>
        </w:rPr>
      </w:pPr>
      <w:r w:rsidRPr="00E30B9F">
        <w:rPr>
          <w:rFonts w:asciiTheme="majorHAnsi" w:eastAsia="Arial Unicode MS" w:hAnsiTheme="majorHAnsi"/>
          <w:sz w:val="20"/>
          <w:szCs w:val="20"/>
          <w:lang w:val="es"/>
        </w:rPr>
        <w:t>Adicionalmente, en la etapa de fondo, la CIDH evaluará si la alegada privación del acceso gratuito a documentos judiciales para un litigante indigente configura una violación del artículo IV (libertad de investigación, opinión, expresión y difusión) de la Declaración Americana.</w:t>
      </w:r>
    </w:p>
    <w:p w14:paraId="313FADFA" w14:textId="77777777" w:rsidR="00664B2A" w:rsidRPr="00E30B9F" w:rsidRDefault="00664B2A" w:rsidP="00664B2A">
      <w:pPr>
        <w:pStyle w:val="ListParagraph"/>
        <w:numPr>
          <w:ilvl w:val="0"/>
          <w:numId w:val="103"/>
        </w:numPr>
        <w:jc w:val="both"/>
        <w:rPr>
          <w:rFonts w:asciiTheme="majorHAnsi" w:eastAsia="Arial Unicode MS" w:hAnsiTheme="majorHAnsi"/>
          <w:sz w:val="20"/>
          <w:szCs w:val="20"/>
          <w:lang w:val="es-ES"/>
        </w:rPr>
      </w:pPr>
      <w:r w:rsidRPr="00E30B9F">
        <w:rPr>
          <w:rFonts w:asciiTheme="majorHAnsi" w:eastAsia="Arial Unicode MS" w:hAnsiTheme="majorHAnsi"/>
          <w:sz w:val="20"/>
          <w:szCs w:val="20"/>
          <w:lang w:val="es"/>
        </w:rPr>
        <w:t xml:space="preserve">La CIDH carece de competencia </w:t>
      </w:r>
      <w:r w:rsidRPr="00E30B9F">
        <w:rPr>
          <w:rFonts w:asciiTheme="majorHAnsi" w:eastAsia="Arial Unicode MS" w:hAnsiTheme="majorHAnsi"/>
          <w:i/>
          <w:iCs/>
          <w:sz w:val="20"/>
          <w:szCs w:val="20"/>
          <w:lang w:val="es"/>
        </w:rPr>
        <w:t>ratione materiae</w:t>
      </w:r>
      <w:r w:rsidRPr="00E30B9F">
        <w:rPr>
          <w:rFonts w:asciiTheme="majorHAnsi" w:eastAsia="Arial Unicode MS" w:hAnsiTheme="majorHAnsi"/>
          <w:sz w:val="20"/>
          <w:szCs w:val="20"/>
          <w:lang w:val="es"/>
        </w:rPr>
        <w:t xml:space="preserve"> para determinar violaciones de derechos consagrados en instrumentos que ajenos al sistema interamericano de derechos humanos. Sin embargo, en virtud de los estándares básicos de interpretación, la Comisión puede tomar en cuenta la Declaración Universal de Derechos Humanos y el Pacto Internacional de Derechos Civiles y Políticos a los fines de aplicar la Declaración Americana.</w:t>
      </w:r>
    </w:p>
    <w:p w14:paraId="73022396" w14:textId="77777777" w:rsidR="00664B2A" w:rsidRPr="00664CF4" w:rsidRDefault="00664B2A" w:rsidP="00664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Pr>
          <w:rFonts w:asciiTheme="majorHAnsi" w:hAnsiTheme="majorHAnsi"/>
          <w:sz w:val="20"/>
          <w:szCs w:val="20"/>
          <w:lang w:val="es"/>
        </w:rPr>
        <w:t xml:space="preserve">Por último, la CIDH carece de competencia </w:t>
      </w:r>
      <w:r>
        <w:rPr>
          <w:rFonts w:asciiTheme="majorHAnsi" w:hAnsiTheme="majorHAnsi"/>
          <w:i/>
          <w:iCs/>
          <w:sz w:val="20"/>
          <w:szCs w:val="20"/>
          <w:lang w:val="es"/>
        </w:rPr>
        <w:t>ratione materiae</w:t>
      </w:r>
      <w:r>
        <w:rPr>
          <w:rFonts w:asciiTheme="majorHAnsi" w:hAnsiTheme="majorHAnsi"/>
          <w:sz w:val="20"/>
          <w:szCs w:val="20"/>
          <w:lang w:val="es"/>
        </w:rPr>
        <w:t xml:space="preserve"> para determinar violaciones de derechos consagrados en la Convención Americana puesto que el Estado no ha ratificado aún dicho tratado. Sin embargo, en virtud de los estándares básicos de interpretación, la Comisión puede tomar en cuenta la Convención a los fines de aplicar la Declaración Americana.</w:t>
      </w:r>
    </w:p>
    <w:p w14:paraId="341C348B" w14:textId="77777777" w:rsidR="00664B2A" w:rsidRPr="000B6B7A" w:rsidRDefault="00664B2A" w:rsidP="00664B2A">
      <w:pPr>
        <w:pStyle w:val="ListParagraph"/>
        <w:spacing w:before="120" w:after="120"/>
        <w:jc w:val="both"/>
        <w:rPr>
          <w:rFonts w:asciiTheme="majorHAnsi" w:hAnsiTheme="majorHAnsi"/>
          <w:b/>
          <w:bCs/>
          <w:sz w:val="20"/>
          <w:szCs w:val="20"/>
        </w:rPr>
      </w:pPr>
      <w:r>
        <w:rPr>
          <w:rFonts w:asciiTheme="majorHAnsi" w:hAnsiTheme="majorHAnsi"/>
          <w:b/>
          <w:bCs/>
          <w:sz w:val="20"/>
          <w:szCs w:val="20"/>
          <w:lang w:val="es"/>
        </w:rPr>
        <w:t xml:space="preserve">VIII. </w:t>
      </w:r>
      <w:r>
        <w:rPr>
          <w:rFonts w:asciiTheme="majorHAnsi" w:hAnsiTheme="majorHAnsi"/>
          <w:b/>
          <w:bCs/>
          <w:sz w:val="20"/>
          <w:szCs w:val="20"/>
          <w:lang w:val="es"/>
        </w:rPr>
        <w:tab/>
        <w:t>DECISIÓN</w:t>
      </w:r>
    </w:p>
    <w:p w14:paraId="4E1918A6" w14:textId="77777777" w:rsidR="00664B2A" w:rsidRPr="00664B2A" w:rsidRDefault="00664B2A" w:rsidP="009F110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before="120" w:after="240"/>
        <w:jc w:val="both"/>
        <w:rPr>
          <w:rFonts w:ascii="Cambria" w:hAnsi="Cambria"/>
          <w:sz w:val="20"/>
          <w:szCs w:val="20"/>
          <w:lang w:val="es-PA"/>
        </w:rPr>
      </w:pPr>
      <w:r w:rsidRPr="00664B2A">
        <w:rPr>
          <w:rFonts w:asciiTheme="majorHAnsi" w:hAnsiTheme="majorHAnsi"/>
          <w:sz w:val="20"/>
          <w:szCs w:val="20"/>
          <w:lang w:val="es"/>
        </w:rPr>
        <w:t>Declarar admisible la presente petición respecto de los artículos I, II, III, IV, X, XI, XVIII, XXV y XXVI de la Declaración Americana; y</w:t>
      </w:r>
    </w:p>
    <w:p w14:paraId="2188DBBA" w14:textId="60C3AEE3" w:rsidR="00711C21" w:rsidRPr="00664B2A" w:rsidRDefault="00664B2A" w:rsidP="009F110D">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before="120" w:after="240"/>
        <w:jc w:val="both"/>
        <w:rPr>
          <w:rFonts w:ascii="Cambria" w:hAnsi="Cambria"/>
          <w:sz w:val="20"/>
          <w:szCs w:val="20"/>
          <w:lang w:val="es-PA"/>
        </w:rPr>
      </w:pPr>
      <w:r w:rsidRPr="00664B2A">
        <w:rPr>
          <w:rFonts w:asciiTheme="majorHAnsi" w:hAnsiTheme="majorHAnsi"/>
          <w:sz w:val="20"/>
          <w:szCs w:val="20"/>
          <w:lang w:val="es"/>
        </w:rPr>
        <w:t>Notificar a las partes la presente decisión; continuar con el análisis del fondo; y publicar esta decisión e incluirla en su Informe Anual a la Asamblea General de la Organización de los Estados Americanos.</w:t>
      </w:r>
    </w:p>
    <w:p w14:paraId="6CD7075C" w14:textId="35E3E489" w:rsidR="005C70E0" w:rsidRDefault="005C70E0" w:rsidP="005C70E0">
      <w:pPr>
        <w:pStyle w:val="ListParagraph"/>
        <w:suppressAutoHyphens/>
        <w:ind w:left="0" w:firstLine="720"/>
        <w:jc w:val="both"/>
        <w:rPr>
          <w:sz w:val="20"/>
          <w:szCs w:val="20"/>
          <w:lang w:val="es-US"/>
        </w:rPr>
      </w:pPr>
      <w:r>
        <w:rPr>
          <w:sz w:val="20"/>
          <w:szCs w:val="20"/>
          <w:lang w:val="es-US"/>
        </w:rPr>
        <w:t>Aprobado por la Comisión Interamericana de Derechos Humanos a los 2</w:t>
      </w:r>
      <w:r>
        <w:rPr>
          <w:sz w:val="20"/>
          <w:szCs w:val="20"/>
          <w:lang w:val="es-US"/>
        </w:rPr>
        <w:t>4</w:t>
      </w:r>
      <w:r>
        <w:rPr>
          <w:sz w:val="20"/>
          <w:szCs w:val="20"/>
          <w:lang w:val="es-US"/>
        </w:rPr>
        <w:t xml:space="preserve"> días del mes de </w:t>
      </w:r>
      <w:r>
        <w:rPr>
          <w:sz w:val="20"/>
          <w:szCs w:val="20"/>
          <w:lang w:val="es-US"/>
        </w:rPr>
        <w:t>octubre</w:t>
      </w:r>
      <w:r>
        <w:rPr>
          <w:sz w:val="20"/>
          <w:szCs w:val="20"/>
          <w:lang w:val="es-US"/>
        </w:rPr>
        <w:t xml:space="preserve"> de 2019.  (Firmado): Esmeralda E. Arosemena Bernal de </w:t>
      </w:r>
      <w:proofErr w:type="spellStart"/>
      <w:r>
        <w:rPr>
          <w:sz w:val="20"/>
          <w:szCs w:val="20"/>
          <w:lang w:val="es-US"/>
        </w:rPr>
        <w:t>Troitiño</w:t>
      </w:r>
      <w:proofErr w:type="spellEnd"/>
      <w:r>
        <w:rPr>
          <w:sz w:val="20"/>
          <w:szCs w:val="20"/>
          <w:lang w:val="es-US"/>
        </w:rPr>
        <w:t xml:space="preserve">, Presidenta; Joel Hernández, Primer Vicepresidente; Antonia Urrejola, Segunda Vicepresidenta; Margarette May Macaulay, Francisco José Eguiguren, Luis Ernesto Vargas Silva, y </w:t>
      </w:r>
      <w:proofErr w:type="spellStart"/>
      <w:r>
        <w:rPr>
          <w:sz w:val="20"/>
          <w:szCs w:val="20"/>
          <w:lang w:val="es-US"/>
        </w:rPr>
        <w:t>Flávia</w:t>
      </w:r>
      <w:proofErr w:type="spellEnd"/>
      <w:r>
        <w:rPr>
          <w:sz w:val="20"/>
          <w:szCs w:val="20"/>
          <w:lang w:val="es-US"/>
        </w:rPr>
        <w:t xml:space="preserve"> </w:t>
      </w:r>
      <w:proofErr w:type="spellStart"/>
      <w:r>
        <w:rPr>
          <w:sz w:val="20"/>
          <w:szCs w:val="20"/>
          <w:lang w:val="es-US"/>
        </w:rPr>
        <w:t>Piovesan</w:t>
      </w:r>
      <w:proofErr w:type="spellEnd"/>
      <w:r>
        <w:rPr>
          <w:sz w:val="20"/>
          <w:szCs w:val="20"/>
          <w:lang w:val="es-US"/>
        </w:rPr>
        <w:t>, Miembros de la Comisión.</w:t>
      </w:r>
    </w:p>
    <w:p w14:paraId="5482A233" w14:textId="77777777" w:rsidR="00722C9F" w:rsidRPr="005C70E0" w:rsidRDefault="00722C9F" w:rsidP="00974491">
      <w:pPr>
        <w:rPr>
          <w:rFonts w:ascii="Cambria" w:hAnsi="Cambria" w:cs="Calibri"/>
          <w:sz w:val="20"/>
          <w:szCs w:val="20"/>
          <w:lang w:val="es-US"/>
        </w:rPr>
      </w:pPr>
    </w:p>
    <w:sectPr w:rsidR="00722C9F" w:rsidRPr="005C70E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EEBF4" w14:textId="77777777" w:rsidR="002419D0" w:rsidRDefault="002419D0">
      <w:r>
        <w:separator/>
      </w:r>
    </w:p>
  </w:endnote>
  <w:endnote w:type="continuationSeparator" w:id="0">
    <w:p w14:paraId="0982D039" w14:textId="77777777" w:rsidR="002419D0" w:rsidRDefault="0024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1AADB" w14:textId="77777777" w:rsidR="007A225A" w:rsidRDefault="007A2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77777777"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A225A">
          <w:rPr>
            <w:noProof/>
            <w:sz w:val="16"/>
            <w:szCs w:val="22"/>
          </w:rPr>
          <w:t>4</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A1F1D" w14:textId="77777777" w:rsidR="002419D0" w:rsidRPr="000F35ED" w:rsidRDefault="002419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76A218" w14:textId="77777777" w:rsidR="002419D0" w:rsidRPr="000F35ED" w:rsidRDefault="002419D0" w:rsidP="000F35ED">
      <w:pPr>
        <w:rPr>
          <w:rFonts w:asciiTheme="majorHAnsi" w:hAnsiTheme="majorHAnsi"/>
          <w:sz w:val="16"/>
          <w:szCs w:val="16"/>
        </w:rPr>
      </w:pPr>
      <w:r w:rsidRPr="000F35ED">
        <w:rPr>
          <w:rFonts w:asciiTheme="majorHAnsi" w:hAnsiTheme="majorHAnsi"/>
          <w:sz w:val="16"/>
          <w:szCs w:val="16"/>
        </w:rPr>
        <w:separator/>
      </w:r>
    </w:p>
    <w:p w14:paraId="7C355F5D" w14:textId="77777777" w:rsidR="002419D0" w:rsidRPr="000F35ED" w:rsidRDefault="002419D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DEE0EC8" w14:textId="77777777" w:rsidR="002419D0" w:rsidRPr="000F35ED" w:rsidRDefault="002419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0CBE9F4" w14:textId="77777777" w:rsidR="00664B2A" w:rsidRPr="00664CF4" w:rsidRDefault="00664B2A" w:rsidP="00664B2A">
      <w:pPr>
        <w:pStyle w:val="FootnoteText"/>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Inicialmente, la petición fue presentada por el señor Frederick A. Romero, cuya representación del señor </w:t>
      </w:r>
      <w:proofErr w:type="spellStart"/>
      <w:r>
        <w:rPr>
          <w:rFonts w:ascii="Cambria" w:hAnsi="Cambria"/>
          <w:sz w:val="16"/>
          <w:szCs w:val="16"/>
          <w:lang w:val="es"/>
        </w:rPr>
        <w:t>Tripati</w:t>
      </w:r>
      <w:proofErr w:type="spellEnd"/>
      <w:r>
        <w:rPr>
          <w:rFonts w:ascii="Cambria" w:hAnsi="Cambria"/>
          <w:sz w:val="16"/>
          <w:szCs w:val="16"/>
          <w:lang w:val="es"/>
        </w:rPr>
        <w:t xml:space="preserve"> fue rescindida el 5 de mayo de 2015.</w:t>
      </w:r>
    </w:p>
  </w:footnote>
  <w:footnote w:id="3">
    <w:p w14:paraId="4F4E9345" w14:textId="77777777" w:rsidR="00664B2A" w:rsidRPr="00664CF4" w:rsidRDefault="00664B2A" w:rsidP="00664B2A">
      <w:pPr>
        <w:pStyle w:val="FootnoteText"/>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En adelante "Convención Americana" o "Convención”.</w:t>
      </w:r>
    </w:p>
  </w:footnote>
  <w:footnote w:id="4">
    <w:p w14:paraId="14749C7B" w14:textId="17AC31CB" w:rsidR="00664B2A" w:rsidRPr="00664CF4" w:rsidRDefault="00664B2A" w:rsidP="00664B2A">
      <w:pPr>
        <w:pStyle w:val="FootnoteText"/>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Artículos 7, 9 y 14 del Pacto Internacional de Derechos Civiles y Políticos; artículos 5, 7, 8, 10, 18 y 30 de la Declaración Universal de Derechos Humanos.            </w:t>
      </w:r>
    </w:p>
  </w:footnote>
  <w:footnote w:id="5">
    <w:p w14:paraId="2551BE75" w14:textId="77777777" w:rsidR="0099258D" w:rsidRPr="007C4150" w:rsidRDefault="0099258D" w:rsidP="00664B2A">
      <w:pPr>
        <w:pStyle w:val="FootnoteText"/>
        <w:jc w:val="both"/>
        <w:rPr>
          <w:rFonts w:asciiTheme="majorHAnsi" w:hAnsiTheme="majorHAnsi"/>
          <w:sz w:val="16"/>
          <w:szCs w:val="16"/>
          <w:lang w:val="es-ES"/>
        </w:rPr>
      </w:pPr>
      <w:r w:rsidRPr="007C4150">
        <w:rPr>
          <w:rStyle w:val="FootnoteReference"/>
          <w:rFonts w:asciiTheme="majorHAnsi" w:hAnsiTheme="majorHAnsi"/>
          <w:sz w:val="16"/>
          <w:szCs w:val="16"/>
        </w:rPr>
        <w:footnoteRef/>
      </w:r>
      <w:r w:rsidRPr="007C4150">
        <w:rPr>
          <w:rFonts w:asciiTheme="majorHAnsi" w:hAnsiTheme="majorHAnsi"/>
          <w:sz w:val="16"/>
          <w:szCs w:val="16"/>
          <w:lang w:val="es-ES"/>
        </w:rPr>
        <w:t xml:space="preserve"> Las observaciones de cada parte fueron debidamente trasladadas a la parte contraria.</w:t>
      </w:r>
    </w:p>
  </w:footnote>
  <w:footnote w:id="6">
    <w:p w14:paraId="13EC8DDB" w14:textId="77777777" w:rsidR="00664B2A" w:rsidRPr="00664CF4" w:rsidRDefault="00664B2A" w:rsidP="00664B2A">
      <w:pPr>
        <w:pStyle w:val="FootnoteText"/>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En adelante, "Declaración Americana" o "Declaración".</w:t>
      </w:r>
    </w:p>
  </w:footnote>
  <w:footnote w:id="7">
    <w:p w14:paraId="1ADD95AD" w14:textId="77777777" w:rsidR="00664B2A" w:rsidRPr="00664CF4" w:rsidRDefault="00664B2A" w:rsidP="00664B2A">
      <w:pPr>
        <w:pStyle w:val="FootnoteText"/>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La Comisión no tiene información sobre la disponibilidad de representación legal del peticionario a lo largo de todos estos procesos.</w:t>
      </w:r>
    </w:p>
  </w:footnote>
  <w:footnote w:id="8">
    <w:p w14:paraId="41C3C751" w14:textId="77777777" w:rsidR="00664B2A" w:rsidRPr="009D59D2" w:rsidRDefault="00664B2A" w:rsidP="00664B2A">
      <w:pPr>
        <w:pStyle w:val="FootnoteText"/>
        <w:jc w:val="both"/>
        <w:rPr>
          <w:rFonts w:ascii="Cambria" w:hAnsi="Cambria"/>
          <w:sz w:val="16"/>
          <w:szCs w:val="16"/>
        </w:rPr>
      </w:pPr>
      <w:r>
        <w:rPr>
          <w:rStyle w:val="FootnoteReference"/>
          <w:rFonts w:ascii="Cambria" w:hAnsi="Cambria"/>
          <w:sz w:val="16"/>
          <w:szCs w:val="16"/>
          <w:lang w:val="es"/>
        </w:rPr>
        <w:footnoteRef/>
      </w:r>
      <w:r>
        <w:rPr>
          <w:rFonts w:ascii="Cambria" w:hAnsi="Cambria"/>
          <w:sz w:val="16"/>
          <w:szCs w:val="16"/>
          <w:lang w:val="es"/>
        </w:rPr>
        <w:t xml:space="preserve"> CIDH, Informe N.º 15/15, Petición 374-05. Trabajadores del Sindicato de Trabajadores de la Federación Nacional de Cafeteros de Colombia. Colombia. 24 de marzo de 2015, párr. 41. Véase en conformidad, Corte IDH, </w:t>
      </w:r>
      <w:r>
        <w:rPr>
          <w:rFonts w:ascii="Cambria" w:hAnsi="Cambria"/>
          <w:i/>
          <w:iCs/>
          <w:sz w:val="16"/>
          <w:szCs w:val="16"/>
          <w:lang w:val="es"/>
        </w:rPr>
        <w:t xml:space="preserve">Caso Wong Ho </w:t>
      </w:r>
      <w:proofErr w:type="spellStart"/>
      <w:r>
        <w:rPr>
          <w:rFonts w:ascii="Cambria" w:hAnsi="Cambria"/>
          <w:i/>
          <w:iCs/>
          <w:sz w:val="16"/>
          <w:szCs w:val="16"/>
          <w:lang w:val="es"/>
        </w:rPr>
        <w:t>Wing</w:t>
      </w:r>
      <w:proofErr w:type="spellEnd"/>
      <w:r>
        <w:rPr>
          <w:rFonts w:ascii="Cambria" w:hAnsi="Cambria"/>
          <w:i/>
          <w:iCs/>
          <w:sz w:val="16"/>
          <w:szCs w:val="16"/>
          <w:lang w:val="es"/>
        </w:rPr>
        <w:t xml:space="preserve"> vs. Perú. </w:t>
      </w:r>
      <w:r>
        <w:rPr>
          <w:rFonts w:ascii="Cambria" w:hAnsi="Cambria"/>
          <w:sz w:val="16"/>
          <w:szCs w:val="16"/>
          <w:lang w:val="es"/>
        </w:rPr>
        <w:t xml:space="preserve">Excepción Preliminar, Fondo, Reparaciones y Costas. Sentencia de 30 de junio de 2015. Serie C No. 297, </w:t>
      </w:r>
      <w:proofErr w:type="spellStart"/>
      <w:r>
        <w:rPr>
          <w:rFonts w:ascii="Cambria" w:hAnsi="Cambria"/>
          <w:sz w:val="16"/>
          <w:szCs w:val="16"/>
          <w:lang w:val="es"/>
        </w:rPr>
        <w:t>párrs</w:t>
      </w:r>
      <w:proofErr w:type="spellEnd"/>
      <w:r>
        <w:rPr>
          <w:rFonts w:ascii="Cambria" w:hAnsi="Cambria"/>
          <w:sz w:val="16"/>
          <w:szCs w:val="16"/>
          <w:lang w:val="es"/>
        </w:rPr>
        <w:t>. 25-28.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2419D0"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0796" w14:textId="77777777" w:rsidR="007A225A" w:rsidRDefault="007A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23442C8"/>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21EF"/>
    <w:rsid w:val="0001560F"/>
    <w:rsid w:val="0001788C"/>
    <w:rsid w:val="000337EF"/>
    <w:rsid w:val="00040C3A"/>
    <w:rsid w:val="000419AD"/>
    <w:rsid w:val="00046260"/>
    <w:rsid w:val="00050465"/>
    <w:rsid w:val="000716C5"/>
    <w:rsid w:val="00075E23"/>
    <w:rsid w:val="0009344A"/>
    <w:rsid w:val="000A392E"/>
    <w:rsid w:val="000A575F"/>
    <w:rsid w:val="000A785C"/>
    <w:rsid w:val="000C0F58"/>
    <w:rsid w:val="000C521D"/>
    <w:rsid w:val="000C5F6A"/>
    <w:rsid w:val="000D10DB"/>
    <w:rsid w:val="000E5EB5"/>
    <w:rsid w:val="000F35ED"/>
    <w:rsid w:val="00107131"/>
    <w:rsid w:val="0010736F"/>
    <w:rsid w:val="001136CF"/>
    <w:rsid w:val="00113F73"/>
    <w:rsid w:val="00121CC2"/>
    <w:rsid w:val="00133EE5"/>
    <w:rsid w:val="0013619C"/>
    <w:rsid w:val="00157768"/>
    <w:rsid w:val="00167A34"/>
    <w:rsid w:val="00171A7E"/>
    <w:rsid w:val="001A7870"/>
    <w:rsid w:val="001B31B5"/>
    <w:rsid w:val="001B3A00"/>
    <w:rsid w:val="001C1B41"/>
    <w:rsid w:val="001D65EF"/>
    <w:rsid w:val="001E49E7"/>
    <w:rsid w:val="001F7201"/>
    <w:rsid w:val="001F76DC"/>
    <w:rsid w:val="002031A3"/>
    <w:rsid w:val="00207299"/>
    <w:rsid w:val="00210EC0"/>
    <w:rsid w:val="0021484C"/>
    <w:rsid w:val="00217C73"/>
    <w:rsid w:val="00223A29"/>
    <w:rsid w:val="002250A3"/>
    <w:rsid w:val="00231998"/>
    <w:rsid w:val="00235217"/>
    <w:rsid w:val="002419D0"/>
    <w:rsid w:val="0024549B"/>
    <w:rsid w:val="00246D1F"/>
    <w:rsid w:val="00247403"/>
    <w:rsid w:val="00247542"/>
    <w:rsid w:val="00266B61"/>
    <w:rsid w:val="0026712A"/>
    <w:rsid w:val="002704DB"/>
    <w:rsid w:val="002A0AAE"/>
    <w:rsid w:val="002A5820"/>
    <w:rsid w:val="002B0C4E"/>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518C"/>
    <w:rsid w:val="00386CF0"/>
    <w:rsid w:val="003A7451"/>
    <w:rsid w:val="003B2204"/>
    <w:rsid w:val="003B6B4F"/>
    <w:rsid w:val="003B70FB"/>
    <w:rsid w:val="003C093F"/>
    <w:rsid w:val="003C40D3"/>
    <w:rsid w:val="003C676B"/>
    <w:rsid w:val="003D3BC2"/>
    <w:rsid w:val="003E05E8"/>
    <w:rsid w:val="003E2C82"/>
    <w:rsid w:val="003E6CA1"/>
    <w:rsid w:val="004065A8"/>
    <w:rsid w:val="004165C2"/>
    <w:rsid w:val="00440B44"/>
    <w:rsid w:val="00441ECB"/>
    <w:rsid w:val="00445193"/>
    <w:rsid w:val="00447897"/>
    <w:rsid w:val="00447BBF"/>
    <w:rsid w:val="004504B2"/>
    <w:rsid w:val="00454503"/>
    <w:rsid w:val="00462C1B"/>
    <w:rsid w:val="00467B7E"/>
    <w:rsid w:val="00473BB4"/>
    <w:rsid w:val="00477592"/>
    <w:rsid w:val="00486F1C"/>
    <w:rsid w:val="0049419D"/>
    <w:rsid w:val="004A6A54"/>
    <w:rsid w:val="004C20D2"/>
    <w:rsid w:val="004C2312"/>
    <w:rsid w:val="004C4B62"/>
    <w:rsid w:val="004C54C9"/>
    <w:rsid w:val="004D4ABA"/>
    <w:rsid w:val="004D6025"/>
    <w:rsid w:val="004D78C1"/>
    <w:rsid w:val="004E1619"/>
    <w:rsid w:val="004E2649"/>
    <w:rsid w:val="004F7707"/>
    <w:rsid w:val="00501399"/>
    <w:rsid w:val="0050633D"/>
    <w:rsid w:val="00507951"/>
    <w:rsid w:val="00507BC4"/>
    <w:rsid w:val="005128E4"/>
    <w:rsid w:val="005133DB"/>
    <w:rsid w:val="0051652D"/>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C70E0"/>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52333"/>
    <w:rsid w:val="00663E46"/>
    <w:rsid w:val="00664B2A"/>
    <w:rsid w:val="006731B9"/>
    <w:rsid w:val="0068009E"/>
    <w:rsid w:val="00692219"/>
    <w:rsid w:val="006A17D2"/>
    <w:rsid w:val="006A1D90"/>
    <w:rsid w:val="006A3251"/>
    <w:rsid w:val="006A73E6"/>
    <w:rsid w:val="006B2D5C"/>
    <w:rsid w:val="006C4EB1"/>
    <w:rsid w:val="006D421B"/>
    <w:rsid w:val="006E0166"/>
    <w:rsid w:val="006E2CC0"/>
    <w:rsid w:val="006E7B34"/>
    <w:rsid w:val="006F00E7"/>
    <w:rsid w:val="006F084F"/>
    <w:rsid w:val="006F1C9E"/>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225A"/>
    <w:rsid w:val="007A5817"/>
    <w:rsid w:val="007B05C4"/>
    <w:rsid w:val="007B60E9"/>
    <w:rsid w:val="007B6CC3"/>
    <w:rsid w:val="007C3334"/>
    <w:rsid w:val="007C4150"/>
    <w:rsid w:val="007D2B98"/>
    <w:rsid w:val="007D48DE"/>
    <w:rsid w:val="007E21BC"/>
    <w:rsid w:val="007E7C82"/>
    <w:rsid w:val="007F203C"/>
    <w:rsid w:val="007F588D"/>
    <w:rsid w:val="00802833"/>
    <w:rsid w:val="00803F1C"/>
    <w:rsid w:val="0080600E"/>
    <w:rsid w:val="0080687A"/>
    <w:rsid w:val="00817612"/>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768D"/>
    <w:rsid w:val="008E3759"/>
    <w:rsid w:val="008E3BFE"/>
    <w:rsid w:val="008E6CE0"/>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706E"/>
    <w:rsid w:val="0096709F"/>
    <w:rsid w:val="00974491"/>
    <w:rsid w:val="00975C4E"/>
    <w:rsid w:val="00981FBA"/>
    <w:rsid w:val="00986116"/>
    <w:rsid w:val="0099258D"/>
    <w:rsid w:val="00997BC5"/>
    <w:rsid w:val="009A4F41"/>
    <w:rsid w:val="009B381B"/>
    <w:rsid w:val="009C42F3"/>
    <w:rsid w:val="009D1753"/>
    <w:rsid w:val="009D7611"/>
    <w:rsid w:val="009E0B61"/>
    <w:rsid w:val="009E53DE"/>
    <w:rsid w:val="00A11E44"/>
    <w:rsid w:val="00A1365F"/>
    <w:rsid w:val="00A218EF"/>
    <w:rsid w:val="00A24333"/>
    <w:rsid w:val="00A328B3"/>
    <w:rsid w:val="00A3717F"/>
    <w:rsid w:val="00A50FCF"/>
    <w:rsid w:val="00A528D1"/>
    <w:rsid w:val="00A610CD"/>
    <w:rsid w:val="00A65E58"/>
    <w:rsid w:val="00A758AA"/>
    <w:rsid w:val="00AA09A2"/>
    <w:rsid w:val="00AA7996"/>
    <w:rsid w:val="00AC19CB"/>
    <w:rsid w:val="00AE33F9"/>
    <w:rsid w:val="00AE5488"/>
    <w:rsid w:val="00AE6F91"/>
    <w:rsid w:val="00AE7900"/>
    <w:rsid w:val="00AF5571"/>
    <w:rsid w:val="00B07341"/>
    <w:rsid w:val="00B10D88"/>
    <w:rsid w:val="00B165FF"/>
    <w:rsid w:val="00B259EF"/>
    <w:rsid w:val="00B30539"/>
    <w:rsid w:val="00B314DB"/>
    <w:rsid w:val="00B361F2"/>
    <w:rsid w:val="00B3718B"/>
    <w:rsid w:val="00B44E2A"/>
    <w:rsid w:val="00B4632A"/>
    <w:rsid w:val="00B46C68"/>
    <w:rsid w:val="00B530F1"/>
    <w:rsid w:val="00B532AA"/>
    <w:rsid w:val="00B60C16"/>
    <w:rsid w:val="00B643B4"/>
    <w:rsid w:val="00B73438"/>
    <w:rsid w:val="00BA276C"/>
    <w:rsid w:val="00BB306F"/>
    <w:rsid w:val="00BC1EE3"/>
    <w:rsid w:val="00BD4B89"/>
    <w:rsid w:val="00BD5460"/>
    <w:rsid w:val="00BD5922"/>
    <w:rsid w:val="00BF02CB"/>
    <w:rsid w:val="00BF6FD8"/>
    <w:rsid w:val="00C03680"/>
    <w:rsid w:val="00C05296"/>
    <w:rsid w:val="00C054DF"/>
    <w:rsid w:val="00C21762"/>
    <w:rsid w:val="00C21FEF"/>
    <w:rsid w:val="00C225C4"/>
    <w:rsid w:val="00C24543"/>
    <w:rsid w:val="00C256A2"/>
    <w:rsid w:val="00C26D0A"/>
    <w:rsid w:val="00C331BD"/>
    <w:rsid w:val="00C450AE"/>
    <w:rsid w:val="00C51515"/>
    <w:rsid w:val="00C53201"/>
    <w:rsid w:val="00C5660B"/>
    <w:rsid w:val="00C66B72"/>
    <w:rsid w:val="00C725B5"/>
    <w:rsid w:val="00C74927"/>
    <w:rsid w:val="00C765B7"/>
    <w:rsid w:val="00C76649"/>
    <w:rsid w:val="00C85BEA"/>
    <w:rsid w:val="00C87AC4"/>
    <w:rsid w:val="00C9567A"/>
    <w:rsid w:val="00CB212D"/>
    <w:rsid w:val="00CB2660"/>
    <w:rsid w:val="00CB2E5A"/>
    <w:rsid w:val="00CB61B5"/>
    <w:rsid w:val="00CC09CB"/>
    <w:rsid w:val="00CC0AD2"/>
    <w:rsid w:val="00CC5E90"/>
    <w:rsid w:val="00CD046C"/>
    <w:rsid w:val="00CE076C"/>
    <w:rsid w:val="00CE5199"/>
    <w:rsid w:val="00CE66D5"/>
    <w:rsid w:val="00CF637A"/>
    <w:rsid w:val="00D059DE"/>
    <w:rsid w:val="00D05ABD"/>
    <w:rsid w:val="00D060B8"/>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671F"/>
    <w:rsid w:val="00DA7B5F"/>
    <w:rsid w:val="00DB42D0"/>
    <w:rsid w:val="00DC11E7"/>
    <w:rsid w:val="00DC7023"/>
    <w:rsid w:val="00DC769A"/>
    <w:rsid w:val="00DD056B"/>
    <w:rsid w:val="00DD26CE"/>
    <w:rsid w:val="00DD3D86"/>
    <w:rsid w:val="00DE02AB"/>
    <w:rsid w:val="00DF1EC4"/>
    <w:rsid w:val="00E0340B"/>
    <w:rsid w:val="00E04A90"/>
    <w:rsid w:val="00E0551F"/>
    <w:rsid w:val="00E069A1"/>
    <w:rsid w:val="00E219C7"/>
    <w:rsid w:val="00E25F59"/>
    <w:rsid w:val="00E2743A"/>
    <w:rsid w:val="00E4118C"/>
    <w:rsid w:val="00E43157"/>
    <w:rsid w:val="00E44035"/>
    <w:rsid w:val="00E461CE"/>
    <w:rsid w:val="00E47256"/>
    <w:rsid w:val="00E50BE8"/>
    <w:rsid w:val="00E6386B"/>
    <w:rsid w:val="00E720CA"/>
    <w:rsid w:val="00E75E2E"/>
    <w:rsid w:val="00E84EB5"/>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395"/>
    <w:rsid w:val="00F81BB8"/>
    <w:rsid w:val="00F83B29"/>
    <w:rsid w:val="00F917D1"/>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FE9B4785F0495CBBA98EAEFA354A25"/>
        <w:category>
          <w:name w:val="General"/>
          <w:gallery w:val="placeholder"/>
        </w:category>
        <w:types>
          <w:type w:val="bbPlcHdr"/>
        </w:types>
        <w:behaviors>
          <w:behavior w:val="content"/>
        </w:behaviors>
        <w:guid w:val="{2DEFCF6A-3980-4742-9238-87CA84A02881}"/>
      </w:docPartPr>
      <w:docPartBody>
        <w:p w:rsidR="00F6185E" w:rsidRDefault="00CD7EBA" w:rsidP="00CD7EBA">
          <w:pPr>
            <w:pStyle w:val="B1FE9B4785F0495CBBA98EAEFA354A2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0642E"/>
    <w:rsid w:val="00394049"/>
    <w:rsid w:val="004F2DF8"/>
    <w:rsid w:val="005342BA"/>
    <w:rsid w:val="005A4626"/>
    <w:rsid w:val="005F1A2F"/>
    <w:rsid w:val="0060264A"/>
    <w:rsid w:val="007200C3"/>
    <w:rsid w:val="0073427B"/>
    <w:rsid w:val="00782223"/>
    <w:rsid w:val="00913D5D"/>
    <w:rsid w:val="009A261B"/>
    <w:rsid w:val="00A56429"/>
    <w:rsid w:val="00AC0348"/>
    <w:rsid w:val="00AC15A4"/>
    <w:rsid w:val="00B0336C"/>
    <w:rsid w:val="00CD7EBA"/>
    <w:rsid w:val="00D223B1"/>
    <w:rsid w:val="00D435D1"/>
    <w:rsid w:val="00DE7283"/>
    <w:rsid w:val="00E114B9"/>
    <w:rsid w:val="00E32515"/>
    <w:rsid w:val="00F00D2F"/>
    <w:rsid w:val="00F128DF"/>
    <w:rsid w:val="00F6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EB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 w:type="paragraph" w:customStyle="1" w:styleId="D29F72A33E054E1C990805919553F1C4">
    <w:name w:val="D29F72A33E054E1C990805919553F1C4"/>
    <w:rsid w:val="00CD7EBA"/>
    <w:pPr>
      <w:spacing w:after="160" w:line="259" w:lineRule="auto"/>
    </w:pPr>
  </w:style>
  <w:style w:type="paragraph" w:customStyle="1" w:styleId="63C65653EE724E8BA0B64A79CFA19BC3">
    <w:name w:val="63C65653EE724E8BA0B64A79CFA19BC3"/>
    <w:rsid w:val="00CD7EBA"/>
    <w:pPr>
      <w:spacing w:after="160" w:line="259" w:lineRule="auto"/>
    </w:pPr>
  </w:style>
  <w:style w:type="paragraph" w:customStyle="1" w:styleId="B1FE9B4785F0495CBBA98EAEFA354A25">
    <w:name w:val="B1FE9B4785F0495CBBA98EAEFA354A25"/>
    <w:rsid w:val="00CD7E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F6CD-C46B-4D0D-BDDE-E50724C1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2222</Words>
  <Characters>11600</Characters>
  <Application>Microsoft Office Word</Application>
  <DocSecurity>0</DocSecurity>
  <Lines>241</Lines>
  <Paragraphs>76</Paragraphs>
  <ScaleCrop>false</ScaleCrop>
  <Company/>
  <LinksUpToDate>false</LinksUpToDate>
  <CharactersWithSpaces>13746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219/19</dc:title>
  <dc:creator/>
  <cp:lastModifiedBy/>
  <cp:revision>1</cp:revision>
  <dcterms:created xsi:type="dcterms:W3CDTF">2020-05-18T13:56:00Z</dcterms:created>
  <dcterms:modified xsi:type="dcterms:W3CDTF">2020-05-18T13:56:00Z</dcterms:modified>
</cp:coreProperties>
</file>