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D26C8D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24BC9E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BB12D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E649A">
                              <w:rPr>
                                <w:rFonts w:asciiTheme="majorHAnsi" w:hAnsiTheme="majorHAnsi" w:cs="Arial"/>
                                <w:b/>
                                <w:bCs/>
                                <w:color w:val="0D0D0D" w:themeColor="text1" w:themeTint="F2"/>
                                <w:sz w:val="36"/>
                                <w:szCs w:val="22"/>
                                <w:lang w:val="es-ES_tradnl"/>
                              </w:rPr>
                              <w:t xml:space="preserve"> 257</w:t>
                            </w:r>
                            <w:r w:rsidR="007B05C4">
                              <w:rPr>
                                <w:rFonts w:asciiTheme="majorHAnsi" w:hAnsiTheme="majorHAnsi" w:cs="Arial"/>
                                <w:b/>
                                <w:bCs/>
                                <w:color w:val="0D0D0D" w:themeColor="text1" w:themeTint="F2"/>
                                <w:sz w:val="36"/>
                                <w:szCs w:val="22"/>
                                <w:lang w:val="es-ES_tradnl"/>
                              </w:rPr>
                              <w:t>/</w:t>
                            </w:r>
                            <w:r w:rsidR="00FB590D">
                              <w:rPr>
                                <w:rFonts w:asciiTheme="majorHAnsi" w:hAnsiTheme="majorHAnsi" w:cs="Arial"/>
                                <w:b/>
                                <w:bCs/>
                                <w:color w:val="0D0D0D" w:themeColor="text1" w:themeTint="F2"/>
                                <w:sz w:val="36"/>
                                <w:szCs w:val="22"/>
                                <w:lang w:val="es-ES_tradnl"/>
                              </w:rPr>
                              <w:t>20</w:t>
                            </w:r>
                          </w:p>
                          <w:p w14:paraId="09C54AB3" w14:textId="3EEDF77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78F3">
                              <w:rPr>
                                <w:rFonts w:asciiTheme="majorHAnsi" w:hAnsiTheme="majorHAnsi" w:cs="Arial"/>
                                <w:b/>
                                <w:color w:val="0D0D0D" w:themeColor="text1" w:themeTint="F2"/>
                                <w:sz w:val="36"/>
                                <w:szCs w:val="22"/>
                                <w:lang w:val="es-ES_tradnl"/>
                              </w:rPr>
                              <w:t>1048</w:t>
                            </w:r>
                            <w:r w:rsidR="00246D1F" w:rsidRPr="004E2649">
                              <w:rPr>
                                <w:rFonts w:asciiTheme="majorHAnsi" w:hAnsiTheme="majorHAnsi" w:cs="Arial"/>
                                <w:b/>
                                <w:color w:val="0D0D0D" w:themeColor="text1" w:themeTint="F2"/>
                                <w:sz w:val="36"/>
                                <w:szCs w:val="22"/>
                                <w:lang w:val="es-ES_tradnl"/>
                              </w:rPr>
                              <w:t>-</w:t>
                            </w:r>
                            <w:r w:rsidR="008478F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5FDD6F0D" w14:textId="5E74DBA5" w:rsidR="008F1912" w:rsidRPr="0010736F" w:rsidRDefault="005B52B0" w:rsidP="00997BC5">
                            <w:pPr>
                              <w:spacing w:line="276" w:lineRule="auto"/>
                              <w:rPr>
                                <w:rFonts w:asciiTheme="majorHAnsi" w:hAnsiTheme="majorHAnsi" w:cs="Arial"/>
                                <w:color w:val="0D0D0D" w:themeColor="text1" w:themeTint="F2"/>
                                <w:szCs w:val="22"/>
                                <w:lang w:val="es-ES_tradnl"/>
                              </w:rPr>
                            </w:pPr>
                            <w:r w:rsidRPr="00465E28">
                              <w:rPr>
                                <w:rFonts w:asciiTheme="majorHAnsi" w:hAnsiTheme="majorHAnsi" w:cs="Arial"/>
                                <w:color w:val="0D0D0D" w:themeColor="text1" w:themeTint="F2"/>
                                <w:szCs w:val="22"/>
                                <w:lang w:val="es-ES_tradnl"/>
                              </w:rPr>
                              <w:t>INFORME DE ADMISIBILIDAD</w:t>
                            </w:r>
                            <w:r w:rsidR="008F1912" w:rsidRPr="00465E28">
                              <w:rPr>
                                <w:rFonts w:asciiTheme="majorHAnsi" w:hAnsiTheme="majorHAnsi" w:cs="Arial"/>
                                <w:color w:val="0D0D0D" w:themeColor="text1" w:themeTint="F2"/>
                                <w:szCs w:val="22"/>
                                <w:lang w:val="es-ES_tradnl"/>
                              </w:rPr>
                              <w:t xml:space="preserve"> </w:t>
                            </w:r>
                            <w:bookmarkStart w:id="1" w:name="_ftnref1"/>
                          </w:p>
                          <w:p w14:paraId="4D6BDAE4" w14:textId="77777777" w:rsidR="006D736F" w:rsidRDefault="006D736F" w:rsidP="00997BC5">
                            <w:pPr>
                              <w:spacing w:line="276" w:lineRule="auto"/>
                              <w:rPr>
                                <w:rFonts w:asciiTheme="majorHAnsi" w:hAnsiTheme="majorHAnsi" w:cs="Arial"/>
                                <w:color w:val="0D0D0D" w:themeColor="text1" w:themeTint="F2"/>
                                <w:szCs w:val="22"/>
                                <w:lang w:val="es-419"/>
                              </w:rPr>
                            </w:pPr>
                          </w:p>
                          <w:p w14:paraId="4CFA2FBF" w14:textId="1C7A2DC0" w:rsidR="005B52B0" w:rsidRPr="00BE649A" w:rsidRDefault="001960CA" w:rsidP="00997BC5">
                            <w:pPr>
                              <w:spacing w:line="276" w:lineRule="auto"/>
                              <w:rPr>
                                <w:rFonts w:asciiTheme="majorHAnsi" w:hAnsiTheme="majorHAnsi" w:cs="Arial"/>
                                <w:color w:val="0D0D0D" w:themeColor="text1" w:themeTint="F2"/>
                                <w:szCs w:val="22"/>
                                <w:lang w:val="es-419"/>
                              </w:rPr>
                            </w:pPr>
                            <w:r w:rsidRPr="00BE649A">
                              <w:rPr>
                                <w:rFonts w:asciiTheme="majorHAnsi" w:hAnsiTheme="majorHAnsi" w:cs="Arial"/>
                                <w:color w:val="0D0D0D" w:themeColor="text1" w:themeTint="F2"/>
                                <w:szCs w:val="22"/>
                                <w:lang w:val="es-419"/>
                              </w:rPr>
                              <w:t>RAM</w:t>
                            </w:r>
                            <w:proofErr w:type="spellStart"/>
                            <w:r>
                              <w:rPr>
                                <w:rFonts w:asciiTheme="majorHAnsi" w:hAnsiTheme="majorHAnsi" w:cs="Arial"/>
                                <w:color w:val="0D0D0D" w:themeColor="text1" w:themeTint="F2"/>
                                <w:szCs w:val="22"/>
                                <w:lang w:val="es-CO"/>
                              </w:rPr>
                              <w:t>Ó</w:t>
                            </w:r>
                            <w:proofErr w:type="spellEnd"/>
                            <w:r w:rsidRPr="00BE649A">
                              <w:rPr>
                                <w:rFonts w:asciiTheme="majorHAnsi" w:hAnsiTheme="majorHAnsi" w:cs="Arial"/>
                                <w:color w:val="0D0D0D" w:themeColor="text1" w:themeTint="F2"/>
                                <w:szCs w:val="22"/>
                                <w:lang w:val="es-419"/>
                              </w:rPr>
                              <w:t>N ROBERTO MANRIQUE</w:t>
                            </w:r>
                          </w:p>
                          <w:bookmarkEnd w:id="1"/>
                          <w:p w14:paraId="35068D0D" w14:textId="0808E5F5" w:rsidR="005B52B0" w:rsidRPr="0010736F" w:rsidRDefault="001960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BB12D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E649A">
                        <w:rPr>
                          <w:rFonts w:asciiTheme="majorHAnsi" w:hAnsiTheme="majorHAnsi" w:cs="Arial"/>
                          <w:b/>
                          <w:bCs/>
                          <w:color w:val="0D0D0D" w:themeColor="text1" w:themeTint="F2"/>
                          <w:sz w:val="36"/>
                          <w:szCs w:val="22"/>
                          <w:lang w:val="es-ES_tradnl"/>
                        </w:rPr>
                        <w:t xml:space="preserve"> 257</w:t>
                      </w:r>
                      <w:r w:rsidR="007B05C4">
                        <w:rPr>
                          <w:rFonts w:asciiTheme="majorHAnsi" w:hAnsiTheme="majorHAnsi" w:cs="Arial"/>
                          <w:b/>
                          <w:bCs/>
                          <w:color w:val="0D0D0D" w:themeColor="text1" w:themeTint="F2"/>
                          <w:sz w:val="36"/>
                          <w:szCs w:val="22"/>
                          <w:lang w:val="es-ES_tradnl"/>
                        </w:rPr>
                        <w:t>/</w:t>
                      </w:r>
                      <w:r w:rsidR="00FB590D">
                        <w:rPr>
                          <w:rFonts w:asciiTheme="majorHAnsi" w:hAnsiTheme="majorHAnsi" w:cs="Arial"/>
                          <w:b/>
                          <w:bCs/>
                          <w:color w:val="0D0D0D" w:themeColor="text1" w:themeTint="F2"/>
                          <w:sz w:val="36"/>
                          <w:szCs w:val="22"/>
                          <w:lang w:val="es-ES_tradnl"/>
                        </w:rPr>
                        <w:t>20</w:t>
                      </w:r>
                    </w:p>
                    <w:p w14:paraId="09C54AB3" w14:textId="3EEDF77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78F3">
                        <w:rPr>
                          <w:rFonts w:asciiTheme="majorHAnsi" w:hAnsiTheme="majorHAnsi" w:cs="Arial"/>
                          <w:b/>
                          <w:color w:val="0D0D0D" w:themeColor="text1" w:themeTint="F2"/>
                          <w:sz w:val="36"/>
                          <w:szCs w:val="22"/>
                          <w:lang w:val="es-ES_tradnl"/>
                        </w:rPr>
                        <w:t>1048</w:t>
                      </w:r>
                      <w:r w:rsidR="00246D1F" w:rsidRPr="004E2649">
                        <w:rPr>
                          <w:rFonts w:asciiTheme="majorHAnsi" w:hAnsiTheme="majorHAnsi" w:cs="Arial"/>
                          <w:b/>
                          <w:color w:val="0D0D0D" w:themeColor="text1" w:themeTint="F2"/>
                          <w:sz w:val="36"/>
                          <w:szCs w:val="22"/>
                          <w:lang w:val="es-ES_tradnl"/>
                        </w:rPr>
                        <w:t>-</w:t>
                      </w:r>
                      <w:r w:rsidR="008478F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5FDD6F0D" w14:textId="5E74DBA5" w:rsidR="008F1912" w:rsidRPr="0010736F" w:rsidRDefault="005B52B0" w:rsidP="00997BC5">
                      <w:pPr>
                        <w:spacing w:line="276" w:lineRule="auto"/>
                        <w:rPr>
                          <w:rFonts w:asciiTheme="majorHAnsi" w:hAnsiTheme="majorHAnsi" w:cs="Arial"/>
                          <w:color w:val="0D0D0D" w:themeColor="text1" w:themeTint="F2"/>
                          <w:szCs w:val="22"/>
                          <w:lang w:val="es-ES_tradnl"/>
                        </w:rPr>
                      </w:pPr>
                      <w:r w:rsidRPr="00465E28">
                        <w:rPr>
                          <w:rFonts w:asciiTheme="majorHAnsi" w:hAnsiTheme="majorHAnsi" w:cs="Arial"/>
                          <w:color w:val="0D0D0D" w:themeColor="text1" w:themeTint="F2"/>
                          <w:szCs w:val="22"/>
                          <w:lang w:val="es-ES_tradnl"/>
                        </w:rPr>
                        <w:t>INFORME DE ADMISIBILIDAD</w:t>
                      </w:r>
                      <w:r w:rsidR="008F1912" w:rsidRPr="00465E28">
                        <w:rPr>
                          <w:rFonts w:asciiTheme="majorHAnsi" w:hAnsiTheme="majorHAnsi" w:cs="Arial"/>
                          <w:color w:val="0D0D0D" w:themeColor="text1" w:themeTint="F2"/>
                          <w:szCs w:val="22"/>
                          <w:lang w:val="es-ES_tradnl"/>
                        </w:rPr>
                        <w:t xml:space="preserve"> </w:t>
                      </w:r>
                      <w:bookmarkStart w:id="2" w:name="_ftnref1"/>
                    </w:p>
                    <w:p w14:paraId="4D6BDAE4" w14:textId="77777777" w:rsidR="006D736F" w:rsidRDefault="006D736F" w:rsidP="00997BC5">
                      <w:pPr>
                        <w:spacing w:line="276" w:lineRule="auto"/>
                        <w:rPr>
                          <w:rFonts w:asciiTheme="majorHAnsi" w:hAnsiTheme="majorHAnsi" w:cs="Arial"/>
                          <w:color w:val="0D0D0D" w:themeColor="text1" w:themeTint="F2"/>
                          <w:szCs w:val="22"/>
                          <w:lang w:val="es-419"/>
                        </w:rPr>
                      </w:pPr>
                    </w:p>
                    <w:p w14:paraId="4CFA2FBF" w14:textId="1C7A2DC0" w:rsidR="005B52B0" w:rsidRPr="00BE649A" w:rsidRDefault="001960CA" w:rsidP="00997BC5">
                      <w:pPr>
                        <w:spacing w:line="276" w:lineRule="auto"/>
                        <w:rPr>
                          <w:rFonts w:asciiTheme="majorHAnsi" w:hAnsiTheme="majorHAnsi" w:cs="Arial"/>
                          <w:color w:val="0D0D0D" w:themeColor="text1" w:themeTint="F2"/>
                          <w:szCs w:val="22"/>
                          <w:lang w:val="es-419"/>
                        </w:rPr>
                      </w:pPr>
                      <w:r w:rsidRPr="00BE649A">
                        <w:rPr>
                          <w:rFonts w:asciiTheme="majorHAnsi" w:hAnsiTheme="majorHAnsi" w:cs="Arial"/>
                          <w:color w:val="0D0D0D" w:themeColor="text1" w:themeTint="F2"/>
                          <w:szCs w:val="22"/>
                          <w:lang w:val="es-419"/>
                        </w:rPr>
                        <w:t>RAM</w:t>
                      </w:r>
                      <w:proofErr w:type="spellStart"/>
                      <w:r>
                        <w:rPr>
                          <w:rFonts w:asciiTheme="majorHAnsi" w:hAnsiTheme="majorHAnsi" w:cs="Arial"/>
                          <w:color w:val="0D0D0D" w:themeColor="text1" w:themeTint="F2"/>
                          <w:szCs w:val="22"/>
                          <w:lang w:val="es-CO"/>
                        </w:rPr>
                        <w:t>Ó</w:t>
                      </w:r>
                      <w:proofErr w:type="spellEnd"/>
                      <w:r w:rsidRPr="00BE649A">
                        <w:rPr>
                          <w:rFonts w:asciiTheme="majorHAnsi" w:hAnsiTheme="majorHAnsi" w:cs="Arial"/>
                          <w:color w:val="0D0D0D" w:themeColor="text1" w:themeTint="F2"/>
                          <w:szCs w:val="22"/>
                          <w:lang w:val="es-419"/>
                        </w:rPr>
                        <w:t>N ROBERTO MANRIQUE</w:t>
                      </w:r>
                    </w:p>
                    <w:bookmarkEnd w:id="2"/>
                    <w:p w14:paraId="35068D0D" w14:textId="0808E5F5" w:rsidR="005B52B0" w:rsidRPr="0010736F" w:rsidRDefault="001960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733D399" w:rsidR="00627C9F" w:rsidRPr="00935F06" w:rsidRDefault="00BE64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C56CB6F" w:rsidR="00627C9F" w:rsidRPr="00935F06" w:rsidRDefault="00BE64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273</w:t>
                            </w:r>
                          </w:p>
                          <w:p w14:paraId="69373ED2" w14:textId="2E60DE92" w:rsidR="00627C9F" w:rsidRPr="001B4C00" w:rsidRDefault="00BE649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septiembre</w:t>
                            </w:r>
                            <w:r w:rsidR="00627C9F" w:rsidRPr="001B4C00">
                              <w:rPr>
                                <w:rFonts w:asciiTheme="minorHAnsi" w:hAnsiTheme="minorHAnsi"/>
                                <w:color w:val="FFFFFF" w:themeColor="background1"/>
                                <w:sz w:val="22"/>
                                <w:lang w:val="es-ES"/>
                              </w:rPr>
                              <w:t xml:space="preserve"> 20</w:t>
                            </w:r>
                            <w:r w:rsidR="00FB590D">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733D399" w:rsidR="00627C9F" w:rsidRPr="00935F06" w:rsidRDefault="00BE64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C56CB6F" w:rsidR="00627C9F" w:rsidRPr="00935F06" w:rsidRDefault="00BE649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273</w:t>
                      </w:r>
                    </w:p>
                    <w:p w14:paraId="69373ED2" w14:textId="2E60DE92" w:rsidR="00627C9F" w:rsidRPr="001B4C00" w:rsidRDefault="00BE649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septiembre</w:t>
                      </w:r>
                      <w:r w:rsidR="00627C9F" w:rsidRPr="001B4C00">
                        <w:rPr>
                          <w:rFonts w:asciiTheme="minorHAnsi" w:hAnsiTheme="minorHAnsi"/>
                          <w:color w:val="FFFFFF" w:themeColor="background1"/>
                          <w:sz w:val="22"/>
                          <w:lang w:val="es-ES"/>
                        </w:rPr>
                        <w:t xml:space="preserve"> 20</w:t>
                      </w:r>
                      <w:r w:rsidR="00FB590D">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DB93B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E649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BE649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B590D">
                              <w:rPr>
                                <w:rFonts w:asciiTheme="majorHAnsi" w:hAnsiTheme="majorHAnsi"/>
                                <w:color w:val="0D0D0D" w:themeColor="text1" w:themeTint="F2"/>
                                <w:sz w:val="18"/>
                                <w:szCs w:val="22"/>
                                <w:lang w:val="es-ES"/>
                              </w:rPr>
                              <w:t>20</w:t>
                            </w:r>
                            <w:r w:rsidR="006D736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DB93B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E649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BE649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B590D">
                        <w:rPr>
                          <w:rFonts w:asciiTheme="majorHAnsi" w:hAnsiTheme="majorHAnsi"/>
                          <w:color w:val="0D0D0D" w:themeColor="text1" w:themeTint="F2"/>
                          <w:sz w:val="18"/>
                          <w:szCs w:val="22"/>
                          <w:lang w:val="es-ES"/>
                        </w:rPr>
                        <w:t>20</w:t>
                      </w:r>
                      <w:r w:rsidR="006D736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ED5184" w:rsidR="00113F73" w:rsidRPr="006D736F" w:rsidRDefault="00113F73" w:rsidP="00B85424">
                            <w:pPr>
                              <w:spacing w:line="276" w:lineRule="auto"/>
                              <w:rPr>
                                <w:rFonts w:asciiTheme="majorHAnsi" w:hAnsiTheme="majorHAnsi"/>
                                <w:color w:val="595959" w:themeColor="text1" w:themeTint="A6"/>
                                <w:sz w:val="18"/>
                                <w:szCs w:val="18"/>
                                <w:lang w:val="es-ES"/>
                              </w:rPr>
                            </w:pPr>
                            <w:r w:rsidRPr="006D736F">
                              <w:rPr>
                                <w:rFonts w:asciiTheme="majorHAnsi" w:hAnsiTheme="majorHAnsi"/>
                                <w:b/>
                                <w:color w:val="595959" w:themeColor="text1" w:themeTint="A6"/>
                                <w:sz w:val="18"/>
                                <w:szCs w:val="18"/>
                                <w:lang w:val="pt-BR"/>
                              </w:rPr>
                              <w:t>Citar como:</w:t>
                            </w:r>
                            <w:r w:rsidRPr="006D736F">
                              <w:rPr>
                                <w:rFonts w:asciiTheme="majorHAnsi" w:hAnsiTheme="majorHAnsi"/>
                                <w:color w:val="595959" w:themeColor="text1" w:themeTint="A6"/>
                                <w:sz w:val="18"/>
                                <w:szCs w:val="18"/>
                                <w:lang w:val="pt-BR"/>
                              </w:rPr>
                              <w:t xml:space="preserve"> CIDH, Informe No</w:t>
                            </w:r>
                            <w:r w:rsidR="00B85424" w:rsidRPr="006D736F">
                              <w:rPr>
                                <w:rFonts w:asciiTheme="majorHAnsi" w:hAnsiTheme="majorHAnsi"/>
                                <w:color w:val="595959" w:themeColor="text1" w:themeTint="A6"/>
                                <w:sz w:val="18"/>
                                <w:szCs w:val="18"/>
                                <w:lang w:val="pt-BR"/>
                              </w:rPr>
                              <w:t>.</w:t>
                            </w:r>
                            <w:r w:rsidR="00987827" w:rsidRPr="006D736F">
                              <w:rPr>
                                <w:rFonts w:asciiTheme="majorHAnsi" w:hAnsiTheme="majorHAnsi"/>
                                <w:color w:val="595959" w:themeColor="text1" w:themeTint="A6"/>
                                <w:sz w:val="18"/>
                                <w:szCs w:val="18"/>
                                <w:lang w:val="pt-BR"/>
                              </w:rPr>
                              <w:t xml:space="preserve"> 257/20.</w:t>
                            </w:r>
                            <w:r w:rsidR="00B85424" w:rsidRPr="006D736F">
                              <w:rPr>
                                <w:rFonts w:asciiTheme="majorHAnsi" w:hAnsiTheme="majorHAnsi"/>
                                <w:sz w:val="18"/>
                                <w:szCs w:val="18"/>
                                <w:lang w:val="pt-BR"/>
                              </w:rPr>
                              <w:t xml:space="preserve"> </w:t>
                            </w:r>
                            <w:r w:rsidR="006D736F" w:rsidRPr="006D736F">
                              <w:rPr>
                                <w:rFonts w:asciiTheme="majorHAnsi" w:hAnsiTheme="majorHAnsi"/>
                                <w:color w:val="595959" w:themeColor="text1" w:themeTint="A6"/>
                                <w:sz w:val="18"/>
                                <w:szCs w:val="18"/>
                                <w:lang w:val="pt-BR"/>
                              </w:rPr>
                              <w:t>Petición</w:t>
                            </w:r>
                            <w:r w:rsidR="006D736F" w:rsidRPr="006D736F">
                              <w:rPr>
                                <w:rFonts w:asciiTheme="majorHAnsi" w:hAnsiTheme="majorHAnsi"/>
                                <w:sz w:val="18"/>
                                <w:szCs w:val="18"/>
                                <w:lang w:val="pt-BR"/>
                              </w:rPr>
                              <w:t xml:space="preserve"> </w:t>
                            </w:r>
                            <w:r w:rsidR="00B85424" w:rsidRPr="006D736F">
                              <w:rPr>
                                <w:rFonts w:asciiTheme="majorHAnsi" w:hAnsiTheme="majorHAnsi"/>
                                <w:color w:val="595959" w:themeColor="text1" w:themeTint="A6"/>
                                <w:sz w:val="18"/>
                                <w:szCs w:val="18"/>
                                <w:lang w:val="pt-BR"/>
                              </w:rPr>
                              <w:t xml:space="preserve">P-1048-09. </w:t>
                            </w:r>
                            <w:r w:rsidRPr="006D736F">
                              <w:rPr>
                                <w:rFonts w:asciiTheme="majorHAnsi" w:hAnsiTheme="majorHAnsi"/>
                                <w:color w:val="595959" w:themeColor="text1" w:themeTint="A6"/>
                                <w:sz w:val="18"/>
                                <w:szCs w:val="18"/>
                                <w:lang w:val="es-ES_tradnl"/>
                              </w:rPr>
                              <w:t xml:space="preserve">Admisibilidad. </w:t>
                            </w:r>
                            <w:r w:rsidR="00B85424" w:rsidRPr="006D736F">
                              <w:rPr>
                                <w:rFonts w:asciiTheme="majorHAnsi" w:hAnsiTheme="majorHAnsi"/>
                                <w:color w:val="595959" w:themeColor="text1" w:themeTint="A6"/>
                                <w:sz w:val="18"/>
                                <w:szCs w:val="18"/>
                                <w:lang w:val="es-ES_tradnl"/>
                              </w:rPr>
                              <w:t>Ramón Roberto Manrique</w:t>
                            </w:r>
                            <w:r w:rsidRPr="006D736F">
                              <w:rPr>
                                <w:rFonts w:asciiTheme="majorHAnsi" w:hAnsiTheme="majorHAnsi"/>
                                <w:color w:val="595959" w:themeColor="text1" w:themeTint="A6"/>
                                <w:sz w:val="18"/>
                                <w:szCs w:val="18"/>
                                <w:lang w:val="es-ES_tradnl"/>
                              </w:rPr>
                              <w:t xml:space="preserve">. </w:t>
                            </w:r>
                            <w:r w:rsidR="00B85424" w:rsidRPr="006D736F">
                              <w:rPr>
                                <w:rFonts w:asciiTheme="majorHAnsi" w:hAnsiTheme="majorHAnsi"/>
                                <w:color w:val="595959" w:themeColor="text1" w:themeTint="A6"/>
                                <w:sz w:val="18"/>
                                <w:szCs w:val="18"/>
                                <w:lang w:val="es-ES_tradnl"/>
                              </w:rPr>
                              <w:t>Argentina.</w:t>
                            </w:r>
                            <w:r w:rsidRPr="006D736F">
                              <w:rPr>
                                <w:rFonts w:asciiTheme="majorHAnsi" w:hAnsiTheme="majorHAnsi"/>
                                <w:color w:val="595959" w:themeColor="text1" w:themeTint="A6"/>
                                <w:sz w:val="18"/>
                                <w:szCs w:val="18"/>
                                <w:lang w:val="es-ES_tradnl"/>
                              </w:rPr>
                              <w:t xml:space="preserve"> </w:t>
                            </w:r>
                            <w:r w:rsidR="00BE649A" w:rsidRPr="006D736F">
                              <w:rPr>
                                <w:rFonts w:asciiTheme="majorHAnsi" w:hAnsiTheme="majorHAnsi"/>
                                <w:color w:val="595959" w:themeColor="text1" w:themeTint="A6"/>
                                <w:sz w:val="18"/>
                                <w:szCs w:val="18"/>
                                <w:lang w:val="es-ES"/>
                              </w:rPr>
                              <w:t>26 de septiembre de 2020</w:t>
                            </w:r>
                            <w:r w:rsidRPr="006D73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CED5184" w:rsidR="00113F73" w:rsidRPr="006D736F" w:rsidRDefault="00113F73" w:rsidP="00B85424">
                      <w:pPr>
                        <w:spacing w:line="276" w:lineRule="auto"/>
                        <w:rPr>
                          <w:rFonts w:asciiTheme="majorHAnsi" w:hAnsiTheme="majorHAnsi"/>
                          <w:color w:val="595959" w:themeColor="text1" w:themeTint="A6"/>
                          <w:sz w:val="18"/>
                          <w:szCs w:val="18"/>
                          <w:lang w:val="es-ES"/>
                        </w:rPr>
                      </w:pPr>
                      <w:r w:rsidRPr="006D736F">
                        <w:rPr>
                          <w:rFonts w:asciiTheme="majorHAnsi" w:hAnsiTheme="majorHAnsi"/>
                          <w:b/>
                          <w:color w:val="595959" w:themeColor="text1" w:themeTint="A6"/>
                          <w:sz w:val="18"/>
                          <w:szCs w:val="18"/>
                          <w:lang w:val="pt-BR"/>
                        </w:rPr>
                        <w:t>Citar como:</w:t>
                      </w:r>
                      <w:r w:rsidRPr="006D736F">
                        <w:rPr>
                          <w:rFonts w:asciiTheme="majorHAnsi" w:hAnsiTheme="majorHAnsi"/>
                          <w:color w:val="595959" w:themeColor="text1" w:themeTint="A6"/>
                          <w:sz w:val="18"/>
                          <w:szCs w:val="18"/>
                          <w:lang w:val="pt-BR"/>
                        </w:rPr>
                        <w:t xml:space="preserve"> CIDH, Informe No</w:t>
                      </w:r>
                      <w:r w:rsidR="00B85424" w:rsidRPr="006D736F">
                        <w:rPr>
                          <w:rFonts w:asciiTheme="majorHAnsi" w:hAnsiTheme="majorHAnsi"/>
                          <w:color w:val="595959" w:themeColor="text1" w:themeTint="A6"/>
                          <w:sz w:val="18"/>
                          <w:szCs w:val="18"/>
                          <w:lang w:val="pt-BR"/>
                        </w:rPr>
                        <w:t>.</w:t>
                      </w:r>
                      <w:r w:rsidR="00987827" w:rsidRPr="006D736F">
                        <w:rPr>
                          <w:rFonts w:asciiTheme="majorHAnsi" w:hAnsiTheme="majorHAnsi"/>
                          <w:color w:val="595959" w:themeColor="text1" w:themeTint="A6"/>
                          <w:sz w:val="18"/>
                          <w:szCs w:val="18"/>
                          <w:lang w:val="pt-BR"/>
                        </w:rPr>
                        <w:t xml:space="preserve"> 257/20.</w:t>
                      </w:r>
                      <w:r w:rsidR="00B85424" w:rsidRPr="006D736F">
                        <w:rPr>
                          <w:rFonts w:asciiTheme="majorHAnsi" w:hAnsiTheme="majorHAnsi"/>
                          <w:sz w:val="18"/>
                          <w:szCs w:val="18"/>
                          <w:lang w:val="pt-BR"/>
                        </w:rPr>
                        <w:t xml:space="preserve"> </w:t>
                      </w:r>
                      <w:r w:rsidR="006D736F" w:rsidRPr="006D736F">
                        <w:rPr>
                          <w:rFonts w:asciiTheme="majorHAnsi" w:hAnsiTheme="majorHAnsi"/>
                          <w:color w:val="595959" w:themeColor="text1" w:themeTint="A6"/>
                          <w:sz w:val="18"/>
                          <w:szCs w:val="18"/>
                          <w:lang w:val="pt-BR"/>
                        </w:rPr>
                        <w:t>Petición</w:t>
                      </w:r>
                      <w:r w:rsidR="006D736F" w:rsidRPr="006D736F">
                        <w:rPr>
                          <w:rFonts w:asciiTheme="majorHAnsi" w:hAnsiTheme="majorHAnsi"/>
                          <w:sz w:val="18"/>
                          <w:szCs w:val="18"/>
                          <w:lang w:val="pt-BR"/>
                        </w:rPr>
                        <w:t xml:space="preserve"> </w:t>
                      </w:r>
                      <w:r w:rsidR="00B85424" w:rsidRPr="006D736F">
                        <w:rPr>
                          <w:rFonts w:asciiTheme="majorHAnsi" w:hAnsiTheme="majorHAnsi"/>
                          <w:color w:val="595959" w:themeColor="text1" w:themeTint="A6"/>
                          <w:sz w:val="18"/>
                          <w:szCs w:val="18"/>
                          <w:lang w:val="pt-BR"/>
                        </w:rPr>
                        <w:t xml:space="preserve">P-1048-09. </w:t>
                      </w:r>
                      <w:r w:rsidRPr="006D736F">
                        <w:rPr>
                          <w:rFonts w:asciiTheme="majorHAnsi" w:hAnsiTheme="majorHAnsi"/>
                          <w:color w:val="595959" w:themeColor="text1" w:themeTint="A6"/>
                          <w:sz w:val="18"/>
                          <w:szCs w:val="18"/>
                          <w:lang w:val="es-ES_tradnl"/>
                        </w:rPr>
                        <w:t xml:space="preserve">Admisibilidad. </w:t>
                      </w:r>
                      <w:r w:rsidR="00B85424" w:rsidRPr="006D736F">
                        <w:rPr>
                          <w:rFonts w:asciiTheme="majorHAnsi" w:hAnsiTheme="majorHAnsi"/>
                          <w:color w:val="595959" w:themeColor="text1" w:themeTint="A6"/>
                          <w:sz w:val="18"/>
                          <w:szCs w:val="18"/>
                          <w:lang w:val="es-ES_tradnl"/>
                        </w:rPr>
                        <w:t>Ramón Roberto Manrique</w:t>
                      </w:r>
                      <w:r w:rsidRPr="006D736F">
                        <w:rPr>
                          <w:rFonts w:asciiTheme="majorHAnsi" w:hAnsiTheme="majorHAnsi"/>
                          <w:color w:val="595959" w:themeColor="text1" w:themeTint="A6"/>
                          <w:sz w:val="18"/>
                          <w:szCs w:val="18"/>
                          <w:lang w:val="es-ES_tradnl"/>
                        </w:rPr>
                        <w:t xml:space="preserve">. </w:t>
                      </w:r>
                      <w:r w:rsidR="00B85424" w:rsidRPr="006D736F">
                        <w:rPr>
                          <w:rFonts w:asciiTheme="majorHAnsi" w:hAnsiTheme="majorHAnsi"/>
                          <w:color w:val="595959" w:themeColor="text1" w:themeTint="A6"/>
                          <w:sz w:val="18"/>
                          <w:szCs w:val="18"/>
                          <w:lang w:val="es-ES_tradnl"/>
                        </w:rPr>
                        <w:t>Argentina.</w:t>
                      </w:r>
                      <w:r w:rsidRPr="006D736F">
                        <w:rPr>
                          <w:rFonts w:asciiTheme="majorHAnsi" w:hAnsiTheme="majorHAnsi"/>
                          <w:color w:val="595959" w:themeColor="text1" w:themeTint="A6"/>
                          <w:sz w:val="18"/>
                          <w:szCs w:val="18"/>
                          <w:lang w:val="es-ES_tradnl"/>
                        </w:rPr>
                        <w:t xml:space="preserve"> </w:t>
                      </w:r>
                      <w:r w:rsidR="00BE649A" w:rsidRPr="006D736F">
                        <w:rPr>
                          <w:rFonts w:asciiTheme="majorHAnsi" w:hAnsiTheme="majorHAnsi"/>
                          <w:color w:val="595959" w:themeColor="text1" w:themeTint="A6"/>
                          <w:sz w:val="18"/>
                          <w:szCs w:val="18"/>
                          <w:lang w:val="es-ES"/>
                        </w:rPr>
                        <w:t>26 de septiembre de 2020</w:t>
                      </w:r>
                      <w:r w:rsidRPr="006D736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9311B9C">
                                  <wp:extent cx="1798420" cy="4626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12729" cy="4663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9311B9C">
                            <wp:extent cx="1798420" cy="4626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2729" cy="46632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960CA"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DFDCE88" w:rsidR="003239B8" w:rsidRPr="00006B74" w:rsidRDefault="00CF1BBF" w:rsidP="00CF1BBF">
            <w:pPr>
              <w:jc w:val="both"/>
              <w:rPr>
                <w:rFonts w:ascii="Cambria" w:hAnsi="Cambria"/>
                <w:bCs/>
                <w:sz w:val="19"/>
                <w:szCs w:val="19"/>
                <w:lang w:val="es-ES"/>
              </w:rPr>
            </w:pPr>
            <w:r>
              <w:rPr>
                <w:rFonts w:ascii="Cambria" w:hAnsi="Cambria"/>
                <w:bCs/>
                <w:sz w:val="19"/>
                <w:szCs w:val="19"/>
                <w:lang w:val="es-ES"/>
              </w:rPr>
              <w:t>RR</w:t>
            </w:r>
            <w:r w:rsidR="005641FC">
              <w:rPr>
                <w:rFonts w:ascii="Cambria" w:hAnsi="Cambria"/>
                <w:bCs/>
                <w:sz w:val="19"/>
                <w:szCs w:val="19"/>
                <w:lang w:val="es-ES"/>
              </w:rPr>
              <w:t xml:space="preserve">M </w:t>
            </w:r>
            <w:r w:rsidR="001960CA">
              <w:rPr>
                <w:rFonts w:ascii="Cambria" w:hAnsi="Cambria"/>
                <w:bCs/>
                <w:sz w:val="19"/>
                <w:szCs w:val="19"/>
                <w:lang w:val="es-ES"/>
              </w:rPr>
              <w:t xml:space="preserve">y </w:t>
            </w:r>
            <w:r>
              <w:rPr>
                <w:rFonts w:ascii="Cambria" w:hAnsi="Cambria"/>
                <w:bCs/>
                <w:sz w:val="19"/>
                <w:szCs w:val="19"/>
                <w:lang w:val="es-ES"/>
              </w:rPr>
              <w:t>ADG</w:t>
            </w:r>
            <w:r w:rsidR="005641FC">
              <w:rPr>
                <w:rStyle w:val="FootnoteReference"/>
                <w:rFonts w:ascii="Cambria" w:hAnsi="Cambria"/>
                <w:bCs/>
                <w:sz w:val="19"/>
                <w:szCs w:val="19"/>
                <w:lang w:val="es-ES"/>
              </w:rPr>
              <w:footnoteReference w:id="2"/>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216546E0" w:rsidR="003239B8" w:rsidRPr="00006B74" w:rsidRDefault="001960CA" w:rsidP="005B6D22">
            <w:pPr>
              <w:jc w:val="both"/>
              <w:rPr>
                <w:rFonts w:ascii="Cambria" w:hAnsi="Cambria"/>
                <w:bCs/>
                <w:sz w:val="19"/>
                <w:szCs w:val="19"/>
                <w:lang w:val="es-ES"/>
              </w:rPr>
            </w:pPr>
            <w:r w:rsidRPr="001960CA">
              <w:rPr>
                <w:rFonts w:ascii="Cambria" w:hAnsi="Cambria"/>
                <w:bCs/>
                <w:sz w:val="19"/>
                <w:szCs w:val="19"/>
                <w:lang w:val="es-ES"/>
              </w:rPr>
              <w:t>Ramón Roberto Manrique</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46CAD41E" w:rsidR="003239B8" w:rsidRPr="00006B74" w:rsidRDefault="001960CA" w:rsidP="008D2290">
            <w:pPr>
              <w:jc w:val="both"/>
              <w:rPr>
                <w:rFonts w:ascii="Cambria" w:hAnsi="Cambria"/>
                <w:bCs/>
                <w:sz w:val="19"/>
                <w:szCs w:val="19"/>
                <w:lang w:val="es-ES"/>
              </w:rPr>
            </w:pPr>
            <w:r>
              <w:rPr>
                <w:rFonts w:ascii="Cambria" w:hAnsi="Cambria"/>
                <w:bCs/>
                <w:sz w:val="19"/>
                <w:szCs w:val="19"/>
                <w:lang w:val="es-ES"/>
              </w:rPr>
              <w:t>Argentina</w:t>
            </w:r>
          </w:p>
        </w:tc>
      </w:tr>
      <w:tr w:rsidR="00223A29" w:rsidRPr="006D5BE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63355784" w:rsidR="00223A29" w:rsidRPr="00006B74" w:rsidRDefault="00BF514A" w:rsidP="00DD25CA">
            <w:pPr>
              <w:jc w:val="both"/>
              <w:rPr>
                <w:rFonts w:ascii="Cambria" w:hAnsi="Cambria"/>
                <w:bCs/>
                <w:sz w:val="19"/>
                <w:szCs w:val="19"/>
                <w:lang w:val="es-ES"/>
              </w:rPr>
            </w:pPr>
            <w:r w:rsidRPr="00006B74">
              <w:rPr>
                <w:rFonts w:ascii="Cambria" w:hAnsi="Cambria"/>
                <w:bCs/>
                <w:sz w:val="19"/>
                <w:szCs w:val="19"/>
                <w:lang w:val="es-ES"/>
              </w:rPr>
              <w:t xml:space="preserve">Artículos </w:t>
            </w:r>
            <w:r w:rsidR="00143ED6">
              <w:rPr>
                <w:rFonts w:ascii="Cambria" w:hAnsi="Cambria"/>
                <w:bCs/>
                <w:sz w:val="19"/>
                <w:szCs w:val="19"/>
                <w:lang w:val="es-ES"/>
              </w:rPr>
              <w:t>7</w:t>
            </w:r>
            <w:r w:rsidR="008E2A3E">
              <w:rPr>
                <w:rFonts w:ascii="Cambria" w:hAnsi="Cambria"/>
                <w:bCs/>
                <w:sz w:val="19"/>
                <w:szCs w:val="19"/>
                <w:lang w:val="es-ES"/>
              </w:rPr>
              <w:t xml:space="preserve"> (libertad personal)</w:t>
            </w:r>
            <w:r w:rsidR="009D6E7E">
              <w:rPr>
                <w:rFonts w:ascii="Cambria" w:hAnsi="Cambria"/>
                <w:bCs/>
                <w:sz w:val="19"/>
                <w:szCs w:val="19"/>
                <w:lang w:val="es-ES"/>
              </w:rPr>
              <w:t>,</w:t>
            </w:r>
            <w:r w:rsidR="0017215E">
              <w:rPr>
                <w:rFonts w:ascii="Cambria" w:hAnsi="Cambria"/>
                <w:bCs/>
                <w:sz w:val="19"/>
                <w:szCs w:val="19"/>
                <w:lang w:val="es-ES"/>
              </w:rPr>
              <w:t xml:space="preserve"> </w:t>
            </w:r>
            <w:r w:rsidR="009D6E7E">
              <w:rPr>
                <w:rFonts w:ascii="Cambria" w:hAnsi="Cambria"/>
                <w:bCs/>
                <w:sz w:val="19"/>
                <w:szCs w:val="19"/>
                <w:lang w:val="es-ES"/>
              </w:rPr>
              <w:t>21</w:t>
            </w:r>
            <w:r w:rsidR="008E2A3E">
              <w:rPr>
                <w:rFonts w:ascii="Cambria" w:hAnsi="Cambria"/>
                <w:bCs/>
                <w:sz w:val="19"/>
                <w:szCs w:val="19"/>
                <w:lang w:val="es-ES"/>
              </w:rPr>
              <w:t xml:space="preserve"> (propiedad)</w:t>
            </w:r>
            <w:r w:rsidR="009D6E7E">
              <w:rPr>
                <w:rFonts w:ascii="Cambria" w:hAnsi="Cambria"/>
                <w:bCs/>
                <w:sz w:val="19"/>
                <w:szCs w:val="19"/>
                <w:lang w:val="es-ES"/>
              </w:rPr>
              <w:t xml:space="preserve"> y 24</w:t>
            </w:r>
            <w:r w:rsidR="008E2A3E">
              <w:rPr>
                <w:rFonts w:ascii="Cambria" w:hAnsi="Cambria"/>
                <w:bCs/>
                <w:sz w:val="19"/>
                <w:szCs w:val="19"/>
                <w:lang w:val="es-ES"/>
              </w:rPr>
              <w:t xml:space="preserve"> (igualdad)</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100C7B">
              <w:rPr>
                <w:rFonts w:ascii="Cambria" w:hAnsi="Cambria"/>
                <w:bCs/>
                <w:sz w:val="19"/>
                <w:szCs w:val="19"/>
                <w:lang w:val="es-ES"/>
              </w:rPr>
              <w:t xml:space="preserve">Convención </w:t>
            </w:r>
            <w:r w:rsidR="00987827">
              <w:rPr>
                <w:rFonts w:ascii="Cambria" w:hAnsi="Cambria"/>
                <w:bCs/>
                <w:sz w:val="19"/>
                <w:szCs w:val="19"/>
                <w:lang w:val="es-ES"/>
              </w:rPr>
              <w:t>Americana sobre Derechos Humano</w:t>
            </w:r>
            <w:r w:rsidRPr="00B85424">
              <w:rPr>
                <w:rStyle w:val="FootnoteReference"/>
                <w:rFonts w:ascii="Cambria" w:hAnsi="Cambria"/>
                <w:bCs/>
                <w:sz w:val="19"/>
                <w:szCs w:val="19"/>
                <w:lang w:val="es-ES"/>
              </w:rPr>
              <w:footnoteReference w:id="3"/>
            </w:r>
            <w:r w:rsidR="00DD25CA">
              <w:rPr>
                <w:rFonts w:ascii="Cambria" w:hAnsi="Cambria"/>
                <w:bCs/>
                <w:sz w:val="19"/>
                <w:szCs w:val="19"/>
                <w:lang w:val="es-ES"/>
              </w:rPr>
              <w:t>,</w:t>
            </w:r>
            <w:r w:rsidR="00B85424">
              <w:rPr>
                <w:rFonts w:ascii="Cambria" w:hAnsi="Cambria"/>
                <w:bCs/>
                <w:sz w:val="19"/>
                <w:szCs w:val="19"/>
                <w:lang w:val="es-ES"/>
              </w:rPr>
              <w:t xml:space="preserve"> A</w:t>
            </w:r>
            <w:r w:rsidR="00B85424" w:rsidRPr="00B85424">
              <w:rPr>
                <w:rFonts w:ascii="Cambria" w:hAnsi="Cambria"/>
                <w:bCs/>
                <w:sz w:val="19"/>
                <w:szCs w:val="19"/>
                <w:lang w:val="es-ES"/>
              </w:rPr>
              <w:t xml:space="preserve">rtículo 23 de la </w:t>
            </w:r>
            <w:r w:rsidR="00DD25CA" w:rsidRPr="00DD25CA">
              <w:rPr>
                <w:rFonts w:ascii="Cambria" w:hAnsi="Cambria"/>
                <w:bCs/>
                <w:sz w:val="19"/>
                <w:szCs w:val="19"/>
                <w:lang w:val="es-ES"/>
              </w:rPr>
              <w:t>Declaración Americana de los Derechos y Deberes del Hombre</w:t>
            </w:r>
            <w:r w:rsidR="00DD25CA">
              <w:rPr>
                <w:rStyle w:val="FootnoteReference"/>
                <w:rFonts w:ascii="Cambria" w:hAnsi="Cambria"/>
                <w:bCs/>
                <w:sz w:val="19"/>
                <w:szCs w:val="19"/>
                <w:lang w:val="es-ES"/>
              </w:rPr>
              <w:footnoteReference w:id="4"/>
            </w:r>
            <w:r w:rsidR="00DD25CA" w:rsidRPr="00DD25CA">
              <w:rPr>
                <w:rFonts w:ascii="Cambria" w:hAnsi="Cambria"/>
                <w:bCs/>
                <w:sz w:val="19"/>
                <w:szCs w:val="19"/>
                <w:lang w:val="es-ES"/>
              </w:rPr>
              <w:t xml:space="preserve"> </w:t>
            </w:r>
            <w:r w:rsidR="00DD25CA">
              <w:rPr>
                <w:rFonts w:ascii="Cambria" w:hAnsi="Cambria"/>
                <w:bCs/>
                <w:sz w:val="19"/>
                <w:szCs w:val="19"/>
                <w:lang w:val="es-ES"/>
              </w:rPr>
              <w:t>y</w:t>
            </w:r>
            <w:r w:rsidR="00B85424">
              <w:rPr>
                <w:rFonts w:ascii="Cambria" w:hAnsi="Cambria"/>
                <w:bCs/>
                <w:sz w:val="19"/>
                <w:szCs w:val="19"/>
                <w:lang w:val="es-ES"/>
              </w:rPr>
              <w:t xml:space="preserve"> </w:t>
            </w:r>
            <w:r w:rsidR="00143ED6">
              <w:rPr>
                <w:rFonts w:ascii="Cambria" w:hAnsi="Cambria"/>
                <w:bCs/>
                <w:sz w:val="19"/>
                <w:szCs w:val="19"/>
                <w:lang w:val="es-ES"/>
              </w:rPr>
              <w:t>otros tratados internacionales</w:t>
            </w:r>
            <w:r w:rsidR="00143ED6">
              <w:rPr>
                <w:rStyle w:val="FootnoteReference"/>
                <w:rFonts w:ascii="Cambria" w:hAnsi="Cambria"/>
                <w:bCs/>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43ED6"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50296081" w:rsidR="004C2312" w:rsidRPr="0047080D" w:rsidRDefault="00CF1BBF" w:rsidP="002625EA">
            <w:pPr>
              <w:jc w:val="both"/>
              <w:rPr>
                <w:rFonts w:ascii="Cambria" w:hAnsi="Cambria"/>
                <w:bCs/>
                <w:sz w:val="19"/>
                <w:szCs w:val="19"/>
                <w:lang w:val="es-ES"/>
              </w:rPr>
            </w:pPr>
            <w:r>
              <w:rPr>
                <w:rFonts w:ascii="Cambria" w:hAnsi="Cambria"/>
                <w:bCs/>
                <w:sz w:val="19"/>
                <w:szCs w:val="19"/>
                <w:lang w:val="es-ES"/>
              </w:rPr>
              <w:t>24 de agosto de 2009</w:t>
            </w:r>
          </w:p>
        </w:tc>
      </w:tr>
      <w:tr w:rsidR="006E772A" w:rsidRPr="001960CA"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71C3CA7E" w:rsidR="006E772A" w:rsidRPr="0047080D" w:rsidRDefault="00352FBF" w:rsidP="002625EA">
            <w:pPr>
              <w:jc w:val="both"/>
              <w:rPr>
                <w:rFonts w:ascii="Cambria" w:hAnsi="Cambria"/>
                <w:bCs/>
                <w:sz w:val="19"/>
                <w:szCs w:val="19"/>
                <w:lang w:val="es-ES"/>
              </w:rPr>
            </w:pPr>
            <w:r>
              <w:rPr>
                <w:rFonts w:ascii="Cambria" w:hAnsi="Cambria"/>
                <w:bCs/>
                <w:sz w:val="19"/>
                <w:szCs w:val="19"/>
                <w:lang w:val="es-ES"/>
              </w:rPr>
              <w:t>10 de marzo de 2018</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74D82503" w:rsidR="004C2312" w:rsidRPr="0047080D" w:rsidRDefault="00062DB7" w:rsidP="008D2290">
            <w:pPr>
              <w:jc w:val="both"/>
              <w:rPr>
                <w:rFonts w:ascii="Cambria" w:hAnsi="Cambria"/>
                <w:bCs/>
                <w:sz w:val="19"/>
                <w:szCs w:val="19"/>
                <w:lang w:val="es-ES"/>
              </w:rPr>
            </w:pPr>
            <w:r>
              <w:rPr>
                <w:rFonts w:ascii="Cambria" w:hAnsi="Cambria"/>
                <w:bCs/>
                <w:sz w:val="19"/>
                <w:szCs w:val="19"/>
                <w:lang w:val="es-ES"/>
              </w:rPr>
              <w:t>29 de agosto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05BE5A40" w:rsidR="00F06354" w:rsidRPr="0047080D" w:rsidRDefault="00062DB7" w:rsidP="00F06354">
            <w:pPr>
              <w:jc w:val="both"/>
              <w:rPr>
                <w:rFonts w:ascii="Cambria" w:hAnsi="Cambria"/>
                <w:bCs/>
                <w:sz w:val="19"/>
                <w:szCs w:val="19"/>
                <w:lang w:val="es-ES"/>
              </w:rPr>
            </w:pPr>
            <w:r>
              <w:rPr>
                <w:rFonts w:ascii="Cambria" w:hAnsi="Cambria"/>
                <w:bCs/>
                <w:sz w:val="19"/>
                <w:szCs w:val="19"/>
                <w:lang w:val="es-ES"/>
              </w:rPr>
              <w:t>4 de diciembre de 2014</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01323211" w:rsidR="00F06354" w:rsidRPr="0047080D" w:rsidRDefault="008F5EA7" w:rsidP="00F06354">
            <w:pPr>
              <w:jc w:val="both"/>
              <w:rPr>
                <w:rFonts w:ascii="Cambria" w:hAnsi="Cambria"/>
                <w:bCs/>
                <w:sz w:val="19"/>
                <w:szCs w:val="19"/>
                <w:lang w:val="es-ES"/>
              </w:rPr>
            </w:pPr>
            <w:r>
              <w:rPr>
                <w:rFonts w:ascii="Cambria" w:hAnsi="Cambria"/>
                <w:bCs/>
                <w:sz w:val="19"/>
                <w:szCs w:val="19"/>
                <w:lang w:val="es-ES"/>
              </w:rPr>
              <w:t>23 de febrero de 2016</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00A50611" w:rsidR="006E772A" w:rsidRPr="0047080D" w:rsidRDefault="008F5EA7" w:rsidP="00F06354">
            <w:pPr>
              <w:jc w:val="both"/>
              <w:rPr>
                <w:rFonts w:ascii="Cambria" w:hAnsi="Cambria"/>
                <w:bCs/>
                <w:sz w:val="19"/>
                <w:szCs w:val="19"/>
                <w:lang w:val="es-ES"/>
              </w:rPr>
            </w:pPr>
            <w:r>
              <w:rPr>
                <w:rFonts w:ascii="Cambria" w:hAnsi="Cambria"/>
                <w:bCs/>
                <w:sz w:val="19"/>
                <w:szCs w:val="19"/>
                <w:lang w:val="es-ES"/>
              </w:rPr>
              <w:t>9 de marzo de 2018</w:t>
            </w:r>
          </w:p>
        </w:tc>
      </w:tr>
      <w:tr w:rsidR="006E772A" w:rsidRPr="001960CA" w14:paraId="2C3038EF" w14:textId="77777777" w:rsidTr="00954B82">
        <w:tc>
          <w:tcPr>
            <w:tcW w:w="2790" w:type="dxa"/>
            <w:tcBorders>
              <w:top w:val="single" w:sz="6" w:space="0" w:color="auto"/>
              <w:bottom w:val="single" w:sz="6" w:space="0" w:color="auto"/>
            </w:tcBorders>
            <w:shd w:val="clear" w:color="auto" w:fill="386294"/>
            <w:vAlign w:val="center"/>
          </w:tcPr>
          <w:p w14:paraId="1A232871" w14:textId="764AA355"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Respuesta a la </w:t>
            </w:r>
            <w:r w:rsidR="002355A9" w:rsidRPr="0047080D">
              <w:rPr>
                <w:rFonts w:ascii="Cambria" w:hAnsi="Cambria"/>
                <w:bCs/>
                <w:color w:val="FFFFFF" w:themeColor="background1"/>
                <w:sz w:val="19"/>
                <w:szCs w:val="19"/>
                <w:lang w:val="es-ES"/>
              </w:rPr>
              <w:t>advertencia de archivo</w:t>
            </w:r>
          </w:p>
        </w:tc>
        <w:tc>
          <w:tcPr>
            <w:tcW w:w="6570" w:type="dxa"/>
            <w:vAlign w:val="center"/>
          </w:tcPr>
          <w:p w14:paraId="51D3249B" w14:textId="55E65AB2" w:rsidR="006E772A" w:rsidRPr="0047080D" w:rsidRDefault="008F5EA7" w:rsidP="00F06354">
            <w:pPr>
              <w:jc w:val="both"/>
              <w:rPr>
                <w:rFonts w:ascii="Cambria" w:hAnsi="Cambria"/>
                <w:bCs/>
                <w:sz w:val="19"/>
                <w:szCs w:val="19"/>
                <w:lang w:val="es-ES"/>
              </w:rPr>
            </w:pPr>
            <w:r>
              <w:rPr>
                <w:rFonts w:ascii="Cambria" w:hAnsi="Cambria"/>
                <w:bCs/>
                <w:sz w:val="19"/>
                <w:szCs w:val="19"/>
                <w:lang w:val="es-ES"/>
              </w:rPr>
              <w:t>10 de marzo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0F88E697" w:rsidR="003239B8" w:rsidRPr="0047080D" w:rsidRDefault="006E01AA"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130AF00E" w:rsidR="003239B8" w:rsidRPr="0047080D" w:rsidRDefault="006E01AA"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39D2E380" w:rsidR="003239B8" w:rsidRPr="0047080D" w:rsidRDefault="006E01AA" w:rsidP="008D2290">
            <w:pPr>
              <w:rPr>
                <w:rFonts w:ascii="Cambria" w:hAnsi="Cambria"/>
                <w:bCs/>
                <w:sz w:val="19"/>
                <w:szCs w:val="19"/>
                <w:lang w:val="es-ES"/>
              </w:rPr>
            </w:pPr>
            <w:r>
              <w:rPr>
                <w:rFonts w:ascii="Cambria" w:hAnsi="Cambria"/>
                <w:bCs/>
                <w:sz w:val="19"/>
                <w:szCs w:val="19"/>
                <w:lang w:val="es-ES"/>
              </w:rPr>
              <w:t>Sí</w:t>
            </w:r>
          </w:p>
        </w:tc>
      </w:tr>
      <w:tr w:rsidR="003239B8" w:rsidRPr="006D5BE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23E45CCF" w:rsidR="003239B8" w:rsidRPr="0047080D" w:rsidRDefault="006E01AA" w:rsidP="005C06C5">
            <w:pPr>
              <w:jc w:val="both"/>
              <w:rPr>
                <w:rFonts w:ascii="Cambria" w:hAnsi="Cambria"/>
                <w:bCs/>
                <w:sz w:val="19"/>
                <w:szCs w:val="19"/>
                <w:lang w:val="es-ES"/>
              </w:rPr>
            </w:pPr>
            <w:r>
              <w:rPr>
                <w:rFonts w:ascii="Cambria" w:hAnsi="Cambria"/>
                <w:bCs/>
                <w:sz w:val="19"/>
                <w:szCs w:val="19"/>
                <w:lang w:val="es-ES"/>
              </w:rPr>
              <w:t>Sí, Convención Americana (depósito</w:t>
            </w:r>
            <w:r w:rsidR="001B5E09">
              <w:rPr>
                <w:rFonts w:ascii="Cambria" w:hAnsi="Cambria"/>
                <w:bCs/>
                <w:sz w:val="19"/>
                <w:szCs w:val="19"/>
                <w:lang w:val="es-ES"/>
              </w:rPr>
              <w:t xml:space="preserve"> del</w:t>
            </w:r>
            <w:r>
              <w:rPr>
                <w:rFonts w:ascii="Cambria" w:hAnsi="Cambria"/>
                <w:bCs/>
                <w:sz w:val="19"/>
                <w:szCs w:val="19"/>
                <w:lang w:val="es-ES"/>
              </w:rPr>
              <w:t xml:space="preserve"> </w:t>
            </w:r>
            <w:r w:rsidR="001B5E09" w:rsidRPr="001B5E09">
              <w:rPr>
                <w:rFonts w:ascii="Cambria" w:hAnsi="Cambria"/>
                <w:bCs/>
                <w:sz w:val="19"/>
                <w:szCs w:val="19"/>
                <w:lang w:val="es-ES"/>
              </w:rPr>
              <w:t xml:space="preserve">instrumento de ratificación </w:t>
            </w:r>
            <w:r>
              <w:rPr>
                <w:rFonts w:ascii="Cambria" w:hAnsi="Cambria"/>
                <w:bCs/>
                <w:sz w:val="19"/>
                <w:szCs w:val="19"/>
                <w:lang w:val="es-ES"/>
              </w:rPr>
              <w:t xml:space="preserve">realizado el </w:t>
            </w:r>
            <w:r w:rsidR="00F977BE">
              <w:rPr>
                <w:rFonts w:ascii="Cambria" w:hAnsi="Cambria"/>
                <w:bCs/>
                <w:sz w:val="19"/>
                <w:szCs w:val="19"/>
                <w:lang w:val="es-ES"/>
              </w:rPr>
              <w:t>5 de setiembre de 1984</w:t>
            </w:r>
            <w:r>
              <w:rPr>
                <w:rFonts w:ascii="Cambria" w:hAnsi="Cambria"/>
                <w:bCs/>
                <w:sz w:val="19"/>
                <w:szCs w:val="19"/>
                <w:lang w:val="es-ES"/>
              </w:rPr>
              <w:t>)</w:t>
            </w:r>
          </w:p>
        </w:tc>
      </w:tr>
    </w:tbl>
    <w:p w14:paraId="4E92C444" w14:textId="71F50DDB"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3D5646"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1960CA"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C2B8F84" w:rsidR="00EE00E9" w:rsidRPr="00D927DA" w:rsidRDefault="00D444D9" w:rsidP="008D2290">
            <w:pPr>
              <w:jc w:val="both"/>
              <w:rPr>
                <w:rFonts w:ascii="Cambria" w:hAnsi="Cambria"/>
                <w:bCs/>
                <w:sz w:val="19"/>
                <w:szCs w:val="19"/>
                <w:lang w:val="es-ES"/>
              </w:rPr>
            </w:pPr>
            <w:r w:rsidRPr="00D927DA">
              <w:rPr>
                <w:rFonts w:ascii="Cambria" w:hAnsi="Cambria"/>
                <w:bCs/>
                <w:sz w:val="19"/>
                <w:szCs w:val="19"/>
                <w:lang w:val="es-ES"/>
              </w:rPr>
              <w:t>No</w:t>
            </w:r>
          </w:p>
        </w:tc>
      </w:tr>
      <w:tr w:rsidR="003239B8" w:rsidRPr="006D5BE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787F8F78"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 xml:space="preserve">Derechos </w:t>
            </w:r>
            <w:r w:rsidR="00334FC5">
              <w:rPr>
                <w:rFonts w:ascii="Cambria" w:hAnsi="Cambria"/>
                <w:bCs/>
                <w:color w:val="FFFFFF" w:themeColor="background1"/>
                <w:sz w:val="19"/>
                <w:szCs w:val="19"/>
                <w:lang w:val="es-ES"/>
              </w:rPr>
              <w:t>declarados admisibles</w:t>
            </w:r>
          </w:p>
        </w:tc>
        <w:tc>
          <w:tcPr>
            <w:tcW w:w="6570" w:type="dxa"/>
            <w:vAlign w:val="center"/>
          </w:tcPr>
          <w:p w14:paraId="6310C8F7" w14:textId="5BA77AF3" w:rsidR="003239B8" w:rsidRPr="00D927DA" w:rsidRDefault="00D444D9" w:rsidP="0060379A">
            <w:pPr>
              <w:jc w:val="both"/>
              <w:rPr>
                <w:rFonts w:ascii="Cambria" w:hAnsi="Cambria"/>
                <w:bCs/>
                <w:sz w:val="19"/>
                <w:szCs w:val="19"/>
                <w:lang w:val="es-ES"/>
              </w:rPr>
            </w:pPr>
            <w:r w:rsidRPr="00D927DA">
              <w:rPr>
                <w:rFonts w:ascii="Cambria" w:hAnsi="Cambria"/>
                <w:bCs/>
                <w:sz w:val="19"/>
                <w:szCs w:val="19"/>
                <w:lang w:val="es-ES"/>
              </w:rPr>
              <w:t xml:space="preserve">Artículos </w:t>
            </w:r>
            <w:r w:rsidR="00144480" w:rsidRPr="00D927DA">
              <w:rPr>
                <w:rFonts w:ascii="Cambria" w:hAnsi="Cambria"/>
                <w:bCs/>
                <w:sz w:val="19"/>
                <w:szCs w:val="19"/>
                <w:lang w:val="es-ES"/>
              </w:rPr>
              <w:t xml:space="preserve">5 (integridad </w:t>
            </w:r>
            <w:r w:rsidR="00A136AE" w:rsidRPr="00D927DA">
              <w:rPr>
                <w:rFonts w:ascii="Cambria" w:hAnsi="Cambria"/>
                <w:bCs/>
                <w:sz w:val="19"/>
                <w:szCs w:val="19"/>
                <w:lang w:val="es-ES"/>
              </w:rPr>
              <w:t>personal</w:t>
            </w:r>
            <w:r w:rsidR="00144480" w:rsidRPr="00D927DA">
              <w:rPr>
                <w:rFonts w:ascii="Cambria" w:hAnsi="Cambria"/>
                <w:bCs/>
                <w:sz w:val="19"/>
                <w:szCs w:val="19"/>
                <w:lang w:val="es-ES"/>
              </w:rPr>
              <w:t xml:space="preserve">), </w:t>
            </w:r>
            <w:r w:rsidRPr="00D927DA">
              <w:rPr>
                <w:rFonts w:ascii="Cambria" w:hAnsi="Cambria"/>
                <w:bCs/>
                <w:sz w:val="19"/>
                <w:szCs w:val="19"/>
                <w:lang w:val="es-ES"/>
              </w:rPr>
              <w:t>8 (garantías judiciales), 24 (igualdad) y 25 (protección judicial) de la Convención Americana</w:t>
            </w:r>
            <w:r w:rsidR="005C06C5" w:rsidRPr="00D927DA">
              <w:rPr>
                <w:rFonts w:ascii="Cambria" w:hAnsi="Cambria"/>
                <w:bCs/>
                <w:sz w:val="19"/>
                <w:szCs w:val="19"/>
                <w:lang w:val="es-ES"/>
              </w:rPr>
              <w:t xml:space="preserve">, </w:t>
            </w:r>
            <w:r w:rsidR="005C06C5" w:rsidRPr="00D927DA">
              <w:rPr>
                <w:rFonts w:asciiTheme="majorHAnsi" w:hAnsiTheme="majorHAnsi"/>
                <w:sz w:val="19"/>
                <w:szCs w:val="19"/>
                <w:lang w:val="es-ES"/>
              </w:rPr>
              <w:t xml:space="preserve">en concordancia con </w:t>
            </w:r>
            <w:r w:rsidR="0060379A">
              <w:rPr>
                <w:rFonts w:asciiTheme="majorHAnsi" w:hAnsiTheme="majorHAnsi"/>
                <w:sz w:val="19"/>
                <w:szCs w:val="19"/>
                <w:lang w:val="es-ES"/>
              </w:rPr>
              <w:t>sus</w:t>
            </w:r>
            <w:r w:rsidR="005C06C5" w:rsidRPr="00D927DA">
              <w:rPr>
                <w:rFonts w:asciiTheme="majorHAnsi" w:hAnsiTheme="majorHAnsi"/>
                <w:sz w:val="19"/>
                <w:szCs w:val="19"/>
                <w:lang w:val="es-ES"/>
              </w:rPr>
              <w:t xml:space="preserve"> artículos 1.1 (obligación de respetar los derechos) y 2 (deber de adoptar disposiciones de derecho interno) </w:t>
            </w:r>
          </w:p>
        </w:tc>
      </w:tr>
      <w:tr w:rsidR="003239B8" w:rsidRPr="00CE0C4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C78D772" w:rsidR="003239B8" w:rsidRPr="00D927DA" w:rsidRDefault="0017215E" w:rsidP="00BB3FBD">
            <w:pPr>
              <w:rPr>
                <w:rFonts w:ascii="Cambria" w:hAnsi="Cambria"/>
                <w:bCs/>
                <w:sz w:val="19"/>
                <w:szCs w:val="19"/>
                <w:lang w:val="es-ES"/>
              </w:rPr>
            </w:pPr>
            <w:r w:rsidRPr="00D927DA">
              <w:rPr>
                <w:rFonts w:ascii="Cambria" w:hAnsi="Cambria"/>
                <w:bCs/>
                <w:sz w:val="19"/>
                <w:szCs w:val="19"/>
                <w:lang w:val="es-ES"/>
              </w:rPr>
              <w:t>Sí, 5 de mayo de 2009</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23E4F73E" w:rsidR="003239B8" w:rsidRPr="00D927DA" w:rsidRDefault="00CE0C49" w:rsidP="008D2290">
            <w:pPr>
              <w:rPr>
                <w:rFonts w:ascii="Cambria" w:hAnsi="Cambria"/>
                <w:bCs/>
                <w:sz w:val="19"/>
                <w:szCs w:val="19"/>
                <w:lang w:val="es-CO"/>
              </w:rPr>
            </w:pPr>
            <w:r w:rsidRPr="00D927DA">
              <w:rPr>
                <w:rFonts w:ascii="Cambria" w:hAnsi="Cambria"/>
                <w:bCs/>
                <w:sz w:val="19"/>
                <w:szCs w:val="19"/>
                <w:lang w:val="es-ES"/>
              </w:rPr>
              <w:t>S</w:t>
            </w:r>
            <w:r w:rsidRPr="00D927DA">
              <w:rPr>
                <w:rFonts w:ascii="Cambria" w:hAnsi="Cambria"/>
                <w:bCs/>
                <w:sz w:val="19"/>
                <w:szCs w:val="19"/>
                <w:lang w:val="es-CO"/>
              </w:rPr>
              <w:t>í, 24 de agosto de 2009</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363545D2" w14:textId="104ACF47" w:rsidR="00011047" w:rsidRPr="00EA0EA1" w:rsidRDefault="0017215E" w:rsidP="00495453">
      <w:pPr>
        <w:pStyle w:val="ListParagraph"/>
        <w:numPr>
          <w:ilvl w:val="0"/>
          <w:numId w:val="55"/>
        </w:numPr>
        <w:spacing w:after="120"/>
        <w:jc w:val="both"/>
        <w:rPr>
          <w:rFonts w:eastAsia="Arial Unicode MS" w:cs="Times New Roman"/>
          <w:color w:val="auto"/>
          <w:sz w:val="20"/>
          <w:szCs w:val="20"/>
          <w:lang w:val="es-ES" w:eastAsia="en-US"/>
        </w:rPr>
      </w:pPr>
      <w:r w:rsidRPr="00A57DC2">
        <w:rPr>
          <w:sz w:val="20"/>
          <w:szCs w:val="20"/>
          <w:lang w:val="es-ES"/>
        </w:rPr>
        <w:t>La presente petición se refiere al reclamo por la denegación del Estado de indemnizar</w:t>
      </w:r>
      <w:r w:rsidR="00082ACC" w:rsidRPr="00A57DC2">
        <w:rPr>
          <w:sz w:val="20"/>
          <w:szCs w:val="20"/>
          <w:lang w:val="es-ES"/>
        </w:rPr>
        <w:t xml:space="preserve"> a la presunta víctima </w:t>
      </w:r>
      <w:r w:rsidR="00011047">
        <w:rPr>
          <w:sz w:val="20"/>
          <w:szCs w:val="20"/>
          <w:lang w:val="es-ES"/>
        </w:rPr>
        <w:t xml:space="preserve">según el derecho común </w:t>
      </w:r>
      <w:r w:rsidR="00082ACC" w:rsidRPr="00A57DC2">
        <w:rPr>
          <w:sz w:val="20"/>
          <w:szCs w:val="20"/>
          <w:lang w:val="es-ES"/>
        </w:rPr>
        <w:t>por las lesiones que sufrió en febrero de 1996</w:t>
      </w:r>
      <w:r w:rsidR="00116DDC" w:rsidRPr="00A57DC2">
        <w:rPr>
          <w:sz w:val="20"/>
          <w:szCs w:val="20"/>
          <w:lang w:val="es-ES"/>
        </w:rPr>
        <w:t xml:space="preserve"> </w:t>
      </w:r>
      <w:r w:rsidR="00116DDC" w:rsidRPr="00D43FB7">
        <w:rPr>
          <w:sz w:val="20"/>
          <w:szCs w:val="20"/>
          <w:lang w:val="es-ES"/>
        </w:rPr>
        <w:t>durante el cumplimiento de sus funciones como miembro de la Policía Federal Argentina</w:t>
      </w:r>
      <w:r w:rsidR="00011047">
        <w:rPr>
          <w:sz w:val="20"/>
          <w:szCs w:val="20"/>
          <w:lang w:val="es-ES"/>
        </w:rPr>
        <w:t xml:space="preserve">. Aduce que </w:t>
      </w:r>
      <w:r w:rsidR="00011047" w:rsidRPr="00D43FB7">
        <w:rPr>
          <w:sz w:val="20"/>
          <w:szCs w:val="20"/>
          <w:lang w:val="es-ES"/>
        </w:rPr>
        <w:t>la normativa interna le impide acceder a una indemnización por accidentes laborales, a la cual tienen derecho el resto de los trabajadores argentinos</w:t>
      </w:r>
      <w:r w:rsidR="004E07CD">
        <w:rPr>
          <w:sz w:val="20"/>
          <w:szCs w:val="20"/>
          <w:lang w:val="es-ES"/>
        </w:rPr>
        <w:t>, aplicándose</w:t>
      </w:r>
      <w:r w:rsidR="004E07CD" w:rsidRPr="00D43FB7">
        <w:rPr>
          <w:sz w:val="20"/>
          <w:szCs w:val="20"/>
          <w:lang w:val="es-ES"/>
        </w:rPr>
        <w:t xml:space="preserve"> un precedente judicial vinculado a conflictos armados de carácter internacional</w:t>
      </w:r>
      <w:r w:rsidR="00011047" w:rsidRPr="00D43FB7">
        <w:rPr>
          <w:sz w:val="20"/>
          <w:szCs w:val="20"/>
          <w:lang w:val="es-ES"/>
        </w:rPr>
        <w:t>.</w:t>
      </w:r>
      <w:r w:rsidR="006E5585" w:rsidRPr="006E5585">
        <w:rPr>
          <w:sz w:val="20"/>
          <w:szCs w:val="20"/>
          <w:lang w:val="es-ES"/>
        </w:rPr>
        <w:t xml:space="preserve"> </w:t>
      </w:r>
      <w:r w:rsidR="004E07CD">
        <w:rPr>
          <w:sz w:val="20"/>
          <w:szCs w:val="20"/>
          <w:lang w:val="es-ES"/>
        </w:rPr>
        <w:t xml:space="preserve">Alega que </w:t>
      </w:r>
      <w:r w:rsidR="004E07CD" w:rsidRPr="00D43FB7">
        <w:rPr>
          <w:sz w:val="20"/>
          <w:szCs w:val="20"/>
          <w:lang w:val="es-ES"/>
        </w:rPr>
        <w:t xml:space="preserve">con ello </w:t>
      </w:r>
      <w:r w:rsidR="004E07CD">
        <w:rPr>
          <w:sz w:val="20"/>
          <w:szCs w:val="20"/>
          <w:lang w:val="es-ES"/>
        </w:rPr>
        <w:t xml:space="preserve">se </w:t>
      </w:r>
      <w:r w:rsidR="004E07CD" w:rsidRPr="00D43FB7">
        <w:rPr>
          <w:sz w:val="20"/>
          <w:szCs w:val="20"/>
          <w:lang w:val="es-ES"/>
        </w:rPr>
        <w:t>habría violentado su derecho a la propiedad, igualdad ante la ley y a la proporción de garantías judiciales.</w:t>
      </w:r>
      <w:r w:rsidR="004E07CD">
        <w:rPr>
          <w:sz w:val="20"/>
          <w:szCs w:val="20"/>
          <w:lang w:val="es-ES"/>
        </w:rPr>
        <w:t xml:space="preserve"> </w:t>
      </w:r>
      <w:r w:rsidR="006E5585" w:rsidRPr="00D43FB7">
        <w:rPr>
          <w:sz w:val="20"/>
          <w:szCs w:val="20"/>
          <w:lang w:val="es-ES"/>
        </w:rPr>
        <w:t xml:space="preserve">Adicionalmente, alegan que la jurisprudencia de la Corte Suprema sobre el </w:t>
      </w:r>
      <w:r w:rsidR="006E5585" w:rsidRPr="00D43FB7">
        <w:rPr>
          <w:sz w:val="20"/>
          <w:szCs w:val="20"/>
          <w:lang w:val="es-ES"/>
        </w:rPr>
        <w:lastRenderedPageBreak/>
        <w:t>derecho a la indemnización de policías lesionados en ejercicio de sus funciones, ha sido contradictoria, originando inseguridad jurídica</w:t>
      </w:r>
      <w:r w:rsidR="006E5585" w:rsidRPr="00B71BAB">
        <w:rPr>
          <w:sz w:val="20"/>
          <w:szCs w:val="20"/>
          <w:lang w:val="es-ES"/>
        </w:rPr>
        <w:t>.</w:t>
      </w:r>
    </w:p>
    <w:p w14:paraId="28E3FD9D" w14:textId="4CCBEEC3" w:rsidR="002A0EF0" w:rsidRPr="002A0EF0" w:rsidRDefault="00116DDC" w:rsidP="00E256EB">
      <w:pPr>
        <w:pStyle w:val="ListParagraph"/>
        <w:numPr>
          <w:ilvl w:val="0"/>
          <w:numId w:val="55"/>
        </w:numPr>
        <w:spacing w:after="120"/>
        <w:jc w:val="both"/>
        <w:rPr>
          <w:rFonts w:eastAsia="Arial Unicode MS" w:cs="Times New Roman"/>
          <w:color w:val="auto"/>
          <w:sz w:val="20"/>
          <w:szCs w:val="20"/>
          <w:lang w:val="es-ES" w:eastAsia="en-US"/>
        </w:rPr>
      </w:pPr>
      <w:r w:rsidRPr="00B71BAB">
        <w:rPr>
          <w:sz w:val="20"/>
          <w:szCs w:val="20"/>
          <w:lang w:val="es-ES"/>
        </w:rPr>
        <w:t>Los</w:t>
      </w:r>
      <w:r w:rsidRPr="00D43FB7">
        <w:rPr>
          <w:sz w:val="20"/>
          <w:szCs w:val="20"/>
          <w:lang w:val="es-ES"/>
        </w:rPr>
        <w:t xml:space="preserve"> peticionarios exponen que la lesión de la presunta víctima ocurrió a raíz de disparos efectuados contra su persona por un supuesto delincuente, el cual fue detenido por la presunta víctima. </w:t>
      </w:r>
      <w:r w:rsidR="00D76BF1">
        <w:rPr>
          <w:sz w:val="20"/>
          <w:szCs w:val="20"/>
          <w:lang w:val="es-ES"/>
        </w:rPr>
        <w:t xml:space="preserve">Aducen </w:t>
      </w:r>
      <w:r w:rsidR="009F26A9">
        <w:rPr>
          <w:sz w:val="20"/>
          <w:szCs w:val="20"/>
          <w:lang w:val="es-ES"/>
        </w:rPr>
        <w:t>que,</w:t>
      </w:r>
      <w:r w:rsidR="00D76BF1">
        <w:rPr>
          <w:sz w:val="20"/>
          <w:szCs w:val="20"/>
          <w:lang w:val="es-ES"/>
        </w:rPr>
        <w:t xml:space="preserve"> a</w:t>
      </w:r>
      <w:r w:rsidRPr="00D43FB7">
        <w:rPr>
          <w:sz w:val="20"/>
          <w:szCs w:val="20"/>
          <w:lang w:val="es-ES"/>
        </w:rPr>
        <w:t xml:space="preserve"> raíz de ello, sufrió una incapacidad física y psíquica de carácter total y permanente, evaluada en un 90%, habiéndose calificado su caso como “en y por acto del servicio”. </w:t>
      </w:r>
      <w:r w:rsidR="00E256EB">
        <w:rPr>
          <w:sz w:val="20"/>
          <w:szCs w:val="20"/>
          <w:lang w:val="es-ES"/>
        </w:rPr>
        <w:t xml:space="preserve">En </w:t>
      </w:r>
      <w:r w:rsidR="002A0EF0">
        <w:rPr>
          <w:sz w:val="20"/>
          <w:szCs w:val="20"/>
          <w:lang w:val="es-ES"/>
        </w:rPr>
        <w:t xml:space="preserve">consecuencia, </w:t>
      </w:r>
      <w:r w:rsidR="00BA3873" w:rsidRPr="00F27977">
        <w:rPr>
          <w:sz w:val="20"/>
          <w:szCs w:val="20"/>
          <w:lang w:val="es-ES"/>
        </w:rPr>
        <w:t>el 17 de agosto de 2001</w:t>
      </w:r>
      <w:r w:rsidR="009F26A9">
        <w:rPr>
          <w:sz w:val="20"/>
          <w:szCs w:val="20"/>
          <w:lang w:val="es-ES"/>
        </w:rPr>
        <w:t xml:space="preserve"> </w:t>
      </w:r>
      <w:r w:rsidR="006525BC" w:rsidRPr="00F27977">
        <w:rPr>
          <w:sz w:val="20"/>
          <w:szCs w:val="20"/>
          <w:lang w:val="es-ES"/>
        </w:rPr>
        <w:t>interpuso una acción de indemnización por daños y perjuicios contra el Estado</w:t>
      </w:r>
      <w:r w:rsidR="00BA3873" w:rsidRPr="00F27977">
        <w:rPr>
          <w:sz w:val="20"/>
          <w:szCs w:val="20"/>
          <w:lang w:val="es-ES"/>
        </w:rPr>
        <w:t xml:space="preserve"> ante el Juzgado Nacional en lo Civil y Comercial Federal. </w:t>
      </w:r>
      <w:r w:rsidR="009F26A9">
        <w:rPr>
          <w:sz w:val="20"/>
          <w:szCs w:val="20"/>
          <w:lang w:val="es-ES"/>
        </w:rPr>
        <w:t>Indican</w:t>
      </w:r>
      <w:r w:rsidR="00BA3873" w:rsidRPr="00F27977">
        <w:rPr>
          <w:sz w:val="20"/>
          <w:szCs w:val="20"/>
          <w:lang w:val="es-ES"/>
        </w:rPr>
        <w:t xml:space="preserve"> que, mediante la sentencia de 2 de mayo de 2007, dicho Juzgado admitió parcialmente </w:t>
      </w:r>
      <w:r w:rsidR="00916087" w:rsidRPr="00F27977">
        <w:rPr>
          <w:sz w:val="20"/>
          <w:szCs w:val="20"/>
          <w:lang w:val="es-ES"/>
        </w:rPr>
        <w:t>la pretensión de la presunta víctima, otorgándole el monto de 96.300 pesos</w:t>
      </w:r>
      <w:r w:rsidR="007E30B8" w:rsidRPr="00F27977">
        <w:rPr>
          <w:sz w:val="20"/>
          <w:szCs w:val="20"/>
          <w:lang w:val="es-ES"/>
        </w:rPr>
        <w:t xml:space="preserve"> argentinos; lo anterior</w:t>
      </w:r>
      <w:r w:rsidR="0029733F" w:rsidRPr="00F27977">
        <w:rPr>
          <w:sz w:val="20"/>
          <w:szCs w:val="20"/>
          <w:lang w:val="es-ES"/>
        </w:rPr>
        <w:t xml:space="preserve"> fue reconocido por el juez en cuestión como un haber de retiro</w:t>
      </w:r>
      <w:r w:rsidR="007E30B8" w:rsidRPr="00F27977">
        <w:rPr>
          <w:sz w:val="20"/>
          <w:szCs w:val="20"/>
          <w:lang w:val="es-ES"/>
        </w:rPr>
        <w:t>,</w:t>
      </w:r>
      <w:r w:rsidR="00916087" w:rsidRPr="00F27977">
        <w:rPr>
          <w:sz w:val="20"/>
          <w:szCs w:val="20"/>
          <w:lang w:val="es-ES"/>
        </w:rPr>
        <w:t xml:space="preserve"> </w:t>
      </w:r>
      <w:r w:rsidR="0029733F" w:rsidRPr="00F27977">
        <w:rPr>
          <w:sz w:val="20"/>
          <w:szCs w:val="20"/>
          <w:lang w:val="es-ES"/>
        </w:rPr>
        <w:t xml:space="preserve">y no como una indemnización por concepto de daños y perjuicios, </w:t>
      </w:r>
      <w:r w:rsidR="00895AA6" w:rsidRPr="00F27977">
        <w:rPr>
          <w:sz w:val="20"/>
          <w:szCs w:val="20"/>
          <w:lang w:val="es-ES"/>
        </w:rPr>
        <w:t>aduciendo que</w:t>
      </w:r>
      <w:r w:rsidR="0029733F" w:rsidRPr="00F27977">
        <w:rPr>
          <w:sz w:val="20"/>
          <w:szCs w:val="20"/>
          <w:lang w:val="es-ES"/>
        </w:rPr>
        <w:t xml:space="preserve"> no existió óbice alguno para otorgar una indemnización basada en normas de derecho común a un integrante de las </w:t>
      </w:r>
      <w:r w:rsidR="00895AA6" w:rsidRPr="00F27977">
        <w:rPr>
          <w:sz w:val="20"/>
          <w:szCs w:val="20"/>
          <w:lang w:val="es-ES"/>
        </w:rPr>
        <w:t>fuerzas armadas o de seguridad</w:t>
      </w:r>
      <w:r w:rsidR="0029733F" w:rsidRPr="00F27977">
        <w:rPr>
          <w:sz w:val="20"/>
          <w:szCs w:val="20"/>
          <w:lang w:val="es-ES"/>
        </w:rPr>
        <w:t xml:space="preserve"> cuando las normas específicas no lo </w:t>
      </w:r>
      <w:r w:rsidR="009E21B6" w:rsidRPr="00F27977">
        <w:rPr>
          <w:sz w:val="20"/>
          <w:szCs w:val="20"/>
          <w:lang w:val="es-ES"/>
        </w:rPr>
        <w:t>prevén así.</w:t>
      </w:r>
      <w:r w:rsidR="0029733F" w:rsidRPr="00F27977">
        <w:rPr>
          <w:sz w:val="20"/>
          <w:szCs w:val="20"/>
          <w:lang w:val="es-ES"/>
        </w:rPr>
        <w:t xml:space="preserve"> </w:t>
      </w:r>
      <w:r w:rsidR="005D66D0" w:rsidRPr="00F27977">
        <w:rPr>
          <w:sz w:val="20"/>
          <w:szCs w:val="20"/>
          <w:lang w:val="es-ES"/>
        </w:rPr>
        <w:t>Frente a ello, tanto el Estado como la presunta víctima apelaron dicha resolución ante la Cámara Nacional de Apelaci</w:t>
      </w:r>
      <w:r w:rsidR="009F26A9">
        <w:rPr>
          <w:sz w:val="20"/>
          <w:szCs w:val="20"/>
          <w:lang w:val="es-ES"/>
        </w:rPr>
        <w:t>ones en lo Civil y lo Comercial. Se revocó</w:t>
      </w:r>
      <w:r w:rsidR="009F26A9">
        <w:rPr>
          <w:sz w:val="20"/>
          <w:szCs w:val="20"/>
          <w:lang w:val="es-MX"/>
        </w:rPr>
        <w:t xml:space="preserve"> </w:t>
      </w:r>
      <w:r w:rsidR="005D66D0" w:rsidRPr="00F27977">
        <w:rPr>
          <w:sz w:val="20"/>
          <w:szCs w:val="20"/>
          <w:lang w:val="es-ES"/>
        </w:rPr>
        <w:t xml:space="preserve">la primera sentencia y </w:t>
      </w:r>
      <w:r w:rsidR="009F26A9">
        <w:rPr>
          <w:sz w:val="20"/>
          <w:szCs w:val="20"/>
          <w:lang w:val="es-ES"/>
        </w:rPr>
        <w:t>se</w:t>
      </w:r>
      <w:r w:rsidR="005D66D0" w:rsidRPr="00F27977">
        <w:rPr>
          <w:sz w:val="20"/>
          <w:szCs w:val="20"/>
          <w:lang w:val="es-ES"/>
        </w:rPr>
        <w:t xml:space="preserve"> rechaz</w:t>
      </w:r>
      <w:r w:rsidR="009F26A9">
        <w:rPr>
          <w:sz w:val="20"/>
          <w:szCs w:val="20"/>
          <w:lang w:val="es-ES"/>
        </w:rPr>
        <w:t>ó</w:t>
      </w:r>
      <w:r w:rsidR="005D66D0" w:rsidRPr="00F27977">
        <w:rPr>
          <w:sz w:val="20"/>
          <w:szCs w:val="20"/>
          <w:lang w:val="es-ES"/>
        </w:rPr>
        <w:t xml:space="preserve"> la demanda inicial</w:t>
      </w:r>
      <w:r w:rsidR="00DE1475" w:rsidRPr="00F27977">
        <w:rPr>
          <w:sz w:val="20"/>
          <w:szCs w:val="20"/>
          <w:lang w:val="es-ES"/>
        </w:rPr>
        <w:t xml:space="preserve">. </w:t>
      </w:r>
    </w:p>
    <w:p w14:paraId="5F393C22" w14:textId="635A7451" w:rsidR="006525BC" w:rsidRPr="002A0EF0" w:rsidRDefault="007066B4" w:rsidP="00A97854">
      <w:pPr>
        <w:pStyle w:val="ListParagraph"/>
        <w:numPr>
          <w:ilvl w:val="0"/>
          <w:numId w:val="55"/>
        </w:numPr>
        <w:spacing w:after="120"/>
        <w:jc w:val="both"/>
        <w:rPr>
          <w:rFonts w:eastAsia="Arial Unicode MS" w:cs="Times New Roman"/>
          <w:color w:val="auto"/>
          <w:sz w:val="20"/>
          <w:szCs w:val="20"/>
          <w:lang w:val="es-ES" w:eastAsia="en-US"/>
        </w:rPr>
      </w:pPr>
      <w:r>
        <w:rPr>
          <w:sz w:val="20"/>
          <w:szCs w:val="20"/>
          <w:lang w:val="es-ES"/>
        </w:rPr>
        <w:t>Los peticionarios e</w:t>
      </w:r>
      <w:r w:rsidR="000310F1" w:rsidRPr="00F27977">
        <w:rPr>
          <w:sz w:val="20"/>
          <w:szCs w:val="20"/>
          <w:lang w:val="es-ES"/>
        </w:rPr>
        <w:t>xponen que la decisión de la Cámara Nacional de Apelaciones se bas</w:t>
      </w:r>
      <w:r w:rsidR="002C4901" w:rsidRPr="00F27977">
        <w:rPr>
          <w:sz w:val="20"/>
          <w:szCs w:val="20"/>
          <w:lang w:val="es-ES"/>
        </w:rPr>
        <w:t>ó</w:t>
      </w:r>
      <w:r w:rsidR="000310F1" w:rsidRPr="00F27977">
        <w:rPr>
          <w:sz w:val="20"/>
          <w:szCs w:val="20"/>
          <w:lang w:val="es-ES"/>
        </w:rPr>
        <w:t xml:space="preserve"> en el precedente conocido como “</w:t>
      </w:r>
      <w:r w:rsidR="000310F1" w:rsidRPr="00F27977">
        <w:rPr>
          <w:i/>
          <w:sz w:val="20"/>
          <w:szCs w:val="20"/>
          <w:lang w:val="es-ES"/>
        </w:rPr>
        <w:t>Azzetti</w:t>
      </w:r>
      <w:r w:rsidR="000310F1" w:rsidRPr="00F27977">
        <w:rPr>
          <w:sz w:val="20"/>
          <w:szCs w:val="20"/>
          <w:lang w:val="es-ES"/>
        </w:rPr>
        <w:t>”, resuelto por la Corte Suprema de Justicia</w:t>
      </w:r>
      <w:r w:rsidR="002C4901" w:rsidRPr="00F27977">
        <w:rPr>
          <w:sz w:val="20"/>
          <w:szCs w:val="20"/>
          <w:lang w:val="es-ES"/>
        </w:rPr>
        <w:t xml:space="preserve"> en diciembre de 1998</w:t>
      </w:r>
      <w:r w:rsidR="00417E5B">
        <w:rPr>
          <w:sz w:val="20"/>
          <w:szCs w:val="20"/>
          <w:lang w:val="es-ES"/>
        </w:rPr>
        <w:t>, el cual</w:t>
      </w:r>
      <w:r w:rsidR="002C4901" w:rsidRPr="00F27977">
        <w:rPr>
          <w:sz w:val="20"/>
          <w:szCs w:val="20"/>
          <w:lang w:val="es-ES"/>
        </w:rPr>
        <w:t xml:space="preserve"> deriva de una demanda judicial presentada por un soldado lesionado en la Guerra de Malvinas, siend</w:t>
      </w:r>
      <w:r w:rsidR="00130A6C" w:rsidRPr="00F27977">
        <w:rPr>
          <w:sz w:val="20"/>
          <w:szCs w:val="20"/>
          <w:lang w:val="es-ES"/>
        </w:rPr>
        <w:t xml:space="preserve">o denegadas sus pretensiones en razón de ser </w:t>
      </w:r>
      <w:r w:rsidR="00417E5B">
        <w:rPr>
          <w:sz w:val="20"/>
          <w:szCs w:val="20"/>
          <w:lang w:val="es-ES"/>
        </w:rPr>
        <w:t>estas</w:t>
      </w:r>
      <w:r w:rsidR="00130A6C" w:rsidRPr="00F27977">
        <w:rPr>
          <w:sz w:val="20"/>
          <w:szCs w:val="20"/>
          <w:lang w:val="es-ES"/>
        </w:rPr>
        <w:t xml:space="preserve"> causadas por un enfrentamiento bélico internacional</w:t>
      </w:r>
      <w:r>
        <w:rPr>
          <w:sz w:val="20"/>
          <w:szCs w:val="20"/>
          <w:lang w:val="es-ES"/>
        </w:rPr>
        <w:t>.</w:t>
      </w:r>
      <w:r w:rsidR="00130A6C" w:rsidRPr="00F27977">
        <w:rPr>
          <w:sz w:val="20"/>
          <w:szCs w:val="20"/>
          <w:lang w:val="es-ES"/>
        </w:rPr>
        <w:t xml:space="preserve"> </w:t>
      </w:r>
      <w:r>
        <w:rPr>
          <w:sz w:val="20"/>
          <w:szCs w:val="20"/>
          <w:lang w:val="es-ES"/>
        </w:rPr>
        <w:t>L</w:t>
      </w:r>
      <w:r w:rsidR="00130A6C" w:rsidRPr="00F27977">
        <w:rPr>
          <w:sz w:val="20"/>
          <w:szCs w:val="20"/>
          <w:lang w:val="es-ES"/>
        </w:rPr>
        <w:t>a Corte Suprema de Justicia determinó</w:t>
      </w:r>
      <w:r w:rsidR="008B6E1A" w:rsidRPr="00F27977">
        <w:rPr>
          <w:sz w:val="20"/>
          <w:szCs w:val="20"/>
          <w:lang w:val="es-ES"/>
        </w:rPr>
        <w:t xml:space="preserve"> que </w:t>
      </w:r>
      <w:r w:rsidR="007E579E" w:rsidRPr="00F27977">
        <w:rPr>
          <w:sz w:val="20"/>
          <w:szCs w:val="20"/>
          <w:lang w:val="es-ES"/>
        </w:rPr>
        <w:t>el derecho común no es aplicable en casos de lesiones sufridas en y por ejercicio</w:t>
      </w:r>
      <w:r w:rsidR="002C4901" w:rsidRPr="00F27977">
        <w:rPr>
          <w:sz w:val="20"/>
          <w:szCs w:val="20"/>
          <w:lang w:val="es-ES"/>
        </w:rPr>
        <w:t xml:space="preserve"> de la función policial</w:t>
      </w:r>
      <w:r w:rsidR="00130A6C" w:rsidRPr="00F27977">
        <w:rPr>
          <w:sz w:val="20"/>
          <w:szCs w:val="20"/>
          <w:lang w:val="es-ES"/>
        </w:rPr>
        <w:t xml:space="preserve">. </w:t>
      </w:r>
      <w:r w:rsidR="000168E9">
        <w:rPr>
          <w:sz w:val="20"/>
          <w:szCs w:val="20"/>
          <w:lang w:val="es-ES"/>
        </w:rPr>
        <w:t xml:space="preserve">Exponen que </w:t>
      </w:r>
      <w:r>
        <w:rPr>
          <w:sz w:val="20"/>
          <w:szCs w:val="20"/>
          <w:lang w:val="es-ES"/>
        </w:rPr>
        <w:t>de esta forma, se le impidió</w:t>
      </w:r>
      <w:r w:rsidRPr="00757B11">
        <w:rPr>
          <w:sz w:val="20"/>
          <w:szCs w:val="20"/>
          <w:lang w:val="es-ES"/>
        </w:rPr>
        <w:t xml:space="preserve"> </w:t>
      </w:r>
      <w:r w:rsidR="000168E9">
        <w:rPr>
          <w:sz w:val="20"/>
          <w:szCs w:val="20"/>
          <w:lang w:val="es-ES"/>
        </w:rPr>
        <w:t xml:space="preserve">a la presunta víctima </w:t>
      </w:r>
      <w:r w:rsidR="000168E9" w:rsidRPr="00757B11">
        <w:rPr>
          <w:sz w:val="20"/>
          <w:szCs w:val="20"/>
          <w:lang w:val="es-ES"/>
        </w:rPr>
        <w:t>acceder a reparaciones</w:t>
      </w:r>
      <w:r w:rsidR="000168E9">
        <w:rPr>
          <w:sz w:val="20"/>
          <w:szCs w:val="20"/>
          <w:lang w:val="es-ES"/>
        </w:rPr>
        <w:t>,</w:t>
      </w:r>
      <w:r w:rsidR="000168E9" w:rsidRPr="00757B11">
        <w:rPr>
          <w:sz w:val="20"/>
          <w:szCs w:val="20"/>
          <w:lang w:val="es-ES"/>
        </w:rPr>
        <w:t xml:space="preserve"> ya que ni la ley o</w:t>
      </w:r>
      <w:r w:rsidR="002A0EF0">
        <w:rPr>
          <w:sz w:val="20"/>
          <w:szCs w:val="20"/>
          <w:lang w:val="es-ES"/>
        </w:rPr>
        <w:t>rgánica de la Policía Federal N°</w:t>
      </w:r>
      <w:r w:rsidR="000168E9" w:rsidRPr="00757B11">
        <w:rPr>
          <w:sz w:val="20"/>
          <w:szCs w:val="20"/>
          <w:lang w:val="es-ES"/>
        </w:rPr>
        <w:t>21.965</w:t>
      </w:r>
      <w:r w:rsidR="00175929">
        <w:rPr>
          <w:rStyle w:val="FootnoteReference"/>
          <w:sz w:val="20"/>
          <w:szCs w:val="20"/>
          <w:lang w:val="es-ES"/>
        </w:rPr>
        <w:footnoteReference w:id="7"/>
      </w:r>
      <w:r w:rsidR="002A0EF0">
        <w:rPr>
          <w:sz w:val="20"/>
          <w:szCs w:val="20"/>
          <w:lang w:val="es-ES"/>
        </w:rPr>
        <w:t>, ni su decreto reglamentario N°</w:t>
      </w:r>
      <w:r w:rsidR="000168E9" w:rsidRPr="00757B11">
        <w:rPr>
          <w:sz w:val="20"/>
          <w:szCs w:val="20"/>
          <w:lang w:val="es-ES"/>
        </w:rPr>
        <w:t>1866/83</w:t>
      </w:r>
      <w:r w:rsidR="000168E9">
        <w:rPr>
          <w:sz w:val="20"/>
          <w:szCs w:val="20"/>
          <w:lang w:val="es-ES"/>
        </w:rPr>
        <w:t>,</w:t>
      </w:r>
      <w:r w:rsidR="000168E9" w:rsidRPr="00757B11">
        <w:rPr>
          <w:sz w:val="20"/>
          <w:szCs w:val="20"/>
          <w:lang w:val="es-ES"/>
        </w:rPr>
        <w:t xml:space="preserve"> prevén un sistema de reparación de carácter indemnizatorio. Agregan que la ley </w:t>
      </w:r>
      <w:r w:rsidR="002A0EF0">
        <w:rPr>
          <w:sz w:val="20"/>
          <w:szCs w:val="20"/>
          <w:lang w:val="es-ES"/>
        </w:rPr>
        <w:t>N°</w:t>
      </w:r>
      <w:r w:rsidR="000168E9" w:rsidRPr="002A0EF0">
        <w:rPr>
          <w:sz w:val="20"/>
          <w:szCs w:val="20"/>
          <w:lang w:val="es-ES"/>
        </w:rPr>
        <w:t>24.557</w:t>
      </w:r>
      <w:r w:rsidR="002A0EF0">
        <w:rPr>
          <w:rStyle w:val="FootnoteReference"/>
          <w:sz w:val="20"/>
          <w:szCs w:val="20"/>
          <w:lang w:val="es-ES"/>
        </w:rPr>
        <w:footnoteReference w:id="8"/>
      </w:r>
      <w:r w:rsidR="000168E9" w:rsidRPr="002A0EF0">
        <w:rPr>
          <w:sz w:val="20"/>
          <w:szCs w:val="20"/>
          <w:lang w:val="es-ES"/>
        </w:rPr>
        <w:t xml:space="preserve">, </w:t>
      </w:r>
      <w:r w:rsidR="002A0EF0">
        <w:rPr>
          <w:sz w:val="20"/>
          <w:szCs w:val="20"/>
          <w:lang w:val="es-ES"/>
        </w:rPr>
        <w:t xml:space="preserve">la cual </w:t>
      </w:r>
      <w:r w:rsidR="000168E9" w:rsidRPr="002A0EF0">
        <w:rPr>
          <w:sz w:val="20"/>
          <w:szCs w:val="20"/>
          <w:lang w:val="es-ES"/>
        </w:rPr>
        <w:t>establece el sistema indemnizatorio integral por daños derivados de accidentes de trabajo y enfermedades profesionales, no inclu</w:t>
      </w:r>
      <w:r w:rsidR="002A0EF0">
        <w:rPr>
          <w:sz w:val="20"/>
          <w:szCs w:val="20"/>
          <w:lang w:val="es-ES"/>
        </w:rPr>
        <w:t>ye</w:t>
      </w:r>
      <w:r w:rsidR="000168E9" w:rsidRPr="002A0EF0">
        <w:rPr>
          <w:sz w:val="20"/>
          <w:szCs w:val="20"/>
          <w:lang w:val="es-ES"/>
        </w:rPr>
        <w:t xml:space="preserve"> expresamente a los funcionarios de la Policía Federal.</w:t>
      </w:r>
      <w:r w:rsidR="00471A1F" w:rsidRPr="002A0EF0">
        <w:rPr>
          <w:sz w:val="20"/>
          <w:szCs w:val="20"/>
          <w:lang w:val="es-ES"/>
        </w:rPr>
        <w:t xml:space="preserve"> </w:t>
      </w:r>
      <w:r w:rsidR="00597171" w:rsidRPr="002A0EF0">
        <w:rPr>
          <w:sz w:val="20"/>
          <w:szCs w:val="20"/>
          <w:lang w:val="es-ES"/>
        </w:rPr>
        <w:t xml:space="preserve">Como </w:t>
      </w:r>
      <w:r w:rsidR="00FB6AD2" w:rsidRPr="002A0EF0">
        <w:rPr>
          <w:sz w:val="20"/>
          <w:szCs w:val="20"/>
          <w:lang w:val="es-ES"/>
        </w:rPr>
        <w:t>consecuencia, el 20 de diciembre de 2007</w:t>
      </w:r>
      <w:r w:rsidR="00D43FB7">
        <w:rPr>
          <w:sz w:val="20"/>
          <w:szCs w:val="20"/>
          <w:lang w:val="es-ES"/>
        </w:rPr>
        <w:t>,</w:t>
      </w:r>
      <w:r w:rsidR="00FB6AD2" w:rsidRPr="002A0EF0">
        <w:rPr>
          <w:sz w:val="20"/>
          <w:szCs w:val="20"/>
          <w:lang w:val="es-ES"/>
        </w:rPr>
        <w:t xml:space="preserve"> la presunta víctima interpuso un </w:t>
      </w:r>
      <w:r w:rsidR="00F75B92" w:rsidRPr="002A0EF0">
        <w:rPr>
          <w:sz w:val="20"/>
          <w:szCs w:val="20"/>
          <w:lang w:val="es-ES"/>
        </w:rPr>
        <w:t xml:space="preserve">recurso extraordinario federal </w:t>
      </w:r>
      <w:r w:rsidR="00FB6AD2" w:rsidRPr="002A0EF0">
        <w:rPr>
          <w:sz w:val="20"/>
          <w:szCs w:val="20"/>
          <w:lang w:val="es-ES"/>
        </w:rPr>
        <w:t xml:space="preserve">ante la Corte Suprema de Justicia de la Nación, </w:t>
      </w:r>
      <w:r w:rsidR="003B707A" w:rsidRPr="002A0EF0">
        <w:rPr>
          <w:sz w:val="20"/>
          <w:szCs w:val="20"/>
          <w:lang w:val="es-ES"/>
        </w:rPr>
        <w:t>el cual fue rechazado por dicho Tribunal</w:t>
      </w:r>
      <w:r w:rsidR="00FB6AD2" w:rsidRPr="002A0EF0">
        <w:rPr>
          <w:sz w:val="20"/>
          <w:szCs w:val="20"/>
          <w:lang w:val="es-ES"/>
        </w:rPr>
        <w:t xml:space="preserve">, </w:t>
      </w:r>
      <w:r w:rsidR="003B707A" w:rsidRPr="002A0EF0">
        <w:rPr>
          <w:sz w:val="20"/>
          <w:szCs w:val="20"/>
          <w:lang w:val="es-ES"/>
        </w:rPr>
        <w:t>aduciéndose</w:t>
      </w:r>
      <w:r w:rsidR="00FB6AD2" w:rsidRPr="002A0EF0">
        <w:rPr>
          <w:sz w:val="20"/>
          <w:szCs w:val="20"/>
          <w:lang w:val="es-ES"/>
        </w:rPr>
        <w:t xml:space="preserve"> que </w:t>
      </w:r>
      <w:r w:rsidR="00421713" w:rsidRPr="002A0EF0">
        <w:rPr>
          <w:sz w:val="20"/>
          <w:szCs w:val="20"/>
          <w:lang w:val="es-ES"/>
        </w:rPr>
        <w:t xml:space="preserve">el caso en concreto </w:t>
      </w:r>
      <w:r w:rsidR="002462CD" w:rsidRPr="002A0EF0">
        <w:rPr>
          <w:sz w:val="20"/>
          <w:szCs w:val="20"/>
          <w:lang w:val="es-ES"/>
        </w:rPr>
        <w:t xml:space="preserve">tenía una analogía con dos </w:t>
      </w:r>
      <w:r w:rsidR="007E30B8" w:rsidRPr="002A0EF0">
        <w:rPr>
          <w:sz w:val="20"/>
          <w:szCs w:val="20"/>
          <w:lang w:val="es-ES"/>
        </w:rPr>
        <w:t xml:space="preserve">casos </w:t>
      </w:r>
      <w:r w:rsidR="002462CD" w:rsidRPr="002A0EF0">
        <w:rPr>
          <w:sz w:val="20"/>
          <w:szCs w:val="20"/>
          <w:lang w:val="es-ES"/>
        </w:rPr>
        <w:t>precedentes, tanto con el caso “</w:t>
      </w:r>
      <w:r w:rsidR="002462CD" w:rsidRPr="002A0EF0">
        <w:rPr>
          <w:i/>
          <w:sz w:val="20"/>
          <w:szCs w:val="20"/>
          <w:lang w:val="es-ES"/>
        </w:rPr>
        <w:t>Leston</w:t>
      </w:r>
      <w:r w:rsidR="002462CD" w:rsidRPr="002A0EF0">
        <w:rPr>
          <w:sz w:val="20"/>
          <w:szCs w:val="20"/>
          <w:lang w:val="es-ES"/>
        </w:rPr>
        <w:t>” como con el caso “</w:t>
      </w:r>
      <w:r w:rsidR="002462CD" w:rsidRPr="002A0EF0">
        <w:rPr>
          <w:i/>
          <w:sz w:val="20"/>
          <w:szCs w:val="20"/>
          <w:lang w:val="es-ES"/>
        </w:rPr>
        <w:t>Aragón</w:t>
      </w:r>
      <w:r w:rsidR="002462CD" w:rsidRPr="002A0EF0">
        <w:rPr>
          <w:sz w:val="20"/>
          <w:szCs w:val="20"/>
          <w:lang w:val="es-ES"/>
        </w:rPr>
        <w:t>”</w:t>
      </w:r>
      <w:r w:rsidR="00B85424">
        <w:rPr>
          <w:rStyle w:val="FootnoteReference"/>
          <w:sz w:val="20"/>
          <w:szCs w:val="20"/>
          <w:lang w:val="es-ES"/>
        </w:rPr>
        <w:footnoteReference w:id="9"/>
      </w:r>
      <w:r w:rsidR="002462CD" w:rsidRPr="002A0EF0">
        <w:rPr>
          <w:sz w:val="20"/>
          <w:szCs w:val="20"/>
          <w:lang w:val="es-ES"/>
        </w:rPr>
        <w:t xml:space="preserve">, en los cuales se estableció que la Policía Federal lleva a cabo misiones específicas, las cuales implican enfrentamientos armados, los cuales, a pesar de no constituir acciones bélicas, están relacionados con las funciones típicas de un Policía Federal. </w:t>
      </w:r>
    </w:p>
    <w:p w14:paraId="4C6B34AF" w14:textId="7B239F7E" w:rsidR="006D44BD" w:rsidRDefault="002A0EF0" w:rsidP="00A978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Además, los peticionarios</w:t>
      </w:r>
      <w:r w:rsidR="006065D2">
        <w:rPr>
          <w:rFonts w:ascii="Cambria" w:hAnsi="Cambria"/>
          <w:sz w:val="20"/>
          <w:szCs w:val="20"/>
          <w:lang w:val="es-ES"/>
        </w:rPr>
        <w:t xml:space="preserve"> sostienen que el caso “</w:t>
      </w:r>
      <w:r w:rsidR="006065D2" w:rsidRPr="006065D2">
        <w:rPr>
          <w:rFonts w:ascii="Cambria" w:hAnsi="Cambria"/>
          <w:i/>
          <w:sz w:val="20"/>
          <w:szCs w:val="20"/>
          <w:lang w:val="es-ES"/>
        </w:rPr>
        <w:t>Azzetti</w:t>
      </w:r>
      <w:r w:rsidR="006065D2">
        <w:rPr>
          <w:rFonts w:ascii="Cambria" w:hAnsi="Cambria"/>
          <w:i/>
          <w:sz w:val="20"/>
          <w:szCs w:val="20"/>
          <w:lang w:val="es-ES"/>
        </w:rPr>
        <w:t xml:space="preserve">” </w:t>
      </w:r>
      <w:r w:rsidR="00BE3030">
        <w:rPr>
          <w:rFonts w:ascii="Cambria" w:hAnsi="Cambria"/>
          <w:sz w:val="20"/>
          <w:szCs w:val="20"/>
          <w:lang w:val="es-ES"/>
        </w:rPr>
        <w:t>no concuerda</w:t>
      </w:r>
      <w:r w:rsidR="003D2E46">
        <w:rPr>
          <w:rFonts w:ascii="Cambria" w:hAnsi="Cambria"/>
          <w:sz w:val="20"/>
          <w:szCs w:val="20"/>
          <w:lang w:val="es-ES"/>
        </w:rPr>
        <w:t xml:space="preserve"> con otros precedentes en los que se confirió el derecho a la reparación en favor de agentes policiales lesionados por o en cumplimiento de sus funciones, con base en el derecho común. Aclaran que</w:t>
      </w:r>
      <w:r w:rsidR="00844CA2">
        <w:rPr>
          <w:rFonts w:ascii="Cambria" w:hAnsi="Cambria"/>
          <w:sz w:val="20"/>
          <w:szCs w:val="20"/>
          <w:lang w:val="es-ES"/>
        </w:rPr>
        <w:t xml:space="preserve"> en amparo de la Ley </w:t>
      </w:r>
      <w:r>
        <w:rPr>
          <w:rFonts w:ascii="Cambria" w:hAnsi="Cambria"/>
          <w:sz w:val="20"/>
          <w:szCs w:val="20"/>
          <w:lang w:val="es-ES"/>
        </w:rPr>
        <w:t>N°</w:t>
      </w:r>
      <w:r w:rsidR="00844CA2">
        <w:rPr>
          <w:rFonts w:ascii="Cambria" w:hAnsi="Cambria"/>
          <w:sz w:val="20"/>
          <w:szCs w:val="20"/>
          <w:lang w:val="es-ES"/>
        </w:rPr>
        <w:t>21.965 y</w:t>
      </w:r>
      <w:r w:rsidR="003D2E46">
        <w:rPr>
          <w:rFonts w:ascii="Cambria" w:hAnsi="Cambria"/>
          <w:sz w:val="20"/>
          <w:szCs w:val="20"/>
          <w:lang w:val="es-ES"/>
        </w:rPr>
        <w:t xml:space="preserve"> </w:t>
      </w:r>
      <w:r w:rsidR="00BE3030">
        <w:rPr>
          <w:rFonts w:ascii="Cambria" w:hAnsi="Cambria"/>
          <w:sz w:val="20"/>
          <w:szCs w:val="20"/>
          <w:lang w:val="es-ES"/>
        </w:rPr>
        <w:t xml:space="preserve">el Decreto </w:t>
      </w:r>
      <w:r>
        <w:rPr>
          <w:rFonts w:ascii="Cambria" w:hAnsi="Cambria"/>
          <w:sz w:val="20"/>
          <w:szCs w:val="20"/>
          <w:lang w:val="es-ES"/>
        </w:rPr>
        <w:t>N°</w:t>
      </w:r>
      <w:r w:rsidR="00BE3030">
        <w:rPr>
          <w:rFonts w:ascii="Cambria" w:hAnsi="Cambria"/>
          <w:sz w:val="20"/>
          <w:szCs w:val="20"/>
          <w:lang w:val="es-ES"/>
        </w:rPr>
        <w:t>1866/83, se estableció</w:t>
      </w:r>
      <w:r w:rsidR="003D2E46">
        <w:rPr>
          <w:rFonts w:ascii="Cambria" w:hAnsi="Cambria"/>
          <w:sz w:val="20"/>
          <w:szCs w:val="20"/>
          <w:lang w:val="es-ES"/>
        </w:rPr>
        <w:t xml:space="preserve"> un régimen disciplinario, de promociones y ascensos, siendo este un régimen diferenciado del común</w:t>
      </w:r>
      <w:r w:rsidR="00955255">
        <w:rPr>
          <w:rFonts w:ascii="Cambria" w:hAnsi="Cambria"/>
          <w:sz w:val="20"/>
          <w:szCs w:val="20"/>
          <w:lang w:val="es-ES"/>
        </w:rPr>
        <w:t xml:space="preserve">, </w:t>
      </w:r>
      <w:r w:rsidR="002C4872">
        <w:rPr>
          <w:rFonts w:ascii="Cambria" w:hAnsi="Cambria"/>
          <w:sz w:val="20"/>
          <w:szCs w:val="20"/>
          <w:lang w:val="es-ES"/>
        </w:rPr>
        <w:t>estableciéndose que</w:t>
      </w:r>
      <w:r w:rsidR="0050334C">
        <w:rPr>
          <w:rFonts w:ascii="Cambria" w:hAnsi="Cambria"/>
          <w:sz w:val="20"/>
          <w:szCs w:val="20"/>
          <w:lang w:val="es-ES"/>
        </w:rPr>
        <w:t xml:space="preserve"> en los casos </w:t>
      </w:r>
      <w:r w:rsidR="002C4872">
        <w:rPr>
          <w:rFonts w:ascii="Cambria" w:hAnsi="Cambria"/>
          <w:sz w:val="20"/>
          <w:szCs w:val="20"/>
          <w:lang w:val="es-ES"/>
        </w:rPr>
        <w:t xml:space="preserve">en </w:t>
      </w:r>
      <w:r w:rsidR="0050334C">
        <w:rPr>
          <w:rFonts w:ascii="Cambria" w:hAnsi="Cambria"/>
          <w:sz w:val="20"/>
          <w:szCs w:val="20"/>
          <w:lang w:val="es-ES"/>
        </w:rPr>
        <w:t>que los agentes policiales se enfrentasen con delincuentes y resulten incapacitados o fallecidos, serían beneficiarios de una retribución de carácter especial, lo que significaba una indemnización por el acto de arrojo.</w:t>
      </w:r>
      <w:r w:rsidR="00471A1F">
        <w:rPr>
          <w:rFonts w:ascii="Cambria" w:hAnsi="Cambria"/>
          <w:sz w:val="20"/>
          <w:szCs w:val="20"/>
          <w:lang w:val="es-ES"/>
        </w:rPr>
        <w:t xml:space="preserve"> Explayan que al no recibir una indemnización por parte del Estado, se produjo una falta al ingreso de </w:t>
      </w:r>
      <w:r w:rsidR="002C4872">
        <w:rPr>
          <w:rFonts w:ascii="Cambria" w:hAnsi="Cambria"/>
          <w:sz w:val="20"/>
          <w:szCs w:val="20"/>
          <w:lang w:val="es-ES"/>
        </w:rPr>
        <w:t>la</w:t>
      </w:r>
      <w:r w:rsidR="00471A1F">
        <w:rPr>
          <w:rFonts w:ascii="Cambria" w:hAnsi="Cambria"/>
          <w:sz w:val="20"/>
          <w:szCs w:val="20"/>
          <w:lang w:val="es-ES"/>
        </w:rPr>
        <w:t xml:space="preserve"> familia</w:t>
      </w:r>
      <w:r w:rsidR="002C4872">
        <w:rPr>
          <w:rFonts w:ascii="Cambria" w:hAnsi="Cambria"/>
          <w:sz w:val="20"/>
          <w:szCs w:val="20"/>
          <w:lang w:val="es-ES"/>
        </w:rPr>
        <w:t xml:space="preserve"> de la presunta víctima</w:t>
      </w:r>
      <w:r w:rsidR="00471A1F">
        <w:rPr>
          <w:rFonts w:ascii="Cambria" w:hAnsi="Cambria"/>
          <w:sz w:val="20"/>
          <w:szCs w:val="20"/>
          <w:lang w:val="es-ES"/>
        </w:rPr>
        <w:t>, ya que el beneficio previsional no cubría las necesidades primarias de una familia tipo</w:t>
      </w:r>
      <w:r w:rsidR="00944CE0">
        <w:rPr>
          <w:rFonts w:ascii="Cambria" w:hAnsi="Cambria"/>
          <w:sz w:val="20"/>
          <w:szCs w:val="20"/>
          <w:lang w:val="es-ES"/>
        </w:rPr>
        <w:t>.</w:t>
      </w:r>
      <w:r w:rsidR="0050334C">
        <w:rPr>
          <w:rFonts w:ascii="Cambria" w:hAnsi="Cambria"/>
          <w:sz w:val="20"/>
          <w:szCs w:val="20"/>
          <w:lang w:val="es-ES"/>
        </w:rPr>
        <w:t xml:space="preserve"> </w:t>
      </w:r>
      <w:r w:rsidR="000F45E6">
        <w:rPr>
          <w:rFonts w:ascii="Cambria" w:hAnsi="Cambria"/>
          <w:sz w:val="20"/>
          <w:szCs w:val="20"/>
          <w:lang w:val="es-ES"/>
        </w:rPr>
        <w:t>Asimismo</w:t>
      </w:r>
      <w:r w:rsidR="00944CE0">
        <w:rPr>
          <w:rFonts w:ascii="Cambria" w:hAnsi="Cambria"/>
          <w:sz w:val="20"/>
          <w:szCs w:val="20"/>
          <w:lang w:val="es-ES"/>
        </w:rPr>
        <w:t xml:space="preserve">, </w:t>
      </w:r>
      <w:r w:rsidR="00165BEA">
        <w:rPr>
          <w:rFonts w:ascii="Cambria" w:hAnsi="Cambria"/>
          <w:sz w:val="20"/>
          <w:szCs w:val="20"/>
          <w:lang w:val="es-ES"/>
        </w:rPr>
        <w:t xml:space="preserve">la presunta víctima falleció en fecha 10 de julio de 2009, de lo cual acusan que ocurrió en razón de la desprotección que tuvo la presunta víctima por parte del Estado. </w:t>
      </w:r>
      <w:r w:rsidR="006939CD">
        <w:rPr>
          <w:rFonts w:ascii="Cambria" w:hAnsi="Cambria"/>
          <w:sz w:val="20"/>
          <w:szCs w:val="20"/>
          <w:lang w:val="es-ES"/>
        </w:rPr>
        <w:t>Consideran que la actuación de la Corte Suprema de Justicia es contraria</w:t>
      </w:r>
      <w:r w:rsidR="003D0246">
        <w:rPr>
          <w:rFonts w:ascii="Cambria" w:hAnsi="Cambria"/>
          <w:sz w:val="20"/>
          <w:szCs w:val="20"/>
          <w:lang w:val="es-ES"/>
        </w:rPr>
        <w:t xml:space="preserve"> y arbitraria, lo cual constituye una violación a los derechos de igualdad ante la ley de la presunta víctima. </w:t>
      </w:r>
    </w:p>
    <w:p w14:paraId="509E7CD8" w14:textId="329FADF4" w:rsidR="003D0246" w:rsidRDefault="00941383" w:rsidP="00A978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Por su</w:t>
      </w:r>
      <w:r w:rsidR="006A450A">
        <w:rPr>
          <w:rFonts w:ascii="Cambria" w:hAnsi="Cambria"/>
          <w:sz w:val="20"/>
          <w:szCs w:val="20"/>
          <w:lang w:val="es-ES"/>
        </w:rPr>
        <w:t xml:space="preserve"> parte, el Estado </w:t>
      </w:r>
      <w:r w:rsidR="00EB1BDC">
        <w:rPr>
          <w:rFonts w:ascii="Cambria" w:hAnsi="Cambria"/>
          <w:sz w:val="20"/>
          <w:szCs w:val="20"/>
          <w:lang w:val="es-ES"/>
        </w:rPr>
        <w:t>asevera</w:t>
      </w:r>
      <w:r w:rsidR="006A450A">
        <w:rPr>
          <w:rFonts w:ascii="Cambria" w:hAnsi="Cambria"/>
          <w:sz w:val="20"/>
          <w:szCs w:val="20"/>
          <w:lang w:val="es-ES"/>
        </w:rPr>
        <w:t xml:space="preserve"> que los casos</w:t>
      </w:r>
      <w:r w:rsidR="004B70D7">
        <w:rPr>
          <w:rFonts w:ascii="Cambria" w:hAnsi="Cambria"/>
          <w:sz w:val="20"/>
          <w:szCs w:val="20"/>
          <w:lang w:val="es-ES"/>
        </w:rPr>
        <w:t xml:space="preserve"> alegados por la presunta víctima, </w:t>
      </w:r>
      <w:r w:rsidR="006A450A">
        <w:rPr>
          <w:rFonts w:ascii="Cambria" w:hAnsi="Cambria"/>
          <w:sz w:val="20"/>
          <w:szCs w:val="20"/>
          <w:lang w:val="es-ES"/>
        </w:rPr>
        <w:t xml:space="preserve">en los cuales correspondió la indemnización requerida, </w:t>
      </w:r>
      <w:r w:rsidR="004B70D7">
        <w:rPr>
          <w:rFonts w:ascii="Cambria" w:hAnsi="Cambria"/>
          <w:sz w:val="20"/>
          <w:szCs w:val="20"/>
          <w:lang w:val="es-ES"/>
        </w:rPr>
        <w:t>fueron resueltos tal cual en razón de que éstos tenían por objeto hecho</w:t>
      </w:r>
      <w:r w:rsidR="00BE3030">
        <w:rPr>
          <w:rFonts w:ascii="Cambria" w:hAnsi="Cambria"/>
          <w:sz w:val="20"/>
          <w:szCs w:val="20"/>
          <w:lang w:val="es-ES"/>
        </w:rPr>
        <w:t>s</w:t>
      </w:r>
      <w:r w:rsidR="004B70D7">
        <w:rPr>
          <w:rFonts w:ascii="Cambria" w:hAnsi="Cambria"/>
          <w:sz w:val="20"/>
          <w:szCs w:val="20"/>
          <w:lang w:val="es-ES"/>
        </w:rPr>
        <w:t xml:space="preserve"> accidentales sufridos por agentes policiales, los cuales ocurrieron en o por razón de sus funciones.</w:t>
      </w:r>
      <w:r w:rsidR="00C13218">
        <w:rPr>
          <w:rFonts w:ascii="Cambria" w:hAnsi="Cambria"/>
          <w:sz w:val="20"/>
          <w:szCs w:val="20"/>
          <w:lang w:val="es-ES"/>
        </w:rPr>
        <w:t xml:space="preserve"> Sostiene que ese desacuerdo no constituye una viola</w:t>
      </w:r>
      <w:r w:rsidR="00EB1BDC">
        <w:rPr>
          <w:rFonts w:ascii="Cambria" w:hAnsi="Cambria"/>
          <w:sz w:val="20"/>
          <w:szCs w:val="20"/>
          <w:lang w:val="es-ES"/>
        </w:rPr>
        <w:t xml:space="preserve">ción a la Convención Americana, ya que </w:t>
      </w:r>
      <w:r w:rsidR="000E32CD">
        <w:rPr>
          <w:rFonts w:ascii="Cambria" w:hAnsi="Cambria"/>
          <w:sz w:val="20"/>
          <w:szCs w:val="20"/>
          <w:lang w:val="es-ES"/>
        </w:rPr>
        <w:t xml:space="preserve">la </w:t>
      </w:r>
      <w:r w:rsidR="00021613">
        <w:rPr>
          <w:rFonts w:ascii="Cambria" w:hAnsi="Cambria"/>
          <w:sz w:val="20"/>
          <w:szCs w:val="20"/>
          <w:lang w:val="es-ES"/>
        </w:rPr>
        <w:t xml:space="preserve">normativa interna reconoce al personal de las fuerzas de seguridad de la Nación incapacitado en acto de servicio, el grado inmediato superior para el caso de que deba acogerse o se haya acogido a un haber de retiro, el cual implica </w:t>
      </w:r>
      <w:r w:rsidR="00021613">
        <w:rPr>
          <w:rFonts w:ascii="Cambria" w:hAnsi="Cambria"/>
          <w:sz w:val="20"/>
          <w:szCs w:val="20"/>
          <w:lang w:val="es-ES"/>
        </w:rPr>
        <w:lastRenderedPageBreak/>
        <w:t xml:space="preserve">todas las obligaciones y derechos de la pasividad, correspondiendo computar el sueldo y la totalidad de los suplementos y bonificaciones de esa jerarquía, para su haber de retiro. </w:t>
      </w:r>
      <w:r w:rsidR="004B70D7">
        <w:rPr>
          <w:rFonts w:ascii="Cambria" w:hAnsi="Cambria"/>
          <w:sz w:val="20"/>
          <w:szCs w:val="20"/>
          <w:lang w:val="es-ES"/>
        </w:rPr>
        <w:t>Además, a</w:t>
      </w:r>
      <w:r w:rsidR="00C13218">
        <w:rPr>
          <w:rFonts w:ascii="Cambria" w:hAnsi="Cambria"/>
          <w:sz w:val="20"/>
          <w:szCs w:val="20"/>
          <w:lang w:val="es-ES"/>
        </w:rPr>
        <w:t>grega</w:t>
      </w:r>
      <w:r w:rsidR="004B70D7">
        <w:rPr>
          <w:rFonts w:ascii="Cambria" w:hAnsi="Cambria"/>
          <w:sz w:val="20"/>
          <w:szCs w:val="20"/>
          <w:lang w:val="es-ES"/>
        </w:rPr>
        <w:t xml:space="preserve"> que </w:t>
      </w:r>
      <w:r w:rsidR="00021613">
        <w:rPr>
          <w:rFonts w:ascii="Cambria" w:hAnsi="Cambria"/>
          <w:sz w:val="20"/>
          <w:szCs w:val="20"/>
          <w:lang w:val="es-ES"/>
        </w:rPr>
        <w:t>la Ley N°20.774</w:t>
      </w:r>
      <w:r w:rsidR="00175929">
        <w:rPr>
          <w:rStyle w:val="FootnoteReference"/>
          <w:rFonts w:ascii="Cambria" w:hAnsi="Cambria"/>
          <w:sz w:val="20"/>
          <w:szCs w:val="20"/>
          <w:lang w:val="es-ES"/>
        </w:rPr>
        <w:footnoteReference w:id="10"/>
      </w:r>
      <w:r w:rsidR="00021613">
        <w:rPr>
          <w:rFonts w:ascii="Cambria" w:hAnsi="Cambria"/>
          <w:sz w:val="20"/>
          <w:szCs w:val="20"/>
          <w:lang w:val="es-ES"/>
        </w:rPr>
        <w:t xml:space="preserve"> prevé la promoción a dos grados jerárquicos más, en situación de retiro, al personal </w:t>
      </w:r>
      <w:r w:rsidR="00D26724">
        <w:rPr>
          <w:rFonts w:ascii="Cambria" w:hAnsi="Cambria"/>
          <w:sz w:val="20"/>
          <w:szCs w:val="20"/>
          <w:lang w:val="es-ES"/>
        </w:rPr>
        <w:t xml:space="preserve"> de las fuerzas de seguridad incapacitado en forma permanente, total o parcialmente, en y por acto de servicio, en el caso que deba acogerse a su haber de retiro; en virtud de ello, </w:t>
      </w:r>
      <w:r w:rsidR="004B70D7">
        <w:rPr>
          <w:rFonts w:ascii="Cambria" w:hAnsi="Cambria"/>
          <w:sz w:val="20"/>
          <w:szCs w:val="20"/>
          <w:lang w:val="es-ES"/>
        </w:rPr>
        <w:t xml:space="preserve">la presunta víctima </w:t>
      </w:r>
      <w:r w:rsidR="00D26724">
        <w:rPr>
          <w:rFonts w:ascii="Cambria" w:hAnsi="Cambria"/>
          <w:sz w:val="20"/>
          <w:szCs w:val="20"/>
          <w:lang w:val="es-ES"/>
        </w:rPr>
        <w:t xml:space="preserve">pasó a retiro consintiendo el grado de incapacidad determinado y obteniendo el haber correspondiente al grado de Suboficial Mayor. De igual forma, expone que la presunta víctima </w:t>
      </w:r>
      <w:r w:rsidR="004B70D7">
        <w:rPr>
          <w:rFonts w:ascii="Cambria" w:hAnsi="Cambria"/>
          <w:sz w:val="20"/>
          <w:szCs w:val="20"/>
          <w:lang w:val="es-ES"/>
        </w:rPr>
        <w:t>gozó y goza del derecho de mantener la obra social policial para sí y para su familia, entre cuyos beneficios se incluye la asistencia médica integral, compensaciones y reintegros por gastos extraordinarios, asistencia médica y odontológica, así como asistencia a ancianos y a incapacitados</w:t>
      </w:r>
      <w:r w:rsidR="00C13218">
        <w:rPr>
          <w:rFonts w:ascii="Cambria" w:hAnsi="Cambria"/>
          <w:sz w:val="20"/>
          <w:szCs w:val="20"/>
          <w:lang w:val="es-ES"/>
        </w:rPr>
        <w:t>, descuentos farmacéuticos, servicios de vivienda, administración de inmueble y construcción, créditos hipotecarios, entre otros.</w:t>
      </w:r>
      <w:r w:rsidR="004B70D7">
        <w:rPr>
          <w:rFonts w:ascii="Cambria" w:hAnsi="Cambria"/>
          <w:sz w:val="20"/>
          <w:szCs w:val="20"/>
          <w:lang w:val="es-ES"/>
        </w:rPr>
        <w:t xml:space="preserve">  </w:t>
      </w:r>
      <w:r w:rsidR="00D00EE4">
        <w:rPr>
          <w:rFonts w:ascii="Cambria" w:hAnsi="Cambria"/>
          <w:sz w:val="20"/>
          <w:szCs w:val="20"/>
          <w:lang w:val="es-ES"/>
        </w:rPr>
        <w:t>En mismo sentido, reclama que la petición se basa en un desacuerdo por parte de la presunta víctima sobre las decisiones adoptadas por las autoridades judiciales, las cuales fueron contrarias a sus intereses. Finalmente, a</w:t>
      </w:r>
      <w:r w:rsidR="006A450A">
        <w:rPr>
          <w:rFonts w:ascii="Cambria" w:hAnsi="Cambria"/>
          <w:sz w:val="20"/>
          <w:szCs w:val="20"/>
          <w:lang w:val="es-ES"/>
        </w:rPr>
        <w:t>duce que la Comisión, de pronunciarse sobre la presente petición, violaría la doctrina de la “cuarta instancia”.</w:t>
      </w:r>
      <w:r w:rsidR="002025FE">
        <w:rPr>
          <w:rFonts w:ascii="Cambria" w:hAnsi="Cambria"/>
          <w:sz w:val="20"/>
          <w:szCs w:val="20"/>
          <w:lang w:val="es-ES"/>
        </w:rPr>
        <w:t xml:space="preserve"> En consecuencia, el Estado solicita se declare inadmisible la petición de conformidad con el artículo 47.b de la Convención. </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48900B27" w14:textId="017600C2" w:rsidR="005F5B08" w:rsidRDefault="00167947" w:rsidP="005F5B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Cambria" w:hAnsi="Cambria"/>
          <w:sz w:val="20"/>
          <w:szCs w:val="20"/>
          <w:lang w:val="es-ES"/>
        </w:rPr>
        <w:t xml:space="preserve">Sobre este punto, cabe resaltar que </w:t>
      </w:r>
      <w:r w:rsidR="00D949CD" w:rsidRPr="00490E90">
        <w:rPr>
          <w:rFonts w:ascii="Cambria" w:hAnsi="Cambria"/>
          <w:sz w:val="20"/>
          <w:szCs w:val="20"/>
          <w:lang w:val="es-ES"/>
        </w:rPr>
        <w:t xml:space="preserve">en agosto de 2001, la presunta víctima interpuso una acción de indemnización por daños y perjuicios contra el Estado ante el Juzgado Nacional en lo Civil y Comercial Federal, el cual falló parcialmente a su favor. No obstante, tanto el Estado como la presunta víctima apelaron dicha resolución ante la Cámara Nacional de Apelaciones en lo Civil y lo Comercial, teniendo ello como resultado la revocación de la primera sentencia y el rechazo de la demanda inicial. Debido a lo anterior, </w:t>
      </w:r>
      <w:r w:rsidR="00F75B92" w:rsidRPr="00490E90">
        <w:rPr>
          <w:rFonts w:ascii="Cambria" w:hAnsi="Cambria"/>
          <w:sz w:val="20"/>
          <w:szCs w:val="20"/>
          <w:lang w:val="es-ES"/>
        </w:rPr>
        <w:t xml:space="preserve">la presunta víctima interpuso un recurso extraordinario federal ante la Corte Suprema de Justicia de la Nación, </w:t>
      </w:r>
      <w:r w:rsidR="00776119" w:rsidRPr="00490E90">
        <w:rPr>
          <w:rFonts w:ascii="Cambria" w:hAnsi="Cambria"/>
          <w:sz w:val="20"/>
          <w:szCs w:val="20"/>
          <w:lang w:val="es-ES"/>
        </w:rPr>
        <w:t>el cual fue</w:t>
      </w:r>
      <w:r w:rsidR="00F75B92" w:rsidRPr="00490E90">
        <w:rPr>
          <w:rFonts w:ascii="Cambria" w:hAnsi="Cambria"/>
          <w:sz w:val="20"/>
          <w:szCs w:val="20"/>
          <w:lang w:val="es-ES"/>
        </w:rPr>
        <w:t xml:space="preserve"> rechaz</w:t>
      </w:r>
      <w:r w:rsidR="00B85424">
        <w:rPr>
          <w:rFonts w:ascii="Cambria" w:hAnsi="Cambria"/>
          <w:sz w:val="20"/>
          <w:szCs w:val="20"/>
          <w:lang w:val="es-ES"/>
        </w:rPr>
        <w:t xml:space="preserve">ado por este Tribunal, </w:t>
      </w:r>
      <w:r w:rsidR="00B85424" w:rsidRPr="00B85424">
        <w:rPr>
          <w:rFonts w:ascii="Cambria" w:hAnsi="Cambria"/>
          <w:sz w:val="20"/>
          <w:szCs w:val="20"/>
          <w:lang w:val="es-ES"/>
        </w:rPr>
        <w:t>el 5 de mayo de 2009.</w:t>
      </w:r>
      <w:r w:rsidR="005F5B08">
        <w:rPr>
          <w:rFonts w:ascii="Cambria" w:hAnsi="Cambria"/>
          <w:sz w:val="20"/>
          <w:szCs w:val="20"/>
          <w:lang w:val="es-ES"/>
        </w:rPr>
        <w:t xml:space="preserve"> L</w:t>
      </w:r>
      <w:r w:rsidR="002B2DC3" w:rsidRPr="00490E90">
        <w:rPr>
          <w:rFonts w:ascii="Cambria" w:hAnsi="Cambria"/>
          <w:sz w:val="20"/>
          <w:szCs w:val="20"/>
          <w:lang w:val="es-ES"/>
        </w:rPr>
        <w:t>a Comisión considera</w:t>
      </w:r>
      <w:r w:rsidR="00871A5F" w:rsidRPr="00490E90">
        <w:rPr>
          <w:rFonts w:ascii="Cambria" w:hAnsi="Cambria"/>
          <w:sz w:val="20"/>
          <w:szCs w:val="20"/>
          <w:lang w:val="es-ES"/>
        </w:rPr>
        <w:t xml:space="preserve"> que</w:t>
      </w:r>
      <w:r w:rsidR="002B2DC3" w:rsidRPr="00490E90">
        <w:rPr>
          <w:rFonts w:ascii="Cambria" w:hAnsi="Cambria"/>
          <w:sz w:val="20"/>
          <w:szCs w:val="20"/>
          <w:lang w:val="es-ES"/>
        </w:rPr>
        <w:t>, a fin de decidir sobre la ad</w:t>
      </w:r>
      <w:r w:rsidR="00871A5F" w:rsidRPr="00490E90">
        <w:rPr>
          <w:rFonts w:ascii="Cambria" w:hAnsi="Cambria"/>
          <w:sz w:val="20"/>
          <w:szCs w:val="20"/>
          <w:lang w:val="es-ES"/>
        </w:rPr>
        <w:t xml:space="preserve">misibilidad de la petición, </w:t>
      </w:r>
      <w:r w:rsidR="002B2DC3" w:rsidRPr="00490E90">
        <w:rPr>
          <w:rFonts w:ascii="Cambria" w:hAnsi="Cambria"/>
          <w:sz w:val="20"/>
          <w:szCs w:val="20"/>
          <w:lang w:val="es-ES"/>
        </w:rPr>
        <w:t>la presunta víctima ha agotado los recursos internos disponibles en la jurisdicción argentina, por lo que la presente petición cumple con el requisito establecido en el numeral 46.1</w:t>
      </w:r>
      <w:r w:rsidR="001F6EA9" w:rsidRPr="00490E90">
        <w:rPr>
          <w:rFonts w:ascii="Cambria" w:hAnsi="Cambria"/>
          <w:sz w:val="20"/>
          <w:szCs w:val="20"/>
          <w:lang w:val="es-ES"/>
        </w:rPr>
        <w:t>.a</w:t>
      </w:r>
      <w:r w:rsidR="002B2DC3" w:rsidRPr="00490E90">
        <w:rPr>
          <w:rFonts w:ascii="Cambria" w:hAnsi="Cambria"/>
          <w:sz w:val="20"/>
          <w:szCs w:val="20"/>
          <w:lang w:val="es-ES"/>
        </w:rPr>
        <w:t xml:space="preserve"> de la Convenci</w:t>
      </w:r>
      <w:r w:rsidR="00B41244" w:rsidRPr="00490E90">
        <w:rPr>
          <w:rFonts w:ascii="Cambria" w:hAnsi="Cambria"/>
          <w:sz w:val="20"/>
          <w:szCs w:val="20"/>
          <w:lang w:val="es-ES"/>
        </w:rPr>
        <w:t>ón Americ</w:t>
      </w:r>
      <w:r w:rsidR="002B2DC3" w:rsidRPr="00490E90">
        <w:rPr>
          <w:rFonts w:ascii="Cambria" w:hAnsi="Cambria"/>
          <w:sz w:val="20"/>
          <w:szCs w:val="20"/>
          <w:lang w:val="es-ES"/>
        </w:rPr>
        <w:t>ana.</w:t>
      </w:r>
    </w:p>
    <w:p w14:paraId="082D7B43" w14:textId="60E54F33" w:rsidR="008C5751" w:rsidRPr="00490E90" w:rsidRDefault="00B41244" w:rsidP="005F5B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Cambria" w:hAnsi="Cambria"/>
          <w:sz w:val="20"/>
          <w:szCs w:val="20"/>
          <w:lang w:val="es-ES"/>
        </w:rPr>
        <w:t>Sobre el plazo de presentación</w:t>
      </w:r>
      <w:r w:rsidR="001F6EA9" w:rsidRPr="00490E90">
        <w:rPr>
          <w:rFonts w:ascii="Cambria" w:hAnsi="Cambria"/>
          <w:sz w:val="20"/>
          <w:szCs w:val="20"/>
          <w:lang w:val="es-ES"/>
        </w:rPr>
        <w:t xml:space="preserve">, esta Comisión </w:t>
      </w:r>
      <w:r w:rsidR="006E3412">
        <w:rPr>
          <w:rFonts w:ascii="Cambria" w:hAnsi="Cambria"/>
          <w:sz w:val="20"/>
          <w:szCs w:val="20"/>
          <w:lang w:val="es-ES"/>
        </w:rPr>
        <w:t xml:space="preserve">observa que </w:t>
      </w:r>
      <w:r w:rsidR="001F6EA9" w:rsidRPr="00490E90">
        <w:rPr>
          <w:rFonts w:ascii="Cambria" w:hAnsi="Cambria"/>
          <w:sz w:val="20"/>
          <w:szCs w:val="20"/>
          <w:lang w:val="es-ES"/>
        </w:rPr>
        <w:t xml:space="preserve">la decisión que agotó los recursos internos </w:t>
      </w:r>
      <w:r w:rsidR="006E3412">
        <w:rPr>
          <w:rFonts w:ascii="Cambria" w:hAnsi="Cambria"/>
          <w:sz w:val="20"/>
          <w:szCs w:val="20"/>
          <w:lang w:val="es-ES"/>
        </w:rPr>
        <w:t>en</w:t>
      </w:r>
      <w:r w:rsidR="001F6EA9" w:rsidRPr="00490E90">
        <w:rPr>
          <w:rFonts w:ascii="Cambria" w:hAnsi="Cambria"/>
          <w:sz w:val="20"/>
          <w:szCs w:val="20"/>
          <w:lang w:val="es-ES"/>
        </w:rPr>
        <w:t xml:space="preserve"> la jurisdicción argentina</w:t>
      </w:r>
      <w:r w:rsidR="006E3412" w:rsidRPr="006E3412">
        <w:rPr>
          <w:rFonts w:ascii="Cambria" w:hAnsi="Cambria"/>
          <w:sz w:val="20"/>
          <w:szCs w:val="20"/>
          <w:lang w:val="es-ES"/>
        </w:rPr>
        <w:t xml:space="preserve"> </w:t>
      </w:r>
      <w:r w:rsidR="006E3412" w:rsidRPr="00490E90">
        <w:rPr>
          <w:rFonts w:ascii="Cambria" w:hAnsi="Cambria"/>
          <w:sz w:val="20"/>
          <w:szCs w:val="20"/>
          <w:lang w:val="es-ES"/>
        </w:rPr>
        <w:t>fue notificada</w:t>
      </w:r>
      <w:r w:rsidR="001F6EA9" w:rsidRPr="00490E90">
        <w:rPr>
          <w:rFonts w:ascii="Cambria" w:hAnsi="Cambria"/>
          <w:sz w:val="20"/>
          <w:szCs w:val="20"/>
          <w:lang w:val="es-ES"/>
        </w:rPr>
        <w:t xml:space="preserve"> el</w:t>
      </w:r>
      <w:r w:rsidR="001F6EA9" w:rsidRPr="00490E90">
        <w:rPr>
          <w:rFonts w:ascii="Cambria" w:hAnsi="Cambria"/>
          <w:bCs/>
          <w:sz w:val="20"/>
          <w:szCs w:val="20"/>
          <w:lang w:val="es-ES"/>
        </w:rPr>
        <w:t xml:space="preserve"> 5 de mayo de 2009 y su petición ante esta Comisión fue recibida en fecha </w:t>
      </w:r>
      <w:r w:rsidR="001F6EA9" w:rsidRPr="00490E90">
        <w:rPr>
          <w:rFonts w:ascii="Cambria" w:hAnsi="Cambria"/>
          <w:bCs/>
          <w:sz w:val="20"/>
          <w:szCs w:val="20"/>
          <w:lang w:val="es-CO"/>
        </w:rPr>
        <w:t xml:space="preserve">24 de agosto de 2009. En mérito de lo expuesto, la petición cumple con el requisito previsto en el artículo 46.1.b de la Convención. </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799F49F" w14:textId="0E16396C" w:rsidR="000F45E6" w:rsidRPr="00490E90" w:rsidRDefault="00D305D2" w:rsidP="00C305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64C3D">
        <w:rPr>
          <w:rFonts w:ascii="Cambria" w:hAnsi="Cambria"/>
          <w:sz w:val="20"/>
          <w:szCs w:val="20"/>
          <w:lang w:val="es-ES"/>
        </w:rPr>
        <w:t xml:space="preserve">La Comisión observa que la presente petición incluye alegaciones con respecto a </w:t>
      </w:r>
      <w:r>
        <w:rPr>
          <w:rFonts w:ascii="Cambria" w:hAnsi="Cambria"/>
          <w:sz w:val="20"/>
          <w:szCs w:val="20"/>
          <w:lang w:val="es-ES"/>
        </w:rPr>
        <w:t xml:space="preserve">la </w:t>
      </w:r>
      <w:r w:rsidRPr="00490E90">
        <w:rPr>
          <w:rFonts w:ascii="Cambria" w:hAnsi="Cambria"/>
          <w:sz w:val="20"/>
          <w:szCs w:val="20"/>
          <w:lang w:val="es-ES"/>
        </w:rPr>
        <w:t xml:space="preserve">violación al principio de igualdad ante la ley, sufrida por la presunta víctima, siendo este miembro de la Policía Federal, así como </w:t>
      </w:r>
      <w:r w:rsidR="00C305F3">
        <w:rPr>
          <w:rFonts w:ascii="Cambria" w:hAnsi="Cambria"/>
          <w:sz w:val="20"/>
          <w:szCs w:val="20"/>
          <w:lang w:val="es-ES"/>
        </w:rPr>
        <w:t xml:space="preserve">a </w:t>
      </w:r>
      <w:r w:rsidRPr="00490E90">
        <w:rPr>
          <w:rFonts w:ascii="Cambria" w:hAnsi="Cambria"/>
          <w:sz w:val="20"/>
          <w:szCs w:val="20"/>
          <w:lang w:val="es-ES"/>
        </w:rPr>
        <w:t>la violación de su</w:t>
      </w:r>
      <w:r w:rsidR="00C305F3">
        <w:rPr>
          <w:rFonts w:ascii="Cambria" w:hAnsi="Cambria"/>
          <w:sz w:val="20"/>
          <w:szCs w:val="20"/>
          <w:lang w:val="es-ES"/>
        </w:rPr>
        <w:t>s</w:t>
      </w:r>
      <w:r w:rsidRPr="00490E90">
        <w:rPr>
          <w:rFonts w:ascii="Cambria" w:hAnsi="Cambria"/>
          <w:sz w:val="20"/>
          <w:szCs w:val="20"/>
          <w:lang w:val="es-ES"/>
        </w:rPr>
        <w:t xml:space="preserve"> derechos al debido proceso y a las garantías judiciales </w:t>
      </w:r>
      <w:r w:rsidR="00F826C6" w:rsidRPr="00701113">
        <w:rPr>
          <w:rFonts w:asciiTheme="majorHAnsi" w:hAnsiTheme="majorHAnsi"/>
          <w:sz w:val="20"/>
          <w:szCs w:val="20"/>
          <w:lang w:val="es-MX"/>
        </w:rPr>
        <w:t>por haber sido presuntamente impedidos de acceder al sistema indemnizatorio del derecho común</w:t>
      </w:r>
      <w:r w:rsidR="00F826C6">
        <w:rPr>
          <w:rStyle w:val="FootnoteReference"/>
          <w:rFonts w:asciiTheme="majorHAnsi" w:hAnsiTheme="majorHAnsi"/>
          <w:sz w:val="20"/>
          <w:szCs w:val="20"/>
          <w:lang w:val="es-MX"/>
        </w:rPr>
        <w:footnoteReference w:id="11"/>
      </w:r>
      <w:r w:rsidR="00C305F3">
        <w:rPr>
          <w:rFonts w:ascii="Cambria" w:hAnsi="Cambria"/>
          <w:sz w:val="20"/>
          <w:szCs w:val="20"/>
          <w:lang w:val="es-ES"/>
        </w:rPr>
        <w:t xml:space="preserve">. </w:t>
      </w:r>
      <w:r w:rsidR="00C305F3" w:rsidRPr="00E64C3D">
        <w:rPr>
          <w:rFonts w:ascii="Cambria" w:hAnsi="Cambria"/>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144480">
        <w:rPr>
          <w:rFonts w:ascii="Cambria" w:hAnsi="Cambria"/>
          <w:sz w:val="20"/>
          <w:szCs w:val="20"/>
          <w:lang w:val="es-ES"/>
        </w:rPr>
        <w:t xml:space="preserve"> 5 (integridad personal),</w:t>
      </w:r>
      <w:r w:rsidR="00B85424" w:rsidRPr="00B85424">
        <w:rPr>
          <w:rFonts w:ascii="Cambria" w:hAnsi="Cambria"/>
          <w:sz w:val="20"/>
          <w:szCs w:val="20"/>
          <w:lang w:val="es-ES"/>
        </w:rPr>
        <w:t xml:space="preserve"> 8 (garantías judiciales), 24 (igualdad) y 25 (protección judicial) de la Convención</w:t>
      </w:r>
      <w:r w:rsidR="00B85424">
        <w:rPr>
          <w:rFonts w:ascii="Cambria" w:hAnsi="Cambria"/>
          <w:sz w:val="20"/>
          <w:szCs w:val="20"/>
          <w:lang w:val="es-ES"/>
        </w:rPr>
        <w:t xml:space="preserve"> Americana</w:t>
      </w:r>
      <w:r w:rsidR="00E54BA9">
        <w:rPr>
          <w:rFonts w:ascii="Cambria" w:hAnsi="Cambria"/>
          <w:sz w:val="20"/>
          <w:szCs w:val="20"/>
          <w:lang w:val="es-ES"/>
        </w:rPr>
        <w:t xml:space="preserve">, esto en relación con sus artículos </w:t>
      </w:r>
      <w:r w:rsidR="00011A8F" w:rsidRPr="00490E90">
        <w:rPr>
          <w:rFonts w:ascii="Cambria" w:hAnsi="Cambria"/>
          <w:sz w:val="20"/>
          <w:szCs w:val="20"/>
          <w:lang w:val="es-ES"/>
        </w:rPr>
        <w:t xml:space="preserve">1.1 </w:t>
      </w:r>
      <w:r w:rsidR="00011A8F" w:rsidRPr="00490E90">
        <w:rPr>
          <w:rFonts w:asciiTheme="majorHAnsi" w:hAnsiTheme="majorHAnsi"/>
          <w:sz w:val="20"/>
          <w:szCs w:val="20"/>
          <w:lang w:val="es-ES"/>
        </w:rPr>
        <w:t>(obligación de respetar los derechos) y 2 (deber de adoptar disp</w:t>
      </w:r>
      <w:r w:rsidR="00F826C6">
        <w:rPr>
          <w:rFonts w:asciiTheme="majorHAnsi" w:hAnsiTheme="majorHAnsi"/>
          <w:sz w:val="20"/>
          <w:szCs w:val="20"/>
          <w:lang w:val="es-ES"/>
        </w:rPr>
        <w:t>osiciones de derecho interno)</w:t>
      </w:r>
      <w:r w:rsidR="009A27CD">
        <w:rPr>
          <w:rFonts w:asciiTheme="majorHAnsi" w:hAnsiTheme="majorHAnsi"/>
          <w:sz w:val="20"/>
          <w:szCs w:val="20"/>
          <w:lang w:val="es-ES"/>
        </w:rPr>
        <w:t xml:space="preserve">, </w:t>
      </w:r>
      <w:r w:rsidR="009A27CD" w:rsidRPr="00235166">
        <w:rPr>
          <w:rFonts w:asciiTheme="majorHAnsi" w:hAnsiTheme="majorHAnsi"/>
          <w:sz w:val="20"/>
          <w:szCs w:val="20"/>
          <w:lang w:val="es-ES"/>
        </w:rPr>
        <w:t>en concordancia con otros casos similares ya decididos por la CIDH</w:t>
      </w:r>
      <w:r w:rsidR="009A27CD">
        <w:rPr>
          <w:rStyle w:val="FootnoteReference"/>
          <w:rFonts w:ascii="Cambria" w:hAnsi="Cambria"/>
          <w:sz w:val="20"/>
          <w:szCs w:val="20"/>
          <w:lang w:val="es-ES"/>
        </w:rPr>
        <w:footnoteReference w:id="12"/>
      </w:r>
      <w:r w:rsidR="00F826C6">
        <w:rPr>
          <w:rFonts w:asciiTheme="majorHAnsi" w:hAnsiTheme="majorHAnsi"/>
          <w:sz w:val="20"/>
          <w:szCs w:val="20"/>
          <w:lang w:val="es-ES"/>
        </w:rPr>
        <w:t>.</w:t>
      </w:r>
    </w:p>
    <w:p w14:paraId="46D9A8C1" w14:textId="749D7496" w:rsidR="003D178A" w:rsidRPr="00490E90" w:rsidRDefault="003D178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Cambria" w:hAnsi="Cambria"/>
          <w:bCs/>
          <w:sz w:val="20"/>
          <w:szCs w:val="20"/>
          <w:lang w:val="es-ES"/>
        </w:rPr>
        <w:t xml:space="preserve">Sobre </w:t>
      </w:r>
      <w:r w:rsidR="00190C71" w:rsidRPr="00490E90">
        <w:rPr>
          <w:rFonts w:ascii="Cambria" w:hAnsi="Cambria"/>
          <w:bCs/>
          <w:sz w:val="20"/>
          <w:szCs w:val="20"/>
          <w:lang w:val="es-ES"/>
        </w:rPr>
        <w:t xml:space="preserve">la presunta </w:t>
      </w:r>
      <w:r w:rsidR="00190C71" w:rsidRPr="00490E90">
        <w:rPr>
          <w:rFonts w:ascii="Cambria" w:hAnsi="Cambria" w:cs="Calibri"/>
          <w:sz w:val="20"/>
          <w:szCs w:val="20"/>
          <w:lang w:val="es-ES_tradnl"/>
        </w:rPr>
        <w:t>violación a</w:t>
      </w:r>
      <w:r w:rsidR="000F45E6" w:rsidRPr="00490E90">
        <w:rPr>
          <w:rFonts w:ascii="Cambria" w:hAnsi="Cambria" w:cs="Calibri"/>
          <w:sz w:val="20"/>
          <w:szCs w:val="20"/>
          <w:lang w:val="es-ES_tradnl"/>
        </w:rPr>
        <w:t>l artículo 7</w:t>
      </w:r>
      <w:r w:rsidRPr="00490E90">
        <w:rPr>
          <w:rFonts w:ascii="Cambria" w:hAnsi="Cambria" w:cs="Calibri"/>
          <w:sz w:val="20"/>
          <w:szCs w:val="20"/>
          <w:lang w:val="es-ES_tradnl"/>
        </w:rPr>
        <w:t xml:space="preserve"> (libertad personal) </w:t>
      </w:r>
      <w:r w:rsidR="000F45E6" w:rsidRPr="00490E90">
        <w:rPr>
          <w:rFonts w:ascii="Cambria" w:hAnsi="Cambria" w:cs="Calibri"/>
          <w:sz w:val="20"/>
          <w:szCs w:val="20"/>
          <w:lang w:val="es-ES_tradnl"/>
        </w:rPr>
        <w:t xml:space="preserve">y 21 (propiedad) </w:t>
      </w:r>
      <w:r w:rsidRPr="00490E90">
        <w:rPr>
          <w:rFonts w:ascii="Cambria" w:hAnsi="Cambria" w:cs="Calibri"/>
          <w:sz w:val="20"/>
          <w:szCs w:val="20"/>
          <w:lang w:val="es-ES_tradnl"/>
        </w:rPr>
        <w:t xml:space="preserve">de la Convención Americana, </w:t>
      </w:r>
      <w:r w:rsidR="00190C71" w:rsidRPr="00490E90">
        <w:rPr>
          <w:rFonts w:ascii="Cambria" w:hAnsi="Cambria" w:cs="Calibri"/>
          <w:sz w:val="20"/>
          <w:szCs w:val="20"/>
          <w:lang w:val="es-ES_tradnl"/>
        </w:rPr>
        <w:t xml:space="preserve">la Comisión </w:t>
      </w:r>
      <w:r w:rsidR="00490E90" w:rsidRPr="00490E90">
        <w:rPr>
          <w:rFonts w:ascii="Cambria" w:hAnsi="Cambria" w:cs="Calibri"/>
          <w:sz w:val="20"/>
          <w:szCs w:val="20"/>
          <w:lang w:val="es-ES_tradnl"/>
        </w:rPr>
        <w:t>observa que los peticionarios no han ofrecido alegatos o sustento suficiente que permite considerar prima facie su posible violación.</w:t>
      </w:r>
      <w:r w:rsidR="00490E90" w:rsidRPr="00490E90">
        <w:rPr>
          <w:rFonts w:ascii="Cambria" w:hAnsi="Cambria"/>
          <w:bCs/>
          <w:sz w:val="20"/>
          <w:szCs w:val="20"/>
          <w:lang w:val="es-ES"/>
        </w:rPr>
        <w:t xml:space="preserve"> </w:t>
      </w:r>
      <w:r w:rsidR="00254B4B" w:rsidRPr="00490E90">
        <w:rPr>
          <w:rFonts w:ascii="Cambria" w:hAnsi="Cambria"/>
          <w:bCs/>
          <w:sz w:val="20"/>
          <w:szCs w:val="20"/>
          <w:lang w:val="es-ES"/>
        </w:rPr>
        <w:t xml:space="preserve"> </w:t>
      </w:r>
    </w:p>
    <w:p w14:paraId="5E666374" w14:textId="0AB0A115" w:rsidR="00A9691D" w:rsidRPr="00490E90" w:rsidRDefault="00A9691D" w:rsidP="00BE29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Cambria" w:hAnsi="Cambria"/>
          <w:bCs/>
          <w:sz w:val="20"/>
          <w:szCs w:val="20"/>
          <w:lang w:val="es-ES"/>
        </w:rPr>
        <w:lastRenderedPageBreak/>
        <w:t>En relación con la presunta infracción</w:t>
      </w:r>
      <w:r w:rsidR="00FF1DB4">
        <w:rPr>
          <w:rFonts w:ascii="Cambria" w:hAnsi="Cambria"/>
          <w:bCs/>
          <w:sz w:val="20"/>
          <w:szCs w:val="20"/>
          <w:lang w:val="es-ES"/>
        </w:rPr>
        <w:t xml:space="preserve"> </w:t>
      </w:r>
      <w:r w:rsidR="00F31269">
        <w:rPr>
          <w:rFonts w:ascii="Cambria" w:hAnsi="Cambria"/>
          <w:bCs/>
          <w:sz w:val="20"/>
          <w:szCs w:val="20"/>
          <w:lang w:val="es-ES"/>
        </w:rPr>
        <w:t>al artículo</w:t>
      </w:r>
      <w:r w:rsidR="00FF1DB4">
        <w:rPr>
          <w:rFonts w:ascii="Cambria" w:hAnsi="Cambria"/>
          <w:bCs/>
          <w:sz w:val="20"/>
          <w:szCs w:val="20"/>
          <w:lang w:val="es-ES"/>
        </w:rPr>
        <w:t xml:space="preserve"> XXIII</w:t>
      </w:r>
      <w:r w:rsidR="00622EFC" w:rsidRPr="00490E90">
        <w:rPr>
          <w:rFonts w:ascii="Cambria" w:hAnsi="Cambria"/>
          <w:bCs/>
          <w:sz w:val="20"/>
          <w:szCs w:val="20"/>
          <w:lang w:val="es-ES"/>
        </w:rPr>
        <w:t xml:space="preserve"> de la Declaración Americana, </w:t>
      </w:r>
      <w:r w:rsidR="00BE2974">
        <w:rPr>
          <w:rFonts w:ascii="Cambria" w:hAnsi="Cambria"/>
          <w:bCs/>
          <w:sz w:val="20"/>
          <w:szCs w:val="20"/>
          <w:lang w:val="es-ES"/>
        </w:rPr>
        <w:t>l</w:t>
      </w:r>
      <w:r w:rsidR="00BE2974" w:rsidRPr="00BE2974">
        <w:rPr>
          <w:rFonts w:ascii="Cambria" w:hAnsi="Cambria"/>
          <w:bCs/>
          <w:sz w:val="20"/>
          <w:szCs w:val="20"/>
          <w:lang w:val="es-ES"/>
        </w:rPr>
        <w:t>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8826D9" w:rsidRPr="00490E90">
        <w:rPr>
          <w:rFonts w:ascii="Cambria" w:hAnsi="Cambria" w:cs="Calibri"/>
          <w:sz w:val="20"/>
          <w:szCs w:val="20"/>
          <w:lang w:val="es-ES_tradnl"/>
        </w:rPr>
        <w:t xml:space="preserve">. En el mismo sentido, </w:t>
      </w:r>
      <w:r w:rsidR="00622EFC" w:rsidRPr="00490E90">
        <w:rPr>
          <w:rFonts w:ascii="Cambria" w:hAnsi="Cambria" w:cs="Calibri"/>
          <w:sz w:val="20"/>
          <w:szCs w:val="20"/>
          <w:lang w:val="es-ES_tradnl"/>
        </w:rPr>
        <w:t xml:space="preserve">sobre el </w:t>
      </w:r>
      <w:r w:rsidR="00622EFC" w:rsidRPr="00490E90">
        <w:rPr>
          <w:rFonts w:ascii="Cambria" w:hAnsi="Cambria"/>
          <w:bCs/>
          <w:sz w:val="20"/>
          <w:szCs w:val="20"/>
          <w:lang w:val="es-ES"/>
        </w:rPr>
        <w:t>al artículo 17 de la Declaración Universal de Derechos Humanos</w:t>
      </w:r>
      <w:r w:rsidR="009354AB" w:rsidRPr="00490E90">
        <w:rPr>
          <w:rFonts w:ascii="Cambria" w:hAnsi="Cambria"/>
          <w:bCs/>
          <w:sz w:val="20"/>
          <w:szCs w:val="20"/>
          <w:lang w:val="es-ES"/>
        </w:rPr>
        <w:t xml:space="preserve">, esta Comisión no tiene competencia para conocer casos individuales referidos a violaciones de este tratado; sin embargo, tiene la facultad de considerar el mismo a fin de interpretar y aplicar la Convención según los términos del artículo 29 del mismo cuerpo normativo. </w:t>
      </w:r>
    </w:p>
    <w:p w14:paraId="293146C5" w14:textId="66D6A2E8" w:rsidR="000B0579" w:rsidRPr="00490E90" w:rsidRDefault="00DC20C8"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Cambria" w:hAnsi="Cambria"/>
          <w:sz w:val="20"/>
          <w:szCs w:val="20"/>
          <w:lang w:val="es-ES"/>
        </w:rPr>
        <w:t>Finalmente, e</w:t>
      </w:r>
      <w:r w:rsidR="006123C8" w:rsidRPr="00490E90">
        <w:rPr>
          <w:rFonts w:ascii="Cambria" w:hAnsi="Cambria"/>
          <w:sz w:val="20"/>
          <w:szCs w:val="20"/>
          <w:lang w:val="es-ES"/>
        </w:rPr>
        <w:t xml:space="preserve">n cuanto a los alegatos del Estado referidos a la fórmula de cuarta instancia, es menester aclarar que esta Comisión no es competente para revisar decisiones adoptadas por las autoridades judiciales internas que actúen en el marco de su competencia, y apliquen las normas referentes al debido proceso y a las garantías judiciales, tuteladas en la Convención Americana. Sin embargo, en reiteradas oportunidades, la Comisión ha establecido que sí es competente para declarar admisible una petición, así como para referirse sobre el fondo de esta, cuando esta se refiere a procesos internos que podrían ser violatorios de los derechos </w:t>
      </w:r>
      <w:r w:rsidR="00E06AF6" w:rsidRPr="00490E90">
        <w:rPr>
          <w:rFonts w:ascii="Cambria" w:hAnsi="Cambria"/>
          <w:sz w:val="20"/>
          <w:szCs w:val="20"/>
          <w:lang w:val="es-ES"/>
        </w:rPr>
        <w:t xml:space="preserve">garantizados en la Convención. </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5F81231D" w:rsidR="003239B8" w:rsidRPr="00490E90"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90E90">
        <w:rPr>
          <w:rFonts w:asciiTheme="majorHAnsi" w:hAnsiTheme="majorHAnsi"/>
          <w:sz w:val="20"/>
          <w:szCs w:val="20"/>
          <w:lang w:val="es-ES"/>
        </w:rPr>
        <w:t>Declarar admisible la presente petición en relación con</w:t>
      </w:r>
      <w:r w:rsidR="003A6337" w:rsidRPr="00490E90">
        <w:rPr>
          <w:rFonts w:asciiTheme="majorHAnsi" w:hAnsiTheme="majorHAnsi"/>
          <w:sz w:val="20"/>
          <w:szCs w:val="20"/>
          <w:lang w:val="es-ES"/>
        </w:rPr>
        <w:t xml:space="preserve"> los </w:t>
      </w:r>
      <w:r w:rsidR="003A6337" w:rsidRPr="00490E90">
        <w:rPr>
          <w:rFonts w:ascii="Cambria" w:hAnsi="Cambria"/>
          <w:bCs/>
          <w:sz w:val="20"/>
          <w:szCs w:val="20"/>
          <w:lang w:val="es-ES"/>
        </w:rPr>
        <w:t>artículos</w:t>
      </w:r>
      <w:r w:rsidR="00144480">
        <w:rPr>
          <w:rFonts w:ascii="Cambria" w:hAnsi="Cambria"/>
          <w:bCs/>
          <w:sz w:val="20"/>
          <w:szCs w:val="20"/>
          <w:lang w:val="es-ES"/>
        </w:rPr>
        <w:t xml:space="preserve"> 5,</w:t>
      </w:r>
      <w:r w:rsidR="003A6337" w:rsidRPr="00490E90">
        <w:rPr>
          <w:rFonts w:ascii="Cambria" w:hAnsi="Cambria"/>
          <w:bCs/>
          <w:sz w:val="20"/>
          <w:szCs w:val="20"/>
          <w:lang w:val="es-ES"/>
        </w:rPr>
        <w:t xml:space="preserve"> </w:t>
      </w:r>
      <w:r w:rsidR="005C06C5" w:rsidRPr="00490E90">
        <w:rPr>
          <w:rFonts w:ascii="Cambria" w:hAnsi="Cambria"/>
          <w:bCs/>
          <w:sz w:val="20"/>
          <w:szCs w:val="20"/>
          <w:lang w:val="es-ES"/>
        </w:rPr>
        <w:t>8, 24 y 25 de la Convención Americana</w:t>
      </w:r>
      <w:r w:rsidR="005C06C5" w:rsidRPr="00490E90">
        <w:rPr>
          <w:rFonts w:asciiTheme="majorHAnsi" w:hAnsiTheme="majorHAnsi"/>
          <w:sz w:val="20"/>
          <w:szCs w:val="20"/>
          <w:lang w:val="es-ES"/>
        </w:rPr>
        <w:t>, en concordancia con los artículos 1.1 y 2 del mismo instrumento;</w:t>
      </w:r>
    </w:p>
    <w:p w14:paraId="570DA61C" w14:textId="15DE48C5" w:rsidR="000419AD" w:rsidRPr="00490E90" w:rsidRDefault="000419AD" w:rsidP="00176BB3">
      <w:pPr>
        <w:pStyle w:val="ListParagraph"/>
        <w:numPr>
          <w:ilvl w:val="0"/>
          <w:numId w:val="56"/>
        </w:numPr>
        <w:spacing w:after="120"/>
        <w:jc w:val="both"/>
        <w:rPr>
          <w:rFonts w:eastAsia="Arial Unicode MS" w:cs="Times New Roman"/>
          <w:color w:val="auto"/>
          <w:sz w:val="20"/>
          <w:szCs w:val="20"/>
          <w:lang w:val="es-ES" w:eastAsia="en-US"/>
        </w:rPr>
      </w:pPr>
      <w:r w:rsidRPr="00490E90">
        <w:rPr>
          <w:rFonts w:eastAsia="Arial Unicode MS" w:cs="Times New Roman"/>
          <w:color w:val="auto"/>
          <w:sz w:val="20"/>
          <w:szCs w:val="20"/>
          <w:lang w:val="es-ES" w:eastAsia="en-US"/>
        </w:rPr>
        <w:t>Declarar inadmisible</w:t>
      </w:r>
      <w:r w:rsidRPr="00490E90">
        <w:rPr>
          <w:rFonts w:eastAsia="Arial Unicode MS" w:cs="Times New Roman"/>
          <w:color w:val="FF0000"/>
          <w:sz w:val="20"/>
          <w:szCs w:val="20"/>
          <w:lang w:val="es-ES" w:eastAsia="en-US"/>
        </w:rPr>
        <w:t xml:space="preserve"> </w:t>
      </w:r>
      <w:r w:rsidRPr="00490E90">
        <w:rPr>
          <w:rFonts w:eastAsia="Arial Unicode MS" w:cs="Times New Roman"/>
          <w:color w:val="auto"/>
          <w:sz w:val="20"/>
          <w:szCs w:val="20"/>
          <w:lang w:val="es-ES" w:eastAsia="en-US"/>
        </w:rPr>
        <w:t xml:space="preserve">la presente petición en relación con </w:t>
      </w:r>
      <w:r w:rsidR="003A6337" w:rsidRPr="00490E90">
        <w:rPr>
          <w:sz w:val="20"/>
          <w:szCs w:val="20"/>
          <w:lang w:val="es-ES"/>
        </w:rPr>
        <w:t xml:space="preserve">los artículos </w:t>
      </w:r>
      <w:r w:rsidR="00FF1DB4">
        <w:rPr>
          <w:bCs/>
          <w:sz w:val="20"/>
          <w:szCs w:val="20"/>
          <w:lang w:val="es-ES"/>
        </w:rPr>
        <w:t>7</w:t>
      </w:r>
      <w:r w:rsidR="004A6A54" w:rsidRPr="00490E90">
        <w:rPr>
          <w:rFonts w:eastAsia="Arial Unicode MS" w:cs="Times New Roman"/>
          <w:color w:val="auto"/>
          <w:sz w:val="20"/>
          <w:szCs w:val="20"/>
          <w:lang w:val="es-ES" w:eastAsia="en-US"/>
        </w:rPr>
        <w:t xml:space="preserve"> y</w:t>
      </w:r>
      <w:r w:rsidR="00C01C7A" w:rsidRPr="00490E90">
        <w:rPr>
          <w:rFonts w:eastAsia="Arial Unicode MS" w:cs="Times New Roman"/>
          <w:color w:val="auto"/>
          <w:sz w:val="20"/>
          <w:szCs w:val="20"/>
          <w:lang w:val="es-ES" w:eastAsia="en-US"/>
        </w:rPr>
        <w:t xml:space="preserve"> 21 de la </w:t>
      </w:r>
      <w:r w:rsidR="00C01C7A" w:rsidRPr="00490E90">
        <w:rPr>
          <w:bCs/>
          <w:sz w:val="20"/>
          <w:szCs w:val="20"/>
          <w:lang w:val="es-ES"/>
        </w:rPr>
        <w:t>Convención Americana; y</w:t>
      </w:r>
    </w:p>
    <w:p w14:paraId="4157390F" w14:textId="17E04270" w:rsidR="00D93A90" w:rsidRPr="00BE649A"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490E9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675283A" w14:textId="5660E938" w:rsidR="00BE649A" w:rsidRPr="00A37B82" w:rsidRDefault="00BE649A" w:rsidP="00BE649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1617C03" w14:textId="77777777" w:rsidR="00BE649A" w:rsidRPr="00490E90" w:rsidRDefault="00BE649A" w:rsidP="00BE64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olor w:val="FF0000"/>
          <w:sz w:val="20"/>
          <w:szCs w:val="20"/>
          <w:lang w:val="es-ES"/>
        </w:rPr>
      </w:pPr>
    </w:p>
    <w:sectPr w:rsidR="00BE649A" w:rsidRPr="00490E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024E" w14:textId="77777777" w:rsidR="009F0895" w:rsidRDefault="009F0895">
      <w:r>
        <w:separator/>
      </w:r>
    </w:p>
  </w:endnote>
  <w:endnote w:type="continuationSeparator" w:id="0">
    <w:p w14:paraId="76755169" w14:textId="77777777" w:rsidR="009F0895" w:rsidRDefault="009F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6083A" w14:textId="77777777" w:rsidR="006D5BEB" w:rsidRDefault="006D5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8B4623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5BEB">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A27C" w14:textId="77777777" w:rsidR="009F0895" w:rsidRPr="000F35ED" w:rsidRDefault="009F089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FEFB17" w14:textId="77777777" w:rsidR="009F0895" w:rsidRPr="000F35ED" w:rsidRDefault="009F0895" w:rsidP="000F35ED">
      <w:pPr>
        <w:rPr>
          <w:rFonts w:asciiTheme="majorHAnsi" w:hAnsiTheme="majorHAnsi"/>
          <w:sz w:val="16"/>
          <w:szCs w:val="16"/>
        </w:rPr>
      </w:pPr>
      <w:r w:rsidRPr="000F35ED">
        <w:rPr>
          <w:rFonts w:asciiTheme="majorHAnsi" w:hAnsiTheme="majorHAnsi"/>
          <w:sz w:val="16"/>
          <w:szCs w:val="16"/>
        </w:rPr>
        <w:separator/>
      </w:r>
    </w:p>
    <w:p w14:paraId="70F37679" w14:textId="77777777" w:rsidR="009F0895" w:rsidRPr="000F35ED" w:rsidRDefault="009F089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B609A78" w14:textId="77777777" w:rsidR="009F0895" w:rsidRPr="000F35ED" w:rsidRDefault="009F08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E90B07" w14:textId="708F43D1" w:rsidR="005641FC" w:rsidRPr="00C74731" w:rsidRDefault="00BE649A">
      <w:pPr>
        <w:pStyle w:val="FootnoteText"/>
        <w:rPr>
          <w:rFonts w:ascii="Cambria" w:hAnsi="Cambria"/>
          <w:sz w:val="16"/>
          <w:szCs w:val="16"/>
          <w:lang w:val="es-ES"/>
        </w:rPr>
      </w:pPr>
      <w:r>
        <w:rPr>
          <w:rFonts w:ascii="Cambria" w:hAnsi="Cambria"/>
          <w:sz w:val="16"/>
          <w:szCs w:val="16"/>
          <w:lang w:val="es-ES"/>
        </w:rPr>
        <w:tab/>
      </w:r>
      <w:r w:rsidR="005641FC" w:rsidRPr="0080416A">
        <w:rPr>
          <w:rFonts w:ascii="Cambria" w:hAnsi="Cambria"/>
          <w:sz w:val="16"/>
          <w:szCs w:val="16"/>
          <w:vertAlign w:val="superscript"/>
          <w:lang w:val="es-ES"/>
        </w:rPr>
        <w:footnoteRef/>
      </w:r>
      <w:r w:rsidR="005641FC" w:rsidRPr="00C74731">
        <w:rPr>
          <w:rFonts w:ascii="Cambria" w:hAnsi="Cambria"/>
          <w:sz w:val="16"/>
          <w:szCs w:val="16"/>
          <w:lang w:val="es-ES"/>
        </w:rPr>
        <w:t xml:space="preserve"> </w:t>
      </w:r>
      <w:r w:rsidR="00A73768" w:rsidRPr="00C74731">
        <w:rPr>
          <w:rFonts w:ascii="Cambria" w:hAnsi="Cambria"/>
          <w:sz w:val="16"/>
          <w:szCs w:val="16"/>
          <w:lang w:val="es-ES"/>
        </w:rPr>
        <w:t xml:space="preserve">En </w:t>
      </w:r>
      <w:r w:rsidR="005641FC" w:rsidRPr="00C74731">
        <w:rPr>
          <w:rFonts w:ascii="Cambria" w:hAnsi="Cambria"/>
          <w:sz w:val="16"/>
          <w:szCs w:val="16"/>
          <w:lang w:val="es-ES"/>
        </w:rPr>
        <w:t>l</w:t>
      </w:r>
      <w:r w:rsidR="00A73768" w:rsidRPr="00C74731">
        <w:rPr>
          <w:rFonts w:ascii="Cambria" w:hAnsi="Cambria"/>
          <w:sz w:val="16"/>
          <w:szCs w:val="16"/>
          <w:lang w:val="es-ES"/>
        </w:rPr>
        <w:t>a</w:t>
      </w:r>
      <w:r w:rsidR="005641FC" w:rsidRPr="00C74731">
        <w:rPr>
          <w:rFonts w:ascii="Cambria" w:hAnsi="Cambria"/>
          <w:sz w:val="16"/>
          <w:szCs w:val="16"/>
          <w:lang w:val="es-ES"/>
        </w:rPr>
        <w:t xml:space="preserve"> presente petición, los peticionarios solicitaron reserva de identidad.</w:t>
      </w:r>
    </w:p>
  </w:footnote>
  <w:footnote w:id="3">
    <w:p w14:paraId="215EEB52" w14:textId="04BF46D9" w:rsidR="00BF514A" w:rsidRPr="00C74731" w:rsidRDefault="00BE649A" w:rsidP="00DD061E">
      <w:pPr>
        <w:pStyle w:val="FootnoteText"/>
        <w:jc w:val="both"/>
        <w:rPr>
          <w:rFonts w:ascii="Cambria" w:hAnsi="Cambria"/>
          <w:sz w:val="16"/>
          <w:szCs w:val="16"/>
          <w:lang w:val="es-ES"/>
        </w:rPr>
      </w:pPr>
      <w:r>
        <w:rPr>
          <w:rFonts w:ascii="Cambria" w:hAnsi="Cambria"/>
          <w:sz w:val="16"/>
          <w:szCs w:val="16"/>
          <w:lang w:val="es-ES"/>
        </w:rPr>
        <w:tab/>
      </w:r>
      <w:r w:rsidR="00BF514A" w:rsidRPr="0080416A">
        <w:rPr>
          <w:rFonts w:ascii="Cambria" w:hAnsi="Cambria"/>
          <w:sz w:val="16"/>
          <w:szCs w:val="16"/>
          <w:vertAlign w:val="superscript"/>
          <w:lang w:val="es-ES"/>
        </w:rPr>
        <w:footnoteRef/>
      </w:r>
      <w:r w:rsidR="00BF514A" w:rsidRPr="00C74731">
        <w:rPr>
          <w:rFonts w:ascii="Cambria" w:hAnsi="Cambria"/>
          <w:sz w:val="16"/>
          <w:szCs w:val="16"/>
          <w:lang w:val="es-ES"/>
        </w:rPr>
        <w:t xml:space="preserve"> En adelante “la Convención Americana” o “la Convención”.</w:t>
      </w:r>
    </w:p>
  </w:footnote>
  <w:footnote w:id="4">
    <w:p w14:paraId="11EAA6D3" w14:textId="07666820" w:rsidR="00DD25CA" w:rsidRPr="00DD25CA" w:rsidRDefault="00BE649A">
      <w:pPr>
        <w:pStyle w:val="FootnoteText"/>
        <w:rPr>
          <w:rFonts w:asciiTheme="majorHAnsi" w:hAnsiTheme="majorHAnsi"/>
          <w:sz w:val="16"/>
          <w:szCs w:val="16"/>
          <w:lang w:val="es-MX"/>
        </w:rPr>
      </w:pPr>
      <w:r>
        <w:rPr>
          <w:rFonts w:asciiTheme="majorHAnsi" w:hAnsiTheme="majorHAnsi"/>
          <w:sz w:val="16"/>
          <w:szCs w:val="16"/>
          <w:lang w:val="es-MX"/>
        </w:rPr>
        <w:tab/>
      </w:r>
      <w:r w:rsidR="00DD25CA" w:rsidRPr="00DD25CA">
        <w:rPr>
          <w:rStyle w:val="FootnoteReference"/>
          <w:rFonts w:asciiTheme="majorHAnsi" w:hAnsiTheme="majorHAnsi"/>
          <w:sz w:val="16"/>
          <w:szCs w:val="16"/>
        </w:rPr>
        <w:footnoteRef/>
      </w:r>
      <w:r w:rsidR="00DD25CA" w:rsidRPr="00DD25CA">
        <w:rPr>
          <w:rFonts w:asciiTheme="majorHAnsi" w:hAnsiTheme="majorHAnsi"/>
          <w:sz w:val="16"/>
          <w:szCs w:val="16"/>
          <w:lang w:val="es-MX"/>
        </w:rPr>
        <w:t xml:space="preserve"> En adelante “la Declaración Americana” o “la Declaración”.</w:t>
      </w:r>
    </w:p>
  </w:footnote>
  <w:footnote w:id="5">
    <w:p w14:paraId="075EA3DE" w14:textId="77D25F19" w:rsidR="00143ED6" w:rsidRPr="00C74731" w:rsidRDefault="00BE649A">
      <w:pPr>
        <w:pStyle w:val="FootnoteText"/>
        <w:rPr>
          <w:rFonts w:ascii="Cambria" w:hAnsi="Cambria"/>
          <w:sz w:val="16"/>
          <w:szCs w:val="16"/>
          <w:lang w:val="es-ES"/>
        </w:rPr>
      </w:pPr>
      <w:r>
        <w:rPr>
          <w:rFonts w:ascii="Cambria" w:hAnsi="Cambria"/>
          <w:sz w:val="16"/>
          <w:szCs w:val="16"/>
          <w:lang w:val="es-ES"/>
        </w:rPr>
        <w:tab/>
      </w:r>
      <w:r w:rsidR="00143ED6" w:rsidRPr="0080416A">
        <w:rPr>
          <w:rFonts w:ascii="Cambria" w:hAnsi="Cambria"/>
          <w:sz w:val="16"/>
          <w:szCs w:val="16"/>
          <w:vertAlign w:val="superscript"/>
          <w:lang w:val="es-ES"/>
        </w:rPr>
        <w:footnoteRef/>
      </w:r>
      <w:r w:rsidR="00143ED6" w:rsidRPr="00C74731">
        <w:rPr>
          <w:rFonts w:ascii="Cambria" w:hAnsi="Cambria"/>
          <w:sz w:val="16"/>
          <w:szCs w:val="16"/>
          <w:lang w:val="es-ES"/>
        </w:rPr>
        <w:t xml:space="preserve"> </w:t>
      </w:r>
      <w:r w:rsidR="00DD25CA">
        <w:rPr>
          <w:rFonts w:ascii="Cambria" w:hAnsi="Cambria"/>
          <w:sz w:val="16"/>
          <w:szCs w:val="16"/>
          <w:lang w:val="es-ES"/>
        </w:rPr>
        <w:t>Artículo</w:t>
      </w:r>
      <w:r w:rsidR="00143ED6" w:rsidRPr="00C74731">
        <w:rPr>
          <w:rFonts w:ascii="Cambria" w:hAnsi="Cambria"/>
          <w:sz w:val="16"/>
          <w:szCs w:val="16"/>
          <w:lang w:val="es-ES"/>
        </w:rPr>
        <w:t xml:space="preserve"> 17 de la Declaración Universal de Derechos Humanos.</w:t>
      </w:r>
    </w:p>
  </w:footnote>
  <w:footnote w:id="6">
    <w:p w14:paraId="79F07139" w14:textId="1F3D5975" w:rsidR="008E3BFE" w:rsidRPr="00C74731" w:rsidRDefault="00BE649A" w:rsidP="00DD061E">
      <w:pPr>
        <w:pStyle w:val="FootnoteText"/>
        <w:jc w:val="both"/>
        <w:rPr>
          <w:rFonts w:ascii="Cambria" w:hAnsi="Cambria"/>
          <w:sz w:val="16"/>
          <w:szCs w:val="16"/>
          <w:lang w:val="es-ES"/>
        </w:rPr>
      </w:pPr>
      <w:r>
        <w:rPr>
          <w:rFonts w:ascii="Cambria" w:hAnsi="Cambria"/>
          <w:sz w:val="16"/>
          <w:szCs w:val="16"/>
          <w:lang w:val="es-ES"/>
        </w:rPr>
        <w:tab/>
      </w:r>
      <w:r w:rsidR="008E3BFE" w:rsidRPr="0080416A">
        <w:rPr>
          <w:rFonts w:ascii="Cambria" w:hAnsi="Cambria"/>
          <w:sz w:val="16"/>
          <w:szCs w:val="16"/>
          <w:vertAlign w:val="superscript"/>
          <w:lang w:val="es-ES"/>
        </w:rPr>
        <w:footnoteRef/>
      </w:r>
      <w:r w:rsidR="008E3BFE" w:rsidRPr="00C74731">
        <w:rPr>
          <w:rFonts w:ascii="Cambria" w:hAnsi="Cambria"/>
          <w:sz w:val="16"/>
          <w:szCs w:val="16"/>
          <w:lang w:val="es-ES"/>
        </w:rPr>
        <w:t xml:space="preserve"> Las observaciones de cada parte fueron debidamente trasladadas a la parte contraria.</w:t>
      </w:r>
    </w:p>
  </w:footnote>
  <w:footnote w:id="7">
    <w:p w14:paraId="48870A99" w14:textId="0CF3D678" w:rsidR="00175929" w:rsidRPr="00C74731" w:rsidRDefault="00BE649A">
      <w:pPr>
        <w:pStyle w:val="FootnoteText"/>
        <w:rPr>
          <w:rFonts w:ascii="Cambria" w:hAnsi="Cambria"/>
          <w:sz w:val="16"/>
          <w:szCs w:val="16"/>
          <w:lang w:val="es-CO"/>
        </w:rPr>
      </w:pPr>
      <w:r>
        <w:rPr>
          <w:rFonts w:ascii="Cambria" w:hAnsi="Cambria"/>
          <w:sz w:val="16"/>
          <w:szCs w:val="16"/>
          <w:lang w:val="es-ES"/>
        </w:rPr>
        <w:tab/>
      </w:r>
      <w:r w:rsidR="00175929" w:rsidRPr="0080416A">
        <w:rPr>
          <w:rFonts w:ascii="Cambria" w:hAnsi="Cambria"/>
          <w:sz w:val="16"/>
          <w:szCs w:val="16"/>
          <w:vertAlign w:val="superscript"/>
          <w:lang w:val="es-ES"/>
        </w:rPr>
        <w:footnoteRef/>
      </w:r>
      <w:r w:rsidR="00175929" w:rsidRPr="00C74731">
        <w:rPr>
          <w:rFonts w:ascii="Cambria" w:hAnsi="Cambria"/>
          <w:sz w:val="16"/>
          <w:szCs w:val="16"/>
          <w:lang w:val="es-ES"/>
        </w:rPr>
        <w:t xml:space="preserve"> Ley Orgánica de la Policía Federal.</w:t>
      </w:r>
    </w:p>
  </w:footnote>
  <w:footnote w:id="8">
    <w:p w14:paraId="306447B3" w14:textId="26DA3C72" w:rsidR="002A0EF0" w:rsidRPr="00C74731" w:rsidRDefault="00BE649A">
      <w:pPr>
        <w:pStyle w:val="FootnoteText"/>
        <w:rPr>
          <w:rFonts w:ascii="Cambria" w:hAnsi="Cambria"/>
          <w:sz w:val="16"/>
          <w:szCs w:val="16"/>
          <w:lang w:val="es-CO"/>
        </w:rPr>
      </w:pPr>
      <w:r>
        <w:rPr>
          <w:rFonts w:ascii="Cambria" w:hAnsi="Cambria"/>
          <w:sz w:val="16"/>
          <w:szCs w:val="16"/>
          <w:lang w:val="es-ES"/>
        </w:rPr>
        <w:tab/>
      </w:r>
      <w:r w:rsidR="002A0EF0" w:rsidRPr="0080416A">
        <w:rPr>
          <w:rFonts w:ascii="Cambria" w:hAnsi="Cambria"/>
          <w:sz w:val="16"/>
          <w:szCs w:val="16"/>
          <w:vertAlign w:val="superscript"/>
          <w:lang w:val="es-ES"/>
        </w:rPr>
        <w:footnoteRef/>
      </w:r>
      <w:r w:rsidR="002A0EF0" w:rsidRPr="00C74731">
        <w:rPr>
          <w:rFonts w:ascii="Cambria" w:hAnsi="Cambria"/>
          <w:sz w:val="16"/>
          <w:szCs w:val="16"/>
          <w:lang w:val="es-ES"/>
        </w:rPr>
        <w:t xml:space="preserve"> Ley sobre Riesgos del Trabajo</w:t>
      </w:r>
      <w:r w:rsidR="00BD70E6" w:rsidRPr="00C74731">
        <w:rPr>
          <w:rFonts w:ascii="Cambria" w:hAnsi="Cambria"/>
          <w:sz w:val="16"/>
          <w:szCs w:val="16"/>
          <w:lang w:val="es-ES"/>
        </w:rPr>
        <w:t>.</w:t>
      </w:r>
    </w:p>
  </w:footnote>
  <w:footnote w:id="9">
    <w:p w14:paraId="0387E042" w14:textId="2D83F1B7" w:rsidR="00B85424" w:rsidRPr="00C74731" w:rsidRDefault="00BE649A">
      <w:pPr>
        <w:pStyle w:val="FootnoteText"/>
        <w:rPr>
          <w:rFonts w:ascii="Cambria" w:hAnsi="Cambria"/>
          <w:sz w:val="16"/>
          <w:szCs w:val="16"/>
          <w:lang w:val="es-CO"/>
        </w:rPr>
      </w:pPr>
      <w:r>
        <w:rPr>
          <w:rFonts w:ascii="Cambria" w:hAnsi="Cambria"/>
          <w:sz w:val="16"/>
          <w:szCs w:val="16"/>
          <w:lang w:val="es-ES"/>
        </w:rPr>
        <w:tab/>
      </w:r>
      <w:r w:rsidR="00B85424" w:rsidRPr="0080416A">
        <w:rPr>
          <w:rFonts w:ascii="Cambria" w:hAnsi="Cambria"/>
          <w:sz w:val="16"/>
          <w:szCs w:val="16"/>
          <w:vertAlign w:val="superscript"/>
          <w:lang w:val="es-ES"/>
        </w:rPr>
        <w:footnoteRef/>
      </w:r>
      <w:r w:rsidR="00B85424" w:rsidRPr="00C74731">
        <w:rPr>
          <w:rFonts w:ascii="Cambria" w:hAnsi="Cambria"/>
          <w:sz w:val="16"/>
          <w:szCs w:val="16"/>
          <w:lang w:val="es-ES"/>
        </w:rPr>
        <w:t xml:space="preserve"> Los precedentes citados </w:t>
      </w:r>
      <w:proofErr w:type="spellStart"/>
      <w:r w:rsidR="00B85424" w:rsidRPr="00C74731">
        <w:rPr>
          <w:rFonts w:ascii="Cambria" w:hAnsi="Cambria"/>
          <w:sz w:val="16"/>
          <w:szCs w:val="16"/>
          <w:lang w:val="es-ES"/>
        </w:rPr>
        <w:t>Leston</w:t>
      </w:r>
      <w:proofErr w:type="spellEnd"/>
      <w:r w:rsidR="00B85424" w:rsidRPr="00C74731">
        <w:rPr>
          <w:rFonts w:ascii="Cambria" w:hAnsi="Cambria"/>
          <w:sz w:val="16"/>
          <w:szCs w:val="16"/>
          <w:lang w:val="es-ES"/>
        </w:rPr>
        <w:t>” como con el caso “Aragón”, fueron resueltos por la Corte Suprema de Justicia de la Nación, tomando como base el caso “</w:t>
      </w:r>
      <w:proofErr w:type="spellStart"/>
      <w:r w:rsidR="00B85424" w:rsidRPr="00C74731">
        <w:rPr>
          <w:rFonts w:ascii="Cambria" w:hAnsi="Cambria"/>
          <w:sz w:val="16"/>
          <w:szCs w:val="16"/>
          <w:lang w:val="es-ES"/>
        </w:rPr>
        <w:t>Azzetti</w:t>
      </w:r>
      <w:proofErr w:type="spellEnd"/>
      <w:r w:rsidR="00B85424" w:rsidRPr="00C74731">
        <w:rPr>
          <w:rFonts w:ascii="Cambria" w:hAnsi="Cambria"/>
          <w:sz w:val="16"/>
          <w:szCs w:val="16"/>
          <w:lang w:val="es-ES"/>
        </w:rPr>
        <w:t>”.</w:t>
      </w:r>
    </w:p>
  </w:footnote>
  <w:footnote w:id="10">
    <w:p w14:paraId="3EC98F78" w14:textId="724C5FF1" w:rsidR="00175929" w:rsidRPr="00C74731" w:rsidRDefault="00BE649A">
      <w:pPr>
        <w:pStyle w:val="FootnoteText"/>
        <w:rPr>
          <w:rFonts w:ascii="Cambria" w:hAnsi="Cambria"/>
          <w:sz w:val="16"/>
          <w:szCs w:val="16"/>
          <w:lang w:val="es-CO"/>
        </w:rPr>
      </w:pPr>
      <w:r>
        <w:rPr>
          <w:rFonts w:ascii="Cambria" w:hAnsi="Cambria"/>
          <w:sz w:val="16"/>
          <w:szCs w:val="16"/>
          <w:lang w:val="es-ES"/>
        </w:rPr>
        <w:tab/>
      </w:r>
      <w:r w:rsidR="00175929" w:rsidRPr="00C74731">
        <w:rPr>
          <w:rFonts w:ascii="Cambria" w:hAnsi="Cambria"/>
          <w:sz w:val="16"/>
          <w:szCs w:val="16"/>
          <w:vertAlign w:val="superscript"/>
          <w:lang w:val="es-ES"/>
        </w:rPr>
        <w:footnoteRef/>
      </w:r>
      <w:r w:rsidR="00175929" w:rsidRPr="00C74731">
        <w:rPr>
          <w:rFonts w:ascii="Cambria" w:hAnsi="Cambria"/>
          <w:sz w:val="16"/>
          <w:szCs w:val="16"/>
          <w:lang w:val="es-ES"/>
        </w:rPr>
        <w:t xml:space="preserve"> Ley de Contrato de Trabajo.</w:t>
      </w:r>
    </w:p>
  </w:footnote>
  <w:footnote w:id="11">
    <w:p w14:paraId="59C9573F" w14:textId="21B3C6C1" w:rsidR="00F826C6" w:rsidRPr="00F826C6" w:rsidRDefault="00BE649A" w:rsidP="00F826C6">
      <w:pPr>
        <w:pStyle w:val="FootnoteText"/>
        <w:rPr>
          <w:rFonts w:asciiTheme="majorHAnsi" w:hAnsiTheme="majorHAnsi"/>
          <w:sz w:val="16"/>
          <w:szCs w:val="16"/>
          <w:lang w:val="es-MX"/>
        </w:rPr>
      </w:pPr>
      <w:r>
        <w:rPr>
          <w:lang w:val="es-MX"/>
        </w:rPr>
        <w:tab/>
      </w:r>
      <w:r w:rsidR="00F826C6">
        <w:rPr>
          <w:rStyle w:val="FootnoteReference"/>
        </w:rPr>
        <w:footnoteRef/>
      </w:r>
      <w:r w:rsidR="00F826C6" w:rsidRPr="00701113">
        <w:rPr>
          <w:lang w:val="es-MX"/>
        </w:rPr>
        <w:t xml:space="preserve"> </w:t>
      </w:r>
      <w:r w:rsidR="00F826C6" w:rsidRPr="00144480">
        <w:rPr>
          <w:rFonts w:asciiTheme="majorHAnsi" w:hAnsiTheme="majorHAnsi"/>
          <w:sz w:val="16"/>
          <w:szCs w:val="16"/>
          <w:lang w:val="es-MX"/>
        </w:rPr>
        <w:t>Véase CIDH, Informe No. 32/18. Petición 355-08. Admisibilidad. Alberto Miguel Andrada y Jorge Osvaldo Álvare</w:t>
      </w:r>
      <w:r w:rsidR="00F826C6">
        <w:rPr>
          <w:rFonts w:asciiTheme="majorHAnsi" w:hAnsiTheme="majorHAnsi"/>
          <w:sz w:val="16"/>
          <w:szCs w:val="16"/>
          <w:lang w:val="es-MX"/>
        </w:rPr>
        <w:t>z. Argentina. 4 de mayo de 201</w:t>
      </w:r>
      <w:r w:rsidR="00F826C6" w:rsidRPr="00701113">
        <w:rPr>
          <w:rFonts w:asciiTheme="majorHAnsi" w:hAnsiTheme="majorHAnsi"/>
          <w:sz w:val="16"/>
          <w:szCs w:val="16"/>
          <w:lang w:val="es-MX"/>
        </w:rPr>
        <w:t>8, párr</w:t>
      </w:r>
      <w:proofErr w:type="gramStart"/>
      <w:r w:rsidR="00F826C6" w:rsidRPr="00701113">
        <w:rPr>
          <w:rFonts w:asciiTheme="majorHAnsi" w:hAnsiTheme="majorHAnsi"/>
          <w:sz w:val="16"/>
          <w:szCs w:val="16"/>
          <w:lang w:val="es-MX"/>
        </w:rPr>
        <w:t>..</w:t>
      </w:r>
      <w:proofErr w:type="gramEnd"/>
      <w:r w:rsidR="00F826C6">
        <w:rPr>
          <w:rFonts w:asciiTheme="majorHAnsi" w:hAnsiTheme="majorHAnsi"/>
          <w:sz w:val="16"/>
          <w:szCs w:val="16"/>
          <w:lang w:val="es-MX"/>
        </w:rPr>
        <w:t xml:space="preserve"> 10; </w:t>
      </w:r>
      <w:r w:rsidR="00F826C6" w:rsidRPr="00701113">
        <w:rPr>
          <w:rFonts w:asciiTheme="majorHAnsi" w:hAnsiTheme="majorHAnsi"/>
          <w:sz w:val="16"/>
          <w:szCs w:val="16"/>
          <w:lang w:val="es-MX"/>
        </w:rPr>
        <w:t xml:space="preserve">CIDH, Informe No. 76/19. Admisibilidad. Hugo Eduardo </w:t>
      </w:r>
      <w:proofErr w:type="spellStart"/>
      <w:r w:rsidR="00F826C6" w:rsidRPr="00701113">
        <w:rPr>
          <w:rFonts w:asciiTheme="majorHAnsi" w:hAnsiTheme="majorHAnsi"/>
          <w:sz w:val="16"/>
          <w:szCs w:val="16"/>
          <w:lang w:val="es-MX"/>
        </w:rPr>
        <w:t>Ibarbuden</w:t>
      </w:r>
      <w:proofErr w:type="spellEnd"/>
      <w:r w:rsidR="00F826C6" w:rsidRPr="00701113">
        <w:rPr>
          <w:rFonts w:asciiTheme="majorHAnsi" w:hAnsiTheme="majorHAnsi"/>
          <w:sz w:val="16"/>
          <w:szCs w:val="16"/>
          <w:lang w:val="es-MX"/>
        </w:rPr>
        <w:t xml:space="preserve">. </w:t>
      </w:r>
      <w:r w:rsidR="00F826C6" w:rsidRPr="00F826C6">
        <w:rPr>
          <w:rFonts w:asciiTheme="majorHAnsi" w:hAnsiTheme="majorHAnsi"/>
          <w:sz w:val="16"/>
          <w:szCs w:val="16"/>
          <w:lang w:val="es-MX"/>
        </w:rPr>
        <w:t>Argentina. 21 de mayo de 2019, párr. 8 y 9.</w:t>
      </w:r>
    </w:p>
  </w:footnote>
  <w:footnote w:id="12">
    <w:p w14:paraId="05A58E6C" w14:textId="35BA0318" w:rsidR="009A27CD" w:rsidRPr="00C74731" w:rsidRDefault="00BE649A" w:rsidP="009A27CD">
      <w:pPr>
        <w:pStyle w:val="FootnoteText"/>
        <w:rPr>
          <w:rFonts w:ascii="Cambria" w:hAnsi="Cambria"/>
          <w:sz w:val="16"/>
          <w:szCs w:val="16"/>
          <w:lang w:val="es-MX"/>
        </w:rPr>
      </w:pPr>
      <w:r>
        <w:rPr>
          <w:rFonts w:ascii="Cambria" w:hAnsi="Cambria"/>
          <w:sz w:val="16"/>
          <w:szCs w:val="16"/>
          <w:lang w:val="es-MX"/>
        </w:rPr>
        <w:tab/>
      </w:r>
      <w:r w:rsidR="009A27CD" w:rsidRPr="00C74731">
        <w:rPr>
          <w:rStyle w:val="FootnoteReference"/>
          <w:rFonts w:ascii="Cambria" w:hAnsi="Cambria"/>
          <w:sz w:val="16"/>
          <w:szCs w:val="16"/>
        </w:rPr>
        <w:footnoteRef/>
      </w:r>
      <w:r w:rsidR="009A27CD" w:rsidRPr="00C74731">
        <w:rPr>
          <w:rFonts w:ascii="Cambria" w:hAnsi="Cambria"/>
          <w:sz w:val="16"/>
          <w:szCs w:val="16"/>
          <w:lang w:val="es-MX"/>
        </w:rPr>
        <w:t xml:space="preserve"> </w:t>
      </w:r>
      <w:proofErr w:type="spellStart"/>
      <w:r w:rsidR="009A27CD">
        <w:rPr>
          <w:rFonts w:ascii="Cambria" w:hAnsi="Cambria"/>
          <w:sz w:val="16"/>
          <w:szCs w:val="16"/>
          <w:lang w:val="es-MX"/>
        </w:rPr>
        <w:t>Ibid</w:t>
      </w:r>
      <w:proofErr w:type="spellEnd"/>
      <w:r w:rsidR="009A27CD">
        <w:rPr>
          <w:rFonts w:ascii="Cambria" w:hAnsi="Cambria"/>
          <w:sz w:val="16"/>
          <w:szCs w:val="16"/>
          <w:lang w:val="es-MX"/>
        </w:rPr>
        <w:t>.</w:t>
      </w:r>
      <w:r w:rsidR="009A27CD" w:rsidRPr="00C74731">
        <w:rPr>
          <w:rFonts w:ascii="Cambria" w:hAnsi="Cambria"/>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F0895"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9531" w14:textId="77777777" w:rsidR="006D5BEB" w:rsidRDefault="006D5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047"/>
    <w:rsid w:val="000118FB"/>
    <w:rsid w:val="00011A8F"/>
    <w:rsid w:val="00015701"/>
    <w:rsid w:val="000168E9"/>
    <w:rsid w:val="0001788C"/>
    <w:rsid w:val="00021613"/>
    <w:rsid w:val="0002186F"/>
    <w:rsid w:val="000310F1"/>
    <w:rsid w:val="000337EF"/>
    <w:rsid w:val="00040C3A"/>
    <w:rsid w:val="000419AD"/>
    <w:rsid w:val="00052C91"/>
    <w:rsid w:val="00062DB7"/>
    <w:rsid w:val="000716C5"/>
    <w:rsid w:val="00075E23"/>
    <w:rsid w:val="00082ACC"/>
    <w:rsid w:val="0009006E"/>
    <w:rsid w:val="0009344A"/>
    <w:rsid w:val="000A19F8"/>
    <w:rsid w:val="000A3254"/>
    <w:rsid w:val="000A392E"/>
    <w:rsid w:val="000A575F"/>
    <w:rsid w:val="000A63D0"/>
    <w:rsid w:val="000B0579"/>
    <w:rsid w:val="000C1C69"/>
    <w:rsid w:val="000C3A31"/>
    <w:rsid w:val="000D10DB"/>
    <w:rsid w:val="000E2789"/>
    <w:rsid w:val="000E32CD"/>
    <w:rsid w:val="000E494F"/>
    <w:rsid w:val="000E5EB5"/>
    <w:rsid w:val="000F35ED"/>
    <w:rsid w:val="000F45E6"/>
    <w:rsid w:val="00100C7B"/>
    <w:rsid w:val="00107131"/>
    <w:rsid w:val="00107251"/>
    <w:rsid w:val="0010736F"/>
    <w:rsid w:val="00111A8A"/>
    <w:rsid w:val="00113F73"/>
    <w:rsid w:val="00116DDC"/>
    <w:rsid w:val="00121CC2"/>
    <w:rsid w:val="00130A6C"/>
    <w:rsid w:val="00131D8B"/>
    <w:rsid w:val="00133EE5"/>
    <w:rsid w:val="00136E3D"/>
    <w:rsid w:val="00143ED6"/>
    <w:rsid w:val="00143EFE"/>
    <w:rsid w:val="00144480"/>
    <w:rsid w:val="001479C0"/>
    <w:rsid w:val="0015330B"/>
    <w:rsid w:val="00165BEA"/>
    <w:rsid w:val="00167947"/>
    <w:rsid w:val="00167A34"/>
    <w:rsid w:val="0017215E"/>
    <w:rsid w:val="00175929"/>
    <w:rsid w:val="00176BB3"/>
    <w:rsid w:val="00177EEF"/>
    <w:rsid w:val="00190C71"/>
    <w:rsid w:val="001933FB"/>
    <w:rsid w:val="001960CA"/>
    <w:rsid w:val="001A4177"/>
    <w:rsid w:val="001A7870"/>
    <w:rsid w:val="001B3A00"/>
    <w:rsid w:val="001B4C00"/>
    <w:rsid w:val="001B5E09"/>
    <w:rsid w:val="001C1B41"/>
    <w:rsid w:val="001D65EF"/>
    <w:rsid w:val="001E2D9A"/>
    <w:rsid w:val="001E49E7"/>
    <w:rsid w:val="001E55D9"/>
    <w:rsid w:val="001F271B"/>
    <w:rsid w:val="001F6EA9"/>
    <w:rsid w:val="001F7201"/>
    <w:rsid w:val="001F7D1E"/>
    <w:rsid w:val="002025FE"/>
    <w:rsid w:val="00204931"/>
    <w:rsid w:val="00223A29"/>
    <w:rsid w:val="002250A3"/>
    <w:rsid w:val="00231294"/>
    <w:rsid w:val="00235217"/>
    <w:rsid w:val="002355A9"/>
    <w:rsid w:val="00244A75"/>
    <w:rsid w:val="00246048"/>
    <w:rsid w:val="002462CD"/>
    <w:rsid w:val="00246D1F"/>
    <w:rsid w:val="00247403"/>
    <w:rsid w:val="00247542"/>
    <w:rsid w:val="00254B4B"/>
    <w:rsid w:val="00266B61"/>
    <w:rsid w:val="0026712A"/>
    <w:rsid w:val="002704DB"/>
    <w:rsid w:val="00277BDA"/>
    <w:rsid w:val="0029516A"/>
    <w:rsid w:val="0029575A"/>
    <w:rsid w:val="0029733F"/>
    <w:rsid w:val="002A0AAE"/>
    <w:rsid w:val="002A0EF0"/>
    <w:rsid w:val="002A5820"/>
    <w:rsid w:val="002B2DC3"/>
    <w:rsid w:val="002C3350"/>
    <w:rsid w:val="002C4872"/>
    <w:rsid w:val="002C4901"/>
    <w:rsid w:val="002C4A0B"/>
    <w:rsid w:val="002D2465"/>
    <w:rsid w:val="002D2B26"/>
    <w:rsid w:val="002D65A6"/>
    <w:rsid w:val="002D7EA2"/>
    <w:rsid w:val="002E187C"/>
    <w:rsid w:val="002E504B"/>
    <w:rsid w:val="002E7512"/>
    <w:rsid w:val="002F3724"/>
    <w:rsid w:val="00302733"/>
    <w:rsid w:val="003121D5"/>
    <w:rsid w:val="00314078"/>
    <w:rsid w:val="00314951"/>
    <w:rsid w:val="0031535D"/>
    <w:rsid w:val="003239B8"/>
    <w:rsid w:val="0033169F"/>
    <w:rsid w:val="0033373B"/>
    <w:rsid w:val="00334FC5"/>
    <w:rsid w:val="00337670"/>
    <w:rsid w:val="0034224A"/>
    <w:rsid w:val="00343438"/>
    <w:rsid w:val="00344977"/>
    <w:rsid w:val="00346C95"/>
    <w:rsid w:val="00351155"/>
    <w:rsid w:val="00352FBF"/>
    <w:rsid w:val="00356185"/>
    <w:rsid w:val="00360259"/>
    <w:rsid w:val="00360380"/>
    <w:rsid w:val="0037519E"/>
    <w:rsid w:val="00386C6C"/>
    <w:rsid w:val="00386CF0"/>
    <w:rsid w:val="003942EC"/>
    <w:rsid w:val="003A6337"/>
    <w:rsid w:val="003B4FF6"/>
    <w:rsid w:val="003B707A"/>
    <w:rsid w:val="003B70FB"/>
    <w:rsid w:val="003C6112"/>
    <w:rsid w:val="003C676B"/>
    <w:rsid w:val="003D0246"/>
    <w:rsid w:val="003D0A55"/>
    <w:rsid w:val="003D178A"/>
    <w:rsid w:val="003D2E46"/>
    <w:rsid w:val="003D3BC2"/>
    <w:rsid w:val="003D5646"/>
    <w:rsid w:val="003E614F"/>
    <w:rsid w:val="003E6CA1"/>
    <w:rsid w:val="00401774"/>
    <w:rsid w:val="004065A8"/>
    <w:rsid w:val="004149CB"/>
    <w:rsid w:val="004153F5"/>
    <w:rsid w:val="004165C2"/>
    <w:rsid w:val="00417E5B"/>
    <w:rsid w:val="00421713"/>
    <w:rsid w:val="004304AD"/>
    <w:rsid w:val="00441ECB"/>
    <w:rsid w:val="00445193"/>
    <w:rsid w:val="00447CCF"/>
    <w:rsid w:val="004565BA"/>
    <w:rsid w:val="00462C1B"/>
    <w:rsid w:val="00465E28"/>
    <w:rsid w:val="00467B7E"/>
    <w:rsid w:val="0047080D"/>
    <w:rsid w:val="00471A1F"/>
    <w:rsid w:val="00473BB4"/>
    <w:rsid w:val="00476211"/>
    <w:rsid w:val="00477349"/>
    <w:rsid w:val="00477592"/>
    <w:rsid w:val="00486F1C"/>
    <w:rsid w:val="00490E90"/>
    <w:rsid w:val="0049419D"/>
    <w:rsid w:val="00495453"/>
    <w:rsid w:val="004A59CC"/>
    <w:rsid w:val="004A6A54"/>
    <w:rsid w:val="004B4256"/>
    <w:rsid w:val="004B70D7"/>
    <w:rsid w:val="004C20D2"/>
    <w:rsid w:val="004C2117"/>
    <w:rsid w:val="004C2312"/>
    <w:rsid w:val="004C4B62"/>
    <w:rsid w:val="004C54C9"/>
    <w:rsid w:val="004C616A"/>
    <w:rsid w:val="004D4ABA"/>
    <w:rsid w:val="004D6025"/>
    <w:rsid w:val="004E07CD"/>
    <w:rsid w:val="004E19B1"/>
    <w:rsid w:val="004E2649"/>
    <w:rsid w:val="00501399"/>
    <w:rsid w:val="00501652"/>
    <w:rsid w:val="0050334C"/>
    <w:rsid w:val="0050633D"/>
    <w:rsid w:val="00507BC4"/>
    <w:rsid w:val="005128E4"/>
    <w:rsid w:val="005133DB"/>
    <w:rsid w:val="00525560"/>
    <w:rsid w:val="005326B7"/>
    <w:rsid w:val="005415E6"/>
    <w:rsid w:val="00544216"/>
    <w:rsid w:val="00544C49"/>
    <w:rsid w:val="00546895"/>
    <w:rsid w:val="005516A1"/>
    <w:rsid w:val="0055378B"/>
    <w:rsid w:val="00563557"/>
    <w:rsid w:val="005641FC"/>
    <w:rsid w:val="0057402A"/>
    <w:rsid w:val="00574CB7"/>
    <w:rsid w:val="005771D0"/>
    <w:rsid w:val="0059191A"/>
    <w:rsid w:val="005921FF"/>
    <w:rsid w:val="00594707"/>
    <w:rsid w:val="00597171"/>
    <w:rsid w:val="005A24ED"/>
    <w:rsid w:val="005A6D0E"/>
    <w:rsid w:val="005B0E1B"/>
    <w:rsid w:val="005B37CC"/>
    <w:rsid w:val="005B52B0"/>
    <w:rsid w:val="005B6806"/>
    <w:rsid w:val="005B6D22"/>
    <w:rsid w:val="005C06C5"/>
    <w:rsid w:val="005C261A"/>
    <w:rsid w:val="005C4225"/>
    <w:rsid w:val="005C7989"/>
    <w:rsid w:val="005D6241"/>
    <w:rsid w:val="005D66AD"/>
    <w:rsid w:val="005D66D0"/>
    <w:rsid w:val="005E0B65"/>
    <w:rsid w:val="005E11B2"/>
    <w:rsid w:val="005F0DAD"/>
    <w:rsid w:val="005F0F33"/>
    <w:rsid w:val="005F5B08"/>
    <w:rsid w:val="00600DEB"/>
    <w:rsid w:val="0060379A"/>
    <w:rsid w:val="006065D2"/>
    <w:rsid w:val="006068B7"/>
    <w:rsid w:val="006123C8"/>
    <w:rsid w:val="00622EFC"/>
    <w:rsid w:val="006277DE"/>
    <w:rsid w:val="00627C9F"/>
    <w:rsid w:val="006311E9"/>
    <w:rsid w:val="00632354"/>
    <w:rsid w:val="00642810"/>
    <w:rsid w:val="00647756"/>
    <w:rsid w:val="006509DA"/>
    <w:rsid w:val="00652333"/>
    <w:rsid w:val="006525BC"/>
    <w:rsid w:val="006775AB"/>
    <w:rsid w:val="0068009E"/>
    <w:rsid w:val="006819E9"/>
    <w:rsid w:val="00686471"/>
    <w:rsid w:val="0068794B"/>
    <w:rsid w:val="00691BBE"/>
    <w:rsid w:val="00692219"/>
    <w:rsid w:val="006939CD"/>
    <w:rsid w:val="0069402E"/>
    <w:rsid w:val="00695A2F"/>
    <w:rsid w:val="006A17D2"/>
    <w:rsid w:val="006A450A"/>
    <w:rsid w:val="006A73E6"/>
    <w:rsid w:val="006B2D5C"/>
    <w:rsid w:val="006B2EE8"/>
    <w:rsid w:val="006B6C47"/>
    <w:rsid w:val="006C4EB1"/>
    <w:rsid w:val="006D1DBB"/>
    <w:rsid w:val="006D44BD"/>
    <w:rsid w:val="006D5BEB"/>
    <w:rsid w:val="006D736F"/>
    <w:rsid w:val="006E0166"/>
    <w:rsid w:val="006E01AA"/>
    <w:rsid w:val="006E3412"/>
    <w:rsid w:val="006E5585"/>
    <w:rsid w:val="006E772A"/>
    <w:rsid w:val="006E7B34"/>
    <w:rsid w:val="007066B4"/>
    <w:rsid w:val="0070697F"/>
    <w:rsid w:val="00712E25"/>
    <w:rsid w:val="0072199C"/>
    <w:rsid w:val="00722C9F"/>
    <w:rsid w:val="007253B8"/>
    <w:rsid w:val="00727B0E"/>
    <w:rsid w:val="0073466A"/>
    <w:rsid w:val="0073598C"/>
    <w:rsid w:val="0073741F"/>
    <w:rsid w:val="0076643F"/>
    <w:rsid w:val="00776119"/>
    <w:rsid w:val="00777F63"/>
    <w:rsid w:val="00781031"/>
    <w:rsid w:val="007852B5"/>
    <w:rsid w:val="00796A37"/>
    <w:rsid w:val="007A5817"/>
    <w:rsid w:val="007B05C4"/>
    <w:rsid w:val="007B60E9"/>
    <w:rsid w:val="007B6CC3"/>
    <w:rsid w:val="007C3334"/>
    <w:rsid w:val="007C402A"/>
    <w:rsid w:val="007D2B98"/>
    <w:rsid w:val="007D7C02"/>
    <w:rsid w:val="007E21BC"/>
    <w:rsid w:val="007E30B8"/>
    <w:rsid w:val="007E579E"/>
    <w:rsid w:val="007E58FE"/>
    <w:rsid w:val="007E7C82"/>
    <w:rsid w:val="007F588D"/>
    <w:rsid w:val="00802748"/>
    <w:rsid w:val="00803F1C"/>
    <w:rsid w:val="0080416A"/>
    <w:rsid w:val="0080600E"/>
    <w:rsid w:val="00817612"/>
    <w:rsid w:val="00822EAE"/>
    <w:rsid w:val="008338A4"/>
    <w:rsid w:val="00834D49"/>
    <w:rsid w:val="00837C45"/>
    <w:rsid w:val="008411F0"/>
    <w:rsid w:val="008439BC"/>
    <w:rsid w:val="00844730"/>
    <w:rsid w:val="00844CA2"/>
    <w:rsid w:val="008457C2"/>
    <w:rsid w:val="008471AE"/>
    <w:rsid w:val="008478F3"/>
    <w:rsid w:val="00857A82"/>
    <w:rsid w:val="00871526"/>
    <w:rsid w:val="00871A5F"/>
    <w:rsid w:val="00873836"/>
    <w:rsid w:val="00875668"/>
    <w:rsid w:val="008756C7"/>
    <w:rsid w:val="008826D9"/>
    <w:rsid w:val="00885737"/>
    <w:rsid w:val="00890650"/>
    <w:rsid w:val="00895AA6"/>
    <w:rsid w:val="00897E12"/>
    <w:rsid w:val="008A0F81"/>
    <w:rsid w:val="008A310C"/>
    <w:rsid w:val="008A44A8"/>
    <w:rsid w:val="008A7948"/>
    <w:rsid w:val="008A7E0F"/>
    <w:rsid w:val="008B12F5"/>
    <w:rsid w:val="008B5932"/>
    <w:rsid w:val="008B6E1A"/>
    <w:rsid w:val="008C0480"/>
    <w:rsid w:val="008C5751"/>
    <w:rsid w:val="008D2F06"/>
    <w:rsid w:val="008D768D"/>
    <w:rsid w:val="008E0FD8"/>
    <w:rsid w:val="008E2A3E"/>
    <w:rsid w:val="008E328A"/>
    <w:rsid w:val="008E3759"/>
    <w:rsid w:val="008E3BFE"/>
    <w:rsid w:val="008E7900"/>
    <w:rsid w:val="008F1912"/>
    <w:rsid w:val="008F5EA7"/>
    <w:rsid w:val="0090270B"/>
    <w:rsid w:val="009041DC"/>
    <w:rsid w:val="00916087"/>
    <w:rsid w:val="00917B5A"/>
    <w:rsid w:val="00920A58"/>
    <w:rsid w:val="00920A8C"/>
    <w:rsid w:val="00934A2C"/>
    <w:rsid w:val="009354AB"/>
    <w:rsid w:val="00935F06"/>
    <w:rsid w:val="00937B3A"/>
    <w:rsid w:val="00941383"/>
    <w:rsid w:val="00944CE0"/>
    <w:rsid w:val="00951568"/>
    <w:rsid w:val="00954B82"/>
    <w:rsid w:val="00955255"/>
    <w:rsid w:val="00957000"/>
    <w:rsid w:val="00960011"/>
    <w:rsid w:val="00962436"/>
    <w:rsid w:val="0096706E"/>
    <w:rsid w:val="00974491"/>
    <w:rsid w:val="00975C4E"/>
    <w:rsid w:val="00981FBA"/>
    <w:rsid w:val="00984464"/>
    <w:rsid w:val="00987827"/>
    <w:rsid w:val="00997BC5"/>
    <w:rsid w:val="009A138A"/>
    <w:rsid w:val="009A27CD"/>
    <w:rsid w:val="009A4F41"/>
    <w:rsid w:val="009B381B"/>
    <w:rsid w:val="009C2FC5"/>
    <w:rsid w:val="009D1753"/>
    <w:rsid w:val="009D41F9"/>
    <w:rsid w:val="009D6502"/>
    <w:rsid w:val="009D6E7E"/>
    <w:rsid w:val="009D7611"/>
    <w:rsid w:val="009D78A5"/>
    <w:rsid w:val="009E08DD"/>
    <w:rsid w:val="009E0B61"/>
    <w:rsid w:val="009E21B6"/>
    <w:rsid w:val="009E2FE6"/>
    <w:rsid w:val="009E53DE"/>
    <w:rsid w:val="009E7C00"/>
    <w:rsid w:val="009F0895"/>
    <w:rsid w:val="009F26A9"/>
    <w:rsid w:val="00A0691C"/>
    <w:rsid w:val="00A11E44"/>
    <w:rsid w:val="00A136AE"/>
    <w:rsid w:val="00A154C8"/>
    <w:rsid w:val="00A22397"/>
    <w:rsid w:val="00A32313"/>
    <w:rsid w:val="00A328B3"/>
    <w:rsid w:val="00A32C37"/>
    <w:rsid w:val="00A50FCF"/>
    <w:rsid w:val="00A528D1"/>
    <w:rsid w:val="00A56546"/>
    <w:rsid w:val="00A57DC2"/>
    <w:rsid w:val="00A610CD"/>
    <w:rsid w:val="00A625E0"/>
    <w:rsid w:val="00A73768"/>
    <w:rsid w:val="00A74947"/>
    <w:rsid w:val="00A758AA"/>
    <w:rsid w:val="00A92093"/>
    <w:rsid w:val="00A93727"/>
    <w:rsid w:val="00A9691D"/>
    <w:rsid w:val="00A97854"/>
    <w:rsid w:val="00AA09A2"/>
    <w:rsid w:val="00AA7996"/>
    <w:rsid w:val="00AC19CB"/>
    <w:rsid w:val="00AD1886"/>
    <w:rsid w:val="00AD4E64"/>
    <w:rsid w:val="00AE5488"/>
    <w:rsid w:val="00AE6F91"/>
    <w:rsid w:val="00AF5571"/>
    <w:rsid w:val="00B06B4E"/>
    <w:rsid w:val="00B07341"/>
    <w:rsid w:val="00B202B5"/>
    <w:rsid w:val="00B30539"/>
    <w:rsid w:val="00B314DB"/>
    <w:rsid w:val="00B361F2"/>
    <w:rsid w:val="00B3718B"/>
    <w:rsid w:val="00B41244"/>
    <w:rsid w:val="00B43619"/>
    <w:rsid w:val="00B4632A"/>
    <w:rsid w:val="00B5067D"/>
    <w:rsid w:val="00B530F1"/>
    <w:rsid w:val="00B57297"/>
    <w:rsid w:val="00B736AF"/>
    <w:rsid w:val="00B742BE"/>
    <w:rsid w:val="00B85424"/>
    <w:rsid w:val="00B87359"/>
    <w:rsid w:val="00B97946"/>
    <w:rsid w:val="00BA276C"/>
    <w:rsid w:val="00BA3873"/>
    <w:rsid w:val="00BA5544"/>
    <w:rsid w:val="00BB306F"/>
    <w:rsid w:val="00BB3FBD"/>
    <w:rsid w:val="00BB5C96"/>
    <w:rsid w:val="00BC6CD0"/>
    <w:rsid w:val="00BD0155"/>
    <w:rsid w:val="00BD39FC"/>
    <w:rsid w:val="00BD4B89"/>
    <w:rsid w:val="00BD5922"/>
    <w:rsid w:val="00BD70E6"/>
    <w:rsid w:val="00BD76D9"/>
    <w:rsid w:val="00BE2974"/>
    <w:rsid w:val="00BE3030"/>
    <w:rsid w:val="00BE649A"/>
    <w:rsid w:val="00BF02CB"/>
    <w:rsid w:val="00BF514A"/>
    <w:rsid w:val="00BF6FD8"/>
    <w:rsid w:val="00BF775D"/>
    <w:rsid w:val="00C008EF"/>
    <w:rsid w:val="00C01C7A"/>
    <w:rsid w:val="00C03680"/>
    <w:rsid w:val="00C054DF"/>
    <w:rsid w:val="00C06E0E"/>
    <w:rsid w:val="00C10AFC"/>
    <w:rsid w:val="00C13218"/>
    <w:rsid w:val="00C21562"/>
    <w:rsid w:val="00C21762"/>
    <w:rsid w:val="00C21FEF"/>
    <w:rsid w:val="00C24543"/>
    <w:rsid w:val="00C256A2"/>
    <w:rsid w:val="00C305F3"/>
    <w:rsid w:val="00C35A26"/>
    <w:rsid w:val="00C51515"/>
    <w:rsid w:val="00C53910"/>
    <w:rsid w:val="00C5660B"/>
    <w:rsid w:val="00C56854"/>
    <w:rsid w:val="00C5788A"/>
    <w:rsid w:val="00C66B72"/>
    <w:rsid w:val="00C74731"/>
    <w:rsid w:val="00C77083"/>
    <w:rsid w:val="00C87AC4"/>
    <w:rsid w:val="00C9567A"/>
    <w:rsid w:val="00CA48A3"/>
    <w:rsid w:val="00CB212D"/>
    <w:rsid w:val="00CB2660"/>
    <w:rsid w:val="00CC5E90"/>
    <w:rsid w:val="00CD046C"/>
    <w:rsid w:val="00CD186A"/>
    <w:rsid w:val="00CD2309"/>
    <w:rsid w:val="00CE076C"/>
    <w:rsid w:val="00CE0C49"/>
    <w:rsid w:val="00CE5199"/>
    <w:rsid w:val="00CE66D5"/>
    <w:rsid w:val="00CF1BBF"/>
    <w:rsid w:val="00CF637A"/>
    <w:rsid w:val="00D00EE4"/>
    <w:rsid w:val="00D059DE"/>
    <w:rsid w:val="00D05ABD"/>
    <w:rsid w:val="00D13FCE"/>
    <w:rsid w:val="00D17E8C"/>
    <w:rsid w:val="00D26724"/>
    <w:rsid w:val="00D305D2"/>
    <w:rsid w:val="00D306D1"/>
    <w:rsid w:val="00D30800"/>
    <w:rsid w:val="00D34786"/>
    <w:rsid w:val="00D37BFC"/>
    <w:rsid w:val="00D42822"/>
    <w:rsid w:val="00D43FB7"/>
    <w:rsid w:val="00D444D9"/>
    <w:rsid w:val="00D47A8E"/>
    <w:rsid w:val="00D518DA"/>
    <w:rsid w:val="00D52D14"/>
    <w:rsid w:val="00D55256"/>
    <w:rsid w:val="00D56D93"/>
    <w:rsid w:val="00D65CD8"/>
    <w:rsid w:val="00D66FF0"/>
    <w:rsid w:val="00D712D3"/>
    <w:rsid w:val="00D71422"/>
    <w:rsid w:val="00D72DC6"/>
    <w:rsid w:val="00D73F5E"/>
    <w:rsid w:val="00D7558D"/>
    <w:rsid w:val="00D76BF1"/>
    <w:rsid w:val="00D77503"/>
    <w:rsid w:val="00D81D92"/>
    <w:rsid w:val="00D876F9"/>
    <w:rsid w:val="00D877B6"/>
    <w:rsid w:val="00D927DA"/>
    <w:rsid w:val="00D93A90"/>
    <w:rsid w:val="00D949CD"/>
    <w:rsid w:val="00DA7B5F"/>
    <w:rsid w:val="00DC11E7"/>
    <w:rsid w:val="00DC20C8"/>
    <w:rsid w:val="00DC7023"/>
    <w:rsid w:val="00DC769A"/>
    <w:rsid w:val="00DD061E"/>
    <w:rsid w:val="00DD25CA"/>
    <w:rsid w:val="00DD3D86"/>
    <w:rsid w:val="00DE12F0"/>
    <w:rsid w:val="00DE1475"/>
    <w:rsid w:val="00DF1EC4"/>
    <w:rsid w:val="00DF51E9"/>
    <w:rsid w:val="00DF6B2C"/>
    <w:rsid w:val="00E01943"/>
    <w:rsid w:val="00E0340B"/>
    <w:rsid w:val="00E04A90"/>
    <w:rsid w:val="00E0551F"/>
    <w:rsid w:val="00E06AF6"/>
    <w:rsid w:val="00E13101"/>
    <w:rsid w:val="00E219C7"/>
    <w:rsid w:val="00E256EB"/>
    <w:rsid w:val="00E26CCA"/>
    <w:rsid w:val="00E27F56"/>
    <w:rsid w:val="00E4118C"/>
    <w:rsid w:val="00E43157"/>
    <w:rsid w:val="00E461CE"/>
    <w:rsid w:val="00E51A6F"/>
    <w:rsid w:val="00E54BA9"/>
    <w:rsid w:val="00E720CA"/>
    <w:rsid w:val="00E742EE"/>
    <w:rsid w:val="00E84EB5"/>
    <w:rsid w:val="00E85662"/>
    <w:rsid w:val="00E8789F"/>
    <w:rsid w:val="00E92747"/>
    <w:rsid w:val="00E97B71"/>
    <w:rsid w:val="00EA0EA1"/>
    <w:rsid w:val="00EA3D34"/>
    <w:rsid w:val="00EB18D9"/>
    <w:rsid w:val="00EB1BDC"/>
    <w:rsid w:val="00EB454D"/>
    <w:rsid w:val="00EC26E9"/>
    <w:rsid w:val="00EC72AB"/>
    <w:rsid w:val="00ED2F03"/>
    <w:rsid w:val="00ED549D"/>
    <w:rsid w:val="00ED76BE"/>
    <w:rsid w:val="00ED7F05"/>
    <w:rsid w:val="00EE00E9"/>
    <w:rsid w:val="00EE014D"/>
    <w:rsid w:val="00EF2D32"/>
    <w:rsid w:val="00EF35AB"/>
    <w:rsid w:val="00EF4C44"/>
    <w:rsid w:val="00EF619B"/>
    <w:rsid w:val="00F00B55"/>
    <w:rsid w:val="00F02AD1"/>
    <w:rsid w:val="00F04591"/>
    <w:rsid w:val="00F06354"/>
    <w:rsid w:val="00F253CC"/>
    <w:rsid w:val="00F27977"/>
    <w:rsid w:val="00F31269"/>
    <w:rsid w:val="00F332EF"/>
    <w:rsid w:val="00F37106"/>
    <w:rsid w:val="00F4114A"/>
    <w:rsid w:val="00F519CF"/>
    <w:rsid w:val="00F53168"/>
    <w:rsid w:val="00F56BA5"/>
    <w:rsid w:val="00F60E22"/>
    <w:rsid w:val="00F63B39"/>
    <w:rsid w:val="00F75B92"/>
    <w:rsid w:val="00F81395"/>
    <w:rsid w:val="00F81887"/>
    <w:rsid w:val="00F81BB8"/>
    <w:rsid w:val="00F826C6"/>
    <w:rsid w:val="00F917D1"/>
    <w:rsid w:val="00F9342C"/>
    <w:rsid w:val="00F9653B"/>
    <w:rsid w:val="00F977BE"/>
    <w:rsid w:val="00FA4A36"/>
    <w:rsid w:val="00FA56EA"/>
    <w:rsid w:val="00FB590D"/>
    <w:rsid w:val="00FB62CF"/>
    <w:rsid w:val="00FB6AD2"/>
    <w:rsid w:val="00FC0F4A"/>
    <w:rsid w:val="00FC3330"/>
    <w:rsid w:val="00FD3C3B"/>
    <w:rsid w:val="00FE07DD"/>
    <w:rsid w:val="00FE6B45"/>
    <w:rsid w:val="00FE79E1"/>
    <w:rsid w:val="00FF1D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D829-9841-41EE-B4F7-49FCED3E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11727</Characters>
  <Application>Microsoft Office Word</Application>
  <DocSecurity>0</DocSecurity>
  <Lines>254</Lines>
  <Paragraphs>76</Paragraphs>
  <ScaleCrop>false</ScaleCrop>
  <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257/20</dc:title>
  <dc:creator/>
  <cp:lastModifiedBy/>
  <cp:revision>1</cp:revision>
  <dcterms:created xsi:type="dcterms:W3CDTF">2020-10-20T14:33:00Z</dcterms:created>
  <dcterms:modified xsi:type="dcterms:W3CDTF">2020-10-20T14:33:00Z</dcterms:modified>
</cp:coreProperties>
</file>