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DA0E15" w:rsidRDefault="00D306D1" w:rsidP="00627C9F">
      <w:pPr>
        <w:jc w:val="both"/>
        <w:rPr>
          <w:rFonts w:asciiTheme="majorHAnsi" w:hAnsiTheme="majorHAnsi" w:cs="Univers"/>
          <w:b/>
          <w:bCs/>
          <w:sz w:val="22"/>
          <w:szCs w:val="22"/>
          <w:lang w:val="es-ES"/>
        </w:rPr>
      </w:pPr>
      <w:r w:rsidRPr="00DA0E1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8FAAA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A0E1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DA0E15"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DA0E15"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DA0E15" w:rsidRDefault="005128E4" w:rsidP="00040C3A">
      <w:pPr>
        <w:tabs>
          <w:tab w:val="center" w:pos="5400"/>
        </w:tabs>
        <w:suppressAutoHyphens/>
        <w:rPr>
          <w:rFonts w:asciiTheme="majorHAnsi" w:hAnsiTheme="majorHAnsi"/>
          <w:sz w:val="22"/>
          <w:szCs w:val="22"/>
          <w:lang w:val="es-ES"/>
        </w:rPr>
      </w:pPr>
    </w:p>
    <w:p w14:paraId="12A36B24" w14:textId="77777777" w:rsidR="005128E4" w:rsidRPr="00DA0E15" w:rsidRDefault="005128E4" w:rsidP="00040C3A">
      <w:pPr>
        <w:tabs>
          <w:tab w:val="center" w:pos="5400"/>
        </w:tabs>
        <w:suppressAutoHyphens/>
        <w:rPr>
          <w:rFonts w:asciiTheme="majorHAnsi" w:hAnsiTheme="majorHAnsi"/>
          <w:sz w:val="22"/>
          <w:szCs w:val="22"/>
          <w:lang w:val="es-ES"/>
        </w:rPr>
      </w:pPr>
    </w:p>
    <w:p w14:paraId="2252093D" w14:textId="77777777" w:rsidR="005128E4" w:rsidRPr="00DA0E15" w:rsidRDefault="005128E4" w:rsidP="00040C3A">
      <w:pPr>
        <w:tabs>
          <w:tab w:val="center" w:pos="5400"/>
        </w:tabs>
        <w:suppressAutoHyphens/>
        <w:rPr>
          <w:rFonts w:asciiTheme="majorHAnsi" w:hAnsiTheme="majorHAnsi"/>
          <w:sz w:val="22"/>
          <w:szCs w:val="22"/>
          <w:lang w:val="es-ES"/>
        </w:rPr>
      </w:pPr>
    </w:p>
    <w:p w14:paraId="403935BD" w14:textId="77777777" w:rsidR="00040C3A" w:rsidRPr="00DA0E15"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DA0E15"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DA0E15"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DA0E15"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DA0E15"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DA0E15"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DA0E15"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DA0E15" w:rsidRDefault="003D3BC2" w:rsidP="00040C3A">
      <w:pPr>
        <w:tabs>
          <w:tab w:val="center" w:pos="5400"/>
        </w:tabs>
        <w:suppressAutoHyphens/>
        <w:jc w:val="center"/>
        <w:rPr>
          <w:rFonts w:asciiTheme="majorHAnsi" w:hAnsiTheme="majorHAnsi"/>
          <w:sz w:val="22"/>
          <w:szCs w:val="22"/>
          <w:lang w:val="es-ES"/>
        </w:rPr>
      </w:pPr>
      <w:r w:rsidRPr="00DA0E1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C17936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81236">
                              <w:rPr>
                                <w:rFonts w:asciiTheme="majorHAnsi" w:hAnsiTheme="majorHAnsi" w:cs="Arial"/>
                                <w:b/>
                                <w:bCs/>
                                <w:color w:val="0D0D0D" w:themeColor="text1" w:themeTint="F2"/>
                                <w:sz w:val="36"/>
                                <w:szCs w:val="22"/>
                                <w:lang w:val="es-ES_tradnl"/>
                              </w:rPr>
                              <w:t xml:space="preserve"> 335</w:t>
                            </w:r>
                            <w:r w:rsidR="007B05C4">
                              <w:rPr>
                                <w:rFonts w:asciiTheme="majorHAnsi" w:hAnsiTheme="majorHAnsi" w:cs="Arial"/>
                                <w:b/>
                                <w:bCs/>
                                <w:color w:val="0D0D0D" w:themeColor="text1" w:themeTint="F2"/>
                                <w:sz w:val="36"/>
                                <w:szCs w:val="22"/>
                                <w:lang w:val="es-ES_tradnl"/>
                              </w:rPr>
                              <w:t>/</w:t>
                            </w:r>
                            <w:r w:rsidR="007F595A">
                              <w:rPr>
                                <w:rFonts w:asciiTheme="majorHAnsi" w:hAnsiTheme="majorHAnsi" w:cs="Arial"/>
                                <w:b/>
                                <w:bCs/>
                                <w:color w:val="0D0D0D" w:themeColor="text1" w:themeTint="F2"/>
                                <w:sz w:val="36"/>
                                <w:szCs w:val="22"/>
                                <w:lang w:val="es-ES_tradnl"/>
                              </w:rPr>
                              <w:t>20</w:t>
                            </w:r>
                          </w:p>
                          <w:p w14:paraId="09C54AB3" w14:textId="123729E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5DA7">
                              <w:rPr>
                                <w:rFonts w:asciiTheme="majorHAnsi" w:hAnsiTheme="majorHAnsi" w:cs="Arial"/>
                                <w:b/>
                                <w:color w:val="0D0D0D" w:themeColor="text1" w:themeTint="F2"/>
                                <w:sz w:val="36"/>
                                <w:szCs w:val="22"/>
                                <w:lang w:val="es-ES_tradnl"/>
                              </w:rPr>
                              <w:t>1261</w:t>
                            </w:r>
                            <w:r w:rsidR="00246D1F" w:rsidRPr="004E2649">
                              <w:rPr>
                                <w:rFonts w:asciiTheme="majorHAnsi" w:hAnsiTheme="majorHAnsi" w:cs="Arial"/>
                                <w:b/>
                                <w:color w:val="0D0D0D" w:themeColor="text1" w:themeTint="F2"/>
                                <w:sz w:val="36"/>
                                <w:szCs w:val="22"/>
                                <w:lang w:val="es-ES_tradnl"/>
                              </w:rPr>
                              <w:t>-</w:t>
                            </w:r>
                            <w:r w:rsidR="009A5DA7">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1FB0A981" w:rsidR="00CD046C" w:rsidRDefault="005B52B0" w:rsidP="00997BC5">
                            <w:pPr>
                              <w:spacing w:line="276" w:lineRule="auto"/>
                              <w:rPr>
                                <w:rFonts w:asciiTheme="majorHAnsi" w:hAnsiTheme="majorHAnsi" w:cs="Arial"/>
                                <w:color w:val="0D0D0D" w:themeColor="text1" w:themeTint="F2"/>
                                <w:szCs w:val="22"/>
                                <w:lang w:val="es-ES_tradnl"/>
                              </w:rPr>
                            </w:pPr>
                            <w:r w:rsidRPr="00360E45">
                              <w:rPr>
                                <w:rFonts w:asciiTheme="majorHAnsi" w:hAnsiTheme="majorHAnsi" w:cs="Arial"/>
                                <w:color w:val="0D0D0D" w:themeColor="text1" w:themeTint="F2"/>
                                <w:szCs w:val="22"/>
                                <w:lang w:val="es-ES_tradnl"/>
                              </w:rPr>
                              <w:t>INFORME DE ADMISIBILIDAD</w:t>
                            </w:r>
                          </w:p>
                          <w:p w14:paraId="57636B64" w14:textId="77777777" w:rsidR="00981236" w:rsidRPr="0010736F" w:rsidRDefault="00981236" w:rsidP="00997BC5">
                            <w:pPr>
                              <w:spacing w:line="276" w:lineRule="auto"/>
                              <w:rPr>
                                <w:rFonts w:asciiTheme="majorHAnsi" w:hAnsiTheme="majorHAnsi" w:cs="Arial"/>
                                <w:color w:val="0D0D0D" w:themeColor="text1" w:themeTint="F2"/>
                                <w:szCs w:val="22"/>
                                <w:lang w:val="es-ES_tradnl"/>
                              </w:rPr>
                            </w:pPr>
                          </w:p>
                          <w:p w14:paraId="3B139233" w14:textId="2A22C351" w:rsidR="00BB045F" w:rsidRDefault="00BB045F" w:rsidP="00997BC5">
                            <w:pPr>
                              <w:spacing w:line="276" w:lineRule="auto"/>
                              <w:rPr>
                                <w:rFonts w:asciiTheme="majorHAnsi" w:hAnsiTheme="majorHAnsi" w:cs="Arial"/>
                                <w:color w:val="0D0D0D" w:themeColor="text1" w:themeTint="F2"/>
                                <w:szCs w:val="22"/>
                                <w:lang w:val="es-ES_tradnl"/>
                              </w:rPr>
                            </w:pPr>
                            <w:r w:rsidRPr="00BB045F">
                              <w:rPr>
                                <w:rFonts w:asciiTheme="majorHAnsi" w:hAnsiTheme="majorHAnsi" w:cs="Arial"/>
                                <w:color w:val="0D0D0D" w:themeColor="text1" w:themeTint="F2"/>
                                <w:szCs w:val="22"/>
                                <w:lang w:val="es-ES_tradnl"/>
                              </w:rPr>
                              <w:t>SERGIO ARGENTINO AGUIRRE</w:t>
                            </w:r>
                            <w:r>
                              <w:rPr>
                                <w:rFonts w:asciiTheme="majorHAnsi" w:hAnsiTheme="majorHAnsi" w:cs="Arial"/>
                                <w:color w:val="0D0D0D" w:themeColor="text1" w:themeTint="F2"/>
                                <w:szCs w:val="22"/>
                                <w:lang w:val="es-ES_tradnl"/>
                              </w:rPr>
                              <w:t xml:space="preserve"> </w:t>
                            </w:r>
                          </w:p>
                          <w:p w14:paraId="35068D0D" w14:textId="78DC7302" w:rsidR="005B52B0" w:rsidRPr="0010736F" w:rsidRDefault="009A5D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C17936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81236">
                        <w:rPr>
                          <w:rFonts w:asciiTheme="majorHAnsi" w:hAnsiTheme="majorHAnsi" w:cs="Arial"/>
                          <w:b/>
                          <w:bCs/>
                          <w:color w:val="0D0D0D" w:themeColor="text1" w:themeTint="F2"/>
                          <w:sz w:val="36"/>
                          <w:szCs w:val="22"/>
                          <w:lang w:val="es-ES_tradnl"/>
                        </w:rPr>
                        <w:t xml:space="preserve"> 335</w:t>
                      </w:r>
                      <w:r w:rsidR="007B05C4">
                        <w:rPr>
                          <w:rFonts w:asciiTheme="majorHAnsi" w:hAnsiTheme="majorHAnsi" w:cs="Arial"/>
                          <w:b/>
                          <w:bCs/>
                          <w:color w:val="0D0D0D" w:themeColor="text1" w:themeTint="F2"/>
                          <w:sz w:val="36"/>
                          <w:szCs w:val="22"/>
                          <w:lang w:val="es-ES_tradnl"/>
                        </w:rPr>
                        <w:t>/</w:t>
                      </w:r>
                      <w:r w:rsidR="007F595A">
                        <w:rPr>
                          <w:rFonts w:asciiTheme="majorHAnsi" w:hAnsiTheme="majorHAnsi" w:cs="Arial"/>
                          <w:b/>
                          <w:bCs/>
                          <w:color w:val="0D0D0D" w:themeColor="text1" w:themeTint="F2"/>
                          <w:sz w:val="36"/>
                          <w:szCs w:val="22"/>
                          <w:lang w:val="es-ES_tradnl"/>
                        </w:rPr>
                        <w:t>20</w:t>
                      </w:r>
                    </w:p>
                    <w:p w14:paraId="09C54AB3" w14:textId="123729E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5DA7">
                        <w:rPr>
                          <w:rFonts w:asciiTheme="majorHAnsi" w:hAnsiTheme="majorHAnsi" w:cs="Arial"/>
                          <w:b/>
                          <w:color w:val="0D0D0D" w:themeColor="text1" w:themeTint="F2"/>
                          <w:sz w:val="36"/>
                          <w:szCs w:val="22"/>
                          <w:lang w:val="es-ES_tradnl"/>
                        </w:rPr>
                        <w:t>1261</w:t>
                      </w:r>
                      <w:r w:rsidR="00246D1F" w:rsidRPr="004E2649">
                        <w:rPr>
                          <w:rFonts w:asciiTheme="majorHAnsi" w:hAnsiTheme="majorHAnsi" w:cs="Arial"/>
                          <w:b/>
                          <w:color w:val="0D0D0D" w:themeColor="text1" w:themeTint="F2"/>
                          <w:sz w:val="36"/>
                          <w:szCs w:val="22"/>
                          <w:lang w:val="es-ES_tradnl"/>
                        </w:rPr>
                        <w:t>-</w:t>
                      </w:r>
                      <w:r w:rsidR="009A5DA7">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1FB0A981" w:rsidR="00CD046C" w:rsidRDefault="005B52B0" w:rsidP="00997BC5">
                      <w:pPr>
                        <w:spacing w:line="276" w:lineRule="auto"/>
                        <w:rPr>
                          <w:rFonts w:asciiTheme="majorHAnsi" w:hAnsiTheme="majorHAnsi" w:cs="Arial"/>
                          <w:color w:val="0D0D0D" w:themeColor="text1" w:themeTint="F2"/>
                          <w:szCs w:val="22"/>
                          <w:lang w:val="es-ES_tradnl"/>
                        </w:rPr>
                      </w:pPr>
                      <w:r w:rsidRPr="00360E45">
                        <w:rPr>
                          <w:rFonts w:asciiTheme="majorHAnsi" w:hAnsiTheme="majorHAnsi" w:cs="Arial"/>
                          <w:color w:val="0D0D0D" w:themeColor="text1" w:themeTint="F2"/>
                          <w:szCs w:val="22"/>
                          <w:lang w:val="es-ES_tradnl"/>
                        </w:rPr>
                        <w:t>INFORME DE ADMISIBILIDAD</w:t>
                      </w:r>
                    </w:p>
                    <w:p w14:paraId="57636B64" w14:textId="77777777" w:rsidR="00981236" w:rsidRPr="0010736F" w:rsidRDefault="00981236" w:rsidP="00997BC5">
                      <w:pPr>
                        <w:spacing w:line="276" w:lineRule="auto"/>
                        <w:rPr>
                          <w:rFonts w:asciiTheme="majorHAnsi" w:hAnsiTheme="majorHAnsi" w:cs="Arial"/>
                          <w:color w:val="0D0D0D" w:themeColor="text1" w:themeTint="F2"/>
                          <w:szCs w:val="22"/>
                          <w:lang w:val="es-ES_tradnl"/>
                        </w:rPr>
                      </w:pPr>
                    </w:p>
                    <w:p w14:paraId="3B139233" w14:textId="2A22C351" w:rsidR="00BB045F" w:rsidRDefault="00BB045F" w:rsidP="00997BC5">
                      <w:pPr>
                        <w:spacing w:line="276" w:lineRule="auto"/>
                        <w:rPr>
                          <w:rFonts w:asciiTheme="majorHAnsi" w:hAnsiTheme="majorHAnsi" w:cs="Arial"/>
                          <w:color w:val="0D0D0D" w:themeColor="text1" w:themeTint="F2"/>
                          <w:szCs w:val="22"/>
                          <w:lang w:val="es-ES_tradnl"/>
                        </w:rPr>
                      </w:pPr>
                      <w:r w:rsidRPr="00BB045F">
                        <w:rPr>
                          <w:rFonts w:asciiTheme="majorHAnsi" w:hAnsiTheme="majorHAnsi" w:cs="Arial"/>
                          <w:color w:val="0D0D0D" w:themeColor="text1" w:themeTint="F2"/>
                          <w:szCs w:val="22"/>
                          <w:lang w:val="es-ES_tradnl"/>
                        </w:rPr>
                        <w:t>SERGIO ARGENTINO AGUIRRE</w:t>
                      </w:r>
                      <w:r>
                        <w:rPr>
                          <w:rFonts w:asciiTheme="majorHAnsi" w:hAnsiTheme="majorHAnsi" w:cs="Arial"/>
                          <w:color w:val="0D0D0D" w:themeColor="text1" w:themeTint="F2"/>
                          <w:szCs w:val="22"/>
                          <w:lang w:val="es-ES_tradnl"/>
                        </w:rPr>
                        <w:t xml:space="preserve"> </w:t>
                      </w:r>
                    </w:p>
                    <w:p w14:paraId="35068D0D" w14:textId="78DC7302" w:rsidR="005B52B0" w:rsidRPr="0010736F" w:rsidRDefault="009A5D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DA0E1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CD41372" w:rsidR="00627C9F" w:rsidRPr="00981236" w:rsidRDefault="00834D49" w:rsidP="007A5817">
                            <w:pPr>
                              <w:spacing w:line="276" w:lineRule="auto"/>
                              <w:jc w:val="right"/>
                              <w:rPr>
                                <w:rFonts w:asciiTheme="minorHAnsi" w:hAnsiTheme="minorHAnsi"/>
                                <w:color w:val="FFFFFF" w:themeColor="background1"/>
                                <w:sz w:val="22"/>
                                <w:lang w:val="es-419"/>
                              </w:rPr>
                            </w:pPr>
                            <w:r w:rsidRPr="00981236">
                              <w:rPr>
                                <w:rFonts w:asciiTheme="minorHAnsi" w:hAnsiTheme="minorHAnsi"/>
                                <w:color w:val="FFFFFF" w:themeColor="background1"/>
                                <w:sz w:val="22"/>
                                <w:lang w:val="es-419"/>
                              </w:rPr>
                              <w:t>OEA/</w:t>
                            </w:r>
                            <w:proofErr w:type="spellStart"/>
                            <w:r w:rsidRPr="00981236">
                              <w:rPr>
                                <w:rFonts w:asciiTheme="minorHAnsi" w:hAnsiTheme="minorHAnsi"/>
                                <w:color w:val="FFFFFF" w:themeColor="background1"/>
                                <w:sz w:val="22"/>
                                <w:lang w:val="es-419"/>
                              </w:rPr>
                              <w:t>Ser.L</w:t>
                            </w:r>
                            <w:proofErr w:type="spellEnd"/>
                            <w:r w:rsidRPr="00981236">
                              <w:rPr>
                                <w:rFonts w:asciiTheme="minorHAnsi" w:hAnsiTheme="minorHAnsi"/>
                                <w:color w:val="FFFFFF" w:themeColor="background1"/>
                                <w:sz w:val="22"/>
                                <w:lang w:val="es-419"/>
                              </w:rPr>
                              <w:t>/V/II.</w:t>
                            </w:r>
                          </w:p>
                          <w:p w14:paraId="6A41611B" w14:textId="4D43E48D" w:rsidR="00627C9F" w:rsidRPr="00981236" w:rsidRDefault="00981236" w:rsidP="007A5817">
                            <w:pPr>
                              <w:spacing w:line="276" w:lineRule="auto"/>
                              <w:jc w:val="right"/>
                              <w:rPr>
                                <w:rFonts w:asciiTheme="minorHAnsi" w:hAnsiTheme="minorHAnsi"/>
                                <w:color w:val="FFFFFF" w:themeColor="background1"/>
                                <w:sz w:val="22"/>
                                <w:lang w:val="es-419"/>
                              </w:rPr>
                            </w:pPr>
                            <w:r w:rsidRPr="00981236">
                              <w:rPr>
                                <w:rFonts w:asciiTheme="minorHAnsi" w:hAnsiTheme="minorHAnsi"/>
                                <w:color w:val="FFFFFF" w:themeColor="background1"/>
                                <w:sz w:val="22"/>
                                <w:lang w:val="es-419"/>
                              </w:rPr>
                              <w:t>Doc. 3</w:t>
                            </w:r>
                            <w:r>
                              <w:rPr>
                                <w:rFonts w:asciiTheme="minorHAnsi" w:hAnsiTheme="minorHAnsi"/>
                                <w:color w:val="FFFFFF" w:themeColor="background1"/>
                                <w:sz w:val="22"/>
                                <w:lang w:val="es-419"/>
                              </w:rPr>
                              <w:t>53</w:t>
                            </w:r>
                          </w:p>
                          <w:p w14:paraId="69373ED2" w14:textId="09EBB278" w:rsidR="00627C9F" w:rsidRPr="001B4C00" w:rsidRDefault="0098123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noviembre</w:t>
                            </w:r>
                            <w:r w:rsidR="007B05C4" w:rsidRPr="001B4C00">
                              <w:rPr>
                                <w:rFonts w:asciiTheme="minorHAnsi" w:hAnsiTheme="minorHAnsi"/>
                                <w:color w:val="FFFFFF" w:themeColor="background1"/>
                                <w:sz w:val="22"/>
                                <w:lang w:val="es-ES"/>
                              </w:rPr>
                              <w:t xml:space="preserve"> </w:t>
                            </w:r>
                            <w:r w:rsidR="00627C9F" w:rsidRPr="001B4C00">
                              <w:rPr>
                                <w:rFonts w:asciiTheme="minorHAnsi" w:hAnsiTheme="minorHAnsi"/>
                                <w:color w:val="FFFFFF" w:themeColor="background1"/>
                                <w:sz w:val="22"/>
                                <w:lang w:val="es-ES"/>
                              </w:rPr>
                              <w:t>20</w:t>
                            </w:r>
                            <w:r w:rsidR="007F595A">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CD41372" w:rsidR="00627C9F" w:rsidRPr="00981236" w:rsidRDefault="00834D49" w:rsidP="007A5817">
                      <w:pPr>
                        <w:spacing w:line="276" w:lineRule="auto"/>
                        <w:jc w:val="right"/>
                        <w:rPr>
                          <w:rFonts w:asciiTheme="minorHAnsi" w:hAnsiTheme="minorHAnsi"/>
                          <w:color w:val="FFFFFF" w:themeColor="background1"/>
                          <w:sz w:val="22"/>
                          <w:lang w:val="es-419"/>
                        </w:rPr>
                      </w:pPr>
                      <w:r w:rsidRPr="00981236">
                        <w:rPr>
                          <w:rFonts w:asciiTheme="minorHAnsi" w:hAnsiTheme="minorHAnsi"/>
                          <w:color w:val="FFFFFF" w:themeColor="background1"/>
                          <w:sz w:val="22"/>
                          <w:lang w:val="es-419"/>
                        </w:rPr>
                        <w:t>OEA/Ser.L/V/II.</w:t>
                      </w:r>
                    </w:p>
                    <w:p w14:paraId="6A41611B" w14:textId="4D43E48D" w:rsidR="00627C9F" w:rsidRPr="00981236" w:rsidRDefault="00981236" w:rsidP="007A5817">
                      <w:pPr>
                        <w:spacing w:line="276" w:lineRule="auto"/>
                        <w:jc w:val="right"/>
                        <w:rPr>
                          <w:rFonts w:asciiTheme="minorHAnsi" w:hAnsiTheme="minorHAnsi"/>
                          <w:color w:val="FFFFFF" w:themeColor="background1"/>
                          <w:sz w:val="22"/>
                          <w:lang w:val="es-419"/>
                        </w:rPr>
                      </w:pPr>
                      <w:r w:rsidRPr="00981236">
                        <w:rPr>
                          <w:rFonts w:asciiTheme="minorHAnsi" w:hAnsiTheme="minorHAnsi"/>
                          <w:color w:val="FFFFFF" w:themeColor="background1"/>
                          <w:sz w:val="22"/>
                          <w:lang w:val="es-419"/>
                        </w:rPr>
                        <w:t>Doc. 3</w:t>
                      </w:r>
                      <w:r>
                        <w:rPr>
                          <w:rFonts w:asciiTheme="minorHAnsi" w:hAnsiTheme="minorHAnsi"/>
                          <w:color w:val="FFFFFF" w:themeColor="background1"/>
                          <w:sz w:val="22"/>
                          <w:lang w:val="es-419"/>
                        </w:rPr>
                        <w:t>53</w:t>
                      </w:r>
                    </w:p>
                    <w:p w14:paraId="69373ED2" w14:textId="09EBB278" w:rsidR="00627C9F" w:rsidRPr="001B4C00" w:rsidRDefault="0098123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noviembre</w:t>
                      </w:r>
                      <w:r w:rsidR="007B05C4" w:rsidRPr="001B4C00">
                        <w:rPr>
                          <w:rFonts w:asciiTheme="minorHAnsi" w:hAnsiTheme="minorHAnsi"/>
                          <w:color w:val="FFFFFF" w:themeColor="background1"/>
                          <w:sz w:val="22"/>
                          <w:lang w:val="es-ES"/>
                        </w:rPr>
                        <w:t xml:space="preserve"> </w:t>
                      </w:r>
                      <w:r w:rsidR="00627C9F" w:rsidRPr="001B4C00">
                        <w:rPr>
                          <w:rFonts w:asciiTheme="minorHAnsi" w:hAnsiTheme="minorHAnsi"/>
                          <w:color w:val="FFFFFF" w:themeColor="background1"/>
                          <w:sz w:val="22"/>
                          <w:lang w:val="es-ES"/>
                        </w:rPr>
                        <w:t>20</w:t>
                      </w:r>
                      <w:r w:rsidR="007F595A">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DA0E15"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DA0E15"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DA0E15"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DA0E15"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DA0E15"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DA0E15"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DA0E15"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DA0E15"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DA0E15"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DA0E15"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DA0E15"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DA0E15"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DA0E15"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DA0E15"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DA0E15" w:rsidRDefault="0090270B" w:rsidP="00040C3A">
      <w:pPr>
        <w:tabs>
          <w:tab w:val="center" w:pos="5400"/>
        </w:tabs>
        <w:suppressAutoHyphens/>
        <w:jc w:val="center"/>
        <w:rPr>
          <w:rFonts w:asciiTheme="majorHAnsi" w:hAnsiTheme="majorHAnsi"/>
          <w:sz w:val="18"/>
          <w:szCs w:val="22"/>
          <w:lang w:val="es-ES"/>
        </w:rPr>
      </w:pPr>
      <w:r w:rsidRPr="00DA0E1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F813FD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981236">
                              <w:rPr>
                                <w:rFonts w:asciiTheme="majorHAnsi" w:hAnsiTheme="majorHAnsi"/>
                                <w:color w:val="0D0D0D" w:themeColor="text1" w:themeTint="F2"/>
                                <w:sz w:val="18"/>
                                <w:szCs w:val="22"/>
                                <w:lang w:val="es-ES"/>
                              </w:rPr>
                              <w:t xml:space="preserve"> 22 </w:t>
                            </w:r>
                            <w:r w:rsidRPr="00890650">
                              <w:rPr>
                                <w:rFonts w:asciiTheme="majorHAnsi" w:hAnsiTheme="majorHAnsi"/>
                                <w:color w:val="0D0D0D" w:themeColor="text1" w:themeTint="F2"/>
                                <w:sz w:val="18"/>
                                <w:szCs w:val="22"/>
                                <w:lang w:val="es-ES"/>
                              </w:rPr>
                              <w:t xml:space="preserve">de </w:t>
                            </w:r>
                            <w:r w:rsidR="0098123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7F595A">
                              <w:rPr>
                                <w:rFonts w:asciiTheme="majorHAnsi" w:hAnsiTheme="majorHAnsi"/>
                                <w:color w:val="0D0D0D" w:themeColor="text1" w:themeTint="F2"/>
                                <w:sz w:val="18"/>
                                <w:szCs w:val="22"/>
                                <w:lang w:val="es-ES"/>
                              </w:rPr>
                              <w:t>20</w:t>
                            </w:r>
                            <w:r w:rsidR="00EB482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F813FD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981236">
                        <w:rPr>
                          <w:rFonts w:asciiTheme="majorHAnsi" w:hAnsiTheme="majorHAnsi"/>
                          <w:color w:val="0D0D0D" w:themeColor="text1" w:themeTint="F2"/>
                          <w:sz w:val="18"/>
                          <w:szCs w:val="22"/>
                          <w:lang w:val="es-ES"/>
                        </w:rPr>
                        <w:t xml:space="preserve"> 22 </w:t>
                      </w:r>
                      <w:r w:rsidRPr="00890650">
                        <w:rPr>
                          <w:rFonts w:asciiTheme="majorHAnsi" w:hAnsiTheme="majorHAnsi"/>
                          <w:color w:val="0D0D0D" w:themeColor="text1" w:themeTint="F2"/>
                          <w:sz w:val="18"/>
                          <w:szCs w:val="22"/>
                          <w:lang w:val="es-ES"/>
                        </w:rPr>
                        <w:t xml:space="preserve">de </w:t>
                      </w:r>
                      <w:r w:rsidR="0098123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7F595A">
                        <w:rPr>
                          <w:rFonts w:asciiTheme="majorHAnsi" w:hAnsiTheme="majorHAnsi"/>
                          <w:color w:val="0D0D0D" w:themeColor="text1" w:themeTint="F2"/>
                          <w:sz w:val="18"/>
                          <w:szCs w:val="22"/>
                          <w:lang w:val="es-ES"/>
                        </w:rPr>
                        <w:t>20</w:t>
                      </w:r>
                      <w:r w:rsidR="00EB482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DA0E15" w:rsidRDefault="0090270B" w:rsidP="00040C3A">
      <w:pPr>
        <w:tabs>
          <w:tab w:val="center" w:pos="5400"/>
        </w:tabs>
        <w:suppressAutoHyphens/>
        <w:jc w:val="center"/>
        <w:rPr>
          <w:rFonts w:asciiTheme="majorHAnsi" w:hAnsiTheme="majorHAnsi"/>
          <w:sz w:val="18"/>
          <w:szCs w:val="22"/>
          <w:lang w:val="es-ES"/>
        </w:rPr>
      </w:pPr>
      <w:r w:rsidRPr="00DA0E1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3A8E2" w14:textId="58BBEF23" w:rsidR="003F0F53" w:rsidRDefault="003F0F53" w:rsidP="003F0F53">
                            <w:pPr>
                              <w:spacing w:line="276" w:lineRule="auto"/>
                              <w:rPr>
                                <w:rFonts w:ascii="Cambria" w:hAnsi="Cambria"/>
                                <w:color w:val="595959"/>
                                <w:sz w:val="18"/>
                                <w:szCs w:val="18"/>
                                <w:lang w:val="es-ES"/>
                              </w:rPr>
                            </w:pPr>
                            <w:r w:rsidRPr="002020FB">
                              <w:rPr>
                                <w:rFonts w:ascii="Cambria" w:hAnsi="Cambria"/>
                                <w:b/>
                                <w:sz w:val="18"/>
                                <w:szCs w:val="18"/>
                                <w:lang w:val="pt-BR"/>
                              </w:rPr>
                              <w:t>Citar como:</w:t>
                            </w:r>
                            <w:r w:rsidRPr="002020FB">
                              <w:rPr>
                                <w:rFonts w:ascii="Cambria" w:hAnsi="Cambria"/>
                                <w:sz w:val="18"/>
                                <w:szCs w:val="18"/>
                                <w:lang w:val="pt-BR"/>
                              </w:rPr>
                              <w:t xml:space="preserve"> </w:t>
                            </w:r>
                            <w:r w:rsidRPr="002020FB">
                              <w:rPr>
                                <w:rFonts w:ascii="Cambria" w:hAnsi="Cambria"/>
                                <w:color w:val="595959"/>
                                <w:sz w:val="18"/>
                                <w:szCs w:val="18"/>
                                <w:lang w:val="pt-BR"/>
                              </w:rPr>
                              <w:t xml:space="preserve">CIDH. Informe No. </w:t>
                            </w:r>
                            <w:r w:rsidR="00981236">
                              <w:rPr>
                                <w:rFonts w:ascii="Cambria" w:hAnsi="Cambria"/>
                                <w:color w:val="595959"/>
                                <w:sz w:val="18"/>
                                <w:szCs w:val="18"/>
                                <w:lang w:val="es-ES"/>
                              </w:rPr>
                              <w:t>335</w:t>
                            </w:r>
                            <w:r w:rsidR="009A5DA7">
                              <w:rPr>
                                <w:rFonts w:ascii="Cambria" w:hAnsi="Cambria"/>
                                <w:color w:val="595959"/>
                                <w:sz w:val="18"/>
                                <w:szCs w:val="18"/>
                                <w:lang w:val="es-ES"/>
                              </w:rPr>
                              <w:t>/</w:t>
                            </w:r>
                            <w:r w:rsidR="00981236">
                              <w:rPr>
                                <w:rFonts w:ascii="Cambria" w:hAnsi="Cambria"/>
                                <w:color w:val="595959"/>
                                <w:sz w:val="18"/>
                                <w:szCs w:val="18"/>
                                <w:lang w:val="es-ES"/>
                              </w:rPr>
                              <w:t>20</w:t>
                            </w:r>
                            <w:r w:rsidR="00EB482B">
                              <w:rPr>
                                <w:rFonts w:ascii="Cambria" w:hAnsi="Cambria"/>
                                <w:color w:val="595959"/>
                                <w:sz w:val="18"/>
                                <w:szCs w:val="18"/>
                                <w:lang w:val="es-ES"/>
                              </w:rPr>
                              <w:t xml:space="preserve">. Petición </w:t>
                            </w:r>
                            <w:r w:rsidR="009A5DA7">
                              <w:rPr>
                                <w:rFonts w:ascii="Cambria" w:hAnsi="Cambria"/>
                                <w:color w:val="595959"/>
                                <w:sz w:val="18"/>
                                <w:szCs w:val="18"/>
                                <w:lang w:val="es-ES"/>
                              </w:rPr>
                              <w:t>1261</w:t>
                            </w:r>
                            <w:r w:rsidRPr="00360E45">
                              <w:rPr>
                                <w:rFonts w:ascii="Cambria" w:hAnsi="Cambria"/>
                                <w:color w:val="595959"/>
                                <w:sz w:val="18"/>
                                <w:szCs w:val="18"/>
                                <w:lang w:val="es-ES"/>
                              </w:rPr>
                              <w:t>-09.  Admisibilidad.</w:t>
                            </w:r>
                            <w:r w:rsidRPr="003F0F53">
                              <w:rPr>
                                <w:rFonts w:ascii="Cambria" w:hAnsi="Cambria"/>
                                <w:color w:val="595959"/>
                                <w:sz w:val="18"/>
                                <w:szCs w:val="18"/>
                                <w:lang w:val="es-ES"/>
                              </w:rPr>
                              <w:t xml:space="preserve"> </w:t>
                            </w:r>
                            <w:r w:rsidR="009A5DA7">
                              <w:rPr>
                                <w:rFonts w:ascii="Cambria" w:hAnsi="Cambria"/>
                                <w:color w:val="595959"/>
                                <w:sz w:val="18"/>
                                <w:szCs w:val="18"/>
                                <w:lang w:val="es-ES"/>
                              </w:rPr>
                              <w:t xml:space="preserve"> </w:t>
                            </w:r>
                            <w:r w:rsidR="00BB045F" w:rsidRPr="004F5D8B">
                              <w:rPr>
                                <w:rFonts w:ascii="Cambria" w:hAnsi="Cambria"/>
                                <w:color w:val="595959"/>
                                <w:sz w:val="18"/>
                                <w:szCs w:val="18"/>
                                <w:lang w:val="es-CO"/>
                              </w:rPr>
                              <w:t>Sergio Argentino Aguirre.</w:t>
                            </w:r>
                            <w:r w:rsidR="00BB045F">
                              <w:rPr>
                                <w:rFonts w:ascii="Cambria" w:hAnsi="Cambria"/>
                                <w:color w:val="595959"/>
                                <w:sz w:val="18"/>
                                <w:szCs w:val="18"/>
                                <w:lang w:val="es-ES"/>
                              </w:rPr>
                              <w:t xml:space="preserve"> </w:t>
                            </w:r>
                            <w:r w:rsidR="009A5DA7">
                              <w:rPr>
                                <w:rFonts w:ascii="Cambria" w:hAnsi="Cambria"/>
                                <w:color w:val="595959"/>
                                <w:sz w:val="18"/>
                                <w:szCs w:val="18"/>
                                <w:lang w:val="es-ES"/>
                              </w:rPr>
                              <w:t>Argentina</w:t>
                            </w:r>
                            <w:r w:rsidR="004F5D8B">
                              <w:rPr>
                                <w:rFonts w:ascii="Cambria" w:hAnsi="Cambria"/>
                                <w:color w:val="595959"/>
                                <w:sz w:val="18"/>
                                <w:szCs w:val="18"/>
                                <w:lang w:val="es-ES"/>
                              </w:rPr>
                              <w:t>.</w:t>
                            </w:r>
                            <w:r w:rsidR="009A5DA7">
                              <w:rPr>
                                <w:rFonts w:ascii="Cambria" w:hAnsi="Cambria"/>
                                <w:color w:val="595959"/>
                                <w:sz w:val="18"/>
                                <w:szCs w:val="18"/>
                                <w:lang w:val="es-ES"/>
                              </w:rPr>
                              <w:t xml:space="preserve"> </w:t>
                            </w:r>
                            <w:r w:rsidRPr="003F0F53">
                              <w:rPr>
                                <w:rFonts w:ascii="Cambria" w:hAnsi="Cambria"/>
                                <w:color w:val="595959"/>
                                <w:sz w:val="18"/>
                                <w:szCs w:val="18"/>
                                <w:lang w:val="es-ES"/>
                              </w:rPr>
                              <w:t xml:space="preserve"> </w:t>
                            </w:r>
                            <w:r w:rsidR="00981236">
                              <w:rPr>
                                <w:rFonts w:ascii="Cambria" w:hAnsi="Cambria"/>
                                <w:color w:val="595959"/>
                                <w:sz w:val="18"/>
                                <w:szCs w:val="18"/>
                                <w:lang w:val="es-ES"/>
                              </w:rPr>
                              <w:t>22 de noviembre de 2020</w:t>
                            </w:r>
                            <w:r>
                              <w:rPr>
                                <w:rFonts w:ascii="Cambria" w:hAnsi="Cambria"/>
                                <w:color w:val="595959"/>
                                <w:sz w:val="18"/>
                                <w:szCs w:val="18"/>
                                <w:lang w:val="es-ES"/>
                              </w:rPr>
                              <w:t>.</w:t>
                            </w:r>
                          </w:p>
                          <w:p w14:paraId="0D1B22CF" w14:textId="6C407133"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F43A8E2" w14:textId="58BBEF23" w:rsidR="003F0F53" w:rsidRDefault="003F0F53" w:rsidP="003F0F53">
                      <w:pPr>
                        <w:spacing w:line="276" w:lineRule="auto"/>
                        <w:rPr>
                          <w:rFonts w:ascii="Cambria" w:hAnsi="Cambria"/>
                          <w:color w:val="595959"/>
                          <w:sz w:val="18"/>
                          <w:szCs w:val="18"/>
                          <w:lang w:val="es-ES"/>
                        </w:rPr>
                      </w:pPr>
                      <w:r w:rsidRPr="002020FB">
                        <w:rPr>
                          <w:rFonts w:ascii="Cambria" w:hAnsi="Cambria"/>
                          <w:b/>
                          <w:sz w:val="18"/>
                          <w:szCs w:val="18"/>
                          <w:lang w:val="pt-BR"/>
                        </w:rPr>
                        <w:t>Citar como:</w:t>
                      </w:r>
                      <w:r w:rsidRPr="002020FB">
                        <w:rPr>
                          <w:rFonts w:ascii="Cambria" w:hAnsi="Cambria"/>
                          <w:sz w:val="18"/>
                          <w:szCs w:val="18"/>
                          <w:lang w:val="pt-BR"/>
                        </w:rPr>
                        <w:t xml:space="preserve"> </w:t>
                      </w:r>
                      <w:r w:rsidRPr="002020FB">
                        <w:rPr>
                          <w:rFonts w:ascii="Cambria" w:hAnsi="Cambria"/>
                          <w:color w:val="595959"/>
                          <w:sz w:val="18"/>
                          <w:szCs w:val="18"/>
                          <w:lang w:val="pt-BR"/>
                        </w:rPr>
                        <w:t xml:space="preserve">CIDH. Informe No. </w:t>
                      </w:r>
                      <w:r w:rsidR="00981236">
                        <w:rPr>
                          <w:rFonts w:ascii="Cambria" w:hAnsi="Cambria"/>
                          <w:color w:val="595959"/>
                          <w:sz w:val="18"/>
                          <w:szCs w:val="18"/>
                          <w:lang w:val="es-ES"/>
                        </w:rPr>
                        <w:t>335</w:t>
                      </w:r>
                      <w:r w:rsidR="009A5DA7">
                        <w:rPr>
                          <w:rFonts w:ascii="Cambria" w:hAnsi="Cambria"/>
                          <w:color w:val="595959"/>
                          <w:sz w:val="18"/>
                          <w:szCs w:val="18"/>
                          <w:lang w:val="es-ES"/>
                        </w:rPr>
                        <w:t>/</w:t>
                      </w:r>
                      <w:r w:rsidR="00981236">
                        <w:rPr>
                          <w:rFonts w:ascii="Cambria" w:hAnsi="Cambria"/>
                          <w:color w:val="595959"/>
                          <w:sz w:val="18"/>
                          <w:szCs w:val="18"/>
                          <w:lang w:val="es-ES"/>
                        </w:rPr>
                        <w:t>20</w:t>
                      </w:r>
                      <w:r w:rsidR="00EB482B">
                        <w:rPr>
                          <w:rFonts w:ascii="Cambria" w:hAnsi="Cambria"/>
                          <w:color w:val="595959"/>
                          <w:sz w:val="18"/>
                          <w:szCs w:val="18"/>
                          <w:lang w:val="es-ES"/>
                        </w:rPr>
                        <w:t xml:space="preserve">. Petición </w:t>
                      </w:r>
                      <w:r w:rsidR="009A5DA7">
                        <w:rPr>
                          <w:rFonts w:ascii="Cambria" w:hAnsi="Cambria"/>
                          <w:color w:val="595959"/>
                          <w:sz w:val="18"/>
                          <w:szCs w:val="18"/>
                          <w:lang w:val="es-ES"/>
                        </w:rPr>
                        <w:t>1261</w:t>
                      </w:r>
                      <w:r w:rsidRPr="00360E45">
                        <w:rPr>
                          <w:rFonts w:ascii="Cambria" w:hAnsi="Cambria"/>
                          <w:color w:val="595959"/>
                          <w:sz w:val="18"/>
                          <w:szCs w:val="18"/>
                          <w:lang w:val="es-ES"/>
                        </w:rPr>
                        <w:t>-09.  Admisibilidad.</w:t>
                      </w:r>
                      <w:r w:rsidRPr="003F0F53">
                        <w:rPr>
                          <w:rFonts w:ascii="Cambria" w:hAnsi="Cambria"/>
                          <w:color w:val="595959"/>
                          <w:sz w:val="18"/>
                          <w:szCs w:val="18"/>
                          <w:lang w:val="es-ES"/>
                        </w:rPr>
                        <w:t xml:space="preserve"> </w:t>
                      </w:r>
                      <w:r w:rsidR="009A5DA7">
                        <w:rPr>
                          <w:rFonts w:ascii="Cambria" w:hAnsi="Cambria"/>
                          <w:color w:val="595959"/>
                          <w:sz w:val="18"/>
                          <w:szCs w:val="18"/>
                          <w:lang w:val="es-ES"/>
                        </w:rPr>
                        <w:t xml:space="preserve"> </w:t>
                      </w:r>
                      <w:r w:rsidR="00BB045F" w:rsidRPr="004F5D8B">
                        <w:rPr>
                          <w:rFonts w:ascii="Cambria" w:hAnsi="Cambria"/>
                          <w:color w:val="595959"/>
                          <w:sz w:val="18"/>
                          <w:szCs w:val="18"/>
                          <w:lang w:val="es-CO"/>
                        </w:rPr>
                        <w:t>Sergio Argentino Aguirre.</w:t>
                      </w:r>
                      <w:r w:rsidR="00BB045F">
                        <w:rPr>
                          <w:rFonts w:ascii="Cambria" w:hAnsi="Cambria"/>
                          <w:color w:val="595959"/>
                          <w:sz w:val="18"/>
                          <w:szCs w:val="18"/>
                          <w:lang w:val="es-ES"/>
                        </w:rPr>
                        <w:t xml:space="preserve"> </w:t>
                      </w:r>
                      <w:r w:rsidR="009A5DA7">
                        <w:rPr>
                          <w:rFonts w:ascii="Cambria" w:hAnsi="Cambria"/>
                          <w:color w:val="595959"/>
                          <w:sz w:val="18"/>
                          <w:szCs w:val="18"/>
                          <w:lang w:val="es-ES"/>
                        </w:rPr>
                        <w:t>Argentina</w:t>
                      </w:r>
                      <w:r w:rsidR="004F5D8B">
                        <w:rPr>
                          <w:rFonts w:ascii="Cambria" w:hAnsi="Cambria"/>
                          <w:color w:val="595959"/>
                          <w:sz w:val="18"/>
                          <w:szCs w:val="18"/>
                          <w:lang w:val="es-ES"/>
                        </w:rPr>
                        <w:t>.</w:t>
                      </w:r>
                      <w:r w:rsidR="009A5DA7">
                        <w:rPr>
                          <w:rFonts w:ascii="Cambria" w:hAnsi="Cambria"/>
                          <w:color w:val="595959"/>
                          <w:sz w:val="18"/>
                          <w:szCs w:val="18"/>
                          <w:lang w:val="es-ES"/>
                        </w:rPr>
                        <w:t xml:space="preserve"> </w:t>
                      </w:r>
                      <w:r w:rsidRPr="003F0F53">
                        <w:rPr>
                          <w:rFonts w:ascii="Cambria" w:hAnsi="Cambria"/>
                          <w:color w:val="595959"/>
                          <w:sz w:val="18"/>
                          <w:szCs w:val="18"/>
                          <w:lang w:val="es-ES"/>
                        </w:rPr>
                        <w:t xml:space="preserve"> </w:t>
                      </w:r>
                      <w:r w:rsidR="00981236">
                        <w:rPr>
                          <w:rFonts w:ascii="Cambria" w:hAnsi="Cambria"/>
                          <w:color w:val="595959"/>
                          <w:sz w:val="18"/>
                          <w:szCs w:val="18"/>
                          <w:lang w:val="es-ES"/>
                        </w:rPr>
                        <w:t>22 de noviembre de 2020</w:t>
                      </w:r>
                      <w:r>
                        <w:rPr>
                          <w:rFonts w:ascii="Cambria" w:hAnsi="Cambria"/>
                          <w:color w:val="595959"/>
                          <w:sz w:val="18"/>
                          <w:szCs w:val="18"/>
                          <w:lang w:val="es-ES"/>
                        </w:rPr>
                        <w:t>.</w:t>
                      </w:r>
                    </w:p>
                    <w:p w14:paraId="0D1B22CF" w14:textId="6C407133"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DA0E15"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DA0E15" w:rsidRDefault="00D306D1" w:rsidP="005516A1">
      <w:pPr>
        <w:tabs>
          <w:tab w:val="center" w:pos="5400"/>
        </w:tabs>
        <w:suppressAutoHyphens/>
        <w:jc w:val="center"/>
        <w:rPr>
          <w:rFonts w:asciiTheme="majorHAnsi" w:hAnsiTheme="majorHAnsi"/>
          <w:b/>
          <w:sz w:val="20"/>
          <w:lang w:val="es-ES"/>
        </w:rPr>
      </w:pPr>
      <w:r w:rsidRPr="00DA0E1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191395B">
                                  <wp:extent cx="1730828" cy="44525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51055" cy="4504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191395B">
                            <wp:extent cx="1730828" cy="44525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51055" cy="450458"/>
                                    </a:xfrm>
                                    <a:prstGeom prst="rect">
                                      <a:avLst/>
                                    </a:prstGeom>
                                    <a:noFill/>
                                    <a:ln>
                                      <a:noFill/>
                                    </a:ln>
                                  </pic:spPr>
                                </pic:pic>
                              </a:graphicData>
                            </a:graphic>
                          </wp:inline>
                        </w:drawing>
                      </w:r>
                    </w:p>
                  </w:txbxContent>
                </v:textbox>
              </v:shape>
            </w:pict>
          </mc:Fallback>
        </mc:AlternateContent>
      </w:r>
      <w:r w:rsidRPr="00DA0E1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DA0E15" w:rsidRDefault="004A6A54" w:rsidP="005516A1">
      <w:pPr>
        <w:tabs>
          <w:tab w:val="center" w:pos="5400"/>
        </w:tabs>
        <w:suppressAutoHyphens/>
        <w:jc w:val="center"/>
        <w:rPr>
          <w:rFonts w:asciiTheme="majorHAnsi" w:hAnsiTheme="majorHAnsi"/>
          <w:b/>
          <w:sz w:val="20"/>
          <w:lang w:val="es-ES"/>
        </w:rPr>
        <w:sectPr w:rsidR="0070697F" w:rsidRPr="00DA0E15"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DA0E15">
        <w:rPr>
          <w:rFonts w:asciiTheme="majorHAnsi" w:hAnsiTheme="majorHAnsi"/>
          <w:b/>
          <w:sz w:val="20"/>
          <w:lang w:val="es-ES"/>
        </w:rPr>
        <w:tab/>
      </w:r>
    </w:p>
    <w:p w14:paraId="376DDC8B" w14:textId="77777777" w:rsidR="003239B8" w:rsidRPr="00DA0E15" w:rsidRDefault="003239B8" w:rsidP="007C402A">
      <w:pPr>
        <w:spacing w:after="120"/>
        <w:ind w:firstLine="720"/>
        <w:jc w:val="both"/>
        <w:rPr>
          <w:rFonts w:asciiTheme="majorHAnsi" w:hAnsiTheme="majorHAnsi"/>
          <w:b/>
          <w:bCs/>
          <w:sz w:val="20"/>
          <w:szCs w:val="20"/>
          <w:lang w:val="es-ES"/>
        </w:rPr>
      </w:pPr>
      <w:r w:rsidRPr="00DA0E15">
        <w:rPr>
          <w:rFonts w:asciiTheme="majorHAnsi" w:hAnsiTheme="majorHAnsi"/>
          <w:b/>
          <w:bCs/>
          <w:sz w:val="20"/>
          <w:szCs w:val="20"/>
          <w:lang w:val="es-ES"/>
        </w:rPr>
        <w:lastRenderedPageBreak/>
        <w:t>I.</w:t>
      </w:r>
      <w:r w:rsidRPr="00DA0E15">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DA0E15"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DA0E15" w:rsidRDefault="00D77503" w:rsidP="008D2290">
            <w:pPr>
              <w:jc w:val="center"/>
              <w:rPr>
                <w:rFonts w:asciiTheme="majorHAnsi" w:hAnsiTheme="majorHAnsi"/>
                <w:bCs/>
                <w:color w:val="FFFFFF" w:themeColor="background1"/>
                <w:sz w:val="19"/>
                <w:szCs w:val="19"/>
                <w:lang w:val="es-ES"/>
              </w:rPr>
            </w:pPr>
            <w:r w:rsidRPr="00DA0E15">
              <w:rPr>
                <w:rFonts w:asciiTheme="majorHAnsi" w:hAnsiTheme="majorHAnsi"/>
                <w:bCs/>
                <w:color w:val="FFFFFF" w:themeColor="background1"/>
                <w:sz w:val="19"/>
                <w:szCs w:val="19"/>
                <w:lang w:val="es-ES"/>
              </w:rPr>
              <w:t>Parte peticionaria</w:t>
            </w:r>
          </w:p>
        </w:tc>
        <w:tc>
          <w:tcPr>
            <w:tcW w:w="6570" w:type="dxa"/>
            <w:vAlign w:val="center"/>
          </w:tcPr>
          <w:p w14:paraId="3C5315D8" w14:textId="79D7E232" w:rsidR="003239B8" w:rsidRPr="00DA0E15" w:rsidRDefault="001C4626" w:rsidP="008D2290">
            <w:pPr>
              <w:jc w:val="both"/>
              <w:rPr>
                <w:rFonts w:asciiTheme="majorHAnsi" w:hAnsiTheme="majorHAnsi"/>
                <w:bCs/>
                <w:sz w:val="19"/>
                <w:szCs w:val="19"/>
                <w:lang w:val="es-ES"/>
              </w:rPr>
            </w:pPr>
            <w:proofErr w:type="spellStart"/>
            <w:r w:rsidRPr="00DA0E15">
              <w:rPr>
                <w:rFonts w:asciiTheme="majorHAnsi" w:hAnsiTheme="majorHAnsi"/>
                <w:bCs/>
                <w:sz w:val="19"/>
                <w:szCs w:val="19"/>
                <w:lang w:val="es-ES"/>
              </w:rPr>
              <w:t>Lenor</w:t>
            </w:r>
            <w:proofErr w:type="spellEnd"/>
            <w:r w:rsidRPr="00DA0E15">
              <w:rPr>
                <w:rFonts w:asciiTheme="majorHAnsi" w:hAnsiTheme="majorHAnsi"/>
                <w:bCs/>
                <w:sz w:val="19"/>
                <w:szCs w:val="19"/>
                <w:lang w:val="es-ES"/>
              </w:rPr>
              <w:t xml:space="preserve"> Mirta </w:t>
            </w:r>
            <w:proofErr w:type="spellStart"/>
            <w:r w:rsidRPr="00DA0E15">
              <w:rPr>
                <w:rFonts w:asciiTheme="majorHAnsi" w:hAnsiTheme="majorHAnsi"/>
                <w:bCs/>
                <w:sz w:val="19"/>
                <w:szCs w:val="19"/>
                <w:lang w:val="es-ES"/>
              </w:rPr>
              <w:t>Aimone</w:t>
            </w:r>
            <w:proofErr w:type="spellEnd"/>
          </w:p>
        </w:tc>
      </w:tr>
      <w:tr w:rsidR="003239B8" w:rsidRPr="00DA0E15"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DA0E15" w:rsidRDefault="002355A9" w:rsidP="008D2290">
            <w:pPr>
              <w:jc w:val="center"/>
              <w:rPr>
                <w:rFonts w:asciiTheme="majorHAnsi" w:hAnsiTheme="majorHAnsi"/>
                <w:bCs/>
                <w:color w:val="FFFFFF" w:themeColor="background1"/>
                <w:sz w:val="19"/>
                <w:szCs w:val="19"/>
                <w:lang w:val="es-ES"/>
              </w:rPr>
            </w:pPr>
            <w:r w:rsidRPr="00DA0E15">
              <w:rPr>
                <w:rFonts w:asciiTheme="majorHAnsi" w:hAnsiTheme="majorHAnsi"/>
                <w:bCs/>
                <w:color w:val="FFFFFF" w:themeColor="background1"/>
                <w:sz w:val="19"/>
                <w:szCs w:val="19"/>
                <w:lang w:val="es-ES"/>
              </w:rPr>
              <w:t>Presunta víctima</w:t>
            </w:r>
          </w:p>
        </w:tc>
        <w:tc>
          <w:tcPr>
            <w:tcW w:w="6570" w:type="dxa"/>
            <w:vAlign w:val="center"/>
          </w:tcPr>
          <w:p w14:paraId="4AEBF59E" w14:textId="6B446E77" w:rsidR="003239B8" w:rsidRPr="00DA0E15" w:rsidRDefault="00BB045F" w:rsidP="005B6D22">
            <w:pPr>
              <w:jc w:val="both"/>
              <w:rPr>
                <w:rFonts w:asciiTheme="majorHAnsi" w:hAnsiTheme="majorHAnsi"/>
                <w:bCs/>
                <w:sz w:val="19"/>
                <w:szCs w:val="19"/>
                <w:lang w:val="es-ES"/>
              </w:rPr>
            </w:pPr>
            <w:r w:rsidRPr="00DA0E15">
              <w:rPr>
                <w:rFonts w:asciiTheme="majorHAnsi" w:hAnsiTheme="majorHAnsi"/>
                <w:bCs/>
                <w:sz w:val="19"/>
                <w:szCs w:val="19"/>
                <w:lang w:val="es-ES"/>
              </w:rPr>
              <w:t>Sergio Argentino Aguirre</w:t>
            </w:r>
          </w:p>
        </w:tc>
      </w:tr>
      <w:tr w:rsidR="003239B8" w:rsidRPr="00DA0E15"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DA0E15" w:rsidRDefault="00D77503" w:rsidP="008D2290">
            <w:pPr>
              <w:jc w:val="center"/>
              <w:rPr>
                <w:rFonts w:asciiTheme="majorHAnsi" w:hAnsiTheme="majorHAnsi"/>
                <w:bCs/>
                <w:color w:val="FFFFFF" w:themeColor="background1"/>
                <w:sz w:val="19"/>
                <w:szCs w:val="19"/>
                <w:lang w:val="es-ES"/>
              </w:rPr>
            </w:pPr>
            <w:r w:rsidRPr="00DA0E15">
              <w:rPr>
                <w:rFonts w:asciiTheme="majorHAnsi" w:hAnsiTheme="majorHAnsi"/>
                <w:bCs/>
                <w:color w:val="FFFFFF" w:themeColor="background1"/>
                <w:sz w:val="19"/>
                <w:szCs w:val="19"/>
                <w:lang w:val="es-ES"/>
              </w:rPr>
              <w:t>Estado denunciado</w:t>
            </w:r>
          </w:p>
        </w:tc>
        <w:tc>
          <w:tcPr>
            <w:tcW w:w="6570" w:type="dxa"/>
            <w:vAlign w:val="center"/>
          </w:tcPr>
          <w:p w14:paraId="274C8A50" w14:textId="2762B7E4" w:rsidR="003239B8" w:rsidRPr="00DA0E15" w:rsidRDefault="009A5DA7" w:rsidP="001901E9">
            <w:pPr>
              <w:jc w:val="both"/>
              <w:rPr>
                <w:rFonts w:asciiTheme="majorHAnsi" w:hAnsiTheme="majorHAnsi"/>
                <w:bCs/>
                <w:sz w:val="19"/>
                <w:szCs w:val="19"/>
                <w:lang w:val="es-ES"/>
              </w:rPr>
            </w:pPr>
            <w:r w:rsidRPr="00DA0E15">
              <w:rPr>
                <w:rFonts w:asciiTheme="majorHAnsi" w:hAnsiTheme="majorHAnsi"/>
                <w:bCs/>
                <w:sz w:val="19"/>
                <w:szCs w:val="19"/>
                <w:lang w:val="es-ES"/>
              </w:rPr>
              <w:t>Argentina</w:t>
            </w:r>
          </w:p>
        </w:tc>
      </w:tr>
      <w:tr w:rsidR="00223A29" w:rsidRPr="00EB482B"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DA0E15" w:rsidRDefault="001B3A00" w:rsidP="00E4118C">
            <w:pPr>
              <w:jc w:val="center"/>
              <w:rPr>
                <w:rFonts w:asciiTheme="majorHAnsi" w:hAnsiTheme="majorHAnsi"/>
                <w:bCs/>
                <w:color w:val="FFFFFF" w:themeColor="background1"/>
                <w:sz w:val="19"/>
                <w:szCs w:val="19"/>
                <w:lang w:val="es-ES"/>
              </w:rPr>
            </w:pPr>
            <w:r w:rsidRPr="00DA0E15">
              <w:rPr>
                <w:rFonts w:asciiTheme="majorHAnsi" w:hAnsiTheme="majorHAnsi"/>
                <w:bCs/>
                <w:color w:val="FFFFFF" w:themeColor="background1"/>
                <w:sz w:val="19"/>
                <w:szCs w:val="19"/>
                <w:lang w:val="es-ES"/>
              </w:rPr>
              <w:t xml:space="preserve">Derechos </w:t>
            </w:r>
            <w:r w:rsidR="00E4118C" w:rsidRPr="00DA0E15">
              <w:rPr>
                <w:rFonts w:asciiTheme="majorHAnsi" w:hAnsiTheme="majorHAnsi"/>
                <w:bCs/>
                <w:color w:val="FFFFFF" w:themeColor="background1"/>
                <w:sz w:val="19"/>
                <w:szCs w:val="19"/>
                <w:lang w:val="es-ES"/>
              </w:rPr>
              <w:t>invocados</w:t>
            </w:r>
          </w:p>
        </w:tc>
        <w:tc>
          <w:tcPr>
            <w:tcW w:w="6570" w:type="dxa"/>
            <w:vAlign w:val="center"/>
          </w:tcPr>
          <w:p w14:paraId="6DEE1EEB" w14:textId="00AABF8C" w:rsidR="00223A29" w:rsidRPr="00DA0E15" w:rsidRDefault="00EA0B79" w:rsidP="00EC5C93">
            <w:pPr>
              <w:jc w:val="both"/>
              <w:rPr>
                <w:rFonts w:asciiTheme="majorHAnsi" w:hAnsiTheme="majorHAnsi"/>
                <w:bCs/>
                <w:sz w:val="19"/>
                <w:szCs w:val="19"/>
                <w:lang w:val="es-CO"/>
              </w:rPr>
            </w:pPr>
            <w:r w:rsidRPr="00DA0E15">
              <w:rPr>
                <w:rFonts w:asciiTheme="majorHAnsi" w:hAnsiTheme="majorHAnsi"/>
                <w:bCs/>
                <w:sz w:val="19"/>
                <w:szCs w:val="19"/>
                <w:lang w:val="es-CO"/>
              </w:rPr>
              <w:t>Artículos 4</w:t>
            </w:r>
            <w:r w:rsidR="00F4700C" w:rsidRPr="00DA0E15">
              <w:rPr>
                <w:rFonts w:asciiTheme="majorHAnsi" w:hAnsiTheme="majorHAnsi"/>
                <w:bCs/>
                <w:sz w:val="19"/>
                <w:szCs w:val="19"/>
                <w:lang w:val="es-CO"/>
              </w:rPr>
              <w:t xml:space="preserve"> (derecho a la vida)</w:t>
            </w:r>
            <w:r w:rsidRPr="00DA0E15">
              <w:rPr>
                <w:rFonts w:asciiTheme="majorHAnsi" w:hAnsiTheme="majorHAnsi"/>
                <w:bCs/>
                <w:sz w:val="19"/>
                <w:szCs w:val="19"/>
                <w:lang w:val="es-CO"/>
              </w:rPr>
              <w:t>, 5</w:t>
            </w:r>
            <w:r w:rsidR="00F4700C" w:rsidRPr="00DA0E15">
              <w:rPr>
                <w:rFonts w:asciiTheme="majorHAnsi" w:hAnsiTheme="majorHAnsi"/>
                <w:bCs/>
                <w:sz w:val="19"/>
                <w:szCs w:val="19"/>
                <w:lang w:val="es-CO"/>
              </w:rPr>
              <w:t xml:space="preserve"> </w:t>
            </w:r>
            <w:r w:rsidR="00F4700C" w:rsidRPr="00DA0E15">
              <w:rPr>
                <w:rFonts w:asciiTheme="majorHAnsi" w:hAnsiTheme="majorHAnsi"/>
                <w:bCs/>
                <w:sz w:val="19"/>
                <w:szCs w:val="19"/>
                <w:lang w:val="es-ES"/>
              </w:rPr>
              <w:t>(integridad personal),</w:t>
            </w:r>
            <w:r w:rsidR="00A53E08" w:rsidRPr="00DA0E15">
              <w:rPr>
                <w:rFonts w:asciiTheme="majorHAnsi" w:hAnsiTheme="majorHAnsi"/>
                <w:bCs/>
                <w:sz w:val="19"/>
                <w:szCs w:val="19"/>
                <w:lang w:val="es-CO"/>
              </w:rPr>
              <w:t xml:space="preserve"> 11 (protección a la honra e integridad), </w:t>
            </w:r>
            <w:r w:rsidRPr="00DA0E15">
              <w:rPr>
                <w:rFonts w:asciiTheme="majorHAnsi" w:hAnsiTheme="majorHAnsi"/>
                <w:bCs/>
                <w:sz w:val="19"/>
                <w:szCs w:val="19"/>
                <w:lang w:val="es-CO"/>
              </w:rPr>
              <w:t>17</w:t>
            </w:r>
            <w:r w:rsidR="00F4700C" w:rsidRPr="00DA0E15">
              <w:rPr>
                <w:rFonts w:asciiTheme="majorHAnsi" w:hAnsiTheme="majorHAnsi"/>
                <w:bCs/>
                <w:sz w:val="19"/>
                <w:szCs w:val="19"/>
                <w:lang w:val="es-CO"/>
              </w:rPr>
              <w:t xml:space="preserve"> (Protección a la familia)</w:t>
            </w:r>
            <w:r w:rsidRPr="00DA0E15">
              <w:rPr>
                <w:rFonts w:asciiTheme="majorHAnsi" w:hAnsiTheme="majorHAnsi"/>
                <w:bCs/>
                <w:sz w:val="19"/>
                <w:szCs w:val="19"/>
                <w:lang w:val="es-CO"/>
              </w:rPr>
              <w:t xml:space="preserve">, </w:t>
            </w:r>
            <w:r w:rsidR="00F4700C" w:rsidRPr="00DA0E15">
              <w:rPr>
                <w:rFonts w:asciiTheme="majorHAnsi" w:hAnsiTheme="majorHAnsi"/>
                <w:bCs/>
                <w:sz w:val="19"/>
                <w:szCs w:val="19"/>
                <w:lang w:val="es-ES"/>
              </w:rPr>
              <w:t>24 (igualdad)</w:t>
            </w:r>
            <w:r w:rsidRPr="00DA0E15">
              <w:rPr>
                <w:rFonts w:asciiTheme="majorHAnsi" w:hAnsiTheme="majorHAnsi"/>
                <w:bCs/>
                <w:sz w:val="19"/>
                <w:szCs w:val="19"/>
                <w:lang w:val="es-CO"/>
              </w:rPr>
              <w:t xml:space="preserve"> y 27 </w:t>
            </w:r>
            <w:r w:rsidR="00F4700C" w:rsidRPr="00DA0E15">
              <w:rPr>
                <w:rFonts w:asciiTheme="majorHAnsi" w:hAnsiTheme="majorHAnsi"/>
                <w:bCs/>
                <w:sz w:val="19"/>
                <w:szCs w:val="19"/>
                <w:lang w:val="es-CO"/>
              </w:rPr>
              <w:t>(</w:t>
            </w:r>
            <w:r w:rsidR="00577CA3" w:rsidRPr="00DA0E15">
              <w:rPr>
                <w:rFonts w:asciiTheme="majorHAnsi" w:hAnsiTheme="majorHAnsi"/>
                <w:bCs/>
                <w:sz w:val="19"/>
                <w:szCs w:val="19"/>
                <w:lang w:val="es-CO"/>
              </w:rPr>
              <w:t>suspensión de garantías</w:t>
            </w:r>
            <w:r w:rsidR="00F4700C" w:rsidRPr="00DA0E15">
              <w:rPr>
                <w:rFonts w:asciiTheme="majorHAnsi" w:hAnsiTheme="majorHAnsi"/>
                <w:bCs/>
                <w:sz w:val="19"/>
                <w:szCs w:val="19"/>
                <w:lang w:val="es-CO"/>
              </w:rPr>
              <w:t>)</w:t>
            </w:r>
            <w:r w:rsidR="00577CA3" w:rsidRPr="00DA0E15">
              <w:rPr>
                <w:rFonts w:asciiTheme="majorHAnsi" w:hAnsiTheme="majorHAnsi"/>
                <w:bCs/>
                <w:sz w:val="19"/>
                <w:szCs w:val="19"/>
                <w:lang w:val="es-CO"/>
              </w:rPr>
              <w:t xml:space="preserve"> </w:t>
            </w:r>
            <w:r w:rsidRPr="00DA0E15">
              <w:rPr>
                <w:rFonts w:asciiTheme="majorHAnsi" w:hAnsiTheme="majorHAnsi"/>
                <w:bCs/>
                <w:sz w:val="19"/>
                <w:szCs w:val="19"/>
                <w:lang w:val="es-CO"/>
              </w:rPr>
              <w:t xml:space="preserve">de la Convención Americana </w:t>
            </w:r>
            <w:r w:rsidRPr="00DA0E15">
              <w:rPr>
                <w:rFonts w:asciiTheme="majorHAnsi" w:hAnsiTheme="majorHAnsi"/>
                <w:bCs/>
                <w:sz w:val="19"/>
                <w:szCs w:val="19"/>
                <w:lang w:val="es-ES"/>
              </w:rPr>
              <w:t>sobre Derechos Humanos</w:t>
            </w:r>
            <w:r w:rsidRPr="00DA0E15">
              <w:rPr>
                <w:rStyle w:val="FootnoteReference"/>
                <w:rFonts w:asciiTheme="majorHAnsi" w:hAnsiTheme="majorHAnsi"/>
                <w:bCs/>
                <w:sz w:val="19"/>
                <w:szCs w:val="19"/>
                <w:lang w:val="es-ES"/>
              </w:rPr>
              <w:footnoteReference w:id="2"/>
            </w:r>
            <w:r w:rsidR="005727D3" w:rsidRPr="00DA0E15">
              <w:rPr>
                <w:rFonts w:asciiTheme="majorHAnsi" w:hAnsiTheme="majorHAnsi"/>
                <w:bCs/>
                <w:sz w:val="19"/>
                <w:szCs w:val="19"/>
                <w:lang w:val="es-ES"/>
              </w:rPr>
              <w:t xml:space="preserve">, en relación con </w:t>
            </w:r>
            <w:r w:rsidR="00EC5C93">
              <w:rPr>
                <w:rFonts w:asciiTheme="majorHAnsi" w:hAnsiTheme="majorHAnsi"/>
                <w:bCs/>
                <w:sz w:val="19"/>
                <w:szCs w:val="19"/>
                <w:lang w:val="es-ES"/>
              </w:rPr>
              <w:t>su</w:t>
            </w:r>
            <w:r w:rsidR="005727D3" w:rsidRPr="00DA0E15">
              <w:rPr>
                <w:rFonts w:asciiTheme="majorHAnsi" w:hAnsiTheme="majorHAnsi"/>
                <w:bCs/>
                <w:sz w:val="19"/>
                <w:szCs w:val="19"/>
                <w:lang w:val="es-ES"/>
              </w:rPr>
              <w:t xml:space="preserve"> artículo </w:t>
            </w:r>
            <w:r w:rsidR="005727D3" w:rsidRPr="00DA0E15">
              <w:rPr>
                <w:rFonts w:asciiTheme="majorHAnsi" w:hAnsiTheme="majorHAnsi"/>
                <w:sz w:val="19"/>
                <w:szCs w:val="19"/>
                <w:lang w:val="es-ES"/>
              </w:rPr>
              <w:t xml:space="preserve">1.1 (obligación de respetar los derechos); </w:t>
            </w:r>
            <w:r w:rsidR="00397B15" w:rsidRPr="00DA0E15">
              <w:rPr>
                <w:rFonts w:asciiTheme="majorHAnsi" w:hAnsiTheme="majorHAnsi"/>
                <w:bCs/>
                <w:sz w:val="19"/>
                <w:szCs w:val="19"/>
                <w:lang w:val="es-ES"/>
              </w:rPr>
              <w:t>artículo 18 del Protocolo San Salvador; Artículos 1 y 2 Convención Interamericana para la Eliminación de todas las formas de Discriminación contra las Personas con Discapacidad</w:t>
            </w:r>
          </w:p>
        </w:tc>
      </w:tr>
    </w:tbl>
    <w:p w14:paraId="20263696" w14:textId="77777777" w:rsidR="003239B8" w:rsidRPr="00DA0E15" w:rsidRDefault="003239B8" w:rsidP="007C402A">
      <w:pPr>
        <w:spacing w:before="120" w:after="120"/>
        <w:ind w:firstLine="720"/>
        <w:jc w:val="both"/>
        <w:rPr>
          <w:rFonts w:asciiTheme="majorHAnsi" w:hAnsiTheme="majorHAnsi"/>
          <w:b/>
          <w:bCs/>
          <w:sz w:val="20"/>
          <w:szCs w:val="20"/>
          <w:lang w:val="es-ES"/>
        </w:rPr>
      </w:pPr>
      <w:r w:rsidRPr="00DA0E15">
        <w:rPr>
          <w:rFonts w:asciiTheme="majorHAnsi" w:hAnsiTheme="majorHAnsi"/>
          <w:b/>
          <w:bCs/>
          <w:sz w:val="20"/>
          <w:szCs w:val="20"/>
          <w:lang w:val="es-ES"/>
        </w:rPr>
        <w:t>II.</w:t>
      </w:r>
      <w:r w:rsidRPr="00DA0E15">
        <w:rPr>
          <w:rFonts w:asciiTheme="majorHAnsi" w:hAnsiTheme="majorHAnsi"/>
          <w:b/>
          <w:bCs/>
          <w:sz w:val="20"/>
          <w:szCs w:val="20"/>
          <w:lang w:val="es-ES"/>
        </w:rPr>
        <w:tab/>
        <w:t>TRÁMITE ANTE LA CIDH</w:t>
      </w:r>
      <w:r w:rsidR="008E3BFE" w:rsidRPr="00DA0E15">
        <w:rPr>
          <w:rStyle w:val="FootnoteReference"/>
          <w:rFonts w:asciiTheme="majorHAnsi" w:hAnsiTheme="majorHAnsi"/>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DA0E15"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DA0E15" w:rsidRDefault="000C1C69" w:rsidP="004A6A54">
            <w:pPr>
              <w:jc w:val="center"/>
              <w:rPr>
                <w:rFonts w:asciiTheme="majorHAnsi" w:hAnsiTheme="majorHAnsi"/>
                <w:bCs/>
                <w:color w:val="FFFFFF" w:themeColor="background1"/>
                <w:sz w:val="19"/>
                <w:szCs w:val="19"/>
                <w:lang w:val="es-ES"/>
              </w:rPr>
            </w:pPr>
            <w:r w:rsidRPr="00DA0E15">
              <w:rPr>
                <w:rFonts w:asciiTheme="majorHAnsi" w:hAnsiTheme="majorHAnsi"/>
                <w:bCs/>
                <w:color w:val="FFFFFF" w:themeColor="background1"/>
                <w:sz w:val="19"/>
                <w:szCs w:val="19"/>
                <w:lang w:val="es-ES"/>
              </w:rPr>
              <w:t>Recepción</w:t>
            </w:r>
            <w:r w:rsidR="00D77503" w:rsidRPr="00DA0E15">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1A73DD87" w:rsidR="004C2312" w:rsidRPr="00DA0E15" w:rsidRDefault="00F35B2D" w:rsidP="002625EA">
            <w:pPr>
              <w:jc w:val="both"/>
              <w:rPr>
                <w:rFonts w:asciiTheme="majorHAnsi" w:hAnsiTheme="majorHAnsi"/>
                <w:bCs/>
                <w:sz w:val="19"/>
                <w:szCs w:val="19"/>
                <w:lang w:val="es-ES"/>
              </w:rPr>
            </w:pPr>
            <w:r w:rsidRPr="00DA0E15">
              <w:rPr>
                <w:rFonts w:asciiTheme="majorHAnsi" w:hAnsiTheme="majorHAnsi"/>
                <w:bCs/>
                <w:sz w:val="19"/>
                <w:szCs w:val="19"/>
                <w:lang w:val="es-ES"/>
              </w:rPr>
              <w:t>8 de octubre de 2009</w:t>
            </w:r>
          </w:p>
        </w:tc>
      </w:tr>
      <w:tr w:rsidR="007F595A" w:rsidRPr="007F595A" w14:paraId="40CFCB97" w14:textId="77777777" w:rsidTr="00954B82">
        <w:tc>
          <w:tcPr>
            <w:tcW w:w="2790" w:type="dxa"/>
            <w:tcBorders>
              <w:top w:val="single" w:sz="6" w:space="0" w:color="auto"/>
              <w:bottom w:val="single" w:sz="6" w:space="0" w:color="auto"/>
            </w:tcBorders>
            <w:shd w:val="clear" w:color="auto" w:fill="386294"/>
            <w:vAlign w:val="center"/>
          </w:tcPr>
          <w:p w14:paraId="0AE0521B" w14:textId="7EEF759B" w:rsidR="007F595A" w:rsidRPr="00DA0E15" w:rsidRDefault="007F595A" w:rsidP="000C1C69">
            <w:pPr>
              <w:jc w:val="center"/>
              <w:rPr>
                <w:rFonts w:asciiTheme="majorHAnsi" w:hAnsiTheme="majorHAnsi"/>
                <w:color w:val="FFFFFF" w:themeColor="background1"/>
                <w:sz w:val="19"/>
                <w:szCs w:val="19"/>
                <w:lang w:val="es-ES"/>
              </w:rPr>
            </w:pPr>
            <w:r w:rsidRPr="007F595A">
              <w:rPr>
                <w:rFonts w:asciiTheme="majorHAnsi" w:hAnsiTheme="majorHAnsi"/>
                <w:color w:val="FFFFFF" w:themeColor="background1"/>
                <w:sz w:val="19"/>
                <w:szCs w:val="19"/>
                <w:lang w:val="es-ES"/>
              </w:rPr>
              <w:t>Información adicional recibida durante la etapa de estudio</w:t>
            </w:r>
          </w:p>
        </w:tc>
        <w:tc>
          <w:tcPr>
            <w:tcW w:w="6570" w:type="dxa"/>
            <w:vAlign w:val="center"/>
          </w:tcPr>
          <w:p w14:paraId="5ABA86BC" w14:textId="3359D6D1" w:rsidR="007F595A" w:rsidRPr="00DA0E15" w:rsidRDefault="007F595A" w:rsidP="008D2290">
            <w:pPr>
              <w:jc w:val="both"/>
              <w:rPr>
                <w:rFonts w:asciiTheme="majorHAnsi" w:hAnsiTheme="majorHAnsi"/>
                <w:bCs/>
                <w:sz w:val="19"/>
                <w:szCs w:val="19"/>
                <w:lang w:val="es-ES"/>
              </w:rPr>
            </w:pPr>
            <w:r>
              <w:rPr>
                <w:rFonts w:asciiTheme="majorHAnsi" w:hAnsiTheme="majorHAnsi"/>
                <w:bCs/>
                <w:sz w:val="19"/>
                <w:szCs w:val="19"/>
                <w:lang w:val="es-ES"/>
              </w:rPr>
              <w:t>29 de setiembre de 2016</w:t>
            </w:r>
          </w:p>
        </w:tc>
      </w:tr>
      <w:tr w:rsidR="004C2312" w:rsidRPr="00DA0E15"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DA0E15" w:rsidRDefault="004A6A54" w:rsidP="000C1C69">
            <w:pPr>
              <w:jc w:val="center"/>
              <w:rPr>
                <w:rFonts w:asciiTheme="majorHAnsi" w:hAnsiTheme="majorHAnsi"/>
                <w:bCs/>
                <w:color w:val="FFFFFF" w:themeColor="background1"/>
                <w:sz w:val="19"/>
                <w:szCs w:val="19"/>
                <w:lang w:val="es-ES"/>
              </w:rPr>
            </w:pPr>
            <w:r w:rsidRPr="00DA0E15">
              <w:rPr>
                <w:rFonts w:asciiTheme="majorHAnsi" w:hAnsiTheme="majorHAnsi"/>
                <w:color w:val="FFFFFF" w:themeColor="background1"/>
                <w:sz w:val="19"/>
                <w:szCs w:val="19"/>
                <w:lang w:val="es-ES"/>
              </w:rPr>
              <w:t>N</w:t>
            </w:r>
            <w:r w:rsidR="004C2312" w:rsidRPr="00DA0E15">
              <w:rPr>
                <w:rFonts w:asciiTheme="majorHAnsi" w:hAnsiTheme="majorHAnsi"/>
                <w:color w:val="FFFFFF" w:themeColor="background1"/>
                <w:sz w:val="19"/>
                <w:szCs w:val="19"/>
                <w:lang w:val="es-ES"/>
              </w:rPr>
              <w:t>otificación de la petición</w:t>
            </w:r>
          </w:p>
        </w:tc>
        <w:tc>
          <w:tcPr>
            <w:tcW w:w="6570" w:type="dxa"/>
            <w:vAlign w:val="center"/>
          </w:tcPr>
          <w:p w14:paraId="1519DA6A" w14:textId="736A57FF" w:rsidR="004C2312" w:rsidRPr="00DA0E15" w:rsidRDefault="005C47E4" w:rsidP="008D2290">
            <w:pPr>
              <w:jc w:val="both"/>
              <w:rPr>
                <w:rFonts w:asciiTheme="majorHAnsi" w:hAnsiTheme="majorHAnsi"/>
                <w:bCs/>
                <w:sz w:val="19"/>
                <w:szCs w:val="19"/>
                <w:lang w:val="es-ES"/>
              </w:rPr>
            </w:pPr>
            <w:r w:rsidRPr="00DA0E15">
              <w:rPr>
                <w:rFonts w:asciiTheme="majorHAnsi" w:hAnsiTheme="majorHAnsi"/>
                <w:bCs/>
                <w:sz w:val="19"/>
                <w:szCs w:val="19"/>
                <w:lang w:val="es-ES"/>
              </w:rPr>
              <w:t>3 de octubre de 2016</w:t>
            </w:r>
          </w:p>
        </w:tc>
      </w:tr>
      <w:tr w:rsidR="00F06354" w:rsidRPr="00DA0E15"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DA0E15" w:rsidRDefault="00D77503" w:rsidP="00F06354">
            <w:pPr>
              <w:jc w:val="center"/>
              <w:rPr>
                <w:rFonts w:asciiTheme="majorHAnsi" w:hAnsiTheme="majorHAnsi"/>
                <w:bCs/>
                <w:color w:val="FFFFFF" w:themeColor="background1"/>
                <w:sz w:val="19"/>
                <w:szCs w:val="19"/>
                <w:lang w:val="es-ES"/>
              </w:rPr>
            </w:pPr>
            <w:r w:rsidRPr="00DA0E15">
              <w:rPr>
                <w:rFonts w:asciiTheme="majorHAnsi" w:hAnsiTheme="majorHAnsi"/>
                <w:color w:val="FFFFFF" w:themeColor="background1"/>
                <w:sz w:val="19"/>
                <w:szCs w:val="19"/>
                <w:lang w:val="es-ES"/>
              </w:rPr>
              <w:t>Primera respuesta del Estado</w:t>
            </w:r>
          </w:p>
        </w:tc>
        <w:tc>
          <w:tcPr>
            <w:tcW w:w="6570" w:type="dxa"/>
            <w:vAlign w:val="center"/>
          </w:tcPr>
          <w:p w14:paraId="1972B99E" w14:textId="57C2E3A9" w:rsidR="00F06354" w:rsidRPr="00DA0E15" w:rsidRDefault="00397B15" w:rsidP="00F06354">
            <w:pPr>
              <w:jc w:val="both"/>
              <w:rPr>
                <w:rFonts w:asciiTheme="majorHAnsi" w:hAnsiTheme="majorHAnsi"/>
                <w:bCs/>
                <w:sz w:val="19"/>
                <w:szCs w:val="19"/>
                <w:lang w:val="es-ES"/>
              </w:rPr>
            </w:pPr>
            <w:r w:rsidRPr="00DA0E15">
              <w:rPr>
                <w:rFonts w:asciiTheme="majorHAnsi" w:hAnsiTheme="majorHAnsi"/>
                <w:bCs/>
                <w:sz w:val="19"/>
                <w:szCs w:val="19"/>
                <w:lang w:val="es-ES"/>
              </w:rPr>
              <w:t>18 de se</w:t>
            </w:r>
            <w:r w:rsidR="00114403">
              <w:rPr>
                <w:rFonts w:asciiTheme="majorHAnsi" w:hAnsiTheme="majorHAnsi"/>
                <w:bCs/>
                <w:sz w:val="19"/>
                <w:szCs w:val="19"/>
                <w:lang w:val="es-ES"/>
              </w:rPr>
              <w:t>p</w:t>
            </w:r>
            <w:r w:rsidRPr="00DA0E15">
              <w:rPr>
                <w:rFonts w:asciiTheme="majorHAnsi" w:hAnsiTheme="majorHAnsi"/>
                <w:bCs/>
                <w:sz w:val="19"/>
                <w:szCs w:val="19"/>
                <w:lang w:val="es-ES"/>
              </w:rPr>
              <w:t>tiembre de 2017</w:t>
            </w:r>
          </w:p>
        </w:tc>
      </w:tr>
      <w:tr w:rsidR="00F06354" w:rsidRPr="007F595A"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DA0E15" w:rsidRDefault="00F06354" w:rsidP="00F06354">
            <w:pPr>
              <w:jc w:val="center"/>
              <w:rPr>
                <w:rFonts w:asciiTheme="majorHAnsi" w:hAnsiTheme="majorHAnsi"/>
                <w:bCs/>
                <w:color w:val="FFFFFF" w:themeColor="background1"/>
                <w:sz w:val="19"/>
                <w:szCs w:val="19"/>
                <w:lang w:val="es-ES"/>
              </w:rPr>
            </w:pPr>
            <w:r w:rsidRPr="00DA0E15">
              <w:rPr>
                <w:rFonts w:asciiTheme="majorHAnsi" w:hAnsiTheme="majorHAnsi"/>
                <w:bCs/>
                <w:color w:val="FFFFFF" w:themeColor="background1"/>
                <w:sz w:val="19"/>
                <w:szCs w:val="19"/>
                <w:lang w:val="es-ES"/>
              </w:rPr>
              <w:t>Observaciones adicionales de</w:t>
            </w:r>
            <w:r w:rsidR="00D77503" w:rsidRPr="00DA0E15">
              <w:rPr>
                <w:rFonts w:asciiTheme="majorHAnsi" w:hAnsiTheme="majorHAnsi"/>
                <w:bCs/>
                <w:color w:val="FFFFFF" w:themeColor="background1"/>
                <w:sz w:val="19"/>
                <w:szCs w:val="19"/>
                <w:lang w:val="es-ES"/>
              </w:rPr>
              <w:t xml:space="preserve"> la parte peticionaria</w:t>
            </w:r>
          </w:p>
        </w:tc>
        <w:tc>
          <w:tcPr>
            <w:tcW w:w="6570" w:type="dxa"/>
            <w:vAlign w:val="center"/>
          </w:tcPr>
          <w:p w14:paraId="41D8B862" w14:textId="51E0701A" w:rsidR="00F06354" w:rsidRPr="00DA0E15" w:rsidRDefault="00397B15" w:rsidP="00397B15">
            <w:pPr>
              <w:jc w:val="both"/>
              <w:rPr>
                <w:rFonts w:asciiTheme="majorHAnsi" w:hAnsiTheme="majorHAnsi"/>
                <w:bCs/>
                <w:sz w:val="19"/>
                <w:szCs w:val="19"/>
                <w:lang w:val="es-ES"/>
              </w:rPr>
            </w:pPr>
            <w:r w:rsidRPr="00DA0E15">
              <w:rPr>
                <w:rFonts w:asciiTheme="majorHAnsi" w:hAnsiTheme="majorHAnsi"/>
                <w:bCs/>
                <w:sz w:val="19"/>
                <w:szCs w:val="19"/>
                <w:lang w:val="es-ES"/>
              </w:rPr>
              <w:t>6 de febrero de 2018</w:t>
            </w:r>
          </w:p>
        </w:tc>
      </w:tr>
      <w:tr w:rsidR="00F06354" w:rsidRPr="00DA0E15"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DA0E15" w:rsidRDefault="00F06354" w:rsidP="00F06354">
            <w:pPr>
              <w:jc w:val="center"/>
              <w:rPr>
                <w:rFonts w:asciiTheme="majorHAnsi" w:hAnsiTheme="majorHAnsi"/>
                <w:bCs/>
                <w:color w:val="FFFFFF" w:themeColor="background1"/>
                <w:sz w:val="19"/>
                <w:szCs w:val="19"/>
                <w:lang w:val="es-ES"/>
              </w:rPr>
            </w:pPr>
            <w:r w:rsidRPr="00DA0E15">
              <w:rPr>
                <w:rFonts w:asciiTheme="majorHAnsi" w:hAnsiTheme="majorHAnsi"/>
                <w:bCs/>
                <w:color w:val="FFFFFF" w:themeColor="background1"/>
                <w:sz w:val="19"/>
                <w:szCs w:val="19"/>
                <w:lang w:val="es-ES"/>
              </w:rPr>
              <w:t>Obser</w:t>
            </w:r>
            <w:r w:rsidR="00D77503" w:rsidRPr="00DA0E15">
              <w:rPr>
                <w:rFonts w:asciiTheme="majorHAnsi" w:hAnsiTheme="majorHAnsi"/>
                <w:bCs/>
                <w:color w:val="FFFFFF" w:themeColor="background1"/>
                <w:sz w:val="19"/>
                <w:szCs w:val="19"/>
                <w:lang w:val="es-ES"/>
              </w:rPr>
              <w:t>vaciones adicionales del Estado</w:t>
            </w:r>
          </w:p>
        </w:tc>
        <w:tc>
          <w:tcPr>
            <w:tcW w:w="6570" w:type="dxa"/>
            <w:vAlign w:val="center"/>
          </w:tcPr>
          <w:p w14:paraId="3CE49AFE" w14:textId="3685D712" w:rsidR="00F06354" w:rsidRPr="00DA0E15" w:rsidRDefault="00397B15" w:rsidP="00F06354">
            <w:pPr>
              <w:jc w:val="both"/>
              <w:rPr>
                <w:rFonts w:asciiTheme="majorHAnsi" w:hAnsiTheme="majorHAnsi"/>
                <w:bCs/>
                <w:sz w:val="19"/>
                <w:szCs w:val="19"/>
                <w:lang w:val="es-ES"/>
              </w:rPr>
            </w:pPr>
            <w:r w:rsidRPr="00DA0E15">
              <w:rPr>
                <w:rFonts w:asciiTheme="majorHAnsi" w:hAnsiTheme="majorHAnsi"/>
                <w:bCs/>
                <w:sz w:val="19"/>
                <w:szCs w:val="19"/>
                <w:lang w:val="es-ES"/>
              </w:rPr>
              <w:t>7 de enero de 2019</w:t>
            </w:r>
          </w:p>
        </w:tc>
      </w:tr>
    </w:tbl>
    <w:p w14:paraId="21DAA666" w14:textId="5065046E" w:rsidR="003239B8" w:rsidRPr="00DA0E15" w:rsidRDefault="003239B8" w:rsidP="007C402A">
      <w:pPr>
        <w:spacing w:before="120" w:after="120"/>
        <w:ind w:firstLine="720"/>
        <w:jc w:val="both"/>
        <w:rPr>
          <w:rFonts w:asciiTheme="majorHAnsi" w:hAnsiTheme="majorHAnsi"/>
          <w:b/>
          <w:bCs/>
          <w:sz w:val="20"/>
          <w:szCs w:val="20"/>
          <w:lang w:val="es-ES"/>
        </w:rPr>
      </w:pPr>
      <w:r w:rsidRPr="00DA0E15">
        <w:rPr>
          <w:rFonts w:asciiTheme="majorHAnsi" w:hAnsiTheme="majorHAnsi"/>
          <w:b/>
          <w:bCs/>
          <w:sz w:val="20"/>
          <w:szCs w:val="20"/>
          <w:lang w:val="es-ES"/>
        </w:rPr>
        <w:t xml:space="preserve">III. </w:t>
      </w:r>
      <w:r w:rsidRPr="00DA0E15">
        <w:rPr>
          <w:rFonts w:asciiTheme="majorHAnsi" w:hAnsiTheme="majorHAnsi"/>
          <w:b/>
          <w:bCs/>
          <w:sz w:val="20"/>
          <w:szCs w:val="20"/>
          <w:lang w:val="es-ES"/>
        </w:rPr>
        <w:tab/>
        <w:t>COMPETENCIA</w:t>
      </w:r>
      <w:r w:rsidR="00EE00E9" w:rsidRPr="00DA0E1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DA0E15"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DA0E15" w:rsidRDefault="00D77503" w:rsidP="008D2290">
            <w:pPr>
              <w:jc w:val="center"/>
              <w:rPr>
                <w:rFonts w:asciiTheme="majorHAnsi" w:hAnsiTheme="majorHAnsi"/>
                <w:bCs/>
                <w:i/>
                <w:color w:val="FFFFFF" w:themeColor="background1"/>
                <w:sz w:val="19"/>
                <w:szCs w:val="19"/>
                <w:lang w:val="es-ES"/>
              </w:rPr>
            </w:pPr>
            <w:proofErr w:type="spellStart"/>
            <w:r w:rsidRPr="00DA0E15">
              <w:rPr>
                <w:rFonts w:asciiTheme="majorHAnsi" w:hAnsiTheme="majorHAnsi"/>
                <w:bCs/>
                <w:i/>
                <w:color w:val="FFFFFF" w:themeColor="background1"/>
                <w:sz w:val="19"/>
                <w:szCs w:val="19"/>
                <w:lang w:val="es-ES"/>
              </w:rPr>
              <w:t>Ratione</w:t>
            </w:r>
            <w:proofErr w:type="spellEnd"/>
            <w:r w:rsidRPr="00DA0E15">
              <w:rPr>
                <w:rFonts w:asciiTheme="majorHAnsi" w:hAnsiTheme="majorHAnsi"/>
                <w:bCs/>
                <w:i/>
                <w:color w:val="FFFFFF" w:themeColor="background1"/>
                <w:sz w:val="19"/>
                <w:szCs w:val="19"/>
                <w:lang w:val="es-ES"/>
              </w:rPr>
              <w:t xml:space="preserve"> </w:t>
            </w:r>
            <w:proofErr w:type="spellStart"/>
            <w:r w:rsidRPr="00DA0E15">
              <w:rPr>
                <w:rFonts w:asciiTheme="majorHAnsi" w:hAnsiTheme="majorHAnsi"/>
                <w:bCs/>
                <w:i/>
                <w:color w:val="FFFFFF" w:themeColor="background1"/>
                <w:sz w:val="19"/>
                <w:szCs w:val="19"/>
                <w:lang w:val="es-ES"/>
              </w:rPr>
              <w:t>personae</w:t>
            </w:r>
            <w:proofErr w:type="spellEnd"/>
          </w:p>
        </w:tc>
        <w:tc>
          <w:tcPr>
            <w:tcW w:w="6570" w:type="dxa"/>
            <w:vAlign w:val="center"/>
          </w:tcPr>
          <w:p w14:paraId="7707F3E9" w14:textId="7E784B64" w:rsidR="003239B8" w:rsidRPr="00DA0E15" w:rsidRDefault="003E1FBA" w:rsidP="008D2290">
            <w:pPr>
              <w:rPr>
                <w:rFonts w:asciiTheme="majorHAnsi" w:hAnsiTheme="majorHAnsi"/>
                <w:bCs/>
                <w:sz w:val="19"/>
                <w:szCs w:val="19"/>
                <w:lang w:val="es-CO"/>
              </w:rPr>
            </w:pPr>
            <w:r w:rsidRPr="00DA0E15">
              <w:rPr>
                <w:rFonts w:asciiTheme="majorHAnsi" w:hAnsiTheme="majorHAnsi"/>
                <w:bCs/>
                <w:sz w:val="19"/>
                <w:szCs w:val="19"/>
                <w:lang w:val="es-CO"/>
              </w:rPr>
              <w:t>Sí</w:t>
            </w:r>
          </w:p>
        </w:tc>
      </w:tr>
      <w:tr w:rsidR="003239B8" w:rsidRPr="00DA0E15"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DA0E15" w:rsidRDefault="003239B8" w:rsidP="00D77503">
            <w:pPr>
              <w:jc w:val="center"/>
              <w:rPr>
                <w:rFonts w:asciiTheme="majorHAnsi" w:hAnsiTheme="majorHAnsi"/>
                <w:bCs/>
                <w:color w:val="FFFFFF" w:themeColor="background1"/>
                <w:sz w:val="19"/>
                <w:szCs w:val="19"/>
                <w:lang w:val="es-ES"/>
              </w:rPr>
            </w:pPr>
            <w:proofErr w:type="spellStart"/>
            <w:r w:rsidRPr="00DA0E15">
              <w:rPr>
                <w:rFonts w:asciiTheme="majorHAnsi" w:hAnsiTheme="majorHAnsi"/>
                <w:bCs/>
                <w:i/>
                <w:color w:val="FFFFFF" w:themeColor="background1"/>
                <w:sz w:val="19"/>
                <w:szCs w:val="19"/>
                <w:lang w:val="es-ES"/>
              </w:rPr>
              <w:t>Ratione</w:t>
            </w:r>
            <w:proofErr w:type="spellEnd"/>
            <w:r w:rsidRPr="00DA0E15">
              <w:rPr>
                <w:rFonts w:asciiTheme="majorHAnsi" w:hAnsiTheme="majorHAnsi"/>
                <w:bCs/>
                <w:i/>
                <w:color w:val="FFFFFF" w:themeColor="background1"/>
                <w:sz w:val="19"/>
                <w:szCs w:val="19"/>
                <w:lang w:val="es-ES"/>
              </w:rPr>
              <w:t xml:space="preserve"> </w:t>
            </w:r>
            <w:proofErr w:type="spellStart"/>
            <w:r w:rsidRPr="00DA0E15">
              <w:rPr>
                <w:rFonts w:asciiTheme="majorHAnsi" w:hAnsiTheme="majorHAnsi"/>
                <w:bCs/>
                <w:i/>
                <w:color w:val="FFFFFF" w:themeColor="background1"/>
                <w:sz w:val="19"/>
                <w:szCs w:val="19"/>
                <w:lang w:val="es-ES"/>
              </w:rPr>
              <w:t>loci</w:t>
            </w:r>
            <w:proofErr w:type="spellEnd"/>
          </w:p>
        </w:tc>
        <w:tc>
          <w:tcPr>
            <w:tcW w:w="6570" w:type="dxa"/>
            <w:vAlign w:val="center"/>
          </w:tcPr>
          <w:p w14:paraId="12C931CB" w14:textId="2A7799BF" w:rsidR="003239B8" w:rsidRPr="00DA0E15" w:rsidRDefault="003E1FBA" w:rsidP="008D2290">
            <w:pPr>
              <w:rPr>
                <w:rFonts w:asciiTheme="majorHAnsi" w:hAnsiTheme="majorHAnsi"/>
                <w:bCs/>
                <w:sz w:val="19"/>
                <w:szCs w:val="19"/>
                <w:lang w:val="es-ES"/>
              </w:rPr>
            </w:pPr>
            <w:r w:rsidRPr="00DA0E15">
              <w:rPr>
                <w:rFonts w:asciiTheme="majorHAnsi" w:hAnsiTheme="majorHAnsi"/>
                <w:bCs/>
                <w:sz w:val="19"/>
                <w:szCs w:val="19"/>
                <w:lang w:val="es-ES"/>
              </w:rPr>
              <w:t>Sí</w:t>
            </w:r>
          </w:p>
        </w:tc>
      </w:tr>
      <w:tr w:rsidR="003239B8" w:rsidRPr="00DA0E15"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DA0E15" w:rsidRDefault="003239B8" w:rsidP="008D2290">
            <w:pPr>
              <w:jc w:val="center"/>
              <w:rPr>
                <w:rFonts w:asciiTheme="majorHAnsi" w:hAnsiTheme="majorHAnsi"/>
                <w:bCs/>
                <w:color w:val="FFFFFF" w:themeColor="background1"/>
                <w:sz w:val="19"/>
                <w:szCs w:val="19"/>
                <w:lang w:val="es-ES"/>
              </w:rPr>
            </w:pPr>
            <w:proofErr w:type="spellStart"/>
            <w:r w:rsidRPr="00DA0E15">
              <w:rPr>
                <w:rFonts w:asciiTheme="majorHAnsi" w:hAnsiTheme="majorHAnsi"/>
                <w:bCs/>
                <w:i/>
                <w:color w:val="FFFFFF" w:themeColor="background1"/>
                <w:sz w:val="19"/>
                <w:szCs w:val="19"/>
                <w:lang w:val="es-ES"/>
              </w:rPr>
              <w:t>Ratione</w:t>
            </w:r>
            <w:proofErr w:type="spellEnd"/>
            <w:r w:rsidRPr="00DA0E15">
              <w:rPr>
                <w:rFonts w:asciiTheme="majorHAnsi" w:hAnsiTheme="majorHAnsi"/>
                <w:bCs/>
                <w:i/>
                <w:color w:val="FFFFFF" w:themeColor="background1"/>
                <w:sz w:val="19"/>
                <w:szCs w:val="19"/>
                <w:lang w:val="es-ES"/>
              </w:rPr>
              <w:t xml:space="preserve"> </w:t>
            </w:r>
            <w:proofErr w:type="spellStart"/>
            <w:r w:rsidRPr="00DA0E15">
              <w:rPr>
                <w:rFonts w:asciiTheme="majorHAnsi" w:hAnsiTheme="majorHAnsi"/>
                <w:bCs/>
                <w:i/>
                <w:color w:val="FFFFFF" w:themeColor="background1"/>
                <w:sz w:val="19"/>
                <w:szCs w:val="19"/>
                <w:lang w:val="es-ES"/>
              </w:rPr>
              <w:t>temporis</w:t>
            </w:r>
            <w:proofErr w:type="spellEnd"/>
          </w:p>
        </w:tc>
        <w:tc>
          <w:tcPr>
            <w:tcW w:w="6570" w:type="dxa"/>
            <w:vAlign w:val="center"/>
          </w:tcPr>
          <w:p w14:paraId="6F8B059B" w14:textId="49CB2844" w:rsidR="003239B8" w:rsidRPr="00DA0E15" w:rsidRDefault="00C61F8A" w:rsidP="008D2290">
            <w:pPr>
              <w:rPr>
                <w:rFonts w:asciiTheme="majorHAnsi" w:hAnsiTheme="majorHAnsi"/>
                <w:bCs/>
                <w:sz w:val="19"/>
                <w:szCs w:val="19"/>
                <w:lang w:val="es-ES"/>
              </w:rPr>
            </w:pPr>
            <w:r w:rsidRPr="00DA0E15">
              <w:rPr>
                <w:rFonts w:asciiTheme="majorHAnsi" w:hAnsiTheme="majorHAnsi"/>
                <w:bCs/>
                <w:sz w:val="19"/>
                <w:szCs w:val="19"/>
                <w:lang w:val="es-ES"/>
              </w:rPr>
              <w:t>Sí</w:t>
            </w:r>
          </w:p>
        </w:tc>
      </w:tr>
      <w:tr w:rsidR="003239B8" w:rsidRPr="00EB482B"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DA0E15" w:rsidRDefault="003239B8" w:rsidP="008D2290">
            <w:pPr>
              <w:jc w:val="center"/>
              <w:rPr>
                <w:rFonts w:asciiTheme="majorHAnsi" w:hAnsiTheme="majorHAnsi"/>
                <w:bCs/>
                <w:color w:val="FFFFFF" w:themeColor="background1"/>
                <w:sz w:val="19"/>
                <w:szCs w:val="19"/>
                <w:lang w:val="es-ES"/>
              </w:rPr>
            </w:pPr>
            <w:proofErr w:type="spellStart"/>
            <w:r w:rsidRPr="00DA0E15">
              <w:rPr>
                <w:rFonts w:asciiTheme="majorHAnsi" w:hAnsiTheme="majorHAnsi"/>
                <w:bCs/>
                <w:i/>
                <w:color w:val="FFFFFF" w:themeColor="background1"/>
                <w:sz w:val="19"/>
                <w:szCs w:val="19"/>
                <w:lang w:val="es-ES"/>
              </w:rPr>
              <w:t>Ratione</w:t>
            </w:r>
            <w:proofErr w:type="spellEnd"/>
            <w:r w:rsidRPr="00DA0E15">
              <w:rPr>
                <w:rFonts w:asciiTheme="majorHAnsi" w:hAnsiTheme="majorHAnsi"/>
                <w:bCs/>
                <w:i/>
                <w:color w:val="FFFFFF" w:themeColor="background1"/>
                <w:sz w:val="19"/>
                <w:szCs w:val="19"/>
                <w:lang w:val="es-ES"/>
              </w:rPr>
              <w:t xml:space="preserve"> </w:t>
            </w:r>
            <w:proofErr w:type="spellStart"/>
            <w:r w:rsidRPr="00DA0E15">
              <w:rPr>
                <w:rFonts w:asciiTheme="majorHAnsi" w:hAnsiTheme="majorHAnsi"/>
                <w:bCs/>
                <w:i/>
                <w:color w:val="FFFFFF" w:themeColor="background1"/>
                <w:sz w:val="19"/>
                <w:szCs w:val="19"/>
                <w:lang w:val="es-ES"/>
              </w:rPr>
              <w:t>materia</w:t>
            </w:r>
            <w:r w:rsidR="00EE00E9" w:rsidRPr="00DA0E15">
              <w:rPr>
                <w:rFonts w:asciiTheme="majorHAnsi" w:hAnsiTheme="majorHAnsi"/>
                <w:bCs/>
                <w:i/>
                <w:color w:val="FFFFFF" w:themeColor="background1"/>
                <w:sz w:val="19"/>
                <w:szCs w:val="19"/>
                <w:lang w:val="es-ES"/>
              </w:rPr>
              <w:t>e</w:t>
            </w:r>
            <w:proofErr w:type="spellEnd"/>
          </w:p>
        </w:tc>
        <w:tc>
          <w:tcPr>
            <w:tcW w:w="6570" w:type="dxa"/>
            <w:vAlign w:val="center"/>
          </w:tcPr>
          <w:p w14:paraId="0C122F44" w14:textId="7A69A5AB" w:rsidR="003239B8" w:rsidRPr="00DA0E15" w:rsidRDefault="00C61F8A" w:rsidP="008D2290">
            <w:pPr>
              <w:jc w:val="both"/>
              <w:rPr>
                <w:rFonts w:asciiTheme="majorHAnsi" w:hAnsiTheme="majorHAnsi"/>
                <w:bCs/>
                <w:sz w:val="19"/>
                <w:szCs w:val="19"/>
                <w:lang w:val="es-ES"/>
              </w:rPr>
            </w:pPr>
            <w:r w:rsidRPr="00DA0E15">
              <w:rPr>
                <w:rFonts w:asciiTheme="majorHAnsi" w:hAnsiTheme="majorHAnsi"/>
                <w:bCs/>
                <w:sz w:val="19"/>
                <w:szCs w:val="19"/>
                <w:lang w:val="es-ES"/>
              </w:rPr>
              <w:t>Sí, Convención Americana (depósito de</w:t>
            </w:r>
            <w:r w:rsidR="00EC5C93">
              <w:rPr>
                <w:rFonts w:asciiTheme="majorHAnsi" w:hAnsiTheme="majorHAnsi"/>
                <w:bCs/>
                <w:sz w:val="19"/>
                <w:szCs w:val="19"/>
                <w:lang w:val="es-ES"/>
              </w:rPr>
              <w:t>l</w:t>
            </w:r>
            <w:r w:rsidRPr="00DA0E15">
              <w:rPr>
                <w:rFonts w:asciiTheme="majorHAnsi" w:hAnsiTheme="majorHAnsi"/>
                <w:bCs/>
                <w:sz w:val="19"/>
                <w:szCs w:val="19"/>
                <w:lang w:val="es-ES"/>
              </w:rPr>
              <w:t xml:space="preserve"> instrumento </w:t>
            </w:r>
            <w:r w:rsidR="00EC5C93">
              <w:rPr>
                <w:rFonts w:asciiTheme="majorHAnsi" w:hAnsiTheme="majorHAnsi"/>
                <w:bCs/>
                <w:sz w:val="19"/>
                <w:szCs w:val="19"/>
                <w:lang w:val="es-ES"/>
              </w:rPr>
              <w:t xml:space="preserve">de ratificación </w:t>
            </w:r>
            <w:r w:rsidRPr="00DA0E15">
              <w:rPr>
                <w:rFonts w:asciiTheme="majorHAnsi" w:hAnsiTheme="majorHAnsi"/>
                <w:bCs/>
                <w:sz w:val="19"/>
                <w:szCs w:val="19"/>
                <w:lang w:val="es-ES"/>
              </w:rPr>
              <w:t>realizado el 5 de setiembre de 1984)</w:t>
            </w:r>
          </w:p>
        </w:tc>
      </w:tr>
    </w:tbl>
    <w:p w14:paraId="4E92C444" w14:textId="7FF40677" w:rsidR="003239B8" w:rsidRPr="00DA0E15" w:rsidRDefault="003239B8" w:rsidP="007C402A">
      <w:pPr>
        <w:spacing w:before="120" w:after="120"/>
        <w:ind w:firstLine="720"/>
        <w:jc w:val="both"/>
        <w:rPr>
          <w:rFonts w:asciiTheme="majorHAnsi" w:hAnsiTheme="majorHAnsi"/>
          <w:b/>
          <w:bCs/>
          <w:sz w:val="20"/>
          <w:szCs w:val="20"/>
          <w:lang w:val="es-ES"/>
        </w:rPr>
      </w:pPr>
      <w:r w:rsidRPr="00DA0E15">
        <w:rPr>
          <w:rFonts w:asciiTheme="majorHAnsi" w:hAnsiTheme="majorHAnsi"/>
          <w:b/>
          <w:bCs/>
          <w:sz w:val="20"/>
          <w:szCs w:val="20"/>
          <w:lang w:val="es-ES"/>
        </w:rPr>
        <w:t xml:space="preserve">IV. </w:t>
      </w:r>
      <w:r w:rsidRPr="00DA0E15">
        <w:rPr>
          <w:rFonts w:asciiTheme="majorHAnsi" w:hAnsiTheme="majorHAnsi"/>
          <w:b/>
          <w:bCs/>
          <w:sz w:val="20"/>
          <w:szCs w:val="20"/>
          <w:lang w:val="es-ES"/>
        </w:rPr>
        <w:tab/>
      </w:r>
      <w:r w:rsidR="00EE00E9" w:rsidRPr="00DA0E15">
        <w:rPr>
          <w:rFonts w:asciiTheme="majorHAnsi" w:hAnsiTheme="majorHAnsi"/>
          <w:b/>
          <w:bCs/>
          <w:sz w:val="20"/>
          <w:szCs w:val="20"/>
          <w:lang w:val="es-ES"/>
        </w:rPr>
        <w:t>DUPLICACIÓN</w:t>
      </w:r>
      <w:r w:rsidR="00EE00E9" w:rsidRPr="00DA0E15">
        <w:rPr>
          <w:rFonts w:asciiTheme="majorHAnsi" w:hAnsiTheme="majorHAnsi"/>
          <w:b/>
          <w:bCs/>
          <w:color w:val="FFFFFF" w:themeColor="background1"/>
          <w:sz w:val="20"/>
          <w:szCs w:val="20"/>
          <w:lang w:val="es-ES"/>
        </w:rPr>
        <w:t xml:space="preserve"> </w:t>
      </w:r>
      <w:r w:rsidR="00EE00E9" w:rsidRPr="00DA0E15">
        <w:rPr>
          <w:rFonts w:asciiTheme="majorHAnsi" w:hAnsiTheme="majorHAnsi"/>
          <w:b/>
          <w:bCs/>
          <w:sz w:val="20"/>
          <w:szCs w:val="20"/>
          <w:lang w:val="es-ES"/>
        </w:rPr>
        <w:t>DE PROCEDIMIENTOS Y COSA JUZGADA</w:t>
      </w:r>
      <w:r w:rsidR="00EE00E9" w:rsidRPr="00DA0E15">
        <w:rPr>
          <w:rFonts w:asciiTheme="majorHAnsi" w:hAnsiTheme="majorHAnsi"/>
          <w:b/>
          <w:bCs/>
          <w:i/>
          <w:sz w:val="20"/>
          <w:szCs w:val="20"/>
          <w:lang w:val="es-ES"/>
        </w:rPr>
        <w:t xml:space="preserve"> </w:t>
      </w:r>
      <w:r w:rsidR="00EC5C93" w:rsidRPr="00DA0E15">
        <w:rPr>
          <w:rFonts w:asciiTheme="majorHAnsi" w:hAnsiTheme="majorHAnsi"/>
          <w:b/>
          <w:bCs/>
          <w:sz w:val="20"/>
          <w:szCs w:val="20"/>
          <w:lang w:val="es-ES"/>
        </w:rPr>
        <w:t>INTERNACIONAL, CARACTERIZACIÓN</w:t>
      </w:r>
      <w:r w:rsidRPr="00DA0E15">
        <w:rPr>
          <w:rFonts w:asciiTheme="majorHAnsi" w:hAnsiTheme="majorHAnsi"/>
          <w:b/>
          <w:bCs/>
          <w:sz w:val="20"/>
          <w:szCs w:val="20"/>
          <w:lang w:val="es-ES"/>
        </w:rPr>
        <w:t xml:space="preserve">, </w:t>
      </w:r>
      <w:r w:rsidRPr="00DA0E1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DA0E15"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DA0E15" w:rsidRDefault="00EE00E9" w:rsidP="00954B82">
            <w:pPr>
              <w:jc w:val="center"/>
              <w:rPr>
                <w:rFonts w:asciiTheme="majorHAnsi" w:hAnsiTheme="majorHAnsi"/>
                <w:bCs/>
                <w:color w:val="FFFFFF" w:themeColor="background1"/>
                <w:sz w:val="19"/>
                <w:szCs w:val="19"/>
                <w:lang w:val="es-ES"/>
              </w:rPr>
            </w:pPr>
            <w:r w:rsidRPr="00DA0E15">
              <w:rPr>
                <w:rFonts w:asciiTheme="majorHAnsi" w:hAnsiTheme="majorHAnsi"/>
                <w:bCs/>
                <w:color w:val="FFFFFF" w:themeColor="background1"/>
                <w:sz w:val="19"/>
                <w:szCs w:val="19"/>
                <w:lang w:val="es-ES"/>
              </w:rPr>
              <w:t xml:space="preserve">Duplicación </w:t>
            </w:r>
            <w:r w:rsidR="00D77503" w:rsidRPr="00DA0E15">
              <w:rPr>
                <w:rFonts w:asciiTheme="majorHAnsi" w:hAnsiTheme="majorHAnsi"/>
                <w:bCs/>
                <w:color w:val="FFFFFF" w:themeColor="background1"/>
                <w:sz w:val="19"/>
                <w:szCs w:val="19"/>
                <w:lang w:val="es-ES"/>
              </w:rPr>
              <w:t>y cosa juzgada internacional</w:t>
            </w:r>
          </w:p>
        </w:tc>
        <w:tc>
          <w:tcPr>
            <w:tcW w:w="6570" w:type="dxa"/>
            <w:vAlign w:val="center"/>
          </w:tcPr>
          <w:p w14:paraId="240941E6" w14:textId="4BB19909" w:rsidR="00EE00E9" w:rsidRPr="00DA0E15" w:rsidRDefault="009F6862" w:rsidP="008D2290">
            <w:pPr>
              <w:jc w:val="both"/>
              <w:rPr>
                <w:rFonts w:asciiTheme="majorHAnsi" w:hAnsiTheme="majorHAnsi"/>
                <w:bCs/>
                <w:sz w:val="19"/>
                <w:szCs w:val="19"/>
                <w:lang w:val="es-ES"/>
              </w:rPr>
            </w:pPr>
            <w:r w:rsidRPr="00DA0E15">
              <w:rPr>
                <w:rFonts w:asciiTheme="majorHAnsi" w:hAnsiTheme="majorHAnsi"/>
                <w:bCs/>
                <w:sz w:val="19"/>
                <w:szCs w:val="19"/>
                <w:lang w:val="es-ES"/>
              </w:rPr>
              <w:t>No</w:t>
            </w:r>
          </w:p>
        </w:tc>
      </w:tr>
      <w:tr w:rsidR="003239B8" w:rsidRPr="00EB482B"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DA0E15" w:rsidRDefault="003239B8" w:rsidP="00954B82">
            <w:pPr>
              <w:jc w:val="center"/>
              <w:rPr>
                <w:rFonts w:asciiTheme="majorHAnsi" w:hAnsiTheme="majorHAnsi"/>
                <w:bCs/>
                <w:i/>
                <w:color w:val="FFFFFF" w:themeColor="background1"/>
                <w:sz w:val="19"/>
                <w:szCs w:val="19"/>
                <w:lang w:val="es-ES"/>
              </w:rPr>
            </w:pPr>
            <w:r w:rsidRPr="00DA0E15">
              <w:rPr>
                <w:rFonts w:asciiTheme="majorHAnsi" w:hAnsiTheme="majorHAnsi"/>
                <w:bCs/>
                <w:color w:val="FFFFFF" w:themeColor="background1"/>
                <w:sz w:val="19"/>
                <w:szCs w:val="19"/>
                <w:lang w:val="es-ES"/>
              </w:rPr>
              <w:t>Derechos admi</w:t>
            </w:r>
            <w:r w:rsidR="00954B82" w:rsidRPr="00DA0E15">
              <w:rPr>
                <w:rFonts w:asciiTheme="majorHAnsi" w:hAnsiTheme="majorHAnsi"/>
                <w:bCs/>
                <w:color w:val="FFFFFF" w:themeColor="background1"/>
                <w:sz w:val="19"/>
                <w:szCs w:val="19"/>
                <w:lang w:val="es-ES"/>
              </w:rPr>
              <w:t>tidos</w:t>
            </w:r>
          </w:p>
        </w:tc>
        <w:tc>
          <w:tcPr>
            <w:tcW w:w="6570" w:type="dxa"/>
            <w:vAlign w:val="center"/>
          </w:tcPr>
          <w:p w14:paraId="6310C8F7" w14:textId="59E8479E" w:rsidR="003239B8" w:rsidRPr="00DA0E15" w:rsidRDefault="00F4700C" w:rsidP="00EC5C93">
            <w:pPr>
              <w:jc w:val="both"/>
              <w:rPr>
                <w:rFonts w:asciiTheme="majorHAnsi" w:hAnsiTheme="majorHAnsi"/>
                <w:bCs/>
                <w:sz w:val="19"/>
                <w:szCs w:val="19"/>
                <w:lang w:val="es-ES"/>
              </w:rPr>
            </w:pPr>
            <w:r w:rsidRPr="00DA0E15">
              <w:rPr>
                <w:rFonts w:asciiTheme="majorHAnsi" w:hAnsiTheme="majorHAnsi"/>
                <w:bCs/>
                <w:sz w:val="19"/>
                <w:szCs w:val="19"/>
                <w:lang w:val="es-ES"/>
              </w:rPr>
              <w:t xml:space="preserve">Artículos 5 (integridad personal), 8 (garantías judiciales), 24 (igualdad) y 25 (protección judicial) de la Convención Americana, </w:t>
            </w:r>
            <w:r w:rsidRPr="00DA0E15">
              <w:rPr>
                <w:rFonts w:asciiTheme="majorHAnsi" w:hAnsiTheme="majorHAnsi"/>
                <w:sz w:val="19"/>
                <w:szCs w:val="19"/>
                <w:lang w:val="es-ES"/>
              </w:rPr>
              <w:t xml:space="preserve">en concordancia con </w:t>
            </w:r>
            <w:r w:rsidR="00EC5C93">
              <w:rPr>
                <w:rFonts w:asciiTheme="majorHAnsi" w:hAnsiTheme="majorHAnsi"/>
                <w:sz w:val="19"/>
                <w:szCs w:val="19"/>
                <w:lang w:val="es-ES"/>
              </w:rPr>
              <w:t>sus</w:t>
            </w:r>
            <w:r w:rsidRPr="00DA0E15">
              <w:rPr>
                <w:rFonts w:asciiTheme="majorHAnsi" w:hAnsiTheme="majorHAnsi"/>
                <w:sz w:val="19"/>
                <w:szCs w:val="19"/>
                <w:lang w:val="es-ES"/>
              </w:rPr>
              <w:t xml:space="preserve"> artículos 1.1 (obligación de respetar los derechos) y 2 (deber de adoptar disposiciones de derecho interno</w:t>
            </w:r>
            <w:r w:rsidR="00EC5C93">
              <w:rPr>
                <w:rFonts w:asciiTheme="majorHAnsi" w:hAnsiTheme="majorHAnsi"/>
                <w:sz w:val="19"/>
                <w:szCs w:val="19"/>
                <w:lang w:val="es-ES"/>
              </w:rPr>
              <w:t>)</w:t>
            </w:r>
          </w:p>
        </w:tc>
      </w:tr>
      <w:tr w:rsidR="003239B8" w:rsidRPr="00DA0E15"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DA0E15" w:rsidRDefault="003239B8" w:rsidP="006775AB">
            <w:pPr>
              <w:jc w:val="center"/>
              <w:rPr>
                <w:rFonts w:asciiTheme="majorHAnsi" w:hAnsiTheme="majorHAnsi"/>
                <w:bCs/>
                <w:color w:val="FFFFFF" w:themeColor="background1"/>
                <w:sz w:val="19"/>
                <w:szCs w:val="19"/>
                <w:lang w:val="es-ES"/>
              </w:rPr>
            </w:pPr>
            <w:r w:rsidRPr="00DA0E15">
              <w:rPr>
                <w:rFonts w:asciiTheme="majorHAnsi" w:hAnsiTheme="majorHAnsi"/>
                <w:bCs/>
                <w:color w:val="FFFFFF" w:themeColor="background1"/>
                <w:sz w:val="19"/>
                <w:szCs w:val="19"/>
                <w:lang w:val="es-ES"/>
              </w:rPr>
              <w:t>Agotamiento de</w:t>
            </w:r>
            <w:r w:rsidR="0069402E" w:rsidRPr="00DA0E15">
              <w:rPr>
                <w:rFonts w:asciiTheme="majorHAnsi" w:hAnsiTheme="majorHAnsi"/>
                <w:bCs/>
                <w:color w:val="FFFFFF" w:themeColor="background1"/>
                <w:sz w:val="19"/>
                <w:szCs w:val="19"/>
                <w:lang w:val="es-ES"/>
              </w:rPr>
              <w:t xml:space="preserve"> </w:t>
            </w:r>
            <w:r w:rsidRPr="00DA0E15">
              <w:rPr>
                <w:rFonts w:asciiTheme="majorHAnsi" w:hAnsiTheme="majorHAnsi"/>
                <w:bCs/>
                <w:color w:val="FFFFFF" w:themeColor="background1"/>
                <w:sz w:val="19"/>
                <w:szCs w:val="19"/>
                <w:lang w:val="es-ES"/>
              </w:rPr>
              <w:t xml:space="preserve">recursos </w:t>
            </w:r>
            <w:r w:rsidR="00D77503" w:rsidRPr="00DA0E15">
              <w:rPr>
                <w:rFonts w:asciiTheme="majorHAnsi" w:hAnsiTheme="majorHAnsi"/>
                <w:bCs/>
                <w:color w:val="FFFFFF" w:themeColor="background1"/>
                <w:sz w:val="19"/>
                <w:szCs w:val="19"/>
                <w:lang w:val="es-ES"/>
              </w:rPr>
              <w:t>o procedencia de una excepción</w:t>
            </w:r>
          </w:p>
        </w:tc>
        <w:tc>
          <w:tcPr>
            <w:tcW w:w="6570" w:type="dxa"/>
            <w:vAlign w:val="center"/>
          </w:tcPr>
          <w:p w14:paraId="69C53E8A" w14:textId="2C815B7C" w:rsidR="003239B8" w:rsidRPr="00DA0E15" w:rsidRDefault="00F52EB6" w:rsidP="009A5DA7">
            <w:pPr>
              <w:rPr>
                <w:rFonts w:asciiTheme="majorHAnsi" w:hAnsiTheme="majorHAnsi"/>
                <w:bCs/>
                <w:sz w:val="19"/>
                <w:szCs w:val="19"/>
                <w:lang w:val="es-ES"/>
              </w:rPr>
            </w:pPr>
            <w:r w:rsidRPr="00DA0E15">
              <w:rPr>
                <w:rFonts w:asciiTheme="majorHAnsi" w:hAnsiTheme="majorHAnsi"/>
                <w:bCs/>
                <w:sz w:val="19"/>
                <w:szCs w:val="19"/>
                <w:lang w:val="es-ES"/>
              </w:rPr>
              <w:t>Sí, 14 de abril de 2009</w:t>
            </w:r>
          </w:p>
        </w:tc>
      </w:tr>
      <w:tr w:rsidR="003239B8" w:rsidRPr="00DA0E15"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DA0E15" w:rsidRDefault="00D77503" w:rsidP="008D2290">
            <w:pPr>
              <w:jc w:val="center"/>
              <w:rPr>
                <w:rFonts w:asciiTheme="majorHAnsi" w:hAnsiTheme="majorHAnsi"/>
                <w:bCs/>
                <w:color w:val="FFFFFF" w:themeColor="background1"/>
                <w:sz w:val="19"/>
                <w:szCs w:val="19"/>
                <w:lang w:val="es-ES"/>
              </w:rPr>
            </w:pPr>
            <w:r w:rsidRPr="00DA0E15">
              <w:rPr>
                <w:rFonts w:asciiTheme="majorHAnsi" w:hAnsiTheme="majorHAnsi"/>
                <w:bCs/>
                <w:color w:val="FFFFFF" w:themeColor="background1"/>
                <w:sz w:val="19"/>
                <w:szCs w:val="19"/>
                <w:lang w:val="es-ES"/>
              </w:rPr>
              <w:t>Presentación dentro de plazo</w:t>
            </w:r>
          </w:p>
        </w:tc>
        <w:tc>
          <w:tcPr>
            <w:tcW w:w="6570" w:type="dxa"/>
            <w:vAlign w:val="center"/>
          </w:tcPr>
          <w:p w14:paraId="4A2A4569" w14:textId="525D80FF" w:rsidR="003239B8" w:rsidRPr="00DA0E15" w:rsidRDefault="00C61F8A" w:rsidP="008D2290">
            <w:pPr>
              <w:rPr>
                <w:rFonts w:asciiTheme="majorHAnsi" w:hAnsiTheme="majorHAnsi"/>
                <w:bCs/>
                <w:sz w:val="19"/>
                <w:szCs w:val="19"/>
                <w:lang w:val="es-ES"/>
              </w:rPr>
            </w:pPr>
            <w:r w:rsidRPr="00DA0E15">
              <w:rPr>
                <w:rFonts w:asciiTheme="majorHAnsi" w:hAnsiTheme="majorHAnsi"/>
                <w:bCs/>
                <w:sz w:val="19"/>
                <w:szCs w:val="19"/>
                <w:lang w:val="es-ES"/>
              </w:rPr>
              <w:t>Sí, 8 de octubre de 2009</w:t>
            </w:r>
          </w:p>
        </w:tc>
      </w:tr>
    </w:tbl>
    <w:p w14:paraId="18E6423B" w14:textId="5FDE25B0" w:rsidR="003239B8" w:rsidRPr="00F15F06" w:rsidRDefault="00223A29" w:rsidP="00647756">
      <w:pPr>
        <w:spacing w:before="120" w:after="120"/>
        <w:ind w:firstLine="720"/>
        <w:jc w:val="both"/>
        <w:rPr>
          <w:rFonts w:asciiTheme="majorHAnsi" w:hAnsiTheme="majorHAnsi"/>
          <w:b/>
          <w:sz w:val="20"/>
          <w:szCs w:val="20"/>
          <w:lang w:val="es-ES"/>
        </w:rPr>
      </w:pPr>
      <w:r w:rsidRPr="00F15F06">
        <w:rPr>
          <w:rFonts w:asciiTheme="majorHAnsi" w:hAnsiTheme="majorHAnsi"/>
          <w:b/>
          <w:sz w:val="20"/>
          <w:szCs w:val="20"/>
          <w:lang w:val="es-ES"/>
        </w:rPr>
        <w:t xml:space="preserve">V. </w:t>
      </w:r>
      <w:r w:rsidRPr="00F15F06">
        <w:rPr>
          <w:rFonts w:asciiTheme="majorHAnsi" w:hAnsiTheme="majorHAnsi"/>
          <w:b/>
          <w:sz w:val="20"/>
          <w:szCs w:val="20"/>
          <w:lang w:val="es-ES"/>
        </w:rPr>
        <w:tab/>
      </w:r>
      <w:r w:rsidR="0034224A" w:rsidRPr="00F15F06">
        <w:rPr>
          <w:rFonts w:asciiTheme="majorHAnsi" w:hAnsiTheme="majorHAnsi"/>
          <w:b/>
          <w:sz w:val="20"/>
          <w:szCs w:val="20"/>
          <w:lang w:val="es-ES"/>
        </w:rPr>
        <w:t>RESUMEN DE LOS HECHOS ALEGADOS</w:t>
      </w:r>
    </w:p>
    <w:p w14:paraId="5E8C4A5C" w14:textId="4028B0CF" w:rsidR="00DA0E15" w:rsidRPr="00F15F06" w:rsidRDefault="00F71B29" w:rsidP="007F2521">
      <w:pPr>
        <w:pStyle w:val="ListParagraph"/>
        <w:numPr>
          <w:ilvl w:val="0"/>
          <w:numId w:val="61"/>
        </w:numPr>
        <w:tabs>
          <w:tab w:val="left" w:pos="720"/>
        </w:tabs>
        <w:spacing w:before="120" w:after="120"/>
        <w:ind w:left="0" w:firstLine="720"/>
        <w:jc w:val="both"/>
        <w:rPr>
          <w:rFonts w:asciiTheme="majorHAnsi" w:hAnsiTheme="majorHAnsi"/>
          <w:sz w:val="20"/>
          <w:szCs w:val="20"/>
          <w:lang w:val="es-ES"/>
        </w:rPr>
      </w:pPr>
      <w:r w:rsidRPr="00F15F06">
        <w:rPr>
          <w:rFonts w:asciiTheme="majorHAnsi" w:hAnsiTheme="majorHAnsi"/>
          <w:sz w:val="20"/>
          <w:szCs w:val="20"/>
          <w:lang w:val="es-ES"/>
        </w:rPr>
        <w:t xml:space="preserve">La presente petición se refiere al reclamo por la denegación del Estado de indemnizar a la presunta víctima por </w:t>
      </w:r>
      <w:r w:rsidR="00737E8C" w:rsidRPr="00F15F06">
        <w:rPr>
          <w:rFonts w:asciiTheme="majorHAnsi" w:hAnsiTheme="majorHAnsi"/>
          <w:sz w:val="20"/>
          <w:szCs w:val="20"/>
          <w:lang w:val="es-ES"/>
        </w:rPr>
        <w:t xml:space="preserve">las lesiones traumatológicas, psicoterapéuticas </w:t>
      </w:r>
      <w:r w:rsidR="00D31D67" w:rsidRPr="00F15F06">
        <w:rPr>
          <w:rFonts w:asciiTheme="majorHAnsi" w:hAnsiTheme="majorHAnsi"/>
          <w:sz w:val="20"/>
          <w:szCs w:val="20"/>
          <w:lang w:val="es-ES"/>
        </w:rPr>
        <w:t xml:space="preserve">y </w:t>
      </w:r>
      <w:r w:rsidR="00737E8C" w:rsidRPr="00F15F06">
        <w:rPr>
          <w:rFonts w:asciiTheme="majorHAnsi" w:hAnsiTheme="majorHAnsi"/>
          <w:sz w:val="20"/>
          <w:szCs w:val="20"/>
          <w:lang w:val="es-ES"/>
        </w:rPr>
        <w:t xml:space="preserve">psíquicas sufridas </w:t>
      </w:r>
      <w:r w:rsidR="00397B15" w:rsidRPr="00F15F06">
        <w:rPr>
          <w:rFonts w:asciiTheme="majorHAnsi" w:hAnsiTheme="majorHAnsi"/>
          <w:sz w:val="20"/>
          <w:szCs w:val="20"/>
          <w:lang w:val="es-ES"/>
        </w:rPr>
        <w:t>en</w:t>
      </w:r>
      <w:r w:rsidR="00737E8C" w:rsidRPr="00F15F06">
        <w:rPr>
          <w:rFonts w:asciiTheme="majorHAnsi" w:hAnsiTheme="majorHAnsi"/>
          <w:sz w:val="20"/>
          <w:szCs w:val="20"/>
          <w:lang w:val="es-ES"/>
        </w:rPr>
        <w:t xml:space="preserve"> el cumplimiento de sus funciones como celador en las Unidades Carcelarias </w:t>
      </w:r>
      <w:r w:rsidR="00A53E08" w:rsidRPr="00F15F06">
        <w:rPr>
          <w:rFonts w:asciiTheme="majorHAnsi" w:hAnsiTheme="majorHAnsi"/>
          <w:sz w:val="20"/>
          <w:szCs w:val="20"/>
          <w:lang w:val="es-ES"/>
        </w:rPr>
        <w:t>de la Penitenciaria Federal</w:t>
      </w:r>
      <w:r w:rsidR="00737E8C" w:rsidRPr="00F15F06">
        <w:rPr>
          <w:rFonts w:asciiTheme="majorHAnsi" w:hAnsiTheme="majorHAnsi"/>
          <w:sz w:val="20"/>
          <w:szCs w:val="20"/>
          <w:lang w:val="es-ES"/>
        </w:rPr>
        <w:t xml:space="preserve">, </w:t>
      </w:r>
      <w:r w:rsidR="00BA34FE" w:rsidRPr="00F15F06">
        <w:rPr>
          <w:rFonts w:asciiTheme="majorHAnsi" w:hAnsiTheme="majorHAnsi"/>
          <w:sz w:val="20"/>
          <w:szCs w:val="20"/>
          <w:lang w:val="es-ES"/>
        </w:rPr>
        <w:t>resultando en una vulneración de</w:t>
      </w:r>
      <w:r w:rsidR="00737E8C" w:rsidRPr="00F15F06">
        <w:rPr>
          <w:rFonts w:asciiTheme="majorHAnsi" w:hAnsiTheme="majorHAnsi"/>
          <w:sz w:val="20"/>
          <w:szCs w:val="20"/>
          <w:lang w:val="es-ES"/>
        </w:rPr>
        <w:t xml:space="preserve"> su derecho a la propiedad, igualdad ante la ley y a la proporción de garantías judiciales. </w:t>
      </w:r>
      <w:r w:rsidR="00090980" w:rsidRPr="00F15F06">
        <w:rPr>
          <w:rFonts w:asciiTheme="majorHAnsi" w:hAnsiTheme="majorHAnsi"/>
          <w:sz w:val="20"/>
          <w:szCs w:val="20"/>
          <w:lang w:val="es-ES"/>
        </w:rPr>
        <w:t xml:space="preserve">El peticionario argumenta que </w:t>
      </w:r>
      <w:r w:rsidR="00B55746">
        <w:rPr>
          <w:rFonts w:asciiTheme="majorHAnsi" w:hAnsiTheme="majorHAnsi"/>
          <w:sz w:val="20"/>
          <w:szCs w:val="20"/>
          <w:lang w:val="es-ES"/>
        </w:rPr>
        <w:t>su normativa interna de trabajo</w:t>
      </w:r>
      <w:r w:rsidR="00D36A8F">
        <w:rPr>
          <w:rFonts w:asciiTheme="majorHAnsi" w:hAnsiTheme="majorHAnsi"/>
          <w:sz w:val="20"/>
          <w:szCs w:val="20"/>
          <w:lang w:val="es-ES"/>
        </w:rPr>
        <w:t xml:space="preserve"> le impide</w:t>
      </w:r>
      <w:r w:rsidR="00090980" w:rsidRPr="00F15F06">
        <w:rPr>
          <w:rFonts w:asciiTheme="majorHAnsi" w:hAnsiTheme="majorHAnsi"/>
          <w:sz w:val="20"/>
          <w:szCs w:val="20"/>
          <w:lang w:val="es-ES"/>
        </w:rPr>
        <w:t xml:space="preserve"> acceder a una indemnización por accidentes laborales, a la cual tienen derecho los trabajadores argentinos</w:t>
      </w:r>
      <w:r w:rsidR="006F0E10">
        <w:rPr>
          <w:rFonts w:asciiTheme="majorHAnsi" w:hAnsiTheme="majorHAnsi"/>
          <w:sz w:val="20"/>
          <w:szCs w:val="20"/>
          <w:lang w:val="es-ES"/>
        </w:rPr>
        <w:t xml:space="preserve"> </w:t>
      </w:r>
      <w:r w:rsidR="00013AEC">
        <w:rPr>
          <w:rFonts w:asciiTheme="majorHAnsi" w:hAnsiTheme="majorHAnsi"/>
          <w:sz w:val="20"/>
          <w:szCs w:val="20"/>
          <w:lang w:val="es-ES"/>
        </w:rPr>
        <w:t>b</w:t>
      </w:r>
      <w:r w:rsidR="003B2C77">
        <w:rPr>
          <w:rFonts w:asciiTheme="majorHAnsi" w:hAnsiTheme="majorHAnsi"/>
          <w:sz w:val="20"/>
          <w:szCs w:val="20"/>
          <w:lang w:val="es-ES"/>
        </w:rPr>
        <w:t>ajo</w:t>
      </w:r>
      <w:r w:rsidR="006F0E10">
        <w:rPr>
          <w:rFonts w:asciiTheme="majorHAnsi" w:hAnsiTheme="majorHAnsi"/>
          <w:sz w:val="20"/>
          <w:szCs w:val="20"/>
          <w:lang w:val="es-ES"/>
        </w:rPr>
        <w:t xml:space="preserve"> el derecho común</w:t>
      </w:r>
      <w:r w:rsidR="00090980" w:rsidRPr="00F15F06">
        <w:rPr>
          <w:rFonts w:asciiTheme="majorHAnsi" w:hAnsiTheme="majorHAnsi"/>
          <w:sz w:val="20"/>
          <w:szCs w:val="20"/>
          <w:lang w:val="es-ES"/>
        </w:rPr>
        <w:t>. Agrega que las autoridades judiciales nacionales rechazaron los recursos que oportunamente impuls</w:t>
      </w:r>
      <w:r w:rsidR="005A1D4F">
        <w:rPr>
          <w:rFonts w:asciiTheme="majorHAnsi" w:hAnsiTheme="majorHAnsi"/>
          <w:sz w:val="20"/>
          <w:szCs w:val="20"/>
          <w:lang w:val="es-ES"/>
        </w:rPr>
        <w:t>ó</w:t>
      </w:r>
      <w:r w:rsidR="00090980" w:rsidRPr="00F15F06">
        <w:rPr>
          <w:rFonts w:asciiTheme="majorHAnsi" w:hAnsiTheme="majorHAnsi"/>
          <w:sz w:val="20"/>
          <w:szCs w:val="20"/>
          <w:lang w:val="es-ES"/>
        </w:rPr>
        <w:t xml:space="preserve"> para obtener una reparación, aplicando el referido marco legal y utilizando un precedente judicial vinculado a conflictos armados de carácter internacional. Adicionalmente, alega que la jurisprudencia de la Corte Suprema sobre el derecho a </w:t>
      </w:r>
      <w:r w:rsidR="00090980" w:rsidRPr="00F15F06">
        <w:rPr>
          <w:rFonts w:asciiTheme="majorHAnsi" w:hAnsiTheme="majorHAnsi"/>
          <w:sz w:val="20"/>
          <w:szCs w:val="20"/>
          <w:lang w:val="es-ES"/>
        </w:rPr>
        <w:lastRenderedPageBreak/>
        <w:t xml:space="preserve">la indemnización de </w:t>
      </w:r>
      <w:r w:rsidR="006662BC">
        <w:rPr>
          <w:rFonts w:asciiTheme="majorHAnsi" w:hAnsiTheme="majorHAnsi"/>
          <w:sz w:val="20"/>
          <w:szCs w:val="20"/>
          <w:lang w:val="es-ES"/>
        </w:rPr>
        <w:t xml:space="preserve">funcionarios lesionados en su </w:t>
      </w:r>
      <w:r w:rsidR="006F482D">
        <w:rPr>
          <w:rFonts w:asciiTheme="majorHAnsi" w:hAnsiTheme="majorHAnsi"/>
          <w:sz w:val="20"/>
          <w:szCs w:val="20"/>
          <w:lang w:val="es-ES"/>
        </w:rPr>
        <w:t>ámbito laboral en acto y por servicio</w:t>
      </w:r>
      <w:r w:rsidR="00090980" w:rsidRPr="00F15F06">
        <w:rPr>
          <w:rFonts w:asciiTheme="majorHAnsi" w:hAnsiTheme="majorHAnsi"/>
          <w:sz w:val="20"/>
          <w:szCs w:val="20"/>
          <w:lang w:val="es-ES"/>
        </w:rPr>
        <w:t>, ha sido contradictoria, originando inseguridad jurídica.</w:t>
      </w:r>
    </w:p>
    <w:p w14:paraId="2A27D2FD" w14:textId="75A564CA" w:rsidR="00DA0E15" w:rsidRPr="00F15F06" w:rsidRDefault="006B21AC" w:rsidP="007F2521">
      <w:pPr>
        <w:pStyle w:val="ListParagraph"/>
        <w:numPr>
          <w:ilvl w:val="0"/>
          <w:numId w:val="61"/>
        </w:numPr>
        <w:tabs>
          <w:tab w:val="left" w:pos="720"/>
        </w:tabs>
        <w:spacing w:before="120" w:after="120"/>
        <w:ind w:left="0" w:firstLine="720"/>
        <w:jc w:val="both"/>
        <w:rPr>
          <w:rFonts w:asciiTheme="majorHAnsi" w:hAnsiTheme="majorHAnsi"/>
          <w:sz w:val="20"/>
          <w:szCs w:val="20"/>
          <w:lang w:val="es-ES"/>
        </w:rPr>
      </w:pPr>
      <w:r w:rsidRPr="00F15F06">
        <w:rPr>
          <w:rFonts w:asciiTheme="majorHAnsi" w:hAnsiTheme="majorHAnsi"/>
          <w:sz w:val="20"/>
          <w:szCs w:val="20"/>
          <w:lang w:val="es-ES"/>
        </w:rPr>
        <w:t xml:space="preserve">El peticionario </w:t>
      </w:r>
      <w:r w:rsidR="00184FDA" w:rsidRPr="00F15F06">
        <w:rPr>
          <w:rFonts w:asciiTheme="majorHAnsi" w:hAnsiTheme="majorHAnsi"/>
          <w:sz w:val="20"/>
          <w:szCs w:val="20"/>
          <w:lang w:val="es-ES"/>
        </w:rPr>
        <w:t xml:space="preserve">alega que </w:t>
      </w:r>
      <w:r w:rsidR="00566EFD" w:rsidRPr="00555298">
        <w:rPr>
          <w:rFonts w:asciiTheme="majorHAnsi" w:hAnsiTheme="majorHAnsi"/>
          <w:sz w:val="20"/>
          <w:szCs w:val="20"/>
          <w:lang w:val="es-ES"/>
        </w:rPr>
        <w:t>en diciembre de 1993</w:t>
      </w:r>
      <w:r w:rsidR="00184FDA" w:rsidRPr="00555298">
        <w:rPr>
          <w:rFonts w:asciiTheme="majorHAnsi" w:hAnsiTheme="majorHAnsi"/>
          <w:sz w:val="20"/>
          <w:szCs w:val="20"/>
          <w:lang w:val="es-ES"/>
        </w:rPr>
        <w:t>,</w:t>
      </w:r>
      <w:r w:rsidR="00184FDA" w:rsidRPr="00F15F06">
        <w:rPr>
          <w:rFonts w:asciiTheme="majorHAnsi" w:hAnsiTheme="majorHAnsi"/>
          <w:sz w:val="20"/>
          <w:szCs w:val="20"/>
          <w:lang w:val="es-ES"/>
        </w:rPr>
        <w:t xml:space="preserve"> </w:t>
      </w:r>
      <w:r w:rsidRPr="00F15F06">
        <w:rPr>
          <w:rFonts w:asciiTheme="majorHAnsi" w:hAnsiTheme="majorHAnsi"/>
          <w:sz w:val="20"/>
          <w:szCs w:val="20"/>
          <w:lang w:val="es-ES"/>
        </w:rPr>
        <w:t xml:space="preserve">la presunta víctima fue </w:t>
      </w:r>
      <w:r w:rsidR="00566EFD" w:rsidRPr="00F15F06">
        <w:rPr>
          <w:rFonts w:asciiTheme="majorHAnsi" w:hAnsiTheme="majorHAnsi"/>
          <w:sz w:val="20"/>
          <w:szCs w:val="20"/>
          <w:lang w:val="es-ES"/>
        </w:rPr>
        <w:t>tomada</w:t>
      </w:r>
      <w:r w:rsidRPr="00F15F06">
        <w:rPr>
          <w:rFonts w:asciiTheme="majorHAnsi" w:hAnsiTheme="majorHAnsi"/>
          <w:sz w:val="20"/>
          <w:szCs w:val="20"/>
          <w:lang w:val="es-ES"/>
        </w:rPr>
        <w:t xml:space="preserve"> como rehén</w:t>
      </w:r>
      <w:r w:rsidR="00566EFD" w:rsidRPr="00F15F06">
        <w:rPr>
          <w:rFonts w:asciiTheme="majorHAnsi" w:hAnsiTheme="majorHAnsi"/>
          <w:sz w:val="20"/>
          <w:szCs w:val="20"/>
          <w:lang w:val="es-ES"/>
        </w:rPr>
        <w:t xml:space="preserve"> en el centro penitenciario donde este laburaba,</w:t>
      </w:r>
      <w:r w:rsidRPr="00F15F06">
        <w:rPr>
          <w:rFonts w:asciiTheme="majorHAnsi" w:hAnsiTheme="majorHAnsi"/>
          <w:sz w:val="20"/>
          <w:szCs w:val="20"/>
          <w:lang w:val="es-ES"/>
        </w:rPr>
        <w:t xml:space="preserve"> por presos de gran peligrosidad</w:t>
      </w:r>
      <w:r w:rsidR="00555298">
        <w:rPr>
          <w:rFonts w:asciiTheme="majorHAnsi" w:hAnsiTheme="majorHAnsi"/>
          <w:sz w:val="20"/>
          <w:szCs w:val="20"/>
          <w:lang w:val="es-ES"/>
        </w:rPr>
        <w:t>, lo cual le ocasionó estrés postraumático</w:t>
      </w:r>
      <w:r w:rsidR="00184FDA" w:rsidRPr="00F15F06">
        <w:rPr>
          <w:rFonts w:asciiTheme="majorHAnsi" w:hAnsiTheme="majorHAnsi"/>
          <w:sz w:val="20"/>
          <w:szCs w:val="20"/>
          <w:lang w:val="es-ES"/>
        </w:rPr>
        <w:t xml:space="preserve">. </w:t>
      </w:r>
      <w:r w:rsidR="009F406A" w:rsidRPr="00F15F06">
        <w:rPr>
          <w:rFonts w:asciiTheme="majorHAnsi" w:hAnsiTheme="majorHAnsi"/>
          <w:sz w:val="20"/>
          <w:szCs w:val="20"/>
          <w:lang w:val="es-ES"/>
        </w:rPr>
        <w:t>Asimismo,</w:t>
      </w:r>
      <w:r w:rsidR="00184FDA" w:rsidRPr="00F15F06">
        <w:rPr>
          <w:rFonts w:asciiTheme="majorHAnsi" w:hAnsiTheme="majorHAnsi"/>
          <w:sz w:val="20"/>
          <w:szCs w:val="20"/>
          <w:lang w:val="es-ES"/>
        </w:rPr>
        <w:t xml:space="preserve"> aduce que sufrió</w:t>
      </w:r>
      <w:r w:rsidR="00566EFD" w:rsidRPr="00F15F06">
        <w:rPr>
          <w:rFonts w:asciiTheme="majorHAnsi" w:hAnsiTheme="majorHAnsi"/>
          <w:sz w:val="20"/>
          <w:szCs w:val="20"/>
          <w:lang w:val="es-ES"/>
        </w:rPr>
        <w:t xml:space="preserve"> un accidente de tránsito el 11 de diciembre de 2000</w:t>
      </w:r>
      <w:r w:rsidR="00D114DF" w:rsidRPr="00F15F06">
        <w:rPr>
          <w:rFonts w:asciiTheme="majorHAnsi" w:hAnsiTheme="majorHAnsi"/>
          <w:sz w:val="20"/>
          <w:szCs w:val="20"/>
          <w:lang w:val="es-ES"/>
        </w:rPr>
        <w:t xml:space="preserve"> al dirigirse a su</w:t>
      </w:r>
      <w:r w:rsidR="00D31D67" w:rsidRPr="00F15F06">
        <w:rPr>
          <w:rFonts w:asciiTheme="majorHAnsi" w:hAnsiTheme="majorHAnsi"/>
          <w:sz w:val="20"/>
          <w:szCs w:val="20"/>
          <w:lang w:val="es-ES"/>
        </w:rPr>
        <w:t xml:space="preserve"> lugar</w:t>
      </w:r>
      <w:r w:rsidR="00D114DF" w:rsidRPr="00F15F06">
        <w:rPr>
          <w:rFonts w:asciiTheme="majorHAnsi" w:hAnsiTheme="majorHAnsi"/>
          <w:sz w:val="20"/>
          <w:szCs w:val="20"/>
          <w:lang w:val="es-ES"/>
        </w:rPr>
        <w:t xml:space="preserve"> </w:t>
      </w:r>
      <w:r w:rsidR="00D31D67" w:rsidRPr="00F15F06">
        <w:rPr>
          <w:rFonts w:asciiTheme="majorHAnsi" w:hAnsiTheme="majorHAnsi"/>
          <w:sz w:val="20"/>
          <w:szCs w:val="20"/>
          <w:lang w:val="es-ES"/>
        </w:rPr>
        <w:t xml:space="preserve">de </w:t>
      </w:r>
      <w:r w:rsidR="00D114DF" w:rsidRPr="00F15F06">
        <w:rPr>
          <w:rFonts w:asciiTheme="majorHAnsi" w:hAnsiTheme="majorHAnsi"/>
          <w:sz w:val="20"/>
          <w:szCs w:val="20"/>
          <w:lang w:val="es-ES"/>
        </w:rPr>
        <w:t>trabajo</w:t>
      </w:r>
      <w:r w:rsidR="00D31D67" w:rsidRPr="00F15F06">
        <w:rPr>
          <w:rFonts w:asciiTheme="majorHAnsi" w:hAnsiTheme="majorHAnsi"/>
          <w:sz w:val="20"/>
          <w:szCs w:val="20"/>
          <w:lang w:val="es-ES"/>
        </w:rPr>
        <w:t xml:space="preserve"> en la Penitenciaría Federal</w:t>
      </w:r>
      <w:r w:rsidR="00566EFD" w:rsidRPr="00F15F06">
        <w:rPr>
          <w:rFonts w:asciiTheme="majorHAnsi" w:hAnsiTheme="majorHAnsi"/>
          <w:sz w:val="20"/>
          <w:szCs w:val="20"/>
          <w:lang w:val="es-ES"/>
        </w:rPr>
        <w:t xml:space="preserve">. </w:t>
      </w:r>
      <w:r w:rsidR="002A6BD1" w:rsidRPr="00F15F06">
        <w:rPr>
          <w:rFonts w:asciiTheme="majorHAnsi" w:hAnsiTheme="majorHAnsi"/>
          <w:sz w:val="20"/>
          <w:szCs w:val="20"/>
          <w:lang w:val="es-ES"/>
        </w:rPr>
        <w:t>De acuerdo al peticionario, a raíz de ello sufrió una incapacidad física y psíquica de carácter total y permanente, evaluada en un 66%</w:t>
      </w:r>
      <w:r w:rsidR="00392B94" w:rsidRPr="00F15F06">
        <w:rPr>
          <w:rFonts w:asciiTheme="majorHAnsi" w:hAnsiTheme="majorHAnsi"/>
          <w:sz w:val="20"/>
          <w:szCs w:val="20"/>
          <w:lang w:val="es-ES"/>
        </w:rPr>
        <w:t xml:space="preserve"> por el Área de Medicina Forense de la Clínica San Jorge S.A.C dónde fue atendido</w:t>
      </w:r>
      <w:r w:rsidR="002A6BD1" w:rsidRPr="00F15F06">
        <w:rPr>
          <w:rFonts w:asciiTheme="majorHAnsi" w:hAnsiTheme="majorHAnsi"/>
          <w:sz w:val="20"/>
          <w:szCs w:val="20"/>
          <w:lang w:val="es-ES"/>
        </w:rPr>
        <w:t xml:space="preserve">, habiéndose calificado su caso como “en y por acto del servicio”. </w:t>
      </w:r>
    </w:p>
    <w:p w14:paraId="77D86B88" w14:textId="3CDCF74B" w:rsidR="00DA0E15" w:rsidRPr="00F15F06" w:rsidRDefault="00184FDA" w:rsidP="007F2521">
      <w:pPr>
        <w:pStyle w:val="ListParagraph"/>
        <w:numPr>
          <w:ilvl w:val="0"/>
          <w:numId w:val="61"/>
        </w:numPr>
        <w:tabs>
          <w:tab w:val="left" w:pos="720"/>
        </w:tabs>
        <w:spacing w:before="120" w:after="120"/>
        <w:ind w:left="0" w:firstLine="720"/>
        <w:jc w:val="both"/>
        <w:rPr>
          <w:rFonts w:asciiTheme="majorHAnsi" w:hAnsiTheme="majorHAnsi"/>
          <w:sz w:val="20"/>
          <w:szCs w:val="20"/>
          <w:lang w:val="es-ES"/>
        </w:rPr>
      </w:pPr>
      <w:r w:rsidRPr="005A1446">
        <w:rPr>
          <w:rFonts w:asciiTheme="majorHAnsi" w:hAnsiTheme="majorHAnsi"/>
          <w:sz w:val="20"/>
          <w:szCs w:val="20"/>
          <w:lang w:val="es-ES"/>
        </w:rPr>
        <w:t>La presunta víctima</w:t>
      </w:r>
      <w:r w:rsidR="003561C6" w:rsidRPr="00F15F06">
        <w:rPr>
          <w:rFonts w:asciiTheme="majorHAnsi" w:hAnsiTheme="majorHAnsi"/>
          <w:sz w:val="20"/>
          <w:szCs w:val="20"/>
          <w:lang w:val="es-ES"/>
        </w:rPr>
        <w:t xml:space="preserve"> interpuso una acción de indemnización por daños y perjuicios contra el Estado, el Ministerio de Justicia y la Penitenciaría Federal ante el Juzgado Nacional en lo Civil y Comercial Federal. </w:t>
      </w:r>
      <w:r w:rsidR="00051ED6" w:rsidRPr="00F15F06">
        <w:rPr>
          <w:rFonts w:asciiTheme="majorHAnsi" w:hAnsiTheme="majorHAnsi"/>
          <w:sz w:val="20"/>
          <w:szCs w:val="20"/>
          <w:lang w:val="es-ES"/>
        </w:rPr>
        <w:t>M</w:t>
      </w:r>
      <w:r w:rsidR="00B17413" w:rsidRPr="00F15F06">
        <w:rPr>
          <w:rFonts w:asciiTheme="majorHAnsi" w:hAnsiTheme="majorHAnsi"/>
          <w:sz w:val="20"/>
          <w:szCs w:val="20"/>
          <w:lang w:val="es-ES"/>
        </w:rPr>
        <w:t>ediante sentencia de</w:t>
      </w:r>
      <w:r w:rsidR="00051ED6" w:rsidRPr="00F15F06">
        <w:rPr>
          <w:rFonts w:asciiTheme="majorHAnsi" w:hAnsiTheme="majorHAnsi"/>
          <w:sz w:val="20"/>
          <w:szCs w:val="20"/>
          <w:lang w:val="es-ES"/>
        </w:rPr>
        <w:t xml:space="preserve"> fecha</w:t>
      </w:r>
      <w:r w:rsidR="00B17413" w:rsidRPr="00F15F06">
        <w:rPr>
          <w:rFonts w:asciiTheme="majorHAnsi" w:hAnsiTheme="majorHAnsi"/>
          <w:sz w:val="20"/>
          <w:szCs w:val="20"/>
          <w:lang w:val="es-ES"/>
        </w:rPr>
        <w:t xml:space="preserve"> 31 de mayo de 2007, dicho Juzgado </w:t>
      </w:r>
      <w:r w:rsidR="00AF2DB9" w:rsidRPr="00F15F06">
        <w:rPr>
          <w:rFonts w:asciiTheme="majorHAnsi" w:hAnsiTheme="majorHAnsi"/>
          <w:sz w:val="20"/>
          <w:szCs w:val="20"/>
          <w:lang w:val="es-ES"/>
        </w:rPr>
        <w:t xml:space="preserve">acogió </w:t>
      </w:r>
      <w:r w:rsidRPr="00F15F06">
        <w:rPr>
          <w:rFonts w:asciiTheme="majorHAnsi" w:hAnsiTheme="majorHAnsi"/>
          <w:sz w:val="20"/>
          <w:szCs w:val="20"/>
          <w:lang w:val="es-ES"/>
        </w:rPr>
        <w:t>su</w:t>
      </w:r>
      <w:r w:rsidR="00AF2DB9" w:rsidRPr="00F15F06">
        <w:rPr>
          <w:rFonts w:asciiTheme="majorHAnsi" w:hAnsiTheme="majorHAnsi"/>
          <w:sz w:val="20"/>
          <w:szCs w:val="20"/>
          <w:lang w:val="es-ES"/>
        </w:rPr>
        <w:t xml:space="preserve"> pretensión</w:t>
      </w:r>
      <w:r w:rsidR="00091840" w:rsidRPr="00F15F06">
        <w:rPr>
          <w:rFonts w:asciiTheme="majorHAnsi" w:hAnsiTheme="majorHAnsi"/>
          <w:sz w:val="20"/>
          <w:szCs w:val="20"/>
          <w:lang w:val="es-ES"/>
        </w:rPr>
        <w:t xml:space="preserve">, otorgándole el monto de </w:t>
      </w:r>
      <w:r w:rsidR="00BF5CB2" w:rsidRPr="00F15F06">
        <w:rPr>
          <w:rFonts w:asciiTheme="majorHAnsi" w:hAnsiTheme="majorHAnsi"/>
          <w:sz w:val="20"/>
          <w:szCs w:val="20"/>
          <w:lang w:val="es-ES"/>
        </w:rPr>
        <w:t>$</w:t>
      </w:r>
      <w:r w:rsidR="00091840" w:rsidRPr="00F15F06">
        <w:rPr>
          <w:rFonts w:asciiTheme="majorHAnsi" w:hAnsiTheme="majorHAnsi"/>
          <w:sz w:val="20"/>
          <w:szCs w:val="20"/>
          <w:lang w:val="es-ES"/>
        </w:rPr>
        <w:t>200</w:t>
      </w:r>
      <w:r w:rsidR="00BF5CB2" w:rsidRPr="00F15F06">
        <w:rPr>
          <w:rFonts w:asciiTheme="majorHAnsi" w:hAnsiTheme="majorHAnsi"/>
          <w:sz w:val="20"/>
          <w:szCs w:val="20"/>
          <w:lang w:val="es-ES"/>
        </w:rPr>
        <w:t>.000</w:t>
      </w:r>
      <w:r w:rsidR="00091840" w:rsidRPr="00F15F06">
        <w:rPr>
          <w:rFonts w:asciiTheme="majorHAnsi" w:hAnsiTheme="majorHAnsi"/>
          <w:sz w:val="20"/>
          <w:szCs w:val="20"/>
          <w:lang w:val="es-ES"/>
        </w:rPr>
        <w:t xml:space="preserve"> pesos argentinos</w:t>
      </w:r>
      <w:r w:rsidR="00F967DA" w:rsidRPr="00F15F06">
        <w:rPr>
          <w:rFonts w:asciiTheme="majorHAnsi" w:hAnsiTheme="majorHAnsi"/>
          <w:sz w:val="20"/>
          <w:szCs w:val="20"/>
          <w:lang w:val="es-ES"/>
        </w:rPr>
        <w:t>, basándose en la jurisprudencia del caso “</w:t>
      </w:r>
      <w:proofErr w:type="spellStart"/>
      <w:r w:rsidR="00F967DA" w:rsidRPr="005A1D4F">
        <w:rPr>
          <w:rFonts w:asciiTheme="majorHAnsi" w:hAnsiTheme="majorHAnsi"/>
          <w:i/>
          <w:sz w:val="20"/>
          <w:szCs w:val="20"/>
          <w:lang w:val="es-ES"/>
        </w:rPr>
        <w:t>Mengual</w:t>
      </w:r>
      <w:proofErr w:type="spellEnd"/>
      <w:r w:rsidR="00F967DA" w:rsidRPr="00F15F06">
        <w:rPr>
          <w:rFonts w:asciiTheme="majorHAnsi" w:hAnsiTheme="majorHAnsi"/>
          <w:sz w:val="20"/>
          <w:szCs w:val="20"/>
          <w:lang w:val="es-ES"/>
        </w:rPr>
        <w:t xml:space="preserve">” </w:t>
      </w:r>
      <w:r w:rsidR="00BF5CB2" w:rsidRPr="00F15F06">
        <w:rPr>
          <w:rFonts w:asciiTheme="majorHAnsi" w:hAnsiTheme="majorHAnsi"/>
          <w:sz w:val="20"/>
          <w:szCs w:val="20"/>
          <w:lang w:val="es-ES"/>
        </w:rPr>
        <w:t>em</w:t>
      </w:r>
      <w:r w:rsidR="00F967DA" w:rsidRPr="00F15F06">
        <w:rPr>
          <w:rFonts w:asciiTheme="majorHAnsi" w:hAnsiTheme="majorHAnsi"/>
          <w:sz w:val="20"/>
          <w:szCs w:val="20"/>
          <w:lang w:val="es-ES"/>
        </w:rPr>
        <w:t>itido por la Corte Suprema de Justicia</w:t>
      </w:r>
      <w:r w:rsidR="00091840" w:rsidRPr="00F15F06">
        <w:rPr>
          <w:rFonts w:asciiTheme="majorHAnsi" w:hAnsiTheme="majorHAnsi"/>
          <w:sz w:val="20"/>
          <w:szCs w:val="20"/>
          <w:lang w:val="es-ES"/>
        </w:rPr>
        <w:t>.</w:t>
      </w:r>
      <w:r w:rsidR="00F967DA" w:rsidRPr="00F15F06">
        <w:rPr>
          <w:rFonts w:asciiTheme="majorHAnsi" w:hAnsiTheme="majorHAnsi"/>
          <w:sz w:val="20"/>
          <w:szCs w:val="20"/>
          <w:lang w:val="es-ES"/>
        </w:rPr>
        <w:t xml:space="preserve"> El caso “</w:t>
      </w:r>
      <w:proofErr w:type="spellStart"/>
      <w:r w:rsidR="00F967DA" w:rsidRPr="005A1D4F">
        <w:rPr>
          <w:rFonts w:asciiTheme="majorHAnsi" w:hAnsiTheme="majorHAnsi"/>
          <w:i/>
          <w:sz w:val="20"/>
          <w:szCs w:val="20"/>
          <w:lang w:val="es-ES"/>
        </w:rPr>
        <w:t>Mengual</w:t>
      </w:r>
      <w:proofErr w:type="spellEnd"/>
      <w:r w:rsidR="00F967DA" w:rsidRPr="00F15F06">
        <w:rPr>
          <w:rFonts w:asciiTheme="majorHAnsi" w:hAnsiTheme="majorHAnsi"/>
          <w:sz w:val="20"/>
          <w:szCs w:val="20"/>
          <w:lang w:val="es-ES"/>
        </w:rPr>
        <w:t>” hace referencia a la aplicación de n</w:t>
      </w:r>
      <w:r w:rsidR="008739E7" w:rsidRPr="00F15F06">
        <w:rPr>
          <w:rFonts w:asciiTheme="majorHAnsi" w:hAnsiTheme="majorHAnsi"/>
          <w:sz w:val="20"/>
          <w:szCs w:val="20"/>
          <w:lang w:val="es-ES"/>
        </w:rPr>
        <w:t>o</w:t>
      </w:r>
      <w:r w:rsidR="00F967DA" w:rsidRPr="00F15F06">
        <w:rPr>
          <w:rFonts w:asciiTheme="majorHAnsi" w:hAnsiTheme="majorHAnsi"/>
          <w:sz w:val="20"/>
          <w:szCs w:val="20"/>
          <w:lang w:val="es-ES"/>
        </w:rPr>
        <w:t xml:space="preserve">rmativas sobre indemnizaciones </w:t>
      </w:r>
      <w:r w:rsidR="008739E7" w:rsidRPr="00F15F06">
        <w:rPr>
          <w:rFonts w:asciiTheme="majorHAnsi" w:hAnsiTheme="majorHAnsi"/>
          <w:sz w:val="20"/>
          <w:szCs w:val="20"/>
          <w:lang w:val="es-ES"/>
        </w:rPr>
        <w:t>a funcionarios en amparo</w:t>
      </w:r>
      <w:r w:rsidR="00F967DA" w:rsidRPr="00F15F06">
        <w:rPr>
          <w:rFonts w:asciiTheme="majorHAnsi" w:hAnsiTheme="majorHAnsi"/>
          <w:sz w:val="20"/>
          <w:szCs w:val="20"/>
          <w:lang w:val="es-ES"/>
        </w:rPr>
        <w:t xml:space="preserve"> </w:t>
      </w:r>
      <w:r w:rsidR="008739E7" w:rsidRPr="00F15F06">
        <w:rPr>
          <w:rFonts w:asciiTheme="majorHAnsi" w:hAnsiTheme="majorHAnsi"/>
          <w:sz w:val="20"/>
          <w:szCs w:val="20"/>
          <w:lang w:val="es-ES"/>
        </w:rPr>
        <w:t>al</w:t>
      </w:r>
      <w:r w:rsidR="00F967DA" w:rsidRPr="00F15F06">
        <w:rPr>
          <w:rFonts w:asciiTheme="majorHAnsi" w:hAnsiTheme="majorHAnsi"/>
          <w:sz w:val="20"/>
          <w:szCs w:val="20"/>
          <w:lang w:val="es-ES"/>
        </w:rPr>
        <w:t xml:space="preserve"> derecho común</w:t>
      </w:r>
      <w:r w:rsidR="008739E7" w:rsidRPr="00F15F06">
        <w:rPr>
          <w:rFonts w:asciiTheme="majorHAnsi" w:hAnsiTheme="majorHAnsi"/>
          <w:sz w:val="20"/>
          <w:szCs w:val="20"/>
          <w:lang w:val="es-ES"/>
        </w:rPr>
        <w:t>,</w:t>
      </w:r>
      <w:r w:rsidR="00F967DA" w:rsidRPr="00F15F06">
        <w:rPr>
          <w:rFonts w:asciiTheme="majorHAnsi" w:hAnsiTheme="majorHAnsi"/>
          <w:sz w:val="20"/>
          <w:szCs w:val="20"/>
          <w:lang w:val="es-ES"/>
        </w:rPr>
        <w:t xml:space="preserve"> cuando</w:t>
      </w:r>
      <w:r w:rsidR="008739E7" w:rsidRPr="00F15F06">
        <w:rPr>
          <w:rFonts w:asciiTheme="majorHAnsi" w:hAnsiTheme="majorHAnsi"/>
          <w:sz w:val="20"/>
          <w:szCs w:val="20"/>
          <w:lang w:val="es-ES"/>
        </w:rPr>
        <w:t xml:space="preserve"> el evento dañoso</w:t>
      </w:r>
      <w:r w:rsidR="00F967DA" w:rsidRPr="00F15F06">
        <w:rPr>
          <w:rFonts w:asciiTheme="majorHAnsi" w:hAnsiTheme="majorHAnsi"/>
          <w:sz w:val="20"/>
          <w:szCs w:val="20"/>
          <w:lang w:val="es-ES"/>
        </w:rPr>
        <w:t xml:space="preserve"> no proviene de una acción bélica</w:t>
      </w:r>
      <w:r w:rsidR="008739E7" w:rsidRPr="00F15F06">
        <w:rPr>
          <w:rFonts w:asciiTheme="majorHAnsi" w:hAnsiTheme="majorHAnsi"/>
          <w:sz w:val="20"/>
          <w:szCs w:val="20"/>
          <w:lang w:val="es-ES"/>
        </w:rPr>
        <w:t xml:space="preserve"> o a misiones específicas vinculadas al hecho.</w:t>
      </w:r>
      <w:r w:rsidR="00091840" w:rsidRPr="00F15F06">
        <w:rPr>
          <w:rFonts w:asciiTheme="majorHAnsi" w:hAnsiTheme="majorHAnsi"/>
          <w:sz w:val="20"/>
          <w:szCs w:val="20"/>
          <w:lang w:val="es-ES"/>
        </w:rPr>
        <w:t xml:space="preserve"> </w:t>
      </w:r>
      <w:r w:rsidR="00A22274" w:rsidRPr="00F15F06">
        <w:rPr>
          <w:rFonts w:asciiTheme="majorHAnsi" w:hAnsiTheme="majorHAnsi"/>
          <w:sz w:val="20"/>
          <w:szCs w:val="20"/>
          <w:lang w:val="es-ES"/>
        </w:rPr>
        <w:t>El</w:t>
      </w:r>
      <w:r w:rsidR="00091840" w:rsidRPr="00F15F06">
        <w:rPr>
          <w:rFonts w:asciiTheme="majorHAnsi" w:hAnsiTheme="majorHAnsi"/>
          <w:sz w:val="20"/>
          <w:szCs w:val="20"/>
          <w:lang w:val="es-ES"/>
        </w:rPr>
        <w:t xml:space="preserve"> Estado argentino apeló dicha resolución ante la Cámara Nacional de Apelaciones en lo Civil y lo Comercial, teniendo ello como resultado</w:t>
      </w:r>
      <w:r w:rsidR="006F2541" w:rsidRPr="00F15F06">
        <w:rPr>
          <w:rFonts w:asciiTheme="majorHAnsi" w:hAnsiTheme="majorHAnsi"/>
          <w:sz w:val="20"/>
          <w:szCs w:val="20"/>
          <w:lang w:val="es-ES"/>
        </w:rPr>
        <w:t xml:space="preserve"> la revocación de la primera sentencia y el rechazo de la demanda inicial</w:t>
      </w:r>
      <w:r w:rsidR="00D114DF" w:rsidRPr="00F15F06">
        <w:rPr>
          <w:rFonts w:asciiTheme="majorHAnsi" w:hAnsiTheme="majorHAnsi"/>
          <w:sz w:val="20"/>
          <w:szCs w:val="20"/>
          <w:lang w:val="es-ES"/>
        </w:rPr>
        <w:t>, mediante sentencia de 12 de febrero de 2008</w:t>
      </w:r>
      <w:r w:rsidR="00AF2DB9" w:rsidRPr="00F15F06">
        <w:rPr>
          <w:rFonts w:asciiTheme="majorHAnsi" w:hAnsiTheme="majorHAnsi"/>
          <w:sz w:val="20"/>
          <w:szCs w:val="20"/>
          <w:lang w:val="es-ES"/>
        </w:rPr>
        <w:t xml:space="preserve">. </w:t>
      </w:r>
      <w:r w:rsidR="00051ED6" w:rsidRPr="00F15F06">
        <w:rPr>
          <w:rFonts w:asciiTheme="majorHAnsi" w:hAnsiTheme="majorHAnsi"/>
          <w:sz w:val="20"/>
          <w:szCs w:val="20"/>
          <w:lang w:val="es-ES"/>
        </w:rPr>
        <w:t>Dicha decisión</w:t>
      </w:r>
      <w:r w:rsidR="00552458">
        <w:rPr>
          <w:rFonts w:asciiTheme="majorHAnsi" w:hAnsiTheme="majorHAnsi"/>
          <w:sz w:val="20"/>
          <w:szCs w:val="20"/>
          <w:lang w:val="es-ES"/>
        </w:rPr>
        <w:t xml:space="preserve"> se</w:t>
      </w:r>
      <w:r w:rsidR="00051ED6" w:rsidRPr="00F15F06">
        <w:rPr>
          <w:rFonts w:asciiTheme="majorHAnsi" w:hAnsiTheme="majorHAnsi"/>
          <w:sz w:val="20"/>
          <w:szCs w:val="20"/>
          <w:lang w:val="es-ES"/>
        </w:rPr>
        <w:t xml:space="preserve"> </w:t>
      </w:r>
      <w:r w:rsidR="00A95149" w:rsidRPr="00F15F06">
        <w:rPr>
          <w:rFonts w:asciiTheme="majorHAnsi" w:hAnsiTheme="majorHAnsi"/>
          <w:sz w:val="20"/>
          <w:szCs w:val="20"/>
          <w:lang w:val="es-ES"/>
        </w:rPr>
        <w:t>basó en el precedente conocido como “</w:t>
      </w:r>
      <w:proofErr w:type="spellStart"/>
      <w:r w:rsidR="00A95149" w:rsidRPr="00F15F06">
        <w:rPr>
          <w:rFonts w:asciiTheme="majorHAnsi" w:hAnsiTheme="majorHAnsi"/>
          <w:i/>
          <w:sz w:val="20"/>
          <w:szCs w:val="20"/>
          <w:lang w:val="es-ES"/>
        </w:rPr>
        <w:t>Azzetti</w:t>
      </w:r>
      <w:proofErr w:type="spellEnd"/>
      <w:r w:rsidR="00A95149" w:rsidRPr="00F15F06">
        <w:rPr>
          <w:rFonts w:asciiTheme="majorHAnsi" w:hAnsiTheme="majorHAnsi"/>
          <w:sz w:val="20"/>
          <w:szCs w:val="20"/>
          <w:lang w:val="es-ES"/>
        </w:rPr>
        <w:t>”, resuelto por la Corte Suprema d</w:t>
      </w:r>
      <w:r w:rsidR="005A1D4F">
        <w:rPr>
          <w:rFonts w:asciiTheme="majorHAnsi" w:hAnsiTheme="majorHAnsi"/>
          <w:sz w:val="20"/>
          <w:szCs w:val="20"/>
          <w:lang w:val="es-ES"/>
        </w:rPr>
        <w:t>e Justicia en diciembre de 1998. El caso refiere a una</w:t>
      </w:r>
      <w:r w:rsidR="00A95149" w:rsidRPr="00F15F06">
        <w:rPr>
          <w:rFonts w:asciiTheme="majorHAnsi" w:hAnsiTheme="majorHAnsi"/>
          <w:sz w:val="20"/>
          <w:szCs w:val="20"/>
          <w:lang w:val="es-ES"/>
        </w:rPr>
        <w:t xml:space="preserve"> demanda judicial presentada por un soldado lesionado en la Guerra de Malvinas, </w:t>
      </w:r>
      <w:r w:rsidR="005A1D4F">
        <w:rPr>
          <w:rFonts w:asciiTheme="majorHAnsi" w:hAnsiTheme="majorHAnsi"/>
          <w:sz w:val="20"/>
          <w:szCs w:val="20"/>
          <w:lang w:val="es-ES"/>
        </w:rPr>
        <w:t xml:space="preserve">cuyas pretensiones fueron </w:t>
      </w:r>
      <w:r w:rsidR="00A95149" w:rsidRPr="00F15F06">
        <w:rPr>
          <w:rFonts w:asciiTheme="majorHAnsi" w:hAnsiTheme="majorHAnsi"/>
          <w:sz w:val="20"/>
          <w:szCs w:val="20"/>
          <w:lang w:val="es-ES"/>
        </w:rPr>
        <w:t>denegadas en razón de ser estas causadas por un enfrentamiento bélico internacional</w:t>
      </w:r>
      <w:r w:rsidR="005A1D4F">
        <w:rPr>
          <w:rFonts w:asciiTheme="majorHAnsi" w:hAnsiTheme="majorHAnsi"/>
          <w:sz w:val="20"/>
          <w:szCs w:val="20"/>
          <w:lang w:val="es-ES"/>
        </w:rPr>
        <w:t xml:space="preserve">, siendo </w:t>
      </w:r>
      <w:r w:rsidR="00A95149" w:rsidRPr="00F15F06">
        <w:rPr>
          <w:rFonts w:asciiTheme="majorHAnsi" w:hAnsiTheme="majorHAnsi"/>
          <w:sz w:val="20"/>
          <w:szCs w:val="20"/>
          <w:lang w:val="es-ES"/>
        </w:rPr>
        <w:t>que el derecho común no es aplicable en casos de lesiones sufridas en y por ejercicio de la función</w:t>
      </w:r>
      <w:r w:rsidR="00173926" w:rsidRPr="00F15F06">
        <w:rPr>
          <w:rFonts w:asciiTheme="majorHAnsi" w:hAnsiTheme="majorHAnsi"/>
          <w:sz w:val="20"/>
          <w:szCs w:val="20"/>
          <w:lang w:val="es-ES"/>
        </w:rPr>
        <w:t xml:space="preserve">. </w:t>
      </w:r>
      <w:r w:rsidR="00051ED6" w:rsidRPr="00F15F06">
        <w:rPr>
          <w:rFonts w:asciiTheme="majorHAnsi" w:hAnsiTheme="majorHAnsi"/>
          <w:sz w:val="20"/>
          <w:szCs w:val="20"/>
          <w:lang w:val="es-ES"/>
        </w:rPr>
        <w:t>La</w:t>
      </w:r>
      <w:r w:rsidR="00E10226" w:rsidRPr="00F15F06">
        <w:rPr>
          <w:rFonts w:asciiTheme="majorHAnsi" w:hAnsiTheme="majorHAnsi"/>
          <w:sz w:val="20"/>
          <w:szCs w:val="20"/>
          <w:lang w:val="es-ES"/>
        </w:rPr>
        <w:t xml:space="preserve"> presunta </w:t>
      </w:r>
      <w:r w:rsidR="00E10226" w:rsidRPr="007D3603">
        <w:rPr>
          <w:rFonts w:asciiTheme="majorHAnsi" w:hAnsiTheme="majorHAnsi"/>
          <w:sz w:val="20"/>
          <w:szCs w:val="20"/>
          <w:lang w:val="es-ES"/>
        </w:rPr>
        <w:t xml:space="preserve">víctima interpuso </w:t>
      </w:r>
      <w:r w:rsidR="006B5037">
        <w:rPr>
          <w:rFonts w:asciiTheme="majorHAnsi" w:hAnsiTheme="majorHAnsi"/>
          <w:sz w:val="20"/>
          <w:szCs w:val="20"/>
          <w:lang w:val="es-ES"/>
        </w:rPr>
        <w:t xml:space="preserve">entonces </w:t>
      </w:r>
      <w:r w:rsidR="00E10226" w:rsidRPr="007D3603">
        <w:rPr>
          <w:rFonts w:asciiTheme="majorHAnsi" w:hAnsiTheme="majorHAnsi"/>
          <w:sz w:val="20"/>
          <w:szCs w:val="20"/>
          <w:lang w:val="es-ES"/>
        </w:rPr>
        <w:t>un recurso extraordinario federal ante la Corte Suprema, el cual fue rechazado por dicho Tribunal</w:t>
      </w:r>
      <w:r w:rsidR="00F15F06" w:rsidRPr="007D3603">
        <w:rPr>
          <w:rFonts w:asciiTheme="majorHAnsi" w:hAnsiTheme="majorHAnsi"/>
          <w:sz w:val="20"/>
          <w:szCs w:val="20"/>
          <w:lang w:val="es-ES"/>
        </w:rPr>
        <w:t xml:space="preserve"> el </w:t>
      </w:r>
      <w:r w:rsidR="007D3603" w:rsidRPr="007D3603">
        <w:rPr>
          <w:rFonts w:asciiTheme="majorHAnsi" w:hAnsiTheme="majorHAnsi"/>
          <w:bCs/>
          <w:sz w:val="20"/>
          <w:szCs w:val="20"/>
          <w:lang w:val="es-ES"/>
        </w:rPr>
        <w:t>26 de marzo</w:t>
      </w:r>
      <w:r w:rsidR="00F15F06" w:rsidRPr="007D3603">
        <w:rPr>
          <w:rFonts w:asciiTheme="majorHAnsi" w:hAnsiTheme="majorHAnsi"/>
          <w:bCs/>
          <w:sz w:val="20"/>
          <w:szCs w:val="20"/>
          <w:lang w:val="es-ES"/>
        </w:rPr>
        <w:t xml:space="preserve"> de 2009</w:t>
      </w:r>
      <w:r w:rsidR="007D3603" w:rsidRPr="007D3603">
        <w:rPr>
          <w:rFonts w:asciiTheme="majorHAnsi" w:hAnsiTheme="majorHAnsi"/>
          <w:bCs/>
          <w:sz w:val="20"/>
          <w:szCs w:val="20"/>
          <w:lang w:val="es-ES"/>
        </w:rPr>
        <w:t xml:space="preserve">, </w:t>
      </w:r>
      <w:r w:rsidR="00A22274" w:rsidRPr="007D3603">
        <w:rPr>
          <w:rFonts w:asciiTheme="majorHAnsi" w:hAnsiTheme="majorHAnsi"/>
          <w:sz w:val="20"/>
          <w:szCs w:val="20"/>
          <w:lang w:val="es-ES"/>
        </w:rPr>
        <w:t>indicando</w:t>
      </w:r>
      <w:r w:rsidR="00E10226" w:rsidRPr="00F15F06">
        <w:rPr>
          <w:rFonts w:asciiTheme="majorHAnsi" w:hAnsiTheme="majorHAnsi"/>
          <w:sz w:val="20"/>
          <w:szCs w:val="20"/>
          <w:lang w:val="es-ES"/>
        </w:rPr>
        <w:t xml:space="preserve"> que el caso en concreto tenía una analogía con </w:t>
      </w:r>
      <w:r w:rsidR="00C33167" w:rsidRPr="00F15F06">
        <w:rPr>
          <w:rFonts w:asciiTheme="majorHAnsi" w:hAnsiTheme="majorHAnsi"/>
          <w:sz w:val="20"/>
          <w:szCs w:val="20"/>
          <w:lang w:val="es-ES"/>
        </w:rPr>
        <w:t>los</w:t>
      </w:r>
      <w:r w:rsidR="00E10226" w:rsidRPr="00F15F06">
        <w:rPr>
          <w:rFonts w:asciiTheme="majorHAnsi" w:hAnsiTheme="majorHAnsi"/>
          <w:sz w:val="20"/>
          <w:szCs w:val="20"/>
          <w:lang w:val="es-ES"/>
        </w:rPr>
        <w:t xml:space="preserve"> precedente</w:t>
      </w:r>
      <w:r w:rsidR="00C33167" w:rsidRPr="00F15F06">
        <w:rPr>
          <w:rFonts w:asciiTheme="majorHAnsi" w:hAnsiTheme="majorHAnsi"/>
          <w:sz w:val="20"/>
          <w:szCs w:val="20"/>
          <w:lang w:val="es-ES"/>
        </w:rPr>
        <w:t>s</w:t>
      </w:r>
      <w:r w:rsidR="00E10226" w:rsidRPr="00F15F06">
        <w:rPr>
          <w:rFonts w:asciiTheme="majorHAnsi" w:hAnsiTheme="majorHAnsi"/>
          <w:sz w:val="20"/>
          <w:szCs w:val="20"/>
          <w:lang w:val="es-ES"/>
        </w:rPr>
        <w:t xml:space="preserve"> “</w:t>
      </w:r>
      <w:proofErr w:type="spellStart"/>
      <w:r w:rsidR="00E10226" w:rsidRPr="00F15F06">
        <w:rPr>
          <w:rFonts w:asciiTheme="majorHAnsi" w:hAnsiTheme="majorHAnsi"/>
          <w:i/>
          <w:sz w:val="20"/>
          <w:szCs w:val="20"/>
          <w:lang w:val="es-ES"/>
        </w:rPr>
        <w:t>Leston</w:t>
      </w:r>
      <w:proofErr w:type="spellEnd"/>
      <w:r w:rsidR="00D114DF" w:rsidRPr="00F15F06">
        <w:rPr>
          <w:rFonts w:asciiTheme="majorHAnsi" w:hAnsiTheme="majorHAnsi"/>
          <w:sz w:val="20"/>
          <w:szCs w:val="20"/>
          <w:lang w:val="es-ES"/>
        </w:rPr>
        <w:t xml:space="preserve"> y</w:t>
      </w:r>
      <w:r w:rsidR="00D114DF" w:rsidRPr="00F15F06">
        <w:rPr>
          <w:rFonts w:asciiTheme="majorHAnsi" w:hAnsiTheme="majorHAnsi"/>
          <w:i/>
          <w:sz w:val="20"/>
          <w:szCs w:val="20"/>
          <w:lang w:val="es-ES"/>
        </w:rPr>
        <w:t xml:space="preserve"> “Aragón”</w:t>
      </w:r>
      <w:r w:rsidR="00E10226" w:rsidRPr="00F15F06">
        <w:rPr>
          <w:rFonts w:asciiTheme="majorHAnsi" w:hAnsiTheme="majorHAnsi"/>
          <w:sz w:val="20"/>
          <w:szCs w:val="20"/>
          <w:lang w:val="es-ES"/>
        </w:rPr>
        <w:t>”</w:t>
      </w:r>
      <w:r w:rsidR="00E10226" w:rsidRPr="00F15F06">
        <w:rPr>
          <w:rStyle w:val="FootnoteReference"/>
          <w:rFonts w:asciiTheme="majorHAnsi" w:hAnsiTheme="majorHAnsi"/>
          <w:sz w:val="20"/>
          <w:szCs w:val="20"/>
          <w:lang w:val="es-ES"/>
        </w:rPr>
        <w:footnoteReference w:id="4"/>
      </w:r>
      <w:r w:rsidR="00C33167" w:rsidRPr="00F15F06">
        <w:rPr>
          <w:rFonts w:asciiTheme="majorHAnsi" w:hAnsiTheme="majorHAnsi"/>
          <w:sz w:val="20"/>
          <w:szCs w:val="20"/>
          <w:lang w:val="es-ES"/>
        </w:rPr>
        <w:t>, en los</w:t>
      </w:r>
      <w:r w:rsidR="00E10226" w:rsidRPr="00F15F06">
        <w:rPr>
          <w:rFonts w:asciiTheme="majorHAnsi" w:hAnsiTheme="majorHAnsi"/>
          <w:sz w:val="20"/>
          <w:szCs w:val="20"/>
          <w:lang w:val="es-ES"/>
        </w:rPr>
        <w:t xml:space="preserve"> cual</w:t>
      </w:r>
      <w:r w:rsidR="00C33167" w:rsidRPr="00F15F06">
        <w:rPr>
          <w:rFonts w:asciiTheme="majorHAnsi" w:hAnsiTheme="majorHAnsi"/>
          <w:sz w:val="20"/>
          <w:szCs w:val="20"/>
          <w:lang w:val="es-ES"/>
        </w:rPr>
        <w:t>es</w:t>
      </w:r>
      <w:r w:rsidR="00E10226" w:rsidRPr="00F15F06">
        <w:rPr>
          <w:rFonts w:asciiTheme="majorHAnsi" w:hAnsiTheme="majorHAnsi"/>
          <w:sz w:val="20"/>
          <w:szCs w:val="20"/>
          <w:lang w:val="es-ES"/>
        </w:rPr>
        <w:t xml:space="preserve"> se estableció que </w:t>
      </w:r>
      <w:r w:rsidR="000E2968" w:rsidRPr="00F15F06">
        <w:rPr>
          <w:rFonts w:asciiTheme="majorHAnsi" w:hAnsiTheme="majorHAnsi"/>
          <w:sz w:val="20"/>
          <w:szCs w:val="20"/>
          <w:lang w:val="es-ES"/>
        </w:rPr>
        <w:t>en el caso de que un funcionario tuviese lesiones en cumplimiento de sus funciones</w:t>
      </w:r>
      <w:r w:rsidR="000B7D6D" w:rsidRPr="00F15F06">
        <w:rPr>
          <w:rFonts w:asciiTheme="majorHAnsi" w:hAnsiTheme="majorHAnsi"/>
          <w:sz w:val="20"/>
          <w:szCs w:val="20"/>
          <w:lang w:val="es-ES"/>
        </w:rPr>
        <w:t>, no se procedería con la indemnización de este</w:t>
      </w:r>
      <w:r w:rsidR="00FF7D49">
        <w:rPr>
          <w:rFonts w:asciiTheme="majorHAnsi" w:hAnsiTheme="majorHAnsi"/>
          <w:sz w:val="20"/>
          <w:szCs w:val="20"/>
          <w:lang w:val="es-ES"/>
        </w:rPr>
        <w:t>; dicha sentencia fue notificada el 14 de abril de 2009</w:t>
      </w:r>
      <w:r w:rsidR="000B7D6D" w:rsidRPr="00F15F06">
        <w:rPr>
          <w:rFonts w:asciiTheme="majorHAnsi" w:hAnsiTheme="majorHAnsi"/>
          <w:sz w:val="20"/>
          <w:szCs w:val="20"/>
          <w:lang w:val="es-ES"/>
        </w:rPr>
        <w:t xml:space="preserve">. </w:t>
      </w:r>
      <w:r w:rsidR="00552458">
        <w:rPr>
          <w:rFonts w:asciiTheme="majorHAnsi" w:hAnsiTheme="majorHAnsi"/>
          <w:sz w:val="20"/>
          <w:szCs w:val="20"/>
          <w:lang w:val="es-ES"/>
        </w:rPr>
        <w:t>El peticionario e</w:t>
      </w:r>
      <w:r w:rsidR="00050BBB" w:rsidRPr="00F15F06">
        <w:rPr>
          <w:rFonts w:asciiTheme="majorHAnsi" w:hAnsiTheme="majorHAnsi"/>
          <w:sz w:val="20"/>
          <w:szCs w:val="20"/>
          <w:lang w:val="es-ES"/>
        </w:rPr>
        <w:t>xpone que a la presunta víctima se le impidió acceder a reparaciones justas, ya que no existe una institución o autoridad alguna ante quién se pueda solicitar ayuda a fin de cotizar sus tratamientos traumatológicos, psicoterapéuticos y psíquicos.</w:t>
      </w:r>
    </w:p>
    <w:p w14:paraId="7A719BE9" w14:textId="54A30D16" w:rsidR="00DA0E15" w:rsidRPr="00F15F06" w:rsidRDefault="00050BBB" w:rsidP="007F2521">
      <w:pPr>
        <w:pStyle w:val="ListParagraph"/>
        <w:numPr>
          <w:ilvl w:val="0"/>
          <w:numId w:val="61"/>
        </w:numPr>
        <w:tabs>
          <w:tab w:val="left" w:pos="720"/>
        </w:tabs>
        <w:spacing w:before="120" w:after="120"/>
        <w:ind w:left="0" w:firstLine="720"/>
        <w:jc w:val="both"/>
        <w:rPr>
          <w:rFonts w:asciiTheme="majorHAnsi" w:hAnsiTheme="majorHAnsi"/>
          <w:sz w:val="20"/>
          <w:szCs w:val="20"/>
          <w:lang w:val="es-ES"/>
        </w:rPr>
      </w:pPr>
      <w:r w:rsidRPr="00F15F06">
        <w:rPr>
          <w:rFonts w:asciiTheme="majorHAnsi" w:hAnsiTheme="majorHAnsi"/>
          <w:sz w:val="20"/>
          <w:szCs w:val="20"/>
          <w:lang w:val="es-ES"/>
        </w:rPr>
        <w:t>Adicionalmente,</w:t>
      </w:r>
      <w:r w:rsidR="000B7D6D" w:rsidRPr="00F15F06">
        <w:rPr>
          <w:rFonts w:asciiTheme="majorHAnsi" w:hAnsiTheme="majorHAnsi"/>
          <w:sz w:val="20"/>
          <w:szCs w:val="20"/>
          <w:lang w:val="es-ES"/>
        </w:rPr>
        <w:t xml:space="preserve"> </w:t>
      </w:r>
      <w:r w:rsidR="00D73741" w:rsidRPr="00F15F06">
        <w:rPr>
          <w:rFonts w:asciiTheme="majorHAnsi" w:hAnsiTheme="majorHAnsi"/>
          <w:sz w:val="20"/>
          <w:szCs w:val="20"/>
          <w:lang w:val="es-ES"/>
        </w:rPr>
        <w:t xml:space="preserve">el peticionario </w:t>
      </w:r>
      <w:r w:rsidR="000B7D6D" w:rsidRPr="00F15F06">
        <w:rPr>
          <w:rFonts w:asciiTheme="majorHAnsi" w:hAnsiTheme="majorHAnsi"/>
          <w:sz w:val="20"/>
          <w:szCs w:val="20"/>
          <w:lang w:val="es-ES"/>
        </w:rPr>
        <w:t>sostiene que el caso “</w:t>
      </w:r>
      <w:proofErr w:type="spellStart"/>
      <w:r w:rsidR="000B7D6D" w:rsidRPr="00F15F06">
        <w:rPr>
          <w:rFonts w:asciiTheme="majorHAnsi" w:hAnsiTheme="majorHAnsi"/>
          <w:i/>
          <w:sz w:val="20"/>
          <w:szCs w:val="20"/>
          <w:lang w:val="es-ES"/>
        </w:rPr>
        <w:t>Azzetti</w:t>
      </w:r>
      <w:proofErr w:type="spellEnd"/>
      <w:r w:rsidR="000B7D6D" w:rsidRPr="00F15F06">
        <w:rPr>
          <w:rFonts w:asciiTheme="majorHAnsi" w:hAnsiTheme="majorHAnsi"/>
          <w:i/>
          <w:sz w:val="20"/>
          <w:szCs w:val="20"/>
          <w:lang w:val="es-ES"/>
        </w:rPr>
        <w:t xml:space="preserve">” </w:t>
      </w:r>
      <w:r w:rsidR="000B7D6D" w:rsidRPr="00F15F06">
        <w:rPr>
          <w:rFonts w:asciiTheme="majorHAnsi" w:hAnsiTheme="majorHAnsi"/>
          <w:sz w:val="20"/>
          <w:szCs w:val="20"/>
          <w:lang w:val="es-ES"/>
        </w:rPr>
        <w:t>no concuerda con otros precedentes en los que se confirió el derecho a la reparación en favor de funcionarios lesionados en cumplimiento de sus funciones, con bas</w:t>
      </w:r>
      <w:r w:rsidR="00A22274" w:rsidRPr="00F15F06">
        <w:rPr>
          <w:rFonts w:asciiTheme="majorHAnsi" w:hAnsiTheme="majorHAnsi"/>
          <w:sz w:val="20"/>
          <w:szCs w:val="20"/>
          <w:lang w:val="es-ES"/>
        </w:rPr>
        <w:t xml:space="preserve">e en el </w:t>
      </w:r>
      <w:r w:rsidR="00A22274" w:rsidRPr="00D26BAE">
        <w:rPr>
          <w:rFonts w:asciiTheme="majorHAnsi" w:hAnsiTheme="majorHAnsi"/>
          <w:sz w:val="20"/>
          <w:szCs w:val="20"/>
          <w:lang w:val="es-ES"/>
        </w:rPr>
        <w:t>derecho común.</w:t>
      </w:r>
      <w:r w:rsidR="00A22274" w:rsidRPr="00F15F06">
        <w:rPr>
          <w:rFonts w:asciiTheme="majorHAnsi" w:hAnsiTheme="majorHAnsi"/>
          <w:sz w:val="20"/>
          <w:szCs w:val="20"/>
          <w:lang w:val="es-ES"/>
        </w:rPr>
        <w:t xml:space="preserve">  Explaya</w:t>
      </w:r>
      <w:r w:rsidR="000B7D6D" w:rsidRPr="00F15F06">
        <w:rPr>
          <w:rFonts w:asciiTheme="majorHAnsi" w:hAnsiTheme="majorHAnsi"/>
          <w:sz w:val="20"/>
          <w:szCs w:val="20"/>
          <w:lang w:val="es-ES"/>
        </w:rPr>
        <w:t xml:space="preserve"> que al no recibir una indemnización por parte del Estado, se produjo una falta al ingreso de la familia de la presunta víctima</w:t>
      </w:r>
      <w:r w:rsidR="00A22274" w:rsidRPr="00F15F06">
        <w:rPr>
          <w:rFonts w:asciiTheme="majorHAnsi" w:hAnsiTheme="majorHAnsi"/>
          <w:sz w:val="20"/>
          <w:szCs w:val="20"/>
          <w:lang w:val="es-ES"/>
        </w:rPr>
        <w:t>.</w:t>
      </w:r>
      <w:r w:rsidR="000B7D6D" w:rsidRPr="00F15F06">
        <w:rPr>
          <w:rFonts w:asciiTheme="majorHAnsi" w:hAnsiTheme="majorHAnsi"/>
          <w:sz w:val="20"/>
          <w:szCs w:val="20"/>
          <w:lang w:val="es-ES"/>
        </w:rPr>
        <w:t xml:space="preserve"> </w:t>
      </w:r>
      <w:r w:rsidR="00A22274" w:rsidRPr="00F15F06">
        <w:rPr>
          <w:rFonts w:asciiTheme="majorHAnsi" w:hAnsiTheme="majorHAnsi"/>
          <w:sz w:val="20"/>
          <w:szCs w:val="20"/>
          <w:lang w:val="es-ES"/>
        </w:rPr>
        <w:t>A</w:t>
      </w:r>
      <w:r w:rsidR="003712D7" w:rsidRPr="00F15F06">
        <w:rPr>
          <w:rFonts w:asciiTheme="majorHAnsi" w:hAnsiTheme="majorHAnsi"/>
          <w:sz w:val="20"/>
          <w:szCs w:val="20"/>
          <w:lang w:val="es-ES"/>
        </w:rPr>
        <w:t xml:space="preserve"> pesar de ser este receptor de los beneficios contemplados en las leyes No. 20</w:t>
      </w:r>
      <w:r w:rsidR="003A091A" w:rsidRPr="00F15F06">
        <w:rPr>
          <w:rFonts w:asciiTheme="majorHAnsi" w:hAnsiTheme="majorHAnsi"/>
          <w:sz w:val="20"/>
          <w:szCs w:val="20"/>
          <w:lang w:val="es-ES"/>
        </w:rPr>
        <w:t>.</w:t>
      </w:r>
      <w:r w:rsidR="003712D7" w:rsidRPr="00F15F06">
        <w:rPr>
          <w:rFonts w:asciiTheme="majorHAnsi" w:hAnsiTheme="majorHAnsi"/>
          <w:sz w:val="20"/>
          <w:szCs w:val="20"/>
          <w:lang w:val="es-ES"/>
        </w:rPr>
        <w:t>416 y No. 20.774</w:t>
      </w:r>
      <w:r w:rsidR="003712D7" w:rsidRPr="00F15F06">
        <w:rPr>
          <w:rStyle w:val="FootnoteReference"/>
          <w:rFonts w:asciiTheme="majorHAnsi" w:hAnsiTheme="majorHAnsi"/>
          <w:sz w:val="20"/>
          <w:szCs w:val="20"/>
          <w:lang w:val="es-ES"/>
        </w:rPr>
        <w:footnoteReference w:id="5"/>
      </w:r>
      <w:r w:rsidR="00072397" w:rsidRPr="00F15F06">
        <w:rPr>
          <w:rFonts w:asciiTheme="majorHAnsi" w:hAnsiTheme="majorHAnsi"/>
          <w:sz w:val="20"/>
          <w:szCs w:val="20"/>
          <w:lang w:val="es-ES"/>
        </w:rPr>
        <w:t>, dichos beneficios no han sido suficientes para tratar sus padecimientos,</w:t>
      </w:r>
      <w:r w:rsidR="003712D7" w:rsidRPr="00F15F06">
        <w:rPr>
          <w:rFonts w:asciiTheme="majorHAnsi" w:hAnsiTheme="majorHAnsi"/>
          <w:sz w:val="20"/>
          <w:szCs w:val="20"/>
          <w:lang w:val="es-ES"/>
        </w:rPr>
        <w:t xml:space="preserve"> </w:t>
      </w:r>
      <w:r w:rsidR="000B7D6D" w:rsidRPr="00F15F06">
        <w:rPr>
          <w:rFonts w:asciiTheme="majorHAnsi" w:hAnsiTheme="majorHAnsi"/>
          <w:sz w:val="20"/>
          <w:szCs w:val="20"/>
          <w:lang w:val="es-ES"/>
        </w:rPr>
        <w:t>viéndose</w:t>
      </w:r>
      <w:r w:rsidR="00072397" w:rsidRPr="00F15F06">
        <w:rPr>
          <w:rFonts w:asciiTheme="majorHAnsi" w:hAnsiTheme="majorHAnsi"/>
          <w:sz w:val="20"/>
          <w:szCs w:val="20"/>
          <w:lang w:val="es-ES"/>
        </w:rPr>
        <w:t xml:space="preserve"> así</w:t>
      </w:r>
      <w:r w:rsidR="000B7D6D" w:rsidRPr="00F15F06">
        <w:rPr>
          <w:rFonts w:asciiTheme="majorHAnsi" w:hAnsiTheme="majorHAnsi"/>
          <w:sz w:val="20"/>
          <w:szCs w:val="20"/>
          <w:lang w:val="es-ES"/>
        </w:rPr>
        <w:t xml:space="preserve"> a</w:t>
      </w:r>
      <w:r w:rsidR="00072397" w:rsidRPr="00F15F06">
        <w:rPr>
          <w:rFonts w:asciiTheme="majorHAnsi" w:hAnsiTheme="majorHAnsi"/>
          <w:sz w:val="20"/>
          <w:szCs w:val="20"/>
          <w:lang w:val="es-ES"/>
        </w:rPr>
        <w:t>fectado el seno familiar de la presunta víctima</w:t>
      </w:r>
      <w:r w:rsidR="003712D7" w:rsidRPr="00F15F06">
        <w:rPr>
          <w:rFonts w:asciiTheme="majorHAnsi" w:hAnsiTheme="majorHAnsi"/>
          <w:sz w:val="20"/>
          <w:szCs w:val="20"/>
          <w:lang w:val="es-ES"/>
        </w:rPr>
        <w:t xml:space="preserve">, </w:t>
      </w:r>
      <w:r w:rsidR="003A091A" w:rsidRPr="00F15F06">
        <w:rPr>
          <w:rFonts w:asciiTheme="majorHAnsi" w:hAnsiTheme="majorHAnsi"/>
          <w:sz w:val="20"/>
          <w:szCs w:val="20"/>
          <w:lang w:val="es-ES"/>
        </w:rPr>
        <w:t>provocando</w:t>
      </w:r>
      <w:r w:rsidR="003712D7" w:rsidRPr="00F15F06">
        <w:rPr>
          <w:rFonts w:asciiTheme="majorHAnsi" w:hAnsiTheme="majorHAnsi"/>
          <w:sz w:val="20"/>
          <w:szCs w:val="20"/>
          <w:lang w:val="es-ES"/>
        </w:rPr>
        <w:t xml:space="preserve"> el abandono </w:t>
      </w:r>
      <w:r w:rsidR="003A091A" w:rsidRPr="00F15F06">
        <w:rPr>
          <w:rFonts w:asciiTheme="majorHAnsi" w:hAnsiTheme="majorHAnsi"/>
          <w:sz w:val="20"/>
          <w:szCs w:val="20"/>
          <w:lang w:val="es-ES"/>
        </w:rPr>
        <w:t xml:space="preserve">por parte de la pareja e hijas de la presunta víctima. </w:t>
      </w:r>
      <w:r w:rsidR="0087457F" w:rsidRPr="00F15F06">
        <w:rPr>
          <w:rFonts w:asciiTheme="majorHAnsi" w:hAnsiTheme="majorHAnsi"/>
          <w:sz w:val="20"/>
          <w:szCs w:val="20"/>
          <w:lang w:val="es-ES"/>
        </w:rPr>
        <w:t xml:space="preserve">Consideran que la actuación de la Corte Suprema de Justicia es contraria y arbitraria, lo cual constituye una violación a los derechos de igualdad ante la ley de la presunta víctima. </w:t>
      </w:r>
    </w:p>
    <w:p w14:paraId="4219126F" w14:textId="0FAD3950" w:rsidR="00DD4437" w:rsidRPr="00F15F06" w:rsidRDefault="000B00CD" w:rsidP="007F2521">
      <w:pPr>
        <w:pStyle w:val="ListParagraph"/>
        <w:numPr>
          <w:ilvl w:val="0"/>
          <w:numId w:val="61"/>
        </w:numPr>
        <w:tabs>
          <w:tab w:val="left" w:pos="720"/>
        </w:tabs>
        <w:spacing w:before="120" w:after="120"/>
        <w:ind w:left="0" w:firstLine="720"/>
        <w:jc w:val="both"/>
        <w:rPr>
          <w:rFonts w:asciiTheme="majorHAnsi" w:hAnsiTheme="majorHAnsi"/>
          <w:sz w:val="20"/>
          <w:szCs w:val="20"/>
          <w:lang w:val="es-ES"/>
        </w:rPr>
      </w:pPr>
      <w:r>
        <w:rPr>
          <w:rFonts w:asciiTheme="majorHAnsi" w:hAnsiTheme="majorHAnsi"/>
          <w:sz w:val="20"/>
          <w:szCs w:val="20"/>
          <w:lang w:val="es-ES"/>
        </w:rPr>
        <w:t>Por su</w:t>
      </w:r>
      <w:r w:rsidR="00A53E08" w:rsidRPr="00F15F06">
        <w:rPr>
          <w:rFonts w:asciiTheme="majorHAnsi" w:hAnsiTheme="majorHAnsi"/>
          <w:sz w:val="20"/>
          <w:szCs w:val="20"/>
          <w:lang w:val="es-ES"/>
        </w:rPr>
        <w:t xml:space="preserve"> parte, el Estado</w:t>
      </w:r>
      <w:r w:rsidR="00E13B87" w:rsidRPr="00F15F06">
        <w:rPr>
          <w:rFonts w:asciiTheme="majorHAnsi" w:hAnsiTheme="majorHAnsi"/>
          <w:sz w:val="20"/>
          <w:szCs w:val="20"/>
          <w:lang w:val="es-ES"/>
        </w:rPr>
        <w:t xml:space="preserve"> alega que la petición inicial le fue puesta en conocimiento hasta 7 años después de su presentación. A</w:t>
      </w:r>
      <w:r w:rsidR="00A53E08" w:rsidRPr="00F15F06">
        <w:rPr>
          <w:rFonts w:asciiTheme="majorHAnsi" w:hAnsiTheme="majorHAnsi"/>
          <w:sz w:val="20"/>
          <w:szCs w:val="20"/>
          <w:lang w:val="es-ES"/>
        </w:rPr>
        <w:t xml:space="preserve">severa que en el caso concreto no hay violaciones a derechos humanos, toda vez que al peticionario se le </w:t>
      </w:r>
      <w:r w:rsidR="00407959" w:rsidRPr="00F15F06">
        <w:rPr>
          <w:rFonts w:asciiTheme="majorHAnsi" w:hAnsiTheme="majorHAnsi"/>
          <w:sz w:val="20"/>
          <w:szCs w:val="20"/>
          <w:lang w:val="es-ES"/>
        </w:rPr>
        <w:t xml:space="preserve">respetó su derecho al debido proceso en todos los procedimientos judiciales interpuestos por este, siendo que la petición se basa </w:t>
      </w:r>
      <w:r w:rsidR="00BF5CB2" w:rsidRPr="00F15F06">
        <w:rPr>
          <w:rFonts w:asciiTheme="majorHAnsi" w:hAnsiTheme="majorHAnsi"/>
          <w:sz w:val="20"/>
          <w:szCs w:val="20"/>
          <w:lang w:val="es-ES"/>
        </w:rPr>
        <w:t>meramente en el</w:t>
      </w:r>
      <w:r w:rsidR="00407959" w:rsidRPr="00F15F06">
        <w:rPr>
          <w:rFonts w:asciiTheme="majorHAnsi" w:hAnsiTheme="majorHAnsi"/>
          <w:sz w:val="20"/>
          <w:szCs w:val="20"/>
          <w:lang w:val="es-ES"/>
        </w:rPr>
        <w:t xml:space="preserve"> desacuerdo por parte de la presunta </w:t>
      </w:r>
      <w:r w:rsidR="00BF5CB2" w:rsidRPr="00F15F06">
        <w:rPr>
          <w:rFonts w:asciiTheme="majorHAnsi" w:hAnsiTheme="majorHAnsi"/>
          <w:sz w:val="20"/>
          <w:szCs w:val="20"/>
          <w:lang w:val="es-ES"/>
        </w:rPr>
        <w:t xml:space="preserve">víctima </w:t>
      </w:r>
      <w:r w:rsidR="00407959" w:rsidRPr="00F15F06">
        <w:rPr>
          <w:rFonts w:asciiTheme="majorHAnsi" w:hAnsiTheme="majorHAnsi"/>
          <w:sz w:val="20"/>
          <w:szCs w:val="20"/>
          <w:lang w:val="es-ES"/>
        </w:rPr>
        <w:t xml:space="preserve">sobre las decisiones adoptadas por las autoridades judiciales, las cuales fueron contrarias a sus </w:t>
      </w:r>
      <w:r w:rsidR="000F659C" w:rsidRPr="00F15F06">
        <w:rPr>
          <w:rFonts w:asciiTheme="majorHAnsi" w:hAnsiTheme="majorHAnsi"/>
          <w:sz w:val="20"/>
          <w:szCs w:val="20"/>
          <w:lang w:val="es-ES"/>
        </w:rPr>
        <w:t>intereses</w:t>
      </w:r>
      <w:r w:rsidR="000F659C" w:rsidRPr="005A1446">
        <w:rPr>
          <w:rFonts w:asciiTheme="majorHAnsi" w:hAnsiTheme="majorHAnsi"/>
          <w:sz w:val="20"/>
          <w:szCs w:val="20"/>
          <w:lang w:val="es-ES"/>
        </w:rPr>
        <w:t>.</w:t>
      </w:r>
      <w:r w:rsidR="00407959" w:rsidRPr="005A1446">
        <w:rPr>
          <w:rFonts w:asciiTheme="majorHAnsi" w:hAnsiTheme="majorHAnsi"/>
          <w:sz w:val="20"/>
          <w:szCs w:val="20"/>
          <w:lang w:val="es-ES"/>
        </w:rPr>
        <w:t xml:space="preserve"> Expone que la ley No. 20.774 prevé la promoción</w:t>
      </w:r>
      <w:r w:rsidR="00A22274" w:rsidRPr="005A1446">
        <w:rPr>
          <w:rFonts w:asciiTheme="majorHAnsi" w:hAnsiTheme="majorHAnsi"/>
          <w:sz w:val="20"/>
          <w:szCs w:val="20"/>
          <w:lang w:val="es-ES"/>
        </w:rPr>
        <w:t xml:space="preserve"> del cargo</w:t>
      </w:r>
      <w:r w:rsidR="00407959" w:rsidRPr="005A1446">
        <w:rPr>
          <w:rFonts w:asciiTheme="majorHAnsi" w:hAnsiTheme="majorHAnsi"/>
          <w:sz w:val="20"/>
          <w:szCs w:val="20"/>
          <w:lang w:val="es-ES"/>
        </w:rPr>
        <w:t xml:space="preserve"> </w:t>
      </w:r>
      <w:r w:rsidR="00A22274" w:rsidRPr="005A1446">
        <w:rPr>
          <w:rFonts w:asciiTheme="majorHAnsi" w:hAnsiTheme="majorHAnsi"/>
          <w:sz w:val="20"/>
          <w:szCs w:val="20"/>
          <w:lang w:val="es-ES"/>
        </w:rPr>
        <w:t>a dos grados jerárquicos más en caso de</w:t>
      </w:r>
      <w:r w:rsidR="00407959" w:rsidRPr="005A1446">
        <w:rPr>
          <w:rFonts w:asciiTheme="majorHAnsi" w:hAnsiTheme="majorHAnsi"/>
          <w:sz w:val="20"/>
          <w:szCs w:val="20"/>
          <w:lang w:val="es-ES"/>
        </w:rPr>
        <w:t xml:space="preserve"> situación de retiro, </w:t>
      </w:r>
      <w:r w:rsidR="00A22274" w:rsidRPr="005A1446">
        <w:rPr>
          <w:rFonts w:asciiTheme="majorHAnsi" w:hAnsiTheme="majorHAnsi"/>
          <w:sz w:val="20"/>
          <w:szCs w:val="20"/>
          <w:lang w:val="es-ES"/>
        </w:rPr>
        <w:t>ya sea esta de</w:t>
      </w:r>
      <w:r w:rsidR="00407959" w:rsidRPr="005A1446">
        <w:rPr>
          <w:rFonts w:asciiTheme="majorHAnsi" w:hAnsiTheme="majorHAnsi"/>
          <w:sz w:val="20"/>
          <w:szCs w:val="20"/>
          <w:lang w:val="es-ES"/>
        </w:rPr>
        <w:t xml:space="preserve"> forma permanente, total o parcialme</w:t>
      </w:r>
      <w:r w:rsidR="00A22274" w:rsidRPr="005A1446">
        <w:rPr>
          <w:rFonts w:asciiTheme="majorHAnsi" w:hAnsiTheme="majorHAnsi"/>
          <w:sz w:val="20"/>
          <w:szCs w:val="20"/>
          <w:lang w:val="es-ES"/>
        </w:rPr>
        <w:t>nte, en y por acto de servicio</w:t>
      </w:r>
      <w:r w:rsidR="00407959" w:rsidRPr="005A1446">
        <w:rPr>
          <w:rFonts w:asciiTheme="majorHAnsi" w:hAnsiTheme="majorHAnsi"/>
          <w:sz w:val="20"/>
          <w:szCs w:val="20"/>
          <w:lang w:val="es-ES"/>
        </w:rPr>
        <w:t xml:space="preserve">; en virtud de ello, la presunta víctima </w:t>
      </w:r>
      <w:r w:rsidR="00A22274" w:rsidRPr="005A1446">
        <w:rPr>
          <w:rFonts w:asciiTheme="majorHAnsi" w:hAnsiTheme="majorHAnsi"/>
          <w:sz w:val="20"/>
          <w:szCs w:val="20"/>
          <w:lang w:val="es-ES"/>
        </w:rPr>
        <w:t>se acogió a su retiro</w:t>
      </w:r>
      <w:r w:rsidR="00407959" w:rsidRPr="005A1446">
        <w:rPr>
          <w:rFonts w:asciiTheme="majorHAnsi" w:hAnsiTheme="majorHAnsi"/>
          <w:sz w:val="20"/>
          <w:szCs w:val="20"/>
          <w:lang w:val="es-ES"/>
        </w:rPr>
        <w:t xml:space="preserve"> a causa del accidente sufrido en diciembre de 2000, consintiendo el grado de incapacidad determinado y obteniendo el haber correspondiente al grado de Ayudante Principal. </w:t>
      </w:r>
      <w:r w:rsidR="00F46EBF">
        <w:rPr>
          <w:rFonts w:asciiTheme="majorHAnsi" w:hAnsiTheme="majorHAnsi"/>
          <w:sz w:val="20"/>
          <w:szCs w:val="20"/>
          <w:lang w:val="es-ES"/>
        </w:rPr>
        <w:t xml:space="preserve">Recalca que de recibir el peticionario la indemnización alegada, éste acumularía dos beneficios por parte del Estado, sean </w:t>
      </w:r>
      <w:r w:rsidR="00CD2AA7">
        <w:rPr>
          <w:rFonts w:asciiTheme="majorHAnsi" w:hAnsiTheme="majorHAnsi"/>
          <w:sz w:val="20"/>
          <w:szCs w:val="20"/>
          <w:lang w:val="es-ES"/>
        </w:rPr>
        <w:t xml:space="preserve">éstos el </w:t>
      </w:r>
      <w:r w:rsidR="00F46EBF">
        <w:rPr>
          <w:rFonts w:asciiTheme="majorHAnsi" w:hAnsiTheme="majorHAnsi"/>
          <w:sz w:val="20"/>
          <w:szCs w:val="20"/>
          <w:lang w:val="es-ES"/>
        </w:rPr>
        <w:t>haber de retiro</w:t>
      </w:r>
      <w:r w:rsidR="00CD2AA7">
        <w:rPr>
          <w:rFonts w:asciiTheme="majorHAnsi" w:hAnsiTheme="majorHAnsi"/>
          <w:sz w:val="20"/>
          <w:szCs w:val="20"/>
          <w:lang w:val="es-ES"/>
        </w:rPr>
        <w:t xml:space="preserve"> laboral</w:t>
      </w:r>
      <w:r w:rsidR="00F46EBF">
        <w:rPr>
          <w:rFonts w:asciiTheme="majorHAnsi" w:hAnsiTheme="majorHAnsi"/>
          <w:sz w:val="20"/>
          <w:szCs w:val="20"/>
          <w:lang w:val="es-ES"/>
        </w:rPr>
        <w:t xml:space="preserve"> y la </w:t>
      </w:r>
      <w:r w:rsidR="00CD2AA7">
        <w:rPr>
          <w:rFonts w:asciiTheme="majorHAnsi" w:hAnsiTheme="majorHAnsi"/>
          <w:sz w:val="20"/>
          <w:szCs w:val="20"/>
          <w:lang w:val="es-ES"/>
        </w:rPr>
        <w:t>demanda por concepto de daños y perjuicios</w:t>
      </w:r>
      <w:r w:rsidR="00F46EBF">
        <w:rPr>
          <w:rFonts w:asciiTheme="majorHAnsi" w:hAnsiTheme="majorHAnsi"/>
          <w:sz w:val="20"/>
          <w:szCs w:val="20"/>
          <w:lang w:val="es-ES"/>
        </w:rPr>
        <w:t xml:space="preserve">. </w:t>
      </w:r>
      <w:r w:rsidR="00407959" w:rsidRPr="00F15F06">
        <w:rPr>
          <w:rFonts w:asciiTheme="majorHAnsi" w:hAnsiTheme="majorHAnsi"/>
          <w:sz w:val="20"/>
          <w:szCs w:val="20"/>
          <w:lang w:val="es-ES"/>
        </w:rPr>
        <w:t>Finalmente, aduce que la Comisión, de pronunciarse sobre la presente petición, violaría la d</w:t>
      </w:r>
      <w:r w:rsidR="000F659C" w:rsidRPr="00F15F06">
        <w:rPr>
          <w:rFonts w:asciiTheme="majorHAnsi" w:hAnsiTheme="majorHAnsi"/>
          <w:sz w:val="20"/>
          <w:szCs w:val="20"/>
          <w:lang w:val="es-ES"/>
        </w:rPr>
        <w:t xml:space="preserve">octrina </w:t>
      </w:r>
      <w:r w:rsidR="000F659C" w:rsidRPr="00F15F06">
        <w:rPr>
          <w:rFonts w:asciiTheme="majorHAnsi" w:hAnsiTheme="majorHAnsi"/>
          <w:sz w:val="20"/>
          <w:szCs w:val="20"/>
          <w:lang w:val="es-ES"/>
        </w:rPr>
        <w:lastRenderedPageBreak/>
        <w:t>de la “cuarta instancia”</w:t>
      </w:r>
      <w:r w:rsidR="00407959" w:rsidRPr="00F15F06">
        <w:rPr>
          <w:rFonts w:asciiTheme="majorHAnsi" w:hAnsiTheme="majorHAnsi"/>
          <w:sz w:val="20"/>
          <w:szCs w:val="20"/>
          <w:lang w:val="es-ES"/>
        </w:rPr>
        <w:t>. En consecuencia, el Estado solicita se declare inadmisible la petición de conformidad con el artículo 47.b de la Convención.</w:t>
      </w:r>
    </w:p>
    <w:p w14:paraId="1CBC443C" w14:textId="77777777" w:rsidR="00A52FBE" w:rsidRPr="00F15F06" w:rsidRDefault="004C616A" w:rsidP="00A52FBE">
      <w:pPr>
        <w:spacing w:before="120" w:after="120"/>
        <w:ind w:firstLine="720"/>
        <w:jc w:val="both"/>
        <w:rPr>
          <w:rFonts w:asciiTheme="majorHAnsi" w:hAnsiTheme="majorHAnsi"/>
          <w:b/>
          <w:bCs/>
          <w:sz w:val="20"/>
          <w:szCs w:val="20"/>
          <w:lang w:val="es-ES"/>
        </w:rPr>
      </w:pPr>
      <w:r w:rsidRPr="00F15F06">
        <w:rPr>
          <w:rFonts w:asciiTheme="majorHAnsi" w:hAnsiTheme="majorHAnsi"/>
          <w:b/>
          <w:bCs/>
          <w:sz w:val="20"/>
          <w:szCs w:val="20"/>
          <w:lang w:val="es-ES"/>
        </w:rPr>
        <w:t xml:space="preserve">VI. </w:t>
      </w:r>
      <w:r w:rsidRPr="00F15F06">
        <w:rPr>
          <w:rFonts w:asciiTheme="majorHAnsi" w:hAnsiTheme="majorHAnsi"/>
          <w:b/>
          <w:bCs/>
          <w:sz w:val="20"/>
          <w:szCs w:val="20"/>
          <w:lang w:val="es-ES"/>
        </w:rPr>
        <w:tab/>
        <w:t>AGOTAMIENTO DE LOS RECURSOS INTERNOS Y PLAZO DE PRESENTACIÓN</w:t>
      </w:r>
    </w:p>
    <w:p w14:paraId="1C7FA20B" w14:textId="037C6E75" w:rsidR="00DA0E15" w:rsidRPr="00F15F06" w:rsidRDefault="00865715" w:rsidP="007F2521">
      <w:pPr>
        <w:pStyle w:val="ListParagraph"/>
        <w:numPr>
          <w:ilvl w:val="0"/>
          <w:numId w:val="61"/>
        </w:numPr>
        <w:tabs>
          <w:tab w:val="left" w:pos="720"/>
        </w:tabs>
        <w:spacing w:before="120" w:after="120"/>
        <w:ind w:left="0" w:firstLine="720"/>
        <w:jc w:val="both"/>
        <w:rPr>
          <w:rFonts w:asciiTheme="majorHAnsi" w:hAnsiTheme="majorHAnsi"/>
          <w:sz w:val="20"/>
          <w:szCs w:val="20"/>
          <w:lang w:val="es-ES"/>
        </w:rPr>
      </w:pPr>
      <w:r w:rsidRPr="00F15F06">
        <w:rPr>
          <w:rFonts w:asciiTheme="majorHAnsi" w:hAnsiTheme="majorHAnsi"/>
          <w:sz w:val="20"/>
          <w:szCs w:val="20"/>
          <w:lang w:val="es-ES"/>
        </w:rPr>
        <w:t>La Comisión observa</w:t>
      </w:r>
      <w:r w:rsidR="00A52FBE" w:rsidRPr="00F15F06">
        <w:rPr>
          <w:rFonts w:asciiTheme="majorHAnsi" w:hAnsiTheme="majorHAnsi"/>
          <w:sz w:val="20"/>
          <w:szCs w:val="20"/>
          <w:lang w:val="es-ES"/>
        </w:rPr>
        <w:t xml:space="preserve"> que la presunta víctima interpuso una acción de indemnización por daños y perjuicios contra el Estado el Ministerio de Justicia y la Penitenciaría Federal ante el Juzgado Nacional en lo Civil y Comercial Federal, el cual falló a su favor. No obstante, el 12 de febrero de 2008, el Estado apeló dicha resolución ante la Cámara Nacional de Apelaciones en lo Civil y lo Comercial, teniendo ello como resultado la revocación de la primera sentencia y el rechazo de la demanda inicial. </w:t>
      </w:r>
      <w:r w:rsidRPr="00F15F06">
        <w:rPr>
          <w:rFonts w:asciiTheme="majorHAnsi" w:hAnsiTheme="majorHAnsi"/>
          <w:sz w:val="20"/>
          <w:szCs w:val="20"/>
          <w:lang w:val="es-ES"/>
        </w:rPr>
        <w:t>La</w:t>
      </w:r>
      <w:r w:rsidR="00A52FBE" w:rsidRPr="00F15F06">
        <w:rPr>
          <w:rFonts w:asciiTheme="majorHAnsi" w:hAnsiTheme="majorHAnsi"/>
          <w:sz w:val="20"/>
          <w:szCs w:val="20"/>
          <w:lang w:val="es-ES"/>
        </w:rPr>
        <w:t xml:space="preserve"> presunta víctima </w:t>
      </w:r>
      <w:r w:rsidRPr="00F15F06">
        <w:rPr>
          <w:rFonts w:asciiTheme="majorHAnsi" w:hAnsiTheme="majorHAnsi"/>
          <w:sz w:val="20"/>
          <w:szCs w:val="20"/>
          <w:lang w:val="es-ES"/>
        </w:rPr>
        <w:t xml:space="preserve">entonces </w:t>
      </w:r>
      <w:r w:rsidR="00A52FBE" w:rsidRPr="00F15F06">
        <w:rPr>
          <w:rFonts w:asciiTheme="majorHAnsi" w:hAnsiTheme="majorHAnsi"/>
          <w:sz w:val="20"/>
          <w:szCs w:val="20"/>
          <w:lang w:val="es-ES"/>
        </w:rPr>
        <w:t>interpuso un recurso extraordinario federal ante la Corte Suprema de Justicia de la Nación, el cual fue rechazado por este Tribunal</w:t>
      </w:r>
      <w:r w:rsidR="00CE5B95" w:rsidRPr="00F15F06">
        <w:rPr>
          <w:rFonts w:asciiTheme="majorHAnsi" w:hAnsiTheme="majorHAnsi"/>
          <w:sz w:val="20"/>
          <w:szCs w:val="20"/>
          <w:lang w:val="es-ES"/>
        </w:rPr>
        <w:t xml:space="preserve"> el </w:t>
      </w:r>
      <w:r w:rsidR="00FF7D49" w:rsidRPr="00FF7D49">
        <w:rPr>
          <w:rFonts w:asciiTheme="majorHAnsi" w:hAnsiTheme="majorHAnsi"/>
          <w:sz w:val="20"/>
          <w:szCs w:val="20"/>
          <w:lang w:val="es-ES"/>
        </w:rPr>
        <w:t>2</w:t>
      </w:r>
      <w:r w:rsidR="00CE5B95" w:rsidRPr="00FF7D49">
        <w:rPr>
          <w:rFonts w:asciiTheme="majorHAnsi" w:hAnsiTheme="majorHAnsi"/>
          <w:sz w:val="20"/>
          <w:szCs w:val="20"/>
          <w:lang w:val="es-ES"/>
        </w:rPr>
        <w:t>6 de marzo de 2009</w:t>
      </w:r>
      <w:r w:rsidR="00A52FBE" w:rsidRPr="00FF7D49">
        <w:rPr>
          <w:rFonts w:asciiTheme="majorHAnsi" w:hAnsiTheme="majorHAnsi"/>
          <w:sz w:val="20"/>
          <w:szCs w:val="20"/>
          <w:lang w:val="es-ES"/>
        </w:rPr>
        <w:t>. La Comisión considera que</w:t>
      </w:r>
      <w:r w:rsidR="00C5414E">
        <w:rPr>
          <w:rFonts w:asciiTheme="majorHAnsi" w:hAnsiTheme="majorHAnsi"/>
          <w:sz w:val="20"/>
          <w:szCs w:val="20"/>
          <w:lang w:val="es-ES"/>
        </w:rPr>
        <w:t xml:space="preserve"> </w:t>
      </w:r>
      <w:r w:rsidR="00A52FBE" w:rsidRPr="00FF7D49">
        <w:rPr>
          <w:rFonts w:asciiTheme="majorHAnsi" w:hAnsiTheme="majorHAnsi"/>
          <w:sz w:val="20"/>
          <w:szCs w:val="20"/>
          <w:lang w:val="es-ES"/>
        </w:rPr>
        <w:t>la presunta víctima ha agotado</w:t>
      </w:r>
      <w:r w:rsidR="00A52FBE" w:rsidRPr="00F15F06">
        <w:rPr>
          <w:rFonts w:asciiTheme="majorHAnsi" w:hAnsiTheme="majorHAnsi"/>
          <w:sz w:val="20"/>
          <w:szCs w:val="20"/>
          <w:lang w:val="es-ES"/>
        </w:rPr>
        <w:t xml:space="preserve"> los recursos internos disponibles en la jurisdicción argentina, por lo que la presente petición cumple con el requisito establecido en el numeral 46.1.a de la Convención Americana.</w:t>
      </w:r>
    </w:p>
    <w:p w14:paraId="56AAB0DF" w14:textId="677837D1" w:rsidR="001018E8" w:rsidRPr="00F15F06" w:rsidRDefault="001018E8" w:rsidP="007F2521">
      <w:pPr>
        <w:pStyle w:val="ListParagraph"/>
        <w:numPr>
          <w:ilvl w:val="0"/>
          <w:numId w:val="61"/>
        </w:numPr>
        <w:tabs>
          <w:tab w:val="left" w:pos="720"/>
        </w:tabs>
        <w:spacing w:before="120" w:after="120"/>
        <w:ind w:left="0" w:firstLine="720"/>
        <w:jc w:val="both"/>
        <w:rPr>
          <w:rFonts w:asciiTheme="majorHAnsi" w:hAnsiTheme="majorHAnsi"/>
          <w:sz w:val="20"/>
          <w:szCs w:val="20"/>
          <w:lang w:val="es-ES"/>
        </w:rPr>
      </w:pPr>
      <w:r w:rsidRPr="00F15F06">
        <w:rPr>
          <w:rFonts w:asciiTheme="majorHAnsi" w:hAnsiTheme="majorHAnsi"/>
          <w:sz w:val="20"/>
          <w:szCs w:val="20"/>
          <w:lang w:val="es-ES"/>
        </w:rPr>
        <w:t>S</w:t>
      </w:r>
      <w:r w:rsidR="00A52FBE" w:rsidRPr="00F15F06">
        <w:rPr>
          <w:rFonts w:asciiTheme="majorHAnsi" w:hAnsiTheme="majorHAnsi"/>
          <w:sz w:val="20"/>
          <w:szCs w:val="20"/>
          <w:lang w:val="es-ES"/>
        </w:rPr>
        <w:t xml:space="preserve">obre el plazo de presentación, esta Comisión denota que </w:t>
      </w:r>
      <w:r w:rsidR="00865715" w:rsidRPr="00F15F06">
        <w:rPr>
          <w:rFonts w:asciiTheme="majorHAnsi" w:hAnsiTheme="majorHAnsi"/>
          <w:sz w:val="20"/>
          <w:szCs w:val="20"/>
          <w:lang w:val="es-ES"/>
        </w:rPr>
        <w:t>e</w:t>
      </w:r>
      <w:r w:rsidR="00A52FBE" w:rsidRPr="00F15F06">
        <w:rPr>
          <w:rFonts w:asciiTheme="majorHAnsi" w:hAnsiTheme="majorHAnsi"/>
          <w:sz w:val="20"/>
          <w:szCs w:val="20"/>
          <w:lang w:val="es-ES"/>
        </w:rPr>
        <w:t xml:space="preserve">l fallo judicial anterior fue notificado a la presunta víctima el </w:t>
      </w:r>
      <w:r w:rsidR="00A52FBE" w:rsidRPr="00F15F06">
        <w:rPr>
          <w:rFonts w:asciiTheme="majorHAnsi" w:hAnsiTheme="majorHAnsi"/>
          <w:bCs/>
          <w:sz w:val="20"/>
          <w:szCs w:val="20"/>
          <w:lang w:val="es-ES"/>
        </w:rPr>
        <w:t xml:space="preserve">14 de abril de 2009 y su petición ante esta Comisión fue recibida en fecha 8 de octubre de 2009. </w:t>
      </w:r>
      <w:r w:rsidRPr="00F15F06">
        <w:rPr>
          <w:rFonts w:asciiTheme="majorHAnsi" w:hAnsiTheme="majorHAnsi"/>
          <w:bCs/>
          <w:sz w:val="20"/>
          <w:szCs w:val="20"/>
          <w:lang w:val="es-CO"/>
        </w:rPr>
        <w:t xml:space="preserve">En mérito de lo expuesto, la petición cumple con el requisito previsto en el artículo 46.1.b de la Convención. </w:t>
      </w:r>
    </w:p>
    <w:p w14:paraId="5514034D" w14:textId="77777777" w:rsidR="003115E4" w:rsidRPr="00F15F06" w:rsidRDefault="00F04591" w:rsidP="003115E4">
      <w:pPr>
        <w:pStyle w:val="ListParagraph"/>
        <w:spacing w:before="120" w:after="120"/>
        <w:jc w:val="both"/>
        <w:rPr>
          <w:rFonts w:asciiTheme="majorHAnsi" w:hAnsiTheme="majorHAnsi"/>
          <w:b/>
          <w:bCs/>
          <w:sz w:val="20"/>
          <w:szCs w:val="20"/>
          <w:lang w:val="es-ES"/>
        </w:rPr>
      </w:pPr>
      <w:r w:rsidRPr="00F15F06">
        <w:rPr>
          <w:rFonts w:asciiTheme="majorHAnsi" w:hAnsiTheme="majorHAnsi"/>
          <w:b/>
          <w:bCs/>
          <w:sz w:val="20"/>
          <w:szCs w:val="20"/>
          <w:lang w:val="es-ES"/>
        </w:rPr>
        <w:t>V</w:t>
      </w:r>
      <w:r w:rsidR="000E2789" w:rsidRPr="00F15F06">
        <w:rPr>
          <w:rFonts w:asciiTheme="majorHAnsi" w:hAnsiTheme="majorHAnsi"/>
          <w:b/>
          <w:bCs/>
          <w:sz w:val="20"/>
          <w:szCs w:val="20"/>
          <w:lang w:val="es-ES"/>
        </w:rPr>
        <w:t>I</w:t>
      </w:r>
      <w:r w:rsidRPr="00F15F06">
        <w:rPr>
          <w:rFonts w:asciiTheme="majorHAnsi" w:hAnsiTheme="majorHAnsi"/>
          <w:b/>
          <w:bCs/>
          <w:sz w:val="20"/>
          <w:szCs w:val="20"/>
          <w:lang w:val="es-ES"/>
        </w:rPr>
        <w:t xml:space="preserve">I. </w:t>
      </w:r>
      <w:r w:rsidRPr="00F15F06">
        <w:rPr>
          <w:rFonts w:asciiTheme="majorHAnsi" w:hAnsiTheme="majorHAnsi"/>
          <w:b/>
          <w:bCs/>
          <w:sz w:val="20"/>
          <w:szCs w:val="20"/>
          <w:lang w:val="es-ES"/>
        </w:rPr>
        <w:tab/>
        <w:t>CARACTERIZACIÓN</w:t>
      </w:r>
    </w:p>
    <w:p w14:paraId="5FBD3C6B" w14:textId="0D908AA4" w:rsidR="00DA0E15" w:rsidRPr="00F15F06" w:rsidRDefault="008B37ED" w:rsidP="008B37ED">
      <w:pPr>
        <w:pStyle w:val="ListParagraph"/>
        <w:numPr>
          <w:ilvl w:val="0"/>
          <w:numId w:val="61"/>
        </w:numPr>
        <w:tabs>
          <w:tab w:val="left" w:pos="0"/>
          <w:tab w:val="left" w:pos="720"/>
        </w:tabs>
        <w:spacing w:before="120" w:after="120"/>
        <w:ind w:left="0" w:firstLine="720"/>
        <w:jc w:val="both"/>
        <w:rPr>
          <w:rFonts w:asciiTheme="majorHAnsi" w:hAnsiTheme="majorHAnsi"/>
          <w:b/>
          <w:bCs/>
          <w:sz w:val="20"/>
          <w:szCs w:val="20"/>
          <w:lang w:val="es-ES"/>
        </w:rPr>
      </w:pPr>
      <w:r w:rsidRPr="00E64C3D">
        <w:rPr>
          <w:sz w:val="20"/>
          <w:szCs w:val="20"/>
          <w:lang w:val="es-ES"/>
        </w:rPr>
        <w:t xml:space="preserve">La Comisión observa que la presente petición incluye alegaciones con respecto a </w:t>
      </w:r>
      <w:r>
        <w:rPr>
          <w:sz w:val="20"/>
          <w:szCs w:val="20"/>
          <w:lang w:val="es-ES"/>
        </w:rPr>
        <w:t xml:space="preserve">la </w:t>
      </w:r>
      <w:r w:rsidRPr="00490E90">
        <w:rPr>
          <w:sz w:val="20"/>
          <w:szCs w:val="20"/>
          <w:lang w:val="es-ES"/>
        </w:rPr>
        <w:t>violación al principio de igualdad ante la ley</w:t>
      </w:r>
      <w:r w:rsidRPr="00F15F06">
        <w:rPr>
          <w:rFonts w:asciiTheme="majorHAnsi" w:hAnsiTheme="majorHAnsi"/>
          <w:sz w:val="20"/>
          <w:szCs w:val="20"/>
          <w:lang w:val="es-ES"/>
        </w:rPr>
        <w:t>, sufrida por la presunta víctima, así como la violación de su</w:t>
      </w:r>
      <w:r>
        <w:rPr>
          <w:rFonts w:asciiTheme="majorHAnsi" w:hAnsiTheme="majorHAnsi"/>
          <w:sz w:val="20"/>
          <w:szCs w:val="20"/>
          <w:lang w:val="es-ES"/>
        </w:rPr>
        <w:t>s</w:t>
      </w:r>
      <w:r w:rsidRPr="00F15F06">
        <w:rPr>
          <w:rFonts w:asciiTheme="majorHAnsi" w:hAnsiTheme="majorHAnsi"/>
          <w:sz w:val="20"/>
          <w:szCs w:val="20"/>
          <w:lang w:val="es-ES"/>
        </w:rPr>
        <w:t xml:space="preserve"> derechos al debido proceso y a las garantías judiciales </w:t>
      </w:r>
      <w:r w:rsidR="00701113" w:rsidRPr="00701113">
        <w:rPr>
          <w:rFonts w:asciiTheme="majorHAnsi" w:hAnsiTheme="majorHAnsi"/>
          <w:sz w:val="20"/>
          <w:szCs w:val="20"/>
          <w:lang w:val="es-MX"/>
        </w:rPr>
        <w:t>por haber sido presuntamente impedidos de acceder al sistema indemnizatorio del derecho común</w:t>
      </w:r>
      <w:r w:rsidR="00701113">
        <w:rPr>
          <w:rStyle w:val="FootnoteReference"/>
          <w:rFonts w:asciiTheme="majorHAnsi" w:hAnsiTheme="majorHAnsi"/>
          <w:sz w:val="20"/>
          <w:szCs w:val="20"/>
          <w:lang w:val="es-MX"/>
        </w:rPr>
        <w:footnoteReference w:id="6"/>
      </w:r>
      <w:r>
        <w:rPr>
          <w:rFonts w:asciiTheme="majorHAnsi" w:hAnsiTheme="majorHAnsi"/>
          <w:sz w:val="20"/>
          <w:szCs w:val="20"/>
          <w:lang w:val="es-ES"/>
        </w:rPr>
        <w:t xml:space="preserve">. </w:t>
      </w:r>
      <w:r w:rsidRPr="00E64C3D">
        <w:rPr>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003115E4" w:rsidRPr="00F15F06">
        <w:rPr>
          <w:rFonts w:asciiTheme="majorHAnsi" w:hAnsiTheme="majorHAnsi"/>
          <w:sz w:val="20"/>
          <w:szCs w:val="20"/>
          <w:lang w:val="es-ES"/>
        </w:rPr>
        <w:t xml:space="preserve"> 5 (integridad personal), 8 (garantías judiciales), 24 (igualdad) y 25 (protección judicial) de la Convención Americana, esto en relación con </w:t>
      </w:r>
      <w:r>
        <w:rPr>
          <w:rFonts w:asciiTheme="majorHAnsi" w:hAnsiTheme="majorHAnsi"/>
          <w:sz w:val="20"/>
          <w:szCs w:val="20"/>
          <w:lang w:val="es-ES"/>
        </w:rPr>
        <w:t>sus</w:t>
      </w:r>
      <w:r w:rsidR="003115E4" w:rsidRPr="00F15F06">
        <w:rPr>
          <w:rFonts w:asciiTheme="majorHAnsi" w:hAnsiTheme="majorHAnsi"/>
          <w:sz w:val="20"/>
          <w:szCs w:val="20"/>
          <w:lang w:val="es-ES"/>
        </w:rPr>
        <w:t xml:space="preserve"> </w:t>
      </w:r>
      <w:r>
        <w:rPr>
          <w:rFonts w:asciiTheme="majorHAnsi" w:hAnsiTheme="majorHAnsi"/>
          <w:sz w:val="20"/>
          <w:szCs w:val="20"/>
          <w:lang w:val="es-ES"/>
        </w:rPr>
        <w:t>artículos</w:t>
      </w:r>
      <w:r w:rsidR="003115E4" w:rsidRPr="00F15F06">
        <w:rPr>
          <w:rFonts w:asciiTheme="majorHAnsi" w:hAnsiTheme="majorHAnsi"/>
          <w:sz w:val="20"/>
          <w:szCs w:val="20"/>
          <w:lang w:val="es-ES"/>
        </w:rPr>
        <w:t xml:space="preserve"> 1.1 (obligación de respetar los derechos) y 2 (deber de adoptar disposiciones de derecho interno) del mismo cuerpo normativo</w:t>
      </w:r>
      <w:r w:rsidR="00D55C90">
        <w:rPr>
          <w:rFonts w:asciiTheme="majorHAnsi" w:hAnsiTheme="majorHAnsi"/>
          <w:sz w:val="20"/>
          <w:szCs w:val="20"/>
          <w:lang w:val="es-ES"/>
        </w:rPr>
        <w:t xml:space="preserve">, </w:t>
      </w:r>
      <w:r w:rsidR="00D55C90" w:rsidRPr="00235166">
        <w:rPr>
          <w:rFonts w:asciiTheme="majorHAnsi" w:hAnsiTheme="majorHAnsi"/>
          <w:sz w:val="20"/>
          <w:szCs w:val="20"/>
          <w:lang w:val="es-ES"/>
        </w:rPr>
        <w:t>en concordancia con otros casos similares ya decididos por la CIDH</w:t>
      </w:r>
      <w:r w:rsidR="00D55C90">
        <w:rPr>
          <w:rStyle w:val="FootnoteReference"/>
          <w:sz w:val="20"/>
          <w:szCs w:val="20"/>
          <w:lang w:val="es-ES"/>
        </w:rPr>
        <w:footnoteReference w:id="7"/>
      </w:r>
      <w:r w:rsidR="003115E4" w:rsidRPr="00F15F06">
        <w:rPr>
          <w:rFonts w:asciiTheme="majorHAnsi" w:hAnsiTheme="majorHAnsi"/>
          <w:sz w:val="20"/>
          <w:szCs w:val="20"/>
          <w:lang w:val="es-ES"/>
        </w:rPr>
        <w:t xml:space="preserve">.  </w:t>
      </w:r>
    </w:p>
    <w:p w14:paraId="6DAC3D49" w14:textId="2F8BC5C7" w:rsidR="00DA0E15" w:rsidRPr="00F15F06" w:rsidRDefault="004B624E" w:rsidP="007F2521">
      <w:pPr>
        <w:pStyle w:val="ListParagraph"/>
        <w:numPr>
          <w:ilvl w:val="0"/>
          <w:numId w:val="61"/>
        </w:numPr>
        <w:tabs>
          <w:tab w:val="left" w:pos="90"/>
          <w:tab w:val="left" w:pos="720"/>
        </w:tabs>
        <w:spacing w:before="120" w:after="120"/>
        <w:ind w:left="0" w:firstLine="720"/>
        <w:jc w:val="both"/>
        <w:rPr>
          <w:rFonts w:asciiTheme="majorHAnsi" w:hAnsiTheme="majorHAnsi"/>
          <w:b/>
          <w:bCs/>
          <w:sz w:val="20"/>
          <w:szCs w:val="20"/>
          <w:lang w:val="es-ES"/>
        </w:rPr>
      </w:pPr>
      <w:r w:rsidRPr="00F15F06">
        <w:rPr>
          <w:rFonts w:asciiTheme="majorHAnsi" w:hAnsiTheme="majorHAnsi"/>
          <w:bCs/>
          <w:sz w:val="20"/>
          <w:szCs w:val="20"/>
          <w:lang w:val="es-ES"/>
        </w:rPr>
        <w:t xml:space="preserve">Sobre la presunta </w:t>
      </w:r>
      <w:r w:rsidRPr="00F15F06">
        <w:rPr>
          <w:rFonts w:asciiTheme="majorHAnsi" w:hAnsiTheme="majorHAnsi" w:cs="Calibri"/>
          <w:sz w:val="20"/>
          <w:szCs w:val="20"/>
          <w:lang w:val="es-ES_tradnl"/>
        </w:rPr>
        <w:t xml:space="preserve">violación a los artículos </w:t>
      </w:r>
      <w:r w:rsidR="00D25FBE" w:rsidRPr="00F15F06">
        <w:rPr>
          <w:rFonts w:asciiTheme="majorHAnsi" w:hAnsiTheme="majorHAnsi"/>
          <w:bCs/>
          <w:sz w:val="20"/>
          <w:szCs w:val="20"/>
          <w:lang w:val="es-CO"/>
        </w:rPr>
        <w:t xml:space="preserve">4 (vida), 11 (honra </w:t>
      </w:r>
      <w:r w:rsidR="00891CC0">
        <w:rPr>
          <w:rFonts w:asciiTheme="majorHAnsi" w:hAnsiTheme="majorHAnsi"/>
          <w:bCs/>
          <w:sz w:val="20"/>
          <w:szCs w:val="20"/>
          <w:lang w:val="es-CO"/>
        </w:rPr>
        <w:t>y dignidad</w:t>
      </w:r>
      <w:r w:rsidR="00D25FBE" w:rsidRPr="00F15F06">
        <w:rPr>
          <w:rFonts w:asciiTheme="majorHAnsi" w:hAnsiTheme="majorHAnsi"/>
          <w:bCs/>
          <w:sz w:val="20"/>
          <w:szCs w:val="20"/>
          <w:lang w:val="es-CO"/>
        </w:rPr>
        <w:t xml:space="preserve">), 17 (Protección a la familia) y 27 (suspensión de garantías) </w:t>
      </w:r>
      <w:r w:rsidRPr="00F15F06">
        <w:rPr>
          <w:rFonts w:asciiTheme="majorHAnsi" w:hAnsiTheme="majorHAnsi"/>
          <w:sz w:val="20"/>
          <w:szCs w:val="20"/>
          <w:lang w:val="es-ES"/>
        </w:rPr>
        <w:t xml:space="preserve">de la </w:t>
      </w:r>
      <w:r w:rsidRPr="00F15F06">
        <w:rPr>
          <w:rFonts w:asciiTheme="majorHAnsi" w:hAnsiTheme="majorHAnsi"/>
          <w:bCs/>
          <w:sz w:val="20"/>
          <w:szCs w:val="20"/>
          <w:lang w:val="es-ES"/>
        </w:rPr>
        <w:t xml:space="preserve">Convención Americana, esta Comisión </w:t>
      </w:r>
      <w:r w:rsidRPr="00F15F06">
        <w:rPr>
          <w:rFonts w:asciiTheme="majorHAnsi" w:hAnsiTheme="majorHAnsi" w:cs="Calibri"/>
          <w:sz w:val="20"/>
          <w:szCs w:val="20"/>
          <w:lang w:val="es-ES_tradnl"/>
        </w:rPr>
        <w:t xml:space="preserve">observa que el peticionario no ha ofrecido alegatos o sustento que permita considerar prima facie su posible violación. </w:t>
      </w:r>
    </w:p>
    <w:p w14:paraId="2F6933AF" w14:textId="60DB9898" w:rsidR="00DA0E15" w:rsidRPr="00F15F06" w:rsidRDefault="004B624E" w:rsidP="007F2521">
      <w:pPr>
        <w:pStyle w:val="ListParagraph"/>
        <w:numPr>
          <w:ilvl w:val="0"/>
          <w:numId w:val="61"/>
        </w:numPr>
        <w:tabs>
          <w:tab w:val="left" w:pos="720"/>
        </w:tabs>
        <w:spacing w:before="120" w:after="120"/>
        <w:ind w:left="0" w:firstLine="720"/>
        <w:jc w:val="both"/>
        <w:rPr>
          <w:rFonts w:asciiTheme="majorHAnsi" w:hAnsiTheme="majorHAnsi"/>
          <w:b/>
          <w:bCs/>
          <w:sz w:val="20"/>
          <w:szCs w:val="20"/>
          <w:lang w:val="es-ES"/>
        </w:rPr>
      </w:pPr>
      <w:r w:rsidRPr="00F15F06">
        <w:rPr>
          <w:rFonts w:asciiTheme="majorHAnsi" w:hAnsiTheme="majorHAnsi" w:cs="Calibri"/>
          <w:sz w:val="20"/>
          <w:szCs w:val="20"/>
          <w:lang w:val="es-ES_tradnl"/>
        </w:rPr>
        <w:t xml:space="preserve">En relación con la presunta violación al numeral </w:t>
      </w:r>
      <w:r w:rsidR="007F085D">
        <w:rPr>
          <w:rFonts w:asciiTheme="majorHAnsi" w:hAnsiTheme="majorHAnsi" w:cs="Calibri"/>
          <w:sz w:val="20"/>
          <w:szCs w:val="20"/>
          <w:lang w:val="es-ES_tradnl"/>
        </w:rPr>
        <w:t>18</w:t>
      </w:r>
      <w:r w:rsidR="007F085D" w:rsidRPr="00F15F06">
        <w:rPr>
          <w:rFonts w:asciiTheme="majorHAnsi" w:hAnsiTheme="majorHAnsi" w:cs="Calibri"/>
          <w:sz w:val="20"/>
          <w:szCs w:val="20"/>
          <w:lang w:val="es-ES_tradnl"/>
        </w:rPr>
        <w:t xml:space="preserve"> </w:t>
      </w:r>
      <w:r w:rsidRPr="00F15F06">
        <w:rPr>
          <w:rFonts w:asciiTheme="majorHAnsi" w:hAnsiTheme="majorHAnsi" w:cs="Calibri"/>
          <w:sz w:val="20"/>
          <w:szCs w:val="20"/>
          <w:lang w:val="es-ES_tradnl"/>
        </w:rPr>
        <w:t xml:space="preserve">del Protocolo de San Salvador, </w:t>
      </w:r>
      <w:r w:rsidRPr="00F15F06">
        <w:rPr>
          <w:rFonts w:asciiTheme="majorHAnsi" w:hAnsiTheme="majorHAnsi"/>
          <w:bCs/>
          <w:sz w:val="20"/>
          <w:szCs w:val="20"/>
          <w:lang w:val="es-ES"/>
        </w:rPr>
        <w:t xml:space="preserve">se aclara que la Comisión </w:t>
      </w:r>
      <w:r w:rsidRPr="00F15F06">
        <w:rPr>
          <w:rFonts w:asciiTheme="majorHAnsi" w:hAnsiTheme="majorHAnsi" w:cs="Calibri"/>
          <w:sz w:val="20"/>
          <w:szCs w:val="20"/>
          <w:lang w:val="es-ES_tradnl"/>
        </w:rPr>
        <w:t xml:space="preserve">se encuentra facultada </w:t>
      </w:r>
      <w:r w:rsidRPr="00F15F06">
        <w:rPr>
          <w:rFonts w:asciiTheme="majorHAnsi" w:hAnsiTheme="majorHAnsi"/>
          <w:bCs/>
          <w:sz w:val="20"/>
          <w:szCs w:val="20"/>
          <w:lang w:val="es-ES"/>
        </w:rPr>
        <w:t>para establecer violaciones en el c</w:t>
      </w:r>
      <w:r w:rsidR="009F406A">
        <w:rPr>
          <w:rFonts w:asciiTheme="majorHAnsi" w:hAnsiTheme="majorHAnsi"/>
          <w:bCs/>
          <w:sz w:val="20"/>
          <w:szCs w:val="20"/>
          <w:lang w:val="es-ES"/>
        </w:rPr>
        <w:t>ontexto de un caso individual solamente en alegadas violaciones referentes a los artículos 8.1.a y 13, y</w:t>
      </w:r>
      <w:r w:rsidRPr="00F15F06">
        <w:rPr>
          <w:rFonts w:asciiTheme="majorHAnsi" w:hAnsiTheme="majorHAnsi"/>
          <w:bCs/>
          <w:sz w:val="20"/>
          <w:szCs w:val="20"/>
          <w:lang w:val="es-ES"/>
        </w:rPr>
        <w:t xml:space="preserve"> que respecto a los demás numerales los puede tomar en cuenta para interpretar y aplicar la </w:t>
      </w:r>
      <w:r w:rsidRPr="00F15F06">
        <w:rPr>
          <w:rFonts w:asciiTheme="majorHAnsi" w:hAnsiTheme="majorHAnsi" w:cs="Calibri"/>
          <w:sz w:val="20"/>
          <w:szCs w:val="20"/>
          <w:lang w:val="es-ES_tradnl"/>
        </w:rPr>
        <w:t xml:space="preserve">Convención Americana y otros instrumentos aplicables. En el mismo sentido, sobre los </w:t>
      </w:r>
      <w:r w:rsidRPr="00F15F06">
        <w:rPr>
          <w:rFonts w:asciiTheme="majorHAnsi" w:hAnsiTheme="majorHAnsi"/>
          <w:sz w:val="20"/>
          <w:szCs w:val="20"/>
          <w:lang w:val="es-ES_tradnl"/>
        </w:rPr>
        <w:t xml:space="preserve">numerales 1 y 2 de la Convención Interamericana para la Eliminación de todas las formas de Discriminación contra las Personas con Discapacidad, </w:t>
      </w:r>
      <w:r w:rsidR="00F37220" w:rsidRPr="00F15F06">
        <w:rPr>
          <w:rFonts w:asciiTheme="majorHAnsi" w:hAnsiTheme="majorHAnsi"/>
          <w:sz w:val="20"/>
          <w:szCs w:val="20"/>
          <w:lang w:val="es-ES_tradnl"/>
        </w:rPr>
        <w:t xml:space="preserve">la Comisión </w:t>
      </w:r>
      <w:r w:rsidR="00F37220" w:rsidRPr="00F15F06">
        <w:rPr>
          <w:rFonts w:asciiTheme="majorHAnsi" w:hAnsiTheme="majorHAnsi"/>
          <w:bCs/>
          <w:sz w:val="20"/>
          <w:szCs w:val="20"/>
          <w:lang w:val="es-ES"/>
        </w:rPr>
        <w:t xml:space="preserve">no tiene competencia para conocer casos individuales referidos a violaciones de este tratado; sin embargo, tiene la facultad de considerar el mismo a fin de interpretar y aplicar la Convención según los términos del artículo 29 del mismo cuerpo normativo. </w:t>
      </w:r>
    </w:p>
    <w:p w14:paraId="00D59A27" w14:textId="71F0867B" w:rsidR="004B624E" w:rsidRPr="00F15F06" w:rsidRDefault="005B6CC3" w:rsidP="007F2521">
      <w:pPr>
        <w:pStyle w:val="ListParagraph"/>
        <w:numPr>
          <w:ilvl w:val="0"/>
          <w:numId w:val="61"/>
        </w:numPr>
        <w:tabs>
          <w:tab w:val="left" w:pos="720"/>
        </w:tabs>
        <w:spacing w:before="120" w:after="120"/>
        <w:ind w:left="0" w:firstLine="720"/>
        <w:jc w:val="both"/>
        <w:rPr>
          <w:rFonts w:asciiTheme="majorHAnsi" w:hAnsiTheme="majorHAnsi"/>
          <w:b/>
          <w:bCs/>
          <w:sz w:val="20"/>
          <w:szCs w:val="20"/>
          <w:lang w:val="es-ES"/>
        </w:rPr>
      </w:pPr>
      <w:r w:rsidRPr="00F15F06">
        <w:rPr>
          <w:rFonts w:asciiTheme="majorHAnsi" w:hAnsiTheme="majorHAnsi"/>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14:paraId="13D6D835" w14:textId="77777777" w:rsidR="00981236" w:rsidRDefault="00981236"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p>
    <w:p w14:paraId="29BB41F5" w14:textId="3FB92CD0" w:rsidR="003239B8" w:rsidRPr="00F15F06"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F15F06">
        <w:rPr>
          <w:rFonts w:asciiTheme="majorHAnsi" w:hAnsiTheme="majorHAnsi"/>
          <w:b/>
          <w:bCs/>
          <w:sz w:val="20"/>
          <w:szCs w:val="20"/>
          <w:lang w:val="es-ES"/>
        </w:rPr>
        <w:lastRenderedPageBreak/>
        <w:t>VI</w:t>
      </w:r>
      <w:r w:rsidR="00F04591" w:rsidRPr="00F15F06">
        <w:rPr>
          <w:rFonts w:asciiTheme="majorHAnsi" w:hAnsiTheme="majorHAnsi"/>
          <w:b/>
          <w:bCs/>
          <w:sz w:val="20"/>
          <w:szCs w:val="20"/>
          <w:lang w:val="es-ES"/>
        </w:rPr>
        <w:t>II</w:t>
      </w:r>
      <w:r w:rsidR="003239B8" w:rsidRPr="00F15F06">
        <w:rPr>
          <w:rFonts w:asciiTheme="majorHAnsi" w:hAnsiTheme="majorHAnsi"/>
          <w:b/>
          <w:bCs/>
          <w:sz w:val="20"/>
          <w:szCs w:val="20"/>
          <w:lang w:val="es-ES"/>
        </w:rPr>
        <w:t xml:space="preserve">. </w:t>
      </w:r>
      <w:r w:rsidR="003239B8" w:rsidRPr="00F15F06">
        <w:rPr>
          <w:rFonts w:asciiTheme="majorHAnsi" w:hAnsiTheme="majorHAnsi"/>
          <w:b/>
          <w:bCs/>
          <w:sz w:val="20"/>
          <w:szCs w:val="20"/>
          <w:lang w:val="es-ES"/>
        </w:rPr>
        <w:tab/>
        <w:t>DECISIÓN</w:t>
      </w:r>
    </w:p>
    <w:p w14:paraId="0FDE1D10" w14:textId="5DD9C93E" w:rsidR="003239B8" w:rsidRPr="00F15F06" w:rsidRDefault="003239B8" w:rsidP="00176B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F15F06">
        <w:rPr>
          <w:rFonts w:asciiTheme="majorHAnsi" w:hAnsiTheme="majorHAnsi"/>
          <w:sz w:val="20"/>
          <w:szCs w:val="20"/>
          <w:lang w:val="es-ES"/>
        </w:rPr>
        <w:t>Declarar admisible la presente petición en relación con</w:t>
      </w:r>
      <w:r w:rsidR="003A6337" w:rsidRPr="00F15F06">
        <w:rPr>
          <w:rFonts w:asciiTheme="majorHAnsi" w:hAnsiTheme="majorHAnsi"/>
          <w:sz w:val="20"/>
          <w:szCs w:val="20"/>
          <w:lang w:val="es-ES"/>
        </w:rPr>
        <w:t xml:space="preserve"> los </w:t>
      </w:r>
      <w:r w:rsidR="003A6337" w:rsidRPr="00F15F06">
        <w:rPr>
          <w:rFonts w:asciiTheme="majorHAnsi" w:hAnsiTheme="majorHAnsi"/>
          <w:bCs/>
          <w:sz w:val="20"/>
          <w:szCs w:val="20"/>
          <w:lang w:val="es-ES"/>
        </w:rPr>
        <w:t>artículos</w:t>
      </w:r>
      <w:r w:rsidR="00272626" w:rsidRPr="00F15F06">
        <w:rPr>
          <w:rFonts w:asciiTheme="majorHAnsi" w:hAnsiTheme="majorHAnsi"/>
          <w:bCs/>
          <w:sz w:val="20"/>
          <w:szCs w:val="20"/>
          <w:lang w:val="es-ES"/>
        </w:rPr>
        <w:t xml:space="preserve"> 5, 8, 24 y 25 de la Convención Americana, </w:t>
      </w:r>
      <w:r w:rsidR="00272626" w:rsidRPr="00F15F06">
        <w:rPr>
          <w:rFonts w:asciiTheme="majorHAnsi" w:hAnsiTheme="majorHAnsi"/>
          <w:sz w:val="20"/>
          <w:szCs w:val="20"/>
          <w:lang w:val="es-ES"/>
        </w:rPr>
        <w:t>en concordancia con los artículos 1.1 y 2 del mismo instrumento</w:t>
      </w:r>
      <w:r w:rsidR="00D84FC9" w:rsidRPr="00F15F06">
        <w:rPr>
          <w:rFonts w:asciiTheme="majorHAnsi" w:hAnsiTheme="majorHAnsi"/>
          <w:bCs/>
          <w:color w:val="FF0000"/>
          <w:sz w:val="20"/>
          <w:szCs w:val="20"/>
          <w:lang w:val="es-ES"/>
        </w:rPr>
        <w:t xml:space="preserve"> </w:t>
      </w:r>
      <w:r w:rsidR="00A758AA" w:rsidRPr="00F15F06">
        <w:rPr>
          <w:rFonts w:asciiTheme="majorHAnsi" w:hAnsiTheme="majorHAnsi"/>
          <w:sz w:val="20"/>
          <w:szCs w:val="20"/>
          <w:lang w:val="es-ES"/>
        </w:rPr>
        <w:t>;</w:t>
      </w:r>
    </w:p>
    <w:p w14:paraId="6069A4DA" w14:textId="3D2F85BF" w:rsidR="00272626" w:rsidRPr="00F15F06" w:rsidRDefault="00272626" w:rsidP="00272626">
      <w:pPr>
        <w:pStyle w:val="ListParagraph"/>
        <w:numPr>
          <w:ilvl w:val="0"/>
          <w:numId w:val="56"/>
        </w:numPr>
        <w:spacing w:after="120"/>
        <w:jc w:val="both"/>
        <w:rPr>
          <w:rFonts w:asciiTheme="majorHAnsi" w:eastAsia="Arial Unicode MS" w:hAnsiTheme="majorHAnsi" w:cs="Times New Roman"/>
          <w:color w:val="auto"/>
          <w:sz w:val="20"/>
          <w:szCs w:val="20"/>
          <w:lang w:val="es-ES" w:eastAsia="en-US"/>
        </w:rPr>
      </w:pPr>
      <w:r w:rsidRPr="00F15F06">
        <w:rPr>
          <w:rFonts w:asciiTheme="majorHAnsi" w:eastAsia="Arial Unicode MS" w:hAnsiTheme="majorHAnsi" w:cs="Times New Roman"/>
          <w:color w:val="auto"/>
          <w:sz w:val="20"/>
          <w:szCs w:val="20"/>
          <w:lang w:val="es-ES" w:eastAsia="en-US"/>
        </w:rPr>
        <w:t>Declarar inadmisible</w:t>
      </w:r>
      <w:r w:rsidRPr="00F15F06">
        <w:rPr>
          <w:rFonts w:asciiTheme="majorHAnsi" w:eastAsia="Arial Unicode MS" w:hAnsiTheme="majorHAnsi" w:cs="Times New Roman"/>
          <w:color w:val="FF0000"/>
          <w:sz w:val="20"/>
          <w:szCs w:val="20"/>
          <w:lang w:val="es-ES" w:eastAsia="en-US"/>
        </w:rPr>
        <w:t xml:space="preserve"> </w:t>
      </w:r>
      <w:r w:rsidRPr="00F15F06">
        <w:rPr>
          <w:rFonts w:asciiTheme="majorHAnsi" w:eastAsia="Arial Unicode MS" w:hAnsiTheme="majorHAnsi" w:cs="Times New Roman"/>
          <w:color w:val="auto"/>
          <w:sz w:val="20"/>
          <w:szCs w:val="20"/>
          <w:lang w:val="es-ES" w:eastAsia="en-US"/>
        </w:rPr>
        <w:t xml:space="preserve">la presente petición en relación con </w:t>
      </w:r>
      <w:r w:rsidRPr="00F15F06">
        <w:rPr>
          <w:rFonts w:asciiTheme="majorHAnsi" w:hAnsiTheme="majorHAnsi"/>
          <w:sz w:val="20"/>
          <w:szCs w:val="20"/>
          <w:lang w:val="es-ES"/>
        </w:rPr>
        <w:t xml:space="preserve">los artículos </w:t>
      </w:r>
      <w:r w:rsidRPr="00F15F06">
        <w:rPr>
          <w:rFonts w:asciiTheme="majorHAnsi" w:hAnsiTheme="majorHAnsi"/>
          <w:bCs/>
          <w:sz w:val="20"/>
          <w:szCs w:val="20"/>
          <w:lang w:val="es-ES"/>
        </w:rPr>
        <w:t xml:space="preserve">4, </w:t>
      </w:r>
      <w:r w:rsidRPr="00F15F06">
        <w:rPr>
          <w:rFonts w:asciiTheme="majorHAnsi" w:hAnsiTheme="majorHAnsi"/>
          <w:bCs/>
          <w:sz w:val="20"/>
          <w:szCs w:val="20"/>
          <w:lang w:val="es-CO"/>
        </w:rPr>
        <w:t>11, 17 y 27</w:t>
      </w:r>
      <w:r w:rsidRPr="00F15F06">
        <w:rPr>
          <w:rFonts w:asciiTheme="majorHAnsi" w:eastAsia="Arial Unicode MS" w:hAnsiTheme="majorHAnsi" w:cs="Times New Roman"/>
          <w:color w:val="auto"/>
          <w:sz w:val="20"/>
          <w:szCs w:val="20"/>
          <w:lang w:val="es-ES" w:eastAsia="en-US"/>
        </w:rPr>
        <w:t xml:space="preserve"> de la </w:t>
      </w:r>
      <w:r w:rsidRPr="00F15F06">
        <w:rPr>
          <w:rFonts w:asciiTheme="majorHAnsi" w:hAnsiTheme="majorHAnsi"/>
          <w:bCs/>
          <w:sz w:val="20"/>
          <w:szCs w:val="20"/>
          <w:lang w:val="es-ES"/>
        </w:rPr>
        <w:t>Convención Americana; y</w:t>
      </w:r>
    </w:p>
    <w:p w14:paraId="4157390F" w14:textId="4BF47A2D"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F15F0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0E8F45B" w14:textId="12BCC7E7" w:rsidR="00981236" w:rsidRPr="00A37B82" w:rsidRDefault="00981236" w:rsidP="0098123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3F32D09" w14:textId="77777777" w:rsidR="00981236" w:rsidRPr="00A37B82" w:rsidRDefault="00981236" w:rsidP="00981236">
      <w:pPr>
        <w:suppressAutoHyphens/>
        <w:ind w:firstLine="720"/>
        <w:jc w:val="both"/>
        <w:rPr>
          <w:rFonts w:asciiTheme="majorHAnsi" w:hAnsiTheme="majorHAnsi" w:cs="Arial"/>
          <w:noProof/>
          <w:spacing w:val="-2"/>
          <w:sz w:val="20"/>
          <w:szCs w:val="20"/>
          <w:lang w:val="es-CL"/>
        </w:rPr>
      </w:pPr>
    </w:p>
    <w:sectPr w:rsidR="0098123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6D52A" w14:textId="77777777" w:rsidR="00875607" w:rsidRDefault="00875607">
      <w:r>
        <w:separator/>
      </w:r>
    </w:p>
  </w:endnote>
  <w:endnote w:type="continuationSeparator" w:id="0">
    <w:p w14:paraId="431D6C47" w14:textId="77777777" w:rsidR="00875607" w:rsidRDefault="0087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81F4F" w14:textId="77777777" w:rsidR="00D9140C" w:rsidRDefault="00D91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98C5CB3"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9140C">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69278" w14:textId="77777777" w:rsidR="00875607" w:rsidRPr="000F35ED" w:rsidRDefault="0087560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F178E6" w14:textId="77777777" w:rsidR="00875607" w:rsidRPr="000F35ED" w:rsidRDefault="00875607" w:rsidP="000F35ED">
      <w:pPr>
        <w:rPr>
          <w:rFonts w:asciiTheme="majorHAnsi" w:hAnsiTheme="majorHAnsi"/>
          <w:sz w:val="16"/>
          <w:szCs w:val="16"/>
        </w:rPr>
      </w:pPr>
      <w:r w:rsidRPr="000F35ED">
        <w:rPr>
          <w:rFonts w:asciiTheme="majorHAnsi" w:hAnsiTheme="majorHAnsi"/>
          <w:sz w:val="16"/>
          <w:szCs w:val="16"/>
        </w:rPr>
        <w:separator/>
      </w:r>
    </w:p>
    <w:p w14:paraId="48B7CECB" w14:textId="77777777" w:rsidR="00875607" w:rsidRPr="000F35ED" w:rsidRDefault="0087560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54086FD" w14:textId="77777777" w:rsidR="00875607" w:rsidRPr="000F35ED" w:rsidRDefault="0087560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50008FE" w14:textId="4D7DA642" w:rsidR="00EA0B79" w:rsidRPr="00397B15" w:rsidRDefault="00981236">
      <w:pPr>
        <w:pStyle w:val="FootnoteText"/>
        <w:rPr>
          <w:rFonts w:asciiTheme="majorHAnsi" w:hAnsiTheme="majorHAnsi"/>
          <w:sz w:val="16"/>
          <w:szCs w:val="16"/>
          <w:lang w:val="es-ES"/>
        </w:rPr>
      </w:pPr>
      <w:r>
        <w:rPr>
          <w:rFonts w:asciiTheme="majorHAnsi" w:hAnsiTheme="majorHAnsi"/>
          <w:sz w:val="16"/>
          <w:szCs w:val="16"/>
          <w:lang w:val="es-CO"/>
        </w:rPr>
        <w:tab/>
      </w:r>
      <w:r w:rsidR="00EA0B79" w:rsidRPr="00397B15">
        <w:rPr>
          <w:rStyle w:val="FootnoteReference"/>
          <w:rFonts w:asciiTheme="majorHAnsi" w:hAnsiTheme="majorHAnsi"/>
          <w:sz w:val="16"/>
          <w:szCs w:val="16"/>
        </w:rPr>
        <w:footnoteRef/>
      </w:r>
      <w:r w:rsidR="00EA0B79" w:rsidRPr="00397B15">
        <w:rPr>
          <w:rFonts w:asciiTheme="majorHAnsi" w:hAnsiTheme="majorHAnsi"/>
          <w:sz w:val="16"/>
          <w:szCs w:val="16"/>
          <w:lang w:val="es-CO"/>
        </w:rPr>
        <w:t xml:space="preserve"> </w:t>
      </w:r>
      <w:r w:rsidR="00EA0B79" w:rsidRPr="00397B15">
        <w:rPr>
          <w:rFonts w:asciiTheme="majorHAnsi" w:hAnsiTheme="majorHAnsi"/>
          <w:sz w:val="16"/>
          <w:szCs w:val="16"/>
          <w:lang w:val="es-ES"/>
        </w:rPr>
        <w:t>En adelante “la Convención Americana” o “la Convención”.</w:t>
      </w:r>
    </w:p>
  </w:footnote>
  <w:footnote w:id="3">
    <w:p w14:paraId="79F07139" w14:textId="1510E131" w:rsidR="008E3BFE" w:rsidRPr="00DD061E" w:rsidRDefault="00981236" w:rsidP="00DD061E">
      <w:pPr>
        <w:pStyle w:val="FootnoteText"/>
        <w:jc w:val="both"/>
        <w:rPr>
          <w:rFonts w:ascii="Cambria" w:hAnsi="Cambria"/>
          <w:sz w:val="16"/>
          <w:szCs w:val="16"/>
          <w:lang w:val="es-ES"/>
        </w:rPr>
      </w:pPr>
      <w:r>
        <w:rPr>
          <w:rFonts w:asciiTheme="majorHAnsi" w:hAnsiTheme="majorHAnsi"/>
          <w:sz w:val="16"/>
          <w:szCs w:val="16"/>
          <w:vertAlign w:val="superscript"/>
          <w:lang w:val="es-ES"/>
        </w:rPr>
        <w:tab/>
      </w:r>
      <w:r w:rsidR="008E3BFE" w:rsidRPr="00397B15">
        <w:rPr>
          <w:rFonts w:asciiTheme="majorHAnsi" w:hAnsiTheme="majorHAnsi"/>
          <w:sz w:val="16"/>
          <w:szCs w:val="16"/>
          <w:vertAlign w:val="superscript"/>
          <w:lang w:val="es-ES"/>
        </w:rPr>
        <w:footnoteRef/>
      </w:r>
      <w:r w:rsidR="008E3BFE" w:rsidRPr="00397B15">
        <w:rPr>
          <w:rFonts w:asciiTheme="majorHAnsi" w:hAnsiTheme="majorHAnsi"/>
          <w:sz w:val="16"/>
          <w:szCs w:val="16"/>
          <w:vertAlign w:val="superscript"/>
          <w:lang w:val="es-ES"/>
        </w:rPr>
        <w:t xml:space="preserve"> </w:t>
      </w:r>
      <w:r w:rsidR="008E3BFE" w:rsidRPr="00397B15">
        <w:rPr>
          <w:rFonts w:asciiTheme="majorHAnsi" w:hAnsiTheme="majorHAnsi"/>
          <w:sz w:val="16"/>
          <w:szCs w:val="16"/>
          <w:lang w:val="es-ES"/>
        </w:rPr>
        <w:t>Las observaciones de cada parte fueron debidamente trasladadas a la parte contraria.</w:t>
      </w:r>
    </w:p>
  </w:footnote>
  <w:footnote w:id="4">
    <w:p w14:paraId="633F8C72" w14:textId="75A971AB" w:rsidR="00E10226" w:rsidRPr="003A091A" w:rsidRDefault="00981236">
      <w:pPr>
        <w:pStyle w:val="FootnoteText"/>
        <w:rPr>
          <w:rFonts w:ascii="Cambria" w:hAnsi="Cambria"/>
          <w:sz w:val="16"/>
          <w:szCs w:val="16"/>
          <w:lang w:val="es-ES"/>
        </w:rPr>
      </w:pPr>
      <w:r>
        <w:rPr>
          <w:rFonts w:ascii="Cambria" w:hAnsi="Cambria"/>
          <w:sz w:val="16"/>
          <w:szCs w:val="16"/>
          <w:vertAlign w:val="superscript"/>
          <w:lang w:val="es-ES"/>
        </w:rPr>
        <w:tab/>
      </w:r>
      <w:r w:rsidR="00E10226" w:rsidRPr="00C33167">
        <w:rPr>
          <w:rFonts w:ascii="Cambria" w:hAnsi="Cambria"/>
          <w:sz w:val="16"/>
          <w:szCs w:val="16"/>
          <w:vertAlign w:val="superscript"/>
          <w:lang w:val="es-ES"/>
        </w:rPr>
        <w:footnoteRef/>
      </w:r>
      <w:r w:rsidR="00E10226" w:rsidRPr="00C33167">
        <w:rPr>
          <w:rFonts w:ascii="Cambria" w:hAnsi="Cambria"/>
          <w:sz w:val="16"/>
          <w:szCs w:val="16"/>
          <w:vertAlign w:val="superscript"/>
          <w:lang w:val="es-ES"/>
        </w:rPr>
        <w:t xml:space="preserve"> </w:t>
      </w:r>
      <w:r w:rsidR="00E10226" w:rsidRPr="00E10226">
        <w:rPr>
          <w:rFonts w:ascii="Cambria" w:hAnsi="Cambria"/>
          <w:sz w:val="16"/>
          <w:szCs w:val="16"/>
          <w:lang w:val="es-ES"/>
        </w:rPr>
        <w:t>Dicho</w:t>
      </w:r>
      <w:r w:rsidR="00BF5CB2">
        <w:rPr>
          <w:rFonts w:ascii="Cambria" w:hAnsi="Cambria"/>
          <w:sz w:val="16"/>
          <w:szCs w:val="16"/>
          <w:lang w:val="es-ES"/>
        </w:rPr>
        <w:t>s</w:t>
      </w:r>
      <w:r w:rsidR="00E10226" w:rsidRPr="00E10226">
        <w:rPr>
          <w:rFonts w:ascii="Cambria" w:hAnsi="Cambria"/>
          <w:sz w:val="16"/>
          <w:szCs w:val="16"/>
          <w:lang w:val="es-ES"/>
        </w:rPr>
        <w:t xml:space="preserve"> caso</w:t>
      </w:r>
      <w:r w:rsidR="00BF5CB2">
        <w:rPr>
          <w:rFonts w:ascii="Cambria" w:hAnsi="Cambria"/>
          <w:sz w:val="16"/>
          <w:szCs w:val="16"/>
          <w:lang w:val="es-ES"/>
        </w:rPr>
        <w:t>s</w:t>
      </w:r>
      <w:r w:rsidR="00E10226" w:rsidRPr="00E10226">
        <w:rPr>
          <w:rFonts w:ascii="Cambria" w:hAnsi="Cambria"/>
          <w:sz w:val="16"/>
          <w:szCs w:val="16"/>
          <w:lang w:val="es-ES"/>
        </w:rPr>
        <w:t xml:space="preserve"> fue</w:t>
      </w:r>
      <w:r w:rsidR="00BF5CB2">
        <w:rPr>
          <w:rFonts w:ascii="Cambria" w:hAnsi="Cambria"/>
          <w:sz w:val="16"/>
          <w:szCs w:val="16"/>
          <w:lang w:val="es-ES"/>
        </w:rPr>
        <w:t>ron</w:t>
      </w:r>
      <w:r w:rsidR="00E10226" w:rsidRPr="00E10226">
        <w:rPr>
          <w:rFonts w:ascii="Cambria" w:hAnsi="Cambria"/>
          <w:sz w:val="16"/>
          <w:szCs w:val="16"/>
          <w:lang w:val="es-ES"/>
        </w:rPr>
        <w:t xml:space="preserve"> </w:t>
      </w:r>
      <w:r w:rsidR="00E10226" w:rsidRPr="00B85424">
        <w:rPr>
          <w:rFonts w:ascii="Cambria" w:hAnsi="Cambria"/>
          <w:sz w:val="16"/>
          <w:szCs w:val="16"/>
          <w:lang w:val="es-ES"/>
        </w:rPr>
        <w:t>resuelto</w:t>
      </w:r>
      <w:r w:rsidR="00BF5CB2">
        <w:rPr>
          <w:rFonts w:ascii="Cambria" w:hAnsi="Cambria"/>
          <w:sz w:val="16"/>
          <w:szCs w:val="16"/>
          <w:lang w:val="es-ES"/>
        </w:rPr>
        <w:t>s</w:t>
      </w:r>
      <w:r w:rsidR="00E10226" w:rsidRPr="00B85424">
        <w:rPr>
          <w:rFonts w:ascii="Cambria" w:hAnsi="Cambria"/>
          <w:sz w:val="16"/>
          <w:szCs w:val="16"/>
          <w:lang w:val="es-ES"/>
        </w:rPr>
        <w:t xml:space="preserve"> por la Corte Suprema de Justicia de la Nación, tomando como base el caso “</w:t>
      </w:r>
      <w:proofErr w:type="spellStart"/>
      <w:r w:rsidR="00E10226" w:rsidRPr="000B00CD">
        <w:rPr>
          <w:rFonts w:ascii="Cambria" w:hAnsi="Cambria"/>
          <w:i/>
          <w:sz w:val="16"/>
          <w:szCs w:val="16"/>
          <w:lang w:val="es-ES"/>
        </w:rPr>
        <w:t>Azzetti</w:t>
      </w:r>
      <w:proofErr w:type="spellEnd"/>
      <w:r w:rsidR="00E10226" w:rsidRPr="00B85424">
        <w:rPr>
          <w:rFonts w:ascii="Cambria" w:hAnsi="Cambria"/>
          <w:sz w:val="16"/>
          <w:szCs w:val="16"/>
          <w:lang w:val="es-ES"/>
        </w:rPr>
        <w:t>”.</w:t>
      </w:r>
    </w:p>
  </w:footnote>
  <w:footnote w:id="5">
    <w:p w14:paraId="5D8E7C8A" w14:textId="3E044C55" w:rsidR="003712D7" w:rsidRPr="003712D7" w:rsidRDefault="00981236">
      <w:pPr>
        <w:pStyle w:val="FootnoteText"/>
        <w:rPr>
          <w:lang w:val="es-CO"/>
        </w:rPr>
      </w:pPr>
      <w:r>
        <w:rPr>
          <w:rFonts w:ascii="Cambria" w:hAnsi="Cambria"/>
          <w:sz w:val="16"/>
          <w:szCs w:val="16"/>
          <w:vertAlign w:val="superscript"/>
          <w:lang w:val="es-ES"/>
        </w:rPr>
        <w:tab/>
      </w:r>
      <w:r w:rsidR="003712D7" w:rsidRPr="00C33167">
        <w:rPr>
          <w:rFonts w:ascii="Cambria" w:hAnsi="Cambria"/>
          <w:sz w:val="16"/>
          <w:szCs w:val="16"/>
          <w:vertAlign w:val="superscript"/>
          <w:lang w:val="es-ES"/>
        </w:rPr>
        <w:footnoteRef/>
      </w:r>
      <w:r w:rsidR="003712D7" w:rsidRPr="00C33167">
        <w:rPr>
          <w:rFonts w:ascii="Cambria" w:hAnsi="Cambria"/>
          <w:sz w:val="16"/>
          <w:szCs w:val="16"/>
          <w:vertAlign w:val="superscript"/>
          <w:lang w:val="es-ES"/>
        </w:rPr>
        <w:t xml:space="preserve"> </w:t>
      </w:r>
      <w:r w:rsidR="003A091A" w:rsidRPr="003A091A">
        <w:rPr>
          <w:rFonts w:ascii="Cambria" w:hAnsi="Cambria"/>
          <w:sz w:val="16"/>
          <w:szCs w:val="16"/>
          <w:lang w:val="es-ES"/>
        </w:rPr>
        <w:t xml:space="preserve">Ley del Servicio Penitenciario Federal y </w:t>
      </w:r>
      <w:r w:rsidR="002A0E2A">
        <w:rPr>
          <w:rFonts w:ascii="Cambria" w:hAnsi="Cambria"/>
          <w:sz w:val="16"/>
          <w:szCs w:val="16"/>
          <w:lang w:val="es-ES"/>
        </w:rPr>
        <w:t xml:space="preserve">Ley </w:t>
      </w:r>
      <w:r w:rsidR="003A091A" w:rsidRPr="003A091A">
        <w:rPr>
          <w:rFonts w:ascii="Cambria" w:hAnsi="Cambria"/>
          <w:sz w:val="16"/>
          <w:szCs w:val="16"/>
          <w:lang w:val="es-ES"/>
        </w:rPr>
        <w:t>de Contrato de Trabajo, respectivamente.</w:t>
      </w:r>
    </w:p>
  </w:footnote>
  <w:footnote w:id="6">
    <w:p w14:paraId="059137EA" w14:textId="41153D86" w:rsidR="00701113" w:rsidRPr="00701113" w:rsidRDefault="00981236">
      <w:pPr>
        <w:pStyle w:val="FootnoteText"/>
        <w:rPr>
          <w:rFonts w:asciiTheme="majorHAnsi" w:hAnsiTheme="majorHAnsi"/>
          <w:sz w:val="16"/>
          <w:szCs w:val="16"/>
          <w:lang w:val="fr-CA"/>
        </w:rPr>
      </w:pPr>
      <w:r>
        <w:rPr>
          <w:lang w:val="es-MX"/>
        </w:rPr>
        <w:tab/>
      </w:r>
      <w:r w:rsidR="00701113">
        <w:rPr>
          <w:rStyle w:val="FootnoteReference"/>
        </w:rPr>
        <w:footnoteRef/>
      </w:r>
      <w:r w:rsidR="00701113" w:rsidRPr="00701113">
        <w:rPr>
          <w:lang w:val="es-MX"/>
        </w:rPr>
        <w:t xml:space="preserve"> </w:t>
      </w:r>
      <w:r w:rsidR="00701113" w:rsidRPr="00144480">
        <w:rPr>
          <w:rFonts w:asciiTheme="majorHAnsi" w:hAnsiTheme="majorHAnsi"/>
          <w:sz w:val="16"/>
          <w:szCs w:val="16"/>
          <w:lang w:val="es-MX"/>
        </w:rPr>
        <w:t>Véase CIDH, Informe No. 32/18. Petición 355-08. Admisibilidad. Alberto Miguel Andrada y Jorge Osvaldo Álvare</w:t>
      </w:r>
      <w:r w:rsidR="00701113">
        <w:rPr>
          <w:rFonts w:asciiTheme="majorHAnsi" w:hAnsiTheme="majorHAnsi"/>
          <w:sz w:val="16"/>
          <w:szCs w:val="16"/>
          <w:lang w:val="es-MX"/>
        </w:rPr>
        <w:t>z. Argentina. 4 de mayo de 201</w:t>
      </w:r>
      <w:r w:rsidR="00701113" w:rsidRPr="00701113">
        <w:rPr>
          <w:rFonts w:asciiTheme="majorHAnsi" w:hAnsiTheme="majorHAnsi"/>
          <w:sz w:val="16"/>
          <w:szCs w:val="16"/>
          <w:lang w:val="es-MX"/>
        </w:rPr>
        <w:t>8, párr</w:t>
      </w:r>
      <w:proofErr w:type="gramStart"/>
      <w:r w:rsidR="00701113" w:rsidRPr="00701113">
        <w:rPr>
          <w:rFonts w:asciiTheme="majorHAnsi" w:hAnsiTheme="majorHAnsi"/>
          <w:sz w:val="16"/>
          <w:szCs w:val="16"/>
          <w:lang w:val="es-MX"/>
        </w:rPr>
        <w:t>..</w:t>
      </w:r>
      <w:proofErr w:type="gramEnd"/>
      <w:r w:rsidR="00701113">
        <w:rPr>
          <w:rFonts w:asciiTheme="majorHAnsi" w:hAnsiTheme="majorHAnsi"/>
          <w:sz w:val="16"/>
          <w:szCs w:val="16"/>
          <w:lang w:val="es-MX"/>
        </w:rPr>
        <w:t xml:space="preserve"> 10; </w:t>
      </w:r>
      <w:r w:rsidR="00701113" w:rsidRPr="00701113">
        <w:rPr>
          <w:rFonts w:asciiTheme="majorHAnsi" w:hAnsiTheme="majorHAnsi"/>
          <w:sz w:val="16"/>
          <w:szCs w:val="16"/>
          <w:lang w:val="es-MX"/>
        </w:rPr>
        <w:t xml:space="preserve">CIDH, Informe No. 76/19. Admisibilidad. Hugo Eduardo </w:t>
      </w:r>
      <w:proofErr w:type="spellStart"/>
      <w:r w:rsidR="00701113" w:rsidRPr="00701113">
        <w:rPr>
          <w:rFonts w:asciiTheme="majorHAnsi" w:hAnsiTheme="majorHAnsi"/>
          <w:sz w:val="16"/>
          <w:szCs w:val="16"/>
          <w:lang w:val="es-MX"/>
        </w:rPr>
        <w:t>Ibarbuden</w:t>
      </w:r>
      <w:proofErr w:type="spellEnd"/>
      <w:r w:rsidR="00701113" w:rsidRPr="00701113">
        <w:rPr>
          <w:rFonts w:asciiTheme="majorHAnsi" w:hAnsiTheme="majorHAnsi"/>
          <w:sz w:val="16"/>
          <w:szCs w:val="16"/>
          <w:lang w:val="es-MX"/>
        </w:rPr>
        <w:t xml:space="preserve">. </w:t>
      </w:r>
      <w:r w:rsidR="00701113" w:rsidRPr="00981236">
        <w:rPr>
          <w:rFonts w:asciiTheme="majorHAnsi" w:hAnsiTheme="majorHAnsi"/>
          <w:sz w:val="16"/>
          <w:szCs w:val="16"/>
          <w:lang w:val="es-MX"/>
        </w:rPr>
        <w:t xml:space="preserve">Argentina. </w:t>
      </w:r>
      <w:r w:rsidR="00701113" w:rsidRPr="00701113">
        <w:rPr>
          <w:rFonts w:asciiTheme="majorHAnsi" w:hAnsiTheme="majorHAnsi"/>
          <w:sz w:val="16"/>
          <w:szCs w:val="16"/>
        </w:rPr>
        <w:t>21 de mayo de 2019</w:t>
      </w:r>
      <w:r w:rsidR="00701113">
        <w:rPr>
          <w:rFonts w:asciiTheme="majorHAnsi" w:hAnsiTheme="majorHAnsi"/>
          <w:sz w:val="16"/>
          <w:szCs w:val="16"/>
        </w:rPr>
        <w:t xml:space="preserve">, </w:t>
      </w:r>
      <w:proofErr w:type="spellStart"/>
      <w:r w:rsidR="00701113">
        <w:rPr>
          <w:rFonts w:asciiTheme="majorHAnsi" w:hAnsiTheme="majorHAnsi"/>
          <w:sz w:val="16"/>
          <w:szCs w:val="16"/>
        </w:rPr>
        <w:t>párr</w:t>
      </w:r>
      <w:proofErr w:type="spellEnd"/>
      <w:r w:rsidR="00701113">
        <w:rPr>
          <w:rFonts w:asciiTheme="majorHAnsi" w:hAnsiTheme="majorHAnsi"/>
          <w:sz w:val="16"/>
          <w:szCs w:val="16"/>
        </w:rPr>
        <w:t xml:space="preserve">. </w:t>
      </w:r>
      <w:r w:rsidR="006440DE">
        <w:rPr>
          <w:rFonts w:asciiTheme="majorHAnsi" w:hAnsiTheme="majorHAnsi"/>
          <w:sz w:val="16"/>
          <w:szCs w:val="16"/>
        </w:rPr>
        <w:t>8 y 9.</w:t>
      </w:r>
    </w:p>
  </w:footnote>
  <w:footnote w:id="7">
    <w:p w14:paraId="3C987DD1" w14:textId="26DB0994" w:rsidR="00D55C90" w:rsidRPr="00C74731" w:rsidRDefault="00981236" w:rsidP="00D55C90">
      <w:pPr>
        <w:pStyle w:val="FootnoteText"/>
        <w:rPr>
          <w:rFonts w:ascii="Cambria" w:hAnsi="Cambria"/>
          <w:sz w:val="16"/>
          <w:szCs w:val="16"/>
          <w:lang w:val="es-MX"/>
        </w:rPr>
      </w:pPr>
      <w:r>
        <w:rPr>
          <w:rFonts w:ascii="Cambria" w:hAnsi="Cambria"/>
          <w:sz w:val="16"/>
          <w:szCs w:val="16"/>
          <w:lang w:val="es-MX"/>
        </w:rPr>
        <w:tab/>
      </w:r>
      <w:r w:rsidR="00D55C90" w:rsidRPr="00C74731">
        <w:rPr>
          <w:rStyle w:val="FootnoteReference"/>
          <w:rFonts w:ascii="Cambria" w:hAnsi="Cambria"/>
          <w:sz w:val="16"/>
          <w:szCs w:val="16"/>
        </w:rPr>
        <w:footnoteRef/>
      </w:r>
      <w:r w:rsidR="00D55C90" w:rsidRPr="00C74731">
        <w:rPr>
          <w:rFonts w:ascii="Cambria" w:hAnsi="Cambria"/>
          <w:sz w:val="16"/>
          <w:szCs w:val="16"/>
          <w:lang w:val="es-MX"/>
        </w:rPr>
        <w:t xml:space="preserve"> </w:t>
      </w:r>
      <w:proofErr w:type="spellStart"/>
      <w:r w:rsidR="00D55C90">
        <w:rPr>
          <w:rFonts w:ascii="Cambria" w:hAnsi="Cambria"/>
          <w:sz w:val="16"/>
          <w:szCs w:val="16"/>
          <w:lang w:val="es-MX"/>
        </w:rPr>
        <w:t>Ibid</w:t>
      </w:r>
      <w:proofErr w:type="spellEnd"/>
      <w:r w:rsidR="00D55C90">
        <w:rPr>
          <w:rFonts w:ascii="Cambria" w:hAnsi="Cambria"/>
          <w:sz w:val="16"/>
          <w:szCs w:val="16"/>
          <w:lang w:val="es-MX"/>
        </w:rPr>
        <w:t>.</w:t>
      </w:r>
      <w:r w:rsidR="00D55C90" w:rsidRPr="00C74731">
        <w:rPr>
          <w:rFonts w:ascii="Cambria" w:hAnsi="Cambria"/>
          <w:sz w:val="16"/>
          <w:szCs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7560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9B2F" w14:textId="77777777" w:rsidR="00D9140C" w:rsidRDefault="00D91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12C"/>
    <w:multiLevelType w:val="hybridMultilevel"/>
    <w:tmpl w:val="4334A7F8"/>
    <w:lvl w:ilvl="0" w:tplc="86F856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4"/>
  </w:num>
  <w:num w:numId="4">
    <w:abstractNumId w:val="23"/>
  </w:num>
  <w:num w:numId="5">
    <w:abstractNumId w:val="48"/>
  </w:num>
  <w:num w:numId="6">
    <w:abstractNumId w:val="28"/>
  </w:num>
  <w:num w:numId="7">
    <w:abstractNumId w:val="8"/>
  </w:num>
  <w:num w:numId="8">
    <w:abstractNumId w:val="18"/>
  </w:num>
  <w:num w:numId="9">
    <w:abstractNumId w:val="42"/>
  </w:num>
  <w:num w:numId="10">
    <w:abstractNumId w:val="1"/>
  </w:num>
  <w:num w:numId="11">
    <w:abstractNumId w:val="37"/>
  </w:num>
  <w:num w:numId="12">
    <w:abstractNumId w:val="38"/>
  </w:num>
  <w:num w:numId="13">
    <w:abstractNumId w:val="44"/>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2"/>
  </w:num>
  <w:num w:numId="52">
    <w:abstractNumId w:val="41"/>
  </w:num>
  <w:num w:numId="53">
    <w:abstractNumId w:val="51"/>
  </w:num>
  <w:num w:numId="54">
    <w:abstractNumId w:val="45"/>
  </w:num>
  <w:num w:numId="55">
    <w:abstractNumId w:val="6"/>
  </w:num>
  <w:num w:numId="56">
    <w:abstractNumId w:val="43"/>
  </w:num>
  <w:num w:numId="57">
    <w:abstractNumId w:val="59"/>
  </w:num>
  <w:num w:numId="58">
    <w:abstractNumId w:val="21"/>
  </w:num>
  <w:num w:numId="59">
    <w:abstractNumId w:val="4"/>
  </w:num>
  <w:num w:numId="60">
    <w:abstractNumId w:val="47"/>
  </w:num>
  <w:num w:numId="61">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3AEC"/>
    <w:rsid w:val="00015701"/>
    <w:rsid w:val="0001788C"/>
    <w:rsid w:val="00020442"/>
    <w:rsid w:val="0002186F"/>
    <w:rsid w:val="000337EF"/>
    <w:rsid w:val="00040C3A"/>
    <w:rsid w:val="000419AD"/>
    <w:rsid w:val="0004462A"/>
    <w:rsid w:val="00050BBB"/>
    <w:rsid w:val="00051ED6"/>
    <w:rsid w:val="0006589F"/>
    <w:rsid w:val="000716C5"/>
    <w:rsid w:val="00072397"/>
    <w:rsid w:val="00075E23"/>
    <w:rsid w:val="0009006E"/>
    <w:rsid w:val="00090980"/>
    <w:rsid w:val="00091164"/>
    <w:rsid w:val="00091840"/>
    <w:rsid w:val="0009344A"/>
    <w:rsid w:val="000A19F8"/>
    <w:rsid w:val="000A3254"/>
    <w:rsid w:val="000A392E"/>
    <w:rsid w:val="000A575F"/>
    <w:rsid w:val="000A63D0"/>
    <w:rsid w:val="000B00CD"/>
    <w:rsid w:val="000B0579"/>
    <w:rsid w:val="000B7D6D"/>
    <w:rsid w:val="000C1C69"/>
    <w:rsid w:val="000C2124"/>
    <w:rsid w:val="000C3A31"/>
    <w:rsid w:val="000D10DB"/>
    <w:rsid w:val="000E2789"/>
    <w:rsid w:val="000E2968"/>
    <w:rsid w:val="000E5EB5"/>
    <w:rsid w:val="000F1B2E"/>
    <w:rsid w:val="000F2B4D"/>
    <w:rsid w:val="000F35ED"/>
    <w:rsid w:val="000F659C"/>
    <w:rsid w:val="000F7FBE"/>
    <w:rsid w:val="001018E8"/>
    <w:rsid w:val="0010471B"/>
    <w:rsid w:val="00107131"/>
    <w:rsid w:val="0010736F"/>
    <w:rsid w:val="00111A8A"/>
    <w:rsid w:val="00113F73"/>
    <w:rsid w:val="00114403"/>
    <w:rsid w:val="0011482E"/>
    <w:rsid w:val="00121CC2"/>
    <w:rsid w:val="00131D8B"/>
    <w:rsid w:val="00133EE5"/>
    <w:rsid w:val="00136E3D"/>
    <w:rsid w:val="00143EFE"/>
    <w:rsid w:val="00146C58"/>
    <w:rsid w:val="001479C0"/>
    <w:rsid w:val="0015330B"/>
    <w:rsid w:val="00156215"/>
    <w:rsid w:val="00162949"/>
    <w:rsid w:val="00167A34"/>
    <w:rsid w:val="00173926"/>
    <w:rsid w:val="00176BB3"/>
    <w:rsid w:val="00177EEF"/>
    <w:rsid w:val="0018325A"/>
    <w:rsid w:val="00184FDA"/>
    <w:rsid w:val="001901E9"/>
    <w:rsid w:val="001908B2"/>
    <w:rsid w:val="001A51C1"/>
    <w:rsid w:val="001A7870"/>
    <w:rsid w:val="001B3A00"/>
    <w:rsid w:val="001B4C00"/>
    <w:rsid w:val="001B5D95"/>
    <w:rsid w:val="001C1B41"/>
    <w:rsid w:val="001C4626"/>
    <w:rsid w:val="001D65EF"/>
    <w:rsid w:val="001E49E7"/>
    <w:rsid w:val="001F077C"/>
    <w:rsid w:val="001F271B"/>
    <w:rsid w:val="001F609E"/>
    <w:rsid w:val="001F7201"/>
    <w:rsid w:val="002020FB"/>
    <w:rsid w:val="00204931"/>
    <w:rsid w:val="00222568"/>
    <w:rsid w:val="00223A29"/>
    <w:rsid w:val="002250A3"/>
    <w:rsid w:val="00231294"/>
    <w:rsid w:val="00235217"/>
    <w:rsid w:val="002355A9"/>
    <w:rsid w:val="00246D1F"/>
    <w:rsid w:val="00246EC1"/>
    <w:rsid w:val="00247403"/>
    <w:rsid w:val="00247542"/>
    <w:rsid w:val="002572A1"/>
    <w:rsid w:val="00266B61"/>
    <w:rsid w:val="0026712A"/>
    <w:rsid w:val="002704DB"/>
    <w:rsid w:val="00272626"/>
    <w:rsid w:val="00277BDA"/>
    <w:rsid w:val="00290182"/>
    <w:rsid w:val="0029575A"/>
    <w:rsid w:val="002A0AAE"/>
    <w:rsid w:val="002A0E2A"/>
    <w:rsid w:val="002A5820"/>
    <w:rsid w:val="002A6BD1"/>
    <w:rsid w:val="002B1964"/>
    <w:rsid w:val="002B32B0"/>
    <w:rsid w:val="002C3350"/>
    <w:rsid w:val="002D2B26"/>
    <w:rsid w:val="002D7EA2"/>
    <w:rsid w:val="002E187C"/>
    <w:rsid w:val="002E6EC1"/>
    <w:rsid w:val="002E7512"/>
    <w:rsid w:val="002F1F11"/>
    <w:rsid w:val="002F3724"/>
    <w:rsid w:val="00302733"/>
    <w:rsid w:val="003115E4"/>
    <w:rsid w:val="003121D5"/>
    <w:rsid w:val="00314078"/>
    <w:rsid w:val="0031535D"/>
    <w:rsid w:val="00320373"/>
    <w:rsid w:val="00322B40"/>
    <w:rsid w:val="003239B8"/>
    <w:rsid w:val="0033169F"/>
    <w:rsid w:val="0034224A"/>
    <w:rsid w:val="00342788"/>
    <w:rsid w:val="00343438"/>
    <w:rsid w:val="00344977"/>
    <w:rsid w:val="00346C95"/>
    <w:rsid w:val="00351155"/>
    <w:rsid w:val="00353768"/>
    <w:rsid w:val="00356185"/>
    <w:rsid w:val="003561C6"/>
    <w:rsid w:val="00360380"/>
    <w:rsid w:val="00360E45"/>
    <w:rsid w:val="00364DE3"/>
    <w:rsid w:val="003658A1"/>
    <w:rsid w:val="003712D7"/>
    <w:rsid w:val="0037519E"/>
    <w:rsid w:val="00377286"/>
    <w:rsid w:val="00386C6C"/>
    <w:rsid w:val="00386CF0"/>
    <w:rsid w:val="00391057"/>
    <w:rsid w:val="00392B94"/>
    <w:rsid w:val="003942EC"/>
    <w:rsid w:val="00397B15"/>
    <w:rsid w:val="003A091A"/>
    <w:rsid w:val="003A3758"/>
    <w:rsid w:val="003A6337"/>
    <w:rsid w:val="003B2C77"/>
    <w:rsid w:val="003B4FF6"/>
    <w:rsid w:val="003B70FB"/>
    <w:rsid w:val="003C6112"/>
    <w:rsid w:val="003C676B"/>
    <w:rsid w:val="003D0A55"/>
    <w:rsid w:val="003D3BC2"/>
    <w:rsid w:val="003E1FBA"/>
    <w:rsid w:val="003E614F"/>
    <w:rsid w:val="003E6CA1"/>
    <w:rsid w:val="003F0F53"/>
    <w:rsid w:val="004065A8"/>
    <w:rsid w:val="00407959"/>
    <w:rsid w:val="004153F5"/>
    <w:rsid w:val="00416027"/>
    <w:rsid w:val="004165C2"/>
    <w:rsid w:val="004304AD"/>
    <w:rsid w:val="00441ECB"/>
    <w:rsid w:val="00445193"/>
    <w:rsid w:val="00447CCF"/>
    <w:rsid w:val="004565BA"/>
    <w:rsid w:val="00462C1B"/>
    <w:rsid w:val="00467B7E"/>
    <w:rsid w:val="0047080D"/>
    <w:rsid w:val="00473BB4"/>
    <w:rsid w:val="004757A3"/>
    <w:rsid w:val="00476211"/>
    <w:rsid w:val="00477592"/>
    <w:rsid w:val="00486F1C"/>
    <w:rsid w:val="0049419D"/>
    <w:rsid w:val="004A59CC"/>
    <w:rsid w:val="004A6457"/>
    <w:rsid w:val="004A6A54"/>
    <w:rsid w:val="004A7EE5"/>
    <w:rsid w:val="004B624E"/>
    <w:rsid w:val="004C20D2"/>
    <w:rsid w:val="004C2312"/>
    <w:rsid w:val="004C3718"/>
    <w:rsid w:val="004C4B62"/>
    <w:rsid w:val="004C54C9"/>
    <w:rsid w:val="004C616A"/>
    <w:rsid w:val="004C61CE"/>
    <w:rsid w:val="004D4ABA"/>
    <w:rsid w:val="004D6025"/>
    <w:rsid w:val="004E19B1"/>
    <w:rsid w:val="004E2649"/>
    <w:rsid w:val="004F5D8B"/>
    <w:rsid w:val="004F6367"/>
    <w:rsid w:val="00501399"/>
    <w:rsid w:val="00501652"/>
    <w:rsid w:val="0050633D"/>
    <w:rsid w:val="00507BC4"/>
    <w:rsid w:val="005123F7"/>
    <w:rsid w:val="005128E4"/>
    <w:rsid w:val="005133DB"/>
    <w:rsid w:val="005248BF"/>
    <w:rsid w:val="00525560"/>
    <w:rsid w:val="005358E0"/>
    <w:rsid w:val="005415E6"/>
    <w:rsid w:val="00544216"/>
    <w:rsid w:val="00544C49"/>
    <w:rsid w:val="005516A1"/>
    <w:rsid w:val="00552458"/>
    <w:rsid w:val="00555298"/>
    <w:rsid w:val="005611A3"/>
    <w:rsid w:val="00562F65"/>
    <w:rsid w:val="00563510"/>
    <w:rsid w:val="00563557"/>
    <w:rsid w:val="00566EFD"/>
    <w:rsid w:val="005727D3"/>
    <w:rsid w:val="0057402A"/>
    <w:rsid w:val="00574CB7"/>
    <w:rsid w:val="005771D0"/>
    <w:rsid w:val="00577CA3"/>
    <w:rsid w:val="0059191A"/>
    <w:rsid w:val="005921FF"/>
    <w:rsid w:val="00594707"/>
    <w:rsid w:val="005A1446"/>
    <w:rsid w:val="005A1D4F"/>
    <w:rsid w:val="005A24ED"/>
    <w:rsid w:val="005A6D0E"/>
    <w:rsid w:val="005B2FB0"/>
    <w:rsid w:val="005B37CC"/>
    <w:rsid w:val="005B52B0"/>
    <w:rsid w:val="005B6806"/>
    <w:rsid w:val="005B6CC3"/>
    <w:rsid w:val="005B6D22"/>
    <w:rsid w:val="005C261A"/>
    <w:rsid w:val="005C4225"/>
    <w:rsid w:val="005C47E4"/>
    <w:rsid w:val="005C7989"/>
    <w:rsid w:val="005D66AD"/>
    <w:rsid w:val="005E08B2"/>
    <w:rsid w:val="005E0B65"/>
    <w:rsid w:val="005E11B2"/>
    <w:rsid w:val="005E1672"/>
    <w:rsid w:val="005F0DAD"/>
    <w:rsid w:val="005F0F33"/>
    <w:rsid w:val="005F7772"/>
    <w:rsid w:val="00600DEB"/>
    <w:rsid w:val="00600F9D"/>
    <w:rsid w:val="006068B7"/>
    <w:rsid w:val="006277DE"/>
    <w:rsid w:val="00627C9F"/>
    <w:rsid w:val="006311E9"/>
    <w:rsid w:val="00632354"/>
    <w:rsid w:val="00634AC6"/>
    <w:rsid w:val="00642810"/>
    <w:rsid w:val="006440DE"/>
    <w:rsid w:val="00647756"/>
    <w:rsid w:val="006509DA"/>
    <w:rsid w:val="00652333"/>
    <w:rsid w:val="006636CC"/>
    <w:rsid w:val="006662BC"/>
    <w:rsid w:val="00667F8D"/>
    <w:rsid w:val="006775AB"/>
    <w:rsid w:val="0068009E"/>
    <w:rsid w:val="006819E9"/>
    <w:rsid w:val="00683B7B"/>
    <w:rsid w:val="00686471"/>
    <w:rsid w:val="0068794B"/>
    <w:rsid w:val="00691BBE"/>
    <w:rsid w:val="00692219"/>
    <w:rsid w:val="0069402E"/>
    <w:rsid w:val="006A17D2"/>
    <w:rsid w:val="006A73E6"/>
    <w:rsid w:val="006B21AC"/>
    <w:rsid w:val="006B2D5C"/>
    <w:rsid w:val="006B2EE8"/>
    <w:rsid w:val="006B5037"/>
    <w:rsid w:val="006C0F1E"/>
    <w:rsid w:val="006C4DA0"/>
    <w:rsid w:val="006C4EB1"/>
    <w:rsid w:val="006E0166"/>
    <w:rsid w:val="006E4E25"/>
    <w:rsid w:val="006E772A"/>
    <w:rsid w:val="006E7B34"/>
    <w:rsid w:val="006F0E10"/>
    <w:rsid w:val="006F2541"/>
    <w:rsid w:val="006F482D"/>
    <w:rsid w:val="00701113"/>
    <w:rsid w:val="00705596"/>
    <w:rsid w:val="0070697F"/>
    <w:rsid w:val="0072199C"/>
    <w:rsid w:val="007222DF"/>
    <w:rsid w:val="00722C9F"/>
    <w:rsid w:val="007253B8"/>
    <w:rsid w:val="00727B0E"/>
    <w:rsid w:val="0073598C"/>
    <w:rsid w:val="0073741F"/>
    <w:rsid w:val="00737E8C"/>
    <w:rsid w:val="0076643F"/>
    <w:rsid w:val="00767FF5"/>
    <w:rsid w:val="007717DF"/>
    <w:rsid w:val="00776208"/>
    <w:rsid w:val="00777F63"/>
    <w:rsid w:val="007852B5"/>
    <w:rsid w:val="00790501"/>
    <w:rsid w:val="00796A37"/>
    <w:rsid w:val="007A16D4"/>
    <w:rsid w:val="007A5817"/>
    <w:rsid w:val="007B05C4"/>
    <w:rsid w:val="007B60E9"/>
    <w:rsid w:val="007B6CC3"/>
    <w:rsid w:val="007C2AE0"/>
    <w:rsid w:val="007C3334"/>
    <w:rsid w:val="007C402A"/>
    <w:rsid w:val="007D2B98"/>
    <w:rsid w:val="007D3603"/>
    <w:rsid w:val="007D7C02"/>
    <w:rsid w:val="007E10F2"/>
    <w:rsid w:val="007E21BC"/>
    <w:rsid w:val="007E58FE"/>
    <w:rsid w:val="007E7C82"/>
    <w:rsid w:val="007E7D03"/>
    <w:rsid w:val="007F085D"/>
    <w:rsid w:val="007F2521"/>
    <w:rsid w:val="007F2E75"/>
    <w:rsid w:val="007F588D"/>
    <w:rsid w:val="007F595A"/>
    <w:rsid w:val="007F6FA6"/>
    <w:rsid w:val="00802748"/>
    <w:rsid w:val="00803F1C"/>
    <w:rsid w:val="0080600E"/>
    <w:rsid w:val="00817612"/>
    <w:rsid w:val="008338A4"/>
    <w:rsid w:val="00834D49"/>
    <w:rsid w:val="00836BEC"/>
    <w:rsid w:val="00837C45"/>
    <w:rsid w:val="008411F0"/>
    <w:rsid w:val="008439BC"/>
    <w:rsid w:val="00844730"/>
    <w:rsid w:val="008457C2"/>
    <w:rsid w:val="00847E0D"/>
    <w:rsid w:val="00857A82"/>
    <w:rsid w:val="00865715"/>
    <w:rsid w:val="00871526"/>
    <w:rsid w:val="00873836"/>
    <w:rsid w:val="008739E7"/>
    <w:rsid w:val="0087457F"/>
    <w:rsid w:val="00875607"/>
    <w:rsid w:val="00875668"/>
    <w:rsid w:val="00885737"/>
    <w:rsid w:val="00890650"/>
    <w:rsid w:val="00891CC0"/>
    <w:rsid w:val="00894D4B"/>
    <w:rsid w:val="00897E12"/>
    <w:rsid w:val="008A0F81"/>
    <w:rsid w:val="008A310C"/>
    <w:rsid w:val="008A7E0F"/>
    <w:rsid w:val="008B12F5"/>
    <w:rsid w:val="008B3101"/>
    <w:rsid w:val="008B37ED"/>
    <w:rsid w:val="008B5932"/>
    <w:rsid w:val="008C5751"/>
    <w:rsid w:val="008D1C5D"/>
    <w:rsid w:val="008D768D"/>
    <w:rsid w:val="008E03C7"/>
    <w:rsid w:val="008E0FD8"/>
    <w:rsid w:val="008E214B"/>
    <w:rsid w:val="008E328A"/>
    <w:rsid w:val="008E3759"/>
    <w:rsid w:val="008E3BFE"/>
    <w:rsid w:val="008E46B0"/>
    <w:rsid w:val="008E51D9"/>
    <w:rsid w:val="008E7900"/>
    <w:rsid w:val="008F1912"/>
    <w:rsid w:val="008F523A"/>
    <w:rsid w:val="0090270B"/>
    <w:rsid w:val="009041DC"/>
    <w:rsid w:val="00917B5A"/>
    <w:rsid w:val="00920A58"/>
    <w:rsid w:val="00920A8C"/>
    <w:rsid w:val="00934A2C"/>
    <w:rsid w:val="0093553A"/>
    <w:rsid w:val="00935F06"/>
    <w:rsid w:val="00937B3A"/>
    <w:rsid w:val="00943A8B"/>
    <w:rsid w:val="00953328"/>
    <w:rsid w:val="00954B82"/>
    <w:rsid w:val="00957000"/>
    <w:rsid w:val="00957271"/>
    <w:rsid w:val="00962436"/>
    <w:rsid w:val="009657C3"/>
    <w:rsid w:val="0096706E"/>
    <w:rsid w:val="00974491"/>
    <w:rsid w:val="00975C4E"/>
    <w:rsid w:val="00981236"/>
    <w:rsid w:val="00981FBA"/>
    <w:rsid w:val="00997BC5"/>
    <w:rsid w:val="009A4F41"/>
    <w:rsid w:val="009A5DA7"/>
    <w:rsid w:val="009B209F"/>
    <w:rsid w:val="009B381B"/>
    <w:rsid w:val="009C2FC5"/>
    <w:rsid w:val="009C4432"/>
    <w:rsid w:val="009D1753"/>
    <w:rsid w:val="009D4490"/>
    <w:rsid w:val="009D6502"/>
    <w:rsid w:val="009D73FC"/>
    <w:rsid w:val="009D7611"/>
    <w:rsid w:val="009D78A5"/>
    <w:rsid w:val="009E08DD"/>
    <w:rsid w:val="009E0B61"/>
    <w:rsid w:val="009E53DE"/>
    <w:rsid w:val="009E7C00"/>
    <w:rsid w:val="009F406A"/>
    <w:rsid w:val="009F6862"/>
    <w:rsid w:val="00A0213E"/>
    <w:rsid w:val="00A0691C"/>
    <w:rsid w:val="00A10FA5"/>
    <w:rsid w:val="00A11E44"/>
    <w:rsid w:val="00A154C8"/>
    <w:rsid w:val="00A22274"/>
    <w:rsid w:val="00A22397"/>
    <w:rsid w:val="00A316FB"/>
    <w:rsid w:val="00A32313"/>
    <w:rsid w:val="00A328B3"/>
    <w:rsid w:val="00A36546"/>
    <w:rsid w:val="00A50FCF"/>
    <w:rsid w:val="00A528D1"/>
    <w:rsid w:val="00A52FBE"/>
    <w:rsid w:val="00A53E08"/>
    <w:rsid w:val="00A610CD"/>
    <w:rsid w:val="00A625E0"/>
    <w:rsid w:val="00A6512C"/>
    <w:rsid w:val="00A74947"/>
    <w:rsid w:val="00A758AA"/>
    <w:rsid w:val="00A92093"/>
    <w:rsid w:val="00A947DB"/>
    <w:rsid w:val="00A95149"/>
    <w:rsid w:val="00AA09A2"/>
    <w:rsid w:val="00AA7996"/>
    <w:rsid w:val="00AC19CB"/>
    <w:rsid w:val="00AD1886"/>
    <w:rsid w:val="00AE5488"/>
    <w:rsid w:val="00AE6F91"/>
    <w:rsid w:val="00AF06F1"/>
    <w:rsid w:val="00AF2A4F"/>
    <w:rsid w:val="00AF2DB9"/>
    <w:rsid w:val="00AF5571"/>
    <w:rsid w:val="00B00727"/>
    <w:rsid w:val="00B06268"/>
    <w:rsid w:val="00B06B4E"/>
    <w:rsid w:val="00B07341"/>
    <w:rsid w:val="00B17413"/>
    <w:rsid w:val="00B202B5"/>
    <w:rsid w:val="00B30539"/>
    <w:rsid w:val="00B314DB"/>
    <w:rsid w:val="00B361F2"/>
    <w:rsid w:val="00B3718B"/>
    <w:rsid w:val="00B45FB9"/>
    <w:rsid w:val="00B4632A"/>
    <w:rsid w:val="00B5067D"/>
    <w:rsid w:val="00B530F1"/>
    <w:rsid w:val="00B55746"/>
    <w:rsid w:val="00B57297"/>
    <w:rsid w:val="00B60A47"/>
    <w:rsid w:val="00B6468E"/>
    <w:rsid w:val="00B65EA2"/>
    <w:rsid w:val="00B736AF"/>
    <w:rsid w:val="00B742BE"/>
    <w:rsid w:val="00B85DC2"/>
    <w:rsid w:val="00B87359"/>
    <w:rsid w:val="00B92EF5"/>
    <w:rsid w:val="00B95C3F"/>
    <w:rsid w:val="00B97946"/>
    <w:rsid w:val="00BA276C"/>
    <w:rsid w:val="00BA34FE"/>
    <w:rsid w:val="00BA36BE"/>
    <w:rsid w:val="00BA5544"/>
    <w:rsid w:val="00BA6E8B"/>
    <w:rsid w:val="00BB045F"/>
    <w:rsid w:val="00BB0C19"/>
    <w:rsid w:val="00BB306F"/>
    <w:rsid w:val="00BB3FBD"/>
    <w:rsid w:val="00BB53B3"/>
    <w:rsid w:val="00BC1B6C"/>
    <w:rsid w:val="00BC6CD0"/>
    <w:rsid w:val="00BD4B89"/>
    <w:rsid w:val="00BD5922"/>
    <w:rsid w:val="00BD76D9"/>
    <w:rsid w:val="00BF02CB"/>
    <w:rsid w:val="00BF514A"/>
    <w:rsid w:val="00BF5CB2"/>
    <w:rsid w:val="00BF6FD8"/>
    <w:rsid w:val="00BF775D"/>
    <w:rsid w:val="00C03680"/>
    <w:rsid w:val="00C054DF"/>
    <w:rsid w:val="00C10AFC"/>
    <w:rsid w:val="00C21562"/>
    <w:rsid w:val="00C21762"/>
    <w:rsid w:val="00C21FEF"/>
    <w:rsid w:val="00C24543"/>
    <w:rsid w:val="00C256A2"/>
    <w:rsid w:val="00C33167"/>
    <w:rsid w:val="00C35A26"/>
    <w:rsid w:val="00C51515"/>
    <w:rsid w:val="00C53910"/>
    <w:rsid w:val="00C5414E"/>
    <w:rsid w:val="00C5660B"/>
    <w:rsid w:val="00C56854"/>
    <w:rsid w:val="00C5788A"/>
    <w:rsid w:val="00C6051D"/>
    <w:rsid w:val="00C61F8A"/>
    <w:rsid w:val="00C66B72"/>
    <w:rsid w:val="00C87AC4"/>
    <w:rsid w:val="00C9567A"/>
    <w:rsid w:val="00CA1DF2"/>
    <w:rsid w:val="00CA2C69"/>
    <w:rsid w:val="00CA48A3"/>
    <w:rsid w:val="00CB212D"/>
    <w:rsid w:val="00CB2660"/>
    <w:rsid w:val="00CB57D5"/>
    <w:rsid w:val="00CB67FD"/>
    <w:rsid w:val="00CC5E90"/>
    <w:rsid w:val="00CD046C"/>
    <w:rsid w:val="00CD186A"/>
    <w:rsid w:val="00CD2AA7"/>
    <w:rsid w:val="00CE076C"/>
    <w:rsid w:val="00CE44E0"/>
    <w:rsid w:val="00CE5199"/>
    <w:rsid w:val="00CE5B95"/>
    <w:rsid w:val="00CE66D5"/>
    <w:rsid w:val="00CE7789"/>
    <w:rsid w:val="00CE7C50"/>
    <w:rsid w:val="00CF31BE"/>
    <w:rsid w:val="00CF637A"/>
    <w:rsid w:val="00D02F8D"/>
    <w:rsid w:val="00D059DE"/>
    <w:rsid w:val="00D05ABD"/>
    <w:rsid w:val="00D114DF"/>
    <w:rsid w:val="00D13FCE"/>
    <w:rsid w:val="00D17E8C"/>
    <w:rsid w:val="00D25FBE"/>
    <w:rsid w:val="00D26BAE"/>
    <w:rsid w:val="00D306D1"/>
    <w:rsid w:val="00D30800"/>
    <w:rsid w:val="00D31D67"/>
    <w:rsid w:val="00D34786"/>
    <w:rsid w:val="00D36A8F"/>
    <w:rsid w:val="00D37BFC"/>
    <w:rsid w:val="00D42822"/>
    <w:rsid w:val="00D47A8E"/>
    <w:rsid w:val="00D52D14"/>
    <w:rsid w:val="00D55256"/>
    <w:rsid w:val="00D55C90"/>
    <w:rsid w:val="00D56D93"/>
    <w:rsid w:val="00D712D3"/>
    <w:rsid w:val="00D71422"/>
    <w:rsid w:val="00D72DC6"/>
    <w:rsid w:val="00D73741"/>
    <w:rsid w:val="00D73F5E"/>
    <w:rsid w:val="00D7558D"/>
    <w:rsid w:val="00D77503"/>
    <w:rsid w:val="00D81D92"/>
    <w:rsid w:val="00D84FC9"/>
    <w:rsid w:val="00D876F9"/>
    <w:rsid w:val="00D877B6"/>
    <w:rsid w:val="00D90293"/>
    <w:rsid w:val="00D9140C"/>
    <w:rsid w:val="00D93A90"/>
    <w:rsid w:val="00DA0CF8"/>
    <w:rsid w:val="00DA0E15"/>
    <w:rsid w:val="00DA7B5F"/>
    <w:rsid w:val="00DC11E7"/>
    <w:rsid w:val="00DC7023"/>
    <w:rsid w:val="00DC769A"/>
    <w:rsid w:val="00DD061E"/>
    <w:rsid w:val="00DD3D86"/>
    <w:rsid w:val="00DD4437"/>
    <w:rsid w:val="00DE12F0"/>
    <w:rsid w:val="00DE414B"/>
    <w:rsid w:val="00DF1EC4"/>
    <w:rsid w:val="00DF51E9"/>
    <w:rsid w:val="00E01943"/>
    <w:rsid w:val="00E0340B"/>
    <w:rsid w:val="00E043B3"/>
    <w:rsid w:val="00E04A90"/>
    <w:rsid w:val="00E0551F"/>
    <w:rsid w:val="00E10226"/>
    <w:rsid w:val="00E120E6"/>
    <w:rsid w:val="00E13B87"/>
    <w:rsid w:val="00E219C7"/>
    <w:rsid w:val="00E26CCA"/>
    <w:rsid w:val="00E27997"/>
    <w:rsid w:val="00E27F56"/>
    <w:rsid w:val="00E32C50"/>
    <w:rsid w:val="00E4118C"/>
    <w:rsid w:val="00E43157"/>
    <w:rsid w:val="00E461CE"/>
    <w:rsid w:val="00E60646"/>
    <w:rsid w:val="00E720CA"/>
    <w:rsid w:val="00E72485"/>
    <w:rsid w:val="00E77005"/>
    <w:rsid w:val="00E84EB5"/>
    <w:rsid w:val="00E85662"/>
    <w:rsid w:val="00E8789F"/>
    <w:rsid w:val="00E92747"/>
    <w:rsid w:val="00E97B71"/>
    <w:rsid w:val="00EA0B79"/>
    <w:rsid w:val="00EA3D34"/>
    <w:rsid w:val="00EB454D"/>
    <w:rsid w:val="00EB482B"/>
    <w:rsid w:val="00EC26E9"/>
    <w:rsid w:val="00EC5B7E"/>
    <w:rsid w:val="00EC5C93"/>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15F06"/>
    <w:rsid w:val="00F17F64"/>
    <w:rsid w:val="00F253CC"/>
    <w:rsid w:val="00F332EF"/>
    <w:rsid w:val="00F35B2D"/>
    <w:rsid w:val="00F37106"/>
    <w:rsid w:val="00F37220"/>
    <w:rsid w:val="00F46EBF"/>
    <w:rsid w:val="00F4700C"/>
    <w:rsid w:val="00F519CF"/>
    <w:rsid w:val="00F52EB6"/>
    <w:rsid w:val="00F53168"/>
    <w:rsid w:val="00F53738"/>
    <w:rsid w:val="00F56BA5"/>
    <w:rsid w:val="00F60E22"/>
    <w:rsid w:val="00F63B39"/>
    <w:rsid w:val="00F71B29"/>
    <w:rsid w:val="00F802AD"/>
    <w:rsid w:val="00F81395"/>
    <w:rsid w:val="00F81887"/>
    <w:rsid w:val="00F81BB8"/>
    <w:rsid w:val="00F917D1"/>
    <w:rsid w:val="00F9342C"/>
    <w:rsid w:val="00F9653B"/>
    <w:rsid w:val="00F967DA"/>
    <w:rsid w:val="00FA56EA"/>
    <w:rsid w:val="00FB62CF"/>
    <w:rsid w:val="00FC0F4A"/>
    <w:rsid w:val="00FC3330"/>
    <w:rsid w:val="00FC3F9A"/>
    <w:rsid w:val="00FD3C3B"/>
    <w:rsid w:val="00FE07DD"/>
    <w:rsid w:val="00FE6B45"/>
    <w:rsid w:val="00FF55F3"/>
    <w:rsid w:val="00FF5851"/>
    <w:rsid w:val="00FF7B79"/>
    <w:rsid w:val="00FF7D4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1682494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0C311-E534-48FC-AE74-0FECCAC4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10892</Characters>
  <Application>Microsoft Office Word</Application>
  <DocSecurity>0</DocSecurity>
  <Lines>187</Lines>
  <Paragraphs>47</Paragraphs>
  <ScaleCrop>false</ScaleCrop>
  <Company/>
  <LinksUpToDate>false</LinksUpToDate>
  <CharactersWithSpaces>12915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335/20</dc:title>
  <dc:creator/>
  <cp:lastModifiedBy/>
  <cp:revision>1</cp:revision>
  <dcterms:created xsi:type="dcterms:W3CDTF">2021-01-05T20:42:00Z</dcterms:created>
  <dcterms:modified xsi:type="dcterms:W3CDTF">2021-01-05T20:42:00Z</dcterms:modified>
</cp:coreProperties>
</file>