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8C91C19" w14:textId="0A00EBA7" w:rsidR="00FC152D" w:rsidRPr="006024BF" w:rsidRDefault="006024BF"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sidRPr="006024BF">
        <w:rPr>
          <w:noProof/>
        </w:rPr>
        <mc:AlternateContent>
          <mc:Choice Requires="wps">
            <w:drawing>
              <wp:anchor distT="0" distB="0" distL="114300" distR="114300" simplePos="0" relativeHeight="251654144" behindDoc="0" locked="0" layoutInCell="1" allowOverlap="1" wp14:anchorId="78CF302B" wp14:editId="50EC0822">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050157F"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6024BF">
        <w:rPr>
          <w:noProof/>
        </w:rPr>
        <mc:AlternateContent>
          <mc:Choice Requires="wps">
            <w:drawing>
              <wp:anchor distT="0" distB="0" distL="114300" distR="114300" simplePos="0" relativeHeight="251658240" behindDoc="0" locked="0" layoutInCell="1" allowOverlap="1" wp14:anchorId="3F77E2DF" wp14:editId="6E06CCB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5F756" w14:textId="40B9DF60" w:rsidR="00FC152D" w:rsidRDefault="006024BF"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2001D038" wp14:editId="7C46BC7C">
                                  <wp:extent cx="2633980" cy="50990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980" cy="509905"/>
                                          </a:xfrm>
                                          <a:prstGeom prst="rect">
                                            <a:avLst/>
                                          </a:prstGeom>
                                          <a:noFill/>
                                          <a:ln>
                                            <a:noFill/>
                                          </a:ln>
                                        </pic:spPr>
                                      </pic:pic>
                                    </a:graphicData>
                                  </a:graphic>
                                </wp:inline>
                              </w:drawing>
                            </w:r>
                            <w:r w:rsidR="00FC152D">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77E2D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14:paraId="1395F756" w14:textId="40B9DF60" w:rsidR="00FC152D" w:rsidRDefault="006024BF"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2001D038" wp14:editId="7C46BC7C">
                            <wp:extent cx="2633980" cy="50990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980" cy="509905"/>
                                    </a:xfrm>
                                    <a:prstGeom prst="rect">
                                      <a:avLst/>
                                    </a:prstGeom>
                                    <a:noFill/>
                                    <a:ln>
                                      <a:noFill/>
                                    </a:ln>
                                  </pic:spPr>
                                </pic:pic>
                              </a:graphicData>
                            </a:graphic>
                          </wp:inline>
                        </w:drawing>
                      </w:r>
                      <w:r w:rsidR="00FC152D">
                        <w:tab/>
                        <w:t xml:space="preserve">                              </w:t>
                      </w:r>
                    </w:p>
                  </w:txbxContent>
                </v:textbox>
              </v:shape>
            </w:pict>
          </mc:Fallback>
        </mc:AlternateContent>
      </w:r>
    </w:p>
    <w:p w14:paraId="7647A513"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3594BA5F"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14:paraId="25BE9AB7"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1C422DE8"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31E7E570"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14:paraId="2859D075" w14:textId="77777777" w:rsidR="00FC152D" w:rsidRPr="006024BF" w:rsidRDefault="00FC152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89ED905" w14:textId="77777777" w:rsidR="00FC152D" w:rsidRPr="006024BF" w:rsidRDefault="00FC152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0F8575B" w14:textId="77777777" w:rsidR="00FC152D" w:rsidRPr="006024BF" w:rsidRDefault="00FC152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23BFCEC" w14:textId="77777777" w:rsidR="00FC152D" w:rsidRPr="006024BF" w:rsidRDefault="00FC152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262D2CA" w14:textId="77777777" w:rsidR="00FC152D" w:rsidRPr="006024BF" w:rsidRDefault="00FC152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43D35F9"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5B4C59D7"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B1F696B" w14:textId="0510411F" w:rsidR="00FC152D" w:rsidRPr="006024BF" w:rsidRDefault="006024B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sidRPr="006024BF">
        <w:rPr>
          <w:noProof/>
        </w:rPr>
        <mc:AlternateContent>
          <mc:Choice Requires="wps">
            <w:drawing>
              <wp:anchor distT="0" distB="0" distL="114300" distR="114300" simplePos="0" relativeHeight="251655168" behindDoc="0" locked="0" layoutInCell="1" allowOverlap="1" wp14:anchorId="75476B96" wp14:editId="21E5B9A9">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50CA9" w14:textId="064DC2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F90D77">
                              <w:rPr>
                                <w:rFonts w:ascii="Cambria" w:hAnsi="Cambria" w:cs="Arial"/>
                                <w:b/>
                                <w:bCs/>
                                <w:color w:val="0D0D0D"/>
                                <w:sz w:val="36"/>
                                <w:szCs w:val="22"/>
                                <w:lang w:val="es-ES_tradnl"/>
                              </w:rPr>
                              <w:t xml:space="preserve">INFORME </w:t>
                            </w:r>
                            <w:r w:rsidRPr="00F90D77">
                              <w:rPr>
                                <w:rFonts w:ascii="Cambria" w:hAnsi="Cambria" w:cs="Arial"/>
                                <w:b/>
                                <w:bCs/>
                                <w:color w:val="0D0D0D"/>
                                <w:sz w:val="36"/>
                                <w:szCs w:val="40"/>
                                <w:lang w:val="es-ES_tradnl"/>
                              </w:rPr>
                              <w:t>No.</w:t>
                            </w:r>
                            <w:r w:rsidR="00DB1545">
                              <w:rPr>
                                <w:rFonts w:ascii="Cambria" w:hAnsi="Cambria" w:cs="Arial"/>
                                <w:b/>
                                <w:bCs/>
                                <w:color w:val="0D0D0D"/>
                                <w:sz w:val="36"/>
                                <w:szCs w:val="22"/>
                                <w:lang w:val="es-ES_tradnl"/>
                              </w:rPr>
                              <w:t xml:space="preserve"> 129</w:t>
                            </w:r>
                            <w:r w:rsidRPr="00F90D77">
                              <w:rPr>
                                <w:rFonts w:ascii="Cambria" w:hAnsi="Cambria" w:cs="Arial"/>
                                <w:b/>
                                <w:bCs/>
                                <w:color w:val="0D0D0D"/>
                                <w:sz w:val="36"/>
                                <w:szCs w:val="22"/>
                                <w:lang w:val="es-ES_tradnl"/>
                              </w:rPr>
                              <w:t>/20</w:t>
                            </w:r>
                          </w:p>
                          <w:p w14:paraId="70C37141"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F90D77">
                              <w:rPr>
                                <w:rFonts w:ascii="Cambria" w:hAnsi="Cambria" w:cs="Arial"/>
                                <w:b/>
                                <w:color w:val="0D0D0D"/>
                                <w:sz w:val="36"/>
                                <w:szCs w:val="22"/>
                                <w:lang w:val="es-ES_tradnl"/>
                              </w:rPr>
                              <w:t xml:space="preserve">PETICIÓN 1714-07 </w:t>
                            </w:r>
                          </w:p>
                          <w:p w14:paraId="14DCBDDB"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F90D77">
                              <w:rPr>
                                <w:rFonts w:ascii="Cambria" w:hAnsi="Cambria" w:cs="Arial"/>
                                <w:color w:val="0D0D0D"/>
                                <w:szCs w:val="22"/>
                                <w:lang w:val="es-ES_tradnl"/>
                              </w:rPr>
                              <w:t>INFORME DE ADMISIBILIDAD</w:t>
                            </w:r>
                          </w:p>
                          <w:p w14:paraId="736C3C1E"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1A4B48A1"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F90D77">
                              <w:rPr>
                                <w:rFonts w:ascii="Cambria" w:hAnsi="Cambria" w:cs="Arial"/>
                                <w:color w:val="0D0D0D"/>
                                <w:szCs w:val="22"/>
                                <w:lang w:val="es-ES"/>
                              </w:rPr>
                              <w:t>NERINA CLAUDIA POJMAEVICH</w:t>
                            </w:r>
                          </w:p>
                          <w:bookmarkEnd w:id="1"/>
                          <w:p w14:paraId="552E1A89"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F90D77">
                              <w:rPr>
                                <w:rFonts w:ascii="Cambria" w:hAnsi="Cambria" w:cs="Arial"/>
                                <w:color w:val="0D0D0D"/>
                                <w:szCs w:val="22"/>
                                <w:lang w:val="es-ES_tradnl"/>
                              </w:rPr>
                              <w:t>ARGENTINA</w:t>
                            </w:r>
                          </w:p>
                          <w:p w14:paraId="64BCCFA3" w14:textId="77777777" w:rsidR="00FC152D" w:rsidRPr="00F90D77" w:rsidRDefault="00FC152D"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5476B96"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14:paraId="24050CA9" w14:textId="064DC2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F90D77">
                        <w:rPr>
                          <w:rFonts w:ascii="Cambria" w:hAnsi="Cambria" w:cs="Arial"/>
                          <w:b/>
                          <w:bCs/>
                          <w:color w:val="0D0D0D"/>
                          <w:sz w:val="36"/>
                          <w:szCs w:val="22"/>
                          <w:lang w:val="es-ES_tradnl"/>
                        </w:rPr>
                        <w:t xml:space="preserve">INFORME </w:t>
                      </w:r>
                      <w:r w:rsidRPr="00F90D77">
                        <w:rPr>
                          <w:rFonts w:ascii="Cambria" w:hAnsi="Cambria" w:cs="Arial"/>
                          <w:b/>
                          <w:bCs/>
                          <w:color w:val="0D0D0D"/>
                          <w:sz w:val="36"/>
                          <w:szCs w:val="40"/>
                          <w:lang w:val="es-ES_tradnl"/>
                        </w:rPr>
                        <w:t>No.</w:t>
                      </w:r>
                      <w:r w:rsidR="00DB1545">
                        <w:rPr>
                          <w:rFonts w:ascii="Cambria" w:hAnsi="Cambria" w:cs="Arial"/>
                          <w:b/>
                          <w:bCs/>
                          <w:color w:val="0D0D0D"/>
                          <w:sz w:val="36"/>
                          <w:szCs w:val="22"/>
                          <w:lang w:val="es-ES_tradnl"/>
                        </w:rPr>
                        <w:t xml:space="preserve"> 129</w:t>
                      </w:r>
                      <w:r w:rsidRPr="00F90D77">
                        <w:rPr>
                          <w:rFonts w:ascii="Cambria" w:hAnsi="Cambria" w:cs="Arial"/>
                          <w:b/>
                          <w:bCs/>
                          <w:color w:val="0D0D0D"/>
                          <w:sz w:val="36"/>
                          <w:szCs w:val="22"/>
                          <w:lang w:val="es-ES_tradnl"/>
                        </w:rPr>
                        <w:t>/20</w:t>
                      </w:r>
                    </w:p>
                    <w:p w14:paraId="70C37141"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F90D77">
                        <w:rPr>
                          <w:rFonts w:ascii="Cambria" w:hAnsi="Cambria" w:cs="Arial"/>
                          <w:b/>
                          <w:color w:val="0D0D0D"/>
                          <w:sz w:val="36"/>
                          <w:szCs w:val="22"/>
                          <w:lang w:val="es-ES_tradnl"/>
                        </w:rPr>
                        <w:t xml:space="preserve">PETICIÓN 1714-07 </w:t>
                      </w:r>
                    </w:p>
                    <w:p w14:paraId="14DCBDDB"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F90D77">
                        <w:rPr>
                          <w:rFonts w:ascii="Cambria" w:hAnsi="Cambria" w:cs="Arial"/>
                          <w:color w:val="0D0D0D"/>
                          <w:szCs w:val="22"/>
                          <w:lang w:val="es-ES_tradnl"/>
                        </w:rPr>
                        <w:t>INFORME DE ADMISIBILIDAD</w:t>
                      </w:r>
                    </w:p>
                    <w:p w14:paraId="736C3C1E"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1A4B48A1"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F90D77">
                        <w:rPr>
                          <w:rFonts w:ascii="Cambria" w:hAnsi="Cambria" w:cs="Arial"/>
                          <w:color w:val="0D0D0D"/>
                          <w:szCs w:val="22"/>
                          <w:lang w:val="es-ES"/>
                        </w:rPr>
                        <w:t>NERINA CLAUDIA POJMAEVICH</w:t>
                      </w:r>
                    </w:p>
                    <w:bookmarkEnd w:id="1"/>
                    <w:p w14:paraId="552E1A89" w14:textId="77777777" w:rsidR="00FC152D" w:rsidRPr="00F90D77" w:rsidRDefault="00FC152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F90D77">
                        <w:rPr>
                          <w:rFonts w:ascii="Cambria" w:hAnsi="Cambria" w:cs="Arial"/>
                          <w:color w:val="0D0D0D"/>
                          <w:szCs w:val="22"/>
                          <w:lang w:val="es-ES_tradnl"/>
                        </w:rPr>
                        <w:t>ARGENTINA</w:t>
                      </w:r>
                    </w:p>
                    <w:p w14:paraId="64BCCFA3" w14:textId="77777777" w:rsidR="00FC152D" w:rsidRPr="00F90D77" w:rsidRDefault="00FC152D"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6024BF">
        <w:rPr>
          <w:noProof/>
        </w:rPr>
        <mc:AlternateContent>
          <mc:Choice Requires="wps">
            <w:drawing>
              <wp:anchor distT="0" distB="0" distL="114300" distR="114300" simplePos="0" relativeHeight="251657216" behindDoc="0" locked="0" layoutInCell="1" allowOverlap="1" wp14:anchorId="4FF74CE2" wp14:editId="59BBED5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0F227" w14:textId="6CE2C171" w:rsidR="00FC152D" w:rsidRPr="00F90D77" w:rsidRDefault="00DB154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14:paraId="6F101BB2" w14:textId="77777777" w:rsidR="00DB1545" w:rsidRDefault="00DB154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139</w:t>
                            </w:r>
                          </w:p>
                          <w:p w14:paraId="5DF6A2E6" w14:textId="79BB4533" w:rsidR="00FC152D" w:rsidRPr="00F90D77" w:rsidRDefault="00DB154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27 abril 2020</w:t>
                            </w:r>
                          </w:p>
                          <w:p w14:paraId="59D43E93" w14:textId="77777777" w:rsidR="00FC152D" w:rsidRPr="00F90D77" w:rsidRDefault="00FC152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sidRPr="00F90D77">
                              <w:rPr>
                                <w:rFonts w:ascii="Calibri" w:hAnsi="Calibri"/>
                                <w:color w:val="FFFFFF"/>
                                <w:sz w:val="22"/>
                              </w:rPr>
                              <w:t xml:space="preserve">Original: </w:t>
                            </w:r>
                            <w:proofErr w:type="spellStart"/>
                            <w:r w:rsidRPr="00F90D77">
                              <w:rPr>
                                <w:rFonts w:ascii="Calibri" w:hAnsi="Calibri"/>
                                <w:color w:val="FFFFFF"/>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FF74CE2"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6F20F227" w14:textId="6CE2C171" w:rsidR="00FC152D" w:rsidRPr="00F90D77" w:rsidRDefault="00DB154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14:paraId="6F101BB2" w14:textId="77777777" w:rsidR="00DB1545" w:rsidRDefault="00DB154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139</w:t>
                      </w:r>
                    </w:p>
                    <w:p w14:paraId="5DF6A2E6" w14:textId="79BB4533" w:rsidR="00FC152D" w:rsidRPr="00F90D77" w:rsidRDefault="00DB154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27 abril 2020</w:t>
                      </w:r>
                    </w:p>
                    <w:p w14:paraId="59D43E93" w14:textId="77777777" w:rsidR="00FC152D" w:rsidRPr="00F90D77" w:rsidRDefault="00FC152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rPr>
                      </w:pPr>
                      <w:r w:rsidRPr="00F90D77">
                        <w:rPr>
                          <w:rFonts w:ascii="Calibri" w:hAnsi="Calibri"/>
                          <w:color w:val="FFFFFF"/>
                          <w:sz w:val="22"/>
                        </w:rPr>
                        <w:t xml:space="preserve">Original: </w:t>
                      </w:r>
                      <w:proofErr w:type="spellStart"/>
                      <w:r w:rsidRPr="00F90D77">
                        <w:rPr>
                          <w:rFonts w:ascii="Calibri" w:hAnsi="Calibri"/>
                          <w:color w:val="FFFFFF"/>
                          <w:sz w:val="22"/>
                        </w:rPr>
                        <w:t>español</w:t>
                      </w:r>
                      <w:proofErr w:type="spellEnd"/>
                    </w:p>
                  </w:txbxContent>
                </v:textbox>
              </v:shape>
            </w:pict>
          </mc:Fallback>
        </mc:AlternateContent>
      </w:r>
    </w:p>
    <w:p w14:paraId="1F1BFF52"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01EB147"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rPr>
      </w:pPr>
    </w:p>
    <w:p w14:paraId="0483A506"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14:paraId="495E7B72"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8B29AF5"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6EF7AFB"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2C4D97B9"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7C251F3"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34CEA488"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68AB34B"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420D45CC"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123B7F33"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0F8B8413"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76567762"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14:paraId="6E2EEA6D"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8E4534F"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A5CACFC"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064E444"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995B854"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FCD4E1F"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23AF2C5"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0A8064E8"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AABDCFD"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E49C568"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5F26E50C"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722DD506"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35234F3"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3C62C29"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4991196" w14:textId="2373D151" w:rsidR="00FC152D" w:rsidRPr="006024BF" w:rsidRDefault="006024B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6024BF">
        <w:rPr>
          <w:noProof/>
        </w:rPr>
        <mc:AlternateContent>
          <mc:Choice Requires="wps">
            <w:drawing>
              <wp:anchor distT="0" distB="0" distL="114300" distR="114300" simplePos="0" relativeHeight="251656192" behindDoc="0" locked="0" layoutInCell="1" allowOverlap="1" wp14:anchorId="5D4D4973" wp14:editId="2A12848D">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8307C" w14:textId="39D630EA" w:rsidR="00FC152D" w:rsidRPr="00F90D77" w:rsidRDefault="00FC152D"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F90D77">
                              <w:rPr>
                                <w:rFonts w:ascii="Cambria" w:hAnsi="Cambria"/>
                                <w:color w:val="0D0D0D"/>
                                <w:sz w:val="18"/>
                                <w:szCs w:val="22"/>
                                <w:lang w:val="es-ES"/>
                              </w:rPr>
                              <w:t xml:space="preserve">Aprobado </w:t>
                            </w:r>
                            <w:proofErr w:type="spellStart"/>
                            <w:r w:rsidRPr="00F90D77">
                              <w:rPr>
                                <w:rFonts w:ascii="Cambria" w:hAnsi="Cambria"/>
                                <w:color w:val="0D0D0D"/>
                                <w:sz w:val="18"/>
                                <w:szCs w:val="22"/>
                                <w:lang w:val="es-ES"/>
                              </w:rPr>
                              <w:t>electr</w:t>
                            </w:r>
                            <w:r w:rsidRPr="00F90D77">
                              <w:rPr>
                                <w:rFonts w:ascii="Cambria" w:hAnsi="Cambria"/>
                                <w:color w:val="0D0D0D"/>
                                <w:sz w:val="18"/>
                                <w:szCs w:val="22"/>
                                <w:lang w:val="es-ES_tradnl"/>
                              </w:rPr>
                              <w:t>ónicamente</w:t>
                            </w:r>
                            <w:proofErr w:type="spellEnd"/>
                            <w:r w:rsidRPr="00F90D77">
                              <w:rPr>
                                <w:rFonts w:ascii="Cambria" w:hAnsi="Cambria"/>
                                <w:color w:val="0D0D0D"/>
                                <w:sz w:val="18"/>
                                <w:szCs w:val="22"/>
                                <w:lang w:val="es-ES"/>
                              </w:rPr>
                              <w:t xml:space="preserve"> por la Comisión el </w:t>
                            </w:r>
                            <w:r w:rsidR="00DB1545">
                              <w:rPr>
                                <w:rFonts w:ascii="Cambria" w:hAnsi="Cambria"/>
                                <w:color w:val="0D0D0D"/>
                                <w:sz w:val="18"/>
                                <w:szCs w:val="22"/>
                                <w:lang w:val="es-ES"/>
                              </w:rPr>
                              <w:t>27</w:t>
                            </w:r>
                            <w:r w:rsidRPr="00F90D77">
                              <w:rPr>
                                <w:rFonts w:ascii="Cambria" w:hAnsi="Cambria"/>
                                <w:color w:val="0D0D0D"/>
                                <w:sz w:val="18"/>
                                <w:szCs w:val="22"/>
                                <w:lang w:val="es-ES"/>
                              </w:rPr>
                              <w:t xml:space="preserve"> de </w:t>
                            </w:r>
                            <w:r w:rsidR="00DB1545">
                              <w:rPr>
                                <w:rFonts w:ascii="Cambria" w:hAnsi="Cambria"/>
                                <w:color w:val="0D0D0D"/>
                                <w:sz w:val="18"/>
                                <w:szCs w:val="22"/>
                                <w:lang w:val="es-ES"/>
                              </w:rPr>
                              <w:t>abril</w:t>
                            </w:r>
                            <w:r w:rsidRPr="00F90D77">
                              <w:rPr>
                                <w:rFonts w:ascii="Cambria" w:hAnsi="Cambria"/>
                                <w:color w:val="0D0D0D"/>
                                <w:sz w:val="18"/>
                                <w:szCs w:val="22"/>
                                <w:lang w:val="es-ES"/>
                              </w:rPr>
                              <w:t xml:space="preserve"> de 2</w:t>
                            </w:r>
                            <w:r w:rsidR="00DB1545">
                              <w:rPr>
                                <w:rFonts w:ascii="Cambria" w:hAnsi="Cambria"/>
                                <w:color w:val="0D0D0D"/>
                                <w:sz w:val="18"/>
                                <w:szCs w:val="22"/>
                                <w:lang w:val="es-ES"/>
                              </w:rPr>
                              <w:t>0</w:t>
                            </w:r>
                            <w:r w:rsidRPr="00F90D77">
                              <w:rPr>
                                <w:rFonts w:ascii="Cambria" w:hAnsi="Cambria"/>
                                <w:color w:val="0D0D0D"/>
                                <w:sz w:val="18"/>
                                <w:szCs w:val="22"/>
                                <w:lang w:val="es-ES"/>
                              </w:rPr>
                              <w:t>20</w:t>
                            </w:r>
                            <w:r w:rsidR="00D74DED">
                              <w:rPr>
                                <w:rFonts w:ascii="Cambria" w:hAnsi="Cambria"/>
                                <w:color w:val="0D0D0D"/>
                                <w:sz w:val="18"/>
                                <w:szCs w:val="22"/>
                                <w:lang w:val="es-ES"/>
                              </w:rPr>
                              <w:t>.</w:t>
                            </w:r>
                          </w:p>
                          <w:p w14:paraId="0BF8BD9F" w14:textId="77777777" w:rsidR="00FC152D" w:rsidRPr="00F90D77" w:rsidRDefault="00FC152D"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608F358E" w14:textId="77777777" w:rsidR="00FC152D" w:rsidRPr="00F90D77" w:rsidRDefault="00FC152D"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4D497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25C8307C" w14:textId="39D630EA" w:rsidR="00FC152D" w:rsidRPr="00F90D77" w:rsidRDefault="00FC152D"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F90D77">
                        <w:rPr>
                          <w:rFonts w:ascii="Cambria" w:hAnsi="Cambria"/>
                          <w:color w:val="0D0D0D"/>
                          <w:sz w:val="18"/>
                          <w:szCs w:val="22"/>
                          <w:lang w:val="es-ES"/>
                        </w:rPr>
                        <w:t xml:space="preserve">Aprobado </w:t>
                      </w:r>
                      <w:proofErr w:type="spellStart"/>
                      <w:r w:rsidRPr="00F90D77">
                        <w:rPr>
                          <w:rFonts w:ascii="Cambria" w:hAnsi="Cambria"/>
                          <w:color w:val="0D0D0D"/>
                          <w:sz w:val="18"/>
                          <w:szCs w:val="22"/>
                          <w:lang w:val="es-ES"/>
                        </w:rPr>
                        <w:t>electr</w:t>
                      </w:r>
                      <w:r w:rsidRPr="00F90D77">
                        <w:rPr>
                          <w:rFonts w:ascii="Cambria" w:hAnsi="Cambria"/>
                          <w:color w:val="0D0D0D"/>
                          <w:sz w:val="18"/>
                          <w:szCs w:val="22"/>
                          <w:lang w:val="es-ES_tradnl"/>
                        </w:rPr>
                        <w:t>ónicamente</w:t>
                      </w:r>
                      <w:proofErr w:type="spellEnd"/>
                      <w:r w:rsidRPr="00F90D77">
                        <w:rPr>
                          <w:rFonts w:ascii="Cambria" w:hAnsi="Cambria"/>
                          <w:color w:val="0D0D0D"/>
                          <w:sz w:val="18"/>
                          <w:szCs w:val="22"/>
                          <w:lang w:val="es-ES"/>
                        </w:rPr>
                        <w:t xml:space="preserve"> por la Comisión el </w:t>
                      </w:r>
                      <w:r w:rsidR="00DB1545">
                        <w:rPr>
                          <w:rFonts w:ascii="Cambria" w:hAnsi="Cambria"/>
                          <w:color w:val="0D0D0D"/>
                          <w:sz w:val="18"/>
                          <w:szCs w:val="22"/>
                          <w:lang w:val="es-ES"/>
                        </w:rPr>
                        <w:t>27</w:t>
                      </w:r>
                      <w:r w:rsidRPr="00F90D77">
                        <w:rPr>
                          <w:rFonts w:ascii="Cambria" w:hAnsi="Cambria"/>
                          <w:color w:val="0D0D0D"/>
                          <w:sz w:val="18"/>
                          <w:szCs w:val="22"/>
                          <w:lang w:val="es-ES"/>
                        </w:rPr>
                        <w:t xml:space="preserve"> de </w:t>
                      </w:r>
                      <w:r w:rsidR="00DB1545">
                        <w:rPr>
                          <w:rFonts w:ascii="Cambria" w:hAnsi="Cambria"/>
                          <w:color w:val="0D0D0D"/>
                          <w:sz w:val="18"/>
                          <w:szCs w:val="22"/>
                          <w:lang w:val="es-ES"/>
                        </w:rPr>
                        <w:t>abril</w:t>
                      </w:r>
                      <w:r w:rsidRPr="00F90D77">
                        <w:rPr>
                          <w:rFonts w:ascii="Cambria" w:hAnsi="Cambria"/>
                          <w:color w:val="0D0D0D"/>
                          <w:sz w:val="18"/>
                          <w:szCs w:val="22"/>
                          <w:lang w:val="es-ES"/>
                        </w:rPr>
                        <w:t xml:space="preserve"> de 2</w:t>
                      </w:r>
                      <w:r w:rsidR="00DB1545">
                        <w:rPr>
                          <w:rFonts w:ascii="Cambria" w:hAnsi="Cambria"/>
                          <w:color w:val="0D0D0D"/>
                          <w:sz w:val="18"/>
                          <w:szCs w:val="22"/>
                          <w:lang w:val="es-ES"/>
                        </w:rPr>
                        <w:t>0</w:t>
                      </w:r>
                      <w:r w:rsidRPr="00F90D77">
                        <w:rPr>
                          <w:rFonts w:ascii="Cambria" w:hAnsi="Cambria"/>
                          <w:color w:val="0D0D0D"/>
                          <w:sz w:val="18"/>
                          <w:szCs w:val="22"/>
                          <w:lang w:val="es-ES"/>
                        </w:rPr>
                        <w:t>20</w:t>
                      </w:r>
                      <w:r w:rsidR="00D74DED">
                        <w:rPr>
                          <w:rFonts w:ascii="Cambria" w:hAnsi="Cambria"/>
                          <w:color w:val="0D0D0D"/>
                          <w:sz w:val="18"/>
                          <w:szCs w:val="22"/>
                          <w:lang w:val="es-ES"/>
                        </w:rPr>
                        <w:t>.</w:t>
                      </w:r>
                    </w:p>
                    <w:p w14:paraId="0BF8BD9F" w14:textId="77777777" w:rsidR="00FC152D" w:rsidRPr="00F90D77" w:rsidRDefault="00FC152D"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14:paraId="608F358E" w14:textId="77777777" w:rsidR="00FC152D" w:rsidRPr="00F90D77" w:rsidRDefault="00FC152D"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14:paraId="3F448886"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43365F23"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7EC8F1E"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693B3DB9"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20BBDB85" w14:textId="2D94E91C" w:rsidR="00FC152D" w:rsidRPr="006024BF" w:rsidRDefault="006024BF"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6024BF">
        <w:rPr>
          <w:noProof/>
        </w:rPr>
        <mc:AlternateContent>
          <mc:Choice Requires="wps">
            <w:drawing>
              <wp:anchor distT="0" distB="0" distL="114300" distR="114300" simplePos="0" relativeHeight="251659264" behindDoc="0" locked="0" layoutInCell="1" allowOverlap="1" wp14:anchorId="7907A853" wp14:editId="27CAE3E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8D402" w14:textId="53D4E44A" w:rsidR="00FC152D" w:rsidRPr="00F90D77" w:rsidRDefault="00FC152D"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F90D77">
                              <w:rPr>
                                <w:rFonts w:ascii="Cambria" w:hAnsi="Cambria"/>
                                <w:b/>
                                <w:color w:val="595959"/>
                                <w:sz w:val="18"/>
                                <w:szCs w:val="18"/>
                                <w:lang w:val="pt-BR"/>
                              </w:rPr>
                              <w:t>Citar como:</w:t>
                            </w:r>
                            <w:r w:rsidRPr="00F90D77">
                              <w:rPr>
                                <w:rFonts w:ascii="Cambria" w:hAnsi="Cambria"/>
                                <w:color w:val="595959"/>
                                <w:sz w:val="18"/>
                                <w:szCs w:val="18"/>
                                <w:lang w:val="pt-BR"/>
                              </w:rPr>
                              <w:t xml:space="preserve"> CIDH, Informe No. </w:t>
                            </w:r>
                            <w:r w:rsidR="00DB1545" w:rsidRPr="00DB1545">
                              <w:rPr>
                                <w:rFonts w:ascii="Cambria" w:hAnsi="Cambria"/>
                                <w:color w:val="595959"/>
                                <w:sz w:val="18"/>
                                <w:szCs w:val="18"/>
                                <w:lang w:val="pt-BR"/>
                              </w:rPr>
                              <w:t>129</w:t>
                            </w:r>
                            <w:r w:rsidRPr="00DB1545">
                              <w:rPr>
                                <w:rFonts w:ascii="Cambria" w:hAnsi="Cambria"/>
                                <w:color w:val="595959"/>
                                <w:sz w:val="18"/>
                                <w:szCs w:val="18"/>
                                <w:lang w:val="pt-BR"/>
                              </w:rPr>
                              <w:t>/</w:t>
                            </w:r>
                            <w:r w:rsidR="00DB1545" w:rsidRPr="00DB1545">
                              <w:rPr>
                                <w:rFonts w:ascii="Cambria" w:hAnsi="Cambria"/>
                                <w:color w:val="595959"/>
                                <w:sz w:val="18"/>
                                <w:szCs w:val="18"/>
                                <w:lang w:val="pt-BR"/>
                              </w:rPr>
                              <w:t>20</w:t>
                            </w:r>
                            <w:r w:rsidRPr="00DB1545">
                              <w:rPr>
                                <w:rFonts w:ascii="Cambria" w:hAnsi="Cambria"/>
                                <w:color w:val="595959"/>
                                <w:sz w:val="18"/>
                                <w:szCs w:val="18"/>
                                <w:lang w:val="pt-BR"/>
                              </w:rPr>
                              <w:t xml:space="preserve">. </w:t>
                            </w:r>
                            <w:proofErr w:type="spellStart"/>
                            <w:r w:rsidRPr="00F90D77">
                              <w:rPr>
                                <w:rFonts w:ascii="Cambria" w:hAnsi="Cambria"/>
                                <w:color w:val="595959"/>
                                <w:sz w:val="18"/>
                                <w:szCs w:val="18"/>
                                <w:lang w:val="es-ES_tradnl"/>
                              </w:rPr>
                              <w:t>Petici</w:t>
                            </w:r>
                            <w:r w:rsidRPr="00F90D77">
                              <w:rPr>
                                <w:rFonts w:ascii="Cambria" w:hAnsi="Cambria"/>
                                <w:color w:val="595959"/>
                                <w:sz w:val="18"/>
                                <w:szCs w:val="18"/>
                                <w:lang w:val="es-ES"/>
                              </w:rPr>
                              <w:t>ón</w:t>
                            </w:r>
                            <w:proofErr w:type="spellEnd"/>
                            <w:r w:rsidR="00D74DED">
                              <w:rPr>
                                <w:rFonts w:ascii="Cambria" w:hAnsi="Cambria"/>
                                <w:color w:val="595959"/>
                                <w:sz w:val="18"/>
                                <w:szCs w:val="18"/>
                                <w:lang w:val="es-ES"/>
                              </w:rPr>
                              <w:t xml:space="preserve"> 1714-07.</w:t>
                            </w:r>
                            <w:r w:rsidRPr="00F90D77">
                              <w:rPr>
                                <w:rFonts w:ascii="Cambria" w:hAnsi="Cambria"/>
                                <w:color w:val="595959"/>
                                <w:sz w:val="18"/>
                                <w:szCs w:val="18"/>
                                <w:lang w:val="es-ES"/>
                              </w:rPr>
                              <w:t xml:space="preserve"> </w:t>
                            </w:r>
                            <w:r w:rsidRPr="00F90D77">
                              <w:rPr>
                                <w:rFonts w:ascii="Cambria" w:hAnsi="Cambria"/>
                                <w:color w:val="595959"/>
                                <w:sz w:val="18"/>
                                <w:szCs w:val="18"/>
                                <w:lang w:val="es-ES_tradnl"/>
                              </w:rPr>
                              <w:t xml:space="preserve">Admisibilidad. </w:t>
                            </w:r>
                            <w:proofErr w:type="spellStart"/>
                            <w:r w:rsidRPr="00F90D77">
                              <w:rPr>
                                <w:rFonts w:ascii="Cambria" w:hAnsi="Cambria"/>
                                <w:color w:val="595959"/>
                                <w:sz w:val="18"/>
                                <w:szCs w:val="18"/>
                                <w:lang w:val="es-US"/>
                              </w:rPr>
                              <w:t>Nerina</w:t>
                            </w:r>
                            <w:proofErr w:type="spellEnd"/>
                            <w:r w:rsidRPr="00F90D77">
                              <w:rPr>
                                <w:rFonts w:ascii="Cambria" w:hAnsi="Cambria"/>
                                <w:color w:val="595959"/>
                                <w:sz w:val="18"/>
                                <w:szCs w:val="18"/>
                                <w:lang w:val="es-US"/>
                              </w:rPr>
                              <w:t xml:space="preserve"> Claudia </w:t>
                            </w:r>
                            <w:proofErr w:type="spellStart"/>
                            <w:r w:rsidRPr="00F90D77">
                              <w:rPr>
                                <w:rFonts w:ascii="Cambria" w:hAnsi="Cambria"/>
                                <w:color w:val="595959"/>
                                <w:sz w:val="18"/>
                                <w:szCs w:val="18"/>
                                <w:lang w:val="es-US"/>
                              </w:rPr>
                              <w:t>Pojmaevich</w:t>
                            </w:r>
                            <w:proofErr w:type="spellEnd"/>
                            <w:r w:rsidRPr="00F90D77">
                              <w:rPr>
                                <w:rFonts w:ascii="Cambria" w:hAnsi="Cambria"/>
                                <w:color w:val="595959"/>
                                <w:sz w:val="18"/>
                                <w:szCs w:val="18"/>
                                <w:lang w:val="es-ES_tradnl"/>
                              </w:rPr>
                              <w:t xml:space="preserve">. Argentina. </w:t>
                            </w:r>
                            <w:r w:rsidR="00DB1545">
                              <w:rPr>
                                <w:rFonts w:ascii="Cambria" w:hAnsi="Cambria"/>
                                <w:color w:val="595959"/>
                                <w:sz w:val="18"/>
                                <w:szCs w:val="18"/>
                                <w:lang w:val="es-ES"/>
                              </w:rPr>
                              <w:t>27 de abril de 2020</w:t>
                            </w:r>
                            <w:r w:rsidRPr="00F90D77">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07A853"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20E8D402" w14:textId="53D4E44A" w:rsidR="00FC152D" w:rsidRPr="00F90D77" w:rsidRDefault="00FC152D"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F90D77">
                        <w:rPr>
                          <w:rFonts w:ascii="Cambria" w:hAnsi="Cambria"/>
                          <w:b/>
                          <w:color w:val="595959"/>
                          <w:sz w:val="18"/>
                          <w:szCs w:val="18"/>
                          <w:lang w:val="pt-BR"/>
                        </w:rPr>
                        <w:t>Citar como:</w:t>
                      </w:r>
                      <w:r w:rsidRPr="00F90D77">
                        <w:rPr>
                          <w:rFonts w:ascii="Cambria" w:hAnsi="Cambria"/>
                          <w:color w:val="595959"/>
                          <w:sz w:val="18"/>
                          <w:szCs w:val="18"/>
                          <w:lang w:val="pt-BR"/>
                        </w:rPr>
                        <w:t xml:space="preserve"> CIDH, Informe No. </w:t>
                      </w:r>
                      <w:r w:rsidR="00DB1545" w:rsidRPr="00DB1545">
                        <w:rPr>
                          <w:rFonts w:ascii="Cambria" w:hAnsi="Cambria"/>
                          <w:color w:val="595959"/>
                          <w:sz w:val="18"/>
                          <w:szCs w:val="18"/>
                          <w:lang w:val="pt-BR"/>
                        </w:rPr>
                        <w:t>129</w:t>
                      </w:r>
                      <w:r w:rsidRPr="00DB1545">
                        <w:rPr>
                          <w:rFonts w:ascii="Cambria" w:hAnsi="Cambria"/>
                          <w:color w:val="595959"/>
                          <w:sz w:val="18"/>
                          <w:szCs w:val="18"/>
                          <w:lang w:val="pt-BR"/>
                        </w:rPr>
                        <w:t>/</w:t>
                      </w:r>
                      <w:r w:rsidR="00DB1545" w:rsidRPr="00DB1545">
                        <w:rPr>
                          <w:rFonts w:ascii="Cambria" w:hAnsi="Cambria"/>
                          <w:color w:val="595959"/>
                          <w:sz w:val="18"/>
                          <w:szCs w:val="18"/>
                          <w:lang w:val="pt-BR"/>
                        </w:rPr>
                        <w:t>20</w:t>
                      </w:r>
                      <w:r w:rsidRPr="00DB1545">
                        <w:rPr>
                          <w:rFonts w:ascii="Cambria" w:hAnsi="Cambria"/>
                          <w:color w:val="595959"/>
                          <w:sz w:val="18"/>
                          <w:szCs w:val="18"/>
                          <w:lang w:val="pt-BR"/>
                        </w:rPr>
                        <w:t xml:space="preserve">. </w:t>
                      </w:r>
                      <w:proofErr w:type="spellStart"/>
                      <w:r w:rsidRPr="00F90D77">
                        <w:rPr>
                          <w:rFonts w:ascii="Cambria" w:hAnsi="Cambria"/>
                          <w:color w:val="595959"/>
                          <w:sz w:val="18"/>
                          <w:szCs w:val="18"/>
                          <w:lang w:val="es-ES_tradnl"/>
                        </w:rPr>
                        <w:t>Petici</w:t>
                      </w:r>
                      <w:r w:rsidRPr="00F90D77">
                        <w:rPr>
                          <w:rFonts w:ascii="Cambria" w:hAnsi="Cambria"/>
                          <w:color w:val="595959"/>
                          <w:sz w:val="18"/>
                          <w:szCs w:val="18"/>
                          <w:lang w:val="es-ES"/>
                        </w:rPr>
                        <w:t>ón</w:t>
                      </w:r>
                      <w:proofErr w:type="spellEnd"/>
                      <w:r w:rsidR="00D74DED">
                        <w:rPr>
                          <w:rFonts w:ascii="Cambria" w:hAnsi="Cambria"/>
                          <w:color w:val="595959"/>
                          <w:sz w:val="18"/>
                          <w:szCs w:val="18"/>
                          <w:lang w:val="es-ES"/>
                        </w:rPr>
                        <w:t xml:space="preserve"> 1714-07.</w:t>
                      </w:r>
                      <w:r w:rsidRPr="00F90D77">
                        <w:rPr>
                          <w:rFonts w:ascii="Cambria" w:hAnsi="Cambria"/>
                          <w:color w:val="595959"/>
                          <w:sz w:val="18"/>
                          <w:szCs w:val="18"/>
                          <w:lang w:val="es-ES"/>
                        </w:rPr>
                        <w:t xml:space="preserve"> </w:t>
                      </w:r>
                      <w:r w:rsidRPr="00F90D77">
                        <w:rPr>
                          <w:rFonts w:ascii="Cambria" w:hAnsi="Cambria"/>
                          <w:color w:val="595959"/>
                          <w:sz w:val="18"/>
                          <w:szCs w:val="18"/>
                          <w:lang w:val="es-ES_tradnl"/>
                        </w:rPr>
                        <w:t xml:space="preserve">Admisibilidad. </w:t>
                      </w:r>
                      <w:proofErr w:type="spellStart"/>
                      <w:r w:rsidRPr="00F90D77">
                        <w:rPr>
                          <w:rFonts w:ascii="Cambria" w:hAnsi="Cambria"/>
                          <w:color w:val="595959"/>
                          <w:sz w:val="18"/>
                          <w:szCs w:val="18"/>
                          <w:lang w:val="es-US"/>
                        </w:rPr>
                        <w:t>Nerina</w:t>
                      </w:r>
                      <w:proofErr w:type="spellEnd"/>
                      <w:r w:rsidRPr="00F90D77">
                        <w:rPr>
                          <w:rFonts w:ascii="Cambria" w:hAnsi="Cambria"/>
                          <w:color w:val="595959"/>
                          <w:sz w:val="18"/>
                          <w:szCs w:val="18"/>
                          <w:lang w:val="es-US"/>
                        </w:rPr>
                        <w:t xml:space="preserve"> Claudia </w:t>
                      </w:r>
                      <w:proofErr w:type="spellStart"/>
                      <w:r w:rsidRPr="00F90D77">
                        <w:rPr>
                          <w:rFonts w:ascii="Cambria" w:hAnsi="Cambria"/>
                          <w:color w:val="595959"/>
                          <w:sz w:val="18"/>
                          <w:szCs w:val="18"/>
                          <w:lang w:val="es-US"/>
                        </w:rPr>
                        <w:t>Pojmaevich</w:t>
                      </w:r>
                      <w:proofErr w:type="spellEnd"/>
                      <w:r w:rsidRPr="00F90D77">
                        <w:rPr>
                          <w:rFonts w:ascii="Cambria" w:hAnsi="Cambria"/>
                          <w:color w:val="595959"/>
                          <w:sz w:val="18"/>
                          <w:szCs w:val="18"/>
                          <w:lang w:val="es-ES_tradnl"/>
                        </w:rPr>
                        <w:t xml:space="preserve">. Argentina. </w:t>
                      </w:r>
                      <w:r w:rsidR="00DB1545">
                        <w:rPr>
                          <w:rFonts w:ascii="Cambria" w:hAnsi="Cambria"/>
                          <w:color w:val="595959"/>
                          <w:sz w:val="18"/>
                          <w:szCs w:val="18"/>
                          <w:lang w:val="es-ES"/>
                        </w:rPr>
                        <w:t>27 de abril de 2020</w:t>
                      </w:r>
                      <w:r w:rsidRPr="00F90D77">
                        <w:rPr>
                          <w:rFonts w:ascii="Cambria" w:hAnsi="Cambria"/>
                          <w:color w:val="595959"/>
                          <w:sz w:val="18"/>
                          <w:szCs w:val="18"/>
                          <w:lang w:val="es-ES"/>
                        </w:rPr>
                        <w:t>.</w:t>
                      </w:r>
                    </w:p>
                  </w:txbxContent>
                </v:textbox>
              </v:shape>
            </w:pict>
          </mc:Fallback>
        </mc:AlternateContent>
      </w:r>
    </w:p>
    <w:p w14:paraId="61E133B6" w14:textId="77777777" w:rsidR="00FC152D" w:rsidRPr="006024BF" w:rsidRDefault="00FC152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14:paraId="1789C861" w14:textId="4679160A" w:rsidR="00FC152D" w:rsidRPr="006024BF" w:rsidRDefault="006024BF"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sidRPr="006024BF">
        <w:rPr>
          <w:noProof/>
        </w:rPr>
        <mc:AlternateContent>
          <mc:Choice Requires="wps">
            <w:drawing>
              <wp:anchor distT="0" distB="0" distL="114300" distR="114300" simplePos="0" relativeHeight="251660288" behindDoc="0" locked="0" layoutInCell="1" allowOverlap="1" wp14:anchorId="35D17968" wp14:editId="7D08678A">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5EF6B2" w14:textId="0CC23435" w:rsidR="00FC152D" w:rsidRPr="00F90D77" w:rsidRDefault="00D74DED" w:rsidP="00F02AD1">
                            <w:pPr>
                              <w:pBdr>
                                <w:top w:val="none" w:sz="0" w:space="0" w:color="auto"/>
                                <w:left w:val="none" w:sz="0" w:space="0" w:color="auto"/>
                                <w:bottom w:val="none" w:sz="0" w:space="0" w:color="auto"/>
                                <w:right w:val="none" w:sz="0" w:space="0" w:color="auto"/>
                                <w:bar w:val="none" w:sz="0" w:color="auto"/>
                              </w:pBdr>
                              <w:rPr>
                                <w:color w:val="FFFFFF"/>
                              </w:rPr>
                            </w:pPr>
                            <w:r w:rsidRPr="00D72DC6">
                              <w:rPr>
                                <w:noProof/>
                                <w:color w:val="FFFFFF" w:themeColor="background1"/>
                                <w14:textFill>
                                  <w14:noFill/>
                                </w14:textFill>
                              </w:rPr>
                              <w:drawing>
                                <wp:inline distT="0" distB="0" distL="0" distR="0" wp14:anchorId="11597EFE" wp14:editId="3169906B">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7968"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14:paraId="465EF6B2" w14:textId="0CC23435" w:rsidR="00FC152D" w:rsidRPr="00F90D77" w:rsidRDefault="00D74DED" w:rsidP="00F02AD1">
                      <w:pPr>
                        <w:pBdr>
                          <w:top w:val="none" w:sz="0" w:space="0" w:color="auto"/>
                          <w:left w:val="none" w:sz="0" w:space="0" w:color="auto"/>
                          <w:bottom w:val="none" w:sz="0" w:space="0" w:color="auto"/>
                          <w:right w:val="none" w:sz="0" w:space="0" w:color="auto"/>
                          <w:bar w:val="none" w:sz="0" w:color="auto"/>
                        </w:pBdr>
                        <w:rPr>
                          <w:color w:val="FFFFFF"/>
                        </w:rPr>
                      </w:pPr>
                      <w:r w:rsidRPr="00D72DC6">
                        <w:rPr>
                          <w:noProof/>
                          <w:color w:val="FFFFFF" w:themeColor="background1"/>
                          <w14:textFill>
                            <w14:noFill/>
                          </w14:textFill>
                        </w:rPr>
                        <w:drawing>
                          <wp:inline distT="0" distB="0" distL="0" distR="0" wp14:anchorId="11597EFE" wp14:editId="3169906B">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Pr="006024BF">
        <w:rPr>
          <w:noProof/>
        </w:rPr>
        <mc:AlternateContent>
          <mc:Choice Requires="wps">
            <w:drawing>
              <wp:anchor distT="0" distB="0" distL="114300" distR="114300" simplePos="0" relativeHeight="251661312" behindDoc="0" locked="0" layoutInCell="1" allowOverlap="1" wp14:anchorId="402B4AFF" wp14:editId="6A998C33">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2992B" w14:textId="77777777" w:rsidR="00FC152D" w:rsidRPr="00F90D77" w:rsidRDefault="00FC152D"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F90D77">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2B4AFF"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14:paraId="3F72992B" w14:textId="77777777" w:rsidR="00FC152D" w:rsidRPr="00F90D77" w:rsidRDefault="00FC152D"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F90D77">
                        <w:rPr>
                          <w:rFonts w:ascii="Calibri" w:hAnsi="Calibri"/>
                          <w:b/>
                          <w:color w:val="FFFFFF"/>
                          <w:lang w:val="pt-BR"/>
                        </w:rPr>
                        <w:t>www.cidh.org</w:t>
                      </w:r>
                    </w:p>
                  </w:txbxContent>
                </v:textbox>
              </v:shape>
            </w:pict>
          </mc:Fallback>
        </mc:AlternateContent>
      </w:r>
    </w:p>
    <w:p w14:paraId="1BD8DD00" w14:textId="77777777" w:rsidR="00FC152D" w:rsidRPr="006024BF" w:rsidRDefault="00FC152D"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FC152D" w:rsidRPr="006024B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rtlGutter/>
          <w:docGrid w:linePitch="326"/>
        </w:sectPr>
      </w:pPr>
      <w:r w:rsidRPr="006024BF">
        <w:rPr>
          <w:rFonts w:ascii="Cambria" w:hAnsi="Cambria"/>
          <w:b/>
          <w:sz w:val="20"/>
          <w:lang w:val="es-ES_tradnl"/>
        </w:rPr>
        <w:tab/>
      </w:r>
    </w:p>
    <w:p w14:paraId="69A2FF78" w14:textId="77777777" w:rsidR="00FC152D" w:rsidRPr="006024BF" w:rsidRDefault="00FC152D" w:rsidP="000C7DAC">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19"/>
          <w:szCs w:val="19"/>
          <w:lang w:val="es-ES"/>
        </w:rPr>
      </w:pPr>
      <w:r w:rsidRPr="006024BF">
        <w:rPr>
          <w:rFonts w:ascii="Cambria" w:hAnsi="Cambria"/>
          <w:b/>
          <w:bCs/>
          <w:sz w:val="19"/>
          <w:szCs w:val="19"/>
          <w:lang w:val="es-ES"/>
        </w:rPr>
        <w:lastRenderedPageBreak/>
        <w:t>I.</w:t>
      </w:r>
      <w:r w:rsidRPr="006024BF">
        <w:rPr>
          <w:rFonts w:ascii="Cambria" w:hAnsi="Cambria"/>
          <w:b/>
          <w:bCs/>
          <w:sz w:val="19"/>
          <w:szCs w:val="19"/>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FC152D" w:rsidRPr="00D74DED" w14:paraId="10160219" w14:textId="77777777" w:rsidTr="00F90D77">
        <w:tc>
          <w:tcPr>
            <w:tcW w:w="3600" w:type="dxa"/>
            <w:tcBorders>
              <w:top w:val="single" w:sz="4" w:space="0" w:color="auto"/>
            </w:tcBorders>
            <w:shd w:val="clear" w:color="auto" w:fill="386294"/>
            <w:vAlign w:val="center"/>
          </w:tcPr>
          <w:p w14:paraId="2D2FA0D2"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6024BF">
              <w:rPr>
                <w:rFonts w:ascii="Cambria" w:hAnsi="Cambria"/>
                <w:b/>
                <w:bCs/>
                <w:color w:val="FFFFFF"/>
                <w:sz w:val="19"/>
                <w:szCs w:val="19"/>
              </w:rPr>
              <w:t xml:space="preserve">Parte </w:t>
            </w:r>
            <w:proofErr w:type="spellStart"/>
            <w:r w:rsidRPr="006024BF">
              <w:rPr>
                <w:rFonts w:ascii="Cambria" w:hAnsi="Cambria"/>
                <w:b/>
                <w:bCs/>
                <w:color w:val="FFFFFF"/>
                <w:sz w:val="19"/>
                <w:szCs w:val="19"/>
              </w:rPr>
              <w:t>peticionaria</w:t>
            </w:r>
            <w:proofErr w:type="spellEnd"/>
            <w:r w:rsidRPr="006024BF">
              <w:rPr>
                <w:rFonts w:ascii="Cambria" w:hAnsi="Cambria"/>
                <w:b/>
                <w:bCs/>
                <w:color w:val="FFFFFF"/>
                <w:sz w:val="19"/>
                <w:szCs w:val="19"/>
              </w:rPr>
              <w:t>:</w:t>
            </w:r>
          </w:p>
        </w:tc>
        <w:tc>
          <w:tcPr>
            <w:tcW w:w="5760" w:type="dxa"/>
            <w:tcBorders>
              <w:top w:val="single" w:sz="4" w:space="0" w:color="auto"/>
            </w:tcBorders>
            <w:vAlign w:val="center"/>
          </w:tcPr>
          <w:p w14:paraId="1739664B"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US"/>
              </w:rPr>
            </w:pPr>
            <w:r w:rsidRPr="006024BF">
              <w:rPr>
                <w:rFonts w:ascii="Cambria" w:hAnsi="Cambria"/>
                <w:bCs/>
                <w:sz w:val="19"/>
                <w:szCs w:val="19"/>
                <w:lang w:val="es-US"/>
              </w:rPr>
              <w:t xml:space="preserve">Josefina </w:t>
            </w:r>
            <w:proofErr w:type="spellStart"/>
            <w:r w:rsidRPr="006024BF">
              <w:rPr>
                <w:rFonts w:ascii="Cambria" w:hAnsi="Cambria"/>
                <w:bCs/>
                <w:sz w:val="19"/>
                <w:szCs w:val="19"/>
                <w:lang w:val="es-US"/>
              </w:rPr>
              <w:t>Margaroli</w:t>
            </w:r>
            <w:proofErr w:type="spellEnd"/>
            <w:r w:rsidRPr="006024BF">
              <w:rPr>
                <w:rFonts w:ascii="Cambria" w:hAnsi="Cambria"/>
                <w:bCs/>
                <w:sz w:val="19"/>
                <w:szCs w:val="19"/>
                <w:lang w:val="es-US"/>
              </w:rPr>
              <w:t xml:space="preserve"> y Sergio Luis Maculan  </w:t>
            </w:r>
          </w:p>
        </w:tc>
      </w:tr>
      <w:tr w:rsidR="00FC152D" w:rsidRPr="006024BF" w14:paraId="0880D657" w14:textId="77777777" w:rsidTr="00F90D77">
        <w:tc>
          <w:tcPr>
            <w:tcW w:w="3600" w:type="dxa"/>
            <w:shd w:val="clear" w:color="auto" w:fill="386294"/>
            <w:vAlign w:val="center"/>
          </w:tcPr>
          <w:p w14:paraId="375B2B0F"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proofErr w:type="spellStart"/>
            <w:r w:rsidRPr="006024BF">
              <w:rPr>
                <w:rFonts w:ascii="Cambria" w:hAnsi="Cambria"/>
                <w:b/>
                <w:bCs/>
                <w:color w:val="FFFFFF"/>
                <w:sz w:val="19"/>
                <w:szCs w:val="19"/>
              </w:rPr>
              <w:t>Presunta</w:t>
            </w:r>
            <w:proofErr w:type="spellEnd"/>
            <w:r w:rsidRPr="006024BF">
              <w:rPr>
                <w:rFonts w:ascii="Cambria" w:hAnsi="Cambria"/>
                <w:b/>
                <w:bCs/>
                <w:color w:val="FFFFFF"/>
                <w:sz w:val="19"/>
                <w:szCs w:val="19"/>
              </w:rPr>
              <w:t xml:space="preserve"> </w:t>
            </w:r>
            <w:proofErr w:type="spellStart"/>
            <w:r w:rsidRPr="006024BF">
              <w:rPr>
                <w:rFonts w:ascii="Cambria" w:hAnsi="Cambria"/>
                <w:b/>
                <w:bCs/>
                <w:color w:val="FFFFFF"/>
                <w:sz w:val="19"/>
                <w:szCs w:val="19"/>
              </w:rPr>
              <w:t>víctima</w:t>
            </w:r>
            <w:proofErr w:type="spellEnd"/>
            <w:r w:rsidRPr="006024BF">
              <w:rPr>
                <w:rFonts w:ascii="Cambria" w:hAnsi="Cambria"/>
                <w:b/>
                <w:bCs/>
                <w:color w:val="FFFFFF"/>
                <w:sz w:val="19"/>
                <w:szCs w:val="19"/>
              </w:rPr>
              <w:t>:</w:t>
            </w:r>
          </w:p>
        </w:tc>
        <w:tc>
          <w:tcPr>
            <w:tcW w:w="5760" w:type="dxa"/>
            <w:vAlign w:val="center"/>
          </w:tcPr>
          <w:p w14:paraId="3F8FBE35"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proofErr w:type="spellStart"/>
            <w:r w:rsidRPr="006024BF">
              <w:rPr>
                <w:rFonts w:ascii="Cambria" w:hAnsi="Cambria"/>
                <w:bCs/>
                <w:sz w:val="19"/>
                <w:szCs w:val="19"/>
              </w:rPr>
              <w:t>Nerina</w:t>
            </w:r>
            <w:proofErr w:type="spellEnd"/>
            <w:r w:rsidRPr="006024BF">
              <w:rPr>
                <w:rFonts w:ascii="Cambria" w:hAnsi="Cambria"/>
                <w:bCs/>
                <w:sz w:val="19"/>
                <w:szCs w:val="19"/>
              </w:rPr>
              <w:t xml:space="preserve"> Claudia </w:t>
            </w:r>
            <w:proofErr w:type="spellStart"/>
            <w:r w:rsidRPr="006024BF">
              <w:rPr>
                <w:rFonts w:ascii="Cambria" w:hAnsi="Cambria"/>
                <w:bCs/>
                <w:sz w:val="19"/>
                <w:szCs w:val="19"/>
              </w:rPr>
              <w:t>Pojmaevich</w:t>
            </w:r>
            <w:proofErr w:type="spellEnd"/>
          </w:p>
        </w:tc>
      </w:tr>
      <w:tr w:rsidR="00FC152D" w:rsidRPr="006024BF" w14:paraId="01B1FF44" w14:textId="77777777" w:rsidTr="00F90D77">
        <w:tc>
          <w:tcPr>
            <w:tcW w:w="3600" w:type="dxa"/>
            <w:shd w:val="clear" w:color="auto" w:fill="386294"/>
            <w:vAlign w:val="center"/>
          </w:tcPr>
          <w:p w14:paraId="51AB8E56"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6024BF">
              <w:rPr>
                <w:rFonts w:ascii="Cambria" w:hAnsi="Cambria"/>
                <w:b/>
                <w:bCs/>
                <w:color w:val="FFFFFF"/>
                <w:sz w:val="19"/>
                <w:szCs w:val="19"/>
              </w:rPr>
              <w:t xml:space="preserve">Estado </w:t>
            </w:r>
            <w:proofErr w:type="spellStart"/>
            <w:r w:rsidRPr="006024BF">
              <w:rPr>
                <w:rFonts w:ascii="Cambria" w:hAnsi="Cambria"/>
                <w:b/>
                <w:bCs/>
                <w:color w:val="FFFFFF"/>
                <w:sz w:val="19"/>
                <w:szCs w:val="19"/>
              </w:rPr>
              <w:t>denunciado</w:t>
            </w:r>
            <w:proofErr w:type="spellEnd"/>
            <w:r w:rsidRPr="006024BF">
              <w:rPr>
                <w:rFonts w:ascii="Cambria" w:hAnsi="Cambria"/>
                <w:b/>
                <w:bCs/>
                <w:color w:val="FFFFFF"/>
                <w:sz w:val="19"/>
                <w:szCs w:val="19"/>
              </w:rPr>
              <w:t>:</w:t>
            </w:r>
          </w:p>
        </w:tc>
        <w:tc>
          <w:tcPr>
            <w:tcW w:w="5760" w:type="dxa"/>
            <w:vAlign w:val="center"/>
          </w:tcPr>
          <w:p w14:paraId="3D806511"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rPr>
            </w:pPr>
            <w:smartTag w:uri="urn:schemas-microsoft-com:office:smarttags" w:element="place">
              <w:smartTag w:uri="urn:schemas-microsoft-com:office:smarttags" w:element="country-region">
                <w:r w:rsidRPr="006024BF">
                  <w:rPr>
                    <w:rFonts w:ascii="Cambria" w:hAnsi="Cambria"/>
                    <w:bCs/>
                    <w:sz w:val="19"/>
                    <w:szCs w:val="19"/>
                  </w:rPr>
                  <w:t>Argentina</w:t>
                </w:r>
              </w:smartTag>
            </w:smartTag>
          </w:p>
        </w:tc>
      </w:tr>
      <w:tr w:rsidR="00FC152D" w:rsidRPr="00D74DED" w14:paraId="136F9568" w14:textId="77777777" w:rsidTr="00F90D77">
        <w:tc>
          <w:tcPr>
            <w:tcW w:w="3600" w:type="dxa"/>
            <w:tcBorders>
              <w:bottom w:val="single" w:sz="4" w:space="0" w:color="auto"/>
            </w:tcBorders>
            <w:shd w:val="clear" w:color="auto" w:fill="386294"/>
            <w:vAlign w:val="center"/>
          </w:tcPr>
          <w:p w14:paraId="249A8F20"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r w:rsidRPr="006024BF">
              <w:rPr>
                <w:rFonts w:ascii="Cambria" w:hAnsi="Cambria"/>
                <w:b/>
                <w:bCs/>
                <w:color w:val="FFFFFF"/>
                <w:sz w:val="19"/>
                <w:szCs w:val="19"/>
              </w:rPr>
              <w:t xml:space="preserve">Derechos </w:t>
            </w:r>
            <w:proofErr w:type="spellStart"/>
            <w:r w:rsidRPr="006024BF">
              <w:rPr>
                <w:rFonts w:ascii="Cambria" w:hAnsi="Cambria"/>
                <w:b/>
                <w:bCs/>
                <w:color w:val="FFFFFF"/>
                <w:sz w:val="19"/>
                <w:szCs w:val="19"/>
              </w:rPr>
              <w:t>invocados</w:t>
            </w:r>
            <w:proofErr w:type="spellEnd"/>
            <w:r w:rsidRPr="006024BF">
              <w:rPr>
                <w:rFonts w:ascii="Cambria" w:hAnsi="Cambria"/>
                <w:b/>
                <w:bCs/>
                <w:color w:val="FFFFFF"/>
                <w:sz w:val="19"/>
                <w:szCs w:val="19"/>
              </w:rPr>
              <w:t>:</w:t>
            </w:r>
          </w:p>
        </w:tc>
        <w:tc>
          <w:tcPr>
            <w:tcW w:w="5760" w:type="dxa"/>
            <w:tcBorders>
              <w:bottom w:val="single" w:sz="4" w:space="0" w:color="auto"/>
            </w:tcBorders>
            <w:vAlign w:val="center"/>
          </w:tcPr>
          <w:p w14:paraId="587173AD"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US"/>
              </w:rPr>
            </w:pPr>
            <w:r w:rsidRPr="006024BF">
              <w:rPr>
                <w:rFonts w:ascii="Cambria" w:hAnsi="Cambria"/>
                <w:bCs/>
                <w:sz w:val="19"/>
                <w:szCs w:val="19"/>
                <w:lang w:val="es-US"/>
              </w:rPr>
              <w:t>Artículos 5 (integridad personal), 8 (garantías judiciales), 10 (indemnización), 11 (honra y dignidad), 21 (propiedad privada) y 25 (protección judicial) de la Convención Americana sobre Derechos Humanos</w:t>
            </w:r>
            <w:r w:rsidRPr="006024BF">
              <w:rPr>
                <w:rStyle w:val="FootnoteReference"/>
                <w:rFonts w:ascii="Cambria" w:hAnsi="Cambria"/>
                <w:bCs/>
                <w:sz w:val="19"/>
                <w:szCs w:val="19"/>
                <w:lang w:val="es-US"/>
              </w:rPr>
              <w:footnoteReference w:id="2"/>
            </w:r>
            <w:r w:rsidRPr="006024BF">
              <w:rPr>
                <w:rFonts w:ascii="Cambria" w:hAnsi="Cambria"/>
                <w:bCs/>
                <w:sz w:val="19"/>
                <w:szCs w:val="19"/>
                <w:lang w:val="es-US"/>
              </w:rPr>
              <w:t xml:space="preserve"> en relación con sus artículos 1 (deber de respetar los derechos) y 2 (deber de adoptar disposiciones de derecho interno); artículos 2 (formas de violencia contra la mujer), 3 (vida libre de violencia), 4 (derechos de la mujer), 7 (deber de los Estados) y 8 (deber de adoptar disposiciones de derecho interno) de la Convención Interamericana para Prevenir, Castigar y Erradicar la Violencia Contra la Mujer</w:t>
            </w:r>
            <w:r w:rsidRPr="006024BF">
              <w:rPr>
                <w:rStyle w:val="FootnoteReference"/>
                <w:rFonts w:ascii="Cambria" w:hAnsi="Cambria"/>
                <w:bCs/>
                <w:sz w:val="19"/>
                <w:szCs w:val="19"/>
                <w:lang w:val="es-US"/>
              </w:rPr>
              <w:footnoteReference w:id="3"/>
            </w:r>
            <w:r w:rsidRPr="006024BF">
              <w:rPr>
                <w:rFonts w:ascii="Cambria" w:hAnsi="Cambria"/>
                <w:bCs/>
                <w:sz w:val="19"/>
                <w:szCs w:val="19"/>
                <w:lang w:val="es-US"/>
              </w:rPr>
              <w:t>; artículos I (vida, libertad, seguridad e integridad), II (igualdad ante la ley), V (honra, reputación personal, vida privada y familiar), XIV (trabajo y justa retribución), XVII (personalidad jurídica y derechos civiles), XVIII (justicia), XXIII (propiedad) y XXIX (petición) de la Declaración Americana de Derechos y Deberes del Hombre</w:t>
            </w:r>
            <w:r w:rsidRPr="006024BF">
              <w:rPr>
                <w:rStyle w:val="FootnoteReference"/>
                <w:rFonts w:ascii="Cambria" w:hAnsi="Cambria"/>
                <w:bCs/>
                <w:sz w:val="19"/>
                <w:szCs w:val="19"/>
                <w:lang w:val="es-US"/>
              </w:rPr>
              <w:footnoteReference w:id="4"/>
            </w:r>
            <w:r w:rsidRPr="006024BF">
              <w:rPr>
                <w:rFonts w:ascii="Cambria" w:hAnsi="Cambria"/>
                <w:bCs/>
                <w:sz w:val="19"/>
                <w:szCs w:val="19"/>
                <w:lang w:val="es-US"/>
              </w:rPr>
              <w:t>; y otros instrumentos internacionales</w:t>
            </w:r>
            <w:r w:rsidRPr="006024BF">
              <w:rPr>
                <w:rStyle w:val="FootnoteReference"/>
                <w:rFonts w:ascii="Cambria" w:hAnsi="Cambria"/>
                <w:bCs/>
                <w:sz w:val="19"/>
                <w:szCs w:val="19"/>
                <w:lang w:val="es-US"/>
              </w:rPr>
              <w:footnoteReference w:id="5"/>
            </w:r>
            <w:r w:rsidRPr="006024BF">
              <w:rPr>
                <w:rFonts w:ascii="Cambria" w:hAnsi="Cambria"/>
                <w:bCs/>
                <w:sz w:val="19"/>
                <w:szCs w:val="19"/>
                <w:lang w:val="es-US"/>
              </w:rPr>
              <w:t xml:space="preserve"> </w:t>
            </w:r>
          </w:p>
        </w:tc>
      </w:tr>
    </w:tbl>
    <w:p w14:paraId="3AC37D4A" w14:textId="77777777" w:rsidR="00FC152D" w:rsidRPr="006024BF" w:rsidRDefault="00FC152D" w:rsidP="00BD3652">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19"/>
          <w:szCs w:val="19"/>
          <w:lang w:val="es-ES"/>
        </w:rPr>
      </w:pPr>
      <w:r w:rsidRPr="006024BF">
        <w:rPr>
          <w:rFonts w:ascii="Cambria" w:hAnsi="Cambria"/>
          <w:b/>
          <w:bCs/>
          <w:sz w:val="19"/>
          <w:szCs w:val="19"/>
          <w:lang w:val="es-ES"/>
        </w:rPr>
        <w:t>II.</w:t>
      </w:r>
      <w:r w:rsidRPr="006024BF">
        <w:rPr>
          <w:rFonts w:ascii="Cambria" w:hAnsi="Cambria"/>
          <w:b/>
          <w:bCs/>
          <w:sz w:val="19"/>
          <w:szCs w:val="19"/>
          <w:lang w:val="es-ES"/>
        </w:rPr>
        <w:tab/>
        <w:t>TRÁMITE ANTE LA CIDH</w:t>
      </w:r>
      <w:r w:rsidRPr="006024BF">
        <w:rPr>
          <w:rStyle w:val="FootnoteReference"/>
          <w:rFonts w:ascii="Cambria" w:hAnsi="Cambria"/>
          <w:b/>
          <w:sz w:val="19"/>
          <w:szCs w:val="19"/>
        </w:rPr>
        <w:footnoteReference w:id="6"/>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FC152D" w:rsidRPr="006024BF" w14:paraId="191F7278" w14:textId="77777777" w:rsidTr="00F90D77">
        <w:tc>
          <w:tcPr>
            <w:tcW w:w="3600" w:type="dxa"/>
            <w:tcBorders>
              <w:top w:val="single" w:sz="4" w:space="0" w:color="auto"/>
            </w:tcBorders>
            <w:shd w:val="clear" w:color="auto" w:fill="386294"/>
            <w:vAlign w:val="center"/>
          </w:tcPr>
          <w:p w14:paraId="78AA56CC"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lang w:val="es-ES"/>
              </w:rPr>
            </w:pPr>
            <w:r w:rsidRPr="006024BF">
              <w:rPr>
                <w:rFonts w:ascii="Cambria" w:hAnsi="Cambria"/>
                <w:b/>
                <w:bCs/>
                <w:color w:val="FFFFFF"/>
                <w:sz w:val="19"/>
                <w:szCs w:val="19"/>
                <w:lang w:val="es-ES"/>
              </w:rPr>
              <w:t>Presentación de la petición:</w:t>
            </w:r>
          </w:p>
        </w:tc>
        <w:tc>
          <w:tcPr>
            <w:tcW w:w="5760" w:type="dxa"/>
            <w:tcBorders>
              <w:top w:val="single" w:sz="4" w:space="0" w:color="auto"/>
            </w:tcBorders>
            <w:vAlign w:val="center"/>
          </w:tcPr>
          <w:p w14:paraId="39D0C4EC"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6024BF">
              <w:rPr>
                <w:rFonts w:ascii="Cambria" w:hAnsi="Cambria"/>
                <w:bCs/>
                <w:sz w:val="19"/>
                <w:szCs w:val="19"/>
                <w:lang w:val="es-ES"/>
              </w:rPr>
              <w:t>27 de agosto de 2007</w:t>
            </w:r>
          </w:p>
        </w:tc>
      </w:tr>
      <w:tr w:rsidR="00FC152D" w:rsidRPr="00D74DED" w14:paraId="1D6B0021" w14:textId="77777777" w:rsidTr="00F90D77">
        <w:tc>
          <w:tcPr>
            <w:tcW w:w="3600" w:type="dxa"/>
            <w:shd w:val="clear" w:color="auto" w:fill="386294"/>
            <w:vAlign w:val="center"/>
          </w:tcPr>
          <w:p w14:paraId="66772C2D"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lang w:val="es-ES"/>
              </w:rPr>
            </w:pPr>
            <w:r w:rsidRPr="006024BF">
              <w:rPr>
                <w:rFonts w:ascii="Cambria" w:hAnsi="Cambria"/>
                <w:b/>
                <w:bCs/>
                <w:color w:val="FFFFFF"/>
                <w:sz w:val="19"/>
                <w:szCs w:val="19"/>
                <w:lang w:val="es-ES"/>
              </w:rPr>
              <w:t>Información adicional recibida durante la etapa de estudio:</w:t>
            </w:r>
          </w:p>
        </w:tc>
        <w:tc>
          <w:tcPr>
            <w:tcW w:w="5760" w:type="dxa"/>
            <w:vAlign w:val="center"/>
          </w:tcPr>
          <w:p w14:paraId="04E6983D"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color w:val="FF0000"/>
                <w:sz w:val="19"/>
                <w:szCs w:val="19"/>
                <w:lang w:val="es-AR"/>
              </w:rPr>
            </w:pPr>
            <w:r w:rsidRPr="006024BF">
              <w:rPr>
                <w:rFonts w:ascii="Cambria" w:hAnsi="Cambria"/>
                <w:bCs/>
                <w:sz w:val="19"/>
                <w:szCs w:val="19"/>
                <w:lang w:val="es-ES"/>
              </w:rPr>
              <w:t xml:space="preserve">10 de marzo, </w:t>
            </w:r>
            <w:r w:rsidRPr="006024BF">
              <w:rPr>
                <w:rFonts w:ascii="Cambria" w:hAnsi="Cambria"/>
                <w:bCs/>
                <w:sz w:val="19"/>
                <w:szCs w:val="19"/>
                <w:lang w:val="es-AR"/>
              </w:rPr>
              <w:t>2 de junio  y 19 de diciembre de 2008;  13 de mayo de 2013; 6 de enero de 2014; 19 de febrero de 2016</w:t>
            </w:r>
          </w:p>
        </w:tc>
      </w:tr>
      <w:tr w:rsidR="00FC152D" w:rsidRPr="006024BF" w14:paraId="6A2007CF" w14:textId="77777777" w:rsidTr="00F90D77">
        <w:tc>
          <w:tcPr>
            <w:tcW w:w="3600" w:type="dxa"/>
            <w:shd w:val="clear" w:color="auto" w:fill="386294"/>
            <w:vAlign w:val="center"/>
          </w:tcPr>
          <w:p w14:paraId="2CF0ACA9"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lang w:val="es-ES"/>
              </w:rPr>
            </w:pPr>
            <w:r w:rsidRPr="006024BF">
              <w:rPr>
                <w:rFonts w:ascii="Cambria" w:hAnsi="Cambria"/>
                <w:b/>
                <w:color w:val="FFFFFF"/>
                <w:sz w:val="19"/>
                <w:szCs w:val="19"/>
                <w:lang w:val="es-ES"/>
              </w:rPr>
              <w:t>Notificación de la petición al Estado:</w:t>
            </w:r>
          </w:p>
        </w:tc>
        <w:tc>
          <w:tcPr>
            <w:tcW w:w="5760" w:type="dxa"/>
            <w:vAlign w:val="center"/>
          </w:tcPr>
          <w:p w14:paraId="281C8B7D"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6024BF">
              <w:rPr>
                <w:rFonts w:ascii="Cambria" w:hAnsi="Cambria"/>
                <w:bCs/>
                <w:sz w:val="19"/>
                <w:szCs w:val="19"/>
                <w:lang w:val="es-ES"/>
              </w:rPr>
              <w:t>14 de junio de 2016</w:t>
            </w:r>
          </w:p>
        </w:tc>
      </w:tr>
      <w:tr w:rsidR="00FC152D" w:rsidRPr="006024BF" w14:paraId="05E39F32" w14:textId="77777777" w:rsidTr="00F90D77">
        <w:tc>
          <w:tcPr>
            <w:tcW w:w="3600" w:type="dxa"/>
            <w:shd w:val="clear" w:color="auto" w:fill="386294"/>
            <w:vAlign w:val="center"/>
          </w:tcPr>
          <w:p w14:paraId="69D88263"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lang w:val="es-ES"/>
              </w:rPr>
            </w:pPr>
            <w:r w:rsidRPr="006024BF">
              <w:rPr>
                <w:rFonts w:ascii="Cambria" w:hAnsi="Cambria"/>
                <w:b/>
                <w:color w:val="FFFFFF"/>
                <w:sz w:val="19"/>
                <w:szCs w:val="19"/>
                <w:lang w:val="es-ES"/>
              </w:rPr>
              <w:t>Primera respuesta del Estado:</w:t>
            </w:r>
          </w:p>
        </w:tc>
        <w:tc>
          <w:tcPr>
            <w:tcW w:w="5760" w:type="dxa"/>
            <w:vAlign w:val="center"/>
          </w:tcPr>
          <w:p w14:paraId="320F0946"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6024BF">
              <w:rPr>
                <w:rFonts w:ascii="Cambria" w:hAnsi="Cambria"/>
                <w:bCs/>
                <w:sz w:val="19"/>
                <w:szCs w:val="19"/>
                <w:lang w:val="es-ES"/>
              </w:rPr>
              <w:t>31 de julio de 2017</w:t>
            </w:r>
          </w:p>
        </w:tc>
      </w:tr>
      <w:tr w:rsidR="00FC152D" w:rsidRPr="00D74DED" w14:paraId="4F3468DB" w14:textId="77777777" w:rsidTr="00F90D77">
        <w:tc>
          <w:tcPr>
            <w:tcW w:w="3600" w:type="dxa"/>
            <w:shd w:val="clear" w:color="auto" w:fill="386294"/>
            <w:vAlign w:val="center"/>
          </w:tcPr>
          <w:p w14:paraId="085EEFB3"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lang w:val="es-ES"/>
              </w:rPr>
            </w:pPr>
            <w:r w:rsidRPr="006024BF">
              <w:rPr>
                <w:rFonts w:ascii="Cambria" w:hAnsi="Cambria"/>
                <w:b/>
                <w:bCs/>
                <w:color w:val="FFFFFF"/>
                <w:sz w:val="19"/>
                <w:szCs w:val="19"/>
                <w:lang w:val="es-ES"/>
              </w:rPr>
              <w:t>Observaciones adicionales de la parte peticionaria:</w:t>
            </w:r>
          </w:p>
        </w:tc>
        <w:tc>
          <w:tcPr>
            <w:tcW w:w="5760" w:type="dxa"/>
            <w:vAlign w:val="center"/>
          </w:tcPr>
          <w:p w14:paraId="3D1E51C9"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6024BF">
              <w:rPr>
                <w:rFonts w:ascii="Cambria" w:hAnsi="Cambria"/>
                <w:bCs/>
                <w:sz w:val="19"/>
                <w:szCs w:val="19"/>
                <w:lang w:val="es-ES"/>
              </w:rPr>
              <w:t>10 de octubre de 2017; 14 de junio de 2018; y 20 de diciembre de 2018</w:t>
            </w:r>
          </w:p>
        </w:tc>
      </w:tr>
      <w:tr w:rsidR="00FC152D" w:rsidRPr="006024BF" w14:paraId="1A07A103" w14:textId="77777777" w:rsidTr="00F90D77">
        <w:tc>
          <w:tcPr>
            <w:tcW w:w="3600" w:type="dxa"/>
            <w:tcBorders>
              <w:bottom w:val="single" w:sz="4" w:space="0" w:color="auto"/>
            </w:tcBorders>
            <w:shd w:val="clear" w:color="auto" w:fill="386294"/>
            <w:vAlign w:val="center"/>
          </w:tcPr>
          <w:p w14:paraId="28A7756C"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lang w:val="es-ES"/>
              </w:rPr>
            </w:pPr>
            <w:r w:rsidRPr="006024BF">
              <w:rPr>
                <w:rFonts w:ascii="Cambria" w:hAnsi="Cambria"/>
                <w:b/>
                <w:bCs/>
                <w:color w:val="FFFFFF"/>
                <w:sz w:val="19"/>
                <w:szCs w:val="19"/>
                <w:lang w:val="es-ES"/>
              </w:rPr>
              <w:t>Observaciones adicionales del Estado:</w:t>
            </w:r>
          </w:p>
        </w:tc>
        <w:tc>
          <w:tcPr>
            <w:tcW w:w="5760" w:type="dxa"/>
            <w:tcBorders>
              <w:bottom w:val="single" w:sz="4" w:space="0" w:color="auto"/>
            </w:tcBorders>
            <w:vAlign w:val="center"/>
          </w:tcPr>
          <w:p w14:paraId="3B507E3C"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6024BF">
              <w:rPr>
                <w:rFonts w:ascii="Cambria" w:hAnsi="Cambria"/>
                <w:bCs/>
                <w:sz w:val="19"/>
                <w:szCs w:val="19"/>
                <w:lang w:val="es-ES"/>
              </w:rPr>
              <w:t>22 de enero de 2019</w:t>
            </w:r>
          </w:p>
        </w:tc>
      </w:tr>
    </w:tbl>
    <w:p w14:paraId="31B8A211" w14:textId="77777777" w:rsidR="00FC152D" w:rsidRPr="006024BF" w:rsidRDefault="00FC152D" w:rsidP="00BD3652">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19"/>
          <w:szCs w:val="19"/>
          <w:lang w:val="es-ES"/>
        </w:rPr>
      </w:pPr>
      <w:r w:rsidRPr="006024BF">
        <w:rPr>
          <w:rFonts w:ascii="Cambria" w:hAnsi="Cambria"/>
          <w:b/>
          <w:bCs/>
          <w:sz w:val="19"/>
          <w:szCs w:val="19"/>
          <w:lang w:val="es-ES"/>
        </w:rPr>
        <w:t xml:space="preserve">III. </w:t>
      </w:r>
      <w:r w:rsidRPr="006024BF">
        <w:rPr>
          <w:rFonts w:ascii="Cambria" w:hAnsi="Cambria"/>
          <w:b/>
          <w:bCs/>
          <w:sz w:val="19"/>
          <w:szCs w:val="19"/>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1"/>
        <w:gridCol w:w="5681"/>
      </w:tblGrid>
      <w:tr w:rsidR="00FC152D" w:rsidRPr="006024BF" w14:paraId="691E7160" w14:textId="77777777" w:rsidTr="00F90D77">
        <w:trPr>
          <w:cantSplit/>
        </w:trPr>
        <w:tc>
          <w:tcPr>
            <w:tcW w:w="3600" w:type="dxa"/>
            <w:tcBorders>
              <w:top w:val="single" w:sz="4" w:space="0" w:color="auto"/>
            </w:tcBorders>
            <w:shd w:val="clear" w:color="auto" w:fill="386294"/>
            <w:vAlign w:val="center"/>
          </w:tcPr>
          <w:p w14:paraId="132E45F0"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19"/>
                <w:szCs w:val="19"/>
              </w:rPr>
            </w:pPr>
            <w:proofErr w:type="spellStart"/>
            <w:r w:rsidRPr="006024BF">
              <w:rPr>
                <w:rFonts w:ascii="Cambria" w:hAnsi="Cambria"/>
                <w:b/>
                <w:bCs/>
                <w:color w:val="FFFFFF"/>
                <w:sz w:val="19"/>
                <w:szCs w:val="19"/>
              </w:rPr>
              <w:t>Competencia</w:t>
            </w:r>
            <w:proofErr w:type="spellEnd"/>
            <w:r w:rsidRPr="006024BF">
              <w:rPr>
                <w:rFonts w:ascii="Cambria" w:hAnsi="Cambria"/>
                <w:b/>
                <w:bCs/>
                <w:i/>
                <w:color w:val="FFFFFF"/>
                <w:sz w:val="19"/>
                <w:szCs w:val="19"/>
              </w:rPr>
              <w:t xml:space="preserve"> </w:t>
            </w:r>
            <w:proofErr w:type="spellStart"/>
            <w:r w:rsidRPr="006024BF">
              <w:rPr>
                <w:rFonts w:ascii="Cambria" w:hAnsi="Cambria"/>
                <w:b/>
                <w:bCs/>
                <w:i/>
                <w:color w:val="FFFFFF"/>
                <w:sz w:val="19"/>
                <w:szCs w:val="19"/>
              </w:rPr>
              <w:t>Ratione</w:t>
            </w:r>
            <w:proofErr w:type="spellEnd"/>
            <w:r w:rsidRPr="006024BF">
              <w:rPr>
                <w:rFonts w:ascii="Cambria" w:hAnsi="Cambria"/>
                <w:b/>
                <w:bCs/>
                <w:i/>
                <w:color w:val="FFFFFF"/>
                <w:sz w:val="19"/>
                <w:szCs w:val="19"/>
              </w:rPr>
              <w:t xml:space="preserve"> personae:</w:t>
            </w:r>
          </w:p>
        </w:tc>
        <w:tc>
          <w:tcPr>
            <w:tcW w:w="5760" w:type="dxa"/>
            <w:tcBorders>
              <w:top w:val="single" w:sz="4" w:space="0" w:color="auto"/>
            </w:tcBorders>
            <w:vAlign w:val="center"/>
          </w:tcPr>
          <w:p w14:paraId="713DC0E8" w14:textId="77777777" w:rsidR="00FC152D" w:rsidRPr="006024BF" w:rsidRDefault="00FC152D" w:rsidP="00023CAB">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proofErr w:type="spellStart"/>
            <w:r w:rsidRPr="006024BF">
              <w:rPr>
                <w:rFonts w:ascii="Cambria" w:hAnsi="Cambria"/>
                <w:bCs/>
                <w:sz w:val="19"/>
                <w:szCs w:val="19"/>
              </w:rPr>
              <w:t>Sí</w:t>
            </w:r>
            <w:proofErr w:type="spellEnd"/>
          </w:p>
        </w:tc>
      </w:tr>
      <w:tr w:rsidR="00FC152D" w:rsidRPr="006024BF" w14:paraId="7476CE50" w14:textId="77777777" w:rsidTr="00F90D77">
        <w:trPr>
          <w:cantSplit/>
        </w:trPr>
        <w:tc>
          <w:tcPr>
            <w:tcW w:w="3600" w:type="dxa"/>
            <w:shd w:val="clear" w:color="auto" w:fill="386294"/>
            <w:vAlign w:val="center"/>
          </w:tcPr>
          <w:p w14:paraId="4FF05BB2"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proofErr w:type="spellStart"/>
            <w:r w:rsidRPr="006024BF">
              <w:rPr>
                <w:rFonts w:ascii="Cambria" w:hAnsi="Cambria"/>
                <w:b/>
                <w:bCs/>
                <w:color w:val="FFFFFF"/>
                <w:sz w:val="19"/>
                <w:szCs w:val="19"/>
              </w:rPr>
              <w:t>Competencia</w:t>
            </w:r>
            <w:proofErr w:type="spellEnd"/>
            <w:r w:rsidRPr="006024BF">
              <w:rPr>
                <w:rFonts w:ascii="Cambria" w:hAnsi="Cambria"/>
                <w:b/>
                <w:bCs/>
                <w:i/>
                <w:color w:val="FFFFFF"/>
                <w:sz w:val="19"/>
                <w:szCs w:val="19"/>
              </w:rPr>
              <w:t xml:space="preserve"> </w:t>
            </w:r>
            <w:proofErr w:type="spellStart"/>
            <w:r w:rsidRPr="006024BF">
              <w:rPr>
                <w:rFonts w:ascii="Cambria" w:hAnsi="Cambria"/>
                <w:b/>
                <w:bCs/>
                <w:i/>
                <w:color w:val="FFFFFF"/>
                <w:sz w:val="19"/>
                <w:szCs w:val="19"/>
              </w:rPr>
              <w:t>Ratione</w:t>
            </w:r>
            <w:proofErr w:type="spellEnd"/>
            <w:r w:rsidRPr="006024BF">
              <w:rPr>
                <w:rFonts w:ascii="Cambria" w:hAnsi="Cambria"/>
                <w:b/>
                <w:bCs/>
                <w:i/>
                <w:color w:val="FFFFFF"/>
                <w:sz w:val="19"/>
                <w:szCs w:val="19"/>
              </w:rPr>
              <w:t xml:space="preserve"> loci</w:t>
            </w:r>
            <w:r w:rsidRPr="006024BF">
              <w:rPr>
                <w:rFonts w:ascii="Cambria" w:hAnsi="Cambria"/>
                <w:b/>
                <w:bCs/>
                <w:color w:val="FFFFFF"/>
                <w:sz w:val="19"/>
                <w:szCs w:val="19"/>
              </w:rPr>
              <w:t>:</w:t>
            </w:r>
          </w:p>
        </w:tc>
        <w:tc>
          <w:tcPr>
            <w:tcW w:w="5760" w:type="dxa"/>
            <w:vAlign w:val="center"/>
          </w:tcPr>
          <w:p w14:paraId="52FAA41D" w14:textId="77777777" w:rsidR="00FC152D" w:rsidRPr="006024BF" w:rsidRDefault="00FC152D" w:rsidP="00023CAB">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proofErr w:type="spellStart"/>
            <w:r w:rsidRPr="006024BF">
              <w:rPr>
                <w:rFonts w:ascii="Cambria" w:hAnsi="Cambria"/>
                <w:bCs/>
                <w:sz w:val="19"/>
                <w:szCs w:val="19"/>
              </w:rPr>
              <w:t>Sí</w:t>
            </w:r>
            <w:proofErr w:type="spellEnd"/>
          </w:p>
        </w:tc>
      </w:tr>
      <w:tr w:rsidR="00FC152D" w:rsidRPr="006024BF" w14:paraId="463350F8" w14:textId="77777777" w:rsidTr="00F90D77">
        <w:trPr>
          <w:cantSplit/>
        </w:trPr>
        <w:tc>
          <w:tcPr>
            <w:tcW w:w="3600" w:type="dxa"/>
            <w:shd w:val="clear" w:color="auto" w:fill="386294"/>
            <w:vAlign w:val="center"/>
          </w:tcPr>
          <w:p w14:paraId="0CD5D4D7"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proofErr w:type="spellStart"/>
            <w:r w:rsidRPr="006024BF">
              <w:rPr>
                <w:rFonts w:ascii="Cambria" w:hAnsi="Cambria"/>
                <w:b/>
                <w:bCs/>
                <w:color w:val="FFFFFF"/>
                <w:sz w:val="19"/>
                <w:szCs w:val="19"/>
              </w:rPr>
              <w:t>Competencia</w:t>
            </w:r>
            <w:proofErr w:type="spellEnd"/>
            <w:r w:rsidRPr="006024BF">
              <w:rPr>
                <w:rFonts w:ascii="Cambria" w:hAnsi="Cambria"/>
                <w:b/>
                <w:bCs/>
                <w:i/>
                <w:color w:val="FFFFFF"/>
                <w:sz w:val="19"/>
                <w:szCs w:val="19"/>
              </w:rPr>
              <w:t xml:space="preserve"> </w:t>
            </w:r>
            <w:proofErr w:type="spellStart"/>
            <w:r w:rsidRPr="006024BF">
              <w:rPr>
                <w:rFonts w:ascii="Cambria" w:hAnsi="Cambria"/>
                <w:b/>
                <w:bCs/>
                <w:i/>
                <w:color w:val="FFFFFF"/>
                <w:sz w:val="19"/>
                <w:szCs w:val="19"/>
              </w:rPr>
              <w:t>Ratione</w:t>
            </w:r>
            <w:proofErr w:type="spellEnd"/>
            <w:r w:rsidRPr="006024BF">
              <w:rPr>
                <w:rFonts w:ascii="Cambria" w:hAnsi="Cambria"/>
                <w:b/>
                <w:bCs/>
                <w:i/>
                <w:color w:val="FFFFFF"/>
                <w:sz w:val="19"/>
                <w:szCs w:val="19"/>
              </w:rPr>
              <w:t xml:space="preserve"> </w:t>
            </w:r>
            <w:proofErr w:type="spellStart"/>
            <w:r w:rsidRPr="006024BF">
              <w:rPr>
                <w:rFonts w:ascii="Cambria" w:hAnsi="Cambria"/>
                <w:b/>
                <w:bCs/>
                <w:i/>
                <w:color w:val="FFFFFF"/>
                <w:sz w:val="19"/>
                <w:szCs w:val="19"/>
              </w:rPr>
              <w:t>temporis</w:t>
            </w:r>
            <w:proofErr w:type="spellEnd"/>
            <w:r w:rsidRPr="006024BF">
              <w:rPr>
                <w:rFonts w:ascii="Cambria" w:hAnsi="Cambria"/>
                <w:b/>
                <w:bCs/>
                <w:color w:val="FFFFFF"/>
                <w:sz w:val="19"/>
                <w:szCs w:val="19"/>
              </w:rPr>
              <w:t>:</w:t>
            </w:r>
          </w:p>
        </w:tc>
        <w:tc>
          <w:tcPr>
            <w:tcW w:w="5760" w:type="dxa"/>
            <w:vAlign w:val="center"/>
          </w:tcPr>
          <w:p w14:paraId="025306AA" w14:textId="77777777" w:rsidR="00FC152D" w:rsidRPr="006024BF" w:rsidRDefault="00FC152D" w:rsidP="00023CAB">
            <w:pPr>
              <w:pBdr>
                <w:top w:val="none" w:sz="0" w:space="0" w:color="auto"/>
                <w:left w:val="none" w:sz="0" w:space="0" w:color="auto"/>
                <w:bottom w:val="none" w:sz="0" w:space="0" w:color="auto"/>
                <w:right w:val="none" w:sz="0" w:space="0" w:color="auto"/>
                <w:bar w:val="none" w:sz="0" w:color="auto"/>
              </w:pBdr>
              <w:rPr>
                <w:rFonts w:ascii="Cambria" w:hAnsi="Cambria"/>
                <w:bCs/>
                <w:sz w:val="19"/>
                <w:szCs w:val="19"/>
              </w:rPr>
            </w:pPr>
            <w:proofErr w:type="spellStart"/>
            <w:r w:rsidRPr="006024BF">
              <w:rPr>
                <w:rFonts w:ascii="Cambria" w:hAnsi="Cambria"/>
                <w:bCs/>
                <w:sz w:val="19"/>
                <w:szCs w:val="19"/>
              </w:rPr>
              <w:t>Sí</w:t>
            </w:r>
            <w:proofErr w:type="spellEnd"/>
          </w:p>
        </w:tc>
      </w:tr>
      <w:tr w:rsidR="00FC152D" w:rsidRPr="00D74DED" w14:paraId="1684704B" w14:textId="77777777" w:rsidTr="00F90D77">
        <w:trPr>
          <w:cantSplit/>
        </w:trPr>
        <w:tc>
          <w:tcPr>
            <w:tcW w:w="3600" w:type="dxa"/>
            <w:tcBorders>
              <w:bottom w:val="single" w:sz="4" w:space="0" w:color="auto"/>
            </w:tcBorders>
            <w:shd w:val="clear" w:color="auto" w:fill="386294"/>
            <w:vAlign w:val="center"/>
          </w:tcPr>
          <w:p w14:paraId="39B61030"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proofErr w:type="spellStart"/>
            <w:r w:rsidRPr="006024BF">
              <w:rPr>
                <w:rFonts w:ascii="Cambria" w:hAnsi="Cambria"/>
                <w:b/>
                <w:bCs/>
                <w:color w:val="FFFFFF"/>
                <w:sz w:val="19"/>
                <w:szCs w:val="19"/>
              </w:rPr>
              <w:t>Competencia</w:t>
            </w:r>
            <w:proofErr w:type="spellEnd"/>
            <w:r w:rsidRPr="006024BF">
              <w:rPr>
                <w:rFonts w:ascii="Cambria" w:hAnsi="Cambria"/>
                <w:b/>
                <w:bCs/>
                <w:i/>
                <w:color w:val="FFFFFF"/>
                <w:sz w:val="19"/>
                <w:szCs w:val="19"/>
              </w:rPr>
              <w:t xml:space="preserve"> </w:t>
            </w:r>
            <w:proofErr w:type="spellStart"/>
            <w:r w:rsidRPr="006024BF">
              <w:rPr>
                <w:rFonts w:ascii="Cambria" w:hAnsi="Cambria"/>
                <w:b/>
                <w:bCs/>
                <w:i/>
                <w:color w:val="FFFFFF"/>
                <w:sz w:val="19"/>
                <w:szCs w:val="19"/>
              </w:rPr>
              <w:t>Ratione</w:t>
            </w:r>
            <w:proofErr w:type="spellEnd"/>
            <w:r w:rsidRPr="006024BF">
              <w:rPr>
                <w:rFonts w:ascii="Cambria" w:hAnsi="Cambria"/>
                <w:b/>
                <w:bCs/>
                <w:i/>
                <w:color w:val="FFFFFF"/>
                <w:sz w:val="19"/>
                <w:szCs w:val="19"/>
              </w:rPr>
              <w:t xml:space="preserve"> </w:t>
            </w:r>
            <w:proofErr w:type="spellStart"/>
            <w:r w:rsidRPr="006024BF">
              <w:rPr>
                <w:rFonts w:ascii="Cambria" w:hAnsi="Cambria"/>
                <w:b/>
                <w:bCs/>
                <w:i/>
                <w:color w:val="FFFFFF"/>
                <w:sz w:val="19"/>
                <w:szCs w:val="19"/>
              </w:rPr>
              <w:t>materiae</w:t>
            </w:r>
            <w:proofErr w:type="spellEnd"/>
            <w:r w:rsidRPr="006024BF">
              <w:rPr>
                <w:rFonts w:ascii="Cambria" w:hAnsi="Cambria"/>
                <w:b/>
                <w:bCs/>
                <w:color w:val="FFFFFF"/>
                <w:sz w:val="19"/>
                <w:szCs w:val="19"/>
              </w:rPr>
              <w:t>:</w:t>
            </w:r>
          </w:p>
        </w:tc>
        <w:tc>
          <w:tcPr>
            <w:tcW w:w="5760" w:type="dxa"/>
            <w:tcBorders>
              <w:bottom w:val="single" w:sz="4" w:space="0" w:color="auto"/>
            </w:tcBorders>
            <w:vAlign w:val="center"/>
          </w:tcPr>
          <w:p w14:paraId="1897E6F8"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6024BF">
              <w:rPr>
                <w:rFonts w:ascii="Cambria" w:hAnsi="Cambria"/>
                <w:bCs/>
                <w:sz w:val="19"/>
                <w:szCs w:val="19"/>
                <w:lang w:val="es-ES"/>
              </w:rPr>
              <w:t>Sí, Convención Americana (depósito del instrumento de ratificación realizado el 5 de septiembre de 1984); y Convención Belém do Pará (depósito del instrumento de ratificación realizado el 5 de julio de 1996)</w:t>
            </w:r>
          </w:p>
        </w:tc>
      </w:tr>
    </w:tbl>
    <w:p w14:paraId="71D4A990" w14:textId="77777777" w:rsidR="00FC152D" w:rsidRPr="006024BF" w:rsidRDefault="00FC152D" w:rsidP="00BD3652">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19"/>
          <w:szCs w:val="19"/>
          <w:lang w:val="es-ES"/>
        </w:rPr>
      </w:pPr>
      <w:r w:rsidRPr="006024BF">
        <w:rPr>
          <w:rFonts w:ascii="Cambria" w:hAnsi="Cambria"/>
          <w:b/>
          <w:bCs/>
          <w:sz w:val="19"/>
          <w:szCs w:val="19"/>
          <w:lang w:val="es-ES"/>
        </w:rPr>
        <w:t xml:space="preserve">IV. </w:t>
      </w:r>
      <w:r w:rsidRPr="006024BF">
        <w:rPr>
          <w:rFonts w:ascii="Cambria" w:hAnsi="Cambria"/>
          <w:b/>
          <w:bCs/>
          <w:sz w:val="19"/>
          <w:szCs w:val="19"/>
          <w:lang w:val="es-ES"/>
        </w:rPr>
        <w:tab/>
        <w:t>DUPLICACIÓN</w:t>
      </w:r>
      <w:r w:rsidRPr="006024BF">
        <w:rPr>
          <w:rFonts w:ascii="Cambria" w:hAnsi="Cambria"/>
          <w:b/>
          <w:bCs/>
          <w:color w:val="FFFFFF"/>
          <w:sz w:val="19"/>
          <w:szCs w:val="19"/>
          <w:lang w:val="es-ES"/>
        </w:rPr>
        <w:t xml:space="preserve"> </w:t>
      </w:r>
      <w:r w:rsidRPr="006024BF">
        <w:rPr>
          <w:rFonts w:ascii="Cambria" w:hAnsi="Cambria"/>
          <w:b/>
          <w:bCs/>
          <w:sz w:val="19"/>
          <w:szCs w:val="19"/>
          <w:lang w:val="es-ES"/>
        </w:rPr>
        <w:t>DE PROCEDIMIENTOS Y COSA JUZGADA</w:t>
      </w:r>
      <w:r w:rsidRPr="006024BF">
        <w:rPr>
          <w:rFonts w:ascii="Cambria" w:hAnsi="Cambria"/>
          <w:b/>
          <w:bCs/>
          <w:i/>
          <w:sz w:val="19"/>
          <w:szCs w:val="19"/>
          <w:lang w:val="es-ES"/>
        </w:rPr>
        <w:t xml:space="preserve"> </w:t>
      </w:r>
      <w:r w:rsidRPr="006024BF">
        <w:rPr>
          <w:rFonts w:ascii="Cambria" w:hAnsi="Cambria"/>
          <w:b/>
          <w:bCs/>
          <w:sz w:val="19"/>
          <w:szCs w:val="19"/>
          <w:lang w:val="es-ES"/>
        </w:rPr>
        <w:t xml:space="preserve">INTERNACIONAL,  CARACTERIZACIÓN, </w:t>
      </w:r>
      <w:r w:rsidRPr="006024BF">
        <w:rPr>
          <w:rFonts w:ascii="Cambria" w:hAnsi="Cambria"/>
          <w:b/>
          <w:sz w:val="19"/>
          <w:szCs w:val="19"/>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3"/>
        <w:gridCol w:w="5679"/>
      </w:tblGrid>
      <w:tr w:rsidR="00FC152D" w:rsidRPr="006024BF" w14:paraId="568CDF24" w14:textId="77777777" w:rsidTr="00F90D77">
        <w:trPr>
          <w:cantSplit/>
        </w:trPr>
        <w:tc>
          <w:tcPr>
            <w:tcW w:w="3600" w:type="dxa"/>
            <w:tcBorders>
              <w:top w:val="single" w:sz="4" w:space="0" w:color="auto"/>
            </w:tcBorders>
            <w:shd w:val="clear" w:color="auto" w:fill="386294"/>
            <w:vAlign w:val="center"/>
          </w:tcPr>
          <w:p w14:paraId="0679DB9F"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lang w:val="es-ES"/>
              </w:rPr>
            </w:pPr>
            <w:r w:rsidRPr="006024BF">
              <w:rPr>
                <w:rFonts w:ascii="Cambria" w:hAnsi="Cambria"/>
                <w:b/>
                <w:bCs/>
                <w:color w:val="FFFFFF"/>
                <w:sz w:val="19"/>
                <w:szCs w:val="19"/>
                <w:lang w:val="es-ES"/>
              </w:rPr>
              <w:t>Duplicación de procedimientos y cosa juzgada internacional:</w:t>
            </w:r>
          </w:p>
        </w:tc>
        <w:tc>
          <w:tcPr>
            <w:tcW w:w="5760" w:type="dxa"/>
            <w:tcBorders>
              <w:top w:val="single" w:sz="4" w:space="0" w:color="auto"/>
            </w:tcBorders>
            <w:vAlign w:val="center"/>
          </w:tcPr>
          <w:p w14:paraId="0BEB223B"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6024BF">
              <w:rPr>
                <w:rFonts w:ascii="Cambria" w:hAnsi="Cambria"/>
                <w:bCs/>
                <w:sz w:val="19"/>
                <w:szCs w:val="19"/>
                <w:lang w:val="es-ES"/>
              </w:rPr>
              <w:t>No</w:t>
            </w:r>
          </w:p>
        </w:tc>
      </w:tr>
      <w:tr w:rsidR="00FC152D" w:rsidRPr="00D74DED" w14:paraId="33DA9C8A" w14:textId="77777777" w:rsidTr="00F90D77">
        <w:trPr>
          <w:cantSplit/>
        </w:trPr>
        <w:tc>
          <w:tcPr>
            <w:tcW w:w="3600" w:type="dxa"/>
            <w:tcBorders>
              <w:top w:val="single" w:sz="4" w:space="0" w:color="auto"/>
            </w:tcBorders>
            <w:shd w:val="clear" w:color="auto" w:fill="386294"/>
            <w:vAlign w:val="center"/>
          </w:tcPr>
          <w:p w14:paraId="75593A46"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19"/>
                <w:szCs w:val="19"/>
              </w:rPr>
            </w:pPr>
            <w:r w:rsidRPr="006024BF">
              <w:rPr>
                <w:rFonts w:ascii="Cambria" w:hAnsi="Cambria"/>
                <w:b/>
                <w:bCs/>
                <w:color w:val="FFFFFF"/>
                <w:sz w:val="19"/>
                <w:szCs w:val="19"/>
              </w:rPr>
              <w:t xml:space="preserve">Derechos </w:t>
            </w:r>
            <w:proofErr w:type="spellStart"/>
            <w:r w:rsidRPr="006024BF">
              <w:rPr>
                <w:rFonts w:ascii="Cambria" w:hAnsi="Cambria"/>
                <w:b/>
                <w:bCs/>
                <w:color w:val="FFFFFF"/>
                <w:sz w:val="19"/>
                <w:szCs w:val="19"/>
              </w:rPr>
              <w:t>declarados</w:t>
            </w:r>
            <w:proofErr w:type="spellEnd"/>
            <w:r w:rsidRPr="006024BF">
              <w:rPr>
                <w:rFonts w:ascii="Cambria" w:hAnsi="Cambria"/>
                <w:b/>
                <w:bCs/>
                <w:color w:val="FFFFFF"/>
                <w:sz w:val="19"/>
                <w:szCs w:val="19"/>
              </w:rPr>
              <w:t xml:space="preserve"> </w:t>
            </w:r>
            <w:proofErr w:type="spellStart"/>
            <w:r w:rsidRPr="006024BF">
              <w:rPr>
                <w:rFonts w:ascii="Cambria" w:hAnsi="Cambria"/>
                <w:b/>
                <w:bCs/>
                <w:color w:val="FFFFFF"/>
                <w:sz w:val="19"/>
                <w:szCs w:val="19"/>
              </w:rPr>
              <w:t>admisibles</w:t>
            </w:r>
            <w:proofErr w:type="spellEnd"/>
            <w:r w:rsidRPr="006024BF">
              <w:rPr>
                <w:rFonts w:ascii="Cambria" w:hAnsi="Cambria"/>
                <w:b/>
                <w:bCs/>
                <w:i/>
                <w:color w:val="FFFFFF"/>
                <w:sz w:val="19"/>
                <w:szCs w:val="19"/>
              </w:rPr>
              <w:t>:</w:t>
            </w:r>
          </w:p>
        </w:tc>
        <w:tc>
          <w:tcPr>
            <w:tcW w:w="5760" w:type="dxa"/>
            <w:vAlign w:val="center"/>
          </w:tcPr>
          <w:p w14:paraId="7B1D733B"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US"/>
              </w:rPr>
            </w:pPr>
            <w:r w:rsidRPr="006024BF">
              <w:rPr>
                <w:rFonts w:ascii="Cambria" w:hAnsi="Cambria"/>
                <w:bCs/>
                <w:sz w:val="19"/>
                <w:szCs w:val="19"/>
                <w:lang w:val="es-US"/>
              </w:rPr>
              <w:t>Artículos 8 (garantías judiciales), 21 (propiedad privada) y 25 (protección judicial) de la Convención Americana en relación con sus artículos 1.1 (deber de respetar los derechos), 2 (deber de adoptar disposiciones de derecho interno), 5 (integridad personal) y 11 (honra y dignidad); y Artículo 7 de la Convención Belém do Pará</w:t>
            </w:r>
          </w:p>
        </w:tc>
      </w:tr>
      <w:tr w:rsidR="00FC152D" w:rsidRPr="00D74DED" w14:paraId="1BA85100" w14:textId="77777777" w:rsidTr="00F90D77">
        <w:trPr>
          <w:cantSplit/>
        </w:trPr>
        <w:tc>
          <w:tcPr>
            <w:tcW w:w="3600" w:type="dxa"/>
            <w:shd w:val="clear" w:color="auto" w:fill="386294"/>
            <w:vAlign w:val="center"/>
          </w:tcPr>
          <w:p w14:paraId="64B42895"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lang w:val="es-ES"/>
              </w:rPr>
            </w:pPr>
            <w:r w:rsidRPr="006024BF">
              <w:rPr>
                <w:rFonts w:ascii="Cambria" w:hAnsi="Cambria"/>
                <w:b/>
                <w:bCs/>
                <w:color w:val="FFFFFF"/>
                <w:sz w:val="19"/>
                <w:szCs w:val="19"/>
                <w:lang w:val="es-ES"/>
              </w:rPr>
              <w:lastRenderedPageBreak/>
              <w:t>Agotamiento de recursos internos o procedencia de una excepción:</w:t>
            </w:r>
          </w:p>
        </w:tc>
        <w:tc>
          <w:tcPr>
            <w:tcW w:w="5760" w:type="dxa"/>
            <w:vAlign w:val="center"/>
          </w:tcPr>
          <w:p w14:paraId="6E85BCC9" w14:textId="77777777" w:rsidR="00FC152D" w:rsidRPr="006024BF" w:rsidRDefault="00FC152D" w:rsidP="005F76DF">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6024BF">
              <w:rPr>
                <w:rFonts w:ascii="Cambria" w:hAnsi="Cambria"/>
                <w:bCs/>
                <w:sz w:val="19"/>
                <w:szCs w:val="19"/>
                <w:lang w:val="es-ES"/>
              </w:rPr>
              <w:t>Sí, en los términos de la sección VI</w:t>
            </w:r>
          </w:p>
        </w:tc>
      </w:tr>
      <w:tr w:rsidR="00FC152D" w:rsidRPr="00D74DED" w14:paraId="6C279EA2" w14:textId="77777777" w:rsidTr="00F90D77">
        <w:trPr>
          <w:cantSplit/>
        </w:trPr>
        <w:tc>
          <w:tcPr>
            <w:tcW w:w="3600" w:type="dxa"/>
            <w:tcBorders>
              <w:bottom w:val="single" w:sz="4" w:space="0" w:color="auto"/>
            </w:tcBorders>
            <w:shd w:val="clear" w:color="auto" w:fill="386294"/>
            <w:vAlign w:val="center"/>
          </w:tcPr>
          <w:p w14:paraId="233828B8" w14:textId="77777777" w:rsidR="00FC152D" w:rsidRPr="006024BF" w:rsidRDefault="00FC152D" w:rsidP="00F90D77">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19"/>
                <w:szCs w:val="19"/>
              </w:rPr>
            </w:pPr>
            <w:proofErr w:type="spellStart"/>
            <w:r w:rsidRPr="006024BF">
              <w:rPr>
                <w:rFonts w:ascii="Cambria" w:hAnsi="Cambria"/>
                <w:b/>
                <w:bCs/>
                <w:color w:val="FFFFFF"/>
                <w:sz w:val="19"/>
                <w:szCs w:val="19"/>
              </w:rPr>
              <w:t>Presentación</w:t>
            </w:r>
            <w:proofErr w:type="spellEnd"/>
            <w:r w:rsidRPr="006024BF">
              <w:rPr>
                <w:rFonts w:ascii="Cambria" w:hAnsi="Cambria"/>
                <w:b/>
                <w:bCs/>
                <w:color w:val="FFFFFF"/>
                <w:sz w:val="19"/>
                <w:szCs w:val="19"/>
              </w:rPr>
              <w:t xml:space="preserve"> </w:t>
            </w:r>
            <w:proofErr w:type="spellStart"/>
            <w:r w:rsidRPr="006024BF">
              <w:rPr>
                <w:rFonts w:ascii="Cambria" w:hAnsi="Cambria"/>
                <w:b/>
                <w:bCs/>
                <w:color w:val="FFFFFF"/>
                <w:sz w:val="19"/>
                <w:szCs w:val="19"/>
              </w:rPr>
              <w:t>dentro</w:t>
            </w:r>
            <w:proofErr w:type="spellEnd"/>
            <w:r w:rsidRPr="006024BF">
              <w:rPr>
                <w:rFonts w:ascii="Cambria" w:hAnsi="Cambria"/>
                <w:b/>
                <w:bCs/>
                <w:color w:val="FFFFFF"/>
                <w:sz w:val="19"/>
                <w:szCs w:val="19"/>
              </w:rPr>
              <w:t xml:space="preserve"> de </w:t>
            </w:r>
            <w:proofErr w:type="spellStart"/>
            <w:r w:rsidRPr="006024BF">
              <w:rPr>
                <w:rFonts w:ascii="Cambria" w:hAnsi="Cambria"/>
                <w:b/>
                <w:bCs/>
                <w:color w:val="FFFFFF"/>
                <w:sz w:val="19"/>
                <w:szCs w:val="19"/>
              </w:rPr>
              <w:t>plazo</w:t>
            </w:r>
            <w:proofErr w:type="spellEnd"/>
            <w:r w:rsidRPr="006024BF">
              <w:rPr>
                <w:rFonts w:ascii="Cambria" w:hAnsi="Cambria"/>
                <w:b/>
                <w:bCs/>
                <w:color w:val="FFFFFF"/>
                <w:sz w:val="19"/>
                <w:szCs w:val="19"/>
              </w:rPr>
              <w:t>:</w:t>
            </w:r>
          </w:p>
        </w:tc>
        <w:tc>
          <w:tcPr>
            <w:tcW w:w="5760" w:type="dxa"/>
            <w:tcBorders>
              <w:bottom w:val="single" w:sz="4" w:space="0" w:color="auto"/>
            </w:tcBorders>
            <w:vAlign w:val="center"/>
          </w:tcPr>
          <w:p w14:paraId="3C7EEBC4" w14:textId="77777777" w:rsidR="00FC152D" w:rsidRPr="006024BF" w:rsidRDefault="00FC152D" w:rsidP="005F76DF">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6024BF">
              <w:rPr>
                <w:rFonts w:ascii="Cambria" w:hAnsi="Cambria"/>
                <w:bCs/>
                <w:sz w:val="19"/>
                <w:szCs w:val="19"/>
                <w:lang w:val="es-ES"/>
              </w:rPr>
              <w:t>Sí,  en los términos de la sección VI</w:t>
            </w:r>
          </w:p>
        </w:tc>
      </w:tr>
    </w:tbl>
    <w:p w14:paraId="46FDA44A" w14:textId="77777777" w:rsidR="00FC152D" w:rsidRPr="006024BF" w:rsidRDefault="00FC152D" w:rsidP="005A55D9">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r w:rsidRPr="006024BF">
        <w:rPr>
          <w:rFonts w:ascii="Cambria" w:hAnsi="Cambria"/>
          <w:b/>
          <w:sz w:val="20"/>
          <w:szCs w:val="20"/>
          <w:lang w:val="es-UY"/>
        </w:rPr>
        <w:t xml:space="preserve">V. </w:t>
      </w:r>
      <w:r w:rsidRPr="006024BF">
        <w:rPr>
          <w:rFonts w:ascii="Cambria" w:hAnsi="Cambria"/>
          <w:b/>
          <w:sz w:val="20"/>
          <w:szCs w:val="20"/>
          <w:lang w:val="es-UY"/>
        </w:rPr>
        <w:tab/>
        <w:t>HECHOS ALEGADOS</w:t>
      </w:r>
    </w:p>
    <w:p w14:paraId="0B94730B" w14:textId="77777777" w:rsidR="00FC152D" w:rsidRPr="006024BF" w:rsidRDefault="00FC152D" w:rsidP="00DC71F7">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bCs/>
          <w:sz w:val="20"/>
          <w:szCs w:val="20"/>
          <w:lang w:val="es-US"/>
        </w:rPr>
        <w:t xml:space="preserve">Josefina </w:t>
      </w:r>
      <w:proofErr w:type="spellStart"/>
      <w:r w:rsidRPr="006024BF">
        <w:rPr>
          <w:rFonts w:ascii="Cambria" w:hAnsi="Cambria"/>
          <w:bCs/>
          <w:sz w:val="20"/>
          <w:szCs w:val="20"/>
          <w:lang w:val="es-US"/>
        </w:rPr>
        <w:t>Margaroli</w:t>
      </w:r>
      <w:proofErr w:type="spellEnd"/>
      <w:r w:rsidRPr="006024BF">
        <w:rPr>
          <w:rFonts w:ascii="Cambria" w:hAnsi="Cambria"/>
          <w:bCs/>
          <w:sz w:val="20"/>
          <w:szCs w:val="20"/>
          <w:lang w:val="es-US"/>
        </w:rPr>
        <w:t xml:space="preserve"> y Sergio Luis Maculan (en adelante “la parte peticionaria”) </w:t>
      </w:r>
      <w:r w:rsidRPr="006024BF">
        <w:rPr>
          <w:rFonts w:ascii="Cambria" w:hAnsi="Cambria"/>
          <w:sz w:val="20"/>
          <w:szCs w:val="20"/>
          <w:lang w:val="es-ES"/>
        </w:rPr>
        <w:t xml:space="preserve">denuncian presuntas violaciones a los derechos humanos de </w:t>
      </w:r>
      <w:proofErr w:type="spellStart"/>
      <w:r w:rsidRPr="006024BF">
        <w:rPr>
          <w:rFonts w:ascii="Cambria" w:hAnsi="Cambria"/>
          <w:bCs/>
          <w:sz w:val="20"/>
          <w:szCs w:val="20"/>
          <w:lang w:val="es-PA"/>
        </w:rPr>
        <w:t>Nerina</w:t>
      </w:r>
      <w:proofErr w:type="spellEnd"/>
      <w:r w:rsidRPr="006024BF">
        <w:rPr>
          <w:rFonts w:ascii="Cambria" w:hAnsi="Cambria"/>
          <w:bCs/>
          <w:sz w:val="20"/>
          <w:szCs w:val="20"/>
          <w:lang w:val="es-PA"/>
        </w:rPr>
        <w:t xml:space="preserve"> Claudia </w:t>
      </w:r>
      <w:proofErr w:type="spellStart"/>
      <w:r w:rsidRPr="006024BF">
        <w:rPr>
          <w:rFonts w:ascii="Cambria" w:hAnsi="Cambria"/>
          <w:bCs/>
          <w:sz w:val="20"/>
          <w:szCs w:val="20"/>
          <w:lang w:val="es-PA"/>
        </w:rPr>
        <w:t>Pojmaevich</w:t>
      </w:r>
      <w:proofErr w:type="spellEnd"/>
      <w:r w:rsidRPr="006024BF">
        <w:rPr>
          <w:rFonts w:ascii="Cambria" w:hAnsi="Cambria"/>
          <w:sz w:val="20"/>
          <w:szCs w:val="20"/>
          <w:lang w:val="es-ES"/>
        </w:rPr>
        <w:t xml:space="preserve"> (en adelante “la presunta víctima”) alegando que ésta fue víctima de despido injustificado, abuso y acoso sexual y de acoso laboral, moral y psicológico en su lugar de trabajo, la oficina del Fondo de las Naciones Unidas para la Infancia en Argentina (en adelante “UNICEF Argentina”). Denuncian que, aunque ha obtenido decisiones judiciales que le otorgan indemnización por los perjuicios sufridos, éstas no se han podido hacer efectivas producto de una inmunidad de ejecución otorgada por el Estado a UNICEF, resultando en una denegación de justicia que ha prolongado el sufrimiento de la presunta víctima. En adición reclaman que el Estado no provee protección efectiva contra actos de acoso a las personas que laboran en el sector privado y que no ofrece adecuadas oportunidades para que particulares intervengan en defensa de sus derechos en los procesos administrativos que se adelantan por actos irregulares de funcionarios públicos. </w:t>
      </w:r>
    </w:p>
    <w:p w14:paraId="590E1D66" w14:textId="77777777" w:rsidR="00FC152D" w:rsidRPr="006024BF" w:rsidRDefault="00FC152D" w:rsidP="000E0098">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La parte peticionaria indica que El 20 de octubre de 2005 se presentó una demanda laboral ante el Juzgado Nacional de Primera Instancia del Trabajo en favor de la presunta víctima contra UNICEF Argentina y la empresa TERCERIZACIÓN RH S.A. con el objetivo de que se reconociera que ésta había sido víctima de acoso y abusos en su ambiente de trabajo y se le otorgara una indemnización a causa de, </w:t>
      </w:r>
      <w:r w:rsidRPr="006024BF">
        <w:rPr>
          <w:rFonts w:ascii="Cambria" w:hAnsi="Cambria"/>
          <w:i/>
          <w:sz w:val="20"/>
          <w:szCs w:val="20"/>
          <w:lang w:val="es-ES"/>
        </w:rPr>
        <w:t xml:space="preserve">inter </w:t>
      </w:r>
      <w:proofErr w:type="spellStart"/>
      <w:r w:rsidRPr="006024BF">
        <w:rPr>
          <w:rFonts w:ascii="Cambria" w:hAnsi="Cambria"/>
          <w:i/>
          <w:sz w:val="20"/>
          <w:szCs w:val="20"/>
          <w:lang w:val="es-ES"/>
        </w:rPr>
        <w:t>alia</w:t>
      </w:r>
      <w:proofErr w:type="spellEnd"/>
      <w:r w:rsidRPr="006024BF">
        <w:rPr>
          <w:rFonts w:ascii="Cambria" w:hAnsi="Cambria"/>
          <w:sz w:val="20"/>
          <w:szCs w:val="20"/>
          <w:lang w:val="es-ES"/>
        </w:rPr>
        <w:t xml:space="preserve">, su despido injustificado. En abril de 2011 se dictó sentencia de primera instancia condenándose a ambas </w:t>
      </w:r>
      <w:proofErr w:type="spellStart"/>
      <w:r w:rsidRPr="006024BF">
        <w:rPr>
          <w:rFonts w:ascii="Cambria" w:hAnsi="Cambria"/>
          <w:sz w:val="20"/>
          <w:szCs w:val="20"/>
          <w:lang w:val="es-ES"/>
        </w:rPr>
        <w:t>co</w:t>
      </w:r>
      <w:proofErr w:type="spellEnd"/>
      <w:r w:rsidRPr="006024BF">
        <w:rPr>
          <w:rFonts w:ascii="Cambria" w:hAnsi="Cambria"/>
          <w:sz w:val="20"/>
          <w:szCs w:val="20"/>
          <w:lang w:val="es-ES"/>
        </w:rPr>
        <w:t xml:space="preserve">-demandadas. En la sentencia, por un lado, se reconoció la existencia de un despido injustificado y se estableció una indemnización al respecto. Por otro lado, no se hizo una determinación sobre el alegado abuso sexual y el acoso sexual, laboral, moral y psicológico en el ambiente de trabajo por considerar que estos temas eran objeto de una acción civil que se encontraba en trámite ante el Juzgado nacional de Primera Instancia en lo Civil No. 75. La presunta víctima apeló la sentencia, recurso que fue rechazado considerando el tribunal que en la demanda la presunta víctima no había solicitado una reparación por el acoso y abuso y había señalado que solicitaría en sede civil los daños y perjuicios sufridos por el acoso. Esta decisión fue impugnada mediante un recurso extraordinario federal, y tras el rechazo de éste, un recurso de queja. Finalmente, el 6 de noviembre de 2012, la Corte Suprema de Justicia de la Nación denegó el recurso de queja, dándose por agotada la vía laboral. </w:t>
      </w:r>
    </w:p>
    <w:p w14:paraId="0D8AB8EF" w14:textId="77777777" w:rsidR="00FC152D" w:rsidRPr="006024BF" w:rsidRDefault="00FC152D" w:rsidP="000E0098">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Según los peticionarios, la presunta víctima solicitó el embargo de una cuenta de UNICEF Argentina para lograr el cumplimiento de la sentencia dictada contra la organización; no obstante el 11 de marzo de 2013, el juzgado laboral declaró no haber lugar a la medida de embargo señalando que dicha organización se encontraba amparada por una inmunidad de ejecución. Frente a lo anterior y ante la insolvencia de la empresa privada </w:t>
      </w:r>
      <w:proofErr w:type="spellStart"/>
      <w:r w:rsidRPr="006024BF">
        <w:rPr>
          <w:rFonts w:ascii="Cambria" w:hAnsi="Cambria"/>
          <w:sz w:val="20"/>
          <w:szCs w:val="20"/>
          <w:lang w:val="es-ES"/>
        </w:rPr>
        <w:t>co</w:t>
      </w:r>
      <w:proofErr w:type="spellEnd"/>
      <w:r w:rsidRPr="006024BF">
        <w:rPr>
          <w:rFonts w:ascii="Cambria" w:hAnsi="Cambria"/>
          <w:sz w:val="20"/>
          <w:szCs w:val="20"/>
          <w:lang w:val="es-ES"/>
        </w:rPr>
        <w:t>-demandada, la parte peticionaria afirma que la presunta víctima no ha podido cobrar la indemnización otorgada por el despido injustificado y que el Estado debe ser responsabilizado por el pago de esta indemnización por haber otorgado la inmunidad a UNICEF.</w:t>
      </w:r>
    </w:p>
    <w:p w14:paraId="1DE56B5D" w14:textId="77777777" w:rsidR="00FC152D" w:rsidRPr="006024BF" w:rsidRDefault="00FC152D" w:rsidP="00903F87">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Adicionalmente señalan que, en el marco del proceso laboral, la magistrada de primera instancia extendió de manera ilegal el plazo de contestación y no decretó la rebeldía de UNICEF conforme mandaba la ley y, por ello, fue denunciada por la presunta víctima ante el Consejo de la Magistratura (en adelante, “CNM”) y la Fiscalía. Sostienen que el proceso administrativo que se llevó a cabo no cumplió con las garantías del debido proceso. Aducen que la presunta víctima y sus representantes estuvieron impedidos por ley de constituirse como parte en dicho proceso y no pudieron tener acceso al expediente. Añaden que tampoco pudieron apelar la decisión del CNM que desestimó la denuncia y archivó el proceso, pues la ley sólo permite revisar las decisiones del CNM que aplican una sanción disciplinaria. Consideran que el Estado vulnera el debido proceso y la igualdad ante la ley al no permitir un recurso para la parte denunciante en caso de absolución, cuando si se le permite recurrir a las personas que resultan sancionadas. </w:t>
      </w:r>
    </w:p>
    <w:p w14:paraId="05548DA7" w14:textId="77777777" w:rsidR="00FC152D" w:rsidRPr="006024BF" w:rsidRDefault="00FC152D" w:rsidP="00C648AD">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Por otro lado, informan que se inició un proceso penal contra la magistrada por prevaricato donde la presunta víctima y sus representantes fueron impedidos de actuar como querellantes. Tras la interposición de un recurso de reposición, en diciembre de 2006 el juzgado de primera instancia decretó el </w:t>
      </w:r>
      <w:r w:rsidRPr="006024BF">
        <w:rPr>
          <w:rFonts w:ascii="Cambria" w:hAnsi="Cambria"/>
          <w:sz w:val="20"/>
          <w:szCs w:val="20"/>
          <w:lang w:val="es-ES"/>
        </w:rPr>
        <w:lastRenderedPageBreak/>
        <w:t xml:space="preserve">sobreseimiento y permitió a la presunta víctima actuar como querellante. La presunta víctima apeló la decisión de sobreseimiento, la cual fue confirmada en segunda instancia en mayo de 2007. Contra esta decisión se interpuso un recurso de casación que fue denegado en noviembre de 2007. Contra esta decisión interpusieron un recurso de queja que fue rechazado en noviembre de 2007. </w:t>
      </w:r>
    </w:p>
    <w:p w14:paraId="17CB025B" w14:textId="040B6C1D" w:rsidR="00FC152D" w:rsidRPr="006024BF" w:rsidRDefault="00FC152D" w:rsidP="00B634D6">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Los peticionarios también presentaron una demanda de daños y perjuicios contra UNICEF y los funcionarios que la habrían acosado, la empresa TERCERIZACIÓN RH S.A y el Estado Nacional con el objetivo de obtener una indemnización por el acoso y abuso sexual y el acoso laboral, moral y psicológico sufrido por la presunta víctima. Sostienen que el 16 de septiembre de 2014, el juzgado de primera instancia dio por acreditado el daño producto del acoso sexual y ordenó a UNICEF a indemnizar a la presunta víctima por daños materiales, morales y psicológicos. La presunta víctima apeló esta decisión por considerar que el Estado Nacional también debería ser condenado a pagar la indemnización dado que éste ha otorgado inmunidad a UNICEF</w:t>
      </w:r>
      <w:r w:rsidR="0039087F">
        <w:rPr>
          <w:rFonts w:ascii="Cambria" w:hAnsi="Cambria"/>
          <w:sz w:val="20"/>
          <w:szCs w:val="20"/>
          <w:lang w:val="es-ES"/>
        </w:rPr>
        <w:t>, e indica que este</w:t>
      </w:r>
      <w:r w:rsidRPr="006024BF">
        <w:rPr>
          <w:rFonts w:ascii="Cambria" w:hAnsi="Cambria"/>
          <w:sz w:val="20"/>
          <w:szCs w:val="20"/>
          <w:lang w:val="es-ES"/>
        </w:rPr>
        <w:t xml:space="preserve"> recurso aún no ha sido decidido por la instancia revisora. </w:t>
      </w:r>
    </w:p>
    <w:p w14:paraId="622629DC" w14:textId="77777777" w:rsidR="00FC152D" w:rsidRPr="006024BF" w:rsidRDefault="00FC152D" w:rsidP="00512BB2">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Según los peticionarios, la imposibilidad de sancionar el acoso y abuso sexual y el acoso moral y psicológico sufridos por la presunta víctima, así como la imposibilidad de cobrar la indemnización que le ha sido otorgada, vulnera sus derechos humanos. También señalan que el acoso y abuso sexual también ha tenido un impacto en su integridad personal y en su honra y dignidad y que la imposibilidad de ejecutar las sentencias que le fueron resueltas de manera favorable perpetúan el daño. Denuncian además que la legislación argentina es discriminatoria pues sólo se ha adoptado normativa sobre la modalidad de acoso laboral conocida como “</w:t>
      </w:r>
      <w:proofErr w:type="spellStart"/>
      <w:r w:rsidRPr="006024BF">
        <w:rPr>
          <w:rFonts w:ascii="Cambria" w:hAnsi="Cambria"/>
          <w:sz w:val="20"/>
          <w:szCs w:val="20"/>
          <w:lang w:val="es-ES"/>
        </w:rPr>
        <w:t>mobbing</w:t>
      </w:r>
      <w:proofErr w:type="spellEnd"/>
      <w:r w:rsidRPr="006024BF">
        <w:rPr>
          <w:rFonts w:ascii="Cambria" w:hAnsi="Cambria"/>
          <w:sz w:val="20"/>
          <w:szCs w:val="20"/>
          <w:lang w:val="es-ES"/>
        </w:rPr>
        <w:t>” para empleados públicos y sólo en algunas jurisdicciones; dejando en desprotección a personas coma la presunta víctima que laboran en el sector privado. Denuncia que la falta de normativa con respecto al “</w:t>
      </w:r>
      <w:proofErr w:type="spellStart"/>
      <w:r w:rsidRPr="006024BF">
        <w:rPr>
          <w:rFonts w:ascii="Cambria" w:hAnsi="Cambria"/>
          <w:sz w:val="20"/>
          <w:szCs w:val="20"/>
          <w:lang w:val="es-ES"/>
        </w:rPr>
        <w:t>mobbing</w:t>
      </w:r>
      <w:proofErr w:type="spellEnd"/>
      <w:r w:rsidRPr="006024BF">
        <w:rPr>
          <w:rFonts w:ascii="Cambria" w:hAnsi="Cambria"/>
          <w:sz w:val="20"/>
          <w:szCs w:val="20"/>
          <w:lang w:val="es-ES"/>
        </w:rPr>
        <w:t>” fuerza a quienes laboran en el sector privado a denunciar esta práctica bajo figuras inadecuadas como la injuria laboral que es de difícil prueba o, como en el caso de la presunta víctima, a las demandas de daños y perjuicios en la jurisdicción civil.</w:t>
      </w:r>
    </w:p>
    <w:p w14:paraId="6D20BDBA" w14:textId="77777777" w:rsidR="00FC152D" w:rsidRPr="006024BF" w:rsidRDefault="00FC152D" w:rsidP="00D07FEA">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El Estado, por su parte, sostiene que la petición deber ser declarada inadmisible por falta de agotamiento o agotamiento indebido de los recursos internos y por falta de caracterización de posibles violaciones a los derechos humanos de la presunta víctima. Indica que en sede laboral los peticionarios incumplieron con el requisito sustancial de fundamentación autónoma del recurso de queja presentado ante la Corte Suprema de Justicia de la Nación, impidiéndole al Estado dar respuesta debida a los agravios planteados en sede internacional. En adición, resalta que la demanda de daños y perjuicios promovida en sede civil aún se encuentra en trámite.</w:t>
      </w:r>
    </w:p>
    <w:p w14:paraId="1C1B7C7D" w14:textId="77777777" w:rsidR="00FC152D" w:rsidRPr="006024BF" w:rsidRDefault="00FC152D" w:rsidP="00DB4BD9">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En relación con la falta de caracterización, sostiene que la falta de reconocimiento del abuso y acoso sexual y del acoso laboral, moral y psicológico en el proceso laboral no constituye una violación a los derechos de la presunta víctima, pues en este proceso ella no había solicitado una indemnización por estos supuestos hechos. Además, agrega que no se evidencia una violación a los derechos de la presunta víctima en función de la falta de normativa que regule la protección contra el </w:t>
      </w:r>
      <w:proofErr w:type="spellStart"/>
      <w:r w:rsidRPr="006024BF">
        <w:rPr>
          <w:rFonts w:ascii="Cambria" w:hAnsi="Cambria"/>
          <w:sz w:val="20"/>
          <w:szCs w:val="20"/>
          <w:lang w:val="es-ES"/>
        </w:rPr>
        <w:t>mobbing</w:t>
      </w:r>
      <w:proofErr w:type="spellEnd"/>
      <w:r w:rsidRPr="006024BF">
        <w:rPr>
          <w:rFonts w:ascii="Cambria" w:hAnsi="Cambria"/>
          <w:sz w:val="20"/>
          <w:szCs w:val="20"/>
          <w:lang w:val="es-ES"/>
        </w:rPr>
        <w:t xml:space="preserve"> respecto a trabajadores que no actúen en el sector público, pues en el presente caso esto no ha impedido que estos aspectos fueran analizados en sede civil. El Estado también indica que en sede civil no se ha determinado la existencia de una inmunidad diplomática a UNICEF Argentina.</w:t>
      </w:r>
    </w:p>
    <w:p w14:paraId="65837AE2" w14:textId="77777777" w:rsidR="00FC152D" w:rsidRPr="006024BF" w:rsidRDefault="00FC152D" w:rsidP="00D07FEA">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El Estado asevera que la presunta víctima ha podido hacer valer sus derechos en diversas instancias judiciales y administrativas y el hecho que haya obtenido respuestas desfavorables no constituye en sí misma una violación a los derechos humanos. Afirma que en la tramitación de las diferentes causas judiciales no se ha visto afectado el derecho al debido proceso ni las garantías judiciales, entre ellas la posibilidad concreta de acceder, en cada una de las instancias transitadas, a todos los mecanismos recursivos previstos en el ordenamiento jurídico. Concluye que la presunta víctima acude a la CIDH como un tribunal de cuarta instancia por estar inconforme con las decisiones de las autoridades. Reclama además que el traslado de la petición por la CIDH ha sido extemporáneo, pues la misma fue notificada ocho años después de recibida.</w:t>
      </w:r>
    </w:p>
    <w:p w14:paraId="7D692114" w14:textId="77777777" w:rsidR="00DB1545" w:rsidRDefault="00DB1545">
      <w:pPr>
        <w:pBdr>
          <w:top w:val="none" w:sz="0" w:space="0" w:color="auto"/>
          <w:left w:val="none" w:sz="0" w:space="0" w:color="auto"/>
          <w:bottom w:val="none" w:sz="0" w:space="0" w:color="auto"/>
          <w:right w:val="none" w:sz="0" w:space="0" w:color="auto"/>
          <w:bar w:val="none" w:sz="0" w:color="auto"/>
        </w:pBdr>
        <w:rPr>
          <w:rFonts w:ascii="Cambria" w:hAnsi="Cambria" w:cs="Cambria"/>
          <w:b/>
          <w:bCs/>
          <w:color w:val="000000"/>
          <w:sz w:val="20"/>
          <w:szCs w:val="20"/>
          <w:u w:color="000000"/>
          <w:lang w:val="es-ES" w:eastAsia="es-ES"/>
        </w:rPr>
      </w:pPr>
      <w:r>
        <w:rPr>
          <w:rFonts w:ascii="Cambria" w:hAnsi="Cambria" w:cs="Cambria"/>
          <w:b/>
          <w:bCs/>
          <w:color w:val="000000"/>
          <w:sz w:val="20"/>
          <w:szCs w:val="20"/>
          <w:u w:color="000000"/>
          <w:lang w:val="es-ES" w:eastAsia="es-ES"/>
        </w:rPr>
        <w:br w:type="page"/>
      </w:r>
    </w:p>
    <w:p w14:paraId="000E2824" w14:textId="075FB32B" w:rsidR="00FC152D" w:rsidRPr="006024BF" w:rsidRDefault="00FC152D"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sz w:val="20"/>
          <w:szCs w:val="20"/>
          <w:lang w:val="es-UY"/>
        </w:rPr>
      </w:pPr>
      <w:r w:rsidRPr="006024BF">
        <w:rPr>
          <w:rFonts w:ascii="Cambria" w:hAnsi="Cambria" w:cs="Cambria"/>
          <w:b/>
          <w:bCs/>
          <w:color w:val="000000"/>
          <w:sz w:val="20"/>
          <w:szCs w:val="20"/>
          <w:u w:color="000000"/>
          <w:lang w:val="es-ES" w:eastAsia="es-ES"/>
        </w:rPr>
        <w:lastRenderedPageBreak/>
        <w:t>VI.</w:t>
      </w:r>
      <w:r w:rsidRPr="006024BF">
        <w:rPr>
          <w:rFonts w:ascii="Cambria" w:hAnsi="Cambria" w:cs="Cambria"/>
          <w:b/>
          <w:bCs/>
          <w:color w:val="000000"/>
          <w:sz w:val="20"/>
          <w:szCs w:val="20"/>
          <w:u w:color="000000"/>
          <w:lang w:val="es-ES" w:eastAsia="es-ES"/>
        </w:rPr>
        <w:tab/>
      </w:r>
      <w:r w:rsidRPr="006024BF">
        <w:rPr>
          <w:rFonts w:ascii="Cambria" w:hAnsi="Cambria"/>
          <w:b/>
          <w:bCs/>
          <w:sz w:val="20"/>
          <w:szCs w:val="20"/>
          <w:lang w:val="es-ES_tradnl"/>
        </w:rPr>
        <w:t xml:space="preserve">ANÁLISIS DE </w:t>
      </w:r>
      <w:r w:rsidRPr="006024BF">
        <w:rPr>
          <w:rFonts w:ascii="Cambria" w:hAnsi="Cambria"/>
          <w:b/>
          <w:sz w:val="20"/>
          <w:szCs w:val="20"/>
          <w:lang w:val="es-ES"/>
        </w:rPr>
        <w:t>AGOTAMIENTO DE LOS RECURSOS INTERNOS Y PLAZO DE PRESENTACIÓN</w:t>
      </w:r>
      <w:r w:rsidRPr="006024BF">
        <w:rPr>
          <w:rFonts w:ascii="Cambria" w:hAnsi="Cambria" w:cs="Cambria"/>
          <w:b/>
          <w:bCs/>
          <w:color w:val="000000"/>
          <w:sz w:val="20"/>
          <w:szCs w:val="20"/>
          <w:u w:color="000000"/>
          <w:lang w:val="es-ES" w:eastAsia="es-ES"/>
        </w:rPr>
        <w:t xml:space="preserve"> </w:t>
      </w:r>
    </w:p>
    <w:p w14:paraId="3A26A01B" w14:textId="77777777" w:rsidR="00FC152D" w:rsidRPr="006024BF" w:rsidRDefault="00FC152D" w:rsidP="00350DCF">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En relación con el proceso laboral, conforme señala el Estado, el recurso de queja presentado ante la Corte Suprema de Justicia de la Nación fue desestimado por no cumplir con el requisito de fundamentación autónoma del recurso. No obstante, la CIDH recuerda que el recurso de queja es limitado y de restringida procedencia</w:t>
      </w:r>
      <w:r w:rsidRPr="006024BF">
        <w:rPr>
          <w:rStyle w:val="FootnoteReference"/>
          <w:rFonts w:ascii="Cambria" w:hAnsi="Cambria"/>
          <w:bCs/>
          <w:sz w:val="20"/>
          <w:szCs w:val="20"/>
          <w:lang w:val="es-US"/>
        </w:rPr>
        <w:footnoteReference w:id="7"/>
      </w:r>
      <w:r w:rsidRPr="006024BF">
        <w:rPr>
          <w:rFonts w:ascii="Cambria" w:hAnsi="Cambria"/>
          <w:sz w:val="20"/>
          <w:szCs w:val="20"/>
          <w:lang w:val="es-ES"/>
        </w:rPr>
        <w:t xml:space="preserve"> y que 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w:t>
      </w:r>
      <w:r w:rsidRPr="006024BF">
        <w:rPr>
          <w:rFonts w:ascii="Cambria" w:hAnsi="Cambria"/>
          <w:sz w:val="20"/>
          <w:szCs w:val="20"/>
          <w:vertAlign w:val="superscript"/>
          <w:lang w:val="es-ES"/>
        </w:rPr>
        <w:footnoteReference w:id="8"/>
      </w:r>
      <w:r w:rsidRPr="006024BF">
        <w:rPr>
          <w:rFonts w:ascii="Cambria" w:hAnsi="Cambria"/>
          <w:sz w:val="20"/>
          <w:szCs w:val="20"/>
          <w:lang w:val="es-ES"/>
        </w:rPr>
        <w:t xml:space="preserve">. En ese sentido, la CIDH observa que en el recurso de apelación, el recurso extraordinario federal y el recurso de queja, la presunta víctima indicó que la falta de reconocimiento del acoso y abuso sexual y el acoso moral y psicológico en el ambiente laboral, bien como la imposibilidad de ejecutar la sentencia debido a la inmunidad diplomática de UNICEF y la insolvencia de la </w:t>
      </w:r>
      <w:proofErr w:type="spellStart"/>
      <w:r w:rsidRPr="006024BF">
        <w:rPr>
          <w:rFonts w:ascii="Cambria" w:hAnsi="Cambria"/>
          <w:sz w:val="20"/>
          <w:szCs w:val="20"/>
          <w:lang w:val="es-ES"/>
        </w:rPr>
        <w:t>co</w:t>
      </w:r>
      <w:proofErr w:type="spellEnd"/>
      <w:r w:rsidRPr="006024BF">
        <w:rPr>
          <w:rFonts w:ascii="Cambria" w:hAnsi="Cambria"/>
          <w:sz w:val="20"/>
          <w:szCs w:val="20"/>
          <w:lang w:val="es-ES"/>
        </w:rPr>
        <w:t>-demandada, generaba la responsabilidad del Estado por la vulneración de sus derechos humanos. Además, con posterioridad a la sentencia de la Corte Suprema de Justicia de la Nación, la presunta víctima solicitó el embargo de una cuenta de UNICEF y la solicitud fue denegada el 11 de marzo de 2013 considerándose que UNICEF se encontraba amparada por una inmunidad de ejecución. Por tanto, la CIDH considera que la presunta víctima ha puesto esta situación y la supuesta violación de sus derechos humanos en conocimiento de las autoridades estatales en varias ocasiones y, dado que no se ha podido ejecutar la decisión del proceso laboral, la CIDH considera que en este extremo se aplica la excepción del artículo 46.2.c de la Convención Americana.</w:t>
      </w:r>
      <w:r w:rsidRPr="006024BF">
        <w:rPr>
          <w:rFonts w:ascii="Cambria" w:hAnsi="Cambria"/>
          <w:color w:val="FF0000"/>
          <w:sz w:val="20"/>
          <w:szCs w:val="20"/>
          <w:lang w:val="es-ES"/>
        </w:rPr>
        <w:t xml:space="preserve"> </w:t>
      </w:r>
      <w:r w:rsidRPr="006024BF">
        <w:rPr>
          <w:rFonts w:ascii="Cambria" w:hAnsi="Cambria"/>
          <w:sz w:val="20"/>
          <w:szCs w:val="20"/>
          <w:lang w:val="es-ES"/>
        </w:rPr>
        <w:t xml:space="preserve">A este respecto y como alega la parte peticionaria, la Comisión observa además que los obstáculos legales que se alega existen para que la presunta víctima obtenga reparación por parte de UNICEF Argentina son condiciones establecidas por el propio Estado. Asimismo, en función de que el proceso laboral fue iniciado en 2005, que este tema fue denunciado a la CIDH en 2008, persistiendo la situación hasta la actualidad, la Comisión considera que en este extremo la petición también cumple con el requisito del artículo 32.2 del Reglamento de la CIDH. </w:t>
      </w:r>
    </w:p>
    <w:p w14:paraId="76D8FA08" w14:textId="77777777" w:rsidR="00FC152D" w:rsidRPr="006024BF" w:rsidRDefault="00FC152D" w:rsidP="00350DCF">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Adicionalmente, en relación con la demanda de daños y perjuicios, la CIDH observa que la misma fue iniciada en 2006 y que, según información aportada por ambas partes, la misma aún no ha sido concluida, estando pendiente el análisis de una apelación interpuesta en 2014. Ante lo anterior, la CIDH considera que se aplica al presente caso la excepción del artículo 46.2.c de la Convención; y que la petición también cumple con el requisito del artículo 32.2 del Reglamento de la CIDH en este extremo. </w:t>
      </w:r>
    </w:p>
    <w:p w14:paraId="7CFD04A8" w14:textId="77777777" w:rsidR="00FC152D" w:rsidRPr="006024BF" w:rsidRDefault="00FC152D" w:rsidP="00D07FEA">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_tradnl"/>
        </w:rPr>
        <w:t>La Comisión toma nota del reclamo del Estado sobre lo que describe o califica como la extemporaneidad en el traslado de la petición, pero recuerda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r w:rsidRPr="006024BF">
        <w:rPr>
          <w:rStyle w:val="FootnoteReference"/>
          <w:rFonts w:ascii="Cambria" w:hAnsi="Cambria"/>
          <w:sz w:val="20"/>
          <w:szCs w:val="20"/>
          <w:lang w:val="es-ES_tradnl"/>
        </w:rPr>
        <w:footnoteReference w:id="9"/>
      </w:r>
      <w:r w:rsidRPr="006024BF">
        <w:rPr>
          <w:rFonts w:ascii="Cambria" w:hAnsi="Cambria"/>
          <w:sz w:val="20"/>
          <w:szCs w:val="20"/>
          <w:lang w:val="es-ES_tradnl"/>
        </w:rPr>
        <w:t>.</w:t>
      </w:r>
    </w:p>
    <w:p w14:paraId="11A895B3" w14:textId="77777777" w:rsidR="00FC152D" w:rsidRPr="006024BF" w:rsidRDefault="00FC152D" w:rsidP="003239B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lang w:val="es-ES"/>
        </w:rPr>
      </w:pPr>
      <w:r w:rsidRPr="006024BF">
        <w:rPr>
          <w:b/>
          <w:bCs/>
          <w:sz w:val="20"/>
          <w:szCs w:val="20"/>
          <w:lang w:val="es-ES"/>
        </w:rPr>
        <w:t>VII.</w:t>
      </w:r>
      <w:r w:rsidRPr="006024BF">
        <w:rPr>
          <w:b/>
          <w:bCs/>
          <w:sz w:val="20"/>
          <w:szCs w:val="20"/>
          <w:lang w:val="es-ES"/>
        </w:rPr>
        <w:tab/>
      </w:r>
      <w:r w:rsidRPr="006024BF">
        <w:rPr>
          <w:b/>
          <w:bCs/>
          <w:sz w:val="20"/>
          <w:szCs w:val="20"/>
          <w:lang w:val="es-ES_tradnl"/>
        </w:rPr>
        <w:t xml:space="preserve">ANÁLISIS DE </w:t>
      </w:r>
      <w:r w:rsidRPr="006024BF">
        <w:rPr>
          <w:b/>
          <w:bCs/>
          <w:sz w:val="20"/>
          <w:szCs w:val="20"/>
          <w:lang w:val="es-ES"/>
        </w:rPr>
        <w:t xml:space="preserve">CARACTERIZACIÓN </w:t>
      </w:r>
      <w:r w:rsidRPr="006024BF">
        <w:rPr>
          <w:b/>
          <w:bCs/>
          <w:sz w:val="20"/>
          <w:szCs w:val="20"/>
          <w:lang w:val="es-UY"/>
        </w:rPr>
        <w:t>DE LOS HECHOS ALEGADOS</w:t>
      </w:r>
    </w:p>
    <w:p w14:paraId="0B83A077" w14:textId="77777777" w:rsidR="00FC152D" w:rsidRPr="006024BF" w:rsidRDefault="00FC152D" w:rsidP="00A11E4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La Comisión observa que la presente petición incluye alegaciones con respecto a que el Estado no ha proporcionado mecanismos efectivos que le permitan a la presunta víctima obtener sanción y reparación por los daños que le habrían sido ocasionados por el acoso y abuso del cual se alega fue víctima.</w:t>
      </w:r>
    </w:p>
    <w:p w14:paraId="53AF9DB1" w14:textId="77777777" w:rsidR="00FC152D" w:rsidRPr="006024BF" w:rsidRDefault="00FC152D" w:rsidP="002D28FF">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6024BF">
        <w:rPr>
          <w:rFonts w:ascii="Cambria" w:hAnsi="Cambria"/>
          <w:bCs/>
          <w:sz w:val="19"/>
          <w:szCs w:val="19"/>
          <w:lang w:val="es-US"/>
        </w:rPr>
        <w:t>artículos 8 (garantías judiciales), 21 (propiedad privada) y 25 (protección judicial) de la Convención Americana en relación con sus artículos 1.1 (deber de respetar los derechos), 2 (deber de adoptar disposiciones de derecho interno), 5 (integridad personal) y 11 (honra y dignidad); y al Artículo 7 de la Convención Belém do Pará.</w:t>
      </w:r>
    </w:p>
    <w:p w14:paraId="13416C71" w14:textId="77777777" w:rsidR="00FC152D" w:rsidRPr="006024BF" w:rsidRDefault="00FC152D" w:rsidP="002D28FF">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lastRenderedPageBreak/>
        <w:t xml:space="preserve">En cuanto las alegadas violaciones al </w:t>
      </w:r>
      <w:r w:rsidRPr="006024BF">
        <w:rPr>
          <w:rFonts w:ascii="Cambria" w:hAnsi="Cambria"/>
          <w:sz w:val="20"/>
          <w:szCs w:val="20"/>
          <w:lang w:val="es-ES_tradnl"/>
        </w:rPr>
        <w:t xml:space="preserve">artículo 10 (indemnización) de la Convención Americana, la Comisión considera que la parte peticionaria no ha aportado elementos o sustentas que le permitan considerar, </w:t>
      </w:r>
      <w:r w:rsidRPr="006024BF">
        <w:rPr>
          <w:rFonts w:ascii="Cambria" w:hAnsi="Cambria"/>
          <w:i/>
          <w:sz w:val="20"/>
          <w:szCs w:val="20"/>
          <w:lang w:val="es-ES_tradnl"/>
        </w:rPr>
        <w:t>prima facie</w:t>
      </w:r>
      <w:r w:rsidRPr="006024BF">
        <w:rPr>
          <w:rFonts w:ascii="Cambria" w:hAnsi="Cambria"/>
          <w:sz w:val="20"/>
          <w:szCs w:val="20"/>
          <w:lang w:val="es-ES_tradnl"/>
        </w:rPr>
        <w:t>, la posibilidad de su violación.</w:t>
      </w:r>
    </w:p>
    <w:p w14:paraId="4FE9D60F" w14:textId="77777777" w:rsidR="00FC152D" w:rsidRPr="006024BF" w:rsidRDefault="00FC152D" w:rsidP="001D71E1">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6024BF">
        <w:rPr>
          <w:rFonts w:ascii="Cambria" w:hAnsi="Cambria"/>
          <w:sz w:val="20"/>
          <w:szCs w:val="20"/>
          <w:lang w:val="es-ES"/>
        </w:rPr>
        <w:t xml:space="preserve">En cuanto a las alegadas violaciones a los artículos 2, 3, 4 y 8 de la Convención de Belém do Pará, </w:t>
      </w:r>
      <w:r w:rsidRPr="006024BF">
        <w:rPr>
          <w:rFonts w:ascii="Cambria" w:hAnsi="Cambria" w:cs="Calibri"/>
          <w:sz w:val="20"/>
          <w:szCs w:val="20"/>
          <w:lang w:val="es-ES"/>
        </w:rPr>
        <w:t xml:space="preserve">la CIDH nota que conforme al artículo 12 de dicho tratado la competencia </w:t>
      </w:r>
      <w:proofErr w:type="spellStart"/>
      <w:r w:rsidRPr="006024BF">
        <w:rPr>
          <w:rFonts w:ascii="Cambria" w:hAnsi="Cambria" w:cs="Calibri"/>
          <w:i/>
          <w:sz w:val="20"/>
          <w:szCs w:val="20"/>
          <w:lang w:val="es-ES"/>
        </w:rPr>
        <w:t>ratione</w:t>
      </w:r>
      <w:proofErr w:type="spellEnd"/>
      <w:r w:rsidRPr="006024BF">
        <w:rPr>
          <w:rFonts w:ascii="Cambria" w:hAnsi="Cambria" w:cs="Calibri"/>
          <w:i/>
          <w:sz w:val="20"/>
          <w:szCs w:val="20"/>
          <w:lang w:val="es-ES"/>
        </w:rPr>
        <w:t xml:space="preserve"> </w:t>
      </w:r>
      <w:proofErr w:type="spellStart"/>
      <w:r w:rsidRPr="006024BF">
        <w:rPr>
          <w:rFonts w:ascii="Cambria" w:hAnsi="Cambria" w:cs="Calibri"/>
          <w:i/>
          <w:sz w:val="20"/>
          <w:szCs w:val="20"/>
          <w:lang w:val="es-ES"/>
        </w:rPr>
        <w:t>materiae</w:t>
      </w:r>
      <w:proofErr w:type="spellEnd"/>
      <w:r w:rsidRPr="006024BF">
        <w:rPr>
          <w:rFonts w:ascii="Cambria" w:hAnsi="Cambria" w:cs="Calibri"/>
          <w:sz w:val="20"/>
          <w:szCs w:val="20"/>
          <w:lang w:val="es-ES"/>
        </w:rPr>
        <w:t xml:space="preserve"> de la Comisión para establecer violaciones al mismo en el contexto de un caso individual se limita a su artículo 7. La CIDH también nota que carece competencia </w:t>
      </w:r>
      <w:proofErr w:type="spellStart"/>
      <w:r w:rsidRPr="006024BF">
        <w:rPr>
          <w:rFonts w:ascii="Cambria" w:hAnsi="Cambria" w:cs="Calibri"/>
          <w:i/>
          <w:sz w:val="20"/>
          <w:szCs w:val="20"/>
          <w:lang w:val="es-ES"/>
        </w:rPr>
        <w:t>ratione</w:t>
      </w:r>
      <w:proofErr w:type="spellEnd"/>
      <w:r w:rsidRPr="006024BF">
        <w:rPr>
          <w:rFonts w:ascii="Cambria" w:hAnsi="Cambria" w:cs="Calibri"/>
          <w:i/>
          <w:sz w:val="20"/>
          <w:szCs w:val="20"/>
          <w:lang w:val="es-ES"/>
        </w:rPr>
        <w:t xml:space="preserve"> </w:t>
      </w:r>
      <w:proofErr w:type="spellStart"/>
      <w:r w:rsidRPr="006024BF">
        <w:rPr>
          <w:rFonts w:ascii="Cambria" w:hAnsi="Cambria" w:cs="Calibri"/>
          <w:i/>
          <w:sz w:val="20"/>
          <w:szCs w:val="20"/>
          <w:lang w:val="es-ES"/>
        </w:rPr>
        <w:t>materiae</w:t>
      </w:r>
      <w:proofErr w:type="spellEnd"/>
      <w:r w:rsidRPr="006024BF">
        <w:rPr>
          <w:rFonts w:ascii="Cambria" w:hAnsi="Cambria" w:cs="Calibri"/>
          <w:sz w:val="20"/>
          <w:szCs w:val="20"/>
          <w:lang w:val="es-ES"/>
        </w:rPr>
        <w:t xml:space="preserve"> para pronunciarse respecto a las alegadas violaciones a la Declaración Universal de Derechos Humanos y la </w:t>
      </w:r>
      <w:r w:rsidRPr="006024BF">
        <w:rPr>
          <w:rFonts w:ascii="Cambria" w:hAnsi="Cambria"/>
          <w:sz w:val="20"/>
          <w:szCs w:val="20"/>
          <w:lang w:val="es-US"/>
        </w:rPr>
        <w:t>la Convención contra la Tortura y otros Tratos o Penas Crueles, Inhumanos o Degradantes.</w:t>
      </w:r>
      <w:r w:rsidRPr="006024BF">
        <w:rPr>
          <w:rFonts w:ascii="Cambria" w:hAnsi="Cambria" w:cs="Calibri"/>
          <w:sz w:val="20"/>
          <w:szCs w:val="20"/>
          <w:lang w:val="es-ES"/>
        </w:rPr>
        <w:t xml:space="preserve">  Sin embargo, de conformidad con el artículo 29 de la Convención Americana, la Comisión podrá valorar y tomar en cuenta los referidos tratados y artículos en la etapa de fondo como parte de su ejercicio interpretativo de las normas de la Convención Americana y otros instrumentos aplicables. </w:t>
      </w:r>
    </w:p>
    <w:p w14:paraId="58C5E154" w14:textId="77777777" w:rsidR="00FC152D" w:rsidRPr="006024BF" w:rsidRDefault="00FC152D" w:rsidP="001D71E1">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 </w:t>
      </w:r>
      <w:r w:rsidRPr="006024BF">
        <w:rPr>
          <w:rFonts w:ascii="Cambria" w:hAnsi="Cambria"/>
          <w:sz w:val="20"/>
          <w:szCs w:val="20"/>
          <w:lang w:val="es-ES_tradnl"/>
        </w:rPr>
        <w:t xml:space="preserve">Respecto a las alegadas violaciones a derechos protegidos por la Declaración Americana, 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w:t>
      </w:r>
    </w:p>
    <w:p w14:paraId="3A62323A" w14:textId="77777777" w:rsidR="00FC152D" w:rsidRPr="006024BF" w:rsidRDefault="00FC152D" w:rsidP="003239B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sz w:val="20"/>
          <w:szCs w:val="20"/>
          <w:lang w:val="es-ES"/>
        </w:rPr>
      </w:pPr>
      <w:r w:rsidRPr="006024BF">
        <w:rPr>
          <w:b/>
          <w:bCs/>
          <w:sz w:val="20"/>
          <w:szCs w:val="20"/>
          <w:lang w:val="es-ES"/>
        </w:rPr>
        <w:t xml:space="preserve">VIII. </w:t>
      </w:r>
      <w:r w:rsidRPr="006024BF">
        <w:rPr>
          <w:b/>
          <w:bCs/>
          <w:sz w:val="20"/>
          <w:szCs w:val="20"/>
          <w:lang w:val="es-ES"/>
        </w:rPr>
        <w:tab/>
        <w:t>DECISIÓN</w:t>
      </w:r>
    </w:p>
    <w:p w14:paraId="642DA553" w14:textId="77777777" w:rsidR="00FC152D" w:rsidRPr="00FF4519" w:rsidRDefault="00FC152D" w:rsidP="00E92E2C">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Declarar admisible la presente petición en relación con los </w:t>
      </w:r>
      <w:r w:rsidRPr="006024BF">
        <w:rPr>
          <w:rFonts w:ascii="Cambria" w:hAnsi="Cambria"/>
          <w:bCs/>
          <w:sz w:val="20"/>
          <w:szCs w:val="20"/>
          <w:lang w:val="es-US"/>
        </w:rPr>
        <w:t xml:space="preserve">artículos 8, 21 y 25 </w:t>
      </w:r>
      <w:r w:rsidRPr="006024BF">
        <w:rPr>
          <w:rFonts w:ascii="Cambria" w:hAnsi="Cambria"/>
          <w:sz w:val="20"/>
          <w:szCs w:val="20"/>
          <w:lang w:val="es-ES"/>
        </w:rPr>
        <w:t xml:space="preserve">de la Convención Americana, en relación con los artículos 1.1, 2, 5 y 11 del mismo instrumento; y el artículo </w:t>
      </w:r>
      <w:r w:rsidRPr="006024BF">
        <w:rPr>
          <w:rFonts w:ascii="Cambria" w:hAnsi="Cambria"/>
          <w:bCs/>
          <w:sz w:val="20"/>
          <w:szCs w:val="20"/>
          <w:lang w:val="es-US"/>
        </w:rPr>
        <w:t>7 de la Convención Belem do P</w:t>
      </w:r>
      <w:r w:rsidRPr="00FF4519">
        <w:rPr>
          <w:rFonts w:ascii="Cambria" w:hAnsi="Cambria"/>
          <w:bCs/>
          <w:sz w:val="20"/>
          <w:szCs w:val="20"/>
          <w:lang w:val="es-US"/>
        </w:rPr>
        <w:t>ará</w:t>
      </w:r>
      <w:r w:rsidRPr="00FF4519">
        <w:rPr>
          <w:rFonts w:ascii="Cambria" w:hAnsi="Cambria"/>
          <w:sz w:val="20"/>
          <w:szCs w:val="20"/>
          <w:lang w:val="es-ES"/>
        </w:rPr>
        <w:t>;</w:t>
      </w:r>
    </w:p>
    <w:p w14:paraId="462C3B37" w14:textId="77777777" w:rsidR="00FC152D" w:rsidRPr="006024BF" w:rsidRDefault="00FC152D" w:rsidP="00803487">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6024BF">
        <w:rPr>
          <w:rFonts w:ascii="Cambria" w:hAnsi="Cambria"/>
          <w:sz w:val="20"/>
          <w:szCs w:val="20"/>
          <w:lang w:val="es-ES"/>
        </w:rPr>
        <w:t xml:space="preserve">Declarar inadmisible la presente petición en relación con el artículo 10 de la Convención Americana; </w:t>
      </w:r>
    </w:p>
    <w:p w14:paraId="588980D9" w14:textId="77777777" w:rsidR="00FF4519" w:rsidRPr="00FF4519" w:rsidRDefault="00FC152D" w:rsidP="00355DA2">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cs="Arial"/>
          <w:noProof/>
          <w:spacing w:val="-2"/>
          <w:sz w:val="20"/>
          <w:szCs w:val="20"/>
          <w:lang w:val="es-CL"/>
        </w:rPr>
      </w:pPr>
      <w:r w:rsidRPr="00FF4519">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33B8962" w14:textId="6B1AADBC" w:rsidR="00FF4519" w:rsidRDefault="00FF4519" w:rsidP="00FF4519">
      <w:p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cs="Arial"/>
          <w:noProof/>
          <w:sz w:val="20"/>
          <w:szCs w:val="20"/>
          <w:lang w:val="es-CL"/>
        </w:rPr>
      </w:pPr>
      <w:r>
        <w:rPr>
          <w:rFonts w:asciiTheme="majorHAnsi" w:hAnsiTheme="majorHAnsi" w:cs="Arial"/>
          <w:noProof/>
          <w:spacing w:val="-2"/>
          <w:sz w:val="20"/>
          <w:szCs w:val="20"/>
          <w:lang w:val="es-CL"/>
        </w:rPr>
        <w:tab/>
      </w:r>
      <w:r w:rsidRPr="00FF4519">
        <w:rPr>
          <w:rFonts w:asciiTheme="majorHAnsi" w:hAnsiTheme="majorHAnsi" w:cs="Arial"/>
          <w:noProof/>
          <w:spacing w:val="-2"/>
          <w:sz w:val="20"/>
          <w:szCs w:val="20"/>
          <w:lang w:val="es-CL"/>
        </w:rPr>
        <w:t xml:space="preserve">Aprobado por la Comisión Interamericana de Derechos Humanos  a los </w:t>
      </w:r>
      <w:r>
        <w:rPr>
          <w:rFonts w:asciiTheme="majorHAnsi" w:hAnsiTheme="majorHAnsi" w:cs="Arial"/>
          <w:noProof/>
          <w:spacing w:val="-2"/>
          <w:sz w:val="20"/>
          <w:szCs w:val="20"/>
          <w:lang w:val="es-CL"/>
        </w:rPr>
        <w:t>27</w:t>
      </w:r>
      <w:r w:rsidRPr="00FF4519">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FF4519">
        <w:rPr>
          <w:rFonts w:asciiTheme="majorHAnsi" w:hAnsiTheme="majorHAnsi" w:cs="Arial"/>
          <w:noProof/>
          <w:spacing w:val="-2"/>
          <w:sz w:val="20"/>
          <w:szCs w:val="20"/>
          <w:lang w:val="es-CL"/>
        </w:rPr>
        <w:t xml:space="preserve"> de 2020.  (Firmado): Joel Hernández, Presidente; Antonia Urrejola, Primera Vicepresidenta; Flávia Piovesan, Segunda Vicepresidenta; Margarette May Macaulay, Esmeralda E. Arosemena Bernal de Troitiño, Julissa Mantilla Falcón y Stuardo Ralón Orellana, Miembros de la Comisión.</w:t>
      </w:r>
    </w:p>
    <w:sectPr w:rsidR="00FF4519"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32CAC" w14:textId="77777777" w:rsidR="00F579B0" w:rsidRDefault="00F579B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D738D6F" w14:textId="77777777" w:rsidR="00F579B0" w:rsidRDefault="00F579B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11FB0" w14:textId="77777777" w:rsidR="00D724B5" w:rsidRDefault="00D72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A5FE" w14:textId="298B468C" w:rsidR="00FC152D" w:rsidRPr="00934A2C" w:rsidRDefault="00FC152D">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724B5">
      <w:rPr>
        <w:noProof/>
        <w:sz w:val="16"/>
        <w:szCs w:val="22"/>
      </w:rPr>
      <w:t>3</w:t>
    </w:r>
    <w:r w:rsidRPr="00934A2C">
      <w:rPr>
        <w:sz w:val="16"/>
        <w:szCs w:val="22"/>
      </w:rPr>
      <w:fldChar w:fldCharType="end"/>
    </w:r>
  </w:p>
  <w:p w14:paraId="6424F38A" w14:textId="77777777" w:rsidR="00FC152D" w:rsidRDefault="00FC152D">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B7DF" w14:textId="77777777" w:rsidR="00FC152D" w:rsidRPr="00934A2C" w:rsidRDefault="00FC152D">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14:paraId="2C6FB729" w14:textId="77777777" w:rsidR="00FC152D" w:rsidRDefault="00FC152D">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47B5C" w14:textId="77777777" w:rsidR="00F579B0" w:rsidRPr="000F35ED" w:rsidRDefault="00F579B0">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14:paraId="740131E8" w14:textId="77777777" w:rsidR="00F579B0" w:rsidRPr="000F35ED" w:rsidRDefault="00F579B0"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14:paraId="6CE48C89" w14:textId="77777777" w:rsidR="00F579B0" w:rsidRPr="000F35ED" w:rsidRDefault="00F579B0"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14:paraId="1E12E666" w14:textId="77777777" w:rsidR="00F579B0" w:rsidRPr="000F35ED" w:rsidRDefault="00F579B0"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14:paraId="038A58AF" w14:textId="77777777" w:rsidR="00FC152D" w:rsidRPr="006024BF" w:rsidRDefault="00FC152D" w:rsidP="00DB6C73">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4B08E1">
        <w:rPr>
          <w:rStyle w:val="FootnoteReference"/>
          <w:rFonts w:ascii="Cambria" w:hAnsi="Cambria"/>
          <w:sz w:val="16"/>
          <w:szCs w:val="16"/>
        </w:rPr>
        <w:footnoteRef/>
      </w:r>
      <w:r w:rsidRPr="004B08E1">
        <w:rPr>
          <w:rFonts w:ascii="Cambria" w:hAnsi="Cambria"/>
          <w:sz w:val="16"/>
          <w:szCs w:val="16"/>
          <w:lang w:val="es-US"/>
        </w:rPr>
        <w:t xml:space="preserve"> En adelante “la Convención Americana” o “la Convención”.</w:t>
      </w:r>
    </w:p>
  </w:footnote>
  <w:footnote w:id="3">
    <w:p w14:paraId="6D78D29D" w14:textId="77777777" w:rsidR="00FC152D" w:rsidRPr="006024BF" w:rsidRDefault="00FC152D" w:rsidP="004B08E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4B08E1">
        <w:rPr>
          <w:rStyle w:val="FootnoteReference"/>
          <w:rFonts w:ascii="Cambria" w:hAnsi="Cambria"/>
          <w:sz w:val="16"/>
          <w:szCs w:val="16"/>
        </w:rPr>
        <w:footnoteRef/>
      </w:r>
      <w:r w:rsidRPr="004B08E1">
        <w:rPr>
          <w:rFonts w:ascii="Cambria" w:hAnsi="Cambria"/>
          <w:sz w:val="16"/>
          <w:szCs w:val="16"/>
          <w:lang w:val="es-US"/>
        </w:rPr>
        <w:t xml:space="preserve"> En adelante “la </w:t>
      </w:r>
      <w:r w:rsidRPr="004B08E1">
        <w:rPr>
          <w:rFonts w:ascii="Cambria" w:hAnsi="Cambria"/>
          <w:bCs/>
          <w:sz w:val="16"/>
          <w:szCs w:val="16"/>
          <w:lang w:val="es-US"/>
        </w:rPr>
        <w:t>Convención Belem do Pará</w:t>
      </w:r>
      <w:r w:rsidRPr="004B08E1">
        <w:rPr>
          <w:rFonts w:ascii="Cambria" w:hAnsi="Cambria"/>
          <w:sz w:val="16"/>
          <w:szCs w:val="16"/>
          <w:lang w:val="es-US"/>
        </w:rPr>
        <w:t>”.</w:t>
      </w:r>
    </w:p>
  </w:footnote>
  <w:footnote w:id="4">
    <w:p w14:paraId="4F34D535" w14:textId="77777777" w:rsidR="00FC152D" w:rsidRPr="006024BF" w:rsidRDefault="00FC152D" w:rsidP="004B08E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4B08E1">
        <w:rPr>
          <w:rStyle w:val="FootnoteReference"/>
          <w:rFonts w:ascii="Cambria" w:hAnsi="Cambria"/>
          <w:sz w:val="16"/>
          <w:szCs w:val="16"/>
        </w:rPr>
        <w:footnoteRef/>
      </w:r>
      <w:r w:rsidRPr="004B08E1">
        <w:rPr>
          <w:rFonts w:ascii="Cambria" w:hAnsi="Cambria"/>
          <w:sz w:val="16"/>
          <w:szCs w:val="16"/>
          <w:lang w:val="es-US"/>
        </w:rPr>
        <w:t xml:space="preserve"> En adelante “la Declaración Americana” o “la Declaración”.</w:t>
      </w:r>
    </w:p>
  </w:footnote>
  <w:footnote w:id="5">
    <w:p w14:paraId="38E43BFA" w14:textId="77777777" w:rsidR="00FC152D" w:rsidRPr="006024BF" w:rsidRDefault="00FC152D" w:rsidP="004B08E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4B08E1">
        <w:rPr>
          <w:rStyle w:val="FootnoteReference"/>
          <w:rFonts w:ascii="Cambria" w:hAnsi="Cambria"/>
          <w:sz w:val="16"/>
          <w:szCs w:val="16"/>
        </w:rPr>
        <w:footnoteRef/>
      </w:r>
      <w:r w:rsidRPr="004B08E1">
        <w:rPr>
          <w:rFonts w:ascii="Cambria" w:hAnsi="Cambria"/>
          <w:sz w:val="16"/>
          <w:szCs w:val="16"/>
          <w:lang w:val="es-US"/>
        </w:rPr>
        <w:t xml:space="preserve"> Artículos 1 y 14 de la Convención contra la Tortura y otros Tratos o Penas Crueles, Inhumanos o Degradantes; artículos  1,</w:t>
      </w:r>
      <w:r>
        <w:rPr>
          <w:rFonts w:ascii="Cambria" w:hAnsi="Cambria"/>
          <w:sz w:val="16"/>
          <w:szCs w:val="16"/>
          <w:lang w:val="es-US"/>
        </w:rPr>
        <w:t xml:space="preserve"> </w:t>
      </w:r>
      <w:r w:rsidRPr="004B08E1">
        <w:rPr>
          <w:rFonts w:ascii="Cambria" w:hAnsi="Cambria"/>
          <w:sz w:val="16"/>
          <w:szCs w:val="16"/>
          <w:lang w:val="es-US"/>
        </w:rPr>
        <w:t>2,</w:t>
      </w:r>
      <w:r>
        <w:rPr>
          <w:rFonts w:ascii="Cambria" w:hAnsi="Cambria"/>
          <w:sz w:val="16"/>
          <w:szCs w:val="16"/>
          <w:lang w:val="es-US"/>
        </w:rPr>
        <w:t xml:space="preserve"> </w:t>
      </w:r>
      <w:r w:rsidRPr="004B08E1">
        <w:rPr>
          <w:rFonts w:ascii="Cambria" w:hAnsi="Cambria"/>
          <w:sz w:val="16"/>
          <w:szCs w:val="16"/>
          <w:lang w:val="es-US"/>
        </w:rPr>
        <w:t>3,</w:t>
      </w:r>
      <w:r>
        <w:rPr>
          <w:rFonts w:ascii="Cambria" w:hAnsi="Cambria"/>
          <w:sz w:val="16"/>
          <w:szCs w:val="16"/>
          <w:lang w:val="es-US"/>
        </w:rPr>
        <w:t xml:space="preserve"> </w:t>
      </w:r>
      <w:r w:rsidRPr="004B08E1">
        <w:rPr>
          <w:rFonts w:ascii="Cambria" w:hAnsi="Cambria"/>
          <w:sz w:val="16"/>
          <w:szCs w:val="16"/>
          <w:lang w:val="es-US"/>
        </w:rPr>
        <w:t>5,</w:t>
      </w:r>
      <w:r>
        <w:rPr>
          <w:rFonts w:ascii="Cambria" w:hAnsi="Cambria"/>
          <w:sz w:val="16"/>
          <w:szCs w:val="16"/>
          <w:lang w:val="es-US"/>
        </w:rPr>
        <w:t xml:space="preserve"> </w:t>
      </w:r>
      <w:r w:rsidRPr="004B08E1">
        <w:rPr>
          <w:rFonts w:ascii="Cambria" w:hAnsi="Cambria"/>
          <w:sz w:val="16"/>
          <w:szCs w:val="16"/>
          <w:lang w:val="es-US"/>
        </w:rPr>
        <w:t>7 y 17 de la Declaración Universal de Derechos Humanos.</w:t>
      </w:r>
    </w:p>
  </w:footnote>
  <w:footnote w:id="6">
    <w:p w14:paraId="26DDCAFA" w14:textId="77777777" w:rsidR="00FC152D" w:rsidRPr="006024BF" w:rsidRDefault="00FC152D" w:rsidP="004B08E1">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US"/>
        </w:rPr>
      </w:pPr>
      <w:r w:rsidRPr="004B08E1">
        <w:rPr>
          <w:rStyle w:val="FootnoteReference"/>
          <w:rFonts w:ascii="Cambria" w:hAnsi="Cambria"/>
          <w:color w:val="auto"/>
          <w:sz w:val="16"/>
          <w:szCs w:val="16"/>
        </w:rPr>
        <w:footnoteRef/>
      </w:r>
      <w:r w:rsidRPr="004B08E1">
        <w:rPr>
          <w:rFonts w:ascii="Cambria" w:hAnsi="Cambria"/>
          <w:color w:val="auto"/>
          <w:sz w:val="16"/>
          <w:szCs w:val="16"/>
          <w:lang w:val="es-ES"/>
        </w:rPr>
        <w:t xml:space="preserve"> Las observaciones de cada parte fueron debidamente trasladadas a la parte contraria.</w:t>
      </w:r>
    </w:p>
  </w:footnote>
  <w:footnote w:id="7">
    <w:p w14:paraId="25C0948A" w14:textId="77777777" w:rsidR="00FC152D" w:rsidRPr="005F4FC1" w:rsidRDefault="00FC152D" w:rsidP="004B08E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4B08E1">
        <w:rPr>
          <w:rStyle w:val="FootnoteReference"/>
          <w:rFonts w:ascii="Cambria" w:hAnsi="Cambria"/>
          <w:sz w:val="16"/>
          <w:szCs w:val="16"/>
        </w:rPr>
        <w:footnoteRef/>
      </w:r>
      <w:r w:rsidRPr="004B08E1">
        <w:rPr>
          <w:rFonts w:ascii="Cambria" w:hAnsi="Cambria"/>
          <w:sz w:val="16"/>
          <w:szCs w:val="16"/>
          <w:lang w:val="es-US"/>
        </w:rPr>
        <w:t xml:space="preserve"> CIDH, Informe No. 69/08, Petición 681-00. Admisibilidad. Guillermo Patricio Lynn. Argentina. 16 de octubre de 2008, párr. 43.</w:t>
      </w:r>
    </w:p>
  </w:footnote>
  <w:footnote w:id="8">
    <w:p w14:paraId="680F430E" w14:textId="77777777" w:rsidR="00FC152D" w:rsidRPr="006024BF" w:rsidRDefault="00FC152D" w:rsidP="004B08E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4B08E1">
        <w:rPr>
          <w:rStyle w:val="FootnoteReference"/>
          <w:rFonts w:ascii="Cambria" w:hAnsi="Cambria"/>
          <w:sz w:val="16"/>
          <w:szCs w:val="16"/>
        </w:rPr>
        <w:footnoteRef/>
      </w:r>
      <w:r w:rsidRPr="004B08E1">
        <w:rPr>
          <w:rFonts w:ascii="Cambria" w:hAnsi="Cambria"/>
          <w:sz w:val="16"/>
          <w:szCs w:val="16"/>
          <w:lang w:val="es-ES"/>
        </w:rPr>
        <w:t xml:space="preserve"> CIDH, Informe No. 82/17. Petición 1067-07. Admisibilidad. Rosa Ángela Martino y María Cristina González. Argentina. 7 de julio de 2017, párr. 12.</w:t>
      </w:r>
    </w:p>
  </w:footnote>
  <w:footnote w:id="9">
    <w:p w14:paraId="2C8C5085" w14:textId="77777777" w:rsidR="00FC152D" w:rsidRDefault="00FC152D" w:rsidP="00D07FEA">
      <w:pPr>
        <w:pStyle w:val="FootnoteText"/>
        <w:pBdr>
          <w:top w:val="none" w:sz="0" w:space="0" w:color="auto"/>
          <w:left w:val="none" w:sz="0" w:space="0" w:color="auto"/>
          <w:bottom w:val="none" w:sz="0" w:space="0" w:color="auto"/>
          <w:right w:val="none" w:sz="0" w:space="0" w:color="auto"/>
          <w:bar w:val="none" w:sz="0" w:color="auto"/>
        </w:pBdr>
        <w:ind w:firstLine="720"/>
      </w:pPr>
      <w:r w:rsidRPr="004B08E1">
        <w:rPr>
          <w:rStyle w:val="FootnoteReference"/>
          <w:rFonts w:ascii="Cambria" w:hAnsi="Cambria"/>
          <w:sz w:val="16"/>
          <w:szCs w:val="16"/>
        </w:rPr>
        <w:footnoteRef/>
      </w:r>
      <w:r w:rsidRPr="004B08E1">
        <w:rPr>
          <w:rFonts w:ascii="Cambria" w:hAnsi="Cambria"/>
          <w:sz w:val="16"/>
          <w:szCs w:val="16"/>
          <w:lang w:val="es-ES"/>
        </w:rPr>
        <w:t xml:space="preserve"> CIDH, Informe No. 34/18. </w:t>
      </w:r>
      <w:r w:rsidRPr="004B08E1">
        <w:rPr>
          <w:rFonts w:ascii="Cambria" w:hAnsi="Cambria"/>
          <w:sz w:val="16"/>
          <w:szCs w:val="16"/>
          <w:lang w:val="es-ES_tradnl"/>
        </w:rPr>
        <w:t xml:space="preserve">Admisibilidad. Guillermo Juan </w:t>
      </w:r>
      <w:proofErr w:type="spellStart"/>
      <w:r w:rsidRPr="004B08E1">
        <w:rPr>
          <w:rFonts w:ascii="Cambria" w:hAnsi="Cambria"/>
          <w:sz w:val="16"/>
          <w:szCs w:val="16"/>
          <w:lang w:val="es-ES_tradnl"/>
        </w:rPr>
        <w:t>Tiscornia</w:t>
      </w:r>
      <w:proofErr w:type="spellEnd"/>
      <w:r w:rsidRPr="004B08E1">
        <w:rPr>
          <w:rFonts w:ascii="Cambria" w:hAnsi="Cambria"/>
          <w:sz w:val="16"/>
          <w:szCs w:val="16"/>
          <w:lang w:val="es-ES_tradnl"/>
        </w:rPr>
        <w:t xml:space="preserve"> y Familia. Argentina. </w:t>
      </w:r>
      <w:r w:rsidRPr="004B08E1">
        <w:rPr>
          <w:rFonts w:ascii="Cambria" w:hAnsi="Cambria"/>
          <w:sz w:val="16"/>
          <w:szCs w:val="16"/>
          <w:lang w:val="es-ES"/>
        </w:rPr>
        <w:t>4 de mayo de 2018, párr.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DAC9D" w14:textId="77777777" w:rsidR="00FC152D" w:rsidRDefault="00FC152D" w:rsidP="00023CAB">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1D93B5D7" w14:textId="77777777" w:rsidR="00FC152D" w:rsidRDefault="00FC1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0D7B6" w14:textId="100445E1" w:rsidR="00FC152D" w:rsidRDefault="006024BF" w:rsidP="00A50FCF">
    <w:pPr>
      <w:pStyle w:val="Header"/>
      <w:tabs>
        <w:tab w:val="clear" w:pos="4320"/>
        <w:tab w:val="clear" w:pos="8640"/>
      </w:tabs>
      <w:jc w:val="center"/>
      <w:rPr>
        <w:sz w:val="22"/>
        <w:szCs w:val="22"/>
      </w:rPr>
    </w:pPr>
    <w:r>
      <w:rPr>
        <w:noProof/>
        <w:sz w:val="22"/>
        <w:szCs w:val="22"/>
      </w:rPr>
      <w:drawing>
        <wp:inline distT="0" distB="0" distL="0" distR="0" wp14:anchorId="5C57F356" wp14:editId="2C7B449F">
          <wp:extent cx="1952625" cy="10477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14:paraId="44F05255" w14:textId="77777777" w:rsidR="00FC152D" w:rsidRPr="00EC7D62" w:rsidRDefault="00F579B0" w:rsidP="00A50FCF">
    <w:pPr>
      <w:pStyle w:val="Header"/>
      <w:tabs>
        <w:tab w:val="clear" w:pos="4320"/>
        <w:tab w:val="clear" w:pos="8640"/>
      </w:tabs>
      <w:jc w:val="center"/>
      <w:rPr>
        <w:sz w:val="22"/>
        <w:szCs w:val="22"/>
      </w:rPr>
    </w:pPr>
    <w:r>
      <w:rPr>
        <w:sz w:val="22"/>
        <w:szCs w:val="22"/>
      </w:rPr>
      <w:pict w14:anchorId="351F0ED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D21C" w14:textId="77777777" w:rsidR="00D724B5" w:rsidRDefault="00D72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cs="Times New Roman" w:hint="default"/>
      </w:rPr>
    </w:lvl>
    <w:lvl w:ilvl="1" w:tplc="83BC66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cs="Times New Roman" w:hint="default"/>
        <w:b w:val="0"/>
        <w:color w:val="auto"/>
        <w:sz w:val="20"/>
        <w:szCs w:val="20"/>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5"/>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8"/>
  </w:num>
  <w:num w:numId="21">
    <w:abstractNumId w:val="3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7"/>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4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5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40"/>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6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7"/>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8"/>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6"/>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242"/>
    <w:rsid w:val="0000036F"/>
    <w:rsid w:val="00000CDA"/>
    <w:rsid w:val="000027B3"/>
    <w:rsid w:val="00006E1F"/>
    <w:rsid w:val="000070D7"/>
    <w:rsid w:val="00007A47"/>
    <w:rsid w:val="000120F3"/>
    <w:rsid w:val="0001788C"/>
    <w:rsid w:val="00021703"/>
    <w:rsid w:val="00022EEE"/>
    <w:rsid w:val="00023CAB"/>
    <w:rsid w:val="00026A17"/>
    <w:rsid w:val="0002779C"/>
    <w:rsid w:val="00027CC7"/>
    <w:rsid w:val="000337EF"/>
    <w:rsid w:val="00036B4F"/>
    <w:rsid w:val="00040C3A"/>
    <w:rsid w:val="0004135F"/>
    <w:rsid w:val="0004158B"/>
    <w:rsid w:val="000419AD"/>
    <w:rsid w:val="000433C9"/>
    <w:rsid w:val="00051286"/>
    <w:rsid w:val="0005569B"/>
    <w:rsid w:val="000606F1"/>
    <w:rsid w:val="000716C5"/>
    <w:rsid w:val="00075E23"/>
    <w:rsid w:val="00076BE5"/>
    <w:rsid w:val="00084E3B"/>
    <w:rsid w:val="00085166"/>
    <w:rsid w:val="00085CF3"/>
    <w:rsid w:val="0009344A"/>
    <w:rsid w:val="000A051A"/>
    <w:rsid w:val="000A392E"/>
    <w:rsid w:val="000A575F"/>
    <w:rsid w:val="000C1003"/>
    <w:rsid w:val="000C4B76"/>
    <w:rsid w:val="000C4C69"/>
    <w:rsid w:val="000C66A9"/>
    <w:rsid w:val="000C7DAC"/>
    <w:rsid w:val="000D10DB"/>
    <w:rsid w:val="000D599B"/>
    <w:rsid w:val="000E0098"/>
    <w:rsid w:val="000E1F92"/>
    <w:rsid w:val="000E463B"/>
    <w:rsid w:val="000E5EB5"/>
    <w:rsid w:val="000E686B"/>
    <w:rsid w:val="000E6CAD"/>
    <w:rsid w:val="000F35ED"/>
    <w:rsid w:val="000F3913"/>
    <w:rsid w:val="000F5F09"/>
    <w:rsid w:val="00100A6C"/>
    <w:rsid w:val="00101D01"/>
    <w:rsid w:val="00102E97"/>
    <w:rsid w:val="001065F9"/>
    <w:rsid w:val="00107131"/>
    <w:rsid w:val="0010736F"/>
    <w:rsid w:val="00107831"/>
    <w:rsid w:val="0011096F"/>
    <w:rsid w:val="00113DAD"/>
    <w:rsid w:val="00113E93"/>
    <w:rsid w:val="00113F73"/>
    <w:rsid w:val="00114DCB"/>
    <w:rsid w:val="00121CC2"/>
    <w:rsid w:val="00124B80"/>
    <w:rsid w:val="00131354"/>
    <w:rsid w:val="00132BC1"/>
    <w:rsid w:val="00133EE5"/>
    <w:rsid w:val="00140B21"/>
    <w:rsid w:val="00142794"/>
    <w:rsid w:val="001433FE"/>
    <w:rsid w:val="00143E51"/>
    <w:rsid w:val="0014669B"/>
    <w:rsid w:val="00146B6C"/>
    <w:rsid w:val="00157122"/>
    <w:rsid w:val="0016082B"/>
    <w:rsid w:val="00165B7D"/>
    <w:rsid w:val="0016705D"/>
    <w:rsid w:val="00167A34"/>
    <w:rsid w:val="00170B02"/>
    <w:rsid w:val="00170ED4"/>
    <w:rsid w:val="00176306"/>
    <w:rsid w:val="001838AB"/>
    <w:rsid w:val="00184984"/>
    <w:rsid w:val="001A4386"/>
    <w:rsid w:val="001A43B4"/>
    <w:rsid w:val="001A7870"/>
    <w:rsid w:val="001B0221"/>
    <w:rsid w:val="001B3A00"/>
    <w:rsid w:val="001B78C3"/>
    <w:rsid w:val="001C1B41"/>
    <w:rsid w:val="001C28F3"/>
    <w:rsid w:val="001C2E80"/>
    <w:rsid w:val="001C36C3"/>
    <w:rsid w:val="001C74C1"/>
    <w:rsid w:val="001D054A"/>
    <w:rsid w:val="001D14A4"/>
    <w:rsid w:val="001D36EA"/>
    <w:rsid w:val="001D65EF"/>
    <w:rsid w:val="001D71E1"/>
    <w:rsid w:val="001E3806"/>
    <w:rsid w:val="001E49E7"/>
    <w:rsid w:val="001E7EE6"/>
    <w:rsid w:val="001F0CE8"/>
    <w:rsid w:val="001F29AB"/>
    <w:rsid w:val="001F3E01"/>
    <w:rsid w:val="001F5F6F"/>
    <w:rsid w:val="001F7201"/>
    <w:rsid w:val="001F781E"/>
    <w:rsid w:val="00200790"/>
    <w:rsid w:val="00200F0C"/>
    <w:rsid w:val="00206C60"/>
    <w:rsid w:val="00212D3D"/>
    <w:rsid w:val="002145C9"/>
    <w:rsid w:val="0022289B"/>
    <w:rsid w:val="0022302D"/>
    <w:rsid w:val="00223609"/>
    <w:rsid w:val="00223A29"/>
    <w:rsid w:val="00224BE6"/>
    <w:rsid w:val="002250A3"/>
    <w:rsid w:val="00231E71"/>
    <w:rsid w:val="00235217"/>
    <w:rsid w:val="0024696B"/>
    <w:rsid w:val="00246D1F"/>
    <w:rsid w:val="00247403"/>
    <w:rsid w:val="00247542"/>
    <w:rsid w:val="0025401E"/>
    <w:rsid w:val="00266B61"/>
    <w:rsid w:val="00266E2A"/>
    <w:rsid w:val="0026712A"/>
    <w:rsid w:val="00267A8D"/>
    <w:rsid w:val="002704DB"/>
    <w:rsid w:val="00271E16"/>
    <w:rsid w:val="00274443"/>
    <w:rsid w:val="00275DE4"/>
    <w:rsid w:val="00276E51"/>
    <w:rsid w:val="00291602"/>
    <w:rsid w:val="00291E11"/>
    <w:rsid w:val="0029285D"/>
    <w:rsid w:val="0029371B"/>
    <w:rsid w:val="002A0AAE"/>
    <w:rsid w:val="002A192B"/>
    <w:rsid w:val="002A5820"/>
    <w:rsid w:val="002A6072"/>
    <w:rsid w:val="002A7742"/>
    <w:rsid w:val="002B0883"/>
    <w:rsid w:val="002B22BA"/>
    <w:rsid w:val="002B3D82"/>
    <w:rsid w:val="002C0EE2"/>
    <w:rsid w:val="002C3469"/>
    <w:rsid w:val="002D1337"/>
    <w:rsid w:val="002D28FF"/>
    <w:rsid w:val="002D2B26"/>
    <w:rsid w:val="002D2ECD"/>
    <w:rsid w:val="002D66FF"/>
    <w:rsid w:val="002D7EA2"/>
    <w:rsid w:val="002E0625"/>
    <w:rsid w:val="002E187C"/>
    <w:rsid w:val="002E18A3"/>
    <w:rsid w:val="002E18ED"/>
    <w:rsid w:val="002E217E"/>
    <w:rsid w:val="002F194A"/>
    <w:rsid w:val="002F4E67"/>
    <w:rsid w:val="002F628D"/>
    <w:rsid w:val="00302733"/>
    <w:rsid w:val="00302C92"/>
    <w:rsid w:val="00306C6C"/>
    <w:rsid w:val="00310F28"/>
    <w:rsid w:val="00314078"/>
    <w:rsid w:val="003140B6"/>
    <w:rsid w:val="003150C7"/>
    <w:rsid w:val="0031535D"/>
    <w:rsid w:val="003239B8"/>
    <w:rsid w:val="00326F53"/>
    <w:rsid w:val="0033169F"/>
    <w:rsid w:val="00334D3A"/>
    <w:rsid w:val="00341752"/>
    <w:rsid w:val="0034209E"/>
    <w:rsid w:val="00344977"/>
    <w:rsid w:val="00346C95"/>
    <w:rsid w:val="00347084"/>
    <w:rsid w:val="00350DCF"/>
    <w:rsid w:val="00356185"/>
    <w:rsid w:val="00360380"/>
    <w:rsid w:val="00361FE7"/>
    <w:rsid w:val="00373A16"/>
    <w:rsid w:val="0037519E"/>
    <w:rsid w:val="00375582"/>
    <w:rsid w:val="0038432D"/>
    <w:rsid w:val="00385B36"/>
    <w:rsid w:val="00386CF0"/>
    <w:rsid w:val="0039057A"/>
    <w:rsid w:val="0039087F"/>
    <w:rsid w:val="003913DC"/>
    <w:rsid w:val="003A4BBC"/>
    <w:rsid w:val="003B09B8"/>
    <w:rsid w:val="003B1DAC"/>
    <w:rsid w:val="003B543A"/>
    <w:rsid w:val="003B70FB"/>
    <w:rsid w:val="003C676B"/>
    <w:rsid w:val="003D3BC2"/>
    <w:rsid w:val="003D43D3"/>
    <w:rsid w:val="003D51D0"/>
    <w:rsid w:val="003E4726"/>
    <w:rsid w:val="003E6CA1"/>
    <w:rsid w:val="003F3A20"/>
    <w:rsid w:val="003F4929"/>
    <w:rsid w:val="00400F21"/>
    <w:rsid w:val="004015D9"/>
    <w:rsid w:val="004022E5"/>
    <w:rsid w:val="00403B97"/>
    <w:rsid w:val="004065A8"/>
    <w:rsid w:val="004120BA"/>
    <w:rsid w:val="004150BF"/>
    <w:rsid w:val="00415201"/>
    <w:rsid w:val="004165C2"/>
    <w:rsid w:val="00422B46"/>
    <w:rsid w:val="00422C3C"/>
    <w:rsid w:val="00426A48"/>
    <w:rsid w:val="00426C3B"/>
    <w:rsid w:val="00430667"/>
    <w:rsid w:val="004356B5"/>
    <w:rsid w:val="0043766F"/>
    <w:rsid w:val="00441ECB"/>
    <w:rsid w:val="00443EB5"/>
    <w:rsid w:val="00445193"/>
    <w:rsid w:val="004461A6"/>
    <w:rsid w:val="004508DB"/>
    <w:rsid w:val="00453C2F"/>
    <w:rsid w:val="00453FA3"/>
    <w:rsid w:val="00454FC3"/>
    <w:rsid w:val="00455345"/>
    <w:rsid w:val="00455753"/>
    <w:rsid w:val="00460F5E"/>
    <w:rsid w:val="00462037"/>
    <w:rsid w:val="0046211E"/>
    <w:rsid w:val="004622A9"/>
    <w:rsid w:val="0046232D"/>
    <w:rsid w:val="00462C1B"/>
    <w:rsid w:val="004644ED"/>
    <w:rsid w:val="00467B7E"/>
    <w:rsid w:val="0047093E"/>
    <w:rsid w:val="00470D27"/>
    <w:rsid w:val="004735C5"/>
    <w:rsid w:val="00473BB4"/>
    <w:rsid w:val="00477592"/>
    <w:rsid w:val="00477D56"/>
    <w:rsid w:val="00486F1C"/>
    <w:rsid w:val="00492532"/>
    <w:rsid w:val="00493993"/>
    <w:rsid w:val="0049419D"/>
    <w:rsid w:val="0049472B"/>
    <w:rsid w:val="004A25BB"/>
    <w:rsid w:val="004A6A54"/>
    <w:rsid w:val="004A74C4"/>
    <w:rsid w:val="004A78FB"/>
    <w:rsid w:val="004B014B"/>
    <w:rsid w:val="004B08E1"/>
    <w:rsid w:val="004C20D2"/>
    <w:rsid w:val="004C2312"/>
    <w:rsid w:val="004C49F1"/>
    <w:rsid w:val="004C4B62"/>
    <w:rsid w:val="004C4DC4"/>
    <w:rsid w:val="004C54C9"/>
    <w:rsid w:val="004C65C0"/>
    <w:rsid w:val="004D31FC"/>
    <w:rsid w:val="004D4ABA"/>
    <w:rsid w:val="004D6025"/>
    <w:rsid w:val="004E0089"/>
    <w:rsid w:val="004E2649"/>
    <w:rsid w:val="004F0C8F"/>
    <w:rsid w:val="004F3908"/>
    <w:rsid w:val="004F47CD"/>
    <w:rsid w:val="004F5006"/>
    <w:rsid w:val="004F69F7"/>
    <w:rsid w:val="00501399"/>
    <w:rsid w:val="005033C9"/>
    <w:rsid w:val="0050633D"/>
    <w:rsid w:val="00507BC4"/>
    <w:rsid w:val="00507F18"/>
    <w:rsid w:val="005128E4"/>
    <w:rsid w:val="00512BB2"/>
    <w:rsid w:val="005133DB"/>
    <w:rsid w:val="00517238"/>
    <w:rsid w:val="00517E13"/>
    <w:rsid w:val="00525560"/>
    <w:rsid w:val="00525DA2"/>
    <w:rsid w:val="00527EE9"/>
    <w:rsid w:val="00531947"/>
    <w:rsid w:val="00533A4F"/>
    <w:rsid w:val="00534149"/>
    <w:rsid w:val="0053626D"/>
    <w:rsid w:val="005403BD"/>
    <w:rsid w:val="00540737"/>
    <w:rsid w:val="00543C39"/>
    <w:rsid w:val="00544C49"/>
    <w:rsid w:val="00546301"/>
    <w:rsid w:val="0054647A"/>
    <w:rsid w:val="005516A1"/>
    <w:rsid w:val="00563557"/>
    <w:rsid w:val="00564F70"/>
    <w:rsid w:val="0057402A"/>
    <w:rsid w:val="005752AB"/>
    <w:rsid w:val="00576D2F"/>
    <w:rsid w:val="005771D0"/>
    <w:rsid w:val="005814E2"/>
    <w:rsid w:val="0058358A"/>
    <w:rsid w:val="0058736B"/>
    <w:rsid w:val="0059191A"/>
    <w:rsid w:val="005921FF"/>
    <w:rsid w:val="0059705A"/>
    <w:rsid w:val="005A24ED"/>
    <w:rsid w:val="005A2C50"/>
    <w:rsid w:val="005A55D9"/>
    <w:rsid w:val="005A6897"/>
    <w:rsid w:val="005A6D0E"/>
    <w:rsid w:val="005A71E8"/>
    <w:rsid w:val="005B52B0"/>
    <w:rsid w:val="005B6806"/>
    <w:rsid w:val="005C0F97"/>
    <w:rsid w:val="005C4225"/>
    <w:rsid w:val="005D4748"/>
    <w:rsid w:val="005D7D6E"/>
    <w:rsid w:val="005E40AB"/>
    <w:rsid w:val="005E5A8C"/>
    <w:rsid w:val="005F06B8"/>
    <w:rsid w:val="005F0DAD"/>
    <w:rsid w:val="005F0F33"/>
    <w:rsid w:val="005F4FC1"/>
    <w:rsid w:val="005F76DF"/>
    <w:rsid w:val="005F7E0B"/>
    <w:rsid w:val="00600DEB"/>
    <w:rsid w:val="00601036"/>
    <w:rsid w:val="006019D1"/>
    <w:rsid w:val="006024BF"/>
    <w:rsid w:val="006042D8"/>
    <w:rsid w:val="00605F23"/>
    <w:rsid w:val="00606F89"/>
    <w:rsid w:val="006135D4"/>
    <w:rsid w:val="00623394"/>
    <w:rsid w:val="00627C9F"/>
    <w:rsid w:val="006311E9"/>
    <w:rsid w:val="00632354"/>
    <w:rsid w:val="00633515"/>
    <w:rsid w:val="00642810"/>
    <w:rsid w:val="00651328"/>
    <w:rsid w:val="00652333"/>
    <w:rsid w:val="00653016"/>
    <w:rsid w:val="00653161"/>
    <w:rsid w:val="00661EE5"/>
    <w:rsid w:val="006657ED"/>
    <w:rsid w:val="00675E46"/>
    <w:rsid w:val="0068009E"/>
    <w:rsid w:val="00680C01"/>
    <w:rsid w:val="00680C09"/>
    <w:rsid w:val="00682DDC"/>
    <w:rsid w:val="00684D7C"/>
    <w:rsid w:val="006870EA"/>
    <w:rsid w:val="00692219"/>
    <w:rsid w:val="006937A0"/>
    <w:rsid w:val="006A17D2"/>
    <w:rsid w:val="006A4C54"/>
    <w:rsid w:val="006A731C"/>
    <w:rsid w:val="006A73E6"/>
    <w:rsid w:val="006A749C"/>
    <w:rsid w:val="006A799F"/>
    <w:rsid w:val="006A7E9C"/>
    <w:rsid w:val="006B2D5C"/>
    <w:rsid w:val="006C403D"/>
    <w:rsid w:val="006C45F3"/>
    <w:rsid w:val="006C4EB1"/>
    <w:rsid w:val="006C4F92"/>
    <w:rsid w:val="006C628D"/>
    <w:rsid w:val="006D399D"/>
    <w:rsid w:val="006D7533"/>
    <w:rsid w:val="006E0041"/>
    <w:rsid w:val="006E0166"/>
    <w:rsid w:val="006E0C4A"/>
    <w:rsid w:val="006E7B34"/>
    <w:rsid w:val="006F17B6"/>
    <w:rsid w:val="006F5A21"/>
    <w:rsid w:val="0070697F"/>
    <w:rsid w:val="00707094"/>
    <w:rsid w:val="0070793B"/>
    <w:rsid w:val="00716D62"/>
    <w:rsid w:val="0072199C"/>
    <w:rsid w:val="00722C9F"/>
    <w:rsid w:val="007242F1"/>
    <w:rsid w:val="007253B8"/>
    <w:rsid w:val="00736BEB"/>
    <w:rsid w:val="0073741F"/>
    <w:rsid w:val="00741DF6"/>
    <w:rsid w:val="0074424B"/>
    <w:rsid w:val="00744AEA"/>
    <w:rsid w:val="00746C94"/>
    <w:rsid w:val="00746FF7"/>
    <w:rsid w:val="00757848"/>
    <w:rsid w:val="007608BD"/>
    <w:rsid w:val="00761C1B"/>
    <w:rsid w:val="0076643F"/>
    <w:rsid w:val="00775FFF"/>
    <w:rsid w:val="00777F63"/>
    <w:rsid w:val="007813A1"/>
    <w:rsid w:val="00782461"/>
    <w:rsid w:val="00786227"/>
    <w:rsid w:val="0079068D"/>
    <w:rsid w:val="00792F4B"/>
    <w:rsid w:val="00797E0A"/>
    <w:rsid w:val="007A4604"/>
    <w:rsid w:val="007A5817"/>
    <w:rsid w:val="007A7D47"/>
    <w:rsid w:val="007B05C4"/>
    <w:rsid w:val="007B60E9"/>
    <w:rsid w:val="007B6CC3"/>
    <w:rsid w:val="007B76D3"/>
    <w:rsid w:val="007B7E21"/>
    <w:rsid w:val="007C1E1C"/>
    <w:rsid w:val="007C3334"/>
    <w:rsid w:val="007D139E"/>
    <w:rsid w:val="007D2B98"/>
    <w:rsid w:val="007D3EFF"/>
    <w:rsid w:val="007D40E2"/>
    <w:rsid w:val="007D7059"/>
    <w:rsid w:val="007E05D4"/>
    <w:rsid w:val="007E21BC"/>
    <w:rsid w:val="007E7C82"/>
    <w:rsid w:val="007F5545"/>
    <w:rsid w:val="007F578F"/>
    <w:rsid w:val="007F588D"/>
    <w:rsid w:val="00800366"/>
    <w:rsid w:val="00802FC2"/>
    <w:rsid w:val="00803487"/>
    <w:rsid w:val="00803F1C"/>
    <w:rsid w:val="0080478A"/>
    <w:rsid w:val="00805476"/>
    <w:rsid w:val="0080600E"/>
    <w:rsid w:val="0080620C"/>
    <w:rsid w:val="008109A2"/>
    <w:rsid w:val="00817612"/>
    <w:rsid w:val="00822F90"/>
    <w:rsid w:val="0082417A"/>
    <w:rsid w:val="00827967"/>
    <w:rsid w:val="008338A4"/>
    <w:rsid w:val="00834D49"/>
    <w:rsid w:val="00837C45"/>
    <w:rsid w:val="00844730"/>
    <w:rsid w:val="008457C2"/>
    <w:rsid w:val="00845947"/>
    <w:rsid w:val="0084597F"/>
    <w:rsid w:val="00851938"/>
    <w:rsid w:val="00853552"/>
    <w:rsid w:val="00857910"/>
    <w:rsid w:val="00857A82"/>
    <w:rsid w:val="00860136"/>
    <w:rsid w:val="0086212C"/>
    <w:rsid w:val="00862397"/>
    <w:rsid w:val="008734EE"/>
    <w:rsid w:val="00873836"/>
    <w:rsid w:val="008811EB"/>
    <w:rsid w:val="00883A6E"/>
    <w:rsid w:val="00884DD3"/>
    <w:rsid w:val="00885737"/>
    <w:rsid w:val="00887EE1"/>
    <w:rsid w:val="00890650"/>
    <w:rsid w:val="00892C9E"/>
    <w:rsid w:val="00893014"/>
    <w:rsid w:val="00897095"/>
    <w:rsid w:val="00897E12"/>
    <w:rsid w:val="008A465B"/>
    <w:rsid w:val="008A4CF1"/>
    <w:rsid w:val="008A6643"/>
    <w:rsid w:val="008A7E0F"/>
    <w:rsid w:val="008B047C"/>
    <w:rsid w:val="008B12F5"/>
    <w:rsid w:val="008B28A9"/>
    <w:rsid w:val="008B2C33"/>
    <w:rsid w:val="008C2D07"/>
    <w:rsid w:val="008C3437"/>
    <w:rsid w:val="008C44BF"/>
    <w:rsid w:val="008D33D9"/>
    <w:rsid w:val="008D768D"/>
    <w:rsid w:val="008E3759"/>
    <w:rsid w:val="008E3BFE"/>
    <w:rsid w:val="008F12F9"/>
    <w:rsid w:val="008F1912"/>
    <w:rsid w:val="0090270B"/>
    <w:rsid w:val="00903F87"/>
    <w:rsid w:val="009041DC"/>
    <w:rsid w:val="00917332"/>
    <w:rsid w:val="00917B5A"/>
    <w:rsid w:val="00920A58"/>
    <w:rsid w:val="00920A8C"/>
    <w:rsid w:val="00926A3F"/>
    <w:rsid w:val="009317BA"/>
    <w:rsid w:val="00932CA8"/>
    <w:rsid w:val="00934A2C"/>
    <w:rsid w:val="0094022D"/>
    <w:rsid w:val="00942D54"/>
    <w:rsid w:val="00944059"/>
    <w:rsid w:val="009460B2"/>
    <w:rsid w:val="00952890"/>
    <w:rsid w:val="009537CA"/>
    <w:rsid w:val="00957117"/>
    <w:rsid w:val="0096112C"/>
    <w:rsid w:val="009621CB"/>
    <w:rsid w:val="0096395A"/>
    <w:rsid w:val="0096706E"/>
    <w:rsid w:val="00972AEF"/>
    <w:rsid w:val="00972B47"/>
    <w:rsid w:val="00974491"/>
    <w:rsid w:val="00975C4E"/>
    <w:rsid w:val="00976A22"/>
    <w:rsid w:val="00977736"/>
    <w:rsid w:val="00981A01"/>
    <w:rsid w:val="00981FBA"/>
    <w:rsid w:val="009858DB"/>
    <w:rsid w:val="00986E1B"/>
    <w:rsid w:val="0099561C"/>
    <w:rsid w:val="00997BC5"/>
    <w:rsid w:val="009A4F41"/>
    <w:rsid w:val="009A6862"/>
    <w:rsid w:val="009B381B"/>
    <w:rsid w:val="009B7F97"/>
    <w:rsid w:val="009C3193"/>
    <w:rsid w:val="009C6AF9"/>
    <w:rsid w:val="009C72FB"/>
    <w:rsid w:val="009D1753"/>
    <w:rsid w:val="009D7099"/>
    <w:rsid w:val="009D7611"/>
    <w:rsid w:val="009E0B61"/>
    <w:rsid w:val="009E2152"/>
    <w:rsid w:val="009E53DE"/>
    <w:rsid w:val="009F061C"/>
    <w:rsid w:val="009F69E7"/>
    <w:rsid w:val="00A00438"/>
    <w:rsid w:val="00A01FA0"/>
    <w:rsid w:val="00A0267F"/>
    <w:rsid w:val="00A062CF"/>
    <w:rsid w:val="00A10690"/>
    <w:rsid w:val="00A11212"/>
    <w:rsid w:val="00A11E44"/>
    <w:rsid w:val="00A20530"/>
    <w:rsid w:val="00A270C0"/>
    <w:rsid w:val="00A32201"/>
    <w:rsid w:val="00A328B3"/>
    <w:rsid w:val="00A35904"/>
    <w:rsid w:val="00A36FFB"/>
    <w:rsid w:val="00A45EB2"/>
    <w:rsid w:val="00A50FCF"/>
    <w:rsid w:val="00A528D1"/>
    <w:rsid w:val="00A57F2F"/>
    <w:rsid w:val="00A60D06"/>
    <w:rsid w:val="00A610CD"/>
    <w:rsid w:val="00A66202"/>
    <w:rsid w:val="00A67A02"/>
    <w:rsid w:val="00A72E43"/>
    <w:rsid w:val="00A758AA"/>
    <w:rsid w:val="00A819F3"/>
    <w:rsid w:val="00A820DF"/>
    <w:rsid w:val="00A8794A"/>
    <w:rsid w:val="00A9606E"/>
    <w:rsid w:val="00AA09A2"/>
    <w:rsid w:val="00AA2734"/>
    <w:rsid w:val="00AA5ABB"/>
    <w:rsid w:val="00AA7996"/>
    <w:rsid w:val="00AB1E46"/>
    <w:rsid w:val="00AC19CB"/>
    <w:rsid w:val="00AC4823"/>
    <w:rsid w:val="00AC4F01"/>
    <w:rsid w:val="00AD3F22"/>
    <w:rsid w:val="00AD6DE9"/>
    <w:rsid w:val="00AE09AA"/>
    <w:rsid w:val="00AE3111"/>
    <w:rsid w:val="00AE3C6B"/>
    <w:rsid w:val="00AE5488"/>
    <w:rsid w:val="00AE6816"/>
    <w:rsid w:val="00AE6F91"/>
    <w:rsid w:val="00AE785E"/>
    <w:rsid w:val="00AF08D6"/>
    <w:rsid w:val="00AF0C8E"/>
    <w:rsid w:val="00AF5571"/>
    <w:rsid w:val="00AF7112"/>
    <w:rsid w:val="00B0133E"/>
    <w:rsid w:val="00B03431"/>
    <w:rsid w:val="00B04624"/>
    <w:rsid w:val="00B06A65"/>
    <w:rsid w:val="00B07341"/>
    <w:rsid w:val="00B1450D"/>
    <w:rsid w:val="00B16DC9"/>
    <w:rsid w:val="00B26D0A"/>
    <w:rsid w:val="00B272C2"/>
    <w:rsid w:val="00B30539"/>
    <w:rsid w:val="00B314DB"/>
    <w:rsid w:val="00B346BB"/>
    <w:rsid w:val="00B361F2"/>
    <w:rsid w:val="00B3718B"/>
    <w:rsid w:val="00B4632A"/>
    <w:rsid w:val="00B4765B"/>
    <w:rsid w:val="00B47EE4"/>
    <w:rsid w:val="00B51D56"/>
    <w:rsid w:val="00B530F1"/>
    <w:rsid w:val="00B54401"/>
    <w:rsid w:val="00B54B92"/>
    <w:rsid w:val="00B62F6C"/>
    <w:rsid w:val="00B634D6"/>
    <w:rsid w:val="00B6455B"/>
    <w:rsid w:val="00B67BE8"/>
    <w:rsid w:val="00B703DA"/>
    <w:rsid w:val="00B75B98"/>
    <w:rsid w:val="00B76FCB"/>
    <w:rsid w:val="00B772A4"/>
    <w:rsid w:val="00B83EB5"/>
    <w:rsid w:val="00B86FA6"/>
    <w:rsid w:val="00B91536"/>
    <w:rsid w:val="00B95B66"/>
    <w:rsid w:val="00B969BE"/>
    <w:rsid w:val="00BA276C"/>
    <w:rsid w:val="00BA3CF0"/>
    <w:rsid w:val="00BB306F"/>
    <w:rsid w:val="00BB3D44"/>
    <w:rsid w:val="00BB4597"/>
    <w:rsid w:val="00BB5E27"/>
    <w:rsid w:val="00BB796D"/>
    <w:rsid w:val="00BD030A"/>
    <w:rsid w:val="00BD3652"/>
    <w:rsid w:val="00BD4B89"/>
    <w:rsid w:val="00BD4E0A"/>
    <w:rsid w:val="00BD5922"/>
    <w:rsid w:val="00BD765D"/>
    <w:rsid w:val="00BF02CB"/>
    <w:rsid w:val="00BF3880"/>
    <w:rsid w:val="00BF4B31"/>
    <w:rsid w:val="00BF6FD8"/>
    <w:rsid w:val="00C03680"/>
    <w:rsid w:val="00C054DF"/>
    <w:rsid w:val="00C15D14"/>
    <w:rsid w:val="00C21762"/>
    <w:rsid w:val="00C21FEF"/>
    <w:rsid w:val="00C2238A"/>
    <w:rsid w:val="00C24543"/>
    <w:rsid w:val="00C246DB"/>
    <w:rsid w:val="00C256A2"/>
    <w:rsid w:val="00C27CA7"/>
    <w:rsid w:val="00C30B67"/>
    <w:rsid w:val="00C336D2"/>
    <w:rsid w:val="00C357A3"/>
    <w:rsid w:val="00C408B3"/>
    <w:rsid w:val="00C408F6"/>
    <w:rsid w:val="00C40C6D"/>
    <w:rsid w:val="00C432CE"/>
    <w:rsid w:val="00C432DF"/>
    <w:rsid w:val="00C51515"/>
    <w:rsid w:val="00C5275C"/>
    <w:rsid w:val="00C5660B"/>
    <w:rsid w:val="00C648AD"/>
    <w:rsid w:val="00C66B72"/>
    <w:rsid w:val="00C73774"/>
    <w:rsid w:val="00C806F3"/>
    <w:rsid w:val="00C87AC4"/>
    <w:rsid w:val="00C948AD"/>
    <w:rsid w:val="00C9567A"/>
    <w:rsid w:val="00C97A86"/>
    <w:rsid w:val="00CA6924"/>
    <w:rsid w:val="00CB212D"/>
    <w:rsid w:val="00CB2660"/>
    <w:rsid w:val="00CC17EB"/>
    <w:rsid w:val="00CC31F5"/>
    <w:rsid w:val="00CC3E88"/>
    <w:rsid w:val="00CC3EFE"/>
    <w:rsid w:val="00CC5E90"/>
    <w:rsid w:val="00CD046C"/>
    <w:rsid w:val="00CE076C"/>
    <w:rsid w:val="00CE326F"/>
    <w:rsid w:val="00CE466E"/>
    <w:rsid w:val="00CE5199"/>
    <w:rsid w:val="00CE66D5"/>
    <w:rsid w:val="00CE7BAA"/>
    <w:rsid w:val="00CF1802"/>
    <w:rsid w:val="00CF36D8"/>
    <w:rsid w:val="00CF432E"/>
    <w:rsid w:val="00CF637A"/>
    <w:rsid w:val="00CF73AE"/>
    <w:rsid w:val="00D0576E"/>
    <w:rsid w:val="00D059DE"/>
    <w:rsid w:val="00D05ABD"/>
    <w:rsid w:val="00D07FEA"/>
    <w:rsid w:val="00D11E79"/>
    <w:rsid w:val="00D13FCE"/>
    <w:rsid w:val="00D16580"/>
    <w:rsid w:val="00D26693"/>
    <w:rsid w:val="00D306D1"/>
    <w:rsid w:val="00D30800"/>
    <w:rsid w:val="00D313FE"/>
    <w:rsid w:val="00D32622"/>
    <w:rsid w:val="00D34786"/>
    <w:rsid w:val="00D37BFC"/>
    <w:rsid w:val="00D43E8A"/>
    <w:rsid w:val="00D47607"/>
    <w:rsid w:val="00D47A8E"/>
    <w:rsid w:val="00D507B1"/>
    <w:rsid w:val="00D52D14"/>
    <w:rsid w:val="00D670F0"/>
    <w:rsid w:val="00D67909"/>
    <w:rsid w:val="00D712D3"/>
    <w:rsid w:val="00D71422"/>
    <w:rsid w:val="00D724B5"/>
    <w:rsid w:val="00D72DC6"/>
    <w:rsid w:val="00D74DED"/>
    <w:rsid w:val="00D7558D"/>
    <w:rsid w:val="00D81D92"/>
    <w:rsid w:val="00D82149"/>
    <w:rsid w:val="00D84410"/>
    <w:rsid w:val="00D876F9"/>
    <w:rsid w:val="00D9498C"/>
    <w:rsid w:val="00DA7B14"/>
    <w:rsid w:val="00DA7B5F"/>
    <w:rsid w:val="00DB071C"/>
    <w:rsid w:val="00DB1545"/>
    <w:rsid w:val="00DB4BD9"/>
    <w:rsid w:val="00DB6C73"/>
    <w:rsid w:val="00DB7D6D"/>
    <w:rsid w:val="00DC11E7"/>
    <w:rsid w:val="00DC181F"/>
    <w:rsid w:val="00DC2590"/>
    <w:rsid w:val="00DC7023"/>
    <w:rsid w:val="00DC71F7"/>
    <w:rsid w:val="00DC769A"/>
    <w:rsid w:val="00DD0F4C"/>
    <w:rsid w:val="00DD15D3"/>
    <w:rsid w:val="00DD3243"/>
    <w:rsid w:val="00DD3D86"/>
    <w:rsid w:val="00DD4AD2"/>
    <w:rsid w:val="00DE1E49"/>
    <w:rsid w:val="00DE1F98"/>
    <w:rsid w:val="00DE4D0D"/>
    <w:rsid w:val="00DF1EC4"/>
    <w:rsid w:val="00E0340B"/>
    <w:rsid w:val="00E04A90"/>
    <w:rsid w:val="00E0551F"/>
    <w:rsid w:val="00E0728C"/>
    <w:rsid w:val="00E13B1E"/>
    <w:rsid w:val="00E21545"/>
    <w:rsid w:val="00E219C7"/>
    <w:rsid w:val="00E23DD1"/>
    <w:rsid w:val="00E30665"/>
    <w:rsid w:val="00E31B29"/>
    <w:rsid w:val="00E4118C"/>
    <w:rsid w:val="00E42D9A"/>
    <w:rsid w:val="00E43157"/>
    <w:rsid w:val="00E461CE"/>
    <w:rsid w:val="00E51909"/>
    <w:rsid w:val="00E51C68"/>
    <w:rsid w:val="00E51EB5"/>
    <w:rsid w:val="00E54F88"/>
    <w:rsid w:val="00E56BB6"/>
    <w:rsid w:val="00E618D2"/>
    <w:rsid w:val="00E63F73"/>
    <w:rsid w:val="00E70BA9"/>
    <w:rsid w:val="00E720CA"/>
    <w:rsid w:val="00E73C33"/>
    <w:rsid w:val="00E76E57"/>
    <w:rsid w:val="00E83433"/>
    <w:rsid w:val="00E84CCF"/>
    <w:rsid w:val="00E84EB5"/>
    <w:rsid w:val="00E85662"/>
    <w:rsid w:val="00E8789F"/>
    <w:rsid w:val="00E92E2C"/>
    <w:rsid w:val="00E97B71"/>
    <w:rsid w:val="00E97B77"/>
    <w:rsid w:val="00EA0EE6"/>
    <w:rsid w:val="00EA162E"/>
    <w:rsid w:val="00EA3D34"/>
    <w:rsid w:val="00EA5A54"/>
    <w:rsid w:val="00EA5AFF"/>
    <w:rsid w:val="00EB1E6E"/>
    <w:rsid w:val="00EB3781"/>
    <w:rsid w:val="00EB454D"/>
    <w:rsid w:val="00EC7D62"/>
    <w:rsid w:val="00ED549D"/>
    <w:rsid w:val="00ED76BE"/>
    <w:rsid w:val="00EE00E9"/>
    <w:rsid w:val="00EE144F"/>
    <w:rsid w:val="00EE43A2"/>
    <w:rsid w:val="00EF43F1"/>
    <w:rsid w:val="00EF5E73"/>
    <w:rsid w:val="00EF619B"/>
    <w:rsid w:val="00EF6F56"/>
    <w:rsid w:val="00EF7A00"/>
    <w:rsid w:val="00F00B55"/>
    <w:rsid w:val="00F0128A"/>
    <w:rsid w:val="00F02AD1"/>
    <w:rsid w:val="00F04003"/>
    <w:rsid w:val="00F04A86"/>
    <w:rsid w:val="00F06C5D"/>
    <w:rsid w:val="00F07201"/>
    <w:rsid w:val="00F10AC0"/>
    <w:rsid w:val="00F12328"/>
    <w:rsid w:val="00F253CC"/>
    <w:rsid w:val="00F359E9"/>
    <w:rsid w:val="00F37106"/>
    <w:rsid w:val="00F40282"/>
    <w:rsid w:val="00F42DAC"/>
    <w:rsid w:val="00F43D7B"/>
    <w:rsid w:val="00F47BA0"/>
    <w:rsid w:val="00F519CF"/>
    <w:rsid w:val="00F51FCC"/>
    <w:rsid w:val="00F56BA5"/>
    <w:rsid w:val="00F579B0"/>
    <w:rsid w:val="00F600FE"/>
    <w:rsid w:val="00F60E22"/>
    <w:rsid w:val="00F62620"/>
    <w:rsid w:val="00F62A69"/>
    <w:rsid w:val="00F67530"/>
    <w:rsid w:val="00F81395"/>
    <w:rsid w:val="00F81BB8"/>
    <w:rsid w:val="00F84BD8"/>
    <w:rsid w:val="00F84F8B"/>
    <w:rsid w:val="00F8780F"/>
    <w:rsid w:val="00F87FBF"/>
    <w:rsid w:val="00F90D77"/>
    <w:rsid w:val="00F917D1"/>
    <w:rsid w:val="00F93632"/>
    <w:rsid w:val="00F9653B"/>
    <w:rsid w:val="00F96BF8"/>
    <w:rsid w:val="00FA0D09"/>
    <w:rsid w:val="00FA7041"/>
    <w:rsid w:val="00FA7859"/>
    <w:rsid w:val="00FB2737"/>
    <w:rsid w:val="00FB62CF"/>
    <w:rsid w:val="00FB64D3"/>
    <w:rsid w:val="00FC152D"/>
    <w:rsid w:val="00FC4DB7"/>
    <w:rsid w:val="00FC7657"/>
    <w:rsid w:val="00FD3C3B"/>
    <w:rsid w:val="00FD65DD"/>
    <w:rsid w:val="00FE07DD"/>
    <w:rsid w:val="00FE4917"/>
    <w:rsid w:val="00FE6B45"/>
    <w:rsid w:val="00FF0167"/>
    <w:rsid w:val="00FF4519"/>
    <w:rsid w:val="00FF4861"/>
    <w:rsid w:val="00FF55F3"/>
    <w:rsid w:val="00FF5851"/>
    <w:rsid w:val="00FF6453"/>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E0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1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957117"/>
    <w:rPr>
      <w:rFonts w:cs="Times New Roman"/>
      <w:u w:val="single"/>
    </w:rPr>
  </w:style>
  <w:style w:type="paragraph" w:customStyle="1" w:styleId="Cabeceraypie">
    <w:name w:val="Cabecera y pie"/>
    <w:uiPriority w:val="99"/>
    <w:rsid w:val="0095711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95711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95711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957117"/>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ListParagraph">
    <w:name w:val="List Paragraph"/>
    <w:basedOn w:val="Normal"/>
    <w:uiPriority w:val="99"/>
    <w:qFormat/>
    <w:rsid w:val="00957117"/>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957117"/>
    <w:rPr>
      <w:rFonts w:ascii="Calibri" w:eastAsia="Times New Roman"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C17EB"/>
    <w:rPr>
      <w:rFonts w:cs="Times New Roman"/>
      <w:sz w:val="16"/>
      <w:szCs w:val="16"/>
    </w:rPr>
  </w:style>
  <w:style w:type="paragraph" w:styleId="CommentText">
    <w:name w:val="annotation text"/>
    <w:basedOn w:val="Normal"/>
    <w:link w:val="CommentTextChar"/>
    <w:uiPriority w:val="99"/>
    <w:rsid w:val="00CC17EB"/>
    <w:rPr>
      <w:sz w:val="20"/>
      <w:szCs w:val="20"/>
    </w:rPr>
  </w:style>
  <w:style w:type="character" w:customStyle="1" w:styleId="CommentTextChar">
    <w:name w:val="Comment Text Char"/>
    <w:basedOn w:val="DefaultParagraphFont"/>
    <w:link w:val="CommentText"/>
    <w:uiPriority w:val="99"/>
    <w:locked/>
    <w:rsid w:val="00CC17EB"/>
    <w:rPr>
      <w:rFonts w:cs="Times New Roman"/>
      <w:lang w:val="en-US" w:eastAsia="en-US"/>
    </w:rPr>
  </w:style>
  <w:style w:type="paragraph" w:styleId="CommentSubject">
    <w:name w:val="annotation subject"/>
    <w:basedOn w:val="CommentText"/>
    <w:next w:val="CommentText"/>
    <w:link w:val="CommentSubjectChar"/>
    <w:uiPriority w:val="99"/>
    <w:semiHidden/>
    <w:rsid w:val="00CC17EB"/>
    <w:rPr>
      <w:b/>
      <w:bCs/>
    </w:rPr>
  </w:style>
  <w:style w:type="character" w:customStyle="1" w:styleId="CommentSubjectChar">
    <w:name w:val="Comment Subject Char"/>
    <w:basedOn w:val="CommentTextChar"/>
    <w:link w:val="CommentSubject"/>
    <w:uiPriority w:val="99"/>
    <w:semiHidden/>
    <w:locked/>
    <w:rsid w:val="00CC17EB"/>
    <w:rPr>
      <w:rFonts w:cs="Times New Roman"/>
      <w:b/>
      <w:bCs/>
      <w:lang w:val="en-US" w:eastAsia="en-US"/>
    </w:rPr>
  </w:style>
  <w:style w:type="paragraph" w:styleId="Revision">
    <w:name w:val="Revision"/>
    <w:hidden/>
    <w:uiPriority w:val="99"/>
    <w:semiHidden/>
    <w:rsid w:val="00274443"/>
    <w:rPr>
      <w:sz w:val="24"/>
      <w:szCs w:val="24"/>
      <w:lang w:val="en-US" w:eastAsia="en-US"/>
    </w:rPr>
  </w:style>
  <w:style w:type="numbering" w:customStyle="1" w:styleId="List16">
    <w:name w:val="List 16"/>
    <w:rsid w:val="000975AB"/>
    <w:pPr>
      <w:numPr>
        <w:numId w:val="53"/>
      </w:numPr>
    </w:pPr>
  </w:style>
  <w:style w:type="numbering" w:customStyle="1" w:styleId="List36">
    <w:name w:val="List 36"/>
    <w:rsid w:val="000975AB"/>
    <w:pPr>
      <w:numPr>
        <w:numId w:val="57"/>
      </w:numPr>
    </w:pPr>
  </w:style>
  <w:style w:type="numbering" w:customStyle="1" w:styleId="List25">
    <w:name w:val="List 25"/>
    <w:rsid w:val="000975AB"/>
    <w:pPr>
      <w:numPr>
        <w:numId w:val="58"/>
      </w:numPr>
    </w:pPr>
  </w:style>
  <w:style w:type="numbering" w:customStyle="1" w:styleId="List1">
    <w:name w:val="List 1"/>
    <w:rsid w:val="000975AB"/>
    <w:pPr>
      <w:numPr>
        <w:numId w:val="2"/>
      </w:numPr>
    </w:pPr>
  </w:style>
  <w:style w:type="numbering" w:customStyle="1" w:styleId="List11">
    <w:name w:val="List 11"/>
    <w:rsid w:val="000975AB"/>
    <w:pPr>
      <w:numPr>
        <w:numId w:val="20"/>
      </w:numPr>
    </w:pPr>
  </w:style>
  <w:style w:type="numbering" w:customStyle="1" w:styleId="List15">
    <w:name w:val="List 15"/>
    <w:rsid w:val="000975AB"/>
    <w:pPr>
      <w:numPr>
        <w:numId w:val="59"/>
      </w:numPr>
    </w:pPr>
  </w:style>
  <w:style w:type="numbering" w:customStyle="1" w:styleId="List14">
    <w:name w:val="List 14"/>
    <w:rsid w:val="000975AB"/>
    <w:pPr>
      <w:numPr>
        <w:numId w:val="60"/>
      </w:numPr>
    </w:pPr>
  </w:style>
  <w:style w:type="numbering" w:customStyle="1" w:styleId="List23">
    <w:name w:val="List 23"/>
    <w:rsid w:val="000975AB"/>
    <w:pPr>
      <w:numPr>
        <w:numId w:val="61"/>
      </w:numPr>
    </w:pPr>
  </w:style>
  <w:style w:type="numbering" w:customStyle="1" w:styleId="List19">
    <w:name w:val="List 19"/>
    <w:rsid w:val="000975AB"/>
    <w:pPr>
      <w:numPr>
        <w:numId w:val="62"/>
      </w:numPr>
    </w:pPr>
  </w:style>
  <w:style w:type="numbering" w:customStyle="1" w:styleId="List45">
    <w:name w:val="List 45"/>
    <w:rsid w:val="000975AB"/>
    <w:pPr>
      <w:numPr>
        <w:numId w:val="63"/>
      </w:numPr>
    </w:pPr>
  </w:style>
  <w:style w:type="numbering" w:customStyle="1" w:styleId="List40">
    <w:name w:val="List 40"/>
    <w:rsid w:val="000975AB"/>
    <w:pPr>
      <w:numPr>
        <w:numId w:val="64"/>
      </w:numPr>
    </w:pPr>
  </w:style>
  <w:style w:type="numbering" w:customStyle="1" w:styleId="List9">
    <w:name w:val="List 9"/>
    <w:rsid w:val="000975AB"/>
    <w:pPr>
      <w:numPr>
        <w:numId w:val="65"/>
      </w:numPr>
    </w:pPr>
  </w:style>
  <w:style w:type="numbering" w:customStyle="1" w:styleId="List43">
    <w:name w:val="List 43"/>
    <w:rsid w:val="000975AB"/>
    <w:pPr>
      <w:numPr>
        <w:numId w:val="66"/>
      </w:numPr>
    </w:pPr>
  </w:style>
  <w:style w:type="numbering" w:customStyle="1" w:styleId="List46">
    <w:name w:val="List 46"/>
    <w:rsid w:val="000975AB"/>
    <w:pPr>
      <w:numPr>
        <w:numId w:val="67"/>
      </w:numPr>
    </w:pPr>
  </w:style>
  <w:style w:type="numbering" w:customStyle="1" w:styleId="List35">
    <w:name w:val="List 35"/>
    <w:rsid w:val="000975AB"/>
    <w:pPr>
      <w:numPr>
        <w:numId w:val="35"/>
      </w:numPr>
    </w:pPr>
  </w:style>
  <w:style w:type="numbering" w:customStyle="1" w:styleId="List17">
    <w:name w:val="List 17"/>
    <w:rsid w:val="000975AB"/>
    <w:pPr>
      <w:numPr>
        <w:numId w:val="68"/>
      </w:numPr>
    </w:pPr>
  </w:style>
  <w:style w:type="numbering" w:customStyle="1" w:styleId="List33">
    <w:name w:val="List 33"/>
    <w:rsid w:val="000975AB"/>
    <w:pPr>
      <w:numPr>
        <w:numId w:val="69"/>
      </w:numPr>
    </w:pPr>
  </w:style>
  <w:style w:type="numbering" w:customStyle="1" w:styleId="List7">
    <w:name w:val="List 7"/>
    <w:rsid w:val="000975AB"/>
    <w:pPr>
      <w:numPr>
        <w:numId w:val="8"/>
      </w:numPr>
    </w:pPr>
  </w:style>
  <w:style w:type="numbering" w:customStyle="1" w:styleId="List18">
    <w:name w:val="List 18"/>
    <w:rsid w:val="000975AB"/>
    <w:pPr>
      <w:numPr>
        <w:numId w:val="70"/>
      </w:numPr>
    </w:pPr>
  </w:style>
  <w:style w:type="numbering" w:customStyle="1" w:styleId="List22">
    <w:name w:val="List 22"/>
    <w:rsid w:val="000975AB"/>
    <w:pPr>
      <w:numPr>
        <w:numId w:val="71"/>
      </w:numPr>
    </w:pPr>
  </w:style>
  <w:style w:type="numbering" w:customStyle="1" w:styleId="List47">
    <w:name w:val="List 47"/>
    <w:rsid w:val="000975AB"/>
    <w:pPr>
      <w:numPr>
        <w:numId w:val="72"/>
      </w:numPr>
    </w:pPr>
  </w:style>
  <w:style w:type="numbering" w:customStyle="1" w:styleId="List28">
    <w:name w:val="List 28"/>
    <w:rsid w:val="000975AB"/>
    <w:pPr>
      <w:numPr>
        <w:numId w:val="73"/>
      </w:numPr>
    </w:pPr>
  </w:style>
  <w:style w:type="numbering" w:customStyle="1" w:styleId="List10">
    <w:name w:val="List 10"/>
    <w:rsid w:val="000975AB"/>
    <w:pPr>
      <w:numPr>
        <w:numId w:val="11"/>
      </w:numPr>
    </w:pPr>
  </w:style>
  <w:style w:type="numbering" w:customStyle="1" w:styleId="List0">
    <w:name w:val="List 0"/>
    <w:rsid w:val="000975AB"/>
    <w:pPr>
      <w:numPr>
        <w:numId w:val="74"/>
      </w:numPr>
    </w:pPr>
  </w:style>
  <w:style w:type="numbering" w:customStyle="1" w:styleId="List30">
    <w:name w:val="List 30"/>
    <w:rsid w:val="000975AB"/>
    <w:pPr>
      <w:numPr>
        <w:numId w:val="75"/>
      </w:numPr>
    </w:pPr>
  </w:style>
  <w:style w:type="numbering" w:customStyle="1" w:styleId="List29">
    <w:name w:val="List 29"/>
    <w:rsid w:val="000975AB"/>
    <w:pPr>
      <w:numPr>
        <w:numId w:val="77"/>
      </w:numPr>
    </w:pPr>
  </w:style>
  <w:style w:type="numbering" w:customStyle="1" w:styleId="List38">
    <w:name w:val="List 38"/>
    <w:rsid w:val="000975AB"/>
    <w:pPr>
      <w:numPr>
        <w:numId w:val="78"/>
      </w:numPr>
    </w:pPr>
  </w:style>
  <w:style w:type="numbering" w:customStyle="1" w:styleId="List12">
    <w:name w:val="List 12"/>
    <w:rsid w:val="000975AB"/>
    <w:pPr>
      <w:numPr>
        <w:numId w:val="79"/>
      </w:numPr>
    </w:pPr>
  </w:style>
  <w:style w:type="numbering" w:customStyle="1" w:styleId="List50">
    <w:name w:val="List 50"/>
    <w:rsid w:val="000975AB"/>
    <w:pPr>
      <w:numPr>
        <w:numId w:val="80"/>
      </w:numPr>
    </w:pPr>
  </w:style>
  <w:style w:type="numbering" w:customStyle="1" w:styleId="List34">
    <w:name w:val="List 34"/>
    <w:rsid w:val="000975AB"/>
    <w:pPr>
      <w:numPr>
        <w:numId w:val="54"/>
      </w:numPr>
    </w:pPr>
  </w:style>
  <w:style w:type="numbering" w:customStyle="1" w:styleId="List42">
    <w:name w:val="List 42"/>
    <w:rsid w:val="000975AB"/>
    <w:pPr>
      <w:numPr>
        <w:numId w:val="55"/>
      </w:numPr>
    </w:pPr>
  </w:style>
  <w:style w:type="numbering" w:customStyle="1" w:styleId="List49">
    <w:name w:val="List 49"/>
    <w:rsid w:val="000975AB"/>
    <w:pPr>
      <w:numPr>
        <w:numId w:val="82"/>
      </w:numPr>
    </w:pPr>
  </w:style>
  <w:style w:type="numbering" w:customStyle="1" w:styleId="List44">
    <w:name w:val="List 44"/>
    <w:rsid w:val="000975AB"/>
    <w:pPr>
      <w:numPr>
        <w:numId w:val="83"/>
      </w:numPr>
    </w:pPr>
  </w:style>
  <w:style w:type="numbering" w:customStyle="1" w:styleId="List21">
    <w:name w:val="List 21"/>
    <w:rsid w:val="000975AB"/>
    <w:pPr>
      <w:numPr>
        <w:numId w:val="95"/>
      </w:numPr>
    </w:pPr>
  </w:style>
  <w:style w:type="numbering" w:customStyle="1" w:styleId="List52">
    <w:name w:val="List 52"/>
    <w:rsid w:val="000975AB"/>
    <w:pPr>
      <w:numPr>
        <w:numId w:val="52"/>
      </w:numPr>
    </w:pPr>
  </w:style>
  <w:style w:type="numbering" w:customStyle="1" w:styleId="List24">
    <w:name w:val="List 24"/>
    <w:rsid w:val="000975AB"/>
    <w:pPr>
      <w:numPr>
        <w:numId w:val="56"/>
      </w:numPr>
    </w:pPr>
  </w:style>
  <w:style w:type="numbering" w:customStyle="1" w:styleId="List51">
    <w:name w:val="List 51"/>
    <w:rsid w:val="000975AB"/>
    <w:pPr>
      <w:numPr>
        <w:numId w:val="98"/>
      </w:numPr>
    </w:pPr>
  </w:style>
  <w:style w:type="numbering" w:customStyle="1" w:styleId="List27">
    <w:name w:val="List 27"/>
    <w:rsid w:val="000975AB"/>
    <w:pPr>
      <w:numPr>
        <w:numId w:val="84"/>
      </w:numPr>
    </w:pPr>
  </w:style>
  <w:style w:type="numbering" w:customStyle="1" w:styleId="List8">
    <w:name w:val="List 8"/>
    <w:rsid w:val="000975AB"/>
    <w:pPr>
      <w:numPr>
        <w:numId w:val="9"/>
      </w:numPr>
    </w:pPr>
  </w:style>
  <w:style w:type="numbering" w:customStyle="1" w:styleId="List13">
    <w:name w:val="List 13"/>
    <w:rsid w:val="000975AB"/>
    <w:pPr>
      <w:numPr>
        <w:numId w:val="85"/>
      </w:numPr>
    </w:pPr>
  </w:style>
  <w:style w:type="numbering" w:customStyle="1" w:styleId="List20">
    <w:name w:val="List 20"/>
    <w:rsid w:val="000975AB"/>
    <w:pPr>
      <w:numPr>
        <w:numId w:val="86"/>
      </w:numPr>
    </w:pPr>
  </w:style>
  <w:style w:type="numbering" w:customStyle="1" w:styleId="List41">
    <w:name w:val="List 41"/>
    <w:rsid w:val="000975AB"/>
    <w:pPr>
      <w:numPr>
        <w:numId w:val="87"/>
      </w:numPr>
    </w:pPr>
  </w:style>
  <w:style w:type="numbering" w:customStyle="1" w:styleId="List31">
    <w:name w:val="List 31"/>
    <w:rsid w:val="000975AB"/>
    <w:pPr>
      <w:numPr>
        <w:numId w:val="88"/>
      </w:numPr>
    </w:pPr>
  </w:style>
  <w:style w:type="numbering" w:customStyle="1" w:styleId="List6">
    <w:name w:val="List 6"/>
    <w:rsid w:val="000975AB"/>
    <w:pPr>
      <w:numPr>
        <w:numId w:val="7"/>
      </w:numPr>
    </w:pPr>
  </w:style>
  <w:style w:type="numbering" w:customStyle="1" w:styleId="List39">
    <w:name w:val="List 39"/>
    <w:rsid w:val="000975AB"/>
    <w:pPr>
      <w:numPr>
        <w:numId w:val="89"/>
      </w:numPr>
    </w:pPr>
  </w:style>
  <w:style w:type="numbering" w:customStyle="1" w:styleId="List37">
    <w:name w:val="List 37"/>
    <w:rsid w:val="000975AB"/>
    <w:pPr>
      <w:numPr>
        <w:numId w:val="90"/>
      </w:numPr>
    </w:pPr>
  </w:style>
  <w:style w:type="numbering" w:customStyle="1" w:styleId="List32">
    <w:name w:val="List 32"/>
    <w:rsid w:val="000975AB"/>
    <w:pPr>
      <w:numPr>
        <w:numId w:val="91"/>
      </w:numPr>
    </w:pPr>
  </w:style>
  <w:style w:type="numbering" w:customStyle="1" w:styleId="List26">
    <w:name w:val="List 26"/>
    <w:rsid w:val="000975AB"/>
    <w:pPr>
      <w:numPr>
        <w:numId w:val="92"/>
      </w:numPr>
    </w:pPr>
  </w:style>
  <w:style w:type="numbering" w:customStyle="1" w:styleId="List48">
    <w:name w:val="List 48"/>
    <w:rsid w:val="000975AB"/>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95673">
      <w:marLeft w:val="0"/>
      <w:marRight w:val="0"/>
      <w:marTop w:val="0"/>
      <w:marBottom w:val="0"/>
      <w:divBdr>
        <w:top w:val="none" w:sz="0" w:space="0" w:color="auto"/>
        <w:left w:val="none" w:sz="0" w:space="0" w:color="auto"/>
        <w:bottom w:val="none" w:sz="0" w:space="0" w:color="auto"/>
        <w:right w:val="none" w:sz="0" w:space="0" w:color="auto"/>
      </w:divBdr>
    </w:div>
    <w:div w:id="1866795674">
      <w:marLeft w:val="0"/>
      <w:marRight w:val="0"/>
      <w:marTop w:val="0"/>
      <w:marBottom w:val="0"/>
      <w:divBdr>
        <w:top w:val="none" w:sz="0" w:space="0" w:color="auto"/>
        <w:left w:val="none" w:sz="0" w:space="0" w:color="auto"/>
        <w:bottom w:val="none" w:sz="0" w:space="0" w:color="auto"/>
        <w:right w:val="none" w:sz="0" w:space="0" w:color="auto"/>
      </w:divBdr>
    </w:div>
    <w:div w:id="1866795675">
      <w:marLeft w:val="0"/>
      <w:marRight w:val="0"/>
      <w:marTop w:val="0"/>
      <w:marBottom w:val="0"/>
      <w:divBdr>
        <w:top w:val="none" w:sz="0" w:space="0" w:color="auto"/>
        <w:left w:val="none" w:sz="0" w:space="0" w:color="auto"/>
        <w:bottom w:val="none" w:sz="0" w:space="0" w:color="auto"/>
        <w:right w:val="none" w:sz="0" w:space="0" w:color="auto"/>
      </w:divBdr>
    </w:div>
    <w:div w:id="1866795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3129</Words>
  <Characters>15834</Characters>
  <Application>Microsoft Office Word</Application>
  <DocSecurity>0</DocSecurity>
  <Lines>310</Lines>
  <Paragraphs>90</Paragraphs>
  <ScaleCrop>false</ScaleCrop>
  <Company/>
  <LinksUpToDate>false</LinksUpToDate>
  <CharactersWithSpaces>18873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129/20</dc:title>
  <dc:subject/>
  <dc:creator/>
  <cp:keywords/>
  <dc:description/>
  <cp:lastModifiedBy/>
  <cp:revision>1</cp:revision>
  <dcterms:created xsi:type="dcterms:W3CDTF">2020-07-09T15:55:00Z</dcterms:created>
  <dcterms:modified xsi:type="dcterms:W3CDTF">2020-07-09T15:56:00Z</dcterms:modified>
</cp:coreProperties>
</file>