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857251" w:rsidRDefault="006311DA" w:rsidP="00627C9F">
      <w:pPr>
        <w:jc w:val="both"/>
        <w:rPr>
          <w:rFonts w:asciiTheme="majorHAnsi" w:hAnsiTheme="majorHAnsi" w:cs="Univers"/>
          <w:b/>
          <w:bCs/>
          <w:sz w:val="22"/>
          <w:szCs w:val="22"/>
          <w:lang w:val="es-AR"/>
        </w:rPr>
      </w:pPr>
      <w:r w:rsidRPr="0085725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474F16C"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" fillcolor="#4a7194" stroked="f" strokeweight="2pt"/>
            </w:pict>
          </mc:Fallback>
        </mc:AlternateContent>
      </w:r>
      <w:r w:rsidRPr="0085725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9B3A73">
                            <w:r>
                              <w:rPr>
                                <w:noProof/>
                              </w:rPr>
                              <w:drawing>
                                <wp:inline distT="0" distB="0" distL="0" distR="0" wp14:anchorId="1B3E86CD" wp14:editId="48C6393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2C1641">
                              <w:rPr>
                                <w:lang w:val="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9B3A73">
                      <w:r>
                        <w:rPr>
                          <w:noProof/>
                        </w:rPr>
                        <w:drawing>
                          <wp:inline distT="0" distB="0" distL="0" distR="0" wp14:anchorId="1B3E86CD" wp14:editId="48C6393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2C1641">
                        <w:rPr>
                          <w:lang w:val="es"/>
                        </w:rPr>
                        <w:t xml:space="preserve">                                               </w:t>
                      </w:r>
                    </w:p>
                  </w:txbxContent>
                </v:textbox>
              </v:shape>
            </w:pict>
          </mc:Fallback>
        </mc:AlternateContent>
      </w:r>
    </w:p>
    <w:p w:rsidR="00040C3A" w:rsidRPr="00857251" w:rsidRDefault="00040C3A" w:rsidP="00040C3A">
      <w:pPr>
        <w:tabs>
          <w:tab w:val="center" w:pos="5400"/>
        </w:tabs>
        <w:suppressAutoHyphens/>
        <w:jc w:val="both"/>
        <w:rPr>
          <w:rFonts w:asciiTheme="majorHAnsi" w:hAnsiTheme="majorHAnsi"/>
          <w:sz w:val="22"/>
          <w:szCs w:val="22"/>
          <w:lang w:val="es-AR"/>
        </w:rPr>
      </w:pPr>
    </w:p>
    <w:p w:rsidR="00040C3A" w:rsidRPr="00857251" w:rsidRDefault="00040C3A" w:rsidP="00040C3A">
      <w:pPr>
        <w:tabs>
          <w:tab w:val="center" w:pos="5400"/>
        </w:tabs>
        <w:suppressAutoHyphens/>
        <w:jc w:val="both"/>
        <w:rPr>
          <w:rFonts w:asciiTheme="majorHAnsi" w:hAnsiTheme="majorHAnsi"/>
          <w:sz w:val="22"/>
          <w:szCs w:val="22"/>
          <w:lang w:val="es-AR"/>
        </w:rPr>
      </w:pPr>
    </w:p>
    <w:p w:rsidR="005128E4" w:rsidRPr="00857251" w:rsidRDefault="005128E4" w:rsidP="00040C3A">
      <w:pPr>
        <w:tabs>
          <w:tab w:val="center" w:pos="5400"/>
        </w:tabs>
        <w:suppressAutoHyphens/>
        <w:rPr>
          <w:rFonts w:asciiTheme="majorHAnsi" w:hAnsiTheme="majorHAnsi"/>
          <w:sz w:val="22"/>
          <w:szCs w:val="22"/>
          <w:lang w:val="es-AR"/>
        </w:rPr>
      </w:pPr>
    </w:p>
    <w:p w:rsidR="005128E4" w:rsidRPr="00857251" w:rsidRDefault="005128E4" w:rsidP="00040C3A">
      <w:pPr>
        <w:tabs>
          <w:tab w:val="center" w:pos="5400"/>
        </w:tabs>
        <w:suppressAutoHyphens/>
        <w:rPr>
          <w:rFonts w:asciiTheme="majorHAnsi" w:hAnsiTheme="majorHAnsi"/>
          <w:sz w:val="22"/>
          <w:szCs w:val="22"/>
          <w:lang w:val="es-AR"/>
        </w:rPr>
      </w:pPr>
    </w:p>
    <w:p w:rsidR="005128E4" w:rsidRPr="00857251" w:rsidRDefault="005128E4" w:rsidP="00040C3A">
      <w:pPr>
        <w:tabs>
          <w:tab w:val="center" w:pos="5400"/>
        </w:tabs>
        <w:suppressAutoHyphens/>
        <w:rPr>
          <w:rFonts w:asciiTheme="majorHAnsi" w:hAnsiTheme="majorHAnsi"/>
          <w:sz w:val="22"/>
          <w:szCs w:val="22"/>
          <w:lang w:val="es-AR"/>
        </w:rPr>
      </w:pPr>
    </w:p>
    <w:p w:rsidR="00040C3A" w:rsidRPr="00857251" w:rsidRDefault="00040C3A" w:rsidP="005128E4">
      <w:pPr>
        <w:tabs>
          <w:tab w:val="center" w:pos="5400"/>
        </w:tabs>
        <w:suppressAutoHyphens/>
        <w:jc w:val="center"/>
        <w:rPr>
          <w:rFonts w:asciiTheme="majorHAnsi" w:hAnsiTheme="majorHAnsi"/>
          <w:sz w:val="22"/>
          <w:szCs w:val="22"/>
          <w:lang w:val="es-AR"/>
        </w:rPr>
      </w:pPr>
    </w:p>
    <w:p w:rsidR="00040C3A" w:rsidRPr="00857251" w:rsidRDefault="00040C3A" w:rsidP="005128E4">
      <w:pPr>
        <w:tabs>
          <w:tab w:val="center" w:pos="5400"/>
        </w:tabs>
        <w:suppressAutoHyphens/>
        <w:jc w:val="center"/>
        <w:rPr>
          <w:rFonts w:asciiTheme="majorHAnsi" w:hAnsiTheme="majorHAnsi"/>
          <w:sz w:val="22"/>
          <w:szCs w:val="22"/>
          <w:lang w:val="es-AR"/>
        </w:rPr>
      </w:pPr>
    </w:p>
    <w:p w:rsidR="005B52B0" w:rsidRPr="00857251" w:rsidRDefault="005B52B0" w:rsidP="005128E4">
      <w:pPr>
        <w:tabs>
          <w:tab w:val="center" w:pos="5400"/>
        </w:tabs>
        <w:suppressAutoHyphens/>
        <w:jc w:val="center"/>
        <w:rPr>
          <w:rFonts w:asciiTheme="majorHAnsi" w:hAnsiTheme="majorHAnsi"/>
          <w:sz w:val="22"/>
          <w:szCs w:val="22"/>
          <w:lang w:val="es-AR"/>
        </w:rPr>
      </w:pPr>
    </w:p>
    <w:p w:rsidR="005B52B0" w:rsidRPr="00857251" w:rsidRDefault="005B52B0" w:rsidP="005128E4">
      <w:pPr>
        <w:tabs>
          <w:tab w:val="center" w:pos="5400"/>
        </w:tabs>
        <w:suppressAutoHyphens/>
        <w:jc w:val="center"/>
        <w:rPr>
          <w:rFonts w:asciiTheme="majorHAnsi" w:hAnsiTheme="majorHAnsi"/>
          <w:sz w:val="22"/>
          <w:szCs w:val="22"/>
          <w:lang w:val="es-AR"/>
        </w:rPr>
      </w:pPr>
    </w:p>
    <w:p w:rsidR="005B52B0" w:rsidRPr="00857251" w:rsidRDefault="005B52B0" w:rsidP="005128E4">
      <w:pPr>
        <w:tabs>
          <w:tab w:val="center" w:pos="5400"/>
        </w:tabs>
        <w:suppressAutoHyphens/>
        <w:jc w:val="center"/>
        <w:rPr>
          <w:rFonts w:asciiTheme="majorHAnsi" w:hAnsiTheme="majorHAnsi"/>
          <w:sz w:val="22"/>
          <w:szCs w:val="22"/>
          <w:lang w:val="es-AR"/>
        </w:rPr>
      </w:pPr>
    </w:p>
    <w:p w:rsidR="00040C3A" w:rsidRPr="00857251" w:rsidRDefault="00040C3A" w:rsidP="00040C3A">
      <w:pPr>
        <w:tabs>
          <w:tab w:val="center" w:pos="5400"/>
        </w:tabs>
        <w:suppressAutoHyphens/>
        <w:jc w:val="center"/>
        <w:rPr>
          <w:rFonts w:asciiTheme="majorHAnsi" w:hAnsiTheme="majorHAnsi"/>
          <w:sz w:val="22"/>
          <w:szCs w:val="22"/>
          <w:lang w:val="es-AR"/>
        </w:rPr>
      </w:pPr>
    </w:p>
    <w:p w:rsidR="00040C3A" w:rsidRPr="00857251" w:rsidRDefault="00040C3A" w:rsidP="00040C3A">
      <w:pPr>
        <w:tabs>
          <w:tab w:val="center" w:pos="5400"/>
        </w:tabs>
        <w:suppressAutoHyphens/>
        <w:jc w:val="center"/>
        <w:rPr>
          <w:rFonts w:asciiTheme="majorHAnsi" w:hAnsiTheme="majorHAnsi"/>
          <w:sz w:val="22"/>
          <w:szCs w:val="22"/>
          <w:lang w:val="es-AR"/>
        </w:rPr>
      </w:pPr>
    </w:p>
    <w:p w:rsidR="00040C3A" w:rsidRPr="00857251" w:rsidRDefault="00040C3A" w:rsidP="00040C3A">
      <w:pPr>
        <w:tabs>
          <w:tab w:val="center" w:pos="5400"/>
        </w:tabs>
        <w:suppressAutoHyphens/>
        <w:jc w:val="center"/>
        <w:rPr>
          <w:rFonts w:asciiTheme="majorHAnsi" w:hAnsiTheme="majorHAnsi"/>
          <w:sz w:val="22"/>
          <w:szCs w:val="22"/>
          <w:lang w:val="es-AR"/>
        </w:rPr>
      </w:pPr>
    </w:p>
    <w:p w:rsidR="00040C3A" w:rsidRPr="00857251" w:rsidRDefault="00E533FF" w:rsidP="00040C3A">
      <w:pPr>
        <w:tabs>
          <w:tab w:val="center" w:pos="5400"/>
        </w:tabs>
        <w:suppressAutoHyphens/>
        <w:jc w:val="center"/>
        <w:rPr>
          <w:rFonts w:asciiTheme="majorHAnsi" w:hAnsiTheme="majorHAnsi"/>
          <w:sz w:val="22"/>
          <w:szCs w:val="22"/>
          <w:lang w:val="es-AR"/>
        </w:rPr>
      </w:pPr>
      <w:r w:rsidRPr="0085725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857251" w:rsidRDefault="00CA6577" w:rsidP="004B7EB6">
                            <w:pPr>
                              <w:spacing w:line="276" w:lineRule="auto"/>
                              <w:rPr>
                                <w:rFonts w:asciiTheme="majorHAnsi" w:hAnsiTheme="majorHAnsi" w:cs="Arial"/>
                                <w:b/>
                                <w:bCs/>
                                <w:color w:val="0D0D0D" w:themeColor="text1" w:themeTint="F2"/>
                                <w:sz w:val="36"/>
                                <w:szCs w:val="40"/>
                                <w:lang w:val="es-AR"/>
                              </w:rPr>
                            </w:pPr>
                            <w:r>
                              <w:rPr>
                                <w:rFonts w:asciiTheme="majorHAnsi" w:hAnsiTheme="majorHAnsi" w:cs="Arial"/>
                                <w:b/>
                                <w:bCs/>
                                <w:color w:val="0D0D0D" w:themeColor="text1" w:themeTint="F2"/>
                                <w:sz w:val="36"/>
                                <w:szCs w:val="40"/>
                                <w:lang w:val="es"/>
                              </w:rPr>
                              <w:t xml:space="preserve">INFORME No. </w:t>
                            </w:r>
                            <w:r w:rsidR="00A72F0A">
                              <w:rPr>
                                <w:rFonts w:asciiTheme="majorHAnsi" w:hAnsiTheme="majorHAnsi" w:cs="Arial"/>
                                <w:b/>
                                <w:bCs/>
                                <w:color w:val="0D0D0D" w:themeColor="text1" w:themeTint="F2"/>
                                <w:sz w:val="36"/>
                                <w:szCs w:val="40"/>
                                <w:lang w:val="es"/>
                              </w:rPr>
                              <w:t>268</w:t>
                            </w:r>
                            <w:r>
                              <w:rPr>
                                <w:rFonts w:asciiTheme="majorHAnsi" w:hAnsiTheme="majorHAnsi" w:cs="Arial"/>
                                <w:b/>
                                <w:bCs/>
                                <w:color w:val="0D0D0D" w:themeColor="text1" w:themeTint="F2"/>
                                <w:sz w:val="36"/>
                                <w:szCs w:val="40"/>
                                <w:lang w:val="es"/>
                              </w:rPr>
                              <w:t>/</w:t>
                            </w:r>
                            <w:r w:rsidR="003C64B0">
                              <w:rPr>
                                <w:rFonts w:asciiTheme="majorHAnsi" w:hAnsiTheme="majorHAnsi" w:cs="Arial"/>
                                <w:b/>
                                <w:bCs/>
                                <w:color w:val="0D0D0D" w:themeColor="text1" w:themeTint="F2"/>
                                <w:sz w:val="36"/>
                                <w:szCs w:val="40"/>
                                <w:lang w:val="es"/>
                              </w:rPr>
                              <w:t>20</w:t>
                            </w:r>
                          </w:p>
                          <w:p w:rsidR="00322450" w:rsidRPr="00857251" w:rsidRDefault="00F42B71" w:rsidP="004B7EB6">
                            <w:pPr>
                              <w:spacing w:line="276" w:lineRule="auto"/>
                              <w:rPr>
                                <w:rFonts w:asciiTheme="majorHAnsi" w:hAnsiTheme="majorHAnsi" w:cs="Arial"/>
                                <w:b/>
                                <w:bCs/>
                                <w:color w:val="0D0D0D" w:themeColor="text1" w:themeTint="F2"/>
                                <w:sz w:val="36"/>
                                <w:szCs w:val="40"/>
                                <w:lang w:val="es-AR"/>
                              </w:rPr>
                            </w:pPr>
                            <w:r>
                              <w:rPr>
                                <w:rFonts w:asciiTheme="majorHAnsi" w:hAnsiTheme="majorHAnsi" w:cs="Arial"/>
                                <w:b/>
                                <w:bCs/>
                                <w:color w:val="0D0D0D" w:themeColor="text1" w:themeTint="F2"/>
                                <w:sz w:val="36"/>
                                <w:szCs w:val="40"/>
                                <w:lang w:val="es"/>
                              </w:rPr>
                              <w:t>PETICIÓN 1658-09</w:t>
                            </w:r>
                          </w:p>
                          <w:p w:rsidR="002C1641" w:rsidRPr="00857251" w:rsidRDefault="00F42B71" w:rsidP="004B7EB6">
                            <w:pPr>
                              <w:spacing w:line="276" w:lineRule="auto"/>
                              <w:rPr>
                                <w:rFonts w:asciiTheme="majorHAnsi" w:hAnsiTheme="majorHAnsi" w:cs="Arial"/>
                                <w:color w:val="0D0D0D" w:themeColor="text1" w:themeTint="F2"/>
                                <w:szCs w:val="22"/>
                                <w:lang w:val="es-AR"/>
                              </w:rPr>
                            </w:pPr>
                            <w:r>
                              <w:rPr>
                                <w:rFonts w:asciiTheme="majorHAnsi" w:hAnsiTheme="majorHAnsi" w:cs="Arial"/>
                                <w:color w:val="0D0D0D" w:themeColor="text1" w:themeTint="F2"/>
                                <w:szCs w:val="22"/>
                                <w:lang w:val="es"/>
                              </w:rPr>
                              <w:t xml:space="preserve">INFORME DE INADMISIBILIDAD </w:t>
                            </w:r>
                          </w:p>
                          <w:p w:rsidR="00450A4A" w:rsidRPr="00857251" w:rsidRDefault="00450A4A" w:rsidP="004B7EB6">
                            <w:pPr>
                              <w:spacing w:line="276" w:lineRule="auto"/>
                              <w:rPr>
                                <w:rFonts w:asciiTheme="majorHAnsi" w:hAnsiTheme="majorHAnsi" w:cs="Arial"/>
                                <w:color w:val="0D0D0D" w:themeColor="text1" w:themeTint="F2"/>
                                <w:szCs w:val="22"/>
                                <w:lang w:val="es-AR"/>
                              </w:rPr>
                            </w:pPr>
                          </w:p>
                          <w:p w:rsidR="00F16B08" w:rsidRPr="00857251" w:rsidRDefault="00F16B0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AR"/>
                              </w:rPr>
                            </w:pPr>
                            <w:r>
                              <w:rPr>
                                <w:rFonts w:ascii="Cambria" w:hAnsi="Cambria" w:cs="Arial"/>
                                <w:color w:val="0D0D0D"/>
                                <w:szCs w:val="22"/>
                                <w:lang w:val="es"/>
                              </w:rPr>
                              <w:t xml:space="preserve">ALEXANDRA GROUCHETSKII LYSENKO </w:t>
                            </w:r>
                          </w:p>
                          <w:p w:rsidR="005B52B0" w:rsidRPr="000C4365" w:rsidRDefault="00F16B08" w:rsidP="00F42B71">
                            <w:pPr>
                              <w:spacing w:line="276" w:lineRule="auto"/>
                              <w:rPr>
                                <w:rFonts w:asciiTheme="majorHAnsi" w:hAnsiTheme="majorHAnsi"/>
                                <w:color w:val="0D0D0D" w:themeColor="text1" w:themeTint="F2"/>
                              </w:rPr>
                            </w:pPr>
                            <w:r>
                              <w:rPr>
                                <w:rFonts w:ascii="Cambria" w:hAnsi="Cambria" w:cs="Arial"/>
                                <w:color w:val="0D0D0D"/>
                                <w:szCs w:val="22"/>
                                <w:lang w:val="es"/>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857251" w:rsidRDefault="00CA6577" w:rsidP="004B7EB6">
                      <w:pPr>
                        <w:spacing w:line="276" w:lineRule="auto"/>
                        <w:rPr>
                          <w:rFonts w:asciiTheme="majorHAnsi" w:hAnsiTheme="majorHAnsi" w:cs="Arial"/>
                          <w:b/>
                          <w:bCs/>
                          <w:color w:val="0D0D0D" w:themeColor="text1" w:themeTint="F2"/>
                          <w:sz w:val="36"/>
                          <w:szCs w:val="40"/>
                          <w:lang w:val="es-AR"/>
                        </w:rPr>
                      </w:pPr>
                      <w:r>
                        <w:rPr>
                          <w:rFonts w:asciiTheme="majorHAnsi" w:hAnsiTheme="majorHAnsi" w:cs="Arial"/>
                          <w:b/>
                          <w:bCs/>
                          <w:color w:val="0D0D0D" w:themeColor="text1" w:themeTint="F2"/>
                          <w:sz w:val="36"/>
                          <w:szCs w:val="40"/>
                          <w:lang w:val="es"/>
                        </w:rPr>
                        <w:t xml:space="preserve">INFORME No. </w:t>
                      </w:r>
                      <w:r w:rsidR="00A72F0A">
                        <w:rPr>
                          <w:rFonts w:asciiTheme="majorHAnsi" w:hAnsiTheme="majorHAnsi" w:cs="Arial"/>
                          <w:b/>
                          <w:bCs/>
                          <w:color w:val="0D0D0D" w:themeColor="text1" w:themeTint="F2"/>
                          <w:sz w:val="36"/>
                          <w:szCs w:val="40"/>
                          <w:lang w:val="es"/>
                        </w:rPr>
                        <w:t>268</w:t>
                      </w:r>
                      <w:r>
                        <w:rPr>
                          <w:rFonts w:asciiTheme="majorHAnsi" w:hAnsiTheme="majorHAnsi" w:cs="Arial"/>
                          <w:b/>
                          <w:bCs/>
                          <w:color w:val="0D0D0D" w:themeColor="text1" w:themeTint="F2"/>
                          <w:sz w:val="36"/>
                          <w:szCs w:val="40"/>
                          <w:lang w:val="es"/>
                        </w:rPr>
                        <w:t>/</w:t>
                      </w:r>
                      <w:r w:rsidR="003C64B0">
                        <w:rPr>
                          <w:rFonts w:asciiTheme="majorHAnsi" w:hAnsiTheme="majorHAnsi" w:cs="Arial"/>
                          <w:b/>
                          <w:bCs/>
                          <w:color w:val="0D0D0D" w:themeColor="text1" w:themeTint="F2"/>
                          <w:sz w:val="36"/>
                          <w:szCs w:val="40"/>
                          <w:lang w:val="es"/>
                        </w:rPr>
                        <w:t>20</w:t>
                      </w:r>
                    </w:p>
                    <w:p w:rsidR="00322450" w:rsidRPr="00857251" w:rsidRDefault="00F42B71" w:rsidP="004B7EB6">
                      <w:pPr>
                        <w:spacing w:line="276" w:lineRule="auto"/>
                        <w:rPr>
                          <w:rFonts w:asciiTheme="majorHAnsi" w:hAnsiTheme="majorHAnsi" w:cs="Arial"/>
                          <w:b/>
                          <w:bCs/>
                          <w:color w:val="0D0D0D" w:themeColor="text1" w:themeTint="F2"/>
                          <w:sz w:val="36"/>
                          <w:szCs w:val="40"/>
                          <w:lang w:val="es-AR"/>
                        </w:rPr>
                      </w:pPr>
                      <w:r>
                        <w:rPr>
                          <w:rFonts w:asciiTheme="majorHAnsi" w:hAnsiTheme="majorHAnsi" w:cs="Arial"/>
                          <w:b/>
                          <w:bCs/>
                          <w:color w:val="0D0D0D" w:themeColor="text1" w:themeTint="F2"/>
                          <w:sz w:val="36"/>
                          <w:szCs w:val="40"/>
                          <w:lang w:val="es"/>
                        </w:rPr>
                        <w:t>PETICIÓN 1658-09</w:t>
                      </w:r>
                    </w:p>
                    <w:p w:rsidR="002C1641" w:rsidRPr="00857251" w:rsidRDefault="00F42B71" w:rsidP="004B7EB6">
                      <w:pPr>
                        <w:spacing w:line="276" w:lineRule="auto"/>
                        <w:rPr>
                          <w:rFonts w:asciiTheme="majorHAnsi" w:hAnsiTheme="majorHAnsi" w:cs="Arial"/>
                          <w:color w:val="0D0D0D" w:themeColor="text1" w:themeTint="F2"/>
                          <w:szCs w:val="22"/>
                          <w:lang w:val="es-AR"/>
                        </w:rPr>
                      </w:pPr>
                      <w:r>
                        <w:rPr>
                          <w:rFonts w:asciiTheme="majorHAnsi" w:hAnsiTheme="majorHAnsi" w:cs="Arial"/>
                          <w:color w:val="0D0D0D" w:themeColor="text1" w:themeTint="F2"/>
                          <w:szCs w:val="22"/>
                          <w:lang w:val="es"/>
                        </w:rPr>
                        <w:t xml:space="preserve">INFORME DE INADMISIBILIDAD </w:t>
                      </w:r>
                    </w:p>
                    <w:p w:rsidR="00450A4A" w:rsidRPr="00857251" w:rsidRDefault="00450A4A" w:rsidP="004B7EB6">
                      <w:pPr>
                        <w:spacing w:line="276" w:lineRule="auto"/>
                        <w:rPr>
                          <w:rFonts w:asciiTheme="majorHAnsi" w:hAnsiTheme="majorHAnsi" w:cs="Arial"/>
                          <w:color w:val="0D0D0D" w:themeColor="text1" w:themeTint="F2"/>
                          <w:szCs w:val="22"/>
                          <w:lang w:val="es-AR"/>
                        </w:rPr>
                      </w:pPr>
                    </w:p>
                    <w:p w:rsidR="00F16B08" w:rsidRPr="00857251" w:rsidRDefault="00F16B0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AR"/>
                        </w:rPr>
                      </w:pPr>
                      <w:r>
                        <w:rPr>
                          <w:rFonts w:ascii="Cambria" w:hAnsi="Cambria" w:cs="Arial"/>
                          <w:color w:val="0D0D0D"/>
                          <w:szCs w:val="22"/>
                          <w:lang w:val="es"/>
                        </w:rPr>
                        <w:t xml:space="preserve">ALEXANDRA GROUCHETSKII LYSENKO </w:t>
                      </w:r>
                    </w:p>
                    <w:p w:rsidR="005B52B0" w:rsidRPr="000C4365" w:rsidRDefault="00F16B08" w:rsidP="00F42B71">
                      <w:pPr>
                        <w:spacing w:line="276" w:lineRule="auto"/>
                        <w:rPr>
                          <w:rFonts w:asciiTheme="majorHAnsi" w:hAnsiTheme="majorHAnsi"/>
                          <w:color w:val="0D0D0D" w:themeColor="text1" w:themeTint="F2"/>
                        </w:rPr>
                      </w:pPr>
                      <w:r>
                        <w:rPr>
                          <w:rFonts w:ascii="Cambria" w:hAnsi="Cambria" w:cs="Arial"/>
                          <w:color w:val="0D0D0D"/>
                          <w:szCs w:val="22"/>
                          <w:lang w:val="es"/>
                        </w:rPr>
                        <w:t>ARGENTINA</w:t>
                      </w:r>
                    </w:p>
                  </w:txbxContent>
                </v:textbox>
              </v:shape>
            </w:pict>
          </mc:Fallback>
        </mc:AlternateContent>
      </w:r>
      <w:r w:rsidRPr="0085725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A72F0A" w:rsidRDefault="009E566A" w:rsidP="009E566A">
                            <w:pPr>
                              <w:jc w:val="right"/>
                              <w:rPr>
                                <w:rFonts w:asciiTheme="minorHAnsi" w:hAnsiTheme="minorHAnsi"/>
                                <w:color w:val="FFFFFF" w:themeColor="background1"/>
                                <w:sz w:val="22"/>
                                <w:lang w:val="pt-BR"/>
                              </w:rPr>
                            </w:pPr>
                            <w:r w:rsidRPr="00A72F0A">
                              <w:rPr>
                                <w:rFonts w:asciiTheme="minorHAnsi" w:hAnsiTheme="minorHAnsi"/>
                                <w:color w:val="FFFFFF" w:themeColor="background1"/>
                                <w:sz w:val="22"/>
                                <w:lang w:val="pt-BR"/>
                              </w:rPr>
                              <w:t>OEA/Ser.L/V/II.</w:t>
                            </w:r>
                          </w:p>
                          <w:p w:rsidR="00627C9F" w:rsidRPr="00A72F0A" w:rsidRDefault="00CA6577" w:rsidP="009E566A">
                            <w:pPr>
                              <w:jc w:val="right"/>
                              <w:rPr>
                                <w:rFonts w:asciiTheme="minorHAnsi" w:hAnsiTheme="minorHAnsi"/>
                                <w:color w:val="FFFFFF" w:themeColor="background1"/>
                                <w:sz w:val="22"/>
                                <w:lang w:val="pt-BR"/>
                              </w:rPr>
                            </w:pPr>
                            <w:r w:rsidRPr="00A72F0A">
                              <w:rPr>
                                <w:rFonts w:asciiTheme="minorHAnsi" w:hAnsiTheme="minorHAnsi"/>
                                <w:color w:val="FFFFFF" w:themeColor="background1"/>
                                <w:sz w:val="22"/>
                                <w:lang w:val="pt-BR"/>
                              </w:rPr>
                              <w:t xml:space="preserve">Doc. </w:t>
                            </w:r>
                            <w:r w:rsidR="00A72F0A" w:rsidRPr="00A72F0A">
                              <w:rPr>
                                <w:rFonts w:asciiTheme="minorHAnsi" w:hAnsiTheme="minorHAnsi"/>
                                <w:color w:val="FFFFFF" w:themeColor="background1"/>
                                <w:sz w:val="22"/>
                                <w:lang w:val="pt-BR"/>
                              </w:rPr>
                              <w:t>284</w:t>
                            </w:r>
                          </w:p>
                          <w:p w:rsidR="00627C9F" w:rsidRPr="00A72F0A" w:rsidRDefault="00A72F0A" w:rsidP="009E566A">
                            <w:pPr>
                              <w:jc w:val="right"/>
                              <w:rPr>
                                <w:rFonts w:asciiTheme="minorHAnsi" w:hAnsiTheme="minorHAnsi"/>
                                <w:color w:val="FFFFFF" w:themeColor="background1"/>
                                <w:sz w:val="22"/>
                                <w:lang w:val="es-AR"/>
                              </w:rPr>
                            </w:pPr>
                            <w:r>
                              <w:rPr>
                                <w:rFonts w:asciiTheme="minorHAnsi" w:hAnsiTheme="minorHAnsi"/>
                                <w:color w:val="FFFFFF" w:themeColor="background1"/>
                                <w:sz w:val="22"/>
                                <w:lang w:val="es"/>
                              </w:rPr>
                              <w:t>7 octubre 2020</w:t>
                            </w:r>
                          </w:p>
                          <w:p w:rsidR="00627C9F" w:rsidRPr="00A72F0A" w:rsidRDefault="00627C9F" w:rsidP="009E566A">
                            <w:pPr>
                              <w:jc w:val="right"/>
                              <w:rPr>
                                <w:rFonts w:asciiTheme="minorHAnsi" w:hAnsiTheme="minorHAnsi"/>
                                <w:color w:val="FFFFFF" w:themeColor="background1"/>
                                <w:sz w:val="22"/>
                                <w:lang w:val="es-AR"/>
                              </w:rPr>
                            </w:pPr>
                            <w:r w:rsidRPr="00A72F0A">
                              <w:rPr>
                                <w:rFonts w:asciiTheme="minorHAnsi" w:hAnsiTheme="minorHAnsi"/>
                                <w:color w:val="FFFFFF" w:themeColor="background1"/>
                                <w:sz w:val="22"/>
                                <w:lang w:val="es"/>
                              </w:rPr>
                              <w:t>Original: 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A72F0A" w:rsidRDefault="009E566A" w:rsidP="009E566A">
                      <w:pPr>
                        <w:jc w:val="right"/>
                        <w:rPr>
                          <w:rFonts w:asciiTheme="minorHAnsi" w:hAnsiTheme="minorHAnsi"/>
                          <w:color w:val="FFFFFF" w:themeColor="background1"/>
                          <w:sz w:val="22"/>
                          <w:lang w:val="pt-BR"/>
                        </w:rPr>
                      </w:pPr>
                      <w:r w:rsidRPr="00A72F0A">
                        <w:rPr>
                          <w:rFonts w:asciiTheme="minorHAnsi" w:hAnsiTheme="minorHAnsi"/>
                          <w:color w:val="FFFFFF" w:themeColor="background1"/>
                          <w:sz w:val="22"/>
                          <w:lang w:val="pt-BR"/>
                        </w:rPr>
                        <w:t>OEA/Ser.L/V/II.</w:t>
                      </w:r>
                    </w:p>
                    <w:p w:rsidR="00627C9F" w:rsidRPr="00A72F0A" w:rsidRDefault="00CA6577" w:rsidP="009E566A">
                      <w:pPr>
                        <w:jc w:val="right"/>
                        <w:rPr>
                          <w:rFonts w:asciiTheme="minorHAnsi" w:hAnsiTheme="minorHAnsi"/>
                          <w:color w:val="FFFFFF" w:themeColor="background1"/>
                          <w:sz w:val="22"/>
                          <w:lang w:val="pt-BR"/>
                        </w:rPr>
                      </w:pPr>
                      <w:r w:rsidRPr="00A72F0A">
                        <w:rPr>
                          <w:rFonts w:asciiTheme="minorHAnsi" w:hAnsiTheme="minorHAnsi"/>
                          <w:color w:val="FFFFFF" w:themeColor="background1"/>
                          <w:sz w:val="22"/>
                          <w:lang w:val="pt-BR"/>
                        </w:rPr>
                        <w:t xml:space="preserve">Doc. </w:t>
                      </w:r>
                      <w:r w:rsidR="00A72F0A" w:rsidRPr="00A72F0A">
                        <w:rPr>
                          <w:rFonts w:asciiTheme="minorHAnsi" w:hAnsiTheme="minorHAnsi"/>
                          <w:color w:val="FFFFFF" w:themeColor="background1"/>
                          <w:sz w:val="22"/>
                          <w:lang w:val="pt-BR"/>
                        </w:rPr>
                        <w:t>284</w:t>
                      </w:r>
                    </w:p>
                    <w:p w:rsidR="00627C9F" w:rsidRPr="00A72F0A" w:rsidRDefault="00A72F0A" w:rsidP="009E566A">
                      <w:pPr>
                        <w:jc w:val="right"/>
                        <w:rPr>
                          <w:rFonts w:asciiTheme="minorHAnsi" w:hAnsiTheme="minorHAnsi"/>
                          <w:color w:val="FFFFFF" w:themeColor="background1"/>
                          <w:sz w:val="22"/>
                          <w:lang w:val="es-AR"/>
                        </w:rPr>
                      </w:pPr>
                      <w:r>
                        <w:rPr>
                          <w:rFonts w:asciiTheme="minorHAnsi" w:hAnsiTheme="minorHAnsi"/>
                          <w:color w:val="FFFFFF" w:themeColor="background1"/>
                          <w:sz w:val="22"/>
                          <w:lang w:val="es"/>
                        </w:rPr>
                        <w:t>7 octubre 2020</w:t>
                      </w:r>
                    </w:p>
                    <w:p w:rsidR="00627C9F" w:rsidRPr="00A72F0A" w:rsidRDefault="00627C9F" w:rsidP="009E566A">
                      <w:pPr>
                        <w:jc w:val="right"/>
                        <w:rPr>
                          <w:rFonts w:asciiTheme="minorHAnsi" w:hAnsiTheme="minorHAnsi"/>
                          <w:color w:val="FFFFFF" w:themeColor="background1"/>
                          <w:sz w:val="22"/>
                          <w:lang w:val="es-AR"/>
                        </w:rPr>
                      </w:pPr>
                      <w:r w:rsidRPr="00A72F0A">
                        <w:rPr>
                          <w:rFonts w:asciiTheme="minorHAnsi" w:hAnsiTheme="minorHAnsi"/>
                          <w:color w:val="FFFFFF" w:themeColor="background1"/>
                          <w:sz w:val="22"/>
                          <w:lang w:val="es"/>
                        </w:rPr>
                        <w:t>Original: inglés</w:t>
                      </w:r>
                    </w:p>
                  </w:txbxContent>
                </v:textbox>
              </v:shape>
            </w:pict>
          </mc:Fallback>
        </mc:AlternateContent>
      </w:r>
    </w:p>
    <w:p w:rsidR="00040C3A" w:rsidRPr="00857251" w:rsidRDefault="00040C3A" w:rsidP="00040C3A">
      <w:pPr>
        <w:tabs>
          <w:tab w:val="center" w:pos="5400"/>
        </w:tabs>
        <w:suppressAutoHyphens/>
        <w:jc w:val="center"/>
        <w:rPr>
          <w:rFonts w:asciiTheme="majorHAnsi" w:hAnsiTheme="majorHAnsi"/>
          <w:sz w:val="22"/>
          <w:szCs w:val="22"/>
          <w:lang w:val="es-AR"/>
        </w:rPr>
      </w:pPr>
    </w:p>
    <w:p w:rsidR="00040C3A" w:rsidRPr="00857251" w:rsidRDefault="00040C3A" w:rsidP="00040C3A">
      <w:pPr>
        <w:tabs>
          <w:tab w:val="center" w:pos="5400"/>
        </w:tabs>
        <w:suppressAutoHyphens/>
        <w:jc w:val="center"/>
        <w:rPr>
          <w:rFonts w:asciiTheme="majorHAnsi" w:hAnsiTheme="majorHAnsi" w:cs="Arial"/>
          <w:sz w:val="22"/>
          <w:szCs w:val="22"/>
          <w:lang w:val="es-AR"/>
        </w:rPr>
      </w:pPr>
    </w:p>
    <w:p w:rsidR="00040C3A" w:rsidRPr="00857251" w:rsidRDefault="00040C3A" w:rsidP="00040C3A">
      <w:pPr>
        <w:tabs>
          <w:tab w:val="center" w:pos="5400"/>
        </w:tabs>
        <w:suppressAutoHyphens/>
        <w:jc w:val="center"/>
        <w:rPr>
          <w:rFonts w:asciiTheme="majorHAnsi" w:hAnsiTheme="majorHAnsi"/>
          <w:sz w:val="22"/>
          <w:szCs w:val="22"/>
          <w:lang w:val="es-AR"/>
        </w:rPr>
      </w:pPr>
    </w:p>
    <w:p w:rsidR="00040C3A" w:rsidRPr="00857251" w:rsidRDefault="00040C3A" w:rsidP="00040C3A">
      <w:pPr>
        <w:tabs>
          <w:tab w:val="center" w:pos="5400"/>
        </w:tabs>
        <w:suppressAutoHyphens/>
        <w:jc w:val="center"/>
        <w:rPr>
          <w:rFonts w:asciiTheme="majorHAnsi" w:hAnsiTheme="majorHAnsi"/>
          <w:sz w:val="22"/>
          <w:szCs w:val="22"/>
          <w:lang w:val="es-AR"/>
        </w:rPr>
      </w:pPr>
    </w:p>
    <w:p w:rsidR="00040C3A" w:rsidRPr="00857251" w:rsidRDefault="00040C3A" w:rsidP="00040C3A">
      <w:pPr>
        <w:tabs>
          <w:tab w:val="center" w:pos="5400"/>
        </w:tabs>
        <w:suppressAutoHyphens/>
        <w:jc w:val="center"/>
        <w:rPr>
          <w:rFonts w:asciiTheme="majorHAnsi" w:hAnsiTheme="majorHAnsi"/>
          <w:sz w:val="22"/>
          <w:szCs w:val="22"/>
          <w:lang w:val="es-AR"/>
        </w:rPr>
      </w:pPr>
    </w:p>
    <w:p w:rsidR="00040C3A" w:rsidRPr="00857251" w:rsidRDefault="00040C3A" w:rsidP="00040C3A">
      <w:pPr>
        <w:tabs>
          <w:tab w:val="center" w:pos="5400"/>
        </w:tabs>
        <w:suppressAutoHyphens/>
        <w:jc w:val="center"/>
        <w:rPr>
          <w:rFonts w:asciiTheme="majorHAnsi" w:hAnsiTheme="majorHAnsi"/>
          <w:sz w:val="22"/>
          <w:szCs w:val="22"/>
          <w:lang w:val="es-AR"/>
        </w:rPr>
      </w:pPr>
    </w:p>
    <w:p w:rsidR="005128E4" w:rsidRPr="00857251" w:rsidRDefault="005128E4" w:rsidP="00040C3A">
      <w:pPr>
        <w:tabs>
          <w:tab w:val="center" w:pos="5400"/>
        </w:tabs>
        <w:suppressAutoHyphens/>
        <w:jc w:val="center"/>
        <w:rPr>
          <w:rFonts w:asciiTheme="majorHAnsi" w:hAnsiTheme="majorHAnsi"/>
          <w:sz w:val="22"/>
          <w:szCs w:val="22"/>
          <w:lang w:val="es-AR"/>
        </w:rPr>
      </w:pPr>
    </w:p>
    <w:p w:rsidR="00040C3A" w:rsidRPr="00857251" w:rsidRDefault="00040C3A" w:rsidP="00040C3A">
      <w:pPr>
        <w:tabs>
          <w:tab w:val="center" w:pos="5400"/>
        </w:tabs>
        <w:suppressAutoHyphens/>
        <w:jc w:val="center"/>
        <w:rPr>
          <w:rFonts w:asciiTheme="majorHAnsi" w:hAnsiTheme="majorHAnsi"/>
          <w:sz w:val="22"/>
          <w:szCs w:val="22"/>
          <w:lang w:val="es-AR"/>
        </w:rPr>
      </w:pPr>
    </w:p>
    <w:p w:rsidR="005128E4" w:rsidRPr="00857251" w:rsidRDefault="005128E4" w:rsidP="00040C3A">
      <w:pPr>
        <w:tabs>
          <w:tab w:val="center" w:pos="5400"/>
        </w:tabs>
        <w:suppressAutoHyphens/>
        <w:jc w:val="center"/>
        <w:rPr>
          <w:rFonts w:asciiTheme="majorHAnsi" w:hAnsiTheme="majorHAnsi"/>
          <w:sz w:val="22"/>
          <w:szCs w:val="22"/>
          <w:lang w:val="es-AR"/>
        </w:rPr>
      </w:pPr>
    </w:p>
    <w:p w:rsidR="005128E4" w:rsidRPr="00857251" w:rsidRDefault="005128E4" w:rsidP="00040C3A">
      <w:pPr>
        <w:tabs>
          <w:tab w:val="center" w:pos="5400"/>
        </w:tabs>
        <w:suppressAutoHyphens/>
        <w:jc w:val="center"/>
        <w:rPr>
          <w:rFonts w:asciiTheme="majorHAnsi" w:hAnsiTheme="majorHAnsi"/>
          <w:sz w:val="22"/>
          <w:szCs w:val="22"/>
          <w:lang w:val="es-AR"/>
        </w:rPr>
      </w:pPr>
    </w:p>
    <w:p w:rsidR="005128E4" w:rsidRPr="00857251" w:rsidRDefault="005128E4" w:rsidP="00040C3A">
      <w:pPr>
        <w:tabs>
          <w:tab w:val="center" w:pos="5400"/>
        </w:tabs>
        <w:suppressAutoHyphens/>
        <w:jc w:val="center"/>
        <w:rPr>
          <w:rFonts w:asciiTheme="majorHAnsi" w:hAnsiTheme="majorHAnsi"/>
          <w:sz w:val="22"/>
          <w:szCs w:val="22"/>
          <w:lang w:val="es-AR"/>
        </w:rPr>
      </w:pPr>
    </w:p>
    <w:p w:rsidR="00040C3A" w:rsidRPr="00857251" w:rsidRDefault="00040C3A" w:rsidP="00040C3A">
      <w:pPr>
        <w:tabs>
          <w:tab w:val="center" w:pos="5400"/>
        </w:tabs>
        <w:suppressAutoHyphens/>
        <w:jc w:val="center"/>
        <w:rPr>
          <w:rFonts w:asciiTheme="majorHAnsi" w:hAnsiTheme="majorHAnsi"/>
          <w:sz w:val="22"/>
          <w:szCs w:val="22"/>
          <w:lang w:val="es-AR"/>
        </w:rPr>
      </w:pPr>
    </w:p>
    <w:p w:rsidR="00040C3A" w:rsidRPr="00857251" w:rsidRDefault="00040C3A" w:rsidP="00040C3A">
      <w:pPr>
        <w:tabs>
          <w:tab w:val="center" w:pos="5400"/>
        </w:tabs>
        <w:suppressAutoHyphens/>
        <w:jc w:val="center"/>
        <w:rPr>
          <w:rFonts w:asciiTheme="majorHAnsi" w:hAnsiTheme="majorHAnsi"/>
          <w:sz w:val="22"/>
          <w:szCs w:val="22"/>
          <w:lang w:val="es-AR"/>
        </w:rPr>
      </w:pPr>
    </w:p>
    <w:p w:rsidR="002C1641" w:rsidRPr="00857251" w:rsidRDefault="002C1641" w:rsidP="00040C3A">
      <w:pPr>
        <w:tabs>
          <w:tab w:val="center" w:pos="5400"/>
        </w:tabs>
        <w:suppressAutoHyphens/>
        <w:jc w:val="center"/>
        <w:rPr>
          <w:rFonts w:asciiTheme="majorHAnsi" w:hAnsiTheme="majorHAnsi"/>
          <w:sz w:val="18"/>
          <w:szCs w:val="22"/>
          <w:lang w:val="es-AR"/>
        </w:rPr>
      </w:pPr>
    </w:p>
    <w:p w:rsidR="002C1641" w:rsidRPr="00857251" w:rsidRDefault="002C1641" w:rsidP="00040C3A">
      <w:pPr>
        <w:tabs>
          <w:tab w:val="center" w:pos="5400"/>
        </w:tabs>
        <w:suppressAutoHyphens/>
        <w:jc w:val="center"/>
        <w:rPr>
          <w:rFonts w:asciiTheme="majorHAnsi" w:hAnsiTheme="majorHAnsi"/>
          <w:sz w:val="18"/>
          <w:szCs w:val="22"/>
          <w:lang w:val="es-AR"/>
        </w:rPr>
      </w:pPr>
    </w:p>
    <w:p w:rsidR="002C1641" w:rsidRPr="00857251" w:rsidRDefault="002C1641" w:rsidP="00040C3A">
      <w:pPr>
        <w:tabs>
          <w:tab w:val="center" w:pos="5400"/>
        </w:tabs>
        <w:suppressAutoHyphens/>
        <w:jc w:val="center"/>
        <w:rPr>
          <w:rFonts w:asciiTheme="majorHAnsi" w:hAnsiTheme="majorHAnsi"/>
          <w:sz w:val="18"/>
          <w:szCs w:val="22"/>
          <w:lang w:val="es-AR"/>
        </w:rPr>
      </w:pPr>
    </w:p>
    <w:p w:rsidR="002C1641" w:rsidRPr="00857251" w:rsidRDefault="002C1641" w:rsidP="00040C3A">
      <w:pPr>
        <w:tabs>
          <w:tab w:val="center" w:pos="5400"/>
        </w:tabs>
        <w:suppressAutoHyphens/>
        <w:jc w:val="center"/>
        <w:rPr>
          <w:rFonts w:asciiTheme="majorHAnsi" w:hAnsiTheme="majorHAnsi"/>
          <w:sz w:val="18"/>
          <w:szCs w:val="22"/>
          <w:lang w:val="es-AR"/>
        </w:rPr>
      </w:pPr>
    </w:p>
    <w:p w:rsidR="002C1641" w:rsidRPr="00857251" w:rsidRDefault="002C1641" w:rsidP="00040C3A">
      <w:pPr>
        <w:tabs>
          <w:tab w:val="center" w:pos="5400"/>
        </w:tabs>
        <w:suppressAutoHyphens/>
        <w:jc w:val="center"/>
        <w:rPr>
          <w:rFonts w:asciiTheme="majorHAnsi" w:hAnsiTheme="majorHAnsi"/>
          <w:sz w:val="18"/>
          <w:szCs w:val="22"/>
          <w:lang w:val="es-AR"/>
        </w:rPr>
      </w:pPr>
    </w:p>
    <w:p w:rsidR="002C1641" w:rsidRPr="00857251" w:rsidRDefault="002C1641" w:rsidP="00040C3A">
      <w:pPr>
        <w:tabs>
          <w:tab w:val="center" w:pos="5400"/>
        </w:tabs>
        <w:suppressAutoHyphens/>
        <w:jc w:val="center"/>
        <w:rPr>
          <w:rFonts w:asciiTheme="majorHAnsi" w:hAnsiTheme="majorHAnsi"/>
          <w:sz w:val="18"/>
          <w:szCs w:val="22"/>
          <w:lang w:val="es-AR"/>
        </w:rPr>
      </w:pPr>
    </w:p>
    <w:p w:rsidR="002C1641" w:rsidRPr="00857251" w:rsidRDefault="002C1641" w:rsidP="00040C3A">
      <w:pPr>
        <w:tabs>
          <w:tab w:val="center" w:pos="5400"/>
        </w:tabs>
        <w:suppressAutoHyphens/>
        <w:jc w:val="center"/>
        <w:rPr>
          <w:rFonts w:asciiTheme="majorHAnsi" w:hAnsiTheme="majorHAnsi"/>
          <w:sz w:val="18"/>
          <w:szCs w:val="22"/>
          <w:lang w:val="es-AR"/>
        </w:rPr>
      </w:pPr>
    </w:p>
    <w:p w:rsidR="002C1641" w:rsidRPr="00857251" w:rsidRDefault="002C1641" w:rsidP="00040C3A">
      <w:pPr>
        <w:tabs>
          <w:tab w:val="center" w:pos="5400"/>
        </w:tabs>
        <w:suppressAutoHyphens/>
        <w:jc w:val="center"/>
        <w:rPr>
          <w:rFonts w:asciiTheme="majorHAnsi" w:hAnsiTheme="majorHAnsi"/>
          <w:sz w:val="18"/>
          <w:szCs w:val="22"/>
          <w:lang w:val="es-AR"/>
        </w:rPr>
      </w:pPr>
    </w:p>
    <w:p w:rsidR="002C1641" w:rsidRPr="00857251" w:rsidRDefault="002C1641" w:rsidP="00040C3A">
      <w:pPr>
        <w:tabs>
          <w:tab w:val="center" w:pos="5400"/>
        </w:tabs>
        <w:suppressAutoHyphens/>
        <w:jc w:val="center"/>
        <w:rPr>
          <w:rFonts w:asciiTheme="majorHAnsi" w:hAnsiTheme="majorHAnsi"/>
          <w:sz w:val="18"/>
          <w:szCs w:val="22"/>
          <w:lang w:val="es-AR"/>
        </w:rPr>
      </w:pPr>
    </w:p>
    <w:p w:rsidR="002C1641" w:rsidRPr="00857251" w:rsidRDefault="002C1641" w:rsidP="00040C3A">
      <w:pPr>
        <w:tabs>
          <w:tab w:val="center" w:pos="5400"/>
        </w:tabs>
        <w:suppressAutoHyphens/>
        <w:jc w:val="center"/>
        <w:rPr>
          <w:rFonts w:asciiTheme="majorHAnsi" w:hAnsiTheme="majorHAnsi"/>
          <w:sz w:val="18"/>
          <w:szCs w:val="22"/>
          <w:lang w:val="es-AR"/>
        </w:rPr>
      </w:pPr>
    </w:p>
    <w:p w:rsidR="002C1641" w:rsidRPr="00857251" w:rsidRDefault="002C1641" w:rsidP="00040C3A">
      <w:pPr>
        <w:tabs>
          <w:tab w:val="center" w:pos="5400"/>
        </w:tabs>
        <w:suppressAutoHyphens/>
        <w:jc w:val="center"/>
        <w:rPr>
          <w:rFonts w:asciiTheme="majorHAnsi" w:hAnsiTheme="majorHAnsi"/>
          <w:sz w:val="18"/>
          <w:szCs w:val="22"/>
          <w:lang w:val="es-AR"/>
        </w:rPr>
      </w:pPr>
    </w:p>
    <w:p w:rsidR="002C1641" w:rsidRPr="00857251" w:rsidRDefault="002C1641" w:rsidP="00040C3A">
      <w:pPr>
        <w:tabs>
          <w:tab w:val="center" w:pos="5400"/>
        </w:tabs>
        <w:suppressAutoHyphens/>
        <w:jc w:val="center"/>
        <w:rPr>
          <w:rFonts w:asciiTheme="majorHAnsi" w:hAnsiTheme="majorHAnsi"/>
          <w:sz w:val="18"/>
          <w:szCs w:val="22"/>
          <w:lang w:val="es-AR"/>
        </w:rPr>
      </w:pPr>
    </w:p>
    <w:p w:rsidR="002C1641" w:rsidRPr="00857251" w:rsidRDefault="003C32BC" w:rsidP="00040C3A">
      <w:pPr>
        <w:tabs>
          <w:tab w:val="center" w:pos="5400"/>
        </w:tabs>
        <w:suppressAutoHyphens/>
        <w:jc w:val="center"/>
        <w:rPr>
          <w:rFonts w:asciiTheme="majorHAnsi" w:hAnsiTheme="majorHAnsi"/>
          <w:sz w:val="18"/>
          <w:szCs w:val="22"/>
          <w:lang w:val="es-AR"/>
        </w:rPr>
      </w:pPr>
      <w:r w:rsidRPr="0085725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2F0A" w:rsidRPr="00890650" w:rsidRDefault="00A72F0A" w:rsidP="00A72F0A">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 xml:space="preserve">7 </w:t>
                            </w:r>
                            <w:r w:rsidRPr="00890650">
                              <w:rPr>
                                <w:rFonts w:asciiTheme="majorHAnsi" w:hAnsiTheme="majorHAnsi"/>
                                <w:color w:val="0D0D0D" w:themeColor="text1" w:themeTint="F2"/>
                                <w:sz w:val="18"/>
                                <w:szCs w:val="22"/>
                                <w:lang w:val="es-ES"/>
                              </w:rPr>
                              <w:t xml:space="preserve">de </w:t>
                            </w:r>
                            <w:r>
                              <w:rPr>
                                <w:rFonts w:asciiTheme="majorHAnsi" w:hAnsiTheme="majorHAnsi"/>
                                <w:color w:val="0D0D0D" w:themeColor="text1" w:themeTint="F2"/>
                                <w:sz w:val="18"/>
                                <w:szCs w:val="22"/>
                                <w:lang w:val="es-ES"/>
                              </w:rPr>
                              <w:t xml:space="preserve">octubre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8824FD">
                              <w:rPr>
                                <w:rFonts w:asciiTheme="majorHAnsi" w:hAnsiTheme="majorHAnsi"/>
                                <w:color w:val="0D0D0D" w:themeColor="text1" w:themeTint="F2"/>
                                <w:sz w:val="18"/>
                                <w:szCs w:val="22"/>
                                <w:lang w:val="es-ES"/>
                              </w:rPr>
                              <w:t>.</w:t>
                            </w:r>
                          </w:p>
                          <w:p w:rsidR="00092F32" w:rsidRPr="00A72F0A" w:rsidRDefault="00092F32" w:rsidP="004165C2">
                            <w:pPr>
                              <w:tabs>
                                <w:tab w:val="center" w:pos="5400"/>
                              </w:tabs>
                              <w:suppressAutoHyphens/>
                              <w:spacing w:before="60"/>
                              <w:rPr>
                                <w:rFonts w:asciiTheme="majorHAnsi" w:hAnsiTheme="majorHAnsi"/>
                                <w:color w:val="0D0D0D" w:themeColor="text1" w:themeTint="F2"/>
                                <w:sz w:val="18"/>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A72F0A" w:rsidRPr="00890650" w:rsidRDefault="00A72F0A" w:rsidP="00A72F0A">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 xml:space="preserve">7 </w:t>
                      </w:r>
                      <w:r w:rsidRPr="00890650">
                        <w:rPr>
                          <w:rFonts w:asciiTheme="majorHAnsi" w:hAnsiTheme="majorHAnsi"/>
                          <w:color w:val="0D0D0D" w:themeColor="text1" w:themeTint="F2"/>
                          <w:sz w:val="18"/>
                          <w:szCs w:val="22"/>
                          <w:lang w:val="es-ES"/>
                        </w:rPr>
                        <w:t xml:space="preserve">de </w:t>
                      </w:r>
                      <w:r>
                        <w:rPr>
                          <w:rFonts w:asciiTheme="majorHAnsi" w:hAnsiTheme="majorHAnsi"/>
                          <w:color w:val="0D0D0D" w:themeColor="text1" w:themeTint="F2"/>
                          <w:sz w:val="18"/>
                          <w:szCs w:val="22"/>
                          <w:lang w:val="es-ES"/>
                        </w:rPr>
                        <w:t xml:space="preserve">octubre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8824FD">
                        <w:rPr>
                          <w:rFonts w:asciiTheme="majorHAnsi" w:hAnsiTheme="majorHAnsi"/>
                          <w:color w:val="0D0D0D" w:themeColor="text1" w:themeTint="F2"/>
                          <w:sz w:val="18"/>
                          <w:szCs w:val="22"/>
                          <w:lang w:val="es-ES"/>
                        </w:rPr>
                        <w:t>.</w:t>
                      </w:r>
                    </w:p>
                    <w:p w:rsidR="00092F32" w:rsidRPr="00A72F0A" w:rsidRDefault="00092F32" w:rsidP="004165C2">
                      <w:pPr>
                        <w:tabs>
                          <w:tab w:val="center" w:pos="5400"/>
                        </w:tabs>
                        <w:suppressAutoHyphens/>
                        <w:spacing w:before="60"/>
                        <w:rPr>
                          <w:rFonts w:asciiTheme="majorHAnsi" w:hAnsiTheme="majorHAnsi"/>
                          <w:color w:val="0D0D0D" w:themeColor="text1" w:themeTint="F2"/>
                          <w:sz w:val="18"/>
                          <w:szCs w:val="22"/>
                          <w:lang w:val="es-ES"/>
                        </w:rPr>
                      </w:pPr>
                    </w:p>
                  </w:txbxContent>
                </v:textbox>
              </v:shape>
            </w:pict>
          </mc:Fallback>
        </mc:AlternateContent>
      </w:r>
    </w:p>
    <w:p w:rsidR="002C1641" w:rsidRPr="00857251" w:rsidRDefault="002C1641" w:rsidP="00040C3A">
      <w:pPr>
        <w:tabs>
          <w:tab w:val="center" w:pos="5400"/>
        </w:tabs>
        <w:suppressAutoHyphens/>
        <w:jc w:val="center"/>
        <w:rPr>
          <w:rFonts w:asciiTheme="majorHAnsi" w:hAnsiTheme="majorHAnsi"/>
          <w:sz w:val="18"/>
          <w:szCs w:val="22"/>
          <w:lang w:val="es-AR"/>
        </w:rPr>
      </w:pPr>
    </w:p>
    <w:p w:rsidR="002C1641" w:rsidRPr="00857251" w:rsidRDefault="002C1641" w:rsidP="00040C3A">
      <w:pPr>
        <w:tabs>
          <w:tab w:val="center" w:pos="5400"/>
        </w:tabs>
        <w:suppressAutoHyphens/>
        <w:jc w:val="center"/>
        <w:rPr>
          <w:rFonts w:asciiTheme="majorHAnsi" w:hAnsiTheme="majorHAnsi"/>
          <w:sz w:val="18"/>
          <w:szCs w:val="22"/>
          <w:lang w:val="es-AR"/>
        </w:rPr>
      </w:pPr>
    </w:p>
    <w:p w:rsidR="002C1641" w:rsidRPr="00857251" w:rsidRDefault="002C1641" w:rsidP="00040C3A">
      <w:pPr>
        <w:tabs>
          <w:tab w:val="center" w:pos="5400"/>
        </w:tabs>
        <w:suppressAutoHyphens/>
        <w:jc w:val="center"/>
        <w:rPr>
          <w:rFonts w:asciiTheme="majorHAnsi" w:hAnsiTheme="majorHAnsi"/>
          <w:sz w:val="18"/>
          <w:szCs w:val="22"/>
          <w:lang w:val="es-AR"/>
        </w:rPr>
      </w:pPr>
    </w:p>
    <w:p w:rsidR="002C1641" w:rsidRPr="00857251" w:rsidRDefault="002C1641" w:rsidP="00040C3A">
      <w:pPr>
        <w:tabs>
          <w:tab w:val="center" w:pos="5400"/>
        </w:tabs>
        <w:suppressAutoHyphens/>
        <w:jc w:val="center"/>
        <w:rPr>
          <w:rFonts w:asciiTheme="majorHAnsi" w:hAnsiTheme="majorHAnsi"/>
          <w:sz w:val="18"/>
          <w:szCs w:val="22"/>
          <w:lang w:val="es-AR"/>
        </w:rPr>
      </w:pPr>
    </w:p>
    <w:p w:rsidR="002C1641" w:rsidRPr="00857251" w:rsidRDefault="003C32BC" w:rsidP="00040C3A">
      <w:pPr>
        <w:tabs>
          <w:tab w:val="center" w:pos="5400"/>
        </w:tabs>
        <w:suppressAutoHyphens/>
        <w:jc w:val="center"/>
        <w:rPr>
          <w:rFonts w:asciiTheme="majorHAnsi" w:hAnsiTheme="majorHAnsi"/>
          <w:sz w:val="18"/>
          <w:szCs w:val="22"/>
          <w:lang w:val="es-AR"/>
        </w:rPr>
      </w:pPr>
      <w:r w:rsidRPr="00857251">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857251" w:rsidRDefault="00F644E6" w:rsidP="00F644E6">
                            <w:pPr>
                              <w:spacing w:line="276" w:lineRule="auto"/>
                              <w:rPr>
                                <w:rFonts w:asciiTheme="majorHAnsi" w:hAnsiTheme="majorHAnsi"/>
                                <w:color w:val="595959" w:themeColor="text1" w:themeTint="A6"/>
                                <w:sz w:val="18"/>
                                <w:lang w:val="es-AR"/>
                              </w:rPr>
                            </w:pPr>
                            <w:r w:rsidRPr="00A72F0A">
                              <w:rPr>
                                <w:rFonts w:asciiTheme="majorHAnsi" w:hAnsiTheme="majorHAnsi"/>
                                <w:b/>
                                <w:bCs/>
                                <w:color w:val="595959" w:themeColor="text1" w:themeTint="A6"/>
                                <w:sz w:val="18"/>
                                <w:lang w:val="pt-BR"/>
                              </w:rPr>
                              <w:t xml:space="preserve">Citar como: </w:t>
                            </w:r>
                            <w:r w:rsidRPr="00A72F0A">
                              <w:rPr>
                                <w:rFonts w:asciiTheme="majorHAnsi" w:hAnsiTheme="majorHAnsi"/>
                                <w:color w:val="595959" w:themeColor="text1" w:themeTint="A6"/>
                                <w:sz w:val="18"/>
                                <w:lang w:val="pt-BR"/>
                              </w:rPr>
                              <w:t xml:space="preserve">CIDH, Informe No. </w:t>
                            </w:r>
                            <w:r w:rsidR="00A72F0A">
                              <w:rPr>
                                <w:rFonts w:asciiTheme="majorHAnsi" w:hAnsiTheme="majorHAnsi"/>
                                <w:color w:val="595959" w:themeColor="text1" w:themeTint="A6"/>
                                <w:sz w:val="18"/>
                                <w:lang w:val="es"/>
                              </w:rPr>
                              <w:t>268</w:t>
                            </w:r>
                            <w:r>
                              <w:rPr>
                                <w:rFonts w:asciiTheme="majorHAnsi" w:hAnsiTheme="majorHAnsi"/>
                                <w:color w:val="595959" w:themeColor="text1" w:themeTint="A6"/>
                                <w:sz w:val="18"/>
                                <w:lang w:val="es"/>
                              </w:rPr>
                              <w:t>/</w:t>
                            </w:r>
                            <w:r w:rsidR="00A72F0A">
                              <w:rPr>
                                <w:rFonts w:asciiTheme="majorHAnsi" w:hAnsiTheme="majorHAnsi"/>
                                <w:color w:val="595959" w:themeColor="text1" w:themeTint="A6"/>
                                <w:sz w:val="18"/>
                                <w:lang w:val="es"/>
                              </w:rPr>
                              <w:t>20</w:t>
                            </w:r>
                            <w:r>
                              <w:rPr>
                                <w:rFonts w:asciiTheme="majorHAnsi" w:hAnsiTheme="majorHAnsi"/>
                                <w:color w:val="595959" w:themeColor="text1" w:themeTint="A6"/>
                                <w:sz w:val="18"/>
                                <w:lang w:val="es"/>
                              </w:rPr>
                              <w:t>, Petic</w:t>
                            </w:r>
                            <w:r w:rsidR="00D6485A">
                              <w:rPr>
                                <w:rFonts w:asciiTheme="majorHAnsi" w:hAnsiTheme="majorHAnsi"/>
                                <w:color w:val="595959" w:themeColor="text1" w:themeTint="A6"/>
                                <w:sz w:val="18"/>
                                <w:lang w:val="es"/>
                              </w:rPr>
                              <w:t xml:space="preserve">ión </w:t>
                            </w:r>
                            <w:r w:rsidR="00A72F0A">
                              <w:rPr>
                                <w:rFonts w:asciiTheme="majorHAnsi" w:hAnsiTheme="majorHAnsi"/>
                                <w:color w:val="595959" w:themeColor="text1" w:themeTint="A6"/>
                                <w:sz w:val="18"/>
                                <w:lang w:val="es"/>
                              </w:rPr>
                              <w:t>1658</w:t>
                            </w:r>
                            <w:r w:rsidR="00D6485A">
                              <w:rPr>
                                <w:rFonts w:asciiTheme="majorHAnsi" w:hAnsiTheme="majorHAnsi"/>
                                <w:color w:val="595959" w:themeColor="text1" w:themeTint="A6"/>
                                <w:sz w:val="18"/>
                                <w:lang w:val="es"/>
                              </w:rPr>
                              <w:t>-</w:t>
                            </w:r>
                            <w:r w:rsidR="00A72F0A">
                              <w:rPr>
                                <w:rFonts w:asciiTheme="majorHAnsi" w:hAnsiTheme="majorHAnsi"/>
                                <w:color w:val="595959" w:themeColor="text1" w:themeTint="A6"/>
                                <w:sz w:val="18"/>
                                <w:lang w:val="es"/>
                              </w:rPr>
                              <w:t>09</w:t>
                            </w:r>
                            <w:r w:rsidR="00D6485A">
                              <w:rPr>
                                <w:rFonts w:asciiTheme="majorHAnsi" w:hAnsiTheme="majorHAnsi"/>
                                <w:color w:val="595959" w:themeColor="text1" w:themeTint="A6"/>
                                <w:sz w:val="18"/>
                                <w:lang w:val="es"/>
                              </w:rPr>
                              <w:t xml:space="preserve">. </w:t>
                            </w:r>
                            <w:proofErr w:type="spellStart"/>
                            <w:r w:rsidR="00D6485A">
                              <w:rPr>
                                <w:rFonts w:asciiTheme="majorHAnsi" w:hAnsiTheme="majorHAnsi"/>
                                <w:color w:val="595959" w:themeColor="text1" w:themeTint="A6"/>
                                <w:sz w:val="18"/>
                                <w:lang w:val="es"/>
                              </w:rPr>
                              <w:t>Inadamisibilidad</w:t>
                            </w:r>
                            <w:proofErr w:type="spellEnd"/>
                            <w:r w:rsidR="00D6485A">
                              <w:rPr>
                                <w:rFonts w:asciiTheme="majorHAnsi" w:hAnsiTheme="majorHAnsi"/>
                                <w:color w:val="595959" w:themeColor="text1" w:themeTint="A6"/>
                                <w:sz w:val="18"/>
                                <w:lang w:val="es"/>
                              </w:rPr>
                              <w:t>.</w:t>
                            </w:r>
                            <w:r w:rsidR="00A72F0A" w:rsidRPr="008824FD">
                              <w:rPr>
                                <w:rFonts w:asciiTheme="majorHAnsi" w:hAnsiTheme="majorHAnsi"/>
                                <w:color w:val="595959" w:themeColor="text1" w:themeTint="A6"/>
                                <w:sz w:val="18"/>
                                <w:lang w:val="es-US"/>
                              </w:rPr>
                              <w:t xml:space="preserve"> Alexandra </w:t>
                            </w:r>
                            <w:proofErr w:type="spellStart"/>
                            <w:r w:rsidR="00A72F0A" w:rsidRPr="008824FD">
                              <w:rPr>
                                <w:rFonts w:asciiTheme="majorHAnsi" w:hAnsiTheme="majorHAnsi"/>
                                <w:color w:val="595959" w:themeColor="text1" w:themeTint="A6"/>
                                <w:sz w:val="18"/>
                                <w:lang w:val="es-US"/>
                              </w:rPr>
                              <w:t>Grouchetskii</w:t>
                            </w:r>
                            <w:proofErr w:type="spellEnd"/>
                            <w:r w:rsidR="00A72F0A" w:rsidRPr="008824FD">
                              <w:rPr>
                                <w:rFonts w:asciiTheme="majorHAnsi" w:hAnsiTheme="majorHAnsi"/>
                                <w:color w:val="595959" w:themeColor="text1" w:themeTint="A6"/>
                                <w:sz w:val="18"/>
                                <w:lang w:val="es-US"/>
                              </w:rPr>
                              <w:t xml:space="preserve"> </w:t>
                            </w:r>
                            <w:proofErr w:type="spellStart"/>
                            <w:r w:rsidR="00A72F0A" w:rsidRPr="008824FD">
                              <w:rPr>
                                <w:rFonts w:asciiTheme="majorHAnsi" w:hAnsiTheme="majorHAnsi"/>
                                <w:color w:val="595959" w:themeColor="text1" w:themeTint="A6"/>
                                <w:sz w:val="18"/>
                                <w:lang w:val="es-US"/>
                              </w:rPr>
                              <w:t>Lysenko</w:t>
                            </w:r>
                            <w:proofErr w:type="spellEnd"/>
                            <w:r>
                              <w:rPr>
                                <w:rFonts w:asciiTheme="majorHAnsi" w:hAnsiTheme="majorHAnsi"/>
                                <w:color w:val="595959" w:themeColor="text1" w:themeTint="A6"/>
                                <w:sz w:val="18"/>
                                <w:lang w:val="es"/>
                              </w:rPr>
                              <w:t>.</w:t>
                            </w:r>
                            <w:r w:rsidR="00A72F0A">
                              <w:rPr>
                                <w:rFonts w:asciiTheme="majorHAnsi" w:hAnsiTheme="majorHAnsi"/>
                                <w:color w:val="595959" w:themeColor="text1" w:themeTint="A6"/>
                                <w:sz w:val="18"/>
                                <w:lang w:val="es"/>
                              </w:rPr>
                              <w:t xml:space="preserve"> Argentina</w:t>
                            </w:r>
                            <w:r>
                              <w:rPr>
                                <w:rFonts w:asciiTheme="majorHAnsi" w:hAnsiTheme="majorHAnsi"/>
                                <w:color w:val="595959" w:themeColor="text1" w:themeTint="A6"/>
                                <w:sz w:val="18"/>
                                <w:lang w:val="es"/>
                              </w:rPr>
                              <w:t>.</w:t>
                            </w:r>
                            <w:r w:rsidR="00A72F0A">
                              <w:rPr>
                                <w:rFonts w:asciiTheme="majorHAnsi" w:hAnsiTheme="majorHAnsi"/>
                                <w:color w:val="595959" w:themeColor="text1" w:themeTint="A6"/>
                                <w:sz w:val="18"/>
                                <w:lang w:val="es"/>
                              </w:rPr>
                              <w:t xml:space="preserve"> 7 de octubre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857251" w:rsidRDefault="00F644E6" w:rsidP="00F644E6">
                      <w:pPr>
                        <w:spacing w:line="276" w:lineRule="auto"/>
                        <w:rPr>
                          <w:rFonts w:asciiTheme="majorHAnsi" w:hAnsiTheme="majorHAnsi"/>
                          <w:color w:val="595959" w:themeColor="text1" w:themeTint="A6"/>
                          <w:sz w:val="18"/>
                          <w:lang w:val="es-AR"/>
                        </w:rPr>
                      </w:pPr>
                      <w:r w:rsidRPr="00A72F0A">
                        <w:rPr>
                          <w:rFonts w:asciiTheme="majorHAnsi" w:hAnsiTheme="majorHAnsi"/>
                          <w:b/>
                          <w:bCs/>
                          <w:color w:val="595959" w:themeColor="text1" w:themeTint="A6"/>
                          <w:sz w:val="18"/>
                          <w:lang w:val="pt-BR"/>
                        </w:rPr>
                        <w:t xml:space="preserve">Citar como: </w:t>
                      </w:r>
                      <w:r w:rsidRPr="00A72F0A">
                        <w:rPr>
                          <w:rFonts w:asciiTheme="majorHAnsi" w:hAnsiTheme="majorHAnsi"/>
                          <w:color w:val="595959" w:themeColor="text1" w:themeTint="A6"/>
                          <w:sz w:val="18"/>
                          <w:lang w:val="pt-BR"/>
                        </w:rPr>
                        <w:t xml:space="preserve">CIDH, Informe No. </w:t>
                      </w:r>
                      <w:r w:rsidR="00A72F0A">
                        <w:rPr>
                          <w:rFonts w:asciiTheme="majorHAnsi" w:hAnsiTheme="majorHAnsi"/>
                          <w:color w:val="595959" w:themeColor="text1" w:themeTint="A6"/>
                          <w:sz w:val="18"/>
                          <w:lang w:val="es"/>
                        </w:rPr>
                        <w:t>268</w:t>
                      </w:r>
                      <w:r>
                        <w:rPr>
                          <w:rFonts w:asciiTheme="majorHAnsi" w:hAnsiTheme="majorHAnsi"/>
                          <w:color w:val="595959" w:themeColor="text1" w:themeTint="A6"/>
                          <w:sz w:val="18"/>
                          <w:lang w:val="es"/>
                        </w:rPr>
                        <w:t>/</w:t>
                      </w:r>
                      <w:r w:rsidR="00A72F0A">
                        <w:rPr>
                          <w:rFonts w:asciiTheme="majorHAnsi" w:hAnsiTheme="majorHAnsi"/>
                          <w:color w:val="595959" w:themeColor="text1" w:themeTint="A6"/>
                          <w:sz w:val="18"/>
                          <w:lang w:val="es"/>
                        </w:rPr>
                        <w:t>20</w:t>
                      </w:r>
                      <w:r>
                        <w:rPr>
                          <w:rFonts w:asciiTheme="majorHAnsi" w:hAnsiTheme="majorHAnsi"/>
                          <w:color w:val="595959" w:themeColor="text1" w:themeTint="A6"/>
                          <w:sz w:val="18"/>
                          <w:lang w:val="es"/>
                        </w:rPr>
                        <w:t>, Petic</w:t>
                      </w:r>
                      <w:r w:rsidR="00D6485A">
                        <w:rPr>
                          <w:rFonts w:asciiTheme="majorHAnsi" w:hAnsiTheme="majorHAnsi"/>
                          <w:color w:val="595959" w:themeColor="text1" w:themeTint="A6"/>
                          <w:sz w:val="18"/>
                          <w:lang w:val="es"/>
                        </w:rPr>
                        <w:t xml:space="preserve">ión </w:t>
                      </w:r>
                      <w:r w:rsidR="00A72F0A">
                        <w:rPr>
                          <w:rFonts w:asciiTheme="majorHAnsi" w:hAnsiTheme="majorHAnsi"/>
                          <w:color w:val="595959" w:themeColor="text1" w:themeTint="A6"/>
                          <w:sz w:val="18"/>
                          <w:lang w:val="es"/>
                        </w:rPr>
                        <w:t>1658</w:t>
                      </w:r>
                      <w:r w:rsidR="00D6485A">
                        <w:rPr>
                          <w:rFonts w:asciiTheme="majorHAnsi" w:hAnsiTheme="majorHAnsi"/>
                          <w:color w:val="595959" w:themeColor="text1" w:themeTint="A6"/>
                          <w:sz w:val="18"/>
                          <w:lang w:val="es"/>
                        </w:rPr>
                        <w:t>-</w:t>
                      </w:r>
                      <w:r w:rsidR="00A72F0A">
                        <w:rPr>
                          <w:rFonts w:asciiTheme="majorHAnsi" w:hAnsiTheme="majorHAnsi"/>
                          <w:color w:val="595959" w:themeColor="text1" w:themeTint="A6"/>
                          <w:sz w:val="18"/>
                          <w:lang w:val="es"/>
                        </w:rPr>
                        <w:t>09</w:t>
                      </w:r>
                      <w:r w:rsidR="00D6485A">
                        <w:rPr>
                          <w:rFonts w:asciiTheme="majorHAnsi" w:hAnsiTheme="majorHAnsi"/>
                          <w:color w:val="595959" w:themeColor="text1" w:themeTint="A6"/>
                          <w:sz w:val="18"/>
                          <w:lang w:val="es"/>
                        </w:rPr>
                        <w:t xml:space="preserve">. </w:t>
                      </w:r>
                      <w:proofErr w:type="spellStart"/>
                      <w:r w:rsidR="00D6485A">
                        <w:rPr>
                          <w:rFonts w:asciiTheme="majorHAnsi" w:hAnsiTheme="majorHAnsi"/>
                          <w:color w:val="595959" w:themeColor="text1" w:themeTint="A6"/>
                          <w:sz w:val="18"/>
                          <w:lang w:val="es"/>
                        </w:rPr>
                        <w:t>Inadamisibilidad</w:t>
                      </w:r>
                      <w:proofErr w:type="spellEnd"/>
                      <w:r w:rsidR="00D6485A">
                        <w:rPr>
                          <w:rFonts w:asciiTheme="majorHAnsi" w:hAnsiTheme="majorHAnsi"/>
                          <w:color w:val="595959" w:themeColor="text1" w:themeTint="A6"/>
                          <w:sz w:val="18"/>
                          <w:lang w:val="es"/>
                        </w:rPr>
                        <w:t>.</w:t>
                      </w:r>
                      <w:r w:rsidR="00A72F0A" w:rsidRPr="008824FD">
                        <w:rPr>
                          <w:rFonts w:asciiTheme="majorHAnsi" w:hAnsiTheme="majorHAnsi"/>
                          <w:color w:val="595959" w:themeColor="text1" w:themeTint="A6"/>
                          <w:sz w:val="18"/>
                          <w:lang w:val="es-US"/>
                        </w:rPr>
                        <w:t xml:space="preserve"> Alexandra </w:t>
                      </w:r>
                      <w:proofErr w:type="spellStart"/>
                      <w:r w:rsidR="00A72F0A" w:rsidRPr="008824FD">
                        <w:rPr>
                          <w:rFonts w:asciiTheme="majorHAnsi" w:hAnsiTheme="majorHAnsi"/>
                          <w:color w:val="595959" w:themeColor="text1" w:themeTint="A6"/>
                          <w:sz w:val="18"/>
                          <w:lang w:val="es-US"/>
                        </w:rPr>
                        <w:t>Grouchetskii</w:t>
                      </w:r>
                      <w:proofErr w:type="spellEnd"/>
                      <w:r w:rsidR="00A72F0A" w:rsidRPr="008824FD">
                        <w:rPr>
                          <w:rFonts w:asciiTheme="majorHAnsi" w:hAnsiTheme="majorHAnsi"/>
                          <w:color w:val="595959" w:themeColor="text1" w:themeTint="A6"/>
                          <w:sz w:val="18"/>
                          <w:lang w:val="es-US"/>
                        </w:rPr>
                        <w:t xml:space="preserve"> </w:t>
                      </w:r>
                      <w:proofErr w:type="spellStart"/>
                      <w:r w:rsidR="00A72F0A" w:rsidRPr="008824FD">
                        <w:rPr>
                          <w:rFonts w:asciiTheme="majorHAnsi" w:hAnsiTheme="majorHAnsi"/>
                          <w:color w:val="595959" w:themeColor="text1" w:themeTint="A6"/>
                          <w:sz w:val="18"/>
                          <w:lang w:val="es-US"/>
                        </w:rPr>
                        <w:t>Lysenko</w:t>
                      </w:r>
                      <w:proofErr w:type="spellEnd"/>
                      <w:r>
                        <w:rPr>
                          <w:rFonts w:asciiTheme="majorHAnsi" w:hAnsiTheme="majorHAnsi"/>
                          <w:color w:val="595959" w:themeColor="text1" w:themeTint="A6"/>
                          <w:sz w:val="18"/>
                          <w:lang w:val="es"/>
                        </w:rPr>
                        <w:t>.</w:t>
                      </w:r>
                      <w:r w:rsidR="00A72F0A">
                        <w:rPr>
                          <w:rFonts w:asciiTheme="majorHAnsi" w:hAnsiTheme="majorHAnsi"/>
                          <w:color w:val="595959" w:themeColor="text1" w:themeTint="A6"/>
                          <w:sz w:val="18"/>
                          <w:lang w:val="es"/>
                        </w:rPr>
                        <w:t xml:space="preserve"> Argentina</w:t>
                      </w:r>
                      <w:r>
                        <w:rPr>
                          <w:rFonts w:asciiTheme="majorHAnsi" w:hAnsiTheme="majorHAnsi"/>
                          <w:color w:val="595959" w:themeColor="text1" w:themeTint="A6"/>
                          <w:sz w:val="18"/>
                          <w:lang w:val="es"/>
                        </w:rPr>
                        <w:t>.</w:t>
                      </w:r>
                      <w:r w:rsidR="00A72F0A">
                        <w:rPr>
                          <w:rFonts w:asciiTheme="majorHAnsi" w:hAnsiTheme="majorHAnsi"/>
                          <w:color w:val="595959" w:themeColor="text1" w:themeTint="A6"/>
                          <w:sz w:val="18"/>
                          <w:lang w:val="es"/>
                        </w:rPr>
                        <w:t xml:space="preserve"> 7 de octubre de 2020.</w:t>
                      </w:r>
                    </w:p>
                  </w:txbxContent>
                </v:textbox>
              </v:shape>
            </w:pict>
          </mc:Fallback>
        </mc:AlternateContent>
      </w:r>
    </w:p>
    <w:p w:rsidR="002C1641" w:rsidRPr="00857251" w:rsidRDefault="002C1641" w:rsidP="00040C3A">
      <w:pPr>
        <w:tabs>
          <w:tab w:val="center" w:pos="5400"/>
        </w:tabs>
        <w:suppressAutoHyphens/>
        <w:jc w:val="center"/>
        <w:rPr>
          <w:rFonts w:asciiTheme="majorHAnsi" w:hAnsiTheme="majorHAnsi"/>
          <w:sz w:val="18"/>
          <w:szCs w:val="22"/>
          <w:lang w:val="es-AR"/>
        </w:rPr>
      </w:pPr>
    </w:p>
    <w:p w:rsidR="002C1641" w:rsidRPr="00857251" w:rsidRDefault="002C1641" w:rsidP="00040C3A">
      <w:pPr>
        <w:tabs>
          <w:tab w:val="center" w:pos="5400"/>
        </w:tabs>
        <w:suppressAutoHyphens/>
        <w:jc w:val="center"/>
        <w:rPr>
          <w:rFonts w:asciiTheme="majorHAnsi" w:hAnsiTheme="majorHAnsi"/>
          <w:sz w:val="18"/>
          <w:szCs w:val="22"/>
          <w:lang w:val="es-AR"/>
        </w:rPr>
      </w:pPr>
    </w:p>
    <w:p w:rsidR="003C32BC" w:rsidRPr="00857251" w:rsidRDefault="003C32BC" w:rsidP="003C32BC">
      <w:pPr>
        <w:tabs>
          <w:tab w:val="center" w:pos="5400"/>
        </w:tabs>
        <w:suppressAutoHyphens/>
        <w:jc w:val="center"/>
        <w:rPr>
          <w:rFonts w:asciiTheme="majorHAnsi" w:hAnsiTheme="majorHAnsi"/>
          <w:sz w:val="18"/>
          <w:szCs w:val="22"/>
          <w:lang w:val="es-AR"/>
        </w:rPr>
      </w:pPr>
    </w:p>
    <w:p w:rsidR="003C32BC" w:rsidRPr="00857251" w:rsidRDefault="006311DA" w:rsidP="003C32BC">
      <w:pPr>
        <w:tabs>
          <w:tab w:val="center" w:pos="5400"/>
        </w:tabs>
        <w:suppressAutoHyphens/>
        <w:jc w:val="center"/>
        <w:rPr>
          <w:rFonts w:asciiTheme="majorHAnsi" w:hAnsiTheme="majorHAnsi"/>
          <w:sz w:val="18"/>
          <w:szCs w:val="22"/>
          <w:lang w:val="es-AR"/>
        </w:rPr>
      </w:pPr>
      <w:r w:rsidRPr="00857251">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Pr>
                                <w:rFonts w:asciiTheme="minorHAnsi" w:hAnsiTheme="minorHAnsi"/>
                                <w:b/>
                                <w:bCs/>
                                <w:color w:val="FFFFFF" w:themeColor="background1"/>
                                <w:lang w:val="es"/>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Pr>
                          <w:rFonts w:asciiTheme="minorHAnsi" w:hAnsiTheme="minorHAnsi"/>
                          <w:b/>
                          <w:bCs/>
                          <w:color w:val="FFFFFF" w:themeColor="background1"/>
                          <w:lang w:val="es"/>
                        </w:rPr>
                        <w:t>www.cidh.org</w:t>
                      </w:r>
                    </w:p>
                  </w:txbxContent>
                </v:textbox>
              </v:shape>
            </w:pict>
          </mc:Fallback>
        </mc:AlternateContent>
      </w:r>
      <w:r w:rsidRPr="00857251">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8824FD">
                            <w:r>
                              <w:rPr>
                                <w:noProof/>
                              </w:rPr>
                              <w:drawing>
                                <wp:inline distT="0" distB="0" distL="0" distR="0">
                                  <wp:extent cx="1508125" cy="3879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EA-ESP-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812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8824FD">
                      <w:r>
                        <w:rPr>
                          <w:noProof/>
                        </w:rPr>
                        <w:drawing>
                          <wp:inline distT="0" distB="0" distL="0" distR="0">
                            <wp:extent cx="1508125" cy="3879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EA-ESP-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8125" cy="387985"/>
                                    </a:xfrm>
                                    <a:prstGeom prst="rect">
                                      <a:avLst/>
                                    </a:prstGeom>
                                  </pic:spPr>
                                </pic:pic>
                              </a:graphicData>
                            </a:graphic>
                          </wp:inline>
                        </w:drawing>
                      </w:r>
                    </w:p>
                  </w:txbxContent>
                </v:textbox>
              </v:shape>
            </w:pict>
          </mc:Fallback>
        </mc:AlternateContent>
      </w:r>
    </w:p>
    <w:p w:rsidR="007607C4" w:rsidRPr="00857251" w:rsidRDefault="007607C4" w:rsidP="003C32BC">
      <w:pPr>
        <w:tabs>
          <w:tab w:val="center" w:pos="5400"/>
        </w:tabs>
        <w:suppressAutoHyphens/>
        <w:jc w:val="center"/>
        <w:rPr>
          <w:rFonts w:asciiTheme="majorHAnsi" w:hAnsiTheme="majorHAnsi"/>
          <w:sz w:val="18"/>
          <w:szCs w:val="22"/>
          <w:lang w:val="es-AR"/>
        </w:rPr>
        <w:sectPr w:rsidR="007607C4" w:rsidRPr="00857251"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F621C3" w:rsidRPr="00857251" w:rsidRDefault="00F621C3" w:rsidP="00F621C3">
      <w:pPr>
        <w:spacing w:after="240"/>
        <w:ind w:firstLine="720"/>
        <w:jc w:val="both"/>
        <w:rPr>
          <w:rFonts w:asciiTheme="majorHAnsi" w:hAnsiTheme="majorHAnsi"/>
          <w:b/>
          <w:bCs/>
          <w:sz w:val="20"/>
          <w:szCs w:val="20"/>
          <w:lang w:val="es-AR"/>
        </w:rPr>
      </w:pPr>
      <w:r w:rsidRPr="00857251">
        <w:rPr>
          <w:rFonts w:asciiTheme="majorHAnsi" w:hAnsiTheme="majorHAnsi"/>
          <w:b/>
          <w:bCs/>
          <w:sz w:val="20"/>
          <w:szCs w:val="20"/>
          <w:lang w:val="es-AR"/>
        </w:rPr>
        <w:lastRenderedPageBreak/>
        <w:t>I.</w:t>
      </w:r>
      <w:r w:rsidRPr="00857251">
        <w:rPr>
          <w:rFonts w:asciiTheme="majorHAnsi" w:hAnsiTheme="majorHAnsi"/>
          <w:b/>
          <w:bCs/>
          <w:sz w:val="20"/>
          <w:szCs w:val="20"/>
          <w:lang w:val="es-AR"/>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857251" w:rsidTr="009B3A73">
        <w:tc>
          <w:tcPr>
            <w:tcW w:w="3690" w:type="dxa"/>
            <w:tcBorders>
              <w:top w:val="single" w:sz="4" w:space="0" w:color="auto"/>
              <w:bottom w:val="single" w:sz="6" w:space="0" w:color="auto"/>
            </w:tcBorders>
            <w:shd w:val="clear" w:color="auto" w:fill="4A7194"/>
            <w:vAlign w:val="center"/>
          </w:tcPr>
          <w:p w:rsidR="00F621C3" w:rsidRPr="00857251" w:rsidRDefault="003771A3" w:rsidP="009163FC">
            <w:pPr>
              <w:jc w:val="center"/>
              <w:rPr>
                <w:rFonts w:ascii="Cambria" w:hAnsi="Cambria"/>
                <w:b/>
                <w:bCs/>
                <w:color w:val="FFFFFF" w:themeColor="background1"/>
                <w:sz w:val="20"/>
                <w:szCs w:val="20"/>
                <w:lang w:val="es-AR"/>
              </w:rPr>
            </w:pPr>
            <w:r w:rsidRPr="00857251">
              <w:rPr>
                <w:rFonts w:ascii="Cambria" w:hAnsi="Cambria"/>
                <w:b/>
                <w:bCs/>
                <w:color w:val="FFFFFF" w:themeColor="background1"/>
                <w:sz w:val="20"/>
                <w:szCs w:val="20"/>
                <w:lang w:val="es-AR"/>
              </w:rPr>
              <w:t>Parte peticionaria:</w:t>
            </w:r>
          </w:p>
        </w:tc>
        <w:tc>
          <w:tcPr>
            <w:tcW w:w="5670" w:type="dxa"/>
            <w:vAlign w:val="center"/>
          </w:tcPr>
          <w:p w:rsidR="00F621C3" w:rsidRPr="00857251" w:rsidRDefault="00F16B08" w:rsidP="009163FC">
            <w:pPr>
              <w:jc w:val="both"/>
              <w:rPr>
                <w:rFonts w:ascii="Cambria" w:hAnsi="Cambria"/>
                <w:bCs/>
                <w:sz w:val="20"/>
                <w:szCs w:val="20"/>
                <w:lang w:val="es-AR"/>
              </w:rPr>
            </w:pPr>
            <w:r w:rsidRPr="00857251">
              <w:rPr>
                <w:rFonts w:ascii="Cambria" w:hAnsi="Cambria"/>
                <w:sz w:val="20"/>
                <w:szCs w:val="20"/>
                <w:lang w:val="es-AR"/>
              </w:rPr>
              <w:t>Alexandr Grouchetskii Bechevez</w:t>
            </w:r>
          </w:p>
        </w:tc>
      </w:tr>
      <w:tr w:rsidR="00F621C3" w:rsidRPr="00857251" w:rsidTr="009B3A73">
        <w:tc>
          <w:tcPr>
            <w:tcW w:w="3690" w:type="dxa"/>
            <w:tcBorders>
              <w:top w:val="single" w:sz="6" w:space="0" w:color="auto"/>
              <w:bottom w:val="single" w:sz="6" w:space="0" w:color="auto"/>
            </w:tcBorders>
            <w:shd w:val="clear" w:color="auto" w:fill="4A7194"/>
            <w:vAlign w:val="center"/>
          </w:tcPr>
          <w:p w:rsidR="00F621C3" w:rsidRPr="00857251" w:rsidRDefault="00CA4939" w:rsidP="009163FC">
            <w:pPr>
              <w:jc w:val="center"/>
              <w:rPr>
                <w:rFonts w:ascii="Cambria" w:hAnsi="Cambria"/>
                <w:b/>
                <w:bCs/>
                <w:color w:val="FFFFFF" w:themeColor="background1"/>
                <w:sz w:val="20"/>
                <w:szCs w:val="20"/>
                <w:lang w:val="es-AR"/>
              </w:rPr>
            </w:pPr>
            <w:sdt>
              <w:sdtPr>
                <w:rPr>
                  <w:rFonts w:ascii="Cambria" w:hAnsi="Cambria"/>
                  <w:b/>
                  <w:bCs/>
                  <w:color w:val="FFFFFF" w:themeColor="background1"/>
                  <w:sz w:val="20"/>
                  <w:szCs w:val="20"/>
                  <w:lang w:val="es-AR"/>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7E53F4" w:rsidRPr="00857251">
                  <w:rPr>
                    <w:rFonts w:ascii="Cambria" w:hAnsi="Cambria"/>
                    <w:b/>
                    <w:bCs/>
                    <w:color w:val="FFFFFF" w:themeColor="background1"/>
                    <w:sz w:val="20"/>
                    <w:szCs w:val="20"/>
                    <w:lang w:val="es-AR"/>
                  </w:rPr>
                  <w:t>Presunta víctima</w:t>
                </w:r>
              </w:sdtContent>
            </w:sdt>
            <w:r w:rsidR="007E53F4" w:rsidRPr="00857251">
              <w:rPr>
                <w:rFonts w:ascii="Cambria" w:hAnsi="Cambria"/>
                <w:b/>
                <w:bCs/>
                <w:color w:val="FFFFFF" w:themeColor="background1"/>
                <w:sz w:val="20"/>
                <w:szCs w:val="20"/>
                <w:lang w:val="es-AR"/>
              </w:rPr>
              <w:t>:</w:t>
            </w:r>
          </w:p>
        </w:tc>
        <w:tc>
          <w:tcPr>
            <w:tcW w:w="5670" w:type="dxa"/>
            <w:vAlign w:val="center"/>
          </w:tcPr>
          <w:p w:rsidR="00F621C3" w:rsidRPr="00857251" w:rsidRDefault="00F16B08" w:rsidP="009163FC">
            <w:pPr>
              <w:jc w:val="both"/>
              <w:rPr>
                <w:rFonts w:ascii="Cambria" w:hAnsi="Cambria"/>
                <w:bCs/>
                <w:sz w:val="20"/>
                <w:szCs w:val="20"/>
                <w:lang w:val="es-AR"/>
              </w:rPr>
            </w:pPr>
            <w:r w:rsidRPr="00857251">
              <w:rPr>
                <w:rFonts w:ascii="Cambria" w:hAnsi="Cambria"/>
                <w:sz w:val="20"/>
                <w:szCs w:val="20"/>
                <w:lang w:val="es-AR"/>
              </w:rPr>
              <w:t>Alexandra Grouchetskii Lysenko</w:t>
            </w:r>
          </w:p>
        </w:tc>
      </w:tr>
      <w:tr w:rsidR="00F621C3" w:rsidRPr="00857251" w:rsidTr="009B3A73">
        <w:tc>
          <w:tcPr>
            <w:tcW w:w="3690" w:type="dxa"/>
            <w:tcBorders>
              <w:top w:val="single" w:sz="6" w:space="0" w:color="auto"/>
              <w:bottom w:val="single" w:sz="6" w:space="0" w:color="auto"/>
            </w:tcBorders>
            <w:shd w:val="clear" w:color="auto" w:fill="4A7194"/>
            <w:vAlign w:val="center"/>
          </w:tcPr>
          <w:p w:rsidR="00F621C3" w:rsidRPr="00857251" w:rsidRDefault="005816E5" w:rsidP="005816E5">
            <w:pPr>
              <w:jc w:val="center"/>
              <w:rPr>
                <w:rFonts w:ascii="Cambria" w:hAnsi="Cambria"/>
                <w:b/>
                <w:bCs/>
                <w:color w:val="FFFFFF" w:themeColor="background1"/>
                <w:sz w:val="20"/>
                <w:szCs w:val="20"/>
                <w:lang w:val="es-AR"/>
              </w:rPr>
            </w:pPr>
            <w:r w:rsidRPr="00857251">
              <w:rPr>
                <w:rFonts w:ascii="Cambria" w:hAnsi="Cambria"/>
                <w:b/>
                <w:bCs/>
                <w:color w:val="FFFFFF" w:themeColor="background1"/>
                <w:sz w:val="20"/>
                <w:szCs w:val="20"/>
                <w:lang w:val="es-AR"/>
              </w:rPr>
              <w:t>Estado denunciado:</w:t>
            </w:r>
          </w:p>
        </w:tc>
        <w:tc>
          <w:tcPr>
            <w:tcW w:w="5670" w:type="dxa"/>
            <w:vAlign w:val="center"/>
          </w:tcPr>
          <w:p w:rsidR="00F621C3" w:rsidRPr="00857251" w:rsidRDefault="00F16B08" w:rsidP="009163FC">
            <w:pPr>
              <w:jc w:val="both"/>
              <w:rPr>
                <w:rFonts w:ascii="Cambria" w:hAnsi="Cambria"/>
                <w:bCs/>
                <w:sz w:val="20"/>
                <w:szCs w:val="20"/>
                <w:lang w:val="es-AR"/>
              </w:rPr>
            </w:pPr>
            <w:r w:rsidRPr="00857251">
              <w:rPr>
                <w:rFonts w:ascii="Cambria" w:hAnsi="Cambria"/>
                <w:sz w:val="20"/>
                <w:szCs w:val="20"/>
                <w:lang w:val="es-AR"/>
              </w:rPr>
              <w:t>Argentina</w:t>
            </w:r>
          </w:p>
        </w:tc>
      </w:tr>
      <w:tr w:rsidR="00E47F3D" w:rsidRPr="00352575" w:rsidTr="009B3A73">
        <w:tc>
          <w:tcPr>
            <w:tcW w:w="3690" w:type="dxa"/>
            <w:tcBorders>
              <w:top w:val="single" w:sz="6" w:space="0" w:color="auto"/>
              <w:bottom w:val="single" w:sz="6" w:space="0" w:color="auto"/>
            </w:tcBorders>
            <w:shd w:val="clear" w:color="auto" w:fill="4A7194"/>
            <w:vAlign w:val="center"/>
          </w:tcPr>
          <w:p w:rsidR="00E47F3D" w:rsidRPr="00857251" w:rsidRDefault="00E47F3D" w:rsidP="00E7588C">
            <w:pPr>
              <w:jc w:val="center"/>
              <w:rPr>
                <w:rFonts w:ascii="Cambria" w:hAnsi="Cambria"/>
                <w:b/>
                <w:bCs/>
                <w:color w:val="FFFFFF" w:themeColor="background1"/>
                <w:sz w:val="20"/>
                <w:szCs w:val="20"/>
                <w:lang w:val="es-AR"/>
              </w:rPr>
            </w:pPr>
            <w:r w:rsidRPr="00857251">
              <w:rPr>
                <w:rFonts w:ascii="Cambria" w:hAnsi="Cambria"/>
                <w:b/>
                <w:bCs/>
                <w:color w:val="FFFFFF" w:themeColor="background1"/>
                <w:sz w:val="20"/>
                <w:szCs w:val="20"/>
                <w:lang w:val="es-AR"/>
              </w:rPr>
              <w:t>Derechos invocados:</w:t>
            </w:r>
          </w:p>
        </w:tc>
        <w:tc>
          <w:tcPr>
            <w:tcW w:w="5670" w:type="dxa"/>
            <w:vAlign w:val="center"/>
          </w:tcPr>
          <w:p w:rsidR="00E47F3D" w:rsidRPr="00857251" w:rsidRDefault="00F16B08" w:rsidP="009163FC">
            <w:pPr>
              <w:jc w:val="both"/>
              <w:rPr>
                <w:rFonts w:ascii="Cambria" w:hAnsi="Cambria"/>
                <w:bCs/>
                <w:sz w:val="20"/>
                <w:szCs w:val="20"/>
                <w:lang w:val="es-AR"/>
              </w:rPr>
            </w:pPr>
            <w:r w:rsidRPr="00857251">
              <w:rPr>
                <w:rFonts w:ascii="Cambria" w:hAnsi="Cambria"/>
                <w:sz w:val="20"/>
                <w:szCs w:val="20"/>
                <w:lang w:val="es-AR"/>
              </w:rPr>
              <w:t>Artículos 3 (reconocimiento de la personalidad jurídica), 17 (protección a la familia); 22 (circulación y residencia) en relación con el artículo 1.1 de la Convención Americana.</w:t>
            </w:r>
          </w:p>
        </w:tc>
      </w:tr>
    </w:tbl>
    <w:p w:rsidR="00F621C3" w:rsidRPr="00857251" w:rsidRDefault="00F621C3" w:rsidP="00F621C3">
      <w:pPr>
        <w:spacing w:before="240" w:after="240"/>
        <w:ind w:firstLine="720"/>
        <w:jc w:val="both"/>
        <w:rPr>
          <w:rFonts w:asciiTheme="majorHAnsi" w:hAnsiTheme="majorHAnsi"/>
          <w:b/>
          <w:bCs/>
          <w:sz w:val="20"/>
          <w:szCs w:val="20"/>
          <w:lang w:val="es-AR"/>
        </w:rPr>
      </w:pPr>
      <w:r w:rsidRPr="00857251">
        <w:rPr>
          <w:rFonts w:asciiTheme="majorHAnsi" w:hAnsiTheme="majorHAnsi"/>
          <w:b/>
          <w:bCs/>
          <w:sz w:val="20"/>
          <w:szCs w:val="20"/>
          <w:lang w:val="es-AR"/>
        </w:rPr>
        <w:t>II.</w:t>
      </w:r>
      <w:r w:rsidRPr="00857251">
        <w:rPr>
          <w:rFonts w:asciiTheme="majorHAnsi" w:hAnsiTheme="majorHAnsi"/>
          <w:b/>
          <w:bCs/>
          <w:sz w:val="20"/>
          <w:szCs w:val="20"/>
          <w:lang w:val="es-AR"/>
        </w:rPr>
        <w:tab/>
        <w:t>TRÁMITE ANTE LA CIDH</w:t>
      </w:r>
      <w:r w:rsidRPr="00857251">
        <w:rPr>
          <w:rStyle w:val="FootnoteReference"/>
          <w:rFonts w:ascii="Cambria" w:hAnsi="Cambria"/>
          <w:b/>
          <w:bCs/>
          <w:sz w:val="20"/>
          <w:szCs w:val="20"/>
          <w:lang w:val="es-AR"/>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857251" w:rsidTr="009B3A73">
        <w:tc>
          <w:tcPr>
            <w:tcW w:w="3690" w:type="dxa"/>
            <w:tcBorders>
              <w:top w:val="single" w:sz="6" w:space="0" w:color="auto"/>
              <w:bottom w:val="single" w:sz="6" w:space="0" w:color="auto"/>
            </w:tcBorders>
            <w:shd w:val="clear" w:color="auto" w:fill="4A7194"/>
            <w:vAlign w:val="center"/>
          </w:tcPr>
          <w:p w:rsidR="00F621C3" w:rsidRPr="00857251" w:rsidRDefault="00B06BB7" w:rsidP="00B06BB7">
            <w:pPr>
              <w:jc w:val="center"/>
              <w:rPr>
                <w:rFonts w:ascii="Cambria" w:hAnsi="Cambria"/>
                <w:b/>
                <w:bCs/>
                <w:color w:val="FFFFFF" w:themeColor="background1"/>
                <w:sz w:val="20"/>
                <w:szCs w:val="20"/>
                <w:lang w:val="es-AR"/>
              </w:rPr>
            </w:pPr>
            <w:r w:rsidRPr="00857251">
              <w:rPr>
                <w:rFonts w:ascii="Cambria" w:hAnsi="Cambria"/>
                <w:b/>
                <w:bCs/>
                <w:color w:val="FFFFFF" w:themeColor="background1"/>
                <w:sz w:val="20"/>
                <w:szCs w:val="20"/>
                <w:lang w:val="es-AR"/>
              </w:rPr>
              <w:t>Presentación de la petición:</w:t>
            </w:r>
          </w:p>
        </w:tc>
        <w:tc>
          <w:tcPr>
            <w:tcW w:w="5670" w:type="dxa"/>
            <w:vAlign w:val="center"/>
          </w:tcPr>
          <w:p w:rsidR="00F621C3" w:rsidRPr="00857251" w:rsidRDefault="00F16B08" w:rsidP="009163FC">
            <w:pPr>
              <w:jc w:val="both"/>
              <w:rPr>
                <w:rFonts w:ascii="Cambria" w:hAnsi="Cambria"/>
                <w:bCs/>
                <w:sz w:val="20"/>
                <w:szCs w:val="20"/>
                <w:lang w:val="es-AR"/>
              </w:rPr>
            </w:pPr>
            <w:r w:rsidRPr="00857251">
              <w:rPr>
                <w:rFonts w:ascii="Cambria" w:hAnsi="Cambria"/>
                <w:sz w:val="20"/>
                <w:szCs w:val="20"/>
                <w:lang w:val="es-AR"/>
              </w:rPr>
              <w:t>16 de diciembre de 2009</w:t>
            </w:r>
          </w:p>
        </w:tc>
      </w:tr>
      <w:tr w:rsidR="00F621C3" w:rsidRPr="00352575" w:rsidTr="009B3A73">
        <w:tc>
          <w:tcPr>
            <w:tcW w:w="3690" w:type="dxa"/>
            <w:tcBorders>
              <w:top w:val="single" w:sz="6" w:space="0" w:color="auto"/>
              <w:bottom w:val="single" w:sz="6" w:space="0" w:color="auto"/>
            </w:tcBorders>
            <w:shd w:val="clear" w:color="auto" w:fill="4A7194"/>
            <w:vAlign w:val="center"/>
          </w:tcPr>
          <w:p w:rsidR="00F621C3" w:rsidRPr="00857251" w:rsidRDefault="00F621C3" w:rsidP="003771A3">
            <w:pPr>
              <w:jc w:val="center"/>
              <w:rPr>
                <w:rFonts w:ascii="Cambria" w:hAnsi="Cambria"/>
                <w:b/>
                <w:color w:val="FFFFFF" w:themeColor="background1"/>
                <w:sz w:val="20"/>
                <w:szCs w:val="20"/>
                <w:lang w:val="es-AR"/>
              </w:rPr>
            </w:pPr>
            <w:r w:rsidRPr="00857251">
              <w:rPr>
                <w:rFonts w:ascii="Cambria" w:hAnsi="Cambria"/>
                <w:b/>
                <w:bCs/>
                <w:color w:val="FFFFFF" w:themeColor="background1"/>
                <w:sz w:val="20"/>
                <w:szCs w:val="20"/>
                <w:lang w:val="es-AR"/>
              </w:rPr>
              <w:t>Información adicional recibida durante la etapa de estudio:</w:t>
            </w:r>
          </w:p>
        </w:tc>
        <w:tc>
          <w:tcPr>
            <w:tcW w:w="5670" w:type="dxa"/>
            <w:vAlign w:val="center"/>
          </w:tcPr>
          <w:p w:rsidR="00F621C3" w:rsidRPr="00857251" w:rsidRDefault="00DC5842" w:rsidP="00564B76">
            <w:pPr>
              <w:jc w:val="both"/>
              <w:rPr>
                <w:rFonts w:ascii="Cambria" w:hAnsi="Cambria"/>
                <w:bCs/>
                <w:sz w:val="20"/>
                <w:szCs w:val="20"/>
                <w:lang w:val="es-AR"/>
              </w:rPr>
            </w:pPr>
            <w:r w:rsidRPr="00857251">
              <w:rPr>
                <w:rFonts w:ascii="Cambria" w:hAnsi="Cambria"/>
                <w:sz w:val="20"/>
                <w:szCs w:val="20"/>
                <w:lang w:val="es-AR"/>
              </w:rPr>
              <w:t xml:space="preserve">27 y 28 de junio de 2010, 1, y 21 de septiembre de 2010 y 17 de enero de 2011 </w:t>
            </w:r>
          </w:p>
        </w:tc>
      </w:tr>
      <w:tr w:rsidR="00F621C3" w:rsidRPr="00857251" w:rsidTr="009B3A73">
        <w:tc>
          <w:tcPr>
            <w:tcW w:w="3690" w:type="dxa"/>
            <w:tcBorders>
              <w:top w:val="single" w:sz="6" w:space="0" w:color="auto"/>
              <w:bottom w:val="single" w:sz="6" w:space="0" w:color="auto"/>
            </w:tcBorders>
            <w:shd w:val="clear" w:color="auto" w:fill="4A7194"/>
            <w:vAlign w:val="center"/>
          </w:tcPr>
          <w:p w:rsidR="00F621C3" w:rsidRPr="00857251" w:rsidRDefault="00B06BB7" w:rsidP="00B06BB7">
            <w:pPr>
              <w:jc w:val="center"/>
              <w:rPr>
                <w:rFonts w:ascii="Cambria" w:hAnsi="Cambria"/>
                <w:b/>
                <w:bCs/>
                <w:color w:val="FFFFFF" w:themeColor="background1"/>
                <w:sz w:val="20"/>
                <w:szCs w:val="20"/>
                <w:lang w:val="es-AR"/>
              </w:rPr>
            </w:pPr>
            <w:r w:rsidRPr="00857251">
              <w:rPr>
                <w:rFonts w:ascii="Cambria" w:hAnsi="Cambria"/>
                <w:b/>
                <w:bCs/>
                <w:color w:val="FFFFFF" w:themeColor="background1"/>
                <w:sz w:val="20"/>
                <w:szCs w:val="20"/>
                <w:lang w:val="es-AR"/>
              </w:rPr>
              <w:t>Notificación de la petición al Estado:</w:t>
            </w:r>
          </w:p>
        </w:tc>
        <w:tc>
          <w:tcPr>
            <w:tcW w:w="5670" w:type="dxa"/>
            <w:vAlign w:val="center"/>
          </w:tcPr>
          <w:p w:rsidR="00F621C3" w:rsidRPr="00857251" w:rsidRDefault="00564B76" w:rsidP="009163FC">
            <w:pPr>
              <w:jc w:val="both"/>
              <w:rPr>
                <w:rFonts w:ascii="Cambria" w:hAnsi="Cambria"/>
                <w:bCs/>
                <w:sz w:val="20"/>
                <w:szCs w:val="20"/>
                <w:lang w:val="es-AR"/>
              </w:rPr>
            </w:pPr>
            <w:r w:rsidRPr="00857251">
              <w:rPr>
                <w:rFonts w:ascii="Cambria" w:hAnsi="Cambria"/>
                <w:sz w:val="20"/>
                <w:szCs w:val="20"/>
                <w:lang w:val="es-AR"/>
              </w:rPr>
              <w:t>21 de marzo de 2011</w:t>
            </w:r>
          </w:p>
        </w:tc>
      </w:tr>
      <w:tr w:rsidR="00F621C3" w:rsidRPr="00857251" w:rsidTr="009B3A73">
        <w:trPr>
          <w:trHeight w:val="264"/>
        </w:trPr>
        <w:tc>
          <w:tcPr>
            <w:tcW w:w="3690" w:type="dxa"/>
            <w:tcBorders>
              <w:top w:val="single" w:sz="6" w:space="0" w:color="auto"/>
              <w:bottom w:val="single" w:sz="6" w:space="0" w:color="auto"/>
            </w:tcBorders>
            <w:shd w:val="clear" w:color="auto" w:fill="4A7194"/>
            <w:vAlign w:val="center"/>
          </w:tcPr>
          <w:p w:rsidR="00F621C3" w:rsidRPr="00857251" w:rsidRDefault="00F621C3" w:rsidP="009163FC">
            <w:pPr>
              <w:jc w:val="center"/>
              <w:rPr>
                <w:rFonts w:ascii="Cambria" w:hAnsi="Cambria"/>
                <w:b/>
                <w:bCs/>
                <w:color w:val="FFFFFF" w:themeColor="background1"/>
                <w:sz w:val="20"/>
                <w:szCs w:val="20"/>
                <w:lang w:val="es-AR"/>
              </w:rPr>
            </w:pPr>
            <w:r w:rsidRPr="00857251">
              <w:rPr>
                <w:rFonts w:ascii="Cambria" w:hAnsi="Cambria"/>
                <w:b/>
                <w:bCs/>
                <w:color w:val="FFFFFF" w:themeColor="background1"/>
                <w:sz w:val="20"/>
                <w:szCs w:val="20"/>
                <w:lang w:val="es-AR"/>
              </w:rPr>
              <w:t>Primera respuesta del Estado:</w:t>
            </w:r>
          </w:p>
        </w:tc>
        <w:tc>
          <w:tcPr>
            <w:tcW w:w="5670" w:type="dxa"/>
            <w:vAlign w:val="center"/>
          </w:tcPr>
          <w:p w:rsidR="00F621C3" w:rsidRPr="00857251" w:rsidRDefault="00564B76" w:rsidP="009163FC">
            <w:pPr>
              <w:jc w:val="both"/>
              <w:rPr>
                <w:rFonts w:ascii="Cambria" w:hAnsi="Cambria"/>
                <w:bCs/>
                <w:sz w:val="20"/>
                <w:szCs w:val="20"/>
                <w:lang w:val="es-AR"/>
              </w:rPr>
            </w:pPr>
            <w:r w:rsidRPr="00857251">
              <w:rPr>
                <w:rFonts w:ascii="Cambria" w:hAnsi="Cambria"/>
                <w:sz w:val="20"/>
                <w:szCs w:val="20"/>
                <w:lang w:val="es-AR"/>
              </w:rPr>
              <w:t>4 de octubre de 2011</w:t>
            </w:r>
          </w:p>
        </w:tc>
      </w:tr>
      <w:tr w:rsidR="003771A3" w:rsidRPr="00352575" w:rsidTr="009B3A73">
        <w:tc>
          <w:tcPr>
            <w:tcW w:w="3690" w:type="dxa"/>
            <w:tcBorders>
              <w:top w:val="single" w:sz="6" w:space="0" w:color="auto"/>
              <w:bottom w:val="single" w:sz="6" w:space="0" w:color="auto"/>
            </w:tcBorders>
            <w:shd w:val="clear" w:color="auto" w:fill="4A7194"/>
            <w:vAlign w:val="center"/>
          </w:tcPr>
          <w:p w:rsidR="003771A3" w:rsidRPr="00857251" w:rsidRDefault="003771A3" w:rsidP="0023351C">
            <w:pPr>
              <w:jc w:val="center"/>
              <w:rPr>
                <w:rFonts w:ascii="Cambria" w:hAnsi="Cambria"/>
                <w:b/>
                <w:bCs/>
                <w:color w:val="FFFFFF" w:themeColor="background1"/>
                <w:sz w:val="20"/>
                <w:szCs w:val="20"/>
                <w:lang w:val="es-AR"/>
              </w:rPr>
            </w:pPr>
            <w:r w:rsidRPr="00857251">
              <w:rPr>
                <w:rFonts w:ascii="Cambria" w:hAnsi="Cambria"/>
                <w:b/>
                <w:bCs/>
                <w:color w:val="FFFFFF" w:themeColor="background1"/>
                <w:sz w:val="20"/>
                <w:szCs w:val="20"/>
                <w:lang w:val="es-AR"/>
              </w:rPr>
              <w:t>Observaciones adicionales de la parte peticionaria:</w:t>
            </w:r>
          </w:p>
        </w:tc>
        <w:tc>
          <w:tcPr>
            <w:tcW w:w="5670" w:type="dxa"/>
            <w:vAlign w:val="center"/>
          </w:tcPr>
          <w:p w:rsidR="003771A3" w:rsidRPr="00857251" w:rsidRDefault="00364FC3" w:rsidP="00364FC3">
            <w:pPr>
              <w:jc w:val="both"/>
              <w:rPr>
                <w:rFonts w:ascii="Cambria" w:hAnsi="Cambria"/>
                <w:bCs/>
                <w:sz w:val="20"/>
                <w:szCs w:val="20"/>
                <w:lang w:val="es-AR"/>
              </w:rPr>
            </w:pPr>
            <w:r w:rsidRPr="00857251">
              <w:rPr>
                <w:rFonts w:ascii="Cambria" w:hAnsi="Cambria"/>
                <w:sz w:val="20"/>
                <w:szCs w:val="20"/>
                <w:lang w:val="es-AR"/>
              </w:rPr>
              <w:t>20 de diciembre de 2011, 13 de abril de 2012, 21 de noviembre de 2012 y 17 de noviembre de 2014</w:t>
            </w:r>
          </w:p>
        </w:tc>
      </w:tr>
      <w:tr w:rsidR="003771A3" w:rsidRPr="00857251" w:rsidTr="009B3A73">
        <w:tc>
          <w:tcPr>
            <w:tcW w:w="3690" w:type="dxa"/>
            <w:tcBorders>
              <w:top w:val="single" w:sz="6" w:space="0" w:color="auto"/>
              <w:bottom w:val="single" w:sz="6" w:space="0" w:color="auto"/>
            </w:tcBorders>
            <w:shd w:val="clear" w:color="auto" w:fill="4A7194"/>
            <w:vAlign w:val="center"/>
          </w:tcPr>
          <w:p w:rsidR="003771A3" w:rsidRPr="00857251" w:rsidRDefault="003771A3" w:rsidP="00653EA6">
            <w:pPr>
              <w:jc w:val="center"/>
              <w:rPr>
                <w:rFonts w:ascii="Cambria" w:hAnsi="Cambria"/>
                <w:b/>
                <w:bCs/>
                <w:color w:val="FFFFFF" w:themeColor="background1"/>
                <w:sz w:val="20"/>
                <w:szCs w:val="20"/>
                <w:lang w:val="es-AR"/>
              </w:rPr>
            </w:pPr>
            <w:r w:rsidRPr="00857251">
              <w:rPr>
                <w:rFonts w:ascii="Cambria" w:hAnsi="Cambria"/>
                <w:b/>
                <w:bCs/>
                <w:color w:val="FFFFFF" w:themeColor="background1"/>
                <w:sz w:val="20"/>
                <w:szCs w:val="20"/>
                <w:lang w:val="es-AR"/>
              </w:rPr>
              <w:t>Observaciones adicionales del Estado:</w:t>
            </w:r>
          </w:p>
        </w:tc>
        <w:tc>
          <w:tcPr>
            <w:tcW w:w="5670" w:type="dxa"/>
            <w:vAlign w:val="center"/>
          </w:tcPr>
          <w:p w:rsidR="003771A3" w:rsidRPr="00857251" w:rsidRDefault="00E03B5D" w:rsidP="009163FC">
            <w:pPr>
              <w:jc w:val="both"/>
              <w:rPr>
                <w:rFonts w:ascii="Cambria" w:hAnsi="Cambria"/>
                <w:bCs/>
                <w:sz w:val="20"/>
                <w:szCs w:val="20"/>
                <w:lang w:val="es-AR"/>
              </w:rPr>
            </w:pPr>
            <w:r w:rsidRPr="00857251">
              <w:rPr>
                <w:rFonts w:ascii="Cambria" w:hAnsi="Cambria"/>
                <w:sz w:val="20"/>
                <w:szCs w:val="20"/>
                <w:lang w:val="es-AR"/>
              </w:rPr>
              <w:t>17 de octubre de 2014</w:t>
            </w:r>
          </w:p>
        </w:tc>
      </w:tr>
    </w:tbl>
    <w:p w:rsidR="00F621C3" w:rsidRPr="00857251" w:rsidRDefault="00F621C3" w:rsidP="00F621C3">
      <w:pPr>
        <w:spacing w:before="240" w:after="240"/>
        <w:ind w:firstLine="720"/>
        <w:jc w:val="both"/>
        <w:rPr>
          <w:rFonts w:asciiTheme="majorHAnsi" w:hAnsiTheme="majorHAnsi"/>
          <w:b/>
          <w:bCs/>
          <w:sz w:val="20"/>
          <w:szCs w:val="20"/>
          <w:lang w:val="es-AR"/>
        </w:rPr>
      </w:pPr>
      <w:r w:rsidRPr="00857251">
        <w:rPr>
          <w:rFonts w:asciiTheme="majorHAnsi" w:hAnsiTheme="majorHAnsi"/>
          <w:b/>
          <w:bCs/>
          <w:sz w:val="20"/>
          <w:szCs w:val="20"/>
          <w:lang w:val="es-AR"/>
        </w:rPr>
        <w:t>III.</w:t>
      </w:r>
      <w:r w:rsidRPr="00857251">
        <w:rPr>
          <w:rFonts w:asciiTheme="majorHAnsi" w:hAnsiTheme="majorHAnsi"/>
          <w:b/>
          <w:bCs/>
          <w:sz w:val="20"/>
          <w:szCs w:val="20"/>
          <w:lang w:val="es-AR"/>
        </w:rPr>
        <w:tab/>
        <w:t xml:space="preserve"> 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F621C3" w:rsidRPr="00857251" w:rsidTr="009B3A73">
        <w:trPr>
          <w:cantSplit/>
        </w:trPr>
        <w:tc>
          <w:tcPr>
            <w:tcW w:w="3690" w:type="dxa"/>
            <w:tcBorders>
              <w:top w:val="single" w:sz="4" w:space="0" w:color="auto"/>
              <w:bottom w:val="single" w:sz="6" w:space="0" w:color="auto"/>
            </w:tcBorders>
            <w:shd w:val="clear" w:color="auto" w:fill="4A7194"/>
            <w:vAlign w:val="center"/>
          </w:tcPr>
          <w:p w:rsidR="00F621C3" w:rsidRPr="00857251" w:rsidRDefault="00F621C3" w:rsidP="009163FC">
            <w:pPr>
              <w:jc w:val="center"/>
              <w:rPr>
                <w:rFonts w:ascii="Cambria" w:hAnsi="Cambria"/>
                <w:b/>
                <w:bCs/>
                <w:i/>
                <w:color w:val="FFFFFF" w:themeColor="background1"/>
                <w:sz w:val="20"/>
                <w:szCs w:val="20"/>
                <w:lang w:val="es-AR"/>
              </w:rPr>
            </w:pPr>
            <w:r w:rsidRPr="00857251">
              <w:rPr>
                <w:rFonts w:ascii="Cambria" w:hAnsi="Cambria"/>
                <w:b/>
                <w:bCs/>
                <w:color w:val="FFFFFF" w:themeColor="background1"/>
                <w:sz w:val="20"/>
                <w:szCs w:val="20"/>
                <w:lang w:val="es-AR"/>
              </w:rPr>
              <w:t xml:space="preserve">Competencia </w:t>
            </w:r>
            <w:r w:rsidRPr="00857251">
              <w:rPr>
                <w:rFonts w:ascii="Cambria" w:hAnsi="Cambria"/>
                <w:b/>
                <w:bCs/>
                <w:i/>
                <w:iCs/>
                <w:color w:val="FFFFFF" w:themeColor="background1"/>
                <w:sz w:val="20"/>
                <w:szCs w:val="20"/>
                <w:lang w:val="es-AR"/>
              </w:rPr>
              <w:t>Ratione personae:</w:t>
            </w:r>
          </w:p>
        </w:tc>
        <w:tc>
          <w:tcPr>
            <w:tcW w:w="5670" w:type="dxa"/>
            <w:vAlign w:val="center"/>
          </w:tcPr>
          <w:p w:rsidR="00F621C3" w:rsidRPr="00857251" w:rsidRDefault="007C5E47" w:rsidP="009163FC">
            <w:pPr>
              <w:rPr>
                <w:rFonts w:asciiTheme="majorHAnsi" w:hAnsiTheme="majorHAnsi"/>
                <w:bCs/>
                <w:sz w:val="20"/>
                <w:szCs w:val="20"/>
                <w:lang w:val="es-AR"/>
              </w:rPr>
            </w:pPr>
            <w:r w:rsidRPr="00857251">
              <w:rPr>
                <w:rFonts w:asciiTheme="majorHAnsi" w:hAnsiTheme="majorHAnsi"/>
                <w:sz w:val="20"/>
                <w:szCs w:val="20"/>
                <w:lang w:val="es-AR"/>
              </w:rPr>
              <w:t>Sí</w:t>
            </w:r>
          </w:p>
        </w:tc>
      </w:tr>
      <w:tr w:rsidR="00F621C3" w:rsidRPr="00857251" w:rsidTr="009B3A73">
        <w:trPr>
          <w:cantSplit/>
        </w:trPr>
        <w:tc>
          <w:tcPr>
            <w:tcW w:w="3690" w:type="dxa"/>
            <w:tcBorders>
              <w:top w:val="single" w:sz="6" w:space="0" w:color="auto"/>
              <w:bottom w:val="single" w:sz="6" w:space="0" w:color="auto"/>
            </w:tcBorders>
            <w:shd w:val="clear" w:color="auto" w:fill="4A7194"/>
            <w:vAlign w:val="center"/>
          </w:tcPr>
          <w:p w:rsidR="00F621C3" w:rsidRPr="00857251" w:rsidRDefault="00F621C3" w:rsidP="009163FC">
            <w:pPr>
              <w:jc w:val="center"/>
              <w:rPr>
                <w:rFonts w:ascii="Cambria" w:hAnsi="Cambria"/>
                <w:b/>
                <w:bCs/>
                <w:color w:val="FFFFFF" w:themeColor="background1"/>
                <w:sz w:val="20"/>
                <w:szCs w:val="20"/>
                <w:lang w:val="es-AR"/>
              </w:rPr>
            </w:pPr>
            <w:r w:rsidRPr="00857251">
              <w:rPr>
                <w:rFonts w:ascii="Cambria" w:hAnsi="Cambria"/>
                <w:b/>
                <w:bCs/>
                <w:color w:val="FFFFFF" w:themeColor="background1"/>
                <w:sz w:val="20"/>
                <w:szCs w:val="20"/>
                <w:lang w:val="es-AR"/>
              </w:rPr>
              <w:t xml:space="preserve">Competencia </w:t>
            </w:r>
            <w:r w:rsidRPr="00857251">
              <w:rPr>
                <w:rFonts w:ascii="Cambria" w:hAnsi="Cambria"/>
                <w:b/>
                <w:bCs/>
                <w:i/>
                <w:iCs/>
                <w:color w:val="FFFFFF" w:themeColor="background1"/>
                <w:sz w:val="20"/>
                <w:szCs w:val="20"/>
                <w:lang w:val="es-AR"/>
              </w:rPr>
              <w:t>Ratione loci:</w:t>
            </w:r>
          </w:p>
        </w:tc>
        <w:tc>
          <w:tcPr>
            <w:tcW w:w="5670" w:type="dxa"/>
            <w:vAlign w:val="center"/>
          </w:tcPr>
          <w:p w:rsidR="00F621C3" w:rsidRPr="00857251" w:rsidRDefault="007C5E47" w:rsidP="009163FC">
            <w:pPr>
              <w:rPr>
                <w:rFonts w:asciiTheme="majorHAnsi" w:hAnsiTheme="majorHAnsi"/>
                <w:bCs/>
                <w:sz w:val="20"/>
                <w:szCs w:val="20"/>
                <w:lang w:val="es-AR"/>
              </w:rPr>
            </w:pPr>
            <w:r w:rsidRPr="00857251">
              <w:rPr>
                <w:rFonts w:asciiTheme="majorHAnsi" w:hAnsiTheme="majorHAnsi"/>
                <w:sz w:val="20"/>
                <w:szCs w:val="20"/>
                <w:lang w:val="es-AR"/>
              </w:rPr>
              <w:t>Sí</w:t>
            </w:r>
          </w:p>
        </w:tc>
      </w:tr>
      <w:tr w:rsidR="00F621C3" w:rsidRPr="00857251" w:rsidTr="009B3A73">
        <w:trPr>
          <w:cantSplit/>
        </w:trPr>
        <w:tc>
          <w:tcPr>
            <w:tcW w:w="3690" w:type="dxa"/>
            <w:tcBorders>
              <w:top w:val="single" w:sz="6" w:space="0" w:color="auto"/>
              <w:bottom w:val="single" w:sz="6" w:space="0" w:color="auto"/>
            </w:tcBorders>
            <w:shd w:val="clear" w:color="auto" w:fill="4A7194"/>
            <w:vAlign w:val="center"/>
          </w:tcPr>
          <w:p w:rsidR="00F621C3" w:rsidRPr="00857251" w:rsidRDefault="00F621C3" w:rsidP="009163FC">
            <w:pPr>
              <w:jc w:val="center"/>
              <w:rPr>
                <w:rFonts w:ascii="Cambria" w:hAnsi="Cambria"/>
                <w:b/>
                <w:bCs/>
                <w:color w:val="FFFFFF" w:themeColor="background1"/>
                <w:sz w:val="20"/>
                <w:szCs w:val="20"/>
                <w:lang w:val="es-AR"/>
              </w:rPr>
            </w:pPr>
            <w:r w:rsidRPr="00857251">
              <w:rPr>
                <w:rFonts w:ascii="Cambria" w:hAnsi="Cambria"/>
                <w:b/>
                <w:bCs/>
                <w:color w:val="FFFFFF" w:themeColor="background1"/>
                <w:sz w:val="20"/>
                <w:szCs w:val="20"/>
                <w:lang w:val="es-AR"/>
              </w:rPr>
              <w:t xml:space="preserve">Competencia </w:t>
            </w:r>
            <w:r w:rsidRPr="00857251">
              <w:rPr>
                <w:rFonts w:ascii="Cambria" w:hAnsi="Cambria"/>
                <w:b/>
                <w:bCs/>
                <w:i/>
                <w:iCs/>
                <w:color w:val="FFFFFF" w:themeColor="background1"/>
                <w:sz w:val="20"/>
                <w:szCs w:val="20"/>
                <w:lang w:val="es-AR"/>
              </w:rPr>
              <w:t>Ratione temporis:</w:t>
            </w:r>
          </w:p>
        </w:tc>
        <w:tc>
          <w:tcPr>
            <w:tcW w:w="5670" w:type="dxa"/>
            <w:vAlign w:val="center"/>
          </w:tcPr>
          <w:p w:rsidR="00F621C3" w:rsidRPr="00857251" w:rsidRDefault="007C5E47" w:rsidP="009163FC">
            <w:pPr>
              <w:rPr>
                <w:rFonts w:asciiTheme="majorHAnsi" w:hAnsiTheme="majorHAnsi"/>
                <w:bCs/>
                <w:sz w:val="20"/>
                <w:szCs w:val="20"/>
                <w:lang w:val="es-AR"/>
              </w:rPr>
            </w:pPr>
            <w:r w:rsidRPr="00857251">
              <w:rPr>
                <w:rFonts w:asciiTheme="majorHAnsi" w:hAnsiTheme="majorHAnsi"/>
                <w:sz w:val="20"/>
                <w:szCs w:val="20"/>
                <w:lang w:val="es-AR"/>
              </w:rPr>
              <w:t>Sí</w:t>
            </w:r>
          </w:p>
        </w:tc>
      </w:tr>
      <w:tr w:rsidR="00F621C3" w:rsidRPr="00352575" w:rsidTr="009B3A73">
        <w:trPr>
          <w:cantSplit/>
        </w:trPr>
        <w:tc>
          <w:tcPr>
            <w:tcW w:w="3690" w:type="dxa"/>
            <w:tcBorders>
              <w:top w:val="single" w:sz="6" w:space="0" w:color="auto"/>
              <w:bottom w:val="single" w:sz="6" w:space="0" w:color="auto"/>
            </w:tcBorders>
            <w:shd w:val="clear" w:color="auto" w:fill="4A7194"/>
            <w:vAlign w:val="center"/>
          </w:tcPr>
          <w:p w:rsidR="00F621C3" w:rsidRPr="00857251" w:rsidRDefault="00F621C3" w:rsidP="009163FC">
            <w:pPr>
              <w:jc w:val="center"/>
              <w:rPr>
                <w:rFonts w:ascii="Cambria" w:hAnsi="Cambria"/>
                <w:b/>
                <w:bCs/>
                <w:color w:val="FFFFFF" w:themeColor="background1"/>
                <w:sz w:val="20"/>
                <w:szCs w:val="20"/>
                <w:lang w:val="es-AR"/>
              </w:rPr>
            </w:pPr>
            <w:r w:rsidRPr="00857251">
              <w:rPr>
                <w:rFonts w:ascii="Cambria" w:hAnsi="Cambria"/>
                <w:b/>
                <w:bCs/>
                <w:color w:val="FFFFFF" w:themeColor="background1"/>
                <w:sz w:val="20"/>
                <w:szCs w:val="20"/>
                <w:lang w:val="es-AR"/>
              </w:rPr>
              <w:t xml:space="preserve">Competencia </w:t>
            </w:r>
            <w:r w:rsidRPr="00857251">
              <w:rPr>
                <w:rFonts w:ascii="Cambria" w:hAnsi="Cambria"/>
                <w:b/>
                <w:bCs/>
                <w:i/>
                <w:iCs/>
                <w:color w:val="FFFFFF" w:themeColor="background1"/>
                <w:sz w:val="20"/>
                <w:szCs w:val="20"/>
                <w:lang w:val="es-AR"/>
              </w:rPr>
              <w:t>Ratione materiae:</w:t>
            </w:r>
          </w:p>
        </w:tc>
        <w:tc>
          <w:tcPr>
            <w:tcW w:w="5670" w:type="dxa"/>
            <w:vAlign w:val="center"/>
          </w:tcPr>
          <w:p w:rsidR="00F621C3" w:rsidRPr="00857251" w:rsidRDefault="007C5E47" w:rsidP="009163FC">
            <w:pPr>
              <w:jc w:val="both"/>
              <w:rPr>
                <w:rFonts w:asciiTheme="majorHAnsi" w:hAnsiTheme="majorHAnsi"/>
                <w:bCs/>
                <w:sz w:val="20"/>
                <w:szCs w:val="20"/>
                <w:lang w:val="es-AR"/>
              </w:rPr>
            </w:pPr>
            <w:r w:rsidRPr="00857251">
              <w:rPr>
                <w:rFonts w:asciiTheme="majorHAnsi" w:hAnsiTheme="majorHAnsi"/>
                <w:sz w:val="20"/>
                <w:szCs w:val="20"/>
                <w:lang w:val="es-AR"/>
              </w:rPr>
              <w:t>Sí; Convención Americana (depósito del instrumento de ratificación realizado el 5 de septiembre de 1984)</w:t>
            </w:r>
          </w:p>
        </w:tc>
      </w:tr>
    </w:tbl>
    <w:p w:rsidR="00F621C3" w:rsidRPr="00857251" w:rsidRDefault="00F621C3" w:rsidP="00F621C3">
      <w:pPr>
        <w:spacing w:before="240" w:after="240"/>
        <w:ind w:firstLine="720"/>
        <w:jc w:val="both"/>
        <w:rPr>
          <w:rFonts w:asciiTheme="majorHAnsi" w:hAnsiTheme="majorHAnsi"/>
          <w:b/>
          <w:bCs/>
          <w:sz w:val="20"/>
          <w:szCs w:val="20"/>
          <w:lang w:val="es-AR"/>
        </w:rPr>
      </w:pPr>
      <w:r w:rsidRPr="00857251">
        <w:rPr>
          <w:rFonts w:asciiTheme="majorHAnsi" w:hAnsiTheme="majorHAnsi"/>
          <w:b/>
          <w:bCs/>
          <w:sz w:val="20"/>
          <w:szCs w:val="20"/>
          <w:lang w:val="es-AR"/>
        </w:rPr>
        <w:t xml:space="preserve">IV. </w:t>
      </w:r>
      <w:r w:rsidRPr="00857251">
        <w:rPr>
          <w:rFonts w:asciiTheme="majorHAnsi" w:hAnsiTheme="majorHAnsi"/>
          <w:b/>
          <w:bCs/>
          <w:sz w:val="20"/>
          <w:szCs w:val="20"/>
          <w:lang w:val="es-AR"/>
        </w:rPr>
        <w:tab/>
        <w:t>DUPLICACIÓN DE PROCEDIMIENTOS Y COSA JUZGADA INTERNACIONAL, CARACTERIZACIÓN, 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4"/>
        <w:gridCol w:w="5588"/>
      </w:tblGrid>
      <w:tr w:rsidR="00F621C3" w:rsidRPr="00857251" w:rsidTr="009B3A73">
        <w:trPr>
          <w:cantSplit/>
        </w:trPr>
        <w:tc>
          <w:tcPr>
            <w:tcW w:w="3690" w:type="dxa"/>
            <w:tcBorders>
              <w:top w:val="single" w:sz="4" w:space="0" w:color="auto"/>
              <w:bottom w:val="single" w:sz="6" w:space="0" w:color="auto"/>
            </w:tcBorders>
            <w:shd w:val="clear" w:color="auto" w:fill="4A7194"/>
            <w:vAlign w:val="center"/>
          </w:tcPr>
          <w:p w:rsidR="00F621C3" w:rsidRPr="00857251" w:rsidRDefault="00F621C3" w:rsidP="009163FC">
            <w:pPr>
              <w:jc w:val="center"/>
              <w:rPr>
                <w:rFonts w:ascii="Cambria" w:hAnsi="Cambria"/>
                <w:b/>
                <w:bCs/>
                <w:color w:val="FFFFFF" w:themeColor="background1"/>
                <w:sz w:val="20"/>
                <w:szCs w:val="20"/>
                <w:lang w:val="es-AR"/>
              </w:rPr>
            </w:pPr>
            <w:r w:rsidRPr="00857251">
              <w:rPr>
                <w:rFonts w:ascii="Cambria" w:hAnsi="Cambria"/>
                <w:b/>
                <w:bCs/>
                <w:color w:val="FFFFFF" w:themeColor="background1"/>
                <w:sz w:val="20"/>
                <w:szCs w:val="20"/>
                <w:lang w:val="es-AR"/>
              </w:rPr>
              <w:t>Duplicación de procedimientos y cosa juzgada internacional:</w:t>
            </w:r>
          </w:p>
        </w:tc>
        <w:tc>
          <w:tcPr>
            <w:tcW w:w="5670" w:type="dxa"/>
            <w:vAlign w:val="center"/>
          </w:tcPr>
          <w:p w:rsidR="00F621C3" w:rsidRPr="00857251" w:rsidRDefault="007C5E47" w:rsidP="009163FC">
            <w:pPr>
              <w:jc w:val="both"/>
              <w:rPr>
                <w:rFonts w:ascii="Cambria" w:hAnsi="Cambria"/>
                <w:bCs/>
                <w:sz w:val="20"/>
                <w:szCs w:val="20"/>
                <w:lang w:val="es-AR"/>
              </w:rPr>
            </w:pPr>
            <w:r w:rsidRPr="00857251">
              <w:rPr>
                <w:rFonts w:ascii="Cambria" w:hAnsi="Cambria"/>
                <w:sz w:val="20"/>
                <w:szCs w:val="20"/>
                <w:lang w:val="es-AR"/>
              </w:rPr>
              <w:t>No</w:t>
            </w:r>
          </w:p>
        </w:tc>
      </w:tr>
      <w:tr w:rsidR="00F621C3" w:rsidRPr="00352575" w:rsidTr="009B3A73">
        <w:trPr>
          <w:cantSplit/>
        </w:trPr>
        <w:tc>
          <w:tcPr>
            <w:tcW w:w="3690" w:type="dxa"/>
            <w:tcBorders>
              <w:top w:val="single" w:sz="6" w:space="0" w:color="auto"/>
              <w:bottom w:val="single" w:sz="6" w:space="0" w:color="auto"/>
            </w:tcBorders>
            <w:shd w:val="clear" w:color="auto" w:fill="4A7194"/>
            <w:vAlign w:val="center"/>
          </w:tcPr>
          <w:p w:rsidR="00F621C3" w:rsidRPr="00857251" w:rsidRDefault="00F621C3" w:rsidP="009163FC">
            <w:pPr>
              <w:jc w:val="center"/>
              <w:rPr>
                <w:rFonts w:ascii="Cambria" w:hAnsi="Cambria"/>
                <w:b/>
                <w:bCs/>
                <w:i/>
                <w:color w:val="FFFFFF" w:themeColor="background1"/>
                <w:sz w:val="20"/>
                <w:szCs w:val="20"/>
                <w:lang w:val="es-AR"/>
              </w:rPr>
            </w:pPr>
            <w:r w:rsidRPr="00857251">
              <w:rPr>
                <w:rFonts w:ascii="Cambria" w:hAnsi="Cambria"/>
                <w:b/>
                <w:bCs/>
                <w:color w:val="FFFFFF" w:themeColor="background1"/>
                <w:sz w:val="20"/>
                <w:szCs w:val="20"/>
                <w:lang w:val="es-AR"/>
              </w:rPr>
              <w:t>Derechos declarados admisibles:</w:t>
            </w:r>
          </w:p>
        </w:tc>
        <w:tc>
          <w:tcPr>
            <w:tcW w:w="5670" w:type="dxa"/>
            <w:vAlign w:val="center"/>
          </w:tcPr>
          <w:p w:rsidR="00F621C3" w:rsidRPr="00857251" w:rsidRDefault="007C5E47" w:rsidP="009163FC">
            <w:pPr>
              <w:jc w:val="both"/>
              <w:rPr>
                <w:rFonts w:ascii="Cambria" w:hAnsi="Cambria"/>
                <w:bCs/>
                <w:sz w:val="20"/>
                <w:szCs w:val="20"/>
                <w:lang w:val="es-AR"/>
              </w:rPr>
            </w:pPr>
            <w:r w:rsidRPr="00857251">
              <w:rPr>
                <w:rFonts w:ascii="Cambria" w:hAnsi="Cambria"/>
                <w:sz w:val="20"/>
                <w:szCs w:val="20"/>
                <w:lang w:val="es-AR"/>
              </w:rPr>
              <w:t>Ninguno, en los términos de la sección VI</w:t>
            </w:r>
          </w:p>
        </w:tc>
      </w:tr>
      <w:tr w:rsidR="00F621C3" w:rsidRPr="00352575" w:rsidTr="009B3A73">
        <w:trPr>
          <w:cantSplit/>
        </w:trPr>
        <w:tc>
          <w:tcPr>
            <w:tcW w:w="3690" w:type="dxa"/>
            <w:tcBorders>
              <w:top w:val="single" w:sz="6" w:space="0" w:color="auto"/>
              <w:bottom w:val="single" w:sz="6" w:space="0" w:color="auto"/>
            </w:tcBorders>
            <w:shd w:val="clear" w:color="auto" w:fill="4A7194"/>
            <w:vAlign w:val="center"/>
          </w:tcPr>
          <w:p w:rsidR="00F621C3" w:rsidRPr="00857251" w:rsidRDefault="00F621C3" w:rsidP="009163FC">
            <w:pPr>
              <w:jc w:val="center"/>
              <w:rPr>
                <w:rFonts w:ascii="Cambria" w:hAnsi="Cambria"/>
                <w:b/>
                <w:bCs/>
                <w:color w:val="FFFFFF" w:themeColor="background1"/>
                <w:sz w:val="20"/>
                <w:szCs w:val="20"/>
                <w:lang w:val="es-AR"/>
              </w:rPr>
            </w:pPr>
            <w:r w:rsidRPr="00857251">
              <w:rPr>
                <w:rFonts w:ascii="Cambria" w:hAnsi="Cambria"/>
                <w:b/>
                <w:bCs/>
                <w:color w:val="FFFFFF" w:themeColor="background1"/>
                <w:sz w:val="20"/>
                <w:szCs w:val="20"/>
                <w:lang w:val="es-AR"/>
              </w:rPr>
              <w:t>Agotamiento de los recursos internos o procedencia de una excepción:</w:t>
            </w:r>
          </w:p>
        </w:tc>
        <w:tc>
          <w:tcPr>
            <w:tcW w:w="5670" w:type="dxa"/>
            <w:vAlign w:val="center"/>
          </w:tcPr>
          <w:p w:rsidR="00F621C3" w:rsidRPr="00857251" w:rsidRDefault="00F621C3" w:rsidP="009163FC">
            <w:pPr>
              <w:rPr>
                <w:rFonts w:ascii="Cambria" w:hAnsi="Cambria"/>
                <w:bCs/>
                <w:sz w:val="20"/>
                <w:szCs w:val="20"/>
                <w:lang w:val="es-AR"/>
              </w:rPr>
            </w:pPr>
          </w:p>
          <w:p w:rsidR="00F621C3" w:rsidRPr="00857251" w:rsidRDefault="007C5E47" w:rsidP="009163FC">
            <w:pPr>
              <w:rPr>
                <w:rFonts w:ascii="Cambria" w:hAnsi="Cambria"/>
                <w:bCs/>
                <w:sz w:val="20"/>
                <w:szCs w:val="20"/>
                <w:lang w:val="es-AR"/>
              </w:rPr>
            </w:pPr>
            <w:r w:rsidRPr="00857251">
              <w:rPr>
                <w:rFonts w:ascii="Cambria" w:hAnsi="Cambria"/>
                <w:sz w:val="20"/>
                <w:szCs w:val="20"/>
                <w:lang w:val="es-AR"/>
              </w:rPr>
              <w:t>No, conforme a los términos de la sección VI</w:t>
            </w:r>
          </w:p>
        </w:tc>
      </w:tr>
      <w:tr w:rsidR="00F621C3" w:rsidRPr="00352575" w:rsidTr="009B3A73">
        <w:trPr>
          <w:cantSplit/>
        </w:trPr>
        <w:tc>
          <w:tcPr>
            <w:tcW w:w="3690" w:type="dxa"/>
            <w:tcBorders>
              <w:top w:val="single" w:sz="6" w:space="0" w:color="auto"/>
              <w:bottom w:val="single" w:sz="6" w:space="0" w:color="auto"/>
            </w:tcBorders>
            <w:shd w:val="clear" w:color="auto" w:fill="4A7194"/>
            <w:vAlign w:val="center"/>
          </w:tcPr>
          <w:p w:rsidR="00F621C3" w:rsidRPr="00857251" w:rsidRDefault="00F621C3" w:rsidP="009163FC">
            <w:pPr>
              <w:jc w:val="center"/>
              <w:rPr>
                <w:rFonts w:ascii="Cambria" w:hAnsi="Cambria"/>
                <w:b/>
                <w:bCs/>
                <w:color w:val="FFFFFF" w:themeColor="background1"/>
                <w:sz w:val="20"/>
                <w:szCs w:val="20"/>
                <w:lang w:val="es-AR"/>
              </w:rPr>
            </w:pPr>
            <w:r w:rsidRPr="00857251">
              <w:rPr>
                <w:rFonts w:ascii="Cambria" w:hAnsi="Cambria"/>
                <w:b/>
                <w:bCs/>
                <w:color w:val="FFFFFF" w:themeColor="background1"/>
                <w:sz w:val="20"/>
                <w:szCs w:val="20"/>
                <w:lang w:val="es-AR"/>
              </w:rPr>
              <w:t>Presentación dentro del plazo:</w:t>
            </w:r>
          </w:p>
        </w:tc>
        <w:tc>
          <w:tcPr>
            <w:tcW w:w="5670" w:type="dxa"/>
            <w:vAlign w:val="center"/>
          </w:tcPr>
          <w:p w:rsidR="00F621C3" w:rsidRPr="00857251" w:rsidRDefault="007C5E47" w:rsidP="009163FC">
            <w:pPr>
              <w:rPr>
                <w:rFonts w:asciiTheme="majorHAnsi" w:hAnsiTheme="majorHAnsi"/>
                <w:bCs/>
                <w:sz w:val="20"/>
                <w:szCs w:val="20"/>
                <w:lang w:val="es-AR"/>
              </w:rPr>
            </w:pPr>
            <w:r w:rsidRPr="00857251">
              <w:rPr>
                <w:rFonts w:asciiTheme="majorHAnsi" w:hAnsiTheme="majorHAnsi"/>
                <w:sz w:val="20"/>
                <w:szCs w:val="20"/>
                <w:lang w:val="es-AR"/>
              </w:rPr>
              <w:t>No aplica conforme a los términos de la sección VI</w:t>
            </w:r>
          </w:p>
        </w:tc>
      </w:tr>
    </w:tbl>
    <w:p w:rsidR="00210F4B" w:rsidRPr="00857251" w:rsidRDefault="00210F4B" w:rsidP="00F621C3">
      <w:pPr>
        <w:spacing w:before="240" w:after="240"/>
        <w:ind w:firstLine="720"/>
        <w:jc w:val="both"/>
        <w:rPr>
          <w:rFonts w:asciiTheme="majorHAnsi" w:hAnsiTheme="majorHAnsi"/>
          <w:b/>
          <w:sz w:val="20"/>
          <w:szCs w:val="20"/>
          <w:lang w:val="es-AR"/>
        </w:rPr>
      </w:pPr>
    </w:p>
    <w:p w:rsidR="00B06BB7" w:rsidRPr="00857251" w:rsidRDefault="00B06BB7">
      <w:pPr>
        <w:rPr>
          <w:rFonts w:asciiTheme="majorHAnsi" w:hAnsiTheme="majorHAnsi"/>
          <w:b/>
          <w:sz w:val="20"/>
          <w:szCs w:val="20"/>
          <w:lang w:val="es-AR"/>
        </w:rPr>
      </w:pPr>
      <w:r w:rsidRPr="00857251">
        <w:rPr>
          <w:rFonts w:asciiTheme="majorHAnsi" w:hAnsiTheme="majorHAnsi"/>
          <w:b/>
          <w:bCs/>
          <w:sz w:val="20"/>
          <w:szCs w:val="20"/>
          <w:lang w:val="es-AR"/>
        </w:rPr>
        <w:br w:type="page"/>
      </w:r>
    </w:p>
    <w:p w:rsidR="00F621C3" w:rsidRPr="00857251" w:rsidRDefault="00F621C3" w:rsidP="00F621C3">
      <w:pPr>
        <w:spacing w:before="240" w:after="240"/>
        <w:ind w:firstLine="720"/>
        <w:jc w:val="both"/>
        <w:rPr>
          <w:rFonts w:asciiTheme="majorHAnsi" w:hAnsiTheme="majorHAnsi"/>
          <w:b/>
          <w:sz w:val="20"/>
          <w:szCs w:val="20"/>
          <w:lang w:val="es-AR"/>
        </w:rPr>
      </w:pPr>
      <w:r w:rsidRPr="00857251">
        <w:rPr>
          <w:rFonts w:asciiTheme="majorHAnsi" w:hAnsiTheme="majorHAnsi"/>
          <w:b/>
          <w:bCs/>
          <w:sz w:val="20"/>
          <w:szCs w:val="20"/>
          <w:lang w:val="es-AR"/>
        </w:rPr>
        <w:lastRenderedPageBreak/>
        <w:t>V.</w:t>
      </w:r>
      <w:r w:rsidRPr="00857251">
        <w:rPr>
          <w:rFonts w:asciiTheme="majorHAnsi" w:hAnsiTheme="majorHAnsi"/>
          <w:b/>
          <w:bCs/>
          <w:sz w:val="20"/>
          <w:szCs w:val="20"/>
          <w:lang w:val="es-AR"/>
        </w:rPr>
        <w:tab/>
        <w:t xml:space="preserve">HECHOS ALEGADOS </w:t>
      </w:r>
    </w:p>
    <w:p w:rsidR="004F01AC" w:rsidRPr="00AF4F06" w:rsidRDefault="004F01AC" w:rsidP="00A81DF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AF4F06">
        <w:rPr>
          <w:rFonts w:ascii="Cambria" w:hAnsi="Cambria"/>
          <w:sz w:val="20"/>
          <w:szCs w:val="20"/>
          <w:lang w:val="es-AR"/>
        </w:rPr>
        <w:t xml:space="preserve">La petición trata el reconocimiento de la personalidad jurídica y la apatridia.  </w:t>
      </w:r>
    </w:p>
    <w:p w:rsidR="00F621C3" w:rsidRPr="00857251" w:rsidRDefault="00A81DF8" w:rsidP="00A81DF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57251">
        <w:rPr>
          <w:rFonts w:ascii="Cambria" w:hAnsi="Cambria"/>
          <w:sz w:val="20"/>
          <w:szCs w:val="20"/>
          <w:lang w:val="es-AR"/>
        </w:rPr>
        <w:t xml:space="preserve">Alexandr Grouchetskii Bechevez (en adelante, "el peticionario") hace esta petición en nombre de su hija, Alexandra Grouchetskii Lysenko ("la presunta </w:t>
      </w:r>
      <w:r w:rsidR="00857251" w:rsidRPr="00857251">
        <w:rPr>
          <w:rFonts w:ascii="Cambria" w:hAnsi="Cambria"/>
          <w:sz w:val="20"/>
          <w:szCs w:val="20"/>
          <w:lang w:val="es-AR"/>
        </w:rPr>
        <w:t>víctima</w:t>
      </w:r>
      <w:r w:rsidRPr="00857251">
        <w:rPr>
          <w:rFonts w:ascii="Cambria" w:hAnsi="Cambria"/>
          <w:sz w:val="20"/>
          <w:szCs w:val="20"/>
          <w:lang w:val="es-AR"/>
        </w:rPr>
        <w:t>").  Según el peticionario, la presunta víctima es apátrida y el Estado de Argentina (donde reside actualmente) le ha n</w:t>
      </w:r>
      <w:r w:rsidR="00857251">
        <w:rPr>
          <w:rFonts w:ascii="Cambria" w:hAnsi="Cambria"/>
          <w:sz w:val="20"/>
          <w:szCs w:val="20"/>
          <w:lang w:val="es-AR"/>
        </w:rPr>
        <w:t>egado ciertos derechos (que incluyen</w:t>
      </w:r>
      <w:r w:rsidRPr="00857251">
        <w:rPr>
          <w:rFonts w:ascii="Cambria" w:hAnsi="Cambria"/>
          <w:sz w:val="20"/>
          <w:szCs w:val="20"/>
          <w:lang w:val="es-AR"/>
        </w:rPr>
        <w:t xml:space="preserve"> el reconocimiento de la personalidad jurídica).  </w:t>
      </w:r>
    </w:p>
    <w:p w:rsidR="00A81DF8" w:rsidRPr="00857251" w:rsidRDefault="00A81DF8" w:rsidP="00A81DF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57251">
        <w:rPr>
          <w:rFonts w:ascii="Cambria" w:hAnsi="Cambria"/>
          <w:sz w:val="20"/>
          <w:szCs w:val="20"/>
          <w:lang w:val="es-AR"/>
        </w:rPr>
        <w:t xml:space="preserve">Como antecedentes, el peticionario indica que (a) la presunta víctima nació en </w:t>
      </w:r>
      <w:r w:rsidR="00857251" w:rsidRPr="00857251">
        <w:rPr>
          <w:rFonts w:ascii="Cambria" w:hAnsi="Cambria"/>
          <w:sz w:val="20"/>
          <w:szCs w:val="20"/>
          <w:lang w:val="es-AR"/>
        </w:rPr>
        <w:t>Ucrania</w:t>
      </w:r>
      <w:r w:rsidRPr="00857251">
        <w:rPr>
          <w:rFonts w:ascii="Cambria" w:hAnsi="Cambria"/>
          <w:sz w:val="20"/>
          <w:szCs w:val="20"/>
          <w:lang w:val="es-AR"/>
        </w:rPr>
        <w:t xml:space="preserve"> en 1981, cuando todavía formaba parte de la Unión de Repúblicas Soviéticas Socialistas (URSS); por lo tanto, ella era </w:t>
      </w:r>
      <w:r w:rsidR="00857251" w:rsidRPr="00857251">
        <w:rPr>
          <w:rFonts w:ascii="Cambria" w:hAnsi="Cambria"/>
          <w:sz w:val="20"/>
          <w:szCs w:val="20"/>
          <w:lang w:val="es-AR"/>
        </w:rPr>
        <w:t>originalmente</w:t>
      </w:r>
      <w:r w:rsidRPr="00857251">
        <w:rPr>
          <w:rFonts w:ascii="Cambria" w:hAnsi="Cambria"/>
          <w:sz w:val="20"/>
          <w:szCs w:val="20"/>
          <w:lang w:val="es-AR"/>
        </w:rPr>
        <w:t xml:space="preserve"> ciudadana de la URSS; en 1987, al peticionario y a su familia (</w:t>
      </w:r>
      <w:r w:rsidR="006039E4">
        <w:rPr>
          <w:rFonts w:ascii="Cambria" w:hAnsi="Cambria"/>
          <w:sz w:val="20"/>
          <w:szCs w:val="20"/>
          <w:lang w:val="es-AR"/>
        </w:rPr>
        <w:t>incluida</w:t>
      </w:r>
      <w:r w:rsidRPr="00857251">
        <w:rPr>
          <w:rFonts w:ascii="Cambria" w:hAnsi="Cambria"/>
          <w:sz w:val="20"/>
          <w:szCs w:val="20"/>
          <w:lang w:val="es-AR"/>
        </w:rPr>
        <w:t xml:space="preserve"> la presunta víctima) se les reconoció la condición de refugiados en Perú y se asentaron allí durante 10 años; (c) durante este período, el peticionario y su esposa obtuvieron la ciudadanía peruana y renunciaron a su ciudadanía de la URSS; sin embargo, a la presunta víctima no se le o</w:t>
      </w:r>
      <w:r w:rsidR="00197A8D">
        <w:rPr>
          <w:rFonts w:ascii="Cambria" w:hAnsi="Cambria"/>
          <w:sz w:val="20"/>
          <w:szCs w:val="20"/>
          <w:lang w:val="es-AR"/>
        </w:rPr>
        <w:t>torgó ciudadanía peruana porque era</w:t>
      </w:r>
      <w:r w:rsidRPr="00857251">
        <w:rPr>
          <w:rFonts w:ascii="Cambria" w:hAnsi="Cambria"/>
          <w:sz w:val="20"/>
          <w:szCs w:val="20"/>
          <w:lang w:val="es-AR"/>
        </w:rPr>
        <w:t xml:space="preserve"> menor de edad; (d) durante este período, la esposa del peticionario dio a luz a otra hija, que obtuvo la ciudadanía peruana de manera inmediata; (e) ciertas acciones del gobierno peruano hicieron que el peticionario temiera ser perseguido; (f) debido al temor de ser perseguido, el peticionario y su familia abandonaron Perú en 1997 y solicitaron el reconocimiento de su condición de refugiados</w:t>
      </w:r>
      <w:r w:rsidRPr="00857251">
        <w:rPr>
          <w:rFonts w:ascii="Cambria" w:hAnsi="Cambria"/>
          <w:b/>
          <w:bCs/>
          <w:sz w:val="20"/>
          <w:szCs w:val="20"/>
          <w:lang w:val="es-AR"/>
        </w:rPr>
        <w:t xml:space="preserve"> </w:t>
      </w:r>
      <w:r w:rsidRPr="00857251">
        <w:rPr>
          <w:rFonts w:ascii="Cambria" w:hAnsi="Cambria"/>
          <w:sz w:val="20"/>
          <w:szCs w:val="20"/>
          <w:lang w:val="es-AR"/>
        </w:rPr>
        <w:t>e</w:t>
      </w:r>
      <w:r w:rsidR="006039E4">
        <w:rPr>
          <w:rFonts w:ascii="Cambria" w:hAnsi="Cambria"/>
          <w:sz w:val="20"/>
          <w:szCs w:val="20"/>
          <w:lang w:val="es-AR"/>
        </w:rPr>
        <w:t xml:space="preserve">n Chile y luego en Argentina. </w:t>
      </w:r>
      <w:r w:rsidRPr="00857251">
        <w:rPr>
          <w:rFonts w:ascii="Cambria" w:hAnsi="Cambria"/>
          <w:sz w:val="20"/>
          <w:szCs w:val="20"/>
          <w:lang w:val="es-AR"/>
        </w:rPr>
        <w:t xml:space="preserve">El peticionario afirma que la Oficina del Alto Comisionado de Las Naciones Unidas para los Refugiados le otorgó documentos de viaje a la presunta víctima. Esto le permitió salir de Perú y viajar a Chile y Argentina. Sin embargo, los documentos solo eran válidos por un año y vencieron en 1998.  </w:t>
      </w:r>
    </w:p>
    <w:p w:rsidR="00A81DF8" w:rsidRPr="00857251" w:rsidRDefault="00A81DF8" w:rsidP="00A81DF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57251">
        <w:rPr>
          <w:rFonts w:ascii="Cambria" w:hAnsi="Cambria"/>
          <w:sz w:val="20"/>
          <w:szCs w:val="20"/>
          <w:lang w:val="es-AR"/>
        </w:rPr>
        <w:t>Según el peticionario, el Estado de Argentina rechazó su solicitud de estatuto de refugiado (</w:t>
      </w:r>
      <w:r w:rsidR="006039E4" w:rsidRPr="00197A8D">
        <w:rPr>
          <w:rFonts w:ascii="Cambria" w:hAnsi="Cambria"/>
          <w:bCs/>
          <w:sz w:val="20"/>
          <w:szCs w:val="20"/>
          <w:lang w:val="es-AR"/>
        </w:rPr>
        <w:t>a</w:t>
      </w:r>
      <w:r w:rsidR="006039E4">
        <w:rPr>
          <w:rFonts w:ascii="Cambria" w:hAnsi="Cambria"/>
          <w:b/>
          <w:bCs/>
          <w:sz w:val="20"/>
          <w:szCs w:val="20"/>
          <w:lang w:val="es-AR"/>
        </w:rPr>
        <w:t xml:space="preserve"> </w:t>
      </w:r>
      <w:r w:rsidR="006039E4" w:rsidRPr="006039E4">
        <w:rPr>
          <w:rFonts w:ascii="Cambria" w:hAnsi="Cambria"/>
          <w:bCs/>
          <w:sz w:val="20"/>
          <w:szCs w:val="20"/>
          <w:lang w:val="es-AR"/>
        </w:rPr>
        <w:t>su nombre y en representación de su familia</w:t>
      </w:r>
      <w:r w:rsidRPr="00857251">
        <w:rPr>
          <w:rFonts w:ascii="Cambria" w:hAnsi="Cambria"/>
          <w:sz w:val="20"/>
          <w:szCs w:val="20"/>
          <w:lang w:val="es-AR"/>
        </w:rPr>
        <w:t>) en 1998</w:t>
      </w:r>
      <w:r w:rsidRPr="00857251">
        <w:rPr>
          <w:rStyle w:val="FootnoteReference"/>
          <w:rFonts w:ascii="Cambria" w:hAnsi="Cambria"/>
          <w:sz w:val="20"/>
          <w:szCs w:val="20"/>
          <w:lang w:val="es-AR"/>
        </w:rPr>
        <w:footnoteReference w:id="3"/>
      </w:r>
      <w:r w:rsidRPr="00857251">
        <w:rPr>
          <w:rFonts w:ascii="Cambria" w:hAnsi="Cambria"/>
          <w:sz w:val="20"/>
          <w:szCs w:val="20"/>
          <w:lang w:val="es-AR"/>
        </w:rPr>
        <w:t xml:space="preserve">; y el ministro del interior desestimó la apelación </w:t>
      </w:r>
      <w:r w:rsidR="00857251" w:rsidRPr="00857251">
        <w:rPr>
          <w:rFonts w:ascii="Cambria" w:hAnsi="Cambria"/>
          <w:sz w:val="20"/>
          <w:szCs w:val="20"/>
          <w:lang w:val="es-AR"/>
        </w:rPr>
        <w:t>subsiguiente</w:t>
      </w:r>
      <w:r w:rsidRPr="00857251">
        <w:rPr>
          <w:rStyle w:val="FootnoteReference"/>
          <w:rFonts w:ascii="Cambria" w:hAnsi="Cambria"/>
          <w:sz w:val="20"/>
          <w:szCs w:val="20"/>
          <w:lang w:val="es-AR"/>
        </w:rPr>
        <w:footnoteReference w:id="4"/>
      </w:r>
      <w:r w:rsidRPr="00857251">
        <w:rPr>
          <w:rFonts w:ascii="Cambria" w:hAnsi="Cambria"/>
          <w:sz w:val="20"/>
          <w:szCs w:val="20"/>
          <w:lang w:val="es-AR"/>
        </w:rPr>
        <w:t xml:space="preserve"> en el año 2000.  Según consta en el expediente, el rechazo al reconocimiento de la condición de refugiado solo hacía referencia al peticionario e involuntariamente omitió al resto de su familia, </w:t>
      </w:r>
      <w:r w:rsidR="00857251" w:rsidRPr="006039E4">
        <w:rPr>
          <w:rFonts w:ascii="Cambria" w:hAnsi="Cambria"/>
          <w:bCs/>
          <w:sz w:val="20"/>
          <w:szCs w:val="20"/>
          <w:lang w:val="es-AR"/>
        </w:rPr>
        <w:t>incluida</w:t>
      </w:r>
      <w:r w:rsidRPr="006039E4">
        <w:rPr>
          <w:rFonts w:ascii="Cambria" w:hAnsi="Cambria"/>
          <w:bCs/>
          <w:sz w:val="20"/>
          <w:szCs w:val="20"/>
          <w:lang w:val="es-AR"/>
        </w:rPr>
        <w:t xml:space="preserve"> la presunta víctima.</w:t>
      </w:r>
      <w:r w:rsidRPr="00857251">
        <w:rPr>
          <w:rFonts w:ascii="Cambria" w:hAnsi="Cambria"/>
          <w:sz w:val="20"/>
          <w:szCs w:val="20"/>
          <w:lang w:val="es-AR"/>
        </w:rPr>
        <w:t xml:space="preserve"> El peticionario indica </w:t>
      </w:r>
      <w:r w:rsidR="00857251" w:rsidRPr="00857251">
        <w:rPr>
          <w:rFonts w:ascii="Cambria" w:hAnsi="Cambria"/>
          <w:sz w:val="20"/>
          <w:szCs w:val="20"/>
          <w:lang w:val="es-AR"/>
        </w:rPr>
        <w:t>que,</w:t>
      </w:r>
      <w:r w:rsidRPr="00857251">
        <w:rPr>
          <w:rFonts w:ascii="Cambria" w:hAnsi="Cambria"/>
          <w:sz w:val="20"/>
          <w:szCs w:val="20"/>
          <w:lang w:val="es-AR"/>
        </w:rPr>
        <w:t xml:space="preserve"> en 1998, él y su familia (con la excepción de la presunta </w:t>
      </w:r>
      <w:r w:rsidR="00857251" w:rsidRPr="00857251">
        <w:rPr>
          <w:rFonts w:ascii="Cambria" w:hAnsi="Cambria"/>
          <w:sz w:val="20"/>
          <w:szCs w:val="20"/>
          <w:lang w:val="es-AR"/>
        </w:rPr>
        <w:t>víctima</w:t>
      </w:r>
      <w:r w:rsidRPr="00857251">
        <w:rPr>
          <w:rFonts w:ascii="Cambria" w:hAnsi="Cambria"/>
          <w:sz w:val="20"/>
          <w:szCs w:val="20"/>
          <w:lang w:val="es-AR"/>
        </w:rPr>
        <w:t>) se trasladaron a Uruguay, en donde se les reconoció su condición de refugiados en 1999.   El peticionario indica que la presunta víctima no pudo reunirse con su familia en Uruguay porque no contaba con documentos de viaje válidos.</w:t>
      </w:r>
    </w:p>
    <w:p w:rsidR="00A81DF8" w:rsidRPr="00857251" w:rsidRDefault="00A81DF8" w:rsidP="00A81DF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57251">
        <w:rPr>
          <w:rFonts w:ascii="Cambria" w:hAnsi="Cambria"/>
          <w:sz w:val="20"/>
          <w:szCs w:val="20"/>
          <w:lang w:val="es-AR"/>
        </w:rPr>
        <w:t xml:space="preserve">El peticionario indica </w:t>
      </w:r>
      <w:r w:rsidR="00857251" w:rsidRPr="00857251">
        <w:rPr>
          <w:rFonts w:ascii="Cambria" w:hAnsi="Cambria"/>
          <w:sz w:val="20"/>
          <w:szCs w:val="20"/>
          <w:lang w:val="es-AR"/>
        </w:rPr>
        <w:t>que,</w:t>
      </w:r>
      <w:r w:rsidRPr="00857251">
        <w:rPr>
          <w:rFonts w:ascii="Cambria" w:hAnsi="Cambria"/>
          <w:sz w:val="20"/>
          <w:szCs w:val="20"/>
          <w:lang w:val="es-AR"/>
        </w:rPr>
        <w:t xml:space="preserve"> tras su llegada a Argentina, el Estado le otorgó un Certificado de Residencia Precaria de Petición de Refugio a la presunta víctima. Este certificado simplemente le permitía residir en Argentina de </w:t>
      </w:r>
      <w:r w:rsidR="00857251" w:rsidRPr="00857251">
        <w:rPr>
          <w:rFonts w:ascii="Cambria" w:hAnsi="Cambria"/>
          <w:sz w:val="20"/>
          <w:szCs w:val="20"/>
          <w:lang w:val="es-AR"/>
        </w:rPr>
        <w:t>manera</w:t>
      </w:r>
      <w:r w:rsidRPr="00857251">
        <w:rPr>
          <w:rFonts w:ascii="Cambria" w:hAnsi="Cambria"/>
          <w:sz w:val="20"/>
          <w:szCs w:val="20"/>
          <w:lang w:val="es-AR"/>
        </w:rPr>
        <w:t xml:space="preserve"> provisional.  Según el peticionario, este documento reconocía a la presunta víctima como apátrida, pero no le permitía trabajar, ir a la escuela ni viajar, a menos que también contara con un Documento Nacional de Identidad emitido por el Estado.  El peticionario también indica que la presunta víctima debía renovar el certificado cada 30 días.</w:t>
      </w:r>
    </w:p>
    <w:p w:rsidR="00A81DF8" w:rsidRPr="00857251" w:rsidRDefault="00A81DF8" w:rsidP="00A81DF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57251">
        <w:rPr>
          <w:rFonts w:ascii="Cambria" w:hAnsi="Cambria"/>
          <w:sz w:val="20"/>
          <w:szCs w:val="20"/>
          <w:lang w:val="es-AR"/>
        </w:rPr>
        <w:t>Según el peticionario, entre los años 2000 y 2010, la presunta víctima se dirigió a distintas entidades e instituciones estatales en vistas a regularizar su situación migratoria.  En el 2000, la presunta víctima presentó una solicitud ante el ministro del interior</w:t>
      </w:r>
      <w:r w:rsidRPr="00857251">
        <w:rPr>
          <w:rFonts w:ascii="Cambria" w:hAnsi="Cambria"/>
          <w:b/>
          <w:bCs/>
          <w:sz w:val="20"/>
          <w:szCs w:val="20"/>
          <w:lang w:val="es-AR"/>
        </w:rPr>
        <w:t xml:space="preserve"> </w:t>
      </w:r>
      <w:r w:rsidRPr="00857251">
        <w:rPr>
          <w:rFonts w:ascii="Cambria" w:hAnsi="Cambria"/>
          <w:sz w:val="20"/>
          <w:szCs w:val="20"/>
          <w:lang w:val="es-AR"/>
        </w:rPr>
        <w:t>para</w:t>
      </w:r>
      <w:r w:rsidRPr="00857251">
        <w:rPr>
          <w:rFonts w:ascii="Cambria" w:hAnsi="Cambria"/>
          <w:b/>
          <w:bCs/>
          <w:sz w:val="20"/>
          <w:szCs w:val="20"/>
          <w:lang w:val="es-AR"/>
        </w:rPr>
        <w:t xml:space="preserve"> </w:t>
      </w:r>
      <w:r w:rsidRPr="00857251">
        <w:rPr>
          <w:rFonts w:ascii="Cambria" w:hAnsi="Cambria"/>
          <w:sz w:val="20"/>
          <w:szCs w:val="20"/>
          <w:lang w:val="es-AR"/>
        </w:rPr>
        <w:t xml:space="preserve">(a) que se le reconociera su apatridia; (b) obtener la residencia permanente y un documento nacional de identidad.  A este respecto, el peticionario manifiesta que la solicitud estaba parcialmente basada en la Convención sobre el Estatuto de los Apátridas de 1954 (que Argentina ratificó en 1972). La convención demanda que los Estados Partes otorguen documentos de identificación a personas apátridas.  El peticionario indica que la </w:t>
      </w:r>
      <w:r w:rsidR="00857251" w:rsidRPr="00857251">
        <w:rPr>
          <w:rFonts w:ascii="Cambria" w:hAnsi="Cambria"/>
          <w:sz w:val="20"/>
          <w:szCs w:val="20"/>
          <w:lang w:val="es-AR"/>
        </w:rPr>
        <w:t>solicitud</w:t>
      </w:r>
      <w:r w:rsidRPr="00857251">
        <w:rPr>
          <w:rFonts w:ascii="Cambria" w:hAnsi="Cambria"/>
          <w:sz w:val="20"/>
          <w:szCs w:val="20"/>
          <w:lang w:val="es-AR"/>
        </w:rPr>
        <w:t xml:space="preserve"> de residencia permanente también estaba basada en la legislación nacional de Argentina</w:t>
      </w:r>
      <w:r w:rsidR="006039E4">
        <w:rPr>
          <w:rFonts w:ascii="Cambria" w:hAnsi="Cambria"/>
          <w:sz w:val="20"/>
          <w:szCs w:val="20"/>
          <w:lang w:val="es-AR"/>
        </w:rPr>
        <w:t>,</w:t>
      </w:r>
      <w:r w:rsidRPr="00857251">
        <w:rPr>
          <w:rFonts w:ascii="Cambria" w:hAnsi="Cambria"/>
          <w:sz w:val="20"/>
          <w:szCs w:val="20"/>
          <w:lang w:val="es-AR"/>
        </w:rPr>
        <w:t xml:space="preserve"> que estipula el otorgamiento de la residencia permanente a personas que han residido en Argenti</w:t>
      </w:r>
      <w:r w:rsidR="00A73580">
        <w:rPr>
          <w:rFonts w:ascii="Cambria" w:hAnsi="Cambria"/>
          <w:sz w:val="20"/>
          <w:szCs w:val="20"/>
          <w:lang w:val="es-AR"/>
        </w:rPr>
        <w:t xml:space="preserve">na durante al menos tres años.  </w:t>
      </w:r>
      <w:r w:rsidRPr="00857251">
        <w:rPr>
          <w:rFonts w:ascii="Cambria" w:hAnsi="Cambria"/>
          <w:sz w:val="20"/>
          <w:szCs w:val="20"/>
          <w:lang w:val="es-AR"/>
        </w:rPr>
        <w:t xml:space="preserve">El peticionario manifiesta que la presunta víctima no recibió respuesta alguna a su solicitud. También indica que experimentó la misma falta de </w:t>
      </w:r>
      <w:r w:rsidRPr="00857251">
        <w:rPr>
          <w:rFonts w:ascii="Cambria" w:hAnsi="Cambria"/>
          <w:sz w:val="20"/>
          <w:szCs w:val="20"/>
          <w:lang w:val="es-AR"/>
        </w:rPr>
        <w:lastRenderedPageBreak/>
        <w:t>respuesta cuando se dirigió por escrito a otras entidades y funcionarios como el Departamento de Derechos Humanos, el Ministerio de Relaciones Exteriores y distintos presidentes de Argentina.</w:t>
      </w:r>
      <w:r w:rsidRPr="00857251">
        <w:rPr>
          <w:rStyle w:val="FootnoteReference"/>
          <w:rFonts w:ascii="Cambria" w:hAnsi="Cambria"/>
          <w:sz w:val="20"/>
          <w:szCs w:val="20"/>
          <w:lang w:val="es-AR"/>
        </w:rPr>
        <w:footnoteReference w:id="5"/>
      </w:r>
      <w:r w:rsidRPr="00857251">
        <w:rPr>
          <w:rFonts w:ascii="Cambria" w:hAnsi="Cambria"/>
          <w:sz w:val="20"/>
          <w:szCs w:val="20"/>
          <w:lang w:val="es-AR"/>
        </w:rPr>
        <w:t xml:space="preserve">    </w:t>
      </w:r>
    </w:p>
    <w:p w:rsidR="00097CCB" w:rsidRPr="00857251" w:rsidRDefault="00097CCB" w:rsidP="00097CC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57251">
        <w:rPr>
          <w:rFonts w:ascii="Cambria" w:hAnsi="Cambria"/>
          <w:sz w:val="20"/>
          <w:szCs w:val="20"/>
          <w:lang w:val="es-AR"/>
        </w:rPr>
        <w:t>El peticionario indica que en el 2001 la presunta víctima presentó una solicitud ante Embajada de Ucrania en la República Argentina para obtener la certificación de su ciudadanía ucraniana.  Sin embargo, la embajada se negó a reconocer a la presunta víctima como una ciudadana ucraniana ya que (a) la presunta víctima era originariamente ciudadana de la URSS (de la que Ucrania formaba parte); y (b) la disolución de la URSS dio lugar al Estado independiente de Ucrania que carecía de un marco legal para conferirle el derecho de nacionalidad a la presunta víctima.</w:t>
      </w:r>
    </w:p>
    <w:p w:rsidR="00097CCB" w:rsidRPr="00857251" w:rsidRDefault="00097CCB" w:rsidP="00097CC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57251">
        <w:rPr>
          <w:rFonts w:ascii="Cambria" w:hAnsi="Cambria"/>
          <w:sz w:val="20"/>
          <w:szCs w:val="20"/>
          <w:lang w:val="es-AR"/>
        </w:rPr>
        <w:t>Según el peticionario, en junio del 2010, la Comisión Nacional para los Refugiados del Ministerio del Interior confirmó que la presunta</w:t>
      </w:r>
      <w:r w:rsidR="006039E4">
        <w:rPr>
          <w:rFonts w:ascii="Cambria" w:hAnsi="Cambria"/>
          <w:sz w:val="20"/>
          <w:szCs w:val="20"/>
          <w:lang w:val="es-AR"/>
        </w:rPr>
        <w:t xml:space="preserve"> víctima no era elegible para el reconocimiento de la</w:t>
      </w:r>
      <w:r w:rsidRPr="00857251">
        <w:rPr>
          <w:rFonts w:ascii="Cambria" w:hAnsi="Cambria"/>
          <w:sz w:val="20"/>
          <w:szCs w:val="20"/>
          <w:lang w:val="es-AR"/>
        </w:rPr>
        <w:t xml:space="preserve"> condición de refugiada, por lo tanto, la presunta víctima se vio obligada a </w:t>
      </w:r>
      <w:r w:rsidR="00A73580">
        <w:rPr>
          <w:rFonts w:ascii="Cambria" w:hAnsi="Cambria"/>
          <w:sz w:val="20"/>
          <w:szCs w:val="20"/>
          <w:lang w:val="es-AR"/>
        </w:rPr>
        <w:t>renunciar a</w:t>
      </w:r>
      <w:r w:rsidRPr="00857251">
        <w:rPr>
          <w:rFonts w:ascii="Cambria" w:hAnsi="Cambria"/>
          <w:sz w:val="20"/>
          <w:szCs w:val="20"/>
          <w:lang w:val="es-AR"/>
        </w:rPr>
        <w:t xml:space="preserve"> su Certificado de Residencia Precaria.   La Comisión Nacional para los Refugiados también le comunicó a la presunta víctima que el asunto de su residencia se transferiría a la Dirección Nacional de Migraciones para</w:t>
      </w:r>
      <w:r w:rsidR="006039E4">
        <w:rPr>
          <w:rFonts w:ascii="Cambria" w:hAnsi="Cambria"/>
          <w:sz w:val="20"/>
          <w:szCs w:val="20"/>
          <w:lang w:val="es-AR"/>
        </w:rPr>
        <w:t xml:space="preserve"> su posterior consideración. </w:t>
      </w:r>
      <w:r w:rsidRPr="00857251">
        <w:rPr>
          <w:rFonts w:ascii="Cambria" w:hAnsi="Cambria"/>
          <w:sz w:val="20"/>
          <w:szCs w:val="20"/>
          <w:lang w:val="es-AR"/>
        </w:rPr>
        <w:t xml:space="preserve">El peticionario sostiene que este desarrollo puso a la víctima en riesgo de ser detenida y, como consecuencia, presentó una </w:t>
      </w:r>
      <w:r w:rsidR="00857251" w:rsidRPr="00857251">
        <w:rPr>
          <w:rFonts w:ascii="Cambria" w:hAnsi="Cambria"/>
          <w:sz w:val="20"/>
          <w:szCs w:val="20"/>
          <w:lang w:val="es-AR"/>
        </w:rPr>
        <w:t>solicitud</w:t>
      </w:r>
      <w:r w:rsidRPr="00857251">
        <w:rPr>
          <w:rFonts w:ascii="Cambria" w:hAnsi="Cambria"/>
          <w:sz w:val="20"/>
          <w:szCs w:val="20"/>
          <w:lang w:val="es-AR"/>
        </w:rPr>
        <w:t xml:space="preserve"> de medidas cautelares ante la Comisión (para proteger la libertad e integridad física de la presunta víctima y para que se le otorgara un documento nacional de identidad).</w:t>
      </w:r>
      <w:r w:rsidRPr="00857251">
        <w:rPr>
          <w:rStyle w:val="FootnoteReference"/>
          <w:rFonts w:ascii="Cambria" w:hAnsi="Cambria"/>
          <w:sz w:val="20"/>
          <w:szCs w:val="20"/>
          <w:lang w:val="es-AR"/>
        </w:rPr>
        <w:footnoteReference w:id="6"/>
      </w:r>
    </w:p>
    <w:p w:rsidR="00097CCB" w:rsidRPr="00857251" w:rsidRDefault="00097CCB" w:rsidP="00097CC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57251">
        <w:rPr>
          <w:rFonts w:ascii="Cambria" w:hAnsi="Cambria"/>
          <w:sz w:val="20"/>
          <w:szCs w:val="20"/>
          <w:lang w:val="es-AR"/>
        </w:rPr>
        <w:t>El peticionario indica que el 11 de febrero de 2011, el Estado le otorgó a su hija un documento nacional de identidad que también reconocía la apatridia de la presunta víctima.  El peticionario también indica que se le otorgó residencia temporaria a la presunta víctima por el período de un año.  En conformidad con las obligaciones del Estado establecidas en la Convención sobre el Estatuto de los Apátridas, el peticionario sostiene que la presunta víctima tenía derecho a la emisión oportuna de un documento de identidad y al otorgamiento de residencia permanente.  A este respecto, el peticionario sostiene que el Estado sometió a la presunta víctima a una demora de más de 13 años que no solo violó la Convención sobre el Estatuto de los Apátridas, sino que también violó los derechos de la presunta víctima en conformidad con la Convención Americana, particularmente el reconocimiento de la personalidad jurídica</w:t>
      </w:r>
      <w:r w:rsidR="00A73580">
        <w:rPr>
          <w:rFonts w:ascii="Cambria" w:hAnsi="Cambria"/>
          <w:sz w:val="20"/>
          <w:szCs w:val="20"/>
          <w:lang w:val="es-AR"/>
        </w:rPr>
        <w:t xml:space="preserve">. </w:t>
      </w:r>
      <w:r w:rsidRPr="00857251">
        <w:rPr>
          <w:rFonts w:ascii="Cambria" w:hAnsi="Cambria"/>
          <w:sz w:val="20"/>
          <w:szCs w:val="20"/>
          <w:lang w:val="es-AR"/>
        </w:rPr>
        <w:t xml:space="preserve">Debido a la ausencia de un documento nacional de identidad para este período, el peticionario sostiene que a la presunta víctima se le negó el derecho a la educación, al trabajo, a salir del país, a contraer matrimonio y, en general, </w:t>
      </w:r>
      <w:r w:rsidR="00BB3326">
        <w:rPr>
          <w:rFonts w:ascii="Cambria" w:hAnsi="Cambria"/>
          <w:sz w:val="20"/>
          <w:szCs w:val="20"/>
          <w:lang w:val="es-AR"/>
        </w:rPr>
        <w:t xml:space="preserve">a </w:t>
      </w:r>
      <w:r w:rsidRPr="00857251">
        <w:rPr>
          <w:rFonts w:ascii="Cambria" w:hAnsi="Cambria"/>
          <w:sz w:val="20"/>
          <w:szCs w:val="20"/>
          <w:lang w:val="es-AR"/>
        </w:rPr>
        <w:t>disfrutar de su juventud.  Finalmente, el peticionario reconoce que la presunta víctima no interpuso recursos judiciales.</w:t>
      </w:r>
    </w:p>
    <w:p w:rsidR="00097CCB" w:rsidRPr="00857251" w:rsidRDefault="00097CCB" w:rsidP="00097CC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57251">
        <w:rPr>
          <w:rFonts w:ascii="Cambria" w:hAnsi="Cambria"/>
          <w:sz w:val="20"/>
          <w:szCs w:val="20"/>
          <w:lang w:val="es-AR"/>
        </w:rPr>
        <w:t xml:space="preserve">El Estado reconoce sus obligaciones en conformidad con la Convención sobre el Estatuto de los Apátridas y la Convención Americana.   Sin </w:t>
      </w:r>
      <w:r w:rsidR="00857251" w:rsidRPr="00857251">
        <w:rPr>
          <w:rFonts w:ascii="Cambria" w:hAnsi="Cambria"/>
          <w:sz w:val="20"/>
          <w:szCs w:val="20"/>
          <w:lang w:val="es-AR"/>
        </w:rPr>
        <w:t>embargo</w:t>
      </w:r>
      <w:r w:rsidRPr="00857251">
        <w:rPr>
          <w:rFonts w:ascii="Cambria" w:hAnsi="Cambria"/>
          <w:sz w:val="20"/>
          <w:szCs w:val="20"/>
          <w:lang w:val="es-AR"/>
        </w:rPr>
        <w:t xml:space="preserve">, el Estado afirma que (a) el Certificado de Residencia Precaria que se le otorgó a la presunta víctima no le impedía estudiar, trabajar o salir e ingresar al país; (b) el Estado cumplió con los requisitos para regularizar la situación migratoria de la presunta víctima tras la </w:t>
      </w:r>
      <w:r w:rsidRPr="00BB3326">
        <w:rPr>
          <w:rFonts w:ascii="Cambria" w:hAnsi="Cambria"/>
          <w:bCs/>
          <w:sz w:val="20"/>
          <w:szCs w:val="20"/>
          <w:lang w:val="es-AR"/>
        </w:rPr>
        <w:t>disposición definitiva</w:t>
      </w:r>
      <w:r w:rsidRPr="00857251">
        <w:rPr>
          <w:rFonts w:ascii="Cambria" w:hAnsi="Cambria"/>
          <w:sz w:val="20"/>
          <w:szCs w:val="20"/>
          <w:lang w:val="es-AR"/>
        </w:rPr>
        <w:t xml:space="preserve"> de la solicitud para el </w:t>
      </w:r>
      <w:r w:rsidR="00857251" w:rsidRPr="00857251">
        <w:rPr>
          <w:rFonts w:ascii="Cambria" w:hAnsi="Cambria"/>
          <w:sz w:val="20"/>
          <w:szCs w:val="20"/>
          <w:lang w:val="es-AR"/>
        </w:rPr>
        <w:t>reconocimiento</w:t>
      </w:r>
      <w:r w:rsidRPr="00857251">
        <w:rPr>
          <w:rFonts w:ascii="Cambria" w:hAnsi="Cambria"/>
          <w:sz w:val="20"/>
          <w:szCs w:val="20"/>
          <w:lang w:val="es-AR"/>
        </w:rPr>
        <w:t xml:space="preserve"> de su condición de refugiada en 2010; y (c) la presunta víctima no agotó los recursos judiciales disponibles.</w:t>
      </w:r>
    </w:p>
    <w:p w:rsidR="00097CCB" w:rsidRPr="00857251" w:rsidRDefault="00097CCB" w:rsidP="00D13F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57251">
        <w:rPr>
          <w:rFonts w:ascii="Cambria" w:hAnsi="Cambria"/>
          <w:sz w:val="20"/>
          <w:szCs w:val="20"/>
          <w:lang w:val="es-AR"/>
        </w:rPr>
        <w:t xml:space="preserve">Respecto a la solicitud para el reconocimiento de su condición de refugiada, el Estado indica que la desestimación inicial de la solicitud (que se llevó a cabo en el 2000) omitió por error el nombre de la presunta víctima. Esta omisión en parte llevó al Comité de Elegibilidad para Refugiados a revisar la solicitud en el 2002.  Según el Estado, el Comité de </w:t>
      </w:r>
      <w:r w:rsidR="00857251" w:rsidRPr="00857251">
        <w:rPr>
          <w:rFonts w:ascii="Cambria" w:hAnsi="Cambria"/>
          <w:sz w:val="20"/>
          <w:szCs w:val="20"/>
          <w:lang w:val="es-AR"/>
        </w:rPr>
        <w:t>Elegibilidad</w:t>
      </w:r>
      <w:r w:rsidRPr="00857251">
        <w:rPr>
          <w:rFonts w:ascii="Cambria" w:hAnsi="Cambria"/>
          <w:sz w:val="20"/>
          <w:szCs w:val="20"/>
          <w:lang w:val="es-AR"/>
        </w:rPr>
        <w:t xml:space="preserve"> para Refugiados fue persuadido</w:t>
      </w:r>
      <w:r w:rsidRPr="00857251">
        <w:rPr>
          <w:rFonts w:ascii="Cambria" w:hAnsi="Cambria"/>
          <w:b/>
          <w:bCs/>
          <w:sz w:val="20"/>
          <w:szCs w:val="20"/>
          <w:lang w:val="es-AR"/>
        </w:rPr>
        <w:t xml:space="preserve"> </w:t>
      </w:r>
      <w:r w:rsidRPr="00BB3326">
        <w:rPr>
          <w:rFonts w:ascii="Cambria" w:hAnsi="Cambria"/>
          <w:bCs/>
          <w:sz w:val="20"/>
          <w:szCs w:val="20"/>
          <w:lang w:val="es-AR"/>
        </w:rPr>
        <w:t>de que reconsiderara</w:t>
      </w:r>
      <w:r w:rsidRPr="00857251">
        <w:rPr>
          <w:rFonts w:ascii="Cambria" w:hAnsi="Cambria"/>
          <w:sz w:val="20"/>
          <w:szCs w:val="20"/>
          <w:lang w:val="es-AR"/>
        </w:rPr>
        <w:t xml:space="preserve"> la solicitud en base a información recibida que in</w:t>
      </w:r>
      <w:r w:rsidR="00BB3326">
        <w:rPr>
          <w:rFonts w:ascii="Cambria" w:hAnsi="Cambria"/>
          <w:sz w:val="20"/>
          <w:szCs w:val="20"/>
          <w:lang w:val="es-AR"/>
        </w:rPr>
        <w:t>dicaba que el peticionario actualmente</w:t>
      </w:r>
      <w:r w:rsidRPr="00857251">
        <w:rPr>
          <w:rFonts w:ascii="Cambria" w:hAnsi="Cambria"/>
          <w:sz w:val="20"/>
          <w:szCs w:val="20"/>
          <w:lang w:val="es-AR"/>
        </w:rPr>
        <w:t xml:space="preserve"> era un refugiado en Uruguay y </w:t>
      </w:r>
      <w:r w:rsidR="00BB3326">
        <w:rPr>
          <w:rFonts w:ascii="Cambria" w:hAnsi="Cambria"/>
          <w:sz w:val="20"/>
          <w:szCs w:val="20"/>
          <w:lang w:val="es-AR"/>
        </w:rPr>
        <w:t xml:space="preserve">estaba separado de su esposa. </w:t>
      </w:r>
      <w:r w:rsidRPr="00857251">
        <w:rPr>
          <w:rFonts w:ascii="Cambria" w:hAnsi="Cambria"/>
          <w:sz w:val="20"/>
          <w:szCs w:val="20"/>
          <w:lang w:val="es-AR"/>
        </w:rPr>
        <w:t xml:space="preserve">El Estado indica que el Comité de </w:t>
      </w:r>
      <w:r w:rsidR="00857251" w:rsidRPr="00857251">
        <w:rPr>
          <w:rFonts w:ascii="Cambria" w:hAnsi="Cambria"/>
          <w:sz w:val="20"/>
          <w:szCs w:val="20"/>
          <w:lang w:val="es-AR"/>
        </w:rPr>
        <w:t>Elegibilidad</w:t>
      </w:r>
      <w:r w:rsidRPr="00857251">
        <w:rPr>
          <w:rFonts w:ascii="Cambria" w:hAnsi="Cambria"/>
          <w:sz w:val="20"/>
          <w:szCs w:val="20"/>
          <w:lang w:val="es-AR"/>
        </w:rPr>
        <w:t xml:space="preserve"> para Refugiados entrevistó a la presunta víctima en dos oportunidades, en 2005 y 2009, en vistas a determinar si existían fundamentos para justificar el reconocimiento de su condición de refugiada </w:t>
      </w:r>
      <w:r w:rsidRPr="00197A8D">
        <w:rPr>
          <w:rFonts w:ascii="Cambria" w:hAnsi="Cambria"/>
          <w:bCs/>
          <w:sz w:val="20"/>
          <w:szCs w:val="20"/>
          <w:lang w:val="es-AR"/>
        </w:rPr>
        <w:t>por derecho propio</w:t>
      </w:r>
      <w:r w:rsidR="00197A8D">
        <w:rPr>
          <w:rFonts w:ascii="Cambria" w:hAnsi="Cambria"/>
          <w:bCs/>
          <w:sz w:val="20"/>
          <w:szCs w:val="20"/>
          <w:lang w:val="es-AR"/>
        </w:rPr>
        <w:t xml:space="preserve">. </w:t>
      </w:r>
      <w:r w:rsidRPr="00857251">
        <w:rPr>
          <w:rFonts w:ascii="Cambria" w:hAnsi="Cambria"/>
          <w:sz w:val="20"/>
          <w:szCs w:val="20"/>
          <w:lang w:val="es-AR"/>
        </w:rPr>
        <w:t xml:space="preserve">El peticionario afirma </w:t>
      </w:r>
      <w:r w:rsidR="00857251" w:rsidRPr="00857251">
        <w:rPr>
          <w:rFonts w:ascii="Cambria" w:hAnsi="Cambria"/>
          <w:sz w:val="20"/>
          <w:szCs w:val="20"/>
          <w:lang w:val="es-AR"/>
        </w:rPr>
        <w:t>que,</w:t>
      </w:r>
      <w:r w:rsidRPr="00857251">
        <w:rPr>
          <w:rFonts w:ascii="Cambria" w:hAnsi="Cambria"/>
          <w:sz w:val="20"/>
          <w:szCs w:val="20"/>
          <w:lang w:val="es-AR"/>
        </w:rPr>
        <w:t xml:space="preserve"> durante dichas entrevistas, la presunta víctima menci</w:t>
      </w:r>
      <w:r w:rsidR="00BB3326">
        <w:rPr>
          <w:rFonts w:ascii="Cambria" w:hAnsi="Cambria"/>
          <w:sz w:val="20"/>
          <w:szCs w:val="20"/>
          <w:lang w:val="es-AR"/>
        </w:rPr>
        <w:t xml:space="preserve">onó el asunto de su apatridia. </w:t>
      </w:r>
      <w:r w:rsidRPr="00857251">
        <w:rPr>
          <w:rFonts w:ascii="Cambria" w:hAnsi="Cambria"/>
          <w:sz w:val="20"/>
          <w:szCs w:val="20"/>
          <w:lang w:val="es-AR"/>
        </w:rPr>
        <w:t>Finalmente, en el año 2010, la Comisión Nacional para los Refugiados determinó que no existían fundamentos para conferirle la condición de refugiada y concluyó que no contaba con la facultad para abordar la situación de apatridia de la presunta víctima.  En consecuencia, el Estado sostiene que la presunta víctima fue obligada a renunciar a su</w:t>
      </w:r>
      <w:r w:rsidRPr="00857251">
        <w:rPr>
          <w:lang w:val="es-AR"/>
        </w:rPr>
        <w:t xml:space="preserve"> </w:t>
      </w:r>
      <w:r w:rsidRPr="00857251">
        <w:rPr>
          <w:rFonts w:ascii="Cambria" w:hAnsi="Cambria"/>
          <w:sz w:val="20"/>
          <w:szCs w:val="20"/>
          <w:lang w:val="es-AR"/>
        </w:rPr>
        <w:lastRenderedPageBreak/>
        <w:t xml:space="preserve">Certificado de Residencia Precaria. </w:t>
      </w:r>
      <w:r w:rsidR="00857251" w:rsidRPr="00857251">
        <w:rPr>
          <w:rFonts w:ascii="Cambria" w:hAnsi="Cambria"/>
          <w:sz w:val="20"/>
          <w:szCs w:val="20"/>
          <w:lang w:val="es-AR"/>
        </w:rPr>
        <w:t>Simultáneamente</w:t>
      </w:r>
      <w:r w:rsidRPr="00857251">
        <w:rPr>
          <w:rFonts w:ascii="Cambria" w:hAnsi="Cambria"/>
          <w:sz w:val="20"/>
          <w:szCs w:val="20"/>
          <w:lang w:val="es-AR"/>
        </w:rPr>
        <w:t>, su caso fue remitido a la Dirección Nacional de Migraciones para regu</w:t>
      </w:r>
      <w:r w:rsidR="00A73580">
        <w:rPr>
          <w:rFonts w:ascii="Cambria" w:hAnsi="Cambria"/>
          <w:sz w:val="20"/>
          <w:szCs w:val="20"/>
          <w:lang w:val="es-AR"/>
        </w:rPr>
        <w:t xml:space="preserve">larizar su situación migratoria y </w:t>
      </w:r>
      <w:r w:rsidRPr="00857251">
        <w:rPr>
          <w:rFonts w:ascii="Cambria" w:hAnsi="Cambria"/>
          <w:sz w:val="20"/>
          <w:szCs w:val="20"/>
          <w:lang w:val="es-AR"/>
        </w:rPr>
        <w:t xml:space="preserve">de residencia.   </w:t>
      </w:r>
    </w:p>
    <w:p w:rsidR="00097CCB" w:rsidRPr="00857251" w:rsidRDefault="00E00B32" w:rsidP="00C324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En contraposición con lo que alega el peticionario, e</w:t>
      </w:r>
      <w:r w:rsidR="00C32471" w:rsidRPr="00857251">
        <w:rPr>
          <w:rFonts w:ascii="Cambria" w:hAnsi="Cambria"/>
          <w:sz w:val="20"/>
          <w:szCs w:val="20"/>
          <w:lang w:val="es-AR"/>
        </w:rPr>
        <w:t>l Estado niega que la presunta víctima haya estado en riesgo de ser dete</w:t>
      </w:r>
      <w:r>
        <w:rPr>
          <w:rFonts w:ascii="Cambria" w:hAnsi="Cambria"/>
          <w:sz w:val="20"/>
          <w:szCs w:val="20"/>
          <w:lang w:val="es-AR"/>
        </w:rPr>
        <w:t xml:space="preserve">nida (a raíz de esta decisión). </w:t>
      </w:r>
      <w:r w:rsidR="00C32471" w:rsidRPr="00857251">
        <w:rPr>
          <w:rFonts w:ascii="Cambria" w:hAnsi="Cambria"/>
          <w:sz w:val="20"/>
          <w:szCs w:val="20"/>
          <w:lang w:val="es-AR"/>
        </w:rPr>
        <w:t xml:space="preserve">Por el contrario, el Estado indica que (a) en el 2011, a la presunta víctima se le otorgó un documento nacional de identidad junto con la residencia temporal; (b) que en el 2013 a la presunta víctima se le otorgó residencia </w:t>
      </w:r>
      <w:r w:rsidR="00857251" w:rsidRPr="00857251">
        <w:rPr>
          <w:rFonts w:ascii="Cambria" w:hAnsi="Cambria"/>
          <w:sz w:val="20"/>
          <w:szCs w:val="20"/>
          <w:lang w:val="es-AR"/>
        </w:rPr>
        <w:t>permanente,</w:t>
      </w:r>
      <w:r w:rsidR="00C32471" w:rsidRPr="00857251">
        <w:rPr>
          <w:rFonts w:ascii="Cambria" w:hAnsi="Cambria"/>
          <w:sz w:val="20"/>
          <w:szCs w:val="20"/>
          <w:lang w:val="es-AR"/>
        </w:rPr>
        <w:t xml:space="preserve"> así como también un pasaporte especial (para personas apátridas); y (c) que la presunta víctima actualmente es elegible para solicitar la ciudadanía argentina (a partir del 2014).</w:t>
      </w:r>
    </w:p>
    <w:p w:rsidR="00C32471" w:rsidRPr="00857251" w:rsidRDefault="00C32471" w:rsidP="00C336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57251">
        <w:rPr>
          <w:rFonts w:ascii="Cambria" w:hAnsi="Cambria"/>
          <w:sz w:val="20"/>
          <w:szCs w:val="20"/>
          <w:lang w:val="es-AR"/>
        </w:rPr>
        <w:t xml:space="preserve">El Estado reconoce que entre el 2000 y el 2008 la presunta víctima se dirigió a varias autoridades para obtener un documento nacional de identidad (conforme a la Convención sobre el Estatuto de los Apátridas).  El Estado también indica que hasta el 2011 no existía una autoridad nacional con competencia para tratar el asunto de apatridia. Tampoco existía un procedimiento específico para determinar esta condición.   Según el Estado, ya se han tomado medidas para mejorar esta situación.  Las medidas incluyen la creación de un programa </w:t>
      </w:r>
      <w:r w:rsidR="00E00B32">
        <w:rPr>
          <w:rFonts w:ascii="Cambria" w:hAnsi="Cambria"/>
          <w:sz w:val="20"/>
          <w:szCs w:val="20"/>
          <w:lang w:val="es-AR"/>
        </w:rPr>
        <w:t>desarrollado</w:t>
      </w:r>
      <w:r w:rsidRPr="00857251">
        <w:rPr>
          <w:rFonts w:ascii="Cambria" w:hAnsi="Cambria"/>
          <w:sz w:val="20"/>
          <w:szCs w:val="20"/>
          <w:lang w:val="es-AR"/>
        </w:rPr>
        <w:t xml:space="preserve"> por el Ministerio de Justicia y Derechos Humanos para promover y fortalecer los derechos de las personas apátridas y para facilitar la integración de esas personas en la sociedad argentina.  El Estado también menciona que está en proceso de redactar una ley que establece el procedimiento para determinar la apatridia. También está en proceso de establecer una autoridad con competencia para realizar esta determinación.  Según el Estado, la Comisión Nacional para los Refugiados ha indicado que ahora tiene capacidad para desempeñar esta función.</w:t>
      </w:r>
    </w:p>
    <w:p w:rsidR="00C33664" w:rsidRPr="00857251" w:rsidRDefault="00C33664" w:rsidP="00C336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57251">
        <w:rPr>
          <w:rFonts w:ascii="Cambria" w:hAnsi="Cambria"/>
          <w:sz w:val="20"/>
          <w:szCs w:val="20"/>
          <w:lang w:val="es-AR"/>
        </w:rPr>
        <w:t xml:space="preserve">No obstante, el Estado sostiene que la presunta víctima tenía la posibilidad de iniciar y agotar los recursos internos para </w:t>
      </w:r>
      <w:r w:rsidR="00E00B32" w:rsidRPr="00E00B32">
        <w:rPr>
          <w:rFonts w:ascii="Cambria" w:hAnsi="Cambria"/>
          <w:bCs/>
          <w:sz w:val="20"/>
          <w:szCs w:val="20"/>
          <w:lang w:val="es-AR"/>
        </w:rPr>
        <w:t>abordar sus denuncias</w:t>
      </w:r>
      <w:r w:rsidRPr="00857251">
        <w:rPr>
          <w:rFonts w:ascii="Cambria" w:hAnsi="Cambria"/>
          <w:sz w:val="20"/>
          <w:szCs w:val="20"/>
          <w:lang w:val="es-AR"/>
        </w:rPr>
        <w:t xml:space="preserve">, pero no lo hizo.  En esta línea, el Estado se refiere a dos </w:t>
      </w:r>
      <w:r w:rsidR="00E00B32">
        <w:rPr>
          <w:rFonts w:ascii="Cambria" w:hAnsi="Cambria"/>
          <w:sz w:val="20"/>
          <w:szCs w:val="20"/>
          <w:lang w:val="es-AR"/>
        </w:rPr>
        <w:t xml:space="preserve">recursos: (a) amparo por mora, </w:t>
      </w:r>
      <w:r w:rsidRPr="00857251">
        <w:rPr>
          <w:rFonts w:ascii="Cambria" w:hAnsi="Cambria"/>
          <w:sz w:val="20"/>
          <w:szCs w:val="20"/>
          <w:lang w:val="es-AR"/>
        </w:rPr>
        <w:t>prescrito en el artículo 28 de la Ley 19.549/Ley de Procedimientos Administrativos</w:t>
      </w:r>
      <w:r w:rsidR="00E00B32">
        <w:rPr>
          <w:rFonts w:ascii="Cambria" w:hAnsi="Cambria"/>
          <w:sz w:val="20"/>
          <w:szCs w:val="20"/>
          <w:lang w:val="es-AR"/>
        </w:rPr>
        <w:t>,</w:t>
      </w:r>
      <w:r w:rsidRPr="00857251">
        <w:rPr>
          <w:rFonts w:ascii="Cambria" w:hAnsi="Cambria"/>
          <w:sz w:val="20"/>
          <w:szCs w:val="20"/>
          <w:lang w:val="es-AR"/>
        </w:rPr>
        <w:t xml:space="preserve"> y (b) la acción de amparo contemplada en el artículo 43 de la Constitución Nacional y la Ley 16.986/Ley de Acción de Amparo.   </w:t>
      </w:r>
      <w:r w:rsidRPr="00454E07">
        <w:rPr>
          <w:rFonts w:ascii="Cambria" w:hAnsi="Cambria"/>
          <w:sz w:val="20"/>
          <w:szCs w:val="20"/>
          <w:lang w:val="es-AR"/>
        </w:rPr>
        <w:t xml:space="preserve">El peticionario reconoce que los recursos internos no fueron agotados. Sin embargo, sostiene que el Estado tenía la obligación internacional de regularizar la situación migratoria y de nacionalidad de la presunta víctima en un plazo razonable. Argumenta que el Estado no cumplió con su obligación dada la cantidad de años que transcurrieron </w:t>
      </w:r>
      <w:r w:rsidRPr="00454E07">
        <w:rPr>
          <w:rFonts w:ascii="Cambria" w:hAnsi="Cambria"/>
          <w:bCs/>
          <w:sz w:val="20"/>
          <w:szCs w:val="20"/>
          <w:lang w:val="es-AR"/>
        </w:rPr>
        <w:t>hasta</w:t>
      </w:r>
      <w:r w:rsidRPr="00454E07">
        <w:rPr>
          <w:rFonts w:ascii="Cambria" w:hAnsi="Cambria"/>
          <w:b/>
          <w:bCs/>
          <w:sz w:val="20"/>
          <w:szCs w:val="20"/>
          <w:lang w:val="es-AR"/>
        </w:rPr>
        <w:t xml:space="preserve"> </w:t>
      </w:r>
      <w:r w:rsidRPr="00454E07">
        <w:rPr>
          <w:rFonts w:ascii="Cambria" w:hAnsi="Cambria"/>
          <w:sz w:val="20"/>
          <w:szCs w:val="20"/>
          <w:lang w:val="es-AR"/>
        </w:rPr>
        <w:t xml:space="preserve">que la presunta víctima </w:t>
      </w:r>
      <w:r w:rsidR="00E00B32" w:rsidRPr="00454E07">
        <w:rPr>
          <w:rFonts w:ascii="Cambria" w:hAnsi="Cambria"/>
          <w:bCs/>
          <w:sz w:val="20"/>
          <w:szCs w:val="20"/>
          <w:lang w:val="es-AR"/>
        </w:rPr>
        <w:t>obtuvo</w:t>
      </w:r>
      <w:r w:rsidRPr="00454E07">
        <w:rPr>
          <w:rFonts w:ascii="Cambria" w:hAnsi="Cambria"/>
          <w:sz w:val="20"/>
          <w:szCs w:val="20"/>
          <w:lang w:val="es-AR"/>
        </w:rPr>
        <w:t xml:space="preserve"> un documento nacional de identidad y se le </w:t>
      </w:r>
      <w:r w:rsidR="00E00B32" w:rsidRPr="00454E07">
        <w:rPr>
          <w:rFonts w:ascii="Cambria" w:hAnsi="Cambria"/>
          <w:bCs/>
          <w:sz w:val="20"/>
          <w:szCs w:val="20"/>
          <w:lang w:val="es-AR"/>
        </w:rPr>
        <w:t xml:space="preserve">otorgó </w:t>
      </w:r>
      <w:r w:rsidRPr="00454E07">
        <w:rPr>
          <w:rFonts w:ascii="Cambria" w:hAnsi="Cambria"/>
          <w:sz w:val="20"/>
          <w:szCs w:val="20"/>
          <w:lang w:val="es-AR"/>
        </w:rPr>
        <w:t>residencia permanente</w:t>
      </w:r>
      <w:r w:rsidRPr="00857251">
        <w:rPr>
          <w:rFonts w:ascii="Cambria" w:hAnsi="Cambria"/>
          <w:sz w:val="20"/>
          <w:szCs w:val="20"/>
          <w:lang w:val="es-AR"/>
        </w:rPr>
        <w:t xml:space="preserve">. </w:t>
      </w:r>
    </w:p>
    <w:p w:rsidR="00F621C3" w:rsidRPr="00857251" w:rsidRDefault="00F621C3" w:rsidP="00F621C3">
      <w:pPr>
        <w:spacing w:before="240" w:after="240"/>
        <w:ind w:firstLine="720"/>
        <w:jc w:val="both"/>
        <w:rPr>
          <w:rFonts w:ascii="Cambria" w:hAnsi="Cambria"/>
          <w:sz w:val="20"/>
          <w:szCs w:val="20"/>
          <w:lang w:val="es-AR"/>
        </w:rPr>
      </w:pPr>
      <w:r w:rsidRPr="00857251">
        <w:rPr>
          <w:rFonts w:asciiTheme="majorHAnsi" w:hAnsiTheme="majorHAnsi"/>
          <w:b/>
          <w:bCs/>
          <w:color w:val="000000"/>
          <w:sz w:val="20"/>
          <w:szCs w:val="20"/>
          <w:u w:color="000000"/>
          <w:lang w:val="es-AR"/>
        </w:rPr>
        <w:t>IV.</w:t>
      </w:r>
      <w:r w:rsidRPr="00857251">
        <w:rPr>
          <w:rFonts w:asciiTheme="majorHAnsi" w:hAnsiTheme="majorHAnsi"/>
          <w:b/>
          <w:bCs/>
          <w:color w:val="000000"/>
          <w:sz w:val="20"/>
          <w:szCs w:val="20"/>
          <w:u w:color="000000"/>
          <w:lang w:val="es-AR"/>
        </w:rPr>
        <w:tab/>
      </w:r>
      <w:r w:rsidRPr="00857251">
        <w:rPr>
          <w:rFonts w:asciiTheme="majorHAnsi" w:hAnsiTheme="majorHAnsi"/>
          <w:b/>
          <w:bCs/>
          <w:sz w:val="20"/>
          <w:szCs w:val="20"/>
          <w:lang w:val="es-AR"/>
        </w:rPr>
        <w:t>ANÁLISIS DE AGOTAMIENTO DE LOS RECURSOS INTERNOS Y PLAZO DE PRESENTACIÓN</w:t>
      </w:r>
      <w:r w:rsidRPr="00857251">
        <w:rPr>
          <w:rFonts w:asciiTheme="majorHAnsi" w:hAnsiTheme="majorHAnsi"/>
          <w:b/>
          <w:bCs/>
          <w:color w:val="000000"/>
          <w:sz w:val="20"/>
          <w:szCs w:val="20"/>
          <w:u w:color="000000"/>
          <w:lang w:val="es-AR"/>
        </w:rPr>
        <w:t xml:space="preserve"> </w:t>
      </w:r>
    </w:p>
    <w:p w:rsidR="00F621C3" w:rsidRPr="00857251" w:rsidRDefault="00C33664" w:rsidP="00C336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57251">
        <w:rPr>
          <w:rFonts w:ascii="Cambria" w:hAnsi="Cambria"/>
          <w:sz w:val="20"/>
          <w:szCs w:val="20"/>
          <w:lang w:val="es-AR"/>
        </w:rPr>
        <w:t>Para que se admita una denuncia de una presunta violación a la Convención Americana se debe cumplir con el requisito de previo agotamiento de los recursos internos disponibles, según se establece en el artículo 46.1.a de dicho instrumento, conforme a los principios del derecho internaci</w:t>
      </w:r>
      <w:r w:rsidR="00E73604">
        <w:rPr>
          <w:rFonts w:ascii="Cambria" w:hAnsi="Cambria"/>
          <w:sz w:val="20"/>
          <w:szCs w:val="20"/>
          <w:lang w:val="es-AR"/>
        </w:rPr>
        <w:t xml:space="preserve">onal generalmente reconocidos. </w:t>
      </w:r>
      <w:r w:rsidRPr="00857251">
        <w:rPr>
          <w:rFonts w:ascii="Cambria" w:hAnsi="Cambria"/>
          <w:sz w:val="20"/>
          <w:szCs w:val="20"/>
          <w:lang w:val="es-AR"/>
        </w:rPr>
        <w:t>Sin embargo, el artículo 46.2 de la Convención Americana establece que el requisito de previo agotamiento de los recursos internos no aplicará cuando (i) no exista en la legislación interna del Estado en cuestión el debido proceso legal para la protección del derecho o derechos que se alegan han sido violados; (ii) no se haya permitido al presunto lesionado en sus derechos el acceso a los recursos de la jurisdicción interna, o haya sido impedido de agotarlos; o (iii) haya retardo injustificado en la decisión sobre los mencionados recursos.</w:t>
      </w:r>
    </w:p>
    <w:p w:rsidR="00C33664" w:rsidRPr="00857251" w:rsidRDefault="00C33664" w:rsidP="00C336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57251">
        <w:rPr>
          <w:rFonts w:ascii="Cambria" w:hAnsi="Cambria"/>
          <w:sz w:val="20"/>
          <w:szCs w:val="20"/>
          <w:lang w:val="es-AR"/>
        </w:rPr>
        <w:t>Como se establece en el Reglamento de la C</w:t>
      </w:r>
      <w:r w:rsidR="00857251">
        <w:rPr>
          <w:rFonts w:ascii="Cambria" w:hAnsi="Cambria"/>
          <w:sz w:val="20"/>
          <w:szCs w:val="20"/>
          <w:lang w:val="es-AR"/>
        </w:rPr>
        <w:t>omisión y según determina la Cor</w:t>
      </w:r>
      <w:r w:rsidRPr="00857251">
        <w:rPr>
          <w:rFonts w:ascii="Cambria" w:hAnsi="Cambria"/>
          <w:sz w:val="20"/>
          <w:szCs w:val="20"/>
          <w:lang w:val="es-AR"/>
        </w:rPr>
        <w:t xml:space="preserve">te Interamericana, siempre que un Estado alegue el incumplimiento del requisito de agotamiento de recursos internos, corresponderá al Estado en cuestión identificar los recursos que deben ser agotados y demostrar que los recursos que no han sido agotados son "adecuados" para rectificar la presunta violación, es decir, que la función de dichos recursos dentro del ordenamiento jurídico interno </w:t>
      </w:r>
      <w:r w:rsidR="00E73604" w:rsidRPr="00E73604">
        <w:rPr>
          <w:rFonts w:ascii="Cambria" w:hAnsi="Cambria"/>
          <w:bCs/>
          <w:sz w:val="20"/>
          <w:szCs w:val="20"/>
          <w:lang w:val="es-AR"/>
        </w:rPr>
        <w:t>es</w:t>
      </w:r>
      <w:r w:rsidRPr="00857251">
        <w:rPr>
          <w:rFonts w:ascii="Cambria" w:hAnsi="Cambria"/>
          <w:sz w:val="20"/>
          <w:szCs w:val="20"/>
          <w:lang w:val="es-AR"/>
        </w:rPr>
        <w:t xml:space="preserve"> adecuada para tratar la violación de un</w:t>
      </w:r>
      <w:r w:rsidRPr="00857251">
        <w:rPr>
          <w:rFonts w:ascii="Cambria" w:hAnsi="Cambria"/>
          <w:b/>
          <w:bCs/>
          <w:sz w:val="20"/>
          <w:szCs w:val="20"/>
          <w:lang w:val="es-AR"/>
        </w:rPr>
        <w:t xml:space="preserve"> </w:t>
      </w:r>
      <w:r w:rsidRPr="00E73604">
        <w:rPr>
          <w:rFonts w:ascii="Cambria" w:hAnsi="Cambria"/>
          <w:bCs/>
          <w:sz w:val="20"/>
          <w:szCs w:val="20"/>
          <w:lang w:val="es-AR"/>
        </w:rPr>
        <w:t>derecho legal</w:t>
      </w:r>
      <w:r w:rsidRPr="00857251">
        <w:rPr>
          <w:rFonts w:ascii="Cambria" w:hAnsi="Cambria"/>
          <w:sz w:val="20"/>
          <w:szCs w:val="20"/>
          <w:lang w:val="es-AR"/>
        </w:rPr>
        <w:t>.</w:t>
      </w:r>
      <w:r w:rsidRPr="00857251">
        <w:rPr>
          <w:rStyle w:val="FootnoteReference"/>
          <w:rFonts w:ascii="Cambria" w:hAnsi="Cambria"/>
          <w:sz w:val="20"/>
          <w:szCs w:val="20"/>
          <w:lang w:val="es-AR"/>
        </w:rPr>
        <w:footnoteReference w:id="7"/>
      </w:r>
    </w:p>
    <w:p w:rsidR="00C33664" w:rsidRPr="00857251" w:rsidRDefault="00C33664" w:rsidP="00C336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57251">
        <w:rPr>
          <w:rFonts w:ascii="Cambria" w:hAnsi="Cambria"/>
          <w:sz w:val="20"/>
          <w:szCs w:val="20"/>
          <w:lang w:val="es-AR"/>
        </w:rPr>
        <w:lastRenderedPageBreak/>
        <w:t>En este caso, el Estado ha identificado dos tipos de amparo y sostiene que la presunta víctima tenía acceso dichos recursos</w:t>
      </w:r>
      <w:r w:rsidR="00C0063F">
        <w:rPr>
          <w:rFonts w:ascii="Cambria" w:hAnsi="Cambria"/>
          <w:sz w:val="20"/>
          <w:szCs w:val="20"/>
          <w:lang w:val="es-AR"/>
        </w:rPr>
        <w:t xml:space="preserve">, pero que no fueron agotados. </w:t>
      </w:r>
      <w:r w:rsidRPr="00857251">
        <w:rPr>
          <w:rFonts w:ascii="Cambria" w:hAnsi="Cambria"/>
          <w:sz w:val="20"/>
          <w:szCs w:val="20"/>
          <w:lang w:val="es-AR"/>
        </w:rPr>
        <w:t>La Corte Interamericana ha sostenido que la institución procesal del amparo reúne las características necesarias para la tutela efectiva de los derechos fundamentales, esto es, la de ser sencilla y breve.</w:t>
      </w:r>
      <w:r w:rsidRPr="00857251">
        <w:rPr>
          <w:rStyle w:val="FootnoteReference"/>
          <w:rFonts w:ascii="Cambria" w:hAnsi="Cambria"/>
          <w:sz w:val="20"/>
          <w:szCs w:val="20"/>
          <w:lang w:val="es-AR"/>
        </w:rPr>
        <w:footnoteReference w:id="8"/>
      </w:r>
    </w:p>
    <w:p w:rsidR="00C33664" w:rsidRPr="00857251" w:rsidRDefault="00C33664" w:rsidP="00C336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57251">
        <w:rPr>
          <w:rFonts w:ascii="Cambria" w:hAnsi="Cambria"/>
          <w:sz w:val="20"/>
          <w:szCs w:val="20"/>
          <w:lang w:val="es-AR"/>
        </w:rPr>
        <w:t>Según consta en el expedien</w:t>
      </w:r>
      <w:r w:rsidR="00A73580">
        <w:rPr>
          <w:rFonts w:ascii="Cambria" w:hAnsi="Cambria"/>
          <w:sz w:val="20"/>
          <w:szCs w:val="20"/>
          <w:lang w:val="es-AR"/>
        </w:rPr>
        <w:t>te, la presunta víctima hizo</w:t>
      </w:r>
      <w:r w:rsidRPr="00857251">
        <w:rPr>
          <w:rFonts w:ascii="Cambria" w:hAnsi="Cambria"/>
          <w:sz w:val="20"/>
          <w:szCs w:val="20"/>
          <w:lang w:val="es-AR"/>
        </w:rPr>
        <w:t xml:space="preserve"> varias denuncias ante distintas autoridades; sin embargo, estas denuncias no constituyen recursos legales para cumplir con el requisito de agotamie</w:t>
      </w:r>
      <w:r w:rsidR="00C0063F">
        <w:rPr>
          <w:rFonts w:ascii="Cambria" w:hAnsi="Cambria"/>
          <w:sz w:val="20"/>
          <w:szCs w:val="20"/>
          <w:lang w:val="es-AR"/>
        </w:rPr>
        <w:t xml:space="preserve">nto de los recursos internos. </w:t>
      </w:r>
      <w:r w:rsidRPr="00857251">
        <w:rPr>
          <w:rFonts w:ascii="Cambria" w:hAnsi="Cambria"/>
          <w:sz w:val="20"/>
          <w:szCs w:val="20"/>
          <w:lang w:val="es-AR"/>
        </w:rPr>
        <w:t>La Comisión toma nota de que el peticionario ha reconocido que el recurso de amparo no fue agotado. El peticionario no explica por qué no inició ni agotó este recurso.  Además, el peticionario no sostiene que a la presunta víctima se le haya negado el acceso a este recurso o que se le haya impedido agotarlo. La Comisión considera que el amparo era un recurso disponible y efectivo que la presunta víctima no utilizó.</w:t>
      </w:r>
    </w:p>
    <w:p w:rsidR="00C65F2E" w:rsidRPr="00857251" w:rsidRDefault="00C65F2E" w:rsidP="00C65F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57251">
        <w:rPr>
          <w:rFonts w:ascii="Cambria" w:hAnsi="Cambria"/>
          <w:sz w:val="20"/>
          <w:szCs w:val="20"/>
          <w:lang w:val="es-AR"/>
        </w:rPr>
        <w:t>Por lo tanto, la información disponible demuestra (a) que el peticionario no ha iniciado ni agotado los recursos legales o (b) que aplica una excepción al requisito de agotamiento de los recursos internos. En vista de lo anterior, la Comisión concluye que esta petición no cumple con el requisito de agotamiento de los recursos internos señalado en el artículo 46.1.a de la Convención Americana.</w:t>
      </w:r>
    </w:p>
    <w:p w:rsidR="00C65F2E" w:rsidRPr="00857251" w:rsidRDefault="00C65F2E" w:rsidP="00C65F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57251">
        <w:rPr>
          <w:rFonts w:ascii="Cambria" w:hAnsi="Cambria"/>
          <w:sz w:val="20"/>
          <w:szCs w:val="20"/>
          <w:lang w:val="es-AR"/>
        </w:rPr>
        <w:t>Dado que no se han agotado los recursos internos y que no aplica la excepción a dicho requisito, la CIDH concluye que esta petición es inadmisible conforme a lo dispuesto en los artículos 46.1.a y 47.a de</w:t>
      </w:r>
      <w:r w:rsidR="00C0063F">
        <w:rPr>
          <w:rFonts w:ascii="Cambria" w:hAnsi="Cambria"/>
          <w:sz w:val="20"/>
          <w:szCs w:val="20"/>
          <w:lang w:val="es-AR"/>
        </w:rPr>
        <w:t xml:space="preserve"> la Convención Americana y al</w:t>
      </w:r>
      <w:r w:rsidRPr="00857251">
        <w:rPr>
          <w:rFonts w:ascii="Cambria" w:hAnsi="Cambria"/>
          <w:sz w:val="20"/>
          <w:szCs w:val="20"/>
          <w:lang w:val="es-AR"/>
        </w:rPr>
        <w:t xml:space="preserve"> artículo 31(1) del Reglamento.  Por lo tanto, la Comisión considera que no es necesario proceder con el análisis de los demás requisitos de admisibilidad.</w:t>
      </w:r>
    </w:p>
    <w:p w:rsidR="00F621C3" w:rsidRPr="00857251" w:rsidRDefault="00A73580" w:rsidP="00F621C3">
      <w:pPr>
        <w:pStyle w:val="ListParagraph"/>
        <w:spacing w:before="240" w:after="240"/>
        <w:jc w:val="both"/>
        <w:rPr>
          <w:rFonts w:asciiTheme="majorHAnsi" w:hAnsiTheme="majorHAnsi"/>
          <w:b/>
          <w:bCs/>
          <w:sz w:val="20"/>
          <w:szCs w:val="20"/>
          <w:lang w:val="es-AR"/>
        </w:rPr>
      </w:pPr>
      <w:r>
        <w:rPr>
          <w:rFonts w:asciiTheme="majorHAnsi" w:hAnsiTheme="majorHAnsi"/>
          <w:b/>
          <w:bCs/>
          <w:sz w:val="20"/>
          <w:szCs w:val="20"/>
          <w:lang w:val="es-AR"/>
        </w:rPr>
        <w:t xml:space="preserve">VII. </w:t>
      </w:r>
      <w:r>
        <w:rPr>
          <w:rFonts w:asciiTheme="majorHAnsi" w:hAnsiTheme="majorHAnsi"/>
          <w:b/>
          <w:bCs/>
          <w:sz w:val="20"/>
          <w:szCs w:val="20"/>
          <w:lang w:val="es-AR"/>
        </w:rPr>
        <w:tab/>
        <w:t>DECISIÓ</w:t>
      </w:r>
      <w:r w:rsidR="00C65F2E" w:rsidRPr="00857251">
        <w:rPr>
          <w:rFonts w:asciiTheme="majorHAnsi" w:hAnsiTheme="majorHAnsi"/>
          <w:b/>
          <w:bCs/>
          <w:sz w:val="20"/>
          <w:szCs w:val="20"/>
          <w:lang w:val="es-AR"/>
        </w:rPr>
        <w:t>N</w:t>
      </w:r>
    </w:p>
    <w:p w:rsidR="00C65F2E" w:rsidRPr="00A72F0A" w:rsidRDefault="00C65F2E" w:rsidP="00C65F2E">
      <w:pPr>
        <w:pStyle w:val="ListParagraph"/>
        <w:numPr>
          <w:ilvl w:val="0"/>
          <w:numId w:val="105"/>
        </w:numPr>
        <w:rPr>
          <w:rFonts w:eastAsia="Arial Unicode MS" w:cs="Times New Roman"/>
          <w:color w:val="auto"/>
          <w:sz w:val="20"/>
          <w:szCs w:val="20"/>
          <w:lang w:val="es-AR"/>
        </w:rPr>
      </w:pPr>
      <w:r w:rsidRPr="00857251">
        <w:rPr>
          <w:rFonts w:asciiTheme="majorHAnsi" w:eastAsia="Arial Unicode MS" w:hAnsiTheme="majorHAnsi" w:cs="Times New Roman"/>
          <w:color w:val="auto"/>
          <w:sz w:val="20"/>
          <w:szCs w:val="20"/>
          <w:lang w:val="es-AR"/>
        </w:rPr>
        <w:t>Declarar inadmisible la presente petición;</w:t>
      </w:r>
    </w:p>
    <w:p w:rsidR="00A72F0A" w:rsidRPr="00857251" w:rsidRDefault="00A72F0A" w:rsidP="00A72F0A">
      <w:pPr>
        <w:pStyle w:val="ListParagraph"/>
        <w:rPr>
          <w:rFonts w:eastAsia="Arial Unicode MS" w:cs="Times New Roman"/>
          <w:color w:val="auto"/>
          <w:sz w:val="20"/>
          <w:szCs w:val="20"/>
          <w:lang w:val="es-AR"/>
        </w:rPr>
      </w:pPr>
    </w:p>
    <w:p w:rsidR="00F621C3" w:rsidRPr="00A72F0A" w:rsidRDefault="00C65F2E" w:rsidP="00C65F2E">
      <w:pPr>
        <w:pStyle w:val="ListParagraph"/>
        <w:numPr>
          <w:ilvl w:val="0"/>
          <w:numId w:val="105"/>
        </w:numPr>
        <w:rPr>
          <w:rFonts w:eastAsia="Arial Unicode MS" w:cs="Times New Roman"/>
          <w:color w:val="auto"/>
          <w:sz w:val="20"/>
          <w:szCs w:val="20"/>
          <w:lang w:val="es-AR"/>
        </w:rPr>
      </w:pPr>
      <w:r w:rsidRPr="00857251">
        <w:rPr>
          <w:rFonts w:asciiTheme="majorHAnsi" w:hAnsiTheme="majorHAnsi"/>
          <w:sz w:val="20"/>
          <w:szCs w:val="20"/>
          <w:lang w:val="es-AR"/>
        </w:rPr>
        <w:t>Notificar a las partes la presente decisión;</w:t>
      </w:r>
      <w:r w:rsidRPr="00857251">
        <w:rPr>
          <w:color w:val="auto"/>
          <w:sz w:val="20"/>
          <w:szCs w:val="20"/>
          <w:lang w:val="es-AR"/>
        </w:rPr>
        <w:t xml:space="preserve"> y</w:t>
      </w:r>
    </w:p>
    <w:p w:rsidR="00A72F0A" w:rsidRPr="00857251" w:rsidRDefault="00A72F0A" w:rsidP="00A72F0A">
      <w:pPr>
        <w:pStyle w:val="ListParagraph"/>
        <w:rPr>
          <w:rFonts w:eastAsia="Arial Unicode MS" w:cs="Times New Roman"/>
          <w:color w:val="auto"/>
          <w:sz w:val="20"/>
          <w:szCs w:val="20"/>
          <w:lang w:val="es-AR"/>
        </w:rPr>
      </w:pPr>
    </w:p>
    <w:p w:rsidR="00F621C3" w:rsidRPr="00A72F0A" w:rsidRDefault="00C65F2E"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57251">
        <w:rPr>
          <w:rFonts w:asciiTheme="majorHAnsi" w:hAnsiTheme="majorHAnsi"/>
          <w:sz w:val="20"/>
          <w:szCs w:val="20"/>
          <w:lang w:val="es-AR"/>
        </w:rPr>
        <w:t>Publicar esta decisión e incluirla en su Informe Anual a la Asamblea General de la Organización de los Estados Americanos.</w:t>
      </w:r>
    </w:p>
    <w:p w:rsidR="00A72F0A" w:rsidRPr="00A37B82" w:rsidRDefault="00A72F0A" w:rsidP="00A72F0A">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A72F0A" w:rsidRPr="00A37B82" w:rsidRDefault="00A72F0A" w:rsidP="00A72F0A">
      <w:pPr>
        <w:suppressAutoHyphens/>
        <w:ind w:firstLine="720"/>
        <w:jc w:val="both"/>
        <w:rPr>
          <w:rFonts w:asciiTheme="majorHAnsi" w:hAnsiTheme="majorHAnsi" w:cs="Arial"/>
          <w:noProof/>
          <w:spacing w:val="-2"/>
          <w:sz w:val="20"/>
          <w:szCs w:val="20"/>
          <w:lang w:val="es-CL"/>
        </w:rPr>
      </w:pPr>
    </w:p>
    <w:sectPr w:rsidR="00A72F0A" w:rsidRPr="00A37B82"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939" w:rsidRDefault="00CA4939" w:rsidP="00036A8A">
      <w:r>
        <w:separator/>
      </w:r>
    </w:p>
  </w:endnote>
  <w:endnote w:type="continuationSeparator" w:id="0">
    <w:p w:rsidR="00CA4939" w:rsidRDefault="00CA493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575" w:rsidRDefault="003525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Pr>
            <w:sz w:val="16"/>
            <w:lang w:val="es"/>
          </w:rPr>
          <w:fldChar w:fldCharType="begin"/>
        </w:r>
        <w:r>
          <w:rPr>
            <w:sz w:val="16"/>
            <w:lang w:val="es"/>
          </w:rPr>
          <w:instrText xml:space="preserve"> PAGE   \* MERGEFORMAT </w:instrText>
        </w:r>
        <w:r>
          <w:rPr>
            <w:sz w:val="16"/>
            <w:lang w:val="es"/>
          </w:rPr>
          <w:fldChar w:fldCharType="separate"/>
        </w:r>
        <w:r w:rsidR="00352575">
          <w:rPr>
            <w:noProof/>
            <w:sz w:val="16"/>
            <w:lang w:val="es"/>
          </w:rPr>
          <w:t>1</w:t>
        </w:r>
        <w:r>
          <w:rPr>
            <w:noProof/>
            <w:sz w:val="16"/>
            <w:lang w:val="es"/>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939" w:rsidRPr="00036A8A" w:rsidRDefault="00CA4939" w:rsidP="00036A8A">
      <w:pPr>
        <w:rPr>
          <w:rFonts w:asciiTheme="majorHAnsi" w:hAnsiTheme="majorHAnsi"/>
          <w:sz w:val="16"/>
          <w:szCs w:val="16"/>
        </w:rPr>
      </w:pPr>
      <w:r>
        <w:rPr>
          <w:rFonts w:asciiTheme="majorHAnsi" w:hAnsiTheme="majorHAnsi"/>
          <w:sz w:val="16"/>
          <w:szCs w:val="16"/>
        </w:rPr>
        <w:separator/>
      </w:r>
    </w:p>
  </w:footnote>
  <w:footnote w:type="continuationSeparator" w:id="0">
    <w:p w:rsidR="00CA4939" w:rsidRPr="00036A8A" w:rsidRDefault="00CA4939" w:rsidP="00036A8A">
      <w:pPr>
        <w:rPr>
          <w:rFonts w:asciiTheme="majorHAnsi" w:hAnsiTheme="majorHAnsi"/>
          <w:sz w:val="16"/>
          <w:szCs w:val="16"/>
        </w:rPr>
      </w:pPr>
      <w:r>
        <w:rPr>
          <w:rFonts w:asciiTheme="majorHAnsi" w:hAnsiTheme="majorHAnsi"/>
          <w:sz w:val="16"/>
          <w:szCs w:val="16"/>
        </w:rPr>
        <w:separator/>
      </w:r>
    </w:p>
    <w:p w:rsidR="00CA4939" w:rsidRPr="00036A8A" w:rsidRDefault="00CA4939" w:rsidP="00036A8A">
      <w:pPr>
        <w:pStyle w:val="Footer"/>
        <w:rPr>
          <w:rFonts w:asciiTheme="majorHAnsi" w:hAnsiTheme="majorHAnsi"/>
          <w:sz w:val="16"/>
          <w:szCs w:val="16"/>
        </w:rPr>
      </w:pPr>
      <w:r>
        <w:rPr>
          <w:rFonts w:asciiTheme="majorHAnsi" w:hAnsiTheme="majorHAnsi"/>
          <w:sz w:val="16"/>
          <w:szCs w:val="16"/>
        </w:rPr>
        <w:t xml:space="preserve">[… </w:t>
      </w:r>
      <w:proofErr w:type="gramStart"/>
      <w:r>
        <w:rPr>
          <w:rFonts w:asciiTheme="majorHAnsi" w:hAnsiTheme="majorHAnsi"/>
          <w:sz w:val="16"/>
          <w:szCs w:val="16"/>
        </w:rPr>
        <w:t>continuation</w:t>
      </w:r>
      <w:proofErr w:type="gramEnd"/>
      <w:r>
        <w:rPr>
          <w:rFonts w:asciiTheme="majorHAnsi" w:hAnsiTheme="majorHAnsi"/>
          <w:sz w:val="16"/>
          <w:szCs w:val="16"/>
        </w:rPr>
        <w:t>]</w:t>
      </w:r>
    </w:p>
  </w:footnote>
  <w:footnote w:type="continuationNotice" w:id="1">
    <w:p w:rsidR="00CA4939" w:rsidRPr="0093441A" w:rsidRDefault="00CA4939" w:rsidP="005B222D">
      <w:pPr>
        <w:jc w:val="right"/>
        <w:rPr>
          <w:rFonts w:asciiTheme="majorHAnsi" w:hAnsiTheme="majorHAnsi"/>
          <w:sz w:val="16"/>
          <w:szCs w:val="16"/>
        </w:rPr>
      </w:pPr>
      <w:r>
        <w:rPr>
          <w:rFonts w:asciiTheme="majorHAnsi" w:hAnsiTheme="majorHAnsi"/>
          <w:sz w:val="16"/>
          <w:szCs w:val="16"/>
        </w:rPr>
        <w:t>[</w:t>
      </w:r>
      <w:proofErr w:type="gramStart"/>
      <w:r>
        <w:rPr>
          <w:rFonts w:asciiTheme="majorHAnsi" w:hAnsiTheme="majorHAnsi"/>
          <w:sz w:val="16"/>
          <w:szCs w:val="16"/>
        </w:rPr>
        <w:t>continues</w:t>
      </w:r>
      <w:proofErr w:type="gramEnd"/>
      <w:r>
        <w:rPr>
          <w:rFonts w:asciiTheme="majorHAnsi" w:hAnsiTheme="majorHAnsi"/>
          <w:sz w:val="16"/>
          <w:szCs w:val="16"/>
        </w:rPr>
        <w:t xml:space="preserve"> …]</w:t>
      </w:r>
    </w:p>
  </w:footnote>
  <w:footnote w:id="2">
    <w:p w:rsidR="00653EA6" w:rsidRPr="00857251" w:rsidRDefault="00653EA6" w:rsidP="00210F4B">
      <w:pPr>
        <w:pStyle w:val="FootnoteText"/>
        <w:ind w:firstLine="720"/>
        <w:jc w:val="both"/>
        <w:rPr>
          <w:rFonts w:ascii="Cambria" w:hAnsi="Cambria"/>
          <w:sz w:val="16"/>
          <w:szCs w:val="16"/>
          <w:lang w:val="es-AR"/>
        </w:rPr>
      </w:pPr>
      <w:r>
        <w:rPr>
          <w:rStyle w:val="FootnoteReference"/>
          <w:rFonts w:ascii="Cambria" w:hAnsi="Cambria"/>
          <w:sz w:val="16"/>
          <w:szCs w:val="16"/>
          <w:lang w:val="es"/>
        </w:rPr>
        <w:footnoteRef/>
      </w:r>
      <w:r>
        <w:rPr>
          <w:rFonts w:ascii="Cambria" w:hAnsi="Cambria"/>
          <w:sz w:val="16"/>
          <w:szCs w:val="16"/>
          <w:lang w:val="es"/>
        </w:rPr>
        <w:t xml:space="preserve"> Las observaciones de cada parte fueron debidamente trasladadas a la parte contraria.</w:t>
      </w:r>
    </w:p>
  </w:footnote>
  <w:footnote w:id="3">
    <w:p w:rsidR="00A81DF8" w:rsidRPr="00857251" w:rsidRDefault="00A72F0A">
      <w:pPr>
        <w:pStyle w:val="FootnoteText"/>
        <w:rPr>
          <w:rFonts w:asciiTheme="majorHAnsi" w:hAnsiTheme="majorHAnsi"/>
          <w:sz w:val="16"/>
          <w:szCs w:val="16"/>
          <w:lang w:val="es-AR"/>
        </w:rPr>
      </w:pPr>
      <w:r>
        <w:rPr>
          <w:rFonts w:asciiTheme="majorHAnsi" w:hAnsiTheme="majorHAnsi"/>
          <w:sz w:val="16"/>
          <w:szCs w:val="16"/>
          <w:lang w:val="es"/>
        </w:rPr>
        <w:tab/>
      </w:r>
      <w:r w:rsidR="00A81DF8">
        <w:rPr>
          <w:rStyle w:val="FootnoteReference"/>
          <w:rFonts w:asciiTheme="majorHAnsi" w:hAnsiTheme="majorHAnsi"/>
          <w:sz w:val="16"/>
          <w:szCs w:val="16"/>
          <w:lang w:val="es"/>
        </w:rPr>
        <w:footnoteRef/>
      </w:r>
      <w:r w:rsidR="00A81DF8">
        <w:rPr>
          <w:rFonts w:asciiTheme="majorHAnsi" w:hAnsiTheme="majorHAnsi"/>
          <w:sz w:val="16"/>
          <w:szCs w:val="16"/>
          <w:lang w:val="es"/>
        </w:rPr>
        <w:t xml:space="preserve"> La solicitud fue rechazada por el Comité de </w:t>
      </w:r>
      <w:proofErr w:type="spellStart"/>
      <w:r w:rsidR="00A81DF8">
        <w:rPr>
          <w:rFonts w:asciiTheme="majorHAnsi" w:hAnsiTheme="majorHAnsi"/>
          <w:sz w:val="16"/>
          <w:szCs w:val="16"/>
          <w:lang w:val="es"/>
        </w:rPr>
        <w:t>Eligibilidad</w:t>
      </w:r>
      <w:proofErr w:type="spellEnd"/>
      <w:r w:rsidR="00A81DF8">
        <w:rPr>
          <w:rFonts w:asciiTheme="majorHAnsi" w:hAnsiTheme="majorHAnsi"/>
          <w:sz w:val="16"/>
          <w:szCs w:val="16"/>
          <w:lang w:val="es"/>
        </w:rPr>
        <w:t xml:space="preserve"> para Refugiados.  Posteriormente, este organismo fue reemplazado por la Comisión Nacional para los Refugiados.</w:t>
      </w:r>
    </w:p>
  </w:footnote>
  <w:footnote w:id="4">
    <w:p w:rsidR="00A81DF8" w:rsidRPr="00857251" w:rsidRDefault="00A72F0A">
      <w:pPr>
        <w:pStyle w:val="FootnoteText"/>
        <w:rPr>
          <w:lang w:val="es-AR"/>
        </w:rPr>
      </w:pPr>
      <w:r>
        <w:rPr>
          <w:rFonts w:asciiTheme="majorHAnsi" w:hAnsiTheme="majorHAnsi"/>
          <w:sz w:val="16"/>
          <w:szCs w:val="16"/>
          <w:lang w:val="es"/>
        </w:rPr>
        <w:tab/>
      </w:r>
      <w:r w:rsidR="00A81DF8">
        <w:rPr>
          <w:rStyle w:val="FootnoteReference"/>
          <w:rFonts w:asciiTheme="majorHAnsi" w:hAnsiTheme="majorHAnsi"/>
          <w:sz w:val="16"/>
          <w:szCs w:val="16"/>
          <w:lang w:val="es"/>
        </w:rPr>
        <w:footnoteRef/>
      </w:r>
      <w:r w:rsidR="00A81DF8">
        <w:rPr>
          <w:rFonts w:asciiTheme="majorHAnsi" w:hAnsiTheme="majorHAnsi"/>
          <w:sz w:val="16"/>
          <w:szCs w:val="16"/>
          <w:lang w:val="es"/>
        </w:rPr>
        <w:t xml:space="preserve"> Según el peticionario, su esposa </w:t>
      </w:r>
      <w:proofErr w:type="spellStart"/>
      <w:r w:rsidR="00A81DF8">
        <w:rPr>
          <w:rFonts w:asciiTheme="majorHAnsi" w:hAnsiTheme="majorHAnsi"/>
          <w:sz w:val="16"/>
          <w:szCs w:val="16"/>
          <w:lang w:val="es"/>
        </w:rPr>
        <w:t>Lioudmila</w:t>
      </w:r>
      <w:proofErr w:type="spellEnd"/>
      <w:r w:rsidR="00A81DF8">
        <w:rPr>
          <w:rFonts w:asciiTheme="majorHAnsi" w:hAnsiTheme="majorHAnsi"/>
          <w:sz w:val="16"/>
          <w:szCs w:val="16"/>
          <w:lang w:val="es"/>
        </w:rPr>
        <w:t xml:space="preserve"> </w:t>
      </w:r>
      <w:proofErr w:type="spellStart"/>
      <w:r w:rsidR="00A81DF8">
        <w:rPr>
          <w:rFonts w:asciiTheme="majorHAnsi" w:hAnsiTheme="majorHAnsi"/>
          <w:sz w:val="16"/>
          <w:szCs w:val="16"/>
          <w:lang w:val="es"/>
        </w:rPr>
        <w:t>Lysenko</w:t>
      </w:r>
      <w:proofErr w:type="spellEnd"/>
      <w:r w:rsidR="00A81DF8">
        <w:rPr>
          <w:rFonts w:asciiTheme="majorHAnsi" w:hAnsiTheme="majorHAnsi"/>
          <w:sz w:val="16"/>
          <w:szCs w:val="16"/>
          <w:lang w:val="es"/>
        </w:rPr>
        <w:t xml:space="preserve"> interpuso este recurso.</w:t>
      </w:r>
    </w:p>
  </w:footnote>
  <w:footnote w:id="5">
    <w:p w:rsidR="00A81DF8" w:rsidRPr="00857251" w:rsidRDefault="00A72F0A">
      <w:pPr>
        <w:pStyle w:val="FootnoteText"/>
        <w:rPr>
          <w:rFonts w:asciiTheme="majorHAnsi" w:hAnsiTheme="majorHAnsi"/>
          <w:sz w:val="16"/>
          <w:szCs w:val="16"/>
          <w:lang w:val="es-AR"/>
        </w:rPr>
      </w:pPr>
      <w:r>
        <w:rPr>
          <w:rFonts w:asciiTheme="majorHAnsi" w:hAnsiTheme="majorHAnsi"/>
          <w:sz w:val="16"/>
          <w:szCs w:val="16"/>
          <w:lang w:val="es"/>
        </w:rPr>
        <w:tab/>
      </w:r>
      <w:r w:rsidR="00A81DF8">
        <w:rPr>
          <w:rStyle w:val="FootnoteReference"/>
          <w:rFonts w:asciiTheme="majorHAnsi" w:hAnsiTheme="majorHAnsi"/>
          <w:sz w:val="16"/>
          <w:szCs w:val="16"/>
          <w:lang w:val="es"/>
        </w:rPr>
        <w:footnoteRef/>
      </w:r>
      <w:r w:rsidR="00A81DF8">
        <w:rPr>
          <w:rFonts w:asciiTheme="majorHAnsi" w:hAnsiTheme="majorHAnsi"/>
          <w:sz w:val="16"/>
          <w:szCs w:val="16"/>
          <w:lang w:val="es"/>
        </w:rPr>
        <w:t xml:space="preserve"> </w:t>
      </w:r>
      <w:r w:rsidR="00A81DF8" w:rsidRPr="00A73580">
        <w:rPr>
          <w:rFonts w:asciiTheme="majorHAnsi" w:hAnsiTheme="majorHAnsi"/>
          <w:sz w:val="16"/>
          <w:szCs w:val="16"/>
          <w:lang w:val="es"/>
        </w:rPr>
        <w:t>Entre lo</w:t>
      </w:r>
      <w:r w:rsidR="00197A8D" w:rsidRPr="00A73580">
        <w:rPr>
          <w:rFonts w:asciiTheme="majorHAnsi" w:hAnsiTheme="majorHAnsi"/>
          <w:sz w:val="16"/>
          <w:szCs w:val="16"/>
          <w:lang w:val="es"/>
        </w:rPr>
        <w:t>s que se encuentran</w:t>
      </w:r>
      <w:r w:rsidR="00A81DF8">
        <w:rPr>
          <w:rFonts w:asciiTheme="majorHAnsi" w:hAnsiTheme="majorHAnsi"/>
          <w:b/>
          <w:bCs/>
          <w:sz w:val="16"/>
          <w:szCs w:val="16"/>
          <w:lang w:val="es"/>
        </w:rPr>
        <w:t xml:space="preserve"> </w:t>
      </w:r>
      <w:r w:rsidR="00A81DF8">
        <w:rPr>
          <w:rFonts w:asciiTheme="majorHAnsi" w:hAnsiTheme="majorHAnsi"/>
          <w:sz w:val="16"/>
          <w:szCs w:val="16"/>
          <w:lang w:val="es"/>
        </w:rPr>
        <w:t xml:space="preserve">el presidente Eduardo Duhalde (2002); el presidente Néstor Kirchner (2004); y la presidenta Cristina Fernández (2008). </w:t>
      </w:r>
    </w:p>
  </w:footnote>
  <w:footnote w:id="6">
    <w:p w:rsidR="00097CCB" w:rsidRPr="00857251" w:rsidRDefault="00A72F0A">
      <w:pPr>
        <w:pStyle w:val="FootnoteText"/>
        <w:rPr>
          <w:rFonts w:asciiTheme="majorHAnsi" w:hAnsiTheme="majorHAnsi"/>
          <w:sz w:val="16"/>
          <w:szCs w:val="16"/>
          <w:lang w:val="es-AR"/>
        </w:rPr>
      </w:pPr>
      <w:r>
        <w:rPr>
          <w:rFonts w:asciiTheme="majorHAnsi" w:hAnsiTheme="majorHAnsi"/>
          <w:sz w:val="16"/>
          <w:szCs w:val="16"/>
          <w:lang w:val="es-AR"/>
        </w:rPr>
        <w:tab/>
      </w:r>
      <w:r w:rsidR="00097CCB">
        <w:rPr>
          <w:rStyle w:val="FootnoteReference"/>
          <w:rFonts w:asciiTheme="majorHAnsi" w:hAnsiTheme="majorHAnsi"/>
          <w:sz w:val="16"/>
          <w:szCs w:val="16"/>
          <w:lang w:val="es"/>
        </w:rPr>
        <w:footnoteRef/>
      </w:r>
      <w:r w:rsidR="00097CCB">
        <w:rPr>
          <w:rFonts w:asciiTheme="majorHAnsi" w:hAnsiTheme="majorHAnsi"/>
          <w:sz w:val="16"/>
          <w:szCs w:val="16"/>
          <w:lang w:val="es"/>
        </w:rPr>
        <w:t xml:space="preserve"> Finalmente, la Comisión rechazó la solicitud de medidas cautelares (MC 204-10).</w:t>
      </w:r>
    </w:p>
  </w:footnote>
  <w:footnote w:id="7">
    <w:p w:rsidR="00C33664" w:rsidRPr="00857251" w:rsidRDefault="00A72F0A">
      <w:pPr>
        <w:pStyle w:val="FootnoteText"/>
        <w:rPr>
          <w:rFonts w:asciiTheme="majorHAnsi" w:hAnsiTheme="majorHAnsi"/>
          <w:sz w:val="16"/>
          <w:szCs w:val="16"/>
          <w:lang w:val="es-AR"/>
        </w:rPr>
      </w:pPr>
      <w:r>
        <w:rPr>
          <w:rFonts w:asciiTheme="majorHAnsi" w:hAnsiTheme="majorHAnsi"/>
          <w:sz w:val="16"/>
          <w:szCs w:val="16"/>
          <w:lang w:val="es"/>
        </w:rPr>
        <w:tab/>
      </w:r>
      <w:r w:rsidR="00C33664">
        <w:rPr>
          <w:rStyle w:val="FootnoteReference"/>
          <w:rFonts w:asciiTheme="majorHAnsi" w:hAnsiTheme="majorHAnsi"/>
          <w:sz w:val="16"/>
          <w:szCs w:val="16"/>
          <w:lang w:val="es"/>
        </w:rPr>
        <w:footnoteRef/>
      </w:r>
      <w:r w:rsidR="00C33664">
        <w:rPr>
          <w:rFonts w:asciiTheme="majorHAnsi" w:hAnsiTheme="majorHAnsi"/>
          <w:sz w:val="16"/>
          <w:szCs w:val="16"/>
          <w:lang w:val="es"/>
        </w:rPr>
        <w:t xml:space="preserve"> Véase artículo 31(3) del Reglamento de la Comisión. Véase también: Corte IDH, Caso Velásquez Rodríguez Vs. Honduras. Sentencia del 29 de julio de 1988. Serie C No. 4, párr. 64.</w:t>
      </w:r>
    </w:p>
  </w:footnote>
  <w:footnote w:id="8">
    <w:p w:rsidR="00C33664" w:rsidRPr="00352575" w:rsidRDefault="00A72F0A">
      <w:pPr>
        <w:pStyle w:val="FootnoteText"/>
        <w:rPr>
          <w:rFonts w:asciiTheme="majorHAnsi" w:hAnsiTheme="majorHAnsi"/>
          <w:sz w:val="16"/>
          <w:szCs w:val="16"/>
          <w:lang w:val="es-US"/>
        </w:rPr>
      </w:pPr>
      <w:r>
        <w:rPr>
          <w:lang w:val="es"/>
        </w:rPr>
        <w:tab/>
      </w:r>
      <w:r w:rsidR="00C33664">
        <w:rPr>
          <w:rStyle w:val="FootnoteReference"/>
          <w:lang w:val="es"/>
        </w:rPr>
        <w:footnoteRef/>
      </w:r>
      <w:r w:rsidR="00C33664">
        <w:rPr>
          <w:lang w:val="es"/>
        </w:rPr>
        <w:t xml:space="preserve"> </w:t>
      </w:r>
      <w:r w:rsidR="00C33664">
        <w:rPr>
          <w:rFonts w:asciiTheme="majorHAnsi" w:hAnsiTheme="majorHAnsi"/>
          <w:sz w:val="16"/>
          <w:szCs w:val="16"/>
          <w:lang w:val="es"/>
        </w:rPr>
        <w:t xml:space="preserve">Véase Corte IDH, Caso de la Comunidad </w:t>
      </w:r>
      <w:proofErr w:type="spellStart"/>
      <w:r w:rsidR="00C33664">
        <w:rPr>
          <w:rFonts w:asciiTheme="majorHAnsi" w:hAnsiTheme="majorHAnsi"/>
          <w:sz w:val="16"/>
          <w:szCs w:val="16"/>
          <w:lang w:val="es"/>
        </w:rPr>
        <w:t>Mayagna</w:t>
      </w:r>
      <w:proofErr w:type="spellEnd"/>
      <w:r w:rsidR="00C33664">
        <w:rPr>
          <w:rFonts w:asciiTheme="majorHAnsi" w:hAnsiTheme="majorHAnsi"/>
          <w:sz w:val="16"/>
          <w:szCs w:val="16"/>
          <w:lang w:val="es"/>
        </w:rPr>
        <w:t xml:space="preserve"> (Sumo) </w:t>
      </w:r>
      <w:proofErr w:type="spellStart"/>
      <w:r w:rsidR="00C33664">
        <w:rPr>
          <w:rFonts w:asciiTheme="majorHAnsi" w:hAnsiTheme="majorHAnsi"/>
          <w:sz w:val="16"/>
          <w:szCs w:val="16"/>
          <w:lang w:val="es"/>
        </w:rPr>
        <w:t>Awas</w:t>
      </w:r>
      <w:proofErr w:type="spellEnd"/>
      <w:r w:rsidR="00C33664">
        <w:rPr>
          <w:rFonts w:asciiTheme="majorHAnsi" w:hAnsiTheme="majorHAnsi"/>
          <w:sz w:val="16"/>
          <w:szCs w:val="16"/>
          <w:lang w:val="es"/>
        </w:rPr>
        <w:t xml:space="preserve"> </w:t>
      </w:r>
      <w:proofErr w:type="spellStart"/>
      <w:r w:rsidR="00C33664">
        <w:rPr>
          <w:rFonts w:asciiTheme="majorHAnsi" w:hAnsiTheme="majorHAnsi"/>
          <w:sz w:val="16"/>
          <w:szCs w:val="16"/>
          <w:lang w:val="es"/>
        </w:rPr>
        <w:t>Tingni</w:t>
      </w:r>
      <w:proofErr w:type="spellEnd"/>
      <w:r w:rsidR="00C33664">
        <w:rPr>
          <w:rFonts w:asciiTheme="majorHAnsi" w:hAnsiTheme="majorHAnsi"/>
          <w:sz w:val="16"/>
          <w:szCs w:val="16"/>
          <w:lang w:val="es"/>
        </w:rPr>
        <w:t xml:space="preserve"> Vs. Nicaragua. Sentencia del 31 de agosto de 2001. Serie C No. 79, párr. 131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lang w:val="es"/>
      </w:rPr>
      <w:fldChar w:fldCharType="begin"/>
    </w:r>
    <w:r>
      <w:rPr>
        <w:rStyle w:val="PageNumber"/>
        <w:rFonts w:eastAsia="Trebuchet MS"/>
        <w:lang w:val="es"/>
      </w:rPr>
      <w:instrText xml:space="preserve">PAGE  </w:instrText>
    </w:r>
    <w:r>
      <w:rPr>
        <w:rStyle w:val="PageNumber"/>
        <w:rFonts w:eastAsia="Trebuchet MS"/>
        <w:lang w:val="e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9B3A73" w:rsidP="002C1641">
    <w:pPr>
      <w:pStyle w:val="Header"/>
      <w:tabs>
        <w:tab w:val="clear" w:pos="4320"/>
        <w:tab w:val="clear" w:pos="8640"/>
      </w:tabs>
      <w:jc w:val="center"/>
      <w:rPr>
        <w:sz w:val="22"/>
        <w:szCs w:val="22"/>
      </w:rPr>
    </w:pPr>
    <w:r>
      <w:rPr>
        <w:noProof/>
        <w:sz w:val="22"/>
        <w:szCs w:val="22"/>
      </w:rPr>
      <w:drawing>
        <wp:inline distT="0" distB="0" distL="0" distR="0" wp14:anchorId="4983BA20" wp14:editId="5D88474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CA4939" w:rsidP="002C1641">
    <w:pPr>
      <w:pStyle w:val="Header"/>
      <w:tabs>
        <w:tab w:val="clear" w:pos="4320"/>
        <w:tab w:val="clear" w:pos="8640"/>
      </w:tabs>
      <w:jc w:val="center"/>
      <w:rPr>
        <w:sz w:val="22"/>
        <w:szCs w:val="22"/>
      </w:rPr>
    </w:pPr>
    <w:r>
      <w:rPr>
        <w:sz w:val="22"/>
        <w:szCs w:val="22"/>
        <w:lang w:val="es"/>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575" w:rsidRDefault="003525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81258"/>
    <w:rsid w:val="00092F32"/>
    <w:rsid w:val="0009344A"/>
    <w:rsid w:val="00097CCB"/>
    <w:rsid w:val="000A575F"/>
    <w:rsid w:val="000C4365"/>
    <w:rsid w:val="000D10DB"/>
    <w:rsid w:val="000F385B"/>
    <w:rsid w:val="0012177D"/>
    <w:rsid w:val="00124116"/>
    <w:rsid w:val="0013104F"/>
    <w:rsid w:val="00137EBA"/>
    <w:rsid w:val="00145EDC"/>
    <w:rsid w:val="00153084"/>
    <w:rsid w:val="00167A34"/>
    <w:rsid w:val="001714B4"/>
    <w:rsid w:val="0018037F"/>
    <w:rsid w:val="00197A8D"/>
    <w:rsid w:val="001A5F27"/>
    <w:rsid w:val="001A65E4"/>
    <w:rsid w:val="001A7870"/>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A7973"/>
    <w:rsid w:val="002B7A85"/>
    <w:rsid w:val="002C1641"/>
    <w:rsid w:val="002C7F70"/>
    <w:rsid w:val="002D7EA2"/>
    <w:rsid w:val="002E15DF"/>
    <w:rsid w:val="002E187C"/>
    <w:rsid w:val="002E3832"/>
    <w:rsid w:val="002E6E57"/>
    <w:rsid w:val="00301075"/>
    <w:rsid w:val="00302733"/>
    <w:rsid w:val="00311A4F"/>
    <w:rsid w:val="00314078"/>
    <w:rsid w:val="00321AFD"/>
    <w:rsid w:val="00322450"/>
    <w:rsid w:val="003246B5"/>
    <w:rsid w:val="0033169F"/>
    <w:rsid w:val="003414AC"/>
    <w:rsid w:val="00352575"/>
    <w:rsid w:val="00356185"/>
    <w:rsid w:val="00360380"/>
    <w:rsid w:val="00364FC3"/>
    <w:rsid w:val="003771A3"/>
    <w:rsid w:val="00386CF0"/>
    <w:rsid w:val="003A4348"/>
    <w:rsid w:val="003C32BC"/>
    <w:rsid w:val="003C64B0"/>
    <w:rsid w:val="003E3E03"/>
    <w:rsid w:val="003F1BBF"/>
    <w:rsid w:val="004162B1"/>
    <w:rsid w:val="004165C2"/>
    <w:rsid w:val="00431838"/>
    <w:rsid w:val="0043403E"/>
    <w:rsid w:val="00443F4D"/>
    <w:rsid w:val="00450A4A"/>
    <w:rsid w:val="0045281C"/>
    <w:rsid w:val="00454E07"/>
    <w:rsid w:val="004666FB"/>
    <w:rsid w:val="00466D0B"/>
    <w:rsid w:val="00467B7E"/>
    <w:rsid w:val="0049419D"/>
    <w:rsid w:val="004B2762"/>
    <w:rsid w:val="004B7EB6"/>
    <w:rsid w:val="004C41DE"/>
    <w:rsid w:val="004C4B62"/>
    <w:rsid w:val="004D6025"/>
    <w:rsid w:val="004D72BC"/>
    <w:rsid w:val="004E5B93"/>
    <w:rsid w:val="004F01AC"/>
    <w:rsid w:val="004F250D"/>
    <w:rsid w:val="004F6B67"/>
    <w:rsid w:val="00501399"/>
    <w:rsid w:val="00507BC4"/>
    <w:rsid w:val="005128E4"/>
    <w:rsid w:val="00525560"/>
    <w:rsid w:val="00527040"/>
    <w:rsid w:val="005357A6"/>
    <w:rsid w:val="00544C49"/>
    <w:rsid w:val="00547446"/>
    <w:rsid w:val="00564B76"/>
    <w:rsid w:val="0057402A"/>
    <w:rsid w:val="005771D0"/>
    <w:rsid w:val="005816E5"/>
    <w:rsid w:val="0059191A"/>
    <w:rsid w:val="005921FF"/>
    <w:rsid w:val="00592718"/>
    <w:rsid w:val="005A6D0E"/>
    <w:rsid w:val="005B222D"/>
    <w:rsid w:val="005B52B0"/>
    <w:rsid w:val="005B6806"/>
    <w:rsid w:val="005C00F9"/>
    <w:rsid w:val="005C4225"/>
    <w:rsid w:val="005F0F33"/>
    <w:rsid w:val="00600DEB"/>
    <w:rsid w:val="006039E4"/>
    <w:rsid w:val="00613027"/>
    <w:rsid w:val="00627C9F"/>
    <w:rsid w:val="006311DA"/>
    <w:rsid w:val="006311E9"/>
    <w:rsid w:val="006318B2"/>
    <w:rsid w:val="00632354"/>
    <w:rsid w:val="00642810"/>
    <w:rsid w:val="00652333"/>
    <w:rsid w:val="00653EA6"/>
    <w:rsid w:val="0068009E"/>
    <w:rsid w:val="00695BC3"/>
    <w:rsid w:val="006A17D2"/>
    <w:rsid w:val="006A73E6"/>
    <w:rsid w:val="006B2D5C"/>
    <w:rsid w:val="006C4EB1"/>
    <w:rsid w:val="006D4707"/>
    <w:rsid w:val="006E0166"/>
    <w:rsid w:val="006E562E"/>
    <w:rsid w:val="006E7B34"/>
    <w:rsid w:val="00701B24"/>
    <w:rsid w:val="00706858"/>
    <w:rsid w:val="0071495F"/>
    <w:rsid w:val="0073798E"/>
    <w:rsid w:val="00745899"/>
    <w:rsid w:val="007607C4"/>
    <w:rsid w:val="0076643F"/>
    <w:rsid w:val="00781653"/>
    <w:rsid w:val="007A2F70"/>
    <w:rsid w:val="007C3334"/>
    <w:rsid w:val="007C52BB"/>
    <w:rsid w:val="007C5E47"/>
    <w:rsid w:val="007D2B98"/>
    <w:rsid w:val="007E53F4"/>
    <w:rsid w:val="007F4D00"/>
    <w:rsid w:val="00803F1C"/>
    <w:rsid w:val="0080600E"/>
    <w:rsid w:val="00817612"/>
    <w:rsid w:val="00837C45"/>
    <w:rsid w:val="00853419"/>
    <w:rsid w:val="00857251"/>
    <w:rsid w:val="008824FD"/>
    <w:rsid w:val="00897E12"/>
    <w:rsid w:val="008D43BA"/>
    <w:rsid w:val="008E3759"/>
    <w:rsid w:val="008F0588"/>
    <w:rsid w:val="009041DC"/>
    <w:rsid w:val="009104B4"/>
    <w:rsid w:val="009228DA"/>
    <w:rsid w:val="00925FCD"/>
    <w:rsid w:val="0093441A"/>
    <w:rsid w:val="00954BF7"/>
    <w:rsid w:val="0096706E"/>
    <w:rsid w:val="00981FBA"/>
    <w:rsid w:val="0098783D"/>
    <w:rsid w:val="009B381B"/>
    <w:rsid w:val="009B3A73"/>
    <w:rsid w:val="009D7611"/>
    <w:rsid w:val="009E53DE"/>
    <w:rsid w:val="009E566A"/>
    <w:rsid w:val="00A037F7"/>
    <w:rsid w:val="00A12DBC"/>
    <w:rsid w:val="00A43458"/>
    <w:rsid w:val="00A528D1"/>
    <w:rsid w:val="00A66BE5"/>
    <w:rsid w:val="00A72F0A"/>
    <w:rsid w:val="00A73580"/>
    <w:rsid w:val="00A81DF8"/>
    <w:rsid w:val="00AC343F"/>
    <w:rsid w:val="00AC57A1"/>
    <w:rsid w:val="00AD37C1"/>
    <w:rsid w:val="00AE66EC"/>
    <w:rsid w:val="00AE6F91"/>
    <w:rsid w:val="00AF4F06"/>
    <w:rsid w:val="00AF5571"/>
    <w:rsid w:val="00B06BB7"/>
    <w:rsid w:val="00B167E9"/>
    <w:rsid w:val="00B179ED"/>
    <w:rsid w:val="00B314DB"/>
    <w:rsid w:val="00B31EBE"/>
    <w:rsid w:val="00B3718B"/>
    <w:rsid w:val="00B44B23"/>
    <w:rsid w:val="00B4632A"/>
    <w:rsid w:val="00B5606B"/>
    <w:rsid w:val="00B824B7"/>
    <w:rsid w:val="00B92E49"/>
    <w:rsid w:val="00B97A33"/>
    <w:rsid w:val="00BA276C"/>
    <w:rsid w:val="00BB306F"/>
    <w:rsid w:val="00BB3326"/>
    <w:rsid w:val="00BD232B"/>
    <w:rsid w:val="00BD2E42"/>
    <w:rsid w:val="00BD4B89"/>
    <w:rsid w:val="00C0063F"/>
    <w:rsid w:val="00C21762"/>
    <w:rsid w:val="00C24543"/>
    <w:rsid w:val="00C256A2"/>
    <w:rsid w:val="00C32471"/>
    <w:rsid w:val="00C33664"/>
    <w:rsid w:val="00C3492D"/>
    <w:rsid w:val="00C55560"/>
    <w:rsid w:val="00C65F2E"/>
    <w:rsid w:val="00C66B72"/>
    <w:rsid w:val="00C9567A"/>
    <w:rsid w:val="00CA4939"/>
    <w:rsid w:val="00CA6577"/>
    <w:rsid w:val="00CB2660"/>
    <w:rsid w:val="00CC5E90"/>
    <w:rsid w:val="00CD046C"/>
    <w:rsid w:val="00CE5199"/>
    <w:rsid w:val="00CE66D5"/>
    <w:rsid w:val="00D13FA8"/>
    <w:rsid w:val="00D34786"/>
    <w:rsid w:val="00D40A1E"/>
    <w:rsid w:val="00D533C0"/>
    <w:rsid w:val="00D6485A"/>
    <w:rsid w:val="00D712D3"/>
    <w:rsid w:val="00D71422"/>
    <w:rsid w:val="00D7145E"/>
    <w:rsid w:val="00D75084"/>
    <w:rsid w:val="00D7558D"/>
    <w:rsid w:val="00D81D92"/>
    <w:rsid w:val="00D93446"/>
    <w:rsid w:val="00DA7B5F"/>
    <w:rsid w:val="00DC5842"/>
    <w:rsid w:val="00DF078B"/>
    <w:rsid w:val="00DF350D"/>
    <w:rsid w:val="00E00B32"/>
    <w:rsid w:val="00E03B5D"/>
    <w:rsid w:val="00E227C1"/>
    <w:rsid w:val="00E43157"/>
    <w:rsid w:val="00E47F3D"/>
    <w:rsid w:val="00E533FF"/>
    <w:rsid w:val="00E709B3"/>
    <w:rsid w:val="00E73604"/>
    <w:rsid w:val="00E73E22"/>
    <w:rsid w:val="00E7588C"/>
    <w:rsid w:val="00E7797F"/>
    <w:rsid w:val="00E84395"/>
    <w:rsid w:val="00E850B6"/>
    <w:rsid w:val="00E8789F"/>
    <w:rsid w:val="00E97B71"/>
    <w:rsid w:val="00EB454D"/>
    <w:rsid w:val="00ED0D1B"/>
    <w:rsid w:val="00ED572C"/>
    <w:rsid w:val="00EE3522"/>
    <w:rsid w:val="00EF619B"/>
    <w:rsid w:val="00F00B55"/>
    <w:rsid w:val="00F1380F"/>
    <w:rsid w:val="00F14F0E"/>
    <w:rsid w:val="00F15A3B"/>
    <w:rsid w:val="00F16B08"/>
    <w:rsid w:val="00F24C29"/>
    <w:rsid w:val="00F253CC"/>
    <w:rsid w:val="00F33E34"/>
    <w:rsid w:val="00F42B71"/>
    <w:rsid w:val="00F56BA5"/>
    <w:rsid w:val="00F57074"/>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15F29"/>
    <w:rsid w:val="000330EF"/>
    <w:rsid w:val="000D686F"/>
    <w:rsid w:val="00277D32"/>
    <w:rsid w:val="003863AA"/>
    <w:rsid w:val="003921F0"/>
    <w:rsid w:val="004108B1"/>
    <w:rsid w:val="00A3104D"/>
    <w:rsid w:val="00AA456E"/>
    <w:rsid w:val="00AB44F1"/>
    <w:rsid w:val="00B044BB"/>
    <w:rsid w:val="00B52F8B"/>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452DE-73F9-46B4-9132-08CCD1F0F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2785</Words>
  <Characters>14402</Characters>
  <Application>Microsoft Office Word</Application>
  <DocSecurity>0</DocSecurity>
  <Lines>327</Lines>
  <Paragraphs>74</Paragraphs>
  <ScaleCrop>false</ScaleCrop>
  <Company/>
  <LinksUpToDate>false</LinksUpToDate>
  <CharactersWithSpaces>17113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268/20</dc:title>
  <dc:creator/>
  <cp:lastModifiedBy/>
  <cp:revision>1</cp:revision>
  <dcterms:created xsi:type="dcterms:W3CDTF">2020-10-19T17:59:00Z</dcterms:created>
  <dcterms:modified xsi:type="dcterms:W3CDTF">2020-10-19T17:59:00Z</dcterms:modified>
</cp:coreProperties>
</file>