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149C7AA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2A6C71" w:rsidRDefault="002A6C71" w:rsidP="00AE5488">
                            <w:r>
                              <w:rPr>
                                <w:noProof/>
                              </w:rPr>
                              <w:drawing>
                                <wp:inline distT="0" distB="0" distL="0" distR="0" wp14:anchorId="7A21157D" wp14:editId="62425977">
                                  <wp:extent cx="2647666" cy="509676"/>
                                  <wp:effectExtent l="0" t="0" r="635" b="508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2A6C71" w:rsidRDefault="002A6C71" w:rsidP="00AE5488">
                      <w:r>
                        <w:rPr>
                          <w:noProof/>
                        </w:rPr>
                        <w:drawing>
                          <wp:inline distT="0" distB="0" distL="0" distR="0" wp14:anchorId="7A21157D" wp14:editId="62425977">
                            <wp:extent cx="2647666" cy="509676"/>
                            <wp:effectExtent l="0" t="0" r="635" b="508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4BB515A4"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AA806B4" w:rsidR="002A6C71" w:rsidRPr="004E2649" w:rsidRDefault="002A6C7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BD4AEE">
                              <w:rPr>
                                <w:rFonts w:asciiTheme="majorHAnsi" w:hAnsiTheme="majorHAnsi" w:cs="Arial"/>
                                <w:b/>
                                <w:bCs/>
                                <w:color w:val="0D0D0D" w:themeColor="text1" w:themeTint="F2"/>
                                <w:sz w:val="36"/>
                                <w:szCs w:val="22"/>
                                <w:lang w:val="es-ES_tradnl"/>
                              </w:rPr>
                              <w:t xml:space="preserve"> 113</w:t>
                            </w:r>
                            <w:r>
                              <w:rPr>
                                <w:rFonts w:asciiTheme="majorHAnsi" w:hAnsiTheme="majorHAnsi" w:cs="Arial"/>
                                <w:b/>
                                <w:bCs/>
                                <w:color w:val="0D0D0D" w:themeColor="text1" w:themeTint="F2"/>
                                <w:sz w:val="36"/>
                                <w:szCs w:val="22"/>
                                <w:lang w:val="es-ES_tradnl"/>
                              </w:rPr>
                              <w:t>/20</w:t>
                            </w:r>
                          </w:p>
                          <w:p w14:paraId="09C54AB3" w14:textId="4A3C1885" w:rsidR="002A6C71" w:rsidRDefault="002A6C7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211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70CF6833" w14:textId="083E7F3B" w:rsidR="002A6C71" w:rsidRPr="003D0CE9" w:rsidRDefault="002A6C71" w:rsidP="00997BC5">
                            <w:pPr>
                              <w:spacing w:line="276" w:lineRule="auto"/>
                              <w:rPr>
                                <w:rFonts w:asciiTheme="majorHAnsi" w:hAnsiTheme="majorHAnsi" w:cs="Arial"/>
                                <w:szCs w:val="22"/>
                                <w:lang w:val="es-ES_tradnl"/>
                              </w:rPr>
                            </w:pPr>
                            <w:r w:rsidRPr="003D0CE9">
                              <w:rPr>
                                <w:rFonts w:asciiTheme="majorHAnsi" w:hAnsiTheme="majorHAnsi" w:cs="Arial"/>
                                <w:szCs w:val="22"/>
                                <w:lang w:val="es-ES_tradnl"/>
                              </w:rPr>
                              <w:t>INFORME DE ADMISIBILIDAD</w:t>
                            </w:r>
                          </w:p>
                          <w:p w14:paraId="5FDD6F0D" w14:textId="77777777" w:rsidR="002A6C71" w:rsidRPr="003D0CE9" w:rsidRDefault="002A6C71" w:rsidP="00997BC5">
                            <w:pPr>
                              <w:spacing w:line="276" w:lineRule="auto"/>
                              <w:rPr>
                                <w:rFonts w:asciiTheme="majorHAnsi" w:hAnsiTheme="majorHAnsi" w:cs="Arial"/>
                                <w:szCs w:val="22"/>
                                <w:lang w:val="es-ES_tradnl"/>
                              </w:rPr>
                            </w:pPr>
                            <w:bookmarkStart w:id="1" w:name="_ftnref1"/>
                          </w:p>
                          <w:p w14:paraId="4CFA2FBF" w14:textId="1EF0C35E" w:rsidR="002A6C71" w:rsidRPr="003D0CE9" w:rsidRDefault="002A6C71" w:rsidP="00997BC5">
                            <w:pPr>
                              <w:spacing w:line="276" w:lineRule="auto"/>
                              <w:rPr>
                                <w:rFonts w:asciiTheme="majorHAnsi" w:hAnsiTheme="majorHAnsi" w:cs="Arial"/>
                                <w:szCs w:val="22"/>
                                <w:lang w:val="es-ES_tradnl"/>
                              </w:rPr>
                            </w:pPr>
                            <w:r w:rsidRPr="003D0CE9">
                              <w:rPr>
                                <w:rFonts w:asciiTheme="majorHAnsi" w:hAnsiTheme="majorHAnsi" w:cs="Arial"/>
                                <w:szCs w:val="22"/>
                                <w:lang w:val="es-ES_tradnl"/>
                              </w:rPr>
                              <w:t>64 COMUNIDADES DE LOS PUEBLOS MOJEÑO, YURACARÉ Y TSIMANE</w:t>
                            </w:r>
                          </w:p>
                          <w:bookmarkEnd w:id="1"/>
                          <w:p w14:paraId="35068D0D" w14:textId="3FFE8ACE" w:rsidR="002A6C71" w:rsidRPr="003D0CE9" w:rsidRDefault="002A6C71" w:rsidP="00997BC5">
                            <w:pPr>
                              <w:spacing w:line="276" w:lineRule="auto"/>
                              <w:rPr>
                                <w:rFonts w:asciiTheme="majorHAnsi" w:hAnsiTheme="majorHAnsi" w:cs="Arial"/>
                                <w:szCs w:val="22"/>
                                <w:lang w:val="es-ES"/>
                              </w:rPr>
                            </w:pPr>
                            <w:r w:rsidRPr="003D0CE9">
                              <w:rPr>
                                <w:rFonts w:asciiTheme="majorHAnsi" w:hAnsiTheme="majorHAnsi" w:cs="Arial"/>
                                <w:szCs w:val="22"/>
                                <w:lang w:val="es-ES_tradnl"/>
                              </w:rPr>
                              <w:t>BOLIVIA</w:t>
                            </w:r>
                          </w:p>
                          <w:p w14:paraId="575DFD52" w14:textId="77777777" w:rsidR="002A6C71" w:rsidRPr="00AE5488" w:rsidRDefault="002A6C7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AA806B4" w:rsidR="002A6C71" w:rsidRPr="004E2649" w:rsidRDefault="002A6C7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BD4AEE">
                        <w:rPr>
                          <w:rFonts w:asciiTheme="majorHAnsi" w:hAnsiTheme="majorHAnsi" w:cs="Arial"/>
                          <w:b/>
                          <w:bCs/>
                          <w:color w:val="0D0D0D" w:themeColor="text1" w:themeTint="F2"/>
                          <w:sz w:val="36"/>
                          <w:szCs w:val="22"/>
                          <w:lang w:val="es-ES_tradnl"/>
                        </w:rPr>
                        <w:t xml:space="preserve"> 113</w:t>
                      </w:r>
                      <w:r>
                        <w:rPr>
                          <w:rFonts w:asciiTheme="majorHAnsi" w:hAnsiTheme="majorHAnsi" w:cs="Arial"/>
                          <w:b/>
                          <w:bCs/>
                          <w:color w:val="0D0D0D" w:themeColor="text1" w:themeTint="F2"/>
                          <w:sz w:val="36"/>
                          <w:szCs w:val="22"/>
                          <w:lang w:val="es-ES_tradnl"/>
                        </w:rPr>
                        <w:t>/20</w:t>
                      </w:r>
                    </w:p>
                    <w:p w14:paraId="09C54AB3" w14:textId="4A3C1885" w:rsidR="002A6C71" w:rsidRDefault="002A6C7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211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70CF6833" w14:textId="083E7F3B" w:rsidR="002A6C71" w:rsidRPr="003D0CE9" w:rsidRDefault="002A6C71" w:rsidP="00997BC5">
                      <w:pPr>
                        <w:spacing w:line="276" w:lineRule="auto"/>
                        <w:rPr>
                          <w:rFonts w:asciiTheme="majorHAnsi" w:hAnsiTheme="majorHAnsi" w:cs="Arial"/>
                          <w:szCs w:val="22"/>
                          <w:lang w:val="es-ES_tradnl"/>
                        </w:rPr>
                      </w:pPr>
                      <w:r w:rsidRPr="003D0CE9">
                        <w:rPr>
                          <w:rFonts w:asciiTheme="majorHAnsi" w:hAnsiTheme="majorHAnsi" w:cs="Arial"/>
                          <w:szCs w:val="22"/>
                          <w:lang w:val="es-ES_tradnl"/>
                        </w:rPr>
                        <w:t>INFORME DE ADMISIBILIDAD</w:t>
                      </w:r>
                    </w:p>
                    <w:p w14:paraId="5FDD6F0D" w14:textId="77777777" w:rsidR="002A6C71" w:rsidRPr="003D0CE9" w:rsidRDefault="002A6C71" w:rsidP="00997BC5">
                      <w:pPr>
                        <w:spacing w:line="276" w:lineRule="auto"/>
                        <w:rPr>
                          <w:rFonts w:asciiTheme="majorHAnsi" w:hAnsiTheme="majorHAnsi" w:cs="Arial"/>
                          <w:szCs w:val="22"/>
                          <w:lang w:val="es-ES_tradnl"/>
                        </w:rPr>
                      </w:pPr>
                      <w:bookmarkStart w:id="2" w:name="_ftnref1"/>
                    </w:p>
                    <w:p w14:paraId="4CFA2FBF" w14:textId="1EF0C35E" w:rsidR="002A6C71" w:rsidRPr="003D0CE9" w:rsidRDefault="002A6C71" w:rsidP="00997BC5">
                      <w:pPr>
                        <w:spacing w:line="276" w:lineRule="auto"/>
                        <w:rPr>
                          <w:rFonts w:asciiTheme="majorHAnsi" w:hAnsiTheme="majorHAnsi" w:cs="Arial"/>
                          <w:szCs w:val="22"/>
                          <w:lang w:val="es-ES_tradnl"/>
                        </w:rPr>
                      </w:pPr>
                      <w:r w:rsidRPr="003D0CE9">
                        <w:rPr>
                          <w:rFonts w:asciiTheme="majorHAnsi" w:hAnsiTheme="majorHAnsi" w:cs="Arial"/>
                          <w:szCs w:val="22"/>
                          <w:lang w:val="es-ES_tradnl"/>
                        </w:rPr>
                        <w:t>64 COMUNIDADES DE LOS PUEBLOS MOJEÑO, YURACARÉ Y TSIMANE</w:t>
                      </w:r>
                    </w:p>
                    <w:bookmarkEnd w:id="2"/>
                    <w:p w14:paraId="35068D0D" w14:textId="3FFE8ACE" w:rsidR="002A6C71" w:rsidRPr="003D0CE9" w:rsidRDefault="002A6C71" w:rsidP="00997BC5">
                      <w:pPr>
                        <w:spacing w:line="276" w:lineRule="auto"/>
                        <w:rPr>
                          <w:rFonts w:asciiTheme="majorHAnsi" w:hAnsiTheme="majorHAnsi" w:cs="Arial"/>
                          <w:szCs w:val="22"/>
                          <w:lang w:val="es-ES"/>
                        </w:rPr>
                      </w:pPr>
                      <w:r w:rsidRPr="003D0CE9">
                        <w:rPr>
                          <w:rFonts w:asciiTheme="majorHAnsi" w:hAnsiTheme="majorHAnsi" w:cs="Arial"/>
                          <w:szCs w:val="22"/>
                          <w:lang w:val="es-ES_tradnl"/>
                        </w:rPr>
                        <w:t>BOLIVIA</w:t>
                      </w:r>
                    </w:p>
                    <w:p w14:paraId="575DFD52" w14:textId="77777777" w:rsidR="002A6C71" w:rsidRPr="00AE5488" w:rsidRDefault="002A6C71"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8A420B8" w:rsidR="002A6C71" w:rsidRPr="00935F06" w:rsidRDefault="002A2C6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7F5A77A" w:rsidR="002A6C71" w:rsidRPr="00935F06" w:rsidRDefault="00BD4AE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123</w:t>
                            </w:r>
                          </w:p>
                          <w:p w14:paraId="69373ED2" w14:textId="366C78DF" w:rsidR="002A6C71" w:rsidRPr="001B4C00" w:rsidRDefault="00BD4AE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abril</w:t>
                            </w:r>
                            <w:r w:rsidR="002A2C67">
                              <w:rPr>
                                <w:rFonts w:asciiTheme="minorHAnsi" w:hAnsiTheme="minorHAnsi"/>
                                <w:color w:val="FFFFFF" w:themeColor="background1"/>
                                <w:sz w:val="22"/>
                                <w:lang w:val="es-ES"/>
                              </w:rPr>
                              <w:t xml:space="preserve"> </w:t>
                            </w:r>
                            <w:r w:rsidR="002A6C71" w:rsidRPr="001B4C00">
                              <w:rPr>
                                <w:rFonts w:asciiTheme="minorHAnsi" w:hAnsiTheme="minorHAnsi"/>
                                <w:color w:val="FFFFFF" w:themeColor="background1"/>
                                <w:sz w:val="22"/>
                                <w:lang w:val="es-ES"/>
                              </w:rPr>
                              <w:t>20</w:t>
                            </w:r>
                            <w:r w:rsidR="002A6C71">
                              <w:rPr>
                                <w:rFonts w:asciiTheme="minorHAnsi" w:hAnsiTheme="minorHAnsi"/>
                                <w:color w:val="FFFFFF" w:themeColor="background1"/>
                                <w:sz w:val="22"/>
                                <w:lang w:val="es-ES"/>
                              </w:rPr>
                              <w:t>20</w:t>
                            </w:r>
                          </w:p>
                          <w:p w14:paraId="0771DB5B" w14:textId="77777777" w:rsidR="002A6C71" w:rsidRPr="001B4C00" w:rsidRDefault="002A6C71"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8A420B8" w:rsidR="002A6C71" w:rsidRPr="00935F06" w:rsidRDefault="002A2C6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7F5A77A" w:rsidR="002A6C71" w:rsidRPr="00935F06" w:rsidRDefault="00BD4AE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123</w:t>
                      </w:r>
                    </w:p>
                    <w:p w14:paraId="69373ED2" w14:textId="366C78DF" w:rsidR="002A6C71" w:rsidRPr="001B4C00" w:rsidRDefault="00BD4AE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abril</w:t>
                      </w:r>
                      <w:r w:rsidR="002A2C67">
                        <w:rPr>
                          <w:rFonts w:asciiTheme="minorHAnsi" w:hAnsiTheme="minorHAnsi"/>
                          <w:color w:val="FFFFFF" w:themeColor="background1"/>
                          <w:sz w:val="22"/>
                          <w:lang w:val="es-ES"/>
                        </w:rPr>
                        <w:t xml:space="preserve"> </w:t>
                      </w:r>
                      <w:r w:rsidR="002A6C71" w:rsidRPr="001B4C00">
                        <w:rPr>
                          <w:rFonts w:asciiTheme="minorHAnsi" w:hAnsiTheme="minorHAnsi"/>
                          <w:color w:val="FFFFFF" w:themeColor="background1"/>
                          <w:sz w:val="22"/>
                          <w:lang w:val="es-ES"/>
                        </w:rPr>
                        <w:t>20</w:t>
                      </w:r>
                      <w:r w:rsidR="002A6C71">
                        <w:rPr>
                          <w:rFonts w:asciiTheme="minorHAnsi" w:hAnsiTheme="minorHAnsi"/>
                          <w:color w:val="FFFFFF" w:themeColor="background1"/>
                          <w:sz w:val="22"/>
                          <w:lang w:val="es-ES"/>
                        </w:rPr>
                        <w:t>20</w:t>
                      </w:r>
                    </w:p>
                    <w:p w14:paraId="0771DB5B" w14:textId="77777777" w:rsidR="002A6C71" w:rsidRPr="001B4C00" w:rsidRDefault="002A6C71"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6EA1E4C"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61173BA" w:rsidR="002A6C71" w:rsidRPr="00890650" w:rsidRDefault="002A6C7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D4AEE">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BD4AEE">
                              <w:rPr>
                                <w:rFonts w:asciiTheme="majorHAnsi" w:hAnsiTheme="majorHAnsi"/>
                                <w:color w:val="0D0D0D" w:themeColor="text1" w:themeTint="F2"/>
                                <w:sz w:val="18"/>
                                <w:szCs w:val="22"/>
                                <w:lang w:val="es-ES"/>
                              </w:rPr>
                              <w:t>abril</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FD3645">
                              <w:rPr>
                                <w:rFonts w:asciiTheme="majorHAnsi" w:hAnsiTheme="majorHAnsi"/>
                                <w:color w:val="0D0D0D" w:themeColor="text1" w:themeTint="F2"/>
                                <w:sz w:val="18"/>
                                <w:szCs w:val="22"/>
                                <w:lang w:val="es-ES"/>
                              </w:rPr>
                              <w:t>.</w:t>
                            </w:r>
                          </w:p>
                          <w:p w14:paraId="4BDF3581" w14:textId="77777777" w:rsidR="002A6C71" w:rsidRPr="007A5817" w:rsidRDefault="002A6C7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2A6C71" w:rsidRPr="00167A34" w:rsidRDefault="002A6C7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61173BA" w:rsidR="002A6C71" w:rsidRPr="00890650" w:rsidRDefault="002A6C7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D4AEE">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BD4AEE">
                        <w:rPr>
                          <w:rFonts w:asciiTheme="majorHAnsi" w:hAnsiTheme="majorHAnsi"/>
                          <w:color w:val="0D0D0D" w:themeColor="text1" w:themeTint="F2"/>
                          <w:sz w:val="18"/>
                          <w:szCs w:val="22"/>
                          <w:lang w:val="es-ES"/>
                        </w:rPr>
                        <w:t>abril</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FD3645">
                        <w:rPr>
                          <w:rFonts w:asciiTheme="majorHAnsi" w:hAnsiTheme="majorHAnsi"/>
                          <w:color w:val="0D0D0D" w:themeColor="text1" w:themeTint="F2"/>
                          <w:sz w:val="18"/>
                          <w:szCs w:val="22"/>
                          <w:lang w:val="es-ES"/>
                        </w:rPr>
                        <w:t>.</w:t>
                      </w:r>
                    </w:p>
                    <w:p w14:paraId="4BDF3581" w14:textId="77777777" w:rsidR="002A6C71" w:rsidRPr="007A5817" w:rsidRDefault="002A6C7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2A6C71" w:rsidRPr="00167A34" w:rsidRDefault="002A6C7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202672E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24055F7" w:rsidR="002A6C71" w:rsidRPr="007B05C4" w:rsidRDefault="002A6C7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D4AEE">
                              <w:rPr>
                                <w:rFonts w:asciiTheme="majorHAnsi" w:hAnsiTheme="majorHAnsi"/>
                                <w:color w:val="595959" w:themeColor="text1" w:themeTint="A6"/>
                                <w:sz w:val="18"/>
                                <w:szCs w:val="18"/>
                                <w:lang w:val="pt-BR"/>
                              </w:rPr>
                              <w:t>113</w:t>
                            </w:r>
                            <w:r w:rsidRPr="002A2C67">
                              <w:rPr>
                                <w:rFonts w:asciiTheme="majorHAnsi" w:hAnsiTheme="majorHAnsi"/>
                                <w:color w:val="595959" w:themeColor="text1" w:themeTint="A6"/>
                                <w:sz w:val="18"/>
                                <w:szCs w:val="18"/>
                                <w:lang w:val="pt-BR"/>
                              </w:rPr>
                              <w:t>/</w:t>
                            </w:r>
                            <w:r w:rsidR="002A2C67" w:rsidRPr="002A2C67">
                              <w:rPr>
                                <w:rFonts w:asciiTheme="majorHAnsi" w:hAnsiTheme="majorHAnsi"/>
                                <w:color w:val="595959" w:themeColor="text1" w:themeTint="A6"/>
                                <w:sz w:val="18"/>
                                <w:szCs w:val="18"/>
                                <w:lang w:val="pt-BR"/>
                              </w:rPr>
                              <w:t>20</w:t>
                            </w:r>
                            <w:r w:rsidRPr="002A2C67">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2A2C67" w:rsidRPr="002A2C67">
                              <w:rPr>
                                <w:rFonts w:asciiTheme="majorHAnsi" w:hAnsiTheme="majorHAnsi"/>
                                <w:color w:val="595959" w:themeColor="text1" w:themeTint="A6"/>
                                <w:sz w:val="18"/>
                                <w:szCs w:val="18"/>
                                <w:lang w:val="es-ES_tradnl"/>
                              </w:rPr>
                              <w:t xml:space="preserve">64 comunidades de los Pueblos </w:t>
                            </w:r>
                            <w:proofErr w:type="spellStart"/>
                            <w:r w:rsidR="002A2C67" w:rsidRPr="002A2C67">
                              <w:rPr>
                                <w:rFonts w:asciiTheme="majorHAnsi" w:hAnsiTheme="majorHAnsi"/>
                                <w:color w:val="595959" w:themeColor="text1" w:themeTint="A6"/>
                                <w:sz w:val="18"/>
                                <w:szCs w:val="18"/>
                                <w:lang w:val="es-ES_tradnl"/>
                              </w:rPr>
                              <w:t>Mojeño</w:t>
                            </w:r>
                            <w:proofErr w:type="spellEnd"/>
                            <w:r w:rsidR="002A2C67" w:rsidRPr="002A2C67">
                              <w:rPr>
                                <w:rFonts w:asciiTheme="majorHAnsi" w:hAnsiTheme="majorHAnsi"/>
                                <w:color w:val="595959" w:themeColor="text1" w:themeTint="A6"/>
                                <w:sz w:val="18"/>
                                <w:szCs w:val="18"/>
                                <w:lang w:val="es-ES_tradnl"/>
                              </w:rPr>
                              <w:t xml:space="preserve">, </w:t>
                            </w:r>
                            <w:proofErr w:type="spellStart"/>
                            <w:r w:rsidR="002A2C67" w:rsidRPr="002A2C67">
                              <w:rPr>
                                <w:rFonts w:asciiTheme="majorHAnsi" w:hAnsiTheme="majorHAnsi"/>
                                <w:color w:val="595959" w:themeColor="text1" w:themeTint="A6"/>
                                <w:sz w:val="18"/>
                                <w:szCs w:val="18"/>
                                <w:lang w:val="es-ES_tradnl"/>
                              </w:rPr>
                              <w:t>Yuracaré</w:t>
                            </w:r>
                            <w:proofErr w:type="spellEnd"/>
                            <w:r w:rsidR="002A2C67" w:rsidRPr="002A2C67">
                              <w:rPr>
                                <w:rFonts w:asciiTheme="majorHAnsi" w:hAnsiTheme="majorHAnsi"/>
                                <w:color w:val="595959" w:themeColor="text1" w:themeTint="A6"/>
                                <w:sz w:val="18"/>
                                <w:szCs w:val="18"/>
                                <w:lang w:val="es-ES_tradnl"/>
                              </w:rPr>
                              <w:t xml:space="preserve"> y </w:t>
                            </w:r>
                            <w:proofErr w:type="spellStart"/>
                            <w:r w:rsidR="002A2C67" w:rsidRPr="002A2C67">
                              <w:rPr>
                                <w:rFonts w:asciiTheme="majorHAnsi" w:hAnsiTheme="majorHAnsi"/>
                                <w:color w:val="595959" w:themeColor="text1" w:themeTint="A6"/>
                                <w:sz w:val="18"/>
                                <w:szCs w:val="18"/>
                                <w:lang w:val="es-ES_tradnl"/>
                              </w:rPr>
                              <w:t>Tsimne</w:t>
                            </w:r>
                            <w:proofErr w:type="spellEnd"/>
                            <w:r w:rsidRPr="00890650">
                              <w:rPr>
                                <w:rFonts w:asciiTheme="majorHAnsi" w:hAnsiTheme="majorHAnsi"/>
                                <w:color w:val="595959" w:themeColor="text1" w:themeTint="A6"/>
                                <w:sz w:val="18"/>
                                <w:szCs w:val="18"/>
                                <w:lang w:val="es-ES_tradnl"/>
                              </w:rPr>
                              <w:t xml:space="preserve">. </w:t>
                            </w:r>
                            <w:r w:rsidR="002A2C67">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2A2C67">
                              <w:rPr>
                                <w:rFonts w:asciiTheme="majorHAnsi" w:hAnsiTheme="majorHAnsi"/>
                                <w:color w:val="595959" w:themeColor="text1" w:themeTint="A6"/>
                                <w:sz w:val="18"/>
                                <w:szCs w:val="18"/>
                                <w:lang w:val="es-ES"/>
                              </w:rPr>
                              <w:t>24 de abril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24055F7" w:rsidR="002A6C71" w:rsidRPr="007B05C4" w:rsidRDefault="002A6C7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D4AEE">
                        <w:rPr>
                          <w:rFonts w:asciiTheme="majorHAnsi" w:hAnsiTheme="majorHAnsi"/>
                          <w:color w:val="595959" w:themeColor="text1" w:themeTint="A6"/>
                          <w:sz w:val="18"/>
                          <w:szCs w:val="18"/>
                          <w:lang w:val="pt-BR"/>
                        </w:rPr>
                        <w:t>113</w:t>
                      </w:r>
                      <w:r w:rsidRPr="002A2C67">
                        <w:rPr>
                          <w:rFonts w:asciiTheme="majorHAnsi" w:hAnsiTheme="majorHAnsi"/>
                          <w:color w:val="595959" w:themeColor="text1" w:themeTint="A6"/>
                          <w:sz w:val="18"/>
                          <w:szCs w:val="18"/>
                          <w:lang w:val="pt-BR"/>
                        </w:rPr>
                        <w:t>/</w:t>
                      </w:r>
                      <w:r w:rsidR="002A2C67" w:rsidRPr="002A2C67">
                        <w:rPr>
                          <w:rFonts w:asciiTheme="majorHAnsi" w:hAnsiTheme="majorHAnsi"/>
                          <w:color w:val="595959" w:themeColor="text1" w:themeTint="A6"/>
                          <w:sz w:val="18"/>
                          <w:szCs w:val="18"/>
                          <w:lang w:val="pt-BR"/>
                        </w:rPr>
                        <w:t>20</w:t>
                      </w:r>
                      <w:r w:rsidRPr="002A2C67">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2A2C67" w:rsidRPr="002A2C67">
                        <w:rPr>
                          <w:rFonts w:asciiTheme="majorHAnsi" w:hAnsiTheme="majorHAnsi"/>
                          <w:color w:val="595959" w:themeColor="text1" w:themeTint="A6"/>
                          <w:sz w:val="18"/>
                          <w:szCs w:val="18"/>
                          <w:lang w:val="es-ES_tradnl"/>
                        </w:rPr>
                        <w:t xml:space="preserve">64 comunidades de los Pueblos </w:t>
                      </w:r>
                      <w:proofErr w:type="spellStart"/>
                      <w:r w:rsidR="002A2C67" w:rsidRPr="002A2C67">
                        <w:rPr>
                          <w:rFonts w:asciiTheme="majorHAnsi" w:hAnsiTheme="majorHAnsi"/>
                          <w:color w:val="595959" w:themeColor="text1" w:themeTint="A6"/>
                          <w:sz w:val="18"/>
                          <w:szCs w:val="18"/>
                          <w:lang w:val="es-ES_tradnl"/>
                        </w:rPr>
                        <w:t>Mojeño</w:t>
                      </w:r>
                      <w:proofErr w:type="spellEnd"/>
                      <w:r w:rsidR="002A2C67" w:rsidRPr="002A2C67">
                        <w:rPr>
                          <w:rFonts w:asciiTheme="majorHAnsi" w:hAnsiTheme="majorHAnsi"/>
                          <w:color w:val="595959" w:themeColor="text1" w:themeTint="A6"/>
                          <w:sz w:val="18"/>
                          <w:szCs w:val="18"/>
                          <w:lang w:val="es-ES_tradnl"/>
                        </w:rPr>
                        <w:t xml:space="preserve">, </w:t>
                      </w:r>
                      <w:proofErr w:type="spellStart"/>
                      <w:r w:rsidR="002A2C67" w:rsidRPr="002A2C67">
                        <w:rPr>
                          <w:rFonts w:asciiTheme="majorHAnsi" w:hAnsiTheme="majorHAnsi"/>
                          <w:color w:val="595959" w:themeColor="text1" w:themeTint="A6"/>
                          <w:sz w:val="18"/>
                          <w:szCs w:val="18"/>
                          <w:lang w:val="es-ES_tradnl"/>
                        </w:rPr>
                        <w:t>Yuracaré</w:t>
                      </w:r>
                      <w:proofErr w:type="spellEnd"/>
                      <w:r w:rsidR="002A2C67" w:rsidRPr="002A2C67">
                        <w:rPr>
                          <w:rFonts w:asciiTheme="majorHAnsi" w:hAnsiTheme="majorHAnsi"/>
                          <w:color w:val="595959" w:themeColor="text1" w:themeTint="A6"/>
                          <w:sz w:val="18"/>
                          <w:szCs w:val="18"/>
                          <w:lang w:val="es-ES_tradnl"/>
                        </w:rPr>
                        <w:t xml:space="preserve"> y </w:t>
                      </w:r>
                      <w:proofErr w:type="spellStart"/>
                      <w:r w:rsidR="002A2C67" w:rsidRPr="002A2C67">
                        <w:rPr>
                          <w:rFonts w:asciiTheme="majorHAnsi" w:hAnsiTheme="majorHAnsi"/>
                          <w:color w:val="595959" w:themeColor="text1" w:themeTint="A6"/>
                          <w:sz w:val="18"/>
                          <w:szCs w:val="18"/>
                          <w:lang w:val="es-ES_tradnl"/>
                        </w:rPr>
                        <w:t>Tsimne</w:t>
                      </w:r>
                      <w:proofErr w:type="spellEnd"/>
                      <w:r w:rsidRPr="00890650">
                        <w:rPr>
                          <w:rFonts w:asciiTheme="majorHAnsi" w:hAnsiTheme="majorHAnsi"/>
                          <w:color w:val="595959" w:themeColor="text1" w:themeTint="A6"/>
                          <w:sz w:val="18"/>
                          <w:szCs w:val="18"/>
                          <w:lang w:val="es-ES_tradnl"/>
                        </w:rPr>
                        <w:t xml:space="preserve">. </w:t>
                      </w:r>
                      <w:r w:rsidR="002A2C67">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2A2C67">
                        <w:rPr>
                          <w:rFonts w:asciiTheme="majorHAnsi" w:hAnsiTheme="majorHAnsi"/>
                          <w:color w:val="595959" w:themeColor="text1" w:themeTint="A6"/>
                          <w:sz w:val="18"/>
                          <w:szCs w:val="18"/>
                          <w:lang w:val="es-ES"/>
                        </w:rPr>
                        <w:t>24 de abril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65363411"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2841AAB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2A6C71" w:rsidRPr="004B7EB6" w:rsidRDefault="002A6C7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2A6C71" w:rsidRPr="004B7EB6" w:rsidRDefault="002A6C7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6B785E9E" w:rsidR="0070697F" w:rsidRPr="00006B74" w:rsidRDefault="002A2C67" w:rsidP="005516A1">
      <w:pPr>
        <w:tabs>
          <w:tab w:val="center" w:pos="5400"/>
        </w:tabs>
        <w:suppressAutoHyphens/>
        <w:jc w:val="center"/>
        <w:rPr>
          <w:rFonts w:asciiTheme="majorHAnsi" w:hAnsiTheme="majorHAnsi"/>
          <w:b/>
          <w:sz w:val="20"/>
          <w:lang w:val="es-ES"/>
        </w:rPr>
        <w:sectPr w:rsidR="0070697F" w:rsidRPr="00006B74"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61AADE9">
                <wp:simplePos x="0" y="0"/>
                <wp:positionH relativeFrom="column">
                  <wp:posOffset>1327785</wp:posOffset>
                </wp:positionH>
                <wp:positionV relativeFrom="paragraph">
                  <wp:posOffset>555444</wp:posOffset>
                </wp:positionV>
                <wp:extent cx="3940629" cy="629648"/>
                <wp:effectExtent l="0" t="0" r="3175" b="0"/>
                <wp:wrapNone/>
                <wp:docPr id="9" name="Text Box 9"/>
                <wp:cNvGraphicFramePr/>
                <a:graphic xmlns:a="http://schemas.openxmlformats.org/drawingml/2006/main">
                  <a:graphicData uri="http://schemas.microsoft.com/office/word/2010/wordprocessingShape">
                    <wps:wsp>
                      <wps:cNvSpPr txBox="1"/>
                      <wps:spPr>
                        <a:xfrm>
                          <a:off x="0" y="0"/>
                          <a:ext cx="3940629" cy="6296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2A6C71" w:rsidRPr="00D72DC6" w:rsidRDefault="002A6C7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20C372D6">
                                  <wp:extent cx="1665514" cy="4284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675803" cy="431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55pt;margin-top:43.75pt;width:310.3pt;height:4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" fillcolor="white [3201]" stroked="f" strokeweight=".5pt">
                <v:textbox>
                  <w:txbxContent>
                    <w:p w14:paraId="2A1ECD3C" w14:textId="77777777" w:rsidR="002A6C71" w:rsidRPr="00D72DC6" w:rsidRDefault="002A6C7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20C372D6">
                            <wp:extent cx="1665514" cy="4284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675803" cy="431100"/>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FD3645"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76042D">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0A0D4C1F" w:rsidR="003239B8" w:rsidRPr="003C2C65" w:rsidRDefault="00D842B1" w:rsidP="00535377">
            <w:pPr>
              <w:jc w:val="both"/>
              <w:rPr>
                <w:rFonts w:ascii="Cambria" w:hAnsi="Cambria"/>
                <w:bCs/>
                <w:sz w:val="19"/>
                <w:szCs w:val="19"/>
                <w:lang w:val="es-US"/>
              </w:rPr>
            </w:pPr>
            <w:proofErr w:type="spellStart"/>
            <w:r w:rsidRPr="003C2C65">
              <w:rPr>
                <w:rFonts w:ascii="Cambria" w:hAnsi="Cambria"/>
                <w:bCs/>
                <w:sz w:val="19"/>
                <w:szCs w:val="19"/>
                <w:lang w:val="es-ES"/>
              </w:rPr>
              <w:t>Mariss</w:t>
            </w:r>
            <w:proofErr w:type="spellEnd"/>
            <w:r w:rsidRPr="003C2C65">
              <w:rPr>
                <w:rFonts w:ascii="Cambria" w:hAnsi="Cambria"/>
                <w:bCs/>
                <w:sz w:val="19"/>
                <w:szCs w:val="19"/>
                <w:lang w:val="es-ES"/>
              </w:rPr>
              <w:t xml:space="preserve"> </w:t>
            </w:r>
            <w:proofErr w:type="spellStart"/>
            <w:r w:rsidRPr="003C2C65">
              <w:rPr>
                <w:rFonts w:ascii="Cambria" w:hAnsi="Cambria"/>
                <w:bCs/>
                <w:sz w:val="19"/>
                <w:szCs w:val="19"/>
                <w:lang w:val="es-ES"/>
              </w:rPr>
              <w:t>Vahlsing</w:t>
            </w:r>
            <w:proofErr w:type="spellEnd"/>
            <w:r w:rsidRPr="003C2C65">
              <w:rPr>
                <w:rFonts w:ascii="Cambria" w:hAnsi="Cambria"/>
                <w:bCs/>
                <w:sz w:val="19"/>
                <w:szCs w:val="19"/>
                <w:lang w:val="es-ES"/>
              </w:rPr>
              <w:t xml:space="preserve"> y Juan Pablo Calderón Meza,</w:t>
            </w:r>
            <w:r w:rsidRPr="003C2C65">
              <w:rPr>
                <w:rStyle w:val="FootnoteReference"/>
                <w:rFonts w:ascii="Cambria" w:hAnsi="Cambria"/>
                <w:bCs/>
                <w:sz w:val="19"/>
                <w:szCs w:val="19"/>
                <w:lang w:val="es-ES"/>
              </w:rPr>
              <w:footnoteReference w:id="2"/>
            </w:r>
            <w:r w:rsidRPr="003C2C65">
              <w:rPr>
                <w:rFonts w:ascii="Cambria" w:hAnsi="Cambria"/>
                <w:bCs/>
                <w:sz w:val="19"/>
                <w:szCs w:val="19"/>
                <w:lang w:val="es-ES"/>
              </w:rPr>
              <w:t xml:space="preserve"> </w:t>
            </w:r>
            <w:r w:rsidR="00434F8D" w:rsidRPr="003C2C65">
              <w:rPr>
                <w:rFonts w:ascii="Cambria" w:hAnsi="Cambria"/>
                <w:bCs/>
                <w:sz w:val="19"/>
                <w:szCs w:val="19"/>
                <w:lang w:val="es-US"/>
              </w:rPr>
              <w:t xml:space="preserve">Pedro </w:t>
            </w:r>
            <w:proofErr w:type="spellStart"/>
            <w:r w:rsidR="00434F8D" w:rsidRPr="003C2C65">
              <w:rPr>
                <w:rFonts w:ascii="Cambria" w:hAnsi="Cambria"/>
                <w:bCs/>
                <w:sz w:val="19"/>
                <w:szCs w:val="19"/>
                <w:lang w:val="es-US"/>
              </w:rPr>
              <w:t>Nuny</w:t>
            </w:r>
            <w:proofErr w:type="spellEnd"/>
            <w:r w:rsidR="00434F8D" w:rsidRPr="003C2C65">
              <w:rPr>
                <w:rFonts w:ascii="Cambria" w:hAnsi="Cambria"/>
                <w:bCs/>
                <w:sz w:val="19"/>
                <w:szCs w:val="19"/>
                <w:lang w:val="es-US"/>
              </w:rPr>
              <w:t xml:space="preserve"> </w:t>
            </w:r>
            <w:proofErr w:type="spellStart"/>
            <w:r w:rsidR="00434F8D" w:rsidRPr="003C2C65">
              <w:rPr>
                <w:rFonts w:ascii="Cambria" w:hAnsi="Cambria"/>
                <w:bCs/>
                <w:sz w:val="19"/>
                <w:szCs w:val="19"/>
                <w:lang w:val="es-US"/>
              </w:rPr>
              <w:t>Caity</w:t>
            </w:r>
            <w:proofErr w:type="spellEnd"/>
            <w:r w:rsidR="00434F8D" w:rsidRPr="003C2C65">
              <w:rPr>
                <w:rFonts w:ascii="Cambria" w:hAnsi="Cambria"/>
                <w:bCs/>
                <w:sz w:val="19"/>
                <w:szCs w:val="19"/>
                <w:lang w:val="es-US"/>
              </w:rPr>
              <w:t xml:space="preserve">, </w:t>
            </w:r>
            <w:r w:rsidR="006E3518" w:rsidRPr="003C2C65">
              <w:rPr>
                <w:rFonts w:ascii="Cambria" w:hAnsi="Cambria"/>
                <w:bCs/>
                <w:sz w:val="19"/>
                <w:szCs w:val="19"/>
                <w:lang w:val="es-US"/>
              </w:rPr>
              <w:t xml:space="preserve">Rubén Pinto Vargas, </w:t>
            </w:r>
            <w:r w:rsidR="006729A6" w:rsidRPr="003C2C65">
              <w:rPr>
                <w:rFonts w:ascii="Cambria" w:hAnsi="Cambria"/>
                <w:bCs/>
                <w:sz w:val="19"/>
                <w:szCs w:val="19"/>
                <w:lang w:val="es-US"/>
              </w:rPr>
              <w:t>R</w:t>
            </w:r>
            <w:r w:rsidR="006D2585" w:rsidRPr="003C2C65">
              <w:rPr>
                <w:rFonts w:ascii="Cambria" w:hAnsi="Cambria"/>
                <w:bCs/>
                <w:sz w:val="19"/>
                <w:szCs w:val="19"/>
                <w:lang w:val="es-US"/>
              </w:rPr>
              <w:t>amiro Armando Otero Lugone</w:t>
            </w:r>
            <w:r w:rsidR="00953C5D" w:rsidRPr="003C2C65">
              <w:rPr>
                <w:rFonts w:ascii="Cambria" w:hAnsi="Cambria"/>
                <w:bCs/>
                <w:sz w:val="19"/>
                <w:szCs w:val="19"/>
                <w:lang w:val="es-US"/>
              </w:rPr>
              <w:t>s y</w:t>
            </w:r>
            <w:r w:rsidR="006E3518" w:rsidRPr="003C2C65">
              <w:rPr>
                <w:rFonts w:ascii="Cambria" w:hAnsi="Cambria"/>
                <w:bCs/>
                <w:sz w:val="19"/>
                <w:szCs w:val="19"/>
                <w:lang w:val="es-US"/>
              </w:rPr>
              <w:t xml:space="preserve"> Patricia Mo</w:t>
            </w:r>
            <w:r w:rsidR="00953C5D" w:rsidRPr="003C2C65">
              <w:rPr>
                <w:rFonts w:ascii="Cambria" w:hAnsi="Cambria"/>
                <w:bCs/>
                <w:sz w:val="19"/>
                <w:szCs w:val="19"/>
                <w:lang w:val="es-US"/>
              </w:rPr>
              <w:t>lina</w:t>
            </w:r>
            <w:r w:rsidR="006E3518" w:rsidRPr="003C2C65">
              <w:rPr>
                <w:rFonts w:ascii="Cambria" w:hAnsi="Cambria"/>
                <w:bCs/>
                <w:sz w:val="19"/>
                <w:szCs w:val="19"/>
                <w:lang w:val="es-US"/>
              </w:rPr>
              <w:t xml:space="preserve"> </w:t>
            </w:r>
            <w:r w:rsidR="00CC2099" w:rsidRPr="003C2C65">
              <w:rPr>
                <w:rStyle w:val="FootnoteReference"/>
                <w:rFonts w:ascii="Cambria" w:hAnsi="Cambria"/>
                <w:bCs/>
                <w:sz w:val="19"/>
                <w:szCs w:val="19"/>
                <w:lang w:val="es-US"/>
              </w:rPr>
              <w:footnoteReference w:id="3"/>
            </w:r>
          </w:p>
        </w:tc>
      </w:tr>
      <w:tr w:rsidR="003239B8" w:rsidRPr="00FD3645"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76042D">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34929879" w:rsidR="003239B8" w:rsidRPr="003C2C65" w:rsidRDefault="00434F8D" w:rsidP="001F391C">
            <w:pPr>
              <w:jc w:val="both"/>
              <w:rPr>
                <w:rFonts w:ascii="Cambria" w:hAnsi="Cambria"/>
                <w:bCs/>
                <w:sz w:val="19"/>
                <w:szCs w:val="19"/>
                <w:lang w:val="es-ES"/>
              </w:rPr>
            </w:pPr>
            <w:r w:rsidRPr="003C2C65">
              <w:rPr>
                <w:rFonts w:ascii="Cambria" w:hAnsi="Cambria"/>
                <w:bCs/>
                <w:sz w:val="19"/>
                <w:szCs w:val="19"/>
                <w:lang w:val="es-ES"/>
              </w:rPr>
              <w:t xml:space="preserve">64 </w:t>
            </w:r>
            <w:r w:rsidR="00F25A57" w:rsidRPr="003C2C65">
              <w:rPr>
                <w:rFonts w:ascii="Cambria" w:hAnsi="Cambria"/>
                <w:bCs/>
                <w:sz w:val="19"/>
                <w:szCs w:val="19"/>
                <w:lang w:val="es-ES"/>
              </w:rPr>
              <w:t>comunidades</w:t>
            </w:r>
            <w:r w:rsidRPr="003C2C65">
              <w:rPr>
                <w:rFonts w:ascii="Cambria" w:hAnsi="Cambria"/>
                <w:bCs/>
                <w:sz w:val="19"/>
                <w:szCs w:val="19"/>
                <w:lang w:val="es-ES"/>
              </w:rPr>
              <w:t xml:space="preserve"> de los Pueblos </w:t>
            </w:r>
            <w:proofErr w:type="spellStart"/>
            <w:r w:rsidRPr="003C2C65">
              <w:rPr>
                <w:rFonts w:ascii="Cambria" w:hAnsi="Cambria"/>
                <w:bCs/>
                <w:sz w:val="19"/>
                <w:szCs w:val="19"/>
                <w:lang w:val="es-ES"/>
              </w:rPr>
              <w:t>Mojeño</w:t>
            </w:r>
            <w:proofErr w:type="spellEnd"/>
            <w:r w:rsidRPr="003C2C65">
              <w:rPr>
                <w:rFonts w:ascii="Cambria" w:hAnsi="Cambria"/>
                <w:bCs/>
                <w:sz w:val="19"/>
                <w:szCs w:val="19"/>
                <w:lang w:val="es-ES"/>
              </w:rPr>
              <w:t xml:space="preserve">, </w:t>
            </w:r>
            <w:proofErr w:type="spellStart"/>
            <w:r w:rsidRPr="003C2C65">
              <w:rPr>
                <w:rFonts w:ascii="Cambria" w:hAnsi="Cambria"/>
                <w:bCs/>
                <w:sz w:val="19"/>
                <w:szCs w:val="19"/>
                <w:lang w:val="es-ES"/>
              </w:rPr>
              <w:t>Yuracaré</w:t>
            </w:r>
            <w:proofErr w:type="spellEnd"/>
            <w:r w:rsidRPr="003C2C65">
              <w:rPr>
                <w:rFonts w:ascii="Cambria" w:hAnsi="Cambria"/>
                <w:bCs/>
                <w:sz w:val="19"/>
                <w:szCs w:val="19"/>
                <w:lang w:val="es-ES"/>
              </w:rPr>
              <w:t xml:space="preserve"> y </w:t>
            </w:r>
            <w:proofErr w:type="spellStart"/>
            <w:r w:rsidRPr="003C2C65">
              <w:rPr>
                <w:rFonts w:ascii="Cambria" w:hAnsi="Cambria"/>
                <w:bCs/>
                <w:sz w:val="19"/>
                <w:szCs w:val="19"/>
                <w:lang w:val="es-ES"/>
              </w:rPr>
              <w:t>Tsim</w:t>
            </w:r>
            <w:r w:rsidR="00103CF7">
              <w:rPr>
                <w:rFonts w:ascii="Cambria" w:hAnsi="Cambria"/>
                <w:bCs/>
                <w:sz w:val="19"/>
                <w:szCs w:val="19"/>
                <w:lang w:val="es-ES"/>
              </w:rPr>
              <w:t>a</w:t>
            </w:r>
            <w:r w:rsidRPr="003C2C65">
              <w:rPr>
                <w:rFonts w:ascii="Cambria" w:hAnsi="Cambria"/>
                <w:bCs/>
                <w:sz w:val="19"/>
                <w:szCs w:val="19"/>
                <w:lang w:val="es-ES"/>
              </w:rPr>
              <w:t>ne</w:t>
            </w:r>
            <w:proofErr w:type="spellEnd"/>
          </w:p>
        </w:tc>
      </w:tr>
      <w:tr w:rsidR="003239B8" w:rsidRPr="006E763D"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76042D">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05C1F6F8" w:rsidR="003239B8" w:rsidRPr="003C2C65" w:rsidRDefault="00434F8D" w:rsidP="00434F8D">
            <w:pPr>
              <w:jc w:val="both"/>
              <w:rPr>
                <w:rFonts w:ascii="Cambria" w:hAnsi="Cambria"/>
                <w:bCs/>
                <w:sz w:val="19"/>
                <w:szCs w:val="19"/>
                <w:lang w:val="es-ES"/>
              </w:rPr>
            </w:pPr>
            <w:r w:rsidRPr="003C2C65">
              <w:rPr>
                <w:rFonts w:ascii="Cambria" w:hAnsi="Cambria"/>
                <w:bCs/>
                <w:sz w:val="19"/>
                <w:szCs w:val="19"/>
                <w:lang w:val="es-ES"/>
              </w:rPr>
              <w:t>Bolivia</w:t>
            </w:r>
          </w:p>
        </w:tc>
      </w:tr>
      <w:tr w:rsidR="00223A29" w:rsidRPr="00FD3645"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5F4B8509" w:rsidR="00223A29" w:rsidRPr="00006B74" w:rsidRDefault="00BF514A" w:rsidP="0034224A">
            <w:pPr>
              <w:jc w:val="both"/>
              <w:rPr>
                <w:rFonts w:ascii="Cambria" w:hAnsi="Cambria"/>
                <w:bCs/>
                <w:sz w:val="19"/>
                <w:szCs w:val="19"/>
                <w:lang w:val="es-ES"/>
              </w:rPr>
            </w:pPr>
            <w:r w:rsidRPr="00006B74">
              <w:rPr>
                <w:rFonts w:ascii="Cambria" w:hAnsi="Cambria"/>
                <w:bCs/>
                <w:sz w:val="19"/>
                <w:szCs w:val="19"/>
                <w:lang w:val="es-ES"/>
              </w:rPr>
              <w:t xml:space="preserve">Artículos </w:t>
            </w:r>
            <w:r w:rsidR="003D0CE9" w:rsidRPr="003D0CE9">
              <w:rPr>
                <w:rFonts w:ascii="Cambria" w:hAnsi="Cambria"/>
                <w:bCs/>
                <w:sz w:val="19"/>
                <w:szCs w:val="19"/>
                <w:lang w:val="es-ES"/>
              </w:rPr>
              <w:t>21 (propiedad privada)</w:t>
            </w:r>
            <w:r w:rsidR="003D0CE9">
              <w:rPr>
                <w:rFonts w:ascii="Cambria" w:hAnsi="Cambria"/>
                <w:bCs/>
                <w:sz w:val="19"/>
                <w:szCs w:val="19"/>
                <w:lang w:val="es-ES"/>
              </w:rPr>
              <w:t xml:space="preserve"> y 23 </w:t>
            </w:r>
            <w:r w:rsidR="003D0CE9" w:rsidRPr="003D0CE9">
              <w:rPr>
                <w:rFonts w:ascii="Cambria" w:hAnsi="Cambria"/>
                <w:bCs/>
                <w:sz w:val="19"/>
                <w:szCs w:val="19"/>
                <w:lang w:val="es-ES"/>
              </w:rPr>
              <w:t xml:space="preserve">(derechos políticos) </w:t>
            </w:r>
            <w:r w:rsidRPr="00006B74">
              <w:rPr>
                <w:rFonts w:ascii="Cambria" w:hAnsi="Cambria"/>
                <w:bCs/>
                <w:sz w:val="19"/>
                <w:szCs w:val="19"/>
                <w:lang w:val="es-ES"/>
              </w:rPr>
              <w:t xml:space="preserve">de la </w:t>
            </w:r>
            <w:r w:rsidRPr="003C2C65">
              <w:rPr>
                <w:rFonts w:ascii="Cambria" w:hAnsi="Cambria"/>
                <w:bCs/>
                <w:sz w:val="19"/>
                <w:szCs w:val="19"/>
                <w:lang w:val="es-ES"/>
              </w:rPr>
              <w:t>Convención Americana sobre Derechos Humanos</w:t>
            </w:r>
            <w:r w:rsidR="003D0CE9">
              <w:rPr>
                <w:rFonts w:ascii="Cambria" w:hAnsi="Cambria"/>
                <w:bCs/>
                <w:sz w:val="19"/>
                <w:szCs w:val="19"/>
                <w:lang w:val="es-ES"/>
              </w:rPr>
              <w:t xml:space="preserve">, en relación con su artículo </w:t>
            </w:r>
            <w:r w:rsidR="003D0CE9" w:rsidRPr="003D0CE9">
              <w:rPr>
                <w:rFonts w:ascii="Cambria" w:hAnsi="Cambria"/>
                <w:bCs/>
                <w:sz w:val="19"/>
                <w:szCs w:val="19"/>
                <w:lang w:val="es-ES"/>
              </w:rPr>
              <w:t>1 (respetar los derechos) y 2 (adoptar disposiciones de derechos interno) de ese mismo instrumento</w:t>
            </w:r>
            <w:r w:rsidRPr="00006B74">
              <w:rPr>
                <w:rStyle w:val="FootnoteReference"/>
                <w:rFonts w:ascii="Cambria" w:hAnsi="Cambria"/>
                <w:bCs/>
                <w:sz w:val="19"/>
                <w:szCs w:val="19"/>
                <w:lang w:val="es-ES"/>
              </w:rPr>
              <w:footnoteReference w:id="4"/>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7BDC6600" w:rsidR="004C2312" w:rsidRPr="0047080D" w:rsidRDefault="000F4F96" w:rsidP="0076042D">
            <w:pPr>
              <w:jc w:val="both"/>
              <w:rPr>
                <w:rFonts w:ascii="Cambria" w:hAnsi="Cambria"/>
                <w:bCs/>
                <w:sz w:val="19"/>
                <w:szCs w:val="19"/>
                <w:lang w:val="es-ES"/>
              </w:rPr>
            </w:pPr>
            <w:r>
              <w:rPr>
                <w:rFonts w:ascii="Cambria" w:hAnsi="Cambria"/>
                <w:bCs/>
                <w:sz w:val="19"/>
                <w:szCs w:val="19"/>
                <w:lang w:val="es-ES"/>
              </w:rPr>
              <w:t>8 de febrero de 2012</w:t>
            </w:r>
          </w:p>
        </w:tc>
      </w:tr>
      <w:tr w:rsidR="006E772A" w:rsidRPr="00FD3645"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47080D" w:rsidRDefault="006E772A"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Información adicional </w:t>
            </w:r>
            <w:r w:rsidR="002355A9" w:rsidRPr="0047080D">
              <w:rPr>
                <w:rFonts w:ascii="Cambria" w:hAnsi="Cambria"/>
                <w:bCs/>
                <w:color w:val="FFFFFF" w:themeColor="background1"/>
                <w:sz w:val="19"/>
                <w:szCs w:val="19"/>
                <w:lang w:val="es-ES"/>
              </w:rPr>
              <w:t>recibida en la etapa de estudio</w:t>
            </w:r>
          </w:p>
        </w:tc>
        <w:tc>
          <w:tcPr>
            <w:tcW w:w="6570" w:type="dxa"/>
            <w:vAlign w:val="center"/>
          </w:tcPr>
          <w:p w14:paraId="796669C8" w14:textId="2C4EEB52" w:rsidR="006E772A" w:rsidRPr="0047080D" w:rsidRDefault="000F4F96" w:rsidP="0076042D">
            <w:pPr>
              <w:jc w:val="both"/>
              <w:rPr>
                <w:rFonts w:ascii="Cambria" w:hAnsi="Cambria"/>
                <w:bCs/>
                <w:sz w:val="19"/>
                <w:szCs w:val="19"/>
                <w:lang w:val="es-ES"/>
              </w:rPr>
            </w:pPr>
            <w:r>
              <w:rPr>
                <w:rFonts w:ascii="Cambria" w:hAnsi="Cambria"/>
                <w:bCs/>
                <w:sz w:val="19"/>
                <w:szCs w:val="19"/>
                <w:lang w:val="es-ES"/>
              </w:rPr>
              <w:t xml:space="preserve">9 de febrero de 2012, 23 de julio de 2012, 1 de agosto de 2012, 14 de agosto de 2012, </w:t>
            </w:r>
            <w:r w:rsidR="003433FA">
              <w:rPr>
                <w:rFonts w:ascii="Cambria" w:hAnsi="Cambria"/>
                <w:bCs/>
                <w:sz w:val="19"/>
                <w:szCs w:val="19"/>
                <w:lang w:val="es-ES"/>
              </w:rPr>
              <w:t xml:space="preserve">20 de diciembre de 2012, 4 de junio de 2013, 20 de mayo de 2014, </w:t>
            </w:r>
            <w:r w:rsidR="00B3104E">
              <w:rPr>
                <w:rFonts w:ascii="Cambria" w:hAnsi="Cambria"/>
                <w:bCs/>
                <w:sz w:val="19"/>
                <w:szCs w:val="19"/>
                <w:lang w:val="es-ES"/>
              </w:rPr>
              <w:t>30 de julio de 2014</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7193AB40" w:rsidR="004C2312" w:rsidRPr="0047080D" w:rsidRDefault="00A557F6" w:rsidP="0076042D">
            <w:pPr>
              <w:jc w:val="both"/>
              <w:rPr>
                <w:rFonts w:ascii="Cambria" w:hAnsi="Cambria"/>
                <w:bCs/>
                <w:sz w:val="19"/>
                <w:szCs w:val="19"/>
                <w:lang w:val="es-ES"/>
              </w:rPr>
            </w:pPr>
            <w:r>
              <w:rPr>
                <w:rFonts w:ascii="Cambria" w:hAnsi="Cambria"/>
                <w:bCs/>
                <w:sz w:val="19"/>
                <w:szCs w:val="19"/>
                <w:lang w:val="es-ES"/>
              </w:rPr>
              <w:t>1 de diciembre de 2015</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146EABFF" w:rsidR="00F06354" w:rsidRPr="0047080D" w:rsidRDefault="00A557F6" w:rsidP="00F06354">
            <w:pPr>
              <w:jc w:val="both"/>
              <w:rPr>
                <w:rFonts w:ascii="Cambria" w:hAnsi="Cambria"/>
                <w:bCs/>
                <w:sz w:val="19"/>
                <w:szCs w:val="19"/>
                <w:lang w:val="es-ES"/>
              </w:rPr>
            </w:pPr>
            <w:r>
              <w:rPr>
                <w:rFonts w:ascii="Cambria" w:hAnsi="Cambria"/>
                <w:bCs/>
                <w:sz w:val="19"/>
                <w:szCs w:val="19"/>
                <w:lang w:val="es-ES"/>
              </w:rPr>
              <w:t>13 de mayo de 2015</w:t>
            </w:r>
          </w:p>
        </w:tc>
      </w:tr>
      <w:tr w:rsidR="00F06354" w:rsidRPr="00FD3645"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43EF2508" w:rsidR="00F06354" w:rsidRPr="0047080D" w:rsidRDefault="004E329B" w:rsidP="00D77503">
            <w:pPr>
              <w:jc w:val="both"/>
              <w:rPr>
                <w:rFonts w:ascii="Cambria" w:hAnsi="Cambria"/>
                <w:bCs/>
                <w:sz w:val="19"/>
                <w:szCs w:val="19"/>
                <w:lang w:val="es-ES"/>
              </w:rPr>
            </w:pPr>
            <w:r>
              <w:rPr>
                <w:rFonts w:ascii="Cambria" w:hAnsi="Cambria"/>
                <w:bCs/>
                <w:sz w:val="19"/>
                <w:szCs w:val="19"/>
                <w:lang w:val="es-ES"/>
              </w:rPr>
              <w:t>18 de mayo de 2017 y</w:t>
            </w:r>
            <w:r w:rsidR="006E3518">
              <w:rPr>
                <w:rFonts w:ascii="Cambria" w:hAnsi="Cambria"/>
                <w:bCs/>
                <w:sz w:val="19"/>
                <w:szCs w:val="19"/>
                <w:lang w:val="es-ES"/>
              </w:rPr>
              <w:t xml:space="preserve"> 18 de agosto de 2017</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w:t>
            </w:r>
            <w:r w:rsidR="00D77503" w:rsidRPr="0047080D">
              <w:rPr>
                <w:rFonts w:ascii="Cambria" w:hAnsi="Cambria"/>
                <w:bCs/>
                <w:color w:val="FFFFFF" w:themeColor="background1"/>
                <w:sz w:val="19"/>
                <w:szCs w:val="19"/>
                <w:lang w:val="es-ES"/>
              </w:rPr>
              <w:t>vaciones adicionales del Estado</w:t>
            </w:r>
          </w:p>
        </w:tc>
        <w:tc>
          <w:tcPr>
            <w:tcW w:w="6570" w:type="dxa"/>
            <w:vAlign w:val="center"/>
          </w:tcPr>
          <w:p w14:paraId="3CE49AFE" w14:textId="140388B9" w:rsidR="00F06354" w:rsidRPr="0047080D" w:rsidRDefault="004E329B" w:rsidP="00F06354">
            <w:pPr>
              <w:jc w:val="both"/>
              <w:rPr>
                <w:rFonts w:ascii="Cambria" w:hAnsi="Cambria"/>
                <w:bCs/>
                <w:sz w:val="19"/>
                <w:szCs w:val="19"/>
                <w:lang w:val="es-ES"/>
              </w:rPr>
            </w:pPr>
            <w:r>
              <w:rPr>
                <w:rFonts w:ascii="Cambria" w:hAnsi="Cambria"/>
                <w:bCs/>
                <w:sz w:val="19"/>
                <w:szCs w:val="19"/>
                <w:lang w:val="es-ES"/>
              </w:rPr>
              <w:t>23 mayo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76042D">
            <w:pPr>
              <w:jc w:val="center"/>
              <w:rPr>
                <w:rFonts w:ascii="Cambria" w:hAnsi="Cambria"/>
                <w:bCs/>
                <w:i/>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personae</w:t>
            </w:r>
            <w:proofErr w:type="spellEnd"/>
          </w:p>
        </w:tc>
        <w:tc>
          <w:tcPr>
            <w:tcW w:w="6570" w:type="dxa"/>
            <w:vAlign w:val="center"/>
          </w:tcPr>
          <w:p w14:paraId="7707F3E9" w14:textId="46B5EDB7" w:rsidR="003239B8" w:rsidRPr="0047080D" w:rsidRDefault="000E0229" w:rsidP="0076042D">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loci</w:t>
            </w:r>
            <w:proofErr w:type="spellEnd"/>
          </w:p>
        </w:tc>
        <w:tc>
          <w:tcPr>
            <w:tcW w:w="6570" w:type="dxa"/>
            <w:vAlign w:val="center"/>
          </w:tcPr>
          <w:p w14:paraId="12C931CB" w14:textId="1C27F05E" w:rsidR="003239B8" w:rsidRPr="0047080D" w:rsidRDefault="000E0229" w:rsidP="0076042D">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76042D">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temporis</w:t>
            </w:r>
            <w:proofErr w:type="spellEnd"/>
          </w:p>
        </w:tc>
        <w:tc>
          <w:tcPr>
            <w:tcW w:w="6570" w:type="dxa"/>
            <w:vAlign w:val="center"/>
          </w:tcPr>
          <w:p w14:paraId="6F8B059B" w14:textId="16DC4E4E" w:rsidR="003239B8" w:rsidRPr="0047080D" w:rsidRDefault="000E0229" w:rsidP="0076042D">
            <w:pPr>
              <w:rPr>
                <w:rFonts w:ascii="Cambria" w:hAnsi="Cambria"/>
                <w:bCs/>
                <w:sz w:val="19"/>
                <w:szCs w:val="19"/>
                <w:lang w:val="es-ES"/>
              </w:rPr>
            </w:pPr>
            <w:r>
              <w:rPr>
                <w:rFonts w:ascii="Cambria" w:hAnsi="Cambria"/>
                <w:bCs/>
                <w:sz w:val="19"/>
                <w:szCs w:val="19"/>
                <w:lang w:val="es-ES"/>
              </w:rPr>
              <w:t>Sí</w:t>
            </w:r>
          </w:p>
        </w:tc>
      </w:tr>
      <w:tr w:rsidR="003239B8" w:rsidRPr="00FD3645"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76042D">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materia</w:t>
            </w:r>
            <w:r w:rsidR="00EE00E9" w:rsidRPr="0047080D">
              <w:rPr>
                <w:rFonts w:ascii="Cambria" w:hAnsi="Cambria"/>
                <w:bCs/>
                <w:i/>
                <w:color w:val="FFFFFF" w:themeColor="background1"/>
                <w:sz w:val="19"/>
                <w:szCs w:val="19"/>
                <w:lang w:val="es-ES"/>
              </w:rPr>
              <w:t>e</w:t>
            </w:r>
            <w:proofErr w:type="spellEnd"/>
          </w:p>
        </w:tc>
        <w:tc>
          <w:tcPr>
            <w:tcW w:w="6570" w:type="dxa"/>
            <w:vAlign w:val="center"/>
          </w:tcPr>
          <w:p w14:paraId="0C122F44" w14:textId="3B4C03DF" w:rsidR="003239B8" w:rsidRPr="0047080D" w:rsidRDefault="000E0229" w:rsidP="0076042D">
            <w:pPr>
              <w:jc w:val="both"/>
              <w:rPr>
                <w:rFonts w:ascii="Cambria" w:hAnsi="Cambria"/>
                <w:bCs/>
                <w:sz w:val="19"/>
                <w:szCs w:val="19"/>
                <w:lang w:val="es-ES"/>
              </w:rPr>
            </w:pPr>
            <w:r>
              <w:rPr>
                <w:rFonts w:ascii="Cambria" w:hAnsi="Cambria"/>
                <w:bCs/>
                <w:sz w:val="19"/>
                <w:szCs w:val="19"/>
                <w:lang w:val="es-ES"/>
              </w:rPr>
              <w:t>Sí, Convención Americana (instrumento adoptado el 19 de julio de 1979)</w:t>
            </w:r>
          </w:p>
        </w:tc>
      </w:tr>
    </w:tbl>
    <w:p w14:paraId="4E92C444" w14:textId="603F5905"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8354E3"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3004DF"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3D4CDB8D" w:rsidR="00EE00E9" w:rsidRPr="0047080D" w:rsidRDefault="000E0229" w:rsidP="0076042D">
            <w:pPr>
              <w:jc w:val="both"/>
              <w:rPr>
                <w:rFonts w:ascii="Cambria" w:hAnsi="Cambria"/>
                <w:bCs/>
                <w:sz w:val="19"/>
                <w:szCs w:val="19"/>
                <w:lang w:val="es-ES"/>
              </w:rPr>
            </w:pPr>
            <w:r>
              <w:rPr>
                <w:rFonts w:ascii="Cambria" w:hAnsi="Cambria"/>
                <w:bCs/>
                <w:sz w:val="19"/>
                <w:szCs w:val="19"/>
                <w:lang w:val="es-ES"/>
              </w:rPr>
              <w:t>No</w:t>
            </w:r>
          </w:p>
        </w:tc>
      </w:tr>
      <w:tr w:rsidR="003239B8" w:rsidRPr="00FD3645"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5EF9ABA2" w:rsidR="003239B8" w:rsidRPr="0047080D" w:rsidRDefault="00330CAE" w:rsidP="00A47291">
            <w:pPr>
              <w:jc w:val="both"/>
              <w:rPr>
                <w:rFonts w:ascii="Cambria" w:hAnsi="Cambria"/>
                <w:bCs/>
                <w:sz w:val="19"/>
                <w:szCs w:val="19"/>
                <w:lang w:val="es-ES"/>
              </w:rPr>
            </w:pPr>
            <w:r>
              <w:rPr>
                <w:rFonts w:ascii="Cambria" w:hAnsi="Cambria"/>
                <w:bCs/>
                <w:sz w:val="19"/>
                <w:szCs w:val="19"/>
                <w:lang w:val="es-ES"/>
              </w:rPr>
              <w:t>A</w:t>
            </w:r>
            <w:r w:rsidRPr="00330CAE">
              <w:rPr>
                <w:rFonts w:ascii="Cambria" w:hAnsi="Cambria"/>
                <w:bCs/>
                <w:sz w:val="19"/>
                <w:szCs w:val="19"/>
                <w:lang w:val="es-ES"/>
              </w:rPr>
              <w:t>rtículos</w:t>
            </w:r>
            <w:r w:rsidR="00673982">
              <w:rPr>
                <w:rFonts w:ascii="Cambria" w:hAnsi="Cambria"/>
                <w:bCs/>
                <w:sz w:val="19"/>
                <w:szCs w:val="19"/>
                <w:lang w:val="es-ES"/>
              </w:rPr>
              <w:t xml:space="preserve"> 5 (integridad personal)</w:t>
            </w:r>
            <w:r w:rsidRPr="00330CAE">
              <w:rPr>
                <w:rFonts w:ascii="Cambria" w:hAnsi="Cambria"/>
                <w:bCs/>
                <w:sz w:val="19"/>
                <w:szCs w:val="19"/>
                <w:lang w:val="es-ES"/>
              </w:rPr>
              <w:t xml:space="preserve"> 8</w:t>
            </w:r>
            <w:r>
              <w:rPr>
                <w:rFonts w:ascii="Cambria" w:hAnsi="Cambria"/>
                <w:bCs/>
                <w:sz w:val="19"/>
                <w:szCs w:val="19"/>
                <w:lang w:val="es-ES"/>
              </w:rPr>
              <w:t xml:space="preserve"> (garantías judiciales)</w:t>
            </w:r>
            <w:r w:rsidRPr="00330CAE">
              <w:rPr>
                <w:rFonts w:ascii="Cambria" w:hAnsi="Cambria"/>
                <w:bCs/>
                <w:sz w:val="19"/>
                <w:szCs w:val="19"/>
                <w:lang w:val="es-ES"/>
              </w:rPr>
              <w:t>, 21</w:t>
            </w:r>
            <w:r>
              <w:rPr>
                <w:rFonts w:ascii="Cambria" w:hAnsi="Cambria"/>
                <w:bCs/>
                <w:sz w:val="19"/>
                <w:szCs w:val="19"/>
                <w:lang w:val="es-ES"/>
              </w:rPr>
              <w:t xml:space="preserve"> (propiedad)</w:t>
            </w:r>
            <w:r w:rsidRPr="00330CAE">
              <w:rPr>
                <w:rFonts w:ascii="Cambria" w:hAnsi="Cambria"/>
                <w:bCs/>
                <w:sz w:val="19"/>
                <w:szCs w:val="19"/>
                <w:lang w:val="es-ES"/>
              </w:rPr>
              <w:t>, 23</w:t>
            </w:r>
            <w:r>
              <w:rPr>
                <w:rFonts w:ascii="Cambria" w:hAnsi="Cambria"/>
                <w:bCs/>
                <w:sz w:val="19"/>
                <w:szCs w:val="19"/>
                <w:lang w:val="es-ES"/>
              </w:rPr>
              <w:t xml:space="preserve"> (derechos políticos)</w:t>
            </w:r>
            <w:r w:rsidRPr="00330CAE">
              <w:rPr>
                <w:rFonts w:ascii="Cambria" w:hAnsi="Cambria"/>
                <w:bCs/>
                <w:sz w:val="19"/>
                <w:szCs w:val="19"/>
                <w:lang w:val="es-ES"/>
              </w:rPr>
              <w:t xml:space="preserve"> y 25</w:t>
            </w:r>
            <w:r>
              <w:rPr>
                <w:rFonts w:ascii="Cambria" w:hAnsi="Cambria"/>
                <w:bCs/>
                <w:sz w:val="19"/>
                <w:szCs w:val="19"/>
                <w:lang w:val="es-ES"/>
              </w:rPr>
              <w:t xml:space="preserve"> (protección judicial)</w:t>
            </w:r>
            <w:r w:rsidRPr="00330CAE">
              <w:rPr>
                <w:rFonts w:ascii="Cambria" w:hAnsi="Cambria"/>
                <w:bCs/>
                <w:sz w:val="19"/>
                <w:szCs w:val="19"/>
                <w:lang w:val="es-ES"/>
              </w:rPr>
              <w:t xml:space="preserve"> de la Convención Americana</w:t>
            </w:r>
            <w:r>
              <w:rPr>
                <w:rFonts w:ascii="Cambria" w:hAnsi="Cambria"/>
                <w:bCs/>
                <w:sz w:val="19"/>
                <w:szCs w:val="19"/>
                <w:lang w:val="es-ES"/>
              </w:rPr>
              <w:t>,</w:t>
            </w:r>
            <w:r w:rsidRPr="00330CAE">
              <w:rPr>
                <w:rFonts w:ascii="Cambria" w:hAnsi="Cambria"/>
                <w:bCs/>
                <w:sz w:val="19"/>
                <w:szCs w:val="19"/>
                <w:lang w:val="es-ES"/>
              </w:rPr>
              <w:t xml:space="preserve"> en concordancia con los artículos 1 </w:t>
            </w:r>
            <w:r>
              <w:rPr>
                <w:rFonts w:ascii="Cambria" w:hAnsi="Cambria"/>
                <w:bCs/>
                <w:sz w:val="19"/>
                <w:szCs w:val="19"/>
                <w:lang w:val="es-ES"/>
              </w:rPr>
              <w:t>(</w:t>
            </w:r>
            <w:r w:rsidR="003D0CE9">
              <w:rPr>
                <w:rFonts w:ascii="Cambria" w:hAnsi="Cambria"/>
                <w:bCs/>
                <w:sz w:val="19"/>
                <w:szCs w:val="19"/>
                <w:lang w:val="es-ES"/>
              </w:rPr>
              <w:t xml:space="preserve">respetar los derechos) </w:t>
            </w:r>
            <w:r w:rsidRPr="00330CAE">
              <w:rPr>
                <w:rFonts w:ascii="Cambria" w:hAnsi="Cambria"/>
                <w:bCs/>
                <w:sz w:val="19"/>
                <w:szCs w:val="19"/>
                <w:lang w:val="es-ES"/>
              </w:rPr>
              <w:t xml:space="preserve">y 2 </w:t>
            </w:r>
            <w:r w:rsidR="003D0CE9">
              <w:rPr>
                <w:rFonts w:ascii="Cambria" w:hAnsi="Cambria"/>
                <w:bCs/>
                <w:sz w:val="19"/>
                <w:szCs w:val="19"/>
                <w:lang w:val="es-ES"/>
              </w:rPr>
              <w:t xml:space="preserve">(adoptar disposiciones de derechos interno) </w:t>
            </w:r>
            <w:r w:rsidRPr="00330CAE">
              <w:rPr>
                <w:rFonts w:ascii="Cambria" w:hAnsi="Cambria"/>
                <w:bCs/>
                <w:sz w:val="19"/>
                <w:szCs w:val="19"/>
                <w:lang w:val="es-ES"/>
              </w:rPr>
              <w:t>de ese mismo instrumento</w:t>
            </w:r>
            <w:r>
              <w:rPr>
                <w:rFonts w:ascii="Cambria" w:hAnsi="Cambria"/>
                <w:bCs/>
                <w:sz w:val="19"/>
                <w:szCs w:val="19"/>
                <w:lang w:val="es-ES"/>
              </w:rPr>
              <w:t>.</w:t>
            </w:r>
          </w:p>
        </w:tc>
      </w:tr>
      <w:tr w:rsidR="003239B8" w:rsidRPr="00FD3645"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724CB984" w:rsidR="003239B8" w:rsidRPr="0047080D" w:rsidRDefault="000E0229" w:rsidP="00BB3FBD">
            <w:pPr>
              <w:rPr>
                <w:rFonts w:ascii="Cambria" w:hAnsi="Cambria"/>
                <w:bCs/>
                <w:sz w:val="19"/>
                <w:szCs w:val="19"/>
                <w:lang w:val="es-ES"/>
              </w:rPr>
            </w:pPr>
            <w:r>
              <w:rPr>
                <w:rFonts w:ascii="Cambria" w:hAnsi="Cambria"/>
                <w:bCs/>
                <w:sz w:val="19"/>
                <w:szCs w:val="19"/>
                <w:lang w:val="es-ES"/>
              </w:rPr>
              <w:t>Sí, aplicación de la excepción prevista en el artículo 46.2.a de la Convención Americana</w:t>
            </w:r>
          </w:p>
        </w:tc>
      </w:tr>
      <w:tr w:rsidR="003239B8" w:rsidRPr="00FD3645"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76042D">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1B82FE53" w:rsidR="003239B8" w:rsidRPr="0047080D" w:rsidRDefault="00953C5D" w:rsidP="0076042D">
            <w:pPr>
              <w:rPr>
                <w:rFonts w:ascii="Cambria" w:hAnsi="Cambria"/>
                <w:bCs/>
                <w:sz w:val="19"/>
                <w:szCs w:val="19"/>
                <w:lang w:val="es-ES"/>
              </w:rPr>
            </w:pPr>
            <w:r>
              <w:rPr>
                <w:rFonts w:ascii="Cambria" w:hAnsi="Cambria"/>
                <w:bCs/>
                <w:sz w:val="19"/>
                <w:szCs w:val="19"/>
                <w:lang w:val="es-ES"/>
              </w:rPr>
              <w:t>Sí, en lo que respecta a la sección IV</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46310EBB" w14:textId="6E2EB09A" w:rsidR="00DE12F0" w:rsidRPr="003C2C65" w:rsidRDefault="00C55C1E"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C2C65">
        <w:rPr>
          <w:rFonts w:ascii="Cambria" w:hAnsi="Cambria"/>
          <w:sz w:val="20"/>
          <w:szCs w:val="20"/>
          <w:lang w:val="es-ES"/>
        </w:rPr>
        <w:t>Los peticionarios alegan la responsabilidad internacional del Estado Plurinacional de Bolivia por la presunta violación al derecho a la propiedad colectiva de</w:t>
      </w:r>
      <w:r w:rsidR="00866311" w:rsidRPr="003C2C65">
        <w:rPr>
          <w:rFonts w:ascii="Cambria" w:hAnsi="Cambria"/>
          <w:sz w:val="20"/>
          <w:szCs w:val="20"/>
          <w:lang w:val="es-ES"/>
        </w:rPr>
        <w:t xml:space="preserve">l Territorio Indígena y Parque Nacional </w:t>
      </w:r>
      <w:proofErr w:type="spellStart"/>
      <w:r w:rsidR="00866311" w:rsidRPr="003C2C65">
        <w:rPr>
          <w:rFonts w:ascii="Cambria" w:hAnsi="Cambria"/>
          <w:sz w:val="20"/>
          <w:szCs w:val="20"/>
          <w:lang w:val="es-ES"/>
        </w:rPr>
        <w:t>Isiboro</w:t>
      </w:r>
      <w:proofErr w:type="spellEnd"/>
      <w:r w:rsidR="00866311" w:rsidRPr="003C2C65">
        <w:rPr>
          <w:rFonts w:ascii="Cambria" w:hAnsi="Cambria"/>
          <w:sz w:val="20"/>
          <w:szCs w:val="20"/>
          <w:lang w:val="es-ES"/>
        </w:rPr>
        <w:t xml:space="preserve"> </w:t>
      </w:r>
      <w:proofErr w:type="spellStart"/>
      <w:r w:rsidR="00866311" w:rsidRPr="003C2C65">
        <w:rPr>
          <w:rFonts w:ascii="Cambria" w:hAnsi="Cambria"/>
          <w:sz w:val="20"/>
          <w:szCs w:val="20"/>
          <w:lang w:val="es-ES"/>
        </w:rPr>
        <w:t>Sécure</w:t>
      </w:r>
      <w:proofErr w:type="spellEnd"/>
      <w:r w:rsidR="006D65DA">
        <w:rPr>
          <w:rFonts w:ascii="Cambria" w:hAnsi="Cambria"/>
          <w:sz w:val="20"/>
          <w:szCs w:val="20"/>
          <w:lang w:val="es-ES"/>
        </w:rPr>
        <w:t xml:space="preserve"> (</w:t>
      </w:r>
      <w:r w:rsidR="00866311" w:rsidRPr="003C2C65">
        <w:rPr>
          <w:rFonts w:ascii="Cambria" w:hAnsi="Cambria"/>
          <w:sz w:val="20"/>
          <w:szCs w:val="20"/>
          <w:lang w:val="es-ES"/>
        </w:rPr>
        <w:t>TIPNIS</w:t>
      </w:r>
      <w:r w:rsidR="006D65DA">
        <w:rPr>
          <w:rFonts w:ascii="Cambria" w:hAnsi="Cambria"/>
          <w:sz w:val="20"/>
          <w:szCs w:val="20"/>
          <w:lang w:val="es-ES"/>
        </w:rPr>
        <w:t>)</w:t>
      </w:r>
      <w:r w:rsidR="00866311" w:rsidRPr="003C2C65">
        <w:rPr>
          <w:rFonts w:ascii="Cambria" w:hAnsi="Cambria"/>
          <w:sz w:val="20"/>
          <w:szCs w:val="20"/>
          <w:lang w:val="es-ES"/>
        </w:rPr>
        <w:t xml:space="preserve"> y </w:t>
      </w:r>
      <w:r w:rsidR="00316D97" w:rsidRPr="003C2C65">
        <w:rPr>
          <w:rFonts w:ascii="Cambria" w:hAnsi="Cambria"/>
          <w:sz w:val="20"/>
          <w:szCs w:val="20"/>
          <w:lang w:val="es-ES"/>
        </w:rPr>
        <w:t xml:space="preserve">las </w:t>
      </w:r>
      <w:r w:rsidR="00866311" w:rsidRPr="003C2C65">
        <w:rPr>
          <w:rFonts w:ascii="Cambria" w:hAnsi="Cambria"/>
          <w:sz w:val="20"/>
          <w:szCs w:val="20"/>
          <w:lang w:val="es-ES"/>
        </w:rPr>
        <w:t xml:space="preserve">64 comunidades </w:t>
      </w:r>
      <w:r w:rsidR="00316D97" w:rsidRPr="003C2C65">
        <w:rPr>
          <w:rFonts w:ascii="Cambria" w:hAnsi="Cambria"/>
          <w:sz w:val="20"/>
          <w:szCs w:val="20"/>
          <w:lang w:val="es-ES"/>
        </w:rPr>
        <w:t xml:space="preserve">indígenas que viven en la zona, </w:t>
      </w:r>
      <w:r w:rsidR="00866311" w:rsidRPr="003C2C65">
        <w:rPr>
          <w:rFonts w:ascii="Cambria" w:hAnsi="Cambria"/>
          <w:sz w:val="20"/>
          <w:szCs w:val="20"/>
          <w:lang w:val="es-ES"/>
        </w:rPr>
        <w:t xml:space="preserve">algunas </w:t>
      </w:r>
      <w:r w:rsidR="006D65DA">
        <w:rPr>
          <w:rFonts w:ascii="Cambria" w:hAnsi="Cambria"/>
          <w:sz w:val="20"/>
          <w:szCs w:val="20"/>
          <w:lang w:val="es-ES"/>
        </w:rPr>
        <w:t xml:space="preserve">de ellas </w:t>
      </w:r>
      <w:r w:rsidR="00866311" w:rsidRPr="003C2C65">
        <w:rPr>
          <w:rFonts w:ascii="Cambria" w:hAnsi="Cambria"/>
          <w:sz w:val="20"/>
          <w:szCs w:val="20"/>
          <w:lang w:val="es-ES"/>
        </w:rPr>
        <w:t>en aislamiento voluntario. A</w:t>
      </w:r>
      <w:r w:rsidRPr="003C2C65">
        <w:rPr>
          <w:rFonts w:ascii="Cambria" w:hAnsi="Cambria"/>
          <w:sz w:val="20"/>
          <w:szCs w:val="20"/>
          <w:lang w:val="es-ES"/>
        </w:rPr>
        <w:t xml:space="preserve">seguran los peticionarios que el Estado omitió llevar a cabo el proceso de consulta previa para la ejecución del “Proyecto Carretero Villa </w:t>
      </w:r>
      <w:proofErr w:type="spellStart"/>
      <w:r w:rsidRPr="003C2C65">
        <w:rPr>
          <w:rFonts w:ascii="Cambria" w:hAnsi="Cambria"/>
          <w:sz w:val="20"/>
          <w:szCs w:val="20"/>
          <w:lang w:val="es-ES"/>
        </w:rPr>
        <w:t>Tur</w:t>
      </w:r>
      <w:r w:rsidR="000F4098">
        <w:rPr>
          <w:rFonts w:ascii="Cambria" w:hAnsi="Cambria"/>
          <w:sz w:val="20"/>
          <w:szCs w:val="20"/>
          <w:lang w:val="es-ES"/>
        </w:rPr>
        <w:t>a</w:t>
      </w:r>
      <w:r w:rsidRPr="003C2C65">
        <w:rPr>
          <w:rFonts w:ascii="Cambria" w:hAnsi="Cambria"/>
          <w:sz w:val="20"/>
          <w:szCs w:val="20"/>
          <w:lang w:val="es-ES"/>
        </w:rPr>
        <w:t>n</w:t>
      </w:r>
      <w:r w:rsidR="000F4098">
        <w:rPr>
          <w:rFonts w:ascii="Cambria" w:hAnsi="Cambria"/>
          <w:sz w:val="20"/>
          <w:szCs w:val="20"/>
          <w:lang w:val="es-ES"/>
        </w:rPr>
        <w:t>i</w:t>
      </w:r>
      <w:proofErr w:type="spellEnd"/>
      <w:r w:rsidRPr="003C2C65">
        <w:rPr>
          <w:rFonts w:ascii="Cambria" w:hAnsi="Cambria"/>
          <w:sz w:val="20"/>
          <w:szCs w:val="20"/>
          <w:lang w:val="es-ES"/>
        </w:rPr>
        <w:t>”, con el que se atravesaría el TIPNIS.</w:t>
      </w:r>
    </w:p>
    <w:p w14:paraId="2DC0D851" w14:textId="602D56E5" w:rsidR="007C7C02" w:rsidRDefault="001A2ED7"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lastRenderedPageBreak/>
        <w:t>Argumentan</w:t>
      </w:r>
      <w:r w:rsidR="00D56788" w:rsidRPr="003C2C65">
        <w:rPr>
          <w:rFonts w:ascii="Cambria" w:hAnsi="Cambria"/>
          <w:sz w:val="20"/>
          <w:szCs w:val="20"/>
          <w:lang w:val="es-ES"/>
        </w:rPr>
        <w:t xml:space="preserve"> los peticionarios que las 64 comunidades indígenas de la Amazonía boliviana constituyen pueblos originarios, que son propietarios ancestrales del territorio qu</w:t>
      </w:r>
      <w:r w:rsidR="00776AAF" w:rsidRPr="003C2C65">
        <w:rPr>
          <w:rFonts w:ascii="Cambria" w:hAnsi="Cambria"/>
          <w:sz w:val="20"/>
          <w:szCs w:val="20"/>
          <w:lang w:val="es-ES"/>
        </w:rPr>
        <w:t>e habitan; dicho territorio fue decla</w:t>
      </w:r>
      <w:r w:rsidR="00316D97" w:rsidRPr="003C2C65">
        <w:rPr>
          <w:rFonts w:ascii="Cambria" w:hAnsi="Cambria"/>
          <w:sz w:val="20"/>
          <w:szCs w:val="20"/>
          <w:lang w:val="es-ES"/>
        </w:rPr>
        <w:t>rado Parque Nacional en 1965, posteriormente, en</w:t>
      </w:r>
      <w:r w:rsidR="00776AAF" w:rsidRPr="003C2C65">
        <w:rPr>
          <w:rFonts w:ascii="Cambria" w:hAnsi="Cambria"/>
          <w:sz w:val="20"/>
          <w:szCs w:val="20"/>
          <w:lang w:val="es-ES"/>
        </w:rPr>
        <w:t xml:space="preserve"> 1990 fue reconocido como territorio indígena, y en el 2009 el Estado boliviano</w:t>
      </w:r>
      <w:r w:rsidR="00316D97" w:rsidRPr="003C2C65">
        <w:rPr>
          <w:rFonts w:ascii="Cambria" w:hAnsi="Cambria"/>
          <w:sz w:val="20"/>
          <w:szCs w:val="20"/>
          <w:lang w:val="es-ES"/>
        </w:rPr>
        <w:t xml:space="preserve"> reconoció la zona como </w:t>
      </w:r>
      <w:r w:rsidR="003004DF" w:rsidRPr="003C2C65">
        <w:rPr>
          <w:rFonts w:ascii="Cambria" w:hAnsi="Cambria"/>
          <w:sz w:val="20"/>
          <w:szCs w:val="20"/>
          <w:lang w:val="es-ES"/>
        </w:rPr>
        <w:t xml:space="preserve">territorio </w:t>
      </w:r>
      <w:r w:rsidR="00776AAF" w:rsidRPr="003C2C65">
        <w:rPr>
          <w:rFonts w:ascii="Cambria" w:hAnsi="Cambria"/>
          <w:sz w:val="20"/>
          <w:szCs w:val="20"/>
          <w:lang w:val="es-ES"/>
        </w:rPr>
        <w:t xml:space="preserve">colectivo y entregó </w:t>
      </w:r>
      <w:r w:rsidR="003004DF" w:rsidRPr="003C2C65">
        <w:rPr>
          <w:rFonts w:ascii="Cambria" w:hAnsi="Cambria"/>
          <w:sz w:val="20"/>
          <w:szCs w:val="20"/>
          <w:lang w:val="es-ES"/>
        </w:rPr>
        <w:t xml:space="preserve">su </w:t>
      </w:r>
      <w:r w:rsidR="00776AAF" w:rsidRPr="003C2C65">
        <w:rPr>
          <w:rFonts w:ascii="Cambria" w:hAnsi="Cambria"/>
          <w:sz w:val="20"/>
          <w:szCs w:val="20"/>
          <w:lang w:val="es-ES"/>
        </w:rPr>
        <w:t>titularidad a los indígenas que habitaban la región sobre una extensión de 1.091.656 hectáreas.</w:t>
      </w:r>
      <w:r w:rsidR="007654C9" w:rsidRPr="003C2C65">
        <w:rPr>
          <w:rFonts w:ascii="Cambria" w:hAnsi="Cambria"/>
          <w:sz w:val="20"/>
          <w:szCs w:val="20"/>
          <w:lang w:val="es-ES"/>
        </w:rPr>
        <w:t xml:space="preserve"> De ahí que el TIPNIS ha</w:t>
      </w:r>
      <w:r w:rsidR="003004DF" w:rsidRPr="003C2C65">
        <w:rPr>
          <w:rFonts w:ascii="Cambria" w:hAnsi="Cambria"/>
          <w:sz w:val="20"/>
          <w:szCs w:val="20"/>
          <w:lang w:val="es-ES"/>
        </w:rPr>
        <w:t>ya</w:t>
      </w:r>
      <w:r w:rsidR="007654C9" w:rsidRPr="003C2C65">
        <w:rPr>
          <w:rFonts w:ascii="Cambria" w:hAnsi="Cambria"/>
          <w:sz w:val="20"/>
          <w:szCs w:val="20"/>
          <w:lang w:val="es-ES"/>
        </w:rPr>
        <w:t xml:space="preserve"> logrado un título de propiedad colectiva </w:t>
      </w:r>
      <w:r w:rsidR="006D65DA" w:rsidRPr="003C2C65">
        <w:rPr>
          <w:rFonts w:ascii="Cambria" w:hAnsi="Cambria"/>
          <w:sz w:val="20"/>
          <w:szCs w:val="20"/>
          <w:lang w:val="es-ES"/>
        </w:rPr>
        <w:t>como territorio indígena</w:t>
      </w:r>
      <w:r w:rsidR="006D65DA">
        <w:rPr>
          <w:rFonts w:ascii="Cambria" w:hAnsi="Cambria"/>
          <w:sz w:val="20"/>
          <w:szCs w:val="20"/>
          <w:lang w:val="es-ES"/>
        </w:rPr>
        <w:t>,</w:t>
      </w:r>
      <w:r w:rsidR="006D65DA" w:rsidRPr="003C2C65">
        <w:rPr>
          <w:rFonts w:ascii="Cambria" w:hAnsi="Cambria"/>
          <w:sz w:val="20"/>
          <w:szCs w:val="20"/>
          <w:lang w:val="es-ES"/>
        </w:rPr>
        <w:t xml:space="preserve"> </w:t>
      </w:r>
      <w:r w:rsidR="007654C9" w:rsidRPr="003C2C65">
        <w:rPr>
          <w:rFonts w:ascii="Cambria" w:hAnsi="Cambria"/>
          <w:sz w:val="20"/>
          <w:szCs w:val="20"/>
          <w:lang w:val="es-ES"/>
        </w:rPr>
        <w:t>que no contempla el territorio denominado “</w:t>
      </w:r>
      <w:r w:rsidR="00102A35" w:rsidRPr="003C2C65">
        <w:rPr>
          <w:rFonts w:ascii="Cambria" w:hAnsi="Cambria"/>
          <w:sz w:val="20"/>
          <w:szCs w:val="20"/>
          <w:lang w:val="es-ES"/>
        </w:rPr>
        <w:t>Polígono</w:t>
      </w:r>
      <w:r w:rsidR="007654C9" w:rsidRPr="003C2C65">
        <w:rPr>
          <w:rFonts w:ascii="Cambria" w:hAnsi="Cambria"/>
          <w:sz w:val="20"/>
          <w:szCs w:val="20"/>
          <w:lang w:val="es-ES"/>
        </w:rPr>
        <w:t xml:space="preserve"> 7”, pues </w:t>
      </w:r>
      <w:r w:rsidR="00A65EC6">
        <w:rPr>
          <w:rFonts w:ascii="Cambria" w:hAnsi="Cambria"/>
          <w:sz w:val="20"/>
          <w:szCs w:val="20"/>
          <w:lang w:val="es-ES"/>
        </w:rPr>
        <w:t>el Estado no</w:t>
      </w:r>
      <w:r w:rsidR="006D65DA">
        <w:rPr>
          <w:rFonts w:ascii="Cambria" w:hAnsi="Cambria"/>
          <w:sz w:val="20"/>
          <w:szCs w:val="20"/>
          <w:lang w:val="es-ES"/>
        </w:rPr>
        <w:t xml:space="preserve"> aclara si é</w:t>
      </w:r>
      <w:r w:rsidR="007654C9" w:rsidRPr="003C2C65">
        <w:rPr>
          <w:rFonts w:ascii="Cambria" w:hAnsi="Cambria"/>
          <w:sz w:val="20"/>
          <w:szCs w:val="20"/>
          <w:lang w:val="es-ES"/>
        </w:rPr>
        <w:t>ste hace parte de</w:t>
      </w:r>
      <w:r w:rsidR="006D65DA">
        <w:rPr>
          <w:rFonts w:ascii="Cambria" w:hAnsi="Cambria"/>
          <w:sz w:val="20"/>
          <w:szCs w:val="20"/>
          <w:lang w:val="es-ES"/>
        </w:rPr>
        <w:t xml:space="preserve"> dicho</w:t>
      </w:r>
      <w:r w:rsidR="007654C9" w:rsidRPr="003C2C65">
        <w:rPr>
          <w:rFonts w:ascii="Cambria" w:hAnsi="Cambria"/>
          <w:sz w:val="20"/>
          <w:szCs w:val="20"/>
          <w:lang w:val="es-ES"/>
        </w:rPr>
        <w:t xml:space="preserve"> territorio o si</w:t>
      </w:r>
      <w:r w:rsidR="006D65DA">
        <w:rPr>
          <w:rFonts w:ascii="Cambria" w:hAnsi="Cambria"/>
          <w:sz w:val="20"/>
          <w:szCs w:val="20"/>
          <w:lang w:val="es-ES"/>
        </w:rPr>
        <w:t>,</w:t>
      </w:r>
      <w:r w:rsidR="007654C9" w:rsidRPr="003C2C65">
        <w:rPr>
          <w:rFonts w:ascii="Cambria" w:hAnsi="Cambria"/>
          <w:sz w:val="20"/>
          <w:szCs w:val="20"/>
          <w:lang w:val="es-ES"/>
        </w:rPr>
        <w:t xml:space="preserve"> por el contrario</w:t>
      </w:r>
      <w:r w:rsidR="006D65DA">
        <w:rPr>
          <w:rFonts w:ascii="Cambria" w:hAnsi="Cambria"/>
          <w:sz w:val="20"/>
          <w:szCs w:val="20"/>
          <w:lang w:val="es-ES"/>
        </w:rPr>
        <w:t>,</w:t>
      </w:r>
      <w:r w:rsidR="007654C9" w:rsidRPr="003C2C65">
        <w:rPr>
          <w:rFonts w:ascii="Cambria" w:hAnsi="Cambria"/>
          <w:sz w:val="20"/>
          <w:szCs w:val="20"/>
          <w:lang w:val="es-ES"/>
        </w:rPr>
        <w:t xml:space="preserve"> se trata de propiedades individuales consolidadas dentro del Parque Nacional. </w:t>
      </w:r>
    </w:p>
    <w:p w14:paraId="0D54ADF0" w14:textId="75BDD133" w:rsidR="00D56788" w:rsidRPr="007C7C02" w:rsidRDefault="006D65DA" w:rsidP="003516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Los </w:t>
      </w:r>
      <w:r w:rsidR="00102A35" w:rsidRPr="00A47291">
        <w:rPr>
          <w:rFonts w:ascii="Cambria" w:hAnsi="Cambria"/>
          <w:sz w:val="20"/>
          <w:szCs w:val="20"/>
          <w:lang w:val="es-ES"/>
        </w:rPr>
        <w:t xml:space="preserve">pueblos en aislamiento voluntario </w:t>
      </w:r>
      <w:r>
        <w:rPr>
          <w:rFonts w:ascii="Cambria" w:hAnsi="Cambria"/>
          <w:sz w:val="20"/>
          <w:szCs w:val="20"/>
          <w:lang w:val="es-ES"/>
        </w:rPr>
        <w:t xml:space="preserve">están conformados por </w:t>
      </w:r>
      <w:r w:rsidR="009B3BB9" w:rsidRPr="00A47291">
        <w:rPr>
          <w:rFonts w:ascii="Cambria" w:hAnsi="Cambria"/>
          <w:sz w:val="20"/>
          <w:szCs w:val="20"/>
          <w:lang w:val="es-ES"/>
        </w:rPr>
        <w:t>aproximadamente</w:t>
      </w:r>
      <w:r w:rsidR="00102A35" w:rsidRPr="00A47291">
        <w:rPr>
          <w:rFonts w:ascii="Cambria" w:hAnsi="Cambria"/>
          <w:sz w:val="20"/>
          <w:szCs w:val="20"/>
          <w:lang w:val="es-ES"/>
        </w:rPr>
        <w:t xml:space="preserve"> 20 familias ubicadas en la cabecera del Río Alto del </w:t>
      </w:r>
      <w:proofErr w:type="spellStart"/>
      <w:r w:rsidR="00102A35" w:rsidRPr="00A47291">
        <w:rPr>
          <w:rFonts w:ascii="Cambria" w:hAnsi="Cambria"/>
          <w:sz w:val="20"/>
          <w:szCs w:val="20"/>
          <w:lang w:val="es-ES"/>
        </w:rPr>
        <w:t>Sécure</w:t>
      </w:r>
      <w:proofErr w:type="spellEnd"/>
      <w:r>
        <w:rPr>
          <w:rFonts w:ascii="Cambria" w:hAnsi="Cambria"/>
          <w:sz w:val="20"/>
          <w:szCs w:val="20"/>
          <w:lang w:val="es-ES"/>
        </w:rPr>
        <w:t>,</w:t>
      </w:r>
      <w:r w:rsidR="00102A35" w:rsidRPr="00A47291">
        <w:rPr>
          <w:rFonts w:ascii="Cambria" w:hAnsi="Cambria"/>
          <w:sz w:val="20"/>
          <w:szCs w:val="20"/>
          <w:lang w:val="es-ES"/>
        </w:rPr>
        <w:t xml:space="preserve"> que legalmente se encuentran protegidas por la Ley 18</w:t>
      </w:r>
      <w:r w:rsidR="009B3BB9" w:rsidRPr="00A47291">
        <w:rPr>
          <w:rFonts w:ascii="Cambria" w:hAnsi="Cambria"/>
          <w:sz w:val="20"/>
          <w:szCs w:val="20"/>
          <w:lang w:val="es-ES"/>
        </w:rPr>
        <w:t>0, pero que han visto irrumpida</w:t>
      </w:r>
      <w:r w:rsidR="00102A35" w:rsidRPr="00A47291">
        <w:rPr>
          <w:rFonts w:ascii="Cambria" w:hAnsi="Cambria"/>
          <w:sz w:val="20"/>
          <w:szCs w:val="20"/>
          <w:lang w:val="es-ES"/>
        </w:rPr>
        <w:t xml:space="preserve"> su forma de vida debido a la incursión de empresas de turismo que ofrecen dentro de su paquete la posibilidad de observar a dichas comunidades</w:t>
      </w:r>
      <w:r>
        <w:rPr>
          <w:rFonts w:ascii="Cambria" w:hAnsi="Cambria"/>
          <w:sz w:val="20"/>
          <w:szCs w:val="20"/>
          <w:lang w:val="es-ES"/>
        </w:rPr>
        <w:t>.</w:t>
      </w:r>
      <w:r w:rsidR="00102A35" w:rsidRPr="00A47291">
        <w:rPr>
          <w:rFonts w:ascii="Cambria" w:hAnsi="Cambria"/>
          <w:sz w:val="20"/>
          <w:szCs w:val="20"/>
          <w:lang w:val="es-ES"/>
        </w:rPr>
        <w:t xml:space="preserve"> </w:t>
      </w:r>
      <w:r>
        <w:rPr>
          <w:rFonts w:ascii="Cambria" w:hAnsi="Cambria"/>
          <w:sz w:val="20"/>
          <w:szCs w:val="20"/>
          <w:lang w:val="es-ES"/>
        </w:rPr>
        <w:t xml:space="preserve">Los </w:t>
      </w:r>
      <w:r w:rsidR="0073158D" w:rsidRPr="00A47291">
        <w:rPr>
          <w:rFonts w:ascii="Cambria" w:hAnsi="Cambria"/>
          <w:sz w:val="20"/>
          <w:szCs w:val="20"/>
          <w:lang w:val="es-ES"/>
        </w:rPr>
        <w:t>peticionario</w:t>
      </w:r>
      <w:r>
        <w:rPr>
          <w:rFonts w:ascii="Cambria" w:hAnsi="Cambria"/>
          <w:sz w:val="20"/>
          <w:szCs w:val="20"/>
          <w:lang w:val="es-ES"/>
        </w:rPr>
        <w:t>s consideran que esto</w:t>
      </w:r>
      <w:r w:rsidR="0073158D" w:rsidRPr="00A47291">
        <w:rPr>
          <w:rFonts w:ascii="Cambria" w:hAnsi="Cambria"/>
          <w:sz w:val="20"/>
          <w:szCs w:val="20"/>
          <w:lang w:val="es-ES"/>
        </w:rPr>
        <w:t xml:space="preserve"> </w:t>
      </w:r>
      <w:r w:rsidR="00102A35" w:rsidRPr="00A47291">
        <w:rPr>
          <w:rFonts w:ascii="Cambria" w:hAnsi="Cambria"/>
          <w:sz w:val="20"/>
          <w:szCs w:val="20"/>
          <w:lang w:val="es-ES"/>
        </w:rPr>
        <w:t>genera una perturbación y un posible etnocidio para dichas comunidades voluntariamente aisladas.</w:t>
      </w:r>
      <w:r w:rsidR="007C7C02">
        <w:rPr>
          <w:rFonts w:ascii="Cambria" w:hAnsi="Cambria"/>
          <w:sz w:val="20"/>
          <w:szCs w:val="20"/>
          <w:lang w:val="es-ES"/>
        </w:rPr>
        <w:t xml:space="preserve"> </w:t>
      </w:r>
      <w:r w:rsidR="006D028C" w:rsidRPr="00351670">
        <w:rPr>
          <w:rFonts w:ascii="Cambria" w:hAnsi="Cambria"/>
          <w:sz w:val="20"/>
          <w:szCs w:val="20"/>
          <w:lang w:val="es-ES"/>
        </w:rPr>
        <w:t>A</w:t>
      </w:r>
      <w:r>
        <w:rPr>
          <w:rFonts w:ascii="Cambria" w:hAnsi="Cambria"/>
          <w:sz w:val="20"/>
          <w:szCs w:val="20"/>
          <w:lang w:val="es-ES"/>
        </w:rPr>
        <w:t>firman a</w:t>
      </w:r>
      <w:r w:rsidR="006D028C" w:rsidRPr="00351670">
        <w:rPr>
          <w:rFonts w:ascii="Cambria" w:hAnsi="Cambria"/>
          <w:sz w:val="20"/>
          <w:szCs w:val="20"/>
          <w:lang w:val="es-ES"/>
        </w:rPr>
        <w:t>de</w:t>
      </w:r>
      <w:r w:rsidR="001A2ED7" w:rsidRPr="00351670">
        <w:rPr>
          <w:rFonts w:ascii="Cambria" w:hAnsi="Cambria"/>
          <w:sz w:val="20"/>
          <w:szCs w:val="20"/>
          <w:lang w:val="es-ES"/>
        </w:rPr>
        <w:t>más</w:t>
      </w:r>
      <w:r>
        <w:rPr>
          <w:rFonts w:ascii="Cambria" w:hAnsi="Cambria"/>
          <w:sz w:val="20"/>
          <w:szCs w:val="20"/>
          <w:lang w:val="es-ES"/>
        </w:rPr>
        <w:t xml:space="preserve"> que</w:t>
      </w:r>
      <w:r w:rsidR="001A2ED7" w:rsidRPr="007C7C02">
        <w:rPr>
          <w:rFonts w:ascii="Cambria" w:hAnsi="Cambria"/>
          <w:sz w:val="20"/>
          <w:szCs w:val="20"/>
          <w:lang w:val="es-ES"/>
        </w:rPr>
        <w:t xml:space="preserve"> </w:t>
      </w:r>
      <w:r w:rsidR="006D028C" w:rsidRPr="007C7C02">
        <w:rPr>
          <w:rFonts w:ascii="Cambria" w:hAnsi="Cambria"/>
          <w:sz w:val="20"/>
          <w:szCs w:val="20"/>
          <w:lang w:val="es-ES"/>
        </w:rPr>
        <w:t>desde 1992, la presencia de campesinos</w:t>
      </w:r>
      <w:r w:rsidR="004246C4" w:rsidRPr="007C7C02">
        <w:rPr>
          <w:rFonts w:ascii="Cambria" w:hAnsi="Cambria"/>
          <w:sz w:val="20"/>
          <w:szCs w:val="20"/>
          <w:lang w:val="es-ES"/>
        </w:rPr>
        <w:t xml:space="preserve"> que arribaron a la zona con l</w:t>
      </w:r>
      <w:r w:rsidR="00A97E1F" w:rsidRPr="007C7C02">
        <w:rPr>
          <w:rFonts w:ascii="Cambria" w:hAnsi="Cambria"/>
          <w:sz w:val="20"/>
          <w:szCs w:val="20"/>
          <w:lang w:val="es-ES"/>
        </w:rPr>
        <w:t>a</w:t>
      </w:r>
      <w:r w:rsidR="004246C4" w:rsidRPr="007C7C02">
        <w:rPr>
          <w:rFonts w:ascii="Cambria" w:hAnsi="Cambria"/>
          <w:sz w:val="20"/>
          <w:szCs w:val="20"/>
          <w:lang w:val="es-ES"/>
        </w:rPr>
        <w:t xml:space="preserve"> intención de extender sus presuntos cultivos ilegales de coca se ha </w:t>
      </w:r>
      <w:r w:rsidR="006D028C" w:rsidRPr="007C7C02">
        <w:rPr>
          <w:rFonts w:ascii="Cambria" w:hAnsi="Cambria"/>
          <w:sz w:val="20"/>
          <w:szCs w:val="20"/>
          <w:lang w:val="es-ES"/>
        </w:rPr>
        <w:t>incrementado de forma desproporciona</w:t>
      </w:r>
      <w:r w:rsidR="00917A34">
        <w:rPr>
          <w:rFonts w:ascii="Cambria" w:hAnsi="Cambria"/>
          <w:sz w:val="20"/>
          <w:szCs w:val="20"/>
          <w:lang w:val="es-ES"/>
        </w:rPr>
        <w:t>da.</w:t>
      </w:r>
      <w:r w:rsidR="004246C4" w:rsidRPr="007C7C02">
        <w:rPr>
          <w:rFonts w:ascii="Cambria" w:hAnsi="Cambria"/>
          <w:sz w:val="20"/>
          <w:szCs w:val="20"/>
          <w:lang w:val="es-ES"/>
        </w:rPr>
        <w:t xml:space="preserve"> </w:t>
      </w:r>
      <w:r>
        <w:rPr>
          <w:rFonts w:ascii="Cambria" w:hAnsi="Cambria"/>
          <w:sz w:val="20"/>
          <w:szCs w:val="20"/>
          <w:lang w:val="es-ES"/>
        </w:rPr>
        <w:t>L</w:t>
      </w:r>
      <w:r w:rsidR="004246C4" w:rsidRPr="007C7C02">
        <w:rPr>
          <w:rFonts w:ascii="Cambria" w:hAnsi="Cambria"/>
          <w:sz w:val="20"/>
          <w:szCs w:val="20"/>
          <w:lang w:val="es-ES"/>
        </w:rPr>
        <w:t xml:space="preserve">os peticionarios aseguran que </w:t>
      </w:r>
      <w:r>
        <w:rPr>
          <w:rFonts w:ascii="Cambria" w:hAnsi="Cambria"/>
          <w:sz w:val="20"/>
          <w:szCs w:val="20"/>
          <w:lang w:val="es-ES"/>
        </w:rPr>
        <w:t>c</w:t>
      </w:r>
      <w:r w:rsidRPr="007C7C02">
        <w:rPr>
          <w:rFonts w:ascii="Cambria" w:hAnsi="Cambria"/>
          <w:sz w:val="20"/>
          <w:szCs w:val="20"/>
          <w:lang w:val="es-ES"/>
        </w:rPr>
        <w:t xml:space="preserve">omo consecuencia de ello </w:t>
      </w:r>
      <w:r w:rsidR="00316D97" w:rsidRPr="007C7C02">
        <w:rPr>
          <w:rFonts w:ascii="Cambria" w:hAnsi="Cambria"/>
          <w:sz w:val="20"/>
          <w:szCs w:val="20"/>
          <w:lang w:val="es-ES"/>
        </w:rPr>
        <w:t>las comunidades indígenas han sido desplazadas</w:t>
      </w:r>
      <w:r w:rsidR="00A97E1F" w:rsidRPr="007C7C02">
        <w:rPr>
          <w:rFonts w:ascii="Cambria" w:hAnsi="Cambria"/>
          <w:sz w:val="20"/>
          <w:szCs w:val="20"/>
          <w:lang w:val="es-ES"/>
        </w:rPr>
        <w:t xml:space="preserve"> de sus territorios ancestrales</w:t>
      </w:r>
      <w:r>
        <w:rPr>
          <w:rFonts w:ascii="Cambria" w:hAnsi="Cambria"/>
          <w:sz w:val="20"/>
          <w:szCs w:val="20"/>
          <w:lang w:val="es-ES"/>
        </w:rPr>
        <w:t>,</w:t>
      </w:r>
      <w:r w:rsidR="00A97E1F" w:rsidRPr="007C7C02">
        <w:rPr>
          <w:rFonts w:ascii="Cambria" w:hAnsi="Cambria"/>
          <w:sz w:val="20"/>
          <w:szCs w:val="20"/>
          <w:lang w:val="es-ES"/>
        </w:rPr>
        <w:t xml:space="preserve"> </w:t>
      </w:r>
      <w:r>
        <w:rPr>
          <w:rFonts w:ascii="Cambria" w:hAnsi="Cambria"/>
          <w:sz w:val="20"/>
          <w:szCs w:val="20"/>
          <w:lang w:val="es-ES"/>
        </w:rPr>
        <w:t xml:space="preserve">que han sido apropiados por </w:t>
      </w:r>
      <w:r w:rsidR="004246C4" w:rsidRPr="007C7C02">
        <w:rPr>
          <w:rFonts w:ascii="Cambria" w:hAnsi="Cambria"/>
          <w:sz w:val="20"/>
          <w:szCs w:val="20"/>
          <w:lang w:val="es-ES"/>
        </w:rPr>
        <w:t>l</w:t>
      </w:r>
      <w:r w:rsidR="00316D97" w:rsidRPr="007C7C02">
        <w:rPr>
          <w:rFonts w:ascii="Cambria" w:hAnsi="Cambria"/>
          <w:sz w:val="20"/>
          <w:szCs w:val="20"/>
          <w:lang w:val="es-ES"/>
        </w:rPr>
        <w:t>os campesinos</w:t>
      </w:r>
      <w:r w:rsidR="006D028C" w:rsidRPr="007C7C02">
        <w:rPr>
          <w:rFonts w:ascii="Cambria" w:hAnsi="Cambria"/>
          <w:sz w:val="20"/>
          <w:szCs w:val="20"/>
          <w:lang w:val="es-ES"/>
        </w:rPr>
        <w:t>.</w:t>
      </w:r>
      <w:r w:rsidR="00643F4D" w:rsidRPr="007C7C02">
        <w:rPr>
          <w:rFonts w:ascii="Cambria" w:hAnsi="Cambria"/>
          <w:sz w:val="20"/>
          <w:szCs w:val="20"/>
          <w:lang w:val="es-ES"/>
        </w:rPr>
        <w:t xml:space="preserve"> </w:t>
      </w:r>
      <w:r>
        <w:rPr>
          <w:rFonts w:ascii="Cambria" w:hAnsi="Cambria"/>
          <w:sz w:val="20"/>
          <w:szCs w:val="20"/>
          <w:lang w:val="es-ES"/>
        </w:rPr>
        <w:t>El</w:t>
      </w:r>
      <w:r w:rsidR="00643F4D" w:rsidRPr="007C7C02">
        <w:rPr>
          <w:rFonts w:ascii="Cambria" w:hAnsi="Cambria"/>
          <w:sz w:val="20"/>
          <w:szCs w:val="20"/>
          <w:lang w:val="es-ES"/>
        </w:rPr>
        <w:t xml:space="preserve"> Estado </w:t>
      </w:r>
      <w:r w:rsidRPr="007C7C02">
        <w:rPr>
          <w:rFonts w:ascii="Cambria" w:hAnsi="Cambria"/>
          <w:sz w:val="20"/>
          <w:szCs w:val="20"/>
          <w:lang w:val="es-ES"/>
        </w:rPr>
        <w:t>decidió</w:t>
      </w:r>
      <w:r w:rsidR="00643F4D" w:rsidRPr="007C7C02">
        <w:rPr>
          <w:rFonts w:ascii="Cambria" w:hAnsi="Cambria"/>
          <w:sz w:val="20"/>
          <w:szCs w:val="20"/>
          <w:lang w:val="es-ES"/>
        </w:rPr>
        <w:t xml:space="preserve"> demarca</w:t>
      </w:r>
      <w:r>
        <w:rPr>
          <w:rFonts w:ascii="Cambria" w:hAnsi="Cambria"/>
          <w:sz w:val="20"/>
          <w:szCs w:val="20"/>
          <w:lang w:val="es-ES"/>
        </w:rPr>
        <w:t>r</w:t>
      </w:r>
      <w:r w:rsidR="00643F4D" w:rsidRPr="007C7C02">
        <w:rPr>
          <w:rFonts w:ascii="Cambria" w:hAnsi="Cambria"/>
          <w:sz w:val="20"/>
          <w:szCs w:val="20"/>
          <w:lang w:val="es-ES"/>
        </w:rPr>
        <w:t xml:space="preserve"> la zona con el fin de preservar el TIPNIS y evitar que los campesinos continúen apropiándose</w:t>
      </w:r>
      <w:r w:rsidR="004246C4" w:rsidRPr="007C7C02">
        <w:rPr>
          <w:rFonts w:ascii="Cambria" w:hAnsi="Cambria"/>
          <w:sz w:val="20"/>
          <w:szCs w:val="20"/>
          <w:lang w:val="es-ES"/>
        </w:rPr>
        <w:t xml:space="preserve"> del territorio indígena</w:t>
      </w:r>
      <w:r w:rsidR="001A2ED7" w:rsidRPr="007C7C02">
        <w:rPr>
          <w:rFonts w:ascii="Cambria" w:hAnsi="Cambria"/>
          <w:sz w:val="20"/>
          <w:szCs w:val="20"/>
          <w:lang w:val="es-ES"/>
        </w:rPr>
        <w:t xml:space="preserve">, para lo cual se llevó a cabo un </w:t>
      </w:r>
      <w:r w:rsidR="00700323" w:rsidRPr="007C7C02">
        <w:rPr>
          <w:rFonts w:ascii="Cambria" w:hAnsi="Cambria"/>
          <w:sz w:val="20"/>
          <w:szCs w:val="20"/>
          <w:lang w:val="es-ES"/>
        </w:rPr>
        <w:t>proceso de saneamiento y titulación</w:t>
      </w:r>
      <w:r>
        <w:rPr>
          <w:rFonts w:ascii="Cambria" w:hAnsi="Cambria"/>
          <w:sz w:val="20"/>
          <w:szCs w:val="20"/>
          <w:lang w:val="es-ES"/>
        </w:rPr>
        <w:t>; y se trazó</w:t>
      </w:r>
      <w:r w:rsidR="001A2ED7" w:rsidRPr="007C7C02">
        <w:rPr>
          <w:rFonts w:ascii="Cambria" w:hAnsi="Cambria"/>
          <w:sz w:val="20"/>
          <w:szCs w:val="20"/>
          <w:lang w:val="es-ES"/>
        </w:rPr>
        <w:t xml:space="preserve"> una línea </w:t>
      </w:r>
      <w:r w:rsidRPr="007C7C02">
        <w:rPr>
          <w:rFonts w:ascii="Cambria" w:hAnsi="Cambria"/>
          <w:sz w:val="20"/>
          <w:szCs w:val="20"/>
          <w:lang w:val="es-ES"/>
        </w:rPr>
        <w:t>a la que se denominó “polígono 7” o “línea roja”</w:t>
      </w:r>
      <w:r>
        <w:rPr>
          <w:rFonts w:ascii="Cambria" w:hAnsi="Cambria"/>
          <w:sz w:val="20"/>
          <w:szCs w:val="20"/>
          <w:lang w:val="es-ES"/>
        </w:rPr>
        <w:t xml:space="preserve">, </w:t>
      </w:r>
      <w:r w:rsidR="001A2ED7" w:rsidRPr="007C7C02">
        <w:rPr>
          <w:rFonts w:ascii="Cambria" w:hAnsi="Cambria"/>
          <w:sz w:val="20"/>
          <w:szCs w:val="20"/>
          <w:lang w:val="es-ES"/>
        </w:rPr>
        <w:t>que no puede ser trasgredida por los campesinos.</w:t>
      </w:r>
    </w:p>
    <w:p w14:paraId="3D7C88AF" w14:textId="050B4E4E" w:rsidR="00866311" w:rsidRPr="003C2C65" w:rsidRDefault="006D65DA"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Los</w:t>
      </w:r>
      <w:r w:rsidR="00F25A57">
        <w:rPr>
          <w:rFonts w:ascii="Cambria" w:hAnsi="Cambria"/>
          <w:sz w:val="20"/>
          <w:szCs w:val="20"/>
          <w:lang w:val="es-ES"/>
        </w:rPr>
        <w:t xml:space="preserve"> peticionarios </w:t>
      </w:r>
      <w:r>
        <w:rPr>
          <w:rFonts w:ascii="Cambria" w:hAnsi="Cambria"/>
          <w:sz w:val="20"/>
          <w:szCs w:val="20"/>
          <w:lang w:val="es-ES"/>
        </w:rPr>
        <w:t xml:space="preserve">informan </w:t>
      </w:r>
      <w:r w:rsidR="00F25A57">
        <w:rPr>
          <w:rFonts w:ascii="Cambria" w:hAnsi="Cambria"/>
          <w:sz w:val="20"/>
          <w:szCs w:val="20"/>
          <w:lang w:val="es-ES"/>
        </w:rPr>
        <w:t>que</w:t>
      </w:r>
      <w:r>
        <w:rPr>
          <w:rFonts w:ascii="Cambria" w:hAnsi="Cambria"/>
          <w:sz w:val="20"/>
          <w:szCs w:val="20"/>
          <w:lang w:val="es-ES"/>
        </w:rPr>
        <w:t>,</w:t>
      </w:r>
      <w:r w:rsidR="00F25A57">
        <w:rPr>
          <w:rFonts w:ascii="Cambria" w:hAnsi="Cambria"/>
          <w:sz w:val="20"/>
          <w:szCs w:val="20"/>
          <w:lang w:val="es-ES"/>
        </w:rPr>
        <w:t xml:space="preserve"> en </w:t>
      </w:r>
      <w:r w:rsidR="00866311" w:rsidRPr="003C2C65">
        <w:rPr>
          <w:rFonts w:ascii="Cambria" w:hAnsi="Cambria"/>
          <w:sz w:val="20"/>
          <w:szCs w:val="20"/>
          <w:lang w:val="es-ES"/>
        </w:rPr>
        <w:t>2008, el Estado celebró un contrato con la empresa brasileña</w:t>
      </w:r>
      <w:r w:rsidR="00B51D19">
        <w:rPr>
          <w:rFonts w:ascii="Cambria" w:hAnsi="Cambria"/>
          <w:sz w:val="20"/>
          <w:szCs w:val="20"/>
          <w:lang w:val="es-ES"/>
        </w:rPr>
        <w:t xml:space="preserve"> Constructora </w:t>
      </w:r>
      <w:r w:rsidR="00E16964">
        <w:rPr>
          <w:rFonts w:ascii="Cambria" w:hAnsi="Cambria"/>
          <w:sz w:val="20"/>
          <w:szCs w:val="20"/>
          <w:lang w:val="es-ES"/>
        </w:rPr>
        <w:t xml:space="preserve">OAS </w:t>
      </w:r>
      <w:r>
        <w:rPr>
          <w:rFonts w:ascii="Cambria" w:hAnsi="Cambria"/>
          <w:sz w:val="20"/>
          <w:szCs w:val="20"/>
          <w:lang w:val="es-ES"/>
        </w:rPr>
        <w:t>Ltda.</w:t>
      </w:r>
      <w:r w:rsidR="00F25A57">
        <w:rPr>
          <w:rFonts w:ascii="Cambria" w:hAnsi="Cambria"/>
          <w:sz w:val="20"/>
          <w:szCs w:val="20"/>
          <w:lang w:val="es-ES"/>
        </w:rPr>
        <w:t xml:space="preserve"> </w:t>
      </w:r>
      <w:r w:rsidR="00866311" w:rsidRPr="003C2C65">
        <w:rPr>
          <w:rFonts w:ascii="Cambria" w:hAnsi="Cambria"/>
          <w:sz w:val="20"/>
          <w:szCs w:val="20"/>
          <w:lang w:val="es-ES"/>
        </w:rPr>
        <w:t>con el fin de construir una carretera</w:t>
      </w:r>
      <w:r w:rsidR="004715D2">
        <w:rPr>
          <w:rFonts w:ascii="Cambria" w:hAnsi="Cambria"/>
          <w:sz w:val="20"/>
          <w:szCs w:val="20"/>
          <w:lang w:val="es-ES"/>
        </w:rPr>
        <w:t xml:space="preserve"> para</w:t>
      </w:r>
      <w:r w:rsidR="00866311" w:rsidRPr="003C2C65">
        <w:rPr>
          <w:rFonts w:ascii="Cambria" w:hAnsi="Cambria"/>
          <w:sz w:val="20"/>
          <w:szCs w:val="20"/>
          <w:lang w:val="es-ES"/>
        </w:rPr>
        <w:t xml:space="preserve"> atravesar el TIPNIS y comunicar </w:t>
      </w:r>
      <w:r w:rsidR="00C64FA2" w:rsidRPr="003C2C65">
        <w:rPr>
          <w:rFonts w:ascii="Cambria" w:hAnsi="Cambria"/>
          <w:sz w:val="20"/>
          <w:szCs w:val="20"/>
          <w:lang w:val="es-ES"/>
        </w:rPr>
        <w:t>el departamento de Cochabamba con Trinidad</w:t>
      </w:r>
      <w:r w:rsidR="00FF75BD">
        <w:rPr>
          <w:rFonts w:ascii="Cambria" w:hAnsi="Cambria"/>
          <w:sz w:val="20"/>
          <w:szCs w:val="20"/>
          <w:lang w:val="es-ES"/>
        </w:rPr>
        <w:t>.</w:t>
      </w:r>
      <w:r w:rsidR="00C64FA2" w:rsidRPr="003C2C65">
        <w:rPr>
          <w:rFonts w:ascii="Cambria" w:hAnsi="Cambria"/>
          <w:sz w:val="20"/>
          <w:szCs w:val="20"/>
          <w:lang w:val="es-ES"/>
        </w:rPr>
        <w:t xml:space="preserve"> </w:t>
      </w:r>
      <w:r w:rsidR="00FF75BD">
        <w:rPr>
          <w:rFonts w:ascii="Cambria" w:hAnsi="Cambria"/>
          <w:sz w:val="20"/>
          <w:szCs w:val="20"/>
          <w:lang w:val="es-ES"/>
        </w:rPr>
        <w:t xml:space="preserve">El </w:t>
      </w:r>
      <w:r w:rsidR="00A97E1F" w:rsidRPr="003C2C65">
        <w:rPr>
          <w:rFonts w:ascii="Cambria" w:hAnsi="Cambria"/>
          <w:sz w:val="20"/>
          <w:szCs w:val="20"/>
          <w:lang w:val="es-ES"/>
        </w:rPr>
        <w:t xml:space="preserve">proyecto </w:t>
      </w:r>
      <w:r w:rsidR="00C64FA2" w:rsidRPr="003C2C65">
        <w:rPr>
          <w:rFonts w:ascii="Cambria" w:hAnsi="Cambria"/>
          <w:sz w:val="20"/>
          <w:szCs w:val="20"/>
          <w:lang w:val="es-ES"/>
        </w:rPr>
        <w:t>hace parte del corredor Bioceánico Brasil-Bolivia-Chile y Perú de</w:t>
      </w:r>
      <w:r w:rsidR="004715D2">
        <w:rPr>
          <w:rFonts w:ascii="Cambria" w:hAnsi="Cambria"/>
          <w:sz w:val="20"/>
          <w:szCs w:val="20"/>
          <w:lang w:val="es-ES"/>
        </w:rPr>
        <w:t xml:space="preserve"> </w:t>
      </w:r>
      <w:r w:rsidR="00C64FA2" w:rsidRPr="003C2C65">
        <w:rPr>
          <w:rFonts w:ascii="Cambria" w:hAnsi="Cambria"/>
          <w:sz w:val="20"/>
          <w:szCs w:val="20"/>
          <w:lang w:val="es-ES"/>
        </w:rPr>
        <w:t>l</w:t>
      </w:r>
      <w:r w:rsidR="004715D2">
        <w:rPr>
          <w:rFonts w:ascii="Cambria" w:hAnsi="Cambria"/>
          <w:sz w:val="20"/>
          <w:szCs w:val="20"/>
          <w:lang w:val="es-ES"/>
        </w:rPr>
        <w:t>a</w:t>
      </w:r>
      <w:r w:rsidR="00C64FA2" w:rsidRPr="003C2C65">
        <w:rPr>
          <w:rFonts w:ascii="Cambria" w:hAnsi="Cambria"/>
          <w:sz w:val="20"/>
          <w:szCs w:val="20"/>
          <w:lang w:val="es-ES"/>
        </w:rPr>
        <w:t xml:space="preserve"> </w:t>
      </w:r>
      <w:r w:rsidR="004715D2" w:rsidRPr="003C2C65">
        <w:rPr>
          <w:rFonts w:ascii="Cambria" w:hAnsi="Cambria"/>
          <w:sz w:val="20"/>
          <w:szCs w:val="20"/>
          <w:lang w:val="es-ES"/>
        </w:rPr>
        <w:t xml:space="preserve">Iniciativa para la Integración Regional Sudamericana </w:t>
      </w:r>
      <w:r w:rsidR="00C64FA2" w:rsidRPr="003C2C65">
        <w:rPr>
          <w:rFonts w:ascii="Cambria" w:hAnsi="Cambria"/>
          <w:sz w:val="20"/>
          <w:szCs w:val="20"/>
          <w:lang w:val="es-ES"/>
        </w:rPr>
        <w:t>(</w:t>
      </w:r>
      <w:r w:rsidR="004715D2" w:rsidRPr="003C2C65">
        <w:rPr>
          <w:rFonts w:ascii="Cambria" w:hAnsi="Cambria"/>
          <w:sz w:val="20"/>
          <w:szCs w:val="20"/>
          <w:lang w:val="es-ES"/>
        </w:rPr>
        <w:t>IIRSA</w:t>
      </w:r>
      <w:r w:rsidR="00C64FA2" w:rsidRPr="003C2C65">
        <w:rPr>
          <w:rFonts w:ascii="Cambria" w:hAnsi="Cambria"/>
          <w:sz w:val="20"/>
          <w:szCs w:val="20"/>
          <w:lang w:val="es-ES"/>
        </w:rPr>
        <w:t>)</w:t>
      </w:r>
      <w:r w:rsidR="0030529C" w:rsidRPr="003C2C65">
        <w:rPr>
          <w:rFonts w:ascii="Cambria" w:hAnsi="Cambria"/>
          <w:sz w:val="20"/>
          <w:szCs w:val="20"/>
          <w:lang w:val="es-ES"/>
        </w:rPr>
        <w:t xml:space="preserve">, </w:t>
      </w:r>
      <w:r w:rsidR="004715D2">
        <w:rPr>
          <w:rFonts w:ascii="Cambria" w:hAnsi="Cambria"/>
          <w:sz w:val="20"/>
          <w:szCs w:val="20"/>
          <w:lang w:val="es-ES"/>
        </w:rPr>
        <w:t>que</w:t>
      </w:r>
      <w:r w:rsidR="0030529C" w:rsidRPr="003C2C65">
        <w:rPr>
          <w:rFonts w:ascii="Cambria" w:hAnsi="Cambria"/>
          <w:sz w:val="20"/>
          <w:szCs w:val="20"/>
          <w:lang w:val="es-ES"/>
        </w:rPr>
        <w:t xml:space="preserve"> resultó</w:t>
      </w:r>
      <w:r w:rsidR="004246C4" w:rsidRPr="003C2C65">
        <w:rPr>
          <w:rFonts w:ascii="Cambria" w:hAnsi="Cambria"/>
          <w:sz w:val="20"/>
          <w:szCs w:val="20"/>
          <w:lang w:val="es-ES"/>
        </w:rPr>
        <w:t xml:space="preserve"> ser paralela a </w:t>
      </w:r>
      <w:r w:rsidR="00BB73B1" w:rsidRPr="003C2C65">
        <w:rPr>
          <w:rFonts w:ascii="Cambria" w:hAnsi="Cambria"/>
          <w:sz w:val="20"/>
          <w:szCs w:val="20"/>
          <w:lang w:val="es-ES"/>
        </w:rPr>
        <w:t>l</w:t>
      </w:r>
      <w:r w:rsidR="004246C4" w:rsidRPr="003C2C65">
        <w:rPr>
          <w:rFonts w:ascii="Cambria" w:hAnsi="Cambria"/>
          <w:sz w:val="20"/>
          <w:szCs w:val="20"/>
          <w:lang w:val="es-ES"/>
        </w:rPr>
        <w:t>a</w:t>
      </w:r>
      <w:r w:rsidR="00BB73B1" w:rsidRPr="003C2C65">
        <w:rPr>
          <w:rFonts w:ascii="Cambria" w:hAnsi="Cambria"/>
          <w:sz w:val="20"/>
          <w:szCs w:val="20"/>
          <w:lang w:val="es-ES"/>
        </w:rPr>
        <w:t xml:space="preserve"> </w:t>
      </w:r>
      <w:r w:rsidR="004246C4" w:rsidRPr="003C2C65">
        <w:rPr>
          <w:rFonts w:ascii="Cambria" w:hAnsi="Cambria"/>
          <w:sz w:val="20"/>
          <w:szCs w:val="20"/>
          <w:lang w:val="es-ES"/>
        </w:rPr>
        <w:t xml:space="preserve">del </w:t>
      </w:r>
      <w:r w:rsidR="0030529C" w:rsidRPr="003C2C65">
        <w:rPr>
          <w:rFonts w:ascii="Cambria" w:hAnsi="Cambria"/>
          <w:sz w:val="20"/>
          <w:szCs w:val="20"/>
          <w:lang w:val="es-ES"/>
        </w:rPr>
        <w:t>Bloque P</w:t>
      </w:r>
      <w:r w:rsidR="004715D2">
        <w:rPr>
          <w:rFonts w:ascii="Cambria" w:hAnsi="Cambria"/>
          <w:sz w:val="20"/>
          <w:szCs w:val="20"/>
          <w:lang w:val="es-ES"/>
        </w:rPr>
        <w:t xml:space="preserve">etrolero </w:t>
      </w:r>
      <w:proofErr w:type="spellStart"/>
      <w:r w:rsidR="004715D2">
        <w:rPr>
          <w:rFonts w:ascii="Cambria" w:hAnsi="Cambria"/>
          <w:sz w:val="20"/>
          <w:szCs w:val="20"/>
          <w:lang w:val="es-ES"/>
        </w:rPr>
        <w:t>Sé</w:t>
      </w:r>
      <w:r w:rsidR="00BB73B1" w:rsidRPr="003C2C65">
        <w:rPr>
          <w:rFonts w:ascii="Cambria" w:hAnsi="Cambria"/>
          <w:sz w:val="20"/>
          <w:szCs w:val="20"/>
          <w:lang w:val="es-ES"/>
        </w:rPr>
        <w:t>cur</w:t>
      </w:r>
      <w:r w:rsidR="004715D2">
        <w:rPr>
          <w:rFonts w:ascii="Cambria" w:hAnsi="Cambria"/>
          <w:sz w:val="20"/>
          <w:szCs w:val="20"/>
          <w:lang w:val="es-ES"/>
        </w:rPr>
        <w:t>e</w:t>
      </w:r>
      <w:proofErr w:type="spellEnd"/>
      <w:r w:rsidR="0030529C" w:rsidRPr="003C2C65">
        <w:rPr>
          <w:rFonts w:ascii="Cambria" w:hAnsi="Cambria"/>
          <w:sz w:val="20"/>
          <w:szCs w:val="20"/>
          <w:lang w:val="es-ES"/>
        </w:rPr>
        <w:t xml:space="preserve">, </w:t>
      </w:r>
      <w:r w:rsidR="004715D2">
        <w:rPr>
          <w:rFonts w:ascii="Cambria" w:hAnsi="Cambria"/>
          <w:sz w:val="20"/>
          <w:szCs w:val="20"/>
          <w:lang w:val="es-ES"/>
        </w:rPr>
        <w:t xml:space="preserve">objeto de un contrato firmado </w:t>
      </w:r>
      <w:r w:rsidR="004715D2" w:rsidRPr="003C2C65">
        <w:rPr>
          <w:rFonts w:ascii="Cambria" w:hAnsi="Cambria"/>
          <w:sz w:val="20"/>
          <w:szCs w:val="20"/>
          <w:lang w:val="es-ES"/>
        </w:rPr>
        <w:t>en 1994</w:t>
      </w:r>
      <w:r w:rsidR="004715D2">
        <w:rPr>
          <w:rFonts w:ascii="Cambria" w:hAnsi="Cambria"/>
          <w:sz w:val="20"/>
          <w:szCs w:val="20"/>
          <w:lang w:val="es-ES"/>
        </w:rPr>
        <w:t xml:space="preserve"> por </w:t>
      </w:r>
      <w:r w:rsidR="0030529C" w:rsidRPr="003C2C65">
        <w:rPr>
          <w:rFonts w:ascii="Cambria" w:hAnsi="Cambria"/>
          <w:sz w:val="20"/>
          <w:szCs w:val="20"/>
          <w:lang w:val="es-ES"/>
        </w:rPr>
        <w:t>la empresa</w:t>
      </w:r>
      <w:r w:rsidR="00BB73B1" w:rsidRPr="003C2C65">
        <w:rPr>
          <w:rFonts w:ascii="Cambria" w:hAnsi="Cambria"/>
          <w:sz w:val="20"/>
          <w:szCs w:val="20"/>
          <w:lang w:val="es-ES"/>
        </w:rPr>
        <w:t xml:space="preserve"> REPSOL con el </w:t>
      </w:r>
      <w:r w:rsidR="004715D2">
        <w:rPr>
          <w:rFonts w:ascii="Cambria" w:hAnsi="Cambria"/>
          <w:sz w:val="20"/>
          <w:szCs w:val="20"/>
          <w:lang w:val="es-ES"/>
        </w:rPr>
        <w:t>G</w:t>
      </w:r>
      <w:r w:rsidR="00BB73B1" w:rsidRPr="003C2C65">
        <w:rPr>
          <w:rFonts w:ascii="Cambria" w:hAnsi="Cambria"/>
          <w:sz w:val="20"/>
          <w:szCs w:val="20"/>
          <w:lang w:val="es-ES"/>
        </w:rPr>
        <w:t xml:space="preserve">obierno de Bolivia, a través del cual adquirió derechos de explotación </w:t>
      </w:r>
      <w:r w:rsidR="0030529C" w:rsidRPr="003C2C65">
        <w:rPr>
          <w:rFonts w:ascii="Cambria" w:hAnsi="Cambria"/>
          <w:sz w:val="20"/>
          <w:szCs w:val="20"/>
          <w:lang w:val="es-ES"/>
        </w:rPr>
        <w:t xml:space="preserve">petrolera </w:t>
      </w:r>
      <w:r w:rsidR="00BB73B1" w:rsidRPr="003C2C65">
        <w:rPr>
          <w:rFonts w:ascii="Cambria" w:hAnsi="Cambria"/>
          <w:sz w:val="20"/>
          <w:szCs w:val="20"/>
          <w:lang w:val="es-ES"/>
        </w:rPr>
        <w:t>por 30 años.</w:t>
      </w:r>
    </w:p>
    <w:p w14:paraId="1F9A278E" w14:textId="437A9610" w:rsidR="00A94B91" w:rsidRPr="003C2C65" w:rsidRDefault="00A94B91"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C2C65">
        <w:rPr>
          <w:rFonts w:ascii="Cambria" w:hAnsi="Cambria"/>
          <w:sz w:val="20"/>
          <w:szCs w:val="20"/>
          <w:lang w:val="es-ES"/>
        </w:rPr>
        <w:t xml:space="preserve">Los peticionarios afirman que el proyecto de construcción de la carretera consta de </w:t>
      </w:r>
      <w:r w:rsidR="004715D2">
        <w:rPr>
          <w:rFonts w:ascii="Cambria" w:hAnsi="Cambria"/>
          <w:sz w:val="20"/>
          <w:szCs w:val="20"/>
          <w:lang w:val="es-ES"/>
        </w:rPr>
        <w:t xml:space="preserve">los siguientes </w:t>
      </w:r>
      <w:r w:rsidR="00EA0F5A" w:rsidRPr="003C2C65">
        <w:rPr>
          <w:rFonts w:ascii="Cambria" w:hAnsi="Cambria"/>
          <w:sz w:val="20"/>
          <w:szCs w:val="20"/>
          <w:lang w:val="es-ES"/>
        </w:rPr>
        <w:t xml:space="preserve">tramos: Tramo I, que al momento de presentación </w:t>
      </w:r>
      <w:r w:rsidR="000E5A32" w:rsidRPr="003C2C65">
        <w:rPr>
          <w:rFonts w:ascii="Cambria" w:hAnsi="Cambria"/>
          <w:sz w:val="20"/>
          <w:szCs w:val="20"/>
          <w:lang w:val="es-ES"/>
        </w:rPr>
        <w:t xml:space="preserve">de esta petición </w:t>
      </w:r>
      <w:r w:rsidR="00EA0F5A" w:rsidRPr="003C2C65">
        <w:rPr>
          <w:rFonts w:ascii="Cambria" w:hAnsi="Cambria"/>
          <w:sz w:val="20"/>
          <w:szCs w:val="20"/>
          <w:lang w:val="es-ES"/>
        </w:rPr>
        <w:t>ya se había iniciado</w:t>
      </w:r>
      <w:r w:rsidR="000E5A32" w:rsidRPr="003C2C65">
        <w:rPr>
          <w:rFonts w:ascii="Cambria" w:hAnsi="Cambria"/>
          <w:sz w:val="20"/>
          <w:szCs w:val="20"/>
          <w:lang w:val="es-ES"/>
        </w:rPr>
        <w:t xml:space="preserve"> su ejecución</w:t>
      </w:r>
      <w:r w:rsidR="00B64C10" w:rsidRPr="003C2C65">
        <w:rPr>
          <w:rFonts w:ascii="Cambria" w:hAnsi="Cambria"/>
          <w:sz w:val="20"/>
          <w:szCs w:val="20"/>
          <w:lang w:val="es-ES"/>
        </w:rPr>
        <w:t xml:space="preserve"> en uno de los extremos del TIPNIS</w:t>
      </w:r>
      <w:r w:rsidR="004715D2">
        <w:rPr>
          <w:rFonts w:ascii="Cambria" w:hAnsi="Cambria"/>
          <w:sz w:val="20"/>
          <w:szCs w:val="20"/>
          <w:lang w:val="es-ES"/>
        </w:rPr>
        <w:t>;</w:t>
      </w:r>
      <w:r w:rsidR="00B64C10" w:rsidRPr="003C2C65">
        <w:rPr>
          <w:rFonts w:ascii="Cambria" w:hAnsi="Cambria"/>
          <w:sz w:val="20"/>
          <w:szCs w:val="20"/>
          <w:lang w:val="es-ES"/>
        </w:rPr>
        <w:t xml:space="preserve"> Tramo II, cuya construcción afectaría el núcleo del TIPNIS</w:t>
      </w:r>
      <w:r w:rsidR="004715D2">
        <w:rPr>
          <w:rFonts w:ascii="Cambria" w:hAnsi="Cambria"/>
          <w:sz w:val="20"/>
          <w:szCs w:val="20"/>
          <w:lang w:val="es-ES"/>
        </w:rPr>
        <w:t>;</w:t>
      </w:r>
      <w:r w:rsidR="00B64C10" w:rsidRPr="003C2C65">
        <w:rPr>
          <w:rFonts w:ascii="Cambria" w:hAnsi="Cambria"/>
          <w:sz w:val="20"/>
          <w:szCs w:val="20"/>
          <w:lang w:val="es-ES"/>
        </w:rPr>
        <w:t xml:space="preserve"> y Tramo III</w:t>
      </w:r>
      <w:r w:rsidR="004715D2">
        <w:rPr>
          <w:rFonts w:ascii="Cambria" w:hAnsi="Cambria"/>
          <w:sz w:val="20"/>
          <w:szCs w:val="20"/>
          <w:lang w:val="es-ES"/>
        </w:rPr>
        <w:t>,</w:t>
      </w:r>
      <w:r w:rsidR="00B64C10" w:rsidRPr="003C2C65">
        <w:rPr>
          <w:rFonts w:ascii="Cambria" w:hAnsi="Cambria"/>
          <w:sz w:val="20"/>
          <w:szCs w:val="20"/>
          <w:lang w:val="es-ES"/>
        </w:rPr>
        <w:t xml:space="preserve"> </w:t>
      </w:r>
      <w:r w:rsidR="003C22F5" w:rsidRPr="003C2C65">
        <w:rPr>
          <w:rFonts w:ascii="Cambria" w:hAnsi="Cambria"/>
          <w:sz w:val="20"/>
          <w:szCs w:val="20"/>
          <w:lang w:val="es-ES"/>
        </w:rPr>
        <w:t xml:space="preserve">construcción que </w:t>
      </w:r>
      <w:r w:rsidR="004246C4" w:rsidRPr="003C2C65">
        <w:rPr>
          <w:rFonts w:ascii="Cambria" w:hAnsi="Cambria"/>
          <w:sz w:val="20"/>
          <w:szCs w:val="20"/>
          <w:lang w:val="es-ES"/>
        </w:rPr>
        <w:t xml:space="preserve">también </w:t>
      </w:r>
      <w:r w:rsidR="003C22F5" w:rsidRPr="003C2C65">
        <w:rPr>
          <w:rFonts w:ascii="Cambria" w:hAnsi="Cambria"/>
          <w:sz w:val="20"/>
          <w:szCs w:val="20"/>
          <w:lang w:val="es-ES"/>
        </w:rPr>
        <w:t xml:space="preserve">fue iniciada en uno de los extremos del TIPNIS. </w:t>
      </w:r>
      <w:r w:rsidR="004715D2">
        <w:rPr>
          <w:rFonts w:ascii="Cambria" w:hAnsi="Cambria"/>
          <w:sz w:val="20"/>
          <w:szCs w:val="20"/>
          <w:lang w:val="es-ES"/>
        </w:rPr>
        <w:t>Los</w:t>
      </w:r>
      <w:r w:rsidR="003C22F5" w:rsidRPr="003C2C65">
        <w:rPr>
          <w:rFonts w:ascii="Cambria" w:hAnsi="Cambria"/>
          <w:sz w:val="20"/>
          <w:szCs w:val="20"/>
          <w:lang w:val="es-ES"/>
        </w:rPr>
        <w:t xml:space="preserve"> peticionarios </w:t>
      </w:r>
      <w:r w:rsidR="004715D2">
        <w:rPr>
          <w:rFonts w:ascii="Cambria" w:hAnsi="Cambria"/>
          <w:sz w:val="20"/>
          <w:szCs w:val="20"/>
          <w:lang w:val="es-ES"/>
        </w:rPr>
        <w:t xml:space="preserve">consideran que </w:t>
      </w:r>
      <w:r w:rsidR="003C22F5" w:rsidRPr="003C2C65">
        <w:rPr>
          <w:rFonts w:ascii="Cambria" w:hAnsi="Cambria"/>
          <w:sz w:val="20"/>
          <w:szCs w:val="20"/>
          <w:lang w:val="es-ES"/>
        </w:rPr>
        <w:t>la construcción de esta carretera representa el fraccionamiento y división del territorio indígena, además de poner en peligro la existencia de las comunidades que habitan e</w:t>
      </w:r>
      <w:r w:rsidR="0030529C" w:rsidRPr="003C2C65">
        <w:rPr>
          <w:rFonts w:ascii="Cambria" w:hAnsi="Cambria"/>
          <w:sz w:val="20"/>
          <w:szCs w:val="20"/>
          <w:lang w:val="es-ES"/>
        </w:rPr>
        <w:t>n la zona, ya que</w:t>
      </w:r>
      <w:r w:rsidR="003C22F5" w:rsidRPr="003C2C65">
        <w:rPr>
          <w:rFonts w:ascii="Cambria" w:hAnsi="Cambria"/>
          <w:sz w:val="20"/>
          <w:szCs w:val="20"/>
          <w:lang w:val="es-ES"/>
        </w:rPr>
        <w:t xml:space="preserve"> </w:t>
      </w:r>
      <w:r w:rsidR="00CB1AE5" w:rsidRPr="003C2C65">
        <w:rPr>
          <w:rFonts w:ascii="Cambria" w:hAnsi="Cambria"/>
          <w:sz w:val="20"/>
          <w:szCs w:val="20"/>
          <w:lang w:val="es-ES"/>
        </w:rPr>
        <w:t xml:space="preserve">con la ejecución de las obras se generaría una deforestación masiva y la degradación de la biodiversidad </w:t>
      </w:r>
      <w:r w:rsidR="004715D2">
        <w:rPr>
          <w:rFonts w:ascii="Cambria" w:hAnsi="Cambria"/>
          <w:sz w:val="20"/>
          <w:szCs w:val="20"/>
          <w:lang w:val="es-ES"/>
        </w:rPr>
        <w:t>de</w:t>
      </w:r>
      <w:r w:rsidR="00CB1AE5" w:rsidRPr="003C2C65">
        <w:rPr>
          <w:rFonts w:ascii="Cambria" w:hAnsi="Cambria"/>
          <w:sz w:val="20"/>
          <w:szCs w:val="20"/>
          <w:lang w:val="es-ES"/>
        </w:rPr>
        <w:t xml:space="preserve"> la zona.</w:t>
      </w:r>
    </w:p>
    <w:p w14:paraId="0D1D3B88" w14:textId="610CA870" w:rsidR="00351670" w:rsidRPr="00A47291" w:rsidRDefault="00CB1AE5"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C2C65">
        <w:rPr>
          <w:rFonts w:ascii="Cambria" w:hAnsi="Cambria"/>
          <w:sz w:val="20"/>
          <w:szCs w:val="20"/>
          <w:lang w:val="es-ES"/>
        </w:rPr>
        <w:t xml:space="preserve">El 3 de junio de 2011, el </w:t>
      </w:r>
      <w:r w:rsidR="009E206C">
        <w:rPr>
          <w:rFonts w:ascii="Cambria" w:hAnsi="Cambria"/>
          <w:sz w:val="20"/>
          <w:szCs w:val="20"/>
          <w:lang w:val="es-ES"/>
        </w:rPr>
        <w:t xml:space="preserve">Gobierno </w:t>
      </w:r>
      <w:r w:rsidRPr="003C2C65">
        <w:rPr>
          <w:rFonts w:ascii="Cambria" w:hAnsi="Cambria"/>
          <w:sz w:val="20"/>
          <w:szCs w:val="20"/>
          <w:lang w:val="es-ES"/>
        </w:rPr>
        <w:t xml:space="preserve">inauguró las obras de construcción de la carretera Villa </w:t>
      </w:r>
      <w:proofErr w:type="spellStart"/>
      <w:r w:rsidRPr="003C2C65">
        <w:rPr>
          <w:rFonts w:ascii="Cambria" w:hAnsi="Cambria"/>
          <w:sz w:val="20"/>
          <w:szCs w:val="20"/>
          <w:lang w:val="es-ES"/>
        </w:rPr>
        <w:t>Tu</w:t>
      </w:r>
      <w:r w:rsidR="000F4098">
        <w:rPr>
          <w:rFonts w:ascii="Cambria" w:hAnsi="Cambria"/>
          <w:sz w:val="20"/>
          <w:szCs w:val="20"/>
          <w:lang w:val="es-ES"/>
        </w:rPr>
        <w:t>r</w:t>
      </w:r>
      <w:r w:rsidRPr="003C2C65">
        <w:rPr>
          <w:rFonts w:ascii="Cambria" w:hAnsi="Cambria"/>
          <w:sz w:val="20"/>
          <w:szCs w:val="20"/>
          <w:lang w:val="es-ES"/>
        </w:rPr>
        <w:t>a</w:t>
      </w:r>
      <w:r w:rsidR="000F4098">
        <w:rPr>
          <w:rFonts w:ascii="Cambria" w:hAnsi="Cambria"/>
          <w:sz w:val="20"/>
          <w:szCs w:val="20"/>
          <w:lang w:val="es-ES"/>
        </w:rPr>
        <w:t>n</w:t>
      </w:r>
      <w:r w:rsidR="004715D2">
        <w:rPr>
          <w:rFonts w:ascii="Cambria" w:hAnsi="Cambria"/>
          <w:sz w:val="20"/>
          <w:szCs w:val="20"/>
          <w:lang w:val="es-ES"/>
        </w:rPr>
        <w:t>i</w:t>
      </w:r>
      <w:proofErr w:type="spellEnd"/>
      <w:r w:rsidR="004715D2">
        <w:rPr>
          <w:rFonts w:ascii="Cambria" w:hAnsi="Cambria"/>
          <w:sz w:val="20"/>
          <w:szCs w:val="20"/>
          <w:lang w:val="es-ES"/>
        </w:rPr>
        <w:t>-</w:t>
      </w:r>
      <w:r w:rsidRPr="003C2C65">
        <w:rPr>
          <w:rFonts w:ascii="Cambria" w:hAnsi="Cambria"/>
          <w:sz w:val="20"/>
          <w:szCs w:val="20"/>
          <w:lang w:val="es-ES"/>
        </w:rPr>
        <w:t xml:space="preserve">San Ignacio de </w:t>
      </w:r>
      <w:proofErr w:type="spellStart"/>
      <w:r w:rsidRPr="003C2C65">
        <w:rPr>
          <w:rFonts w:ascii="Cambria" w:hAnsi="Cambria"/>
          <w:sz w:val="20"/>
          <w:szCs w:val="20"/>
          <w:lang w:val="es-ES"/>
        </w:rPr>
        <w:t>Moxos</w:t>
      </w:r>
      <w:proofErr w:type="spellEnd"/>
      <w:r w:rsidR="004715D2">
        <w:rPr>
          <w:rFonts w:ascii="Cambria" w:hAnsi="Cambria"/>
          <w:sz w:val="20"/>
          <w:szCs w:val="20"/>
          <w:lang w:val="es-ES"/>
        </w:rPr>
        <w:t>;</w:t>
      </w:r>
      <w:r w:rsidRPr="003C2C65">
        <w:rPr>
          <w:rFonts w:ascii="Cambria" w:hAnsi="Cambria"/>
          <w:sz w:val="20"/>
          <w:szCs w:val="20"/>
          <w:lang w:val="es-ES"/>
        </w:rPr>
        <w:t xml:space="preserve"> </w:t>
      </w:r>
      <w:r w:rsidRPr="00A47291">
        <w:rPr>
          <w:rFonts w:ascii="Cambria" w:hAnsi="Cambria"/>
          <w:sz w:val="20"/>
          <w:szCs w:val="20"/>
          <w:lang w:val="es-ES"/>
        </w:rPr>
        <w:t xml:space="preserve">el 15 de agosto del mismo año </w:t>
      </w:r>
      <w:r w:rsidR="00692539" w:rsidRPr="00A47291">
        <w:rPr>
          <w:rFonts w:ascii="Cambria" w:hAnsi="Cambria"/>
          <w:sz w:val="20"/>
          <w:szCs w:val="20"/>
          <w:lang w:val="es-ES"/>
        </w:rPr>
        <w:t xml:space="preserve">la Comisión Nacional Indígena tomó la determinación </w:t>
      </w:r>
      <w:r w:rsidR="0030529C" w:rsidRPr="00A47291">
        <w:rPr>
          <w:rFonts w:ascii="Cambria" w:hAnsi="Cambria"/>
          <w:sz w:val="20"/>
          <w:szCs w:val="20"/>
          <w:lang w:val="es-ES"/>
        </w:rPr>
        <w:t xml:space="preserve">de marchar pacíficamente </w:t>
      </w:r>
      <w:r w:rsidR="00A65EC6" w:rsidRPr="00A47291">
        <w:rPr>
          <w:rFonts w:ascii="Cambria" w:hAnsi="Cambria"/>
          <w:sz w:val="20"/>
          <w:szCs w:val="20"/>
          <w:lang w:val="es-ES"/>
        </w:rPr>
        <w:t xml:space="preserve">como forma de </w:t>
      </w:r>
      <w:r w:rsidR="00692539" w:rsidRPr="00A47291">
        <w:rPr>
          <w:rFonts w:ascii="Cambria" w:hAnsi="Cambria"/>
          <w:sz w:val="20"/>
          <w:szCs w:val="20"/>
          <w:lang w:val="es-ES"/>
        </w:rPr>
        <w:t xml:space="preserve">defensa del </w:t>
      </w:r>
      <w:r w:rsidR="004715D2">
        <w:rPr>
          <w:rFonts w:ascii="Cambria" w:hAnsi="Cambria"/>
          <w:sz w:val="20"/>
          <w:szCs w:val="20"/>
          <w:lang w:val="es-ES"/>
        </w:rPr>
        <w:t>TIPNIS. Los peticionarios a</w:t>
      </w:r>
      <w:r w:rsidR="009E206C" w:rsidRPr="00A47291">
        <w:rPr>
          <w:rFonts w:ascii="Cambria" w:hAnsi="Cambria"/>
          <w:sz w:val="20"/>
          <w:szCs w:val="20"/>
          <w:lang w:val="es-ES"/>
        </w:rPr>
        <w:t xml:space="preserve">ducen que </w:t>
      </w:r>
      <w:r w:rsidR="00B16087" w:rsidRPr="00A47291">
        <w:rPr>
          <w:rFonts w:ascii="Cambria" w:hAnsi="Cambria"/>
          <w:sz w:val="20"/>
          <w:szCs w:val="20"/>
          <w:lang w:val="es-ES"/>
        </w:rPr>
        <w:t xml:space="preserve">la </w:t>
      </w:r>
      <w:r w:rsidR="00B16087">
        <w:rPr>
          <w:rFonts w:ascii="Cambria" w:hAnsi="Cambria"/>
          <w:sz w:val="20"/>
          <w:szCs w:val="20"/>
          <w:lang w:val="es-ES"/>
        </w:rPr>
        <w:t>P</w:t>
      </w:r>
      <w:r w:rsidR="00B16087" w:rsidRPr="00A47291">
        <w:rPr>
          <w:rFonts w:ascii="Cambria" w:hAnsi="Cambria"/>
          <w:sz w:val="20"/>
          <w:szCs w:val="20"/>
          <w:lang w:val="es-ES"/>
        </w:rPr>
        <w:t xml:space="preserve">olicía </w:t>
      </w:r>
      <w:r w:rsidR="00B16087">
        <w:rPr>
          <w:rFonts w:ascii="Cambria" w:hAnsi="Cambria"/>
          <w:sz w:val="20"/>
          <w:szCs w:val="20"/>
          <w:lang w:val="es-ES"/>
        </w:rPr>
        <w:t>N</w:t>
      </w:r>
      <w:r w:rsidR="00B16087" w:rsidRPr="00A47291">
        <w:rPr>
          <w:rFonts w:ascii="Cambria" w:hAnsi="Cambria"/>
          <w:sz w:val="20"/>
          <w:szCs w:val="20"/>
          <w:lang w:val="es-ES"/>
        </w:rPr>
        <w:t xml:space="preserve">acional intervino brutalmente los asentamientos en los que </w:t>
      </w:r>
      <w:r w:rsidR="00B16087">
        <w:rPr>
          <w:rFonts w:ascii="Cambria" w:hAnsi="Cambria"/>
          <w:sz w:val="20"/>
          <w:szCs w:val="20"/>
          <w:lang w:val="es-ES"/>
        </w:rPr>
        <w:t xml:space="preserve">se </w:t>
      </w:r>
      <w:r w:rsidR="00B16087" w:rsidRPr="00A47291">
        <w:rPr>
          <w:rFonts w:ascii="Cambria" w:hAnsi="Cambria"/>
          <w:sz w:val="20"/>
          <w:szCs w:val="20"/>
          <w:lang w:val="es-ES"/>
        </w:rPr>
        <w:t xml:space="preserve">encontraban </w:t>
      </w:r>
      <w:r w:rsidR="00B16087">
        <w:rPr>
          <w:rFonts w:ascii="Cambria" w:hAnsi="Cambria"/>
          <w:sz w:val="20"/>
          <w:szCs w:val="20"/>
          <w:lang w:val="es-ES"/>
        </w:rPr>
        <w:t xml:space="preserve">descansando </w:t>
      </w:r>
      <w:r w:rsidR="00080EB4" w:rsidRPr="00A47291">
        <w:rPr>
          <w:rFonts w:ascii="Cambria" w:hAnsi="Cambria"/>
          <w:sz w:val="20"/>
          <w:szCs w:val="20"/>
          <w:lang w:val="es-ES"/>
        </w:rPr>
        <w:t>alrededor de 1.600</w:t>
      </w:r>
      <w:r w:rsidR="00692539" w:rsidRPr="00A47291">
        <w:rPr>
          <w:rFonts w:ascii="Cambria" w:hAnsi="Cambria"/>
          <w:sz w:val="20"/>
          <w:szCs w:val="20"/>
          <w:lang w:val="es-ES"/>
        </w:rPr>
        <w:t xml:space="preserve"> indígenas que participa</w:t>
      </w:r>
      <w:r w:rsidR="00080EB4" w:rsidRPr="00A47291">
        <w:rPr>
          <w:rFonts w:ascii="Cambria" w:hAnsi="Cambria"/>
          <w:sz w:val="20"/>
          <w:szCs w:val="20"/>
          <w:lang w:val="es-ES"/>
        </w:rPr>
        <w:t>ban en las marchas</w:t>
      </w:r>
      <w:r w:rsidR="00B16087">
        <w:rPr>
          <w:rFonts w:ascii="Cambria" w:hAnsi="Cambria"/>
          <w:sz w:val="20"/>
          <w:szCs w:val="20"/>
          <w:lang w:val="es-ES"/>
        </w:rPr>
        <w:t>.</w:t>
      </w:r>
      <w:r w:rsidR="00080EB4" w:rsidRPr="00A47291">
        <w:rPr>
          <w:rFonts w:ascii="Cambria" w:hAnsi="Cambria"/>
          <w:sz w:val="20"/>
          <w:szCs w:val="20"/>
          <w:lang w:val="es-ES"/>
        </w:rPr>
        <w:t xml:space="preserve"> </w:t>
      </w:r>
      <w:r w:rsidR="00B16087">
        <w:rPr>
          <w:rFonts w:ascii="Cambria" w:hAnsi="Cambria"/>
          <w:sz w:val="20"/>
          <w:szCs w:val="20"/>
          <w:lang w:val="es-ES"/>
        </w:rPr>
        <w:t xml:space="preserve">Alegan que los indígenas fueron </w:t>
      </w:r>
      <w:r w:rsidR="00080EB4" w:rsidRPr="00A47291">
        <w:rPr>
          <w:rFonts w:ascii="Cambria" w:hAnsi="Cambria"/>
          <w:sz w:val="20"/>
          <w:szCs w:val="20"/>
          <w:lang w:val="es-ES"/>
        </w:rPr>
        <w:t>golpeado</w:t>
      </w:r>
      <w:r w:rsidR="00B16087">
        <w:rPr>
          <w:rFonts w:ascii="Cambria" w:hAnsi="Cambria"/>
          <w:sz w:val="20"/>
          <w:szCs w:val="20"/>
          <w:lang w:val="es-ES"/>
        </w:rPr>
        <w:t>s;</w:t>
      </w:r>
      <w:r w:rsidR="00080EB4" w:rsidRPr="00A47291">
        <w:rPr>
          <w:rFonts w:ascii="Cambria" w:hAnsi="Cambria"/>
          <w:sz w:val="20"/>
          <w:szCs w:val="20"/>
          <w:lang w:val="es-ES"/>
        </w:rPr>
        <w:t xml:space="preserve"> </w:t>
      </w:r>
      <w:r w:rsidR="00B16087">
        <w:rPr>
          <w:rFonts w:ascii="Cambria" w:hAnsi="Cambria"/>
          <w:sz w:val="20"/>
          <w:szCs w:val="20"/>
          <w:lang w:val="es-ES"/>
        </w:rPr>
        <w:t xml:space="preserve">que se </w:t>
      </w:r>
      <w:r w:rsidR="00080EB4" w:rsidRPr="00A47291">
        <w:rPr>
          <w:rFonts w:ascii="Cambria" w:hAnsi="Cambria"/>
          <w:sz w:val="20"/>
          <w:szCs w:val="20"/>
          <w:lang w:val="es-ES"/>
        </w:rPr>
        <w:t>separ</w:t>
      </w:r>
      <w:r w:rsidR="00B16087">
        <w:rPr>
          <w:rFonts w:ascii="Cambria" w:hAnsi="Cambria"/>
          <w:sz w:val="20"/>
          <w:szCs w:val="20"/>
          <w:lang w:val="es-ES"/>
        </w:rPr>
        <w:t>ó</w:t>
      </w:r>
      <w:r w:rsidR="00080EB4" w:rsidRPr="00A47291">
        <w:rPr>
          <w:rFonts w:ascii="Cambria" w:hAnsi="Cambria"/>
          <w:sz w:val="20"/>
          <w:szCs w:val="20"/>
          <w:lang w:val="es-ES"/>
        </w:rPr>
        <w:t xml:space="preserve"> a las familias que </w:t>
      </w:r>
      <w:r w:rsidR="00080EB4" w:rsidRPr="004715D2">
        <w:rPr>
          <w:rFonts w:ascii="Cambria" w:hAnsi="Cambria"/>
          <w:sz w:val="20"/>
          <w:szCs w:val="20"/>
          <w:lang w:val="es-ES"/>
        </w:rPr>
        <w:t>se encontraban en el lugar</w:t>
      </w:r>
      <w:r w:rsidR="00B16087">
        <w:rPr>
          <w:rFonts w:ascii="Cambria" w:hAnsi="Cambria"/>
          <w:sz w:val="20"/>
          <w:szCs w:val="20"/>
          <w:lang w:val="es-ES"/>
        </w:rPr>
        <w:t>;</w:t>
      </w:r>
      <w:r w:rsidR="00080EB4" w:rsidRPr="004715D2">
        <w:rPr>
          <w:rFonts w:ascii="Cambria" w:hAnsi="Cambria"/>
          <w:sz w:val="20"/>
          <w:szCs w:val="20"/>
          <w:lang w:val="es-ES"/>
        </w:rPr>
        <w:t xml:space="preserve"> </w:t>
      </w:r>
      <w:r w:rsidR="00B16087">
        <w:rPr>
          <w:rFonts w:ascii="Cambria" w:hAnsi="Cambria"/>
          <w:sz w:val="20"/>
          <w:szCs w:val="20"/>
          <w:lang w:val="es-ES"/>
        </w:rPr>
        <w:t xml:space="preserve">y que se intentó </w:t>
      </w:r>
      <w:r w:rsidR="00080EB4" w:rsidRPr="004715D2">
        <w:rPr>
          <w:rFonts w:ascii="Cambria" w:hAnsi="Cambria"/>
          <w:sz w:val="20"/>
          <w:szCs w:val="20"/>
          <w:lang w:val="es-ES"/>
        </w:rPr>
        <w:t>trasladar a los ma</w:t>
      </w:r>
      <w:r w:rsidR="00B16087">
        <w:rPr>
          <w:rFonts w:ascii="Cambria" w:hAnsi="Cambria"/>
          <w:sz w:val="20"/>
          <w:szCs w:val="20"/>
          <w:lang w:val="es-ES"/>
        </w:rPr>
        <w:t>rchistas a lugares desconocidos.</w:t>
      </w:r>
      <w:r w:rsidR="00080EB4" w:rsidRPr="004715D2">
        <w:rPr>
          <w:rFonts w:ascii="Cambria" w:hAnsi="Cambria"/>
          <w:sz w:val="20"/>
          <w:szCs w:val="20"/>
          <w:lang w:val="es-ES"/>
        </w:rPr>
        <w:t xml:space="preserve"> </w:t>
      </w:r>
      <w:r w:rsidR="00B16087">
        <w:rPr>
          <w:rFonts w:ascii="Cambria" w:hAnsi="Cambria"/>
          <w:sz w:val="20"/>
          <w:szCs w:val="20"/>
          <w:lang w:val="es-ES"/>
        </w:rPr>
        <w:t xml:space="preserve">Esto motivó la intervención de </w:t>
      </w:r>
      <w:r w:rsidR="00080EB4" w:rsidRPr="004715D2">
        <w:rPr>
          <w:rFonts w:ascii="Cambria" w:hAnsi="Cambria"/>
          <w:sz w:val="20"/>
          <w:szCs w:val="20"/>
          <w:lang w:val="es-ES"/>
        </w:rPr>
        <w:t xml:space="preserve">los pobladores de San Borja y </w:t>
      </w:r>
      <w:proofErr w:type="spellStart"/>
      <w:r w:rsidR="00080EB4" w:rsidRPr="004715D2">
        <w:rPr>
          <w:rFonts w:ascii="Cambria" w:hAnsi="Cambria"/>
          <w:sz w:val="20"/>
          <w:szCs w:val="20"/>
          <w:lang w:val="es-ES"/>
        </w:rPr>
        <w:t>Rurrenabaque</w:t>
      </w:r>
      <w:proofErr w:type="spellEnd"/>
      <w:r w:rsidR="00080EB4" w:rsidRPr="004715D2">
        <w:rPr>
          <w:rFonts w:ascii="Cambria" w:hAnsi="Cambria"/>
          <w:sz w:val="20"/>
          <w:szCs w:val="20"/>
          <w:lang w:val="es-ES"/>
        </w:rPr>
        <w:t xml:space="preserve"> </w:t>
      </w:r>
      <w:r w:rsidR="00B16087">
        <w:rPr>
          <w:rFonts w:ascii="Cambria" w:hAnsi="Cambria"/>
          <w:sz w:val="20"/>
          <w:szCs w:val="20"/>
          <w:lang w:val="es-ES"/>
        </w:rPr>
        <w:t xml:space="preserve">en apoyo de </w:t>
      </w:r>
      <w:r w:rsidR="00080EB4" w:rsidRPr="004715D2">
        <w:rPr>
          <w:rFonts w:ascii="Cambria" w:hAnsi="Cambria"/>
          <w:sz w:val="20"/>
          <w:szCs w:val="20"/>
          <w:lang w:val="es-ES"/>
        </w:rPr>
        <w:t>los marchistas que estaban siendo atacados</w:t>
      </w:r>
      <w:r w:rsidR="00B16087">
        <w:rPr>
          <w:rFonts w:ascii="Cambria" w:hAnsi="Cambria"/>
          <w:sz w:val="20"/>
          <w:szCs w:val="20"/>
          <w:lang w:val="es-ES"/>
        </w:rPr>
        <w:t>,</w:t>
      </w:r>
      <w:r w:rsidR="00080EB4" w:rsidRPr="004715D2">
        <w:rPr>
          <w:rFonts w:ascii="Cambria" w:hAnsi="Cambria"/>
          <w:sz w:val="20"/>
          <w:szCs w:val="20"/>
          <w:lang w:val="es-ES"/>
        </w:rPr>
        <w:t xml:space="preserve"> por lo que la policía finalmente no pudo retener a manifestante</w:t>
      </w:r>
      <w:r w:rsidR="00B16087">
        <w:rPr>
          <w:rFonts w:ascii="Cambria" w:hAnsi="Cambria"/>
          <w:sz w:val="20"/>
          <w:szCs w:val="20"/>
          <w:lang w:val="es-ES"/>
        </w:rPr>
        <w:t xml:space="preserve"> alguno</w:t>
      </w:r>
      <w:r w:rsidR="0030529C" w:rsidRPr="004715D2">
        <w:rPr>
          <w:rFonts w:ascii="Cambria" w:hAnsi="Cambria"/>
          <w:sz w:val="20"/>
          <w:szCs w:val="20"/>
          <w:lang w:val="es-ES"/>
        </w:rPr>
        <w:t>.</w:t>
      </w:r>
      <w:r w:rsidR="00080EB4" w:rsidRPr="004715D2">
        <w:rPr>
          <w:rFonts w:ascii="Cambria" w:hAnsi="Cambria"/>
          <w:sz w:val="20"/>
          <w:szCs w:val="20"/>
          <w:lang w:val="es-ES"/>
        </w:rPr>
        <w:t xml:space="preserve"> </w:t>
      </w:r>
      <w:r w:rsidR="00B16087">
        <w:rPr>
          <w:rFonts w:ascii="Cambria" w:hAnsi="Cambria"/>
          <w:sz w:val="20"/>
          <w:szCs w:val="20"/>
          <w:lang w:val="es-ES"/>
        </w:rPr>
        <w:t>S</w:t>
      </w:r>
      <w:r w:rsidR="00E75E07" w:rsidRPr="004715D2">
        <w:rPr>
          <w:rFonts w:ascii="Cambria" w:hAnsi="Cambria"/>
          <w:sz w:val="20"/>
          <w:szCs w:val="20"/>
          <w:lang w:val="es-ES"/>
        </w:rPr>
        <w:t xml:space="preserve">egún </w:t>
      </w:r>
      <w:r w:rsidR="00B16087">
        <w:rPr>
          <w:rFonts w:ascii="Cambria" w:hAnsi="Cambria"/>
          <w:sz w:val="20"/>
          <w:szCs w:val="20"/>
          <w:lang w:val="es-ES"/>
        </w:rPr>
        <w:t xml:space="preserve">la </w:t>
      </w:r>
      <w:r w:rsidR="00E75E07" w:rsidRPr="004715D2">
        <w:rPr>
          <w:rFonts w:ascii="Cambria" w:hAnsi="Cambria"/>
          <w:sz w:val="20"/>
          <w:szCs w:val="20"/>
          <w:lang w:val="es-ES"/>
        </w:rPr>
        <w:t xml:space="preserve">información divulgada por los medios de comunicación, como consecuencia del uso desproporcional de la fuerza desaparecieron 37 manifestantes, </w:t>
      </w:r>
      <w:r w:rsidR="00B16087">
        <w:rPr>
          <w:rFonts w:ascii="Cambria" w:hAnsi="Cambria"/>
          <w:sz w:val="20"/>
          <w:szCs w:val="20"/>
          <w:lang w:val="es-ES"/>
        </w:rPr>
        <w:t>incluyendo</w:t>
      </w:r>
      <w:r w:rsidR="00E75E07" w:rsidRPr="004715D2">
        <w:rPr>
          <w:rFonts w:ascii="Cambria" w:hAnsi="Cambria"/>
          <w:sz w:val="20"/>
          <w:szCs w:val="20"/>
          <w:lang w:val="es-ES"/>
        </w:rPr>
        <w:t xml:space="preserve"> 7 niños y un bebé</w:t>
      </w:r>
      <w:r w:rsidR="00B16087">
        <w:rPr>
          <w:rFonts w:ascii="Cambria" w:hAnsi="Cambria"/>
          <w:sz w:val="20"/>
          <w:szCs w:val="20"/>
          <w:lang w:val="es-ES"/>
        </w:rPr>
        <w:t>;</w:t>
      </w:r>
      <w:r w:rsidR="00E75E07" w:rsidRPr="004715D2">
        <w:rPr>
          <w:rFonts w:ascii="Cambria" w:hAnsi="Cambria"/>
          <w:sz w:val="20"/>
          <w:szCs w:val="20"/>
          <w:lang w:val="es-ES"/>
        </w:rPr>
        <w:t xml:space="preserve"> as</w:t>
      </w:r>
      <w:r w:rsidR="00B16087">
        <w:rPr>
          <w:rFonts w:ascii="Cambria" w:hAnsi="Cambria"/>
          <w:sz w:val="20"/>
          <w:szCs w:val="20"/>
          <w:lang w:val="es-ES"/>
        </w:rPr>
        <w:t xml:space="preserve">imismo, quedó </w:t>
      </w:r>
      <w:r w:rsidR="00E75E07" w:rsidRPr="004715D2">
        <w:rPr>
          <w:rFonts w:ascii="Cambria" w:hAnsi="Cambria"/>
          <w:sz w:val="20"/>
          <w:szCs w:val="20"/>
          <w:lang w:val="es-ES"/>
        </w:rPr>
        <w:t>una cantidad indeterminada de personas heridas</w:t>
      </w:r>
      <w:r w:rsidR="00E75E07" w:rsidRPr="004715D2">
        <w:rPr>
          <w:rStyle w:val="FootnoteReference"/>
          <w:rFonts w:ascii="Cambria" w:hAnsi="Cambria"/>
          <w:sz w:val="20"/>
          <w:szCs w:val="20"/>
          <w:lang w:val="es-ES"/>
        </w:rPr>
        <w:footnoteReference w:id="6"/>
      </w:r>
      <w:r w:rsidR="00B16087">
        <w:rPr>
          <w:rFonts w:ascii="Cambria" w:hAnsi="Cambria"/>
          <w:sz w:val="20"/>
          <w:szCs w:val="20"/>
          <w:lang w:val="es-ES"/>
        </w:rPr>
        <w:t>.</w:t>
      </w:r>
      <w:r w:rsidR="00080EB4" w:rsidRPr="004715D2">
        <w:rPr>
          <w:rFonts w:ascii="Cambria" w:hAnsi="Cambria"/>
          <w:sz w:val="20"/>
          <w:szCs w:val="20"/>
          <w:lang w:val="es-ES"/>
        </w:rPr>
        <w:t xml:space="preserve"> </w:t>
      </w:r>
      <w:r w:rsidR="00B16087">
        <w:rPr>
          <w:rFonts w:ascii="Cambria" w:hAnsi="Cambria"/>
          <w:sz w:val="20"/>
          <w:szCs w:val="20"/>
          <w:lang w:val="es-ES"/>
        </w:rPr>
        <w:t>E</w:t>
      </w:r>
      <w:r w:rsidR="00080EB4" w:rsidRPr="004715D2">
        <w:rPr>
          <w:rFonts w:ascii="Cambria" w:hAnsi="Cambria"/>
          <w:sz w:val="20"/>
          <w:szCs w:val="20"/>
          <w:lang w:val="es-ES"/>
        </w:rPr>
        <w:t xml:space="preserve">l </w:t>
      </w:r>
      <w:r w:rsidR="009E206C" w:rsidRPr="004715D2">
        <w:rPr>
          <w:rFonts w:ascii="Cambria" w:hAnsi="Cambria"/>
          <w:sz w:val="20"/>
          <w:szCs w:val="20"/>
          <w:lang w:val="es-ES"/>
        </w:rPr>
        <w:t>Gobierno</w:t>
      </w:r>
      <w:r w:rsidR="00080EB4" w:rsidRPr="004715D2">
        <w:rPr>
          <w:rFonts w:ascii="Cambria" w:hAnsi="Cambria"/>
          <w:sz w:val="20"/>
          <w:szCs w:val="20"/>
          <w:lang w:val="es-ES"/>
        </w:rPr>
        <w:t xml:space="preserve"> pidió disculpas por lo acontecido y manifestó haber ordenado la suspensión de las obras de construcción</w:t>
      </w:r>
      <w:r w:rsidR="00B16087">
        <w:rPr>
          <w:rFonts w:ascii="Cambria" w:hAnsi="Cambria"/>
          <w:sz w:val="20"/>
          <w:szCs w:val="20"/>
          <w:lang w:val="es-ES"/>
        </w:rPr>
        <w:t>;</w:t>
      </w:r>
      <w:r w:rsidR="00080EB4" w:rsidRPr="004715D2">
        <w:rPr>
          <w:rFonts w:ascii="Cambria" w:hAnsi="Cambria"/>
          <w:sz w:val="20"/>
          <w:szCs w:val="20"/>
          <w:lang w:val="es-ES"/>
        </w:rPr>
        <w:t xml:space="preserve"> sin embargo, días </w:t>
      </w:r>
      <w:r w:rsidR="00351670" w:rsidRPr="004715D2">
        <w:rPr>
          <w:rFonts w:ascii="Cambria" w:hAnsi="Cambria"/>
          <w:sz w:val="20"/>
          <w:szCs w:val="20"/>
          <w:lang w:val="es-ES"/>
        </w:rPr>
        <w:t>después</w:t>
      </w:r>
      <w:r w:rsidR="00080EB4" w:rsidRPr="004715D2">
        <w:rPr>
          <w:rFonts w:ascii="Cambria" w:hAnsi="Cambria"/>
          <w:sz w:val="20"/>
          <w:szCs w:val="20"/>
          <w:lang w:val="es-ES"/>
        </w:rPr>
        <w:t xml:space="preserve"> el gerente de OAS </w:t>
      </w:r>
      <w:r w:rsidR="00B16087">
        <w:rPr>
          <w:rFonts w:ascii="Cambria" w:hAnsi="Cambria"/>
          <w:sz w:val="20"/>
          <w:szCs w:val="20"/>
          <w:lang w:val="es-ES"/>
        </w:rPr>
        <w:t xml:space="preserve">Ltda. </w:t>
      </w:r>
      <w:r w:rsidR="00080EB4" w:rsidRPr="004715D2">
        <w:rPr>
          <w:rFonts w:ascii="Cambria" w:hAnsi="Cambria"/>
          <w:sz w:val="20"/>
          <w:szCs w:val="20"/>
          <w:lang w:val="es-ES"/>
        </w:rPr>
        <w:t xml:space="preserve">declaró a los medios de comunicación que nunca recibió </w:t>
      </w:r>
      <w:r w:rsidR="00B16087">
        <w:rPr>
          <w:rFonts w:ascii="Cambria" w:hAnsi="Cambria"/>
          <w:sz w:val="20"/>
          <w:szCs w:val="20"/>
          <w:lang w:val="es-ES"/>
        </w:rPr>
        <w:t xml:space="preserve">tal </w:t>
      </w:r>
      <w:r w:rsidR="00080EB4" w:rsidRPr="004715D2">
        <w:rPr>
          <w:rFonts w:ascii="Cambria" w:hAnsi="Cambria"/>
          <w:sz w:val="20"/>
          <w:szCs w:val="20"/>
          <w:lang w:val="es-ES"/>
        </w:rPr>
        <w:t>orden</w:t>
      </w:r>
      <w:r w:rsidR="00080EB4" w:rsidRPr="00A47291">
        <w:rPr>
          <w:rFonts w:ascii="Cambria" w:hAnsi="Cambria"/>
          <w:sz w:val="20"/>
          <w:szCs w:val="20"/>
          <w:lang w:val="es-ES"/>
        </w:rPr>
        <w:t xml:space="preserve"> y que las obras continuaban.</w:t>
      </w:r>
    </w:p>
    <w:p w14:paraId="6A79948E" w14:textId="2B394CD8" w:rsidR="003069BD" w:rsidRPr="003C2C65" w:rsidRDefault="0030529C"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C2C65">
        <w:rPr>
          <w:rFonts w:ascii="Cambria" w:hAnsi="Cambria"/>
          <w:sz w:val="20"/>
          <w:szCs w:val="20"/>
          <w:lang w:val="es-ES"/>
        </w:rPr>
        <w:t xml:space="preserve"> Para</w:t>
      </w:r>
      <w:r w:rsidR="00692539" w:rsidRPr="003C2C65">
        <w:rPr>
          <w:rFonts w:ascii="Cambria" w:hAnsi="Cambria"/>
          <w:sz w:val="20"/>
          <w:szCs w:val="20"/>
          <w:lang w:val="es-ES"/>
        </w:rPr>
        <w:t xml:space="preserve"> el 24 de octubre de 2011</w:t>
      </w:r>
      <w:r w:rsidRPr="003C2C65">
        <w:rPr>
          <w:rFonts w:ascii="Cambria" w:hAnsi="Cambria"/>
          <w:sz w:val="20"/>
          <w:szCs w:val="20"/>
          <w:lang w:val="es-ES"/>
        </w:rPr>
        <w:t>,</w:t>
      </w:r>
      <w:r w:rsidR="00692539" w:rsidRPr="003C2C65">
        <w:rPr>
          <w:rFonts w:ascii="Cambria" w:hAnsi="Cambria"/>
          <w:sz w:val="20"/>
          <w:szCs w:val="20"/>
          <w:lang w:val="es-ES"/>
        </w:rPr>
        <w:t xml:space="preserve"> la Asamblea </w:t>
      </w:r>
      <w:r w:rsidR="00961C1A" w:rsidRPr="003C2C65">
        <w:rPr>
          <w:rFonts w:ascii="Cambria" w:hAnsi="Cambria"/>
          <w:sz w:val="20"/>
          <w:szCs w:val="20"/>
          <w:lang w:val="es-ES"/>
        </w:rPr>
        <w:t xml:space="preserve">Legislativa aprobó la Ley N. 180 de Protección del </w:t>
      </w:r>
      <w:r w:rsidR="00B16087">
        <w:rPr>
          <w:rFonts w:ascii="Cambria" w:hAnsi="Cambria"/>
          <w:sz w:val="20"/>
          <w:szCs w:val="20"/>
          <w:lang w:val="es-ES"/>
        </w:rPr>
        <w:t>TIPNIS</w:t>
      </w:r>
      <w:r w:rsidR="00B465E1" w:rsidRPr="003C2C65">
        <w:rPr>
          <w:rFonts w:ascii="Cambria" w:hAnsi="Cambria"/>
          <w:sz w:val="20"/>
          <w:szCs w:val="20"/>
          <w:lang w:val="es-ES"/>
        </w:rPr>
        <w:t xml:space="preserve"> como </w:t>
      </w:r>
      <w:r w:rsidR="004246C4" w:rsidRPr="003C2C65">
        <w:rPr>
          <w:rFonts w:ascii="Cambria" w:hAnsi="Cambria"/>
          <w:sz w:val="20"/>
          <w:szCs w:val="20"/>
          <w:lang w:val="es-ES"/>
        </w:rPr>
        <w:t>Patrimonio Sociocultural y Natural, Z</w:t>
      </w:r>
      <w:r w:rsidR="00936F2C" w:rsidRPr="003C2C65">
        <w:rPr>
          <w:rFonts w:ascii="Cambria" w:hAnsi="Cambria"/>
          <w:sz w:val="20"/>
          <w:szCs w:val="20"/>
          <w:lang w:val="es-ES"/>
        </w:rPr>
        <w:t xml:space="preserve">ona de </w:t>
      </w:r>
      <w:r w:rsidR="004246C4" w:rsidRPr="003C2C65">
        <w:rPr>
          <w:rFonts w:ascii="Cambria" w:hAnsi="Cambria"/>
          <w:sz w:val="20"/>
          <w:szCs w:val="20"/>
          <w:lang w:val="es-ES"/>
        </w:rPr>
        <w:t>Preservación Ecológica, Reproducción Histórica y Hábitat de los Pueblos I</w:t>
      </w:r>
      <w:r w:rsidR="00936F2C" w:rsidRPr="003C2C65">
        <w:rPr>
          <w:rFonts w:ascii="Cambria" w:hAnsi="Cambria"/>
          <w:sz w:val="20"/>
          <w:szCs w:val="20"/>
          <w:lang w:val="es-ES"/>
        </w:rPr>
        <w:t xml:space="preserve">ndígenas Chiman, </w:t>
      </w:r>
      <w:proofErr w:type="spellStart"/>
      <w:r w:rsidR="00936F2C" w:rsidRPr="003C2C65">
        <w:rPr>
          <w:rFonts w:ascii="Cambria" w:hAnsi="Cambria"/>
          <w:sz w:val="20"/>
          <w:szCs w:val="20"/>
          <w:lang w:val="es-ES"/>
        </w:rPr>
        <w:t>Yuracaré</w:t>
      </w:r>
      <w:proofErr w:type="spellEnd"/>
      <w:r w:rsidR="00936F2C" w:rsidRPr="003C2C65">
        <w:rPr>
          <w:rFonts w:ascii="Cambria" w:hAnsi="Cambria"/>
          <w:sz w:val="20"/>
          <w:szCs w:val="20"/>
          <w:lang w:val="es-ES"/>
        </w:rPr>
        <w:t xml:space="preserve"> y </w:t>
      </w:r>
      <w:proofErr w:type="spellStart"/>
      <w:r w:rsidR="00936F2C" w:rsidRPr="003C2C65">
        <w:rPr>
          <w:rFonts w:ascii="Cambria" w:hAnsi="Cambria"/>
          <w:sz w:val="20"/>
          <w:szCs w:val="20"/>
          <w:lang w:val="es-ES"/>
        </w:rPr>
        <w:t>Mojeño</w:t>
      </w:r>
      <w:proofErr w:type="spellEnd"/>
      <w:r w:rsidR="00936F2C" w:rsidRPr="003C2C65">
        <w:rPr>
          <w:rFonts w:ascii="Cambria" w:hAnsi="Cambria"/>
          <w:sz w:val="20"/>
          <w:szCs w:val="20"/>
          <w:lang w:val="es-ES"/>
        </w:rPr>
        <w:t>-</w:t>
      </w:r>
      <w:r w:rsidR="00B16087">
        <w:rPr>
          <w:rFonts w:ascii="Cambria" w:hAnsi="Cambria"/>
          <w:sz w:val="20"/>
          <w:szCs w:val="20"/>
          <w:lang w:val="es-ES"/>
        </w:rPr>
        <w:t>T</w:t>
      </w:r>
      <w:r w:rsidR="00936F2C" w:rsidRPr="003C2C65">
        <w:rPr>
          <w:rFonts w:ascii="Cambria" w:hAnsi="Cambria"/>
          <w:sz w:val="20"/>
          <w:szCs w:val="20"/>
          <w:lang w:val="es-ES"/>
        </w:rPr>
        <w:t>rinitario</w:t>
      </w:r>
      <w:r w:rsidR="00570BA4" w:rsidRPr="003C2C65">
        <w:rPr>
          <w:rFonts w:ascii="Cambria" w:hAnsi="Cambria"/>
          <w:sz w:val="20"/>
          <w:szCs w:val="20"/>
          <w:lang w:val="es-ES"/>
        </w:rPr>
        <w:t xml:space="preserve">. </w:t>
      </w:r>
      <w:r w:rsidR="00B16087">
        <w:rPr>
          <w:rFonts w:ascii="Cambria" w:hAnsi="Cambria"/>
          <w:sz w:val="20"/>
          <w:szCs w:val="20"/>
          <w:lang w:val="es-ES"/>
        </w:rPr>
        <w:t>Los</w:t>
      </w:r>
      <w:r w:rsidR="00277CF0" w:rsidRPr="003C2C65">
        <w:rPr>
          <w:rFonts w:ascii="Cambria" w:hAnsi="Cambria"/>
          <w:sz w:val="20"/>
          <w:szCs w:val="20"/>
          <w:lang w:val="es-ES"/>
        </w:rPr>
        <w:t xml:space="preserve"> peticionarios </w:t>
      </w:r>
      <w:r w:rsidR="00B16087">
        <w:rPr>
          <w:rFonts w:ascii="Cambria" w:hAnsi="Cambria"/>
          <w:sz w:val="20"/>
          <w:szCs w:val="20"/>
          <w:lang w:val="es-ES"/>
        </w:rPr>
        <w:t xml:space="preserve">sostienen que </w:t>
      </w:r>
      <w:r w:rsidR="00D726AA" w:rsidRPr="003C2C65">
        <w:rPr>
          <w:rFonts w:ascii="Cambria" w:hAnsi="Cambria"/>
          <w:sz w:val="20"/>
          <w:szCs w:val="20"/>
          <w:lang w:val="es-ES"/>
        </w:rPr>
        <w:t>el 10 de febrer</w:t>
      </w:r>
      <w:r w:rsidR="00D726AA">
        <w:rPr>
          <w:rFonts w:ascii="Cambria" w:hAnsi="Cambria"/>
          <w:sz w:val="20"/>
          <w:szCs w:val="20"/>
          <w:lang w:val="es-ES"/>
        </w:rPr>
        <w:t xml:space="preserve">o de 2012 </w:t>
      </w:r>
      <w:r w:rsidR="00277CF0" w:rsidRPr="003C2C65">
        <w:rPr>
          <w:rFonts w:ascii="Cambria" w:hAnsi="Cambria"/>
          <w:sz w:val="20"/>
          <w:szCs w:val="20"/>
          <w:lang w:val="es-ES"/>
        </w:rPr>
        <w:t xml:space="preserve">el Estado </w:t>
      </w:r>
      <w:r w:rsidR="00A65EC6">
        <w:rPr>
          <w:rFonts w:ascii="Cambria" w:hAnsi="Cambria"/>
          <w:sz w:val="20"/>
          <w:szCs w:val="20"/>
          <w:lang w:val="es-ES"/>
        </w:rPr>
        <w:t>expidió</w:t>
      </w:r>
      <w:r w:rsidR="00D726AA">
        <w:rPr>
          <w:rFonts w:ascii="Cambria" w:hAnsi="Cambria"/>
          <w:sz w:val="20"/>
          <w:szCs w:val="20"/>
          <w:lang w:val="es-ES"/>
        </w:rPr>
        <w:t>,</w:t>
      </w:r>
      <w:r w:rsidR="00277CF0" w:rsidRPr="003C2C65">
        <w:rPr>
          <w:rFonts w:ascii="Cambria" w:hAnsi="Cambria"/>
          <w:sz w:val="20"/>
          <w:szCs w:val="20"/>
          <w:lang w:val="es-ES"/>
        </w:rPr>
        <w:t xml:space="preserve"> </w:t>
      </w:r>
      <w:r w:rsidR="00D726AA">
        <w:rPr>
          <w:rFonts w:ascii="Cambria" w:hAnsi="Cambria"/>
          <w:sz w:val="20"/>
          <w:szCs w:val="20"/>
          <w:lang w:val="es-ES"/>
        </w:rPr>
        <w:t xml:space="preserve">de forma mal intencionada, </w:t>
      </w:r>
      <w:r w:rsidR="00A65EC6">
        <w:rPr>
          <w:rFonts w:ascii="Cambria" w:hAnsi="Cambria"/>
          <w:sz w:val="20"/>
          <w:szCs w:val="20"/>
          <w:lang w:val="es-ES"/>
        </w:rPr>
        <w:t xml:space="preserve">la Ley 222 </w:t>
      </w:r>
      <w:r w:rsidR="00277CF0" w:rsidRPr="003C2C65">
        <w:rPr>
          <w:rFonts w:ascii="Cambria" w:hAnsi="Cambria"/>
          <w:sz w:val="20"/>
          <w:szCs w:val="20"/>
          <w:lang w:val="es-ES"/>
        </w:rPr>
        <w:t>de Consulta a los Pueblos Indígenas del TIPNIS, con el objeto de obtener el consentimiento de los pueblos indígenas</w:t>
      </w:r>
      <w:r w:rsidR="00C64835" w:rsidRPr="003C2C65">
        <w:rPr>
          <w:rFonts w:ascii="Cambria" w:hAnsi="Cambria"/>
          <w:sz w:val="20"/>
          <w:szCs w:val="20"/>
          <w:lang w:val="es-ES"/>
        </w:rPr>
        <w:t xml:space="preserve"> y consultar</w:t>
      </w:r>
      <w:r w:rsidR="00CA52AA" w:rsidRPr="003C2C65">
        <w:rPr>
          <w:rFonts w:ascii="Cambria" w:hAnsi="Cambria"/>
          <w:sz w:val="20"/>
          <w:szCs w:val="20"/>
          <w:lang w:val="es-ES"/>
        </w:rPr>
        <w:t xml:space="preserve"> si lo</w:t>
      </w:r>
      <w:r w:rsidR="00B465E1" w:rsidRPr="003C2C65">
        <w:rPr>
          <w:rFonts w:ascii="Cambria" w:hAnsi="Cambria"/>
          <w:sz w:val="20"/>
          <w:szCs w:val="20"/>
          <w:lang w:val="es-ES"/>
        </w:rPr>
        <w:t>s</w:t>
      </w:r>
      <w:r w:rsidR="00CA52AA" w:rsidRPr="003C2C65">
        <w:rPr>
          <w:rFonts w:ascii="Cambria" w:hAnsi="Cambria"/>
          <w:sz w:val="20"/>
          <w:szCs w:val="20"/>
          <w:lang w:val="es-ES"/>
        </w:rPr>
        <w:t xml:space="preserve"> pobladores </w:t>
      </w:r>
      <w:r w:rsidR="00570BA4" w:rsidRPr="003C2C65">
        <w:rPr>
          <w:rFonts w:ascii="Cambria" w:hAnsi="Cambria"/>
          <w:sz w:val="20"/>
          <w:szCs w:val="20"/>
          <w:lang w:val="es-ES"/>
        </w:rPr>
        <w:lastRenderedPageBreak/>
        <w:t xml:space="preserve">del territorio deseaban o no </w:t>
      </w:r>
      <w:r w:rsidR="00CA52AA" w:rsidRPr="003C2C65">
        <w:rPr>
          <w:rFonts w:ascii="Cambria" w:hAnsi="Cambria"/>
          <w:sz w:val="20"/>
          <w:szCs w:val="20"/>
          <w:lang w:val="es-ES"/>
        </w:rPr>
        <w:t xml:space="preserve">declarar </w:t>
      </w:r>
      <w:r w:rsidR="00D726AA">
        <w:rPr>
          <w:rFonts w:ascii="Cambria" w:hAnsi="Cambria"/>
          <w:sz w:val="20"/>
          <w:szCs w:val="20"/>
          <w:lang w:val="es-ES"/>
        </w:rPr>
        <w:t>dicho territorio</w:t>
      </w:r>
      <w:r w:rsidR="00CA52AA" w:rsidRPr="003C2C65">
        <w:rPr>
          <w:rFonts w:ascii="Cambria" w:hAnsi="Cambria"/>
          <w:sz w:val="20"/>
          <w:szCs w:val="20"/>
          <w:lang w:val="es-ES"/>
        </w:rPr>
        <w:t xml:space="preserve"> como zona intangible</w:t>
      </w:r>
      <w:r w:rsidR="00A65EC6">
        <w:rPr>
          <w:rFonts w:ascii="Cambria" w:hAnsi="Cambria"/>
          <w:sz w:val="20"/>
          <w:szCs w:val="20"/>
          <w:lang w:val="es-ES"/>
        </w:rPr>
        <w:t xml:space="preserve">. </w:t>
      </w:r>
      <w:r w:rsidR="00FF75BD">
        <w:rPr>
          <w:rFonts w:ascii="Cambria" w:hAnsi="Cambria"/>
          <w:sz w:val="20"/>
          <w:szCs w:val="20"/>
          <w:lang w:val="es-ES"/>
        </w:rPr>
        <w:t>A</w:t>
      </w:r>
      <w:r w:rsidR="00A65EC6">
        <w:rPr>
          <w:rFonts w:ascii="Cambria" w:hAnsi="Cambria"/>
          <w:sz w:val="20"/>
          <w:szCs w:val="20"/>
          <w:lang w:val="es-ES"/>
        </w:rPr>
        <w:t xml:space="preserve">seguran </w:t>
      </w:r>
      <w:r w:rsidR="00277CF0" w:rsidRPr="003C2C65">
        <w:rPr>
          <w:rFonts w:ascii="Cambria" w:hAnsi="Cambria"/>
          <w:sz w:val="20"/>
          <w:szCs w:val="20"/>
          <w:lang w:val="es-ES"/>
        </w:rPr>
        <w:t xml:space="preserve">que </w:t>
      </w:r>
      <w:r w:rsidR="00D726AA" w:rsidRPr="003C2C65">
        <w:rPr>
          <w:rFonts w:ascii="Cambria" w:hAnsi="Cambria"/>
          <w:sz w:val="20"/>
          <w:szCs w:val="20"/>
          <w:lang w:val="es-ES"/>
        </w:rPr>
        <w:t>la consulta previa e</w:t>
      </w:r>
      <w:r w:rsidR="00D726AA">
        <w:rPr>
          <w:rFonts w:ascii="Cambria" w:hAnsi="Cambria"/>
          <w:sz w:val="20"/>
          <w:szCs w:val="20"/>
          <w:lang w:val="es-ES"/>
        </w:rPr>
        <w:t>ra</w:t>
      </w:r>
      <w:r w:rsidR="00D726AA" w:rsidRPr="003C2C65">
        <w:rPr>
          <w:rFonts w:ascii="Cambria" w:hAnsi="Cambria"/>
          <w:sz w:val="20"/>
          <w:szCs w:val="20"/>
          <w:lang w:val="es-ES"/>
        </w:rPr>
        <w:t xml:space="preserve"> extemporánea</w:t>
      </w:r>
      <w:r w:rsidR="00D726AA">
        <w:rPr>
          <w:rFonts w:ascii="Cambria" w:hAnsi="Cambria"/>
          <w:sz w:val="20"/>
          <w:szCs w:val="20"/>
          <w:lang w:val="es-ES"/>
        </w:rPr>
        <w:t xml:space="preserve">, ya que </w:t>
      </w:r>
      <w:r w:rsidR="00277CF0" w:rsidRPr="003C2C65">
        <w:rPr>
          <w:rFonts w:ascii="Cambria" w:hAnsi="Cambria"/>
          <w:sz w:val="20"/>
          <w:szCs w:val="20"/>
          <w:lang w:val="es-ES"/>
        </w:rPr>
        <w:t>las obras de construcción de la carretera habían comenzado de form</w:t>
      </w:r>
      <w:r w:rsidR="00570BA4" w:rsidRPr="003C2C65">
        <w:rPr>
          <w:rFonts w:ascii="Cambria" w:hAnsi="Cambria"/>
          <w:sz w:val="20"/>
          <w:szCs w:val="20"/>
          <w:lang w:val="es-ES"/>
        </w:rPr>
        <w:t>a previa a la expedición de la L</w:t>
      </w:r>
      <w:r w:rsidR="00277CF0" w:rsidRPr="003C2C65">
        <w:rPr>
          <w:rFonts w:ascii="Cambria" w:hAnsi="Cambria"/>
          <w:sz w:val="20"/>
          <w:szCs w:val="20"/>
          <w:lang w:val="es-ES"/>
        </w:rPr>
        <w:t>ey</w:t>
      </w:r>
      <w:r w:rsidR="00570BA4" w:rsidRPr="003C2C65">
        <w:rPr>
          <w:rFonts w:ascii="Cambria" w:hAnsi="Cambria"/>
          <w:sz w:val="20"/>
          <w:szCs w:val="20"/>
          <w:lang w:val="es-ES"/>
        </w:rPr>
        <w:t xml:space="preserve"> N</w:t>
      </w:r>
      <w:r w:rsidR="00D726AA">
        <w:rPr>
          <w:rFonts w:ascii="Cambria" w:hAnsi="Cambria"/>
          <w:sz w:val="20"/>
          <w:szCs w:val="20"/>
          <w:lang w:val="es-ES"/>
        </w:rPr>
        <w:t>o</w:t>
      </w:r>
      <w:r w:rsidR="00570BA4" w:rsidRPr="003C2C65">
        <w:rPr>
          <w:rFonts w:ascii="Cambria" w:hAnsi="Cambria"/>
          <w:sz w:val="20"/>
          <w:szCs w:val="20"/>
          <w:lang w:val="es-ES"/>
        </w:rPr>
        <w:t>.</w:t>
      </w:r>
      <w:r w:rsidR="00277CF0" w:rsidRPr="003C2C65">
        <w:rPr>
          <w:rFonts w:ascii="Cambria" w:hAnsi="Cambria"/>
          <w:sz w:val="20"/>
          <w:szCs w:val="20"/>
          <w:lang w:val="es-ES"/>
        </w:rPr>
        <w:t xml:space="preserve"> 222</w:t>
      </w:r>
      <w:r w:rsidR="00D726AA">
        <w:rPr>
          <w:rFonts w:ascii="Cambria" w:hAnsi="Cambria"/>
          <w:sz w:val="20"/>
          <w:szCs w:val="20"/>
          <w:lang w:val="es-ES"/>
        </w:rPr>
        <w:t>; y que el</w:t>
      </w:r>
      <w:r w:rsidR="00B465E1" w:rsidRPr="003C2C65">
        <w:rPr>
          <w:rFonts w:ascii="Cambria" w:hAnsi="Cambria"/>
          <w:sz w:val="20"/>
          <w:szCs w:val="20"/>
          <w:lang w:val="es-ES"/>
        </w:rPr>
        <w:t xml:space="preserve"> objeto primordial </w:t>
      </w:r>
      <w:r w:rsidR="00D726AA">
        <w:rPr>
          <w:rFonts w:ascii="Cambria" w:hAnsi="Cambria"/>
          <w:sz w:val="20"/>
          <w:szCs w:val="20"/>
          <w:lang w:val="es-ES"/>
        </w:rPr>
        <w:t>era</w:t>
      </w:r>
      <w:r w:rsidR="00B465E1" w:rsidRPr="003C2C65">
        <w:rPr>
          <w:rFonts w:ascii="Cambria" w:hAnsi="Cambria"/>
          <w:sz w:val="20"/>
          <w:szCs w:val="20"/>
          <w:lang w:val="es-ES"/>
        </w:rPr>
        <w:t xml:space="preserve"> el saneamiento del proceso que </w:t>
      </w:r>
      <w:r w:rsidR="00D726AA">
        <w:rPr>
          <w:rFonts w:ascii="Cambria" w:hAnsi="Cambria"/>
          <w:sz w:val="20"/>
          <w:szCs w:val="20"/>
          <w:lang w:val="es-ES"/>
        </w:rPr>
        <w:t>ya</w:t>
      </w:r>
      <w:r w:rsidR="00B465E1" w:rsidRPr="003C2C65">
        <w:rPr>
          <w:rFonts w:ascii="Cambria" w:hAnsi="Cambria"/>
          <w:sz w:val="20"/>
          <w:szCs w:val="20"/>
          <w:lang w:val="es-ES"/>
        </w:rPr>
        <w:t xml:space="preserve"> se había llevado a cabo</w:t>
      </w:r>
      <w:r w:rsidR="003069BD" w:rsidRPr="003C2C65">
        <w:rPr>
          <w:rFonts w:ascii="Cambria" w:hAnsi="Cambria"/>
          <w:sz w:val="20"/>
          <w:szCs w:val="20"/>
          <w:lang w:val="es-ES"/>
        </w:rPr>
        <w:t>.</w:t>
      </w:r>
    </w:p>
    <w:p w14:paraId="6A5FA6BE" w14:textId="6C9642F4" w:rsidR="00CB1AE5" w:rsidRPr="003C2C65" w:rsidRDefault="00D726AA"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En respuesta a </w:t>
      </w:r>
      <w:r w:rsidR="003069BD" w:rsidRPr="003C2C65">
        <w:rPr>
          <w:rFonts w:ascii="Cambria" w:hAnsi="Cambria"/>
          <w:sz w:val="20"/>
          <w:szCs w:val="20"/>
          <w:lang w:val="es-ES"/>
        </w:rPr>
        <w:t xml:space="preserve">lo anterior, </w:t>
      </w:r>
      <w:r w:rsidR="00917A34">
        <w:rPr>
          <w:rFonts w:ascii="Cambria" w:hAnsi="Cambria"/>
          <w:sz w:val="20"/>
          <w:szCs w:val="20"/>
          <w:lang w:val="es-ES"/>
        </w:rPr>
        <w:t>dos diputados</w:t>
      </w:r>
      <w:r w:rsidR="0087240C">
        <w:rPr>
          <w:rFonts w:ascii="Cambria" w:hAnsi="Cambria"/>
          <w:sz w:val="20"/>
          <w:szCs w:val="20"/>
          <w:lang w:val="es-ES"/>
        </w:rPr>
        <w:t xml:space="preserve"> </w:t>
      </w:r>
      <w:r w:rsidR="003069BD" w:rsidRPr="003C2C65">
        <w:rPr>
          <w:rFonts w:ascii="Cambria" w:hAnsi="Cambria"/>
          <w:sz w:val="20"/>
          <w:szCs w:val="20"/>
          <w:lang w:val="es-ES"/>
        </w:rPr>
        <w:t xml:space="preserve">interpusieron </w:t>
      </w:r>
      <w:r>
        <w:rPr>
          <w:rFonts w:ascii="Cambria" w:hAnsi="Cambria"/>
          <w:sz w:val="20"/>
          <w:szCs w:val="20"/>
          <w:lang w:val="es-ES"/>
        </w:rPr>
        <w:t xml:space="preserve">una </w:t>
      </w:r>
      <w:r w:rsidR="003069BD" w:rsidRPr="003C2C65">
        <w:rPr>
          <w:rFonts w:ascii="Cambria" w:hAnsi="Cambria"/>
          <w:sz w:val="20"/>
          <w:szCs w:val="20"/>
          <w:lang w:val="es-ES"/>
        </w:rPr>
        <w:t xml:space="preserve">demanda de inconstitucionalidad contra los artículos 1, 3 y 4 de la Ley </w:t>
      </w:r>
      <w:r>
        <w:rPr>
          <w:rFonts w:ascii="Cambria" w:hAnsi="Cambria"/>
          <w:sz w:val="20"/>
          <w:szCs w:val="20"/>
          <w:lang w:val="es-ES"/>
        </w:rPr>
        <w:t xml:space="preserve">No. </w:t>
      </w:r>
      <w:r w:rsidR="003069BD" w:rsidRPr="003C2C65">
        <w:rPr>
          <w:rFonts w:ascii="Cambria" w:hAnsi="Cambria"/>
          <w:sz w:val="20"/>
          <w:szCs w:val="20"/>
          <w:lang w:val="es-ES"/>
        </w:rPr>
        <w:t>180</w:t>
      </w:r>
      <w:r>
        <w:rPr>
          <w:rFonts w:ascii="Cambria" w:hAnsi="Cambria"/>
          <w:sz w:val="20"/>
          <w:szCs w:val="20"/>
          <w:lang w:val="es-ES"/>
        </w:rPr>
        <w:t>,</w:t>
      </w:r>
      <w:r w:rsidR="003069BD" w:rsidRPr="003C2C65">
        <w:rPr>
          <w:rFonts w:ascii="Cambria" w:hAnsi="Cambria"/>
          <w:sz w:val="20"/>
          <w:szCs w:val="20"/>
          <w:lang w:val="es-ES"/>
        </w:rPr>
        <w:t xml:space="preserve"> y </w:t>
      </w:r>
      <w:r>
        <w:rPr>
          <w:rFonts w:ascii="Cambria" w:hAnsi="Cambria"/>
          <w:sz w:val="20"/>
          <w:szCs w:val="20"/>
          <w:lang w:val="es-ES"/>
        </w:rPr>
        <w:t xml:space="preserve">contra </w:t>
      </w:r>
      <w:r w:rsidR="003069BD" w:rsidRPr="003C2C65">
        <w:rPr>
          <w:rFonts w:ascii="Cambria" w:hAnsi="Cambria"/>
          <w:sz w:val="20"/>
          <w:szCs w:val="20"/>
          <w:lang w:val="es-ES"/>
        </w:rPr>
        <w:t xml:space="preserve">otros </w:t>
      </w:r>
      <w:r>
        <w:rPr>
          <w:rFonts w:ascii="Cambria" w:hAnsi="Cambria"/>
          <w:sz w:val="20"/>
          <w:szCs w:val="20"/>
          <w:lang w:val="es-ES"/>
        </w:rPr>
        <w:t xml:space="preserve">artículos </w:t>
      </w:r>
      <w:r w:rsidR="003069BD" w:rsidRPr="003C2C65">
        <w:rPr>
          <w:rFonts w:ascii="Cambria" w:hAnsi="Cambria"/>
          <w:sz w:val="20"/>
          <w:szCs w:val="20"/>
          <w:lang w:val="es-ES"/>
        </w:rPr>
        <w:t>de la Ley 222</w:t>
      </w:r>
      <w:r>
        <w:rPr>
          <w:rFonts w:ascii="Cambria" w:hAnsi="Cambria"/>
          <w:sz w:val="20"/>
          <w:szCs w:val="20"/>
          <w:lang w:val="es-ES"/>
        </w:rPr>
        <w:t>;</w:t>
      </w:r>
      <w:r w:rsidR="003069BD" w:rsidRPr="003C2C65">
        <w:rPr>
          <w:rFonts w:ascii="Cambria" w:hAnsi="Cambria"/>
          <w:sz w:val="20"/>
          <w:szCs w:val="20"/>
          <w:lang w:val="es-ES"/>
        </w:rPr>
        <w:t xml:space="preserve"> </w:t>
      </w:r>
      <w:r>
        <w:rPr>
          <w:rFonts w:ascii="Cambria" w:hAnsi="Cambria"/>
          <w:sz w:val="20"/>
          <w:szCs w:val="20"/>
          <w:lang w:val="es-ES"/>
        </w:rPr>
        <w:t>l</w:t>
      </w:r>
      <w:r w:rsidR="003069BD" w:rsidRPr="003C2C65">
        <w:rPr>
          <w:rFonts w:ascii="Cambria" w:hAnsi="Cambria"/>
          <w:sz w:val="20"/>
          <w:szCs w:val="20"/>
          <w:lang w:val="es-ES"/>
        </w:rPr>
        <w:t>a demanda fue resu</w:t>
      </w:r>
      <w:r>
        <w:rPr>
          <w:rFonts w:ascii="Cambria" w:hAnsi="Cambria"/>
          <w:sz w:val="20"/>
          <w:szCs w:val="20"/>
          <w:lang w:val="es-ES"/>
        </w:rPr>
        <w:t>e</w:t>
      </w:r>
      <w:r w:rsidR="003069BD" w:rsidRPr="003C2C65">
        <w:rPr>
          <w:rFonts w:ascii="Cambria" w:hAnsi="Cambria"/>
          <w:sz w:val="20"/>
          <w:szCs w:val="20"/>
          <w:lang w:val="es-ES"/>
        </w:rPr>
        <w:t>lta por la Corte Constitucional boliviana</w:t>
      </w:r>
      <w:r w:rsidR="004957D2" w:rsidRPr="003C2C65">
        <w:rPr>
          <w:rFonts w:ascii="Cambria" w:hAnsi="Cambria"/>
          <w:sz w:val="20"/>
          <w:szCs w:val="20"/>
          <w:lang w:val="es-ES"/>
        </w:rPr>
        <w:t xml:space="preserve"> el 18 de junio de 2012</w:t>
      </w:r>
      <w:r>
        <w:rPr>
          <w:rFonts w:ascii="Cambria" w:hAnsi="Cambria"/>
          <w:sz w:val="20"/>
          <w:szCs w:val="20"/>
          <w:lang w:val="es-ES"/>
        </w:rPr>
        <w:t>.</w:t>
      </w:r>
      <w:r w:rsidR="003069BD" w:rsidRPr="003C2C65">
        <w:rPr>
          <w:rFonts w:ascii="Cambria" w:hAnsi="Cambria"/>
          <w:sz w:val="20"/>
          <w:szCs w:val="20"/>
          <w:lang w:val="es-ES"/>
        </w:rPr>
        <w:t xml:space="preserve"> </w:t>
      </w:r>
      <w:r>
        <w:rPr>
          <w:rFonts w:ascii="Cambria" w:hAnsi="Cambria"/>
          <w:sz w:val="20"/>
          <w:szCs w:val="20"/>
          <w:lang w:val="es-ES"/>
        </w:rPr>
        <w:t>E</w:t>
      </w:r>
      <w:r w:rsidR="004957D2" w:rsidRPr="003C2C65">
        <w:rPr>
          <w:rFonts w:ascii="Cambria" w:hAnsi="Cambria"/>
          <w:sz w:val="20"/>
          <w:szCs w:val="20"/>
          <w:lang w:val="es-ES"/>
        </w:rPr>
        <w:t xml:space="preserve">n </w:t>
      </w:r>
      <w:r>
        <w:rPr>
          <w:rFonts w:ascii="Cambria" w:hAnsi="Cambria"/>
          <w:sz w:val="20"/>
          <w:szCs w:val="20"/>
          <w:lang w:val="es-ES"/>
        </w:rPr>
        <w:t>la</w:t>
      </w:r>
      <w:r w:rsidR="004957D2" w:rsidRPr="003C2C65">
        <w:rPr>
          <w:rFonts w:ascii="Cambria" w:hAnsi="Cambria"/>
          <w:sz w:val="20"/>
          <w:szCs w:val="20"/>
          <w:lang w:val="es-ES"/>
        </w:rPr>
        <w:t xml:space="preserve"> providencia N</w:t>
      </w:r>
      <w:r>
        <w:rPr>
          <w:rFonts w:ascii="Cambria" w:hAnsi="Cambria"/>
          <w:sz w:val="20"/>
          <w:szCs w:val="20"/>
          <w:lang w:val="es-ES"/>
        </w:rPr>
        <w:t>o</w:t>
      </w:r>
      <w:r w:rsidR="004957D2" w:rsidRPr="003C2C65">
        <w:rPr>
          <w:rFonts w:ascii="Cambria" w:hAnsi="Cambria"/>
          <w:sz w:val="20"/>
          <w:szCs w:val="20"/>
          <w:lang w:val="es-ES"/>
        </w:rPr>
        <w:t>. 0300 de 2012</w:t>
      </w:r>
      <w:r>
        <w:rPr>
          <w:rFonts w:ascii="Cambria" w:hAnsi="Cambria"/>
          <w:sz w:val="20"/>
          <w:szCs w:val="20"/>
          <w:lang w:val="es-ES"/>
        </w:rPr>
        <w:t>,</w:t>
      </w:r>
      <w:r w:rsidR="00B465E1" w:rsidRPr="003C2C65">
        <w:rPr>
          <w:rFonts w:ascii="Cambria" w:hAnsi="Cambria"/>
          <w:sz w:val="20"/>
          <w:szCs w:val="20"/>
          <w:lang w:val="es-ES"/>
        </w:rPr>
        <w:t xml:space="preserve"> dicho</w:t>
      </w:r>
      <w:r w:rsidR="004957D2" w:rsidRPr="003C2C65">
        <w:rPr>
          <w:rFonts w:ascii="Cambria" w:hAnsi="Cambria"/>
          <w:sz w:val="20"/>
          <w:szCs w:val="20"/>
          <w:lang w:val="es-ES"/>
        </w:rPr>
        <w:t xml:space="preserve"> órgano estableció que ya desde 2006 </w:t>
      </w:r>
      <w:r w:rsidRPr="003C2C65">
        <w:rPr>
          <w:rFonts w:ascii="Cambria" w:hAnsi="Cambria"/>
          <w:sz w:val="20"/>
          <w:szCs w:val="20"/>
          <w:lang w:val="es-ES"/>
        </w:rPr>
        <w:t xml:space="preserve">el Estado boliviano </w:t>
      </w:r>
      <w:r w:rsidR="004957D2" w:rsidRPr="003C2C65">
        <w:rPr>
          <w:rFonts w:ascii="Cambria" w:hAnsi="Cambria"/>
          <w:sz w:val="20"/>
          <w:szCs w:val="20"/>
          <w:lang w:val="es-ES"/>
        </w:rPr>
        <w:t>h</w:t>
      </w:r>
      <w:r>
        <w:rPr>
          <w:rFonts w:ascii="Cambria" w:hAnsi="Cambria"/>
          <w:sz w:val="20"/>
          <w:szCs w:val="20"/>
          <w:lang w:val="es-ES"/>
        </w:rPr>
        <w:t xml:space="preserve">abía iniciado actos </w:t>
      </w:r>
      <w:r w:rsidR="004957D2" w:rsidRPr="003C2C65">
        <w:rPr>
          <w:rFonts w:ascii="Cambria" w:hAnsi="Cambria"/>
          <w:sz w:val="20"/>
          <w:szCs w:val="20"/>
          <w:lang w:val="es-ES"/>
        </w:rPr>
        <w:t xml:space="preserve">que tendían a efectivizar la ejecución del tramo carretero, y que </w:t>
      </w:r>
      <w:r w:rsidRPr="003C2C65">
        <w:rPr>
          <w:rFonts w:ascii="Cambria" w:hAnsi="Cambria"/>
          <w:sz w:val="20"/>
          <w:szCs w:val="20"/>
          <w:lang w:val="es-ES"/>
        </w:rPr>
        <w:t xml:space="preserve">la Ley </w:t>
      </w:r>
      <w:r>
        <w:rPr>
          <w:rFonts w:ascii="Cambria" w:hAnsi="Cambria"/>
          <w:sz w:val="20"/>
          <w:szCs w:val="20"/>
          <w:lang w:val="es-ES"/>
        </w:rPr>
        <w:t xml:space="preserve">No. </w:t>
      </w:r>
      <w:r w:rsidRPr="003C2C65">
        <w:rPr>
          <w:rFonts w:ascii="Cambria" w:hAnsi="Cambria"/>
          <w:sz w:val="20"/>
          <w:szCs w:val="20"/>
          <w:lang w:val="es-ES"/>
        </w:rPr>
        <w:t>222</w:t>
      </w:r>
      <w:r>
        <w:rPr>
          <w:rFonts w:ascii="Cambria" w:hAnsi="Cambria"/>
          <w:sz w:val="20"/>
          <w:szCs w:val="20"/>
          <w:lang w:val="es-ES"/>
        </w:rPr>
        <w:t xml:space="preserve"> </w:t>
      </w:r>
      <w:r w:rsidR="004957D2" w:rsidRPr="003C2C65">
        <w:rPr>
          <w:rFonts w:ascii="Cambria" w:hAnsi="Cambria"/>
          <w:sz w:val="20"/>
          <w:szCs w:val="20"/>
          <w:lang w:val="es-ES"/>
        </w:rPr>
        <w:t>hab</w:t>
      </w:r>
      <w:r w:rsidR="00CA52AA" w:rsidRPr="003C2C65">
        <w:rPr>
          <w:rFonts w:ascii="Cambria" w:hAnsi="Cambria"/>
          <w:sz w:val="20"/>
          <w:szCs w:val="20"/>
          <w:lang w:val="es-ES"/>
        </w:rPr>
        <w:t xml:space="preserve">ía sido </w:t>
      </w:r>
      <w:r>
        <w:rPr>
          <w:rFonts w:ascii="Cambria" w:hAnsi="Cambria"/>
          <w:sz w:val="20"/>
          <w:szCs w:val="20"/>
          <w:lang w:val="es-ES"/>
        </w:rPr>
        <w:t xml:space="preserve">expedida </w:t>
      </w:r>
      <w:r w:rsidR="00681FC8" w:rsidRPr="003C2C65">
        <w:rPr>
          <w:rFonts w:ascii="Cambria" w:hAnsi="Cambria"/>
          <w:sz w:val="20"/>
          <w:szCs w:val="20"/>
          <w:lang w:val="es-ES"/>
        </w:rPr>
        <w:t xml:space="preserve">2 </w:t>
      </w:r>
      <w:r w:rsidR="004957D2" w:rsidRPr="003C2C65">
        <w:rPr>
          <w:rFonts w:ascii="Cambria" w:hAnsi="Cambria"/>
          <w:sz w:val="20"/>
          <w:szCs w:val="20"/>
          <w:lang w:val="es-ES"/>
        </w:rPr>
        <w:t>años después de haber iniciado la</w:t>
      </w:r>
      <w:r w:rsidR="00CA52AA" w:rsidRPr="003C2C65">
        <w:rPr>
          <w:rFonts w:ascii="Cambria" w:hAnsi="Cambria"/>
          <w:sz w:val="20"/>
          <w:szCs w:val="20"/>
          <w:lang w:val="es-ES"/>
        </w:rPr>
        <w:t xml:space="preserve"> ejecución del contrato. </w:t>
      </w:r>
      <w:r w:rsidR="00FF75BD">
        <w:rPr>
          <w:rFonts w:ascii="Cambria" w:hAnsi="Cambria"/>
          <w:sz w:val="20"/>
          <w:szCs w:val="20"/>
          <w:lang w:val="es-ES"/>
        </w:rPr>
        <w:t xml:space="preserve">En vista de lo anterior, </w:t>
      </w:r>
      <w:r w:rsidR="00CA52AA" w:rsidRPr="003C2C65">
        <w:rPr>
          <w:rFonts w:ascii="Cambria" w:hAnsi="Cambria"/>
          <w:sz w:val="20"/>
          <w:szCs w:val="20"/>
          <w:lang w:val="es-ES"/>
        </w:rPr>
        <w:t>la Corte Constitucional boliviana determinó que no h</w:t>
      </w:r>
      <w:r>
        <w:rPr>
          <w:rFonts w:ascii="Cambria" w:hAnsi="Cambria"/>
          <w:sz w:val="20"/>
          <w:szCs w:val="20"/>
          <w:lang w:val="es-ES"/>
        </w:rPr>
        <w:t>ubo</w:t>
      </w:r>
      <w:r w:rsidR="0076042D" w:rsidRPr="003C2C65">
        <w:rPr>
          <w:rFonts w:ascii="Cambria" w:hAnsi="Cambria"/>
          <w:sz w:val="20"/>
          <w:szCs w:val="20"/>
          <w:lang w:val="es-ES"/>
        </w:rPr>
        <w:t xml:space="preserve"> consulta previa. </w:t>
      </w:r>
      <w:r w:rsidR="00FF75BD">
        <w:rPr>
          <w:rFonts w:ascii="Cambria" w:hAnsi="Cambria"/>
          <w:sz w:val="20"/>
          <w:szCs w:val="20"/>
          <w:lang w:val="es-ES"/>
        </w:rPr>
        <w:t>A</w:t>
      </w:r>
      <w:r>
        <w:rPr>
          <w:rFonts w:ascii="Cambria" w:hAnsi="Cambria"/>
          <w:sz w:val="20"/>
          <w:szCs w:val="20"/>
          <w:lang w:val="es-ES"/>
        </w:rPr>
        <w:t>nt</w:t>
      </w:r>
      <w:r w:rsidR="00FF75BD" w:rsidRPr="003C2C65">
        <w:rPr>
          <w:rFonts w:ascii="Cambria" w:hAnsi="Cambria"/>
          <w:sz w:val="20"/>
          <w:szCs w:val="20"/>
          <w:lang w:val="es-ES"/>
        </w:rPr>
        <w:t xml:space="preserve">e </w:t>
      </w:r>
      <w:r>
        <w:rPr>
          <w:rFonts w:ascii="Cambria" w:hAnsi="Cambria"/>
          <w:sz w:val="20"/>
          <w:szCs w:val="20"/>
          <w:lang w:val="es-ES"/>
        </w:rPr>
        <w:t xml:space="preserve">esta situación, </w:t>
      </w:r>
      <w:r w:rsidR="0076042D" w:rsidRPr="003C2C65">
        <w:rPr>
          <w:rFonts w:ascii="Cambria" w:hAnsi="Cambria"/>
          <w:sz w:val="20"/>
          <w:szCs w:val="20"/>
          <w:lang w:val="es-ES"/>
        </w:rPr>
        <w:t>el Estado boliv</w:t>
      </w:r>
      <w:r w:rsidR="00A65EC6">
        <w:rPr>
          <w:rFonts w:ascii="Cambria" w:hAnsi="Cambria"/>
          <w:sz w:val="20"/>
          <w:szCs w:val="20"/>
          <w:lang w:val="es-ES"/>
        </w:rPr>
        <w:t>iano inició la consulta</w:t>
      </w:r>
      <w:r w:rsidR="0076042D" w:rsidRPr="003C2C65">
        <w:rPr>
          <w:rFonts w:ascii="Cambria" w:hAnsi="Cambria"/>
          <w:sz w:val="20"/>
          <w:szCs w:val="20"/>
          <w:lang w:val="es-ES"/>
        </w:rPr>
        <w:t xml:space="preserve"> el 22 de junio de 2012, y posteriormente dio a conocer los resultados </w:t>
      </w:r>
      <w:r w:rsidR="00A65EC6">
        <w:rPr>
          <w:rFonts w:ascii="Cambria" w:hAnsi="Cambria"/>
          <w:sz w:val="20"/>
          <w:szCs w:val="20"/>
          <w:lang w:val="es-ES"/>
        </w:rPr>
        <w:t xml:space="preserve">a través de un informe en que </w:t>
      </w:r>
      <w:r w:rsidR="004E7156" w:rsidRPr="003C2C65">
        <w:rPr>
          <w:rFonts w:ascii="Cambria" w:hAnsi="Cambria"/>
          <w:sz w:val="20"/>
          <w:szCs w:val="20"/>
          <w:lang w:val="es-ES"/>
        </w:rPr>
        <w:t xml:space="preserve">expuso </w:t>
      </w:r>
      <w:r w:rsidR="00570BA4" w:rsidRPr="003C2C65">
        <w:rPr>
          <w:rFonts w:ascii="Cambria" w:hAnsi="Cambria"/>
          <w:sz w:val="20"/>
          <w:szCs w:val="20"/>
          <w:lang w:val="es-ES"/>
        </w:rPr>
        <w:t>que</w:t>
      </w:r>
      <w:r w:rsidR="0076042D" w:rsidRPr="003C2C65">
        <w:rPr>
          <w:rFonts w:ascii="Cambria" w:hAnsi="Cambria"/>
          <w:sz w:val="20"/>
          <w:szCs w:val="20"/>
          <w:lang w:val="es-ES"/>
        </w:rPr>
        <w:t xml:space="preserve"> 69 comunidades habían sido parte del proceso de consulta</w:t>
      </w:r>
      <w:r>
        <w:rPr>
          <w:rFonts w:ascii="Cambria" w:hAnsi="Cambria"/>
          <w:sz w:val="20"/>
          <w:szCs w:val="20"/>
          <w:lang w:val="es-ES"/>
        </w:rPr>
        <w:t>;</w:t>
      </w:r>
      <w:r w:rsidR="0076042D" w:rsidRPr="003C2C65">
        <w:rPr>
          <w:rFonts w:ascii="Cambria" w:hAnsi="Cambria"/>
          <w:sz w:val="20"/>
          <w:szCs w:val="20"/>
          <w:lang w:val="es-ES"/>
        </w:rPr>
        <w:t xml:space="preserve"> </w:t>
      </w:r>
      <w:r>
        <w:rPr>
          <w:rFonts w:ascii="Cambria" w:hAnsi="Cambria"/>
          <w:sz w:val="20"/>
          <w:szCs w:val="20"/>
          <w:lang w:val="es-ES"/>
        </w:rPr>
        <w:t xml:space="preserve">que </w:t>
      </w:r>
      <w:r w:rsidRPr="003C2C65">
        <w:rPr>
          <w:rFonts w:ascii="Cambria" w:hAnsi="Cambria"/>
          <w:sz w:val="20"/>
          <w:szCs w:val="20"/>
          <w:lang w:val="es-ES"/>
        </w:rPr>
        <w:t xml:space="preserve">sólo 11 de </w:t>
      </w:r>
      <w:r>
        <w:rPr>
          <w:rFonts w:ascii="Cambria" w:hAnsi="Cambria"/>
          <w:sz w:val="20"/>
          <w:szCs w:val="20"/>
          <w:lang w:val="es-ES"/>
        </w:rPr>
        <w:t>el</w:t>
      </w:r>
      <w:r w:rsidRPr="003C2C65">
        <w:rPr>
          <w:rFonts w:ascii="Cambria" w:hAnsi="Cambria"/>
          <w:sz w:val="20"/>
          <w:szCs w:val="20"/>
          <w:lang w:val="es-ES"/>
        </w:rPr>
        <w:t xml:space="preserve">las </w:t>
      </w:r>
      <w:r w:rsidR="0076042D" w:rsidRPr="003C2C65">
        <w:rPr>
          <w:rFonts w:ascii="Cambria" w:hAnsi="Cambria"/>
          <w:sz w:val="20"/>
          <w:szCs w:val="20"/>
          <w:lang w:val="es-ES"/>
        </w:rPr>
        <w:t>no habían tenido la voluntad de ser encuestadas</w:t>
      </w:r>
      <w:r>
        <w:rPr>
          <w:rFonts w:ascii="Cambria" w:hAnsi="Cambria"/>
          <w:sz w:val="20"/>
          <w:szCs w:val="20"/>
          <w:lang w:val="es-ES"/>
        </w:rPr>
        <w:t>;</w:t>
      </w:r>
      <w:r w:rsidR="0076042D" w:rsidRPr="003C2C65">
        <w:rPr>
          <w:rFonts w:ascii="Cambria" w:hAnsi="Cambria"/>
          <w:sz w:val="20"/>
          <w:szCs w:val="20"/>
          <w:lang w:val="es-ES"/>
        </w:rPr>
        <w:t xml:space="preserve"> </w:t>
      </w:r>
      <w:r>
        <w:rPr>
          <w:rFonts w:ascii="Cambria" w:hAnsi="Cambria"/>
          <w:sz w:val="20"/>
          <w:szCs w:val="20"/>
          <w:lang w:val="es-ES"/>
        </w:rPr>
        <w:t xml:space="preserve">que </w:t>
      </w:r>
      <w:r w:rsidR="0076042D" w:rsidRPr="003C2C65">
        <w:rPr>
          <w:rFonts w:ascii="Cambria" w:hAnsi="Cambria"/>
          <w:sz w:val="20"/>
          <w:szCs w:val="20"/>
          <w:lang w:val="es-ES"/>
        </w:rPr>
        <w:t>55 comunidades habían estado a favor de la construcción de la carretera</w:t>
      </w:r>
      <w:r>
        <w:rPr>
          <w:rFonts w:ascii="Cambria" w:hAnsi="Cambria"/>
          <w:sz w:val="20"/>
          <w:szCs w:val="20"/>
          <w:lang w:val="es-ES"/>
        </w:rPr>
        <w:t>;</w:t>
      </w:r>
      <w:r w:rsidR="00975498">
        <w:rPr>
          <w:rFonts w:ascii="Cambria" w:hAnsi="Cambria"/>
          <w:sz w:val="20"/>
          <w:szCs w:val="20"/>
          <w:lang w:val="es-ES"/>
        </w:rPr>
        <w:t xml:space="preserve"> y</w:t>
      </w:r>
      <w:r w:rsidR="0076042D" w:rsidRPr="003C2C65">
        <w:rPr>
          <w:rFonts w:ascii="Cambria" w:hAnsi="Cambria"/>
          <w:sz w:val="20"/>
          <w:szCs w:val="20"/>
          <w:lang w:val="es-ES"/>
        </w:rPr>
        <w:t xml:space="preserve"> finalmente, </w:t>
      </w:r>
      <w:r>
        <w:rPr>
          <w:rFonts w:ascii="Cambria" w:hAnsi="Cambria"/>
          <w:sz w:val="20"/>
          <w:szCs w:val="20"/>
          <w:lang w:val="es-ES"/>
        </w:rPr>
        <w:t>que só</w:t>
      </w:r>
      <w:r w:rsidR="0076042D" w:rsidRPr="003C2C65">
        <w:rPr>
          <w:rFonts w:ascii="Cambria" w:hAnsi="Cambria"/>
          <w:sz w:val="20"/>
          <w:szCs w:val="20"/>
          <w:lang w:val="es-ES"/>
        </w:rPr>
        <w:t>lo 3 comunidades se habían opues</w:t>
      </w:r>
      <w:r w:rsidR="00032CD5" w:rsidRPr="003C2C65">
        <w:rPr>
          <w:rFonts w:ascii="Cambria" w:hAnsi="Cambria"/>
          <w:sz w:val="20"/>
          <w:szCs w:val="20"/>
          <w:lang w:val="es-ES"/>
        </w:rPr>
        <w:t>to a la construcción de la vía.</w:t>
      </w:r>
    </w:p>
    <w:p w14:paraId="38E99228" w14:textId="423F7900" w:rsidR="00032CD5" w:rsidRPr="003C2C65" w:rsidRDefault="00032CD5"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C2C65">
        <w:rPr>
          <w:rFonts w:ascii="Cambria" w:hAnsi="Cambria"/>
          <w:sz w:val="20"/>
          <w:szCs w:val="20"/>
          <w:lang w:val="es-ES"/>
        </w:rPr>
        <w:t>El proyecto de consulta previa fue ampli</w:t>
      </w:r>
      <w:r w:rsidR="004E7156" w:rsidRPr="003C2C65">
        <w:rPr>
          <w:rFonts w:ascii="Cambria" w:hAnsi="Cambria"/>
          <w:sz w:val="20"/>
          <w:szCs w:val="20"/>
          <w:lang w:val="es-ES"/>
        </w:rPr>
        <w:t>amente criticado por organizacio</w:t>
      </w:r>
      <w:r w:rsidRPr="003C2C65">
        <w:rPr>
          <w:rFonts w:ascii="Cambria" w:hAnsi="Cambria"/>
          <w:sz w:val="20"/>
          <w:szCs w:val="20"/>
          <w:lang w:val="es-ES"/>
        </w:rPr>
        <w:t>n</w:t>
      </w:r>
      <w:r w:rsidR="004E7156" w:rsidRPr="003C2C65">
        <w:rPr>
          <w:rFonts w:ascii="Cambria" w:hAnsi="Cambria"/>
          <w:sz w:val="20"/>
          <w:szCs w:val="20"/>
          <w:lang w:val="es-ES"/>
        </w:rPr>
        <w:t>es</w:t>
      </w:r>
      <w:r w:rsidRPr="003C2C65">
        <w:rPr>
          <w:rFonts w:ascii="Cambria" w:hAnsi="Cambria"/>
          <w:sz w:val="20"/>
          <w:szCs w:val="20"/>
          <w:lang w:val="es-ES"/>
        </w:rPr>
        <w:t xml:space="preserve"> de derechos humanos y </w:t>
      </w:r>
      <w:r w:rsidR="00286C51">
        <w:rPr>
          <w:rFonts w:ascii="Cambria" w:hAnsi="Cambria"/>
          <w:sz w:val="20"/>
          <w:szCs w:val="20"/>
          <w:lang w:val="es-ES"/>
        </w:rPr>
        <w:t xml:space="preserve">por </w:t>
      </w:r>
      <w:r w:rsidRPr="003C2C65">
        <w:rPr>
          <w:rFonts w:ascii="Cambria" w:hAnsi="Cambria"/>
          <w:sz w:val="20"/>
          <w:szCs w:val="20"/>
          <w:lang w:val="es-ES"/>
        </w:rPr>
        <w:t>diversos sectores</w:t>
      </w:r>
      <w:r w:rsidR="006830F9" w:rsidRPr="003C2C65">
        <w:rPr>
          <w:rFonts w:ascii="Cambria" w:hAnsi="Cambria"/>
          <w:sz w:val="20"/>
          <w:szCs w:val="20"/>
          <w:lang w:val="es-ES"/>
        </w:rPr>
        <w:t xml:space="preserve"> sociales en Bolivia</w:t>
      </w:r>
      <w:r w:rsidR="00286C51">
        <w:rPr>
          <w:rFonts w:ascii="Cambria" w:hAnsi="Cambria"/>
          <w:sz w:val="20"/>
          <w:szCs w:val="20"/>
          <w:lang w:val="es-ES"/>
        </w:rPr>
        <w:t>;</w:t>
      </w:r>
      <w:r w:rsidR="006830F9" w:rsidRPr="003C2C65">
        <w:rPr>
          <w:rFonts w:ascii="Cambria" w:hAnsi="Cambria"/>
          <w:sz w:val="20"/>
          <w:szCs w:val="20"/>
          <w:lang w:val="es-ES"/>
        </w:rPr>
        <w:t xml:space="preserve"> como consecuencia</w:t>
      </w:r>
      <w:r w:rsidRPr="003C2C65">
        <w:rPr>
          <w:rFonts w:ascii="Cambria" w:hAnsi="Cambria"/>
          <w:sz w:val="20"/>
          <w:szCs w:val="20"/>
          <w:lang w:val="es-ES"/>
        </w:rPr>
        <w:t xml:space="preserve">, </w:t>
      </w:r>
      <w:r w:rsidR="000D72A3" w:rsidRPr="003C2C65">
        <w:rPr>
          <w:rFonts w:ascii="Cambria" w:hAnsi="Cambria"/>
          <w:sz w:val="20"/>
          <w:szCs w:val="20"/>
          <w:lang w:val="es-ES"/>
        </w:rPr>
        <w:t>se organizó una C</w:t>
      </w:r>
      <w:r w:rsidR="004E7156" w:rsidRPr="003C2C65">
        <w:rPr>
          <w:rFonts w:ascii="Cambria" w:hAnsi="Cambria"/>
          <w:sz w:val="20"/>
          <w:szCs w:val="20"/>
          <w:lang w:val="es-ES"/>
        </w:rPr>
        <w:t xml:space="preserve">omisión </w:t>
      </w:r>
      <w:proofErr w:type="spellStart"/>
      <w:r w:rsidR="004E7156" w:rsidRPr="003C2C65">
        <w:rPr>
          <w:rFonts w:ascii="Cambria" w:hAnsi="Cambria"/>
          <w:sz w:val="20"/>
          <w:szCs w:val="20"/>
          <w:lang w:val="es-ES"/>
        </w:rPr>
        <w:t>Interseccional</w:t>
      </w:r>
      <w:proofErr w:type="spellEnd"/>
      <w:r w:rsidR="004E7156" w:rsidRPr="003C2C65">
        <w:rPr>
          <w:rFonts w:ascii="Cambria" w:hAnsi="Cambria"/>
          <w:sz w:val="20"/>
          <w:szCs w:val="20"/>
          <w:lang w:val="es-ES"/>
        </w:rPr>
        <w:t xml:space="preserve"> para la verificación de la c</w:t>
      </w:r>
      <w:r w:rsidR="000D72A3" w:rsidRPr="003C2C65">
        <w:rPr>
          <w:rFonts w:ascii="Cambria" w:hAnsi="Cambria"/>
          <w:sz w:val="20"/>
          <w:szCs w:val="20"/>
          <w:lang w:val="es-ES"/>
        </w:rPr>
        <w:t>ons</w:t>
      </w:r>
      <w:r w:rsidR="00C64835" w:rsidRPr="003C2C65">
        <w:rPr>
          <w:rFonts w:ascii="Cambria" w:hAnsi="Cambria"/>
          <w:sz w:val="20"/>
          <w:szCs w:val="20"/>
          <w:lang w:val="es-ES"/>
        </w:rPr>
        <w:t xml:space="preserve">ulta realizada en el TIPNIS, </w:t>
      </w:r>
      <w:r w:rsidR="000D72A3" w:rsidRPr="003C2C65">
        <w:rPr>
          <w:rFonts w:ascii="Cambria" w:hAnsi="Cambria"/>
          <w:sz w:val="20"/>
          <w:szCs w:val="20"/>
          <w:lang w:val="es-ES"/>
        </w:rPr>
        <w:t xml:space="preserve">conformada por </w:t>
      </w:r>
      <w:r w:rsidR="00017641" w:rsidRPr="003C2C65">
        <w:rPr>
          <w:rFonts w:ascii="Cambria" w:hAnsi="Cambria"/>
          <w:sz w:val="20"/>
          <w:szCs w:val="20"/>
          <w:lang w:val="es-ES"/>
        </w:rPr>
        <w:t xml:space="preserve">la </w:t>
      </w:r>
      <w:r w:rsidR="004E7156" w:rsidRPr="003C2C65">
        <w:rPr>
          <w:rFonts w:ascii="Cambria" w:hAnsi="Cambria"/>
          <w:sz w:val="20"/>
          <w:szCs w:val="20"/>
          <w:lang w:val="es-ES"/>
        </w:rPr>
        <w:t xml:space="preserve">Iglesia Católica y </w:t>
      </w:r>
      <w:r w:rsidR="00286C51">
        <w:rPr>
          <w:rFonts w:ascii="Cambria" w:hAnsi="Cambria"/>
          <w:sz w:val="20"/>
          <w:szCs w:val="20"/>
          <w:lang w:val="es-ES"/>
        </w:rPr>
        <w:t>otras</w:t>
      </w:r>
      <w:r w:rsidR="004E7156" w:rsidRPr="003C2C65">
        <w:rPr>
          <w:rFonts w:ascii="Cambria" w:hAnsi="Cambria"/>
          <w:sz w:val="20"/>
          <w:szCs w:val="20"/>
          <w:lang w:val="es-ES"/>
        </w:rPr>
        <w:t xml:space="preserve"> organizaciones.</w:t>
      </w:r>
      <w:r w:rsidR="000D72A3" w:rsidRPr="003C2C65">
        <w:rPr>
          <w:rFonts w:ascii="Cambria" w:hAnsi="Cambria"/>
          <w:sz w:val="20"/>
          <w:szCs w:val="20"/>
          <w:lang w:val="es-ES"/>
        </w:rPr>
        <w:t xml:space="preserve"> </w:t>
      </w:r>
      <w:r w:rsidR="004E7156" w:rsidRPr="003C2C65">
        <w:rPr>
          <w:rFonts w:ascii="Cambria" w:hAnsi="Cambria"/>
          <w:sz w:val="20"/>
          <w:szCs w:val="20"/>
          <w:lang w:val="es-ES"/>
        </w:rPr>
        <w:t xml:space="preserve">Finalmente, </w:t>
      </w:r>
      <w:r w:rsidR="00286C51">
        <w:rPr>
          <w:rFonts w:ascii="Cambria" w:hAnsi="Cambria"/>
          <w:sz w:val="20"/>
          <w:szCs w:val="20"/>
          <w:lang w:val="es-ES"/>
        </w:rPr>
        <w:t xml:space="preserve">entre </w:t>
      </w:r>
      <w:r w:rsidR="00286C51" w:rsidRPr="003C2C65">
        <w:rPr>
          <w:rFonts w:ascii="Cambria" w:hAnsi="Cambria"/>
          <w:sz w:val="20"/>
          <w:szCs w:val="20"/>
          <w:lang w:val="es-ES"/>
        </w:rPr>
        <w:t xml:space="preserve">el 29 de noviembre </w:t>
      </w:r>
      <w:r w:rsidR="00286C51">
        <w:rPr>
          <w:rFonts w:ascii="Cambria" w:hAnsi="Cambria"/>
          <w:sz w:val="20"/>
          <w:szCs w:val="20"/>
          <w:lang w:val="es-ES"/>
        </w:rPr>
        <w:t>y e</w:t>
      </w:r>
      <w:r w:rsidR="00286C51" w:rsidRPr="003C2C65">
        <w:rPr>
          <w:rFonts w:ascii="Cambria" w:hAnsi="Cambria"/>
          <w:sz w:val="20"/>
          <w:szCs w:val="20"/>
          <w:lang w:val="es-ES"/>
        </w:rPr>
        <w:t>l 13 de diciembre de 2012</w:t>
      </w:r>
      <w:r w:rsidR="00286C51">
        <w:rPr>
          <w:rFonts w:ascii="Cambria" w:hAnsi="Cambria"/>
          <w:sz w:val="20"/>
          <w:szCs w:val="20"/>
          <w:lang w:val="es-ES"/>
        </w:rPr>
        <w:t xml:space="preserve"> </w:t>
      </w:r>
      <w:r w:rsidR="004E7156" w:rsidRPr="003C2C65">
        <w:rPr>
          <w:rFonts w:ascii="Cambria" w:hAnsi="Cambria"/>
          <w:sz w:val="20"/>
          <w:szCs w:val="20"/>
          <w:lang w:val="es-ES"/>
        </w:rPr>
        <w:t xml:space="preserve">la </w:t>
      </w:r>
      <w:r w:rsidR="00017641" w:rsidRPr="003C2C65">
        <w:rPr>
          <w:rFonts w:ascii="Cambria" w:hAnsi="Cambria"/>
          <w:sz w:val="20"/>
          <w:szCs w:val="20"/>
          <w:lang w:val="es-ES"/>
        </w:rPr>
        <w:t>Asamblea Permanente de Derec</w:t>
      </w:r>
      <w:r w:rsidR="006830F9" w:rsidRPr="003C2C65">
        <w:rPr>
          <w:rFonts w:ascii="Cambria" w:hAnsi="Cambria"/>
          <w:sz w:val="20"/>
          <w:szCs w:val="20"/>
          <w:lang w:val="es-ES"/>
        </w:rPr>
        <w:t>hos Humanos de Bolivia realizó</w:t>
      </w:r>
      <w:r w:rsidR="00975498">
        <w:rPr>
          <w:rFonts w:ascii="Cambria" w:hAnsi="Cambria"/>
          <w:sz w:val="20"/>
          <w:szCs w:val="20"/>
          <w:lang w:val="es-ES"/>
        </w:rPr>
        <w:t xml:space="preserve"> un proceso </w:t>
      </w:r>
      <w:r w:rsidR="00286C51" w:rsidRPr="003C2C65">
        <w:rPr>
          <w:rFonts w:ascii="Cambria" w:hAnsi="Cambria"/>
          <w:sz w:val="20"/>
          <w:szCs w:val="20"/>
          <w:lang w:val="es-ES"/>
        </w:rPr>
        <w:t>altern</w:t>
      </w:r>
      <w:r w:rsidR="00286C51">
        <w:rPr>
          <w:rFonts w:ascii="Cambria" w:hAnsi="Cambria"/>
          <w:sz w:val="20"/>
          <w:szCs w:val="20"/>
          <w:lang w:val="es-ES"/>
        </w:rPr>
        <w:t xml:space="preserve">o </w:t>
      </w:r>
      <w:r w:rsidR="00975498">
        <w:rPr>
          <w:rFonts w:ascii="Cambria" w:hAnsi="Cambria"/>
          <w:sz w:val="20"/>
          <w:szCs w:val="20"/>
          <w:lang w:val="es-ES"/>
        </w:rPr>
        <w:t>de consulta</w:t>
      </w:r>
      <w:r w:rsidR="00682B23" w:rsidRPr="003C2C65">
        <w:rPr>
          <w:rFonts w:ascii="Cambria" w:hAnsi="Cambria"/>
          <w:sz w:val="20"/>
          <w:szCs w:val="20"/>
          <w:lang w:val="es-ES"/>
        </w:rPr>
        <w:t>,</w:t>
      </w:r>
      <w:r w:rsidR="000D72A3" w:rsidRPr="003C2C65">
        <w:rPr>
          <w:rFonts w:ascii="Cambria" w:hAnsi="Cambria"/>
          <w:sz w:val="20"/>
          <w:szCs w:val="20"/>
          <w:lang w:val="es-ES"/>
        </w:rPr>
        <w:t xml:space="preserve"> </w:t>
      </w:r>
      <w:r w:rsidR="00286C51">
        <w:rPr>
          <w:rFonts w:ascii="Cambria" w:hAnsi="Cambria"/>
          <w:sz w:val="20"/>
          <w:szCs w:val="20"/>
          <w:lang w:val="es-ES"/>
        </w:rPr>
        <w:t xml:space="preserve">a cuyo efecto </w:t>
      </w:r>
      <w:r w:rsidR="000D72A3" w:rsidRPr="003C2C65">
        <w:rPr>
          <w:rFonts w:ascii="Cambria" w:hAnsi="Cambria"/>
          <w:sz w:val="20"/>
          <w:szCs w:val="20"/>
          <w:lang w:val="es-ES"/>
        </w:rPr>
        <w:t>visit</w:t>
      </w:r>
      <w:r w:rsidR="00286C51">
        <w:rPr>
          <w:rFonts w:ascii="Cambria" w:hAnsi="Cambria"/>
          <w:sz w:val="20"/>
          <w:szCs w:val="20"/>
          <w:lang w:val="es-ES"/>
        </w:rPr>
        <w:t>ó</w:t>
      </w:r>
      <w:r w:rsidR="000D72A3" w:rsidRPr="003C2C65">
        <w:rPr>
          <w:rFonts w:ascii="Cambria" w:hAnsi="Cambria"/>
          <w:sz w:val="20"/>
          <w:szCs w:val="20"/>
          <w:lang w:val="es-ES"/>
        </w:rPr>
        <w:t xml:space="preserve"> 35 comunidades</w:t>
      </w:r>
      <w:r w:rsidR="004E7156" w:rsidRPr="003C2C65">
        <w:rPr>
          <w:rFonts w:ascii="Cambria" w:hAnsi="Cambria"/>
          <w:sz w:val="20"/>
          <w:szCs w:val="20"/>
          <w:lang w:val="es-ES"/>
        </w:rPr>
        <w:t xml:space="preserve"> </w:t>
      </w:r>
      <w:r w:rsidR="00C954D5" w:rsidRPr="003C2C65">
        <w:rPr>
          <w:rFonts w:ascii="Cambria" w:hAnsi="Cambria"/>
          <w:sz w:val="20"/>
          <w:szCs w:val="20"/>
          <w:lang w:val="es-ES"/>
        </w:rPr>
        <w:t>indígenas, además del C</w:t>
      </w:r>
      <w:r w:rsidR="000D72A3" w:rsidRPr="003C2C65">
        <w:rPr>
          <w:rFonts w:ascii="Cambria" w:hAnsi="Cambria"/>
          <w:sz w:val="20"/>
          <w:szCs w:val="20"/>
          <w:lang w:val="es-ES"/>
        </w:rPr>
        <w:t xml:space="preserve">entro de </w:t>
      </w:r>
      <w:r w:rsidR="00286C51">
        <w:rPr>
          <w:rFonts w:ascii="Cambria" w:hAnsi="Cambria"/>
          <w:sz w:val="20"/>
          <w:szCs w:val="20"/>
          <w:lang w:val="es-ES"/>
        </w:rPr>
        <w:t>G</w:t>
      </w:r>
      <w:r w:rsidR="000D72A3" w:rsidRPr="003C2C65">
        <w:rPr>
          <w:rFonts w:ascii="Cambria" w:hAnsi="Cambria"/>
          <w:sz w:val="20"/>
          <w:szCs w:val="20"/>
          <w:lang w:val="es-ES"/>
        </w:rPr>
        <w:t xml:space="preserve">estión del </w:t>
      </w:r>
      <w:r w:rsidR="00286C51" w:rsidRPr="003C2C65">
        <w:rPr>
          <w:rFonts w:ascii="Cambria" w:hAnsi="Cambria"/>
          <w:sz w:val="20"/>
          <w:szCs w:val="20"/>
          <w:lang w:val="es-ES"/>
        </w:rPr>
        <w:t>TIPNIS</w:t>
      </w:r>
      <w:r w:rsidR="00286C51">
        <w:rPr>
          <w:rFonts w:ascii="Cambria" w:hAnsi="Cambria"/>
          <w:sz w:val="20"/>
          <w:szCs w:val="20"/>
          <w:lang w:val="es-ES"/>
        </w:rPr>
        <w:t>;</w:t>
      </w:r>
      <w:r w:rsidR="00682B23" w:rsidRPr="003C2C65">
        <w:rPr>
          <w:rFonts w:ascii="Cambria" w:hAnsi="Cambria"/>
          <w:sz w:val="20"/>
          <w:szCs w:val="20"/>
          <w:lang w:val="es-ES"/>
        </w:rPr>
        <w:t xml:space="preserve"> los</w:t>
      </w:r>
      <w:r w:rsidR="00017641" w:rsidRPr="003C2C65">
        <w:rPr>
          <w:rFonts w:ascii="Cambria" w:hAnsi="Cambria"/>
          <w:sz w:val="20"/>
          <w:szCs w:val="20"/>
          <w:lang w:val="es-ES"/>
        </w:rPr>
        <w:t xml:space="preserve"> resultados </w:t>
      </w:r>
      <w:r w:rsidR="00682B23" w:rsidRPr="003C2C65">
        <w:rPr>
          <w:rFonts w:ascii="Cambria" w:hAnsi="Cambria"/>
          <w:sz w:val="20"/>
          <w:szCs w:val="20"/>
          <w:lang w:val="es-ES"/>
        </w:rPr>
        <w:t>de este</w:t>
      </w:r>
      <w:r w:rsidR="000D72A3" w:rsidRPr="003C2C65">
        <w:rPr>
          <w:rFonts w:ascii="Cambria" w:hAnsi="Cambria"/>
          <w:sz w:val="20"/>
          <w:szCs w:val="20"/>
          <w:lang w:val="es-ES"/>
        </w:rPr>
        <w:t xml:space="preserve"> proceso de co</w:t>
      </w:r>
      <w:r w:rsidR="007A240C" w:rsidRPr="003C2C65">
        <w:rPr>
          <w:rFonts w:ascii="Cambria" w:hAnsi="Cambria"/>
          <w:sz w:val="20"/>
          <w:szCs w:val="20"/>
          <w:lang w:val="es-ES"/>
        </w:rPr>
        <w:t>n</w:t>
      </w:r>
      <w:r w:rsidR="000D72A3" w:rsidRPr="003C2C65">
        <w:rPr>
          <w:rFonts w:ascii="Cambria" w:hAnsi="Cambria"/>
          <w:sz w:val="20"/>
          <w:szCs w:val="20"/>
          <w:lang w:val="es-ES"/>
        </w:rPr>
        <w:t>sulta</w:t>
      </w:r>
      <w:r w:rsidR="00682B23" w:rsidRPr="003C2C65">
        <w:rPr>
          <w:rFonts w:ascii="Cambria" w:hAnsi="Cambria"/>
          <w:sz w:val="20"/>
          <w:szCs w:val="20"/>
          <w:lang w:val="es-ES"/>
        </w:rPr>
        <w:t xml:space="preserve"> </w:t>
      </w:r>
      <w:r w:rsidR="00017641" w:rsidRPr="003C2C65">
        <w:rPr>
          <w:rFonts w:ascii="Cambria" w:hAnsi="Cambria"/>
          <w:sz w:val="20"/>
          <w:szCs w:val="20"/>
          <w:lang w:val="es-ES"/>
        </w:rPr>
        <w:t>v</w:t>
      </w:r>
      <w:r w:rsidR="00682B23" w:rsidRPr="003C2C65">
        <w:rPr>
          <w:rFonts w:ascii="Cambria" w:hAnsi="Cambria"/>
          <w:sz w:val="20"/>
          <w:szCs w:val="20"/>
          <w:lang w:val="es-ES"/>
        </w:rPr>
        <w:t xml:space="preserve">ariaron </w:t>
      </w:r>
      <w:r w:rsidR="00286C51">
        <w:rPr>
          <w:rFonts w:ascii="Cambria" w:hAnsi="Cambria"/>
          <w:sz w:val="20"/>
          <w:szCs w:val="20"/>
          <w:lang w:val="es-ES"/>
        </w:rPr>
        <w:t>respecto de</w:t>
      </w:r>
      <w:r w:rsidR="00682B23" w:rsidRPr="003C2C65">
        <w:rPr>
          <w:rFonts w:ascii="Cambria" w:hAnsi="Cambria"/>
          <w:sz w:val="20"/>
          <w:szCs w:val="20"/>
          <w:lang w:val="es-ES"/>
        </w:rPr>
        <w:t xml:space="preserve"> los</w:t>
      </w:r>
      <w:r w:rsidR="00017641" w:rsidRPr="003C2C65">
        <w:rPr>
          <w:rFonts w:ascii="Cambria" w:hAnsi="Cambria"/>
          <w:sz w:val="20"/>
          <w:szCs w:val="20"/>
          <w:lang w:val="es-ES"/>
        </w:rPr>
        <w:t xml:space="preserve"> publicados</w:t>
      </w:r>
      <w:r w:rsidR="00682B23" w:rsidRPr="003C2C65">
        <w:rPr>
          <w:rFonts w:ascii="Cambria" w:hAnsi="Cambria"/>
          <w:sz w:val="20"/>
          <w:szCs w:val="20"/>
          <w:lang w:val="es-ES"/>
        </w:rPr>
        <w:t xml:space="preserve"> oficialmente</w:t>
      </w:r>
      <w:r w:rsidR="00017641" w:rsidRPr="003C2C65">
        <w:rPr>
          <w:rFonts w:ascii="Cambria" w:hAnsi="Cambria"/>
          <w:sz w:val="20"/>
          <w:szCs w:val="20"/>
          <w:lang w:val="es-ES"/>
        </w:rPr>
        <w:t xml:space="preserve"> por el Estado boliviano en el Informe de Consulta Previa. </w:t>
      </w:r>
      <w:r w:rsidR="00473924" w:rsidRPr="003C2C65">
        <w:rPr>
          <w:rFonts w:ascii="Cambria" w:hAnsi="Cambria"/>
          <w:sz w:val="20"/>
          <w:szCs w:val="20"/>
          <w:lang w:val="es-ES"/>
        </w:rPr>
        <w:t xml:space="preserve">Como </w:t>
      </w:r>
      <w:r w:rsidR="00286C51">
        <w:rPr>
          <w:rFonts w:ascii="Cambria" w:hAnsi="Cambria"/>
          <w:sz w:val="20"/>
          <w:szCs w:val="20"/>
          <w:lang w:val="es-ES"/>
        </w:rPr>
        <w:t>resultado</w:t>
      </w:r>
      <w:r w:rsidR="00322BA7" w:rsidRPr="003C2C65">
        <w:rPr>
          <w:rFonts w:ascii="Cambria" w:hAnsi="Cambria"/>
          <w:sz w:val="20"/>
          <w:szCs w:val="20"/>
          <w:lang w:val="es-ES"/>
        </w:rPr>
        <w:t xml:space="preserve">, </w:t>
      </w:r>
      <w:r w:rsidR="007A240C" w:rsidRPr="00C55865">
        <w:rPr>
          <w:rFonts w:ascii="Cambria" w:hAnsi="Cambria"/>
          <w:sz w:val="20"/>
          <w:szCs w:val="20"/>
          <w:lang w:val="es-ES"/>
        </w:rPr>
        <w:t>el 2 de marzo de 2012</w:t>
      </w:r>
      <w:r w:rsidR="007A240C" w:rsidRPr="003C2C65">
        <w:rPr>
          <w:rFonts w:ascii="Cambria" w:hAnsi="Cambria"/>
          <w:sz w:val="20"/>
          <w:szCs w:val="20"/>
          <w:lang w:val="es-ES"/>
        </w:rPr>
        <w:t xml:space="preserve">, el </w:t>
      </w:r>
      <w:r w:rsidR="00286C51" w:rsidRPr="003C2C65">
        <w:rPr>
          <w:rFonts w:ascii="Cambria" w:hAnsi="Cambria"/>
          <w:sz w:val="20"/>
          <w:szCs w:val="20"/>
          <w:lang w:val="es-ES"/>
        </w:rPr>
        <w:t xml:space="preserve">Diputado Pedro </w:t>
      </w:r>
      <w:proofErr w:type="spellStart"/>
      <w:r w:rsidR="00286C51" w:rsidRPr="003C2C65">
        <w:rPr>
          <w:rFonts w:ascii="Cambria" w:hAnsi="Cambria"/>
          <w:sz w:val="20"/>
          <w:szCs w:val="20"/>
          <w:lang w:val="es-ES"/>
        </w:rPr>
        <w:t>Nucy</w:t>
      </w:r>
      <w:proofErr w:type="spellEnd"/>
      <w:r w:rsidR="00286C51" w:rsidRPr="003C2C65">
        <w:rPr>
          <w:rFonts w:ascii="Cambria" w:hAnsi="Cambria"/>
          <w:sz w:val="20"/>
          <w:szCs w:val="20"/>
          <w:lang w:val="es-ES"/>
        </w:rPr>
        <w:t xml:space="preserve"> </w:t>
      </w:r>
      <w:proofErr w:type="spellStart"/>
      <w:r w:rsidR="00286C51" w:rsidRPr="003C2C65">
        <w:rPr>
          <w:rFonts w:ascii="Cambria" w:hAnsi="Cambria"/>
          <w:sz w:val="20"/>
          <w:szCs w:val="20"/>
          <w:lang w:val="es-ES"/>
        </w:rPr>
        <w:t>Caity</w:t>
      </w:r>
      <w:proofErr w:type="spellEnd"/>
      <w:r w:rsidR="00286C51" w:rsidRPr="003C2C65">
        <w:rPr>
          <w:rFonts w:ascii="Cambria" w:hAnsi="Cambria"/>
          <w:sz w:val="20"/>
          <w:szCs w:val="20"/>
          <w:lang w:val="es-ES"/>
        </w:rPr>
        <w:t xml:space="preserve"> </w:t>
      </w:r>
      <w:r w:rsidR="00286C51">
        <w:rPr>
          <w:rFonts w:ascii="Cambria" w:hAnsi="Cambria"/>
          <w:sz w:val="20"/>
          <w:szCs w:val="20"/>
          <w:lang w:val="es-ES"/>
        </w:rPr>
        <w:t>(</w:t>
      </w:r>
      <w:r w:rsidR="007A240C" w:rsidRPr="003C2C65">
        <w:rPr>
          <w:rFonts w:ascii="Cambria" w:hAnsi="Cambria"/>
          <w:sz w:val="20"/>
          <w:szCs w:val="20"/>
          <w:lang w:val="es-ES"/>
        </w:rPr>
        <w:t xml:space="preserve">peticionario </w:t>
      </w:r>
      <w:r w:rsidR="00286C51">
        <w:rPr>
          <w:rFonts w:ascii="Cambria" w:hAnsi="Cambria"/>
          <w:sz w:val="20"/>
          <w:szCs w:val="20"/>
          <w:lang w:val="es-ES"/>
        </w:rPr>
        <w:t xml:space="preserve">en el presente asunto) </w:t>
      </w:r>
      <w:r w:rsidR="003B35A3" w:rsidRPr="003C2C65">
        <w:rPr>
          <w:rFonts w:ascii="Cambria" w:hAnsi="Cambria"/>
          <w:sz w:val="20"/>
          <w:szCs w:val="20"/>
          <w:lang w:val="es-ES"/>
        </w:rPr>
        <w:t>present</w:t>
      </w:r>
      <w:r w:rsidR="00286C51">
        <w:rPr>
          <w:rFonts w:ascii="Cambria" w:hAnsi="Cambria"/>
          <w:sz w:val="20"/>
          <w:szCs w:val="20"/>
          <w:lang w:val="es-ES"/>
        </w:rPr>
        <w:t>ó</w:t>
      </w:r>
      <w:r w:rsidR="007A240C" w:rsidRPr="003C2C65">
        <w:rPr>
          <w:rFonts w:ascii="Cambria" w:hAnsi="Cambria"/>
          <w:sz w:val="20"/>
          <w:szCs w:val="20"/>
          <w:lang w:val="es-ES"/>
        </w:rPr>
        <w:t xml:space="preserve"> </w:t>
      </w:r>
      <w:r w:rsidR="00975498">
        <w:rPr>
          <w:rFonts w:ascii="Cambria" w:hAnsi="Cambria"/>
          <w:sz w:val="20"/>
          <w:szCs w:val="20"/>
          <w:lang w:val="es-ES"/>
        </w:rPr>
        <w:t xml:space="preserve">una </w:t>
      </w:r>
      <w:r w:rsidR="00286C51">
        <w:rPr>
          <w:rFonts w:ascii="Cambria" w:hAnsi="Cambria"/>
          <w:sz w:val="20"/>
          <w:szCs w:val="20"/>
          <w:lang w:val="es-ES"/>
        </w:rPr>
        <w:t>a</w:t>
      </w:r>
      <w:r w:rsidR="007A240C" w:rsidRPr="003C2C65">
        <w:rPr>
          <w:rFonts w:ascii="Cambria" w:hAnsi="Cambria"/>
          <w:sz w:val="20"/>
          <w:szCs w:val="20"/>
          <w:lang w:val="es-ES"/>
        </w:rPr>
        <w:t xml:space="preserve">cción </w:t>
      </w:r>
      <w:r w:rsidR="00286C51">
        <w:rPr>
          <w:rFonts w:ascii="Cambria" w:hAnsi="Cambria"/>
          <w:sz w:val="20"/>
          <w:szCs w:val="20"/>
          <w:lang w:val="es-ES"/>
        </w:rPr>
        <w:t>a</w:t>
      </w:r>
      <w:r w:rsidR="007A240C" w:rsidRPr="003C2C65">
        <w:rPr>
          <w:rFonts w:ascii="Cambria" w:hAnsi="Cambria"/>
          <w:sz w:val="20"/>
          <w:szCs w:val="20"/>
          <w:lang w:val="es-ES"/>
        </w:rPr>
        <w:t xml:space="preserve">bstracta de </w:t>
      </w:r>
      <w:r w:rsidR="00286C51">
        <w:rPr>
          <w:rFonts w:ascii="Cambria" w:hAnsi="Cambria"/>
          <w:sz w:val="20"/>
          <w:szCs w:val="20"/>
          <w:lang w:val="es-ES"/>
        </w:rPr>
        <w:t>i</w:t>
      </w:r>
      <w:r w:rsidR="007A240C" w:rsidRPr="003C2C65">
        <w:rPr>
          <w:rFonts w:ascii="Cambria" w:hAnsi="Cambria"/>
          <w:sz w:val="20"/>
          <w:szCs w:val="20"/>
          <w:lang w:val="es-ES"/>
        </w:rPr>
        <w:t xml:space="preserve">nconstitucionalidad </w:t>
      </w:r>
      <w:r w:rsidR="006233AA" w:rsidRPr="003C2C65">
        <w:rPr>
          <w:rFonts w:ascii="Cambria" w:hAnsi="Cambria"/>
          <w:sz w:val="20"/>
          <w:szCs w:val="20"/>
          <w:lang w:val="es-ES"/>
        </w:rPr>
        <w:t xml:space="preserve">ante el Tribunal Plurinacional de Bolivia </w:t>
      </w:r>
      <w:r w:rsidR="007A240C" w:rsidRPr="003C2C65">
        <w:rPr>
          <w:rFonts w:ascii="Cambria" w:hAnsi="Cambria"/>
          <w:sz w:val="20"/>
          <w:szCs w:val="20"/>
          <w:lang w:val="es-ES"/>
        </w:rPr>
        <w:t>contra la</w:t>
      </w:r>
      <w:r w:rsidR="00286C51">
        <w:rPr>
          <w:rFonts w:ascii="Cambria" w:hAnsi="Cambria"/>
          <w:sz w:val="20"/>
          <w:szCs w:val="20"/>
          <w:lang w:val="es-ES"/>
        </w:rPr>
        <w:t>s</w:t>
      </w:r>
      <w:r w:rsidR="007A240C" w:rsidRPr="003C2C65">
        <w:rPr>
          <w:rFonts w:ascii="Cambria" w:hAnsi="Cambria"/>
          <w:sz w:val="20"/>
          <w:szCs w:val="20"/>
          <w:lang w:val="es-ES"/>
        </w:rPr>
        <w:t xml:space="preserve"> Ley</w:t>
      </w:r>
      <w:r w:rsidR="00286C51">
        <w:rPr>
          <w:rFonts w:ascii="Cambria" w:hAnsi="Cambria"/>
          <w:sz w:val="20"/>
          <w:szCs w:val="20"/>
          <w:lang w:val="es-ES"/>
        </w:rPr>
        <w:t>es</w:t>
      </w:r>
      <w:r w:rsidR="007A240C" w:rsidRPr="003C2C65">
        <w:rPr>
          <w:rFonts w:ascii="Cambria" w:hAnsi="Cambria"/>
          <w:sz w:val="20"/>
          <w:szCs w:val="20"/>
          <w:lang w:val="es-ES"/>
        </w:rPr>
        <w:t xml:space="preserve"> N</w:t>
      </w:r>
      <w:r w:rsidR="00286C51">
        <w:rPr>
          <w:rFonts w:ascii="Cambria" w:hAnsi="Cambria"/>
          <w:sz w:val="20"/>
          <w:szCs w:val="20"/>
          <w:lang w:val="es-ES"/>
        </w:rPr>
        <w:t>o</w:t>
      </w:r>
      <w:r w:rsidR="007A240C" w:rsidRPr="003C2C65">
        <w:rPr>
          <w:rFonts w:ascii="Cambria" w:hAnsi="Cambria"/>
          <w:sz w:val="20"/>
          <w:szCs w:val="20"/>
          <w:lang w:val="es-ES"/>
        </w:rPr>
        <w:t>. 222</w:t>
      </w:r>
      <w:r w:rsidR="00D93E69" w:rsidRPr="003C2C65">
        <w:rPr>
          <w:rFonts w:ascii="Cambria" w:hAnsi="Cambria"/>
          <w:sz w:val="20"/>
          <w:szCs w:val="20"/>
          <w:lang w:val="es-ES"/>
        </w:rPr>
        <w:t xml:space="preserve"> y </w:t>
      </w:r>
      <w:r w:rsidR="00286C51">
        <w:rPr>
          <w:rFonts w:ascii="Cambria" w:hAnsi="Cambria"/>
          <w:sz w:val="20"/>
          <w:szCs w:val="20"/>
          <w:lang w:val="es-ES"/>
        </w:rPr>
        <w:t xml:space="preserve">No. </w:t>
      </w:r>
      <w:r w:rsidR="000A4360" w:rsidRPr="003C2C65">
        <w:rPr>
          <w:rFonts w:ascii="Cambria" w:hAnsi="Cambria"/>
          <w:sz w:val="20"/>
          <w:szCs w:val="20"/>
          <w:lang w:val="es-ES"/>
        </w:rPr>
        <w:t>180</w:t>
      </w:r>
      <w:r w:rsidR="00D93E69" w:rsidRPr="003C2C65">
        <w:rPr>
          <w:rFonts w:ascii="Cambria" w:hAnsi="Cambria"/>
          <w:sz w:val="20"/>
          <w:szCs w:val="20"/>
          <w:lang w:val="es-ES"/>
        </w:rPr>
        <w:t xml:space="preserve">, </w:t>
      </w:r>
      <w:r w:rsidR="00286C51">
        <w:rPr>
          <w:rFonts w:ascii="Cambria" w:hAnsi="Cambria"/>
          <w:sz w:val="20"/>
          <w:szCs w:val="20"/>
          <w:lang w:val="es-ES"/>
        </w:rPr>
        <w:t xml:space="preserve">en que se </w:t>
      </w:r>
      <w:r w:rsidR="00473924" w:rsidRPr="003C2C65">
        <w:rPr>
          <w:rFonts w:ascii="Cambria" w:hAnsi="Cambria"/>
          <w:sz w:val="20"/>
          <w:szCs w:val="20"/>
          <w:lang w:val="es-ES"/>
        </w:rPr>
        <w:t xml:space="preserve">solicitaba la declaratoria de </w:t>
      </w:r>
      <w:r w:rsidR="00D93E69" w:rsidRPr="003C2C65">
        <w:rPr>
          <w:rFonts w:ascii="Cambria" w:hAnsi="Cambria"/>
          <w:sz w:val="20"/>
          <w:szCs w:val="20"/>
          <w:lang w:val="es-ES"/>
        </w:rPr>
        <w:t>inconstitucionalidad de la</w:t>
      </w:r>
      <w:r w:rsidR="007A240C" w:rsidRPr="003C2C65">
        <w:rPr>
          <w:rFonts w:ascii="Cambria" w:hAnsi="Cambria"/>
          <w:sz w:val="20"/>
          <w:szCs w:val="20"/>
          <w:lang w:val="es-ES"/>
        </w:rPr>
        <w:t xml:space="preserve"> Ley de Consulta a los Pueblos Indígenas </w:t>
      </w:r>
      <w:r w:rsidR="00286C51">
        <w:rPr>
          <w:rFonts w:ascii="Cambria" w:hAnsi="Cambria"/>
          <w:sz w:val="20"/>
          <w:szCs w:val="20"/>
          <w:lang w:val="es-ES"/>
        </w:rPr>
        <w:t>del</w:t>
      </w:r>
      <w:r w:rsidR="005C61D8" w:rsidRPr="003C2C65">
        <w:rPr>
          <w:rFonts w:ascii="Cambria" w:hAnsi="Cambria"/>
          <w:sz w:val="20"/>
          <w:szCs w:val="20"/>
          <w:lang w:val="es-ES"/>
        </w:rPr>
        <w:t xml:space="preserve"> TIPNIS</w:t>
      </w:r>
      <w:r w:rsidR="00286C51">
        <w:rPr>
          <w:rFonts w:ascii="Cambria" w:hAnsi="Cambria"/>
          <w:sz w:val="20"/>
          <w:szCs w:val="20"/>
          <w:lang w:val="es-ES"/>
        </w:rPr>
        <w:t>;</w:t>
      </w:r>
      <w:r w:rsidR="00473924" w:rsidRPr="003C2C65">
        <w:rPr>
          <w:rFonts w:ascii="Cambria" w:hAnsi="Cambria"/>
          <w:sz w:val="20"/>
          <w:szCs w:val="20"/>
          <w:lang w:val="es-ES"/>
        </w:rPr>
        <w:t xml:space="preserve"> y que se</w:t>
      </w:r>
      <w:r w:rsidR="00D93E69" w:rsidRPr="003C2C65">
        <w:rPr>
          <w:rFonts w:ascii="Cambria" w:hAnsi="Cambria"/>
          <w:sz w:val="20"/>
          <w:szCs w:val="20"/>
          <w:lang w:val="es-ES"/>
        </w:rPr>
        <w:t xml:space="preserve"> revertiera la regulación </w:t>
      </w:r>
      <w:r w:rsidR="00B868A7" w:rsidRPr="003C2C65">
        <w:rPr>
          <w:rFonts w:ascii="Cambria" w:hAnsi="Cambria"/>
          <w:sz w:val="20"/>
          <w:szCs w:val="20"/>
          <w:lang w:val="es-ES"/>
        </w:rPr>
        <w:t>con relación al</w:t>
      </w:r>
      <w:r w:rsidR="00D93E69" w:rsidRPr="003C2C65">
        <w:rPr>
          <w:rFonts w:ascii="Cambria" w:hAnsi="Cambria"/>
          <w:sz w:val="20"/>
          <w:szCs w:val="20"/>
          <w:lang w:val="es-ES"/>
        </w:rPr>
        <w:t xml:space="preserve"> diferimiento</w:t>
      </w:r>
      <w:r w:rsidR="00473924" w:rsidRPr="003C2C65">
        <w:rPr>
          <w:rFonts w:ascii="Cambria" w:hAnsi="Cambria"/>
          <w:sz w:val="20"/>
          <w:szCs w:val="20"/>
          <w:lang w:val="es-ES"/>
        </w:rPr>
        <w:t xml:space="preserve"> o postergación</w:t>
      </w:r>
      <w:r w:rsidR="00D93E69" w:rsidRPr="003C2C65">
        <w:rPr>
          <w:rFonts w:ascii="Cambria" w:hAnsi="Cambria"/>
          <w:sz w:val="20"/>
          <w:szCs w:val="20"/>
          <w:lang w:val="es-ES"/>
        </w:rPr>
        <w:t xml:space="preserve"> de la consulta pública ambiental</w:t>
      </w:r>
      <w:r w:rsidR="00473924" w:rsidRPr="003C2C65">
        <w:rPr>
          <w:rFonts w:ascii="Cambria" w:hAnsi="Cambria"/>
          <w:sz w:val="20"/>
          <w:szCs w:val="20"/>
          <w:lang w:val="es-ES"/>
        </w:rPr>
        <w:t>.</w:t>
      </w:r>
    </w:p>
    <w:p w14:paraId="0EE27219" w14:textId="40233BE6" w:rsidR="00AB7AF0" w:rsidRPr="003C2C65" w:rsidRDefault="00AB7AF0"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C2C65">
        <w:rPr>
          <w:rFonts w:ascii="Cambria" w:hAnsi="Cambria"/>
          <w:sz w:val="20"/>
          <w:szCs w:val="20"/>
          <w:lang w:val="es-ES"/>
        </w:rPr>
        <w:t>E</w:t>
      </w:r>
      <w:r w:rsidR="00B321BF">
        <w:rPr>
          <w:rFonts w:ascii="Cambria" w:hAnsi="Cambria"/>
          <w:sz w:val="20"/>
          <w:szCs w:val="20"/>
          <w:lang w:val="es-ES"/>
        </w:rPr>
        <w:t xml:space="preserve">n su </w:t>
      </w:r>
      <w:r w:rsidR="00B321BF" w:rsidRPr="00C55865">
        <w:rPr>
          <w:rFonts w:ascii="Cambria" w:hAnsi="Cambria"/>
          <w:sz w:val="20"/>
          <w:szCs w:val="20"/>
          <w:lang w:val="es-ES"/>
        </w:rPr>
        <w:t>sentencia N</w:t>
      </w:r>
      <w:r w:rsidR="00B321BF">
        <w:rPr>
          <w:rFonts w:ascii="Cambria" w:hAnsi="Cambria"/>
          <w:sz w:val="20"/>
          <w:szCs w:val="20"/>
          <w:lang w:val="es-ES"/>
        </w:rPr>
        <w:t>o</w:t>
      </w:r>
      <w:r w:rsidR="00B321BF" w:rsidRPr="00C55865">
        <w:rPr>
          <w:rFonts w:ascii="Cambria" w:hAnsi="Cambria"/>
          <w:sz w:val="20"/>
          <w:szCs w:val="20"/>
          <w:lang w:val="es-ES"/>
        </w:rPr>
        <w:t>. 0300</w:t>
      </w:r>
      <w:r w:rsidR="00B321BF">
        <w:rPr>
          <w:rFonts w:ascii="Cambria" w:hAnsi="Cambria"/>
          <w:sz w:val="20"/>
          <w:szCs w:val="20"/>
          <w:lang w:val="es-ES"/>
        </w:rPr>
        <w:t xml:space="preserve"> de</w:t>
      </w:r>
      <w:r w:rsidRPr="003C2C65">
        <w:rPr>
          <w:rFonts w:ascii="Cambria" w:hAnsi="Cambria"/>
          <w:sz w:val="20"/>
          <w:szCs w:val="20"/>
          <w:lang w:val="es-ES"/>
        </w:rPr>
        <w:t xml:space="preserve"> </w:t>
      </w:r>
      <w:r w:rsidRPr="00C55865">
        <w:rPr>
          <w:rFonts w:ascii="Cambria" w:hAnsi="Cambria"/>
          <w:sz w:val="20"/>
          <w:szCs w:val="20"/>
          <w:lang w:val="es-ES"/>
        </w:rPr>
        <w:t xml:space="preserve">18 de junio </w:t>
      </w:r>
      <w:r w:rsidR="00B321BF">
        <w:rPr>
          <w:rFonts w:ascii="Cambria" w:hAnsi="Cambria"/>
          <w:sz w:val="20"/>
          <w:szCs w:val="20"/>
          <w:lang w:val="es-ES"/>
        </w:rPr>
        <w:t>de 2012</w:t>
      </w:r>
      <w:r w:rsidRPr="003C2C65">
        <w:rPr>
          <w:rFonts w:ascii="Cambria" w:hAnsi="Cambria"/>
          <w:sz w:val="20"/>
          <w:szCs w:val="20"/>
          <w:lang w:val="es-ES"/>
        </w:rPr>
        <w:t xml:space="preserve"> el Tribunal Constitucional Plurinacional de Bolivia dictaminó la constitucionalidad condicionada de la convocatoria a la Consulta en el TIPNIS</w:t>
      </w:r>
      <w:r w:rsidR="00B321BF">
        <w:rPr>
          <w:rFonts w:ascii="Cambria" w:hAnsi="Cambria"/>
          <w:sz w:val="20"/>
          <w:szCs w:val="20"/>
          <w:lang w:val="es-ES"/>
        </w:rPr>
        <w:t>;</w:t>
      </w:r>
      <w:r w:rsidRPr="003C2C65">
        <w:rPr>
          <w:rFonts w:ascii="Cambria" w:hAnsi="Cambria"/>
          <w:sz w:val="20"/>
          <w:szCs w:val="20"/>
          <w:lang w:val="es-ES"/>
        </w:rPr>
        <w:t xml:space="preserve"> solicitó a los pueblos indígenas </w:t>
      </w:r>
      <w:r w:rsidR="00B321BF">
        <w:rPr>
          <w:rFonts w:ascii="Cambria" w:hAnsi="Cambria"/>
          <w:sz w:val="20"/>
          <w:szCs w:val="20"/>
          <w:lang w:val="es-ES"/>
        </w:rPr>
        <w:t xml:space="preserve">que </w:t>
      </w:r>
      <w:r w:rsidRPr="003C2C65">
        <w:rPr>
          <w:rFonts w:ascii="Cambria" w:hAnsi="Cambria"/>
          <w:sz w:val="20"/>
          <w:szCs w:val="20"/>
          <w:lang w:val="es-ES"/>
        </w:rPr>
        <w:t>establec</w:t>
      </w:r>
      <w:r w:rsidR="00B321BF">
        <w:rPr>
          <w:rFonts w:ascii="Cambria" w:hAnsi="Cambria"/>
          <w:sz w:val="20"/>
          <w:szCs w:val="20"/>
          <w:lang w:val="es-ES"/>
        </w:rPr>
        <w:t>i</w:t>
      </w:r>
      <w:r w:rsidRPr="003C2C65">
        <w:rPr>
          <w:rFonts w:ascii="Cambria" w:hAnsi="Cambria"/>
          <w:sz w:val="20"/>
          <w:szCs w:val="20"/>
          <w:lang w:val="es-ES"/>
        </w:rPr>
        <w:t>er</w:t>
      </w:r>
      <w:r w:rsidR="00B321BF">
        <w:rPr>
          <w:rFonts w:ascii="Cambria" w:hAnsi="Cambria"/>
          <w:sz w:val="20"/>
          <w:szCs w:val="20"/>
          <w:lang w:val="es-ES"/>
        </w:rPr>
        <w:t>an</w:t>
      </w:r>
      <w:r w:rsidRPr="003C2C65">
        <w:rPr>
          <w:rFonts w:ascii="Cambria" w:hAnsi="Cambria"/>
          <w:sz w:val="20"/>
          <w:szCs w:val="20"/>
          <w:lang w:val="es-ES"/>
        </w:rPr>
        <w:t xml:space="preserve"> una voluntad de di</w:t>
      </w:r>
      <w:r w:rsidR="00FF75BD">
        <w:rPr>
          <w:rFonts w:ascii="Cambria" w:hAnsi="Cambria"/>
          <w:sz w:val="20"/>
          <w:szCs w:val="20"/>
          <w:lang w:val="es-US"/>
        </w:rPr>
        <w:t>á</w:t>
      </w:r>
      <w:r w:rsidRPr="003C2C65">
        <w:rPr>
          <w:rFonts w:ascii="Cambria" w:hAnsi="Cambria"/>
          <w:sz w:val="20"/>
          <w:szCs w:val="20"/>
          <w:lang w:val="es-ES"/>
        </w:rPr>
        <w:t>logo con el gobierno</w:t>
      </w:r>
      <w:r w:rsidR="00B321BF">
        <w:rPr>
          <w:rFonts w:ascii="Cambria" w:hAnsi="Cambria"/>
          <w:sz w:val="20"/>
          <w:szCs w:val="20"/>
          <w:lang w:val="es-ES"/>
        </w:rPr>
        <w:t>;</w:t>
      </w:r>
      <w:r w:rsidRPr="003C2C65">
        <w:rPr>
          <w:rFonts w:ascii="Cambria" w:hAnsi="Cambria"/>
          <w:sz w:val="20"/>
          <w:szCs w:val="20"/>
          <w:lang w:val="es-ES"/>
        </w:rPr>
        <w:t xml:space="preserve"> </w:t>
      </w:r>
      <w:r w:rsidR="00B321BF">
        <w:rPr>
          <w:rFonts w:ascii="Cambria" w:hAnsi="Cambria"/>
          <w:sz w:val="20"/>
          <w:szCs w:val="20"/>
          <w:lang w:val="es-ES"/>
        </w:rPr>
        <w:t>e</w:t>
      </w:r>
      <w:r w:rsidRPr="003C2C65">
        <w:rPr>
          <w:rFonts w:ascii="Cambria" w:hAnsi="Cambria"/>
          <w:sz w:val="20"/>
          <w:szCs w:val="20"/>
          <w:lang w:val="es-ES"/>
        </w:rPr>
        <w:t xml:space="preserve"> inst</w:t>
      </w:r>
      <w:r w:rsidR="00B321BF">
        <w:rPr>
          <w:rFonts w:ascii="Cambria" w:hAnsi="Cambria"/>
          <w:sz w:val="20"/>
          <w:szCs w:val="20"/>
          <w:lang w:val="es-ES"/>
        </w:rPr>
        <w:t>ó</w:t>
      </w:r>
      <w:r w:rsidRPr="003C2C65">
        <w:rPr>
          <w:rFonts w:ascii="Cambria" w:hAnsi="Cambria"/>
          <w:sz w:val="20"/>
          <w:szCs w:val="20"/>
          <w:lang w:val="es-ES"/>
        </w:rPr>
        <w:t xml:space="preserve"> a la Asamblea Legislativa y al Ejecutivo a </w:t>
      </w:r>
      <w:r w:rsidR="002C475B" w:rsidRPr="003C2C65">
        <w:rPr>
          <w:rFonts w:ascii="Cambria" w:hAnsi="Cambria"/>
          <w:sz w:val="20"/>
          <w:szCs w:val="20"/>
          <w:lang w:val="es-ES"/>
        </w:rPr>
        <w:t xml:space="preserve">proveer </w:t>
      </w:r>
      <w:r w:rsidR="00B321BF">
        <w:rPr>
          <w:rFonts w:ascii="Cambria" w:hAnsi="Cambria"/>
          <w:sz w:val="20"/>
          <w:szCs w:val="20"/>
          <w:lang w:val="es-ES"/>
        </w:rPr>
        <w:t xml:space="preserve">las </w:t>
      </w:r>
      <w:r w:rsidR="002C475B" w:rsidRPr="003C2C65">
        <w:rPr>
          <w:rFonts w:ascii="Cambria" w:hAnsi="Cambria"/>
          <w:sz w:val="20"/>
          <w:szCs w:val="20"/>
          <w:lang w:val="es-ES"/>
        </w:rPr>
        <w:t xml:space="preserve">herramientas necesarias para </w:t>
      </w:r>
      <w:r w:rsidR="00B321BF">
        <w:rPr>
          <w:rFonts w:ascii="Cambria" w:hAnsi="Cambria"/>
          <w:sz w:val="20"/>
          <w:szCs w:val="20"/>
          <w:lang w:val="es-ES"/>
        </w:rPr>
        <w:t xml:space="preserve">garantizar </w:t>
      </w:r>
      <w:r w:rsidRPr="003C2C65">
        <w:rPr>
          <w:rFonts w:ascii="Cambria" w:hAnsi="Cambria"/>
          <w:sz w:val="20"/>
          <w:szCs w:val="20"/>
          <w:lang w:val="es-ES"/>
        </w:rPr>
        <w:t>los derechos de los pueblos indígenas.</w:t>
      </w:r>
      <w:r w:rsidR="00D36906" w:rsidRPr="003C2C65">
        <w:rPr>
          <w:rFonts w:ascii="Cambria" w:hAnsi="Cambria"/>
          <w:sz w:val="20"/>
          <w:szCs w:val="20"/>
          <w:lang w:val="es-ES"/>
        </w:rPr>
        <w:t xml:space="preserve"> </w:t>
      </w:r>
      <w:r w:rsidR="00B321BF">
        <w:rPr>
          <w:rFonts w:ascii="Cambria" w:hAnsi="Cambria"/>
          <w:sz w:val="20"/>
          <w:szCs w:val="20"/>
          <w:lang w:val="es-ES"/>
        </w:rPr>
        <w:t>Los</w:t>
      </w:r>
      <w:r w:rsidR="00D36906" w:rsidRPr="003C2C65">
        <w:rPr>
          <w:rFonts w:ascii="Cambria" w:hAnsi="Cambria"/>
          <w:sz w:val="20"/>
          <w:szCs w:val="20"/>
          <w:lang w:val="es-ES"/>
        </w:rPr>
        <w:t xml:space="preserve"> peticionarios </w:t>
      </w:r>
      <w:r w:rsidR="00B321BF">
        <w:rPr>
          <w:rFonts w:ascii="Cambria" w:hAnsi="Cambria"/>
          <w:sz w:val="20"/>
          <w:szCs w:val="20"/>
          <w:lang w:val="es-ES"/>
        </w:rPr>
        <w:t xml:space="preserve">manifiestan </w:t>
      </w:r>
      <w:r w:rsidR="00D36906" w:rsidRPr="003C2C65">
        <w:rPr>
          <w:rFonts w:ascii="Cambria" w:hAnsi="Cambria"/>
          <w:sz w:val="20"/>
          <w:szCs w:val="20"/>
          <w:lang w:val="es-ES"/>
        </w:rPr>
        <w:t xml:space="preserve">que el Tribunal boliviano no se pronunció respecto de la inconstitucionalidad de la Ley </w:t>
      </w:r>
      <w:r w:rsidR="002C475B" w:rsidRPr="003C2C65">
        <w:rPr>
          <w:rFonts w:ascii="Cambria" w:hAnsi="Cambria"/>
          <w:sz w:val="20"/>
          <w:szCs w:val="20"/>
          <w:lang w:val="es-ES"/>
        </w:rPr>
        <w:t>N</w:t>
      </w:r>
      <w:r w:rsidR="00B321BF">
        <w:rPr>
          <w:rFonts w:ascii="Cambria" w:hAnsi="Cambria"/>
          <w:sz w:val="20"/>
          <w:szCs w:val="20"/>
          <w:lang w:val="es-ES"/>
        </w:rPr>
        <w:t>o</w:t>
      </w:r>
      <w:r w:rsidR="002C475B" w:rsidRPr="003C2C65">
        <w:rPr>
          <w:rFonts w:ascii="Cambria" w:hAnsi="Cambria"/>
          <w:sz w:val="20"/>
          <w:szCs w:val="20"/>
          <w:lang w:val="es-ES"/>
        </w:rPr>
        <w:t xml:space="preserve">. </w:t>
      </w:r>
      <w:r w:rsidR="00D36906" w:rsidRPr="003C2C65">
        <w:rPr>
          <w:rFonts w:ascii="Cambria" w:hAnsi="Cambria"/>
          <w:sz w:val="20"/>
          <w:szCs w:val="20"/>
          <w:lang w:val="es-ES"/>
        </w:rPr>
        <w:t xml:space="preserve">180 que también había sido demanda, </w:t>
      </w:r>
      <w:r w:rsidR="00B321BF">
        <w:rPr>
          <w:rFonts w:ascii="Cambria" w:hAnsi="Cambria"/>
          <w:sz w:val="20"/>
          <w:szCs w:val="20"/>
          <w:lang w:val="es-ES"/>
        </w:rPr>
        <w:t>ni</w:t>
      </w:r>
      <w:r w:rsidR="00D36906" w:rsidRPr="003C2C65">
        <w:rPr>
          <w:rFonts w:ascii="Cambria" w:hAnsi="Cambria"/>
          <w:sz w:val="20"/>
          <w:szCs w:val="20"/>
          <w:lang w:val="es-ES"/>
        </w:rPr>
        <w:t xml:space="preserve"> tampoco </w:t>
      </w:r>
      <w:r w:rsidR="002C475B" w:rsidRPr="003C2C65">
        <w:rPr>
          <w:rFonts w:ascii="Cambria" w:hAnsi="Cambria"/>
          <w:sz w:val="20"/>
          <w:szCs w:val="20"/>
          <w:lang w:val="es-ES"/>
        </w:rPr>
        <w:t>sobre</w:t>
      </w:r>
      <w:r w:rsidR="00D36906" w:rsidRPr="003C2C65">
        <w:rPr>
          <w:rFonts w:ascii="Cambria" w:hAnsi="Cambria"/>
          <w:sz w:val="20"/>
          <w:szCs w:val="20"/>
          <w:lang w:val="es-ES"/>
        </w:rPr>
        <w:t xml:space="preserve"> los Protocolos de Consulta y su aprobació</w:t>
      </w:r>
      <w:r w:rsidR="002C475B" w:rsidRPr="003C2C65">
        <w:rPr>
          <w:rFonts w:ascii="Cambria" w:hAnsi="Cambria"/>
          <w:sz w:val="20"/>
          <w:szCs w:val="20"/>
          <w:lang w:val="es-ES"/>
        </w:rPr>
        <w:t>n sin el consentimiento</w:t>
      </w:r>
      <w:r w:rsidR="00D36906" w:rsidRPr="003C2C65">
        <w:rPr>
          <w:rFonts w:ascii="Cambria" w:hAnsi="Cambria"/>
          <w:sz w:val="20"/>
          <w:szCs w:val="20"/>
          <w:lang w:val="es-ES"/>
        </w:rPr>
        <w:t xml:space="preserve"> de los pueblos indígenas. E</w:t>
      </w:r>
      <w:r w:rsidR="00E248A1" w:rsidRPr="003C2C65">
        <w:rPr>
          <w:rFonts w:ascii="Cambria" w:hAnsi="Cambria"/>
          <w:sz w:val="20"/>
          <w:szCs w:val="20"/>
          <w:lang w:val="es-ES"/>
        </w:rPr>
        <w:t>l</w:t>
      </w:r>
      <w:r w:rsidR="00D36906" w:rsidRPr="003C2C65">
        <w:rPr>
          <w:rFonts w:ascii="Cambria" w:hAnsi="Cambria"/>
          <w:sz w:val="20"/>
          <w:szCs w:val="20"/>
          <w:lang w:val="es-ES"/>
        </w:rPr>
        <w:t xml:space="preserve"> 5 de Julio de 2012 el </w:t>
      </w:r>
      <w:r w:rsidR="009234C4" w:rsidRPr="003C2C65">
        <w:rPr>
          <w:rFonts w:ascii="Cambria" w:hAnsi="Cambria"/>
          <w:sz w:val="20"/>
          <w:szCs w:val="20"/>
          <w:lang w:val="es-ES"/>
        </w:rPr>
        <w:t>Ó</w:t>
      </w:r>
      <w:r w:rsidR="00D36906" w:rsidRPr="003C2C65">
        <w:rPr>
          <w:rFonts w:ascii="Cambria" w:hAnsi="Cambria"/>
          <w:sz w:val="20"/>
          <w:szCs w:val="20"/>
          <w:lang w:val="es-ES"/>
        </w:rPr>
        <w:t>rgano Ejecutivo</w:t>
      </w:r>
      <w:r w:rsidR="00E248A1" w:rsidRPr="003C2C65">
        <w:rPr>
          <w:rFonts w:ascii="Cambria" w:hAnsi="Cambria"/>
          <w:sz w:val="20"/>
          <w:szCs w:val="20"/>
          <w:lang w:val="es-ES"/>
        </w:rPr>
        <w:t xml:space="preserve"> dio a conocer </w:t>
      </w:r>
      <w:r w:rsidR="00B321BF">
        <w:rPr>
          <w:rFonts w:ascii="Cambria" w:hAnsi="Cambria"/>
          <w:sz w:val="20"/>
          <w:szCs w:val="20"/>
          <w:lang w:val="es-ES"/>
        </w:rPr>
        <w:t xml:space="preserve">los nombres de </w:t>
      </w:r>
      <w:r w:rsidR="00E248A1" w:rsidRPr="003C2C65">
        <w:rPr>
          <w:rFonts w:ascii="Cambria" w:hAnsi="Cambria"/>
          <w:sz w:val="20"/>
          <w:szCs w:val="20"/>
          <w:lang w:val="es-ES"/>
        </w:rPr>
        <w:t>41</w:t>
      </w:r>
      <w:r w:rsidR="009234C4" w:rsidRPr="003C2C65">
        <w:rPr>
          <w:rFonts w:ascii="Cambria" w:hAnsi="Cambria"/>
          <w:sz w:val="20"/>
          <w:szCs w:val="20"/>
          <w:lang w:val="es-ES"/>
        </w:rPr>
        <w:t xml:space="preserve"> supuestos representantes del TIPNI</w:t>
      </w:r>
      <w:r w:rsidR="00E248A1" w:rsidRPr="003C2C65">
        <w:rPr>
          <w:rFonts w:ascii="Cambria" w:hAnsi="Cambria"/>
          <w:sz w:val="20"/>
          <w:szCs w:val="20"/>
          <w:lang w:val="es-ES"/>
        </w:rPr>
        <w:t>S</w:t>
      </w:r>
      <w:r w:rsidR="009234C4" w:rsidRPr="003C2C65">
        <w:rPr>
          <w:rFonts w:ascii="Cambria" w:hAnsi="Cambria"/>
          <w:sz w:val="20"/>
          <w:szCs w:val="20"/>
          <w:lang w:val="es-ES"/>
        </w:rPr>
        <w:t xml:space="preserve"> y </w:t>
      </w:r>
      <w:r w:rsidR="00E248A1" w:rsidRPr="003C2C65">
        <w:rPr>
          <w:rFonts w:ascii="Cambria" w:hAnsi="Cambria"/>
          <w:sz w:val="20"/>
          <w:szCs w:val="20"/>
          <w:lang w:val="es-ES"/>
        </w:rPr>
        <w:t xml:space="preserve">de la Subcentral del </w:t>
      </w:r>
      <w:r w:rsidR="00B321BF">
        <w:rPr>
          <w:rFonts w:ascii="Cambria" w:hAnsi="Cambria"/>
          <w:sz w:val="20"/>
          <w:szCs w:val="20"/>
          <w:lang w:val="es-ES"/>
        </w:rPr>
        <w:t>Consejo Indígena del Sur (</w:t>
      </w:r>
      <w:r w:rsidR="00E248A1" w:rsidRPr="003C2C65">
        <w:rPr>
          <w:rFonts w:ascii="Cambria" w:hAnsi="Cambria"/>
          <w:sz w:val="20"/>
          <w:szCs w:val="20"/>
          <w:lang w:val="es-ES"/>
        </w:rPr>
        <w:t>CONISUR</w:t>
      </w:r>
      <w:r w:rsidR="00B321BF">
        <w:rPr>
          <w:rFonts w:ascii="Cambria" w:hAnsi="Cambria"/>
          <w:sz w:val="20"/>
          <w:szCs w:val="20"/>
          <w:lang w:val="es-ES"/>
        </w:rPr>
        <w:t>)</w:t>
      </w:r>
      <w:r w:rsidR="009234C4" w:rsidRPr="003C2C65">
        <w:rPr>
          <w:rFonts w:ascii="Cambria" w:hAnsi="Cambria"/>
          <w:sz w:val="20"/>
          <w:szCs w:val="20"/>
          <w:lang w:val="es-ES"/>
        </w:rPr>
        <w:t>,</w:t>
      </w:r>
      <w:r w:rsidR="00E248A1" w:rsidRPr="003C2C65">
        <w:rPr>
          <w:rFonts w:ascii="Cambria" w:hAnsi="Cambria"/>
          <w:sz w:val="20"/>
          <w:szCs w:val="20"/>
          <w:lang w:val="es-ES"/>
        </w:rPr>
        <w:t xml:space="preserve"> </w:t>
      </w:r>
      <w:r w:rsidR="00B321BF">
        <w:rPr>
          <w:rFonts w:ascii="Cambria" w:hAnsi="Cambria"/>
          <w:sz w:val="20"/>
          <w:szCs w:val="20"/>
          <w:lang w:val="es-ES"/>
        </w:rPr>
        <w:t>que</w:t>
      </w:r>
      <w:r w:rsidR="00E248A1" w:rsidRPr="003C2C65">
        <w:rPr>
          <w:rFonts w:ascii="Cambria" w:hAnsi="Cambria"/>
          <w:sz w:val="20"/>
          <w:szCs w:val="20"/>
          <w:lang w:val="es-ES"/>
        </w:rPr>
        <w:t xml:space="preserve"> aparentemente firmaron un convenio a nombre de los pueblos </w:t>
      </w:r>
      <w:r w:rsidR="00975498">
        <w:rPr>
          <w:rFonts w:ascii="Cambria" w:hAnsi="Cambria"/>
          <w:sz w:val="20"/>
          <w:szCs w:val="20"/>
          <w:lang w:val="es-ES"/>
        </w:rPr>
        <w:t>indígenas que habita</w:t>
      </w:r>
      <w:r w:rsidR="00B321BF">
        <w:rPr>
          <w:rFonts w:ascii="Cambria" w:hAnsi="Cambria"/>
          <w:sz w:val="20"/>
          <w:szCs w:val="20"/>
          <w:lang w:val="es-ES"/>
        </w:rPr>
        <w:t>ba</w:t>
      </w:r>
      <w:r w:rsidR="00975498">
        <w:rPr>
          <w:rFonts w:ascii="Cambria" w:hAnsi="Cambria"/>
          <w:sz w:val="20"/>
          <w:szCs w:val="20"/>
          <w:lang w:val="es-ES"/>
        </w:rPr>
        <w:t xml:space="preserve">n </w:t>
      </w:r>
      <w:r w:rsidR="00B321BF">
        <w:rPr>
          <w:rFonts w:ascii="Cambria" w:hAnsi="Cambria"/>
          <w:sz w:val="20"/>
          <w:szCs w:val="20"/>
          <w:lang w:val="es-ES"/>
        </w:rPr>
        <w:t>dicho territorio</w:t>
      </w:r>
      <w:r w:rsidR="00975498">
        <w:rPr>
          <w:rFonts w:ascii="Cambria" w:hAnsi="Cambria"/>
          <w:sz w:val="20"/>
          <w:szCs w:val="20"/>
          <w:lang w:val="es-ES"/>
        </w:rPr>
        <w:t xml:space="preserve">. </w:t>
      </w:r>
      <w:r w:rsidR="00B321BF">
        <w:rPr>
          <w:rFonts w:ascii="Cambria" w:hAnsi="Cambria"/>
          <w:sz w:val="20"/>
          <w:szCs w:val="20"/>
          <w:lang w:val="es-ES"/>
        </w:rPr>
        <w:t>A</w:t>
      </w:r>
      <w:r w:rsidR="00975498">
        <w:rPr>
          <w:rFonts w:ascii="Cambria" w:hAnsi="Cambria"/>
          <w:sz w:val="20"/>
          <w:szCs w:val="20"/>
          <w:lang w:val="es-ES"/>
        </w:rPr>
        <w:t>seguran los peticionarios</w:t>
      </w:r>
      <w:r w:rsidR="00E248A1" w:rsidRPr="003C2C65">
        <w:rPr>
          <w:rFonts w:ascii="Cambria" w:hAnsi="Cambria"/>
          <w:sz w:val="20"/>
          <w:szCs w:val="20"/>
          <w:lang w:val="es-ES"/>
        </w:rPr>
        <w:t xml:space="preserve"> que </w:t>
      </w:r>
      <w:r w:rsidR="00B321BF">
        <w:rPr>
          <w:rFonts w:ascii="Cambria" w:hAnsi="Cambria"/>
          <w:sz w:val="20"/>
          <w:szCs w:val="20"/>
          <w:lang w:val="es-ES"/>
        </w:rPr>
        <w:t>dichas</w:t>
      </w:r>
      <w:r w:rsidR="00975498">
        <w:rPr>
          <w:rFonts w:ascii="Cambria" w:hAnsi="Cambria"/>
          <w:sz w:val="20"/>
          <w:szCs w:val="20"/>
          <w:lang w:val="es-ES"/>
        </w:rPr>
        <w:t xml:space="preserve"> personas no representan</w:t>
      </w:r>
      <w:r w:rsidR="002A491B" w:rsidRPr="003C2C65">
        <w:rPr>
          <w:rFonts w:ascii="Cambria" w:hAnsi="Cambria"/>
          <w:sz w:val="20"/>
          <w:szCs w:val="20"/>
          <w:lang w:val="es-ES"/>
        </w:rPr>
        <w:t xml:space="preserve"> a los indígenas</w:t>
      </w:r>
      <w:r w:rsidR="00975498">
        <w:rPr>
          <w:rFonts w:ascii="Cambria" w:hAnsi="Cambria"/>
          <w:sz w:val="20"/>
          <w:szCs w:val="20"/>
          <w:lang w:val="es-ES"/>
        </w:rPr>
        <w:t xml:space="preserve"> de la zona</w:t>
      </w:r>
      <w:r w:rsidR="00B321BF">
        <w:rPr>
          <w:rFonts w:ascii="Cambria" w:hAnsi="Cambria"/>
          <w:sz w:val="20"/>
          <w:szCs w:val="20"/>
          <w:lang w:val="es-ES"/>
        </w:rPr>
        <w:t>, lo que</w:t>
      </w:r>
      <w:r w:rsidR="004E356D" w:rsidRPr="003C2C65">
        <w:rPr>
          <w:rFonts w:ascii="Cambria" w:hAnsi="Cambria"/>
          <w:sz w:val="20"/>
          <w:szCs w:val="20"/>
          <w:lang w:val="es-ES"/>
        </w:rPr>
        <w:t xml:space="preserve"> constituye </w:t>
      </w:r>
      <w:r w:rsidR="00B321BF">
        <w:rPr>
          <w:rFonts w:ascii="Cambria" w:hAnsi="Cambria"/>
          <w:sz w:val="20"/>
          <w:szCs w:val="20"/>
          <w:lang w:val="es-ES"/>
        </w:rPr>
        <w:t xml:space="preserve">en su opinión </w:t>
      </w:r>
      <w:r w:rsidR="004E356D" w:rsidRPr="003C2C65">
        <w:rPr>
          <w:rFonts w:ascii="Cambria" w:hAnsi="Cambria"/>
          <w:sz w:val="20"/>
          <w:szCs w:val="20"/>
          <w:lang w:val="es-ES"/>
        </w:rPr>
        <w:t xml:space="preserve">una suplantación </w:t>
      </w:r>
      <w:r w:rsidR="00B321BF">
        <w:rPr>
          <w:rFonts w:ascii="Cambria" w:hAnsi="Cambria"/>
          <w:sz w:val="20"/>
          <w:szCs w:val="20"/>
          <w:lang w:val="es-ES"/>
        </w:rPr>
        <w:t>de</w:t>
      </w:r>
      <w:r w:rsidR="004E356D" w:rsidRPr="003C2C65">
        <w:rPr>
          <w:rFonts w:ascii="Cambria" w:hAnsi="Cambria"/>
          <w:sz w:val="20"/>
          <w:szCs w:val="20"/>
          <w:lang w:val="es-ES"/>
        </w:rPr>
        <w:t xml:space="preserve"> las comunidades indígenas y </w:t>
      </w:r>
      <w:r w:rsidR="00B321BF">
        <w:rPr>
          <w:rFonts w:ascii="Cambria" w:hAnsi="Cambria"/>
          <w:sz w:val="20"/>
          <w:szCs w:val="20"/>
          <w:lang w:val="es-ES"/>
        </w:rPr>
        <w:t xml:space="preserve">de </w:t>
      </w:r>
      <w:r w:rsidR="004E356D" w:rsidRPr="003C2C65">
        <w:rPr>
          <w:rFonts w:ascii="Cambria" w:hAnsi="Cambria"/>
          <w:sz w:val="20"/>
          <w:szCs w:val="20"/>
          <w:lang w:val="es-ES"/>
        </w:rPr>
        <w:t>las instituciones que representan el TIPNIS.</w:t>
      </w:r>
    </w:p>
    <w:p w14:paraId="40928703" w14:textId="3936DF7F" w:rsidR="00AA568E" w:rsidRPr="003C2C65" w:rsidRDefault="00B321BF"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El</w:t>
      </w:r>
      <w:r w:rsidR="00AA568E" w:rsidRPr="003C2C65">
        <w:rPr>
          <w:rFonts w:ascii="Cambria" w:hAnsi="Cambria"/>
          <w:sz w:val="20"/>
          <w:szCs w:val="20"/>
          <w:lang w:val="es-ES"/>
        </w:rPr>
        <w:t xml:space="preserve"> 25 de julio de 2012 </w:t>
      </w:r>
      <w:r w:rsidRPr="003C2C65">
        <w:rPr>
          <w:rFonts w:ascii="Cambria" w:hAnsi="Cambria"/>
          <w:sz w:val="20"/>
          <w:szCs w:val="20"/>
          <w:lang w:val="es-ES"/>
        </w:rPr>
        <w:t xml:space="preserve">Fernando Vargas </w:t>
      </w:r>
      <w:proofErr w:type="spellStart"/>
      <w:r w:rsidRPr="003C2C65">
        <w:rPr>
          <w:rFonts w:ascii="Cambria" w:hAnsi="Cambria"/>
          <w:sz w:val="20"/>
          <w:szCs w:val="20"/>
          <w:lang w:val="es-ES"/>
        </w:rPr>
        <w:t>Mosua</w:t>
      </w:r>
      <w:proofErr w:type="spellEnd"/>
      <w:r>
        <w:rPr>
          <w:rFonts w:ascii="Cambria" w:hAnsi="Cambria"/>
          <w:sz w:val="20"/>
          <w:szCs w:val="20"/>
          <w:lang w:val="es-ES"/>
        </w:rPr>
        <w:t>,</w:t>
      </w:r>
      <w:r w:rsidRPr="003C2C65">
        <w:rPr>
          <w:rFonts w:ascii="Cambria" w:hAnsi="Cambria"/>
          <w:sz w:val="20"/>
          <w:szCs w:val="20"/>
          <w:lang w:val="es-ES"/>
        </w:rPr>
        <w:t xml:space="preserve"> representante legal </w:t>
      </w:r>
      <w:r>
        <w:rPr>
          <w:rFonts w:ascii="Cambria" w:hAnsi="Cambria"/>
          <w:sz w:val="20"/>
          <w:szCs w:val="20"/>
          <w:lang w:val="es-ES"/>
        </w:rPr>
        <w:t xml:space="preserve">de </w:t>
      </w:r>
      <w:r w:rsidR="00AA568E" w:rsidRPr="003C2C65">
        <w:rPr>
          <w:rFonts w:ascii="Cambria" w:hAnsi="Cambria"/>
          <w:sz w:val="20"/>
          <w:szCs w:val="20"/>
          <w:lang w:val="es-ES"/>
        </w:rPr>
        <w:t>la Sub-Central del TIPNIS</w:t>
      </w:r>
      <w:r w:rsidR="002A491B" w:rsidRPr="003C2C65">
        <w:rPr>
          <w:rFonts w:ascii="Cambria" w:hAnsi="Cambria"/>
          <w:sz w:val="20"/>
          <w:szCs w:val="20"/>
          <w:lang w:val="es-ES"/>
        </w:rPr>
        <w:t xml:space="preserve"> que hace parte de </w:t>
      </w:r>
      <w:r>
        <w:rPr>
          <w:rFonts w:ascii="Cambria" w:hAnsi="Cambria"/>
          <w:sz w:val="20"/>
          <w:szCs w:val="20"/>
          <w:lang w:val="es-ES"/>
        </w:rPr>
        <w:t xml:space="preserve">la </w:t>
      </w:r>
      <w:r w:rsidRPr="00B321BF">
        <w:rPr>
          <w:rFonts w:ascii="Cambria" w:hAnsi="Cambria"/>
          <w:sz w:val="20"/>
          <w:szCs w:val="20"/>
          <w:lang w:val="es-ES"/>
        </w:rPr>
        <w:t>Confederación Indígena del Oriente Boliviano</w:t>
      </w:r>
      <w:r w:rsidRPr="003C2C65">
        <w:rPr>
          <w:rFonts w:ascii="Cambria" w:hAnsi="Cambria"/>
          <w:sz w:val="20"/>
          <w:szCs w:val="20"/>
          <w:lang w:val="es-ES"/>
        </w:rPr>
        <w:t xml:space="preserve"> </w:t>
      </w:r>
      <w:r>
        <w:rPr>
          <w:rFonts w:ascii="Cambria" w:hAnsi="Cambria"/>
          <w:sz w:val="20"/>
          <w:szCs w:val="20"/>
          <w:lang w:val="es-ES"/>
        </w:rPr>
        <w:t>(</w:t>
      </w:r>
      <w:r w:rsidR="00AA568E" w:rsidRPr="003C2C65">
        <w:rPr>
          <w:rFonts w:ascii="Cambria" w:hAnsi="Cambria"/>
          <w:sz w:val="20"/>
          <w:szCs w:val="20"/>
          <w:lang w:val="es-ES"/>
        </w:rPr>
        <w:t>CIDOB</w:t>
      </w:r>
      <w:r>
        <w:rPr>
          <w:rFonts w:ascii="Cambria" w:hAnsi="Cambria"/>
          <w:sz w:val="20"/>
          <w:szCs w:val="20"/>
          <w:lang w:val="es-ES"/>
        </w:rPr>
        <w:t>)</w:t>
      </w:r>
      <w:r w:rsidR="00AA568E" w:rsidRPr="003C2C65">
        <w:rPr>
          <w:rFonts w:ascii="Cambria" w:hAnsi="Cambria"/>
          <w:sz w:val="20"/>
          <w:szCs w:val="20"/>
          <w:lang w:val="es-ES"/>
        </w:rPr>
        <w:t xml:space="preserve">,  presentó una </w:t>
      </w:r>
      <w:r w:rsidR="007903C9">
        <w:rPr>
          <w:rFonts w:ascii="Cambria" w:hAnsi="Cambria"/>
          <w:sz w:val="20"/>
          <w:szCs w:val="20"/>
          <w:lang w:val="es-ES"/>
        </w:rPr>
        <w:t>a</w:t>
      </w:r>
      <w:r w:rsidR="00AA568E" w:rsidRPr="003C2C65">
        <w:rPr>
          <w:rFonts w:ascii="Cambria" w:hAnsi="Cambria"/>
          <w:sz w:val="20"/>
          <w:szCs w:val="20"/>
          <w:lang w:val="es-ES"/>
        </w:rPr>
        <w:t xml:space="preserve">cción de </w:t>
      </w:r>
      <w:r w:rsidR="007903C9">
        <w:rPr>
          <w:rFonts w:ascii="Cambria" w:hAnsi="Cambria"/>
          <w:sz w:val="20"/>
          <w:szCs w:val="20"/>
          <w:lang w:val="es-ES"/>
        </w:rPr>
        <w:t>a</w:t>
      </w:r>
      <w:r w:rsidR="00AA568E" w:rsidRPr="003C2C65">
        <w:rPr>
          <w:rFonts w:ascii="Cambria" w:hAnsi="Cambria"/>
          <w:sz w:val="20"/>
          <w:szCs w:val="20"/>
          <w:lang w:val="es-ES"/>
        </w:rPr>
        <w:t xml:space="preserve">mparo </w:t>
      </w:r>
      <w:r w:rsidR="007903C9">
        <w:rPr>
          <w:rFonts w:ascii="Cambria" w:hAnsi="Cambria"/>
          <w:sz w:val="20"/>
          <w:szCs w:val="20"/>
          <w:lang w:val="es-ES"/>
        </w:rPr>
        <w:t>c</w:t>
      </w:r>
      <w:r w:rsidR="00AA568E" w:rsidRPr="003C2C65">
        <w:rPr>
          <w:rFonts w:ascii="Cambria" w:hAnsi="Cambria"/>
          <w:sz w:val="20"/>
          <w:szCs w:val="20"/>
          <w:lang w:val="es-ES"/>
        </w:rPr>
        <w:t xml:space="preserve">onstitucional </w:t>
      </w:r>
      <w:r w:rsidR="007903C9">
        <w:rPr>
          <w:rFonts w:ascii="Cambria" w:hAnsi="Cambria"/>
          <w:sz w:val="20"/>
          <w:szCs w:val="20"/>
          <w:lang w:val="es-ES"/>
        </w:rPr>
        <w:t xml:space="preserve">con el </w:t>
      </w:r>
      <w:r w:rsidR="00AA568E" w:rsidRPr="003C2C65">
        <w:rPr>
          <w:rFonts w:ascii="Cambria" w:hAnsi="Cambria"/>
          <w:sz w:val="20"/>
          <w:szCs w:val="20"/>
          <w:lang w:val="es-ES"/>
        </w:rPr>
        <w:t xml:space="preserve">objeto </w:t>
      </w:r>
      <w:r w:rsidR="007903C9">
        <w:rPr>
          <w:rFonts w:ascii="Cambria" w:hAnsi="Cambria"/>
          <w:sz w:val="20"/>
          <w:szCs w:val="20"/>
          <w:lang w:val="es-ES"/>
        </w:rPr>
        <w:t>de</w:t>
      </w:r>
      <w:r w:rsidR="00AA568E" w:rsidRPr="003C2C65">
        <w:rPr>
          <w:rFonts w:ascii="Cambria" w:hAnsi="Cambria"/>
          <w:sz w:val="20"/>
          <w:szCs w:val="20"/>
          <w:lang w:val="es-ES"/>
        </w:rPr>
        <w:t xml:space="preserve"> solicitar al Tribunal Constitucional medidas cautelares como la</w:t>
      </w:r>
      <w:r w:rsidR="00D518C7" w:rsidRPr="003C2C65">
        <w:rPr>
          <w:rFonts w:ascii="Cambria" w:hAnsi="Cambria"/>
          <w:sz w:val="20"/>
          <w:szCs w:val="20"/>
          <w:lang w:val="es-ES"/>
        </w:rPr>
        <w:t xml:space="preserve"> suspensión de la consulta, a</w:t>
      </w:r>
      <w:r w:rsidR="00AA568E" w:rsidRPr="003C2C65">
        <w:rPr>
          <w:rFonts w:ascii="Cambria" w:hAnsi="Cambria"/>
          <w:sz w:val="20"/>
          <w:szCs w:val="20"/>
          <w:lang w:val="es-ES"/>
        </w:rPr>
        <w:t xml:space="preserve">demás de la declaración de nulidad de todos los actos llevados a </w:t>
      </w:r>
      <w:r w:rsidR="002A491B" w:rsidRPr="003C2C65">
        <w:rPr>
          <w:rFonts w:ascii="Cambria" w:hAnsi="Cambria"/>
          <w:sz w:val="20"/>
          <w:szCs w:val="20"/>
          <w:lang w:val="es-ES"/>
        </w:rPr>
        <w:t>cabo por el gobierno</w:t>
      </w:r>
      <w:r w:rsidR="007903C9">
        <w:rPr>
          <w:rFonts w:ascii="Cambria" w:hAnsi="Cambria"/>
          <w:sz w:val="20"/>
          <w:szCs w:val="20"/>
          <w:lang w:val="es-ES"/>
        </w:rPr>
        <w:t xml:space="preserve"> hasta</w:t>
      </w:r>
      <w:r w:rsidR="002A491B" w:rsidRPr="003C2C65">
        <w:rPr>
          <w:rFonts w:ascii="Cambria" w:hAnsi="Cambria"/>
          <w:sz w:val="20"/>
          <w:szCs w:val="20"/>
          <w:lang w:val="es-ES"/>
        </w:rPr>
        <w:t xml:space="preserve"> </w:t>
      </w:r>
      <w:r w:rsidR="007903C9">
        <w:rPr>
          <w:rFonts w:ascii="Cambria" w:hAnsi="Cambria"/>
          <w:sz w:val="20"/>
          <w:szCs w:val="20"/>
          <w:lang w:val="es-ES"/>
        </w:rPr>
        <w:t>es</w:t>
      </w:r>
      <w:r w:rsidR="002A491B" w:rsidRPr="003C2C65">
        <w:rPr>
          <w:rFonts w:ascii="Cambria" w:hAnsi="Cambria"/>
          <w:sz w:val="20"/>
          <w:szCs w:val="20"/>
          <w:lang w:val="es-ES"/>
        </w:rPr>
        <w:t>a fecha</w:t>
      </w:r>
      <w:r w:rsidR="007903C9">
        <w:rPr>
          <w:rFonts w:ascii="Cambria" w:hAnsi="Cambria"/>
          <w:sz w:val="20"/>
          <w:szCs w:val="20"/>
          <w:lang w:val="es-ES"/>
        </w:rPr>
        <w:t>. La</w:t>
      </w:r>
      <w:r w:rsidR="00AA568E" w:rsidRPr="003C2C65">
        <w:rPr>
          <w:rFonts w:ascii="Cambria" w:hAnsi="Cambria"/>
          <w:sz w:val="20"/>
          <w:szCs w:val="20"/>
          <w:lang w:val="es-ES"/>
        </w:rPr>
        <w:t xml:space="preserve"> Sala Civil Primera del Tribunal Departamental de Justic</w:t>
      </w:r>
      <w:r w:rsidR="007903C9">
        <w:rPr>
          <w:rFonts w:ascii="Cambria" w:hAnsi="Cambria"/>
          <w:sz w:val="20"/>
          <w:szCs w:val="20"/>
          <w:lang w:val="es-ES"/>
        </w:rPr>
        <w:t>i</w:t>
      </w:r>
      <w:r w:rsidR="00AA568E" w:rsidRPr="003C2C65">
        <w:rPr>
          <w:rFonts w:ascii="Cambria" w:hAnsi="Cambria"/>
          <w:sz w:val="20"/>
          <w:szCs w:val="20"/>
          <w:lang w:val="es-ES"/>
        </w:rPr>
        <w:t>a de La Paz fall</w:t>
      </w:r>
      <w:r w:rsidR="001E2A88" w:rsidRPr="003C2C65">
        <w:rPr>
          <w:rFonts w:ascii="Cambria" w:hAnsi="Cambria"/>
          <w:sz w:val="20"/>
          <w:szCs w:val="20"/>
          <w:lang w:val="es-ES"/>
        </w:rPr>
        <w:t xml:space="preserve">ó </w:t>
      </w:r>
      <w:r w:rsidR="007903C9" w:rsidRPr="003C2C65">
        <w:rPr>
          <w:rFonts w:ascii="Cambria" w:hAnsi="Cambria"/>
          <w:sz w:val="20"/>
          <w:szCs w:val="20"/>
          <w:lang w:val="es-ES"/>
        </w:rPr>
        <w:t xml:space="preserve">en </w:t>
      </w:r>
      <w:r w:rsidR="007903C9" w:rsidRPr="00C55865">
        <w:rPr>
          <w:rFonts w:ascii="Cambria" w:hAnsi="Cambria"/>
          <w:sz w:val="20"/>
          <w:szCs w:val="20"/>
          <w:lang w:val="es-ES"/>
        </w:rPr>
        <w:t>octubre de 2012</w:t>
      </w:r>
      <w:r w:rsidR="007903C9" w:rsidRPr="003C2C65">
        <w:rPr>
          <w:rFonts w:ascii="Cambria" w:hAnsi="Cambria"/>
          <w:sz w:val="20"/>
          <w:szCs w:val="20"/>
          <w:lang w:val="es-ES"/>
        </w:rPr>
        <w:t xml:space="preserve"> </w:t>
      </w:r>
      <w:r w:rsidR="001E2A88" w:rsidRPr="003C2C65">
        <w:rPr>
          <w:rFonts w:ascii="Cambria" w:hAnsi="Cambria"/>
          <w:sz w:val="20"/>
          <w:szCs w:val="20"/>
          <w:lang w:val="es-ES"/>
        </w:rPr>
        <w:t xml:space="preserve">contra </w:t>
      </w:r>
      <w:r w:rsidR="007903C9">
        <w:rPr>
          <w:rFonts w:ascii="Cambria" w:hAnsi="Cambria"/>
          <w:sz w:val="20"/>
          <w:szCs w:val="20"/>
          <w:lang w:val="es-ES"/>
        </w:rPr>
        <w:t>dicho</w:t>
      </w:r>
      <w:r w:rsidR="002A491B" w:rsidRPr="003C2C65">
        <w:rPr>
          <w:rFonts w:ascii="Cambria" w:hAnsi="Cambria"/>
          <w:sz w:val="20"/>
          <w:szCs w:val="20"/>
          <w:lang w:val="es-ES"/>
        </w:rPr>
        <w:t xml:space="preserve"> recurso</w:t>
      </w:r>
      <w:r w:rsidR="00454F61">
        <w:rPr>
          <w:rFonts w:ascii="Cambria" w:hAnsi="Cambria"/>
          <w:sz w:val="20"/>
          <w:szCs w:val="20"/>
          <w:lang w:val="es-ES"/>
        </w:rPr>
        <w:t>, ya que</w:t>
      </w:r>
      <w:r w:rsidR="001E2A88" w:rsidRPr="003C2C65">
        <w:rPr>
          <w:rFonts w:ascii="Cambria" w:hAnsi="Cambria"/>
          <w:sz w:val="20"/>
          <w:szCs w:val="20"/>
          <w:lang w:val="es-ES"/>
        </w:rPr>
        <w:t xml:space="preserve"> </w:t>
      </w:r>
      <w:r w:rsidR="007903C9">
        <w:rPr>
          <w:rFonts w:ascii="Cambria" w:hAnsi="Cambria"/>
          <w:sz w:val="20"/>
          <w:szCs w:val="20"/>
          <w:lang w:val="es-ES"/>
        </w:rPr>
        <w:t xml:space="preserve">consideró que </w:t>
      </w:r>
      <w:r w:rsidR="001E2A88" w:rsidRPr="003C2C65">
        <w:rPr>
          <w:rFonts w:ascii="Cambria" w:hAnsi="Cambria"/>
          <w:sz w:val="20"/>
          <w:szCs w:val="20"/>
          <w:lang w:val="es-ES"/>
        </w:rPr>
        <w:t>no resultaba posible frenar un proceso de consulta encaminado dentro del ejercic</w:t>
      </w:r>
      <w:r w:rsidR="00D518C7" w:rsidRPr="003C2C65">
        <w:rPr>
          <w:rFonts w:ascii="Cambria" w:hAnsi="Cambria"/>
          <w:sz w:val="20"/>
          <w:szCs w:val="20"/>
          <w:lang w:val="es-ES"/>
        </w:rPr>
        <w:t>io democrático de los derechos.</w:t>
      </w:r>
      <w:r w:rsidR="002A491B" w:rsidRPr="003C2C65">
        <w:rPr>
          <w:rFonts w:ascii="Cambria" w:hAnsi="Cambria"/>
          <w:sz w:val="20"/>
          <w:szCs w:val="20"/>
          <w:lang w:val="es-ES"/>
        </w:rPr>
        <w:t xml:space="preserve"> S</w:t>
      </w:r>
      <w:r w:rsidR="001E2A88" w:rsidRPr="003C2C65">
        <w:rPr>
          <w:rFonts w:ascii="Cambria" w:hAnsi="Cambria"/>
          <w:sz w:val="20"/>
          <w:szCs w:val="20"/>
          <w:lang w:val="es-ES"/>
        </w:rPr>
        <w:t>in embargo, después de emitido el fallo</w:t>
      </w:r>
      <w:r w:rsidR="00454F61">
        <w:rPr>
          <w:rFonts w:ascii="Cambria" w:hAnsi="Cambria"/>
          <w:sz w:val="20"/>
          <w:szCs w:val="20"/>
          <w:lang w:val="es-ES"/>
        </w:rPr>
        <w:t>,</w:t>
      </w:r>
      <w:r w:rsidR="001E2A88" w:rsidRPr="003C2C65">
        <w:rPr>
          <w:rFonts w:ascii="Cambria" w:hAnsi="Cambria"/>
          <w:sz w:val="20"/>
          <w:szCs w:val="20"/>
          <w:lang w:val="es-ES"/>
        </w:rPr>
        <w:t xml:space="preserve"> las autoridades judiciales reconocieron que </w:t>
      </w:r>
      <w:r w:rsidR="007903C9">
        <w:rPr>
          <w:rFonts w:ascii="Cambria" w:hAnsi="Cambria"/>
          <w:sz w:val="20"/>
          <w:szCs w:val="20"/>
          <w:lang w:val="es-ES"/>
        </w:rPr>
        <w:t xml:space="preserve">no </w:t>
      </w:r>
      <w:r w:rsidR="007903C9" w:rsidRPr="003C2C65">
        <w:rPr>
          <w:rFonts w:ascii="Cambria" w:hAnsi="Cambria"/>
          <w:sz w:val="20"/>
          <w:szCs w:val="20"/>
          <w:lang w:val="es-ES"/>
        </w:rPr>
        <w:t xml:space="preserve">todas las comunidades del TIPNIS habían participado </w:t>
      </w:r>
      <w:r w:rsidR="001E2A88" w:rsidRPr="003C2C65">
        <w:rPr>
          <w:rFonts w:ascii="Cambria" w:hAnsi="Cambria"/>
          <w:sz w:val="20"/>
          <w:szCs w:val="20"/>
          <w:lang w:val="es-ES"/>
        </w:rPr>
        <w:t>del proceso de consulta</w:t>
      </w:r>
      <w:r w:rsidR="007903C9">
        <w:rPr>
          <w:rFonts w:ascii="Cambria" w:hAnsi="Cambria"/>
          <w:sz w:val="20"/>
          <w:szCs w:val="20"/>
          <w:lang w:val="es-ES"/>
        </w:rPr>
        <w:t>. El</w:t>
      </w:r>
      <w:r w:rsidR="001E2A88" w:rsidRPr="003C2C65">
        <w:rPr>
          <w:rFonts w:ascii="Cambria" w:hAnsi="Cambria"/>
          <w:sz w:val="20"/>
          <w:szCs w:val="20"/>
          <w:lang w:val="es-ES"/>
        </w:rPr>
        <w:t xml:space="preserve"> 30 de Julio de 2012 la Sala Civil Primera del Tribunal Departamental</w:t>
      </w:r>
      <w:r w:rsidR="00400C9B" w:rsidRPr="003C2C65">
        <w:rPr>
          <w:rFonts w:ascii="Cambria" w:hAnsi="Cambria"/>
          <w:sz w:val="20"/>
          <w:szCs w:val="20"/>
          <w:lang w:val="es-ES"/>
        </w:rPr>
        <w:t xml:space="preserve"> de Justicia de La Paz determinó</w:t>
      </w:r>
      <w:r w:rsidR="001E2A88" w:rsidRPr="003C2C65">
        <w:rPr>
          <w:rFonts w:ascii="Cambria" w:hAnsi="Cambria"/>
          <w:sz w:val="20"/>
          <w:szCs w:val="20"/>
          <w:lang w:val="es-ES"/>
        </w:rPr>
        <w:t xml:space="preserve"> que debía</w:t>
      </w:r>
      <w:r w:rsidR="00454F61">
        <w:rPr>
          <w:rFonts w:ascii="Cambria" w:hAnsi="Cambria"/>
          <w:sz w:val="20"/>
          <w:szCs w:val="20"/>
          <w:lang w:val="es-ES"/>
        </w:rPr>
        <w:t>n</w:t>
      </w:r>
      <w:r w:rsidR="001E2A88" w:rsidRPr="003C2C65">
        <w:rPr>
          <w:rFonts w:ascii="Cambria" w:hAnsi="Cambria"/>
          <w:sz w:val="20"/>
          <w:szCs w:val="20"/>
          <w:lang w:val="es-ES"/>
        </w:rPr>
        <w:t xml:space="preserve"> subsanarse errores de forma </w:t>
      </w:r>
      <w:r w:rsidR="007A4A01" w:rsidRPr="003C2C65">
        <w:rPr>
          <w:rFonts w:ascii="Cambria" w:hAnsi="Cambria"/>
          <w:sz w:val="20"/>
          <w:szCs w:val="20"/>
          <w:lang w:val="es-ES"/>
        </w:rPr>
        <w:t>para llevar a cabo la audiencia, por lo que la parte peticionaria procedió a corregir dichos errores y solicitar nuevamente la reali</w:t>
      </w:r>
      <w:r w:rsidR="00936ABD" w:rsidRPr="003C2C65">
        <w:rPr>
          <w:rFonts w:ascii="Cambria" w:hAnsi="Cambria"/>
          <w:sz w:val="20"/>
          <w:szCs w:val="20"/>
          <w:lang w:val="es-ES"/>
        </w:rPr>
        <w:t>zación de la audiencia</w:t>
      </w:r>
      <w:r w:rsidR="007A4A01" w:rsidRPr="003C2C65">
        <w:rPr>
          <w:rFonts w:ascii="Cambria" w:hAnsi="Cambria"/>
          <w:sz w:val="20"/>
          <w:szCs w:val="20"/>
          <w:lang w:val="es-ES"/>
        </w:rPr>
        <w:t xml:space="preserve">. El 18 de octubre de 2012 se celebró </w:t>
      </w:r>
      <w:r w:rsidR="007903C9">
        <w:rPr>
          <w:rFonts w:ascii="Cambria" w:hAnsi="Cambria"/>
          <w:sz w:val="20"/>
          <w:szCs w:val="20"/>
          <w:lang w:val="es-ES"/>
        </w:rPr>
        <w:t xml:space="preserve">una </w:t>
      </w:r>
      <w:r w:rsidR="007A4A01" w:rsidRPr="003C2C65">
        <w:rPr>
          <w:rFonts w:ascii="Cambria" w:hAnsi="Cambria"/>
          <w:sz w:val="20"/>
          <w:szCs w:val="20"/>
          <w:lang w:val="es-ES"/>
        </w:rPr>
        <w:t>audiencia de amparo en que la Sal</w:t>
      </w:r>
      <w:r w:rsidR="008269FA" w:rsidRPr="003C2C65">
        <w:rPr>
          <w:rFonts w:ascii="Cambria" w:hAnsi="Cambria"/>
          <w:sz w:val="20"/>
          <w:szCs w:val="20"/>
          <w:lang w:val="es-ES"/>
        </w:rPr>
        <w:t>a</w:t>
      </w:r>
      <w:r w:rsidR="007A4A01" w:rsidRPr="003C2C65">
        <w:rPr>
          <w:rFonts w:ascii="Cambria" w:hAnsi="Cambria"/>
          <w:sz w:val="20"/>
          <w:szCs w:val="20"/>
          <w:lang w:val="es-ES"/>
        </w:rPr>
        <w:t xml:space="preserve"> Civil Primera del Tribunal Departamental de Justici</w:t>
      </w:r>
      <w:r w:rsidR="0020480C" w:rsidRPr="003C2C65">
        <w:rPr>
          <w:rFonts w:ascii="Cambria" w:hAnsi="Cambria"/>
          <w:sz w:val="20"/>
          <w:szCs w:val="20"/>
          <w:lang w:val="es-ES"/>
        </w:rPr>
        <w:t>a</w:t>
      </w:r>
      <w:r w:rsidR="007A4A01" w:rsidRPr="003C2C65">
        <w:rPr>
          <w:rFonts w:ascii="Cambria" w:hAnsi="Cambria"/>
          <w:sz w:val="20"/>
          <w:szCs w:val="20"/>
          <w:lang w:val="es-ES"/>
        </w:rPr>
        <w:t xml:space="preserve"> de la Paz declaró </w:t>
      </w:r>
      <w:r w:rsidR="007903C9" w:rsidRPr="003C2C65">
        <w:rPr>
          <w:rFonts w:ascii="Cambria" w:hAnsi="Cambria"/>
          <w:sz w:val="20"/>
          <w:szCs w:val="20"/>
          <w:lang w:val="es-ES"/>
        </w:rPr>
        <w:t xml:space="preserve">improcedente </w:t>
      </w:r>
      <w:r w:rsidR="007A4A01" w:rsidRPr="003C2C65">
        <w:rPr>
          <w:rFonts w:ascii="Cambria" w:hAnsi="Cambria"/>
          <w:sz w:val="20"/>
          <w:szCs w:val="20"/>
          <w:lang w:val="es-ES"/>
        </w:rPr>
        <w:t>el recurso de amparo</w:t>
      </w:r>
      <w:r w:rsidR="00980286" w:rsidRPr="003C2C65">
        <w:rPr>
          <w:rFonts w:ascii="Cambria" w:hAnsi="Cambria"/>
          <w:sz w:val="20"/>
          <w:szCs w:val="20"/>
          <w:lang w:val="es-ES"/>
        </w:rPr>
        <w:t>,</w:t>
      </w:r>
      <w:r w:rsidR="007A4A01" w:rsidRPr="003C2C65">
        <w:rPr>
          <w:rFonts w:ascii="Cambria" w:hAnsi="Cambria"/>
          <w:sz w:val="20"/>
          <w:szCs w:val="20"/>
          <w:lang w:val="es-ES"/>
        </w:rPr>
        <w:t xml:space="preserve"> </w:t>
      </w:r>
      <w:r w:rsidR="00400C9B" w:rsidRPr="003C2C65">
        <w:rPr>
          <w:rFonts w:ascii="Cambria" w:hAnsi="Cambria"/>
          <w:sz w:val="20"/>
          <w:szCs w:val="20"/>
          <w:lang w:val="es-ES"/>
        </w:rPr>
        <w:t xml:space="preserve">y determinó que </w:t>
      </w:r>
      <w:r w:rsidR="007A4A01" w:rsidRPr="003C2C65">
        <w:rPr>
          <w:rFonts w:ascii="Cambria" w:hAnsi="Cambria"/>
          <w:sz w:val="20"/>
          <w:szCs w:val="20"/>
          <w:lang w:val="es-ES"/>
        </w:rPr>
        <w:t xml:space="preserve">con la consulta en el TIPNIS </w:t>
      </w:r>
      <w:r w:rsidR="00400C9B" w:rsidRPr="003C2C65">
        <w:rPr>
          <w:rFonts w:ascii="Cambria" w:hAnsi="Cambria"/>
          <w:sz w:val="20"/>
          <w:szCs w:val="20"/>
          <w:lang w:val="es-ES"/>
        </w:rPr>
        <w:t>no se había</w:t>
      </w:r>
      <w:r w:rsidR="007A4A01" w:rsidRPr="003C2C65">
        <w:rPr>
          <w:rFonts w:ascii="Cambria" w:hAnsi="Cambria"/>
          <w:sz w:val="20"/>
          <w:szCs w:val="20"/>
          <w:lang w:val="es-ES"/>
        </w:rPr>
        <w:t xml:space="preserve"> generado una vulneración a los derechos </w:t>
      </w:r>
      <w:r w:rsidR="00400C9B" w:rsidRPr="003C2C65">
        <w:rPr>
          <w:rFonts w:ascii="Cambria" w:hAnsi="Cambria"/>
          <w:sz w:val="20"/>
          <w:szCs w:val="20"/>
          <w:lang w:val="es-ES"/>
        </w:rPr>
        <w:t>de los pueblos indígenas</w:t>
      </w:r>
      <w:r w:rsidR="007A4A01" w:rsidRPr="003C2C65">
        <w:rPr>
          <w:rFonts w:ascii="Cambria" w:hAnsi="Cambria"/>
          <w:sz w:val="20"/>
          <w:szCs w:val="20"/>
          <w:lang w:val="es-ES"/>
        </w:rPr>
        <w:t xml:space="preserve">. </w:t>
      </w:r>
      <w:r w:rsidR="007903C9">
        <w:rPr>
          <w:rFonts w:ascii="Cambria" w:hAnsi="Cambria"/>
          <w:sz w:val="20"/>
          <w:szCs w:val="20"/>
          <w:lang w:val="es-ES"/>
        </w:rPr>
        <w:t xml:space="preserve">A pesar de que </w:t>
      </w:r>
      <w:r w:rsidR="0020480C" w:rsidRPr="003C2C65">
        <w:rPr>
          <w:rFonts w:ascii="Cambria" w:hAnsi="Cambria"/>
          <w:sz w:val="20"/>
          <w:szCs w:val="20"/>
          <w:lang w:val="es-ES"/>
        </w:rPr>
        <w:t xml:space="preserve">no </w:t>
      </w:r>
      <w:r w:rsidR="007903C9">
        <w:rPr>
          <w:rFonts w:ascii="Cambria" w:hAnsi="Cambria"/>
          <w:sz w:val="20"/>
          <w:szCs w:val="20"/>
          <w:lang w:val="es-ES"/>
        </w:rPr>
        <w:t xml:space="preserve">había sido </w:t>
      </w:r>
      <w:r w:rsidR="0020480C" w:rsidRPr="003C2C65">
        <w:rPr>
          <w:rFonts w:ascii="Cambria" w:hAnsi="Cambria"/>
          <w:sz w:val="20"/>
          <w:szCs w:val="20"/>
          <w:lang w:val="es-ES"/>
        </w:rPr>
        <w:lastRenderedPageBreak/>
        <w:t xml:space="preserve">impugnada, </w:t>
      </w:r>
      <w:r w:rsidR="007903C9">
        <w:rPr>
          <w:rFonts w:ascii="Cambria" w:hAnsi="Cambria"/>
          <w:sz w:val="20"/>
          <w:szCs w:val="20"/>
          <w:lang w:val="es-ES"/>
        </w:rPr>
        <w:t xml:space="preserve">dicha decisión </w:t>
      </w:r>
      <w:r w:rsidR="0020480C" w:rsidRPr="003C2C65">
        <w:rPr>
          <w:rFonts w:ascii="Cambria" w:hAnsi="Cambria"/>
          <w:sz w:val="20"/>
          <w:szCs w:val="20"/>
          <w:lang w:val="es-ES"/>
        </w:rPr>
        <w:t>fue enviada de oficio al Tribunal Constitucional</w:t>
      </w:r>
      <w:r w:rsidR="007903C9">
        <w:rPr>
          <w:rFonts w:ascii="Cambria" w:hAnsi="Cambria"/>
          <w:sz w:val="20"/>
          <w:szCs w:val="20"/>
          <w:lang w:val="es-ES"/>
        </w:rPr>
        <w:t>;</w:t>
      </w:r>
      <w:r w:rsidR="00454F61">
        <w:rPr>
          <w:rFonts w:ascii="Cambria" w:hAnsi="Cambria"/>
          <w:sz w:val="20"/>
          <w:szCs w:val="20"/>
          <w:lang w:val="es-ES"/>
        </w:rPr>
        <w:t xml:space="preserve"> </w:t>
      </w:r>
      <w:r w:rsidR="00454F61" w:rsidRPr="00C55865">
        <w:rPr>
          <w:rFonts w:ascii="Cambria" w:hAnsi="Cambria"/>
          <w:sz w:val="20"/>
          <w:szCs w:val="20"/>
          <w:lang w:val="es-ES"/>
        </w:rPr>
        <w:t>el</w:t>
      </w:r>
      <w:r w:rsidR="0020480C" w:rsidRPr="00C55865">
        <w:rPr>
          <w:rFonts w:ascii="Cambria" w:hAnsi="Cambria"/>
          <w:sz w:val="20"/>
          <w:szCs w:val="20"/>
          <w:lang w:val="es-ES"/>
        </w:rPr>
        <w:t xml:space="preserve"> 5 de marzo de 2013 </w:t>
      </w:r>
      <w:r w:rsidR="007903C9" w:rsidRPr="003C2C65">
        <w:rPr>
          <w:rFonts w:ascii="Cambria" w:hAnsi="Cambria"/>
          <w:sz w:val="20"/>
          <w:szCs w:val="20"/>
          <w:lang w:val="es-ES"/>
        </w:rPr>
        <w:t>confirmó la decisión de primera instancia</w:t>
      </w:r>
      <w:r w:rsidR="007903C9" w:rsidRPr="00C55865">
        <w:rPr>
          <w:rFonts w:ascii="Cambria" w:hAnsi="Cambria"/>
          <w:sz w:val="20"/>
          <w:szCs w:val="20"/>
          <w:lang w:val="es-ES"/>
        </w:rPr>
        <w:t xml:space="preserve"> </w:t>
      </w:r>
      <w:r w:rsidR="007903C9">
        <w:rPr>
          <w:rFonts w:ascii="Cambria" w:hAnsi="Cambria"/>
          <w:sz w:val="20"/>
          <w:szCs w:val="20"/>
          <w:lang w:val="es-ES"/>
        </w:rPr>
        <w:t>mediante</w:t>
      </w:r>
      <w:r w:rsidR="0020480C" w:rsidRPr="00C55865">
        <w:rPr>
          <w:rFonts w:ascii="Cambria" w:hAnsi="Cambria"/>
          <w:sz w:val="20"/>
          <w:szCs w:val="20"/>
          <w:lang w:val="es-ES"/>
        </w:rPr>
        <w:t xml:space="preserve"> </w:t>
      </w:r>
      <w:r w:rsidR="007903C9">
        <w:rPr>
          <w:rFonts w:ascii="Cambria" w:hAnsi="Cambria"/>
          <w:sz w:val="20"/>
          <w:szCs w:val="20"/>
          <w:lang w:val="es-ES"/>
        </w:rPr>
        <w:t>su</w:t>
      </w:r>
      <w:r w:rsidR="0020480C" w:rsidRPr="00C55865">
        <w:rPr>
          <w:rFonts w:ascii="Cambria" w:hAnsi="Cambria"/>
          <w:sz w:val="20"/>
          <w:szCs w:val="20"/>
          <w:lang w:val="es-ES"/>
        </w:rPr>
        <w:t xml:space="preserve"> sentencia N</w:t>
      </w:r>
      <w:r w:rsidR="007903C9">
        <w:rPr>
          <w:rFonts w:ascii="Cambria" w:hAnsi="Cambria"/>
          <w:sz w:val="20"/>
          <w:szCs w:val="20"/>
          <w:lang w:val="es-ES"/>
        </w:rPr>
        <w:t>o</w:t>
      </w:r>
      <w:r w:rsidR="0020480C" w:rsidRPr="00C55865">
        <w:rPr>
          <w:rFonts w:ascii="Cambria" w:hAnsi="Cambria"/>
          <w:sz w:val="20"/>
          <w:szCs w:val="20"/>
          <w:lang w:val="es-ES"/>
        </w:rPr>
        <w:t>. 0212</w:t>
      </w:r>
      <w:r w:rsidR="0020480C" w:rsidRPr="003C2C65">
        <w:rPr>
          <w:rFonts w:ascii="Cambria" w:hAnsi="Cambria"/>
          <w:sz w:val="20"/>
          <w:szCs w:val="20"/>
          <w:lang w:val="es-ES"/>
        </w:rPr>
        <w:t>.</w:t>
      </w:r>
    </w:p>
    <w:p w14:paraId="3672425F" w14:textId="42D14628" w:rsidR="00B5236C" w:rsidRPr="003C2C65" w:rsidRDefault="00AA6077"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C2C65">
        <w:rPr>
          <w:rFonts w:ascii="Cambria" w:hAnsi="Cambria"/>
          <w:sz w:val="20"/>
          <w:szCs w:val="20"/>
          <w:lang w:val="es-ES"/>
        </w:rPr>
        <w:t xml:space="preserve">Explican los peticionarios que no presentaron </w:t>
      </w:r>
      <w:r w:rsidR="007903C9">
        <w:rPr>
          <w:rFonts w:ascii="Cambria" w:hAnsi="Cambria"/>
          <w:sz w:val="20"/>
          <w:szCs w:val="20"/>
          <w:lang w:val="es-ES"/>
        </w:rPr>
        <w:t xml:space="preserve">una </w:t>
      </w:r>
      <w:r w:rsidR="007903C9" w:rsidRPr="003C2C65">
        <w:rPr>
          <w:rFonts w:ascii="Cambria" w:hAnsi="Cambria"/>
          <w:sz w:val="20"/>
          <w:szCs w:val="20"/>
          <w:lang w:val="es-ES"/>
        </w:rPr>
        <w:t xml:space="preserve">acción popular </w:t>
      </w:r>
      <w:r w:rsidRPr="003C2C65">
        <w:rPr>
          <w:rFonts w:ascii="Cambria" w:hAnsi="Cambria"/>
          <w:sz w:val="20"/>
          <w:szCs w:val="20"/>
          <w:lang w:val="es-ES"/>
        </w:rPr>
        <w:t>de forma directa, sino que más bien participaron como terceros interesados en la presentada por el ciudadano</w:t>
      </w:r>
      <w:r w:rsidR="00E12EDF" w:rsidRPr="003C2C65">
        <w:rPr>
          <w:rFonts w:ascii="Cambria" w:hAnsi="Cambria"/>
          <w:sz w:val="20"/>
          <w:szCs w:val="20"/>
          <w:lang w:val="es-ES"/>
        </w:rPr>
        <w:t xml:space="preserve"> Loyola</w:t>
      </w:r>
      <w:r w:rsidRPr="003C2C65">
        <w:rPr>
          <w:rFonts w:ascii="Cambria" w:hAnsi="Cambria"/>
          <w:sz w:val="20"/>
          <w:szCs w:val="20"/>
          <w:lang w:val="es-ES"/>
        </w:rPr>
        <w:t xml:space="preserve"> Guzmán Lara de Melgar y otros</w:t>
      </w:r>
      <w:r w:rsidR="00E12EDF" w:rsidRPr="003C2C65">
        <w:rPr>
          <w:rFonts w:ascii="Cambria" w:hAnsi="Cambria"/>
          <w:sz w:val="20"/>
          <w:szCs w:val="20"/>
          <w:lang w:val="es-ES"/>
        </w:rPr>
        <w:t xml:space="preserve">. </w:t>
      </w:r>
      <w:r w:rsidR="007903C9">
        <w:rPr>
          <w:rFonts w:ascii="Cambria" w:hAnsi="Cambria"/>
          <w:sz w:val="20"/>
          <w:szCs w:val="20"/>
          <w:lang w:val="es-ES"/>
        </w:rPr>
        <w:t>Dicha</w:t>
      </w:r>
      <w:r w:rsidR="00E12EDF" w:rsidRPr="003C2C65">
        <w:rPr>
          <w:rFonts w:ascii="Cambria" w:hAnsi="Cambria"/>
          <w:sz w:val="20"/>
          <w:szCs w:val="20"/>
          <w:lang w:val="es-ES"/>
        </w:rPr>
        <w:t xml:space="preserve"> acción popular fue</w:t>
      </w:r>
      <w:r w:rsidR="001B5D64" w:rsidRPr="003C2C65">
        <w:rPr>
          <w:rFonts w:ascii="Cambria" w:hAnsi="Cambria"/>
          <w:sz w:val="20"/>
          <w:szCs w:val="20"/>
          <w:lang w:val="es-ES"/>
        </w:rPr>
        <w:t xml:space="preserve"> inicialmente</w:t>
      </w:r>
      <w:r w:rsidR="00E12EDF" w:rsidRPr="003C2C65">
        <w:rPr>
          <w:rFonts w:ascii="Cambria" w:hAnsi="Cambria"/>
          <w:sz w:val="20"/>
          <w:szCs w:val="20"/>
          <w:lang w:val="es-ES"/>
        </w:rPr>
        <w:t xml:space="preserve"> rechazada por la Sala Civil Tercera del Tribunal Departamental de Justicia de La Paz</w:t>
      </w:r>
      <w:r w:rsidR="007903C9">
        <w:rPr>
          <w:rFonts w:ascii="Cambria" w:hAnsi="Cambria"/>
          <w:sz w:val="20"/>
          <w:szCs w:val="20"/>
          <w:lang w:val="es-ES"/>
        </w:rPr>
        <w:t>;</w:t>
      </w:r>
      <w:r w:rsidR="001B5D64" w:rsidRPr="003C2C65">
        <w:rPr>
          <w:rFonts w:ascii="Cambria" w:hAnsi="Cambria"/>
          <w:sz w:val="20"/>
          <w:szCs w:val="20"/>
          <w:lang w:val="es-ES"/>
        </w:rPr>
        <w:t xml:space="preserve"> </w:t>
      </w:r>
      <w:r w:rsidR="007903C9">
        <w:rPr>
          <w:rFonts w:ascii="Cambria" w:hAnsi="Cambria"/>
          <w:sz w:val="20"/>
          <w:szCs w:val="20"/>
          <w:lang w:val="es-ES"/>
        </w:rPr>
        <w:t>y</w:t>
      </w:r>
      <w:r w:rsidR="001B5D64" w:rsidRPr="003C2C65">
        <w:rPr>
          <w:rFonts w:ascii="Cambria" w:hAnsi="Cambria"/>
          <w:sz w:val="20"/>
          <w:szCs w:val="20"/>
          <w:lang w:val="es-ES"/>
        </w:rPr>
        <w:t xml:space="preserve"> el 28 de febrero de 2013 el Tribunal Constitucional Plurinacional rechazó la solicitud que se </w:t>
      </w:r>
      <w:r w:rsidR="008354E3" w:rsidRPr="003C2C65">
        <w:rPr>
          <w:rFonts w:ascii="Cambria" w:hAnsi="Cambria"/>
          <w:sz w:val="20"/>
          <w:szCs w:val="20"/>
          <w:lang w:val="es-ES"/>
        </w:rPr>
        <w:t>planteaba a</w:t>
      </w:r>
      <w:r w:rsidR="001B5D64" w:rsidRPr="003C2C65">
        <w:rPr>
          <w:rFonts w:ascii="Cambria" w:hAnsi="Cambria"/>
          <w:sz w:val="20"/>
          <w:szCs w:val="20"/>
          <w:lang w:val="es-ES"/>
        </w:rPr>
        <w:t xml:space="preserve"> través de la acción p</w:t>
      </w:r>
      <w:r w:rsidRPr="003C2C65">
        <w:rPr>
          <w:rFonts w:ascii="Cambria" w:hAnsi="Cambria"/>
          <w:sz w:val="20"/>
          <w:szCs w:val="20"/>
          <w:lang w:val="es-ES"/>
        </w:rPr>
        <w:t>opular. El argumento de</w:t>
      </w:r>
      <w:r w:rsidR="001B5D64" w:rsidRPr="003C2C65">
        <w:rPr>
          <w:rFonts w:ascii="Cambria" w:hAnsi="Cambria"/>
          <w:sz w:val="20"/>
          <w:szCs w:val="20"/>
          <w:lang w:val="es-ES"/>
        </w:rPr>
        <w:t xml:space="preserve">l Tribunal </w:t>
      </w:r>
      <w:r w:rsidRPr="003C2C65">
        <w:rPr>
          <w:rFonts w:ascii="Cambria" w:hAnsi="Cambria"/>
          <w:sz w:val="20"/>
          <w:szCs w:val="20"/>
          <w:lang w:val="es-ES"/>
        </w:rPr>
        <w:t>se basó en que ya se habían presentado una multiplic</w:t>
      </w:r>
      <w:r w:rsidR="007903C9">
        <w:rPr>
          <w:rFonts w:ascii="Cambria" w:hAnsi="Cambria"/>
          <w:sz w:val="20"/>
          <w:szCs w:val="20"/>
          <w:lang w:val="es-ES"/>
        </w:rPr>
        <w:t>idad</w:t>
      </w:r>
      <w:r w:rsidRPr="003C2C65">
        <w:rPr>
          <w:rFonts w:ascii="Cambria" w:hAnsi="Cambria"/>
          <w:sz w:val="20"/>
          <w:szCs w:val="20"/>
          <w:lang w:val="es-ES"/>
        </w:rPr>
        <w:t xml:space="preserve"> d</w:t>
      </w:r>
      <w:r w:rsidR="00454F61">
        <w:rPr>
          <w:rFonts w:ascii="Cambria" w:hAnsi="Cambria"/>
          <w:sz w:val="20"/>
          <w:szCs w:val="20"/>
          <w:lang w:val="es-ES"/>
        </w:rPr>
        <w:t xml:space="preserve">e acciones populares, </w:t>
      </w:r>
      <w:r w:rsidR="007903C9">
        <w:rPr>
          <w:rFonts w:ascii="Cambria" w:hAnsi="Cambria"/>
          <w:sz w:val="20"/>
          <w:szCs w:val="20"/>
          <w:lang w:val="es-ES"/>
        </w:rPr>
        <w:t>que</w:t>
      </w:r>
      <w:r w:rsidR="00454F61">
        <w:rPr>
          <w:rFonts w:ascii="Cambria" w:hAnsi="Cambria"/>
          <w:sz w:val="20"/>
          <w:szCs w:val="20"/>
          <w:lang w:val="es-ES"/>
        </w:rPr>
        <w:t xml:space="preserve"> habrían podido resumir</w:t>
      </w:r>
      <w:r w:rsidR="007903C9">
        <w:rPr>
          <w:rFonts w:ascii="Cambria" w:hAnsi="Cambria"/>
          <w:sz w:val="20"/>
          <w:szCs w:val="20"/>
          <w:lang w:val="es-ES"/>
        </w:rPr>
        <w:t>se</w:t>
      </w:r>
      <w:r w:rsidR="00454F61">
        <w:rPr>
          <w:rFonts w:ascii="Cambria" w:hAnsi="Cambria"/>
          <w:sz w:val="20"/>
          <w:szCs w:val="20"/>
          <w:lang w:val="es-ES"/>
        </w:rPr>
        <w:t xml:space="preserve"> </w:t>
      </w:r>
      <w:r w:rsidR="001B5D64" w:rsidRPr="003C2C65">
        <w:rPr>
          <w:rFonts w:ascii="Cambria" w:hAnsi="Cambria"/>
          <w:sz w:val="20"/>
          <w:szCs w:val="20"/>
          <w:lang w:val="es-ES"/>
        </w:rPr>
        <w:t>en un solo petitorio</w:t>
      </w:r>
      <w:r w:rsidR="007903C9">
        <w:rPr>
          <w:rFonts w:ascii="Cambria" w:hAnsi="Cambria"/>
          <w:sz w:val="20"/>
          <w:szCs w:val="20"/>
          <w:lang w:val="es-ES"/>
        </w:rPr>
        <w:t>.</w:t>
      </w:r>
      <w:r w:rsidR="001B5D64" w:rsidRPr="003C2C65">
        <w:rPr>
          <w:rFonts w:ascii="Cambria" w:hAnsi="Cambria"/>
          <w:sz w:val="20"/>
          <w:szCs w:val="20"/>
          <w:lang w:val="es-ES"/>
        </w:rPr>
        <w:t xml:space="preserve"> </w:t>
      </w:r>
      <w:r w:rsidR="007903C9">
        <w:rPr>
          <w:rFonts w:ascii="Cambria" w:hAnsi="Cambria"/>
          <w:sz w:val="20"/>
          <w:szCs w:val="20"/>
          <w:lang w:val="es-ES"/>
        </w:rPr>
        <w:t xml:space="preserve">Sostuvo </w:t>
      </w:r>
      <w:r w:rsidR="001B5D64" w:rsidRPr="003C2C65">
        <w:rPr>
          <w:rFonts w:ascii="Cambria" w:hAnsi="Cambria"/>
          <w:sz w:val="20"/>
          <w:szCs w:val="20"/>
          <w:lang w:val="es-ES"/>
        </w:rPr>
        <w:t xml:space="preserve">además </w:t>
      </w:r>
      <w:r w:rsidR="007903C9">
        <w:rPr>
          <w:rFonts w:ascii="Cambria" w:hAnsi="Cambria"/>
          <w:sz w:val="20"/>
          <w:szCs w:val="20"/>
          <w:lang w:val="es-ES"/>
        </w:rPr>
        <w:t>que hab</w:t>
      </w:r>
      <w:r w:rsidRPr="003C2C65">
        <w:rPr>
          <w:rFonts w:ascii="Cambria" w:hAnsi="Cambria"/>
          <w:sz w:val="20"/>
          <w:szCs w:val="20"/>
          <w:lang w:val="es-ES"/>
        </w:rPr>
        <w:t>ía una</w:t>
      </w:r>
      <w:r w:rsidR="001B5D64" w:rsidRPr="003C2C65">
        <w:rPr>
          <w:rFonts w:ascii="Cambria" w:hAnsi="Cambria"/>
          <w:sz w:val="20"/>
          <w:szCs w:val="20"/>
          <w:lang w:val="es-ES"/>
        </w:rPr>
        <w:t xml:space="preserve"> acción popular </w:t>
      </w:r>
      <w:r w:rsidRPr="003C2C65">
        <w:rPr>
          <w:rFonts w:ascii="Cambria" w:hAnsi="Cambria"/>
          <w:sz w:val="20"/>
          <w:szCs w:val="20"/>
          <w:lang w:val="es-ES"/>
        </w:rPr>
        <w:t xml:space="preserve">previa a la interpuesta por el </w:t>
      </w:r>
      <w:r w:rsidR="007903C9">
        <w:rPr>
          <w:rFonts w:ascii="Cambria" w:hAnsi="Cambria"/>
          <w:sz w:val="20"/>
          <w:szCs w:val="20"/>
          <w:lang w:val="es-ES"/>
        </w:rPr>
        <w:t xml:space="preserve">señor </w:t>
      </w:r>
      <w:r w:rsidR="00B868A7" w:rsidRPr="003C2C65">
        <w:rPr>
          <w:rFonts w:ascii="Cambria" w:hAnsi="Cambria"/>
          <w:sz w:val="20"/>
          <w:szCs w:val="20"/>
          <w:lang w:val="es-ES"/>
        </w:rPr>
        <w:t>Guzmán</w:t>
      </w:r>
      <w:r w:rsidRPr="003C2C65">
        <w:rPr>
          <w:rFonts w:ascii="Cambria" w:hAnsi="Cambria"/>
          <w:sz w:val="20"/>
          <w:szCs w:val="20"/>
          <w:lang w:val="es-ES"/>
        </w:rPr>
        <w:t xml:space="preserve"> Lara </w:t>
      </w:r>
      <w:r w:rsidR="001B5D64" w:rsidRPr="003C2C65">
        <w:rPr>
          <w:rFonts w:ascii="Cambria" w:hAnsi="Cambria"/>
          <w:sz w:val="20"/>
          <w:szCs w:val="20"/>
          <w:lang w:val="es-ES"/>
        </w:rPr>
        <w:t>que denunciaba la carretera que atravesaría el TIPNIS</w:t>
      </w:r>
      <w:r w:rsidRPr="003C2C65">
        <w:rPr>
          <w:rFonts w:ascii="Cambria" w:hAnsi="Cambria"/>
          <w:sz w:val="20"/>
          <w:szCs w:val="20"/>
          <w:lang w:val="es-ES"/>
        </w:rPr>
        <w:t xml:space="preserve">, </w:t>
      </w:r>
      <w:r w:rsidR="00454F61">
        <w:rPr>
          <w:rFonts w:ascii="Cambria" w:hAnsi="Cambria"/>
          <w:sz w:val="20"/>
          <w:szCs w:val="20"/>
          <w:lang w:val="es-ES"/>
        </w:rPr>
        <w:t xml:space="preserve">por lo que </w:t>
      </w:r>
      <w:r w:rsidR="00011353" w:rsidRPr="003C2C65">
        <w:rPr>
          <w:rFonts w:ascii="Cambria" w:hAnsi="Cambria"/>
          <w:sz w:val="20"/>
          <w:szCs w:val="20"/>
          <w:lang w:val="es-ES"/>
        </w:rPr>
        <w:t xml:space="preserve">la </w:t>
      </w:r>
      <w:r w:rsidRPr="003C2C65">
        <w:rPr>
          <w:rFonts w:ascii="Cambria" w:hAnsi="Cambria"/>
          <w:sz w:val="20"/>
          <w:szCs w:val="20"/>
          <w:lang w:val="es-ES"/>
        </w:rPr>
        <w:t>decisión fue de</w:t>
      </w:r>
      <w:r w:rsidR="00454F61">
        <w:rPr>
          <w:rFonts w:ascii="Cambria" w:hAnsi="Cambria"/>
          <w:sz w:val="20"/>
          <w:szCs w:val="20"/>
          <w:lang w:val="es-ES"/>
        </w:rPr>
        <w:t>clarar la inexistencia de</w:t>
      </w:r>
      <w:r w:rsidR="001B5D64" w:rsidRPr="003C2C65">
        <w:rPr>
          <w:rFonts w:ascii="Cambria" w:hAnsi="Cambria"/>
          <w:sz w:val="20"/>
          <w:szCs w:val="20"/>
          <w:lang w:val="es-ES"/>
        </w:rPr>
        <w:t xml:space="preserve"> amenaza</w:t>
      </w:r>
      <w:r w:rsidR="00454F61">
        <w:rPr>
          <w:rFonts w:ascii="Cambria" w:hAnsi="Cambria"/>
          <w:sz w:val="20"/>
          <w:szCs w:val="20"/>
          <w:lang w:val="es-ES"/>
        </w:rPr>
        <w:t>s</w:t>
      </w:r>
      <w:r w:rsidR="001B5D64" w:rsidRPr="003C2C65">
        <w:rPr>
          <w:rFonts w:ascii="Cambria" w:hAnsi="Cambria"/>
          <w:sz w:val="20"/>
          <w:szCs w:val="20"/>
          <w:lang w:val="es-ES"/>
        </w:rPr>
        <w:t xml:space="preserve"> al derecho al medio ambiente sano. </w:t>
      </w:r>
      <w:r w:rsidR="00454F61">
        <w:rPr>
          <w:rFonts w:ascii="Cambria" w:hAnsi="Cambria"/>
          <w:sz w:val="20"/>
          <w:szCs w:val="20"/>
          <w:lang w:val="es-ES"/>
        </w:rPr>
        <w:t xml:space="preserve">Por lo anterior, </w:t>
      </w:r>
      <w:r w:rsidR="001B5D64" w:rsidRPr="003C2C65">
        <w:rPr>
          <w:rFonts w:ascii="Cambria" w:hAnsi="Cambria"/>
          <w:sz w:val="20"/>
          <w:szCs w:val="20"/>
          <w:lang w:val="es-ES"/>
        </w:rPr>
        <w:t xml:space="preserve">los peticionarios argumentan que la acción popular no es un recurso adecuado ni efectivo en el </w:t>
      </w:r>
      <w:r w:rsidR="007903C9">
        <w:rPr>
          <w:rFonts w:ascii="Cambria" w:hAnsi="Cambria"/>
          <w:sz w:val="20"/>
          <w:szCs w:val="20"/>
          <w:lang w:val="es-ES"/>
        </w:rPr>
        <w:t>asunto bajo consideración;</w:t>
      </w:r>
      <w:r w:rsidR="001B5D64" w:rsidRPr="003C2C65">
        <w:rPr>
          <w:rFonts w:ascii="Cambria" w:hAnsi="Cambria"/>
          <w:sz w:val="20"/>
          <w:szCs w:val="20"/>
          <w:lang w:val="es-ES"/>
        </w:rPr>
        <w:t xml:space="preserve"> y </w:t>
      </w:r>
      <w:r w:rsidR="007903C9" w:rsidRPr="003C2C65">
        <w:rPr>
          <w:rFonts w:ascii="Cambria" w:hAnsi="Cambria"/>
          <w:sz w:val="20"/>
          <w:szCs w:val="20"/>
          <w:lang w:val="es-ES"/>
        </w:rPr>
        <w:t>que,</w:t>
      </w:r>
      <w:r w:rsidR="007903C9">
        <w:rPr>
          <w:rFonts w:ascii="Cambria" w:hAnsi="Cambria"/>
          <w:sz w:val="20"/>
          <w:szCs w:val="20"/>
          <w:lang w:val="es-ES"/>
        </w:rPr>
        <w:t xml:space="preserve"> si lo fuera,</w:t>
      </w:r>
      <w:r w:rsidR="001B5D64" w:rsidRPr="003C2C65">
        <w:rPr>
          <w:rFonts w:ascii="Cambria" w:hAnsi="Cambria"/>
          <w:sz w:val="20"/>
          <w:szCs w:val="20"/>
          <w:lang w:val="es-ES"/>
        </w:rPr>
        <w:t xml:space="preserve"> ya lo hab</w:t>
      </w:r>
      <w:r w:rsidR="007903C9">
        <w:rPr>
          <w:rFonts w:ascii="Cambria" w:hAnsi="Cambria"/>
          <w:sz w:val="20"/>
          <w:szCs w:val="20"/>
          <w:lang w:val="es-ES"/>
        </w:rPr>
        <w:t>r</w:t>
      </w:r>
      <w:r w:rsidR="001B5D64" w:rsidRPr="003C2C65">
        <w:rPr>
          <w:rFonts w:ascii="Cambria" w:hAnsi="Cambria"/>
          <w:sz w:val="20"/>
          <w:szCs w:val="20"/>
          <w:lang w:val="es-ES"/>
        </w:rPr>
        <w:t xml:space="preserve">ían agotado </w:t>
      </w:r>
      <w:r w:rsidR="00F73782" w:rsidRPr="003C2C65">
        <w:rPr>
          <w:rFonts w:ascii="Cambria" w:hAnsi="Cambria"/>
          <w:sz w:val="20"/>
          <w:szCs w:val="20"/>
          <w:lang w:val="es-ES"/>
        </w:rPr>
        <w:t>como terceros interesados.</w:t>
      </w:r>
    </w:p>
    <w:p w14:paraId="39BE3734" w14:textId="40B062D2" w:rsidR="00D24E5D" w:rsidRPr="003C2C65" w:rsidRDefault="00F0510A" w:rsidP="00F051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C2C65">
        <w:rPr>
          <w:rFonts w:ascii="Cambria" w:hAnsi="Cambria"/>
          <w:sz w:val="20"/>
          <w:szCs w:val="20"/>
          <w:lang w:val="es-ES"/>
        </w:rPr>
        <w:t>Por su parte</w:t>
      </w:r>
      <w:r w:rsidR="00F73782" w:rsidRPr="003C2C65">
        <w:rPr>
          <w:rFonts w:ascii="Cambria" w:hAnsi="Cambria"/>
          <w:sz w:val="20"/>
          <w:szCs w:val="20"/>
          <w:lang w:val="es-ES"/>
        </w:rPr>
        <w:t xml:space="preserve">, el Estado manifiesta que la construcción del tramo </w:t>
      </w:r>
      <w:r w:rsidR="000F4098">
        <w:rPr>
          <w:rFonts w:ascii="Cambria" w:hAnsi="Cambria"/>
          <w:sz w:val="20"/>
          <w:szCs w:val="20"/>
          <w:lang w:val="es-ES"/>
        </w:rPr>
        <w:t>V</w:t>
      </w:r>
      <w:r w:rsidR="00F73782" w:rsidRPr="003C2C65">
        <w:rPr>
          <w:rFonts w:ascii="Cambria" w:hAnsi="Cambria"/>
          <w:sz w:val="20"/>
          <w:szCs w:val="20"/>
          <w:lang w:val="es-ES"/>
        </w:rPr>
        <w:t xml:space="preserve">illa </w:t>
      </w:r>
      <w:proofErr w:type="spellStart"/>
      <w:r w:rsidR="00F73782" w:rsidRPr="003C2C65">
        <w:rPr>
          <w:rFonts w:ascii="Cambria" w:hAnsi="Cambria"/>
          <w:sz w:val="20"/>
          <w:szCs w:val="20"/>
          <w:lang w:val="es-ES"/>
        </w:rPr>
        <w:t>Tu</w:t>
      </w:r>
      <w:r w:rsidR="000F4098">
        <w:rPr>
          <w:rFonts w:ascii="Cambria" w:hAnsi="Cambria"/>
          <w:sz w:val="20"/>
          <w:szCs w:val="20"/>
          <w:lang w:val="es-ES"/>
        </w:rPr>
        <w:t>r</w:t>
      </w:r>
      <w:r w:rsidR="00F73782" w:rsidRPr="003C2C65">
        <w:rPr>
          <w:rFonts w:ascii="Cambria" w:hAnsi="Cambria"/>
          <w:sz w:val="20"/>
          <w:szCs w:val="20"/>
          <w:lang w:val="es-ES"/>
        </w:rPr>
        <w:t>a</w:t>
      </w:r>
      <w:r w:rsidR="000F4098">
        <w:rPr>
          <w:rFonts w:ascii="Cambria" w:hAnsi="Cambria"/>
          <w:sz w:val="20"/>
          <w:szCs w:val="20"/>
          <w:lang w:val="es-ES"/>
        </w:rPr>
        <w:t>n</w:t>
      </w:r>
      <w:r w:rsidR="00F73782" w:rsidRPr="003C2C65">
        <w:rPr>
          <w:rFonts w:ascii="Cambria" w:hAnsi="Cambria"/>
          <w:sz w:val="20"/>
          <w:szCs w:val="20"/>
          <w:lang w:val="es-ES"/>
        </w:rPr>
        <w:t>i</w:t>
      </w:r>
      <w:proofErr w:type="spellEnd"/>
      <w:r w:rsidR="00F73782" w:rsidRPr="003C2C65">
        <w:rPr>
          <w:rFonts w:ascii="Cambria" w:hAnsi="Cambria"/>
          <w:sz w:val="20"/>
          <w:szCs w:val="20"/>
          <w:lang w:val="es-ES"/>
        </w:rPr>
        <w:t xml:space="preserve">-San Ignacio de </w:t>
      </w:r>
      <w:proofErr w:type="spellStart"/>
      <w:r w:rsidR="00F73782" w:rsidRPr="003C2C65">
        <w:rPr>
          <w:rFonts w:ascii="Cambria" w:hAnsi="Cambria"/>
          <w:sz w:val="20"/>
          <w:szCs w:val="20"/>
          <w:lang w:val="es-ES"/>
        </w:rPr>
        <w:t>Moxos</w:t>
      </w:r>
      <w:proofErr w:type="spellEnd"/>
      <w:r w:rsidR="00F73782" w:rsidRPr="003C2C65">
        <w:rPr>
          <w:rFonts w:ascii="Cambria" w:hAnsi="Cambria"/>
          <w:sz w:val="20"/>
          <w:szCs w:val="20"/>
          <w:lang w:val="es-ES"/>
        </w:rPr>
        <w:t xml:space="preserve"> responde a </w:t>
      </w:r>
      <w:proofErr w:type="gramStart"/>
      <w:r w:rsidR="00F73782" w:rsidRPr="003C2C65">
        <w:rPr>
          <w:rFonts w:ascii="Cambria" w:hAnsi="Cambria"/>
          <w:sz w:val="20"/>
          <w:szCs w:val="20"/>
          <w:lang w:val="es-ES"/>
        </w:rPr>
        <w:t>un</w:t>
      </w:r>
      <w:proofErr w:type="gramEnd"/>
      <w:r w:rsidR="00F73782" w:rsidRPr="003C2C65">
        <w:rPr>
          <w:rFonts w:ascii="Cambria" w:hAnsi="Cambria"/>
          <w:sz w:val="20"/>
          <w:szCs w:val="20"/>
          <w:lang w:val="es-ES"/>
        </w:rPr>
        <w:t xml:space="preserve"> necesidad pública e histórica de vincular al</w:t>
      </w:r>
      <w:r w:rsidR="00495B4A">
        <w:rPr>
          <w:rFonts w:ascii="Cambria" w:hAnsi="Cambria"/>
          <w:sz w:val="20"/>
          <w:szCs w:val="20"/>
          <w:lang w:val="es-ES"/>
        </w:rPr>
        <w:t xml:space="preserve"> </w:t>
      </w:r>
      <w:r w:rsidR="007903C9">
        <w:rPr>
          <w:rFonts w:ascii="Cambria" w:hAnsi="Cambria"/>
          <w:sz w:val="20"/>
          <w:szCs w:val="20"/>
          <w:lang w:val="es-ES"/>
        </w:rPr>
        <w:t xml:space="preserve">Departamento de </w:t>
      </w:r>
      <w:r w:rsidR="00495B4A">
        <w:rPr>
          <w:rFonts w:ascii="Cambria" w:hAnsi="Cambria"/>
          <w:sz w:val="20"/>
          <w:szCs w:val="20"/>
          <w:lang w:val="es-ES"/>
        </w:rPr>
        <w:t>Beni con el resto del país, y a</w:t>
      </w:r>
      <w:r w:rsidR="00F73782" w:rsidRPr="003C2C65">
        <w:rPr>
          <w:rFonts w:ascii="Cambria" w:hAnsi="Cambria"/>
          <w:sz w:val="20"/>
          <w:szCs w:val="20"/>
          <w:lang w:val="es-ES"/>
        </w:rPr>
        <w:t xml:space="preserve"> la lógica de integración nacional y subregional que se comenzó a plasmar desde los años 80</w:t>
      </w:r>
      <w:r w:rsidR="007903C9">
        <w:rPr>
          <w:rFonts w:ascii="Cambria" w:hAnsi="Cambria"/>
          <w:sz w:val="20"/>
          <w:szCs w:val="20"/>
          <w:lang w:val="es-ES"/>
        </w:rPr>
        <w:t>.</w:t>
      </w:r>
      <w:r w:rsidR="00F73782" w:rsidRPr="003C2C65">
        <w:rPr>
          <w:rFonts w:ascii="Cambria" w:hAnsi="Cambria"/>
          <w:sz w:val="20"/>
          <w:szCs w:val="20"/>
          <w:lang w:val="es-ES"/>
        </w:rPr>
        <w:t xml:space="preserve"> </w:t>
      </w:r>
      <w:r w:rsidR="007903C9">
        <w:rPr>
          <w:rFonts w:ascii="Cambria" w:hAnsi="Cambria"/>
          <w:sz w:val="20"/>
          <w:szCs w:val="20"/>
          <w:lang w:val="es-ES"/>
        </w:rPr>
        <w:t>Agrega qu</w:t>
      </w:r>
      <w:r w:rsidR="00495B4A">
        <w:rPr>
          <w:rFonts w:ascii="Cambria" w:hAnsi="Cambria"/>
          <w:sz w:val="20"/>
          <w:szCs w:val="20"/>
          <w:lang w:val="es-ES"/>
        </w:rPr>
        <w:t xml:space="preserve">e </w:t>
      </w:r>
      <w:r w:rsidR="002A6C71">
        <w:rPr>
          <w:rFonts w:ascii="Cambria" w:hAnsi="Cambria"/>
          <w:sz w:val="20"/>
          <w:szCs w:val="20"/>
          <w:lang w:val="es-ES"/>
        </w:rPr>
        <w:t>con base en</w:t>
      </w:r>
      <w:r w:rsidR="00495B4A">
        <w:rPr>
          <w:rFonts w:ascii="Cambria" w:hAnsi="Cambria"/>
          <w:sz w:val="20"/>
          <w:szCs w:val="20"/>
          <w:lang w:val="es-ES"/>
        </w:rPr>
        <w:t xml:space="preserve"> </w:t>
      </w:r>
      <w:r w:rsidR="002A6C71">
        <w:rPr>
          <w:rFonts w:ascii="Cambria" w:hAnsi="Cambria"/>
          <w:sz w:val="20"/>
          <w:szCs w:val="20"/>
          <w:lang w:val="es-ES"/>
        </w:rPr>
        <w:t>dichos</w:t>
      </w:r>
      <w:r w:rsidR="00495B4A">
        <w:rPr>
          <w:rFonts w:ascii="Cambria" w:hAnsi="Cambria"/>
          <w:sz w:val="20"/>
          <w:szCs w:val="20"/>
          <w:lang w:val="es-ES"/>
        </w:rPr>
        <w:t xml:space="preserve"> presupuestos</w:t>
      </w:r>
      <w:r w:rsidR="00745F75" w:rsidRPr="003C2C65">
        <w:rPr>
          <w:rFonts w:ascii="Cambria" w:hAnsi="Cambria"/>
          <w:sz w:val="20"/>
          <w:szCs w:val="20"/>
          <w:lang w:val="es-ES"/>
        </w:rPr>
        <w:t>,</w:t>
      </w:r>
      <w:r w:rsidR="00023A63" w:rsidRPr="003C2C65">
        <w:rPr>
          <w:rFonts w:ascii="Cambria" w:hAnsi="Cambria"/>
          <w:sz w:val="20"/>
          <w:szCs w:val="20"/>
          <w:lang w:val="es-ES"/>
        </w:rPr>
        <w:t xml:space="preserve"> el 5 de marzo de 2008 la Administradora Boliviana de Carreteras (ABC) realizó una convocatoria pública a las empresas nacionales y </w:t>
      </w:r>
      <w:r w:rsidR="00495B4A">
        <w:rPr>
          <w:rFonts w:ascii="Cambria" w:hAnsi="Cambria"/>
          <w:sz w:val="20"/>
          <w:szCs w:val="20"/>
          <w:lang w:val="es-ES"/>
        </w:rPr>
        <w:t>extranjeras interesadas en presentar</w:t>
      </w:r>
      <w:r w:rsidR="00023A63" w:rsidRPr="003C2C65">
        <w:rPr>
          <w:rFonts w:ascii="Cambria" w:hAnsi="Cambria"/>
          <w:sz w:val="20"/>
          <w:szCs w:val="20"/>
          <w:lang w:val="es-ES"/>
        </w:rPr>
        <w:t xml:space="preserve"> sus propuestas para la const</w:t>
      </w:r>
      <w:r w:rsidR="00F8788F" w:rsidRPr="003C2C65">
        <w:rPr>
          <w:rFonts w:ascii="Cambria" w:hAnsi="Cambria"/>
          <w:sz w:val="20"/>
          <w:szCs w:val="20"/>
          <w:lang w:val="es-ES"/>
        </w:rPr>
        <w:t xml:space="preserve">rucción de la carretera. </w:t>
      </w:r>
      <w:r w:rsidR="002A6C71">
        <w:rPr>
          <w:rFonts w:ascii="Cambria" w:hAnsi="Cambria"/>
          <w:sz w:val="20"/>
          <w:szCs w:val="20"/>
          <w:lang w:val="es-ES"/>
        </w:rPr>
        <w:t xml:space="preserve">Como resultado </w:t>
      </w:r>
      <w:r w:rsidR="00F8788F" w:rsidRPr="003C2C65">
        <w:rPr>
          <w:rFonts w:ascii="Cambria" w:hAnsi="Cambria"/>
          <w:sz w:val="20"/>
          <w:szCs w:val="20"/>
          <w:lang w:val="es-ES"/>
        </w:rPr>
        <w:t xml:space="preserve">de la licitación pública internacional, </w:t>
      </w:r>
      <w:r w:rsidR="00011353" w:rsidRPr="003C2C65">
        <w:rPr>
          <w:rFonts w:ascii="Cambria" w:hAnsi="Cambria"/>
          <w:sz w:val="20"/>
          <w:szCs w:val="20"/>
          <w:lang w:val="es-ES"/>
        </w:rPr>
        <w:t xml:space="preserve">el 4 de agosto de 2008 </w:t>
      </w:r>
      <w:r w:rsidR="00F8788F" w:rsidRPr="003C2C65">
        <w:rPr>
          <w:rFonts w:ascii="Cambria" w:hAnsi="Cambria"/>
          <w:sz w:val="20"/>
          <w:szCs w:val="20"/>
          <w:lang w:val="es-ES"/>
        </w:rPr>
        <w:t>se celebró el contrato ABC N</w:t>
      </w:r>
      <w:r w:rsidR="002A6C71">
        <w:rPr>
          <w:rFonts w:ascii="Cambria" w:hAnsi="Cambria"/>
          <w:sz w:val="20"/>
          <w:szCs w:val="20"/>
          <w:lang w:val="es-ES"/>
        </w:rPr>
        <w:t>o</w:t>
      </w:r>
      <w:r w:rsidR="00F8788F" w:rsidRPr="003C2C65">
        <w:rPr>
          <w:rFonts w:ascii="Cambria" w:hAnsi="Cambria"/>
          <w:sz w:val="20"/>
          <w:szCs w:val="20"/>
          <w:lang w:val="es-ES"/>
        </w:rPr>
        <w:t xml:space="preserve">. 218/08 GCT-OBR-BNDS. </w:t>
      </w:r>
      <w:r w:rsidR="002A6C71">
        <w:rPr>
          <w:rFonts w:ascii="Cambria" w:hAnsi="Cambria"/>
          <w:sz w:val="20"/>
          <w:szCs w:val="20"/>
          <w:lang w:val="es-ES"/>
        </w:rPr>
        <w:t>El</w:t>
      </w:r>
      <w:r w:rsidR="00F8788F" w:rsidRPr="003C2C65">
        <w:rPr>
          <w:rFonts w:ascii="Cambria" w:hAnsi="Cambria"/>
          <w:sz w:val="20"/>
          <w:szCs w:val="20"/>
          <w:lang w:val="es-ES"/>
        </w:rPr>
        <w:t xml:space="preserve"> 24 de octubre de 2011 se emitió la Ley N</w:t>
      </w:r>
      <w:r w:rsidR="002A6C71">
        <w:rPr>
          <w:rFonts w:ascii="Cambria" w:hAnsi="Cambria"/>
          <w:sz w:val="20"/>
          <w:szCs w:val="20"/>
          <w:lang w:val="es-ES"/>
        </w:rPr>
        <w:t>o</w:t>
      </w:r>
      <w:r w:rsidR="00F8788F" w:rsidRPr="003C2C65">
        <w:rPr>
          <w:rFonts w:ascii="Cambria" w:hAnsi="Cambria"/>
          <w:sz w:val="20"/>
          <w:szCs w:val="20"/>
          <w:lang w:val="es-ES"/>
        </w:rPr>
        <w:t xml:space="preserve">. 180, con la que se reconocía el TIPNIS como </w:t>
      </w:r>
      <w:r w:rsidR="002A6C71">
        <w:rPr>
          <w:rFonts w:ascii="Cambria" w:hAnsi="Cambria"/>
          <w:sz w:val="20"/>
          <w:szCs w:val="20"/>
          <w:lang w:val="es-ES"/>
        </w:rPr>
        <w:t>“</w:t>
      </w:r>
      <w:r w:rsidR="00F8788F" w:rsidRPr="002A6C71">
        <w:rPr>
          <w:rFonts w:ascii="Cambria" w:hAnsi="Cambria"/>
          <w:sz w:val="20"/>
          <w:szCs w:val="20"/>
          <w:lang w:val="es-ES"/>
        </w:rPr>
        <w:t xml:space="preserve">Patrimonio Socio Cultural y Natural, Zona de Preservación Ecológica, Reproducción Histórica y </w:t>
      </w:r>
      <w:r w:rsidR="00FC763C" w:rsidRPr="002A6C71">
        <w:rPr>
          <w:rFonts w:ascii="Cambria" w:hAnsi="Cambria"/>
          <w:sz w:val="20"/>
          <w:szCs w:val="20"/>
          <w:lang w:val="es-ES"/>
        </w:rPr>
        <w:t>Hábitat</w:t>
      </w:r>
      <w:r w:rsidR="00F8788F" w:rsidRPr="002A6C71">
        <w:rPr>
          <w:rFonts w:ascii="Cambria" w:hAnsi="Cambria"/>
          <w:sz w:val="20"/>
          <w:szCs w:val="20"/>
          <w:lang w:val="es-ES"/>
        </w:rPr>
        <w:t xml:space="preserve"> de los Pueblos </w:t>
      </w:r>
      <w:proofErr w:type="spellStart"/>
      <w:r w:rsidR="00F8788F" w:rsidRPr="002A6C71">
        <w:rPr>
          <w:rFonts w:ascii="Cambria" w:hAnsi="Cambria"/>
          <w:sz w:val="20"/>
          <w:szCs w:val="20"/>
          <w:lang w:val="es-ES"/>
        </w:rPr>
        <w:t>Indigenas</w:t>
      </w:r>
      <w:proofErr w:type="spellEnd"/>
      <w:r w:rsidR="00F8788F" w:rsidRPr="002A6C71">
        <w:rPr>
          <w:rFonts w:ascii="Cambria" w:hAnsi="Cambria"/>
          <w:sz w:val="20"/>
          <w:szCs w:val="20"/>
          <w:lang w:val="es-ES"/>
        </w:rPr>
        <w:t xml:space="preserve"> </w:t>
      </w:r>
      <w:proofErr w:type="spellStart"/>
      <w:r w:rsidR="00F8788F" w:rsidRPr="002A6C71">
        <w:rPr>
          <w:rFonts w:ascii="Cambria" w:hAnsi="Cambria"/>
          <w:sz w:val="20"/>
          <w:szCs w:val="20"/>
          <w:lang w:val="es-ES"/>
        </w:rPr>
        <w:t>Chimán</w:t>
      </w:r>
      <w:proofErr w:type="spellEnd"/>
      <w:r w:rsidR="00F8788F" w:rsidRPr="002A6C71">
        <w:rPr>
          <w:rFonts w:ascii="Cambria" w:hAnsi="Cambria"/>
          <w:sz w:val="20"/>
          <w:szCs w:val="20"/>
          <w:lang w:val="es-ES"/>
        </w:rPr>
        <w:t xml:space="preserve">, </w:t>
      </w:r>
      <w:proofErr w:type="spellStart"/>
      <w:r w:rsidR="00F8788F" w:rsidRPr="002A6C71">
        <w:rPr>
          <w:rFonts w:ascii="Cambria" w:hAnsi="Cambria"/>
          <w:sz w:val="20"/>
          <w:szCs w:val="20"/>
          <w:lang w:val="es-ES"/>
        </w:rPr>
        <w:t>Yucaré</w:t>
      </w:r>
      <w:proofErr w:type="spellEnd"/>
      <w:r w:rsidR="00F8788F" w:rsidRPr="002A6C71">
        <w:rPr>
          <w:rFonts w:ascii="Cambria" w:hAnsi="Cambria"/>
          <w:sz w:val="20"/>
          <w:szCs w:val="20"/>
          <w:lang w:val="es-ES"/>
        </w:rPr>
        <w:t xml:space="preserve"> y </w:t>
      </w:r>
      <w:proofErr w:type="spellStart"/>
      <w:r w:rsidR="00F8788F" w:rsidRPr="002A6C71">
        <w:rPr>
          <w:rFonts w:ascii="Cambria" w:hAnsi="Cambria"/>
          <w:sz w:val="20"/>
          <w:szCs w:val="20"/>
          <w:lang w:val="es-ES"/>
        </w:rPr>
        <w:t>Moxeño</w:t>
      </w:r>
      <w:proofErr w:type="spellEnd"/>
      <w:r w:rsidR="00F8788F" w:rsidRPr="002A6C71">
        <w:rPr>
          <w:rFonts w:ascii="Cambria" w:hAnsi="Cambria"/>
          <w:sz w:val="20"/>
          <w:szCs w:val="20"/>
          <w:lang w:val="es-ES"/>
        </w:rPr>
        <w:t>- Trinitario</w:t>
      </w:r>
      <w:r w:rsidR="002A6C71">
        <w:rPr>
          <w:rFonts w:ascii="Cambria" w:hAnsi="Cambria"/>
          <w:sz w:val="20"/>
          <w:szCs w:val="20"/>
          <w:lang w:val="es-ES"/>
        </w:rPr>
        <w:t>”</w:t>
      </w:r>
      <w:r w:rsidR="00FC763C" w:rsidRPr="003C2C65">
        <w:rPr>
          <w:rFonts w:ascii="Cambria" w:hAnsi="Cambria"/>
          <w:i/>
          <w:sz w:val="20"/>
          <w:szCs w:val="20"/>
          <w:lang w:val="es-ES"/>
        </w:rPr>
        <w:t xml:space="preserve">, </w:t>
      </w:r>
      <w:r w:rsidR="00011353" w:rsidRPr="003C2C65">
        <w:rPr>
          <w:rFonts w:ascii="Cambria" w:hAnsi="Cambria"/>
          <w:sz w:val="20"/>
          <w:szCs w:val="20"/>
          <w:lang w:val="es-ES"/>
        </w:rPr>
        <w:t>por</w:t>
      </w:r>
      <w:r w:rsidR="00FC763C" w:rsidRPr="003C2C65">
        <w:rPr>
          <w:rFonts w:ascii="Cambria" w:hAnsi="Cambria"/>
          <w:sz w:val="20"/>
          <w:szCs w:val="20"/>
          <w:lang w:val="es-ES"/>
        </w:rPr>
        <w:t xml:space="preserve"> lo que dicho territorio pasó a tener la categoría de intangible. </w:t>
      </w:r>
      <w:r w:rsidR="002A6C71">
        <w:rPr>
          <w:rFonts w:ascii="Cambria" w:hAnsi="Cambria"/>
          <w:sz w:val="20"/>
          <w:szCs w:val="20"/>
          <w:lang w:val="es-ES"/>
        </w:rPr>
        <w:t>El</w:t>
      </w:r>
      <w:r w:rsidR="00FC763C" w:rsidRPr="003C2C65">
        <w:rPr>
          <w:rFonts w:ascii="Cambria" w:hAnsi="Cambria"/>
          <w:sz w:val="20"/>
          <w:szCs w:val="20"/>
          <w:lang w:val="es-ES"/>
        </w:rPr>
        <w:t xml:space="preserve"> 29 de julio de 2012 </w:t>
      </w:r>
      <w:r w:rsidR="002A6C71">
        <w:rPr>
          <w:rFonts w:ascii="Cambria" w:hAnsi="Cambria"/>
          <w:sz w:val="20"/>
          <w:szCs w:val="20"/>
          <w:lang w:val="es-ES"/>
        </w:rPr>
        <w:t>se aprobó</w:t>
      </w:r>
      <w:r w:rsidR="00FC763C" w:rsidRPr="003C2C65">
        <w:rPr>
          <w:rFonts w:ascii="Cambria" w:hAnsi="Cambria"/>
          <w:sz w:val="20"/>
          <w:szCs w:val="20"/>
          <w:lang w:val="es-ES"/>
        </w:rPr>
        <w:t xml:space="preserve"> la Ley N</w:t>
      </w:r>
      <w:r w:rsidR="002A6C71">
        <w:rPr>
          <w:rFonts w:ascii="Cambria" w:hAnsi="Cambria"/>
          <w:sz w:val="20"/>
          <w:szCs w:val="20"/>
          <w:lang w:val="es-ES"/>
        </w:rPr>
        <w:t>o</w:t>
      </w:r>
      <w:r w:rsidR="00FC763C" w:rsidRPr="003C2C65">
        <w:rPr>
          <w:rFonts w:ascii="Cambria" w:hAnsi="Cambria"/>
          <w:sz w:val="20"/>
          <w:szCs w:val="20"/>
          <w:lang w:val="es-ES"/>
        </w:rPr>
        <w:t>. 222</w:t>
      </w:r>
      <w:r w:rsidR="002A6C71">
        <w:rPr>
          <w:rFonts w:ascii="Cambria" w:hAnsi="Cambria"/>
          <w:sz w:val="20"/>
          <w:szCs w:val="20"/>
          <w:lang w:val="es-ES"/>
        </w:rPr>
        <w:t>, que</w:t>
      </w:r>
      <w:r w:rsidR="00FC763C" w:rsidRPr="003C2C65">
        <w:rPr>
          <w:rFonts w:ascii="Cambria" w:hAnsi="Cambria"/>
          <w:sz w:val="20"/>
          <w:szCs w:val="20"/>
          <w:lang w:val="es-ES"/>
        </w:rPr>
        <w:t xml:space="preserve"> dio inicio al pr</w:t>
      </w:r>
      <w:r w:rsidR="003419D6" w:rsidRPr="003C2C65">
        <w:rPr>
          <w:rFonts w:ascii="Cambria" w:hAnsi="Cambria"/>
          <w:sz w:val="20"/>
          <w:szCs w:val="20"/>
          <w:lang w:val="es-ES"/>
        </w:rPr>
        <w:t>oceso de consulta previa, libre</w:t>
      </w:r>
      <w:r w:rsidR="00FC763C" w:rsidRPr="003C2C65">
        <w:rPr>
          <w:rFonts w:ascii="Cambria" w:hAnsi="Cambria"/>
          <w:sz w:val="20"/>
          <w:szCs w:val="20"/>
          <w:lang w:val="es-ES"/>
        </w:rPr>
        <w:t xml:space="preserve"> e informada</w:t>
      </w:r>
      <w:r w:rsidR="00011353" w:rsidRPr="003C2C65">
        <w:rPr>
          <w:rFonts w:ascii="Cambria" w:hAnsi="Cambria"/>
          <w:sz w:val="20"/>
          <w:szCs w:val="20"/>
          <w:lang w:val="es-ES"/>
        </w:rPr>
        <w:t xml:space="preserve"> del Estado </w:t>
      </w:r>
      <w:r w:rsidR="002A6C71">
        <w:rPr>
          <w:rFonts w:ascii="Cambria" w:hAnsi="Cambria"/>
          <w:sz w:val="20"/>
          <w:szCs w:val="20"/>
          <w:lang w:val="es-ES"/>
        </w:rPr>
        <w:t>b</w:t>
      </w:r>
      <w:r w:rsidR="00011353" w:rsidRPr="003C2C65">
        <w:rPr>
          <w:rFonts w:ascii="Cambria" w:hAnsi="Cambria"/>
          <w:sz w:val="20"/>
          <w:szCs w:val="20"/>
          <w:lang w:val="es-ES"/>
        </w:rPr>
        <w:t xml:space="preserve">oliviano </w:t>
      </w:r>
      <w:r w:rsidR="002A6C71">
        <w:rPr>
          <w:rFonts w:ascii="Cambria" w:hAnsi="Cambria"/>
          <w:sz w:val="20"/>
          <w:szCs w:val="20"/>
          <w:lang w:val="es-ES"/>
        </w:rPr>
        <w:t xml:space="preserve">a </w:t>
      </w:r>
      <w:r w:rsidR="002A6C71" w:rsidRPr="003C2C65">
        <w:rPr>
          <w:rFonts w:ascii="Cambria" w:hAnsi="Cambria"/>
          <w:sz w:val="20"/>
          <w:szCs w:val="20"/>
          <w:lang w:val="es-ES"/>
        </w:rPr>
        <w:t>los habitantes de TIP</w:t>
      </w:r>
      <w:r w:rsidR="002A6C71">
        <w:rPr>
          <w:rFonts w:ascii="Cambria" w:hAnsi="Cambria"/>
          <w:sz w:val="20"/>
          <w:szCs w:val="20"/>
          <w:lang w:val="es-ES"/>
        </w:rPr>
        <w:t>N</w:t>
      </w:r>
      <w:r w:rsidR="002A6C71" w:rsidRPr="003C2C65">
        <w:rPr>
          <w:rFonts w:ascii="Cambria" w:hAnsi="Cambria"/>
          <w:sz w:val="20"/>
          <w:szCs w:val="20"/>
          <w:lang w:val="es-ES"/>
        </w:rPr>
        <w:t xml:space="preserve">IS </w:t>
      </w:r>
      <w:r w:rsidR="002A6C71">
        <w:rPr>
          <w:rFonts w:ascii="Cambria" w:hAnsi="Cambria"/>
          <w:sz w:val="20"/>
          <w:szCs w:val="20"/>
          <w:lang w:val="es-ES"/>
        </w:rPr>
        <w:t xml:space="preserve">sobre la </w:t>
      </w:r>
      <w:r w:rsidR="003419D6" w:rsidRPr="003C2C65">
        <w:rPr>
          <w:rFonts w:ascii="Cambria" w:hAnsi="Cambria"/>
          <w:sz w:val="20"/>
          <w:szCs w:val="20"/>
          <w:lang w:val="es-ES"/>
        </w:rPr>
        <w:t>construcción de la carretera</w:t>
      </w:r>
      <w:r w:rsidR="00495B4A">
        <w:rPr>
          <w:rFonts w:ascii="Cambria" w:hAnsi="Cambria"/>
          <w:sz w:val="20"/>
          <w:szCs w:val="20"/>
          <w:lang w:val="es-ES"/>
        </w:rPr>
        <w:t xml:space="preserve">, </w:t>
      </w:r>
      <w:r w:rsidR="003419D6" w:rsidRPr="003C2C65">
        <w:rPr>
          <w:rFonts w:ascii="Cambria" w:hAnsi="Cambria"/>
          <w:sz w:val="20"/>
          <w:szCs w:val="20"/>
          <w:lang w:val="es-ES"/>
        </w:rPr>
        <w:t xml:space="preserve">en el que se determinó que </w:t>
      </w:r>
      <w:r w:rsidR="002A6C71" w:rsidRPr="003C2C65">
        <w:rPr>
          <w:rFonts w:ascii="Cambria" w:hAnsi="Cambria"/>
          <w:sz w:val="20"/>
          <w:szCs w:val="20"/>
          <w:lang w:val="es-ES"/>
        </w:rPr>
        <w:t>58</w:t>
      </w:r>
      <w:r w:rsidR="002A6C71">
        <w:rPr>
          <w:rFonts w:ascii="Cambria" w:hAnsi="Cambria"/>
          <w:sz w:val="20"/>
          <w:szCs w:val="20"/>
          <w:lang w:val="es-ES"/>
        </w:rPr>
        <w:t xml:space="preserve"> </w:t>
      </w:r>
      <w:r w:rsidR="003419D6" w:rsidRPr="003C2C65">
        <w:rPr>
          <w:rFonts w:ascii="Cambria" w:hAnsi="Cambria"/>
          <w:sz w:val="20"/>
          <w:szCs w:val="20"/>
          <w:lang w:val="es-ES"/>
        </w:rPr>
        <w:t xml:space="preserve">de las </w:t>
      </w:r>
      <w:r w:rsidR="00011353" w:rsidRPr="003C2C65">
        <w:rPr>
          <w:rFonts w:ascii="Cambria" w:hAnsi="Cambria"/>
          <w:sz w:val="20"/>
          <w:szCs w:val="20"/>
          <w:lang w:val="es-ES"/>
        </w:rPr>
        <w:t>69</w:t>
      </w:r>
      <w:r w:rsidR="003419D6" w:rsidRPr="003C2C65">
        <w:rPr>
          <w:rFonts w:ascii="Cambria" w:hAnsi="Cambria"/>
          <w:sz w:val="20"/>
          <w:szCs w:val="20"/>
          <w:lang w:val="es-ES"/>
        </w:rPr>
        <w:t xml:space="preserve"> comunidades aceptaban </w:t>
      </w:r>
      <w:r w:rsidR="002A6C71">
        <w:rPr>
          <w:rFonts w:ascii="Cambria" w:hAnsi="Cambria"/>
          <w:sz w:val="20"/>
          <w:szCs w:val="20"/>
          <w:lang w:val="es-ES"/>
        </w:rPr>
        <w:t>dicha obra</w:t>
      </w:r>
      <w:r w:rsidR="00D24E5D" w:rsidRPr="003C2C65">
        <w:rPr>
          <w:rFonts w:ascii="Cambria" w:hAnsi="Cambria"/>
          <w:sz w:val="20"/>
          <w:szCs w:val="20"/>
          <w:lang w:val="es-ES"/>
        </w:rPr>
        <w:t xml:space="preserve">. </w:t>
      </w:r>
      <w:r w:rsidR="002A6C71">
        <w:rPr>
          <w:rFonts w:ascii="Cambria" w:hAnsi="Cambria"/>
          <w:sz w:val="20"/>
          <w:szCs w:val="20"/>
          <w:lang w:val="es-ES"/>
        </w:rPr>
        <w:t xml:space="preserve">El </w:t>
      </w:r>
      <w:r w:rsidR="00D24E5D" w:rsidRPr="003C2C65">
        <w:rPr>
          <w:rFonts w:ascii="Cambria" w:hAnsi="Cambria"/>
          <w:sz w:val="20"/>
          <w:szCs w:val="20"/>
          <w:lang w:val="es-ES"/>
        </w:rPr>
        <w:t>Estado</w:t>
      </w:r>
      <w:r w:rsidR="002A6C71">
        <w:rPr>
          <w:rFonts w:ascii="Cambria" w:hAnsi="Cambria"/>
          <w:sz w:val="20"/>
          <w:szCs w:val="20"/>
          <w:lang w:val="es-ES"/>
        </w:rPr>
        <w:t xml:space="preserve"> considera</w:t>
      </w:r>
      <w:r w:rsidR="00D24E5D" w:rsidRPr="003C2C65">
        <w:rPr>
          <w:rFonts w:ascii="Cambria" w:hAnsi="Cambria"/>
          <w:sz w:val="20"/>
          <w:szCs w:val="20"/>
          <w:lang w:val="es-ES"/>
        </w:rPr>
        <w:t xml:space="preserve"> </w:t>
      </w:r>
      <w:r w:rsidR="002A6C71">
        <w:rPr>
          <w:rFonts w:ascii="Cambria" w:hAnsi="Cambria"/>
          <w:sz w:val="20"/>
          <w:szCs w:val="20"/>
          <w:lang w:val="es-ES"/>
        </w:rPr>
        <w:t xml:space="preserve">que el grado de </w:t>
      </w:r>
      <w:r w:rsidR="00D24E5D" w:rsidRPr="003C2C65">
        <w:rPr>
          <w:rFonts w:ascii="Cambria" w:hAnsi="Cambria"/>
          <w:sz w:val="20"/>
          <w:szCs w:val="20"/>
          <w:lang w:val="es-ES"/>
        </w:rPr>
        <w:t xml:space="preserve">consentimiento </w:t>
      </w:r>
      <w:r w:rsidR="002A6C71">
        <w:rPr>
          <w:rFonts w:ascii="Cambria" w:hAnsi="Cambria"/>
          <w:sz w:val="20"/>
          <w:szCs w:val="20"/>
          <w:lang w:val="es-ES"/>
        </w:rPr>
        <w:t xml:space="preserve">otorgado </w:t>
      </w:r>
      <w:r w:rsidR="00D24E5D" w:rsidRPr="003C2C65">
        <w:rPr>
          <w:rFonts w:ascii="Cambria" w:hAnsi="Cambria"/>
          <w:sz w:val="20"/>
          <w:szCs w:val="20"/>
          <w:lang w:val="es-ES"/>
        </w:rPr>
        <w:t xml:space="preserve">por las comunidades indígenas evidencia el alto grado de protección y garantías que </w:t>
      </w:r>
      <w:r w:rsidR="002A6C71" w:rsidRPr="003C2C65">
        <w:rPr>
          <w:rFonts w:ascii="Cambria" w:hAnsi="Cambria"/>
          <w:sz w:val="20"/>
          <w:szCs w:val="20"/>
          <w:lang w:val="es-ES"/>
        </w:rPr>
        <w:t>ofrec</w:t>
      </w:r>
      <w:r w:rsidR="002A6C71">
        <w:rPr>
          <w:rFonts w:ascii="Cambria" w:hAnsi="Cambria"/>
          <w:sz w:val="20"/>
          <w:szCs w:val="20"/>
          <w:lang w:val="es-ES"/>
        </w:rPr>
        <w:t xml:space="preserve">ió a dichos </w:t>
      </w:r>
      <w:r w:rsidR="00D24E5D" w:rsidRPr="003C2C65">
        <w:rPr>
          <w:rFonts w:ascii="Cambria" w:hAnsi="Cambria"/>
          <w:sz w:val="20"/>
          <w:szCs w:val="20"/>
          <w:lang w:val="es-ES"/>
        </w:rPr>
        <w:t>pueblos.</w:t>
      </w:r>
    </w:p>
    <w:p w14:paraId="0D32F936" w14:textId="58983828" w:rsidR="004C616A" w:rsidRPr="003C2C65" w:rsidRDefault="00D24E5D" w:rsidP="00F051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C2C65">
        <w:rPr>
          <w:rFonts w:ascii="Cambria" w:hAnsi="Cambria"/>
          <w:sz w:val="20"/>
          <w:szCs w:val="20"/>
          <w:lang w:val="es-ES"/>
        </w:rPr>
        <w:t xml:space="preserve">Adicionalmente, el Estado argumenta que los peticionarios no agotaron los recursos de la jurisdicción interna, puesto que </w:t>
      </w:r>
      <w:r w:rsidR="002A6C71" w:rsidRPr="003C2C65">
        <w:rPr>
          <w:rFonts w:ascii="Cambria" w:hAnsi="Cambria"/>
          <w:sz w:val="20"/>
          <w:szCs w:val="20"/>
          <w:lang w:val="es-ES"/>
        </w:rPr>
        <w:t xml:space="preserve">el recurso idóneo a interponer </w:t>
      </w:r>
      <w:r w:rsidR="002A6C71">
        <w:rPr>
          <w:rFonts w:ascii="Cambria" w:hAnsi="Cambria"/>
          <w:sz w:val="20"/>
          <w:szCs w:val="20"/>
          <w:lang w:val="es-ES"/>
        </w:rPr>
        <w:t>era</w:t>
      </w:r>
      <w:r w:rsidR="002A6C71" w:rsidRPr="003C2C65">
        <w:rPr>
          <w:rFonts w:ascii="Cambria" w:hAnsi="Cambria"/>
          <w:sz w:val="20"/>
          <w:szCs w:val="20"/>
          <w:lang w:val="es-ES"/>
        </w:rPr>
        <w:t xml:space="preserve"> la denominada </w:t>
      </w:r>
      <w:r w:rsidR="002A6C71">
        <w:rPr>
          <w:rFonts w:ascii="Cambria" w:hAnsi="Cambria"/>
          <w:sz w:val="20"/>
          <w:szCs w:val="20"/>
          <w:lang w:val="es-ES"/>
        </w:rPr>
        <w:t>a</w:t>
      </w:r>
      <w:r w:rsidR="002A6C71" w:rsidRPr="003C2C65">
        <w:rPr>
          <w:rFonts w:ascii="Cambria" w:hAnsi="Cambria"/>
          <w:sz w:val="20"/>
          <w:szCs w:val="20"/>
          <w:lang w:val="es-ES"/>
        </w:rPr>
        <w:t xml:space="preserve">cción </w:t>
      </w:r>
      <w:r w:rsidR="002A6C71">
        <w:rPr>
          <w:rFonts w:ascii="Cambria" w:hAnsi="Cambria"/>
          <w:sz w:val="20"/>
          <w:szCs w:val="20"/>
          <w:lang w:val="es-ES"/>
        </w:rPr>
        <w:t>p</w:t>
      </w:r>
      <w:r w:rsidR="002A6C71" w:rsidRPr="003C2C65">
        <w:rPr>
          <w:rFonts w:ascii="Cambria" w:hAnsi="Cambria"/>
          <w:sz w:val="20"/>
          <w:szCs w:val="20"/>
          <w:lang w:val="es-ES"/>
        </w:rPr>
        <w:t>opular</w:t>
      </w:r>
      <w:r w:rsidR="002A6C71">
        <w:rPr>
          <w:rFonts w:ascii="Cambria" w:hAnsi="Cambria"/>
          <w:sz w:val="20"/>
          <w:szCs w:val="20"/>
          <w:lang w:val="es-ES"/>
        </w:rPr>
        <w:t>, y no</w:t>
      </w:r>
      <w:r w:rsidR="002A6C71" w:rsidRPr="003C2C65">
        <w:rPr>
          <w:rFonts w:ascii="Cambria" w:hAnsi="Cambria"/>
          <w:sz w:val="20"/>
          <w:szCs w:val="20"/>
          <w:lang w:val="es-ES"/>
        </w:rPr>
        <w:t xml:space="preserve"> </w:t>
      </w:r>
      <w:r w:rsidR="002A6C71">
        <w:rPr>
          <w:rFonts w:ascii="Cambria" w:hAnsi="Cambria"/>
          <w:sz w:val="20"/>
          <w:szCs w:val="20"/>
          <w:lang w:val="es-ES"/>
        </w:rPr>
        <w:t>la</w:t>
      </w:r>
      <w:r w:rsidR="00011353" w:rsidRPr="003C2C65">
        <w:rPr>
          <w:rFonts w:ascii="Cambria" w:hAnsi="Cambria"/>
          <w:sz w:val="20"/>
          <w:szCs w:val="20"/>
          <w:lang w:val="es-ES"/>
        </w:rPr>
        <w:t xml:space="preserve"> d</w:t>
      </w:r>
      <w:r w:rsidR="00051319" w:rsidRPr="003C2C65">
        <w:rPr>
          <w:rFonts w:ascii="Cambria" w:hAnsi="Cambria"/>
          <w:sz w:val="20"/>
          <w:szCs w:val="20"/>
          <w:lang w:val="es-ES"/>
        </w:rPr>
        <w:t xml:space="preserve">emanda </w:t>
      </w:r>
      <w:r w:rsidR="002A6C71">
        <w:rPr>
          <w:rFonts w:ascii="Cambria" w:hAnsi="Cambria"/>
          <w:sz w:val="20"/>
          <w:szCs w:val="20"/>
          <w:lang w:val="es-ES"/>
        </w:rPr>
        <w:t>a</w:t>
      </w:r>
      <w:r w:rsidR="00051319" w:rsidRPr="003C2C65">
        <w:rPr>
          <w:rFonts w:ascii="Cambria" w:hAnsi="Cambria"/>
          <w:sz w:val="20"/>
          <w:szCs w:val="20"/>
          <w:lang w:val="es-ES"/>
        </w:rPr>
        <w:t xml:space="preserve">bstracta de </w:t>
      </w:r>
      <w:r w:rsidR="002A6C71">
        <w:rPr>
          <w:rFonts w:ascii="Cambria" w:hAnsi="Cambria"/>
          <w:sz w:val="20"/>
          <w:szCs w:val="20"/>
          <w:lang w:val="es-ES"/>
        </w:rPr>
        <w:t>i</w:t>
      </w:r>
      <w:r w:rsidRPr="003C2C65">
        <w:rPr>
          <w:rFonts w:ascii="Cambria" w:hAnsi="Cambria"/>
          <w:sz w:val="20"/>
          <w:szCs w:val="20"/>
          <w:lang w:val="es-ES"/>
        </w:rPr>
        <w:t xml:space="preserve">nconstitucionalidad </w:t>
      </w:r>
      <w:r w:rsidR="002A6C71">
        <w:rPr>
          <w:rFonts w:ascii="Cambria" w:hAnsi="Cambria"/>
          <w:sz w:val="20"/>
          <w:szCs w:val="20"/>
          <w:lang w:val="es-ES"/>
        </w:rPr>
        <w:t xml:space="preserve">interpuesta por los peticionarios </w:t>
      </w:r>
      <w:r w:rsidR="00051319" w:rsidRPr="003C2C65">
        <w:rPr>
          <w:rFonts w:ascii="Cambria" w:hAnsi="Cambria"/>
          <w:sz w:val="20"/>
          <w:szCs w:val="20"/>
          <w:lang w:val="es-ES"/>
        </w:rPr>
        <w:t xml:space="preserve">ante la Corte Constitucional boliviana. </w:t>
      </w:r>
      <w:r w:rsidR="002A6C71">
        <w:rPr>
          <w:rFonts w:ascii="Cambria" w:hAnsi="Cambria"/>
          <w:sz w:val="20"/>
          <w:szCs w:val="20"/>
          <w:lang w:val="es-ES"/>
        </w:rPr>
        <w:t>E</w:t>
      </w:r>
      <w:r w:rsidR="00051319" w:rsidRPr="003C2C65">
        <w:rPr>
          <w:rFonts w:ascii="Cambria" w:hAnsi="Cambria"/>
          <w:sz w:val="20"/>
          <w:szCs w:val="20"/>
          <w:lang w:val="es-ES"/>
        </w:rPr>
        <w:t>l Estado</w:t>
      </w:r>
      <w:r w:rsidR="002A6C71">
        <w:rPr>
          <w:rFonts w:ascii="Cambria" w:hAnsi="Cambria"/>
          <w:sz w:val="20"/>
          <w:szCs w:val="20"/>
          <w:lang w:val="es-ES"/>
        </w:rPr>
        <w:t xml:space="preserve"> afirma que tal recurso</w:t>
      </w:r>
      <w:r w:rsidR="00051319" w:rsidRPr="003C2C65">
        <w:rPr>
          <w:rFonts w:ascii="Cambria" w:hAnsi="Cambria"/>
          <w:sz w:val="20"/>
          <w:szCs w:val="20"/>
          <w:lang w:val="es-ES"/>
        </w:rPr>
        <w:t xml:space="preserve"> </w:t>
      </w:r>
      <w:r w:rsidR="002A6C71">
        <w:rPr>
          <w:rFonts w:ascii="Cambria" w:hAnsi="Cambria"/>
          <w:sz w:val="20"/>
          <w:szCs w:val="20"/>
          <w:lang w:val="es-ES"/>
        </w:rPr>
        <w:t xml:space="preserve">es como </w:t>
      </w:r>
      <w:r w:rsidR="00051319" w:rsidRPr="003C2C65">
        <w:rPr>
          <w:rFonts w:ascii="Cambria" w:hAnsi="Cambria"/>
          <w:sz w:val="20"/>
          <w:szCs w:val="20"/>
          <w:lang w:val="es-ES"/>
        </w:rPr>
        <w:t>una acción de tutela que puede ser interpuesta por autoridades o personas naturales cuando determinados actos u omisiones violen o amenacen con violar los derechos e intereses de</w:t>
      </w:r>
      <w:r w:rsidR="00011353" w:rsidRPr="003C2C65">
        <w:rPr>
          <w:rFonts w:ascii="Cambria" w:hAnsi="Cambria"/>
          <w:sz w:val="20"/>
          <w:szCs w:val="20"/>
          <w:lang w:val="es-ES"/>
        </w:rPr>
        <w:t xml:space="preserve"> una colectividad, </w:t>
      </w:r>
      <w:r w:rsidR="002A6C71">
        <w:rPr>
          <w:rFonts w:ascii="Cambria" w:hAnsi="Cambria"/>
          <w:sz w:val="20"/>
          <w:szCs w:val="20"/>
          <w:lang w:val="es-ES"/>
        </w:rPr>
        <w:t xml:space="preserve">y que tiene las </w:t>
      </w:r>
      <w:r w:rsidR="00051319" w:rsidRPr="003C2C65">
        <w:rPr>
          <w:rFonts w:ascii="Cambria" w:hAnsi="Cambria"/>
          <w:sz w:val="20"/>
          <w:szCs w:val="20"/>
          <w:lang w:val="es-ES"/>
        </w:rPr>
        <w:t>categoría</w:t>
      </w:r>
      <w:r w:rsidR="002A6C71">
        <w:rPr>
          <w:rFonts w:ascii="Cambria" w:hAnsi="Cambria"/>
          <w:sz w:val="20"/>
          <w:szCs w:val="20"/>
          <w:lang w:val="es-ES"/>
        </w:rPr>
        <w:t>s</w:t>
      </w:r>
      <w:r w:rsidR="00051319" w:rsidRPr="003C2C65">
        <w:rPr>
          <w:rFonts w:ascii="Cambria" w:hAnsi="Cambria"/>
          <w:sz w:val="20"/>
          <w:szCs w:val="20"/>
          <w:lang w:val="es-ES"/>
        </w:rPr>
        <w:t xml:space="preserve"> de pr</w:t>
      </w:r>
      <w:r w:rsidR="00011353" w:rsidRPr="003C2C65">
        <w:rPr>
          <w:rFonts w:ascii="Cambria" w:hAnsi="Cambria"/>
          <w:sz w:val="20"/>
          <w:szCs w:val="20"/>
          <w:lang w:val="es-ES"/>
        </w:rPr>
        <w:t>eventiva, suspensiva, y</w:t>
      </w:r>
      <w:r w:rsidR="00051319" w:rsidRPr="003C2C65">
        <w:rPr>
          <w:rFonts w:ascii="Cambria" w:hAnsi="Cambria"/>
          <w:sz w:val="20"/>
          <w:szCs w:val="20"/>
          <w:lang w:val="es-ES"/>
        </w:rPr>
        <w:t xml:space="preserve"> restitutoria. Finalmente</w:t>
      </w:r>
      <w:r w:rsidR="00011353" w:rsidRPr="003C2C65">
        <w:rPr>
          <w:rFonts w:ascii="Cambria" w:hAnsi="Cambria"/>
          <w:sz w:val="20"/>
          <w:szCs w:val="20"/>
          <w:lang w:val="es-ES"/>
        </w:rPr>
        <w:t xml:space="preserve">, el Estado </w:t>
      </w:r>
      <w:r w:rsidR="00917A34">
        <w:rPr>
          <w:rFonts w:ascii="Cambria" w:hAnsi="Cambria"/>
          <w:sz w:val="20"/>
          <w:szCs w:val="20"/>
          <w:lang w:val="es-ES"/>
        </w:rPr>
        <w:t>a</w:t>
      </w:r>
      <w:r w:rsidR="00011353" w:rsidRPr="003C2C65">
        <w:rPr>
          <w:rFonts w:ascii="Cambria" w:hAnsi="Cambria"/>
          <w:sz w:val="20"/>
          <w:szCs w:val="20"/>
          <w:lang w:val="es-ES"/>
        </w:rPr>
        <w:t xml:space="preserve">segura que </w:t>
      </w:r>
      <w:r w:rsidR="007612C8">
        <w:rPr>
          <w:rFonts w:ascii="Cambria" w:hAnsi="Cambria"/>
          <w:sz w:val="20"/>
          <w:szCs w:val="20"/>
          <w:lang w:val="es-ES"/>
        </w:rPr>
        <w:t>hab</w:t>
      </w:r>
      <w:r w:rsidR="00587FBE" w:rsidRPr="003C2C65">
        <w:rPr>
          <w:rFonts w:ascii="Cambria" w:hAnsi="Cambria"/>
          <w:sz w:val="20"/>
          <w:szCs w:val="20"/>
          <w:lang w:val="es-ES"/>
        </w:rPr>
        <w:t xml:space="preserve">ía posibilidad de impugnar </w:t>
      </w:r>
      <w:r w:rsidR="007612C8" w:rsidRPr="003C2C65">
        <w:rPr>
          <w:rFonts w:ascii="Cambria" w:hAnsi="Cambria"/>
          <w:sz w:val="20"/>
          <w:szCs w:val="20"/>
          <w:lang w:val="es-ES"/>
        </w:rPr>
        <w:t xml:space="preserve">por vía contenciosa </w:t>
      </w:r>
      <w:r w:rsidR="00587FBE" w:rsidRPr="003C2C65">
        <w:rPr>
          <w:rFonts w:ascii="Cambria" w:hAnsi="Cambria"/>
          <w:sz w:val="20"/>
          <w:szCs w:val="20"/>
          <w:lang w:val="es-ES"/>
        </w:rPr>
        <w:t xml:space="preserve">las decisiones que se consideraban gravosas </w:t>
      </w:r>
      <w:r w:rsidR="001D5C64" w:rsidRPr="003C2C65">
        <w:rPr>
          <w:rFonts w:ascii="Cambria" w:hAnsi="Cambria"/>
          <w:sz w:val="20"/>
          <w:szCs w:val="20"/>
          <w:lang w:val="es-ES"/>
        </w:rPr>
        <w:t xml:space="preserve">a través del recurso </w:t>
      </w:r>
      <w:r w:rsidR="00587FBE" w:rsidRPr="003C2C65">
        <w:rPr>
          <w:rFonts w:ascii="Cambria" w:hAnsi="Cambria"/>
          <w:sz w:val="20"/>
          <w:szCs w:val="20"/>
          <w:lang w:val="es-ES"/>
        </w:rPr>
        <w:t xml:space="preserve">de nulidad, pero que los peticionarios tampoco hicieron uso de dichos recursos </w:t>
      </w:r>
      <w:r w:rsidR="007612C8">
        <w:rPr>
          <w:rFonts w:ascii="Cambria" w:hAnsi="Cambria"/>
          <w:sz w:val="20"/>
          <w:szCs w:val="20"/>
          <w:lang w:val="es-ES"/>
        </w:rPr>
        <w:t xml:space="preserve">en el ámbito </w:t>
      </w:r>
      <w:r w:rsidR="00587FBE" w:rsidRPr="003C2C65">
        <w:rPr>
          <w:rFonts w:ascii="Cambria" w:hAnsi="Cambria"/>
          <w:sz w:val="20"/>
          <w:szCs w:val="20"/>
          <w:lang w:val="es-ES"/>
        </w:rPr>
        <w:t>interno.</w:t>
      </w:r>
    </w:p>
    <w:p w14:paraId="3FE6F5AE" w14:textId="5838016A" w:rsidR="004C616A" w:rsidRPr="003C2C65" w:rsidRDefault="004C616A" w:rsidP="00647756">
      <w:pPr>
        <w:pStyle w:val="ListParagraph"/>
        <w:spacing w:before="120" w:after="120"/>
        <w:jc w:val="both"/>
        <w:rPr>
          <w:rFonts w:asciiTheme="majorHAnsi" w:hAnsiTheme="majorHAnsi"/>
          <w:b/>
          <w:bCs/>
          <w:color w:val="auto"/>
          <w:sz w:val="20"/>
          <w:szCs w:val="20"/>
          <w:lang w:val="es-ES"/>
        </w:rPr>
      </w:pPr>
      <w:r w:rsidRPr="003C2C65">
        <w:rPr>
          <w:rFonts w:asciiTheme="majorHAnsi" w:hAnsiTheme="majorHAnsi"/>
          <w:b/>
          <w:bCs/>
          <w:color w:val="auto"/>
          <w:sz w:val="20"/>
          <w:szCs w:val="20"/>
          <w:lang w:val="es-ES"/>
        </w:rPr>
        <w:t xml:space="preserve">VI. </w:t>
      </w:r>
      <w:r w:rsidRPr="003C2C65">
        <w:rPr>
          <w:rFonts w:asciiTheme="majorHAnsi" w:hAnsiTheme="majorHAnsi"/>
          <w:b/>
          <w:bCs/>
          <w:color w:val="auto"/>
          <w:sz w:val="20"/>
          <w:szCs w:val="20"/>
          <w:lang w:val="es-ES"/>
        </w:rPr>
        <w:tab/>
        <w:t>AGOTAMIENTO DE LOS RECURSOS INTERNOS Y PLAZO DE PRESENTACIÓN</w:t>
      </w:r>
    </w:p>
    <w:p w14:paraId="3F635A8F" w14:textId="53801FA9" w:rsidR="00656F2E" w:rsidRPr="007612C8" w:rsidRDefault="008646E6" w:rsidP="00495B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C2C65">
        <w:rPr>
          <w:rFonts w:ascii="Cambria" w:hAnsi="Cambria"/>
          <w:sz w:val="20"/>
          <w:szCs w:val="20"/>
          <w:lang w:val="es-ES"/>
        </w:rPr>
        <w:t>En relación con el</w:t>
      </w:r>
      <w:r w:rsidR="00DA18FD" w:rsidRPr="003C2C65">
        <w:rPr>
          <w:rFonts w:ascii="Cambria" w:hAnsi="Cambria"/>
          <w:sz w:val="20"/>
          <w:szCs w:val="20"/>
          <w:lang w:val="es-ES"/>
        </w:rPr>
        <w:t xml:space="preserve"> agotamiento de los recursos internos, </w:t>
      </w:r>
      <w:r w:rsidR="00C64835" w:rsidRPr="003C2C65">
        <w:rPr>
          <w:rFonts w:ascii="Cambria" w:hAnsi="Cambria"/>
          <w:sz w:val="20"/>
          <w:szCs w:val="20"/>
          <w:lang w:val="es-ES"/>
        </w:rPr>
        <w:t>la CIDH observa que los peticio</w:t>
      </w:r>
      <w:r w:rsidR="003B35A3" w:rsidRPr="003C2C65">
        <w:rPr>
          <w:rFonts w:ascii="Cambria" w:hAnsi="Cambria"/>
          <w:sz w:val="20"/>
          <w:szCs w:val="20"/>
          <w:lang w:val="es-ES"/>
        </w:rPr>
        <w:t xml:space="preserve">narios presentaron </w:t>
      </w:r>
      <w:r w:rsidR="009135E3" w:rsidRPr="003C2C65">
        <w:rPr>
          <w:rFonts w:ascii="Cambria" w:hAnsi="Cambria"/>
          <w:sz w:val="20"/>
          <w:szCs w:val="20"/>
          <w:lang w:val="es-ES"/>
        </w:rPr>
        <w:t xml:space="preserve">una </w:t>
      </w:r>
      <w:r w:rsidR="003B35A3" w:rsidRPr="003C2C65">
        <w:rPr>
          <w:rFonts w:ascii="Cambria" w:hAnsi="Cambria"/>
          <w:sz w:val="20"/>
          <w:szCs w:val="20"/>
          <w:lang w:val="es-ES"/>
        </w:rPr>
        <w:t>acción abstracta de inconstitucionalidad ante el Tribunal C</w:t>
      </w:r>
      <w:r w:rsidR="009135E3" w:rsidRPr="003C2C65">
        <w:rPr>
          <w:rFonts w:ascii="Cambria" w:hAnsi="Cambria"/>
          <w:sz w:val="20"/>
          <w:szCs w:val="20"/>
          <w:lang w:val="es-ES"/>
        </w:rPr>
        <w:t>onstitucional boliviano</w:t>
      </w:r>
      <w:r w:rsidR="003B35A3" w:rsidRPr="003C2C65">
        <w:rPr>
          <w:rFonts w:ascii="Cambria" w:hAnsi="Cambria"/>
          <w:sz w:val="20"/>
          <w:szCs w:val="20"/>
          <w:lang w:val="es-ES"/>
        </w:rPr>
        <w:t xml:space="preserve">, </w:t>
      </w:r>
      <w:r w:rsidR="00C77A6E">
        <w:rPr>
          <w:rFonts w:ascii="Cambria" w:hAnsi="Cambria"/>
          <w:sz w:val="20"/>
          <w:szCs w:val="20"/>
          <w:lang w:val="es-ES"/>
        </w:rPr>
        <w:t xml:space="preserve">que </w:t>
      </w:r>
      <w:r w:rsidR="009135E3" w:rsidRPr="003C2C65">
        <w:rPr>
          <w:rFonts w:ascii="Cambria" w:hAnsi="Cambria"/>
          <w:sz w:val="20"/>
          <w:szCs w:val="20"/>
          <w:lang w:val="es-ES"/>
        </w:rPr>
        <w:t>declaró el 18 de junio de 2012 la constitucionalidad condicionada de las normas demandadas e</w:t>
      </w:r>
      <w:r w:rsidR="003B35A3" w:rsidRPr="003C2C65">
        <w:rPr>
          <w:rFonts w:ascii="Cambria" w:hAnsi="Cambria"/>
          <w:sz w:val="20"/>
          <w:szCs w:val="20"/>
          <w:lang w:val="es-ES"/>
        </w:rPr>
        <w:t xml:space="preserve"> instó al gobierno a entablar diálogo con los pueblos indígenas que se oponían a la construcci</w:t>
      </w:r>
      <w:r w:rsidR="00D518C7" w:rsidRPr="003C2C65">
        <w:rPr>
          <w:rFonts w:ascii="Cambria" w:hAnsi="Cambria"/>
          <w:sz w:val="20"/>
          <w:szCs w:val="20"/>
          <w:lang w:val="es-ES"/>
        </w:rPr>
        <w:t>ón de la carretera.</w:t>
      </w:r>
      <w:r w:rsidR="002C475B" w:rsidRPr="003C2C65">
        <w:rPr>
          <w:rFonts w:ascii="Cambria" w:hAnsi="Cambria"/>
          <w:sz w:val="20"/>
          <w:szCs w:val="20"/>
          <w:lang w:val="es-ES"/>
        </w:rPr>
        <w:t xml:space="preserve"> </w:t>
      </w:r>
      <w:r w:rsidR="00C77A6E">
        <w:rPr>
          <w:rFonts w:ascii="Cambria" w:hAnsi="Cambria"/>
          <w:sz w:val="20"/>
          <w:szCs w:val="20"/>
          <w:lang w:val="es-ES"/>
        </w:rPr>
        <w:t xml:space="preserve">Asimismo, </w:t>
      </w:r>
      <w:r w:rsidR="008269FA" w:rsidRPr="003C2C65">
        <w:rPr>
          <w:rFonts w:ascii="Cambria" w:hAnsi="Cambria"/>
          <w:sz w:val="20"/>
          <w:szCs w:val="20"/>
          <w:lang w:val="es-ES"/>
        </w:rPr>
        <w:t xml:space="preserve">previo a la interposición del recurso mencionado, </w:t>
      </w:r>
      <w:r w:rsidR="007612C8" w:rsidRPr="003C2C65">
        <w:rPr>
          <w:rFonts w:ascii="Cambria" w:hAnsi="Cambria"/>
          <w:sz w:val="20"/>
          <w:szCs w:val="20"/>
          <w:lang w:val="es-ES"/>
        </w:rPr>
        <w:t xml:space="preserve">un grupo de personas </w:t>
      </w:r>
      <w:r w:rsidR="007612C8">
        <w:rPr>
          <w:rFonts w:ascii="Cambria" w:hAnsi="Cambria"/>
          <w:sz w:val="20"/>
          <w:szCs w:val="20"/>
          <w:lang w:val="es-ES"/>
        </w:rPr>
        <w:t xml:space="preserve">interpuso </w:t>
      </w:r>
      <w:r w:rsidR="008269FA" w:rsidRPr="003C2C65">
        <w:rPr>
          <w:rFonts w:ascii="Cambria" w:hAnsi="Cambria"/>
          <w:sz w:val="20"/>
          <w:szCs w:val="20"/>
          <w:lang w:val="es-ES"/>
        </w:rPr>
        <w:t>una acción popular</w:t>
      </w:r>
      <w:r w:rsidR="007612C8">
        <w:rPr>
          <w:rFonts w:ascii="Cambria" w:hAnsi="Cambria"/>
          <w:sz w:val="20"/>
          <w:szCs w:val="20"/>
          <w:lang w:val="es-ES"/>
        </w:rPr>
        <w:t>,</w:t>
      </w:r>
      <w:r w:rsidR="008269FA" w:rsidRPr="003C2C65">
        <w:rPr>
          <w:rFonts w:ascii="Cambria" w:hAnsi="Cambria"/>
          <w:sz w:val="20"/>
          <w:szCs w:val="20"/>
          <w:lang w:val="es-ES"/>
        </w:rPr>
        <w:t xml:space="preserve"> </w:t>
      </w:r>
      <w:r w:rsidR="007612C8" w:rsidRPr="003C2C65">
        <w:rPr>
          <w:rFonts w:ascii="Cambria" w:hAnsi="Cambria"/>
          <w:sz w:val="20"/>
          <w:szCs w:val="20"/>
          <w:lang w:val="es-ES"/>
        </w:rPr>
        <w:t>proceso</w:t>
      </w:r>
      <w:r w:rsidR="007612C8">
        <w:rPr>
          <w:rFonts w:ascii="Cambria" w:hAnsi="Cambria"/>
          <w:sz w:val="20"/>
          <w:szCs w:val="20"/>
          <w:lang w:val="es-ES"/>
        </w:rPr>
        <w:t xml:space="preserve"> del </w:t>
      </w:r>
      <w:r w:rsidR="008269FA" w:rsidRPr="003C2C65">
        <w:rPr>
          <w:rFonts w:ascii="Cambria" w:hAnsi="Cambria"/>
          <w:sz w:val="20"/>
          <w:szCs w:val="20"/>
          <w:lang w:val="es-ES"/>
        </w:rPr>
        <w:t xml:space="preserve">que los </w:t>
      </w:r>
      <w:r w:rsidR="00400C9B" w:rsidRPr="003C2C65">
        <w:rPr>
          <w:rFonts w:ascii="Cambria" w:hAnsi="Cambria"/>
          <w:sz w:val="20"/>
          <w:szCs w:val="20"/>
          <w:lang w:val="es-ES"/>
        </w:rPr>
        <w:t xml:space="preserve">peticionarios </w:t>
      </w:r>
      <w:r w:rsidR="007612C8">
        <w:rPr>
          <w:rFonts w:ascii="Cambria" w:hAnsi="Cambria"/>
          <w:sz w:val="20"/>
          <w:szCs w:val="20"/>
          <w:lang w:val="es-ES"/>
        </w:rPr>
        <w:t xml:space="preserve">en el presente asunto </w:t>
      </w:r>
      <w:r w:rsidR="00400C9B" w:rsidRPr="003C2C65">
        <w:rPr>
          <w:rFonts w:ascii="Cambria" w:hAnsi="Cambria"/>
          <w:sz w:val="20"/>
          <w:szCs w:val="20"/>
          <w:lang w:val="es-ES"/>
        </w:rPr>
        <w:t>participaron como terceros interesados</w:t>
      </w:r>
      <w:r w:rsidR="007612C8">
        <w:rPr>
          <w:rFonts w:ascii="Cambria" w:hAnsi="Cambria"/>
          <w:sz w:val="20"/>
          <w:szCs w:val="20"/>
          <w:lang w:val="es-ES"/>
        </w:rPr>
        <w:t>. La</w:t>
      </w:r>
      <w:r w:rsidR="009135E3" w:rsidRPr="003C2C65">
        <w:rPr>
          <w:rFonts w:ascii="Cambria" w:hAnsi="Cambria"/>
          <w:sz w:val="20"/>
          <w:szCs w:val="20"/>
          <w:lang w:val="es-ES"/>
        </w:rPr>
        <w:t xml:space="preserve"> acción popular </w:t>
      </w:r>
      <w:r w:rsidR="008269FA" w:rsidRPr="003C2C65">
        <w:rPr>
          <w:rFonts w:ascii="Cambria" w:hAnsi="Cambria"/>
          <w:sz w:val="20"/>
          <w:szCs w:val="20"/>
          <w:lang w:val="es-ES"/>
        </w:rPr>
        <w:t xml:space="preserve">fue </w:t>
      </w:r>
      <w:r w:rsidR="009135E3" w:rsidRPr="003C2C65">
        <w:rPr>
          <w:rFonts w:ascii="Cambria" w:hAnsi="Cambria"/>
          <w:sz w:val="20"/>
          <w:szCs w:val="20"/>
          <w:lang w:val="es-ES"/>
        </w:rPr>
        <w:t>rechazada por el Tribunal Constitucional bajo el argumento de que ya se había</w:t>
      </w:r>
      <w:r w:rsidR="00495B4A">
        <w:rPr>
          <w:rFonts w:ascii="Cambria" w:hAnsi="Cambria"/>
          <w:sz w:val="20"/>
          <w:szCs w:val="20"/>
          <w:lang w:val="es-ES"/>
        </w:rPr>
        <w:t xml:space="preserve"> interpuesto</w:t>
      </w:r>
      <w:r w:rsidR="009135E3" w:rsidRPr="003C2C65">
        <w:rPr>
          <w:rFonts w:ascii="Cambria" w:hAnsi="Cambria"/>
          <w:sz w:val="20"/>
          <w:szCs w:val="20"/>
          <w:lang w:val="es-ES"/>
        </w:rPr>
        <w:t xml:space="preserve"> otra</w:t>
      </w:r>
      <w:r w:rsidR="00495B4A">
        <w:rPr>
          <w:rFonts w:ascii="Cambria" w:hAnsi="Cambria"/>
          <w:sz w:val="20"/>
          <w:szCs w:val="20"/>
          <w:lang w:val="es-ES"/>
        </w:rPr>
        <w:t xml:space="preserve"> acción</w:t>
      </w:r>
      <w:r w:rsidR="009135E3" w:rsidRPr="003C2C65">
        <w:rPr>
          <w:rFonts w:ascii="Cambria" w:hAnsi="Cambria"/>
          <w:sz w:val="20"/>
          <w:szCs w:val="20"/>
          <w:lang w:val="es-ES"/>
        </w:rPr>
        <w:t xml:space="preserve"> popula</w:t>
      </w:r>
      <w:r w:rsidR="00495B4A">
        <w:rPr>
          <w:rFonts w:ascii="Cambria" w:hAnsi="Cambria"/>
          <w:sz w:val="20"/>
          <w:szCs w:val="20"/>
          <w:lang w:val="es-ES"/>
        </w:rPr>
        <w:t>r</w:t>
      </w:r>
      <w:r w:rsidR="008B4FBD" w:rsidRPr="003C2C65">
        <w:rPr>
          <w:rFonts w:ascii="Cambria" w:hAnsi="Cambria"/>
          <w:sz w:val="20"/>
          <w:szCs w:val="20"/>
          <w:lang w:val="es-ES"/>
        </w:rPr>
        <w:t xml:space="preserve"> que tenía el mismo fin, </w:t>
      </w:r>
      <w:r w:rsidR="00495B4A">
        <w:rPr>
          <w:rFonts w:ascii="Cambria" w:hAnsi="Cambria"/>
          <w:sz w:val="20"/>
          <w:szCs w:val="20"/>
          <w:lang w:val="es-ES"/>
        </w:rPr>
        <w:t xml:space="preserve">y en ella se había </w:t>
      </w:r>
      <w:r w:rsidR="009135E3" w:rsidRPr="003C2C65">
        <w:rPr>
          <w:rFonts w:ascii="Cambria" w:hAnsi="Cambria"/>
          <w:sz w:val="20"/>
          <w:szCs w:val="20"/>
          <w:lang w:val="es-ES"/>
        </w:rPr>
        <w:t>declarado la inexistencia de amenaza contra el medio ambiente y la supervivencia de los pueblos indígenas de la zona.</w:t>
      </w:r>
      <w:r w:rsidR="00C55865">
        <w:rPr>
          <w:rFonts w:ascii="Cambria" w:hAnsi="Cambria"/>
          <w:sz w:val="20"/>
          <w:szCs w:val="20"/>
          <w:lang w:val="es-ES"/>
        </w:rPr>
        <w:t xml:space="preserve"> Finalmente, el 25 de julio de 2012 la subcentral del TIPNIS presentó una acción de amparo constitucional, </w:t>
      </w:r>
      <w:r w:rsidR="007612C8">
        <w:rPr>
          <w:rFonts w:ascii="Cambria" w:hAnsi="Cambria"/>
          <w:sz w:val="20"/>
          <w:szCs w:val="20"/>
          <w:lang w:val="es-ES"/>
        </w:rPr>
        <w:t xml:space="preserve">que fue declarado improcedente </w:t>
      </w:r>
      <w:r w:rsidR="00C55865">
        <w:rPr>
          <w:rFonts w:ascii="Cambria" w:hAnsi="Cambria"/>
          <w:sz w:val="20"/>
          <w:szCs w:val="20"/>
          <w:lang w:val="es-ES"/>
        </w:rPr>
        <w:t>e</w:t>
      </w:r>
      <w:r w:rsidR="00C55865" w:rsidRPr="003C2C65">
        <w:rPr>
          <w:rFonts w:ascii="Cambria" w:hAnsi="Cambria"/>
          <w:sz w:val="20"/>
          <w:szCs w:val="20"/>
          <w:lang w:val="es-ES"/>
        </w:rPr>
        <w:t>l 18 de octubre de 2012</w:t>
      </w:r>
      <w:r w:rsidR="007612C8">
        <w:rPr>
          <w:rFonts w:ascii="Cambria" w:hAnsi="Cambria"/>
          <w:sz w:val="20"/>
          <w:szCs w:val="20"/>
          <w:lang w:val="es-ES"/>
        </w:rPr>
        <w:t xml:space="preserve"> por</w:t>
      </w:r>
      <w:r w:rsidR="00C55865" w:rsidRPr="003C2C65">
        <w:rPr>
          <w:rFonts w:ascii="Cambria" w:hAnsi="Cambria"/>
          <w:sz w:val="20"/>
          <w:szCs w:val="20"/>
          <w:lang w:val="es-ES"/>
        </w:rPr>
        <w:t xml:space="preserve"> la Sala Civil Primera del Tribunal Departamental de Justicia de </w:t>
      </w:r>
      <w:r w:rsidR="007612C8">
        <w:rPr>
          <w:rFonts w:ascii="Cambria" w:hAnsi="Cambria"/>
          <w:sz w:val="20"/>
          <w:szCs w:val="20"/>
          <w:lang w:val="es-ES"/>
        </w:rPr>
        <w:t>L</w:t>
      </w:r>
      <w:r w:rsidR="00C55865" w:rsidRPr="003C2C65">
        <w:rPr>
          <w:rFonts w:ascii="Cambria" w:hAnsi="Cambria"/>
          <w:sz w:val="20"/>
          <w:szCs w:val="20"/>
          <w:lang w:val="es-ES"/>
        </w:rPr>
        <w:t>a Paz</w:t>
      </w:r>
      <w:r w:rsidR="007612C8">
        <w:rPr>
          <w:rFonts w:ascii="Cambria" w:hAnsi="Cambria"/>
          <w:sz w:val="20"/>
          <w:szCs w:val="20"/>
          <w:lang w:val="es-ES"/>
        </w:rPr>
        <w:t xml:space="preserve">. </w:t>
      </w:r>
      <w:r w:rsidR="00C675B0">
        <w:rPr>
          <w:rFonts w:ascii="Cambria" w:hAnsi="Cambria"/>
          <w:sz w:val="20"/>
          <w:szCs w:val="20"/>
          <w:lang w:val="es-ES"/>
        </w:rPr>
        <w:t xml:space="preserve">La </w:t>
      </w:r>
      <w:r w:rsidR="00C55865">
        <w:rPr>
          <w:rFonts w:ascii="Cambria" w:hAnsi="Cambria"/>
          <w:sz w:val="20"/>
          <w:szCs w:val="20"/>
          <w:lang w:val="es-ES"/>
        </w:rPr>
        <w:t>anterior</w:t>
      </w:r>
      <w:r w:rsidR="00C55865" w:rsidRPr="003C2C65">
        <w:rPr>
          <w:rFonts w:ascii="Cambria" w:hAnsi="Cambria"/>
          <w:sz w:val="20"/>
          <w:szCs w:val="20"/>
          <w:lang w:val="es-ES"/>
        </w:rPr>
        <w:t xml:space="preserve"> decisión no fue impugnada, </w:t>
      </w:r>
      <w:r w:rsidR="00C675B0">
        <w:rPr>
          <w:rFonts w:ascii="Cambria" w:hAnsi="Cambria"/>
          <w:sz w:val="20"/>
          <w:szCs w:val="20"/>
          <w:lang w:val="es-ES"/>
        </w:rPr>
        <w:t xml:space="preserve">pero </w:t>
      </w:r>
      <w:r w:rsidR="00C55865" w:rsidRPr="003C2C65">
        <w:rPr>
          <w:rFonts w:ascii="Cambria" w:hAnsi="Cambria"/>
          <w:sz w:val="20"/>
          <w:szCs w:val="20"/>
          <w:lang w:val="es-ES"/>
        </w:rPr>
        <w:t>fue enviada de oficio al Tri</w:t>
      </w:r>
      <w:r w:rsidR="00C55865" w:rsidRPr="007612C8">
        <w:rPr>
          <w:rFonts w:ascii="Cambria" w:hAnsi="Cambria"/>
          <w:sz w:val="20"/>
          <w:szCs w:val="20"/>
          <w:lang w:val="es-ES"/>
        </w:rPr>
        <w:t>bunal Constitucional</w:t>
      </w:r>
      <w:r w:rsidR="007612C8">
        <w:rPr>
          <w:rFonts w:ascii="Cambria" w:hAnsi="Cambria"/>
          <w:sz w:val="20"/>
          <w:szCs w:val="20"/>
          <w:lang w:val="es-ES"/>
        </w:rPr>
        <w:t>,</w:t>
      </w:r>
      <w:r w:rsidR="00C55865" w:rsidRPr="007612C8">
        <w:rPr>
          <w:rFonts w:ascii="Cambria" w:hAnsi="Cambria"/>
          <w:sz w:val="20"/>
          <w:szCs w:val="20"/>
          <w:lang w:val="es-ES"/>
        </w:rPr>
        <w:t xml:space="preserve"> </w:t>
      </w:r>
      <w:r w:rsidR="007612C8">
        <w:rPr>
          <w:rFonts w:ascii="Cambria" w:hAnsi="Cambria"/>
          <w:sz w:val="20"/>
          <w:szCs w:val="20"/>
          <w:lang w:val="es-ES"/>
        </w:rPr>
        <w:t>que con fecha</w:t>
      </w:r>
      <w:r w:rsidR="00C55865" w:rsidRPr="007612C8">
        <w:rPr>
          <w:rFonts w:ascii="Cambria" w:hAnsi="Cambria"/>
          <w:sz w:val="20"/>
          <w:szCs w:val="20"/>
          <w:lang w:val="es-ES"/>
        </w:rPr>
        <w:t xml:space="preserve"> 5 de marzo de 2013 confirmó la decisión de primera instancia</w:t>
      </w:r>
    </w:p>
    <w:p w14:paraId="008A82A4" w14:textId="34336A1E" w:rsidR="00495B4A" w:rsidRPr="007612C8" w:rsidRDefault="007612C8" w:rsidP="00C675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Con base</w:t>
      </w:r>
      <w:r w:rsidR="00C675B0" w:rsidRPr="007612C8">
        <w:rPr>
          <w:rFonts w:ascii="Cambria" w:hAnsi="Cambria"/>
          <w:sz w:val="20"/>
          <w:szCs w:val="20"/>
          <w:lang w:val="es-ES"/>
        </w:rPr>
        <w:t xml:space="preserve"> en la regla </w:t>
      </w:r>
      <w:r w:rsidR="00E94F54" w:rsidRPr="007612C8">
        <w:rPr>
          <w:rFonts w:ascii="Cambria" w:hAnsi="Cambria"/>
          <w:sz w:val="20"/>
          <w:szCs w:val="20"/>
          <w:lang w:val="es-ES"/>
        </w:rPr>
        <w:t xml:space="preserve">prevista en el artículo 46.1.a de la Convención Americana, </w:t>
      </w:r>
      <w:r>
        <w:rPr>
          <w:rFonts w:ascii="Cambria" w:hAnsi="Cambria"/>
          <w:sz w:val="20"/>
          <w:szCs w:val="20"/>
          <w:lang w:val="es-ES"/>
        </w:rPr>
        <w:t>la CIDH</w:t>
      </w:r>
      <w:r w:rsidR="00C675B0" w:rsidRPr="007612C8">
        <w:rPr>
          <w:rFonts w:ascii="Cambria" w:hAnsi="Cambria"/>
          <w:sz w:val="20"/>
          <w:szCs w:val="20"/>
          <w:lang w:val="es-ES"/>
        </w:rPr>
        <w:t xml:space="preserve"> determina que el agotamiento de</w:t>
      </w:r>
      <w:r>
        <w:rPr>
          <w:rFonts w:ascii="Cambria" w:hAnsi="Cambria"/>
          <w:sz w:val="20"/>
          <w:szCs w:val="20"/>
          <w:lang w:val="es-ES"/>
        </w:rPr>
        <w:t xml:space="preserve"> los recursos internos</w:t>
      </w:r>
      <w:r w:rsidR="00C675B0" w:rsidRPr="007612C8">
        <w:rPr>
          <w:rFonts w:ascii="Cambria" w:hAnsi="Cambria"/>
          <w:sz w:val="20"/>
          <w:szCs w:val="20"/>
          <w:lang w:val="es-ES"/>
        </w:rPr>
        <w:t xml:space="preserve"> por parte de los peticionarios tuvo lugar el 5 de marzo </w:t>
      </w:r>
      <w:r w:rsidR="00C675B0" w:rsidRPr="007612C8">
        <w:rPr>
          <w:rFonts w:ascii="Cambria" w:hAnsi="Cambria"/>
          <w:sz w:val="20"/>
          <w:szCs w:val="20"/>
          <w:lang w:val="es-ES"/>
        </w:rPr>
        <w:lastRenderedPageBreak/>
        <w:t xml:space="preserve">de 2013 con la decisión </w:t>
      </w:r>
      <w:r>
        <w:rPr>
          <w:rFonts w:ascii="Cambria" w:hAnsi="Cambria"/>
          <w:sz w:val="20"/>
          <w:szCs w:val="20"/>
          <w:lang w:val="es-ES"/>
        </w:rPr>
        <w:t>d</w:t>
      </w:r>
      <w:r w:rsidR="00C675B0" w:rsidRPr="007612C8">
        <w:rPr>
          <w:rFonts w:ascii="Cambria" w:hAnsi="Cambria"/>
          <w:sz w:val="20"/>
          <w:szCs w:val="20"/>
          <w:lang w:val="es-ES"/>
        </w:rPr>
        <w:t xml:space="preserve">el Tribunal Constitucional boliviano. </w:t>
      </w:r>
      <w:r>
        <w:rPr>
          <w:rFonts w:ascii="Cambria" w:hAnsi="Cambria"/>
          <w:sz w:val="20"/>
          <w:szCs w:val="20"/>
          <w:lang w:val="es-ES"/>
        </w:rPr>
        <w:t xml:space="preserve">Al efecto anterior debe tomarse </w:t>
      </w:r>
      <w:r w:rsidR="00C675B0" w:rsidRPr="007612C8">
        <w:rPr>
          <w:rFonts w:ascii="Cambria" w:hAnsi="Cambria"/>
          <w:sz w:val="20"/>
          <w:szCs w:val="20"/>
          <w:lang w:val="es-ES"/>
        </w:rPr>
        <w:t xml:space="preserve">en consideración que se activaron </w:t>
      </w:r>
      <w:r w:rsidR="00E94F54" w:rsidRPr="007612C8">
        <w:rPr>
          <w:rFonts w:ascii="Cambria" w:hAnsi="Cambria"/>
          <w:sz w:val="20"/>
          <w:szCs w:val="20"/>
          <w:lang w:val="es-ES"/>
        </w:rPr>
        <w:t>primero los recursos normalmente disponibles e idóneos en el ordenamiento jurídico interno</w:t>
      </w:r>
      <w:r w:rsidR="00AB320C" w:rsidRPr="007612C8">
        <w:rPr>
          <w:rFonts w:ascii="Cambria" w:hAnsi="Cambria"/>
          <w:sz w:val="20"/>
          <w:szCs w:val="20"/>
          <w:lang w:val="es-ES"/>
        </w:rPr>
        <w:t>; s</w:t>
      </w:r>
      <w:r w:rsidR="00C675B0" w:rsidRPr="007612C8">
        <w:rPr>
          <w:rFonts w:ascii="Cambria" w:hAnsi="Cambria"/>
          <w:sz w:val="20"/>
          <w:szCs w:val="20"/>
          <w:lang w:val="es-ES"/>
        </w:rPr>
        <w:t xml:space="preserve">egún los parámetros </w:t>
      </w:r>
      <w:r>
        <w:rPr>
          <w:rFonts w:ascii="Cambria" w:hAnsi="Cambria"/>
          <w:sz w:val="20"/>
          <w:szCs w:val="20"/>
          <w:lang w:val="es-ES"/>
        </w:rPr>
        <w:t>señalados por la CIDH</w:t>
      </w:r>
      <w:r w:rsidR="00C675B0" w:rsidRPr="007612C8">
        <w:rPr>
          <w:rFonts w:ascii="Cambria" w:hAnsi="Cambria"/>
          <w:sz w:val="20"/>
          <w:szCs w:val="20"/>
          <w:lang w:val="es-ES"/>
        </w:rPr>
        <w:t>, t</w:t>
      </w:r>
      <w:r w:rsidR="00E94F54" w:rsidRPr="007612C8">
        <w:rPr>
          <w:rFonts w:ascii="Cambria" w:hAnsi="Cambria"/>
          <w:sz w:val="20"/>
          <w:szCs w:val="20"/>
          <w:lang w:val="es-ES"/>
        </w:rPr>
        <w:t>ales recursos deben ser lo suficiente</w:t>
      </w:r>
      <w:r>
        <w:rPr>
          <w:rFonts w:ascii="Cambria" w:hAnsi="Cambria"/>
          <w:sz w:val="20"/>
          <w:szCs w:val="20"/>
          <w:lang w:val="es-ES"/>
        </w:rPr>
        <w:t>mente</w:t>
      </w:r>
      <w:r w:rsidR="00E94F54" w:rsidRPr="007612C8">
        <w:rPr>
          <w:rFonts w:ascii="Cambria" w:hAnsi="Cambria"/>
          <w:sz w:val="20"/>
          <w:szCs w:val="20"/>
          <w:lang w:val="es-ES"/>
        </w:rPr>
        <w:t xml:space="preserve"> </w:t>
      </w:r>
      <w:r w:rsidR="00677B8C" w:rsidRPr="007612C8">
        <w:rPr>
          <w:rFonts w:ascii="Cambria" w:hAnsi="Cambria"/>
          <w:sz w:val="20"/>
          <w:szCs w:val="20"/>
          <w:lang w:val="es-ES"/>
        </w:rPr>
        <w:t>seguros, tanto formal como materialmente</w:t>
      </w:r>
      <w:r>
        <w:rPr>
          <w:rFonts w:ascii="Cambria" w:hAnsi="Cambria"/>
          <w:sz w:val="20"/>
          <w:szCs w:val="20"/>
          <w:lang w:val="es-ES"/>
        </w:rPr>
        <w:t>,</w:t>
      </w:r>
      <w:r w:rsidR="00677B8C" w:rsidRPr="007612C8">
        <w:rPr>
          <w:rFonts w:ascii="Cambria" w:hAnsi="Cambria"/>
          <w:sz w:val="20"/>
          <w:szCs w:val="20"/>
          <w:lang w:val="es-ES"/>
        </w:rPr>
        <w:t xml:space="preserve"> es decir, contar con accesibilidad y eficacia para restituir la situación denunciada. A</w:t>
      </w:r>
      <w:r w:rsidR="00AB320C" w:rsidRPr="007612C8">
        <w:rPr>
          <w:rFonts w:ascii="Cambria" w:hAnsi="Cambria"/>
          <w:sz w:val="20"/>
          <w:szCs w:val="20"/>
          <w:lang w:val="es-ES"/>
        </w:rPr>
        <w:t>dicionalmente,</w:t>
      </w:r>
      <w:r w:rsidR="00677B8C" w:rsidRPr="007612C8">
        <w:rPr>
          <w:rFonts w:ascii="Cambria" w:hAnsi="Cambria"/>
          <w:sz w:val="20"/>
          <w:szCs w:val="20"/>
          <w:lang w:val="es-ES"/>
        </w:rPr>
        <w:t xml:space="preserve"> la </w:t>
      </w:r>
      <w:r w:rsidRPr="007612C8">
        <w:rPr>
          <w:rFonts w:ascii="Cambria" w:hAnsi="Cambria"/>
          <w:sz w:val="20"/>
          <w:szCs w:val="20"/>
          <w:lang w:val="es-ES"/>
        </w:rPr>
        <w:t>C</w:t>
      </w:r>
      <w:r>
        <w:rPr>
          <w:rFonts w:ascii="Cambria" w:hAnsi="Cambria"/>
          <w:sz w:val="20"/>
          <w:szCs w:val="20"/>
          <w:lang w:val="es-ES"/>
        </w:rPr>
        <w:t xml:space="preserve">omisión </w:t>
      </w:r>
      <w:r w:rsidR="00677B8C" w:rsidRPr="007612C8">
        <w:rPr>
          <w:rFonts w:ascii="Cambria" w:hAnsi="Cambria"/>
          <w:sz w:val="20"/>
          <w:szCs w:val="20"/>
          <w:lang w:val="es-ES"/>
        </w:rPr>
        <w:t xml:space="preserve">ha establecido que </w:t>
      </w:r>
      <w:r>
        <w:rPr>
          <w:rFonts w:ascii="Cambria" w:hAnsi="Cambria"/>
          <w:sz w:val="20"/>
          <w:szCs w:val="20"/>
          <w:lang w:val="es-ES"/>
        </w:rPr>
        <w:t>ta</w:t>
      </w:r>
      <w:r w:rsidR="00677B8C" w:rsidRPr="007612C8">
        <w:rPr>
          <w:rFonts w:ascii="Cambria" w:hAnsi="Cambria"/>
          <w:sz w:val="20"/>
          <w:szCs w:val="20"/>
          <w:lang w:val="es-ES"/>
        </w:rPr>
        <w:t xml:space="preserve">l requisito no significa que las presuntas víctimas tengan necesariamente la obligación de agotar todos los recursos que tengan disponibles. En consecuencia, si la </w:t>
      </w:r>
      <w:r>
        <w:rPr>
          <w:rFonts w:ascii="Cambria" w:hAnsi="Cambria"/>
          <w:sz w:val="20"/>
          <w:szCs w:val="20"/>
          <w:lang w:val="es-ES"/>
        </w:rPr>
        <w:t>parte peticionaria</w:t>
      </w:r>
      <w:r w:rsidR="00677B8C" w:rsidRPr="007612C8">
        <w:rPr>
          <w:rFonts w:ascii="Cambria" w:hAnsi="Cambria"/>
          <w:sz w:val="20"/>
          <w:szCs w:val="20"/>
          <w:lang w:val="es-ES"/>
        </w:rPr>
        <w:t xml:space="preserve"> planteó la cuestión por alguna de las alternativas válidas y adecuadas según el ordenamiento </w:t>
      </w:r>
      <w:r w:rsidR="00B530B8" w:rsidRPr="007612C8">
        <w:rPr>
          <w:rFonts w:ascii="Cambria" w:hAnsi="Cambria"/>
          <w:sz w:val="20"/>
          <w:szCs w:val="20"/>
          <w:lang w:val="es-ES"/>
        </w:rPr>
        <w:t>jurídico interno y el Estado tuvo la oportunidad de remediar la cuestión en su jurisdicción, la finalidad de la norma internacional está cumplida</w:t>
      </w:r>
      <w:r w:rsidR="00B530B8" w:rsidRPr="007612C8">
        <w:rPr>
          <w:rStyle w:val="FootnoteReference"/>
          <w:rFonts w:ascii="Cambria" w:hAnsi="Cambria"/>
          <w:sz w:val="20"/>
          <w:szCs w:val="20"/>
          <w:lang w:val="es-ES"/>
        </w:rPr>
        <w:footnoteReference w:id="7"/>
      </w:r>
      <w:r w:rsidR="00C3300C" w:rsidRPr="007612C8">
        <w:rPr>
          <w:rFonts w:ascii="Cambria" w:hAnsi="Cambria"/>
          <w:sz w:val="20"/>
          <w:szCs w:val="20"/>
          <w:lang w:val="es-ES"/>
        </w:rPr>
        <w:t>.</w:t>
      </w:r>
      <w:r w:rsidR="00C675B0" w:rsidRPr="007612C8">
        <w:rPr>
          <w:rFonts w:ascii="Cambria" w:hAnsi="Cambria"/>
          <w:sz w:val="20"/>
          <w:szCs w:val="20"/>
          <w:lang w:val="es-ES"/>
        </w:rPr>
        <w:t xml:space="preserve"> </w:t>
      </w:r>
      <w:r w:rsidR="00BD56C9" w:rsidRPr="007612C8">
        <w:rPr>
          <w:rFonts w:ascii="Cambria" w:hAnsi="Cambria"/>
          <w:sz w:val="20"/>
          <w:szCs w:val="20"/>
          <w:lang w:val="es-ES"/>
        </w:rPr>
        <w:t xml:space="preserve"> Por otra parte,</w:t>
      </w:r>
      <w:r w:rsidR="00BD56C9" w:rsidRPr="007612C8">
        <w:rPr>
          <w:rFonts w:ascii="Cambria" w:hAnsi="Cambria" w:cs="Calibri"/>
          <w:sz w:val="20"/>
          <w:szCs w:val="20"/>
          <w:lang w:val="es-ES"/>
        </w:rPr>
        <w:t xml:space="preserve"> cuando </w:t>
      </w:r>
      <w:r w:rsidR="00BD56C9" w:rsidRPr="007612C8">
        <w:rPr>
          <w:rFonts w:ascii="Cambria" w:hAnsi="Cambria" w:cs="Calibri"/>
          <w:sz w:val="20"/>
          <w:szCs w:val="20"/>
          <w:lang w:val="es-ES_tradnl"/>
        </w:rPr>
        <w:t>un Estado alega la falta de agotamiento, tiene la carga de identificar cuáles serían los recursos a agotarse y demostrar que resultan “adecuados” para subsanar la violación alegada, vale decir que la función de esos recursos dentro del sistema del derecho interno es idónea para proteger la situación jurídica infringida</w:t>
      </w:r>
      <w:r w:rsidR="00BD56C9" w:rsidRPr="007612C8">
        <w:rPr>
          <w:rStyle w:val="FootnoteReference"/>
          <w:rFonts w:ascii="Cambria" w:hAnsi="Cambria" w:cs="Calibri"/>
          <w:sz w:val="20"/>
          <w:szCs w:val="20"/>
          <w:lang w:val="es-ES_tradnl"/>
        </w:rPr>
        <w:footnoteReference w:id="8"/>
      </w:r>
      <w:r w:rsidR="00BD56C9" w:rsidRPr="007612C8">
        <w:rPr>
          <w:rFonts w:ascii="Cambria" w:hAnsi="Cambria" w:cs="Calibri"/>
          <w:sz w:val="20"/>
          <w:szCs w:val="20"/>
          <w:lang w:val="es-ES_tradnl"/>
        </w:rPr>
        <w:t>. Finalmente</w:t>
      </w:r>
      <w:r w:rsidR="00656F2E" w:rsidRPr="007612C8">
        <w:rPr>
          <w:rFonts w:ascii="Cambria" w:hAnsi="Cambria"/>
          <w:sz w:val="20"/>
          <w:szCs w:val="20"/>
          <w:lang w:val="es-ES"/>
        </w:rPr>
        <w:t>, teniendo en consideraci</w:t>
      </w:r>
      <w:r w:rsidR="009025D3" w:rsidRPr="007612C8">
        <w:rPr>
          <w:rFonts w:ascii="Cambria" w:hAnsi="Cambria"/>
          <w:sz w:val="20"/>
          <w:szCs w:val="20"/>
          <w:lang w:val="es-ES"/>
        </w:rPr>
        <w:t xml:space="preserve">ón que </w:t>
      </w:r>
      <w:r w:rsidR="00656F2E" w:rsidRPr="007612C8">
        <w:rPr>
          <w:rFonts w:ascii="Cambria" w:hAnsi="Cambria"/>
          <w:sz w:val="20"/>
          <w:szCs w:val="20"/>
          <w:lang w:val="es-ES"/>
        </w:rPr>
        <w:t xml:space="preserve">la presente petición fue presentada el 8 de febrero de 2012, esta Comisión </w:t>
      </w:r>
      <w:r w:rsidR="00380782">
        <w:rPr>
          <w:rFonts w:ascii="Cambria" w:hAnsi="Cambria"/>
          <w:sz w:val="20"/>
          <w:szCs w:val="20"/>
          <w:lang w:val="es-ES"/>
        </w:rPr>
        <w:t>observa</w:t>
      </w:r>
      <w:r w:rsidR="00656F2E" w:rsidRPr="007612C8">
        <w:rPr>
          <w:rFonts w:ascii="Cambria" w:hAnsi="Cambria"/>
          <w:sz w:val="20"/>
          <w:szCs w:val="20"/>
          <w:lang w:val="es-ES"/>
        </w:rPr>
        <w:t xml:space="preserve"> que el agotamiento del requisito establecido en el artículo</w:t>
      </w:r>
      <w:r w:rsidR="009025D3" w:rsidRPr="007612C8">
        <w:rPr>
          <w:rFonts w:ascii="Cambria" w:hAnsi="Cambria"/>
          <w:sz w:val="20"/>
          <w:szCs w:val="20"/>
          <w:lang w:val="es-ES"/>
        </w:rPr>
        <w:t xml:space="preserve"> </w:t>
      </w:r>
      <w:r w:rsidR="00656F2E" w:rsidRPr="007612C8">
        <w:rPr>
          <w:rFonts w:ascii="Cambria" w:hAnsi="Cambria"/>
          <w:sz w:val="20"/>
          <w:szCs w:val="20"/>
          <w:lang w:val="es-ES"/>
        </w:rPr>
        <w:t>46.1</w:t>
      </w:r>
      <w:r w:rsidR="00380782">
        <w:rPr>
          <w:rFonts w:ascii="Cambria" w:hAnsi="Cambria"/>
          <w:sz w:val="20"/>
          <w:szCs w:val="20"/>
          <w:lang w:val="es-ES"/>
        </w:rPr>
        <w:t>(</w:t>
      </w:r>
      <w:r w:rsidR="00656F2E" w:rsidRPr="007612C8">
        <w:rPr>
          <w:rFonts w:ascii="Cambria" w:hAnsi="Cambria"/>
          <w:sz w:val="20"/>
          <w:szCs w:val="20"/>
          <w:lang w:val="es-ES"/>
        </w:rPr>
        <w:t>b</w:t>
      </w:r>
      <w:r w:rsidR="00380782">
        <w:rPr>
          <w:rFonts w:ascii="Cambria" w:hAnsi="Cambria"/>
          <w:sz w:val="20"/>
          <w:szCs w:val="20"/>
          <w:lang w:val="es-ES"/>
        </w:rPr>
        <w:t>)</w:t>
      </w:r>
      <w:r w:rsidR="00656F2E" w:rsidRPr="007612C8">
        <w:rPr>
          <w:rFonts w:ascii="Cambria" w:hAnsi="Cambria"/>
          <w:sz w:val="20"/>
          <w:szCs w:val="20"/>
          <w:lang w:val="es-ES"/>
        </w:rPr>
        <w:t xml:space="preserve"> de la Convención </w:t>
      </w:r>
      <w:r w:rsidR="00380782">
        <w:rPr>
          <w:rFonts w:ascii="Cambria" w:hAnsi="Cambria"/>
          <w:sz w:val="20"/>
          <w:szCs w:val="20"/>
          <w:lang w:val="es-ES"/>
        </w:rPr>
        <w:t xml:space="preserve">Americana </w:t>
      </w:r>
      <w:r w:rsidR="00656F2E" w:rsidRPr="007612C8">
        <w:rPr>
          <w:rFonts w:ascii="Cambria" w:hAnsi="Cambria"/>
          <w:sz w:val="20"/>
          <w:szCs w:val="20"/>
          <w:lang w:val="es-ES"/>
        </w:rPr>
        <w:t>se dio mientras el caso se encontraba bajo estudio de admisibilidad, pues de acuerdo con la doctrina de esta Comisión, el análisis de plazo de presentación de la petición debe hacerse a la luz de la situación vigente al momento en que se pronuncie sobre la admisibilidad del reclamo</w:t>
      </w:r>
      <w:r w:rsidR="00656F2E" w:rsidRPr="007612C8">
        <w:rPr>
          <w:rStyle w:val="FootnoteReference"/>
          <w:rFonts w:ascii="Cambria" w:hAnsi="Cambria"/>
          <w:sz w:val="20"/>
          <w:szCs w:val="20"/>
          <w:lang w:val="es-ES"/>
        </w:rPr>
        <w:footnoteReference w:id="9"/>
      </w:r>
      <w:r w:rsidR="00656F2E" w:rsidRPr="007612C8">
        <w:rPr>
          <w:rFonts w:ascii="Cambria" w:hAnsi="Cambria"/>
          <w:sz w:val="20"/>
          <w:szCs w:val="20"/>
          <w:lang w:val="es-ES"/>
        </w:rPr>
        <w:t>.</w:t>
      </w:r>
    </w:p>
    <w:p w14:paraId="26ADF1B5" w14:textId="37A9C922" w:rsidR="00E75E07" w:rsidRPr="007612C8" w:rsidRDefault="00E75E07" w:rsidP="00F55C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7612C8">
        <w:rPr>
          <w:rFonts w:ascii="Cambria" w:hAnsi="Cambria"/>
          <w:sz w:val="20"/>
          <w:szCs w:val="20"/>
          <w:lang w:val="es-ES"/>
        </w:rPr>
        <w:t xml:space="preserve">De la misma manera, y en relación </w:t>
      </w:r>
      <w:r w:rsidR="00380782">
        <w:rPr>
          <w:rFonts w:ascii="Cambria" w:hAnsi="Cambria"/>
          <w:sz w:val="20"/>
          <w:szCs w:val="20"/>
          <w:lang w:val="es-ES"/>
        </w:rPr>
        <w:t>con</w:t>
      </w:r>
      <w:r w:rsidRPr="007612C8">
        <w:rPr>
          <w:rFonts w:ascii="Cambria" w:hAnsi="Cambria"/>
          <w:sz w:val="20"/>
          <w:szCs w:val="20"/>
          <w:lang w:val="es-ES"/>
        </w:rPr>
        <w:t xml:space="preserve"> las </w:t>
      </w:r>
      <w:r w:rsidR="00380782">
        <w:rPr>
          <w:rFonts w:ascii="Cambria" w:hAnsi="Cambria"/>
          <w:sz w:val="20"/>
          <w:szCs w:val="20"/>
          <w:lang w:val="es-ES"/>
        </w:rPr>
        <w:t>presuntas</w:t>
      </w:r>
      <w:r w:rsidRPr="007612C8">
        <w:rPr>
          <w:rFonts w:ascii="Cambria" w:hAnsi="Cambria"/>
          <w:sz w:val="20"/>
          <w:szCs w:val="20"/>
          <w:lang w:val="es-ES"/>
        </w:rPr>
        <w:t xml:space="preserve"> violaciones </w:t>
      </w:r>
      <w:r w:rsidR="00380782">
        <w:rPr>
          <w:rFonts w:ascii="Cambria" w:hAnsi="Cambria"/>
          <w:sz w:val="20"/>
          <w:szCs w:val="20"/>
          <w:lang w:val="es-ES"/>
        </w:rPr>
        <w:t>de</w:t>
      </w:r>
      <w:r w:rsidRPr="007612C8">
        <w:rPr>
          <w:rFonts w:ascii="Cambria" w:hAnsi="Cambria"/>
          <w:sz w:val="20"/>
          <w:szCs w:val="20"/>
          <w:lang w:val="es-ES"/>
        </w:rPr>
        <w:t>l derecho a la integridad personal, esta Comisión ha instado a los Estados a adoptar medidas para investigar los hechos que pudieran haber surgido durante las protestas sociales como producto de</w:t>
      </w:r>
      <w:r w:rsidR="00380782">
        <w:rPr>
          <w:rFonts w:ascii="Cambria" w:hAnsi="Cambria"/>
          <w:sz w:val="20"/>
          <w:szCs w:val="20"/>
          <w:lang w:val="es-ES"/>
        </w:rPr>
        <w:t>l</w:t>
      </w:r>
      <w:r w:rsidRPr="007612C8">
        <w:rPr>
          <w:rFonts w:ascii="Cambria" w:hAnsi="Cambria"/>
          <w:sz w:val="20"/>
          <w:szCs w:val="20"/>
          <w:lang w:val="es-ES"/>
        </w:rPr>
        <w:t xml:space="preserve"> uso abusivo de la fuerza por agentes estatales</w:t>
      </w:r>
      <w:r w:rsidR="00380782">
        <w:rPr>
          <w:rFonts w:ascii="Cambria" w:hAnsi="Cambria"/>
          <w:sz w:val="20"/>
          <w:szCs w:val="20"/>
          <w:lang w:val="es-ES"/>
        </w:rPr>
        <w:t>,</w:t>
      </w:r>
      <w:r w:rsidRPr="007612C8">
        <w:rPr>
          <w:rFonts w:ascii="Cambria" w:hAnsi="Cambria"/>
          <w:sz w:val="20"/>
          <w:szCs w:val="20"/>
          <w:lang w:val="es-ES"/>
        </w:rPr>
        <w:t xml:space="preserve"> o bien de actos de agresión provenientes de terceros o entre los propios particulares dentro de las manifestaciones; de tal manera que sea el Estado quien sancione a los responsables y repare adecuadamente a quienes resulta</w:t>
      </w:r>
      <w:r w:rsidR="00380782">
        <w:rPr>
          <w:rFonts w:ascii="Cambria" w:hAnsi="Cambria"/>
          <w:sz w:val="20"/>
          <w:szCs w:val="20"/>
          <w:lang w:val="es-ES"/>
        </w:rPr>
        <w:t>r</w:t>
      </w:r>
      <w:r w:rsidRPr="007612C8">
        <w:rPr>
          <w:rFonts w:ascii="Cambria" w:hAnsi="Cambria"/>
          <w:sz w:val="20"/>
          <w:szCs w:val="20"/>
          <w:lang w:val="es-ES"/>
        </w:rPr>
        <w:t>an afectados en sus derechos</w:t>
      </w:r>
      <w:r w:rsidRPr="007612C8">
        <w:rPr>
          <w:rStyle w:val="FootnoteReference"/>
          <w:rFonts w:ascii="Cambria" w:hAnsi="Cambria"/>
          <w:sz w:val="20"/>
          <w:szCs w:val="20"/>
          <w:lang w:val="es-ES"/>
        </w:rPr>
        <w:footnoteReference w:id="10"/>
      </w:r>
      <w:r w:rsidRPr="007612C8">
        <w:rPr>
          <w:rFonts w:ascii="Cambria" w:hAnsi="Cambria"/>
          <w:sz w:val="20"/>
          <w:szCs w:val="20"/>
          <w:lang w:val="es-ES"/>
        </w:rPr>
        <w:t xml:space="preserve">. </w:t>
      </w:r>
      <w:r w:rsidR="00380782">
        <w:rPr>
          <w:rFonts w:ascii="Cambria" w:hAnsi="Cambria"/>
          <w:sz w:val="20"/>
          <w:szCs w:val="20"/>
          <w:lang w:val="es-ES"/>
        </w:rPr>
        <w:t xml:space="preserve">Con base en </w:t>
      </w:r>
      <w:r w:rsidRPr="007612C8">
        <w:rPr>
          <w:rFonts w:ascii="Cambria" w:hAnsi="Cambria"/>
          <w:sz w:val="20"/>
          <w:szCs w:val="20"/>
          <w:lang w:val="es-ES"/>
        </w:rPr>
        <w:t xml:space="preserve">los anteriores presupuestos, </w:t>
      </w:r>
      <w:r w:rsidR="00380782">
        <w:rPr>
          <w:rFonts w:ascii="Cambria" w:hAnsi="Cambria"/>
          <w:sz w:val="20"/>
          <w:szCs w:val="20"/>
          <w:lang w:val="es-ES"/>
        </w:rPr>
        <w:t>la</w:t>
      </w:r>
      <w:r w:rsidRPr="007612C8">
        <w:rPr>
          <w:rFonts w:ascii="Cambria" w:hAnsi="Cambria"/>
          <w:sz w:val="20"/>
          <w:szCs w:val="20"/>
          <w:lang w:val="es-ES"/>
        </w:rPr>
        <w:t xml:space="preserve"> Comisión determina que el Estado tenía la obligación de investigar de oficio las violaciones cometidas en contra de la integridad personal de los miembros de la Comisión Nacional Indígena que protestaban de forma pacífica</w:t>
      </w:r>
      <w:r w:rsidR="0037009A">
        <w:rPr>
          <w:rFonts w:ascii="Cambria" w:hAnsi="Cambria"/>
          <w:sz w:val="20"/>
          <w:szCs w:val="20"/>
          <w:lang w:val="es-ES"/>
        </w:rPr>
        <w:t>, pero que no la habría cumplido</w:t>
      </w:r>
      <w:r w:rsidRPr="007612C8">
        <w:rPr>
          <w:rFonts w:ascii="Cambria" w:hAnsi="Cambria"/>
          <w:sz w:val="20"/>
          <w:szCs w:val="20"/>
          <w:lang w:val="es-ES"/>
        </w:rPr>
        <w:t xml:space="preserve">. </w:t>
      </w:r>
      <w:r w:rsidR="00380782">
        <w:rPr>
          <w:rFonts w:ascii="Cambria" w:hAnsi="Cambria"/>
          <w:sz w:val="20"/>
          <w:szCs w:val="20"/>
          <w:lang w:val="es-ES"/>
        </w:rPr>
        <w:t>En</w:t>
      </w:r>
      <w:r w:rsidRPr="007612C8">
        <w:rPr>
          <w:rFonts w:ascii="Cambria" w:hAnsi="Cambria"/>
          <w:sz w:val="20"/>
          <w:szCs w:val="20"/>
          <w:lang w:val="es-ES"/>
        </w:rPr>
        <w:t xml:space="preserve"> consideración </w:t>
      </w:r>
      <w:r w:rsidR="00380782">
        <w:rPr>
          <w:rFonts w:ascii="Cambria" w:hAnsi="Cambria"/>
          <w:sz w:val="20"/>
          <w:szCs w:val="20"/>
          <w:lang w:val="es-ES"/>
        </w:rPr>
        <w:t xml:space="preserve">de </w:t>
      </w:r>
      <w:r w:rsidRPr="007612C8">
        <w:rPr>
          <w:rFonts w:ascii="Cambria" w:hAnsi="Cambria"/>
          <w:sz w:val="20"/>
          <w:szCs w:val="20"/>
          <w:lang w:val="es-ES"/>
        </w:rPr>
        <w:t>dichos factores, la CIDH concluye que, en relación con el deber de investigación del Estado, procede la excepción de agotamiento de los recursos internos de conformidad con lo establecido en el artículo 46</w:t>
      </w:r>
      <w:r w:rsidR="00380782">
        <w:rPr>
          <w:rFonts w:ascii="Cambria" w:hAnsi="Cambria"/>
          <w:sz w:val="20"/>
          <w:szCs w:val="20"/>
          <w:lang w:val="es-ES"/>
        </w:rPr>
        <w:t>.</w:t>
      </w:r>
      <w:r w:rsidRPr="007612C8">
        <w:rPr>
          <w:rFonts w:ascii="Cambria" w:hAnsi="Cambria"/>
          <w:sz w:val="20"/>
          <w:szCs w:val="20"/>
          <w:lang w:val="es-ES"/>
        </w:rPr>
        <w:t>2(a) de la Convención.</w:t>
      </w:r>
    </w:p>
    <w:p w14:paraId="7090A929" w14:textId="00531764" w:rsidR="00F04591" w:rsidRPr="007612C8" w:rsidRDefault="00F04591" w:rsidP="000334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7612C8">
        <w:rPr>
          <w:rFonts w:asciiTheme="majorHAnsi" w:hAnsiTheme="majorHAnsi"/>
          <w:b/>
          <w:bCs/>
          <w:sz w:val="20"/>
          <w:szCs w:val="20"/>
          <w:lang w:val="es-ES"/>
        </w:rPr>
        <w:t>V</w:t>
      </w:r>
      <w:r w:rsidR="000E2789" w:rsidRPr="007612C8">
        <w:rPr>
          <w:rFonts w:asciiTheme="majorHAnsi" w:hAnsiTheme="majorHAnsi"/>
          <w:b/>
          <w:bCs/>
          <w:sz w:val="20"/>
          <w:szCs w:val="20"/>
          <w:lang w:val="es-ES"/>
        </w:rPr>
        <w:t>I</w:t>
      </w:r>
      <w:r w:rsidRPr="007612C8">
        <w:rPr>
          <w:rFonts w:asciiTheme="majorHAnsi" w:hAnsiTheme="majorHAnsi"/>
          <w:b/>
          <w:bCs/>
          <w:sz w:val="20"/>
          <w:szCs w:val="20"/>
          <w:lang w:val="es-ES"/>
        </w:rPr>
        <w:t xml:space="preserve">I. </w:t>
      </w:r>
      <w:r w:rsidRPr="007612C8">
        <w:rPr>
          <w:rFonts w:asciiTheme="majorHAnsi" w:hAnsiTheme="majorHAnsi"/>
          <w:b/>
          <w:bCs/>
          <w:sz w:val="20"/>
          <w:szCs w:val="20"/>
          <w:lang w:val="es-ES"/>
        </w:rPr>
        <w:tab/>
        <w:t>CARACTERIZACIÓN</w:t>
      </w:r>
    </w:p>
    <w:p w14:paraId="405DFEDE" w14:textId="40FBEA57" w:rsidR="00006B74" w:rsidRPr="007612C8" w:rsidRDefault="008646E6" w:rsidP="00F9380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7612C8">
        <w:rPr>
          <w:rFonts w:ascii="Cambria" w:hAnsi="Cambria"/>
          <w:sz w:val="20"/>
          <w:szCs w:val="20"/>
          <w:lang w:val="es-ES"/>
        </w:rPr>
        <w:t>La Comisión observa que la presente petición incluye alega</w:t>
      </w:r>
      <w:r w:rsidR="0020670F">
        <w:rPr>
          <w:rFonts w:ascii="Cambria" w:hAnsi="Cambria"/>
          <w:sz w:val="20"/>
          <w:szCs w:val="20"/>
          <w:lang w:val="es-ES"/>
        </w:rPr>
        <w:t>tos</w:t>
      </w:r>
      <w:r w:rsidRPr="007612C8">
        <w:rPr>
          <w:rFonts w:ascii="Cambria" w:hAnsi="Cambria"/>
          <w:sz w:val="20"/>
          <w:szCs w:val="20"/>
          <w:lang w:val="es-ES"/>
        </w:rPr>
        <w:t xml:space="preserve"> respecto a la vulneración del derecho a la propiedad colectiva que asiste a los pueblos indígenas que habitan la zona del TIPNIS, </w:t>
      </w:r>
      <w:r w:rsidR="0020670F">
        <w:rPr>
          <w:rFonts w:ascii="Cambria" w:hAnsi="Cambria"/>
          <w:sz w:val="20"/>
          <w:szCs w:val="20"/>
          <w:lang w:val="es-ES"/>
        </w:rPr>
        <w:t xml:space="preserve">que se </w:t>
      </w:r>
      <w:r w:rsidRPr="007612C8">
        <w:rPr>
          <w:rFonts w:ascii="Cambria" w:hAnsi="Cambria"/>
          <w:sz w:val="20"/>
          <w:szCs w:val="20"/>
          <w:lang w:val="es-ES"/>
        </w:rPr>
        <w:t xml:space="preserve">enmarca dentro de </w:t>
      </w:r>
      <w:r w:rsidR="0020670F">
        <w:rPr>
          <w:rFonts w:ascii="Cambria" w:hAnsi="Cambria"/>
          <w:sz w:val="20"/>
          <w:szCs w:val="20"/>
          <w:lang w:val="es-ES"/>
        </w:rPr>
        <w:t xml:space="preserve">su derecho a </w:t>
      </w:r>
      <w:r w:rsidRPr="007612C8">
        <w:rPr>
          <w:rFonts w:ascii="Cambria" w:hAnsi="Cambria"/>
          <w:sz w:val="20"/>
          <w:szCs w:val="20"/>
          <w:lang w:val="es-ES"/>
        </w:rPr>
        <w:t>la libre determinación</w:t>
      </w:r>
      <w:r w:rsidR="000334EF" w:rsidRPr="007612C8">
        <w:rPr>
          <w:rFonts w:ascii="Cambria" w:hAnsi="Cambria"/>
          <w:sz w:val="20"/>
          <w:szCs w:val="20"/>
          <w:lang w:val="es-ES"/>
        </w:rPr>
        <w:t>. Adicionalmente, también se plantean alegatos</w:t>
      </w:r>
      <w:r w:rsidRPr="007612C8">
        <w:rPr>
          <w:rFonts w:ascii="Cambria" w:hAnsi="Cambria"/>
          <w:sz w:val="20"/>
          <w:szCs w:val="20"/>
          <w:lang w:val="es-ES"/>
        </w:rPr>
        <w:t xml:space="preserve"> </w:t>
      </w:r>
      <w:r w:rsidR="000334EF" w:rsidRPr="007612C8">
        <w:rPr>
          <w:rFonts w:ascii="Cambria" w:hAnsi="Cambria"/>
          <w:sz w:val="20"/>
          <w:szCs w:val="20"/>
          <w:lang w:val="es-ES"/>
        </w:rPr>
        <w:t xml:space="preserve">por </w:t>
      </w:r>
      <w:r w:rsidRPr="007612C8">
        <w:rPr>
          <w:rFonts w:ascii="Cambria" w:hAnsi="Cambria"/>
          <w:sz w:val="20"/>
          <w:szCs w:val="20"/>
          <w:lang w:val="es-ES"/>
        </w:rPr>
        <w:t xml:space="preserve">la presunta falta de ejecución de la consulta </w:t>
      </w:r>
      <w:r w:rsidR="006A47DA" w:rsidRPr="007612C8">
        <w:rPr>
          <w:rFonts w:ascii="Cambria" w:hAnsi="Cambria"/>
          <w:sz w:val="20"/>
          <w:szCs w:val="20"/>
          <w:lang w:val="es-ES"/>
        </w:rPr>
        <w:t xml:space="preserve">previa, libre e informada </w:t>
      </w:r>
      <w:r w:rsidRPr="007612C8">
        <w:rPr>
          <w:rFonts w:ascii="Cambria" w:hAnsi="Cambria"/>
          <w:sz w:val="20"/>
          <w:szCs w:val="20"/>
          <w:lang w:val="es-ES"/>
        </w:rPr>
        <w:t xml:space="preserve">a las comunidades indígenas </w:t>
      </w:r>
      <w:r w:rsidR="00F93801" w:rsidRPr="007612C8">
        <w:rPr>
          <w:rFonts w:ascii="Cambria" w:hAnsi="Cambria"/>
          <w:sz w:val="20"/>
          <w:szCs w:val="20"/>
          <w:lang w:val="es-ES"/>
        </w:rPr>
        <w:t>con relación a</w:t>
      </w:r>
      <w:r w:rsidR="00030D59" w:rsidRPr="007612C8">
        <w:rPr>
          <w:rFonts w:ascii="Cambria" w:hAnsi="Cambria"/>
          <w:sz w:val="20"/>
          <w:szCs w:val="20"/>
          <w:lang w:val="es-ES"/>
        </w:rPr>
        <w:t>l</w:t>
      </w:r>
      <w:r w:rsidR="006A47DA" w:rsidRPr="007612C8">
        <w:rPr>
          <w:rFonts w:ascii="Cambria" w:hAnsi="Cambria"/>
          <w:sz w:val="20"/>
          <w:szCs w:val="20"/>
          <w:lang w:val="es-ES"/>
        </w:rPr>
        <w:t xml:space="preserve"> </w:t>
      </w:r>
      <w:r w:rsidRPr="007612C8">
        <w:rPr>
          <w:rFonts w:ascii="Cambria" w:hAnsi="Cambria"/>
          <w:sz w:val="20"/>
          <w:szCs w:val="20"/>
          <w:lang w:val="es-ES"/>
        </w:rPr>
        <w:t xml:space="preserve">proyecto de infraestructura </w:t>
      </w:r>
      <w:r w:rsidR="006A47DA" w:rsidRPr="007612C8">
        <w:rPr>
          <w:rFonts w:ascii="Cambria" w:hAnsi="Cambria"/>
          <w:sz w:val="20"/>
          <w:szCs w:val="20"/>
          <w:lang w:val="es-ES"/>
        </w:rPr>
        <w:t xml:space="preserve">vial </w:t>
      </w:r>
      <w:r w:rsidRPr="007612C8">
        <w:rPr>
          <w:rFonts w:ascii="Cambria" w:hAnsi="Cambria"/>
          <w:sz w:val="20"/>
          <w:szCs w:val="20"/>
          <w:lang w:val="es-ES"/>
        </w:rPr>
        <w:t xml:space="preserve">en </w:t>
      </w:r>
      <w:r w:rsidR="00030D59" w:rsidRPr="007612C8">
        <w:rPr>
          <w:rFonts w:ascii="Cambria" w:hAnsi="Cambria"/>
          <w:sz w:val="20"/>
          <w:szCs w:val="20"/>
          <w:lang w:val="es-ES"/>
        </w:rPr>
        <w:t>los</w:t>
      </w:r>
      <w:r w:rsidRPr="007612C8">
        <w:rPr>
          <w:rFonts w:ascii="Cambria" w:hAnsi="Cambria"/>
          <w:sz w:val="20"/>
          <w:szCs w:val="20"/>
          <w:lang w:val="es-ES"/>
        </w:rPr>
        <w:t xml:space="preserve"> territorios</w:t>
      </w:r>
      <w:r w:rsidR="00030D59" w:rsidRPr="007612C8">
        <w:rPr>
          <w:rFonts w:ascii="Cambria" w:hAnsi="Cambria"/>
          <w:sz w:val="20"/>
          <w:szCs w:val="20"/>
          <w:lang w:val="es-ES"/>
        </w:rPr>
        <w:t xml:space="preserve"> indígenas</w:t>
      </w:r>
      <w:r w:rsidRPr="007612C8">
        <w:rPr>
          <w:rFonts w:ascii="Cambria" w:hAnsi="Cambria"/>
          <w:sz w:val="20"/>
          <w:szCs w:val="20"/>
          <w:lang w:val="es-ES"/>
        </w:rPr>
        <w:t>.</w:t>
      </w:r>
      <w:r w:rsidR="00B853A3" w:rsidRPr="007612C8">
        <w:rPr>
          <w:rFonts w:ascii="Cambria" w:hAnsi="Cambria"/>
          <w:sz w:val="20"/>
          <w:szCs w:val="20"/>
          <w:lang w:val="es-ES"/>
        </w:rPr>
        <w:t xml:space="preserve"> Por último, también </w:t>
      </w:r>
      <w:r w:rsidR="006A601C">
        <w:rPr>
          <w:rFonts w:ascii="Cambria" w:hAnsi="Cambria"/>
          <w:sz w:val="20"/>
          <w:szCs w:val="20"/>
          <w:lang w:val="es-ES"/>
        </w:rPr>
        <w:t>se alega la</w:t>
      </w:r>
      <w:r w:rsidR="00B853A3" w:rsidRPr="007612C8">
        <w:rPr>
          <w:rFonts w:ascii="Cambria" w:hAnsi="Cambria"/>
          <w:sz w:val="20"/>
          <w:szCs w:val="20"/>
          <w:lang w:val="es-ES"/>
        </w:rPr>
        <w:t xml:space="preserve"> violación </w:t>
      </w:r>
      <w:r w:rsidR="006A601C">
        <w:rPr>
          <w:rFonts w:ascii="Cambria" w:hAnsi="Cambria"/>
          <w:sz w:val="20"/>
          <w:szCs w:val="20"/>
          <w:lang w:val="es-ES"/>
        </w:rPr>
        <w:t>de</w:t>
      </w:r>
      <w:r w:rsidR="00B853A3" w:rsidRPr="007612C8">
        <w:rPr>
          <w:rFonts w:ascii="Cambria" w:hAnsi="Cambria"/>
          <w:sz w:val="20"/>
          <w:szCs w:val="20"/>
          <w:lang w:val="es-ES"/>
        </w:rPr>
        <w:t xml:space="preserve"> la integridad personal de los miembros de las comunidades indígenas que participar</w:t>
      </w:r>
      <w:r w:rsidR="006A601C">
        <w:rPr>
          <w:rFonts w:ascii="Cambria" w:hAnsi="Cambria"/>
          <w:sz w:val="20"/>
          <w:szCs w:val="20"/>
          <w:lang w:val="es-ES"/>
        </w:rPr>
        <w:t>on en las marchas en defensa de su</w:t>
      </w:r>
      <w:r w:rsidR="00B853A3" w:rsidRPr="007612C8">
        <w:rPr>
          <w:rFonts w:ascii="Cambria" w:hAnsi="Cambria"/>
          <w:sz w:val="20"/>
          <w:szCs w:val="20"/>
          <w:lang w:val="es-ES"/>
        </w:rPr>
        <w:t xml:space="preserve"> territorio</w:t>
      </w:r>
      <w:r w:rsidR="00C77A6E" w:rsidRPr="007612C8">
        <w:rPr>
          <w:rFonts w:ascii="Cambria" w:hAnsi="Cambria"/>
          <w:sz w:val="20"/>
          <w:szCs w:val="20"/>
          <w:lang w:val="es-ES"/>
        </w:rPr>
        <w:t xml:space="preserve">, así como la violación de </w:t>
      </w:r>
      <w:r w:rsidR="006A601C">
        <w:rPr>
          <w:rFonts w:ascii="Cambria" w:hAnsi="Cambria"/>
          <w:sz w:val="20"/>
          <w:szCs w:val="20"/>
          <w:lang w:val="es-ES"/>
        </w:rPr>
        <w:t xml:space="preserve">los derechos de </w:t>
      </w:r>
      <w:r w:rsidR="00C77A6E" w:rsidRPr="007612C8">
        <w:rPr>
          <w:rFonts w:ascii="Cambria" w:hAnsi="Cambria"/>
          <w:sz w:val="20"/>
          <w:szCs w:val="20"/>
          <w:lang w:val="es-ES"/>
        </w:rPr>
        <w:t>los pueblos en aislamiento voluntario por las incursiones turísticas</w:t>
      </w:r>
      <w:r w:rsidR="00B853A3" w:rsidRPr="007612C8">
        <w:rPr>
          <w:rFonts w:ascii="Cambria" w:hAnsi="Cambria"/>
          <w:sz w:val="20"/>
          <w:szCs w:val="20"/>
          <w:lang w:val="es-ES"/>
        </w:rPr>
        <w:t>.</w:t>
      </w:r>
    </w:p>
    <w:p w14:paraId="5C465DAA" w14:textId="25E9EAA6" w:rsidR="00532B66" w:rsidRPr="00F93801" w:rsidRDefault="00F25AC0" w:rsidP="00F9380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C2C65">
        <w:rPr>
          <w:rFonts w:ascii="Cambria" w:hAnsi="Cambria"/>
          <w:sz w:val="20"/>
          <w:szCs w:val="20"/>
          <w:lang w:val="es-ES"/>
        </w:rPr>
        <w:t>Respecto al reconocimiento de la propiedad colectiva</w:t>
      </w:r>
      <w:r w:rsidR="006A47DA">
        <w:rPr>
          <w:rFonts w:ascii="Cambria" w:hAnsi="Cambria"/>
          <w:sz w:val="20"/>
          <w:szCs w:val="20"/>
          <w:lang w:val="es-ES"/>
        </w:rPr>
        <w:t>,</w:t>
      </w:r>
      <w:r w:rsidR="00E81D42" w:rsidRPr="003C2C65">
        <w:rPr>
          <w:rFonts w:ascii="Cambria" w:hAnsi="Cambria"/>
          <w:sz w:val="20"/>
          <w:szCs w:val="20"/>
          <w:lang w:val="es-ES"/>
        </w:rPr>
        <w:t xml:space="preserve"> </w:t>
      </w:r>
      <w:r w:rsidR="006A601C">
        <w:rPr>
          <w:rFonts w:ascii="Cambria" w:hAnsi="Cambria"/>
          <w:sz w:val="20"/>
          <w:szCs w:val="20"/>
          <w:lang w:val="es-ES"/>
        </w:rPr>
        <w:t>la CIDH</w:t>
      </w:r>
      <w:r w:rsidR="00E81D42" w:rsidRPr="003C2C65">
        <w:rPr>
          <w:rFonts w:ascii="Cambria" w:hAnsi="Cambria"/>
          <w:sz w:val="20"/>
          <w:szCs w:val="20"/>
          <w:lang w:val="es-ES"/>
        </w:rPr>
        <w:t xml:space="preserve"> ha establecido que los pueblos indígenas y tribales tiene</w:t>
      </w:r>
      <w:r w:rsidR="006A601C">
        <w:rPr>
          <w:rFonts w:ascii="Cambria" w:hAnsi="Cambria"/>
          <w:sz w:val="20"/>
          <w:szCs w:val="20"/>
          <w:lang w:val="es-ES"/>
        </w:rPr>
        <w:t>n</w:t>
      </w:r>
      <w:r w:rsidR="00E81D42" w:rsidRPr="003C2C65">
        <w:rPr>
          <w:rFonts w:ascii="Cambria" w:hAnsi="Cambria"/>
          <w:sz w:val="20"/>
          <w:szCs w:val="20"/>
          <w:lang w:val="es-ES"/>
        </w:rPr>
        <w:t xml:space="preserve"> derecho a </w:t>
      </w:r>
      <w:r w:rsidR="006A601C">
        <w:rPr>
          <w:rFonts w:ascii="Cambria" w:hAnsi="Cambria"/>
          <w:sz w:val="20"/>
          <w:szCs w:val="20"/>
          <w:lang w:val="es-ES"/>
        </w:rPr>
        <w:t xml:space="preserve">impedir </w:t>
      </w:r>
      <w:r w:rsidR="00E81D42" w:rsidRPr="003C2C65">
        <w:rPr>
          <w:rFonts w:ascii="Cambria" w:hAnsi="Cambria"/>
          <w:sz w:val="20"/>
          <w:szCs w:val="20"/>
          <w:lang w:val="es-ES"/>
        </w:rPr>
        <w:t xml:space="preserve">que su propiedad sea </w:t>
      </w:r>
      <w:r w:rsidR="00B04D4F" w:rsidRPr="003C2C65">
        <w:rPr>
          <w:rFonts w:ascii="Cambria" w:hAnsi="Cambria"/>
          <w:sz w:val="20"/>
          <w:szCs w:val="20"/>
          <w:lang w:val="es-ES"/>
        </w:rPr>
        <w:t>afectada por presuntos</w:t>
      </w:r>
      <w:r w:rsidR="00E81D42" w:rsidRPr="003C2C65">
        <w:rPr>
          <w:rFonts w:ascii="Cambria" w:hAnsi="Cambria"/>
          <w:sz w:val="20"/>
          <w:szCs w:val="20"/>
          <w:lang w:val="es-ES"/>
        </w:rPr>
        <w:t xml:space="preserve"> derechos de propiedad de terceros</w:t>
      </w:r>
      <w:r w:rsidR="00D3695D">
        <w:rPr>
          <w:rFonts w:ascii="Cambria" w:hAnsi="Cambria"/>
          <w:sz w:val="20"/>
          <w:szCs w:val="20"/>
          <w:lang w:val="es-ES"/>
        </w:rPr>
        <w:t>,</w:t>
      </w:r>
      <w:r w:rsidR="00B04D4F" w:rsidRPr="003C2C65">
        <w:rPr>
          <w:rFonts w:ascii="Cambria" w:hAnsi="Cambria"/>
          <w:sz w:val="20"/>
          <w:szCs w:val="20"/>
          <w:lang w:val="es-ES"/>
        </w:rPr>
        <w:t xml:space="preserve"> que lleguen a habitar aquellos territorios tradicionalmente indígenas</w:t>
      </w:r>
      <w:r w:rsidR="007B65B8" w:rsidRPr="003C2C65">
        <w:rPr>
          <w:rStyle w:val="FootnoteReference"/>
          <w:rFonts w:ascii="Cambria" w:hAnsi="Cambria"/>
          <w:sz w:val="20"/>
          <w:szCs w:val="20"/>
          <w:lang w:val="es-ES"/>
        </w:rPr>
        <w:footnoteReference w:id="11"/>
      </w:r>
      <w:r w:rsidR="006A601C">
        <w:rPr>
          <w:rFonts w:ascii="Cambria" w:hAnsi="Cambria"/>
          <w:sz w:val="20"/>
          <w:szCs w:val="20"/>
          <w:lang w:val="es-ES"/>
        </w:rPr>
        <w:t>.</w:t>
      </w:r>
      <w:r w:rsidR="00D3695D">
        <w:rPr>
          <w:rFonts w:ascii="Cambria" w:hAnsi="Cambria"/>
          <w:sz w:val="20"/>
          <w:szCs w:val="20"/>
          <w:lang w:val="es-ES"/>
        </w:rPr>
        <w:t xml:space="preserve"> </w:t>
      </w:r>
      <w:r w:rsidR="006A601C">
        <w:rPr>
          <w:rFonts w:ascii="Cambria" w:hAnsi="Cambria"/>
          <w:sz w:val="20"/>
          <w:szCs w:val="20"/>
          <w:lang w:val="es-ES"/>
        </w:rPr>
        <w:t>D</w:t>
      </w:r>
      <w:r w:rsidR="00D3695D">
        <w:rPr>
          <w:rFonts w:ascii="Cambria" w:hAnsi="Cambria"/>
          <w:sz w:val="20"/>
          <w:szCs w:val="20"/>
          <w:lang w:val="es-ES"/>
        </w:rPr>
        <w:t>e la misma</w:t>
      </w:r>
      <w:r w:rsidR="00F93801">
        <w:rPr>
          <w:rFonts w:ascii="Cambria" w:hAnsi="Cambria"/>
          <w:sz w:val="20"/>
          <w:szCs w:val="20"/>
          <w:lang w:val="es-ES"/>
        </w:rPr>
        <w:t xml:space="preserve"> </w:t>
      </w:r>
      <w:r w:rsidR="00D3695D">
        <w:rPr>
          <w:rFonts w:ascii="Cambria" w:hAnsi="Cambria"/>
          <w:sz w:val="20"/>
          <w:szCs w:val="20"/>
          <w:lang w:val="es-ES"/>
        </w:rPr>
        <w:t>manera</w:t>
      </w:r>
      <w:r w:rsidR="00F93801">
        <w:rPr>
          <w:rFonts w:ascii="Cambria" w:hAnsi="Cambria"/>
          <w:sz w:val="20"/>
          <w:szCs w:val="20"/>
          <w:lang w:val="es-ES"/>
        </w:rPr>
        <w:t>,</w:t>
      </w:r>
      <w:r w:rsidR="00D3695D">
        <w:rPr>
          <w:rFonts w:ascii="Cambria" w:hAnsi="Cambria"/>
          <w:sz w:val="20"/>
          <w:szCs w:val="20"/>
          <w:lang w:val="es-ES"/>
        </w:rPr>
        <w:t xml:space="preserve"> cuando se plane</w:t>
      </w:r>
      <w:r w:rsidR="00F93801">
        <w:rPr>
          <w:rFonts w:ascii="Cambria" w:hAnsi="Cambria"/>
          <w:sz w:val="20"/>
          <w:szCs w:val="20"/>
          <w:lang w:val="es-ES"/>
        </w:rPr>
        <w:t>e</w:t>
      </w:r>
      <w:r w:rsidR="00D3695D">
        <w:rPr>
          <w:rFonts w:ascii="Cambria" w:hAnsi="Cambria"/>
          <w:sz w:val="20"/>
          <w:szCs w:val="20"/>
          <w:lang w:val="es-ES"/>
        </w:rPr>
        <w:t xml:space="preserve"> la ejecución de proyectos de desarrollo en dichos territorios</w:t>
      </w:r>
      <w:r w:rsidR="00F93801">
        <w:rPr>
          <w:rFonts w:ascii="Cambria" w:hAnsi="Cambria"/>
          <w:sz w:val="20"/>
          <w:szCs w:val="20"/>
          <w:lang w:val="es-ES"/>
        </w:rPr>
        <w:t xml:space="preserve"> </w:t>
      </w:r>
      <w:r w:rsidR="002410EC" w:rsidRPr="00F93801">
        <w:rPr>
          <w:rFonts w:ascii="Cambria" w:hAnsi="Cambria"/>
          <w:sz w:val="20"/>
          <w:szCs w:val="20"/>
          <w:lang w:val="es-ES"/>
        </w:rPr>
        <w:t>debe hacerse part</w:t>
      </w:r>
      <w:r w:rsidR="006A601C">
        <w:rPr>
          <w:rFonts w:ascii="Cambria" w:hAnsi="Cambria"/>
          <w:sz w:val="20"/>
          <w:szCs w:val="20"/>
          <w:lang w:val="es-ES"/>
        </w:rPr>
        <w:t>í</w:t>
      </w:r>
      <w:r w:rsidR="002410EC" w:rsidRPr="00F93801">
        <w:rPr>
          <w:rFonts w:ascii="Cambria" w:hAnsi="Cambria"/>
          <w:sz w:val="20"/>
          <w:szCs w:val="20"/>
          <w:lang w:val="es-ES"/>
        </w:rPr>
        <w:t>cipe</w:t>
      </w:r>
      <w:r w:rsidR="006A601C">
        <w:rPr>
          <w:rFonts w:ascii="Cambria" w:hAnsi="Cambria"/>
          <w:sz w:val="20"/>
          <w:szCs w:val="20"/>
          <w:lang w:val="es-ES"/>
        </w:rPr>
        <w:t>s</w:t>
      </w:r>
      <w:r w:rsidR="002410EC" w:rsidRPr="00F93801">
        <w:rPr>
          <w:rFonts w:ascii="Cambria" w:hAnsi="Cambria"/>
          <w:sz w:val="20"/>
          <w:szCs w:val="20"/>
          <w:lang w:val="es-ES"/>
        </w:rPr>
        <w:t xml:space="preserve"> a los pueblos indígenas que pudiesen verse afectados por la ejecución de dicha propuesta</w:t>
      </w:r>
      <w:r w:rsidR="007D6268" w:rsidRPr="00F93801">
        <w:rPr>
          <w:rFonts w:ascii="Cambria" w:hAnsi="Cambria"/>
          <w:sz w:val="20"/>
          <w:szCs w:val="20"/>
          <w:lang w:val="es-ES"/>
        </w:rPr>
        <w:t>, y a la vez influir en la adopción de las decisiones</w:t>
      </w:r>
      <w:r w:rsidR="007D6268" w:rsidRPr="003C2C65">
        <w:rPr>
          <w:rStyle w:val="FootnoteReference"/>
          <w:rFonts w:ascii="Cambria" w:hAnsi="Cambria"/>
          <w:sz w:val="20"/>
          <w:szCs w:val="20"/>
          <w:lang w:val="es-ES"/>
        </w:rPr>
        <w:footnoteReference w:id="12"/>
      </w:r>
      <w:r w:rsidR="001000DB" w:rsidRPr="00F93801">
        <w:rPr>
          <w:rFonts w:ascii="Cambria" w:hAnsi="Cambria"/>
          <w:sz w:val="20"/>
          <w:szCs w:val="20"/>
          <w:lang w:val="es-ES"/>
        </w:rPr>
        <w:t xml:space="preserve">. </w:t>
      </w:r>
    </w:p>
    <w:p w14:paraId="6C6B2ADD" w14:textId="5CA8F45A" w:rsidR="00745F75" w:rsidRPr="003C2C65" w:rsidRDefault="00673982" w:rsidP="00A472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lastRenderedPageBreak/>
        <w:t xml:space="preserve">En atención </w:t>
      </w:r>
      <w:r w:rsidR="006A601C">
        <w:rPr>
          <w:rFonts w:ascii="Cambria" w:hAnsi="Cambria"/>
          <w:sz w:val="20"/>
          <w:szCs w:val="20"/>
          <w:lang w:val="es-ES"/>
        </w:rPr>
        <w:t>de</w:t>
      </w:r>
      <w:r>
        <w:rPr>
          <w:rFonts w:ascii="Cambria" w:hAnsi="Cambria"/>
          <w:sz w:val="20"/>
          <w:szCs w:val="20"/>
          <w:lang w:val="es-ES"/>
        </w:rPr>
        <w:t xml:space="preserve"> estas consideraciones</w:t>
      </w:r>
      <w:r w:rsidR="006A601C">
        <w:rPr>
          <w:rFonts w:ascii="Cambria" w:hAnsi="Cambria"/>
          <w:sz w:val="20"/>
          <w:szCs w:val="20"/>
          <w:lang w:val="es-ES"/>
        </w:rPr>
        <w:t>,</w:t>
      </w:r>
      <w:r>
        <w:rPr>
          <w:rFonts w:ascii="Cambria" w:hAnsi="Cambria"/>
          <w:sz w:val="20"/>
          <w:szCs w:val="20"/>
          <w:lang w:val="es-ES"/>
        </w:rPr>
        <w:t xml:space="preserve"> y tras examinar los elementos de hecho y de derecho expuestos por las partes, la Comisión estima que las alegaciones de la parte peticionaria no resultan manifiestamente infundadas y requieren un estudio de fondo, pues los hechos alegados, de corroborarse c</w:t>
      </w:r>
      <w:r w:rsidR="00614250">
        <w:rPr>
          <w:rFonts w:ascii="Cambria" w:hAnsi="Cambria"/>
          <w:sz w:val="20"/>
          <w:szCs w:val="20"/>
          <w:lang w:val="es-ES"/>
        </w:rPr>
        <w:t>o</w:t>
      </w:r>
      <w:r>
        <w:rPr>
          <w:rFonts w:ascii="Cambria" w:hAnsi="Cambria"/>
          <w:sz w:val="20"/>
          <w:szCs w:val="20"/>
          <w:lang w:val="es-ES"/>
        </w:rPr>
        <w:t xml:space="preserve">mo ciertos podrían </w:t>
      </w:r>
      <w:r w:rsidR="00614250">
        <w:rPr>
          <w:rFonts w:ascii="Cambria" w:hAnsi="Cambria"/>
          <w:sz w:val="20"/>
          <w:szCs w:val="20"/>
          <w:lang w:val="es-ES"/>
        </w:rPr>
        <w:t>caracterizar violaciones a los artículos</w:t>
      </w:r>
      <w:r w:rsidR="00614250">
        <w:rPr>
          <w:rFonts w:ascii="Cambria" w:hAnsi="Cambria"/>
          <w:bCs/>
          <w:sz w:val="19"/>
          <w:szCs w:val="19"/>
          <w:lang w:val="es-ES"/>
        </w:rPr>
        <w:t xml:space="preserve"> 5 (integridad personal)</w:t>
      </w:r>
      <w:r w:rsidR="00614250" w:rsidRPr="00330CAE">
        <w:rPr>
          <w:rFonts w:ascii="Cambria" w:hAnsi="Cambria"/>
          <w:bCs/>
          <w:sz w:val="19"/>
          <w:szCs w:val="19"/>
          <w:lang w:val="es-ES"/>
        </w:rPr>
        <w:t xml:space="preserve"> 8</w:t>
      </w:r>
      <w:r w:rsidR="00614250">
        <w:rPr>
          <w:rFonts w:ascii="Cambria" w:hAnsi="Cambria"/>
          <w:bCs/>
          <w:sz w:val="19"/>
          <w:szCs w:val="19"/>
          <w:lang w:val="es-ES"/>
        </w:rPr>
        <w:t xml:space="preserve"> (garantías judiciales)</w:t>
      </w:r>
      <w:r w:rsidR="00614250" w:rsidRPr="00330CAE">
        <w:rPr>
          <w:rFonts w:ascii="Cambria" w:hAnsi="Cambria"/>
          <w:bCs/>
          <w:sz w:val="19"/>
          <w:szCs w:val="19"/>
          <w:lang w:val="es-ES"/>
        </w:rPr>
        <w:t>, 21</w:t>
      </w:r>
      <w:r w:rsidR="00614250">
        <w:rPr>
          <w:rFonts w:ascii="Cambria" w:hAnsi="Cambria"/>
          <w:bCs/>
          <w:sz w:val="19"/>
          <w:szCs w:val="19"/>
          <w:lang w:val="es-ES"/>
        </w:rPr>
        <w:t xml:space="preserve"> (propiedad)</w:t>
      </w:r>
      <w:r w:rsidR="00614250" w:rsidRPr="00330CAE">
        <w:rPr>
          <w:rFonts w:ascii="Cambria" w:hAnsi="Cambria"/>
          <w:bCs/>
          <w:sz w:val="19"/>
          <w:szCs w:val="19"/>
          <w:lang w:val="es-ES"/>
        </w:rPr>
        <w:t>, 23</w:t>
      </w:r>
      <w:r w:rsidR="00614250">
        <w:rPr>
          <w:rFonts w:ascii="Cambria" w:hAnsi="Cambria"/>
          <w:bCs/>
          <w:sz w:val="19"/>
          <w:szCs w:val="19"/>
          <w:lang w:val="es-ES"/>
        </w:rPr>
        <w:t xml:space="preserve"> (derechos políticos)</w:t>
      </w:r>
      <w:r w:rsidR="00614250" w:rsidRPr="00330CAE">
        <w:rPr>
          <w:rFonts w:ascii="Cambria" w:hAnsi="Cambria"/>
          <w:bCs/>
          <w:sz w:val="19"/>
          <w:szCs w:val="19"/>
          <w:lang w:val="es-ES"/>
        </w:rPr>
        <w:t xml:space="preserve"> y 25</w:t>
      </w:r>
      <w:r w:rsidR="00614250">
        <w:rPr>
          <w:rFonts w:ascii="Cambria" w:hAnsi="Cambria"/>
          <w:bCs/>
          <w:sz w:val="19"/>
          <w:szCs w:val="19"/>
          <w:lang w:val="es-ES"/>
        </w:rPr>
        <w:t xml:space="preserve"> (protección judicial)</w:t>
      </w:r>
      <w:r w:rsidR="00614250" w:rsidRPr="00330CAE">
        <w:rPr>
          <w:rFonts w:ascii="Cambria" w:hAnsi="Cambria"/>
          <w:bCs/>
          <w:sz w:val="19"/>
          <w:szCs w:val="19"/>
          <w:lang w:val="es-ES"/>
        </w:rPr>
        <w:t xml:space="preserve"> de la Convención Americana</w:t>
      </w:r>
      <w:r w:rsidR="006A601C">
        <w:rPr>
          <w:rFonts w:ascii="Cambria" w:hAnsi="Cambria"/>
          <w:bCs/>
          <w:sz w:val="19"/>
          <w:szCs w:val="19"/>
          <w:lang w:val="es-ES"/>
        </w:rPr>
        <w:t>,</w:t>
      </w:r>
      <w:r w:rsidR="00A47291" w:rsidRPr="00A47291">
        <w:rPr>
          <w:lang w:val="es-US"/>
        </w:rPr>
        <w:t xml:space="preserve"> </w:t>
      </w:r>
      <w:r w:rsidR="00A47291" w:rsidRPr="00A47291">
        <w:rPr>
          <w:rFonts w:ascii="Cambria" w:hAnsi="Cambria"/>
          <w:bCs/>
          <w:sz w:val="19"/>
          <w:szCs w:val="19"/>
          <w:lang w:val="es-ES"/>
        </w:rPr>
        <w:t>en concordancia con los artículos 1 (respetar los derechos) y 2 (adoptar disposiciones de derechos interno)</w:t>
      </w:r>
      <w:r w:rsidR="00A47291">
        <w:rPr>
          <w:rFonts w:ascii="Cambria" w:hAnsi="Cambria"/>
          <w:bCs/>
          <w:sz w:val="19"/>
          <w:szCs w:val="19"/>
          <w:lang w:val="es-ES"/>
        </w:rPr>
        <w:t xml:space="preserve"> d</w:t>
      </w:r>
      <w:r w:rsidR="00A47291" w:rsidRPr="00A47291">
        <w:rPr>
          <w:rFonts w:ascii="Cambria" w:hAnsi="Cambria"/>
          <w:bCs/>
          <w:sz w:val="19"/>
          <w:szCs w:val="19"/>
          <w:lang w:val="es-ES"/>
        </w:rPr>
        <w:t>e</w:t>
      </w:r>
      <w:r w:rsidR="006A601C">
        <w:rPr>
          <w:rFonts w:ascii="Cambria" w:hAnsi="Cambria"/>
          <w:bCs/>
          <w:sz w:val="19"/>
          <w:szCs w:val="19"/>
          <w:lang w:val="es-ES"/>
        </w:rPr>
        <w:t>l</w:t>
      </w:r>
      <w:r w:rsidR="00A47291" w:rsidRPr="00A47291">
        <w:rPr>
          <w:rFonts w:ascii="Cambria" w:hAnsi="Cambria"/>
          <w:bCs/>
          <w:sz w:val="19"/>
          <w:szCs w:val="19"/>
          <w:lang w:val="es-ES"/>
        </w:rPr>
        <w:t xml:space="preserve"> mismo instrumento</w:t>
      </w:r>
      <w:r w:rsidR="00614250">
        <w:rPr>
          <w:rFonts w:ascii="Cambria" w:hAnsi="Cambria"/>
          <w:bCs/>
          <w:sz w:val="19"/>
          <w:szCs w:val="19"/>
          <w:lang w:val="es-ES"/>
        </w:rPr>
        <w:t>.</w:t>
      </w:r>
      <w:r>
        <w:rPr>
          <w:rFonts w:ascii="Cambria" w:hAnsi="Cambria"/>
          <w:sz w:val="20"/>
          <w:szCs w:val="20"/>
          <w:lang w:val="es-ES"/>
        </w:rPr>
        <w:t xml:space="preserve"> </w:t>
      </w:r>
    </w:p>
    <w:p w14:paraId="29BB41F5" w14:textId="2851F5F9" w:rsidR="003239B8" w:rsidRPr="00614250" w:rsidRDefault="00EC72AB" w:rsidP="007B7B1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440" w:hanging="720"/>
        <w:jc w:val="both"/>
        <w:rPr>
          <w:rFonts w:asciiTheme="majorHAnsi" w:hAnsiTheme="majorHAnsi"/>
          <w:b/>
          <w:bCs/>
          <w:sz w:val="20"/>
          <w:szCs w:val="20"/>
          <w:lang w:val="es-ES"/>
        </w:rPr>
      </w:pPr>
      <w:r w:rsidRPr="00614250">
        <w:rPr>
          <w:rFonts w:asciiTheme="majorHAnsi" w:hAnsiTheme="majorHAnsi"/>
          <w:b/>
          <w:bCs/>
          <w:sz w:val="20"/>
          <w:szCs w:val="20"/>
          <w:lang w:val="es-ES"/>
        </w:rPr>
        <w:t>VI</w:t>
      </w:r>
      <w:r w:rsidR="00F04591" w:rsidRPr="00614250">
        <w:rPr>
          <w:rFonts w:asciiTheme="majorHAnsi" w:hAnsiTheme="majorHAnsi"/>
          <w:b/>
          <w:bCs/>
          <w:sz w:val="20"/>
          <w:szCs w:val="20"/>
          <w:lang w:val="es-ES"/>
        </w:rPr>
        <w:t>II</w:t>
      </w:r>
      <w:r w:rsidR="003239B8" w:rsidRPr="00614250">
        <w:rPr>
          <w:rFonts w:asciiTheme="majorHAnsi" w:hAnsiTheme="majorHAnsi"/>
          <w:b/>
          <w:bCs/>
          <w:sz w:val="20"/>
          <w:szCs w:val="20"/>
          <w:lang w:val="es-ES"/>
        </w:rPr>
        <w:t xml:space="preserve">. </w:t>
      </w:r>
      <w:r w:rsidR="003239B8" w:rsidRPr="00614250">
        <w:rPr>
          <w:rFonts w:asciiTheme="majorHAnsi" w:hAnsiTheme="majorHAnsi"/>
          <w:b/>
          <w:bCs/>
          <w:sz w:val="20"/>
          <w:szCs w:val="20"/>
          <w:lang w:val="es-ES"/>
        </w:rPr>
        <w:tab/>
        <w:t>DECISIÓN</w:t>
      </w:r>
    </w:p>
    <w:p w14:paraId="0FDE1D10" w14:textId="57E41A98" w:rsidR="003239B8" w:rsidRPr="003C2C65" w:rsidRDefault="003239B8" w:rsidP="00176B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C2C65">
        <w:rPr>
          <w:rFonts w:asciiTheme="majorHAnsi" w:hAnsiTheme="majorHAnsi"/>
          <w:sz w:val="20"/>
          <w:szCs w:val="20"/>
          <w:lang w:val="es-ES"/>
        </w:rPr>
        <w:t>Declarar admisible la presente petición en relación con</w:t>
      </w:r>
      <w:r w:rsidR="003A6337" w:rsidRPr="003C2C65">
        <w:rPr>
          <w:rFonts w:asciiTheme="majorHAnsi" w:hAnsiTheme="majorHAnsi"/>
          <w:sz w:val="20"/>
          <w:szCs w:val="20"/>
          <w:lang w:val="es-ES"/>
        </w:rPr>
        <w:t xml:space="preserve"> los </w:t>
      </w:r>
      <w:r w:rsidR="003A6337" w:rsidRPr="003C2C65">
        <w:rPr>
          <w:rFonts w:ascii="Cambria" w:hAnsi="Cambria"/>
          <w:bCs/>
          <w:sz w:val="20"/>
          <w:szCs w:val="20"/>
          <w:lang w:val="es-ES"/>
        </w:rPr>
        <w:t xml:space="preserve">artículos </w:t>
      </w:r>
      <w:r w:rsidR="00614250">
        <w:rPr>
          <w:rFonts w:ascii="Cambria" w:hAnsi="Cambria"/>
          <w:bCs/>
          <w:sz w:val="20"/>
          <w:szCs w:val="20"/>
          <w:lang w:val="es-ES"/>
        </w:rPr>
        <w:t xml:space="preserve">5, </w:t>
      </w:r>
      <w:r w:rsidR="008559E2" w:rsidRPr="003C2C65">
        <w:rPr>
          <w:rFonts w:ascii="Cambria" w:hAnsi="Cambria"/>
          <w:bCs/>
          <w:sz w:val="20"/>
          <w:szCs w:val="20"/>
          <w:lang w:val="es-ES"/>
        </w:rPr>
        <w:t>8, 21, 23 y 25 de la Convención Americana en concordancia con los artículos 1 y 2 de ese mismo instru</w:t>
      </w:r>
      <w:r w:rsidR="00E566C9" w:rsidRPr="003C2C65">
        <w:rPr>
          <w:rFonts w:ascii="Cambria" w:hAnsi="Cambria"/>
          <w:bCs/>
          <w:sz w:val="20"/>
          <w:szCs w:val="20"/>
          <w:lang w:val="es-ES"/>
        </w:rPr>
        <w:t>mento; y</w:t>
      </w:r>
    </w:p>
    <w:p w14:paraId="443FF735" w14:textId="02BD7361" w:rsidR="009A1533" w:rsidRDefault="004A6A54" w:rsidP="00BD56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3C2C65">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8D7150E" w14:textId="1CB94B84" w:rsidR="002A2C67" w:rsidRPr="00A37B82" w:rsidRDefault="002A2C67" w:rsidP="002A2C6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E42407">
        <w:rPr>
          <w:rFonts w:asciiTheme="majorHAnsi" w:hAnsiTheme="majorHAnsi" w:cs="Arial"/>
          <w:noProof/>
          <w:spacing w:val="-2"/>
          <w:sz w:val="20"/>
          <w:szCs w:val="20"/>
          <w:lang w:val="es-CL"/>
        </w:rPr>
        <w:t xml:space="preserve">, Julissa Mantilla Falcón </w:t>
      </w:r>
      <w:r>
        <w:rPr>
          <w:rFonts w:asciiTheme="majorHAnsi" w:hAnsiTheme="majorHAnsi" w:cs="Arial"/>
          <w:noProof/>
          <w:spacing w:val="-2"/>
          <w:sz w:val="20"/>
          <w:szCs w:val="20"/>
          <w:lang w:val="es-CL"/>
        </w:rPr>
        <w:t xml:space="preserve">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2A2C6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BC378" w14:textId="77777777" w:rsidR="00CC0511" w:rsidRDefault="00CC0511">
      <w:r>
        <w:separator/>
      </w:r>
    </w:p>
  </w:endnote>
  <w:endnote w:type="continuationSeparator" w:id="0">
    <w:p w14:paraId="7287843A" w14:textId="77777777" w:rsidR="00CC0511" w:rsidRDefault="00CC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08BB1" w14:textId="77777777" w:rsidR="000A55C8" w:rsidRDefault="000A55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1933CD2E" w:rsidR="002A6C71" w:rsidRPr="00934A2C" w:rsidRDefault="002A6C7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A55C8">
          <w:rPr>
            <w:noProof/>
            <w:sz w:val="16"/>
            <w:szCs w:val="22"/>
          </w:rPr>
          <w:t>2</w:t>
        </w:r>
        <w:r w:rsidRPr="00934A2C">
          <w:rPr>
            <w:noProof/>
            <w:sz w:val="16"/>
            <w:szCs w:val="22"/>
          </w:rPr>
          <w:fldChar w:fldCharType="end"/>
        </w:r>
      </w:p>
    </w:sdtContent>
  </w:sdt>
  <w:p w14:paraId="68530E6A" w14:textId="77777777" w:rsidR="002A6C71" w:rsidRDefault="002A6C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2A6C71" w:rsidRPr="00934A2C" w:rsidRDefault="002A6C71">
    <w:pPr>
      <w:pStyle w:val="Footer"/>
      <w:jc w:val="center"/>
      <w:rPr>
        <w:sz w:val="16"/>
        <w:szCs w:val="22"/>
      </w:rPr>
    </w:pPr>
  </w:p>
  <w:p w14:paraId="49059CE3" w14:textId="77777777" w:rsidR="002A6C71" w:rsidRDefault="002A6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27411" w14:textId="77777777" w:rsidR="00CC0511" w:rsidRPr="000F35ED" w:rsidRDefault="00CC051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B4012B4" w14:textId="77777777" w:rsidR="00CC0511" w:rsidRPr="000F35ED" w:rsidRDefault="00CC0511" w:rsidP="000F35ED">
      <w:pPr>
        <w:rPr>
          <w:rFonts w:asciiTheme="majorHAnsi" w:hAnsiTheme="majorHAnsi"/>
          <w:sz w:val="16"/>
          <w:szCs w:val="16"/>
        </w:rPr>
      </w:pPr>
      <w:r w:rsidRPr="000F35ED">
        <w:rPr>
          <w:rFonts w:asciiTheme="majorHAnsi" w:hAnsiTheme="majorHAnsi"/>
          <w:sz w:val="16"/>
          <w:szCs w:val="16"/>
        </w:rPr>
        <w:separator/>
      </w:r>
    </w:p>
    <w:p w14:paraId="741A54D6" w14:textId="77777777" w:rsidR="00CC0511" w:rsidRPr="000F35ED" w:rsidRDefault="00CC051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C92FB97" w14:textId="77777777" w:rsidR="00CC0511" w:rsidRPr="000F35ED" w:rsidRDefault="00CC051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5834B3A" w14:textId="23482EE5" w:rsidR="002A6C71" w:rsidRPr="00B16087" w:rsidRDefault="00BD4AEE">
      <w:pPr>
        <w:pStyle w:val="FootnoteText"/>
        <w:rPr>
          <w:rFonts w:ascii="Cambria" w:hAnsi="Cambria"/>
          <w:color w:val="auto"/>
          <w:sz w:val="16"/>
          <w:szCs w:val="16"/>
          <w:lang w:val="es-US"/>
        </w:rPr>
      </w:pPr>
      <w:r>
        <w:rPr>
          <w:rFonts w:ascii="Cambria" w:hAnsi="Cambria"/>
          <w:color w:val="auto"/>
          <w:sz w:val="16"/>
          <w:szCs w:val="16"/>
          <w:lang w:val="es-US"/>
        </w:rPr>
        <w:tab/>
      </w:r>
      <w:r w:rsidR="002A6C71" w:rsidRPr="00B16087">
        <w:rPr>
          <w:rStyle w:val="FootnoteReference"/>
          <w:rFonts w:ascii="Cambria" w:hAnsi="Cambria"/>
          <w:color w:val="auto"/>
          <w:sz w:val="16"/>
          <w:szCs w:val="16"/>
        </w:rPr>
        <w:footnoteRef/>
      </w:r>
      <w:r w:rsidR="002A6C71" w:rsidRPr="00B16087">
        <w:rPr>
          <w:rFonts w:ascii="Cambria" w:hAnsi="Cambria"/>
          <w:color w:val="auto"/>
          <w:sz w:val="16"/>
          <w:szCs w:val="16"/>
          <w:lang w:val="es-US"/>
        </w:rPr>
        <w:t xml:space="preserve"> Quienes entraron a hacer parte del proceso el 20 de mayo de 2014, como Asesores Legales de la Confederación de Pueblos Indígenas de Bolivia (CIDOB).</w:t>
      </w:r>
    </w:p>
  </w:footnote>
  <w:footnote w:id="3">
    <w:p w14:paraId="7D91566A" w14:textId="4D5BCE39" w:rsidR="002A6C71" w:rsidRPr="00B16087" w:rsidRDefault="00BD4AEE">
      <w:pPr>
        <w:pStyle w:val="FootnoteText"/>
        <w:rPr>
          <w:rFonts w:ascii="Cambria" w:hAnsi="Cambria"/>
          <w:color w:val="auto"/>
          <w:sz w:val="16"/>
          <w:szCs w:val="16"/>
          <w:lang w:val="es-US"/>
        </w:rPr>
      </w:pPr>
      <w:r>
        <w:rPr>
          <w:rFonts w:ascii="Cambria" w:hAnsi="Cambria"/>
          <w:color w:val="auto"/>
          <w:sz w:val="16"/>
          <w:szCs w:val="16"/>
          <w:lang w:val="es-US"/>
        </w:rPr>
        <w:tab/>
      </w:r>
      <w:r w:rsidR="002A6C71" w:rsidRPr="00B16087">
        <w:rPr>
          <w:rStyle w:val="FootnoteReference"/>
          <w:rFonts w:ascii="Cambria" w:hAnsi="Cambria"/>
          <w:color w:val="auto"/>
          <w:sz w:val="16"/>
          <w:szCs w:val="16"/>
        </w:rPr>
        <w:footnoteRef/>
      </w:r>
      <w:r w:rsidR="002A6C71" w:rsidRPr="00B16087">
        <w:rPr>
          <w:rFonts w:ascii="Cambria" w:hAnsi="Cambria"/>
          <w:color w:val="auto"/>
          <w:sz w:val="16"/>
          <w:szCs w:val="16"/>
          <w:lang w:val="es-US"/>
        </w:rPr>
        <w:t xml:space="preserve"> Mediante comunicación del 5 de octubre de 2015 la parte peticionaria hizo llegar a esta Comisión un documento en el cual informa que la Dra. Evelin Mamani, Sonia Maldonado y el Dr. </w:t>
      </w:r>
      <w:proofErr w:type="spellStart"/>
      <w:r w:rsidR="002A6C71" w:rsidRPr="00B16087">
        <w:rPr>
          <w:rFonts w:ascii="Cambria" w:hAnsi="Cambria"/>
          <w:color w:val="auto"/>
          <w:sz w:val="16"/>
          <w:szCs w:val="16"/>
          <w:lang w:val="es-US"/>
        </w:rPr>
        <w:t>Jhonny</w:t>
      </w:r>
      <w:proofErr w:type="spellEnd"/>
      <w:r w:rsidR="002A6C71" w:rsidRPr="00B16087">
        <w:rPr>
          <w:rFonts w:ascii="Cambria" w:hAnsi="Cambria"/>
          <w:color w:val="auto"/>
          <w:sz w:val="16"/>
          <w:szCs w:val="16"/>
          <w:lang w:val="es-US"/>
        </w:rPr>
        <w:t xml:space="preserve"> Cárdenas no continuarían siendo parte dentro del proceso en cuestión, y que a partir de la fecha, a quien se le deberían hacer llegar las comunicaciones sería a la Ing. Patricia Molina Carpio en representación del Foro Boliviano sobre Medio Ambiente y Desarrollo (FOBOMADE) y al Dr. Rubén Pinto Vargas.</w:t>
      </w:r>
    </w:p>
  </w:footnote>
  <w:footnote w:id="4">
    <w:p w14:paraId="215EEB52" w14:textId="1B924949" w:rsidR="002A6C71" w:rsidRPr="00B16087" w:rsidRDefault="00BD4AEE" w:rsidP="00DD061E">
      <w:pPr>
        <w:pStyle w:val="FootnoteText"/>
        <w:jc w:val="both"/>
        <w:rPr>
          <w:rFonts w:ascii="Cambria" w:hAnsi="Cambria"/>
          <w:sz w:val="16"/>
          <w:szCs w:val="16"/>
          <w:lang w:val="es-ES"/>
        </w:rPr>
      </w:pPr>
      <w:r>
        <w:rPr>
          <w:rFonts w:ascii="Cambria" w:hAnsi="Cambria"/>
          <w:color w:val="auto"/>
          <w:sz w:val="16"/>
          <w:szCs w:val="16"/>
          <w:lang w:val="es-ES"/>
        </w:rPr>
        <w:tab/>
      </w:r>
      <w:r w:rsidR="002A6C71" w:rsidRPr="00B16087">
        <w:rPr>
          <w:rStyle w:val="FootnoteReference"/>
          <w:rFonts w:ascii="Cambria" w:hAnsi="Cambria"/>
          <w:color w:val="auto"/>
          <w:sz w:val="16"/>
          <w:szCs w:val="16"/>
        </w:rPr>
        <w:footnoteRef/>
      </w:r>
      <w:r w:rsidR="002A6C71" w:rsidRPr="00B16087">
        <w:rPr>
          <w:rFonts w:ascii="Cambria" w:hAnsi="Cambria"/>
          <w:color w:val="auto"/>
          <w:sz w:val="16"/>
          <w:szCs w:val="16"/>
          <w:lang w:val="es-ES"/>
        </w:rPr>
        <w:t xml:space="preserve"> En adelante “la Convención Americana” o “la Convención”.</w:t>
      </w:r>
    </w:p>
  </w:footnote>
  <w:footnote w:id="5">
    <w:p w14:paraId="79F07139" w14:textId="05A6A0E5" w:rsidR="002A6C71" w:rsidRPr="00B16087" w:rsidRDefault="00BD4AEE" w:rsidP="00DD061E">
      <w:pPr>
        <w:pStyle w:val="FootnoteText"/>
        <w:jc w:val="both"/>
        <w:rPr>
          <w:rFonts w:ascii="Cambria" w:hAnsi="Cambria"/>
          <w:sz w:val="16"/>
          <w:szCs w:val="16"/>
          <w:lang w:val="es-ES"/>
        </w:rPr>
      </w:pPr>
      <w:r>
        <w:rPr>
          <w:rFonts w:ascii="Cambria" w:hAnsi="Cambria"/>
          <w:sz w:val="16"/>
          <w:szCs w:val="16"/>
          <w:lang w:val="es-ES"/>
        </w:rPr>
        <w:tab/>
      </w:r>
      <w:r w:rsidR="002A6C71" w:rsidRPr="00B16087">
        <w:rPr>
          <w:rStyle w:val="FootnoteReference"/>
          <w:rFonts w:ascii="Cambria" w:hAnsi="Cambria"/>
          <w:sz w:val="16"/>
          <w:szCs w:val="16"/>
        </w:rPr>
        <w:footnoteRef/>
      </w:r>
      <w:r w:rsidR="002A6C71" w:rsidRPr="00B16087">
        <w:rPr>
          <w:rFonts w:ascii="Cambria" w:hAnsi="Cambria"/>
          <w:sz w:val="16"/>
          <w:szCs w:val="16"/>
          <w:lang w:val="es-ES"/>
        </w:rPr>
        <w:t xml:space="preserve"> Las observaciones de cada parte fueron debidamente trasladadas a la parte contraria.</w:t>
      </w:r>
    </w:p>
  </w:footnote>
  <w:footnote w:id="6">
    <w:p w14:paraId="3CC468DB" w14:textId="68B043BB" w:rsidR="002A6C71" w:rsidRPr="00B16087" w:rsidRDefault="00BD4AEE" w:rsidP="00B16087">
      <w:pPr>
        <w:pStyle w:val="FootnoteText"/>
        <w:jc w:val="both"/>
        <w:rPr>
          <w:rFonts w:ascii="Cambria" w:hAnsi="Cambria"/>
          <w:sz w:val="16"/>
          <w:szCs w:val="16"/>
          <w:lang w:val="es-ES"/>
        </w:rPr>
      </w:pPr>
      <w:r>
        <w:rPr>
          <w:rFonts w:ascii="Cambria" w:hAnsi="Cambria"/>
          <w:sz w:val="16"/>
          <w:szCs w:val="16"/>
          <w:lang w:val="es-ES"/>
        </w:rPr>
        <w:tab/>
      </w:r>
      <w:r w:rsidR="002A6C71" w:rsidRPr="00B16087">
        <w:rPr>
          <w:rStyle w:val="FootnoteReference"/>
          <w:rFonts w:ascii="Cambria" w:hAnsi="Cambria"/>
          <w:sz w:val="16"/>
          <w:szCs w:val="16"/>
        </w:rPr>
        <w:footnoteRef/>
      </w:r>
      <w:r w:rsidR="002A6C71" w:rsidRPr="00B16087">
        <w:rPr>
          <w:rFonts w:ascii="Cambria" w:hAnsi="Cambria"/>
          <w:sz w:val="16"/>
          <w:szCs w:val="16"/>
          <w:lang w:val="es-ES"/>
        </w:rPr>
        <w:t xml:space="preserve"> Noticias </w:t>
      </w:r>
      <w:proofErr w:type="spellStart"/>
      <w:r w:rsidR="002A6C71" w:rsidRPr="00B16087">
        <w:rPr>
          <w:rFonts w:ascii="Cambria" w:hAnsi="Cambria"/>
          <w:sz w:val="16"/>
          <w:szCs w:val="16"/>
          <w:lang w:val="es-ES"/>
        </w:rPr>
        <w:t>Eju</w:t>
      </w:r>
      <w:proofErr w:type="spellEnd"/>
      <w:r w:rsidR="002A6C71" w:rsidRPr="00B16087">
        <w:rPr>
          <w:rFonts w:ascii="Cambria" w:hAnsi="Cambria"/>
          <w:sz w:val="16"/>
          <w:szCs w:val="16"/>
          <w:lang w:val="es-ES"/>
        </w:rPr>
        <w:t xml:space="preserve">. </w:t>
      </w:r>
      <w:hyperlink r:id="rId1" w:history="1">
        <w:r w:rsidR="002A6C71" w:rsidRPr="00B16087">
          <w:rPr>
            <w:rStyle w:val="Hyperlink"/>
            <w:rFonts w:ascii="Cambria" w:hAnsi="Cambria"/>
            <w:b/>
            <w:color w:val="0000FF"/>
            <w:sz w:val="16"/>
            <w:szCs w:val="16"/>
            <w:lang w:val="es-ES"/>
          </w:rPr>
          <w:t>Muere bebé en violento operativo del gobierno de Evo contra indígenas</w:t>
        </w:r>
      </w:hyperlink>
      <w:r w:rsidR="002A6C71" w:rsidRPr="00B16087">
        <w:rPr>
          <w:rFonts w:ascii="Cambria" w:hAnsi="Cambria"/>
          <w:sz w:val="16"/>
          <w:szCs w:val="16"/>
          <w:lang w:val="es-ES"/>
        </w:rPr>
        <w:t xml:space="preserve">. 26 de septiembre de 2011. </w:t>
      </w:r>
    </w:p>
  </w:footnote>
  <w:footnote w:id="7">
    <w:p w14:paraId="3DF87939" w14:textId="123B1215" w:rsidR="002A6C71" w:rsidRPr="00B16087" w:rsidRDefault="00BD4AEE">
      <w:pPr>
        <w:pStyle w:val="FootnoteText"/>
        <w:rPr>
          <w:rFonts w:ascii="Cambria" w:hAnsi="Cambria"/>
          <w:sz w:val="16"/>
          <w:szCs w:val="16"/>
          <w:lang w:val="es-ES"/>
        </w:rPr>
      </w:pPr>
      <w:r>
        <w:rPr>
          <w:rFonts w:ascii="Cambria" w:hAnsi="Cambria"/>
          <w:sz w:val="16"/>
          <w:szCs w:val="16"/>
          <w:lang w:val="es-ES"/>
        </w:rPr>
        <w:tab/>
      </w:r>
      <w:r w:rsidR="002A6C71" w:rsidRPr="00B16087">
        <w:rPr>
          <w:rStyle w:val="FootnoteReference"/>
          <w:rFonts w:ascii="Cambria" w:hAnsi="Cambria"/>
          <w:sz w:val="16"/>
          <w:szCs w:val="16"/>
        </w:rPr>
        <w:footnoteRef/>
      </w:r>
      <w:r w:rsidR="002A6C71" w:rsidRPr="00B16087">
        <w:rPr>
          <w:rFonts w:ascii="Cambria" w:hAnsi="Cambria"/>
          <w:sz w:val="16"/>
          <w:szCs w:val="16"/>
          <w:lang w:val="es-ES"/>
        </w:rPr>
        <w:t xml:space="preserve"> CIDH, Informe No. 16/ 18, Petición 884-07. Admisibilidad. Victoria Piedad Palacios Tejada de Saavedra. Perú 24 de febrero de 2018, párr.12.</w:t>
      </w:r>
    </w:p>
  </w:footnote>
  <w:footnote w:id="8">
    <w:p w14:paraId="6B567A51" w14:textId="0A1D5512" w:rsidR="002A6C71" w:rsidRPr="00B16087" w:rsidRDefault="00BD4AEE">
      <w:pPr>
        <w:pStyle w:val="FootnoteText"/>
        <w:rPr>
          <w:rFonts w:ascii="Cambria" w:hAnsi="Cambria"/>
          <w:sz w:val="16"/>
          <w:szCs w:val="16"/>
          <w:lang w:val="es-ES"/>
        </w:rPr>
      </w:pPr>
      <w:r>
        <w:rPr>
          <w:rFonts w:ascii="Cambria" w:hAnsi="Cambria"/>
          <w:sz w:val="16"/>
          <w:szCs w:val="16"/>
          <w:lang w:val="es-ES"/>
        </w:rPr>
        <w:tab/>
      </w:r>
      <w:r w:rsidR="002A6C71" w:rsidRPr="00B16087">
        <w:rPr>
          <w:rStyle w:val="FootnoteReference"/>
          <w:rFonts w:ascii="Cambria" w:hAnsi="Cambria"/>
          <w:sz w:val="16"/>
          <w:szCs w:val="16"/>
        </w:rPr>
        <w:footnoteRef/>
      </w:r>
      <w:r w:rsidR="002A6C71" w:rsidRPr="00B16087">
        <w:rPr>
          <w:rFonts w:ascii="Cambria" w:hAnsi="Cambria"/>
          <w:sz w:val="16"/>
          <w:szCs w:val="16"/>
          <w:lang w:val="es-ES"/>
        </w:rPr>
        <w:t xml:space="preserve"> CIDH, Informe No. 26/16, Petición 932-03. Inadmisibilidad. Rómulo Jonás Ponce Santamaría. Perú. 15 de abril de 2016, párr. 25.</w:t>
      </w:r>
    </w:p>
  </w:footnote>
  <w:footnote w:id="9">
    <w:p w14:paraId="3AB8412D" w14:textId="4F45B5D2" w:rsidR="002A6C71" w:rsidRPr="00B16087" w:rsidRDefault="00BD4AEE">
      <w:pPr>
        <w:pStyle w:val="FootnoteText"/>
        <w:rPr>
          <w:rFonts w:ascii="Cambria" w:hAnsi="Cambria"/>
          <w:sz w:val="16"/>
          <w:szCs w:val="16"/>
          <w:lang w:val="es-US"/>
        </w:rPr>
      </w:pPr>
      <w:r>
        <w:rPr>
          <w:rFonts w:ascii="Cambria" w:hAnsi="Cambria"/>
          <w:sz w:val="16"/>
          <w:szCs w:val="16"/>
          <w:lang w:val="es-US"/>
        </w:rPr>
        <w:tab/>
      </w:r>
      <w:r w:rsidR="002A6C71" w:rsidRPr="00B16087">
        <w:rPr>
          <w:rStyle w:val="FootnoteReference"/>
          <w:rFonts w:ascii="Cambria" w:hAnsi="Cambria"/>
          <w:sz w:val="16"/>
          <w:szCs w:val="16"/>
        </w:rPr>
        <w:footnoteRef/>
      </w:r>
      <w:r w:rsidR="002A6C71" w:rsidRPr="00B16087">
        <w:rPr>
          <w:rFonts w:ascii="Cambria" w:hAnsi="Cambria"/>
          <w:sz w:val="16"/>
          <w:szCs w:val="16"/>
          <w:lang w:val="es-US"/>
        </w:rPr>
        <w:t xml:space="preserve"> CIDH, Informe No 35/16, Petición 4480-02. Admisibilidad. Carlos Manuel </w:t>
      </w:r>
      <w:proofErr w:type="spellStart"/>
      <w:r w:rsidR="002A6C71" w:rsidRPr="00B16087">
        <w:rPr>
          <w:rFonts w:ascii="Cambria" w:hAnsi="Cambria"/>
          <w:sz w:val="16"/>
          <w:szCs w:val="16"/>
          <w:lang w:val="es-US"/>
        </w:rPr>
        <w:t>Veraza</w:t>
      </w:r>
      <w:proofErr w:type="spellEnd"/>
      <w:r w:rsidR="002A6C71" w:rsidRPr="00B16087">
        <w:rPr>
          <w:rFonts w:ascii="Cambria" w:hAnsi="Cambria"/>
          <w:sz w:val="16"/>
          <w:szCs w:val="16"/>
          <w:lang w:val="es-US"/>
        </w:rPr>
        <w:t xml:space="preserve"> </w:t>
      </w:r>
      <w:proofErr w:type="spellStart"/>
      <w:r w:rsidR="002A6C71" w:rsidRPr="00B16087">
        <w:rPr>
          <w:rFonts w:ascii="Cambria" w:hAnsi="Cambria"/>
          <w:sz w:val="16"/>
          <w:szCs w:val="16"/>
          <w:lang w:val="es-US"/>
        </w:rPr>
        <w:t>Urtusuastequi</w:t>
      </w:r>
      <w:proofErr w:type="spellEnd"/>
      <w:r w:rsidR="002A6C71" w:rsidRPr="00B16087">
        <w:rPr>
          <w:rFonts w:ascii="Cambria" w:hAnsi="Cambria"/>
          <w:sz w:val="16"/>
          <w:szCs w:val="16"/>
          <w:lang w:val="es-US"/>
        </w:rPr>
        <w:t>. México. 29 de julio de 2016, párr. 33</w:t>
      </w:r>
    </w:p>
  </w:footnote>
  <w:footnote w:id="10">
    <w:p w14:paraId="673DA33D" w14:textId="180DA29A" w:rsidR="002A6C71" w:rsidRPr="00B16087" w:rsidRDefault="00BD4AEE" w:rsidP="00E75E07">
      <w:pPr>
        <w:pStyle w:val="FootnoteText"/>
        <w:rPr>
          <w:rFonts w:ascii="Cambria" w:hAnsi="Cambria"/>
          <w:sz w:val="16"/>
          <w:szCs w:val="16"/>
          <w:lang w:val="es-ES"/>
        </w:rPr>
      </w:pPr>
      <w:r>
        <w:rPr>
          <w:rFonts w:ascii="Cambria" w:hAnsi="Cambria"/>
          <w:sz w:val="16"/>
          <w:szCs w:val="16"/>
          <w:lang w:val="es-ES"/>
        </w:rPr>
        <w:tab/>
      </w:r>
      <w:r w:rsidR="002A6C71" w:rsidRPr="00B16087">
        <w:rPr>
          <w:rStyle w:val="FootnoteReference"/>
          <w:rFonts w:ascii="Cambria" w:hAnsi="Cambria"/>
          <w:sz w:val="16"/>
          <w:szCs w:val="16"/>
        </w:rPr>
        <w:footnoteRef/>
      </w:r>
      <w:r w:rsidR="002A6C71" w:rsidRPr="00B16087">
        <w:rPr>
          <w:rFonts w:ascii="Cambria" w:hAnsi="Cambria"/>
          <w:sz w:val="16"/>
          <w:szCs w:val="16"/>
          <w:lang w:val="es-ES"/>
        </w:rPr>
        <w:t xml:space="preserve"> CIDH, Segundo Informe sobre la Situación de las Defensoras y los Defensores de Derechos Humanos en las Américas. OEA/</w:t>
      </w:r>
      <w:proofErr w:type="spellStart"/>
      <w:r w:rsidR="002A6C71" w:rsidRPr="00B16087">
        <w:rPr>
          <w:rFonts w:ascii="Cambria" w:hAnsi="Cambria"/>
          <w:sz w:val="16"/>
          <w:szCs w:val="16"/>
          <w:lang w:val="es-ES"/>
        </w:rPr>
        <w:t>Ser.L</w:t>
      </w:r>
      <w:proofErr w:type="spellEnd"/>
      <w:r w:rsidR="002A6C71" w:rsidRPr="00B16087">
        <w:rPr>
          <w:rFonts w:ascii="Cambria" w:hAnsi="Cambria"/>
          <w:sz w:val="16"/>
          <w:szCs w:val="16"/>
          <w:lang w:val="es-ES"/>
        </w:rPr>
        <w:t>/V/II. Doc. 66, 31 diciembre 2011, párr.149.</w:t>
      </w:r>
    </w:p>
  </w:footnote>
  <w:footnote w:id="11">
    <w:p w14:paraId="4574BAEA" w14:textId="205B920A" w:rsidR="002A6C71" w:rsidRPr="00B16087" w:rsidRDefault="002A6C71">
      <w:pPr>
        <w:pStyle w:val="FootnoteText"/>
        <w:rPr>
          <w:rFonts w:ascii="Cambria" w:hAnsi="Cambria"/>
          <w:sz w:val="16"/>
          <w:szCs w:val="16"/>
          <w:lang w:val="es-US"/>
        </w:rPr>
      </w:pPr>
      <w:r w:rsidRPr="00B16087">
        <w:rPr>
          <w:rStyle w:val="FootnoteReference"/>
          <w:rFonts w:ascii="Cambria" w:hAnsi="Cambria"/>
          <w:sz w:val="16"/>
          <w:szCs w:val="16"/>
        </w:rPr>
        <w:footnoteRef/>
      </w:r>
      <w:r w:rsidRPr="00B16087">
        <w:rPr>
          <w:rFonts w:ascii="Cambria" w:hAnsi="Cambria"/>
          <w:sz w:val="16"/>
          <w:szCs w:val="16"/>
          <w:lang w:val="es-US"/>
        </w:rPr>
        <w:t xml:space="preserve"> Corte IDH. Caso del Pueblo </w:t>
      </w:r>
      <w:proofErr w:type="spellStart"/>
      <w:r w:rsidRPr="00B16087">
        <w:rPr>
          <w:rFonts w:ascii="Cambria" w:hAnsi="Cambria"/>
          <w:sz w:val="16"/>
          <w:szCs w:val="16"/>
          <w:lang w:val="es-US"/>
        </w:rPr>
        <w:t>Saramaka</w:t>
      </w:r>
      <w:proofErr w:type="spellEnd"/>
      <w:r w:rsidRPr="00B16087">
        <w:rPr>
          <w:rFonts w:ascii="Cambria" w:hAnsi="Cambria"/>
          <w:sz w:val="16"/>
          <w:szCs w:val="16"/>
          <w:lang w:val="es-US"/>
        </w:rPr>
        <w:t xml:space="preserve"> vs. Surinam. Excepciones Preliminares, Fondo, Reparaciones y Costas. Sentencia de 28 de noviembre de 2007. Serie C No. 172, párr.115</w:t>
      </w:r>
    </w:p>
  </w:footnote>
  <w:footnote w:id="12">
    <w:p w14:paraId="4AF31ED7" w14:textId="2E3C0BB7" w:rsidR="002A6C71" w:rsidRPr="00B16087" w:rsidRDefault="002A6C71">
      <w:pPr>
        <w:pStyle w:val="FootnoteText"/>
        <w:rPr>
          <w:rFonts w:ascii="Cambria" w:hAnsi="Cambria"/>
          <w:sz w:val="16"/>
          <w:szCs w:val="16"/>
          <w:lang w:val="es-US"/>
        </w:rPr>
      </w:pPr>
      <w:r w:rsidRPr="00B16087">
        <w:rPr>
          <w:rStyle w:val="FootnoteReference"/>
          <w:rFonts w:ascii="Cambria" w:hAnsi="Cambria"/>
          <w:sz w:val="16"/>
          <w:szCs w:val="16"/>
        </w:rPr>
        <w:footnoteRef/>
      </w:r>
      <w:r w:rsidRPr="00B16087">
        <w:rPr>
          <w:rFonts w:ascii="Cambria" w:hAnsi="Cambria"/>
          <w:i/>
          <w:sz w:val="16"/>
          <w:szCs w:val="16"/>
          <w:lang w:val="es-US"/>
        </w:rPr>
        <w:t xml:space="preserve"> </w:t>
      </w:r>
      <w:proofErr w:type="spellStart"/>
      <w:r w:rsidRPr="00B16087">
        <w:rPr>
          <w:rFonts w:ascii="Cambria" w:hAnsi="Cambria"/>
          <w:i/>
          <w:sz w:val="16"/>
          <w:szCs w:val="16"/>
          <w:lang w:val="es-US"/>
        </w:rPr>
        <w:t>Idem</w:t>
      </w:r>
      <w:proofErr w:type="spellEnd"/>
      <w:r w:rsidRPr="00B16087">
        <w:rPr>
          <w:rFonts w:ascii="Cambria" w:hAnsi="Cambria"/>
          <w:sz w:val="16"/>
          <w:szCs w:val="16"/>
          <w:lang w:val="es-US"/>
        </w:rPr>
        <w:t>, párr. 133.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2A6C71" w:rsidRDefault="002A6C71" w:rsidP="0076042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2A6C71" w:rsidRDefault="002A6C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CB6C0" w14:textId="341323E7" w:rsidR="009F7D2C" w:rsidRPr="0058688A" w:rsidRDefault="009F7D2C" w:rsidP="009F7D2C">
    <w:pPr>
      <w:pStyle w:val="Header"/>
      <w:jc w:val="center"/>
      <w:rPr>
        <w:lang w:val="es-ES_tradnl"/>
      </w:rPr>
    </w:pPr>
    <w:r>
      <w:rPr>
        <w:noProof/>
      </w:rPr>
      <w:drawing>
        <wp:inline distT="0" distB="0" distL="0" distR="0" wp14:anchorId="3A29B61F" wp14:editId="5056FC1F">
          <wp:extent cx="2286000" cy="123825"/>
          <wp:effectExtent l="0" t="0" r="0" b="9525"/>
          <wp:docPr id="2" name="Picture 2"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30ABB57F" w14:textId="77777777" w:rsidR="009F7D2C" w:rsidRDefault="009F7D2C" w:rsidP="009F7D2C">
    <w:pPr>
      <w:pStyle w:val="Header"/>
    </w:pPr>
    <w:r>
      <w:pict w14:anchorId="6D3C8FF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B0B14" w14:textId="77777777" w:rsidR="000A55C8" w:rsidRDefault="000A55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7A46D59"/>
    <w:multiLevelType w:val="hybridMultilevel"/>
    <w:tmpl w:val="1794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8"/>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4"/>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6"/>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1"/>
  </w:num>
  <w:num w:numId="52">
    <w:abstractNumId w:val="40"/>
  </w:num>
  <w:num w:numId="53">
    <w:abstractNumId w:val="51"/>
  </w:num>
  <w:num w:numId="54">
    <w:abstractNumId w:val="45"/>
  </w:num>
  <w:num w:numId="55">
    <w:abstractNumId w:val="5"/>
  </w:num>
  <w:num w:numId="56">
    <w:abstractNumId w:val="42"/>
  </w:num>
  <w:num w:numId="57">
    <w:abstractNumId w:val="59"/>
  </w:num>
  <w:num w:numId="58">
    <w:abstractNumId w:val="20"/>
  </w:num>
  <w:num w:numId="59">
    <w:abstractNumId w:val="3"/>
  </w:num>
  <w:num w:numId="60">
    <w:abstractNumId w:val="47"/>
  </w:num>
  <w:num w:numId="61">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3CB4"/>
    <w:rsid w:val="000065D0"/>
    <w:rsid w:val="00006B74"/>
    <w:rsid w:val="00006E1F"/>
    <w:rsid w:val="000070D7"/>
    <w:rsid w:val="000104F5"/>
    <w:rsid w:val="00011353"/>
    <w:rsid w:val="00015701"/>
    <w:rsid w:val="00017641"/>
    <w:rsid w:val="0001788C"/>
    <w:rsid w:val="0002186F"/>
    <w:rsid w:val="00023A63"/>
    <w:rsid w:val="00030D59"/>
    <w:rsid w:val="00032CD5"/>
    <w:rsid w:val="000334EF"/>
    <w:rsid w:val="000337EF"/>
    <w:rsid w:val="00040C3A"/>
    <w:rsid w:val="000419AD"/>
    <w:rsid w:val="00051319"/>
    <w:rsid w:val="000569F4"/>
    <w:rsid w:val="000707DF"/>
    <w:rsid w:val="000716C5"/>
    <w:rsid w:val="00075E23"/>
    <w:rsid w:val="00077A82"/>
    <w:rsid w:val="00080EB4"/>
    <w:rsid w:val="00083AAB"/>
    <w:rsid w:val="0009006E"/>
    <w:rsid w:val="0009344A"/>
    <w:rsid w:val="000A19F8"/>
    <w:rsid w:val="000A3254"/>
    <w:rsid w:val="000A392E"/>
    <w:rsid w:val="000A4360"/>
    <w:rsid w:val="000A55C8"/>
    <w:rsid w:val="000A575F"/>
    <w:rsid w:val="000A63D0"/>
    <w:rsid w:val="000B0579"/>
    <w:rsid w:val="000C1C69"/>
    <w:rsid w:val="000C3A31"/>
    <w:rsid w:val="000D10DB"/>
    <w:rsid w:val="000D72A3"/>
    <w:rsid w:val="000E0229"/>
    <w:rsid w:val="000E2789"/>
    <w:rsid w:val="000E5A32"/>
    <w:rsid w:val="000E5EB5"/>
    <w:rsid w:val="000F35ED"/>
    <w:rsid w:val="000F4098"/>
    <w:rsid w:val="000F4F96"/>
    <w:rsid w:val="001000DB"/>
    <w:rsid w:val="00102A35"/>
    <w:rsid w:val="00103CF7"/>
    <w:rsid w:val="00107131"/>
    <w:rsid w:val="0010736F"/>
    <w:rsid w:val="00111A8A"/>
    <w:rsid w:val="00113F73"/>
    <w:rsid w:val="00121CC2"/>
    <w:rsid w:val="00131D8B"/>
    <w:rsid w:val="00133EE5"/>
    <w:rsid w:val="00136E3D"/>
    <w:rsid w:val="00143EFE"/>
    <w:rsid w:val="001479C0"/>
    <w:rsid w:val="00151ECA"/>
    <w:rsid w:val="0015330B"/>
    <w:rsid w:val="00156417"/>
    <w:rsid w:val="001573E1"/>
    <w:rsid w:val="001625E3"/>
    <w:rsid w:val="00167A34"/>
    <w:rsid w:val="0017612C"/>
    <w:rsid w:val="00176BB3"/>
    <w:rsid w:val="00177EEF"/>
    <w:rsid w:val="00191753"/>
    <w:rsid w:val="001938AB"/>
    <w:rsid w:val="001A2ED7"/>
    <w:rsid w:val="001A7870"/>
    <w:rsid w:val="001B3A00"/>
    <w:rsid w:val="001B4494"/>
    <w:rsid w:val="001B4C00"/>
    <w:rsid w:val="001B5D64"/>
    <w:rsid w:val="001C1B41"/>
    <w:rsid w:val="001D5C64"/>
    <w:rsid w:val="001D65EF"/>
    <w:rsid w:val="001E2A88"/>
    <w:rsid w:val="001E49E7"/>
    <w:rsid w:val="001F271B"/>
    <w:rsid w:val="001F391C"/>
    <w:rsid w:val="001F7201"/>
    <w:rsid w:val="0020480C"/>
    <w:rsid w:val="00204931"/>
    <w:rsid w:val="0020670F"/>
    <w:rsid w:val="00223A29"/>
    <w:rsid w:val="002250A3"/>
    <w:rsid w:val="00231294"/>
    <w:rsid w:val="00235217"/>
    <w:rsid w:val="002355A9"/>
    <w:rsid w:val="002410EC"/>
    <w:rsid w:val="00246D1F"/>
    <w:rsid w:val="00247403"/>
    <w:rsid w:val="00247542"/>
    <w:rsid w:val="00266B61"/>
    <w:rsid w:val="0026712A"/>
    <w:rsid w:val="002704DB"/>
    <w:rsid w:val="00277BDA"/>
    <w:rsid w:val="00277CF0"/>
    <w:rsid w:val="00286C51"/>
    <w:rsid w:val="0029575A"/>
    <w:rsid w:val="002A0AAE"/>
    <w:rsid w:val="002A2C67"/>
    <w:rsid w:val="002A491B"/>
    <w:rsid w:val="002A5820"/>
    <w:rsid w:val="002A6C71"/>
    <w:rsid w:val="002C3350"/>
    <w:rsid w:val="002C475B"/>
    <w:rsid w:val="002C6FD8"/>
    <w:rsid w:val="002D2B26"/>
    <w:rsid w:val="002D7EA2"/>
    <w:rsid w:val="002E187C"/>
    <w:rsid w:val="002E7512"/>
    <w:rsid w:val="002F3724"/>
    <w:rsid w:val="003004DF"/>
    <w:rsid w:val="00302733"/>
    <w:rsid w:val="0030529C"/>
    <w:rsid w:val="003069BD"/>
    <w:rsid w:val="003121D5"/>
    <w:rsid w:val="00314078"/>
    <w:rsid w:val="0031535D"/>
    <w:rsid w:val="00316D97"/>
    <w:rsid w:val="00322BA7"/>
    <w:rsid w:val="003239B8"/>
    <w:rsid w:val="0032729E"/>
    <w:rsid w:val="00330CAE"/>
    <w:rsid w:val="0033169F"/>
    <w:rsid w:val="003419D6"/>
    <w:rsid w:val="0034224A"/>
    <w:rsid w:val="003433FA"/>
    <w:rsid w:val="00343438"/>
    <w:rsid w:val="00344977"/>
    <w:rsid w:val="00346C95"/>
    <w:rsid w:val="00351155"/>
    <w:rsid w:val="00351670"/>
    <w:rsid w:val="00356185"/>
    <w:rsid w:val="00360380"/>
    <w:rsid w:val="0037009A"/>
    <w:rsid w:val="0037519E"/>
    <w:rsid w:val="00380782"/>
    <w:rsid w:val="00386C6C"/>
    <w:rsid w:val="00386CF0"/>
    <w:rsid w:val="003942EC"/>
    <w:rsid w:val="003A6337"/>
    <w:rsid w:val="003B35A3"/>
    <w:rsid w:val="003B4FF6"/>
    <w:rsid w:val="003B70FB"/>
    <w:rsid w:val="003B7DA6"/>
    <w:rsid w:val="003C22F5"/>
    <w:rsid w:val="003C2342"/>
    <w:rsid w:val="003C2C65"/>
    <w:rsid w:val="003C6112"/>
    <w:rsid w:val="003C676B"/>
    <w:rsid w:val="003D0A55"/>
    <w:rsid w:val="003D0CE9"/>
    <w:rsid w:val="003D3BC2"/>
    <w:rsid w:val="003D7847"/>
    <w:rsid w:val="003E614F"/>
    <w:rsid w:val="003E6CA1"/>
    <w:rsid w:val="00400C9B"/>
    <w:rsid w:val="004065A8"/>
    <w:rsid w:val="004153F5"/>
    <w:rsid w:val="004165C2"/>
    <w:rsid w:val="004246C4"/>
    <w:rsid w:val="0042590B"/>
    <w:rsid w:val="004304AD"/>
    <w:rsid w:val="004342D6"/>
    <w:rsid w:val="00434F8D"/>
    <w:rsid w:val="00441ECB"/>
    <w:rsid w:val="00445193"/>
    <w:rsid w:val="00447CCF"/>
    <w:rsid w:val="00454F61"/>
    <w:rsid w:val="004565BA"/>
    <w:rsid w:val="00460EAA"/>
    <w:rsid w:val="00462C1B"/>
    <w:rsid w:val="00467B7E"/>
    <w:rsid w:val="0047080D"/>
    <w:rsid w:val="004715D2"/>
    <w:rsid w:val="00473924"/>
    <w:rsid w:val="00473BB4"/>
    <w:rsid w:val="00476211"/>
    <w:rsid w:val="00477592"/>
    <w:rsid w:val="00486F1C"/>
    <w:rsid w:val="0049419D"/>
    <w:rsid w:val="004957D2"/>
    <w:rsid w:val="00495B4A"/>
    <w:rsid w:val="004A0A2B"/>
    <w:rsid w:val="004A59CC"/>
    <w:rsid w:val="004A6A54"/>
    <w:rsid w:val="004C20D2"/>
    <w:rsid w:val="004C2312"/>
    <w:rsid w:val="004C2E42"/>
    <w:rsid w:val="004C4B62"/>
    <w:rsid w:val="004C54C9"/>
    <w:rsid w:val="004C616A"/>
    <w:rsid w:val="004D4ABA"/>
    <w:rsid w:val="004D6025"/>
    <w:rsid w:val="004E19B1"/>
    <w:rsid w:val="004E2649"/>
    <w:rsid w:val="004E329B"/>
    <w:rsid w:val="004E356D"/>
    <w:rsid w:val="004E7156"/>
    <w:rsid w:val="004F2986"/>
    <w:rsid w:val="00501399"/>
    <w:rsid w:val="00501652"/>
    <w:rsid w:val="0050633D"/>
    <w:rsid w:val="00507BC4"/>
    <w:rsid w:val="0051126A"/>
    <w:rsid w:val="005128E4"/>
    <w:rsid w:val="005133DB"/>
    <w:rsid w:val="00525560"/>
    <w:rsid w:val="00532B66"/>
    <w:rsid w:val="00535377"/>
    <w:rsid w:val="005415E6"/>
    <w:rsid w:val="00544216"/>
    <w:rsid w:val="00544C49"/>
    <w:rsid w:val="005516A1"/>
    <w:rsid w:val="00563557"/>
    <w:rsid w:val="00570BA4"/>
    <w:rsid w:val="0057402A"/>
    <w:rsid w:val="00574CB7"/>
    <w:rsid w:val="005771D0"/>
    <w:rsid w:val="00583AAA"/>
    <w:rsid w:val="00587FBE"/>
    <w:rsid w:val="0059191A"/>
    <w:rsid w:val="005921FF"/>
    <w:rsid w:val="00594707"/>
    <w:rsid w:val="00596756"/>
    <w:rsid w:val="005A24ED"/>
    <w:rsid w:val="005A6D0E"/>
    <w:rsid w:val="005B0D8F"/>
    <w:rsid w:val="005B37CC"/>
    <w:rsid w:val="005B52B0"/>
    <w:rsid w:val="005B6806"/>
    <w:rsid w:val="005B6D22"/>
    <w:rsid w:val="005C261A"/>
    <w:rsid w:val="005C4225"/>
    <w:rsid w:val="005C61D8"/>
    <w:rsid w:val="005C7989"/>
    <w:rsid w:val="005D66AD"/>
    <w:rsid w:val="005E0B65"/>
    <w:rsid w:val="005E11B2"/>
    <w:rsid w:val="005E56C4"/>
    <w:rsid w:val="005F0DAD"/>
    <w:rsid w:val="005F0F33"/>
    <w:rsid w:val="00600DEB"/>
    <w:rsid w:val="006068B7"/>
    <w:rsid w:val="006138C2"/>
    <w:rsid w:val="00614250"/>
    <w:rsid w:val="006233AA"/>
    <w:rsid w:val="006277DE"/>
    <w:rsid w:val="00627C9F"/>
    <w:rsid w:val="006311E9"/>
    <w:rsid w:val="00632354"/>
    <w:rsid w:val="0064200A"/>
    <w:rsid w:val="00642810"/>
    <w:rsid w:val="00643F4D"/>
    <w:rsid w:val="00647756"/>
    <w:rsid w:val="006509DA"/>
    <w:rsid w:val="00652333"/>
    <w:rsid w:val="00656A81"/>
    <w:rsid w:val="00656F2E"/>
    <w:rsid w:val="006729A6"/>
    <w:rsid w:val="00673982"/>
    <w:rsid w:val="006775AB"/>
    <w:rsid w:val="00677B8C"/>
    <w:rsid w:val="0068009E"/>
    <w:rsid w:val="006819E9"/>
    <w:rsid w:val="00681FC8"/>
    <w:rsid w:val="00682B23"/>
    <w:rsid w:val="006830F9"/>
    <w:rsid w:val="00686471"/>
    <w:rsid w:val="0068794B"/>
    <w:rsid w:val="00691BBE"/>
    <w:rsid w:val="00692219"/>
    <w:rsid w:val="00692539"/>
    <w:rsid w:val="0069402E"/>
    <w:rsid w:val="006A17D2"/>
    <w:rsid w:val="006A47DA"/>
    <w:rsid w:val="006A601C"/>
    <w:rsid w:val="006A73E6"/>
    <w:rsid w:val="006B2D5C"/>
    <w:rsid w:val="006B2EE8"/>
    <w:rsid w:val="006C4EB1"/>
    <w:rsid w:val="006D028C"/>
    <w:rsid w:val="006D2585"/>
    <w:rsid w:val="006D65DA"/>
    <w:rsid w:val="006E0166"/>
    <w:rsid w:val="006E3518"/>
    <w:rsid w:val="006E763D"/>
    <w:rsid w:val="006E772A"/>
    <w:rsid w:val="006E7B34"/>
    <w:rsid w:val="00700323"/>
    <w:rsid w:val="0070697F"/>
    <w:rsid w:val="00716885"/>
    <w:rsid w:val="0072199C"/>
    <w:rsid w:val="00722C9F"/>
    <w:rsid w:val="007253B8"/>
    <w:rsid w:val="00727B0E"/>
    <w:rsid w:val="0073158D"/>
    <w:rsid w:val="0073598C"/>
    <w:rsid w:val="0073741F"/>
    <w:rsid w:val="00745F75"/>
    <w:rsid w:val="0076042D"/>
    <w:rsid w:val="007612C8"/>
    <w:rsid w:val="00763AA1"/>
    <w:rsid w:val="007654C9"/>
    <w:rsid w:val="0076643F"/>
    <w:rsid w:val="00773C8E"/>
    <w:rsid w:val="00776AAF"/>
    <w:rsid w:val="00777F63"/>
    <w:rsid w:val="007852B5"/>
    <w:rsid w:val="0078630E"/>
    <w:rsid w:val="007903C9"/>
    <w:rsid w:val="00796A37"/>
    <w:rsid w:val="007A240C"/>
    <w:rsid w:val="007A4A01"/>
    <w:rsid w:val="007A5817"/>
    <w:rsid w:val="007B05C4"/>
    <w:rsid w:val="007B60E9"/>
    <w:rsid w:val="007B65B8"/>
    <w:rsid w:val="007B6CC3"/>
    <w:rsid w:val="007B7B1F"/>
    <w:rsid w:val="007C3334"/>
    <w:rsid w:val="007C402A"/>
    <w:rsid w:val="007C7C02"/>
    <w:rsid w:val="007D048F"/>
    <w:rsid w:val="007D2B98"/>
    <w:rsid w:val="007D6268"/>
    <w:rsid w:val="007D7C02"/>
    <w:rsid w:val="007E1CF5"/>
    <w:rsid w:val="007E21BC"/>
    <w:rsid w:val="007E58FE"/>
    <w:rsid w:val="007E7C82"/>
    <w:rsid w:val="007F588D"/>
    <w:rsid w:val="00802748"/>
    <w:rsid w:val="00803F1C"/>
    <w:rsid w:val="0080600E"/>
    <w:rsid w:val="00817612"/>
    <w:rsid w:val="008269FA"/>
    <w:rsid w:val="008316D0"/>
    <w:rsid w:val="008338A4"/>
    <w:rsid w:val="00834D49"/>
    <w:rsid w:val="008354E3"/>
    <w:rsid w:val="00837C45"/>
    <w:rsid w:val="008411F0"/>
    <w:rsid w:val="008439BC"/>
    <w:rsid w:val="00844730"/>
    <w:rsid w:val="008457C2"/>
    <w:rsid w:val="00853D67"/>
    <w:rsid w:val="008559E2"/>
    <w:rsid w:val="00857A82"/>
    <w:rsid w:val="008646E6"/>
    <w:rsid w:val="00866311"/>
    <w:rsid w:val="00871526"/>
    <w:rsid w:val="0087240C"/>
    <w:rsid w:val="00873836"/>
    <w:rsid w:val="00875668"/>
    <w:rsid w:val="008771AB"/>
    <w:rsid w:val="00885737"/>
    <w:rsid w:val="00890650"/>
    <w:rsid w:val="0089611C"/>
    <w:rsid w:val="00897E12"/>
    <w:rsid w:val="008A0F81"/>
    <w:rsid w:val="008A310C"/>
    <w:rsid w:val="008A4653"/>
    <w:rsid w:val="008A7E0F"/>
    <w:rsid w:val="008B12F5"/>
    <w:rsid w:val="008B4FBD"/>
    <w:rsid w:val="008B5932"/>
    <w:rsid w:val="008C5751"/>
    <w:rsid w:val="008C7188"/>
    <w:rsid w:val="008D768D"/>
    <w:rsid w:val="008E0FD8"/>
    <w:rsid w:val="008E328A"/>
    <w:rsid w:val="008E3759"/>
    <w:rsid w:val="008E3BFE"/>
    <w:rsid w:val="008E7271"/>
    <w:rsid w:val="008E7900"/>
    <w:rsid w:val="008F1912"/>
    <w:rsid w:val="009025D3"/>
    <w:rsid w:val="0090270B"/>
    <w:rsid w:val="009041DC"/>
    <w:rsid w:val="009135E3"/>
    <w:rsid w:val="00917A34"/>
    <w:rsid w:val="00917B5A"/>
    <w:rsid w:val="00920A58"/>
    <w:rsid w:val="00920A8C"/>
    <w:rsid w:val="009234C4"/>
    <w:rsid w:val="00934A2C"/>
    <w:rsid w:val="00935F06"/>
    <w:rsid w:val="00936ABD"/>
    <w:rsid w:val="00936F2C"/>
    <w:rsid w:val="00937B3A"/>
    <w:rsid w:val="00953C5D"/>
    <w:rsid w:val="00954B82"/>
    <w:rsid w:val="00957000"/>
    <w:rsid w:val="00961C1A"/>
    <w:rsid w:val="00962436"/>
    <w:rsid w:val="00962B9A"/>
    <w:rsid w:val="0096706E"/>
    <w:rsid w:val="00972F1F"/>
    <w:rsid w:val="00974491"/>
    <w:rsid w:val="00975498"/>
    <w:rsid w:val="00975C4E"/>
    <w:rsid w:val="00980286"/>
    <w:rsid w:val="00981FBA"/>
    <w:rsid w:val="00997BC5"/>
    <w:rsid w:val="009A1533"/>
    <w:rsid w:val="009A4F41"/>
    <w:rsid w:val="009A5618"/>
    <w:rsid w:val="009B381B"/>
    <w:rsid w:val="009B3BB9"/>
    <w:rsid w:val="009B5855"/>
    <w:rsid w:val="009C2FC5"/>
    <w:rsid w:val="009C43D2"/>
    <w:rsid w:val="009D1753"/>
    <w:rsid w:val="009D6502"/>
    <w:rsid w:val="009D7611"/>
    <w:rsid w:val="009D78A5"/>
    <w:rsid w:val="009E08DD"/>
    <w:rsid w:val="009E0B61"/>
    <w:rsid w:val="009E206C"/>
    <w:rsid w:val="009E53DE"/>
    <w:rsid w:val="009E7C00"/>
    <w:rsid w:val="009F7D2C"/>
    <w:rsid w:val="00A0691C"/>
    <w:rsid w:val="00A11096"/>
    <w:rsid w:val="00A11E44"/>
    <w:rsid w:val="00A154C8"/>
    <w:rsid w:val="00A21915"/>
    <w:rsid w:val="00A22397"/>
    <w:rsid w:val="00A32313"/>
    <w:rsid w:val="00A328B3"/>
    <w:rsid w:val="00A44859"/>
    <w:rsid w:val="00A47291"/>
    <w:rsid w:val="00A50FCF"/>
    <w:rsid w:val="00A528D1"/>
    <w:rsid w:val="00A557F6"/>
    <w:rsid w:val="00A5789C"/>
    <w:rsid w:val="00A610CD"/>
    <w:rsid w:val="00A625E0"/>
    <w:rsid w:val="00A65EC6"/>
    <w:rsid w:val="00A71916"/>
    <w:rsid w:val="00A74947"/>
    <w:rsid w:val="00A758AA"/>
    <w:rsid w:val="00A92093"/>
    <w:rsid w:val="00A94B91"/>
    <w:rsid w:val="00A97E1F"/>
    <w:rsid w:val="00AA09A2"/>
    <w:rsid w:val="00AA3FD8"/>
    <w:rsid w:val="00AA568E"/>
    <w:rsid w:val="00AA6077"/>
    <w:rsid w:val="00AA7996"/>
    <w:rsid w:val="00AB320C"/>
    <w:rsid w:val="00AB573F"/>
    <w:rsid w:val="00AB7AF0"/>
    <w:rsid w:val="00AC19CB"/>
    <w:rsid w:val="00AD1886"/>
    <w:rsid w:val="00AE5488"/>
    <w:rsid w:val="00AE6F91"/>
    <w:rsid w:val="00AF5567"/>
    <w:rsid w:val="00AF5571"/>
    <w:rsid w:val="00B02F7D"/>
    <w:rsid w:val="00B04D4F"/>
    <w:rsid w:val="00B06B4E"/>
    <w:rsid w:val="00B07341"/>
    <w:rsid w:val="00B16087"/>
    <w:rsid w:val="00B202B5"/>
    <w:rsid w:val="00B30539"/>
    <w:rsid w:val="00B3104E"/>
    <w:rsid w:val="00B314DB"/>
    <w:rsid w:val="00B321BF"/>
    <w:rsid w:val="00B361F2"/>
    <w:rsid w:val="00B3718B"/>
    <w:rsid w:val="00B4632A"/>
    <w:rsid w:val="00B465E1"/>
    <w:rsid w:val="00B5067D"/>
    <w:rsid w:val="00B51D19"/>
    <w:rsid w:val="00B5236C"/>
    <w:rsid w:val="00B530B8"/>
    <w:rsid w:val="00B530F1"/>
    <w:rsid w:val="00B57297"/>
    <w:rsid w:val="00B64C10"/>
    <w:rsid w:val="00B65588"/>
    <w:rsid w:val="00B736AF"/>
    <w:rsid w:val="00B742BE"/>
    <w:rsid w:val="00B853A3"/>
    <w:rsid w:val="00B868A7"/>
    <w:rsid w:val="00B87359"/>
    <w:rsid w:val="00B97946"/>
    <w:rsid w:val="00BA276C"/>
    <w:rsid w:val="00BA5544"/>
    <w:rsid w:val="00BB306F"/>
    <w:rsid w:val="00BB3FBD"/>
    <w:rsid w:val="00BB73B1"/>
    <w:rsid w:val="00BC6CD0"/>
    <w:rsid w:val="00BD4AEE"/>
    <w:rsid w:val="00BD4B89"/>
    <w:rsid w:val="00BD56C9"/>
    <w:rsid w:val="00BD5922"/>
    <w:rsid w:val="00BD76D9"/>
    <w:rsid w:val="00BF02CB"/>
    <w:rsid w:val="00BF514A"/>
    <w:rsid w:val="00BF6FD8"/>
    <w:rsid w:val="00BF775D"/>
    <w:rsid w:val="00C03680"/>
    <w:rsid w:val="00C054DF"/>
    <w:rsid w:val="00C10AFC"/>
    <w:rsid w:val="00C21562"/>
    <w:rsid w:val="00C21762"/>
    <w:rsid w:val="00C21FEF"/>
    <w:rsid w:val="00C24543"/>
    <w:rsid w:val="00C2528B"/>
    <w:rsid w:val="00C256A2"/>
    <w:rsid w:val="00C3300C"/>
    <w:rsid w:val="00C35A26"/>
    <w:rsid w:val="00C51515"/>
    <w:rsid w:val="00C53910"/>
    <w:rsid w:val="00C55865"/>
    <w:rsid w:val="00C55C1E"/>
    <w:rsid w:val="00C5660B"/>
    <w:rsid w:val="00C56854"/>
    <w:rsid w:val="00C5788A"/>
    <w:rsid w:val="00C60A56"/>
    <w:rsid w:val="00C64835"/>
    <w:rsid w:val="00C64FA2"/>
    <w:rsid w:val="00C66B72"/>
    <w:rsid w:val="00C675B0"/>
    <w:rsid w:val="00C77A6E"/>
    <w:rsid w:val="00C87AC4"/>
    <w:rsid w:val="00C954D5"/>
    <w:rsid w:val="00C9567A"/>
    <w:rsid w:val="00CA48A3"/>
    <w:rsid w:val="00CA52AA"/>
    <w:rsid w:val="00CB1AE5"/>
    <w:rsid w:val="00CB212D"/>
    <w:rsid w:val="00CB2660"/>
    <w:rsid w:val="00CC0511"/>
    <w:rsid w:val="00CC2099"/>
    <w:rsid w:val="00CC5E90"/>
    <w:rsid w:val="00CD046C"/>
    <w:rsid w:val="00CD186A"/>
    <w:rsid w:val="00CE0629"/>
    <w:rsid w:val="00CE076C"/>
    <w:rsid w:val="00CE4261"/>
    <w:rsid w:val="00CE5199"/>
    <w:rsid w:val="00CE66D5"/>
    <w:rsid w:val="00CF637A"/>
    <w:rsid w:val="00D059DE"/>
    <w:rsid w:val="00D05ABD"/>
    <w:rsid w:val="00D13FCE"/>
    <w:rsid w:val="00D17E8C"/>
    <w:rsid w:val="00D24E5D"/>
    <w:rsid w:val="00D306D1"/>
    <w:rsid w:val="00D30800"/>
    <w:rsid w:val="00D34786"/>
    <w:rsid w:val="00D36906"/>
    <w:rsid w:val="00D3695D"/>
    <w:rsid w:val="00D37BFC"/>
    <w:rsid w:val="00D42822"/>
    <w:rsid w:val="00D47A8E"/>
    <w:rsid w:val="00D518C7"/>
    <w:rsid w:val="00D52D14"/>
    <w:rsid w:val="00D55256"/>
    <w:rsid w:val="00D56788"/>
    <w:rsid w:val="00D56D93"/>
    <w:rsid w:val="00D64BFB"/>
    <w:rsid w:val="00D658E0"/>
    <w:rsid w:val="00D712D3"/>
    <w:rsid w:val="00D71422"/>
    <w:rsid w:val="00D726AA"/>
    <w:rsid w:val="00D72DC6"/>
    <w:rsid w:val="00D73F5E"/>
    <w:rsid w:val="00D7558D"/>
    <w:rsid w:val="00D77503"/>
    <w:rsid w:val="00D81D92"/>
    <w:rsid w:val="00D842B1"/>
    <w:rsid w:val="00D876F9"/>
    <w:rsid w:val="00D877B6"/>
    <w:rsid w:val="00D93A90"/>
    <w:rsid w:val="00D93E69"/>
    <w:rsid w:val="00DA18FD"/>
    <w:rsid w:val="00DA7B5F"/>
    <w:rsid w:val="00DB5B0D"/>
    <w:rsid w:val="00DC11E7"/>
    <w:rsid w:val="00DC7023"/>
    <w:rsid w:val="00DC769A"/>
    <w:rsid w:val="00DC7D5F"/>
    <w:rsid w:val="00DD061E"/>
    <w:rsid w:val="00DD3D86"/>
    <w:rsid w:val="00DE12F0"/>
    <w:rsid w:val="00DF1EC4"/>
    <w:rsid w:val="00DF3CB1"/>
    <w:rsid w:val="00DF51E9"/>
    <w:rsid w:val="00E01943"/>
    <w:rsid w:val="00E0340B"/>
    <w:rsid w:val="00E04A90"/>
    <w:rsid w:val="00E0551F"/>
    <w:rsid w:val="00E12EDF"/>
    <w:rsid w:val="00E16964"/>
    <w:rsid w:val="00E219C7"/>
    <w:rsid w:val="00E248A1"/>
    <w:rsid w:val="00E26CCA"/>
    <w:rsid w:val="00E27F56"/>
    <w:rsid w:val="00E4118C"/>
    <w:rsid w:val="00E42407"/>
    <w:rsid w:val="00E43157"/>
    <w:rsid w:val="00E461CE"/>
    <w:rsid w:val="00E566C9"/>
    <w:rsid w:val="00E720CA"/>
    <w:rsid w:val="00E75E07"/>
    <w:rsid w:val="00E813A3"/>
    <w:rsid w:val="00E81D42"/>
    <w:rsid w:val="00E84EB5"/>
    <w:rsid w:val="00E85662"/>
    <w:rsid w:val="00E8789F"/>
    <w:rsid w:val="00E87E87"/>
    <w:rsid w:val="00E92747"/>
    <w:rsid w:val="00E94F54"/>
    <w:rsid w:val="00E97B71"/>
    <w:rsid w:val="00EA0F5A"/>
    <w:rsid w:val="00EA3D34"/>
    <w:rsid w:val="00EB454D"/>
    <w:rsid w:val="00EC26E9"/>
    <w:rsid w:val="00EC72AB"/>
    <w:rsid w:val="00ED2F03"/>
    <w:rsid w:val="00ED549D"/>
    <w:rsid w:val="00ED76BE"/>
    <w:rsid w:val="00ED7F05"/>
    <w:rsid w:val="00ED7F3C"/>
    <w:rsid w:val="00EE00E9"/>
    <w:rsid w:val="00EE014D"/>
    <w:rsid w:val="00EE0B25"/>
    <w:rsid w:val="00EF35AB"/>
    <w:rsid w:val="00EF4C44"/>
    <w:rsid w:val="00EF619B"/>
    <w:rsid w:val="00F00B55"/>
    <w:rsid w:val="00F02AD1"/>
    <w:rsid w:val="00F04591"/>
    <w:rsid w:val="00F0485D"/>
    <w:rsid w:val="00F0510A"/>
    <w:rsid w:val="00F06354"/>
    <w:rsid w:val="00F074F7"/>
    <w:rsid w:val="00F253CC"/>
    <w:rsid w:val="00F25A57"/>
    <w:rsid w:val="00F25AC0"/>
    <w:rsid w:val="00F332EF"/>
    <w:rsid w:val="00F37106"/>
    <w:rsid w:val="00F519CF"/>
    <w:rsid w:val="00F53168"/>
    <w:rsid w:val="00F55C0C"/>
    <w:rsid w:val="00F56BA5"/>
    <w:rsid w:val="00F60A8E"/>
    <w:rsid w:val="00F60E22"/>
    <w:rsid w:val="00F63B39"/>
    <w:rsid w:val="00F64F5B"/>
    <w:rsid w:val="00F726A1"/>
    <w:rsid w:val="00F73782"/>
    <w:rsid w:val="00F81395"/>
    <w:rsid w:val="00F81887"/>
    <w:rsid w:val="00F81BB8"/>
    <w:rsid w:val="00F8788F"/>
    <w:rsid w:val="00F917D1"/>
    <w:rsid w:val="00F9342C"/>
    <w:rsid w:val="00F93801"/>
    <w:rsid w:val="00F9653B"/>
    <w:rsid w:val="00FA56EA"/>
    <w:rsid w:val="00FB1AAD"/>
    <w:rsid w:val="00FB62CF"/>
    <w:rsid w:val="00FB6599"/>
    <w:rsid w:val="00FC0F4A"/>
    <w:rsid w:val="00FC3330"/>
    <w:rsid w:val="00FC763C"/>
    <w:rsid w:val="00FD3645"/>
    <w:rsid w:val="00FD3C3B"/>
    <w:rsid w:val="00FE07DD"/>
    <w:rsid w:val="00FE6B45"/>
    <w:rsid w:val="00FF55F3"/>
    <w:rsid w:val="00FF5851"/>
    <w:rsid w:val="00FF75BD"/>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llowedHyperlink">
    <w:name w:val="FollowedHyperlink"/>
    <w:basedOn w:val="DefaultParagraphFont"/>
    <w:uiPriority w:val="99"/>
    <w:semiHidden/>
    <w:unhideWhenUsed/>
    <w:rsid w:val="00E75E07"/>
    <w:rPr>
      <w:color w:val="800080" w:themeColor="followedHyperlink"/>
      <w:u w:val="single"/>
    </w:rPr>
  </w:style>
  <w:style w:type="character" w:styleId="Emphasis">
    <w:name w:val="Emphasis"/>
    <w:basedOn w:val="DefaultParagraphFont"/>
    <w:uiPriority w:val="20"/>
    <w:qFormat/>
    <w:rsid w:val="00B32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ju.tv/2011/09/indignacin-muere-un-beb-en-violento-operativo-del-gobierno-de-evo-contra-indgen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ABCAF-4159-4E44-8BB9-C4F657A22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3560</Words>
  <Characters>20297</Characters>
  <Application>Microsoft Office Word</Application>
  <DocSecurity>0</DocSecurity>
  <Lines>169</Lines>
  <Paragraphs>47</Paragraphs>
  <ScaleCrop>false</ScaleCrop>
  <Company/>
  <LinksUpToDate>false</LinksUpToDate>
  <CharactersWithSpaces>23810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113/20</dc:title>
  <dc:subject/>
  <dc:creator/>
  <cp:keywords/>
  <dc:description/>
  <cp:lastModifiedBy/>
  <cp:revision>1</cp:revision>
  <dcterms:created xsi:type="dcterms:W3CDTF">2020-06-24T14:35:00Z</dcterms:created>
  <dcterms:modified xsi:type="dcterms:W3CDTF">2020-06-24T14:35:00Z</dcterms:modified>
</cp:coreProperties>
</file>