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93551E" w:rsidRDefault="00D306D1" w:rsidP="00627C9F">
      <w:pPr>
        <w:jc w:val="both"/>
        <w:rPr>
          <w:rFonts w:asciiTheme="majorHAnsi" w:hAnsiTheme="majorHAnsi" w:cs="Univers"/>
          <w:b/>
          <w:bCs/>
          <w:sz w:val="22"/>
          <w:szCs w:val="22"/>
          <w:lang w:val="es-ES"/>
        </w:rPr>
      </w:pPr>
      <w:r w:rsidRPr="0093551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447F39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3551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3551E"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3551E"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3551E" w:rsidRDefault="005128E4" w:rsidP="00040C3A">
      <w:pPr>
        <w:tabs>
          <w:tab w:val="center" w:pos="5400"/>
        </w:tabs>
        <w:suppressAutoHyphens/>
        <w:rPr>
          <w:rFonts w:asciiTheme="majorHAnsi" w:hAnsiTheme="majorHAnsi"/>
          <w:sz w:val="22"/>
          <w:szCs w:val="22"/>
          <w:lang w:val="es-ES"/>
        </w:rPr>
      </w:pPr>
    </w:p>
    <w:p w14:paraId="12A36B24" w14:textId="164C1064" w:rsidR="005128E4" w:rsidRPr="0093551E" w:rsidRDefault="009432C2" w:rsidP="00040C3A">
      <w:pPr>
        <w:tabs>
          <w:tab w:val="center" w:pos="5400"/>
        </w:tabs>
        <w:suppressAutoHyphens/>
        <w:rPr>
          <w:rFonts w:asciiTheme="majorHAnsi" w:hAnsiTheme="majorHAnsi"/>
          <w:sz w:val="22"/>
          <w:szCs w:val="22"/>
          <w:lang w:val="es-ES"/>
        </w:rPr>
      </w:pPr>
      <w:r>
        <w:rPr>
          <w:rFonts w:asciiTheme="majorHAnsi" w:hAnsiTheme="majorHAnsi"/>
          <w:sz w:val="22"/>
          <w:szCs w:val="22"/>
          <w:lang w:val="es-ES"/>
        </w:rPr>
        <w:t>0</w:t>
      </w:r>
    </w:p>
    <w:p w14:paraId="2252093D" w14:textId="77777777" w:rsidR="005128E4" w:rsidRPr="0093551E" w:rsidRDefault="005128E4" w:rsidP="00040C3A">
      <w:pPr>
        <w:tabs>
          <w:tab w:val="center" w:pos="5400"/>
        </w:tabs>
        <w:suppressAutoHyphens/>
        <w:rPr>
          <w:rFonts w:asciiTheme="majorHAnsi" w:hAnsiTheme="majorHAnsi"/>
          <w:sz w:val="22"/>
          <w:szCs w:val="22"/>
          <w:lang w:val="es-ES"/>
        </w:rPr>
      </w:pPr>
    </w:p>
    <w:p w14:paraId="403935BD" w14:textId="77777777" w:rsidR="00040C3A" w:rsidRPr="0093551E"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93551E"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93551E"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93551E"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93551E"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93551E"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93551E"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93551E" w:rsidRDefault="003D3BC2" w:rsidP="00040C3A">
      <w:pPr>
        <w:tabs>
          <w:tab w:val="center" w:pos="5400"/>
        </w:tabs>
        <w:suppressAutoHyphens/>
        <w:jc w:val="center"/>
        <w:rPr>
          <w:rFonts w:asciiTheme="majorHAnsi" w:hAnsiTheme="majorHAnsi"/>
          <w:sz w:val="22"/>
          <w:szCs w:val="22"/>
          <w:lang w:val="es-ES"/>
        </w:rPr>
      </w:pPr>
      <w:r w:rsidRPr="0093551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C1C6AD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E08B8">
                              <w:rPr>
                                <w:rFonts w:asciiTheme="majorHAnsi" w:hAnsiTheme="majorHAnsi" w:cs="Arial"/>
                                <w:b/>
                                <w:bCs/>
                                <w:color w:val="0D0D0D" w:themeColor="text1" w:themeTint="F2"/>
                                <w:sz w:val="36"/>
                                <w:szCs w:val="22"/>
                                <w:lang w:val="es-ES_tradnl"/>
                              </w:rPr>
                              <w:t>225</w:t>
                            </w:r>
                            <w:r w:rsidR="007B05C4">
                              <w:rPr>
                                <w:rFonts w:asciiTheme="majorHAnsi" w:hAnsiTheme="majorHAnsi" w:cs="Arial"/>
                                <w:b/>
                                <w:bCs/>
                                <w:color w:val="0D0D0D" w:themeColor="text1" w:themeTint="F2"/>
                                <w:sz w:val="36"/>
                                <w:szCs w:val="22"/>
                                <w:lang w:val="es-ES_tradnl"/>
                              </w:rPr>
                              <w:t>/</w:t>
                            </w:r>
                            <w:r w:rsidR="007E08B8">
                              <w:rPr>
                                <w:rFonts w:asciiTheme="majorHAnsi" w:hAnsiTheme="majorHAnsi" w:cs="Arial"/>
                                <w:b/>
                                <w:bCs/>
                                <w:color w:val="0D0D0D" w:themeColor="text1" w:themeTint="F2"/>
                                <w:sz w:val="36"/>
                                <w:szCs w:val="22"/>
                                <w:lang w:val="es-ES_tradnl"/>
                              </w:rPr>
                              <w:t>20</w:t>
                            </w:r>
                          </w:p>
                          <w:p w14:paraId="09C54AB3" w14:textId="3F2E1A2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22EA3">
                              <w:rPr>
                                <w:rFonts w:asciiTheme="majorHAnsi" w:hAnsiTheme="majorHAnsi" w:cs="Arial"/>
                                <w:b/>
                                <w:color w:val="0D0D0D" w:themeColor="text1" w:themeTint="F2"/>
                                <w:sz w:val="36"/>
                                <w:szCs w:val="22"/>
                                <w:lang w:val="es-ES_tradnl"/>
                              </w:rPr>
                              <w:t>732-10</w:t>
                            </w:r>
                          </w:p>
                          <w:p w14:paraId="70CF6833" w14:textId="72B9CC8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B02D7E">
                              <w:rPr>
                                <w:rFonts w:asciiTheme="majorHAnsi" w:hAnsiTheme="majorHAnsi" w:cs="Arial"/>
                                <w:color w:val="0D0D0D" w:themeColor="text1" w:themeTint="F2"/>
                                <w:szCs w:val="22"/>
                                <w:lang w:val="es-ES_tradnl"/>
                              </w:rPr>
                              <w:t>INFORME DE ADMISIBILIDAD</w:t>
                            </w:r>
                            <w:r w:rsidR="008F1912" w:rsidRPr="00B02D7E">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FFA8B42" w:rsidR="005B52B0" w:rsidRPr="0010736F" w:rsidRDefault="00222EA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PATRICIA JACQUELINE FLORES VELASQUEZ</w:t>
                            </w:r>
                            <w:r w:rsidR="00174A5F">
                              <w:rPr>
                                <w:rFonts w:asciiTheme="majorHAnsi" w:hAnsiTheme="majorHAnsi" w:cs="Arial"/>
                                <w:color w:val="0D0D0D" w:themeColor="text1" w:themeTint="F2"/>
                                <w:szCs w:val="22"/>
                                <w:lang w:val="es-ES_tradnl"/>
                              </w:rPr>
                              <w:t xml:space="preserve"> </w:t>
                            </w:r>
                            <w:r w:rsidR="00E73091">
                              <w:rPr>
                                <w:rFonts w:asciiTheme="majorHAnsi" w:hAnsiTheme="majorHAnsi" w:cs="Arial"/>
                                <w:color w:val="0D0D0D" w:themeColor="text1" w:themeTint="F2"/>
                                <w:szCs w:val="22"/>
                                <w:lang w:val="es-ES_tradnl"/>
                              </w:rPr>
                              <w:t>Y FAMILIA</w:t>
                            </w:r>
                          </w:p>
                          <w:bookmarkEnd w:id="1"/>
                          <w:p w14:paraId="35068D0D" w14:textId="68F47E53" w:rsidR="005B52B0" w:rsidRPr="0010736F" w:rsidRDefault="00222EA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C1C6AD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E08B8">
                        <w:rPr>
                          <w:rFonts w:asciiTheme="majorHAnsi" w:hAnsiTheme="majorHAnsi" w:cs="Arial"/>
                          <w:b/>
                          <w:bCs/>
                          <w:color w:val="0D0D0D" w:themeColor="text1" w:themeTint="F2"/>
                          <w:sz w:val="36"/>
                          <w:szCs w:val="22"/>
                          <w:lang w:val="es-ES_tradnl"/>
                        </w:rPr>
                        <w:t>225</w:t>
                      </w:r>
                      <w:r w:rsidR="007B05C4">
                        <w:rPr>
                          <w:rFonts w:asciiTheme="majorHAnsi" w:hAnsiTheme="majorHAnsi" w:cs="Arial"/>
                          <w:b/>
                          <w:bCs/>
                          <w:color w:val="0D0D0D" w:themeColor="text1" w:themeTint="F2"/>
                          <w:sz w:val="36"/>
                          <w:szCs w:val="22"/>
                          <w:lang w:val="es-ES_tradnl"/>
                        </w:rPr>
                        <w:t>/</w:t>
                      </w:r>
                      <w:r w:rsidR="007E08B8">
                        <w:rPr>
                          <w:rFonts w:asciiTheme="majorHAnsi" w:hAnsiTheme="majorHAnsi" w:cs="Arial"/>
                          <w:b/>
                          <w:bCs/>
                          <w:color w:val="0D0D0D" w:themeColor="text1" w:themeTint="F2"/>
                          <w:sz w:val="36"/>
                          <w:szCs w:val="22"/>
                          <w:lang w:val="es-ES_tradnl"/>
                        </w:rPr>
                        <w:t>20</w:t>
                      </w:r>
                    </w:p>
                    <w:p w14:paraId="09C54AB3" w14:textId="3F2E1A2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22EA3">
                        <w:rPr>
                          <w:rFonts w:asciiTheme="majorHAnsi" w:hAnsiTheme="majorHAnsi" w:cs="Arial"/>
                          <w:b/>
                          <w:color w:val="0D0D0D" w:themeColor="text1" w:themeTint="F2"/>
                          <w:sz w:val="36"/>
                          <w:szCs w:val="22"/>
                          <w:lang w:val="es-ES_tradnl"/>
                        </w:rPr>
                        <w:t>732-10</w:t>
                      </w:r>
                    </w:p>
                    <w:p w14:paraId="70CF6833" w14:textId="72B9CC8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B02D7E">
                        <w:rPr>
                          <w:rFonts w:asciiTheme="majorHAnsi" w:hAnsiTheme="majorHAnsi" w:cs="Arial"/>
                          <w:color w:val="0D0D0D" w:themeColor="text1" w:themeTint="F2"/>
                          <w:szCs w:val="22"/>
                          <w:lang w:val="es-ES_tradnl"/>
                        </w:rPr>
                        <w:t>INFORME DE ADMISIBILIDAD</w:t>
                      </w:r>
                      <w:r w:rsidR="008F1912" w:rsidRPr="00B02D7E">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FFA8B42" w:rsidR="005B52B0" w:rsidRPr="0010736F" w:rsidRDefault="00222EA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PATRICIA JACQUELINE FLORES VELASQUEZ</w:t>
                      </w:r>
                      <w:r w:rsidR="00174A5F">
                        <w:rPr>
                          <w:rFonts w:asciiTheme="majorHAnsi" w:hAnsiTheme="majorHAnsi" w:cs="Arial"/>
                          <w:color w:val="0D0D0D" w:themeColor="text1" w:themeTint="F2"/>
                          <w:szCs w:val="22"/>
                          <w:lang w:val="es-ES_tradnl"/>
                        </w:rPr>
                        <w:t xml:space="preserve"> </w:t>
                      </w:r>
                      <w:r w:rsidR="00E73091">
                        <w:rPr>
                          <w:rFonts w:asciiTheme="majorHAnsi" w:hAnsiTheme="majorHAnsi" w:cs="Arial"/>
                          <w:color w:val="0D0D0D" w:themeColor="text1" w:themeTint="F2"/>
                          <w:szCs w:val="22"/>
                          <w:lang w:val="es-ES_tradnl"/>
                        </w:rPr>
                        <w:t>Y FAMILIA</w:t>
                      </w:r>
                    </w:p>
                    <w:bookmarkEnd w:id="1"/>
                    <w:p w14:paraId="35068D0D" w14:textId="68F47E53" w:rsidR="005B52B0" w:rsidRPr="0010736F" w:rsidRDefault="00222EA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3551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0277AF8" w:rsidR="00627C9F" w:rsidRPr="00E73091" w:rsidRDefault="007E08B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5646006" w:rsidR="00627C9F" w:rsidRPr="00E73091" w:rsidRDefault="007E08B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240</w:t>
                            </w:r>
                          </w:p>
                          <w:p w14:paraId="69373ED2" w14:textId="195001F5" w:rsidR="00627C9F" w:rsidRPr="001B4C00" w:rsidRDefault="007E08B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 septiembre</w:t>
                            </w:r>
                            <w:r w:rsidR="007B05C4" w:rsidRPr="001B4C00">
                              <w:rPr>
                                <w:rFonts w:asciiTheme="minorHAnsi" w:hAnsiTheme="minorHAnsi"/>
                                <w:color w:val="FFFFFF" w:themeColor="background1"/>
                                <w:sz w:val="22"/>
                                <w:lang w:val="es-ES"/>
                              </w:rPr>
                              <w:t xml:space="preserve"> </w:t>
                            </w:r>
                            <w:r w:rsidR="00627C9F" w:rsidRPr="001B4C00">
                              <w:rPr>
                                <w:rFonts w:asciiTheme="minorHAnsi" w:hAnsiTheme="minorHAnsi"/>
                                <w:color w:val="FFFFFF" w:themeColor="background1"/>
                                <w:sz w:val="22"/>
                                <w:lang w:val="es-ES"/>
                              </w:rPr>
                              <w:t>20</w:t>
                            </w:r>
                            <w:r>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0277AF8" w:rsidR="00627C9F" w:rsidRPr="00E73091" w:rsidRDefault="007E08B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5646006" w:rsidR="00627C9F" w:rsidRPr="00E73091" w:rsidRDefault="007E08B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240</w:t>
                      </w:r>
                    </w:p>
                    <w:p w14:paraId="69373ED2" w14:textId="195001F5" w:rsidR="00627C9F" w:rsidRPr="001B4C00" w:rsidRDefault="007E08B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 septiembre</w:t>
                      </w:r>
                      <w:r w:rsidR="007B05C4" w:rsidRPr="001B4C00">
                        <w:rPr>
                          <w:rFonts w:asciiTheme="minorHAnsi" w:hAnsiTheme="minorHAnsi"/>
                          <w:color w:val="FFFFFF" w:themeColor="background1"/>
                          <w:sz w:val="22"/>
                          <w:lang w:val="es-ES"/>
                        </w:rPr>
                        <w:t xml:space="preserve"> </w:t>
                      </w:r>
                      <w:r w:rsidR="00627C9F" w:rsidRPr="001B4C00">
                        <w:rPr>
                          <w:rFonts w:asciiTheme="minorHAnsi" w:hAnsiTheme="minorHAnsi"/>
                          <w:color w:val="FFFFFF" w:themeColor="background1"/>
                          <w:sz w:val="22"/>
                          <w:lang w:val="es-ES"/>
                        </w:rPr>
                        <w:t>20</w:t>
                      </w:r>
                      <w:r>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93551E"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93551E"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93551E"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93551E"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93551E"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93551E"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93551E"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93551E"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93551E"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93551E"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93551E"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93551E"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93551E"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93551E"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93551E"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93551E"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93551E"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93551E"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93551E"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93551E"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93551E"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93551E"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93551E"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93551E"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93551E"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93551E"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93551E"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93551E"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93551E" w:rsidRDefault="0090270B" w:rsidP="00040C3A">
      <w:pPr>
        <w:tabs>
          <w:tab w:val="center" w:pos="5400"/>
        </w:tabs>
        <w:suppressAutoHyphens/>
        <w:jc w:val="center"/>
        <w:rPr>
          <w:rFonts w:asciiTheme="majorHAnsi" w:hAnsiTheme="majorHAnsi"/>
          <w:sz w:val="18"/>
          <w:szCs w:val="22"/>
          <w:lang w:val="es-ES"/>
        </w:rPr>
      </w:pPr>
      <w:r w:rsidRPr="0093551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F90976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E08B8">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7E08B8">
                              <w:rPr>
                                <w:rFonts w:asciiTheme="majorHAnsi" w:hAnsiTheme="majorHAnsi"/>
                                <w:color w:val="0D0D0D" w:themeColor="text1" w:themeTint="F2"/>
                                <w:sz w:val="18"/>
                                <w:szCs w:val="22"/>
                                <w:lang w:val="es-ES"/>
                              </w:rPr>
                              <w:t xml:space="preserve">septiembre </w:t>
                            </w:r>
                            <w:r w:rsidRPr="00890650">
                              <w:rPr>
                                <w:rFonts w:asciiTheme="majorHAnsi" w:hAnsiTheme="majorHAnsi"/>
                                <w:color w:val="0D0D0D" w:themeColor="text1" w:themeTint="F2"/>
                                <w:sz w:val="18"/>
                                <w:szCs w:val="22"/>
                                <w:lang w:val="es-ES"/>
                              </w:rPr>
                              <w:t>de 20</w:t>
                            </w:r>
                            <w:r w:rsidR="007E08B8">
                              <w:rPr>
                                <w:rFonts w:asciiTheme="majorHAnsi" w:hAnsiTheme="majorHAnsi"/>
                                <w:color w:val="0D0D0D" w:themeColor="text1" w:themeTint="F2"/>
                                <w:sz w:val="18"/>
                                <w:szCs w:val="22"/>
                                <w:lang w:val="es-ES"/>
                              </w:rPr>
                              <w:t>20</w:t>
                            </w:r>
                            <w:r w:rsidR="006519A2">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F90976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E08B8">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7E08B8">
                        <w:rPr>
                          <w:rFonts w:asciiTheme="majorHAnsi" w:hAnsiTheme="majorHAnsi"/>
                          <w:color w:val="0D0D0D" w:themeColor="text1" w:themeTint="F2"/>
                          <w:sz w:val="18"/>
                          <w:szCs w:val="22"/>
                          <w:lang w:val="es-ES"/>
                        </w:rPr>
                        <w:t xml:space="preserve">septiembre </w:t>
                      </w:r>
                      <w:r w:rsidRPr="00890650">
                        <w:rPr>
                          <w:rFonts w:asciiTheme="majorHAnsi" w:hAnsiTheme="majorHAnsi"/>
                          <w:color w:val="0D0D0D" w:themeColor="text1" w:themeTint="F2"/>
                          <w:sz w:val="18"/>
                          <w:szCs w:val="22"/>
                          <w:lang w:val="es-ES"/>
                        </w:rPr>
                        <w:t>de 20</w:t>
                      </w:r>
                      <w:r w:rsidR="007E08B8">
                        <w:rPr>
                          <w:rFonts w:asciiTheme="majorHAnsi" w:hAnsiTheme="majorHAnsi"/>
                          <w:color w:val="0D0D0D" w:themeColor="text1" w:themeTint="F2"/>
                          <w:sz w:val="18"/>
                          <w:szCs w:val="22"/>
                          <w:lang w:val="es-ES"/>
                        </w:rPr>
                        <w:t>20</w:t>
                      </w:r>
                      <w:r w:rsidR="006519A2">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3551E"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93551E"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93551E"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93551E"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93551E" w:rsidRDefault="0090270B" w:rsidP="00040C3A">
      <w:pPr>
        <w:tabs>
          <w:tab w:val="center" w:pos="5400"/>
        </w:tabs>
        <w:suppressAutoHyphens/>
        <w:jc w:val="center"/>
        <w:rPr>
          <w:rFonts w:asciiTheme="majorHAnsi" w:hAnsiTheme="majorHAnsi"/>
          <w:sz w:val="18"/>
          <w:szCs w:val="22"/>
          <w:lang w:val="es-ES"/>
        </w:rPr>
      </w:pPr>
      <w:r w:rsidRPr="0093551E">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134B81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E08B8" w:rsidRPr="007E08B8">
                              <w:rPr>
                                <w:rFonts w:asciiTheme="majorHAnsi" w:hAnsiTheme="majorHAnsi"/>
                                <w:color w:val="595959" w:themeColor="text1" w:themeTint="A6"/>
                                <w:sz w:val="18"/>
                                <w:szCs w:val="18"/>
                                <w:lang w:val="pt-BR"/>
                              </w:rPr>
                              <w:t>225</w:t>
                            </w:r>
                            <w:r w:rsidR="007B05C4" w:rsidRPr="007E08B8">
                              <w:rPr>
                                <w:rFonts w:asciiTheme="majorHAnsi" w:hAnsiTheme="majorHAnsi"/>
                                <w:color w:val="595959" w:themeColor="text1" w:themeTint="A6"/>
                                <w:sz w:val="18"/>
                                <w:szCs w:val="18"/>
                                <w:lang w:val="pt-BR"/>
                              </w:rPr>
                              <w:t>/</w:t>
                            </w:r>
                            <w:r w:rsidR="007E08B8" w:rsidRPr="007E08B8">
                              <w:rPr>
                                <w:rFonts w:asciiTheme="majorHAnsi" w:hAnsiTheme="majorHAnsi"/>
                                <w:color w:val="595959" w:themeColor="text1" w:themeTint="A6"/>
                                <w:sz w:val="18"/>
                                <w:szCs w:val="18"/>
                                <w:lang w:val="pt-BR"/>
                              </w:rPr>
                              <w:t xml:space="preserve">20. </w:t>
                            </w:r>
                            <w:r w:rsidRPr="00890650">
                              <w:rPr>
                                <w:rFonts w:asciiTheme="majorHAnsi" w:hAnsiTheme="majorHAnsi"/>
                                <w:color w:val="595959" w:themeColor="text1" w:themeTint="A6"/>
                                <w:sz w:val="18"/>
                                <w:szCs w:val="18"/>
                                <w:lang w:val="es-ES_tradnl"/>
                              </w:rPr>
                              <w:t xml:space="preserve">Admisibilidad. </w:t>
                            </w:r>
                            <w:r w:rsidR="007E08B8">
                              <w:rPr>
                                <w:rFonts w:asciiTheme="majorHAnsi" w:hAnsiTheme="majorHAnsi"/>
                                <w:color w:val="595959" w:themeColor="text1" w:themeTint="A6"/>
                                <w:sz w:val="18"/>
                                <w:szCs w:val="18"/>
                                <w:lang w:val="es-ES_tradnl"/>
                              </w:rPr>
                              <w:t xml:space="preserve">Patricia Jacqueline Flores </w:t>
                            </w:r>
                            <w:r w:rsidR="006519A2">
                              <w:rPr>
                                <w:rFonts w:asciiTheme="majorHAnsi" w:hAnsiTheme="majorHAnsi"/>
                                <w:color w:val="595959" w:themeColor="text1" w:themeTint="A6"/>
                                <w:sz w:val="18"/>
                                <w:szCs w:val="18"/>
                                <w:lang w:val="es-ES_tradnl"/>
                              </w:rPr>
                              <w:t>Velá</w:t>
                            </w:r>
                            <w:r w:rsidR="007E08B8">
                              <w:rPr>
                                <w:rFonts w:asciiTheme="majorHAnsi" w:hAnsiTheme="majorHAnsi"/>
                                <w:color w:val="595959" w:themeColor="text1" w:themeTint="A6"/>
                                <w:sz w:val="18"/>
                                <w:szCs w:val="18"/>
                                <w:lang w:val="es-ES_tradnl"/>
                              </w:rPr>
                              <w:t>squez y familia</w:t>
                            </w:r>
                            <w:r w:rsidRPr="00890650">
                              <w:rPr>
                                <w:rFonts w:asciiTheme="majorHAnsi" w:hAnsiTheme="majorHAnsi"/>
                                <w:color w:val="595959" w:themeColor="text1" w:themeTint="A6"/>
                                <w:sz w:val="18"/>
                                <w:szCs w:val="18"/>
                                <w:lang w:val="es-ES_tradnl"/>
                              </w:rPr>
                              <w:t xml:space="preserve">. </w:t>
                            </w:r>
                            <w:r w:rsidR="007E08B8">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7E08B8">
                              <w:rPr>
                                <w:rFonts w:asciiTheme="majorHAnsi" w:hAnsiTheme="majorHAnsi"/>
                                <w:color w:val="595959" w:themeColor="text1" w:themeTint="A6"/>
                                <w:sz w:val="18"/>
                                <w:szCs w:val="18"/>
                                <w:lang w:val="es-ES"/>
                              </w:rPr>
                              <w:t>6 de septiembre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134B81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E08B8" w:rsidRPr="007E08B8">
                        <w:rPr>
                          <w:rFonts w:asciiTheme="majorHAnsi" w:hAnsiTheme="majorHAnsi"/>
                          <w:color w:val="595959" w:themeColor="text1" w:themeTint="A6"/>
                          <w:sz w:val="18"/>
                          <w:szCs w:val="18"/>
                          <w:lang w:val="pt-BR"/>
                        </w:rPr>
                        <w:t>225</w:t>
                      </w:r>
                      <w:r w:rsidR="007B05C4" w:rsidRPr="007E08B8">
                        <w:rPr>
                          <w:rFonts w:asciiTheme="majorHAnsi" w:hAnsiTheme="majorHAnsi"/>
                          <w:color w:val="595959" w:themeColor="text1" w:themeTint="A6"/>
                          <w:sz w:val="18"/>
                          <w:szCs w:val="18"/>
                          <w:lang w:val="pt-BR"/>
                        </w:rPr>
                        <w:t>/</w:t>
                      </w:r>
                      <w:r w:rsidR="007E08B8" w:rsidRPr="007E08B8">
                        <w:rPr>
                          <w:rFonts w:asciiTheme="majorHAnsi" w:hAnsiTheme="majorHAnsi"/>
                          <w:color w:val="595959" w:themeColor="text1" w:themeTint="A6"/>
                          <w:sz w:val="18"/>
                          <w:szCs w:val="18"/>
                          <w:lang w:val="pt-BR"/>
                        </w:rPr>
                        <w:t xml:space="preserve">20. </w:t>
                      </w:r>
                      <w:r w:rsidRPr="00890650">
                        <w:rPr>
                          <w:rFonts w:asciiTheme="majorHAnsi" w:hAnsiTheme="majorHAnsi"/>
                          <w:color w:val="595959" w:themeColor="text1" w:themeTint="A6"/>
                          <w:sz w:val="18"/>
                          <w:szCs w:val="18"/>
                          <w:lang w:val="es-ES_tradnl"/>
                        </w:rPr>
                        <w:t xml:space="preserve">Admisibilidad. </w:t>
                      </w:r>
                      <w:r w:rsidR="007E08B8">
                        <w:rPr>
                          <w:rFonts w:asciiTheme="majorHAnsi" w:hAnsiTheme="majorHAnsi"/>
                          <w:color w:val="595959" w:themeColor="text1" w:themeTint="A6"/>
                          <w:sz w:val="18"/>
                          <w:szCs w:val="18"/>
                          <w:lang w:val="es-ES_tradnl"/>
                        </w:rPr>
                        <w:t xml:space="preserve">Patricia Jacqueline Flores </w:t>
                      </w:r>
                      <w:r w:rsidR="006519A2">
                        <w:rPr>
                          <w:rFonts w:asciiTheme="majorHAnsi" w:hAnsiTheme="majorHAnsi"/>
                          <w:color w:val="595959" w:themeColor="text1" w:themeTint="A6"/>
                          <w:sz w:val="18"/>
                          <w:szCs w:val="18"/>
                          <w:lang w:val="es-ES_tradnl"/>
                        </w:rPr>
                        <w:t>Velá</w:t>
                      </w:r>
                      <w:r w:rsidR="007E08B8">
                        <w:rPr>
                          <w:rFonts w:asciiTheme="majorHAnsi" w:hAnsiTheme="majorHAnsi"/>
                          <w:color w:val="595959" w:themeColor="text1" w:themeTint="A6"/>
                          <w:sz w:val="18"/>
                          <w:szCs w:val="18"/>
                          <w:lang w:val="es-ES_tradnl"/>
                        </w:rPr>
                        <w:t>squez y familia</w:t>
                      </w:r>
                      <w:r w:rsidRPr="00890650">
                        <w:rPr>
                          <w:rFonts w:asciiTheme="majorHAnsi" w:hAnsiTheme="majorHAnsi"/>
                          <w:color w:val="595959" w:themeColor="text1" w:themeTint="A6"/>
                          <w:sz w:val="18"/>
                          <w:szCs w:val="18"/>
                          <w:lang w:val="es-ES_tradnl"/>
                        </w:rPr>
                        <w:t xml:space="preserve">. </w:t>
                      </w:r>
                      <w:r w:rsidR="007E08B8">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7E08B8">
                        <w:rPr>
                          <w:rFonts w:asciiTheme="majorHAnsi" w:hAnsiTheme="majorHAnsi"/>
                          <w:color w:val="595959" w:themeColor="text1" w:themeTint="A6"/>
                          <w:sz w:val="18"/>
                          <w:szCs w:val="18"/>
                          <w:lang w:val="es-ES"/>
                        </w:rPr>
                        <w:t>6 de septiembre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3551E"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93551E" w:rsidRDefault="00D306D1" w:rsidP="005516A1">
      <w:pPr>
        <w:tabs>
          <w:tab w:val="center" w:pos="5400"/>
        </w:tabs>
        <w:suppressAutoHyphens/>
        <w:jc w:val="center"/>
        <w:rPr>
          <w:rFonts w:asciiTheme="majorHAnsi" w:hAnsiTheme="majorHAnsi"/>
          <w:b/>
          <w:sz w:val="20"/>
          <w:lang w:val="es-ES"/>
        </w:rPr>
      </w:pPr>
      <w:r w:rsidRPr="0093551E">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A5591DC">
                                  <wp:extent cx="1834242" cy="471858"/>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53904" cy="4769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A5591DC">
                            <wp:extent cx="1834242" cy="471858"/>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53904" cy="476916"/>
                                    </a:xfrm>
                                    <a:prstGeom prst="rect">
                                      <a:avLst/>
                                    </a:prstGeom>
                                    <a:noFill/>
                                    <a:ln>
                                      <a:noFill/>
                                    </a:ln>
                                  </pic:spPr>
                                </pic:pic>
                              </a:graphicData>
                            </a:graphic>
                          </wp:inline>
                        </w:drawing>
                      </w:r>
                    </w:p>
                  </w:txbxContent>
                </v:textbox>
              </v:shape>
            </w:pict>
          </mc:Fallback>
        </mc:AlternateContent>
      </w:r>
      <w:r w:rsidRPr="0093551E">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93551E" w:rsidRDefault="004A6A54" w:rsidP="005516A1">
      <w:pPr>
        <w:tabs>
          <w:tab w:val="center" w:pos="5400"/>
        </w:tabs>
        <w:suppressAutoHyphens/>
        <w:jc w:val="center"/>
        <w:rPr>
          <w:rFonts w:asciiTheme="majorHAnsi" w:hAnsiTheme="majorHAnsi"/>
          <w:b/>
          <w:sz w:val="20"/>
          <w:lang w:val="es-ES"/>
        </w:rPr>
        <w:sectPr w:rsidR="0070697F" w:rsidRPr="0093551E"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93551E">
        <w:rPr>
          <w:rFonts w:asciiTheme="majorHAnsi" w:hAnsiTheme="majorHAnsi"/>
          <w:b/>
          <w:sz w:val="20"/>
          <w:lang w:val="es-ES"/>
        </w:rPr>
        <w:tab/>
      </w:r>
    </w:p>
    <w:p w14:paraId="376DDC8B" w14:textId="77777777" w:rsidR="003239B8" w:rsidRPr="0093551E" w:rsidRDefault="003239B8" w:rsidP="007C402A">
      <w:pPr>
        <w:spacing w:after="120"/>
        <w:ind w:firstLine="720"/>
        <w:jc w:val="both"/>
        <w:rPr>
          <w:rFonts w:asciiTheme="majorHAnsi" w:hAnsiTheme="majorHAnsi"/>
          <w:b/>
          <w:bCs/>
          <w:sz w:val="20"/>
          <w:szCs w:val="20"/>
          <w:lang w:val="es-ES"/>
        </w:rPr>
      </w:pPr>
      <w:r w:rsidRPr="0093551E">
        <w:rPr>
          <w:rFonts w:asciiTheme="majorHAnsi" w:hAnsiTheme="majorHAnsi"/>
          <w:b/>
          <w:bCs/>
          <w:sz w:val="20"/>
          <w:szCs w:val="20"/>
          <w:lang w:val="es-ES"/>
        </w:rPr>
        <w:lastRenderedPageBreak/>
        <w:t>I.</w:t>
      </w:r>
      <w:r w:rsidRPr="0093551E">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6519A2"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93551E" w:rsidRDefault="00D77503" w:rsidP="008D2290">
            <w:pPr>
              <w:jc w:val="center"/>
              <w:rPr>
                <w:rFonts w:asciiTheme="majorHAnsi" w:hAnsiTheme="majorHAnsi"/>
                <w:bCs/>
                <w:color w:val="FFFFFF" w:themeColor="background1"/>
                <w:sz w:val="19"/>
                <w:szCs w:val="19"/>
                <w:lang w:val="es-ES"/>
              </w:rPr>
            </w:pPr>
            <w:r w:rsidRPr="0093551E">
              <w:rPr>
                <w:rFonts w:asciiTheme="majorHAnsi" w:hAnsiTheme="majorHAnsi"/>
                <w:bCs/>
                <w:color w:val="FFFFFF" w:themeColor="background1"/>
                <w:sz w:val="19"/>
                <w:szCs w:val="19"/>
                <w:lang w:val="es-ES"/>
              </w:rPr>
              <w:t>Parte peticionaria</w:t>
            </w:r>
          </w:p>
        </w:tc>
        <w:tc>
          <w:tcPr>
            <w:tcW w:w="6570" w:type="dxa"/>
            <w:vAlign w:val="center"/>
          </w:tcPr>
          <w:p w14:paraId="3C5315D8" w14:textId="6B93F59C" w:rsidR="003239B8" w:rsidRPr="0093551E" w:rsidRDefault="00764B60" w:rsidP="00816ED8">
            <w:pPr>
              <w:jc w:val="both"/>
              <w:rPr>
                <w:rFonts w:asciiTheme="majorHAnsi" w:hAnsiTheme="majorHAnsi"/>
                <w:bCs/>
                <w:sz w:val="19"/>
                <w:szCs w:val="19"/>
                <w:lang w:val="es-ES"/>
              </w:rPr>
            </w:pPr>
            <w:r w:rsidRPr="0093551E">
              <w:rPr>
                <w:rFonts w:asciiTheme="majorHAnsi" w:hAnsiTheme="majorHAnsi"/>
                <w:bCs/>
                <w:sz w:val="19"/>
                <w:szCs w:val="19"/>
                <w:lang w:val="es-ES"/>
              </w:rPr>
              <w:t>Martha Velásquez de Flores, Women’s Link Worldwide y la Fundación por la Defensa y Restitución de los Derechos Humanos (FUNDERES)</w:t>
            </w:r>
          </w:p>
        </w:tc>
      </w:tr>
      <w:tr w:rsidR="003239B8" w:rsidRPr="006519A2"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93551E" w:rsidRDefault="002355A9" w:rsidP="008D2290">
            <w:pPr>
              <w:jc w:val="center"/>
              <w:rPr>
                <w:rFonts w:asciiTheme="majorHAnsi" w:hAnsiTheme="majorHAnsi"/>
                <w:bCs/>
                <w:color w:val="FFFFFF" w:themeColor="background1"/>
                <w:sz w:val="19"/>
                <w:szCs w:val="19"/>
                <w:lang w:val="es-ES"/>
              </w:rPr>
            </w:pPr>
            <w:r w:rsidRPr="0093551E">
              <w:rPr>
                <w:rFonts w:asciiTheme="majorHAnsi" w:hAnsiTheme="majorHAnsi"/>
                <w:bCs/>
                <w:color w:val="FFFFFF" w:themeColor="background1"/>
                <w:sz w:val="19"/>
                <w:szCs w:val="19"/>
                <w:lang w:val="es-ES"/>
              </w:rPr>
              <w:t>Presunta víctima</w:t>
            </w:r>
          </w:p>
        </w:tc>
        <w:tc>
          <w:tcPr>
            <w:tcW w:w="6570" w:type="dxa"/>
            <w:vAlign w:val="center"/>
          </w:tcPr>
          <w:p w14:paraId="4AEBF59E" w14:textId="44D35A5E" w:rsidR="003239B8" w:rsidRPr="0093551E" w:rsidRDefault="00764B60" w:rsidP="005B6D22">
            <w:pPr>
              <w:jc w:val="both"/>
              <w:rPr>
                <w:rFonts w:asciiTheme="majorHAnsi" w:hAnsiTheme="majorHAnsi"/>
                <w:bCs/>
                <w:sz w:val="19"/>
                <w:szCs w:val="19"/>
                <w:lang w:val="es-ES"/>
              </w:rPr>
            </w:pPr>
            <w:r w:rsidRPr="0093551E">
              <w:rPr>
                <w:rFonts w:asciiTheme="majorHAnsi" w:hAnsiTheme="majorHAnsi"/>
                <w:bCs/>
                <w:sz w:val="19"/>
                <w:szCs w:val="19"/>
                <w:lang w:val="es-ES"/>
              </w:rPr>
              <w:t xml:space="preserve">Patricia Jacqueline Flores </w:t>
            </w:r>
            <w:r w:rsidRPr="00E73091">
              <w:rPr>
                <w:rFonts w:asciiTheme="majorHAnsi" w:hAnsiTheme="majorHAnsi"/>
                <w:bCs/>
                <w:sz w:val="19"/>
                <w:szCs w:val="19"/>
                <w:lang w:val="es-ES"/>
              </w:rPr>
              <w:t>Velásquez y familia</w:t>
            </w:r>
          </w:p>
        </w:tc>
      </w:tr>
      <w:tr w:rsidR="003239B8" w:rsidRPr="0093551E"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93551E" w:rsidRDefault="00D77503" w:rsidP="008D2290">
            <w:pPr>
              <w:jc w:val="center"/>
              <w:rPr>
                <w:rFonts w:asciiTheme="majorHAnsi" w:hAnsiTheme="majorHAnsi"/>
                <w:bCs/>
                <w:color w:val="FFFFFF" w:themeColor="background1"/>
                <w:sz w:val="19"/>
                <w:szCs w:val="19"/>
                <w:lang w:val="es-ES"/>
              </w:rPr>
            </w:pPr>
            <w:r w:rsidRPr="0093551E">
              <w:rPr>
                <w:rFonts w:asciiTheme="majorHAnsi" w:hAnsiTheme="majorHAnsi"/>
                <w:bCs/>
                <w:color w:val="FFFFFF" w:themeColor="background1"/>
                <w:sz w:val="19"/>
                <w:szCs w:val="19"/>
                <w:lang w:val="es-ES"/>
              </w:rPr>
              <w:t>Estado denunciado</w:t>
            </w:r>
          </w:p>
        </w:tc>
        <w:tc>
          <w:tcPr>
            <w:tcW w:w="6570" w:type="dxa"/>
            <w:vAlign w:val="center"/>
          </w:tcPr>
          <w:p w14:paraId="274C8A50" w14:textId="75CABA95" w:rsidR="003239B8" w:rsidRPr="0093551E" w:rsidRDefault="00764B60" w:rsidP="00816ED8">
            <w:pPr>
              <w:jc w:val="both"/>
              <w:rPr>
                <w:rFonts w:asciiTheme="majorHAnsi" w:hAnsiTheme="majorHAnsi"/>
                <w:bCs/>
                <w:sz w:val="19"/>
                <w:szCs w:val="19"/>
                <w:lang w:val="es-ES"/>
              </w:rPr>
            </w:pPr>
            <w:r w:rsidRPr="0093551E">
              <w:rPr>
                <w:rFonts w:asciiTheme="majorHAnsi" w:hAnsiTheme="majorHAnsi"/>
                <w:bCs/>
                <w:sz w:val="19"/>
                <w:szCs w:val="19"/>
                <w:lang w:val="es-ES"/>
              </w:rPr>
              <w:t>Bolivia</w:t>
            </w:r>
          </w:p>
        </w:tc>
      </w:tr>
      <w:tr w:rsidR="00223A29" w:rsidRPr="006519A2"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93551E" w:rsidRDefault="001B3A00" w:rsidP="00E4118C">
            <w:pPr>
              <w:jc w:val="center"/>
              <w:rPr>
                <w:rFonts w:asciiTheme="majorHAnsi" w:hAnsiTheme="majorHAnsi"/>
                <w:bCs/>
                <w:color w:val="FFFFFF" w:themeColor="background1"/>
                <w:sz w:val="19"/>
                <w:szCs w:val="19"/>
                <w:lang w:val="es-ES"/>
              </w:rPr>
            </w:pPr>
            <w:r w:rsidRPr="0093551E">
              <w:rPr>
                <w:rFonts w:asciiTheme="majorHAnsi" w:hAnsiTheme="majorHAnsi"/>
                <w:bCs/>
                <w:color w:val="FFFFFF" w:themeColor="background1"/>
                <w:sz w:val="19"/>
                <w:szCs w:val="19"/>
                <w:lang w:val="es-ES"/>
              </w:rPr>
              <w:t xml:space="preserve">Derechos </w:t>
            </w:r>
            <w:r w:rsidR="00E4118C" w:rsidRPr="0093551E">
              <w:rPr>
                <w:rFonts w:asciiTheme="majorHAnsi" w:hAnsiTheme="majorHAnsi"/>
                <w:bCs/>
                <w:color w:val="FFFFFF" w:themeColor="background1"/>
                <w:sz w:val="19"/>
                <w:szCs w:val="19"/>
                <w:lang w:val="es-ES"/>
              </w:rPr>
              <w:t>invocados</w:t>
            </w:r>
          </w:p>
        </w:tc>
        <w:tc>
          <w:tcPr>
            <w:tcW w:w="6570" w:type="dxa"/>
            <w:vAlign w:val="center"/>
          </w:tcPr>
          <w:p w14:paraId="6DEE1EEB" w14:textId="0FE55F04" w:rsidR="00223A29" w:rsidRPr="0093551E" w:rsidRDefault="00764B60" w:rsidP="00761066">
            <w:pPr>
              <w:jc w:val="both"/>
              <w:rPr>
                <w:rFonts w:asciiTheme="majorHAnsi" w:hAnsiTheme="majorHAnsi"/>
                <w:bCs/>
                <w:sz w:val="19"/>
                <w:szCs w:val="19"/>
                <w:lang w:val="es-ES"/>
              </w:rPr>
            </w:pPr>
            <w:r w:rsidRPr="0093551E">
              <w:rPr>
                <w:rFonts w:asciiTheme="majorHAnsi" w:hAnsiTheme="majorHAnsi"/>
                <w:bCs/>
                <w:sz w:val="19"/>
                <w:szCs w:val="19"/>
                <w:lang w:val="es-ES"/>
              </w:rPr>
              <w:t xml:space="preserve">Artículos 4 (vida), </w:t>
            </w:r>
            <w:r w:rsidR="00195BAB" w:rsidRPr="0093551E">
              <w:rPr>
                <w:rFonts w:asciiTheme="majorHAnsi" w:hAnsiTheme="majorHAnsi"/>
                <w:bCs/>
                <w:sz w:val="19"/>
                <w:szCs w:val="19"/>
                <w:lang w:val="es-ES"/>
              </w:rPr>
              <w:t xml:space="preserve">5 (integridad personal), 8 (garantías judiciales), 19 (del niño), 25 (protección judicial) </w:t>
            </w:r>
            <w:r w:rsidR="00761066" w:rsidRPr="0093551E">
              <w:rPr>
                <w:rFonts w:asciiTheme="majorHAnsi" w:hAnsiTheme="majorHAnsi"/>
                <w:bCs/>
                <w:sz w:val="19"/>
                <w:szCs w:val="19"/>
                <w:lang w:val="es-ES"/>
              </w:rPr>
              <w:t>de la Convención Americana sobre Derechos Humanos</w:t>
            </w:r>
            <w:r w:rsidR="00761066" w:rsidRPr="0093551E">
              <w:rPr>
                <w:rFonts w:asciiTheme="majorHAnsi" w:hAnsiTheme="majorHAnsi"/>
                <w:bCs/>
                <w:sz w:val="19"/>
                <w:szCs w:val="19"/>
                <w:vertAlign w:val="superscript"/>
                <w:lang w:val="es-ES"/>
              </w:rPr>
              <w:footnoteReference w:id="2"/>
            </w:r>
            <w:r w:rsidR="00761066">
              <w:rPr>
                <w:rFonts w:asciiTheme="majorHAnsi" w:hAnsiTheme="majorHAnsi"/>
                <w:bCs/>
                <w:sz w:val="19"/>
                <w:szCs w:val="19"/>
                <w:lang w:val="es-ES"/>
              </w:rPr>
              <w:t xml:space="preserve">, </w:t>
            </w:r>
            <w:r w:rsidR="00195BAB" w:rsidRPr="0093551E">
              <w:rPr>
                <w:rFonts w:asciiTheme="majorHAnsi" w:hAnsiTheme="majorHAnsi"/>
                <w:bCs/>
                <w:sz w:val="19"/>
                <w:szCs w:val="19"/>
                <w:lang w:val="es-ES"/>
              </w:rPr>
              <w:t xml:space="preserve">en relación con sus artículos 1.1 (obligación de respetar los derechos) y 2 </w:t>
            </w:r>
            <w:r w:rsidR="00195BAB" w:rsidRPr="0093551E">
              <w:rPr>
                <w:rFonts w:asciiTheme="majorHAnsi" w:hAnsiTheme="majorHAnsi"/>
                <w:b/>
                <w:bCs/>
                <w:sz w:val="19"/>
                <w:szCs w:val="19"/>
                <w:lang w:val="es-ES"/>
              </w:rPr>
              <w:t> (</w:t>
            </w:r>
            <w:r w:rsidR="00195BAB" w:rsidRPr="0093551E">
              <w:rPr>
                <w:rFonts w:asciiTheme="majorHAnsi" w:hAnsiTheme="majorHAnsi"/>
                <w:bCs/>
                <w:sz w:val="19"/>
                <w:szCs w:val="19"/>
                <w:lang w:val="es-ES"/>
              </w:rPr>
              <w:t>Deber de Adoptar Disposiciones de Derecho Interno);</w:t>
            </w:r>
            <w:r w:rsidR="007C0345" w:rsidRPr="0093551E">
              <w:rPr>
                <w:rFonts w:asciiTheme="majorHAnsi" w:hAnsiTheme="majorHAnsi"/>
                <w:bCs/>
                <w:sz w:val="19"/>
                <w:szCs w:val="19"/>
                <w:lang w:val="es-ES"/>
              </w:rPr>
              <w:t xml:space="preserve"> y artículo 7 en relación con el artículo 12 de la Convención Interamericana para Prevenir, Sancionar y Erradicar la Violencia Contra la Mujer.</w:t>
            </w:r>
            <w:r w:rsidR="007C0345" w:rsidRPr="0093551E">
              <w:rPr>
                <w:rStyle w:val="FootnoteReference"/>
                <w:rFonts w:asciiTheme="majorHAnsi" w:hAnsiTheme="majorHAnsi"/>
                <w:bCs/>
                <w:sz w:val="19"/>
                <w:szCs w:val="19"/>
                <w:lang w:val="es-ES"/>
              </w:rPr>
              <w:footnoteReference w:id="3"/>
            </w:r>
          </w:p>
        </w:tc>
      </w:tr>
    </w:tbl>
    <w:p w14:paraId="20263696" w14:textId="77777777" w:rsidR="003239B8" w:rsidRPr="0093551E" w:rsidRDefault="003239B8" w:rsidP="007C402A">
      <w:pPr>
        <w:spacing w:before="120" w:after="120"/>
        <w:ind w:firstLine="720"/>
        <w:jc w:val="both"/>
        <w:rPr>
          <w:rFonts w:asciiTheme="majorHAnsi" w:hAnsiTheme="majorHAnsi"/>
          <w:b/>
          <w:bCs/>
          <w:sz w:val="20"/>
          <w:szCs w:val="20"/>
          <w:lang w:val="es-ES"/>
        </w:rPr>
      </w:pPr>
      <w:r w:rsidRPr="0093551E">
        <w:rPr>
          <w:rFonts w:asciiTheme="majorHAnsi" w:hAnsiTheme="majorHAnsi"/>
          <w:b/>
          <w:bCs/>
          <w:sz w:val="20"/>
          <w:szCs w:val="20"/>
          <w:lang w:val="es-ES"/>
        </w:rPr>
        <w:t>II.</w:t>
      </w:r>
      <w:r w:rsidRPr="0093551E">
        <w:rPr>
          <w:rFonts w:asciiTheme="majorHAnsi" w:hAnsiTheme="majorHAnsi"/>
          <w:b/>
          <w:bCs/>
          <w:sz w:val="20"/>
          <w:szCs w:val="20"/>
          <w:lang w:val="es-ES"/>
        </w:rPr>
        <w:tab/>
        <w:t>TRÁMITE ANTE LA CIDH</w:t>
      </w:r>
      <w:r w:rsidR="008E3BFE" w:rsidRPr="0093551E">
        <w:rPr>
          <w:rStyle w:val="FootnoteReference"/>
          <w:rFonts w:asciiTheme="majorHAnsi" w:hAnsiTheme="majorHAnsi"/>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93551E"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93551E" w:rsidRDefault="000C1C69" w:rsidP="004A6A54">
            <w:pPr>
              <w:jc w:val="center"/>
              <w:rPr>
                <w:rFonts w:asciiTheme="majorHAnsi" w:hAnsiTheme="majorHAnsi"/>
                <w:bCs/>
                <w:color w:val="FFFFFF" w:themeColor="background1"/>
                <w:sz w:val="19"/>
                <w:szCs w:val="19"/>
                <w:lang w:val="es-ES"/>
              </w:rPr>
            </w:pPr>
            <w:r w:rsidRPr="0093551E">
              <w:rPr>
                <w:rFonts w:asciiTheme="majorHAnsi" w:hAnsiTheme="majorHAnsi"/>
                <w:bCs/>
                <w:color w:val="FFFFFF" w:themeColor="background1"/>
                <w:sz w:val="19"/>
                <w:szCs w:val="19"/>
                <w:lang w:val="es-ES"/>
              </w:rPr>
              <w:t>Recepción</w:t>
            </w:r>
            <w:r w:rsidR="00D77503" w:rsidRPr="0093551E">
              <w:rPr>
                <w:rFonts w:asciiTheme="majorHAnsi" w:hAnsiTheme="majorHAnsi"/>
                <w:bCs/>
                <w:color w:val="FFFFFF" w:themeColor="background1"/>
                <w:sz w:val="19"/>
                <w:szCs w:val="19"/>
                <w:lang w:val="es-ES"/>
              </w:rPr>
              <w:t xml:space="preserve"> de la petición</w:t>
            </w:r>
          </w:p>
        </w:tc>
        <w:tc>
          <w:tcPr>
            <w:tcW w:w="6570" w:type="dxa"/>
            <w:vAlign w:val="center"/>
          </w:tcPr>
          <w:p w14:paraId="6E579153" w14:textId="099962FB" w:rsidR="004C2312" w:rsidRPr="0093551E" w:rsidRDefault="007C0345" w:rsidP="002625EA">
            <w:pPr>
              <w:jc w:val="both"/>
              <w:rPr>
                <w:rFonts w:asciiTheme="majorHAnsi" w:hAnsiTheme="majorHAnsi"/>
                <w:bCs/>
                <w:sz w:val="19"/>
                <w:szCs w:val="19"/>
                <w:lang w:val="es-ES"/>
              </w:rPr>
            </w:pPr>
            <w:r w:rsidRPr="0093551E">
              <w:rPr>
                <w:rFonts w:asciiTheme="majorHAnsi" w:hAnsiTheme="majorHAnsi"/>
                <w:bCs/>
                <w:sz w:val="19"/>
                <w:szCs w:val="19"/>
                <w:lang w:val="es-ES"/>
              </w:rPr>
              <w:t>17 de mayo de 2010</w:t>
            </w:r>
          </w:p>
        </w:tc>
      </w:tr>
      <w:tr w:rsidR="006E772A" w:rsidRPr="006519A2"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93551E" w:rsidRDefault="006E772A" w:rsidP="004A6A54">
            <w:pPr>
              <w:jc w:val="center"/>
              <w:rPr>
                <w:rFonts w:asciiTheme="majorHAnsi" w:hAnsiTheme="majorHAnsi"/>
                <w:bCs/>
                <w:color w:val="FFFFFF" w:themeColor="background1"/>
                <w:sz w:val="19"/>
                <w:szCs w:val="19"/>
                <w:lang w:val="es-ES"/>
              </w:rPr>
            </w:pPr>
            <w:r w:rsidRPr="0093551E">
              <w:rPr>
                <w:rFonts w:asciiTheme="majorHAnsi" w:hAnsiTheme="majorHAnsi"/>
                <w:bCs/>
                <w:color w:val="FFFFFF" w:themeColor="background1"/>
                <w:sz w:val="19"/>
                <w:szCs w:val="19"/>
                <w:lang w:val="es-ES"/>
              </w:rPr>
              <w:t xml:space="preserve">Información adicional </w:t>
            </w:r>
            <w:r w:rsidR="002355A9" w:rsidRPr="0093551E">
              <w:rPr>
                <w:rFonts w:asciiTheme="majorHAnsi" w:hAnsiTheme="majorHAnsi"/>
                <w:bCs/>
                <w:color w:val="FFFFFF" w:themeColor="background1"/>
                <w:sz w:val="19"/>
                <w:szCs w:val="19"/>
                <w:lang w:val="es-ES"/>
              </w:rPr>
              <w:t>recibida en la etapa de estudio</w:t>
            </w:r>
          </w:p>
        </w:tc>
        <w:tc>
          <w:tcPr>
            <w:tcW w:w="6570" w:type="dxa"/>
            <w:vAlign w:val="center"/>
          </w:tcPr>
          <w:p w14:paraId="796669C8" w14:textId="5F64B22A" w:rsidR="006E772A" w:rsidRPr="0093551E" w:rsidRDefault="00007DBF" w:rsidP="00A4761B">
            <w:pPr>
              <w:jc w:val="both"/>
              <w:rPr>
                <w:rFonts w:asciiTheme="majorHAnsi" w:hAnsiTheme="majorHAnsi"/>
                <w:bCs/>
                <w:sz w:val="19"/>
                <w:szCs w:val="19"/>
                <w:lang w:val="es-ES"/>
              </w:rPr>
            </w:pPr>
            <w:r w:rsidRPr="0093551E">
              <w:rPr>
                <w:rFonts w:asciiTheme="majorHAnsi" w:hAnsiTheme="majorHAnsi"/>
                <w:bCs/>
                <w:sz w:val="19"/>
                <w:szCs w:val="19"/>
                <w:lang w:val="es-ES"/>
              </w:rPr>
              <w:t xml:space="preserve">7 de junio de 2010; </w:t>
            </w:r>
            <w:r w:rsidR="00A4761B" w:rsidRPr="0093551E">
              <w:rPr>
                <w:rFonts w:asciiTheme="majorHAnsi" w:hAnsiTheme="majorHAnsi"/>
                <w:bCs/>
                <w:sz w:val="19"/>
                <w:szCs w:val="19"/>
                <w:lang w:val="es-ES"/>
              </w:rPr>
              <w:t xml:space="preserve">24 de mayo de 2012; 19 de junio, </w:t>
            </w:r>
            <w:r w:rsidR="00D473A7" w:rsidRPr="0093551E">
              <w:rPr>
                <w:rFonts w:asciiTheme="majorHAnsi" w:hAnsiTheme="majorHAnsi"/>
                <w:bCs/>
                <w:sz w:val="19"/>
                <w:szCs w:val="19"/>
                <w:lang w:val="es-ES"/>
              </w:rPr>
              <w:t>13 de agosto</w:t>
            </w:r>
            <w:r w:rsidR="00A4761B" w:rsidRPr="0093551E">
              <w:rPr>
                <w:rFonts w:asciiTheme="majorHAnsi" w:hAnsiTheme="majorHAnsi"/>
                <w:bCs/>
                <w:sz w:val="19"/>
                <w:szCs w:val="19"/>
                <w:lang w:val="es-ES"/>
              </w:rPr>
              <w:t xml:space="preserve"> y</w:t>
            </w:r>
            <w:r w:rsidR="00D473A7" w:rsidRPr="0093551E">
              <w:rPr>
                <w:rFonts w:asciiTheme="majorHAnsi" w:hAnsiTheme="majorHAnsi"/>
                <w:bCs/>
                <w:sz w:val="19"/>
                <w:szCs w:val="19"/>
                <w:lang w:val="es-ES"/>
              </w:rPr>
              <w:t xml:space="preserve"> 29 de agosto de 2012</w:t>
            </w:r>
          </w:p>
        </w:tc>
      </w:tr>
      <w:tr w:rsidR="004C2312" w:rsidRPr="0093551E"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93551E" w:rsidRDefault="004A6A54" w:rsidP="000C1C69">
            <w:pPr>
              <w:jc w:val="center"/>
              <w:rPr>
                <w:rFonts w:asciiTheme="majorHAnsi" w:hAnsiTheme="majorHAnsi"/>
                <w:bCs/>
                <w:color w:val="FFFFFF" w:themeColor="background1"/>
                <w:sz w:val="19"/>
                <w:szCs w:val="19"/>
                <w:lang w:val="es-ES"/>
              </w:rPr>
            </w:pPr>
            <w:r w:rsidRPr="0093551E">
              <w:rPr>
                <w:rFonts w:asciiTheme="majorHAnsi" w:hAnsiTheme="majorHAnsi"/>
                <w:color w:val="FFFFFF" w:themeColor="background1"/>
                <w:sz w:val="19"/>
                <w:szCs w:val="19"/>
                <w:lang w:val="es-ES"/>
              </w:rPr>
              <w:t>N</w:t>
            </w:r>
            <w:r w:rsidR="004C2312" w:rsidRPr="0093551E">
              <w:rPr>
                <w:rFonts w:asciiTheme="majorHAnsi" w:hAnsiTheme="majorHAnsi"/>
                <w:color w:val="FFFFFF" w:themeColor="background1"/>
                <w:sz w:val="19"/>
                <w:szCs w:val="19"/>
                <w:lang w:val="es-ES"/>
              </w:rPr>
              <w:t>otificación de la petición</w:t>
            </w:r>
          </w:p>
        </w:tc>
        <w:tc>
          <w:tcPr>
            <w:tcW w:w="6570" w:type="dxa"/>
            <w:vAlign w:val="center"/>
          </w:tcPr>
          <w:p w14:paraId="1519DA6A" w14:textId="5CEDD643" w:rsidR="004C2312" w:rsidRPr="0093551E" w:rsidRDefault="00995A35" w:rsidP="008D2290">
            <w:pPr>
              <w:jc w:val="both"/>
              <w:rPr>
                <w:rFonts w:asciiTheme="majorHAnsi" w:hAnsiTheme="majorHAnsi"/>
                <w:bCs/>
                <w:sz w:val="19"/>
                <w:szCs w:val="19"/>
                <w:lang w:val="es-ES"/>
              </w:rPr>
            </w:pPr>
            <w:r w:rsidRPr="0093551E">
              <w:rPr>
                <w:rFonts w:asciiTheme="majorHAnsi" w:hAnsiTheme="majorHAnsi"/>
                <w:bCs/>
                <w:sz w:val="19"/>
                <w:szCs w:val="19"/>
                <w:lang w:val="es-ES"/>
              </w:rPr>
              <w:t>1 de noviembre de 2012</w:t>
            </w:r>
          </w:p>
        </w:tc>
      </w:tr>
      <w:tr w:rsidR="00F06354" w:rsidRPr="0093551E"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93551E" w:rsidRDefault="00D77503" w:rsidP="00F06354">
            <w:pPr>
              <w:jc w:val="center"/>
              <w:rPr>
                <w:rFonts w:asciiTheme="majorHAnsi" w:hAnsiTheme="majorHAnsi"/>
                <w:bCs/>
                <w:color w:val="FFFFFF" w:themeColor="background1"/>
                <w:sz w:val="19"/>
                <w:szCs w:val="19"/>
                <w:lang w:val="es-ES"/>
              </w:rPr>
            </w:pPr>
            <w:r w:rsidRPr="0093551E">
              <w:rPr>
                <w:rFonts w:asciiTheme="majorHAnsi" w:hAnsiTheme="majorHAnsi"/>
                <w:color w:val="FFFFFF" w:themeColor="background1"/>
                <w:sz w:val="19"/>
                <w:szCs w:val="19"/>
                <w:lang w:val="es-ES"/>
              </w:rPr>
              <w:t>Primera respuesta del Estado</w:t>
            </w:r>
          </w:p>
        </w:tc>
        <w:tc>
          <w:tcPr>
            <w:tcW w:w="6570" w:type="dxa"/>
            <w:vAlign w:val="center"/>
          </w:tcPr>
          <w:p w14:paraId="1972B99E" w14:textId="4756E848" w:rsidR="00F06354" w:rsidRPr="0093551E" w:rsidRDefault="002818A2" w:rsidP="00F06354">
            <w:pPr>
              <w:jc w:val="both"/>
              <w:rPr>
                <w:rFonts w:asciiTheme="majorHAnsi" w:hAnsiTheme="majorHAnsi"/>
                <w:bCs/>
                <w:sz w:val="19"/>
                <w:szCs w:val="19"/>
                <w:lang w:val="es-ES"/>
              </w:rPr>
            </w:pPr>
            <w:r w:rsidRPr="0093551E">
              <w:rPr>
                <w:rFonts w:asciiTheme="majorHAnsi" w:hAnsiTheme="majorHAnsi"/>
                <w:bCs/>
                <w:sz w:val="19"/>
                <w:szCs w:val="19"/>
                <w:lang w:val="es-ES"/>
              </w:rPr>
              <w:t>1 de febrero de 2013</w:t>
            </w:r>
          </w:p>
        </w:tc>
      </w:tr>
      <w:tr w:rsidR="00F06354" w:rsidRPr="00E55186"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93551E" w:rsidRDefault="00F06354" w:rsidP="00F06354">
            <w:pPr>
              <w:jc w:val="center"/>
              <w:rPr>
                <w:rFonts w:asciiTheme="majorHAnsi" w:hAnsiTheme="majorHAnsi"/>
                <w:bCs/>
                <w:color w:val="FFFFFF" w:themeColor="background1"/>
                <w:sz w:val="19"/>
                <w:szCs w:val="19"/>
                <w:lang w:val="es-ES"/>
              </w:rPr>
            </w:pPr>
            <w:r w:rsidRPr="0093551E">
              <w:rPr>
                <w:rFonts w:asciiTheme="majorHAnsi" w:hAnsiTheme="majorHAnsi"/>
                <w:bCs/>
                <w:color w:val="FFFFFF" w:themeColor="background1"/>
                <w:sz w:val="19"/>
                <w:szCs w:val="19"/>
                <w:lang w:val="es-ES"/>
              </w:rPr>
              <w:t>Observaciones adicionales de</w:t>
            </w:r>
            <w:r w:rsidR="00D77503" w:rsidRPr="0093551E">
              <w:rPr>
                <w:rFonts w:asciiTheme="majorHAnsi" w:hAnsiTheme="majorHAnsi"/>
                <w:bCs/>
                <w:color w:val="FFFFFF" w:themeColor="background1"/>
                <w:sz w:val="19"/>
                <w:szCs w:val="19"/>
                <w:lang w:val="es-ES"/>
              </w:rPr>
              <w:t xml:space="preserve"> la parte peticionaria</w:t>
            </w:r>
          </w:p>
        </w:tc>
        <w:tc>
          <w:tcPr>
            <w:tcW w:w="6570" w:type="dxa"/>
            <w:vAlign w:val="center"/>
          </w:tcPr>
          <w:p w14:paraId="41D8B862" w14:textId="10C94502" w:rsidR="00F06354" w:rsidRPr="0093551E" w:rsidRDefault="00224414" w:rsidP="00D77503">
            <w:pPr>
              <w:jc w:val="both"/>
              <w:rPr>
                <w:rFonts w:asciiTheme="majorHAnsi" w:hAnsiTheme="majorHAnsi"/>
                <w:bCs/>
                <w:sz w:val="19"/>
                <w:szCs w:val="19"/>
                <w:lang w:val="es-ES"/>
              </w:rPr>
            </w:pPr>
            <w:r w:rsidRPr="0093551E">
              <w:rPr>
                <w:rFonts w:asciiTheme="majorHAnsi" w:hAnsiTheme="majorHAnsi"/>
                <w:bCs/>
                <w:sz w:val="19"/>
                <w:szCs w:val="19"/>
                <w:lang w:val="es-ES"/>
              </w:rPr>
              <w:t>4 de junio, 19 de junio y 13 de diciembre de 2013; 14 de mayo y 15 de septiembre de 2014</w:t>
            </w:r>
          </w:p>
        </w:tc>
      </w:tr>
      <w:tr w:rsidR="00F06354" w:rsidRPr="00E55186"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93551E" w:rsidRDefault="00F06354" w:rsidP="00F06354">
            <w:pPr>
              <w:jc w:val="center"/>
              <w:rPr>
                <w:rFonts w:asciiTheme="majorHAnsi" w:hAnsiTheme="majorHAnsi"/>
                <w:bCs/>
                <w:color w:val="FFFFFF" w:themeColor="background1"/>
                <w:sz w:val="19"/>
                <w:szCs w:val="19"/>
                <w:lang w:val="es-ES"/>
              </w:rPr>
            </w:pPr>
            <w:r w:rsidRPr="0093551E">
              <w:rPr>
                <w:rFonts w:asciiTheme="majorHAnsi" w:hAnsiTheme="majorHAnsi"/>
                <w:bCs/>
                <w:color w:val="FFFFFF" w:themeColor="background1"/>
                <w:sz w:val="19"/>
                <w:szCs w:val="19"/>
                <w:lang w:val="es-ES"/>
              </w:rPr>
              <w:t>Obser</w:t>
            </w:r>
            <w:r w:rsidR="00D77503" w:rsidRPr="0093551E">
              <w:rPr>
                <w:rFonts w:asciiTheme="majorHAnsi" w:hAnsiTheme="majorHAnsi"/>
                <w:bCs/>
                <w:color w:val="FFFFFF" w:themeColor="background1"/>
                <w:sz w:val="19"/>
                <w:szCs w:val="19"/>
                <w:lang w:val="es-ES"/>
              </w:rPr>
              <w:t>vaciones adicionales del Estado</w:t>
            </w:r>
          </w:p>
        </w:tc>
        <w:tc>
          <w:tcPr>
            <w:tcW w:w="6570" w:type="dxa"/>
            <w:vAlign w:val="center"/>
          </w:tcPr>
          <w:p w14:paraId="3CE49AFE" w14:textId="3187BC44" w:rsidR="00F06354" w:rsidRPr="0093551E" w:rsidRDefault="00620188" w:rsidP="00F06354">
            <w:pPr>
              <w:jc w:val="both"/>
              <w:rPr>
                <w:rFonts w:asciiTheme="majorHAnsi" w:hAnsiTheme="majorHAnsi"/>
                <w:bCs/>
                <w:sz w:val="19"/>
                <w:szCs w:val="19"/>
                <w:lang w:val="es-ES"/>
              </w:rPr>
            </w:pPr>
            <w:r w:rsidRPr="0093551E">
              <w:rPr>
                <w:rFonts w:asciiTheme="majorHAnsi" w:hAnsiTheme="majorHAnsi"/>
                <w:bCs/>
                <w:sz w:val="19"/>
                <w:szCs w:val="19"/>
                <w:lang w:val="es-ES"/>
              </w:rPr>
              <w:t xml:space="preserve">23 de agosto de 2013; 19 de mayo de 2014; 4 </w:t>
            </w:r>
            <w:r w:rsidR="00FA5438" w:rsidRPr="0093551E">
              <w:rPr>
                <w:rFonts w:asciiTheme="majorHAnsi" w:hAnsiTheme="majorHAnsi"/>
                <w:bCs/>
                <w:sz w:val="19"/>
                <w:szCs w:val="19"/>
                <w:lang w:val="es-ES"/>
              </w:rPr>
              <w:t xml:space="preserve">y 15 </w:t>
            </w:r>
            <w:r w:rsidRPr="0093551E">
              <w:rPr>
                <w:rFonts w:asciiTheme="majorHAnsi" w:hAnsiTheme="majorHAnsi"/>
                <w:bCs/>
                <w:sz w:val="19"/>
                <w:szCs w:val="19"/>
                <w:lang w:val="es-ES"/>
              </w:rPr>
              <w:t>de noviembre de 2016</w:t>
            </w:r>
          </w:p>
        </w:tc>
      </w:tr>
    </w:tbl>
    <w:p w14:paraId="21DAA666" w14:textId="5065046E" w:rsidR="003239B8" w:rsidRPr="0093551E" w:rsidRDefault="003239B8" w:rsidP="007C402A">
      <w:pPr>
        <w:spacing w:before="120" w:after="120"/>
        <w:ind w:firstLine="720"/>
        <w:jc w:val="both"/>
        <w:rPr>
          <w:rFonts w:asciiTheme="majorHAnsi" w:hAnsiTheme="majorHAnsi"/>
          <w:b/>
          <w:bCs/>
          <w:sz w:val="20"/>
          <w:szCs w:val="20"/>
          <w:lang w:val="es-ES"/>
        </w:rPr>
      </w:pPr>
      <w:r w:rsidRPr="0093551E">
        <w:rPr>
          <w:rFonts w:asciiTheme="majorHAnsi" w:hAnsiTheme="majorHAnsi"/>
          <w:b/>
          <w:bCs/>
          <w:sz w:val="20"/>
          <w:szCs w:val="20"/>
          <w:lang w:val="es-ES"/>
        </w:rPr>
        <w:t xml:space="preserve">III. </w:t>
      </w:r>
      <w:r w:rsidRPr="0093551E">
        <w:rPr>
          <w:rFonts w:asciiTheme="majorHAnsi" w:hAnsiTheme="majorHAnsi"/>
          <w:b/>
          <w:bCs/>
          <w:sz w:val="20"/>
          <w:szCs w:val="20"/>
          <w:lang w:val="es-ES"/>
        </w:rPr>
        <w:tab/>
        <w:t>COMPETENCIA</w:t>
      </w:r>
      <w:r w:rsidR="00EE00E9" w:rsidRPr="0093551E">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93551E"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93551E" w:rsidRDefault="00D77503" w:rsidP="008D2290">
            <w:pPr>
              <w:jc w:val="center"/>
              <w:rPr>
                <w:rFonts w:asciiTheme="majorHAnsi" w:hAnsiTheme="majorHAnsi"/>
                <w:bCs/>
                <w:i/>
                <w:color w:val="FFFFFF" w:themeColor="background1"/>
                <w:sz w:val="19"/>
                <w:szCs w:val="19"/>
                <w:lang w:val="es-ES"/>
              </w:rPr>
            </w:pPr>
            <w:r w:rsidRPr="0093551E">
              <w:rPr>
                <w:rFonts w:asciiTheme="majorHAnsi" w:hAnsiTheme="majorHAnsi"/>
                <w:bCs/>
                <w:i/>
                <w:color w:val="FFFFFF" w:themeColor="background1"/>
                <w:sz w:val="19"/>
                <w:szCs w:val="19"/>
                <w:lang w:val="es-ES"/>
              </w:rPr>
              <w:t>Ratione personae</w:t>
            </w:r>
          </w:p>
        </w:tc>
        <w:tc>
          <w:tcPr>
            <w:tcW w:w="6570" w:type="dxa"/>
            <w:vAlign w:val="center"/>
          </w:tcPr>
          <w:p w14:paraId="7707F3E9" w14:textId="250D82DB" w:rsidR="003239B8" w:rsidRPr="0093551E" w:rsidRDefault="00FA5438" w:rsidP="008D2290">
            <w:pPr>
              <w:rPr>
                <w:rFonts w:asciiTheme="majorHAnsi" w:hAnsiTheme="majorHAnsi"/>
                <w:bCs/>
                <w:sz w:val="19"/>
                <w:szCs w:val="19"/>
                <w:lang w:val="es-ES"/>
              </w:rPr>
            </w:pPr>
            <w:r w:rsidRPr="0093551E">
              <w:rPr>
                <w:rFonts w:asciiTheme="majorHAnsi" w:hAnsiTheme="majorHAnsi"/>
                <w:bCs/>
                <w:sz w:val="19"/>
                <w:szCs w:val="19"/>
                <w:lang w:val="es-ES"/>
              </w:rPr>
              <w:t>Sí</w:t>
            </w:r>
          </w:p>
        </w:tc>
      </w:tr>
      <w:tr w:rsidR="003239B8" w:rsidRPr="0093551E"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93551E" w:rsidRDefault="003239B8" w:rsidP="00D77503">
            <w:pPr>
              <w:jc w:val="center"/>
              <w:rPr>
                <w:rFonts w:asciiTheme="majorHAnsi" w:hAnsiTheme="majorHAnsi"/>
                <w:bCs/>
                <w:color w:val="FFFFFF" w:themeColor="background1"/>
                <w:sz w:val="19"/>
                <w:szCs w:val="19"/>
                <w:lang w:val="es-ES"/>
              </w:rPr>
            </w:pPr>
            <w:r w:rsidRPr="0093551E">
              <w:rPr>
                <w:rFonts w:asciiTheme="majorHAnsi" w:hAnsiTheme="majorHAnsi"/>
                <w:bCs/>
                <w:i/>
                <w:color w:val="FFFFFF" w:themeColor="background1"/>
                <w:sz w:val="19"/>
                <w:szCs w:val="19"/>
                <w:lang w:val="es-ES"/>
              </w:rPr>
              <w:t>Ratione loci</w:t>
            </w:r>
          </w:p>
        </w:tc>
        <w:tc>
          <w:tcPr>
            <w:tcW w:w="6570" w:type="dxa"/>
            <w:vAlign w:val="center"/>
          </w:tcPr>
          <w:p w14:paraId="12C931CB" w14:textId="503A30C5" w:rsidR="003239B8" w:rsidRPr="0093551E" w:rsidRDefault="00FA5438" w:rsidP="008D2290">
            <w:pPr>
              <w:rPr>
                <w:rFonts w:asciiTheme="majorHAnsi" w:hAnsiTheme="majorHAnsi"/>
                <w:bCs/>
                <w:sz w:val="19"/>
                <w:szCs w:val="19"/>
                <w:lang w:val="es-ES"/>
              </w:rPr>
            </w:pPr>
            <w:r w:rsidRPr="0093551E">
              <w:rPr>
                <w:rFonts w:asciiTheme="majorHAnsi" w:hAnsiTheme="majorHAnsi"/>
                <w:bCs/>
                <w:sz w:val="19"/>
                <w:szCs w:val="19"/>
                <w:lang w:val="es-ES"/>
              </w:rPr>
              <w:t>Sí</w:t>
            </w:r>
          </w:p>
        </w:tc>
      </w:tr>
      <w:tr w:rsidR="003239B8" w:rsidRPr="0093551E"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93551E" w:rsidRDefault="003239B8" w:rsidP="008D2290">
            <w:pPr>
              <w:jc w:val="center"/>
              <w:rPr>
                <w:rFonts w:asciiTheme="majorHAnsi" w:hAnsiTheme="majorHAnsi"/>
                <w:bCs/>
                <w:color w:val="FFFFFF" w:themeColor="background1"/>
                <w:sz w:val="19"/>
                <w:szCs w:val="19"/>
                <w:lang w:val="es-ES"/>
              </w:rPr>
            </w:pPr>
            <w:r w:rsidRPr="0093551E">
              <w:rPr>
                <w:rFonts w:asciiTheme="majorHAnsi" w:hAnsiTheme="majorHAnsi"/>
                <w:bCs/>
                <w:i/>
                <w:color w:val="FFFFFF" w:themeColor="background1"/>
                <w:sz w:val="19"/>
                <w:szCs w:val="19"/>
                <w:lang w:val="es-ES"/>
              </w:rPr>
              <w:t>Ratione temporis</w:t>
            </w:r>
          </w:p>
        </w:tc>
        <w:tc>
          <w:tcPr>
            <w:tcW w:w="6570" w:type="dxa"/>
            <w:vAlign w:val="center"/>
          </w:tcPr>
          <w:p w14:paraId="6F8B059B" w14:textId="2B6200A5" w:rsidR="003239B8" w:rsidRPr="0093551E" w:rsidRDefault="00FA5438" w:rsidP="008D2290">
            <w:pPr>
              <w:rPr>
                <w:rFonts w:asciiTheme="majorHAnsi" w:hAnsiTheme="majorHAnsi"/>
                <w:bCs/>
                <w:sz w:val="19"/>
                <w:szCs w:val="19"/>
                <w:lang w:val="es-ES"/>
              </w:rPr>
            </w:pPr>
            <w:r w:rsidRPr="0093551E">
              <w:rPr>
                <w:rFonts w:asciiTheme="majorHAnsi" w:hAnsiTheme="majorHAnsi"/>
                <w:bCs/>
                <w:sz w:val="19"/>
                <w:szCs w:val="19"/>
                <w:lang w:val="es-ES"/>
              </w:rPr>
              <w:t>Sí</w:t>
            </w:r>
          </w:p>
        </w:tc>
      </w:tr>
      <w:tr w:rsidR="003239B8" w:rsidRPr="00E55186"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93551E" w:rsidRDefault="003239B8" w:rsidP="008D2290">
            <w:pPr>
              <w:jc w:val="center"/>
              <w:rPr>
                <w:rFonts w:asciiTheme="majorHAnsi" w:hAnsiTheme="majorHAnsi"/>
                <w:bCs/>
                <w:color w:val="FFFFFF" w:themeColor="background1"/>
                <w:sz w:val="19"/>
                <w:szCs w:val="19"/>
                <w:lang w:val="es-ES"/>
              </w:rPr>
            </w:pPr>
            <w:r w:rsidRPr="0093551E">
              <w:rPr>
                <w:rFonts w:asciiTheme="majorHAnsi" w:hAnsiTheme="majorHAnsi"/>
                <w:bCs/>
                <w:i/>
                <w:color w:val="FFFFFF" w:themeColor="background1"/>
                <w:sz w:val="19"/>
                <w:szCs w:val="19"/>
                <w:lang w:val="es-ES"/>
              </w:rPr>
              <w:t>Ratione materia</w:t>
            </w:r>
            <w:r w:rsidR="00EE00E9" w:rsidRPr="0093551E">
              <w:rPr>
                <w:rFonts w:asciiTheme="majorHAnsi" w:hAnsiTheme="majorHAnsi"/>
                <w:bCs/>
                <w:i/>
                <w:color w:val="FFFFFF" w:themeColor="background1"/>
                <w:sz w:val="19"/>
                <w:szCs w:val="19"/>
                <w:lang w:val="es-ES"/>
              </w:rPr>
              <w:t>e</w:t>
            </w:r>
          </w:p>
        </w:tc>
        <w:tc>
          <w:tcPr>
            <w:tcW w:w="6570" w:type="dxa"/>
            <w:vAlign w:val="center"/>
          </w:tcPr>
          <w:p w14:paraId="0C122F44" w14:textId="773B9EDB" w:rsidR="003239B8" w:rsidRPr="005338F4" w:rsidRDefault="00FA5438" w:rsidP="005338F4">
            <w:pPr>
              <w:jc w:val="both"/>
              <w:rPr>
                <w:rFonts w:asciiTheme="majorHAnsi" w:hAnsiTheme="majorHAnsi"/>
                <w:bCs/>
                <w:sz w:val="19"/>
                <w:szCs w:val="19"/>
                <w:lang w:val="es-BO"/>
              </w:rPr>
            </w:pPr>
            <w:r w:rsidRPr="0093551E">
              <w:rPr>
                <w:rFonts w:asciiTheme="majorHAnsi" w:hAnsiTheme="majorHAnsi"/>
                <w:bCs/>
                <w:sz w:val="19"/>
                <w:szCs w:val="19"/>
                <w:lang w:val="es-ES"/>
              </w:rPr>
              <w:t>Sí, Convención Americana (depósito de instrumento rea</w:t>
            </w:r>
            <w:r w:rsidR="005338F4">
              <w:rPr>
                <w:rFonts w:asciiTheme="majorHAnsi" w:hAnsiTheme="majorHAnsi"/>
                <w:bCs/>
                <w:sz w:val="19"/>
                <w:szCs w:val="19"/>
                <w:lang w:val="es-ES"/>
              </w:rPr>
              <w:t>lizado el 19 de julio de 1979);</w:t>
            </w:r>
            <w:r w:rsidRPr="0093551E">
              <w:rPr>
                <w:rFonts w:asciiTheme="majorHAnsi" w:hAnsiTheme="majorHAnsi"/>
                <w:bCs/>
                <w:sz w:val="19"/>
                <w:szCs w:val="19"/>
                <w:lang w:val="es-ES"/>
              </w:rPr>
              <w:t xml:space="preserve"> Convención de Belém do Pará (depósito de instrumento realizado el 5 de diciembre </w:t>
            </w:r>
            <w:r w:rsidR="005338F4">
              <w:rPr>
                <w:rFonts w:asciiTheme="majorHAnsi" w:hAnsiTheme="majorHAnsi"/>
                <w:bCs/>
                <w:sz w:val="19"/>
                <w:szCs w:val="19"/>
                <w:lang w:val="es-ES"/>
              </w:rPr>
              <w:t xml:space="preserve">de 1994); y </w:t>
            </w:r>
            <w:r w:rsidR="005338F4" w:rsidRPr="005338F4">
              <w:rPr>
                <w:rFonts w:asciiTheme="majorHAnsi" w:hAnsiTheme="majorHAnsi"/>
                <w:bCs/>
                <w:sz w:val="19"/>
                <w:szCs w:val="19"/>
                <w:lang w:val="es-ES"/>
              </w:rPr>
              <w:t>Convención Interamericana para Prevenir</w:t>
            </w:r>
            <w:r w:rsidR="005338F4">
              <w:rPr>
                <w:rFonts w:asciiTheme="majorHAnsi" w:hAnsiTheme="majorHAnsi"/>
                <w:bCs/>
                <w:sz w:val="19"/>
                <w:szCs w:val="19"/>
                <w:lang w:val="es-ES"/>
              </w:rPr>
              <w:t xml:space="preserve"> y Sancionar la Tortura</w:t>
            </w:r>
            <w:r w:rsidR="005338F4" w:rsidRPr="005338F4">
              <w:rPr>
                <w:rFonts w:asciiTheme="majorHAnsi" w:hAnsiTheme="majorHAnsi"/>
                <w:bCs/>
                <w:sz w:val="19"/>
                <w:szCs w:val="19"/>
                <w:lang w:val="es-ES"/>
              </w:rPr>
              <w:t xml:space="preserve"> (depósito de instrumento realizado el 21</w:t>
            </w:r>
            <w:r w:rsidR="005338F4">
              <w:rPr>
                <w:rFonts w:asciiTheme="majorHAnsi" w:hAnsiTheme="majorHAnsi"/>
                <w:bCs/>
                <w:sz w:val="19"/>
                <w:szCs w:val="19"/>
                <w:lang w:val="es-ES"/>
              </w:rPr>
              <w:t xml:space="preserve"> </w:t>
            </w:r>
            <w:r w:rsidR="005338F4" w:rsidRPr="005338F4">
              <w:rPr>
                <w:rFonts w:asciiTheme="majorHAnsi" w:hAnsiTheme="majorHAnsi"/>
                <w:bCs/>
                <w:sz w:val="19"/>
                <w:szCs w:val="19"/>
                <w:lang w:val="es-ES"/>
              </w:rPr>
              <w:t>de noviembre de 2006)</w:t>
            </w:r>
          </w:p>
        </w:tc>
      </w:tr>
    </w:tbl>
    <w:p w14:paraId="4E92C444" w14:textId="1DAF1B79" w:rsidR="003239B8" w:rsidRPr="0093551E" w:rsidRDefault="003239B8" w:rsidP="007C402A">
      <w:pPr>
        <w:spacing w:before="120" w:after="120"/>
        <w:ind w:firstLine="720"/>
        <w:jc w:val="both"/>
        <w:rPr>
          <w:rFonts w:asciiTheme="majorHAnsi" w:hAnsiTheme="majorHAnsi"/>
          <w:b/>
          <w:bCs/>
          <w:sz w:val="20"/>
          <w:szCs w:val="20"/>
          <w:lang w:val="es-ES"/>
        </w:rPr>
      </w:pPr>
      <w:r w:rsidRPr="0093551E">
        <w:rPr>
          <w:rFonts w:asciiTheme="majorHAnsi" w:hAnsiTheme="majorHAnsi"/>
          <w:b/>
          <w:bCs/>
          <w:sz w:val="20"/>
          <w:szCs w:val="20"/>
          <w:lang w:val="es-ES"/>
        </w:rPr>
        <w:t xml:space="preserve">IV. </w:t>
      </w:r>
      <w:r w:rsidRPr="0093551E">
        <w:rPr>
          <w:rFonts w:asciiTheme="majorHAnsi" w:hAnsiTheme="majorHAnsi"/>
          <w:b/>
          <w:bCs/>
          <w:sz w:val="20"/>
          <w:szCs w:val="20"/>
          <w:lang w:val="es-ES"/>
        </w:rPr>
        <w:tab/>
      </w:r>
      <w:r w:rsidR="00EE00E9" w:rsidRPr="0093551E">
        <w:rPr>
          <w:rFonts w:asciiTheme="majorHAnsi" w:hAnsiTheme="majorHAnsi"/>
          <w:b/>
          <w:bCs/>
          <w:sz w:val="20"/>
          <w:szCs w:val="20"/>
          <w:lang w:val="es-ES"/>
        </w:rPr>
        <w:t>DUPLICACIÓN</w:t>
      </w:r>
      <w:r w:rsidR="00EE00E9" w:rsidRPr="0093551E">
        <w:rPr>
          <w:rFonts w:asciiTheme="majorHAnsi" w:hAnsiTheme="majorHAnsi"/>
          <w:b/>
          <w:bCs/>
          <w:color w:val="FFFFFF" w:themeColor="background1"/>
          <w:sz w:val="20"/>
          <w:szCs w:val="20"/>
          <w:lang w:val="es-ES"/>
        </w:rPr>
        <w:t xml:space="preserve"> </w:t>
      </w:r>
      <w:r w:rsidR="00EE00E9" w:rsidRPr="0093551E">
        <w:rPr>
          <w:rFonts w:asciiTheme="majorHAnsi" w:hAnsiTheme="majorHAnsi"/>
          <w:b/>
          <w:bCs/>
          <w:sz w:val="20"/>
          <w:szCs w:val="20"/>
          <w:lang w:val="es-ES"/>
        </w:rPr>
        <w:t>DE PROCEDIMIENTOS Y COSA JUZGADA</w:t>
      </w:r>
      <w:r w:rsidR="00EE00E9" w:rsidRPr="0093551E">
        <w:rPr>
          <w:rFonts w:asciiTheme="majorHAnsi" w:hAnsiTheme="majorHAnsi"/>
          <w:b/>
          <w:bCs/>
          <w:i/>
          <w:sz w:val="20"/>
          <w:szCs w:val="20"/>
          <w:lang w:val="es-ES"/>
        </w:rPr>
        <w:t xml:space="preserve"> </w:t>
      </w:r>
      <w:r w:rsidR="00EE00E9" w:rsidRPr="0093551E">
        <w:rPr>
          <w:rFonts w:asciiTheme="majorHAnsi" w:hAnsiTheme="majorHAnsi"/>
          <w:b/>
          <w:bCs/>
          <w:sz w:val="20"/>
          <w:szCs w:val="20"/>
          <w:lang w:val="es-ES"/>
        </w:rPr>
        <w:t xml:space="preserve">INTERNACIONAL, </w:t>
      </w:r>
      <w:r w:rsidRPr="0093551E">
        <w:rPr>
          <w:rFonts w:asciiTheme="majorHAnsi" w:hAnsiTheme="majorHAnsi"/>
          <w:b/>
          <w:bCs/>
          <w:sz w:val="20"/>
          <w:szCs w:val="20"/>
          <w:lang w:val="es-ES"/>
        </w:rPr>
        <w:t xml:space="preserve"> CARACTERIZACIÓN, </w:t>
      </w:r>
      <w:r w:rsidRPr="0093551E">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EE00E9" w:rsidRPr="0093551E"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93551E" w:rsidRDefault="00EE00E9" w:rsidP="00954B82">
            <w:pPr>
              <w:jc w:val="center"/>
              <w:rPr>
                <w:rFonts w:asciiTheme="majorHAnsi" w:hAnsiTheme="majorHAnsi"/>
                <w:bCs/>
                <w:color w:val="FFFFFF" w:themeColor="background1"/>
                <w:sz w:val="19"/>
                <w:szCs w:val="19"/>
                <w:lang w:val="es-ES"/>
              </w:rPr>
            </w:pPr>
            <w:r w:rsidRPr="0093551E">
              <w:rPr>
                <w:rFonts w:asciiTheme="majorHAnsi" w:hAnsiTheme="majorHAnsi"/>
                <w:bCs/>
                <w:color w:val="FFFFFF" w:themeColor="background1"/>
                <w:sz w:val="19"/>
                <w:szCs w:val="19"/>
                <w:lang w:val="es-ES"/>
              </w:rPr>
              <w:t xml:space="preserve">Duplicación </w:t>
            </w:r>
            <w:r w:rsidR="00D77503" w:rsidRPr="0093551E">
              <w:rPr>
                <w:rFonts w:asciiTheme="majorHAnsi" w:hAnsiTheme="majorHAnsi"/>
                <w:bCs/>
                <w:color w:val="FFFFFF" w:themeColor="background1"/>
                <w:sz w:val="19"/>
                <w:szCs w:val="19"/>
                <w:lang w:val="es-ES"/>
              </w:rPr>
              <w:t>y cosa juzgada internacional</w:t>
            </w:r>
          </w:p>
        </w:tc>
        <w:tc>
          <w:tcPr>
            <w:tcW w:w="6570" w:type="dxa"/>
            <w:vAlign w:val="center"/>
          </w:tcPr>
          <w:p w14:paraId="240941E6" w14:textId="5496DDC1" w:rsidR="00EE00E9" w:rsidRPr="0093551E" w:rsidRDefault="00174A5F" w:rsidP="008D2290">
            <w:pPr>
              <w:jc w:val="both"/>
              <w:rPr>
                <w:rFonts w:asciiTheme="majorHAnsi" w:hAnsiTheme="majorHAnsi"/>
                <w:bCs/>
                <w:sz w:val="19"/>
                <w:szCs w:val="19"/>
                <w:lang w:val="es-ES"/>
              </w:rPr>
            </w:pPr>
            <w:r w:rsidRPr="0093551E">
              <w:rPr>
                <w:rFonts w:asciiTheme="majorHAnsi" w:hAnsiTheme="majorHAnsi"/>
                <w:bCs/>
                <w:sz w:val="19"/>
                <w:szCs w:val="19"/>
                <w:lang w:val="es-ES"/>
              </w:rPr>
              <w:t>No</w:t>
            </w:r>
          </w:p>
        </w:tc>
      </w:tr>
      <w:tr w:rsidR="003239B8" w:rsidRPr="00E55186"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93551E" w:rsidRDefault="003239B8" w:rsidP="00954B82">
            <w:pPr>
              <w:jc w:val="center"/>
              <w:rPr>
                <w:rFonts w:asciiTheme="majorHAnsi" w:hAnsiTheme="majorHAnsi"/>
                <w:bCs/>
                <w:i/>
                <w:color w:val="FFFFFF" w:themeColor="background1"/>
                <w:sz w:val="19"/>
                <w:szCs w:val="19"/>
                <w:lang w:val="es-ES"/>
              </w:rPr>
            </w:pPr>
            <w:r w:rsidRPr="0093551E">
              <w:rPr>
                <w:rFonts w:asciiTheme="majorHAnsi" w:hAnsiTheme="majorHAnsi"/>
                <w:bCs/>
                <w:color w:val="FFFFFF" w:themeColor="background1"/>
                <w:sz w:val="19"/>
                <w:szCs w:val="19"/>
                <w:lang w:val="es-ES"/>
              </w:rPr>
              <w:t>Derechos admi</w:t>
            </w:r>
            <w:r w:rsidR="00954B82" w:rsidRPr="0093551E">
              <w:rPr>
                <w:rFonts w:asciiTheme="majorHAnsi" w:hAnsiTheme="majorHAnsi"/>
                <w:bCs/>
                <w:color w:val="FFFFFF" w:themeColor="background1"/>
                <w:sz w:val="19"/>
                <w:szCs w:val="19"/>
                <w:lang w:val="es-ES"/>
              </w:rPr>
              <w:t>tidos</w:t>
            </w:r>
          </w:p>
        </w:tc>
        <w:tc>
          <w:tcPr>
            <w:tcW w:w="6570" w:type="dxa"/>
            <w:vAlign w:val="center"/>
          </w:tcPr>
          <w:p w14:paraId="6310C8F7" w14:textId="0828957D" w:rsidR="003239B8" w:rsidRPr="005338F4" w:rsidRDefault="00121860" w:rsidP="001479C0">
            <w:pPr>
              <w:jc w:val="both"/>
              <w:rPr>
                <w:rFonts w:asciiTheme="majorHAnsi" w:hAnsiTheme="majorHAnsi"/>
                <w:bCs/>
                <w:sz w:val="19"/>
                <w:szCs w:val="19"/>
                <w:lang w:val="es-AR"/>
              </w:rPr>
            </w:pPr>
            <w:r w:rsidRPr="0093551E">
              <w:rPr>
                <w:rFonts w:asciiTheme="majorHAnsi" w:hAnsiTheme="majorHAnsi"/>
                <w:bCs/>
                <w:sz w:val="19"/>
                <w:szCs w:val="19"/>
                <w:lang w:val="es-ES"/>
              </w:rPr>
              <w:t>A</w:t>
            </w:r>
            <w:r w:rsidRPr="0093551E">
              <w:rPr>
                <w:rFonts w:asciiTheme="majorHAnsi" w:hAnsiTheme="majorHAnsi"/>
                <w:bCs/>
                <w:sz w:val="19"/>
                <w:szCs w:val="19"/>
                <w:lang w:val="es-AR"/>
              </w:rPr>
              <w:t>rtículos 4 (vida), 5 (integridad personal), 8 (garantías judiciales), 11 (protección de la honra y de la dignidad), 19 (derechos del niño)</w:t>
            </w:r>
            <w:r w:rsidR="000C0B68">
              <w:rPr>
                <w:rFonts w:asciiTheme="majorHAnsi" w:hAnsiTheme="majorHAnsi"/>
                <w:bCs/>
                <w:sz w:val="19"/>
                <w:szCs w:val="19"/>
                <w:lang w:val="es-AR"/>
              </w:rPr>
              <w:t>, 24 (igualdad ante la ley)</w:t>
            </w:r>
            <w:r w:rsidR="005338F4">
              <w:rPr>
                <w:rFonts w:asciiTheme="majorHAnsi" w:hAnsiTheme="majorHAnsi"/>
                <w:bCs/>
                <w:sz w:val="19"/>
                <w:szCs w:val="19"/>
                <w:lang w:val="es-AR"/>
              </w:rPr>
              <w:t xml:space="preserve">, </w:t>
            </w:r>
            <w:r w:rsidRPr="0093551E">
              <w:rPr>
                <w:rFonts w:asciiTheme="majorHAnsi" w:hAnsiTheme="majorHAnsi"/>
                <w:bCs/>
                <w:sz w:val="19"/>
                <w:szCs w:val="19"/>
                <w:lang w:val="es-AR"/>
              </w:rPr>
              <w:t>25 (protección judicial)</w:t>
            </w:r>
            <w:r w:rsidR="005338F4">
              <w:rPr>
                <w:rFonts w:asciiTheme="majorHAnsi" w:hAnsiTheme="majorHAnsi"/>
                <w:bCs/>
                <w:sz w:val="19"/>
                <w:szCs w:val="19"/>
                <w:lang w:val="es-AR"/>
              </w:rPr>
              <w:t xml:space="preserve"> y </w:t>
            </w:r>
            <w:r w:rsidR="005338F4" w:rsidRPr="00095286">
              <w:rPr>
                <w:rFonts w:asciiTheme="majorHAnsi" w:hAnsiTheme="majorHAnsi"/>
                <w:bCs/>
                <w:sz w:val="20"/>
                <w:szCs w:val="20"/>
                <w:lang w:val="es-AR"/>
              </w:rPr>
              <w:t xml:space="preserve">26 (derechos económicos, sociales y culturales) </w:t>
            </w:r>
            <w:r w:rsidRPr="0093551E">
              <w:rPr>
                <w:rFonts w:asciiTheme="majorHAnsi" w:hAnsiTheme="majorHAnsi"/>
                <w:bCs/>
                <w:sz w:val="19"/>
                <w:szCs w:val="19"/>
                <w:lang w:val="es-AR"/>
              </w:rPr>
              <w:t xml:space="preserve"> de la Convención Americana en relación con su</w:t>
            </w:r>
            <w:r w:rsidR="000C0B68">
              <w:rPr>
                <w:rFonts w:asciiTheme="majorHAnsi" w:hAnsiTheme="majorHAnsi"/>
                <w:bCs/>
                <w:sz w:val="19"/>
                <w:szCs w:val="19"/>
                <w:lang w:val="es-AR"/>
              </w:rPr>
              <w:t>s</w:t>
            </w:r>
            <w:r w:rsidRPr="0093551E">
              <w:rPr>
                <w:rFonts w:asciiTheme="majorHAnsi" w:hAnsiTheme="majorHAnsi"/>
                <w:bCs/>
                <w:sz w:val="19"/>
                <w:szCs w:val="19"/>
                <w:lang w:val="es-AR"/>
              </w:rPr>
              <w:t xml:space="preserve"> artículo</w:t>
            </w:r>
            <w:r w:rsidR="000C0B68">
              <w:rPr>
                <w:rFonts w:asciiTheme="majorHAnsi" w:hAnsiTheme="majorHAnsi"/>
                <w:bCs/>
                <w:sz w:val="19"/>
                <w:szCs w:val="19"/>
                <w:lang w:val="es-AR"/>
              </w:rPr>
              <w:t>s</w:t>
            </w:r>
            <w:r w:rsidRPr="0093551E">
              <w:rPr>
                <w:rFonts w:asciiTheme="majorHAnsi" w:hAnsiTheme="majorHAnsi"/>
                <w:bCs/>
                <w:sz w:val="19"/>
                <w:szCs w:val="19"/>
                <w:lang w:val="es-AR"/>
              </w:rPr>
              <w:t xml:space="preserve"> 1.1</w:t>
            </w:r>
            <w:r w:rsidR="000C0B68">
              <w:rPr>
                <w:rFonts w:asciiTheme="majorHAnsi" w:hAnsiTheme="majorHAnsi"/>
                <w:bCs/>
                <w:sz w:val="19"/>
                <w:szCs w:val="19"/>
                <w:lang w:val="es-AR"/>
              </w:rPr>
              <w:t xml:space="preserve"> y 2</w:t>
            </w:r>
            <w:r w:rsidR="005338F4">
              <w:rPr>
                <w:rFonts w:asciiTheme="majorHAnsi" w:hAnsiTheme="majorHAnsi"/>
                <w:bCs/>
                <w:sz w:val="19"/>
                <w:szCs w:val="19"/>
                <w:lang w:val="es-AR"/>
              </w:rPr>
              <w:t>;</w:t>
            </w:r>
            <w:r w:rsidRPr="0093551E">
              <w:rPr>
                <w:rFonts w:asciiTheme="majorHAnsi" w:hAnsiTheme="majorHAnsi"/>
                <w:bCs/>
                <w:sz w:val="19"/>
                <w:szCs w:val="19"/>
                <w:lang w:val="es-AR"/>
              </w:rPr>
              <w:t xml:space="preserve"> así como al artículo 7 de la Convenció</w:t>
            </w:r>
            <w:r w:rsidR="005338F4">
              <w:rPr>
                <w:rFonts w:asciiTheme="majorHAnsi" w:hAnsiTheme="majorHAnsi"/>
                <w:bCs/>
                <w:sz w:val="19"/>
                <w:szCs w:val="19"/>
                <w:lang w:val="es-AR"/>
              </w:rPr>
              <w:t>n Belém do Pará; y</w:t>
            </w:r>
            <w:r w:rsidR="005338F4" w:rsidRPr="005338F4">
              <w:rPr>
                <w:rFonts w:asciiTheme="majorHAnsi" w:hAnsiTheme="majorHAnsi"/>
                <w:bCs/>
                <w:sz w:val="20"/>
                <w:szCs w:val="20"/>
                <w:lang w:val="es-AR"/>
              </w:rPr>
              <w:t xml:space="preserve"> los artículos 1, 6 y 8 de la Convención</w:t>
            </w:r>
            <w:r w:rsidR="005338F4">
              <w:rPr>
                <w:rFonts w:asciiTheme="majorHAnsi" w:hAnsiTheme="majorHAnsi"/>
                <w:bCs/>
                <w:sz w:val="20"/>
                <w:szCs w:val="20"/>
                <w:lang w:val="es-AR"/>
              </w:rPr>
              <w:t xml:space="preserve"> </w:t>
            </w:r>
            <w:r w:rsidR="005338F4" w:rsidRPr="005338F4">
              <w:rPr>
                <w:rFonts w:asciiTheme="majorHAnsi" w:hAnsiTheme="majorHAnsi"/>
                <w:bCs/>
                <w:sz w:val="20"/>
                <w:szCs w:val="20"/>
                <w:lang w:val="es-AR"/>
              </w:rPr>
              <w:t>Interamericana para Prevenir y Sancionar la Tortura</w:t>
            </w:r>
          </w:p>
        </w:tc>
      </w:tr>
      <w:tr w:rsidR="003239B8" w:rsidRPr="00761066"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93551E" w:rsidRDefault="003239B8" w:rsidP="006775AB">
            <w:pPr>
              <w:jc w:val="center"/>
              <w:rPr>
                <w:rFonts w:asciiTheme="majorHAnsi" w:hAnsiTheme="majorHAnsi"/>
                <w:bCs/>
                <w:color w:val="FFFFFF" w:themeColor="background1"/>
                <w:sz w:val="19"/>
                <w:szCs w:val="19"/>
                <w:lang w:val="es-ES"/>
              </w:rPr>
            </w:pPr>
            <w:r w:rsidRPr="0093551E">
              <w:rPr>
                <w:rFonts w:asciiTheme="majorHAnsi" w:hAnsiTheme="majorHAnsi"/>
                <w:bCs/>
                <w:color w:val="FFFFFF" w:themeColor="background1"/>
                <w:sz w:val="19"/>
                <w:szCs w:val="19"/>
                <w:lang w:val="es-ES"/>
              </w:rPr>
              <w:t>Agotamiento de</w:t>
            </w:r>
            <w:r w:rsidR="0069402E" w:rsidRPr="0093551E">
              <w:rPr>
                <w:rFonts w:asciiTheme="majorHAnsi" w:hAnsiTheme="majorHAnsi"/>
                <w:bCs/>
                <w:color w:val="FFFFFF" w:themeColor="background1"/>
                <w:sz w:val="19"/>
                <w:szCs w:val="19"/>
                <w:lang w:val="es-ES"/>
              </w:rPr>
              <w:t xml:space="preserve"> </w:t>
            </w:r>
            <w:r w:rsidRPr="0093551E">
              <w:rPr>
                <w:rFonts w:asciiTheme="majorHAnsi" w:hAnsiTheme="majorHAnsi"/>
                <w:bCs/>
                <w:color w:val="FFFFFF" w:themeColor="background1"/>
                <w:sz w:val="19"/>
                <w:szCs w:val="19"/>
                <w:lang w:val="es-ES"/>
              </w:rPr>
              <w:t xml:space="preserve">recursos </w:t>
            </w:r>
            <w:r w:rsidR="00D77503" w:rsidRPr="0093551E">
              <w:rPr>
                <w:rFonts w:asciiTheme="majorHAnsi" w:hAnsiTheme="majorHAnsi"/>
                <w:bCs/>
                <w:color w:val="FFFFFF" w:themeColor="background1"/>
                <w:sz w:val="19"/>
                <w:szCs w:val="19"/>
                <w:lang w:val="es-ES"/>
              </w:rPr>
              <w:t>o procedencia de una excepción</w:t>
            </w:r>
          </w:p>
        </w:tc>
        <w:tc>
          <w:tcPr>
            <w:tcW w:w="6570" w:type="dxa"/>
            <w:vAlign w:val="center"/>
          </w:tcPr>
          <w:p w14:paraId="69C53E8A" w14:textId="16192716" w:rsidR="003239B8" w:rsidRPr="0093551E" w:rsidRDefault="00D51877" w:rsidP="00BB3FBD">
            <w:pPr>
              <w:rPr>
                <w:rFonts w:asciiTheme="majorHAnsi" w:hAnsiTheme="majorHAnsi"/>
                <w:bCs/>
                <w:sz w:val="19"/>
                <w:szCs w:val="19"/>
                <w:lang w:val="es-ES"/>
              </w:rPr>
            </w:pPr>
            <w:r>
              <w:rPr>
                <w:rFonts w:asciiTheme="majorHAnsi" w:hAnsiTheme="majorHAnsi"/>
                <w:bCs/>
                <w:sz w:val="19"/>
                <w:szCs w:val="19"/>
                <w:lang w:val="es-ES"/>
              </w:rPr>
              <w:t xml:space="preserve">Si, </w:t>
            </w:r>
            <w:r w:rsidRPr="00D51877">
              <w:rPr>
                <w:rFonts w:asciiTheme="majorHAnsi" w:hAnsiTheme="majorHAnsi"/>
                <w:sz w:val="19"/>
                <w:szCs w:val="19"/>
                <w:lang w:val="es-ES" w:eastAsia="ja-JP"/>
              </w:rPr>
              <w:t>26 de noviembre de 2015</w:t>
            </w:r>
          </w:p>
        </w:tc>
      </w:tr>
      <w:tr w:rsidR="003239B8" w:rsidRPr="00761066"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93551E" w:rsidRDefault="00D77503" w:rsidP="008D2290">
            <w:pPr>
              <w:jc w:val="center"/>
              <w:rPr>
                <w:rFonts w:asciiTheme="majorHAnsi" w:hAnsiTheme="majorHAnsi"/>
                <w:bCs/>
                <w:color w:val="FFFFFF" w:themeColor="background1"/>
                <w:sz w:val="19"/>
                <w:szCs w:val="19"/>
                <w:lang w:val="es-ES"/>
              </w:rPr>
            </w:pPr>
            <w:r w:rsidRPr="0093551E">
              <w:rPr>
                <w:rFonts w:asciiTheme="majorHAnsi" w:hAnsiTheme="majorHAnsi"/>
                <w:bCs/>
                <w:color w:val="FFFFFF" w:themeColor="background1"/>
                <w:sz w:val="19"/>
                <w:szCs w:val="19"/>
                <w:lang w:val="es-ES"/>
              </w:rPr>
              <w:t>Presentación dentro de plazo</w:t>
            </w:r>
          </w:p>
        </w:tc>
        <w:tc>
          <w:tcPr>
            <w:tcW w:w="6570" w:type="dxa"/>
            <w:vAlign w:val="center"/>
          </w:tcPr>
          <w:p w14:paraId="4A2A4569" w14:textId="387FD215" w:rsidR="003239B8" w:rsidRPr="0093551E" w:rsidRDefault="00174A5F" w:rsidP="008D2290">
            <w:pPr>
              <w:rPr>
                <w:rFonts w:asciiTheme="majorHAnsi" w:hAnsiTheme="majorHAnsi"/>
                <w:bCs/>
                <w:sz w:val="19"/>
                <w:szCs w:val="19"/>
                <w:lang w:val="es-ES"/>
              </w:rPr>
            </w:pPr>
            <w:r w:rsidRPr="0093551E">
              <w:rPr>
                <w:rFonts w:asciiTheme="majorHAnsi" w:hAnsiTheme="majorHAnsi"/>
                <w:bCs/>
                <w:sz w:val="19"/>
                <w:szCs w:val="19"/>
                <w:lang w:val="es-ES"/>
              </w:rPr>
              <w:t xml:space="preserve">Si, </w:t>
            </w:r>
            <w:r w:rsidR="00542D2D" w:rsidRPr="0093551E">
              <w:rPr>
                <w:rFonts w:asciiTheme="majorHAnsi" w:hAnsiTheme="majorHAnsi"/>
                <w:bCs/>
                <w:sz w:val="19"/>
                <w:szCs w:val="19"/>
                <w:lang w:val="es-ES"/>
              </w:rPr>
              <w:t>17 de mayo de 2010</w:t>
            </w:r>
          </w:p>
        </w:tc>
      </w:tr>
    </w:tbl>
    <w:p w14:paraId="18E6423B" w14:textId="5FDE25B0" w:rsidR="003239B8" w:rsidRPr="0093551E" w:rsidRDefault="00223A29" w:rsidP="00647756">
      <w:pPr>
        <w:spacing w:before="120" w:after="120"/>
        <w:ind w:firstLine="720"/>
        <w:jc w:val="both"/>
        <w:rPr>
          <w:rFonts w:asciiTheme="majorHAnsi" w:hAnsiTheme="majorHAnsi"/>
          <w:b/>
          <w:sz w:val="20"/>
          <w:szCs w:val="20"/>
          <w:lang w:val="es-ES"/>
        </w:rPr>
      </w:pPr>
      <w:r w:rsidRPr="0093551E">
        <w:rPr>
          <w:rFonts w:asciiTheme="majorHAnsi" w:hAnsiTheme="majorHAnsi"/>
          <w:b/>
          <w:sz w:val="20"/>
          <w:szCs w:val="20"/>
          <w:lang w:val="es-ES"/>
        </w:rPr>
        <w:t xml:space="preserve">V. </w:t>
      </w:r>
      <w:r w:rsidRPr="0093551E">
        <w:rPr>
          <w:rFonts w:asciiTheme="majorHAnsi" w:hAnsiTheme="majorHAnsi"/>
          <w:b/>
          <w:sz w:val="20"/>
          <w:szCs w:val="20"/>
          <w:lang w:val="es-ES"/>
        </w:rPr>
        <w:tab/>
      </w:r>
      <w:r w:rsidR="0034224A" w:rsidRPr="0093551E">
        <w:rPr>
          <w:rFonts w:asciiTheme="majorHAnsi" w:hAnsiTheme="majorHAnsi"/>
          <w:b/>
          <w:sz w:val="20"/>
          <w:szCs w:val="20"/>
          <w:lang w:val="es-ES"/>
        </w:rPr>
        <w:t>RESUMEN DE LOS HECHOS ALEGADOS</w:t>
      </w:r>
    </w:p>
    <w:p w14:paraId="4CDAEE13" w14:textId="3E676B96" w:rsidR="00054201" w:rsidRPr="0093551E" w:rsidRDefault="00054201" w:rsidP="0005420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La petición alega que el Estado b</w:t>
      </w:r>
      <w:r w:rsidRPr="0093551E">
        <w:rPr>
          <w:rFonts w:asciiTheme="majorHAnsi" w:hAnsiTheme="majorHAnsi"/>
          <w:sz w:val="20"/>
          <w:szCs w:val="20"/>
          <w:lang w:val="es-ES"/>
        </w:rPr>
        <w:t>oliviano es responsable por la violación</w:t>
      </w:r>
      <w:r>
        <w:rPr>
          <w:rFonts w:asciiTheme="majorHAnsi" w:hAnsiTheme="majorHAnsi"/>
          <w:sz w:val="20"/>
          <w:szCs w:val="20"/>
          <w:lang w:val="es-ES"/>
        </w:rPr>
        <w:t xml:space="preserve"> de derechos de la </w:t>
      </w:r>
      <w:r w:rsidRPr="0093551E">
        <w:rPr>
          <w:rFonts w:asciiTheme="majorHAnsi" w:hAnsiTheme="majorHAnsi"/>
          <w:sz w:val="20"/>
          <w:szCs w:val="20"/>
          <w:lang w:val="es-ES"/>
        </w:rPr>
        <w:t xml:space="preserve">niña Patricia Jacqueline Flores Velásquez (en adelante, </w:t>
      </w:r>
      <w:r>
        <w:rPr>
          <w:rFonts w:asciiTheme="majorHAnsi" w:hAnsiTheme="majorHAnsi"/>
          <w:sz w:val="20"/>
          <w:szCs w:val="20"/>
          <w:lang w:val="es-ES"/>
        </w:rPr>
        <w:t>“</w:t>
      </w:r>
      <w:r w:rsidRPr="0093551E">
        <w:rPr>
          <w:rFonts w:asciiTheme="majorHAnsi" w:hAnsiTheme="majorHAnsi"/>
          <w:sz w:val="20"/>
          <w:szCs w:val="20"/>
          <w:lang w:val="es-ES"/>
        </w:rPr>
        <w:t>la presunta víctima</w:t>
      </w:r>
      <w:r>
        <w:rPr>
          <w:rFonts w:asciiTheme="majorHAnsi" w:hAnsiTheme="majorHAnsi"/>
          <w:sz w:val="20"/>
          <w:szCs w:val="20"/>
          <w:lang w:val="es-ES"/>
        </w:rPr>
        <w:t>”), quien a sus 10 años de edad fue violada y asesinada en su unidad educativa. Alegan además que existió una</w:t>
      </w:r>
      <w:r w:rsidRPr="0093551E">
        <w:rPr>
          <w:rFonts w:asciiTheme="majorHAnsi" w:hAnsiTheme="majorHAnsi"/>
          <w:sz w:val="20"/>
          <w:szCs w:val="20"/>
          <w:lang w:val="es-ES"/>
        </w:rPr>
        <w:t xml:space="preserve"> falta de investigación efectiva y </w:t>
      </w:r>
      <w:r w:rsidRPr="0093551E">
        <w:rPr>
          <w:rFonts w:asciiTheme="majorHAnsi" w:hAnsiTheme="majorHAnsi"/>
          <w:sz w:val="20"/>
          <w:szCs w:val="20"/>
          <w:lang w:val="es-ES"/>
        </w:rPr>
        <w:lastRenderedPageBreak/>
        <w:t xml:space="preserve">completa, tendiente a la acusación, persecución, enjuiciamiento y sanción de los responsables del homicidio y violación sexual de la presunta víctima, así como la falta de reparación a sus familiares. </w:t>
      </w:r>
    </w:p>
    <w:p w14:paraId="3AB25628" w14:textId="24EE2EC7" w:rsidR="007A74CF" w:rsidRPr="0093551E" w:rsidRDefault="00E73091" w:rsidP="00F231B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Los peticionarios señalan que l</w:t>
      </w:r>
      <w:r w:rsidR="004D0CB5" w:rsidRPr="0093551E">
        <w:rPr>
          <w:rFonts w:asciiTheme="majorHAnsi" w:hAnsiTheme="majorHAnsi"/>
          <w:sz w:val="20"/>
          <w:szCs w:val="20"/>
          <w:lang w:val="es-ES"/>
        </w:rPr>
        <w:t>a presente petici</w:t>
      </w:r>
      <w:r w:rsidR="000F3358" w:rsidRPr="0093551E">
        <w:rPr>
          <w:rFonts w:asciiTheme="majorHAnsi" w:hAnsiTheme="majorHAnsi"/>
          <w:sz w:val="20"/>
          <w:szCs w:val="20"/>
          <w:lang w:val="es-ES"/>
        </w:rPr>
        <w:t>ón se enmarca en el contexto de violencia</w:t>
      </w:r>
      <w:r w:rsidR="00B23D23" w:rsidRPr="0093551E">
        <w:rPr>
          <w:rFonts w:asciiTheme="majorHAnsi" w:hAnsiTheme="majorHAnsi"/>
          <w:sz w:val="20"/>
          <w:szCs w:val="20"/>
          <w:lang w:val="es-ES"/>
        </w:rPr>
        <w:t xml:space="preserve"> sexual</w:t>
      </w:r>
      <w:r w:rsidR="000F3358" w:rsidRPr="0093551E">
        <w:rPr>
          <w:rFonts w:asciiTheme="majorHAnsi" w:hAnsiTheme="majorHAnsi"/>
          <w:sz w:val="20"/>
          <w:szCs w:val="20"/>
          <w:lang w:val="es-ES"/>
        </w:rPr>
        <w:t xml:space="preserve"> </w:t>
      </w:r>
      <w:r w:rsidR="00B23D23" w:rsidRPr="0093551E">
        <w:rPr>
          <w:rFonts w:asciiTheme="majorHAnsi" w:hAnsiTheme="majorHAnsi"/>
          <w:sz w:val="20"/>
          <w:szCs w:val="20"/>
          <w:lang w:val="es-ES"/>
        </w:rPr>
        <w:t xml:space="preserve">y </w:t>
      </w:r>
      <w:r w:rsidR="001C7B61" w:rsidRPr="0093551E">
        <w:rPr>
          <w:rFonts w:asciiTheme="majorHAnsi" w:hAnsiTheme="majorHAnsi"/>
          <w:sz w:val="20"/>
          <w:szCs w:val="20"/>
          <w:lang w:val="es-ES"/>
        </w:rPr>
        <w:t xml:space="preserve">discriminación </w:t>
      </w:r>
      <w:r w:rsidR="00B23D23" w:rsidRPr="0093551E">
        <w:rPr>
          <w:rFonts w:asciiTheme="majorHAnsi" w:hAnsiTheme="majorHAnsi"/>
          <w:sz w:val="20"/>
          <w:szCs w:val="20"/>
          <w:lang w:val="es-ES"/>
        </w:rPr>
        <w:t>basada</w:t>
      </w:r>
      <w:r w:rsidR="00F558C4" w:rsidRPr="0093551E">
        <w:rPr>
          <w:rFonts w:asciiTheme="majorHAnsi" w:hAnsiTheme="majorHAnsi"/>
          <w:sz w:val="20"/>
          <w:szCs w:val="20"/>
          <w:lang w:val="es-ES"/>
        </w:rPr>
        <w:t xml:space="preserve"> en estereotipos de género </w:t>
      </w:r>
      <w:r w:rsidR="00B23D23" w:rsidRPr="0093551E">
        <w:rPr>
          <w:rFonts w:asciiTheme="majorHAnsi" w:hAnsiTheme="majorHAnsi"/>
          <w:sz w:val="20"/>
          <w:szCs w:val="20"/>
          <w:lang w:val="es-ES"/>
        </w:rPr>
        <w:t>que sufren las mujeres, niñas y adolescentes en Bolivia</w:t>
      </w:r>
      <w:r w:rsidR="00F30D50">
        <w:rPr>
          <w:rFonts w:asciiTheme="majorHAnsi" w:hAnsiTheme="majorHAnsi"/>
          <w:sz w:val="20"/>
          <w:szCs w:val="20"/>
          <w:lang w:val="es-ES"/>
        </w:rPr>
        <w:t>, el cual</w:t>
      </w:r>
      <w:r w:rsidR="00B23D23" w:rsidRPr="0093551E">
        <w:rPr>
          <w:rFonts w:asciiTheme="majorHAnsi" w:hAnsiTheme="majorHAnsi"/>
          <w:sz w:val="20"/>
          <w:szCs w:val="20"/>
          <w:lang w:val="es-ES"/>
        </w:rPr>
        <w:t xml:space="preserve"> </w:t>
      </w:r>
      <w:r w:rsidR="00F231BA" w:rsidRPr="0093551E">
        <w:rPr>
          <w:rFonts w:asciiTheme="majorHAnsi" w:hAnsiTheme="majorHAnsi"/>
          <w:sz w:val="20"/>
          <w:szCs w:val="20"/>
          <w:lang w:val="es-ES"/>
        </w:rPr>
        <w:t>desemboca en múltiples casos de</w:t>
      </w:r>
      <w:r w:rsidR="00F30D50">
        <w:rPr>
          <w:rFonts w:asciiTheme="majorHAnsi" w:hAnsiTheme="majorHAnsi"/>
          <w:sz w:val="20"/>
          <w:szCs w:val="20"/>
          <w:lang w:val="es-ES"/>
        </w:rPr>
        <w:t xml:space="preserve"> abuso sexual y</w:t>
      </w:r>
      <w:r w:rsidR="00F231BA" w:rsidRPr="0093551E">
        <w:rPr>
          <w:rFonts w:asciiTheme="majorHAnsi" w:hAnsiTheme="majorHAnsi"/>
          <w:sz w:val="20"/>
          <w:szCs w:val="20"/>
          <w:lang w:val="es-ES"/>
        </w:rPr>
        <w:t xml:space="preserve"> feminicidio</w:t>
      </w:r>
      <w:r w:rsidR="00D918CF">
        <w:rPr>
          <w:rFonts w:asciiTheme="majorHAnsi" w:hAnsiTheme="majorHAnsi"/>
          <w:sz w:val="20"/>
          <w:szCs w:val="20"/>
          <w:lang w:val="es-ES"/>
        </w:rPr>
        <w:t>. Afirman que lo anterior genera también la</w:t>
      </w:r>
      <w:r w:rsidR="00F231BA" w:rsidRPr="0093551E">
        <w:rPr>
          <w:rFonts w:asciiTheme="majorHAnsi" w:hAnsiTheme="majorHAnsi"/>
          <w:sz w:val="20"/>
          <w:szCs w:val="20"/>
          <w:lang w:val="es-ES"/>
        </w:rPr>
        <w:t xml:space="preserve"> falta de igualdad </w:t>
      </w:r>
      <w:r w:rsidR="00F231BA" w:rsidRPr="0093551E">
        <w:rPr>
          <w:rFonts w:asciiTheme="majorHAnsi" w:hAnsiTheme="majorHAnsi"/>
          <w:i/>
          <w:sz w:val="20"/>
          <w:szCs w:val="20"/>
          <w:lang w:val="es-ES"/>
        </w:rPr>
        <w:t>de jure</w:t>
      </w:r>
      <w:r w:rsidR="00F231BA" w:rsidRPr="0093551E">
        <w:rPr>
          <w:rFonts w:asciiTheme="majorHAnsi" w:hAnsiTheme="majorHAnsi"/>
          <w:sz w:val="20"/>
          <w:szCs w:val="20"/>
          <w:lang w:val="es-ES"/>
        </w:rPr>
        <w:t xml:space="preserve"> y </w:t>
      </w:r>
      <w:r w:rsidR="00F231BA" w:rsidRPr="0093551E">
        <w:rPr>
          <w:rFonts w:asciiTheme="majorHAnsi" w:hAnsiTheme="majorHAnsi"/>
          <w:i/>
          <w:sz w:val="20"/>
          <w:szCs w:val="20"/>
          <w:lang w:val="es-ES"/>
        </w:rPr>
        <w:t>de facto</w:t>
      </w:r>
      <w:r w:rsidR="00F231BA" w:rsidRPr="0093551E">
        <w:rPr>
          <w:rFonts w:asciiTheme="majorHAnsi" w:hAnsiTheme="majorHAnsi"/>
          <w:sz w:val="20"/>
          <w:szCs w:val="20"/>
          <w:lang w:val="es-ES"/>
        </w:rPr>
        <w:t xml:space="preserve"> que</w:t>
      </w:r>
      <w:r w:rsidR="00D918CF">
        <w:rPr>
          <w:rFonts w:asciiTheme="majorHAnsi" w:hAnsiTheme="majorHAnsi"/>
          <w:sz w:val="20"/>
          <w:szCs w:val="20"/>
          <w:lang w:val="es-ES"/>
        </w:rPr>
        <w:t xml:space="preserve"> las víctimas</w:t>
      </w:r>
      <w:r w:rsidR="00D111AB" w:rsidRPr="0093551E">
        <w:rPr>
          <w:rFonts w:asciiTheme="majorHAnsi" w:hAnsiTheme="majorHAnsi"/>
          <w:sz w:val="20"/>
          <w:szCs w:val="20"/>
          <w:lang w:val="es-ES"/>
        </w:rPr>
        <w:t xml:space="preserve"> </w:t>
      </w:r>
      <w:r w:rsidR="00D918CF">
        <w:rPr>
          <w:rFonts w:asciiTheme="majorHAnsi" w:hAnsiTheme="majorHAnsi"/>
          <w:sz w:val="20"/>
          <w:szCs w:val="20"/>
          <w:lang w:val="es-ES"/>
        </w:rPr>
        <w:t>deben enfrentar ante la ley,</w:t>
      </w:r>
      <w:r w:rsidR="0090341C">
        <w:rPr>
          <w:rFonts w:asciiTheme="majorHAnsi" w:hAnsiTheme="majorHAnsi"/>
          <w:sz w:val="20"/>
          <w:szCs w:val="20"/>
          <w:lang w:val="es-ES"/>
        </w:rPr>
        <w:t xml:space="preserve"> y</w:t>
      </w:r>
      <w:r w:rsidR="00F231BA" w:rsidRPr="0093551E">
        <w:rPr>
          <w:rFonts w:asciiTheme="majorHAnsi" w:hAnsiTheme="majorHAnsi"/>
          <w:sz w:val="20"/>
          <w:szCs w:val="20"/>
          <w:lang w:val="es-ES"/>
        </w:rPr>
        <w:t xml:space="preserve"> una situación especial de vulnerabilidad y desprotección ante la violencia</w:t>
      </w:r>
      <w:r w:rsidR="00787111" w:rsidRPr="0093551E">
        <w:rPr>
          <w:rFonts w:asciiTheme="majorHAnsi" w:hAnsiTheme="majorHAnsi"/>
          <w:sz w:val="20"/>
          <w:szCs w:val="20"/>
          <w:lang w:val="es-ES"/>
        </w:rPr>
        <w:t xml:space="preserve">, </w:t>
      </w:r>
      <w:r w:rsidR="0090341C">
        <w:rPr>
          <w:rFonts w:asciiTheme="majorHAnsi" w:hAnsiTheme="majorHAnsi"/>
          <w:sz w:val="20"/>
          <w:szCs w:val="20"/>
          <w:lang w:val="es-ES"/>
        </w:rPr>
        <w:t>reconocida por diversos organismos i</w:t>
      </w:r>
      <w:r w:rsidR="00787111" w:rsidRPr="0093551E">
        <w:rPr>
          <w:rFonts w:asciiTheme="majorHAnsi" w:hAnsiTheme="majorHAnsi"/>
          <w:sz w:val="20"/>
          <w:szCs w:val="20"/>
          <w:lang w:val="es-ES"/>
        </w:rPr>
        <w:t>nternacionales</w:t>
      </w:r>
      <w:r w:rsidR="009F7BD4" w:rsidRPr="0093551E">
        <w:rPr>
          <w:rFonts w:asciiTheme="majorHAnsi" w:hAnsiTheme="majorHAnsi"/>
          <w:sz w:val="20"/>
          <w:szCs w:val="20"/>
          <w:lang w:val="es-ES"/>
        </w:rPr>
        <w:t>.</w:t>
      </w:r>
      <w:r w:rsidR="00F231BA" w:rsidRPr="0093551E">
        <w:rPr>
          <w:rFonts w:asciiTheme="majorHAnsi" w:hAnsiTheme="majorHAnsi"/>
          <w:sz w:val="20"/>
          <w:szCs w:val="20"/>
          <w:lang w:val="es-ES"/>
        </w:rPr>
        <w:t xml:space="preserve"> En dicho contexto,</w:t>
      </w:r>
      <w:r w:rsidR="00787111" w:rsidRPr="0093551E">
        <w:rPr>
          <w:rFonts w:asciiTheme="majorHAnsi" w:hAnsiTheme="majorHAnsi"/>
          <w:sz w:val="20"/>
          <w:szCs w:val="20"/>
          <w:lang w:val="es-ES"/>
        </w:rPr>
        <w:t xml:space="preserve"> los peticionarios</w:t>
      </w:r>
      <w:r w:rsidR="00F231BA" w:rsidRPr="0093551E">
        <w:rPr>
          <w:rFonts w:asciiTheme="majorHAnsi" w:hAnsiTheme="majorHAnsi"/>
          <w:sz w:val="20"/>
          <w:szCs w:val="20"/>
          <w:lang w:val="es-ES"/>
        </w:rPr>
        <w:t xml:space="preserve"> reconocen </w:t>
      </w:r>
      <w:r w:rsidR="00054201" w:rsidRPr="0093551E">
        <w:rPr>
          <w:rFonts w:asciiTheme="majorHAnsi" w:hAnsiTheme="majorHAnsi"/>
          <w:sz w:val="20"/>
          <w:szCs w:val="20"/>
          <w:lang w:val="es-ES"/>
        </w:rPr>
        <w:t>que,</w:t>
      </w:r>
      <w:r w:rsidR="004D6FF5" w:rsidRPr="0093551E">
        <w:rPr>
          <w:rFonts w:asciiTheme="majorHAnsi" w:hAnsiTheme="majorHAnsi"/>
          <w:sz w:val="20"/>
          <w:szCs w:val="20"/>
          <w:lang w:val="es-ES"/>
        </w:rPr>
        <w:t xml:space="preserve"> </w:t>
      </w:r>
      <w:r w:rsidR="00787111" w:rsidRPr="0093551E">
        <w:rPr>
          <w:rFonts w:asciiTheme="majorHAnsi" w:hAnsiTheme="majorHAnsi"/>
          <w:sz w:val="20"/>
          <w:szCs w:val="20"/>
          <w:lang w:val="es-ES"/>
        </w:rPr>
        <w:t xml:space="preserve">si bien </w:t>
      </w:r>
      <w:r w:rsidR="004D6FF5" w:rsidRPr="0093551E">
        <w:rPr>
          <w:rFonts w:asciiTheme="majorHAnsi" w:hAnsiTheme="majorHAnsi"/>
          <w:sz w:val="20"/>
          <w:szCs w:val="20"/>
          <w:lang w:val="es-ES"/>
        </w:rPr>
        <w:t xml:space="preserve">el Estado ha realizado </w:t>
      </w:r>
      <w:r w:rsidR="0090341C">
        <w:rPr>
          <w:rFonts w:asciiTheme="majorHAnsi" w:hAnsiTheme="majorHAnsi"/>
          <w:sz w:val="20"/>
          <w:szCs w:val="20"/>
          <w:lang w:val="es-ES"/>
        </w:rPr>
        <w:t>varias</w:t>
      </w:r>
      <w:r w:rsidR="004D6FF5" w:rsidRPr="0093551E">
        <w:rPr>
          <w:rFonts w:asciiTheme="majorHAnsi" w:hAnsiTheme="majorHAnsi"/>
          <w:sz w:val="20"/>
          <w:szCs w:val="20"/>
          <w:lang w:val="es-ES"/>
        </w:rPr>
        <w:t xml:space="preserve"> modificaciones legislativas, la estructura del sistema judicial es débil, caracterizándose por</w:t>
      </w:r>
      <w:r w:rsidR="007A74CF" w:rsidRPr="0093551E">
        <w:rPr>
          <w:rFonts w:asciiTheme="majorHAnsi" w:hAnsiTheme="majorHAnsi"/>
          <w:sz w:val="20"/>
          <w:szCs w:val="20"/>
          <w:lang w:val="es-ES"/>
        </w:rPr>
        <w:t xml:space="preserve"> la inefectividad judicial frente a casos de violencia contra mujeres </w:t>
      </w:r>
      <w:r w:rsidR="004D6FF5" w:rsidRPr="0093551E">
        <w:rPr>
          <w:rFonts w:asciiTheme="majorHAnsi" w:hAnsiTheme="majorHAnsi"/>
          <w:sz w:val="20"/>
          <w:szCs w:val="20"/>
          <w:lang w:val="es-ES"/>
        </w:rPr>
        <w:t xml:space="preserve">y </w:t>
      </w:r>
      <w:r w:rsidR="007A74CF" w:rsidRPr="0093551E">
        <w:rPr>
          <w:rFonts w:asciiTheme="majorHAnsi" w:hAnsiTheme="majorHAnsi"/>
          <w:sz w:val="20"/>
          <w:szCs w:val="20"/>
          <w:lang w:val="es-ES"/>
        </w:rPr>
        <w:t>genera</w:t>
      </w:r>
      <w:r w:rsidR="004D6FF5" w:rsidRPr="0093551E">
        <w:rPr>
          <w:rFonts w:asciiTheme="majorHAnsi" w:hAnsiTheme="majorHAnsi"/>
          <w:sz w:val="20"/>
          <w:szCs w:val="20"/>
          <w:lang w:val="es-ES"/>
        </w:rPr>
        <w:t>ndo</w:t>
      </w:r>
      <w:r w:rsidR="007A74CF" w:rsidRPr="0093551E">
        <w:rPr>
          <w:rFonts w:asciiTheme="majorHAnsi" w:hAnsiTheme="majorHAnsi"/>
          <w:sz w:val="20"/>
          <w:szCs w:val="20"/>
          <w:lang w:val="es-ES"/>
        </w:rPr>
        <w:t xml:space="preserve"> un ambiente de impunidad que facilita la violencia y fomenta la repetici</w:t>
      </w:r>
      <w:r w:rsidR="00787111" w:rsidRPr="0093551E">
        <w:rPr>
          <w:rFonts w:asciiTheme="majorHAnsi" w:hAnsiTheme="majorHAnsi"/>
          <w:sz w:val="20"/>
          <w:szCs w:val="20"/>
          <w:lang w:val="es-ES"/>
        </w:rPr>
        <w:t>ón de estos actos.</w:t>
      </w:r>
    </w:p>
    <w:p w14:paraId="7FD6D367" w14:textId="16A15441" w:rsidR="00CB4B3C" w:rsidRPr="0093551E" w:rsidRDefault="00EA32D9" w:rsidP="00CB4B3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Relatan</w:t>
      </w:r>
      <w:r w:rsidR="00A968FA" w:rsidRPr="0093551E">
        <w:rPr>
          <w:rFonts w:asciiTheme="majorHAnsi" w:hAnsiTheme="majorHAnsi"/>
          <w:sz w:val="20"/>
          <w:szCs w:val="20"/>
          <w:lang w:val="es-ES"/>
        </w:rPr>
        <w:t xml:space="preserve"> que</w:t>
      </w:r>
      <w:r w:rsidR="00241FB0">
        <w:rPr>
          <w:rFonts w:asciiTheme="majorHAnsi" w:hAnsiTheme="majorHAnsi"/>
          <w:sz w:val="20"/>
          <w:szCs w:val="20"/>
          <w:lang w:val="es-ES"/>
        </w:rPr>
        <w:t xml:space="preserve"> la mañana del</w:t>
      </w:r>
      <w:r w:rsidR="00A968FA" w:rsidRPr="0093551E">
        <w:rPr>
          <w:rFonts w:asciiTheme="majorHAnsi" w:hAnsiTheme="majorHAnsi"/>
          <w:sz w:val="20"/>
          <w:szCs w:val="20"/>
          <w:lang w:val="es-ES"/>
        </w:rPr>
        <w:t xml:space="preserve"> 27 de agosto de 1999, </w:t>
      </w:r>
      <w:r w:rsidR="00241FB0">
        <w:rPr>
          <w:rFonts w:asciiTheme="majorHAnsi" w:hAnsiTheme="majorHAnsi"/>
          <w:sz w:val="20"/>
          <w:szCs w:val="20"/>
          <w:lang w:val="es-ES"/>
        </w:rPr>
        <w:t xml:space="preserve">la madre de </w:t>
      </w:r>
      <w:r w:rsidR="00DB1C59">
        <w:rPr>
          <w:rFonts w:asciiTheme="majorHAnsi" w:hAnsiTheme="majorHAnsi"/>
          <w:sz w:val="20"/>
          <w:szCs w:val="20"/>
          <w:lang w:val="es-ES"/>
        </w:rPr>
        <w:t>la presunta víctima</w:t>
      </w:r>
      <w:r w:rsidR="00241FB0">
        <w:rPr>
          <w:rFonts w:asciiTheme="majorHAnsi" w:hAnsiTheme="majorHAnsi"/>
          <w:sz w:val="20"/>
          <w:szCs w:val="20"/>
          <w:lang w:val="es-ES"/>
        </w:rPr>
        <w:t>,</w:t>
      </w:r>
      <w:r w:rsidR="00DB1C59">
        <w:rPr>
          <w:rFonts w:asciiTheme="majorHAnsi" w:hAnsiTheme="majorHAnsi"/>
          <w:sz w:val="20"/>
          <w:szCs w:val="20"/>
          <w:lang w:val="es-ES"/>
        </w:rPr>
        <w:t xml:space="preserve"> </w:t>
      </w:r>
      <w:r>
        <w:rPr>
          <w:rFonts w:asciiTheme="majorHAnsi" w:hAnsiTheme="majorHAnsi"/>
          <w:sz w:val="20"/>
          <w:szCs w:val="20"/>
          <w:lang w:val="es-ES"/>
        </w:rPr>
        <w:t>la dejó en la</w:t>
      </w:r>
      <w:r w:rsidR="00DB1C59" w:rsidRPr="0093551E">
        <w:rPr>
          <w:rFonts w:asciiTheme="majorHAnsi" w:hAnsiTheme="majorHAnsi"/>
          <w:sz w:val="20"/>
          <w:szCs w:val="20"/>
          <w:lang w:val="es-ES"/>
        </w:rPr>
        <w:t xml:space="preserve"> escuela pública </w:t>
      </w:r>
      <w:r w:rsidR="00DB1C59">
        <w:rPr>
          <w:rFonts w:asciiTheme="majorHAnsi" w:hAnsiTheme="majorHAnsi"/>
          <w:sz w:val="20"/>
          <w:szCs w:val="20"/>
          <w:lang w:val="es-ES"/>
        </w:rPr>
        <w:t>mixta Número 1 “Vicenta</w:t>
      </w:r>
      <w:r w:rsidR="00DB1C59" w:rsidRPr="0093551E">
        <w:rPr>
          <w:rFonts w:asciiTheme="majorHAnsi" w:hAnsiTheme="majorHAnsi"/>
          <w:sz w:val="20"/>
          <w:szCs w:val="20"/>
          <w:lang w:val="es-ES"/>
        </w:rPr>
        <w:t xml:space="preserve"> Juarist</w:t>
      </w:r>
      <w:r w:rsidR="00DB1C59">
        <w:rPr>
          <w:rFonts w:asciiTheme="majorHAnsi" w:hAnsiTheme="majorHAnsi"/>
          <w:sz w:val="20"/>
          <w:szCs w:val="20"/>
          <w:lang w:val="es-ES"/>
        </w:rPr>
        <w:t>i</w:t>
      </w:r>
      <w:r w:rsidR="00DB1C59" w:rsidRPr="0093551E">
        <w:rPr>
          <w:rFonts w:asciiTheme="majorHAnsi" w:hAnsiTheme="majorHAnsi"/>
          <w:sz w:val="20"/>
          <w:szCs w:val="20"/>
          <w:lang w:val="es-ES"/>
        </w:rPr>
        <w:t xml:space="preserve"> Eguino”</w:t>
      </w:r>
      <w:r>
        <w:rPr>
          <w:rFonts w:asciiTheme="majorHAnsi" w:hAnsiTheme="majorHAnsi"/>
          <w:sz w:val="20"/>
          <w:szCs w:val="20"/>
          <w:lang w:val="es-ES"/>
        </w:rPr>
        <w:t>,</w:t>
      </w:r>
      <w:r w:rsidR="00DB1C59" w:rsidRPr="0093551E">
        <w:rPr>
          <w:rFonts w:asciiTheme="majorHAnsi" w:hAnsiTheme="majorHAnsi"/>
          <w:sz w:val="20"/>
          <w:szCs w:val="20"/>
          <w:lang w:val="es-ES"/>
        </w:rPr>
        <w:t xml:space="preserve"> </w:t>
      </w:r>
      <w:r w:rsidRPr="0093551E">
        <w:rPr>
          <w:rFonts w:asciiTheme="majorHAnsi" w:hAnsiTheme="majorHAnsi"/>
          <w:sz w:val="20"/>
          <w:szCs w:val="20"/>
          <w:lang w:val="es-ES"/>
        </w:rPr>
        <w:t>ubicada en la zona central de la ciudad de La Paz</w:t>
      </w:r>
      <w:r>
        <w:rPr>
          <w:rFonts w:asciiTheme="majorHAnsi" w:hAnsiTheme="majorHAnsi"/>
          <w:sz w:val="20"/>
          <w:szCs w:val="20"/>
          <w:lang w:val="es-ES"/>
        </w:rPr>
        <w:t xml:space="preserve">, </w:t>
      </w:r>
      <w:r w:rsidR="006F2CA2">
        <w:rPr>
          <w:rFonts w:asciiTheme="majorHAnsi" w:hAnsiTheme="majorHAnsi"/>
          <w:sz w:val="20"/>
          <w:szCs w:val="20"/>
          <w:lang w:val="es-ES"/>
        </w:rPr>
        <w:t>para</w:t>
      </w:r>
      <w:r w:rsidR="006F2CA2" w:rsidRPr="0093551E">
        <w:rPr>
          <w:rFonts w:asciiTheme="majorHAnsi" w:hAnsiTheme="majorHAnsi"/>
          <w:sz w:val="20"/>
          <w:szCs w:val="20"/>
          <w:lang w:val="es-ES"/>
        </w:rPr>
        <w:t xml:space="preserve"> que asistiera </w:t>
      </w:r>
      <w:r w:rsidR="006F2CA2">
        <w:rPr>
          <w:rFonts w:asciiTheme="majorHAnsi" w:hAnsiTheme="majorHAnsi"/>
          <w:sz w:val="20"/>
          <w:szCs w:val="20"/>
          <w:lang w:val="es-ES"/>
        </w:rPr>
        <w:t xml:space="preserve">regularmente </w:t>
      </w:r>
      <w:r w:rsidR="006F2CA2" w:rsidRPr="0093551E">
        <w:rPr>
          <w:rFonts w:asciiTheme="majorHAnsi" w:hAnsiTheme="majorHAnsi"/>
          <w:sz w:val="20"/>
          <w:szCs w:val="20"/>
          <w:lang w:val="es-ES"/>
        </w:rPr>
        <w:t xml:space="preserve">a </w:t>
      </w:r>
      <w:r w:rsidR="006F2CA2">
        <w:rPr>
          <w:rFonts w:asciiTheme="majorHAnsi" w:hAnsiTheme="majorHAnsi"/>
          <w:sz w:val="20"/>
          <w:szCs w:val="20"/>
          <w:lang w:val="es-ES"/>
        </w:rPr>
        <w:t>su</w:t>
      </w:r>
      <w:r w:rsidR="006F2CA2" w:rsidRPr="0093551E">
        <w:rPr>
          <w:rFonts w:asciiTheme="majorHAnsi" w:hAnsiTheme="majorHAnsi"/>
          <w:sz w:val="20"/>
          <w:szCs w:val="20"/>
          <w:lang w:val="es-ES"/>
        </w:rPr>
        <w:t xml:space="preserve"> jornada </w:t>
      </w:r>
      <w:r w:rsidR="006F2CA2">
        <w:rPr>
          <w:rFonts w:asciiTheme="majorHAnsi" w:hAnsiTheme="majorHAnsi"/>
          <w:sz w:val="20"/>
          <w:szCs w:val="20"/>
          <w:lang w:val="es-ES"/>
        </w:rPr>
        <w:t>escolar</w:t>
      </w:r>
      <w:r>
        <w:rPr>
          <w:rFonts w:asciiTheme="majorHAnsi" w:hAnsiTheme="majorHAnsi"/>
          <w:sz w:val="20"/>
          <w:szCs w:val="20"/>
          <w:lang w:val="es-ES"/>
        </w:rPr>
        <w:t xml:space="preserve">. </w:t>
      </w:r>
      <w:r w:rsidR="008D526D" w:rsidRPr="0093551E">
        <w:rPr>
          <w:rFonts w:asciiTheme="majorHAnsi" w:hAnsiTheme="majorHAnsi"/>
          <w:sz w:val="20"/>
          <w:szCs w:val="20"/>
          <w:lang w:val="es-ES"/>
        </w:rPr>
        <w:t xml:space="preserve">Indican que cuando su padre </w:t>
      </w:r>
      <w:r w:rsidR="00DC4E37" w:rsidRPr="0093551E">
        <w:rPr>
          <w:rFonts w:asciiTheme="majorHAnsi" w:hAnsiTheme="majorHAnsi"/>
          <w:sz w:val="20"/>
          <w:szCs w:val="20"/>
          <w:lang w:val="es-ES"/>
        </w:rPr>
        <w:t>fue a recogerla al colegio, ni los profesores ni los estudiantes pudieron</w:t>
      </w:r>
      <w:r w:rsidR="008D526D" w:rsidRPr="0093551E">
        <w:rPr>
          <w:rFonts w:asciiTheme="majorHAnsi" w:hAnsiTheme="majorHAnsi"/>
          <w:sz w:val="20"/>
          <w:szCs w:val="20"/>
          <w:lang w:val="es-ES"/>
        </w:rPr>
        <w:t xml:space="preserve"> informar su paradero</w:t>
      </w:r>
      <w:r w:rsidR="00DC4E37" w:rsidRPr="0093551E">
        <w:rPr>
          <w:rFonts w:asciiTheme="majorHAnsi" w:hAnsiTheme="majorHAnsi"/>
          <w:sz w:val="20"/>
          <w:szCs w:val="20"/>
          <w:lang w:val="es-ES"/>
        </w:rPr>
        <w:t>.</w:t>
      </w:r>
      <w:r w:rsidR="00CB4B3C" w:rsidRPr="0093551E">
        <w:rPr>
          <w:rFonts w:asciiTheme="majorHAnsi" w:hAnsiTheme="majorHAnsi"/>
          <w:sz w:val="20"/>
          <w:szCs w:val="20"/>
          <w:lang w:val="es-ES"/>
        </w:rPr>
        <w:t xml:space="preserve"> </w:t>
      </w:r>
      <w:r w:rsidR="008D526D" w:rsidRPr="0093551E">
        <w:rPr>
          <w:rFonts w:asciiTheme="majorHAnsi" w:hAnsiTheme="majorHAnsi"/>
          <w:sz w:val="20"/>
          <w:szCs w:val="20"/>
          <w:lang w:val="es-ES"/>
        </w:rPr>
        <w:t>Sostienen</w:t>
      </w:r>
      <w:r w:rsidR="00DC4E37" w:rsidRPr="0093551E">
        <w:rPr>
          <w:rFonts w:asciiTheme="majorHAnsi" w:hAnsiTheme="majorHAnsi"/>
          <w:sz w:val="20"/>
          <w:szCs w:val="20"/>
          <w:lang w:val="es-ES"/>
        </w:rPr>
        <w:t xml:space="preserve"> </w:t>
      </w:r>
      <w:r w:rsidR="006F2CA2" w:rsidRPr="0093551E">
        <w:rPr>
          <w:rFonts w:asciiTheme="majorHAnsi" w:hAnsiTheme="majorHAnsi"/>
          <w:sz w:val="20"/>
          <w:szCs w:val="20"/>
          <w:lang w:val="es-ES"/>
        </w:rPr>
        <w:t>que,</w:t>
      </w:r>
      <w:r w:rsidR="00DC4E37" w:rsidRPr="0093551E">
        <w:rPr>
          <w:rFonts w:asciiTheme="majorHAnsi" w:hAnsiTheme="majorHAnsi"/>
          <w:sz w:val="20"/>
          <w:szCs w:val="20"/>
          <w:lang w:val="es-ES"/>
        </w:rPr>
        <w:t xml:space="preserve"> </w:t>
      </w:r>
      <w:r>
        <w:rPr>
          <w:rFonts w:asciiTheme="majorHAnsi" w:hAnsiTheme="majorHAnsi"/>
          <w:sz w:val="20"/>
          <w:szCs w:val="20"/>
          <w:lang w:val="es-ES"/>
        </w:rPr>
        <w:t xml:space="preserve">sus familiares </w:t>
      </w:r>
      <w:r w:rsidRPr="0093551E">
        <w:rPr>
          <w:rFonts w:asciiTheme="majorHAnsi" w:hAnsiTheme="majorHAnsi"/>
          <w:sz w:val="20"/>
          <w:szCs w:val="20"/>
          <w:lang w:val="es-ES"/>
        </w:rPr>
        <w:t>denunciaron</w:t>
      </w:r>
      <w:r w:rsidR="00144A50" w:rsidRPr="0093551E">
        <w:rPr>
          <w:rFonts w:asciiTheme="majorHAnsi" w:hAnsiTheme="majorHAnsi"/>
          <w:sz w:val="20"/>
          <w:szCs w:val="20"/>
          <w:lang w:val="es-ES"/>
        </w:rPr>
        <w:t xml:space="preserve"> </w:t>
      </w:r>
      <w:r>
        <w:rPr>
          <w:rFonts w:asciiTheme="majorHAnsi" w:hAnsiTheme="majorHAnsi"/>
          <w:sz w:val="20"/>
          <w:szCs w:val="20"/>
          <w:lang w:val="es-ES"/>
        </w:rPr>
        <w:t>la desaparición</w:t>
      </w:r>
      <w:r w:rsidR="00CB4B3C" w:rsidRPr="0093551E">
        <w:rPr>
          <w:rFonts w:asciiTheme="majorHAnsi" w:hAnsiTheme="majorHAnsi"/>
          <w:sz w:val="20"/>
          <w:szCs w:val="20"/>
          <w:lang w:val="es-ES"/>
        </w:rPr>
        <w:t xml:space="preserve"> ante la Brigada de Protección a la Familia, la Policía y los medios d</w:t>
      </w:r>
      <w:r w:rsidR="008A79EA" w:rsidRPr="0093551E">
        <w:rPr>
          <w:rFonts w:asciiTheme="majorHAnsi" w:hAnsiTheme="majorHAnsi"/>
          <w:sz w:val="20"/>
          <w:szCs w:val="20"/>
          <w:lang w:val="es-ES"/>
        </w:rPr>
        <w:t>e comunicación e</w:t>
      </w:r>
      <w:r w:rsidR="006F2CA2">
        <w:rPr>
          <w:rFonts w:asciiTheme="majorHAnsi" w:hAnsiTheme="majorHAnsi"/>
          <w:sz w:val="20"/>
          <w:szCs w:val="20"/>
          <w:lang w:val="es-ES"/>
        </w:rPr>
        <w:t>se</w:t>
      </w:r>
      <w:r w:rsidR="008A79EA" w:rsidRPr="0093551E">
        <w:rPr>
          <w:rFonts w:asciiTheme="majorHAnsi" w:hAnsiTheme="majorHAnsi"/>
          <w:sz w:val="20"/>
          <w:szCs w:val="20"/>
          <w:lang w:val="es-ES"/>
        </w:rPr>
        <w:t xml:space="preserve"> mismo día.</w:t>
      </w:r>
    </w:p>
    <w:p w14:paraId="50A48CD4" w14:textId="1A23B6B3" w:rsidR="003B45B4" w:rsidRPr="0093551E" w:rsidRDefault="0055424B" w:rsidP="003B45B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3551E">
        <w:rPr>
          <w:rFonts w:asciiTheme="majorHAnsi" w:hAnsiTheme="majorHAnsi"/>
          <w:sz w:val="20"/>
          <w:szCs w:val="20"/>
          <w:lang w:val="es-ES"/>
        </w:rPr>
        <w:t>Manifiestan</w:t>
      </w:r>
      <w:r w:rsidR="00CB4B3C" w:rsidRPr="0093551E">
        <w:rPr>
          <w:rFonts w:asciiTheme="majorHAnsi" w:hAnsiTheme="majorHAnsi"/>
          <w:sz w:val="20"/>
          <w:szCs w:val="20"/>
          <w:lang w:val="es-ES"/>
        </w:rPr>
        <w:t xml:space="preserve"> </w:t>
      </w:r>
      <w:r w:rsidR="00054201" w:rsidRPr="0093551E">
        <w:rPr>
          <w:rFonts w:asciiTheme="majorHAnsi" w:hAnsiTheme="majorHAnsi"/>
          <w:sz w:val="20"/>
          <w:szCs w:val="20"/>
          <w:lang w:val="es-ES"/>
        </w:rPr>
        <w:t>que,</w:t>
      </w:r>
      <w:r w:rsidR="00CB4B3C" w:rsidRPr="0093551E">
        <w:rPr>
          <w:rFonts w:asciiTheme="majorHAnsi" w:hAnsiTheme="majorHAnsi"/>
          <w:sz w:val="20"/>
          <w:szCs w:val="20"/>
          <w:lang w:val="es-ES"/>
        </w:rPr>
        <w:t xml:space="preserve"> </w:t>
      </w:r>
      <w:r w:rsidR="00DC4E37" w:rsidRPr="0093551E">
        <w:rPr>
          <w:rFonts w:asciiTheme="majorHAnsi" w:hAnsiTheme="majorHAnsi"/>
          <w:sz w:val="20"/>
          <w:szCs w:val="20"/>
          <w:lang w:val="es-ES"/>
        </w:rPr>
        <w:t>durante los tres días siguientes, el personal docente y administrativo de la escuela desconocía la ubicación de la presunta víctima y se limitó a brindar distintas versiones de lo sucedido a los familiares</w:t>
      </w:r>
      <w:r w:rsidR="004336B4" w:rsidRPr="0093551E">
        <w:rPr>
          <w:rFonts w:asciiTheme="majorHAnsi" w:hAnsiTheme="majorHAnsi"/>
          <w:sz w:val="20"/>
          <w:szCs w:val="20"/>
          <w:lang w:val="es-ES"/>
        </w:rPr>
        <w:t>.</w:t>
      </w:r>
      <w:r w:rsidR="00EA32D9">
        <w:rPr>
          <w:rFonts w:asciiTheme="majorHAnsi" w:hAnsiTheme="majorHAnsi"/>
          <w:sz w:val="20"/>
          <w:szCs w:val="20"/>
          <w:lang w:val="es-ES"/>
        </w:rPr>
        <w:t xml:space="preserve"> I</w:t>
      </w:r>
      <w:r w:rsidR="00E34A42" w:rsidRPr="0093551E">
        <w:rPr>
          <w:rFonts w:asciiTheme="majorHAnsi" w:hAnsiTheme="majorHAnsi"/>
          <w:sz w:val="20"/>
          <w:szCs w:val="20"/>
          <w:lang w:val="es-ES"/>
        </w:rPr>
        <w:t>ndica</w:t>
      </w:r>
      <w:r w:rsidRPr="0093551E">
        <w:rPr>
          <w:rFonts w:asciiTheme="majorHAnsi" w:hAnsiTheme="majorHAnsi"/>
          <w:sz w:val="20"/>
          <w:szCs w:val="20"/>
          <w:lang w:val="es-ES"/>
        </w:rPr>
        <w:t>n</w:t>
      </w:r>
      <w:r w:rsidR="00144A50" w:rsidRPr="0093551E">
        <w:rPr>
          <w:rFonts w:asciiTheme="majorHAnsi" w:hAnsiTheme="majorHAnsi"/>
          <w:sz w:val="20"/>
          <w:szCs w:val="20"/>
          <w:lang w:val="es-ES"/>
        </w:rPr>
        <w:t xml:space="preserve"> que </w:t>
      </w:r>
      <w:r w:rsidR="00EA32D9">
        <w:rPr>
          <w:rFonts w:asciiTheme="majorHAnsi" w:hAnsiTheme="majorHAnsi"/>
          <w:sz w:val="20"/>
          <w:szCs w:val="20"/>
          <w:lang w:val="es-ES"/>
        </w:rPr>
        <w:t xml:space="preserve">la búsqueda </w:t>
      </w:r>
      <w:r w:rsidR="00144A50" w:rsidRPr="0093551E">
        <w:rPr>
          <w:rFonts w:asciiTheme="majorHAnsi" w:hAnsiTheme="majorHAnsi"/>
          <w:sz w:val="20"/>
          <w:szCs w:val="20"/>
          <w:lang w:val="es-ES"/>
        </w:rPr>
        <w:t xml:space="preserve">fue iniciada por la </w:t>
      </w:r>
      <w:r w:rsidR="00E34A42" w:rsidRPr="0093551E">
        <w:rPr>
          <w:rFonts w:asciiTheme="majorHAnsi" w:hAnsiTheme="majorHAnsi"/>
          <w:sz w:val="20"/>
          <w:szCs w:val="20"/>
          <w:lang w:val="es-ES"/>
        </w:rPr>
        <w:t>Brig</w:t>
      </w:r>
      <w:r w:rsidR="00144A50" w:rsidRPr="0093551E">
        <w:rPr>
          <w:rFonts w:asciiTheme="majorHAnsi" w:hAnsiTheme="majorHAnsi"/>
          <w:sz w:val="20"/>
          <w:szCs w:val="20"/>
          <w:lang w:val="es-ES"/>
        </w:rPr>
        <w:t>ada de Protección de la Familia</w:t>
      </w:r>
      <w:r w:rsidR="00E34A42" w:rsidRPr="0093551E">
        <w:rPr>
          <w:rFonts w:asciiTheme="majorHAnsi" w:hAnsiTheme="majorHAnsi"/>
          <w:sz w:val="20"/>
          <w:szCs w:val="20"/>
          <w:lang w:val="es-ES"/>
        </w:rPr>
        <w:t xml:space="preserve">, </w:t>
      </w:r>
      <w:r w:rsidR="00EA32D9">
        <w:rPr>
          <w:rFonts w:asciiTheme="majorHAnsi" w:hAnsiTheme="majorHAnsi"/>
          <w:sz w:val="20"/>
          <w:szCs w:val="20"/>
          <w:lang w:val="es-ES"/>
        </w:rPr>
        <w:t>que</w:t>
      </w:r>
      <w:r w:rsidR="00E34A42" w:rsidRPr="0093551E">
        <w:rPr>
          <w:rFonts w:asciiTheme="majorHAnsi" w:hAnsiTheme="majorHAnsi"/>
          <w:sz w:val="20"/>
          <w:szCs w:val="20"/>
          <w:lang w:val="es-ES"/>
        </w:rPr>
        <w:t xml:space="preserve"> realizó un operativo en Villa Pabón el 28 de agosto de 1999, sin ningún resultado favorable. Manifiestan que los padres de la presunta víctima pensaban que se trataba de un secuestro y por ello decidieron poner a la venta su casa y su carro para poder pagar </w:t>
      </w:r>
      <w:r w:rsidR="00787111" w:rsidRPr="0093551E">
        <w:rPr>
          <w:rFonts w:asciiTheme="majorHAnsi" w:hAnsiTheme="majorHAnsi"/>
          <w:sz w:val="20"/>
          <w:szCs w:val="20"/>
          <w:lang w:val="es-ES"/>
        </w:rPr>
        <w:t>su rescate</w:t>
      </w:r>
      <w:r w:rsidR="00E34A42" w:rsidRPr="0093551E">
        <w:rPr>
          <w:rFonts w:asciiTheme="majorHAnsi" w:hAnsiTheme="majorHAnsi"/>
          <w:sz w:val="20"/>
          <w:szCs w:val="20"/>
          <w:lang w:val="es-ES"/>
        </w:rPr>
        <w:t>.</w:t>
      </w:r>
      <w:r w:rsidR="00776FF7" w:rsidRPr="0093551E">
        <w:rPr>
          <w:rFonts w:asciiTheme="majorHAnsi" w:hAnsiTheme="majorHAnsi"/>
          <w:sz w:val="20"/>
          <w:szCs w:val="20"/>
          <w:lang w:val="es-ES"/>
        </w:rPr>
        <w:t xml:space="preserve"> </w:t>
      </w:r>
      <w:r w:rsidR="0087712D">
        <w:rPr>
          <w:rFonts w:asciiTheme="majorHAnsi" w:hAnsiTheme="majorHAnsi"/>
          <w:sz w:val="20"/>
          <w:szCs w:val="20"/>
          <w:lang w:val="es-ES"/>
        </w:rPr>
        <w:t xml:space="preserve">Indican que </w:t>
      </w:r>
      <w:r w:rsidR="00776FF7" w:rsidRPr="0093551E">
        <w:rPr>
          <w:rFonts w:asciiTheme="majorHAnsi" w:hAnsiTheme="majorHAnsi"/>
          <w:sz w:val="20"/>
          <w:szCs w:val="20"/>
          <w:lang w:val="es-ES"/>
        </w:rPr>
        <w:t>el 31 de agosto de 1999</w:t>
      </w:r>
      <w:r w:rsidR="004D0CB5" w:rsidRPr="0093551E">
        <w:rPr>
          <w:rFonts w:asciiTheme="majorHAnsi" w:hAnsiTheme="majorHAnsi"/>
          <w:sz w:val="20"/>
          <w:szCs w:val="20"/>
          <w:lang w:val="es-ES"/>
        </w:rPr>
        <w:t>, una de las porteras de la</w:t>
      </w:r>
      <w:r w:rsidR="00787111" w:rsidRPr="0093551E">
        <w:rPr>
          <w:rFonts w:asciiTheme="majorHAnsi" w:hAnsiTheme="majorHAnsi"/>
          <w:sz w:val="20"/>
          <w:szCs w:val="20"/>
          <w:lang w:val="es-ES"/>
        </w:rPr>
        <w:t xml:space="preserve"> </w:t>
      </w:r>
      <w:r w:rsidR="004D0CB5" w:rsidRPr="0093551E">
        <w:rPr>
          <w:rFonts w:asciiTheme="majorHAnsi" w:hAnsiTheme="majorHAnsi"/>
          <w:sz w:val="20"/>
          <w:szCs w:val="20"/>
          <w:lang w:val="es-ES"/>
        </w:rPr>
        <w:t>escuela, descubri</w:t>
      </w:r>
      <w:r w:rsidR="00787111" w:rsidRPr="0093551E">
        <w:rPr>
          <w:rFonts w:asciiTheme="majorHAnsi" w:hAnsiTheme="majorHAnsi"/>
          <w:sz w:val="20"/>
          <w:szCs w:val="20"/>
          <w:lang w:val="es-ES"/>
        </w:rPr>
        <w:t xml:space="preserve">ó el </w:t>
      </w:r>
      <w:r w:rsidR="004D0CB5" w:rsidRPr="0093551E">
        <w:rPr>
          <w:rFonts w:asciiTheme="majorHAnsi" w:hAnsiTheme="majorHAnsi"/>
          <w:sz w:val="20"/>
          <w:szCs w:val="20"/>
          <w:lang w:val="es-ES"/>
        </w:rPr>
        <w:t xml:space="preserve">cuerpo sin vida </w:t>
      </w:r>
      <w:r w:rsidR="00787111" w:rsidRPr="0093551E">
        <w:rPr>
          <w:rFonts w:asciiTheme="majorHAnsi" w:hAnsiTheme="majorHAnsi"/>
          <w:sz w:val="20"/>
          <w:szCs w:val="20"/>
          <w:lang w:val="es-ES"/>
        </w:rPr>
        <w:t xml:space="preserve">de la presunta víctima </w:t>
      </w:r>
      <w:r w:rsidR="007A5846" w:rsidRPr="0093551E">
        <w:rPr>
          <w:rFonts w:asciiTheme="majorHAnsi" w:hAnsiTheme="majorHAnsi"/>
          <w:sz w:val="20"/>
          <w:szCs w:val="20"/>
          <w:lang w:val="es-ES"/>
        </w:rPr>
        <w:t>con signos de violencia sexual y asfixia por estrangulamiento</w:t>
      </w:r>
      <w:r w:rsidR="006F2CA2">
        <w:rPr>
          <w:rFonts w:asciiTheme="majorHAnsi" w:hAnsiTheme="majorHAnsi"/>
          <w:sz w:val="20"/>
          <w:szCs w:val="20"/>
          <w:lang w:val="es-ES"/>
        </w:rPr>
        <w:t>,</w:t>
      </w:r>
      <w:r w:rsidR="007A5846" w:rsidRPr="0093551E">
        <w:rPr>
          <w:rFonts w:asciiTheme="majorHAnsi" w:hAnsiTheme="majorHAnsi"/>
          <w:sz w:val="20"/>
          <w:szCs w:val="20"/>
          <w:lang w:val="es-ES"/>
        </w:rPr>
        <w:t xml:space="preserve"> </w:t>
      </w:r>
      <w:r w:rsidR="004D0CB5" w:rsidRPr="0093551E">
        <w:rPr>
          <w:rFonts w:asciiTheme="majorHAnsi" w:hAnsiTheme="majorHAnsi"/>
          <w:sz w:val="20"/>
          <w:szCs w:val="20"/>
          <w:lang w:val="es-ES"/>
        </w:rPr>
        <w:t>en el depósito de deportes</w:t>
      </w:r>
      <w:r w:rsidR="006F2CA2">
        <w:rPr>
          <w:rFonts w:asciiTheme="majorHAnsi" w:hAnsiTheme="majorHAnsi"/>
          <w:sz w:val="20"/>
          <w:szCs w:val="20"/>
          <w:lang w:val="es-ES"/>
        </w:rPr>
        <w:t xml:space="preserve"> del colegio</w:t>
      </w:r>
      <w:r w:rsidR="004D0CB5" w:rsidRPr="0093551E">
        <w:rPr>
          <w:rFonts w:asciiTheme="majorHAnsi" w:hAnsiTheme="majorHAnsi"/>
          <w:sz w:val="20"/>
          <w:szCs w:val="20"/>
          <w:lang w:val="es-ES"/>
        </w:rPr>
        <w:t xml:space="preserve">. </w:t>
      </w:r>
      <w:r w:rsidR="003B45B4">
        <w:rPr>
          <w:rFonts w:asciiTheme="majorHAnsi" w:hAnsiTheme="majorHAnsi"/>
          <w:sz w:val="20"/>
          <w:szCs w:val="20"/>
          <w:lang w:val="es-ES"/>
        </w:rPr>
        <w:t>En consecuencia</w:t>
      </w:r>
      <w:r w:rsidRPr="0093551E">
        <w:rPr>
          <w:rFonts w:asciiTheme="majorHAnsi" w:hAnsiTheme="majorHAnsi"/>
          <w:sz w:val="20"/>
          <w:szCs w:val="20"/>
          <w:lang w:val="es-ES"/>
        </w:rPr>
        <w:t xml:space="preserve">, </w:t>
      </w:r>
      <w:r w:rsidR="003B45B4">
        <w:rPr>
          <w:rFonts w:asciiTheme="majorHAnsi" w:hAnsiTheme="majorHAnsi"/>
          <w:sz w:val="20"/>
          <w:szCs w:val="20"/>
          <w:lang w:val="es-ES"/>
        </w:rPr>
        <w:t>sostienen</w:t>
      </w:r>
      <w:r w:rsidRPr="0093551E">
        <w:rPr>
          <w:rFonts w:asciiTheme="majorHAnsi" w:hAnsiTheme="majorHAnsi"/>
          <w:sz w:val="20"/>
          <w:szCs w:val="20"/>
          <w:lang w:val="es-ES"/>
        </w:rPr>
        <w:t xml:space="preserve"> que tanto la Brigada de Pro</w:t>
      </w:r>
      <w:r w:rsidR="00144A50" w:rsidRPr="0093551E">
        <w:rPr>
          <w:rFonts w:asciiTheme="majorHAnsi" w:hAnsiTheme="majorHAnsi"/>
          <w:sz w:val="20"/>
          <w:szCs w:val="20"/>
          <w:lang w:val="es-ES"/>
        </w:rPr>
        <w:t xml:space="preserve">tección a la Familia como la Policía Técnica Judicial (en adelante, </w:t>
      </w:r>
      <w:r w:rsidR="00787111" w:rsidRPr="0093551E">
        <w:rPr>
          <w:rFonts w:asciiTheme="majorHAnsi" w:hAnsiTheme="majorHAnsi"/>
          <w:sz w:val="20"/>
          <w:szCs w:val="20"/>
          <w:lang w:val="es-ES"/>
        </w:rPr>
        <w:t xml:space="preserve">la </w:t>
      </w:r>
      <w:r w:rsidR="00144A50" w:rsidRPr="0093551E">
        <w:rPr>
          <w:rFonts w:asciiTheme="majorHAnsi" w:hAnsiTheme="majorHAnsi"/>
          <w:sz w:val="20"/>
          <w:szCs w:val="20"/>
          <w:lang w:val="es-ES"/>
        </w:rPr>
        <w:t xml:space="preserve">PTJ) </w:t>
      </w:r>
      <w:r w:rsidRPr="0093551E">
        <w:rPr>
          <w:rFonts w:asciiTheme="majorHAnsi" w:hAnsiTheme="majorHAnsi"/>
          <w:sz w:val="20"/>
          <w:szCs w:val="20"/>
          <w:lang w:val="es-ES"/>
        </w:rPr>
        <w:t>realizaron una deficiente b</w:t>
      </w:r>
      <w:r w:rsidRPr="0093551E">
        <w:rPr>
          <w:rFonts w:asciiTheme="majorHAnsi" w:hAnsiTheme="majorHAnsi"/>
          <w:sz w:val="20"/>
          <w:szCs w:val="20"/>
          <w:lang w:val="es-ES" w:eastAsia="ja-JP"/>
        </w:rPr>
        <w:t xml:space="preserve">úsqueda ya que no chequearon minuciosamente la escuela a la que </w:t>
      </w:r>
      <w:r w:rsidR="00787111" w:rsidRPr="0093551E">
        <w:rPr>
          <w:rFonts w:asciiTheme="majorHAnsi" w:hAnsiTheme="majorHAnsi"/>
          <w:sz w:val="20"/>
          <w:szCs w:val="20"/>
          <w:lang w:val="es-ES" w:eastAsia="ja-JP"/>
        </w:rPr>
        <w:t>asistía y donde finalmente apareció su cuerpo sin vida.</w:t>
      </w:r>
    </w:p>
    <w:p w14:paraId="0A588B1C" w14:textId="7D639D3F" w:rsidR="003B45B4" w:rsidRPr="0093551E" w:rsidRDefault="003B45B4" w:rsidP="00607D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Refieren</w:t>
      </w:r>
      <w:r w:rsidRPr="0093551E">
        <w:rPr>
          <w:rFonts w:asciiTheme="majorHAnsi" w:hAnsiTheme="majorHAnsi"/>
          <w:sz w:val="20"/>
          <w:szCs w:val="20"/>
          <w:lang w:val="es-ES"/>
        </w:rPr>
        <w:t xml:space="preserve"> </w:t>
      </w:r>
      <w:r>
        <w:rPr>
          <w:rFonts w:asciiTheme="majorHAnsi" w:hAnsiTheme="majorHAnsi"/>
          <w:sz w:val="20"/>
          <w:szCs w:val="20"/>
          <w:lang w:val="es-ES"/>
        </w:rPr>
        <w:t xml:space="preserve">además </w:t>
      </w:r>
      <w:r w:rsidRPr="0093551E">
        <w:rPr>
          <w:rFonts w:asciiTheme="majorHAnsi" w:hAnsiTheme="majorHAnsi"/>
          <w:sz w:val="20"/>
          <w:szCs w:val="20"/>
          <w:lang w:val="es-ES"/>
        </w:rPr>
        <w:t xml:space="preserve">que la PTJ no realizó una búsqueda inmediata </w:t>
      </w:r>
      <w:r>
        <w:rPr>
          <w:rFonts w:asciiTheme="majorHAnsi" w:hAnsiTheme="majorHAnsi"/>
          <w:sz w:val="20"/>
          <w:szCs w:val="20"/>
          <w:lang w:val="es-ES"/>
        </w:rPr>
        <w:t xml:space="preserve">aduciendo que </w:t>
      </w:r>
      <w:r w:rsidRPr="0093551E">
        <w:rPr>
          <w:rFonts w:asciiTheme="majorHAnsi" w:hAnsiTheme="majorHAnsi"/>
          <w:sz w:val="20"/>
          <w:szCs w:val="20"/>
          <w:lang w:val="es-ES"/>
        </w:rPr>
        <w:t xml:space="preserve">no fueron los </w:t>
      </w:r>
      <w:r>
        <w:rPr>
          <w:rFonts w:asciiTheme="majorHAnsi" w:hAnsiTheme="majorHAnsi"/>
          <w:sz w:val="20"/>
          <w:szCs w:val="20"/>
          <w:lang w:val="es-ES"/>
        </w:rPr>
        <w:t>padres</w:t>
      </w:r>
      <w:r w:rsidRPr="0093551E">
        <w:rPr>
          <w:rFonts w:asciiTheme="majorHAnsi" w:hAnsiTheme="majorHAnsi"/>
          <w:sz w:val="20"/>
          <w:szCs w:val="20"/>
          <w:lang w:val="es-ES"/>
        </w:rPr>
        <w:t xml:space="preserve"> de la </w:t>
      </w:r>
      <w:r>
        <w:rPr>
          <w:rFonts w:asciiTheme="majorHAnsi" w:hAnsiTheme="majorHAnsi"/>
          <w:sz w:val="20"/>
          <w:szCs w:val="20"/>
          <w:lang w:val="es-ES"/>
        </w:rPr>
        <w:t>niña</w:t>
      </w:r>
      <w:r w:rsidRPr="0093551E">
        <w:rPr>
          <w:rFonts w:asciiTheme="majorHAnsi" w:hAnsiTheme="majorHAnsi"/>
          <w:sz w:val="20"/>
          <w:szCs w:val="20"/>
          <w:lang w:val="es-ES"/>
        </w:rPr>
        <w:t xml:space="preserve"> los que denunciaron los hechos, sino una tía.</w:t>
      </w:r>
      <w:r>
        <w:rPr>
          <w:rFonts w:asciiTheme="majorHAnsi" w:hAnsiTheme="majorHAnsi"/>
          <w:sz w:val="20"/>
          <w:szCs w:val="20"/>
          <w:lang w:val="es-ES"/>
        </w:rPr>
        <w:t xml:space="preserve"> Sostienen </w:t>
      </w:r>
      <w:r w:rsidR="00054201">
        <w:rPr>
          <w:rFonts w:asciiTheme="majorHAnsi" w:hAnsiTheme="majorHAnsi"/>
          <w:sz w:val="20"/>
          <w:szCs w:val="20"/>
          <w:lang w:val="es-ES"/>
        </w:rPr>
        <w:t>que,</w:t>
      </w:r>
      <w:r>
        <w:rPr>
          <w:rFonts w:asciiTheme="majorHAnsi" w:hAnsiTheme="majorHAnsi"/>
          <w:sz w:val="20"/>
          <w:szCs w:val="20"/>
          <w:lang w:val="es-ES"/>
        </w:rPr>
        <w:t xml:space="preserve"> frente a esa negativa,</w:t>
      </w:r>
      <w:r w:rsidRPr="0093551E">
        <w:rPr>
          <w:rFonts w:asciiTheme="majorHAnsi" w:hAnsiTheme="majorHAnsi"/>
          <w:sz w:val="20"/>
          <w:szCs w:val="20"/>
          <w:lang w:val="es-ES"/>
        </w:rPr>
        <w:t xml:space="preserve"> el 30 de agosto de 1999, los padres de la presunta víctima asistieron a las instalaciones de la PTJ a realizar la denuncia, y </w:t>
      </w:r>
      <w:r>
        <w:rPr>
          <w:rFonts w:asciiTheme="majorHAnsi" w:hAnsiTheme="majorHAnsi"/>
          <w:sz w:val="20"/>
          <w:szCs w:val="20"/>
          <w:lang w:val="es-ES"/>
        </w:rPr>
        <w:t xml:space="preserve">que recién </w:t>
      </w:r>
      <w:r w:rsidRPr="0093551E">
        <w:rPr>
          <w:rFonts w:asciiTheme="majorHAnsi" w:hAnsiTheme="majorHAnsi"/>
          <w:sz w:val="20"/>
          <w:szCs w:val="20"/>
          <w:lang w:val="es-ES"/>
        </w:rPr>
        <w:t xml:space="preserve">el 31 de agosto de 1999, se asignó un investigador al caso. </w:t>
      </w:r>
      <w:r>
        <w:rPr>
          <w:rFonts w:asciiTheme="majorHAnsi" w:hAnsiTheme="majorHAnsi"/>
          <w:sz w:val="20"/>
          <w:szCs w:val="20"/>
          <w:lang w:val="es-ES"/>
        </w:rPr>
        <w:t>Manifiestan</w:t>
      </w:r>
      <w:r w:rsidRPr="0093551E">
        <w:rPr>
          <w:rFonts w:asciiTheme="majorHAnsi" w:hAnsiTheme="majorHAnsi"/>
          <w:sz w:val="20"/>
          <w:szCs w:val="20"/>
          <w:lang w:val="es-ES"/>
        </w:rPr>
        <w:t xml:space="preserve"> que esta demora en la investigación fue crucial, </w:t>
      </w:r>
      <w:r w:rsidR="00054201" w:rsidRPr="0093551E">
        <w:rPr>
          <w:rFonts w:asciiTheme="majorHAnsi" w:hAnsiTheme="majorHAnsi"/>
          <w:sz w:val="20"/>
          <w:szCs w:val="20"/>
          <w:lang w:val="es-ES"/>
        </w:rPr>
        <w:t>ya que,</w:t>
      </w:r>
      <w:r w:rsidRPr="0093551E">
        <w:rPr>
          <w:rFonts w:asciiTheme="majorHAnsi" w:hAnsiTheme="majorHAnsi"/>
          <w:sz w:val="20"/>
          <w:szCs w:val="20"/>
          <w:lang w:val="es-ES"/>
        </w:rPr>
        <w:t xml:space="preserve"> de acuerdo al análisis médico forense, la presunta víctima se encontraba con vida al 30 de agosto de 1999. Por lo tanto, aducen </w:t>
      </w:r>
      <w:r w:rsidR="00054201" w:rsidRPr="0093551E">
        <w:rPr>
          <w:rFonts w:asciiTheme="majorHAnsi" w:hAnsiTheme="majorHAnsi"/>
          <w:sz w:val="20"/>
          <w:szCs w:val="20"/>
          <w:lang w:val="es-ES"/>
        </w:rPr>
        <w:t>que,</w:t>
      </w:r>
      <w:r w:rsidRPr="0093551E">
        <w:rPr>
          <w:rFonts w:asciiTheme="majorHAnsi" w:hAnsiTheme="majorHAnsi"/>
          <w:sz w:val="20"/>
          <w:szCs w:val="20"/>
          <w:lang w:val="es-ES"/>
        </w:rPr>
        <w:t xml:space="preserve"> si el organismo policial hubiese actuado de manera oficiosa e inmediata, sin solicitar trámites innecesarios a los familiares, realiza</w:t>
      </w:r>
      <w:r>
        <w:rPr>
          <w:rFonts w:asciiTheme="majorHAnsi" w:hAnsiTheme="majorHAnsi"/>
          <w:sz w:val="20"/>
          <w:szCs w:val="20"/>
          <w:lang w:val="es-ES"/>
        </w:rPr>
        <w:t>n</w:t>
      </w:r>
      <w:r w:rsidRPr="0093551E">
        <w:rPr>
          <w:rFonts w:asciiTheme="majorHAnsi" w:hAnsiTheme="majorHAnsi"/>
          <w:sz w:val="20"/>
          <w:szCs w:val="20"/>
          <w:lang w:val="es-ES"/>
        </w:rPr>
        <w:t xml:space="preserve">do una búsqueda adecuada, probablemente se </w:t>
      </w:r>
      <w:r>
        <w:rPr>
          <w:rFonts w:asciiTheme="majorHAnsi" w:hAnsiTheme="majorHAnsi"/>
          <w:sz w:val="20"/>
          <w:szCs w:val="20"/>
          <w:lang w:val="es-ES"/>
        </w:rPr>
        <w:t xml:space="preserve">evitaban </w:t>
      </w:r>
      <w:r w:rsidRPr="0093551E">
        <w:rPr>
          <w:rFonts w:asciiTheme="majorHAnsi" w:hAnsiTheme="majorHAnsi"/>
          <w:sz w:val="20"/>
          <w:szCs w:val="20"/>
          <w:lang w:val="es-ES"/>
        </w:rPr>
        <w:t>los hechos que da</w:t>
      </w:r>
      <w:r>
        <w:rPr>
          <w:rFonts w:asciiTheme="majorHAnsi" w:hAnsiTheme="majorHAnsi"/>
          <w:sz w:val="20"/>
          <w:szCs w:val="20"/>
          <w:lang w:val="es-ES"/>
        </w:rPr>
        <w:t>n origen a esta petición</w:t>
      </w:r>
      <w:r w:rsidRPr="0093551E">
        <w:rPr>
          <w:rFonts w:asciiTheme="majorHAnsi" w:hAnsiTheme="majorHAnsi"/>
          <w:sz w:val="20"/>
          <w:szCs w:val="20"/>
          <w:lang w:val="es-ES"/>
        </w:rPr>
        <w:t>, por lo que el Estado evidencia su falta de responsabilidad respecto del deber de prevención y debida diligencia en materia de investigación.</w:t>
      </w:r>
    </w:p>
    <w:p w14:paraId="409628F6" w14:textId="1C699D3A" w:rsidR="00607D61" w:rsidRPr="0093551E" w:rsidRDefault="00607D61" w:rsidP="00E1056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3551E">
        <w:rPr>
          <w:rFonts w:asciiTheme="majorHAnsi" w:hAnsiTheme="majorHAnsi"/>
          <w:sz w:val="20"/>
          <w:szCs w:val="20"/>
          <w:lang w:val="es-ES"/>
        </w:rPr>
        <w:t xml:space="preserve">Señalan que la presunta víctima era la menor de tres hermanas y cursaba el tercer año de primaria al momento de su muerte. </w:t>
      </w:r>
      <w:r w:rsidR="00052D89">
        <w:rPr>
          <w:rFonts w:asciiTheme="majorHAnsi" w:hAnsiTheme="majorHAnsi"/>
          <w:sz w:val="20"/>
          <w:szCs w:val="20"/>
          <w:lang w:val="es-ES"/>
        </w:rPr>
        <w:t>Afirman que a</w:t>
      </w:r>
      <w:r w:rsidR="008A20BA">
        <w:rPr>
          <w:rFonts w:asciiTheme="majorHAnsi" w:hAnsiTheme="majorHAnsi"/>
          <w:sz w:val="20"/>
          <w:szCs w:val="20"/>
          <w:lang w:val="es-ES"/>
        </w:rPr>
        <w:t xml:space="preserve"> raíz del trágic</w:t>
      </w:r>
      <w:r w:rsidR="00702C01">
        <w:rPr>
          <w:rFonts w:asciiTheme="majorHAnsi" w:hAnsiTheme="majorHAnsi"/>
          <w:sz w:val="20"/>
          <w:szCs w:val="20"/>
          <w:lang w:val="es-ES"/>
        </w:rPr>
        <w:t>o deceso y los procesos judiciales posteriores</w:t>
      </w:r>
      <w:r w:rsidRPr="0093551E">
        <w:rPr>
          <w:rFonts w:asciiTheme="majorHAnsi" w:hAnsiTheme="majorHAnsi"/>
          <w:sz w:val="20"/>
          <w:szCs w:val="20"/>
          <w:lang w:val="es-ES"/>
        </w:rPr>
        <w:t xml:space="preserve">, </w:t>
      </w:r>
      <w:r w:rsidR="00E45AA7">
        <w:rPr>
          <w:rFonts w:asciiTheme="majorHAnsi" w:hAnsiTheme="majorHAnsi"/>
          <w:sz w:val="20"/>
          <w:szCs w:val="20"/>
          <w:lang w:val="es-ES"/>
        </w:rPr>
        <w:t>los</w:t>
      </w:r>
      <w:r w:rsidRPr="0093551E">
        <w:rPr>
          <w:rFonts w:asciiTheme="majorHAnsi" w:hAnsiTheme="majorHAnsi"/>
          <w:sz w:val="20"/>
          <w:szCs w:val="20"/>
          <w:lang w:val="es-ES"/>
        </w:rPr>
        <w:t xml:space="preserve"> padres </w:t>
      </w:r>
      <w:r w:rsidR="00702C01" w:rsidRPr="0093551E">
        <w:rPr>
          <w:rFonts w:asciiTheme="majorHAnsi" w:hAnsiTheme="majorHAnsi"/>
          <w:sz w:val="20"/>
          <w:szCs w:val="20"/>
          <w:lang w:val="es-ES"/>
        </w:rPr>
        <w:t xml:space="preserve">tomaron la decisión de divorciarse </w:t>
      </w:r>
      <w:r w:rsidR="00702C01">
        <w:rPr>
          <w:rFonts w:asciiTheme="majorHAnsi" w:hAnsiTheme="majorHAnsi"/>
          <w:sz w:val="20"/>
          <w:szCs w:val="20"/>
          <w:lang w:val="es-ES"/>
        </w:rPr>
        <w:t>y</w:t>
      </w:r>
      <w:r w:rsidRPr="0093551E">
        <w:rPr>
          <w:rFonts w:asciiTheme="majorHAnsi" w:hAnsiTheme="majorHAnsi"/>
          <w:sz w:val="20"/>
          <w:szCs w:val="20"/>
          <w:lang w:val="es-ES"/>
        </w:rPr>
        <w:t xml:space="preserve"> su ento</w:t>
      </w:r>
      <w:r w:rsidR="00E45AA7">
        <w:rPr>
          <w:rFonts w:asciiTheme="majorHAnsi" w:hAnsiTheme="majorHAnsi"/>
          <w:sz w:val="20"/>
          <w:szCs w:val="20"/>
          <w:lang w:val="es-ES"/>
        </w:rPr>
        <w:t xml:space="preserve">rno familiar </w:t>
      </w:r>
      <w:r w:rsidR="00702C01">
        <w:rPr>
          <w:rFonts w:asciiTheme="majorHAnsi" w:hAnsiTheme="majorHAnsi"/>
          <w:sz w:val="20"/>
          <w:szCs w:val="20"/>
          <w:lang w:val="es-ES"/>
        </w:rPr>
        <w:t xml:space="preserve">sufrió serias </w:t>
      </w:r>
      <w:r w:rsidR="00E45AA7">
        <w:rPr>
          <w:rFonts w:asciiTheme="majorHAnsi" w:hAnsiTheme="majorHAnsi"/>
          <w:sz w:val="20"/>
          <w:szCs w:val="20"/>
          <w:lang w:val="es-ES"/>
        </w:rPr>
        <w:t>modifica</w:t>
      </w:r>
      <w:r w:rsidR="00702C01">
        <w:rPr>
          <w:rFonts w:asciiTheme="majorHAnsi" w:hAnsiTheme="majorHAnsi"/>
          <w:sz w:val="20"/>
          <w:szCs w:val="20"/>
          <w:lang w:val="es-ES"/>
        </w:rPr>
        <w:t>ciones. I</w:t>
      </w:r>
      <w:r w:rsidR="00052D89">
        <w:rPr>
          <w:rFonts w:asciiTheme="majorHAnsi" w:hAnsiTheme="majorHAnsi"/>
          <w:sz w:val="20"/>
          <w:szCs w:val="20"/>
          <w:lang w:val="es-ES"/>
        </w:rPr>
        <w:t>ndican que</w:t>
      </w:r>
      <w:r w:rsidR="007A3E2A">
        <w:rPr>
          <w:rFonts w:asciiTheme="majorHAnsi" w:hAnsiTheme="majorHAnsi"/>
          <w:sz w:val="20"/>
          <w:szCs w:val="20"/>
          <w:lang w:val="es-ES"/>
        </w:rPr>
        <w:t>,</w:t>
      </w:r>
      <w:r w:rsidR="00052D89">
        <w:rPr>
          <w:rFonts w:asciiTheme="majorHAnsi" w:hAnsiTheme="majorHAnsi"/>
          <w:sz w:val="20"/>
          <w:szCs w:val="20"/>
          <w:lang w:val="es-ES"/>
        </w:rPr>
        <w:t xml:space="preserve"> por un </w:t>
      </w:r>
      <w:r w:rsidR="007A3E2A">
        <w:rPr>
          <w:rFonts w:asciiTheme="majorHAnsi" w:hAnsiTheme="majorHAnsi"/>
          <w:sz w:val="20"/>
          <w:szCs w:val="20"/>
          <w:lang w:val="es-ES"/>
        </w:rPr>
        <w:t>lado,</w:t>
      </w:r>
      <w:r w:rsidR="00052D89">
        <w:rPr>
          <w:rFonts w:asciiTheme="majorHAnsi" w:hAnsiTheme="majorHAnsi"/>
          <w:sz w:val="20"/>
          <w:szCs w:val="20"/>
          <w:lang w:val="es-ES"/>
        </w:rPr>
        <w:t xml:space="preserve"> </w:t>
      </w:r>
      <w:r w:rsidR="00E45AA7">
        <w:rPr>
          <w:rFonts w:asciiTheme="majorHAnsi" w:hAnsiTheme="majorHAnsi"/>
          <w:sz w:val="20"/>
          <w:szCs w:val="20"/>
          <w:lang w:val="es-ES"/>
        </w:rPr>
        <w:t>el</w:t>
      </w:r>
      <w:r w:rsidRPr="0093551E">
        <w:rPr>
          <w:rFonts w:asciiTheme="majorHAnsi" w:hAnsiTheme="majorHAnsi"/>
          <w:sz w:val="20"/>
          <w:szCs w:val="20"/>
          <w:lang w:val="es-ES"/>
        </w:rPr>
        <w:t xml:space="preserve"> padre sufrió </w:t>
      </w:r>
      <w:r w:rsidR="00052D89">
        <w:rPr>
          <w:rFonts w:asciiTheme="majorHAnsi" w:hAnsiTheme="majorHAnsi"/>
          <w:sz w:val="20"/>
          <w:szCs w:val="20"/>
          <w:lang w:val="es-ES"/>
        </w:rPr>
        <w:t>una grave depresión por</w:t>
      </w:r>
      <w:r w:rsidRPr="0093551E">
        <w:rPr>
          <w:rFonts w:asciiTheme="majorHAnsi" w:hAnsiTheme="majorHAnsi"/>
          <w:sz w:val="20"/>
          <w:szCs w:val="20"/>
          <w:lang w:val="es-ES"/>
        </w:rPr>
        <w:t>que se dedicaba mayormente a la búsqueda de la verdad y justicia en el cas</w:t>
      </w:r>
      <w:r w:rsidR="007A3E2A">
        <w:rPr>
          <w:rFonts w:asciiTheme="majorHAnsi" w:hAnsiTheme="majorHAnsi"/>
          <w:sz w:val="20"/>
          <w:szCs w:val="20"/>
          <w:lang w:val="es-ES"/>
        </w:rPr>
        <w:t>o;</w:t>
      </w:r>
      <w:r w:rsidRPr="0093551E">
        <w:rPr>
          <w:rFonts w:asciiTheme="majorHAnsi" w:hAnsiTheme="majorHAnsi"/>
          <w:sz w:val="20"/>
          <w:szCs w:val="20"/>
          <w:lang w:val="es-ES"/>
        </w:rPr>
        <w:t xml:space="preserve"> y</w:t>
      </w:r>
      <w:r w:rsidR="007A3E2A">
        <w:rPr>
          <w:rFonts w:asciiTheme="majorHAnsi" w:hAnsiTheme="majorHAnsi"/>
          <w:sz w:val="20"/>
          <w:szCs w:val="20"/>
          <w:lang w:val="es-ES"/>
        </w:rPr>
        <w:t xml:space="preserve"> que</w:t>
      </w:r>
      <w:r w:rsidRPr="0093551E">
        <w:rPr>
          <w:rFonts w:asciiTheme="majorHAnsi" w:hAnsiTheme="majorHAnsi"/>
          <w:sz w:val="20"/>
          <w:szCs w:val="20"/>
          <w:lang w:val="es-ES"/>
        </w:rPr>
        <w:t xml:space="preserve"> </w:t>
      </w:r>
      <w:r w:rsidR="00E45AA7">
        <w:rPr>
          <w:rFonts w:asciiTheme="majorHAnsi" w:hAnsiTheme="majorHAnsi"/>
          <w:sz w:val="20"/>
          <w:szCs w:val="20"/>
          <w:lang w:val="es-ES"/>
        </w:rPr>
        <w:t>la</w:t>
      </w:r>
      <w:r w:rsidR="00033F5B" w:rsidRPr="0093551E">
        <w:rPr>
          <w:rFonts w:asciiTheme="majorHAnsi" w:hAnsiTheme="majorHAnsi"/>
          <w:sz w:val="20"/>
          <w:szCs w:val="20"/>
          <w:lang w:val="es-ES"/>
        </w:rPr>
        <w:t xml:space="preserve"> madre </w:t>
      </w:r>
      <w:r w:rsidRPr="0093551E">
        <w:rPr>
          <w:rFonts w:asciiTheme="majorHAnsi" w:hAnsiTheme="majorHAnsi"/>
          <w:sz w:val="20"/>
          <w:szCs w:val="20"/>
          <w:lang w:val="es-ES"/>
        </w:rPr>
        <w:t xml:space="preserve">tuvo que buscar nuevos medios para poder subsistir y costear los gastos </w:t>
      </w:r>
      <w:r w:rsidR="00E10563" w:rsidRPr="0093551E">
        <w:rPr>
          <w:rFonts w:asciiTheme="majorHAnsi" w:hAnsiTheme="majorHAnsi"/>
          <w:sz w:val="20"/>
          <w:szCs w:val="20"/>
          <w:lang w:val="es-ES"/>
        </w:rPr>
        <w:t xml:space="preserve">del proceso. </w:t>
      </w:r>
      <w:r w:rsidR="00702C01">
        <w:rPr>
          <w:rFonts w:asciiTheme="majorHAnsi" w:hAnsiTheme="majorHAnsi"/>
          <w:sz w:val="20"/>
          <w:szCs w:val="20"/>
          <w:lang w:val="es-ES"/>
        </w:rPr>
        <w:t>Relatan que s</w:t>
      </w:r>
      <w:r w:rsidR="00E10563" w:rsidRPr="0093551E">
        <w:rPr>
          <w:rFonts w:asciiTheme="majorHAnsi" w:hAnsiTheme="majorHAnsi"/>
          <w:sz w:val="20"/>
          <w:szCs w:val="20"/>
          <w:lang w:val="es-ES"/>
        </w:rPr>
        <w:t xml:space="preserve">olamente la </w:t>
      </w:r>
      <w:r w:rsidR="008A216F" w:rsidRPr="0093551E">
        <w:rPr>
          <w:rFonts w:asciiTheme="majorHAnsi" w:hAnsiTheme="majorHAnsi"/>
          <w:sz w:val="20"/>
          <w:szCs w:val="20"/>
          <w:lang w:val="es-ES"/>
        </w:rPr>
        <w:t>tía de la presunta víctima</w:t>
      </w:r>
      <w:r w:rsidR="00A81FA5" w:rsidRPr="0093551E">
        <w:rPr>
          <w:rFonts w:asciiTheme="majorHAnsi" w:hAnsiTheme="majorHAnsi"/>
          <w:sz w:val="20"/>
          <w:szCs w:val="20"/>
          <w:lang w:val="es-ES"/>
        </w:rPr>
        <w:t>, Lucía Velásquez</w:t>
      </w:r>
      <w:r w:rsidR="00E10563" w:rsidRPr="0093551E">
        <w:rPr>
          <w:rFonts w:asciiTheme="majorHAnsi" w:hAnsiTheme="majorHAnsi"/>
          <w:sz w:val="20"/>
          <w:szCs w:val="20"/>
          <w:lang w:val="es-ES"/>
        </w:rPr>
        <w:t xml:space="preserve">, se encargó de estar pendiente de los cuidados </w:t>
      </w:r>
      <w:r w:rsidR="00702C01">
        <w:rPr>
          <w:rFonts w:asciiTheme="majorHAnsi" w:hAnsiTheme="majorHAnsi"/>
          <w:sz w:val="20"/>
          <w:szCs w:val="20"/>
          <w:lang w:val="es-ES"/>
        </w:rPr>
        <w:t>del hogar y de las dos hermanas</w:t>
      </w:r>
      <w:r w:rsidR="007A3E2A">
        <w:rPr>
          <w:rFonts w:asciiTheme="majorHAnsi" w:hAnsiTheme="majorHAnsi"/>
          <w:sz w:val="20"/>
          <w:szCs w:val="20"/>
          <w:lang w:val="es-ES"/>
        </w:rPr>
        <w:t xml:space="preserve">. Señalan que los familiares de </w:t>
      </w:r>
      <w:r w:rsidR="00E10563" w:rsidRPr="0093551E">
        <w:rPr>
          <w:rFonts w:asciiTheme="majorHAnsi" w:hAnsiTheme="majorHAnsi"/>
          <w:sz w:val="20"/>
          <w:szCs w:val="20"/>
          <w:lang w:val="es-ES"/>
        </w:rPr>
        <w:t>la presunta víctima vive</w:t>
      </w:r>
      <w:r w:rsidR="007A3E2A">
        <w:rPr>
          <w:rFonts w:asciiTheme="majorHAnsi" w:hAnsiTheme="majorHAnsi"/>
          <w:sz w:val="20"/>
          <w:szCs w:val="20"/>
          <w:lang w:val="es-ES"/>
        </w:rPr>
        <w:t>n</w:t>
      </w:r>
      <w:r w:rsidR="00E10563" w:rsidRPr="0093551E">
        <w:rPr>
          <w:rFonts w:asciiTheme="majorHAnsi" w:hAnsiTheme="majorHAnsi"/>
          <w:sz w:val="20"/>
          <w:szCs w:val="20"/>
          <w:lang w:val="es-ES"/>
        </w:rPr>
        <w:t xml:space="preserve"> en condiciones </w:t>
      </w:r>
      <w:r w:rsidR="00702C01">
        <w:rPr>
          <w:rFonts w:asciiTheme="majorHAnsi" w:hAnsiTheme="majorHAnsi"/>
          <w:sz w:val="20"/>
          <w:szCs w:val="20"/>
          <w:lang w:val="es-ES"/>
        </w:rPr>
        <w:t>muy precarias</w:t>
      </w:r>
      <w:r w:rsidR="007A3E2A">
        <w:rPr>
          <w:rFonts w:asciiTheme="majorHAnsi" w:hAnsiTheme="majorHAnsi"/>
          <w:sz w:val="20"/>
          <w:szCs w:val="20"/>
          <w:lang w:val="es-ES"/>
        </w:rPr>
        <w:t xml:space="preserve">, y que además </w:t>
      </w:r>
      <w:r w:rsidR="002E76AC" w:rsidRPr="0093551E">
        <w:rPr>
          <w:rFonts w:asciiTheme="majorHAnsi" w:hAnsiTheme="majorHAnsi"/>
          <w:sz w:val="20"/>
          <w:szCs w:val="20"/>
          <w:lang w:val="es-ES"/>
        </w:rPr>
        <w:t xml:space="preserve">la falta de reconocimiento, justicia y reparación </w:t>
      </w:r>
      <w:r w:rsidR="007A3E2A">
        <w:rPr>
          <w:rFonts w:asciiTheme="majorHAnsi" w:hAnsiTheme="majorHAnsi"/>
          <w:sz w:val="20"/>
          <w:szCs w:val="20"/>
          <w:lang w:val="es-ES"/>
        </w:rPr>
        <w:t xml:space="preserve">les </w:t>
      </w:r>
      <w:r w:rsidR="002E76AC" w:rsidRPr="0093551E">
        <w:rPr>
          <w:rFonts w:asciiTheme="majorHAnsi" w:hAnsiTheme="majorHAnsi"/>
          <w:sz w:val="20"/>
          <w:szCs w:val="20"/>
          <w:lang w:val="es-ES"/>
        </w:rPr>
        <w:t>causó afectaciones psi</w:t>
      </w:r>
      <w:r w:rsidR="007A3E2A">
        <w:rPr>
          <w:rFonts w:asciiTheme="majorHAnsi" w:hAnsiTheme="majorHAnsi"/>
          <w:sz w:val="20"/>
          <w:szCs w:val="20"/>
          <w:lang w:val="es-ES"/>
        </w:rPr>
        <w:t>cológicas y morales</w:t>
      </w:r>
      <w:r w:rsidR="002E76AC" w:rsidRPr="0093551E">
        <w:rPr>
          <w:rFonts w:asciiTheme="majorHAnsi" w:hAnsiTheme="majorHAnsi"/>
          <w:sz w:val="20"/>
          <w:szCs w:val="20"/>
          <w:lang w:val="es-ES"/>
        </w:rPr>
        <w:t>.</w:t>
      </w:r>
    </w:p>
    <w:p w14:paraId="4BECB667" w14:textId="7E50A424" w:rsidR="00307FF2" w:rsidRPr="0093551E" w:rsidRDefault="00307FF2" w:rsidP="00E1056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3551E">
        <w:rPr>
          <w:rFonts w:asciiTheme="majorHAnsi" w:hAnsiTheme="majorHAnsi"/>
          <w:sz w:val="20"/>
          <w:szCs w:val="20"/>
          <w:lang w:val="es-ES"/>
        </w:rPr>
        <w:t xml:space="preserve">Sostienen que el Estado </w:t>
      </w:r>
      <w:r w:rsidR="007A3E2A">
        <w:rPr>
          <w:rFonts w:asciiTheme="majorHAnsi" w:hAnsiTheme="majorHAnsi"/>
          <w:sz w:val="20"/>
          <w:szCs w:val="20"/>
          <w:lang w:val="es-ES"/>
        </w:rPr>
        <w:t>es</w:t>
      </w:r>
      <w:r w:rsidRPr="0093551E">
        <w:rPr>
          <w:rFonts w:asciiTheme="majorHAnsi" w:hAnsiTheme="majorHAnsi"/>
          <w:sz w:val="20"/>
          <w:szCs w:val="20"/>
          <w:lang w:val="es-ES"/>
        </w:rPr>
        <w:t xml:space="preserve"> responsable por la violación del artículo 7 de la Convención de Belém do Pará, ya que los hechos de desaparición, violación, tortura y asesinato y debe</w:t>
      </w:r>
      <w:r w:rsidR="004336B4" w:rsidRPr="0093551E">
        <w:rPr>
          <w:rFonts w:asciiTheme="majorHAnsi" w:hAnsiTheme="majorHAnsi"/>
          <w:sz w:val="20"/>
          <w:szCs w:val="20"/>
          <w:lang w:val="es-ES"/>
        </w:rPr>
        <w:t>n ser considerado</w:t>
      </w:r>
      <w:r w:rsidRPr="0093551E">
        <w:rPr>
          <w:rFonts w:asciiTheme="majorHAnsi" w:hAnsiTheme="majorHAnsi"/>
          <w:sz w:val="20"/>
          <w:szCs w:val="20"/>
          <w:lang w:val="es-ES"/>
        </w:rPr>
        <w:t>s por la Comisión a partir de las obligaciones de debida diligencia para prevenir, sancionar e investigar la violencia contra niñas y adolescentes. Además, indican que existe en el caso un “deber de diligencia reforzado” en cabeza del Estado para prevenir crímenes basados en violencia de género. Ma</w:t>
      </w:r>
      <w:r w:rsidR="00DF6183" w:rsidRPr="0093551E">
        <w:rPr>
          <w:rFonts w:asciiTheme="majorHAnsi" w:hAnsiTheme="majorHAnsi"/>
          <w:sz w:val="20"/>
          <w:szCs w:val="20"/>
          <w:lang w:val="es-ES"/>
        </w:rPr>
        <w:t xml:space="preserve">nifiestan que los padres de la presunta víctima entregaron al cuidado de la escuela pública la vida e integridad de la </w:t>
      </w:r>
      <w:r w:rsidR="00F25046">
        <w:rPr>
          <w:rFonts w:asciiTheme="majorHAnsi" w:hAnsiTheme="majorHAnsi"/>
          <w:sz w:val="20"/>
          <w:szCs w:val="20"/>
          <w:lang w:val="es-ES"/>
        </w:rPr>
        <w:t>niña</w:t>
      </w:r>
      <w:r w:rsidR="00DF6183" w:rsidRPr="0093551E">
        <w:rPr>
          <w:rFonts w:asciiTheme="majorHAnsi" w:hAnsiTheme="majorHAnsi"/>
          <w:sz w:val="20"/>
          <w:szCs w:val="20"/>
          <w:lang w:val="es-ES"/>
        </w:rPr>
        <w:t xml:space="preserve">, bajo la presunción de que los </w:t>
      </w:r>
      <w:r w:rsidR="00DF6183" w:rsidRPr="0093551E">
        <w:rPr>
          <w:rFonts w:asciiTheme="majorHAnsi" w:hAnsiTheme="majorHAnsi"/>
          <w:sz w:val="20"/>
          <w:szCs w:val="20"/>
          <w:lang w:val="es-ES"/>
        </w:rPr>
        <w:lastRenderedPageBreak/>
        <w:t xml:space="preserve">agentes </w:t>
      </w:r>
      <w:r w:rsidR="00F25046">
        <w:rPr>
          <w:rFonts w:asciiTheme="majorHAnsi" w:hAnsiTheme="majorHAnsi"/>
          <w:sz w:val="20"/>
          <w:szCs w:val="20"/>
          <w:lang w:val="es-ES"/>
        </w:rPr>
        <w:t>escolares</w:t>
      </w:r>
      <w:r w:rsidR="00DF6183" w:rsidRPr="0093551E">
        <w:rPr>
          <w:rFonts w:asciiTheme="majorHAnsi" w:hAnsiTheme="majorHAnsi"/>
          <w:sz w:val="20"/>
          <w:szCs w:val="20"/>
          <w:lang w:val="es-ES"/>
        </w:rPr>
        <w:t xml:space="preserve"> </w:t>
      </w:r>
      <w:r w:rsidR="00F25046">
        <w:rPr>
          <w:rFonts w:asciiTheme="majorHAnsi" w:hAnsiTheme="majorHAnsi"/>
          <w:sz w:val="20"/>
          <w:szCs w:val="20"/>
          <w:lang w:val="es-ES"/>
        </w:rPr>
        <w:t>eran</w:t>
      </w:r>
      <w:r w:rsidR="00DF6183" w:rsidRPr="0093551E">
        <w:rPr>
          <w:rFonts w:asciiTheme="majorHAnsi" w:hAnsiTheme="majorHAnsi"/>
          <w:sz w:val="20"/>
          <w:szCs w:val="20"/>
          <w:lang w:val="es-ES"/>
        </w:rPr>
        <w:t xml:space="preserve"> los garantes activos del derecho a la educación y desarrollo integral de la </w:t>
      </w:r>
      <w:r w:rsidR="00F25046">
        <w:rPr>
          <w:rFonts w:asciiTheme="majorHAnsi" w:hAnsiTheme="majorHAnsi"/>
          <w:sz w:val="20"/>
          <w:szCs w:val="20"/>
          <w:lang w:val="es-ES"/>
        </w:rPr>
        <w:t xml:space="preserve">niñez </w:t>
      </w:r>
      <w:r w:rsidR="00DF6183" w:rsidRPr="0093551E">
        <w:rPr>
          <w:rFonts w:asciiTheme="majorHAnsi" w:hAnsiTheme="majorHAnsi"/>
          <w:sz w:val="20"/>
          <w:szCs w:val="20"/>
          <w:lang w:val="es-ES"/>
        </w:rPr>
        <w:t>bajo su cuidado.</w:t>
      </w:r>
      <w:r w:rsidR="001C7089" w:rsidRPr="0093551E">
        <w:rPr>
          <w:rFonts w:asciiTheme="majorHAnsi" w:hAnsiTheme="majorHAnsi"/>
          <w:sz w:val="20"/>
          <w:szCs w:val="20"/>
          <w:lang w:val="es-ES"/>
        </w:rPr>
        <w:t xml:space="preserve"> </w:t>
      </w:r>
    </w:p>
    <w:p w14:paraId="4AFD400C" w14:textId="0A2F9A3A" w:rsidR="0055424B" w:rsidRPr="003B45B4" w:rsidRDefault="008D526D" w:rsidP="003B45B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3551E">
        <w:rPr>
          <w:rFonts w:asciiTheme="majorHAnsi" w:hAnsiTheme="majorHAnsi"/>
          <w:sz w:val="20"/>
          <w:szCs w:val="20"/>
          <w:lang w:val="es-ES" w:eastAsia="ja-JP"/>
        </w:rPr>
        <w:t>Indican que</w:t>
      </w:r>
      <w:r w:rsidR="00F25046">
        <w:rPr>
          <w:rFonts w:asciiTheme="majorHAnsi" w:hAnsiTheme="majorHAnsi"/>
          <w:sz w:val="20"/>
          <w:szCs w:val="20"/>
          <w:lang w:val="es-ES" w:eastAsia="ja-JP"/>
        </w:rPr>
        <w:t>,</w:t>
      </w:r>
      <w:r w:rsidRPr="0093551E">
        <w:rPr>
          <w:rFonts w:asciiTheme="majorHAnsi" w:hAnsiTheme="majorHAnsi"/>
          <w:sz w:val="20"/>
          <w:szCs w:val="20"/>
          <w:lang w:val="es-ES" w:eastAsia="ja-JP"/>
        </w:rPr>
        <w:t xml:space="preserve"> si bien </w:t>
      </w:r>
      <w:r w:rsidR="00702C01">
        <w:rPr>
          <w:rFonts w:asciiTheme="majorHAnsi" w:hAnsiTheme="majorHAnsi"/>
          <w:sz w:val="20"/>
          <w:szCs w:val="20"/>
          <w:lang w:val="es-ES" w:eastAsia="ja-JP"/>
        </w:rPr>
        <w:t>se</w:t>
      </w:r>
      <w:r w:rsidRPr="0093551E">
        <w:rPr>
          <w:rFonts w:asciiTheme="majorHAnsi" w:hAnsiTheme="majorHAnsi"/>
          <w:sz w:val="20"/>
          <w:szCs w:val="20"/>
          <w:lang w:val="es-ES" w:eastAsia="ja-JP"/>
        </w:rPr>
        <w:t xml:space="preserve"> inició una investigación por el asesinato y violación sexual de la presunta víctima, ésta presentó desde sus inicios diversas deficiencias, irregularidades por </w:t>
      </w:r>
      <w:r w:rsidR="0026159D">
        <w:rPr>
          <w:rFonts w:asciiTheme="majorHAnsi" w:hAnsiTheme="majorHAnsi"/>
          <w:sz w:val="20"/>
          <w:szCs w:val="20"/>
          <w:lang w:val="es-ES" w:eastAsia="ja-JP"/>
        </w:rPr>
        <w:t>graves omisiones</w:t>
      </w:r>
      <w:r w:rsidRPr="0093551E">
        <w:rPr>
          <w:rFonts w:asciiTheme="majorHAnsi" w:hAnsiTheme="majorHAnsi"/>
          <w:sz w:val="20"/>
          <w:szCs w:val="20"/>
          <w:lang w:val="es-ES" w:eastAsia="ja-JP"/>
        </w:rPr>
        <w:t xml:space="preserve"> y un accionar negligente que hicieron que </w:t>
      </w:r>
      <w:r w:rsidR="0026159D">
        <w:rPr>
          <w:rFonts w:asciiTheme="majorHAnsi" w:hAnsiTheme="majorHAnsi"/>
          <w:sz w:val="20"/>
          <w:szCs w:val="20"/>
          <w:lang w:val="es-ES" w:eastAsia="ja-JP"/>
        </w:rPr>
        <w:t>ésta fuera</w:t>
      </w:r>
      <w:r w:rsidRPr="0093551E">
        <w:rPr>
          <w:rFonts w:asciiTheme="majorHAnsi" w:hAnsiTheme="majorHAnsi"/>
          <w:sz w:val="20"/>
          <w:szCs w:val="20"/>
          <w:lang w:val="es-ES" w:eastAsia="ja-JP"/>
        </w:rPr>
        <w:t xml:space="preserve"> infr</w:t>
      </w:r>
      <w:r w:rsidR="00F25046">
        <w:rPr>
          <w:rFonts w:asciiTheme="majorHAnsi" w:hAnsiTheme="majorHAnsi"/>
          <w:sz w:val="20"/>
          <w:szCs w:val="20"/>
          <w:lang w:val="es-ES" w:eastAsia="ja-JP"/>
        </w:rPr>
        <w:t xml:space="preserve">uctuosa. Alegan que </w:t>
      </w:r>
      <w:r w:rsidRPr="0093551E">
        <w:rPr>
          <w:rFonts w:asciiTheme="majorHAnsi" w:hAnsiTheme="majorHAnsi"/>
          <w:sz w:val="20"/>
          <w:szCs w:val="20"/>
          <w:lang w:val="es-ES" w:eastAsia="ja-JP"/>
        </w:rPr>
        <w:t>i) las primeras diligencias de búsqueda e investigación carecieron de oficiosidad, oportunidad y competencia; ii) no se siguieron los estándares internacionales en materia de investigación; iii) el manejo de la escena del crimen fue deficiente, negligente y el caso fue obstaculizado maliciosamente; iv) no se tomaron en cuenta los estándares internacionales para la investigación de violencia sexual en mujeres; v) el Estado no garantizó la tutela judicial debida en un plazo razonable y vi) se violó el derecho a la verdad de los familiares de la víctima y la sociedad boliv</w:t>
      </w:r>
      <w:r w:rsidR="00F25046">
        <w:rPr>
          <w:rFonts w:asciiTheme="majorHAnsi" w:hAnsiTheme="majorHAnsi"/>
          <w:sz w:val="20"/>
          <w:szCs w:val="20"/>
          <w:lang w:val="es-ES" w:eastAsia="ja-JP"/>
        </w:rPr>
        <w:t>i</w:t>
      </w:r>
      <w:r w:rsidRPr="0093551E">
        <w:rPr>
          <w:rFonts w:asciiTheme="majorHAnsi" w:hAnsiTheme="majorHAnsi"/>
          <w:sz w:val="20"/>
          <w:szCs w:val="20"/>
          <w:lang w:val="es-ES" w:eastAsia="ja-JP"/>
        </w:rPr>
        <w:t>ana en su conjunto</w:t>
      </w:r>
      <w:r w:rsidR="008A216F" w:rsidRPr="0093551E">
        <w:rPr>
          <w:rFonts w:asciiTheme="majorHAnsi" w:hAnsiTheme="majorHAnsi"/>
          <w:sz w:val="20"/>
          <w:szCs w:val="20"/>
          <w:lang w:val="es-ES" w:eastAsia="ja-JP"/>
        </w:rPr>
        <w:t>.</w:t>
      </w:r>
    </w:p>
    <w:p w14:paraId="7109F536" w14:textId="66336CD3" w:rsidR="00A81FA5" w:rsidRPr="003B45B4" w:rsidRDefault="003B45B4" w:rsidP="003037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3B45B4">
        <w:rPr>
          <w:rFonts w:asciiTheme="majorHAnsi" w:hAnsiTheme="majorHAnsi"/>
          <w:sz w:val="20"/>
          <w:szCs w:val="20"/>
          <w:lang w:val="es-ES" w:eastAsia="ja-JP"/>
        </w:rPr>
        <w:t xml:space="preserve">Precisan que </w:t>
      </w:r>
      <w:r w:rsidRPr="003B45B4">
        <w:rPr>
          <w:rFonts w:asciiTheme="majorHAnsi" w:hAnsiTheme="majorHAnsi"/>
          <w:sz w:val="20"/>
          <w:szCs w:val="20"/>
          <w:lang w:val="es-ES"/>
        </w:rPr>
        <w:t>las diligencias policiales se iniciaron recién cuatro días después de la desaparición cuando el cuerpo de la niña fue hallado. Aducen que</w:t>
      </w:r>
      <w:r w:rsidRPr="003B45B4">
        <w:rPr>
          <w:rFonts w:asciiTheme="majorHAnsi" w:hAnsiTheme="majorHAnsi"/>
          <w:sz w:val="20"/>
          <w:szCs w:val="20"/>
          <w:lang w:val="es-ES" w:eastAsia="ja-JP"/>
        </w:rPr>
        <w:t xml:space="preserve"> el 31 de agosto de 1999, se realizó el primer informe policial de levantamiento del cadáver, el cual no menciona el protocolo utilizado ni la cadena de custodia de las evidencias encontradas, ni de la forma en que el cadáver fue trasladado.</w:t>
      </w:r>
      <w:r>
        <w:rPr>
          <w:rFonts w:asciiTheme="majorHAnsi" w:hAnsiTheme="majorHAnsi"/>
          <w:sz w:val="20"/>
          <w:szCs w:val="20"/>
          <w:lang w:val="es-ES" w:eastAsia="ja-JP"/>
        </w:rPr>
        <w:t xml:space="preserve"> </w:t>
      </w:r>
      <w:r w:rsidR="00A81FA5" w:rsidRPr="003B45B4">
        <w:rPr>
          <w:rFonts w:asciiTheme="majorHAnsi" w:hAnsiTheme="majorHAnsi"/>
          <w:sz w:val="20"/>
          <w:szCs w:val="20"/>
          <w:lang w:val="es-ES"/>
        </w:rPr>
        <w:t>Indican que el 2 de septiembre de 1999, los médicos Alberto Sagárnaga</w:t>
      </w:r>
      <w:r w:rsidR="00A81FA5" w:rsidRPr="0093551E">
        <w:rPr>
          <w:rStyle w:val="FootnoteReference"/>
          <w:rFonts w:asciiTheme="majorHAnsi" w:hAnsiTheme="majorHAnsi"/>
          <w:sz w:val="20"/>
          <w:szCs w:val="20"/>
          <w:lang w:val="es-ES"/>
        </w:rPr>
        <w:footnoteReference w:id="5"/>
      </w:r>
      <w:r w:rsidR="00A81FA5" w:rsidRPr="003B45B4">
        <w:rPr>
          <w:rFonts w:asciiTheme="majorHAnsi" w:hAnsiTheme="majorHAnsi"/>
          <w:sz w:val="20"/>
          <w:szCs w:val="20"/>
          <w:lang w:val="es-ES"/>
        </w:rPr>
        <w:t xml:space="preserve"> y Antonio Torres Balanza, realizaron la autopsia de ley, determinando que la causal de la muerte, fue “asfixia por estrangulamiento”. </w:t>
      </w:r>
      <w:r>
        <w:rPr>
          <w:rFonts w:asciiTheme="majorHAnsi" w:hAnsiTheme="majorHAnsi"/>
          <w:sz w:val="20"/>
          <w:szCs w:val="20"/>
          <w:lang w:val="es-ES"/>
        </w:rPr>
        <w:t>Alegan que e</w:t>
      </w:r>
      <w:r w:rsidR="00A81FA5" w:rsidRPr="003B45B4">
        <w:rPr>
          <w:rFonts w:asciiTheme="majorHAnsi" w:hAnsiTheme="majorHAnsi"/>
          <w:sz w:val="20"/>
          <w:szCs w:val="20"/>
          <w:lang w:val="es-ES"/>
        </w:rPr>
        <w:t>ste examen fue rebatido en el año 20</w:t>
      </w:r>
      <w:r w:rsidR="00784ABE" w:rsidRPr="003B45B4">
        <w:rPr>
          <w:rFonts w:asciiTheme="majorHAnsi" w:hAnsiTheme="majorHAnsi"/>
          <w:sz w:val="20"/>
          <w:szCs w:val="20"/>
          <w:lang w:val="es-ES"/>
        </w:rPr>
        <w:t>12 por la perito i</w:t>
      </w:r>
      <w:r w:rsidR="000151D0" w:rsidRPr="003B45B4">
        <w:rPr>
          <w:rFonts w:asciiTheme="majorHAnsi" w:hAnsiTheme="majorHAnsi"/>
          <w:sz w:val="20"/>
          <w:szCs w:val="20"/>
          <w:lang w:val="es-ES"/>
        </w:rPr>
        <w:t>nternacional</w:t>
      </w:r>
      <w:r w:rsidR="00A81FA5" w:rsidRPr="003B45B4">
        <w:rPr>
          <w:rFonts w:asciiTheme="majorHAnsi" w:hAnsiTheme="majorHAnsi"/>
          <w:sz w:val="20"/>
          <w:szCs w:val="20"/>
          <w:lang w:val="es-ES"/>
        </w:rPr>
        <w:t xml:space="preserve"> Claudia Delgado, quien concluyó que la “necropsia realizada en 1999 no siguió los protocolos internacionales establecidos, omitiendo la disección del c</w:t>
      </w:r>
      <w:r w:rsidR="00F25046" w:rsidRPr="003B45B4">
        <w:rPr>
          <w:rFonts w:asciiTheme="majorHAnsi" w:hAnsiTheme="majorHAnsi"/>
          <w:sz w:val="20"/>
          <w:szCs w:val="20"/>
          <w:lang w:val="es-ES"/>
        </w:rPr>
        <w:t>ráneo y el análisis interno de é</w:t>
      </w:r>
      <w:r w:rsidR="00A81FA5" w:rsidRPr="003B45B4">
        <w:rPr>
          <w:rFonts w:asciiTheme="majorHAnsi" w:hAnsiTheme="majorHAnsi"/>
          <w:sz w:val="20"/>
          <w:szCs w:val="20"/>
          <w:lang w:val="es-ES"/>
        </w:rPr>
        <w:t>ste y el cerebro”.</w:t>
      </w:r>
    </w:p>
    <w:p w14:paraId="5D748219" w14:textId="21F9DEA4" w:rsidR="00873AB2" w:rsidRPr="0093551E" w:rsidRDefault="00D977CF" w:rsidP="00873A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3551E">
        <w:rPr>
          <w:rFonts w:asciiTheme="majorHAnsi" w:hAnsiTheme="majorHAnsi"/>
          <w:sz w:val="20"/>
          <w:szCs w:val="20"/>
          <w:lang w:val="es-ES"/>
        </w:rPr>
        <w:t xml:space="preserve">Afirman que el 10 de septiembre de 1999, el Ministerio Público, </w:t>
      </w:r>
      <w:r w:rsidR="00997459">
        <w:rPr>
          <w:rFonts w:asciiTheme="majorHAnsi" w:hAnsiTheme="majorHAnsi"/>
          <w:sz w:val="20"/>
          <w:szCs w:val="20"/>
          <w:lang w:val="es-ES"/>
        </w:rPr>
        <w:t>por l</w:t>
      </w:r>
      <w:r w:rsidRPr="0093551E">
        <w:rPr>
          <w:rFonts w:asciiTheme="majorHAnsi" w:hAnsiTheme="majorHAnsi"/>
          <w:sz w:val="20"/>
          <w:szCs w:val="20"/>
          <w:lang w:val="es-ES"/>
        </w:rPr>
        <w:t>a querella de los padres de la presunta v</w:t>
      </w:r>
      <w:r w:rsidR="00D05B74" w:rsidRPr="0093551E">
        <w:rPr>
          <w:rFonts w:asciiTheme="majorHAnsi" w:hAnsiTheme="majorHAnsi"/>
          <w:sz w:val="20"/>
          <w:szCs w:val="20"/>
          <w:lang w:val="es-ES"/>
        </w:rPr>
        <w:t>íctima, instruyó</w:t>
      </w:r>
      <w:r w:rsidRPr="0093551E">
        <w:rPr>
          <w:rFonts w:asciiTheme="majorHAnsi" w:hAnsiTheme="majorHAnsi"/>
          <w:sz w:val="20"/>
          <w:szCs w:val="20"/>
          <w:lang w:val="es-ES"/>
        </w:rPr>
        <w:t xml:space="preserve"> el sumario penal o fase de investigación </w:t>
      </w:r>
      <w:r w:rsidR="00EE3C77">
        <w:rPr>
          <w:rFonts w:asciiTheme="majorHAnsi" w:hAnsiTheme="majorHAnsi"/>
          <w:sz w:val="20"/>
          <w:szCs w:val="20"/>
          <w:lang w:val="es-ES"/>
        </w:rPr>
        <w:t xml:space="preserve">contra </w:t>
      </w:r>
      <w:r w:rsidR="006E47C8">
        <w:rPr>
          <w:rFonts w:asciiTheme="majorHAnsi" w:hAnsiTheme="majorHAnsi"/>
          <w:sz w:val="20"/>
          <w:szCs w:val="20"/>
          <w:lang w:val="es-ES"/>
        </w:rPr>
        <w:t xml:space="preserve">el regente de la escuela el señor </w:t>
      </w:r>
      <w:r w:rsidR="00EE3C77">
        <w:rPr>
          <w:rFonts w:asciiTheme="majorHAnsi" w:hAnsiTheme="majorHAnsi"/>
          <w:sz w:val="20"/>
          <w:szCs w:val="20"/>
          <w:lang w:val="es-ES"/>
        </w:rPr>
        <w:t>Odón Mendoza</w:t>
      </w:r>
      <w:r w:rsidRPr="0093551E">
        <w:rPr>
          <w:rFonts w:asciiTheme="majorHAnsi" w:hAnsiTheme="majorHAnsi"/>
          <w:sz w:val="20"/>
          <w:szCs w:val="20"/>
          <w:lang w:val="es-ES"/>
        </w:rPr>
        <w:t xml:space="preserve"> Soto</w:t>
      </w:r>
      <w:r w:rsidR="006E47C8">
        <w:rPr>
          <w:rFonts w:asciiTheme="majorHAnsi" w:hAnsiTheme="majorHAnsi"/>
          <w:sz w:val="20"/>
          <w:szCs w:val="20"/>
          <w:lang w:val="es-ES"/>
        </w:rPr>
        <w:t xml:space="preserve">, como principal sospechoso. Resaltan que </w:t>
      </w:r>
      <w:r w:rsidRPr="0093551E">
        <w:rPr>
          <w:rFonts w:asciiTheme="majorHAnsi" w:hAnsiTheme="majorHAnsi"/>
          <w:sz w:val="20"/>
          <w:szCs w:val="20"/>
          <w:lang w:val="es-ES"/>
        </w:rPr>
        <w:t>la Divisi</w:t>
      </w:r>
      <w:r w:rsidR="00D05B74" w:rsidRPr="0093551E">
        <w:rPr>
          <w:rFonts w:asciiTheme="majorHAnsi" w:hAnsiTheme="majorHAnsi"/>
          <w:sz w:val="20"/>
          <w:szCs w:val="20"/>
          <w:lang w:val="es-ES"/>
        </w:rPr>
        <w:t xml:space="preserve">ón de Homicidios de la PTJ </w:t>
      </w:r>
      <w:r w:rsidR="006E47C8">
        <w:rPr>
          <w:rFonts w:asciiTheme="majorHAnsi" w:hAnsiTheme="majorHAnsi"/>
          <w:sz w:val="20"/>
          <w:szCs w:val="20"/>
          <w:lang w:val="es-ES"/>
        </w:rPr>
        <w:t xml:space="preserve">fue </w:t>
      </w:r>
      <w:r w:rsidR="00D05B74" w:rsidRPr="0093551E">
        <w:rPr>
          <w:rFonts w:asciiTheme="majorHAnsi" w:hAnsiTheme="majorHAnsi"/>
          <w:sz w:val="20"/>
          <w:szCs w:val="20"/>
          <w:lang w:val="es-ES"/>
        </w:rPr>
        <w:t xml:space="preserve">la principal encargada de la investigación. Observan que tres jueces de instrucción en la Ciudad de La Paz, se excusaron de conocer en el asunto sin ningún justificativo. Indican que la Jueza Sexta de Instrucción en lo Penal, </w:t>
      </w:r>
      <w:r w:rsidR="000C1A8C" w:rsidRPr="0093551E">
        <w:rPr>
          <w:rFonts w:asciiTheme="majorHAnsi" w:hAnsiTheme="majorHAnsi"/>
          <w:sz w:val="20"/>
          <w:szCs w:val="20"/>
          <w:lang w:val="es-ES"/>
        </w:rPr>
        <w:t xml:space="preserve">emitió auto inicial de Instrucción Ampliatorio </w:t>
      </w:r>
      <w:r w:rsidR="005971DB" w:rsidRPr="0093551E">
        <w:rPr>
          <w:rFonts w:asciiTheme="majorHAnsi" w:hAnsiTheme="majorHAnsi"/>
          <w:sz w:val="20"/>
          <w:szCs w:val="20"/>
          <w:lang w:val="es-ES"/>
        </w:rPr>
        <w:t>contra Reynaldo Flores Barrera</w:t>
      </w:r>
      <w:r w:rsidR="00B05C86">
        <w:rPr>
          <w:rStyle w:val="FootnoteReference"/>
          <w:rFonts w:asciiTheme="majorHAnsi" w:hAnsiTheme="majorHAnsi"/>
          <w:sz w:val="20"/>
          <w:szCs w:val="20"/>
          <w:lang w:val="es-ES"/>
        </w:rPr>
        <w:footnoteReference w:id="6"/>
      </w:r>
      <w:r w:rsidR="005971DB" w:rsidRPr="0093551E">
        <w:rPr>
          <w:rFonts w:asciiTheme="majorHAnsi" w:hAnsiTheme="majorHAnsi"/>
          <w:sz w:val="20"/>
          <w:szCs w:val="20"/>
          <w:lang w:val="es-ES"/>
        </w:rPr>
        <w:t xml:space="preserve">, </w:t>
      </w:r>
      <w:r w:rsidR="00475774" w:rsidRPr="0093551E">
        <w:rPr>
          <w:rFonts w:asciiTheme="majorHAnsi" w:hAnsiTheme="majorHAnsi"/>
          <w:sz w:val="20"/>
          <w:szCs w:val="20"/>
          <w:lang w:val="es-ES"/>
        </w:rPr>
        <w:t>M.U.U</w:t>
      </w:r>
      <w:r w:rsidR="003B45B4">
        <w:rPr>
          <w:rFonts w:asciiTheme="majorHAnsi" w:hAnsiTheme="majorHAnsi"/>
          <w:sz w:val="20"/>
          <w:szCs w:val="20"/>
          <w:lang w:val="es-ES"/>
        </w:rPr>
        <w:t>.</w:t>
      </w:r>
      <w:r w:rsidR="00475774" w:rsidRPr="0093551E">
        <w:rPr>
          <w:rFonts w:asciiTheme="majorHAnsi" w:hAnsiTheme="majorHAnsi"/>
          <w:sz w:val="20"/>
          <w:szCs w:val="20"/>
          <w:lang w:val="es-ES"/>
        </w:rPr>
        <w:t>, B.P</w:t>
      </w:r>
      <w:r w:rsidR="003B45B4">
        <w:rPr>
          <w:rFonts w:asciiTheme="majorHAnsi" w:hAnsiTheme="majorHAnsi"/>
          <w:sz w:val="20"/>
          <w:szCs w:val="20"/>
          <w:lang w:val="es-ES"/>
        </w:rPr>
        <w:t>.</w:t>
      </w:r>
      <w:r w:rsidR="00B02D7E" w:rsidRPr="0093551E">
        <w:rPr>
          <w:rStyle w:val="FootnoteReference"/>
          <w:rFonts w:asciiTheme="majorHAnsi" w:hAnsiTheme="majorHAnsi"/>
          <w:sz w:val="20"/>
          <w:szCs w:val="20"/>
          <w:lang w:val="es-ES"/>
        </w:rPr>
        <w:footnoteReference w:id="7"/>
      </w:r>
      <w:r w:rsidR="00E65E72" w:rsidRPr="0093551E">
        <w:rPr>
          <w:rFonts w:asciiTheme="majorHAnsi" w:hAnsiTheme="majorHAnsi"/>
          <w:sz w:val="20"/>
          <w:szCs w:val="20"/>
          <w:lang w:val="es-ES"/>
        </w:rPr>
        <w:t xml:space="preserve">, </w:t>
      </w:r>
      <w:r w:rsidR="00475774" w:rsidRPr="0093551E">
        <w:rPr>
          <w:rFonts w:asciiTheme="majorHAnsi" w:hAnsiTheme="majorHAnsi"/>
          <w:sz w:val="20"/>
          <w:szCs w:val="20"/>
          <w:lang w:val="es-ES"/>
        </w:rPr>
        <w:t>M.R.V</w:t>
      </w:r>
      <w:r w:rsidR="00E65E72" w:rsidRPr="0093551E">
        <w:rPr>
          <w:rFonts w:asciiTheme="majorHAnsi" w:hAnsiTheme="majorHAnsi"/>
          <w:sz w:val="20"/>
          <w:szCs w:val="20"/>
          <w:lang w:val="es-ES"/>
        </w:rPr>
        <w:t>.V</w:t>
      </w:r>
      <w:r w:rsidR="003B45B4">
        <w:rPr>
          <w:rFonts w:asciiTheme="majorHAnsi" w:hAnsiTheme="majorHAnsi"/>
          <w:sz w:val="20"/>
          <w:szCs w:val="20"/>
          <w:lang w:val="es-ES"/>
        </w:rPr>
        <w:t>.</w:t>
      </w:r>
      <w:r w:rsidR="00B02D7E" w:rsidRPr="0093551E">
        <w:rPr>
          <w:rStyle w:val="FootnoteReference"/>
          <w:rFonts w:asciiTheme="majorHAnsi" w:hAnsiTheme="majorHAnsi"/>
          <w:sz w:val="20"/>
          <w:szCs w:val="20"/>
          <w:lang w:val="es-ES"/>
        </w:rPr>
        <w:footnoteReference w:id="8"/>
      </w:r>
      <w:r w:rsidR="00B02D7E" w:rsidRPr="0093551E">
        <w:rPr>
          <w:rFonts w:asciiTheme="majorHAnsi" w:hAnsiTheme="majorHAnsi"/>
          <w:sz w:val="20"/>
          <w:szCs w:val="20"/>
          <w:lang w:val="es-ES"/>
        </w:rPr>
        <w:t xml:space="preserve"> </w:t>
      </w:r>
      <w:r w:rsidR="005971DB" w:rsidRPr="0093551E">
        <w:rPr>
          <w:rFonts w:asciiTheme="majorHAnsi" w:hAnsiTheme="majorHAnsi"/>
          <w:sz w:val="20"/>
          <w:szCs w:val="20"/>
          <w:lang w:val="es-ES"/>
        </w:rPr>
        <w:t xml:space="preserve">y </w:t>
      </w:r>
      <w:r w:rsidR="00475774" w:rsidRPr="0093551E">
        <w:rPr>
          <w:rFonts w:asciiTheme="majorHAnsi" w:hAnsiTheme="majorHAnsi"/>
          <w:sz w:val="20"/>
          <w:szCs w:val="20"/>
          <w:lang w:val="es-ES"/>
        </w:rPr>
        <w:t>A.L.R</w:t>
      </w:r>
      <w:r w:rsidR="003B45B4">
        <w:rPr>
          <w:rFonts w:asciiTheme="majorHAnsi" w:hAnsiTheme="majorHAnsi"/>
          <w:sz w:val="20"/>
          <w:szCs w:val="20"/>
          <w:lang w:val="es-ES"/>
        </w:rPr>
        <w:t>.</w:t>
      </w:r>
      <w:r w:rsidR="00B02D7E" w:rsidRPr="0093551E">
        <w:rPr>
          <w:rStyle w:val="FootnoteReference"/>
          <w:rFonts w:asciiTheme="majorHAnsi" w:hAnsiTheme="majorHAnsi"/>
          <w:sz w:val="20"/>
          <w:szCs w:val="20"/>
          <w:lang w:val="es-ES"/>
        </w:rPr>
        <w:footnoteReference w:id="9"/>
      </w:r>
      <w:r w:rsidR="00475774" w:rsidRPr="0093551E">
        <w:rPr>
          <w:rFonts w:asciiTheme="majorHAnsi" w:hAnsiTheme="majorHAnsi"/>
          <w:sz w:val="20"/>
          <w:szCs w:val="20"/>
          <w:lang w:val="es-ES"/>
        </w:rPr>
        <w:t xml:space="preserve">, </w:t>
      </w:r>
      <w:r w:rsidR="000C1A8C" w:rsidRPr="0093551E">
        <w:rPr>
          <w:rFonts w:asciiTheme="majorHAnsi" w:hAnsiTheme="majorHAnsi"/>
          <w:sz w:val="20"/>
          <w:szCs w:val="20"/>
          <w:lang w:val="es-ES"/>
        </w:rPr>
        <w:t>el 16 de marzo del 2000.</w:t>
      </w:r>
      <w:r w:rsidR="005971DB" w:rsidRPr="0093551E">
        <w:rPr>
          <w:rFonts w:asciiTheme="majorHAnsi" w:hAnsiTheme="majorHAnsi"/>
          <w:sz w:val="20"/>
          <w:szCs w:val="20"/>
          <w:lang w:val="es-ES"/>
        </w:rPr>
        <w:t xml:space="preserve"> </w:t>
      </w:r>
      <w:r w:rsidR="007238A0">
        <w:rPr>
          <w:rFonts w:asciiTheme="majorHAnsi" w:hAnsiTheme="majorHAnsi"/>
          <w:sz w:val="20"/>
          <w:szCs w:val="20"/>
          <w:lang w:val="es-ES"/>
        </w:rPr>
        <w:t>Afirman que l</w:t>
      </w:r>
      <w:r w:rsidR="005971DB" w:rsidRPr="0093551E">
        <w:rPr>
          <w:rFonts w:asciiTheme="majorHAnsi" w:hAnsiTheme="majorHAnsi"/>
          <w:sz w:val="20"/>
          <w:szCs w:val="20"/>
          <w:lang w:val="es-ES"/>
        </w:rPr>
        <w:t>a referida jueza dictó</w:t>
      </w:r>
      <w:r w:rsidR="004336B4" w:rsidRPr="0093551E">
        <w:rPr>
          <w:rFonts w:asciiTheme="majorHAnsi" w:hAnsiTheme="majorHAnsi"/>
          <w:sz w:val="20"/>
          <w:szCs w:val="20"/>
          <w:lang w:val="es-ES"/>
        </w:rPr>
        <w:t xml:space="preserve">, el 4 de mayo del 2000, </w:t>
      </w:r>
      <w:r w:rsidR="005971DB" w:rsidRPr="0093551E">
        <w:rPr>
          <w:rFonts w:asciiTheme="majorHAnsi" w:hAnsiTheme="majorHAnsi"/>
          <w:sz w:val="20"/>
          <w:szCs w:val="20"/>
          <w:lang w:val="es-ES"/>
        </w:rPr>
        <w:t>el auto de procesamiento mediante</w:t>
      </w:r>
      <w:r w:rsidR="009C2369" w:rsidRPr="0093551E">
        <w:rPr>
          <w:rFonts w:asciiTheme="majorHAnsi" w:hAnsiTheme="majorHAnsi"/>
          <w:sz w:val="20"/>
          <w:szCs w:val="20"/>
          <w:lang w:val="es-ES"/>
        </w:rPr>
        <w:t xml:space="preserve"> Resolución N</w:t>
      </w:r>
      <w:r w:rsidR="006E47C8">
        <w:rPr>
          <w:rFonts w:asciiTheme="majorHAnsi" w:hAnsiTheme="majorHAnsi"/>
          <w:sz w:val="20"/>
          <w:szCs w:val="20"/>
          <w:lang w:val="es-ES"/>
        </w:rPr>
        <w:t>°</w:t>
      </w:r>
      <w:r w:rsidR="009C2369" w:rsidRPr="0093551E">
        <w:rPr>
          <w:rFonts w:asciiTheme="majorHAnsi" w:hAnsiTheme="majorHAnsi"/>
          <w:sz w:val="20"/>
          <w:szCs w:val="20"/>
          <w:lang w:val="es-ES"/>
        </w:rPr>
        <w:t xml:space="preserve"> 213/2000 </w:t>
      </w:r>
      <w:r w:rsidR="005971DB" w:rsidRPr="0093551E">
        <w:rPr>
          <w:rFonts w:asciiTheme="majorHAnsi" w:hAnsiTheme="majorHAnsi"/>
          <w:sz w:val="20"/>
          <w:szCs w:val="20"/>
          <w:lang w:val="es-ES"/>
        </w:rPr>
        <w:t>en contra de los imputados referidos por e</w:t>
      </w:r>
      <w:r w:rsidR="004336B4" w:rsidRPr="0093551E">
        <w:rPr>
          <w:rFonts w:asciiTheme="majorHAnsi" w:hAnsiTheme="majorHAnsi"/>
          <w:sz w:val="20"/>
          <w:szCs w:val="20"/>
          <w:lang w:val="es-ES"/>
        </w:rPr>
        <w:t>xistir indicios de culpabilidad</w:t>
      </w:r>
      <w:r w:rsidR="00EE3C77">
        <w:rPr>
          <w:rFonts w:asciiTheme="majorHAnsi" w:hAnsiTheme="majorHAnsi"/>
          <w:sz w:val="20"/>
          <w:szCs w:val="20"/>
          <w:lang w:val="es-ES"/>
        </w:rPr>
        <w:t>.</w:t>
      </w:r>
    </w:p>
    <w:p w14:paraId="54FAEF13" w14:textId="71884A13" w:rsidR="00873AB2" w:rsidRPr="0093551E" w:rsidRDefault="007238A0" w:rsidP="00873A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Señalan que e</w:t>
      </w:r>
      <w:r w:rsidR="006E47C8">
        <w:rPr>
          <w:rFonts w:asciiTheme="majorHAnsi" w:hAnsiTheme="majorHAnsi"/>
          <w:sz w:val="20"/>
          <w:szCs w:val="20"/>
          <w:lang w:val="es-ES"/>
        </w:rPr>
        <w:t>l 26 de m</w:t>
      </w:r>
      <w:r w:rsidR="00B81900" w:rsidRPr="0093551E">
        <w:rPr>
          <w:rFonts w:asciiTheme="majorHAnsi" w:hAnsiTheme="majorHAnsi"/>
          <w:sz w:val="20"/>
          <w:szCs w:val="20"/>
          <w:lang w:val="es-ES"/>
        </w:rPr>
        <w:t>ayo de 2001, el Juez Quinto emit</w:t>
      </w:r>
      <w:r w:rsidR="006E47C8">
        <w:rPr>
          <w:rFonts w:asciiTheme="majorHAnsi" w:hAnsiTheme="majorHAnsi"/>
          <w:sz w:val="20"/>
          <w:szCs w:val="20"/>
          <w:lang w:val="es-ES"/>
        </w:rPr>
        <w:t>ió</w:t>
      </w:r>
      <w:r w:rsidR="00B81900" w:rsidRPr="0093551E">
        <w:rPr>
          <w:rFonts w:asciiTheme="majorHAnsi" w:hAnsiTheme="majorHAnsi"/>
          <w:sz w:val="20"/>
          <w:szCs w:val="20"/>
          <w:lang w:val="es-ES"/>
        </w:rPr>
        <w:t xml:space="preserve"> </w:t>
      </w:r>
      <w:r w:rsidR="006E47C8">
        <w:rPr>
          <w:rFonts w:asciiTheme="majorHAnsi" w:hAnsiTheme="majorHAnsi"/>
          <w:sz w:val="20"/>
          <w:szCs w:val="20"/>
          <w:lang w:val="es-ES"/>
        </w:rPr>
        <w:t>un</w:t>
      </w:r>
      <w:r w:rsidR="00B81900" w:rsidRPr="0093551E">
        <w:rPr>
          <w:rFonts w:asciiTheme="majorHAnsi" w:hAnsiTheme="majorHAnsi"/>
          <w:sz w:val="20"/>
          <w:szCs w:val="20"/>
          <w:lang w:val="es-ES"/>
        </w:rPr>
        <w:t xml:space="preserve"> mandamiento de libertad para Odón Mendoza, cumpliendo la Circular 012/01 del Nuevo Código de Procedimiento Penal, solicitando </w:t>
      </w:r>
      <w:r w:rsidR="00873AB2" w:rsidRPr="0093551E">
        <w:rPr>
          <w:rFonts w:asciiTheme="majorHAnsi" w:hAnsiTheme="majorHAnsi"/>
          <w:sz w:val="20"/>
          <w:szCs w:val="20"/>
          <w:lang w:val="es-ES"/>
        </w:rPr>
        <w:t xml:space="preserve">se apliquen </w:t>
      </w:r>
      <w:r w:rsidR="00B81900" w:rsidRPr="0093551E">
        <w:rPr>
          <w:rFonts w:asciiTheme="majorHAnsi" w:hAnsiTheme="majorHAnsi"/>
          <w:sz w:val="20"/>
          <w:szCs w:val="20"/>
          <w:lang w:val="es-ES"/>
        </w:rPr>
        <w:t xml:space="preserve">medidas sustitutivas a la prisión. Por lo </w:t>
      </w:r>
      <w:r w:rsidR="00307E35" w:rsidRPr="0093551E">
        <w:rPr>
          <w:rFonts w:asciiTheme="majorHAnsi" w:hAnsiTheme="majorHAnsi"/>
          <w:sz w:val="20"/>
          <w:szCs w:val="20"/>
          <w:lang w:val="es-ES"/>
        </w:rPr>
        <w:t xml:space="preserve">tanto, los peticionarios sostienen que </w:t>
      </w:r>
      <w:r w:rsidR="00B81900" w:rsidRPr="0093551E">
        <w:rPr>
          <w:rFonts w:asciiTheme="majorHAnsi" w:hAnsiTheme="majorHAnsi"/>
          <w:sz w:val="20"/>
          <w:szCs w:val="20"/>
          <w:lang w:val="es-ES"/>
        </w:rPr>
        <w:t>se aplicó el nuevo código de procedimiento penal, a un caso que debía culminar con el antiguo proceso penal.</w:t>
      </w:r>
    </w:p>
    <w:p w14:paraId="60806C45" w14:textId="7FEFF8FA" w:rsidR="00D977CF" w:rsidRPr="0093551E" w:rsidRDefault="007238A0" w:rsidP="00F936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 xml:space="preserve">Refieren </w:t>
      </w:r>
      <w:r w:rsidR="00054201">
        <w:rPr>
          <w:rFonts w:asciiTheme="majorHAnsi" w:hAnsiTheme="majorHAnsi"/>
          <w:sz w:val="20"/>
          <w:szCs w:val="20"/>
          <w:lang w:val="es-ES"/>
        </w:rPr>
        <w:t>que,</w:t>
      </w:r>
      <w:r>
        <w:rPr>
          <w:rFonts w:asciiTheme="majorHAnsi" w:hAnsiTheme="majorHAnsi"/>
          <w:sz w:val="20"/>
          <w:szCs w:val="20"/>
          <w:lang w:val="es-ES"/>
        </w:rPr>
        <w:t xml:space="preserve"> e</w:t>
      </w:r>
      <w:r w:rsidR="00873AB2" w:rsidRPr="0093551E">
        <w:rPr>
          <w:rFonts w:asciiTheme="majorHAnsi" w:hAnsiTheme="majorHAnsi"/>
          <w:sz w:val="20"/>
          <w:szCs w:val="20"/>
          <w:lang w:val="es-ES"/>
        </w:rPr>
        <w:t>n el marco del proceso de instrucción, se present</w:t>
      </w:r>
      <w:r>
        <w:rPr>
          <w:rFonts w:asciiTheme="majorHAnsi" w:hAnsiTheme="majorHAnsi"/>
          <w:sz w:val="20"/>
          <w:szCs w:val="20"/>
          <w:lang w:val="es-ES"/>
        </w:rPr>
        <w:t>ó</w:t>
      </w:r>
      <w:r w:rsidR="00873AB2" w:rsidRPr="0093551E">
        <w:rPr>
          <w:rFonts w:asciiTheme="majorHAnsi" w:hAnsiTheme="majorHAnsi"/>
          <w:sz w:val="20"/>
          <w:szCs w:val="20"/>
          <w:lang w:val="es-ES"/>
        </w:rPr>
        <w:t xml:space="preserve"> como prueba un informe realizado por el </w:t>
      </w:r>
      <w:r w:rsidR="00873AB2" w:rsidRPr="0093551E">
        <w:rPr>
          <w:rFonts w:asciiTheme="majorHAnsi" w:hAnsiTheme="majorHAnsi"/>
          <w:i/>
          <w:sz w:val="20"/>
          <w:szCs w:val="20"/>
          <w:lang w:val="es-ES"/>
        </w:rPr>
        <w:t>Federal Bureau of Investigation</w:t>
      </w:r>
      <w:r w:rsidR="00873AB2" w:rsidRPr="0093551E">
        <w:rPr>
          <w:rFonts w:asciiTheme="majorHAnsi" w:hAnsiTheme="majorHAnsi"/>
          <w:sz w:val="20"/>
          <w:szCs w:val="20"/>
          <w:lang w:val="es-ES"/>
        </w:rPr>
        <w:t xml:space="preserve"> (en adelante, el FBI), el cual indicó </w:t>
      </w:r>
      <w:r w:rsidR="00054201" w:rsidRPr="0093551E">
        <w:rPr>
          <w:rFonts w:asciiTheme="majorHAnsi" w:hAnsiTheme="majorHAnsi"/>
          <w:sz w:val="20"/>
          <w:szCs w:val="20"/>
          <w:lang w:val="es-ES"/>
        </w:rPr>
        <w:t>que,</w:t>
      </w:r>
      <w:r w:rsidR="00873AB2" w:rsidRPr="0093551E">
        <w:rPr>
          <w:rFonts w:asciiTheme="majorHAnsi" w:hAnsiTheme="majorHAnsi"/>
          <w:sz w:val="20"/>
          <w:szCs w:val="20"/>
          <w:lang w:val="es-ES"/>
        </w:rPr>
        <w:t xml:space="preserve"> </w:t>
      </w:r>
      <w:r w:rsidR="006E47C8">
        <w:rPr>
          <w:rFonts w:asciiTheme="majorHAnsi" w:hAnsiTheme="majorHAnsi"/>
          <w:sz w:val="20"/>
          <w:szCs w:val="20"/>
          <w:lang w:val="es-ES"/>
        </w:rPr>
        <w:t>de acuerdo a</w:t>
      </w:r>
      <w:r w:rsidR="00873AB2" w:rsidRPr="0093551E">
        <w:rPr>
          <w:rFonts w:asciiTheme="majorHAnsi" w:hAnsiTheme="majorHAnsi"/>
          <w:sz w:val="20"/>
          <w:szCs w:val="20"/>
          <w:lang w:val="es-ES"/>
        </w:rPr>
        <w:t>l análisis</w:t>
      </w:r>
      <w:r w:rsidR="006E47C8">
        <w:rPr>
          <w:rFonts w:asciiTheme="majorHAnsi" w:hAnsiTheme="majorHAnsi"/>
          <w:sz w:val="20"/>
          <w:szCs w:val="20"/>
          <w:lang w:val="es-ES"/>
        </w:rPr>
        <w:t xml:space="preserve"> de ADN, existían</w:t>
      </w:r>
      <w:r w:rsidR="00873AB2" w:rsidRPr="0093551E">
        <w:rPr>
          <w:rFonts w:asciiTheme="majorHAnsi" w:hAnsiTheme="majorHAnsi"/>
          <w:sz w:val="20"/>
          <w:szCs w:val="20"/>
          <w:lang w:val="es-ES"/>
        </w:rPr>
        <w:t xml:space="preserve"> características microscópicas que permiten indicar </w:t>
      </w:r>
      <w:r w:rsidR="00307E35" w:rsidRPr="0093551E">
        <w:rPr>
          <w:rFonts w:asciiTheme="majorHAnsi" w:hAnsiTheme="majorHAnsi"/>
          <w:sz w:val="20"/>
          <w:szCs w:val="20"/>
          <w:lang w:val="es-ES"/>
        </w:rPr>
        <w:t xml:space="preserve">a </w:t>
      </w:r>
      <w:r w:rsidR="00873AB2" w:rsidRPr="0093551E">
        <w:rPr>
          <w:rFonts w:asciiTheme="majorHAnsi" w:hAnsiTheme="majorHAnsi"/>
          <w:sz w:val="20"/>
          <w:szCs w:val="20"/>
          <w:lang w:val="es-ES"/>
        </w:rPr>
        <w:t>José Luis Flores</w:t>
      </w:r>
      <w:r w:rsidR="00370A7D">
        <w:rPr>
          <w:rFonts w:asciiTheme="majorHAnsi" w:hAnsiTheme="majorHAnsi"/>
          <w:sz w:val="20"/>
          <w:szCs w:val="20"/>
          <w:lang w:val="es-ES"/>
        </w:rPr>
        <w:t xml:space="preserve"> López</w:t>
      </w:r>
      <w:r w:rsidR="00873AB2" w:rsidRPr="0093551E">
        <w:rPr>
          <w:rFonts w:asciiTheme="majorHAnsi" w:hAnsiTheme="majorHAnsi"/>
          <w:sz w:val="20"/>
          <w:szCs w:val="20"/>
          <w:lang w:val="es-ES"/>
        </w:rPr>
        <w:t xml:space="preserve">, acusado de crímenes de violación cometidos en la </w:t>
      </w:r>
      <w:r w:rsidR="006E47C8">
        <w:rPr>
          <w:rFonts w:asciiTheme="majorHAnsi" w:hAnsiTheme="majorHAnsi"/>
          <w:sz w:val="20"/>
          <w:szCs w:val="20"/>
          <w:lang w:val="es-ES"/>
        </w:rPr>
        <w:t>c</w:t>
      </w:r>
      <w:r w:rsidR="00873AB2" w:rsidRPr="0093551E">
        <w:rPr>
          <w:rFonts w:asciiTheme="majorHAnsi" w:hAnsiTheme="majorHAnsi"/>
          <w:sz w:val="20"/>
          <w:szCs w:val="20"/>
          <w:lang w:val="es-ES"/>
        </w:rPr>
        <w:t>iudad de El Alto, como responsable de la violación</w:t>
      </w:r>
      <w:r w:rsidR="00307E35" w:rsidRPr="0093551E">
        <w:rPr>
          <w:rFonts w:asciiTheme="majorHAnsi" w:hAnsiTheme="majorHAnsi"/>
          <w:sz w:val="20"/>
          <w:szCs w:val="20"/>
          <w:lang w:val="es-ES"/>
        </w:rPr>
        <w:t xml:space="preserve"> y muerte de la presunta víctima</w:t>
      </w:r>
      <w:r w:rsidR="00873AB2" w:rsidRPr="0093551E">
        <w:rPr>
          <w:rFonts w:asciiTheme="majorHAnsi" w:hAnsiTheme="majorHAnsi"/>
          <w:sz w:val="20"/>
          <w:szCs w:val="20"/>
          <w:lang w:val="es-ES"/>
        </w:rPr>
        <w:t xml:space="preserve">. Además, </w:t>
      </w:r>
      <w:r w:rsidR="006E47C8">
        <w:rPr>
          <w:rFonts w:asciiTheme="majorHAnsi" w:hAnsiTheme="majorHAnsi"/>
          <w:sz w:val="20"/>
          <w:szCs w:val="20"/>
          <w:lang w:val="es-ES"/>
        </w:rPr>
        <w:t>sostienen</w:t>
      </w:r>
      <w:r w:rsidR="00873AB2" w:rsidRPr="0093551E">
        <w:rPr>
          <w:rFonts w:asciiTheme="majorHAnsi" w:hAnsiTheme="majorHAnsi"/>
          <w:sz w:val="20"/>
          <w:szCs w:val="20"/>
          <w:lang w:val="es-ES"/>
        </w:rPr>
        <w:t xml:space="preserve"> que el Laboratorio Clínico Gen y Vida en colaboración con la Fundación para Estudios Biomédicos avanzados de la Facultad de Medicina de la Universidad de Chile, informó, entre otras cosas, que en la prenda de la niña no se encontró evidencia del ADN de Odón Mendoza. Los peticionarios alegan que las muestras de ADN analizadas habían sido mal adquiridas, sin cumplir los protocolos adecuados, generando las deficiencias subsiguientes en el proceso judicial. </w:t>
      </w:r>
    </w:p>
    <w:p w14:paraId="40F6DFD2" w14:textId="7142370E" w:rsidR="008561F9" w:rsidRPr="0093551E" w:rsidRDefault="00E908AC" w:rsidP="00F308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Manifiestan que e</w:t>
      </w:r>
      <w:r w:rsidR="008561F9" w:rsidRPr="0093551E">
        <w:rPr>
          <w:rFonts w:asciiTheme="majorHAnsi" w:hAnsiTheme="majorHAnsi"/>
          <w:sz w:val="20"/>
          <w:szCs w:val="20"/>
          <w:lang w:val="es-ES"/>
        </w:rPr>
        <w:t>l 14 de mayo de 2003, mediante la Resolución 13/03, el Juez Octavo de Partido en lo Penal ordenó se proceda a la investigación y complementación de las diligencias por la posible participación del hecho a José</w:t>
      </w:r>
      <w:r w:rsidR="00F332B0" w:rsidRPr="0093551E">
        <w:rPr>
          <w:rFonts w:asciiTheme="majorHAnsi" w:hAnsiTheme="majorHAnsi"/>
          <w:sz w:val="20"/>
          <w:szCs w:val="20"/>
          <w:lang w:val="es-ES"/>
        </w:rPr>
        <w:t xml:space="preserve"> Luis Flores</w:t>
      </w:r>
      <w:r w:rsidR="00370A7D">
        <w:rPr>
          <w:rFonts w:asciiTheme="majorHAnsi" w:hAnsiTheme="majorHAnsi"/>
          <w:sz w:val="20"/>
          <w:szCs w:val="20"/>
          <w:lang w:val="es-ES"/>
        </w:rPr>
        <w:t xml:space="preserve"> López</w:t>
      </w:r>
      <w:r w:rsidR="00F332B0" w:rsidRPr="0093551E">
        <w:rPr>
          <w:rFonts w:asciiTheme="majorHAnsi" w:hAnsiTheme="majorHAnsi"/>
          <w:sz w:val="20"/>
          <w:szCs w:val="20"/>
          <w:lang w:val="es-ES"/>
        </w:rPr>
        <w:t xml:space="preserve">. En esta misma resolución, </w:t>
      </w:r>
      <w:r w:rsidR="006C1E7B" w:rsidRPr="0093551E">
        <w:rPr>
          <w:rFonts w:asciiTheme="majorHAnsi" w:hAnsiTheme="majorHAnsi"/>
          <w:sz w:val="20"/>
          <w:szCs w:val="20"/>
          <w:lang w:val="es-ES"/>
        </w:rPr>
        <w:t xml:space="preserve">el </w:t>
      </w:r>
      <w:r w:rsidR="006E47C8">
        <w:rPr>
          <w:rFonts w:asciiTheme="majorHAnsi" w:hAnsiTheme="majorHAnsi"/>
          <w:sz w:val="20"/>
          <w:szCs w:val="20"/>
          <w:lang w:val="es-ES"/>
        </w:rPr>
        <w:t>j</w:t>
      </w:r>
      <w:r w:rsidR="006C1E7B" w:rsidRPr="0093551E">
        <w:rPr>
          <w:rFonts w:asciiTheme="majorHAnsi" w:hAnsiTheme="majorHAnsi"/>
          <w:sz w:val="20"/>
          <w:szCs w:val="20"/>
          <w:lang w:val="es-ES"/>
        </w:rPr>
        <w:t>uez de la causa declaró como autor de los delitos de violación y asesinato de la presu</w:t>
      </w:r>
      <w:r w:rsidR="00307E35" w:rsidRPr="0093551E">
        <w:rPr>
          <w:rFonts w:asciiTheme="majorHAnsi" w:hAnsiTheme="majorHAnsi"/>
          <w:sz w:val="20"/>
          <w:szCs w:val="20"/>
          <w:lang w:val="es-ES"/>
        </w:rPr>
        <w:t>nta víctima a Odón Mendoza Soto</w:t>
      </w:r>
      <w:r w:rsidR="006E47C8">
        <w:rPr>
          <w:rFonts w:asciiTheme="majorHAnsi" w:hAnsiTheme="majorHAnsi"/>
          <w:sz w:val="20"/>
          <w:szCs w:val="20"/>
          <w:lang w:val="es-ES"/>
        </w:rPr>
        <w:t xml:space="preserve"> y lo condenó a</w:t>
      </w:r>
      <w:r w:rsidR="00F93656" w:rsidRPr="0093551E">
        <w:rPr>
          <w:rFonts w:asciiTheme="majorHAnsi" w:hAnsiTheme="majorHAnsi"/>
          <w:sz w:val="20"/>
          <w:szCs w:val="20"/>
          <w:lang w:val="es-ES"/>
        </w:rPr>
        <w:t xml:space="preserve"> 30 años de prisión;</w:t>
      </w:r>
      <w:r w:rsidR="006E47C8">
        <w:rPr>
          <w:rFonts w:asciiTheme="majorHAnsi" w:hAnsiTheme="majorHAnsi"/>
          <w:sz w:val="20"/>
          <w:szCs w:val="20"/>
          <w:lang w:val="es-ES"/>
        </w:rPr>
        <w:t xml:space="preserve"> además condenó</w:t>
      </w:r>
      <w:r w:rsidR="00B05C86">
        <w:rPr>
          <w:rFonts w:asciiTheme="majorHAnsi" w:hAnsiTheme="majorHAnsi"/>
          <w:sz w:val="20"/>
          <w:szCs w:val="20"/>
          <w:lang w:val="es-ES"/>
        </w:rPr>
        <w:t xml:space="preserve"> a </w:t>
      </w:r>
      <w:r w:rsidR="00B05C86" w:rsidRPr="0093551E">
        <w:rPr>
          <w:rFonts w:asciiTheme="majorHAnsi" w:hAnsiTheme="majorHAnsi"/>
          <w:sz w:val="20"/>
          <w:szCs w:val="20"/>
          <w:lang w:val="es-ES"/>
        </w:rPr>
        <w:t>Reynaldo Flores Barrera</w:t>
      </w:r>
      <w:r w:rsidR="00B05C86">
        <w:rPr>
          <w:rFonts w:asciiTheme="majorHAnsi" w:hAnsiTheme="majorHAnsi"/>
          <w:sz w:val="20"/>
          <w:szCs w:val="20"/>
          <w:lang w:val="es-ES"/>
        </w:rPr>
        <w:t xml:space="preserve"> en grado de complicidad a 10 años de cárcel</w:t>
      </w:r>
      <w:r w:rsidR="006E47C8">
        <w:rPr>
          <w:rFonts w:asciiTheme="majorHAnsi" w:hAnsiTheme="majorHAnsi"/>
          <w:sz w:val="20"/>
          <w:szCs w:val="20"/>
          <w:lang w:val="es-ES"/>
        </w:rPr>
        <w:t>;</w:t>
      </w:r>
      <w:r w:rsidR="00320A55">
        <w:rPr>
          <w:rFonts w:asciiTheme="majorHAnsi" w:hAnsiTheme="majorHAnsi"/>
          <w:sz w:val="20"/>
          <w:szCs w:val="20"/>
          <w:lang w:val="es-ES"/>
        </w:rPr>
        <w:t xml:space="preserve"> determinó </w:t>
      </w:r>
      <w:r w:rsidR="00320A55">
        <w:rPr>
          <w:rFonts w:asciiTheme="majorHAnsi" w:hAnsiTheme="majorHAnsi"/>
          <w:sz w:val="20"/>
          <w:szCs w:val="20"/>
          <w:lang w:val="es-ES"/>
        </w:rPr>
        <w:lastRenderedPageBreak/>
        <w:t xml:space="preserve">una pena de 2 años para </w:t>
      </w:r>
      <w:r w:rsidR="006E47C8">
        <w:rPr>
          <w:rFonts w:asciiTheme="majorHAnsi" w:hAnsiTheme="majorHAnsi"/>
          <w:sz w:val="20"/>
          <w:szCs w:val="20"/>
          <w:lang w:val="es-ES"/>
        </w:rPr>
        <w:t xml:space="preserve">las señoras </w:t>
      </w:r>
      <w:r w:rsidR="006E47C8" w:rsidRPr="0093551E">
        <w:rPr>
          <w:rFonts w:asciiTheme="majorHAnsi" w:hAnsiTheme="majorHAnsi"/>
          <w:sz w:val="20"/>
          <w:szCs w:val="20"/>
          <w:lang w:val="es-ES"/>
        </w:rPr>
        <w:t>M.U.U</w:t>
      </w:r>
      <w:r w:rsidR="003B45B4">
        <w:rPr>
          <w:rFonts w:asciiTheme="majorHAnsi" w:hAnsiTheme="majorHAnsi"/>
          <w:sz w:val="20"/>
          <w:szCs w:val="20"/>
          <w:lang w:val="es-ES"/>
        </w:rPr>
        <w:t>.</w:t>
      </w:r>
      <w:r w:rsidR="006E47C8" w:rsidRPr="0093551E">
        <w:rPr>
          <w:rFonts w:asciiTheme="majorHAnsi" w:hAnsiTheme="majorHAnsi"/>
          <w:sz w:val="20"/>
          <w:szCs w:val="20"/>
          <w:lang w:val="es-ES"/>
        </w:rPr>
        <w:t xml:space="preserve"> y B.P</w:t>
      </w:r>
      <w:r w:rsidR="003B45B4">
        <w:rPr>
          <w:rFonts w:asciiTheme="majorHAnsi" w:hAnsiTheme="majorHAnsi"/>
          <w:sz w:val="20"/>
          <w:szCs w:val="20"/>
          <w:lang w:val="es-ES"/>
        </w:rPr>
        <w:t>.</w:t>
      </w:r>
      <w:r w:rsidR="006E47C8" w:rsidRPr="0093551E">
        <w:rPr>
          <w:rFonts w:asciiTheme="majorHAnsi" w:hAnsiTheme="majorHAnsi"/>
          <w:sz w:val="20"/>
          <w:szCs w:val="20"/>
          <w:lang w:val="es-ES"/>
        </w:rPr>
        <w:t xml:space="preserve"> </w:t>
      </w:r>
      <w:r w:rsidR="006C1E7B" w:rsidRPr="0093551E">
        <w:rPr>
          <w:rFonts w:asciiTheme="majorHAnsi" w:hAnsiTheme="majorHAnsi"/>
          <w:sz w:val="20"/>
          <w:szCs w:val="20"/>
          <w:lang w:val="es-ES"/>
        </w:rPr>
        <w:t>por el delit</w:t>
      </w:r>
      <w:r w:rsidR="006E47C8">
        <w:rPr>
          <w:rFonts w:asciiTheme="majorHAnsi" w:hAnsiTheme="majorHAnsi"/>
          <w:sz w:val="20"/>
          <w:szCs w:val="20"/>
          <w:lang w:val="es-ES"/>
        </w:rPr>
        <w:t>o de  incumplimiento de deberes;</w:t>
      </w:r>
      <w:r w:rsidR="006C1E7B" w:rsidRPr="0093551E">
        <w:rPr>
          <w:rFonts w:asciiTheme="majorHAnsi" w:hAnsiTheme="majorHAnsi"/>
          <w:sz w:val="20"/>
          <w:szCs w:val="20"/>
          <w:lang w:val="es-ES"/>
        </w:rPr>
        <w:t xml:space="preserve"> y absolvió a </w:t>
      </w:r>
      <w:r w:rsidR="00E65E72" w:rsidRPr="0093551E">
        <w:rPr>
          <w:rFonts w:asciiTheme="majorHAnsi" w:hAnsiTheme="majorHAnsi"/>
          <w:sz w:val="20"/>
          <w:szCs w:val="20"/>
          <w:lang w:val="es-ES"/>
        </w:rPr>
        <w:t>M.R.V.V</w:t>
      </w:r>
      <w:r w:rsidR="00320A55">
        <w:rPr>
          <w:rFonts w:asciiTheme="majorHAnsi" w:hAnsiTheme="majorHAnsi"/>
          <w:sz w:val="20"/>
          <w:szCs w:val="20"/>
          <w:lang w:val="es-ES"/>
        </w:rPr>
        <w:t>.</w:t>
      </w:r>
      <w:r w:rsidR="00E65E72" w:rsidRPr="0093551E">
        <w:rPr>
          <w:rFonts w:asciiTheme="majorHAnsi" w:hAnsiTheme="majorHAnsi"/>
          <w:sz w:val="20"/>
          <w:szCs w:val="20"/>
          <w:lang w:val="es-ES"/>
        </w:rPr>
        <w:t xml:space="preserve"> </w:t>
      </w:r>
      <w:r w:rsidR="006C1E7B" w:rsidRPr="0093551E">
        <w:rPr>
          <w:rFonts w:asciiTheme="majorHAnsi" w:hAnsiTheme="majorHAnsi"/>
          <w:sz w:val="20"/>
          <w:szCs w:val="20"/>
          <w:lang w:val="es-ES"/>
        </w:rPr>
        <w:t>y</w:t>
      </w:r>
      <w:r w:rsidR="00E65E72" w:rsidRPr="0093551E">
        <w:rPr>
          <w:rFonts w:asciiTheme="majorHAnsi" w:hAnsiTheme="majorHAnsi"/>
          <w:sz w:val="20"/>
          <w:szCs w:val="20"/>
          <w:lang w:val="es-ES"/>
        </w:rPr>
        <w:t xml:space="preserve"> A.L.R</w:t>
      </w:r>
      <w:r w:rsidR="006C1E7B" w:rsidRPr="0093551E">
        <w:rPr>
          <w:rFonts w:asciiTheme="majorHAnsi" w:hAnsiTheme="majorHAnsi"/>
          <w:sz w:val="20"/>
          <w:szCs w:val="20"/>
          <w:lang w:val="es-ES"/>
        </w:rPr>
        <w:t>.</w:t>
      </w:r>
      <w:r w:rsidR="0046524E" w:rsidRPr="0093551E">
        <w:rPr>
          <w:rFonts w:asciiTheme="majorHAnsi" w:hAnsiTheme="majorHAnsi"/>
          <w:sz w:val="20"/>
          <w:szCs w:val="20"/>
          <w:lang w:val="es-ES"/>
        </w:rPr>
        <w:t xml:space="preserve"> </w:t>
      </w:r>
      <w:r>
        <w:rPr>
          <w:rFonts w:asciiTheme="majorHAnsi" w:hAnsiTheme="majorHAnsi"/>
          <w:sz w:val="20"/>
          <w:szCs w:val="20"/>
          <w:lang w:val="es-ES"/>
        </w:rPr>
        <w:t>Indican que e</w:t>
      </w:r>
      <w:r w:rsidR="0046524E" w:rsidRPr="0093551E">
        <w:rPr>
          <w:rFonts w:asciiTheme="majorHAnsi" w:hAnsiTheme="majorHAnsi"/>
          <w:sz w:val="20"/>
          <w:szCs w:val="20"/>
          <w:lang w:val="es-ES"/>
        </w:rPr>
        <w:t xml:space="preserve">sta sentencia fue </w:t>
      </w:r>
      <w:r w:rsidR="000F0144" w:rsidRPr="0093551E">
        <w:rPr>
          <w:rFonts w:asciiTheme="majorHAnsi" w:hAnsiTheme="majorHAnsi"/>
          <w:sz w:val="20"/>
          <w:szCs w:val="20"/>
          <w:lang w:val="es-ES"/>
        </w:rPr>
        <w:t>apelada y</w:t>
      </w:r>
      <w:r w:rsidR="003C0615" w:rsidRPr="0093551E">
        <w:rPr>
          <w:rFonts w:asciiTheme="majorHAnsi" w:hAnsiTheme="majorHAnsi"/>
          <w:sz w:val="20"/>
          <w:szCs w:val="20"/>
          <w:lang w:val="es-ES"/>
        </w:rPr>
        <w:t xml:space="preserve"> </w:t>
      </w:r>
      <w:r w:rsidR="006E47C8">
        <w:rPr>
          <w:rFonts w:asciiTheme="majorHAnsi" w:hAnsiTheme="majorHAnsi"/>
          <w:sz w:val="20"/>
          <w:szCs w:val="20"/>
          <w:lang w:val="es-ES"/>
        </w:rPr>
        <w:t>que el</w:t>
      </w:r>
      <w:r w:rsidR="003C0615" w:rsidRPr="0093551E">
        <w:rPr>
          <w:rFonts w:asciiTheme="majorHAnsi" w:hAnsiTheme="majorHAnsi"/>
          <w:sz w:val="20"/>
          <w:szCs w:val="20"/>
          <w:lang w:val="es-ES"/>
        </w:rPr>
        <w:t xml:space="preserve"> 8 de abril de 2004, se dispuso reponer obrados y </w:t>
      </w:r>
      <w:r w:rsidR="006E47C8">
        <w:rPr>
          <w:rFonts w:asciiTheme="majorHAnsi" w:hAnsiTheme="majorHAnsi"/>
          <w:sz w:val="20"/>
          <w:szCs w:val="20"/>
          <w:lang w:val="es-ES"/>
        </w:rPr>
        <w:t>dictar una</w:t>
      </w:r>
      <w:r w:rsidR="003C0615" w:rsidRPr="0093551E">
        <w:rPr>
          <w:rFonts w:asciiTheme="majorHAnsi" w:hAnsiTheme="majorHAnsi"/>
          <w:sz w:val="20"/>
          <w:szCs w:val="20"/>
          <w:lang w:val="es-ES"/>
        </w:rPr>
        <w:t xml:space="preserve"> nueva sentencia</w:t>
      </w:r>
      <w:r w:rsidR="00F163A8" w:rsidRPr="0093551E">
        <w:rPr>
          <w:rFonts w:asciiTheme="majorHAnsi" w:hAnsiTheme="majorHAnsi"/>
          <w:sz w:val="20"/>
          <w:szCs w:val="20"/>
          <w:lang w:val="es-ES"/>
        </w:rPr>
        <w:t xml:space="preserve"> </w:t>
      </w:r>
      <w:r w:rsidR="006A629D">
        <w:rPr>
          <w:rFonts w:asciiTheme="majorHAnsi" w:hAnsiTheme="majorHAnsi"/>
          <w:sz w:val="20"/>
          <w:szCs w:val="20"/>
          <w:lang w:val="es-ES"/>
        </w:rPr>
        <w:t>pues no se había establecido en qué centro penitenciari</w:t>
      </w:r>
      <w:r w:rsidR="00320A55">
        <w:rPr>
          <w:rFonts w:asciiTheme="majorHAnsi" w:hAnsiTheme="majorHAnsi"/>
          <w:sz w:val="20"/>
          <w:szCs w:val="20"/>
          <w:lang w:val="es-ES"/>
        </w:rPr>
        <w:t xml:space="preserve">o debían cumplirse las condenas. Asimismo, señalan que el tribunal de apelación observó que </w:t>
      </w:r>
      <w:r w:rsidR="00F163A8" w:rsidRPr="0093551E">
        <w:rPr>
          <w:rFonts w:asciiTheme="majorHAnsi" w:hAnsiTheme="majorHAnsi"/>
          <w:sz w:val="20"/>
          <w:szCs w:val="20"/>
          <w:lang w:val="es-ES"/>
        </w:rPr>
        <w:t xml:space="preserve">la absolución de </w:t>
      </w:r>
      <w:r w:rsidR="008B5A87" w:rsidRPr="0093551E">
        <w:rPr>
          <w:rFonts w:asciiTheme="majorHAnsi" w:hAnsiTheme="majorHAnsi"/>
          <w:sz w:val="20"/>
          <w:szCs w:val="20"/>
          <w:lang w:val="es-ES"/>
        </w:rPr>
        <w:t>M.R.V.V</w:t>
      </w:r>
      <w:r w:rsidR="00320A55">
        <w:rPr>
          <w:rFonts w:asciiTheme="majorHAnsi" w:hAnsiTheme="majorHAnsi"/>
          <w:sz w:val="20"/>
          <w:szCs w:val="20"/>
          <w:lang w:val="es-ES"/>
        </w:rPr>
        <w:t>.</w:t>
      </w:r>
      <w:r w:rsidR="008B5A87" w:rsidRPr="0093551E">
        <w:rPr>
          <w:rFonts w:asciiTheme="majorHAnsi" w:hAnsiTheme="majorHAnsi"/>
          <w:sz w:val="20"/>
          <w:szCs w:val="20"/>
          <w:lang w:val="es-ES"/>
        </w:rPr>
        <w:t xml:space="preserve"> y A</w:t>
      </w:r>
      <w:r w:rsidR="0046524E" w:rsidRPr="0093551E">
        <w:rPr>
          <w:rFonts w:asciiTheme="majorHAnsi" w:hAnsiTheme="majorHAnsi"/>
          <w:sz w:val="20"/>
          <w:szCs w:val="20"/>
          <w:lang w:val="es-ES"/>
        </w:rPr>
        <w:t>.</w:t>
      </w:r>
      <w:r w:rsidR="008B5A87" w:rsidRPr="0093551E">
        <w:rPr>
          <w:rFonts w:asciiTheme="majorHAnsi" w:hAnsiTheme="majorHAnsi"/>
          <w:sz w:val="20"/>
          <w:szCs w:val="20"/>
          <w:lang w:val="es-ES"/>
        </w:rPr>
        <w:t>L.R.</w:t>
      </w:r>
      <w:r w:rsidR="00320A55">
        <w:rPr>
          <w:rFonts w:asciiTheme="majorHAnsi" w:hAnsiTheme="majorHAnsi"/>
          <w:sz w:val="20"/>
          <w:szCs w:val="20"/>
          <w:lang w:val="es-ES"/>
        </w:rPr>
        <w:t xml:space="preserve"> no se había fundamentado.</w:t>
      </w:r>
      <w:r w:rsidR="00F163A8" w:rsidRPr="0093551E">
        <w:rPr>
          <w:rFonts w:asciiTheme="majorHAnsi" w:hAnsiTheme="majorHAnsi"/>
          <w:sz w:val="20"/>
          <w:szCs w:val="20"/>
          <w:lang w:val="es-ES"/>
        </w:rPr>
        <w:t xml:space="preserve"> Los peticionarios aducen que estos hechos configuran deficiencias graves que perjudicaron el normal desenvolvimiento del caso.</w:t>
      </w:r>
    </w:p>
    <w:p w14:paraId="4FC0EE42" w14:textId="359983D0" w:rsidR="0046524E" w:rsidRPr="0093551E" w:rsidRDefault="00905A3F" w:rsidP="00F163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Informan que e</w:t>
      </w:r>
      <w:r w:rsidR="00F163A8" w:rsidRPr="0093551E">
        <w:rPr>
          <w:rFonts w:asciiTheme="majorHAnsi" w:hAnsiTheme="majorHAnsi"/>
          <w:sz w:val="20"/>
          <w:szCs w:val="20"/>
          <w:lang w:val="es-ES"/>
        </w:rPr>
        <w:t>l 19 de noviembre de 2005, el Juzgado Segundo de Partido en lo Penal Liquidador, emit</w:t>
      </w:r>
      <w:r>
        <w:rPr>
          <w:rFonts w:asciiTheme="majorHAnsi" w:hAnsiTheme="majorHAnsi"/>
          <w:sz w:val="20"/>
          <w:szCs w:val="20"/>
          <w:lang w:val="es-ES"/>
        </w:rPr>
        <w:t>ió</w:t>
      </w:r>
      <w:r w:rsidR="00F163A8" w:rsidRPr="0093551E">
        <w:rPr>
          <w:rFonts w:asciiTheme="majorHAnsi" w:hAnsiTheme="majorHAnsi"/>
          <w:sz w:val="20"/>
          <w:szCs w:val="20"/>
          <w:lang w:val="es-ES"/>
        </w:rPr>
        <w:t xml:space="preserve"> un auto motivado </w:t>
      </w:r>
      <w:r>
        <w:rPr>
          <w:rFonts w:asciiTheme="majorHAnsi" w:hAnsiTheme="majorHAnsi"/>
          <w:sz w:val="20"/>
          <w:szCs w:val="20"/>
          <w:lang w:val="es-ES"/>
        </w:rPr>
        <w:t xml:space="preserve">estableciendo el vencimiento del </w:t>
      </w:r>
      <w:r w:rsidRPr="0093551E">
        <w:rPr>
          <w:rFonts w:asciiTheme="majorHAnsi" w:hAnsiTheme="majorHAnsi"/>
          <w:sz w:val="20"/>
          <w:szCs w:val="20"/>
          <w:lang w:val="es-ES"/>
        </w:rPr>
        <w:t>plazo de cinco años para la conclusión del proceso según el antiguo código penal</w:t>
      </w:r>
      <w:r>
        <w:rPr>
          <w:rFonts w:asciiTheme="majorHAnsi" w:hAnsiTheme="majorHAnsi"/>
          <w:sz w:val="20"/>
          <w:szCs w:val="20"/>
          <w:lang w:val="es-ES"/>
        </w:rPr>
        <w:t xml:space="preserve">, toda vez que </w:t>
      </w:r>
      <w:r w:rsidR="00F163A8" w:rsidRPr="0093551E">
        <w:rPr>
          <w:rFonts w:asciiTheme="majorHAnsi" w:hAnsiTheme="majorHAnsi"/>
          <w:sz w:val="20"/>
          <w:szCs w:val="20"/>
          <w:lang w:val="es-ES"/>
        </w:rPr>
        <w:t xml:space="preserve">no </w:t>
      </w:r>
      <w:r>
        <w:rPr>
          <w:rFonts w:asciiTheme="majorHAnsi" w:hAnsiTheme="majorHAnsi"/>
          <w:sz w:val="20"/>
          <w:szCs w:val="20"/>
          <w:lang w:val="es-ES"/>
        </w:rPr>
        <w:t>existió una</w:t>
      </w:r>
      <w:r w:rsidR="00F163A8" w:rsidRPr="0093551E">
        <w:rPr>
          <w:rFonts w:asciiTheme="majorHAnsi" w:hAnsiTheme="majorHAnsi"/>
          <w:sz w:val="20"/>
          <w:szCs w:val="20"/>
          <w:lang w:val="es-ES"/>
        </w:rPr>
        <w:t xml:space="preserve"> sentencia ejecutoriada hasta el 31 de mayo de 2004. </w:t>
      </w:r>
      <w:r>
        <w:rPr>
          <w:rFonts w:asciiTheme="majorHAnsi" w:hAnsiTheme="majorHAnsi"/>
          <w:sz w:val="20"/>
          <w:szCs w:val="20"/>
          <w:lang w:val="es-ES"/>
        </w:rPr>
        <w:t>Mencionan que el</w:t>
      </w:r>
      <w:r w:rsidR="0046524E" w:rsidRPr="0093551E">
        <w:rPr>
          <w:rFonts w:asciiTheme="majorHAnsi" w:hAnsiTheme="majorHAnsi"/>
          <w:sz w:val="20"/>
          <w:szCs w:val="20"/>
          <w:lang w:val="es-ES"/>
        </w:rPr>
        <w:t xml:space="preserve"> 13 de febrero de 20</w:t>
      </w:r>
      <w:r w:rsidR="00307E35" w:rsidRPr="0093551E">
        <w:rPr>
          <w:rFonts w:asciiTheme="majorHAnsi" w:hAnsiTheme="majorHAnsi"/>
          <w:sz w:val="20"/>
          <w:szCs w:val="20"/>
          <w:lang w:val="es-ES"/>
        </w:rPr>
        <w:t xml:space="preserve">06, </w:t>
      </w:r>
      <w:r>
        <w:rPr>
          <w:rFonts w:asciiTheme="majorHAnsi" w:hAnsiTheme="majorHAnsi"/>
          <w:sz w:val="20"/>
          <w:szCs w:val="20"/>
          <w:lang w:val="es-ES"/>
        </w:rPr>
        <w:t>dicho j</w:t>
      </w:r>
      <w:r w:rsidR="00F163A8" w:rsidRPr="0093551E">
        <w:rPr>
          <w:rFonts w:asciiTheme="majorHAnsi" w:hAnsiTheme="majorHAnsi"/>
          <w:sz w:val="20"/>
          <w:szCs w:val="20"/>
          <w:lang w:val="es-ES"/>
        </w:rPr>
        <w:t>uzgado</w:t>
      </w:r>
      <w:r w:rsidR="009C2369" w:rsidRPr="0093551E">
        <w:rPr>
          <w:rFonts w:asciiTheme="majorHAnsi" w:hAnsiTheme="majorHAnsi"/>
          <w:sz w:val="20"/>
          <w:szCs w:val="20"/>
          <w:lang w:val="es-ES"/>
        </w:rPr>
        <w:t xml:space="preserve"> </w:t>
      </w:r>
      <w:r w:rsidR="007750DA" w:rsidRPr="0093551E">
        <w:rPr>
          <w:rFonts w:asciiTheme="majorHAnsi" w:hAnsiTheme="majorHAnsi"/>
          <w:sz w:val="20"/>
          <w:szCs w:val="20"/>
          <w:lang w:val="es-ES"/>
        </w:rPr>
        <w:t xml:space="preserve">pronunció sentencia absolutoria </w:t>
      </w:r>
      <w:r>
        <w:rPr>
          <w:rFonts w:asciiTheme="majorHAnsi" w:hAnsiTheme="majorHAnsi"/>
          <w:sz w:val="20"/>
          <w:szCs w:val="20"/>
          <w:lang w:val="es-ES"/>
        </w:rPr>
        <w:t>en favor de</w:t>
      </w:r>
      <w:r w:rsidR="0046524E" w:rsidRPr="0093551E">
        <w:rPr>
          <w:rFonts w:asciiTheme="majorHAnsi" w:hAnsiTheme="majorHAnsi"/>
          <w:sz w:val="20"/>
          <w:szCs w:val="20"/>
          <w:lang w:val="es-ES"/>
        </w:rPr>
        <w:t xml:space="preserve"> Reynaldo Flores Barrera, </w:t>
      </w:r>
      <w:r w:rsidR="008B5A87" w:rsidRPr="0093551E">
        <w:rPr>
          <w:rFonts w:asciiTheme="majorHAnsi" w:hAnsiTheme="majorHAnsi"/>
          <w:sz w:val="20"/>
          <w:szCs w:val="20"/>
          <w:lang w:val="es-ES"/>
        </w:rPr>
        <w:t>M.R.V.V</w:t>
      </w:r>
      <w:r w:rsidR="00320A55">
        <w:rPr>
          <w:rFonts w:asciiTheme="majorHAnsi" w:hAnsiTheme="majorHAnsi"/>
          <w:sz w:val="20"/>
          <w:szCs w:val="20"/>
          <w:lang w:val="es-ES"/>
        </w:rPr>
        <w:t>.</w:t>
      </w:r>
      <w:r w:rsidR="008B5A87" w:rsidRPr="0093551E">
        <w:rPr>
          <w:rFonts w:asciiTheme="majorHAnsi" w:hAnsiTheme="majorHAnsi"/>
          <w:sz w:val="20"/>
          <w:szCs w:val="20"/>
          <w:lang w:val="es-ES"/>
        </w:rPr>
        <w:t xml:space="preserve"> y A.L.R</w:t>
      </w:r>
      <w:r w:rsidR="0046524E" w:rsidRPr="0093551E">
        <w:rPr>
          <w:rFonts w:asciiTheme="majorHAnsi" w:hAnsiTheme="majorHAnsi"/>
          <w:sz w:val="20"/>
          <w:szCs w:val="20"/>
          <w:lang w:val="es-ES"/>
        </w:rPr>
        <w:t>, por existir prueba semiple</w:t>
      </w:r>
      <w:r w:rsidR="00307E35" w:rsidRPr="0093551E">
        <w:rPr>
          <w:rFonts w:asciiTheme="majorHAnsi" w:hAnsiTheme="majorHAnsi"/>
          <w:sz w:val="20"/>
          <w:szCs w:val="20"/>
          <w:lang w:val="es-ES"/>
        </w:rPr>
        <w:t>na en contra de ellos y condenó</w:t>
      </w:r>
      <w:r w:rsidR="0046524E" w:rsidRPr="0093551E">
        <w:rPr>
          <w:rFonts w:asciiTheme="majorHAnsi" w:hAnsiTheme="majorHAnsi"/>
          <w:sz w:val="20"/>
          <w:szCs w:val="20"/>
          <w:lang w:val="es-ES"/>
        </w:rPr>
        <w:t xml:space="preserve"> a Odón Mendoza Soto como </w:t>
      </w:r>
      <w:r w:rsidR="00F32A6C" w:rsidRPr="0093551E">
        <w:rPr>
          <w:rFonts w:asciiTheme="majorHAnsi" w:hAnsiTheme="majorHAnsi"/>
          <w:sz w:val="20"/>
          <w:szCs w:val="20"/>
          <w:lang w:val="es-ES"/>
        </w:rPr>
        <w:t>autor del delito de asesinato</w:t>
      </w:r>
      <w:r w:rsidR="00320A55">
        <w:rPr>
          <w:rFonts w:asciiTheme="majorHAnsi" w:hAnsiTheme="majorHAnsi"/>
          <w:sz w:val="20"/>
          <w:szCs w:val="20"/>
          <w:lang w:val="es-ES"/>
        </w:rPr>
        <w:t>,</w:t>
      </w:r>
      <w:r w:rsidR="00F32A6C" w:rsidRPr="0093551E">
        <w:rPr>
          <w:rFonts w:asciiTheme="majorHAnsi" w:hAnsiTheme="majorHAnsi"/>
          <w:sz w:val="20"/>
          <w:szCs w:val="20"/>
          <w:lang w:val="es-ES"/>
        </w:rPr>
        <w:t xml:space="preserve"> y a </w:t>
      </w:r>
      <w:r w:rsidR="00320A55">
        <w:rPr>
          <w:rFonts w:asciiTheme="majorHAnsi" w:hAnsiTheme="majorHAnsi"/>
          <w:sz w:val="20"/>
          <w:szCs w:val="20"/>
          <w:lang w:val="es-ES"/>
        </w:rPr>
        <w:t xml:space="preserve">las señoras </w:t>
      </w:r>
      <w:r w:rsidR="008B5A87" w:rsidRPr="0093551E">
        <w:rPr>
          <w:rFonts w:asciiTheme="majorHAnsi" w:hAnsiTheme="majorHAnsi"/>
          <w:sz w:val="20"/>
          <w:szCs w:val="20"/>
          <w:lang w:val="es-ES"/>
        </w:rPr>
        <w:t xml:space="preserve">M.U.U y B.P </w:t>
      </w:r>
      <w:r w:rsidR="00F32A6C" w:rsidRPr="0093551E">
        <w:rPr>
          <w:rFonts w:asciiTheme="majorHAnsi" w:hAnsiTheme="majorHAnsi"/>
          <w:sz w:val="20"/>
          <w:szCs w:val="20"/>
          <w:lang w:val="es-ES"/>
        </w:rPr>
        <w:t>por el delito de incumplimiento de deberes, absolviéndola</w:t>
      </w:r>
      <w:r w:rsidR="00F163A8" w:rsidRPr="0093551E">
        <w:rPr>
          <w:rFonts w:asciiTheme="majorHAnsi" w:hAnsiTheme="majorHAnsi"/>
          <w:sz w:val="20"/>
          <w:szCs w:val="20"/>
          <w:lang w:val="es-ES"/>
        </w:rPr>
        <w:t>s del delito de encubrimiento. Dicha</w:t>
      </w:r>
      <w:r w:rsidR="00F32A6C" w:rsidRPr="0093551E">
        <w:rPr>
          <w:rFonts w:asciiTheme="majorHAnsi" w:hAnsiTheme="majorHAnsi"/>
          <w:sz w:val="20"/>
          <w:szCs w:val="20"/>
          <w:lang w:val="es-ES"/>
        </w:rPr>
        <w:t xml:space="preserve"> resolución fue apelada po</w:t>
      </w:r>
      <w:r w:rsidR="009C2369" w:rsidRPr="0093551E">
        <w:rPr>
          <w:rFonts w:asciiTheme="majorHAnsi" w:hAnsiTheme="majorHAnsi"/>
          <w:sz w:val="20"/>
          <w:szCs w:val="20"/>
          <w:lang w:val="es-ES"/>
        </w:rPr>
        <w:t xml:space="preserve">r </w:t>
      </w:r>
      <w:r w:rsidR="00054201" w:rsidRPr="0093551E">
        <w:rPr>
          <w:rFonts w:asciiTheme="majorHAnsi" w:hAnsiTheme="majorHAnsi"/>
          <w:sz w:val="20"/>
          <w:szCs w:val="20"/>
          <w:lang w:val="es-ES"/>
        </w:rPr>
        <w:t>las tres</w:t>
      </w:r>
      <w:r w:rsidR="009C2369" w:rsidRPr="0093551E">
        <w:rPr>
          <w:rFonts w:asciiTheme="majorHAnsi" w:hAnsiTheme="majorHAnsi"/>
          <w:sz w:val="20"/>
          <w:szCs w:val="20"/>
          <w:lang w:val="es-ES"/>
        </w:rPr>
        <w:t xml:space="preserve"> personas sentenciadas.</w:t>
      </w:r>
      <w:r w:rsidR="000F0144" w:rsidRPr="0093551E">
        <w:rPr>
          <w:rFonts w:asciiTheme="majorHAnsi" w:hAnsiTheme="majorHAnsi"/>
          <w:sz w:val="20"/>
          <w:szCs w:val="20"/>
          <w:lang w:val="es-ES"/>
        </w:rPr>
        <w:t xml:space="preserve"> </w:t>
      </w:r>
      <w:r w:rsidR="00A81687" w:rsidRPr="0093551E">
        <w:rPr>
          <w:rFonts w:asciiTheme="majorHAnsi" w:hAnsiTheme="majorHAnsi"/>
          <w:sz w:val="20"/>
          <w:szCs w:val="20"/>
          <w:lang w:val="es-ES"/>
        </w:rPr>
        <w:t>En particular, Odón Mendoza Soto apeló la sentencia ya que consideró que en ella no se habrían considerado los informes de</w:t>
      </w:r>
      <w:r w:rsidR="00320A55">
        <w:rPr>
          <w:rFonts w:asciiTheme="majorHAnsi" w:hAnsiTheme="majorHAnsi"/>
          <w:sz w:val="20"/>
          <w:szCs w:val="20"/>
          <w:lang w:val="es-ES"/>
        </w:rPr>
        <w:t xml:space="preserve"> los análisis de</w:t>
      </w:r>
      <w:r w:rsidR="00A81687" w:rsidRPr="0093551E">
        <w:rPr>
          <w:rFonts w:asciiTheme="majorHAnsi" w:hAnsiTheme="majorHAnsi"/>
          <w:sz w:val="20"/>
          <w:szCs w:val="20"/>
          <w:lang w:val="es-ES"/>
        </w:rPr>
        <w:t xml:space="preserve"> ADN emitidos por el FBI y por el laboratorio Gen y Vida, que lo excluían de haber participado en el hecho por el cual se le condenó.</w:t>
      </w:r>
    </w:p>
    <w:p w14:paraId="31E2843B" w14:textId="393D8C37" w:rsidR="00F32A6C" w:rsidRPr="0093551E" w:rsidRDefault="00F708DA" w:rsidP="008561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 xml:space="preserve">Afirman </w:t>
      </w:r>
      <w:r w:rsidR="00054201">
        <w:rPr>
          <w:rFonts w:asciiTheme="majorHAnsi" w:hAnsiTheme="majorHAnsi"/>
          <w:sz w:val="20"/>
          <w:szCs w:val="20"/>
          <w:lang w:val="es-ES"/>
        </w:rPr>
        <w:t>que,</w:t>
      </w:r>
      <w:r>
        <w:rPr>
          <w:rFonts w:asciiTheme="majorHAnsi" w:hAnsiTheme="majorHAnsi"/>
          <w:sz w:val="20"/>
          <w:szCs w:val="20"/>
          <w:lang w:val="es-ES"/>
        </w:rPr>
        <w:t xml:space="preserve"> e</w:t>
      </w:r>
      <w:r w:rsidR="00F32A6C" w:rsidRPr="0093551E">
        <w:rPr>
          <w:rFonts w:asciiTheme="majorHAnsi" w:hAnsiTheme="majorHAnsi"/>
          <w:sz w:val="20"/>
          <w:szCs w:val="20"/>
          <w:lang w:val="es-ES"/>
        </w:rPr>
        <w:t>n</w:t>
      </w:r>
      <w:r w:rsidR="00844701" w:rsidRPr="0093551E">
        <w:rPr>
          <w:rFonts w:asciiTheme="majorHAnsi" w:hAnsiTheme="majorHAnsi"/>
          <w:sz w:val="20"/>
          <w:szCs w:val="20"/>
          <w:lang w:val="es-ES"/>
        </w:rPr>
        <w:t xml:space="preserve"> segunda </w:t>
      </w:r>
      <w:r w:rsidR="00F87571" w:rsidRPr="0093551E">
        <w:rPr>
          <w:rFonts w:asciiTheme="majorHAnsi" w:hAnsiTheme="majorHAnsi"/>
          <w:sz w:val="20"/>
          <w:szCs w:val="20"/>
          <w:lang w:val="es-ES"/>
        </w:rPr>
        <w:t>instancia</w:t>
      </w:r>
      <w:r w:rsidR="00F32A6C" w:rsidRPr="0093551E">
        <w:rPr>
          <w:rFonts w:asciiTheme="majorHAnsi" w:hAnsiTheme="majorHAnsi"/>
          <w:sz w:val="20"/>
          <w:szCs w:val="20"/>
          <w:lang w:val="es-ES"/>
        </w:rPr>
        <w:t xml:space="preserve">, </w:t>
      </w:r>
      <w:r w:rsidR="00797387" w:rsidRPr="0093551E">
        <w:rPr>
          <w:rFonts w:asciiTheme="majorHAnsi" w:hAnsiTheme="majorHAnsi"/>
          <w:sz w:val="20"/>
          <w:szCs w:val="20"/>
          <w:lang w:val="es-ES"/>
        </w:rPr>
        <w:t xml:space="preserve">el 14 de octubre de 2008, </w:t>
      </w:r>
      <w:r w:rsidR="00F32A6C" w:rsidRPr="0093551E">
        <w:rPr>
          <w:rFonts w:asciiTheme="majorHAnsi" w:hAnsiTheme="majorHAnsi"/>
          <w:sz w:val="20"/>
          <w:szCs w:val="20"/>
          <w:lang w:val="es-ES"/>
        </w:rPr>
        <w:t>la Sala Pen</w:t>
      </w:r>
      <w:r w:rsidR="007750DA" w:rsidRPr="0093551E">
        <w:rPr>
          <w:rFonts w:asciiTheme="majorHAnsi" w:hAnsiTheme="majorHAnsi"/>
          <w:sz w:val="20"/>
          <w:szCs w:val="20"/>
          <w:lang w:val="es-ES"/>
        </w:rPr>
        <w:t>al Primera de la Corte</w:t>
      </w:r>
      <w:r w:rsidR="00F87571" w:rsidRPr="0093551E">
        <w:rPr>
          <w:rFonts w:asciiTheme="majorHAnsi" w:hAnsiTheme="majorHAnsi"/>
          <w:sz w:val="20"/>
          <w:szCs w:val="20"/>
          <w:lang w:val="es-ES"/>
        </w:rPr>
        <w:t xml:space="preserve"> Superior de Distrito</w:t>
      </w:r>
      <w:r w:rsidR="003B45B4">
        <w:rPr>
          <w:rFonts w:asciiTheme="majorHAnsi" w:hAnsiTheme="majorHAnsi"/>
          <w:sz w:val="20"/>
          <w:szCs w:val="20"/>
          <w:lang w:val="es-ES"/>
        </w:rPr>
        <w:t xml:space="preserve"> de la Paz</w:t>
      </w:r>
      <w:r w:rsidR="00F87571" w:rsidRPr="0093551E">
        <w:rPr>
          <w:rFonts w:asciiTheme="majorHAnsi" w:hAnsiTheme="majorHAnsi"/>
          <w:sz w:val="20"/>
          <w:szCs w:val="20"/>
          <w:lang w:val="es-ES"/>
        </w:rPr>
        <w:t xml:space="preserve">, </w:t>
      </w:r>
      <w:r w:rsidR="00797387">
        <w:rPr>
          <w:rFonts w:asciiTheme="majorHAnsi" w:hAnsiTheme="majorHAnsi"/>
          <w:sz w:val="20"/>
          <w:szCs w:val="20"/>
          <w:lang w:val="es-ES"/>
        </w:rPr>
        <w:t>confirmó</w:t>
      </w:r>
      <w:r w:rsidR="007750DA" w:rsidRPr="0093551E">
        <w:rPr>
          <w:rFonts w:asciiTheme="majorHAnsi" w:hAnsiTheme="majorHAnsi"/>
          <w:sz w:val="20"/>
          <w:szCs w:val="20"/>
          <w:lang w:val="es-ES"/>
        </w:rPr>
        <w:t xml:space="preserve"> en parte la sentencia </w:t>
      </w:r>
      <w:r w:rsidR="00F32A6C" w:rsidRPr="0093551E">
        <w:rPr>
          <w:rFonts w:asciiTheme="majorHAnsi" w:hAnsiTheme="majorHAnsi"/>
          <w:sz w:val="20"/>
          <w:szCs w:val="20"/>
          <w:lang w:val="es-ES"/>
        </w:rPr>
        <w:t xml:space="preserve">con la modificación de </w:t>
      </w:r>
      <w:r w:rsidR="008B5A87" w:rsidRPr="0093551E">
        <w:rPr>
          <w:rFonts w:asciiTheme="majorHAnsi" w:hAnsiTheme="majorHAnsi"/>
          <w:sz w:val="20"/>
          <w:szCs w:val="20"/>
          <w:lang w:val="es-ES"/>
        </w:rPr>
        <w:t>condena</w:t>
      </w:r>
      <w:r w:rsidR="00641F33">
        <w:rPr>
          <w:rFonts w:asciiTheme="majorHAnsi" w:hAnsiTheme="majorHAnsi"/>
          <w:sz w:val="20"/>
          <w:szCs w:val="20"/>
          <w:lang w:val="es-ES"/>
        </w:rPr>
        <w:t>r</w:t>
      </w:r>
      <w:r w:rsidR="008B5A87" w:rsidRPr="0093551E">
        <w:rPr>
          <w:rFonts w:asciiTheme="majorHAnsi" w:hAnsiTheme="majorHAnsi"/>
          <w:sz w:val="20"/>
          <w:szCs w:val="20"/>
          <w:lang w:val="es-ES"/>
        </w:rPr>
        <w:t xml:space="preserve"> </w:t>
      </w:r>
      <w:r>
        <w:rPr>
          <w:rFonts w:asciiTheme="majorHAnsi" w:hAnsiTheme="majorHAnsi"/>
          <w:sz w:val="20"/>
          <w:szCs w:val="20"/>
          <w:lang w:val="es-ES"/>
        </w:rPr>
        <w:t>a</w:t>
      </w:r>
      <w:r w:rsidR="008B5A87" w:rsidRPr="0093551E">
        <w:rPr>
          <w:rFonts w:asciiTheme="majorHAnsi" w:hAnsiTheme="majorHAnsi"/>
          <w:sz w:val="20"/>
          <w:szCs w:val="20"/>
          <w:lang w:val="es-ES"/>
        </w:rPr>
        <w:t xml:space="preserve"> M.R.V.V</w:t>
      </w:r>
      <w:r w:rsidR="003B45B4">
        <w:rPr>
          <w:rFonts w:asciiTheme="majorHAnsi" w:hAnsiTheme="majorHAnsi"/>
          <w:sz w:val="20"/>
          <w:szCs w:val="20"/>
          <w:lang w:val="es-ES"/>
        </w:rPr>
        <w:t>.</w:t>
      </w:r>
      <w:r w:rsidR="008B5A87" w:rsidRPr="0093551E">
        <w:rPr>
          <w:rFonts w:asciiTheme="majorHAnsi" w:hAnsiTheme="majorHAnsi"/>
          <w:sz w:val="20"/>
          <w:szCs w:val="20"/>
          <w:lang w:val="es-ES"/>
        </w:rPr>
        <w:t xml:space="preserve"> </w:t>
      </w:r>
      <w:r w:rsidR="00F32A6C" w:rsidRPr="0093551E">
        <w:rPr>
          <w:rFonts w:asciiTheme="majorHAnsi" w:hAnsiTheme="majorHAnsi"/>
          <w:sz w:val="20"/>
          <w:szCs w:val="20"/>
          <w:lang w:val="es-ES"/>
        </w:rPr>
        <w:t>por el delito de incumplimiento de deberes</w:t>
      </w:r>
      <w:r w:rsidR="00F93656" w:rsidRPr="0093551E">
        <w:rPr>
          <w:rFonts w:asciiTheme="majorHAnsi" w:hAnsiTheme="majorHAnsi"/>
          <w:sz w:val="20"/>
          <w:szCs w:val="20"/>
          <w:lang w:val="es-ES"/>
        </w:rPr>
        <w:t xml:space="preserve">, aduciendo que el juez aplicó </w:t>
      </w:r>
      <w:r>
        <w:rPr>
          <w:rFonts w:asciiTheme="majorHAnsi" w:hAnsiTheme="majorHAnsi"/>
          <w:sz w:val="20"/>
          <w:szCs w:val="20"/>
          <w:lang w:val="es-ES"/>
        </w:rPr>
        <w:t>in</w:t>
      </w:r>
      <w:r w:rsidR="00F93656" w:rsidRPr="0093551E">
        <w:rPr>
          <w:rFonts w:asciiTheme="majorHAnsi" w:hAnsiTheme="majorHAnsi"/>
          <w:sz w:val="20"/>
          <w:szCs w:val="20"/>
          <w:lang w:val="es-ES"/>
        </w:rPr>
        <w:t>correctamente las reglas de la sana crítica</w:t>
      </w:r>
      <w:r w:rsidR="00F32A6C" w:rsidRPr="0093551E">
        <w:rPr>
          <w:rFonts w:asciiTheme="majorHAnsi" w:hAnsiTheme="majorHAnsi"/>
          <w:sz w:val="20"/>
          <w:szCs w:val="20"/>
          <w:lang w:val="es-ES"/>
        </w:rPr>
        <w:t xml:space="preserve">. </w:t>
      </w:r>
      <w:r w:rsidR="00F93656" w:rsidRPr="0093551E">
        <w:rPr>
          <w:rFonts w:asciiTheme="majorHAnsi" w:hAnsiTheme="majorHAnsi"/>
          <w:sz w:val="20"/>
          <w:szCs w:val="20"/>
          <w:lang w:val="es-ES"/>
        </w:rPr>
        <w:t>Frente a tal decisión</w:t>
      </w:r>
      <w:r w:rsidR="00F87571" w:rsidRPr="0093551E">
        <w:rPr>
          <w:rFonts w:asciiTheme="majorHAnsi" w:hAnsiTheme="majorHAnsi"/>
          <w:sz w:val="20"/>
          <w:szCs w:val="20"/>
          <w:lang w:val="es-ES"/>
        </w:rPr>
        <w:t>,</w:t>
      </w:r>
      <w:r w:rsidR="00997459">
        <w:rPr>
          <w:rFonts w:asciiTheme="majorHAnsi" w:hAnsiTheme="majorHAnsi"/>
          <w:sz w:val="20"/>
          <w:szCs w:val="20"/>
          <w:lang w:val="es-ES"/>
        </w:rPr>
        <w:t xml:space="preserve"> informan que</w:t>
      </w:r>
      <w:r w:rsidR="00F87571" w:rsidRPr="0093551E">
        <w:rPr>
          <w:rFonts w:asciiTheme="majorHAnsi" w:hAnsiTheme="majorHAnsi"/>
          <w:sz w:val="20"/>
          <w:szCs w:val="20"/>
          <w:lang w:val="es-ES"/>
        </w:rPr>
        <w:t xml:space="preserve"> </w:t>
      </w:r>
      <w:r w:rsidR="00844701" w:rsidRPr="0093551E">
        <w:rPr>
          <w:rFonts w:asciiTheme="majorHAnsi" w:hAnsiTheme="majorHAnsi"/>
          <w:sz w:val="20"/>
          <w:szCs w:val="20"/>
          <w:lang w:val="es-ES"/>
        </w:rPr>
        <w:t>Odón Mendo</w:t>
      </w:r>
      <w:r w:rsidR="00F93656" w:rsidRPr="0093551E">
        <w:rPr>
          <w:rFonts w:asciiTheme="majorHAnsi" w:hAnsiTheme="majorHAnsi"/>
          <w:sz w:val="20"/>
          <w:szCs w:val="20"/>
          <w:lang w:val="es-ES"/>
        </w:rPr>
        <w:t>za recurr</w:t>
      </w:r>
      <w:r w:rsidR="00997459">
        <w:rPr>
          <w:rFonts w:asciiTheme="majorHAnsi" w:hAnsiTheme="majorHAnsi"/>
          <w:sz w:val="20"/>
          <w:szCs w:val="20"/>
          <w:lang w:val="es-ES"/>
        </w:rPr>
        <w:t>ió</w:t>
      </w:r>
      <w:r w:rsidR="00F93656" w:rsidRPr="0093551E">
        <w:rPr>
          <w:rFonts w:asciiTheme="majorHAnsi" w:hAnsiTheme="majorHAnsi"/>
          <w:sz w:val="20"/>
          <w:szCs w:val="20"/>
          <w:lang w:val="es-ES"/>
        </w:rPr>
        <w:t xml:space="preserve"> en casación ante la Corte Suprema de Justicia</w:t>
      </w:r>
      <w:r w:rsidR="00844701" w:rsidRPr="0093551E">
        <w:rPr>
          <w:rFonts w:asciiTheme="majorHAnsi" w:hAnsiTheme="majorHAnsi"/>
          <w:sz w:val="20"/>
          <w:szCs w:val="20"/>
          <w:lang w:val="es-ES"/>
        </w:rPr>
        <w:t xml:space="preserve">, </w:t>
      </w:r>
      <w:r w:rsidR="00B67613" w:rsidRPr="0093551E">
        <w:rPr>
          <w:rFonts w:asciiTheme="majorHAnsi" w:hAnsiTheme="majorHAnsi"/>
          <w:sz w:val="20"/>
          <w:szCs w:val="20"/>
          <w:lang w:val="es-ES"/>
        </w:rPr>
        <w:t xml:space="preserve">la </w:t>
      </w:r>
      <w:r w:rsidR="00320A55">
        <w:rPr>
          <w:rFonts w:asciiTheme="majorHAnsi" w:hAnsiTheme="majorHAnsi"/>
          <w:sz w:val="20"/>
          <w:szCs w:val="20"/>
          <w:lang w:val="es-ES"/>
        </w:rPr>
        <w:t>cual</w:t>
      </w:r>
      <w:r w:rsidR="00B67613" w:rsidRPr="0093551E">
        <w:rPr>
          <w:rFonts w:asciiTheme="majorHAnsi" w:hAnsiTheme="majorHAnsi"/>
          <w:sz w:val="20"/>
          <w:szCs w:val="20"/>
          <w:lang w:val="es-ES"/>
        </w:rPr>
        <w:t xml:space="preserve"> el 16 de diciembre de 2009 emitió </w:t>
      </w:r>
      <w:r w:rsidR="00320A55">
        <w:rPr>
          <w:rFonts w:asciiTheme="majorHAnsi" w:hAnsiTheme="majorHAnsi"/>
          <w:sz w:val="20"/>
          <w:szCs w:val="20"/>
          <w:lang w:val="es-ES"/>
        </w:rPr>
        <w:t xml:space="preserve">una </w:t>
      </w:r>
      <w:r w:rsidR="00B67613" w:rsidRPr="0093551E">
        <w:rPr>
          <w:rFonts w:asciiTheme="majorHAnsi" w:hAnsiTheme="majorHAnsi"/>
          <w:sz w:val="20"/>
          <w:szCs w:val="20"/>
          <w:lang w:val="es-ES"/>
        </w:rPr>
        <w:t xml:space="preserve">resolución </w:t>
      </w:r>
      <w:r w:rsidR="00997459">
        <w:rPr>
          <w:rFonts w:asciiTheme="majorHAnsi" w:hAnsiTheme="majorHAnsi"/>
          <w:sz w:val="20"/>
          <w:szCs w:val="20"/>
          <w:lang w:val="es-ES"/>
        </w:rPr>
        <w:t>anulando</w:t>
      </w:r>
      <w:r w:rsidR="00B67613" w:rsidRPr="0093551E">
        <w:rPr>
          <w:rFonts w:asciiTheme="majorHAnsi" w:hAnsiTheme="majorHAnsi"/>
          <w:sz w:val="20"/>
          <w:szCs w:val="20"/>
          <w:lang w:val="es-ES"/>
        </w:rPr>
        <w:t xml:space="preserve"> todo lo obrado hasta la clausura de la fase de instrucción, pues consider</w:t>
      </w:r>
      <w:r w:rsidR="00320A55">
        <w:rPr>
          <w:rFonts w:asciiTheme="majorHAnsi" w:hAnsiTheme="majorHAnsi"/>
          <w:sz w:val="20"/>
          <w:szCs w:val="20"/>
          <w:lang w:val="es-ES"/>
        </w:rPr>
        <w:t>ó</w:t>
      </w:r>
      <w:r w:rsidR="00B67613" w:rsidRPr="0093551E">
        <w:rPr>
          <w:rFonts w:asciiTheme="majorHAnsi" w:hAnsiTheme="majorHAnsi"/>
          <w:sz w:val="20"/>
          <w:szCs w:val="20"/>
          <w:lang w:val="es-ES"/>
        </w:rPr>
        <w:t xml:space="preserve"> que debió ampliarse la acción penal contra José Luis Flores López, con base en el resultado de la prueba de ADN realizada por el FBI. </w:t>
      </w:r>
      <w:r>
        <w:rPr>
          <w:rFonts w:asciiTheme="majorHAnsi" w:hAnsiTheme="majorHAnsi"/>
          <w:sz w:val="20"/>
          <w:szCs w:val="20"/>
          <w:lang w:val="es-ES"/>
        </w:rPr>
        <w:t>Señalan p</w:t>
      </w:r>
      <w:r w:rsidR="00B67613" w:rsidRPr="0093551E">
        <w:rPr>
          <w:rFonts w:asciiTheme="majorHAnsi" w:hAnsiTheme="majorHAnsi"/>
          <w:sz w:val="20"/>
          <w:szCs w:val="20"/>
          <w:lang w:val="es-ES"/>
        </w:rPr>
        <w:t>or último</w:t>
      </w:r>
      <w:r>
        <w:rPr>
          <w:rFonts w:asciiTheme="majorHAnsi" w:hAnsiTheme="majorHAnsi"/>
          <w:sz w:val="20"/>
          <w:szCs w:val="20"/>
          <w:lang w:val="es-ES"/>
        </w:rPr>
        <w:t xml:space="preserve"> que</w:t>
      </w:r>
      <w:r w:rsidR="00B67613" w:rsidRPr="0093551E">
        <w:rPr>
          <w:rFonts w:asciiTheme="majorHAnsi" w:hAnsiTheme="majorHAnsi"/>
          <w:sz w:val="20"/>
          <w:szCs w:val="20"/>
          <w:lang w:val="es-ES"/>
        </w:rPr>
        <w:t xml:space="preserve">, el </w:t>
      </w:r>
      <w:r w:rsidR="006F76D4" w:rsidRPr="0093551E">
        <w:rPr>
          <w:rFonts w:asciiTheme="majorHAnsi" w:hAnsiTheme="majorHAnsi"/>
          <w:sz w:val="20"/>
          <w:szCs w:val="20"/>
          <w:lang w:val="es-ES" w:eastAsia="ja-JP"/>
        </w:rPr>
        <w:t>19 de agosto de 2014</w:t>
      </w:r>
      <w:r w:rsidR="00B67613" w:rsidRPr="0093551E">
        <w:rPr>
          <w:rFonts w:asciiTheme="majorHAnsi" w:hAnsiTheme="majorHAnsi"/>
          <w:sz w:val="20"/>
          <w:szCs w:val="20"/>
          <w:lang w:val="es-ES"/>
        </w:rPr>
        <w:t>, se dict</w:t>
      </w:r>
      <w:r>
        <w:rPr>
          <w:rFonts w:asciiTheme="majorHAnsi" w:hAnsiTheme="majorHAnsi"/>
          <w:sz w:val="20"/>
          <w:szCs w:val="20"/>
          <w:lang w:val="es-ES"/>
        </w:rPr>
        <w:t>ó</w:t>
      </w:r>
      <w:r w:rsidR="00B67613" w:rsidRPr="0093551E">
        <w:rPr>
          <w:rFonts w:asciiTheme="majorHAnsi" w:hAnsiTheme="majorHAnsi"/>
          <w:sz w:val="20"/>
          <w:szCs w:val="20"/>
          <w:lang w:val="es-ES"/>
        </w:rPr>
        <w:t xml:space="preserve"> sentencia de primera instancia y se conden</w:t>
      </w:r>
      <w:r>
        <w:rPr>
          <w:rFonts w:asciiTheme="majorHAnsi" w:hAnsiTheme="majorHAnsi"/>
          <w:sz w:val="20"/>
          <w:szCs w:val="20"/>
          <w:lang w:val="es-ES"/>
        </w:rPr>
        <w:t>ó</w:t>
      </w:r>
      <w:r w:rsidR="00B67613" w:rsidRPr="0093551E">
        <w:rPr>
          <w:rFonts w:asciiTheme="majorHAnsi" w:hAnsiTheme="majorHAnsi"/>
          <w:sz w:val="20"/>
          <w:szCs w:val="20"/>
          <w:lang w:val="es-ES"/>
        </w:rPr>
        <w:t xml:space="preserve"> a Odón Mendoza </w:t>
      </w:r>
      <w:r w:rsidR="00307E35" w:rsidRPr="0093551E">
        <w:rPr>
          <w:rFonts w:asciiTheme="majorHAnsi" w:hAnsiTheme="majorHAnsi"/>
          <w:sz w:val="20"/>
          <w:szCs w:val="20"/>
          <w:lang w:val="es-ES"/>
        </w:rPr>
        <w:t xml:space="preserve">Soto </w:t>
      </w:r>
      <w:r w:rsidR="00B67613" w:rsidRPr="0093551E">
        <w:rPr>
          <w:rFonts w:asciiTheme="majorHAnsi" w:hAnsiTheme="majorHAnsi"/>
          <w:sz w:val="20"/>
          <w:szCs w:val="20"/>
          <w:lang w:val="es-ES"/>
        </w:rPr>
        <w:t>como autor de los delitos de violación y asesinato</w:t>
      </w:r>
      <w:r w:rsidR="006F76D4">
        <w:rPr>
          <w:rFonts w:asciiTheme="majorHAnsi" w:hAnsiTheme="majorHAnsi"/>
          <w:sz w:val="20"/>
          <w:szCs w:val="20"/>
          <w:lang w:val="es-ES"/>
        </w:rPr>
        <w:t xml:space="preserve"> condenándolo a una pena de 30 años de prisión</w:t>
      </w:r>
      <w:r w:rsidR="00B67613" w:rsidRPr="0093551E">
        <w:rPr>
          <w:rFonts w:asciiTheme="majorHAnsi" w:hAnsiTheme="majorHAnsi"/>
          <w:sz w:val="20"/>
          <w:szCs w:val="20"/>
          <w:lang w:val="es-ES"/>
        </w:rPr>
        <w:t>.</w:t>
      </w:r>
    </w:p>
    <w:p w14:paraId="3A3ED707" w14:textId="6023CFF8" w:rsidR="00783661" w:rsidRPr="00EE3C77" w:rsidRDefault="00EE3C77" w:rsidP="00EE3C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3551E">
        <w:rPr>
          <w:rFonts w:asciiTheme="majorHAnsi" w:hAnsiTheme="majorHAnsi"/>
          <w:sz w:val="20"/>
          <w:szCs w:val="20"/>
          <w:lang w:val="es-ES"/>
        </w:rPr>
        <w:t>Los peticionarios manifiestan que la</w:t>
      </w:r>
      <w:r w:rsidR="00997459">
        <w:rPr>
          <w:rFonts w:asciiTheme="majorHAnsi" w:hAnsiTheme="majorHAnsi"/>
          <w:sz w:val="20"/>
          <w:szCs w:val="20"/>
          <w:lang w:val="es-ES"/>
        </w:rPr>
        <w:t xml:space="preserve"> familia de la</w:t>
      </w:r>
      <w:r w:rsidRPr="0093551E">
        <w:rPr>
          <w:rFonts w:asciiTheme="majorHAnsi" w:hAnsiTheme="majorHAnsi"/>
          <w:sz w:val="20"/>
          <w:szCs w:val="20"/>
          <w:lang w:val="es-ES"/>
        </w:rPr>
        <w:t xml:space="preserve"> presunta víctima </w:t>
      </w:r>
      <w:r w:rsidR="00997459">
        <w:rPr>
          <w:rFonts w:asciiTheme="majorHAnsi" w:hAnsiTheme="majorHAnsi"/>
          <w:sz w:val="20"/>
          <w:szCs w:val="20"/>
          <w:lang w:val="es-ES"/>
        </w:rPr>
        <w:t xml:space="preserve">presentó una </w:t>
      </w:r>
      <w:r w:rsidRPr="0093551E">
        <w:rPr>
          <w:rFonts w:asciiTheme="majorHAnsi" w:hAnsiTheme="majorHAnsi"/>
          <w:sz w:val="20"/>
          <w:szCs w:val="20"/>
          <w:lang w:val="es-ES"/>
        </w:rPr>
        <w:t xml:space="preserve">denuncia penal como recurso idóneo en la jurisdicción interna, haciendo uso de todas las acciones necesarias ante los juzgados y tribunales de Bolivia, incluyendo la Corte Suprema de Justicia, </w:t>
      </w:r>
      <w:r w:rsidR="00997459">
        <w:rPr>
          <w:rFonts w:asciiTheme="majorHAnsi" w:hAnsiTheme="majorHAnsi"/>
          <w:sz w:val="20"/>
          <w:szCs w:val="20"/>
          <w:lang w:val="es-ES"/>
        </w:rPr>
        <w:t xml:space="preserve">y que los tribunales internos demoraron </w:t>
      </w:r>
      <w:r w:rsidRPr="0093551E">
        <w:rPr>
          <w:rFonts w:asciiTheme="majorHAnsi" w:hAnsiTheme="majorHAnsi"/>
          <w:sz w:val="20"/>
          <w:szCs w:val="20"/>
          <w:lang w:val="es-ES"/>
        </w:rPr>
        <w:t>más de 14 años en identificar a los responsables de la violación sexual y homicidio de</w:t>
      </w:r>
      <w:r w:rsidR="00997459">
        <w:rPr>
          <w:rFonts w:asciiTheme="majorHAnsi" w:hAnsiTheme="majorHAnsi"/>
          <w:sz w:val="20"/>
          <w:szCs w:val="20"/>
          <w:lang w:val="es-ES"/>
        </w:rPr>
        <w:t xml:space="preserve"> la niña</w:t>
      </w:r>
      <w:r w:rsidRPr="0093551E">
        <w:rPr>
          <w:rFonts w:asciiTheme="majorHAnsi" w:hAnsiTheme="majorHAnsi"/>
          <w:sz w:val="20"/>
          <w:szCs w:val="20"/>
          <w:lang w:val="es-ES"/>
        </w:rPr>
        <w:t>. Por lo tanto, sostienen que se ha producido un retardo injustificado en la tramitación de sus acciones.</w:t>
      </w:r>
      <w:r w:rsidR="005D21DE" w:rsidRPr="00EE3C77">
        <w:rPr>
          <w:rFonts w:asciiTheme="majorHAnsi" w:hAnsiTheme="majorHAnsi"/>
          <w:sz w:val="20"/>
          <w:szCs w:val="20"/>
          <w:lang w:val="es-ES"/>
        </w:rPr>
        <w:t xml:space="preserve"> </w:t>
      </w:r>
      <w:r w:rsidR="00997459">
        <w:rPr>
          <w:rFonts w:asciiTheme="majorHAnsi" w:hAnsiTheme="majorHAnsi"/>
          <w:sz w:val="20"/>
          <w:szCs w:val="20"/>
          <w:lang w:val="es-ES"/>
        </w:rPr>
        <w:t>Sobre el requisito</w:t>
      </w:r>
      <w:r w:rsidR="00530EA5" w:rsidRPr="00EE3C77">
        <w:rPr>
          <w:rFonts w:asciiTheme="majorHAnsi" w:hAnsiTheme="majorHAnsi"/>
          <w:sz w:val="20"/>
          <w:szCs w:val="20"/>
          <w:lang w:val="es-ES" w:eastAsia="ja-JP"/>
        </w:rPr>
        <w:t xml:space="preserve"> </w:t>
      </w:r>
      <w:r w:rsidR="006F2CA2">
        <w:rPr>
          <w:rFonts w:asciiTheme="majorHAnsi" w:hAnsiTheme="majorHAnsi"/>
          <w:sz w:val="20"/>
          <w:szCs w:val="20"/>
          <w:lang w:val="es-ES" w:eastAsia="ja-JP"/>
        </w:rPr>
        <w:t>previsto</w:t>
      </w:r>
      <w:r w:rsidR="00530EA5" w:rsidRPr="00EE3C77">
        <w:rPr>
          <w:rFonts w:asciiTheme="majorHAnsi" w:hAnsiTheme="majorHAnsi"/>
          <w:sz w:val="20"/>
          <w:szCs w:val="20"/>
          <w:lang w:val="es-ES" w:eastAsia="ja-JP"/>
        </w:rPr>
        <w:t xml:space="preserve"> en el artículo 46.1.b) de la Convención, informan </w:t>
      </w:r>
      <w:r w:rsidR="006F2CA2" w:rsidRPr="00EE3C77">
        <w:rPr>
          <w:rFonts w:asciiTheme="majorHAnsi" w:hAnsiTheme="majorHAnsi"/>
          <w:sz w:val="20"/>
          <w:szCs w:val="20"/>
          <w:lang w:val="es-ES" w:eastAsia="ja-JP"/>
        </w:rPr>
        <w:t>que,</w:t>
      </w:r>
      <w:r w:rsidR="00530EA5" w:rsidRPr="00EE3C77">
        <w:rPr>
          <w:rFonts w:asciiTheme="majorHAnsi" w:hAnsiTheme="majorHAnsi"/>
          <w:sz w:val="20"/>
          <w:szCs w:val="20"/>
          <w:lang w:val="es-ES" w:eastAsia="ja-JP"/>
        </w:rPr>
        <w:t xml:space="preserve"> </w:t>
      </w:r>
      <w:r w:rsidR="006F2CA2">
        <w:rPr>
          <w:rFonts w:asciiTheme="majorHAnsi" w:hAnsiTheme="majorHAnsi"/>
          <w:sz w:val="20"/>
          <w:szCs w:val="20"/>
          <w:lang w:val="es-ES" w:eastAsia="ja-JP"/>
        </w:rPr>
        <w:t xml:space="preserve">debido al evidente retardo en el proceso judicial, </w:t>
      </w:r>
      <w:r w:rsidR="00530EA5" w:rsidRPr="00EE3C77">
        <w:rPr>
          <w:rFonts w:asciiTheme="majorHAnsi" w:hAnsiTheme="majorHAnsi"/>
          <w:sz w:val="20"/>
          <w:szCs w:val="20"/>
          <w:lang w:val="es-ES" w:eastAsia="ja-JP"/>
        </w:rPr>
        <w:t xml:space="preserve">la petición </w:t>
      </w:r>
      <w:r w:rsidR="00997459">
        <w:rPr>
          <w:rFonts w:asciiTheme="majorHAnsi" w:hAnsiTheme="majorHAnsi"/>
          <w:sz w:val="20"/>
          <w:szCs w:val="20"/>
          <w:lang w:val="es-ES" w:eastAsia="ja-JP"/>
        </w:rPr>
        <w:t>fue presentada</w:t>
      </w:r>
      <w:r w:rsidR="00320A55">
        <w:rPr>
          <w:rFonts w:asciiTheme="majorHAnsi" w:hAnsiTheme="majorHAnsi"/>
          <w:sz w:val="20"/>
          <w:szCs w:val="20"/>
          <w:lang w:val="es-ES" w:eastAsia="ja-JP"/>
        </w:rPr>
        <w:t xml:space="preserve"> </w:t>
      </w:r>
      <w:r w:rsidR="006F2CA2">
        <w:rPr>
          <w:rFonts w:asciiTheme="majorHAnsi" w:hAnsiTheme="majorHAnsi"/>
          <w:sz w:val="20"/>
          <w:szCs w:val="20"/>
          <w:lang w:val="es-ES" w:eastAsia="ja-JP"/>
        </w:rPr>
        <w:t>en un plazo razonable</w:t>
      </w:r>
      <w:r w:rsidR="00530EA5" w:rsidRPr="00EE3C77">
        <w:rPr>
          <w:rFonts w:asciiTheme="majorHAnsi" w:hAnsiTheme="majorHAnsi"/>
          <w:sz w:val="20"/>
          <w:szCs w:val="20"/>
          <w:lang w:val="es-ES" w:eastAsia="ja-JP"/>
        </w:rPr>
        <w:t>.</w:t>
      </w:r>
    </w:p>
    <w:p w14:paraId="28A02E6C" w14:textId="5423EFC1" w:rsidR="001C5652" w:rsidRPr="0093551E" w:rsidRDefault="00441D98" w:rsidP="007836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3551E">
        <w:rPr>
          <w:rFonts w:asciiTheme="majorHAnsi" w:hAnsiTheme="majorHAnsi"/>
          <w:sz w:val="20"/>
          <w:szCs w:val="20"/>
          <w:lang w:val="es-ES" w:eastAsia="ja-JP"/>
        </w:rPr>
        <w:t xml:space="preserve">Indican que el Estado en sus contestaciones, no hace una mención clara y explícita de cuáles recursos internos no fueron previamente agotados, como tampoco se refirió sobre los criterios de efectividad e idoneidad de los recursos que no fueron incoados y que eran de obligatorio cumplimiento para la </w:t>
      </w:r>
      <w:r w:rsidR="00054201" w:rsidRPr="0093551E">
        <w:rPr>
          <w:rFonts w:asciiTheme="majorHAnsi" w:hAnsiTheme="majorHAnsi"/>
          <w:sz w:val="20"/>
          <w:szCs w:val="20"/>
          <w:lang w:val="es-ES" w:eastAsia="ja-JP"/>
        </w:rPr>
        <w:t>víctima,</w:t>
      </w:r>
      <w:r w:rsidR="00FA40A0" w:rsidRPr="0093551E">
        <w:rPr>
          <w:rFonts w:asciiTheme="majorHAnsi" w:hAnsiTheme="majorHAnsi"/>
          <w:sz w:val="20"/>
          <w:szCs w:val="20"/>
          <w:lang w:val="es-ES" w:eastAsia="ja-JP"/>
        </w:rPr>
        <w:t xml:space="preserve"> Aducen que la violación sexual y asesinato de la presunta víctima, no presentaba características de complejidad cuando se iniciaron las primeras diligencias de investigación</w:t>
      </w:r>
      <w:r w:rsidR="00C864EF" w:rsidRPr="0093551E">
        <w:rPr>
          <w:rFonts w:asciiTheme="majorHAnsi" w:hAnsiTheme="majorHAnsi"/>
          <w:sz w:val="20"/>
          <w:szCs w:val="20"/>
          <w:lang w:val="es-ES" w:eastAsia="ja-JP"/>
        </w:rPr>
        <w:t>, sino que se volvió un caso complejo por la inefectividad del avance en el proceso atribuible únicamente a la conducta de las autoridades encargadas de dirigir la investigación y juicio del proceso.</w:t>
      </w:r>
      <w:r w:rsidR="001C5652" w:rsidRPr="0093551E">
        <w:rPr>
          <w:rFonts w:asciiTheme="majorHAnsi" w:hAnsiTheme="majorHAnsi"/>
          <w:sz w:val="20"/>
          <w:szCs w:val="20"/>
          <w:lang w:val="es-ES" w:eastAsia="ja-JP"/>
        </w:rPr>
        <w:t xml:space="preserve"> </w:t>
      </w:r>
    </w:p>
    <w:p w14:paraId="7184AFA1" w14:textId="70024570" w:rsidR="00783661" w:rsidRPr="0093551E" w:rsidRDefault="00C864EF" w:rsidP="007836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3551E">
        <w:rPr>
          <w:rFonts w:asciiTheme="majorHAnsi" w:hAnsiTheme="majorHAnsi"/>
          <w:sz w:val="20"/>
          <w:szCs w:val="20"/>
          <w:lang w:val="es-ES" w:eastAsia="ja-JP"/>
        </w:rPr>
        <w:t xml:space="preserve">Informan que los familiares de la presunta víctima no han realizado acciones tendientes a paralizar las investigaciones, sino </w:t>
      </w:r>
      <w:r w:rsidR="00054201" w:rsidRPr="0093551E">
        <w:rPr>
          <w:rFonts w:asciiTheme="majorHAnsi" w:hAnsiTheme="majorHAnsi"/>
          <w:sz w:val="20"/>
          <w:szCs w:val="20"/>
          <w:lang w:val="es-ES" w:eastAsia="ja-JP"/>
        </w:rPr>
        <w:t>que,</w:t>
      </w:r>
      <w:r w:rsidRPr="0093551E">
        <w:rPr>
          <w:rFonts w:asciiTheme="majorHAnsi" w:hAnsiTheme="majorHAnsi"/>
          <w:sz w:val="20"/>
          <w:szCs w:val="20"/>
          <w:lang w:val="es-ES" w:eastAsia="ja-JP"/>
        </w:rPr>
        <w:t xml:space="preserve"> por el contrario, a pesar de los</w:t>
      </w:r>
      <w:r w:rsidR="00EE3C77">
        <w:rPr>
          <w:rFonts w:asciiTheme="majorHAnsi" w:hAnsiTheme="majorHAnsi"/>
          <w:sz w:val="20"/>
          <w:szCs w:val="20"/>
          <w:lang w:val="es-ES" w:eastAsia="ja-JP"/>
        </w:rPr>
        <w:t xml:space="preserve"> </w:t>
      </w:r>
      <w:r w:rsidRPr="0093551E">
        <w:rPr>
          <w:rFonts w:asciiTheme="majorHAnsi" w:hAnsiTheme="majorHAnsi"/>
          <w:sz w:val="20"/>
          <w:szCs w:val="20"/>
          <w:lang w:val="es-ES" w:eastAsia="ja-JP"/>
        </w:rPr>
        <w:t>pocos recursos disponibles y las amenazas recibidas, la familia de la presunta víctima continúa hasta la actualidad buscando justicia por lo sucedido. Además, destaca</w:t>
      </w:r>
      <w:r w:rsidR="00F708DA">
        <w:rPr>
          <w:rFonts w:asciiTheme="majorHAnsi" w:hAnsiTheme="majorHAnsi"/>
          <w:sz w:val="20"/>
          <w:szCs w:val="20"/>
          <w:lang w:val="es-ES" w:eastAsia="ja-JP"/>
        </w:rPr>
        <w:t>n</w:t>
      </w:r>
      <w:r w:rsidRPr="0093551E">
        <w:rPr>
          <w:rFonts w:asciiTheme="majorHAnsi" w:hAnsiTheme="majorHAnsi"/>
          <w:sz w:val="20"/>
          <w:szCs w:val="20"/>
          <w:lang w:val="es-ES" w:eastAsia="ja-JP"/>
        </w:rPr>
        <w:t xml:space="preserve"> que las autoridades judiciales se han excusado de entender en el caso injustificadamente en diversas etapas del proc</w:t>
      </w:r>
      <w:r w:rsidR="00E204DA" w:rsidRPr="0093551E">
        <w:rPr>
          <w:rFonts w:asciiTheme="majorHAnsi" w:hAnsiTheme="majorHAnsi"/>
          <w:sz w:val="20"/>
          <w:szCs w:val="20"/>
          <w:lang w:val="es-ES" w:eastAsia="ja-JP"/>
        </w:rPr>
        <w:t>eso, incumpliendo el debido proceso legal.</w:t>
      </w:r>
    </w:p>
    <w:p w14:paraId="4C713168" w14:textId="4D3D2222" w:rsidR="00E33D8D" w:rsidRPr="0093551E" w:rsidRDefault="004556C2" w:rsidP="008561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3551E">
        <w:rPr>
          <w:rFonts w:asciiTheme="majorHAnsi" w:hAnsiTheme="majorHAnsi"/>
          <w:sz w:val="20"/>
          <w:szCs w:val="20"/>
          <w:lang w:val="es-ES" w:eastAsia="ja-JP"/>
        </w:rPr>
        <w:t>Por su parte, el Estado i</w:t>
      </w:r>
      <w:r w:rsidR="00E33D8D" w:rsidRPr="0093551E">
        <w:rPr>
          <w:rFonts w:asciiTheme="majorHAnsi" w:hAnsiTheme="majorHAnsi"/>
          <w:sz w:val="20"/>
          <w:szCs w:val="20"/>
          <w:lang w:val="es-ES" w:eastAsia="ja-JP"/>
        </w:rPr>
        <w:t xml:space="preserve">ndica que ha iniciado un proceso de restructuración normativa e institucional, con énfasis en la administración de justicia </w:t>
      </w:r>
      <w:r w:rsidR="007563E7" w:rsidRPr="0093551E">
        <w:rPr>
          <w:rFonts w:asciiTheme="majorHAnsi" w:hAnsiTheme="majorHAnsi"/>
          <w:sz w:val="20"/>
          <w:szCs w:val="20"/>
          <w:lang w:val="es-ES" w:eastAsia="ja-JP"/>
        </w:rPr>
        <w:t>y la vigencia de los derechos human</w:t>
      </w:r>
      <w:r w:rsidR="00F708DA">
        <w:rPr>
          <w:rFonts w:asciiTheme="majorHAnsi" w:hAnsiTheme="majorHAnsi"/>
          <w:sz w:val="20"/>
          <w:szCs w:val="20"/>
          <w:lang w:val="es-ES" w:eastAsia="ja-JP"/>
        </w:rPr>
        <w:t>os incluyendo la reforma de la Co</w:t>
      </w:r>
      <w:r w:rsidR="007563E7" w:rsidRPr="0093551E">
        <w:rPr>
          <w:rFonts w:asciiTheme="majorHAnsi" w:hAnsiTheme="majorHAnsi"/>
          <w:sz w:val="20"/>
          <w:szCs w:val="20"/>
          <w:lang w:val="es-ES" w:eastAsia="ja-JP"/>
        </w:rPr>
        <w:t>nstitución</w:t>
      </w:r>
      <w:r w:rsidR="00F708DA">
        <w:rPr>
          <w:rFonts w:asciiTheme="majorHAnsi" w:hAnsiTheme="majorHAnsi"/>
          <w:sz w:val="20"/>
          <w:szCs w:val="20"/>
          <w:lang w:val="es-ES" w:eastAsia="ja-JP"/>
        </w:rPr>
        <w:t xml:space="preserve"> Política</w:t>
      </w:r>
      <w:r w:rsidR="007563E7" w:rsidRPr="0093551E">
        <w:rPr>
          <w:rFonts w:asciiTheme="majorHAnsi" w:hAnsiTheme="majorHAnsi"/>
          <w:sz w:val="20"/>
          <w:szCs w:val="20"/>
          <w:lang w:val="es-ES" w:eastAsia="ja-JP"/>
        </w:rPr>
        <w:t xml:space="preserve"> desde el año 2009 que consagra y garantiza un amplio catálogo de derechos fundamentales. Asimismo, informa </w:t>
      </w:r>
      <w:r w:rsidR="00054201" w:rsidRPr="0093551E">
        <w:rPr>
          <w:rFonts w:asciiTheme="majorHAnsi" w:hAnsiTheme="majorHAnsi"/>
          <w:sz w:val="20"/>
          <w:szCs w:val="20"/>
          <w:lang w:val="es-ES" w:eastAsia="ja-JP"/>
        </w:rPr>
        <w:t>que,</w:t>
      </w:r>
      <w:r w:rsidR="007563E7" w:rsidRPr="0093551E">
        <w:rPr>
          <w:rFonts w:asciiTheme="majorHAnsi" w:hAnsiTheme="majorHAnsi"/>
          <w:sz w:val="20"/>
          <w:szCs w:val="20"/>
          <w:lang w:val="es-ES" w:eastAsia="ja-JP"/>
        </w:rPr>
        <w:t xml:space="preserve"> a partir del año 2001, fue modificado el Código de Procesamiento Penal en virtud de las deficiencias detectadas en el anterior procedimiento penal. </w:t>
      </w:r>
    </w:p>
    <w:p w14:paraId="50C6F8D4" w14:textId="48819197" w:rsidR="004556C2" w:rsidRPr="0093551E" w:rsidRDefault="00B61B60" w:rsidP="004556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3551E">
        <w:rPr>
          <w:rFonts w:asciiTheme="majorHAnsi" w:hAnsiTheme="majorHAnsi"/>
          <w:sz w:val="20"/>
          <w:szCs w:val="20"/>
          <w:lang w:val="es-ES" w:eastAsia="ja-JP"/>
        </w:rPr>
        <w:t>Indi</w:t>
      </w:r>
      <w:r w:rsidR="001C5652" w:rsidRPr="0093551E">
        <w:rPr>
          <w:rFonts w:asciiTheme="majorHAnsi" w:hAnsiTheme="majorHAnsi"/>
          <w:sz w:val="20"/>
          <w:szCs w:val="20"/>
          <w:lang w:val="es-ES" w:eastAsia="ja-JP"/>
        </w:rPr>
        <w:t xml:space="preserve">ca que el proceso penal continuó </w:t>
      </w:r>
      <w:r w:rsidRPr="0093551E">
        <w:rPr>
          <w:rFonts w:asciiTheme="majorHAnsi" w:hAnsiTheme="majorHAnsi"/>
          <w:sz w:val="20"/>
          <w:szCs w:val="20"/>
          <w:lang w:val="es-ES" w:eastAsia="ja-JP"/>
        </w:rPr>
        <w:t xml:space="preserve">en tanto que el </w:t>
      </w:r>
      <w:r w:rsidR="00CF66AC" w:rsidRPr="00A17872">
        <w:rPr>
          <w:rFonts w:asciiTheme="majorHAnsi" w:hAnsiTheme="majorHAnsi"/>
          <w:sz w:val="20"/>
          <w:szCs w:val="20"/>
          <w:lang w:val="es-BO"/>
        </w:rPr>
        <w:t xml:space="preserve">19 de agosto </w:t>
      </w:r>
      <w:r w:rsidRPr="0093551E">
        <w:rPr>
          <w:rFonts w:asciiTheme="majorHAnsi" w:hAnsiTheme="majorHAnsi"/>
          <w:sz w:val="20"/>
          <w:szCs w:val="20"/>
          <w:lang w:val="es-ES" w:eastAsia="ja-JP"/>
        </w:rPr>
        <w:t xml:space="preserve">de 2014, se emitió la sentencia que declaró a Odón Fernando Mendoza Soto, como autor de los delitos de violación y asesinato, </w:t>
      </w:r>
      <w:r w:rsidRPr="0093551E">
        <w:rPr>
          <w:rFonts w:asciiTheme="majorHAnsi" w:hAnsiTheme="majorHAnsi"/>
          <w:sz w:val="20"/>
          <w:szCs w:val="20"/>
          <w:lang w:val="es-ES" w:eastAsia="ja-JP"/>
        </w:rPr>
        <w:lastRenderedPageBreak/>
        <w:t>condenándolo a la pena de treinta años de prisión</w:t>
      </w:r>
      <w:r w:rsidR="008B5A87" w:rsidRPr="0093551E">
        <w:rPr>
          <w:rFonts w:asciiTheme="majorHAnsi" w:hAnsiTheme="majorHAnsi"/>
          <w:sz w:val="20"/>
          <w:szCs w:val="20"/>
          <w:lang w:val="es-ES" w:eastAsia="ja-JP"/>
        </w:rPr>
        <w:t xml:space="preserve">. Asimismo, </w:t>
      </w:r>
      <w:r w:rsidR="00B5164F">
        <w:rPr>
          <w:rFonts w:asciiTheme="majorHAnsi" w:hAnsiTheme="majorHAnsi"/>
          <w:sz w:val="20"/>
          <w:szCs w:val="20"/>
          <w:lang w:val="es-ES" w:eastAsia="ja-JP"/>
        </w:rPr>
        <w:t xml:space="preserve">afirma que </w:t>
      </w:r>
      <w:r w:rsidR="008B5A87" w:rsidRPr="0093551E">
        <w:rPr>
          <w:rFonts w:asciiTheme="majorHAnsi" w:hAnsiTheme="majorHAnsi"/>
          <w:sz w:val="20"/>
          <w:szCs w:val="20"/>
          <w:lang w:val="es-ES" w:eastAsia="ja-JP"/>
        </w:rPr>
        <w:t>se declaró a M.R.V.V</w:t>
      </w:r>
      <w:r w:rsidR="006F76D4">
        <w:rPr>
          <w:rFonts w:asciiTheme="majorHAnsi" w:hAnsiTheme="majorHAnsi"/>
          <w:sz w:val="20"/>
          <w:szCs w:val="20"/>
          <w:lang w:val="es-ES" w:eastAsia="ja-JP"/>
        </w:rPr>
        <w:t>.</w:t>
      </w:r>
      <w:r w:rsidRPr="0093551E">
        <w:rPr>
          <w:rFonts w:asciiTheme="majorHAnsi" w:hAnsiTheme="majorHAnsi"/>
          <w:sz w:val="20"/>
          <w:szCs w:val="20"/>
          <w:lang w:val="es-ES" w:eastAsia="ja-JP"/>
        </w:rPr>
        <w:t>, M.U.U</w:t>
      </w:r>
      <w:r w:rsidR="006F76D4">
        <w:rPr>
          <w:rFonts w:asciiTheme="majorHAnsi" w:hAnsiTheme="majorHAnsi"/>
          <w:sz w:val="20"/>
          <w:szCs w:val="20"/>
          <w:lang w:val="es-ES" w:eastAsia="ja-JP"/>
        </w:rPr>
        <w:t>.</w:t>
      </w:r>
      <w:r w:rsidRPr="0093551E">
        <w:rPr>
          <w:rFonts w:asciiTheme="majorHAnsi" w:hAnsiTheme="majorHAnsi"/>
          <w:sz w:val="20"/>
          <w:szCs w:val="20"/>
          <w:lang w:val="es-ES" w:eastAsia="ja-JP"/>
        </w:rPr>
        <w:t xml:space="preserve"> y B.P</w:t>
      </w:r>
      <w:r w:rsidR="006F76D4">
        <w:rPr>
          <w:rFonts w:asciiTheme="majorHAnsi" w:hAnsiTheme="majorHAnsi"/>
          <w:sz w:val="20"/>
          <w:szCs w:val="20"/>
          <w:lang w:val="es-ES" w:eastAsia="ja-JP"/>
        </w:rPr>
        <w:t>.</w:t>
      </w:r>
      <w:r w:rsidRPr="0093551E">
        <w:rPr>
          <w:rFonts w:asciiTheme="majorHAnsi" w:hAnsiTheme="majorHAnsi"/>
          <w:sz w:val="20"/>
          <w:szCs w:val="20"/>
          <w:lang w:val="es-ES" w:eastAsia="ja-JP"/>
        </w:rPr>
        <w:t>, como autor</w:t>
      </w:r>
      <w:r w:rsidR="006F76D4">
        <w:rPr>
          <w:rFonts w:asciiTheme="majorHAnsi" w:hAnsiTheme="majorHAnsi"/>
          <w:sz w:val="20"/>
          <w:szCs w:val="20"/>
          <w:lang w:val="es-ES" w:eastAsia="ja-JP"/>
        </w:rPr>
        <w:t>a</w:t>
      </w:r>
      <w:r w:rsidRPr="0093551E">
        <w:rPr>
          <w:rFonts w:asciiTheme="majorHAnsi" w:hAnsiTheme="majorHAnsi"/>
          <w:sz w:val="20"/>
          <w:szCs w:val="20"/>
          <w:lang w:val="es-ES" w:eastAsia="ja-JP"/>
        </w:rPr>
        <w:t>s de la comisión del delito de incumpl</w:t>
      </w:r>
      <w:r w:rsidR="006F76D4">
        <w:rPr>
          <w:rFonts w:asciiTheme="majorHAnsi" w:hAnsiTheme="majorHAnsi"/>
          <w:sz w:val="20"/>
          <w:szCs w:val="20"/>
          <w:lang w:val="es-ES" w:eastAsia="ja-JP"/>
        </w:rPr>
        <w:t xml:space="preserve">imiento de deberes, condenándolas a </w:t>
      </w:r>
      <w:r w:rsidRPr="0093551E">
        <w:rPr>
          <w:rFonts w:asciiTheme="majorHAnsi" w:hAnsiTheme="majorHAnsi"/>
          <w:sz w:val="20"/>
          <w:szCs w:val="20"/>
          <w:lang w:val="es-ES" w:eastAsia="ja-JP"/>
        </w:rPr>
        <w:t>la pena de un año de prisión. Por otro lado, se decidió la absolución de José Luis Flores</w:t>
      </w:r>
      <w:r w:rsidR="00370A7D">
        <w:rPr>
          <w:rFonts w:asciiTheme="majorHAnsi" w:hAnsiTheme="majorHAnsi"/>
          <w:sz w:val="20"/>
          <w:szCs w:val="20"/>
          <w:lang w:val="es-ES" w:eastAsia="ja-JP"/>
        </w:rPr>
        <w:t xml:space="preserve"> López</w:t>
      </w:r>
      <w:r w:rsidRPr="0093551E">
        <w:rPr>
          <w:rFonts w:asciiTheme="majorHAnsi" w:hAnsiTheme="majorHAnsi"/>
          <w:sz w:val="20"/>
          <w:szCs w:val="20"/>
          <w:lang w:val="es-ES" w:eastAsia="ja-JP"/>
        </w:rPr>
        <w:t xml:space="preserve"> y Reynaldo Flores Becerra de la comisión de los delitos de violación </w:t>
      </w:r>
      <w:r w:rsidR="00D926DD" w:rsidRPr="0093551E">
        <w:rPr>
          <w:rFonts w:asciiTheme="majorHAnsi" w:hAnsiTheme="majorHAnsi"/>
          <w:sz w:val="20"/>
          <w:szCs w:val="20"/>
          <w:lang w:val="es-ES" w:eastAsia="ja-JP"/>
        </w:rPr>
        <w:t>y asesinato en grado de</w:t>
      </w:r>
      <w:r w:rsidR="008A70E3" w:rsidRPr="0093551E">
        <w:rPr>
          <w:rFonts w:asciiTheme="majorHAnsi" w:hAnsiTheme="majorHAnsi"/>
          <w:sz w:val="20"/>
          <w:szCs w:val="20"/>
          <w:lang w:val="es-ES" w:eastAsia="ja-JP"/>
        </w:rPr>
        <w:t xml:space="preserve"> complicidad y falso testimonio</w:t>
      </w:r>
      <w:r w:rsidR="00D926DD" w:rsidRPr="0093551E">
        <w:rPr>
          <w:rFonts w:asciiTheme="majorHAnsi" w:hAnsiTheme="majorHAnsi"/>
          <w:sz w:val="20"/>
          <w:szCs w:val="20"/>
          <w:lang w:val="es-ES" w:eastAsia="ja-JP"/>
        </w:rPr>
        <w:t xml:space="preserve">. </w:t>
      </w:r>
      <w:r w:rsidR="006F76D4">
        <w:rPr>
          <w:rFonts w:asciiTheme="majorHAnsi" w:hAnsiTheme="majorHAnsi"/>
          <w:sz w:val="20"/>
          <w:szCs w:val="20"/>
          <w:lang w:val="es-ES" w:eastAsia="ja-JP"/>
        </w:rPr>
        <w:t>Menciona que e</w:t>
      </w:r>
      <w:r w:rsidR="00D926DD" w:rsidRPr="0093551E">
        <w:rPr>
          <w:rFonts w:asciiTheme="majorHAnsi" w:hAnsiTheme="majorHAnsi"/>
          <w:sz w:val="20"/>
          <w:szCs w:val="20"/>
          <w:lang w:val="es-ES" w:eastAsia="ja-JP"/>
        </w:rPr>
        <w:t xml:space="preserve">sta sentencia fue objeto de apelaciones, y </w:t>
      </w:r>
      <w:r w:rsidR="006F76D4">
        <w:rPr>
          <w:rFonts w:asciiTheme="majorHAnsi" w:hAnsiTheme="majorHAnsi"/>
          <w:sz w:val="20"/>
          <w:szCs w:val="20"/>
          <w:lang w:val="es-ES" w:eastAsia="ja-JP"/>
        </w:rPr>
        <w:t xml:space="preserve">que </w:t>
      </w:r>
      <w:r w:rsidR="00D926DD" w:rsidRPr="0093551E">
        <w:rPr>
          <w:rFonts w:asciiTheme="majorHAnsi" w:hAnsiTheme="majorHAnsi"/>
          <w:sz w:val="20"/>
          <w:szCs w:val="20"/>
          <w:lang w:val="es-ES" w:eastAsia="ja-JP"/>
        </w:rPr>
        <w:t>el 27 de abril de 2015, la Sala Penal Tercera del Tribunal Departamental de Justicia de la Paz, decidió</w:t>
      </w:r>
      <w:r w:rsidR="00B13933" w:rsidRPr="0093551E">
        <w:rPr>
          <w:rFonts w:asciiTheme="majorHAnsi" w:hAnsiTheme="majorHAnsi"/>
          <w:sz w:val="20"/>
          <w:szCs w:val="20"/>
          <w:lang w:val="es-ES" w:eastAsia="ja-JP"/>
        </w:rPr>
        <w:t xml:space="preserve"> revocar en parte la sentencia apelada declarando a M.R.V.V</w:t>
      </w:r>
      <w:r w:rsidR="006F76D4">
        <w:rPr>
          <w:rFonts w:asciiTheme="majorHAnsi" w:hAnsiTheme="majorHAnsi"/>
          <w:sz w:val="20"/>
          <w:szCs w:val="20"/>
          <w:lang w:val="es-ES" w:eastAsia="ja-JP"/>
        </w:rPr>
        <w:t>.</w:t>
      </w:r>
      <w:r w:rsidR="00B13933" w:rsidRPr="0093551E">
        <w:rPr>
          <w:rFonts w:asciiTheme="majorHAnsi" w:hAnsiTheme="majorHAnsi"/>
          <w:sz w:val="20"/>
          <w:szCs w:val="20"/>
          <w:lang w:val="es-ES" w:eastAsia="ja-JP"/>
        </w:rPr>
        <w:t xml:space="preserve">, autora del delito de incumplimiento de deberes y encubrimiento y confirmando la sentencia con respecto a los demás acusados. Frente a dicha sentencia, señala que Odón Mendoza presentó recurso de casación, el cual fue declarado infundado por </w:t>
      </w:r>
      <w:r w:rsidR="006F76D4">
        <w:rPr>
          <w:rFonts w:asciiTheme="majorHAnsi" w:hAnsiTheme="majorHAnsi"/>
          <w:sz w:val="20"/>
          <w:szCs w:val="20"/>
          <w:lang w:val="es-ES" w:eastAsia="ja-JP"/>
        </w:rPr>
        <w:t xml:space="preserve">la </w:t>
      </w:r>
      <w:r w:rsidR="006F76D4" w:rsidRPr="0093551E">
        <w:rPr>
          <w:rFonts w:asciiTheme="majorHAnsi" w:hAnsiTheme="majorHAnsi"/>
          <w:sz w:val="20"/>
          <w:szCs w:val="20"/>
          <w:lang w:val="es-ES" w:eastAsia="ja-JP"/>
        </w:rPr>
        <w:t xml:space="preserve">Sala Penal </w:t>
      </w:r>
      <w:r w:rsidR="006F76D4">
        <w:rPr>
          <w:rFonts w:asciiTheme="majorHAnsi" w:hAnsiTheme="majorHAnsi"/>
          <w:sz w:val="20"/>
          <w:szCs w:val="20"/>
          <w:lang w:val="es-ES" w:eastAsia="ja-JP"/>
        </w:rPr>
        <w:t>del Tribunal Supremo de Justicia</w:t>
      </w:r>
      <w:r w:rsidR="00B13933" w:rsidRPr="0093551E">
        <w:rPr>
          <w:rFonts w:asciiTheme="majorHAnsi" w:hAnsiTheme="majorHAnsi"/>
          <w:sz w:val="20"/>
          <w:szCs w:val="20"/>
          <w:lang w:val="es-ES" w:eastAsia="ja-JP"/>
        </w:rPr>
        <w:t>, el 26 de noviembre de 2015.</w:t>
      </w:r>
    </w:p>
    <w:p w14:paraId="2F547FDC" w14:textId="32B56074" w:rsidR="00DD5282" w:rsidRPr="00B5164F" w:rsidRDefault="00B13933" w:rsidP="00D80E4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B5164F">
        <w:rPr>
          <w:rFonts w:asciiTheme="majorHAnsi" w:hAnsiTheme="majorHAnsi"/>
          <w:sz w:val="20"/>
          <w:szCs w:val="20"/>
          <w:lang w:val="es-ES" w:eastAsia="ja-JP"/>
        </w:rPr>
        <w:t xml:space="preserve">En consecuencia, señala </w:t>
      </w:r>
      <w:r w:rsidR="00054201" w:rsidRPr="00B5164F">
        <w:rPr>
          <w:rFonts w:asciiTheme="majorHAnsi" w:hAnsiTheme="majorHAnsi"/>
          <w:sz w:val="20"/>
          <w:szCs w:val="20"/>
          <w:lang w:val="es-ES" w:eastAsia="ja-JP"/>
        </w:rPr>
        <w:t>que,</w:t>
      </w:r>
      <w:r w:rsidRPr="00B5164F">
        <w:rPr>
          <w:rFonts w:asciiTheme="majorHAnsi" w:hAnsiTheme="majorHAnsi"/>
          <w:sz w:val="20"/>
          <w:szCs w:val="20"/>
          <w:lang w:val="es-ES" w:eastAsia="ja-JP"/>
        </w:rPr>
        <w:t xml:space="preserve"> a pesar de la complejidad del asunto, la pluralidad de imputados, la imposibilidad de obtener elementos probatorios, la actividad procesal de los interesados y la conducta de las autoridades judiciales en el proceso penal instaurado por la violación y asesinato de la presunta víctima, se llegó al esclarecimiento de la verdad material de los hechos, incluso en la última instancia </w:t>
      </w:r>
      <w:r w:rsidR="00867D01" w:rsidRPr="00B5164F">
        <w:rPr>
          <w:rFonts w:asciiTheme="majorHAnsi" w:hAnsiTheme="majorHAnsi"/>
          <w:sz w:val="20"/>
          <w:szCs w:val="20"/>
          <w:lang w:val="es-ES" w:eastAsia="ja-JP"/>
        </w:rPr>
        <w:t>judicial ordinaria, al definir la culpabilidad de los acusados.</w:t>
      </w:r>
      <w:r w:rsidR="00CE74B6" w:rsidRPr="00B5164F">
        <w:rPr>
          <w:rFonts w:asciiTheme="majorHAnsi" w:hAnsiTheme="majorHAnsi"/>
          <w:sz w:val="20"/>
          <w:szCs w:val="20"/>
          <w:lang w:val="es-ES" w:eastAsia="ja-JP"/>
        </w:rPr>
        <w:t xml:space="preserve"> Por lo tanto, aduce que la autoridad judicial actuó con la mayor diligencia posible, haciendo una valoración temporal y crítica de los hechos, estudios genéticos y psicológicos practicados por peritos dentro del proceso penal, existiendo un alto grado de complejidad en la obtención probatoria.</w:t>
      </w:r>
      <w:r w:rsidR="00B5164F">
        <w:rPr>
          <w:rFonts w:asciiTheme="majorHAnsi" w:hAnsiTheme="majorHAnsi"/>
          <w:sz w:val="20"/>
          <w:szCs w:val="20"/>
          <w:lang w:val="es-ES" w:eastAsia="ja-JP"/>
        </w:rPr>
        <w:t xml:space="preserve"> </w:t>
      </w:r>
      <w:r w:rsidR="00DD5282" w:rsidRPr="00B5164F">
        <w:rPr>
          <w:rFonts w:asciiTheme="majorHAnsi" w:hAnsiTheme="majorHAnsi"/>
          <w:sz w:val="20"/>
          <w:szCs w:val="20"/>
          <w:lang w:val="es-ES"/>
        </w:rPr>
        <w:t xml:space="preserve">Frente al retardo injustificado en la investigación y persecución de los responsables, agrega que debe considerarse </w:t>
      </w:r>
      <w:r w:rsidR="00054201" w:rsidRPr="00B5164F">
        <w:rPr>
          <w:rFonts w:asciiTheme="majorHAnsi" w:hAnsiTheme="majorHAnsi"/>
          <w:sz w:val="20"/>
          <w:szCs w:val="20"/>
          <w:lang w:val="es-ES"/>
        </w:rPr>
        <w:t>que,</w:t>
      </w:r>
      <w:r w:rsidR="00DD5282" w:rsidRPr="00B5164F">
        <w:rPr>
          <w:rFonts w:asciiTheme="majorHAnsi" w:hAnsiTheme="majorHAnsi"/>
          <w:sz w:val="20"/>
          <w:szCs w:val="20"/>
          <w:lang w:val="es-ES"/>
        </w:rPr>
        <w:t xml:space="preserve"> durante el proceso, la abogada de la parte querellante, contribuyó dolosamente al menoscabo de la aver</w:t>
      </w:r>
      <w:r w:rsidR="00B5164F" w:rsidRPr="00B5164F">
        <w:rPr>
          <w:rFonts w:asciiTheme="majorHAnsi" w:hAnsiTheme="majorHAnsi"/>
          <w:sz w:val="20"/>
          <w:szCs w:val="20"/>
          <w:lang w:val="es-ES"/>
        </w:rPr>
        <w:t>iguación material de los hechos</w:t>
      </w:r>
      <w:r w:rsidR="00355FAE" w:rsidRPr="00B5164F">
        <w:rPr>
          <w:rFonts w:asciiTheme="majorHAnsi" w:hAnsiTheme="majorHAnsi"/>
          <w:sz w:val="20"/>
          <w:szCs w:val="20"/>
          <w:lang w:val="es-ES"/>
        </w:rPr>
        <w:t xml:space="preserve">. </w:t>
      </w:r>
    </w:p>
    <w:p w14:paraId="01345C56" w14:textId="46EE8752" w:rsidR="004556C2" w:rsidRPr="0093551E" w:rsidRDefault="001C5652" w:rsidP="00DA25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3551E">
        <w:rPr>
          <w:rFonts w:asciiTheme="majorHAnsi" w:hAnsiTheme="majorHAnsi"/>
          <w:sz w:val="20"/>
          <w:szCs w:val="20"/>
          <w:lang w:val="es-ES"/>
        </w:rPr>
        <w:t xml:space="preserve">En relación a </w:t>
      </w:r>
      <w:r w:rsidR="00E3485F" w:rsidRPr="0093551E">
        <w:rPr>
          <w:rFonts w:asciiTheme="majorHAnsi" w:hAnsiTheme="majorHAnsi"/>
          <w:sz w:val="20"/>
          <w:szCs w:val="20"/>
          <w:lang w:val="es-ES"/>
        </w:rPr>
        <w:t>la presunta violación del artículo 19 de la Convención, m</w:t>
      </w:r>
      <w:r w:rsidR="002326C3" w:rsidRPr="0093551E">
        <w:rPr>
          <w:rFonts w:asciiTheme="majorHAnsi" w:hAnsiTheme="majorHAnsi"/>
          <w:sz w:val="20"/>
          <w:szCs w:val="20"/>
          <w:lang w:val="es-ES"/>
        </w:rPr>
        <w:t xml:space="preserve">anifiesta </w:t>
      </w:r>
      <w:r w:rsidR="00054201" w:rsidRPr="0093551E">
        <w:rPr>
          <w:rFonts w:asciiTheme="majorHAnsi" w:hAnsiTheme="majorHAnsi"/>
          <w:sz w:val="20"/>
          <w:szCs w:val="20"/>
          <w:lang w:val="es-ES"/>
        </w:rPr>
        <w:t>que,</w:t>
      </w:r>
      <w:r w:rsidR="002326C3" w:rsidRPr="0093551E">
        <w:rPr>
          <w:rFonts w:asciiTheme="majorHAnsi" w:hAnsiTheme="majorHAnsi"/>
          <w:sz w:val="20"/>
          <w:szCs w:val="20"/>
          <w:lang w:val="es-ES"/>
        </w:rPr>
        <w:t xml:space="preserve"> en junio de 2012, luego de distintas reuniones con la sociedad civil, el Ministro de Educaci</w:t>
      </w:r>
      <w:r w:rsidR="00D80E4D" w:rsidRPr="0093551E">
        <w:rPr>
          <w:rFonts w:asciiTheme="majorHAnsi" w:hAnsiTheme="majorHAnsi"/>
          <w:sz w:val="20"/>
          <w:szCs w:val="20"/>
          <w:lang w:val="es-ES"/>
        </w:rPr>
        <w:t>ón dispuso su</w:t>
      </w:r>
      <w:r w:rsidR="002326C3" w:rsidRPr="0093551E">
        <w:rPr>
          <w:rFonts w:asciiTheme="majorHAnsi" w:hAnsiTheme="majorHAnsi"/>
          <w:sz w:val="20"/>
          <w:szCs w:val="20"/>
          <w:lang w:val="es-ES"/>
        </w:rPr>
        <w:t xml:space="preserve"> intervención activa en la tramitación del proceso penal, para coordinar acciones encaminadas al establecimiento de la verdad jurídica de los hechos. Asimismo, </w:t>
      </w:r>
      <w:r w:rsidR="00B5164F">
        <w:rPr>
          <w:rFonts w:asciiTheme="majorHAnsi" w:hAnsiTheme="majorHAnsi"/>
          <w:sz w:val="20"/>
          <w:szCs w:val="20"/>
          <w:lang w:val="es-ES"/>
        </w:rPr>
        <w:t xml:space="preserve">sostiene que se emitieron </w:t>
      </w:r>
      <w:r w:rsidR="002326C3" w:rsidRPr="0093551E">
        <w:rPr>
          <w:rFonts w:asciiTheme="majorHAnsi" w:hAnsiTheme="majorHAnsi"/>
          <w:sz w:val="20"/>
          <w:szCs w:val="20"/>
          <w:lang w:val="es-ES"/>
        </w:rPr>
        <w:t xml:space="preserve">disposiciones </w:t>
      </w:r>
      <w:r w:rsidR="00D80E4D" w:rsidRPr="0093551E">
        <w:rPr>
          <w:rFonts w:asciiTheme="majorHAnsi" w:hAnsiTheme="majorHAnsi"/>
          <w:sz w:val="20"/>
          <w:szCs w:val="20"/>
          <w:lang w:val="es-ES"/>
        </w:rPr>
        <w:t xml:space="preserve">legales </w:t>
      </w:r>
      <w:r w:rsidR="002326C3" w:rsidRPr="0093551E">
        <w:rPr>
          <w:rFonts w:asciiTheme="majorHAnsi" w:hAnsiTheme="majorHAnsi"/>
          <w:sz w:val="20"/>
          <w:szCs w:val="20"/>
          <w:lang w:val="es-ES"/>
        </w:rPr>
        <w:t xml:space="preserve">a fin de adecuar la normativa </w:t>
      </w:r>
      <w:r w:rsidR="00D80E4D" w:rsidRPr="0093551E">
        <w:rPr>
          <w:rFonts w:asciiTheme="majorHAnsi" w:hAnsiTheme="majorHAnsi"/>
          <w:sz w:val="20"/>
          <w:szCs w:val="20"/>
          <w:lang w:val="es-ES"/>
        </w:rPr>
        <w:t xml:space="preserve">interna a las previsiones de </w:t>
      </w:r>
      <w:r w:rsidR="00B5164F">
        <w:rPr>
          <w:rFonts w:asciiTheme="majorHAnsi" w:hAnsiTheme="majorHAnsi"/>
          <w:sz w:val="20"/>
          <w:szCs w:val="20"/>
          <w:lang w:val="es-ES"/>
        </w:rPr>
        <w:t>la Convención Americana y la Convención Belém Do Pará</w:t>
      </w:r>
      <w:r w:rsidR="00D80E4D" w:rsidRPr="0093551E">
        <w:rPr>
          <w:rFonts w:asciiTheme="majorHAnsi" w:hAnsiTheme="majorHAnsi"/>
          <w:sz w:val="20"/>
          <w:szCs w:val="20"/>
          <w:lang w:val="es-ES"/>
        </w:rPr>
        <w:t xml:space="preserve"> </w:t>
      </w:r>
      <w:r w:rsidR="002326C3" w:rsidRPr="0093551E">
        <w:rPr>
          <w:rFonts w:asciiTheme="majorHAnsi" w:hAnsiTheme="majorHAnsi"/>
          <w:sz w:val="20"/>
          <w:szCs w:val="20"/>
          <w:lang w:val="es-ES"/>
        </w:rPr>
        <w:t>luego de su ratificaci</w:t>
      </w:r>
      <w:r w:rsidR="00DA251A">
        <w:rPr>
          <w:rFonts w:asciiTheme="majorHAnsi" w:hAnsiTheme="majorHAnsi"/>
          <w:sz w:val="20"/>
          <w:szCs w:val="20"/>
          <w:lang w:val="es-ES"/>
        </w:rPr>
        <w:t>ón, e</w:t>
      </w:r>
      <w:r w:rsidR="00DA251A" w:rsidRPr="00DA251A">
        <w:rPr>
          <w:rFonts w:asciiTheme="majorHAnsi" w:hAnsiTheme="majorHAnsi"/>
          <w:sz w:val="20"/>
          <w:szCs w:val="20"/>
          <w:lang w:val="es-ES"/>
        </w:rPr>
        <w:t>ntre ellas, destaca la emisión del Decreto Supremo 1320/2012 sobre protección de violencia sexual en centros educativos.</w:t>
      </w:r>
    </w:p>
    <w:p w14:paraId="06B04637" w14:textId="4A0FE088" w:rsidR="0066129C" w:rsidRPr="00B5164F" w:rsidRDefault="00926D20" w:rsidP="00B5164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3551E">
        <w:rPr>
          <w:rFonts w:asciiTheme="majorHAnsi" w:hAnsiTheme="majorHAnsi"/>
          <w:sz w:val="20"/>
          <w:szCs w:val="20"/>
          <w:lang w:val="es-ES"/>
        </w:rPr>
        <w:t xml:space="preserve">Finalmente, el Estado </w:t>
      </w:r>
      <w:r w:rsidR="00E3485F" w:rsidRPr="0093551E">
        <w:rPr>
          <w:rFonts w:asciiTheme="majorHAnsi" w:hAnsiTheme="majorHAnsi"/>
          <w:sz w:val="20"/>
          <w:szCs w:val="20"/>
          <w:lang w:val="es-ES"/>
        </w:rPr>
        <w:t>enfatiza que es la intención de los</w:t>
      </w:r>
      <w:r w:rsidRPr="0093551E">
        <w:rPr>
          <w:rFonts w:asciiTheme="majorHAnsi" w:hAnsiTheme="majorHAnsi"/>
          <w:sz w:val="20"/>
          <w:szCs w:val="20"/>
          <w:lang w:val="es-ES"/>
        </w:rPr>
        <w:t xml:space="preserve"> peticionario</w:t>
      </w:r>
      <w:r w:rsidR="00E3485F" w:rsidRPr="0093551E">
        <w:rPr>
          <w:rFonts w:asciiTheme="majorHAnsi" w:hAnsiTheme="majorHAnsi"/>
          <w:sz w:val="20"/>
          <w:szCs w:val="20"/>
          <w:lang w:val="es-ES"/>
        </w:rPr>
        <w:t>s</w:t>
      </w:r>
      <w:r w:rsidRPr="0093551E">
        <w:rPr>
          <w:rFonts w:asciiTheme="majorHAnsi" w:hAnsiTheme="majorHAnsi"/>
          <w:sz w:val="20"/>
          <w:szCs w:val="20"/>
          <w:lang w:val="es-ES"/>
        </w:rPr>
        <w:t xml:space="preserve"> que la Comisión actúe como una cuarta instancia</w:t>
      </w:r>
      <w:r w:rsidR="00E3485F" w:rsidRPr="0093551E">
        <w:rPr>
          <w:rFonts w:asciiTheme="majorHAnsi" w:hAnsiTheme="majorHAnsi"/>
          <w:sz w:val="20"/>
          <w:szCs w:val="20"/>
          <w:lang w:val="es-ES"/>
        </w:rPr>
        <w:t xml:space="preserve"> y solicita el archivo de la petición</w:t>
      </w:r>
      <w:r w:rsidRPr="0093551E">
        <w:rPr>
          <w:rFonts w:asciiTheme="majorHAnsi" w:hAnsiTheme="majorHAnsi"/>
          <w:sz w:val="20"/>
          <w:szCs w:val="20"/>
          <w:lang w:val="es-ES"/>
        </w:rPr>
        <w:t xml:space="preserve">. Alega que lo que intentan los peticionarios es una revisión en instancia internacional de cuestiones de jurisdicción interna y que se valore la prueba presentada en el proceso penal doméstico seguido en contra de la presunta víctima. </w:t>
      </w:r>
      <w:r w:rsidR="00A4761B" w:rsidRPr="0093551E">
        <w:rPr>
          <w:rFonts w:asciiTheme="majorHAnsi" w:hAnsiTheme="majorHAnsi"/>
          <w:sz w:val="20"/>
          <w:szCs w:val="20"/>
          <w:lang w:val="es-ES"/>
        </w:rPr>
        <w:t xml:space="preserve">Asimismo, frente a la información aportada por los peticionarios acerca de la presentación </w:t>
      </w:r>
      <w:r w:rsidR="0093551E" w:rsidRPr="0093551E">
        <w:rPr>
          <w:rFonts w:asciiTheme="majorHAnsi" w:hAnsiTheme="majorHAnsi"/>
          <w:sz w:val="20"/>
          <w:szCs w:val="20"/>
          <w:lang w:val="es-ES"/>
        </w:rPr>
        <w:t>de informe alternativo en el Comité contra la Tortura</w:t>
      </w:r>
      <w:r w:rsidR="00A4761B" w:rsidRPr="0093551E">
        <w:rPr>
          <w:rFonts w:asciiTheme="majorHAnsi" w:hAnsiTheme="majorHAnsi"/>
          <w:sz w:val="20"/>
          <w:szCs w:val="20"/>
          <w:lang w:val="es-ES"/>
        </w:rPr>
        <w:t>, el Estado opone la excepción establecida en el artículo 46.1.c) de la Convención.</w:t>
      </w:r>
    </w:p>
    <w:p w14:paraId="3FE6F5AE" w14:textId="2CA8A234" w:rsidR="004C616A" w:rsidRPr="0093551E" w:rsidRDefault="004C616A" w:rsidP="00647756">
      <w:pPr>
        <w:pStyle w:val="ListParagraph"/>
        <w:spacing w:before="120" w:after="120"/>
        <w:jc w:val="both"/>
        <w:rPr>
          <w:rFonts w:asciiTheme="majorHAnsi" w:hAnsiTheme="majorHAnsi"/>
          <w:b/>
          <w:bCs/>
          <w:sz w:val="20"/>
          <w:szCs w:val="20"/>
          <w:lang w:val="es-ES"/>
        </w:rPr>
      </w:pPr>
      <w:r w:rsidRPr="0093551E">
        <w:rPr>
          <w:rFonts w:asciiTheme="majorHAnsi" w:hAnsiTheme="majorHAnsi"/>
          <w:b/>
          <w:bCs/>
          <w:sz w:val="20"/>
          <w:szCs w:val="20"/>
          <w:lang w:val="es-ES"/>
        </w:rPr>
        <w:t xml:space="preserve">VI. </w:t>
      </w:r>
      <w:r w:rsidRPr="0093551E">
        <w:rPr>
          <w:rFonts w:asciiTheme="majorHAnsi" w:hAnsiTheme="majorHAnsi"/>
          <w:b/>
          <w:bCs/>
          <w:sz w:val="20"/>
          <w:szCs w:val="20"/>
          <w:lang w:val="es-ES"/>
        </w:rPr>
        <w:tab/>
      </w:r>
      <w:r w:rsidR="00B5164F">
        <w:rPr>
          <w:rFonts w:asciiTheme="majorHAnsi" w:hAnsiTheme="majorHAnsi"/>
          <w:b/>
          <w:bCs/>
          <w:sz w:val="20"/>
          <w:szCs w:val="20"/>
          <w:lang w:val="es-ES"/>
        </w:rPr>
        <w:t xml:space="preserve">ANÁLISIS DE </w:t>
      </w:r>
      <w:r w:rsidRPr="0093551E">
        <w:rPr>
          <w:rFonts w:asciiTheme="majorHAnsi" w:hAnsiTheme="majorHAnsi"/>
          <w:b/>
          <w:bCs/>
          <w:sz w:val="20"/>
          <w:szCs w:val="20"/>
          <w:lang w:val="es-ES"/>
        </w:rPr>
        <w:t>AGOTAMIENTO DE LOS RECURSOS INTERNOS Y PLAZO DE PRESENTACIÓN</w:t>
      </w:r>
    </w:p>
    <w:p w14:paraId="3E93F9AF" w14:textId="026DF3BD" w:rsidR="008E181A" w:rsidRPr="0093551E" w:rsidRDefault="00B229F2" w:rsidP="008E18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3551E">
        <w:rPr>
          <w:rFonts w:asciiTheme="majorHAnsi" w:hAnsiTheme="majorHAnsi"/>
          <w:sz w:val="20"/>
          <w:szCs w:val="20"/>
          <w:lang w:val="es-AR"/>
        </w:rPr>
        <w:t>La Comisión observa que los alegados hechos de violencia sexual y homicidio cometidos contra la presunta víctima fueron denunciados a las autoridades bolivianas el 31 de agosto de 1999</w:t>
      </w:r>
      <w:r w:rsidR="00576D56">
        <w:rPr>
          <w:rFonts w:asciiTheme="majorHAnsi" w:hAnsiTheme="majorHAnsi"/>
          <w:sz w:val="20"/>
          <w:szCs w:val="20"/>
          <w:lang w:val="es-AR"/>
        </w:rPr>
        <w:t xml:space="preserve">. Toma nota también de </w:t>
      </w:r>
      <w:r w:rsidR="00054201">
        <w:rPr>
          <w:rFonts w:asciiTheme="majorHAnsi" w:hAnsiTheme="majorHAnsi"/>
          <w:sz w:val="20"/>
          <w:szCs w:val="20"/>
          <w:lang w:val="es-AR"/>
        </w:rPr>
        <w:t>que,</w:t>
      </w:r>
      <w:r w:rsidR="00576D56">
        <w:rPr>
          <w:rFonts w:asciiTheme="majorHAnsi" w:hAnsiTheme="majorHAnsi"/>
          <w:sz w:val="20"/>
          <w:szCs w:val="20"/>
          <w:lang w:val="es-AR"/>
        </w:rPr>
        <w:t xml:space="preserve"> </w:t>
      </w:r>
      <w:r w:rsidR="008E181A">
        <w:rPr>
          <w:rFonts w:asciiTheme="majorHAnsi" w:hAnsiTheme="majorHAnsi"/>
          <w:sz w:val="20"/>
          <w:szCs w:val="20"/>
          <w:lang w:val="es-AR"/>
        </w:rPr>
        <w:t xml:space="preserve">por decisión de la Corte Suprema de Justicia de </w:t>
      </w:r>
      <w:r w:rsidR="008E181A" w:rsidRPr="0093551E">
        <w:rPr>
          <w:rFonts w:asciiTheme="majorHAnsi" w:hAnsiTheme="majorHAnsi"/>
          <w:sz w:val="20"/>
          <w:szCs w:val="20"/>
          <w:lang w:val="es-ES"/>
        </w:rPr>
        <w:t>16 de diciembre de 2009</w:t>
      </w:r>
      <w:r w:rsidR="008E181A">
        <w:rPr>
          <w:rFonts w:asciiTheme="majorHAnsi" w:hAnsiTheme="majorHAnsi"/>
          <w:sz w:val="20"/>
          <w:szCs w:val="20"/>
          <w:lang w:val="es-ES"/>
        </w:rPr>
        <w:t xml:space="preserve">, </w:t>
      </w:r>
      <w:r w:rsidR="00576D56">
        <w:rPr>
          <w:rFonts w:asciiTheme="majorHAnsi" w:hAnsiTheme="majorHAnsi"/>
          <w:sz w:val="20"/>
          <w:szCs w:val="20"/>
          <w:lang w:val="es-AR"/>
        </w:rPr>
        <w:t>el proceso penal fue anulado</w:t>
      </w:r>
      <w:r w:rsidR="008E181A">
        <w:rPr>
          <w:rFonts w:asciiTheme="majorHAnsi" w:hAnsiTheme="majorHAnsi"/>
          <w:sz w:val="20"/>
          <w:szCs w:val="20"/>
          <w:lang w:val="es-AR"/>
        </w:rPr>
        <w:t xml:space="preserve"> hasta la fase de instrucción, y que en consecuencia debió reiniciarse. Producto de tal acción, la Comisión observa que </w:t>
      </w:r>
      <w:r w:rsidR="008E181A" w:rsidRPr="0093551E">
        <w:rPr>
          <w:rFonts w:asciiTheme="majorHAnsi" w:hAnsiTheme="majorHAnsi"/>
          <w:sz w:val="20"/>
          <w:szCs w:val="20"/>
          <w:lang w:val="es-ES" w:eastAsia="ja-JP"/>
        </w:rPr>
        <w:t xml:space="preserve">el 19 de agosto de 2014, se emitió </w:t>
      </w:r>
      <w:r w:rsidR="008E181A">
        <w:rPr>
          <w:rFonts w:asciiTheme="majorHAnsi" w:hAnsiTheme="majorHAnsi"/>
          <w:sz w:val="20"/>
          <w:szCs w:val="20"/>
          <w:lang w:val="es-ES" w:eastAsia="ja-JP"/>
        </w:rPr>
        <w:t>una nueva</w:t>
      </w:r>
      <w:r w:rsidR="008E181A" w:rsidRPr="0093551E">
        <w:rPr>
          <w:rFonts w:asciiTheme="majorHAnsi" w:hAnsiTheme="majorHAnsi"/>
          <w:sz w:val="20"/>
          <w:szCs w:val="20"/>
          <w:lang w:val="es-ES" w:eastAsia="ja-JP"/>
        </w:rPr>
        <w:t xml:space="preserve"> sentencia </w:t>
      </w:r>
      <w:r w:rsidR="008E181A">
        <w:rPr>
          <w:rFonts w:asciiTheme="majorHAnsi" w:hAnsiTheme="majorHAnsi"/>
          <w:sz w:val="20"/>
          <w:szCs w:val="20"/>
          <w:lang w:val="es-ES" w:eastAsia="ja-JP"/>
        </w:rPr>
        <w:t xml:space="preserve">condenatoria contra </w:t>
      </w:r>
      <w:r w:rsidR="008E181A" w:rsidRPr="0093551E">
        <w:rPr>
          <w:rFonts w:asciiTheme="majorHAnsi" w:hAnsiTheme="majorHAnsi"/>
          <w:sz w:val="20"/>
          <w:szCs w:val="20"/>
          <w:lang w:val="es-ES" w:eastAsia="ja-JP"/>
        </w:rPr>
        <w:t>Odón Fernando Mendoza Soto, como autor de los de</w:t>
      </w:r>
      <w:r w:rsidR="008E181A">
        <w:rPr>
          <w:rFonts w:asciiTheme="majorHAnsi" w:hAnsiTheme="majorHAnsi"/>
          <w:sz w:val="20"/>
          <w:szCs w:val="20"/>
          <w:lang w:val="es-ES" w:eastAsia="ja-JP"/>
        </w:rPr>
        <w:t>litos de violación y asesinato, y las señoras</w:t>
      </w:r>
      <w:r w:rsidR="008E181A" w:rsidRPr="0093551E">
        <w:rPr>
          <w:rFonts w:asciiTheme="majorHAnsi" w:hAnsiTheme="majorHAnsi"/>
          <w:sz w:val="20"/>
          <w:szCs w:val="20"/>
          <w:lang w:val="es-ES" w:eastAsia="ja-JP"/>
        </w:rPr>
        <w:t xml:space="preserve"> M.R.V.V</w:t>
      </w:r>
      <w:r w:rsidR="008E181A">
        <w:rPr>
          <w:rFonts w:asciiTheme="majorHAnsi" w:hAnsiTheme="majorHAnsi"/>
          <w:sz w:val="20"/>
          <w:szCs w:val="20"/>
          <w:lang w:val="es-ES" w:eastAsia="ja-JP"/>
        </w:rPr>
        <w:t>.,</w:t>
      </w:r>
      <w:r w:rsidR="008E181A" w:rsidRPr="0093551E">
        <w:rPr>
          <w:rFonts w:asciiTheme="majorHAnsi" w:hAnsiTheme="majorHAnsi"/>
          <w:sz w:val="20"/>
          <w:szCs w:val="20"/>
          <w:lang w:val="es-ES" w:eastAsia="ja-JP"/>
        </w:rPr>
        <w:t xml:space="preserve"> M.U.U</w:t>
      </w:r>
      <w:r w:rsidR="008E181A">
        <w:rPr>
          <w:rFonts w:asciiTheme="majorHAnsi" w:hAnsiTheme="majorHAnsi"/>
          <w:sz w:val="20"/>
          <w:szCs w:val="20"/>
          <w:lang w:val="es-ES" w:eastAsia="ja-JP"/>
        </w:rPr>
        <w:t>.</w:t>
      </w:r>
      <w:r w:rsidR="008E181A" w:rsidRPr="0093551E">
        <w:rPr>
          <w:rFonts w:asciiTheme="majorHAnsi" w:hAnsiTheme="majorHAnsi"/>
          <w:sz w:val="20"/>
          <w:szCs w:val="20"/>
          <w:lang w:val="es-ES" w:eastAsia="ja-JP"/>
        </w:rPr>
        <w:t xml:space="preserve"> y B.P</w:t>
      </w:r>
      <w:r w:rsidR="008E181A">
        <w:rPr>
          <w:rFonts w:asciiTheme="majorHAnsi" w:hAnsiTheme="majorHAnsi"/>
          <w:sz w:val="20"/>
          <w:szCs w:val="20"/>
          <w:lang w:val="es-ES" w:eastAsia="ja-JP"/>
        </w:rPr>
        <w:t>.</w:t>
      </w:r>
      <w:r w:rsidR="008E181A" w:rsidRPr="0093551E">
        <w:rPr>
          <w:rFonts w:asciiTheme="majorHAnsi" w:hAnsiTheme="majorHAnsi"/>
          <w:sz w:val="20"/>
          <w:szCs w:val="20"/>
          <w:lang w:val="es-ES" w:eastAsia="ja-JP"/>
        </w:rPr>
        <w:t>, como autor</w:t>
      </w:r>
      <w:r w:rsidR="008E181A">
        <w:rPr>
          <w:rFonts w:asciiTheme="majorHAnsi" w:hAnsiTheme="majorHAnsi"/>
          <w:sz w:val="20"/>
          <w:szCs w:val="20"/>
          <w:lang w:val="es-ES" w:eastAsia="ja-JP"/>
        </w:rPr>
        <w:t>a</w:t>
      </w:r>
      <w:r w:rsidR="008E181A" w:rsidRPr="0093551E">
        <w:rPr>
          <w:rFonts w:asciiTheme="majorHAnsi" w:hAnsiTheme="majorHAnsi"/>
          <w:sz w:val="20"/>
          <w:szCs w:val="20"/>
          <w:lang w:val="es-ES" w:eastAsia="ja-JP"/>
        </w:rPr>
        <w:t>s de la comisión del delito de incumpl</w:t>
      </w:r>
      <w:r w:rsidR="008E181A">
        <w:rPr>
          <w:rFonts w:asciiTheme="majorHAnsi" w:hAnsiTheme="majorHAnsi"/>
          <w:sz w:val="20"/>
          <w:szCs w:val="20"/>
          <w:lang w:val="es-ES" w:eastAsia="ja-JP"/>
        </w:rPr>
        <w:t>imiento de deberes</w:t>
      </w:r>
      <w:r w:rsidR="008E181A" w:rsidRPr="0093551E">
        <w:rPr>
          <w:rFonts w:asciiTheme="majorHAnsi" w:hAnsiTheme="majorHAnsi"/>
          <w:sz w:val="20"/>
          <w:szCs w:val="20"/>
          <w:lang w:val="es-ES" w:eastAsia="ja-JP"/>
        </w:rPr>
        <w:t xml:space="preserve">. </w:t>
      </w:r>
      <w:r w:rsidR="008E181A">
        <w:rPr>
          <w:rFonts w:asciiTheme="majorHAnsi" w:hAnsiTheme="majorHAnsi"/>
          <w:sz w:val="20"/>
          <w:szCs w:val="20"/>
          <w:lang w:val="es-ES" w:eastAsia="ja-JP"/>
        </w:rPr>
        <w:t xml:space="preserve">Dicha decisión fue confirmada </w:t>
      </w:r>
      <w:r w:rsidR="008E181A" w:rsidRPr="0093551E">
        <w:rPr>
          <w:rFonts w:asciiTheme="majorHAnsi" w:hAnsiTheme="majorHAnsi"/>
          <w:sz w:val="20"/>
          <w:szCs w:val="20"/>
          <w:lang w:val="es-ES" w:eastAsia="ja-JP"/>
        </w:rPr>
        <w:t>el 27 de abril de 2015,</w:t>
      </w:r>
      <w:r w:rsidR="008E181A">
        <w:rPr>
          <w:rFonts w:asciiTheme="majorHAnsi" w:hAnsiTheme="majorHAnsi"/>
          <w:sz w:val="20"/>
          <w:szCs w:val="20"/>
          <w:lang w:val="es-ES" w:eastAsia="ja-JP"/>
        </w:rPr>
        <w:t xml:space="preserve"> por</w:t>
      </w:r>
      <w:r w:rsidR="008E181A" w:rsidRPr="0093551E">
        <w:rPr>
          <w:rFonts w:asciiTheme="majorHAnsi" w:hAnsiTheme="majorHAnsi"/>
          <w:sz w:val="20"/>
          <w:szCs w:val="20"/>
          <w:lang w:val="es-ES" w:eastAsia="ja-JP"/>
        </w:rPr>
        <w:t xml:space="preserve"> la Sala Penal Tercera del Tribunal Departamental de Justicia de la Paz, </w:t>
      </w:r>
      <w:r w:rsidR="008E181A">
        <w:rPr>
          <w:rFonts w:asciiTheme="majorHAnsi" w:hAnsiTheme="majorHAnsi"/>
          <w:sz w:val="20"/>
          <w:szCs w:val="20"/>
          <w:lang w:val="es-ES" w:eastAsia="ja-JP"/>
        </w:rPr>
        <w:t xml:space="preserve">y que el </w:t>
      </w:r>
      <w:r w:rsidR="008E181A" w:rsidRPr="0093551E">
        <w:rPr>
          <w:rFonts w:asciiTheme="majorHAnsi" w:hAnsiTheme="majorHAnsi"/>
          <w:sz w:val="20"/>
          <w:szCs w:val="20"/>
          <w:lang w:val="es-ES" w:eastAsia="ja-JP"/>
        </w:rPr>
        <w:t>recurso</w:t>
      </w:r>
      <w:r w:rsidR="008E181A">
        <w:rPr>
          <w:rFonts w:asciiTheme="majorHAnsi" w:hAnsiTheme="majorHAnsi"/>
          <w:sz w:val="20"/>
          <w:szCs w:val="20"/>
          <w:lang w:val="es-ES" w:eastAsia="ja-JP"/>
        </w:rPr>
        <w:t xml:space="preserve"> de casación interpuesto por Odón Mendoza </w:t>
      </w:r>
      <w:r w:rsidR="008E181A" w:rsidRPr="0093551E">
        <w:rPr>
          <w:rFonts w:asciiTheme="majorHAnsi" w:hAnsiTheme="majorHAnsi"/>
          <w:sz w:val="20"/>
          <w:szCs w:val="20"/>
          <w:lang w:val="es-ES" w:eastAsia="ja-JP"/>
        </w:rPr>
        <w:t xml:space="preserve">fue declarado infundado por </w:t>
      </w:r>
      <w:r w:rsidR="008E181A">
        <w:rPr>
          <w:rFonts w:asciiTheme="majorHAnsi" w:hAnsiTheme="majorHAnsi"/>
          <w:sz w:val="20"/>
          <w:szCs w:val="20"/>
          <w:lang w:val="es-ES" w:eastAsia="ja-JP"/>
        </w:rPr>
        <w:t xml:space="preserve">la </w:t>
      </w:r>
      <w:r w:rsidR="008E181A" w:rsidRPr="0093551E">
        <w:rPr>
          <w:rFonts w:asciiTheme="majorHAnsi" w:hAnsiTheme="majorHAnsi"/>
          <w:sz w:val="20"/>
          <w:szCs w:val="20"/>
          <w:lang w:val="es-ES" w:eastAsia="ja-JP"/>
        </w:rPr>
        <w:t xml:space="preserve">Sala Penal </w:t>
      </w:r>
      <w:r w:rsidR="008E181A">
        <w:rPr>
          <w:rFonts w:asciiTheme="majorHAnsi" w:hAnsiTheme="majorHAnsi"/>
          <w:sz w:val="20"/>
          <w:szCs w:val="20"/>
          <w:lang w:val="es-ES" w:eastAsia="ja-JP"/>
        </w:rPr>
        <w:t>del Tribunal Supremo de Justicia</w:t>
      </w:r>
      <w:r w:rsidR="008E181A" w:rsidRPr="0093551E">
        <w:rPr>
          <w:rFonts w:asciiTheme="majorHAnsi" w:hAnsiTheme="majorHAnsi"/>
          <w:sz w:val="20"/>
          <w:szCs w:val="20"/>
          <w:lang w:val="es-ES" w:eastAsia="ja-JP"/>
        </w:rPr>
        <w:t>, el 26 de noviembre de 2015.</w:t>
      </w:r>
      <w:r w:rsidR="008E181A">
        <w:rPr>
          <w:rFonts w:asciiTheme="majorHAnsi" w:hAnsiTheme="majorHAnsi"/>
          <w:sz w:val="20"/>
          <w:szCs w:val="20"/>
          <w:lang w:val="es-ES" w:eastAsia="ja-JP"/>
        </w:rPr>
        <w:t xml:space="preserve"> </w:t>
      </w:r>
    </w:p>
    <w:p w14:paraId="3621C911" w14:textId="56D8051A" w:rsidR="008E181A" w:rsidRPr="00542D2D" w:rsidRDefault="00542D2D" w:rsidP="00F5148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542D2D">
        <w:rPr>
          <w:rFonts w:asciiTheme="majorHAnsi" w:hAnsiTheme="majorHAnsi"/>
          <w:sz w:val="20"/>
          <w:szCs w:val="20"/>
          <w:lang w:val="es-AR"/>
        </w:rPr>
        <w:t xml:space="preserve">Atendido lo anterior, la Comisión concluye que en el presente caso los recursos internos fueron agotados mediante la sentencia emitida </w:t>
      </w:r>
      <w:r w:rsidRPr="00542D2D">
        <w:rPr>
          <w:rFonts w:asciiTheme="majorHAnsi" w:hAnsiTheme="majorHAnsi"/>
          <w:sz w:val="20"/>
          <w:szCs w:val="20"/>
          <w:lang w:val="es-ES" w:eastAsia="ja-JP"/>
        </w:rPr>
        <w:t xml:space="preserve">el 26 de noviembre de 2015, </w:t>
      </w:r>
      <w:r w:rsidRPr="00542D2D">
        <w:rPr>
          <w:rFonts w:asciiTheme="majorHAnsi" w:hAnsiTheme="majorHAnsi"/>
          <w:sz w:val="20"/>
          <w:szCs w:val="20"/>
          <w:lang w:val="es-AR"/>
        </w:rPr>
        <w:t xml:space="preserve">por la </w:t>
      </w:r>
      <w:r w:rsidRPr="00542D2D">
        <w:rPr>
          <w:rFonts w:asciiTheme="majorHAnsi" w:hAnsiTheme="majorHAnsi"/>
          <w:sz w:val="20"/>
          <w:szCs w:val="20"/>
          <w:lang w:val="es-ES" w:eastAsia="ja-JP"/>
        </w:rPr>
        <w:t xml:space="preserve">Sala Penal del Tribunal Supremo de Justicia, </w:t>
      </w:r>
      <w:r w:rsidRPr="00542D2D">
        <w:rPr>
          <w:rFonts w:asciiTheme="majorHAnsi" w:hAnsiTheme="majorHAnsi"/>
          <w:sz w:val="20"/>
          <w:szCs w:val="20"/>
          <w:lang w:val="es-AR"/>
        </w:rPr>
        <w:t xml:space="preserve">en cumplimiento de los artículos 46.1.a de la Convención y 31.1 del Reglamento de la Comisión. En vista que la petición fue presentada el </w:t>
      </w:r>
      <w:r w:rsidRPr="00542D2D">
        <w:rPr>
          <w:rFonts w:asciiTheme="majorHAnsi" w:hAnsiTheme="majorHAnsi"/>
          <w:bCs/>
          <w:sz w:val="19"/>
          <w:szCs w:val="19"/>
          <w:lang w:val="es-ES"/>
        </w:rPr>
        <w:t>17 de mayo de 2010</w:t>
      </w:r>
      <w:r w:rsidRPr="00542D2D">
        <w:rPr>
          <w:rFonts w:asciiTheme="majorHAnsi" w:hAnsiTheme="majorHAnsi"/>
          <w:sz w:val="20"/>
          <w:szCs w:val="20"/>
          <w:lang w:val="es-AR"/>
        </w:rPr>
        <w:t>, se observa que el agotamiento de los recursos internos se dio mientras el caso se hallaba bajo estudio de admisibilidad. De acuerdo a la doctrina de la Comisión, el análisis sobre los requisitos previstos en el artículo 46.1.b de la Convención debe hacerse a la luz de la situación vigente al</w:t>
      </w:r>
      <w:r>
        <w:rPr>
          <w:rFonts w:asciiTheme="majorHAnsi" w:hAnsiTheme="majorHAnsi"/>
          <w:sz w:val="20"/>
          <w:szCs w:val="20"/>
          <w:lang w:val="es-AR"/>
        </w:rPr>
        <w:t xml:space="preserve"> </w:t>
      </w:r>
      <w:r w:rsidRPr="00542D2D">
        <w:rPr>
          <w:rFonts w:asciiTheme="majorHAnsi" w:hAnsiTheme="majorHAnsi"/>
          <w:sz w:val="20"/>
          <w:szCs w:val="20"/>
          <w:lang w:val="es-AR"/>
        </w:rPr>
        <w:t xml:space="preserve">momento en que se pronuncia sobre la admisibilidad o inadmisibilidad del </w:t>
      </w:r>
      <w:r w:rsidRPr="00542D2D">
        <w:rPr>
          <w:rFonts w:asciiTheme="majorHAnsi" w:hAnsiTheme="majorHAnsi"/>
          <w:sz w:val="20"/>
          <w:szCs w:val="20"/>
          <w:lang w:val="es-AR"/>
        </w:rPr>
        <w:lastRenderedPageBreak/>
        <w:t>reclamo</w:t>
      </w:r>
      <w:r>
        <w:rPr>
          <w:rStyle w:val="FootnoteReference"/>
          <w:rFonts w:asciiTheme="majorHAnsi" w:hAnsiTheme="majorHAnsi"/>
          <w:sz w:val="20"/>
          <w:szCs w:val="20"/>
          <w:lang w:val="es-AR"/>
        </w:rPr>
        <w:footnoteReference w:id="10"/>
      </w:r>
      <w:r>
        <w:rPr>
          <w:rFonts w:asciiTheme="majorHAnsi" w:hAnsiTheme="majorHAnsi"/>
          <w:sz w:val="20"/>
          <w:szCs w:val="20"/>
          <w:lang w:val="es-AR"/>
        </w:rPr>
        <w:t xml:space="preserve">. Por tanto, se considera que </w:t>
      </w:r>
      <w:r w:rsidRPr="00542D2D">
        <w:rPr>
          <w:rFonts w:asciiTheme="majorHAnsi" w:hAnsiTheme="majorHAnsi"/>
          <w:sz w:val="20"/>
          <w:szCs w:val="20"/>
          <w:lang w:val="es-AR"/>
        </w:rPr>
        <w:t>la petición cumple el requisito establecido en el artículo 46.1.b de la Convención y 32.1 del Reglamento.</w:t>
      </w:r>
      <w:r w:rsidR="008E181A" w:rsidRPr="00542D2D">
        <w:rPr>
          <w:rFonts w:asciiTheme="majorHAnsi" w:hAnsiTheme="majorHAnsi"/>
          <w:sz w:val="20"/>
          <w:szCs w:val="20"/>
          <w:lang w:val="es-AR"/>
        </w:rPr>
        <w:t xml:space="preserve">  </w:t>
      </w:r>
      <w:r w:rsidR="00576D56" w:rsidRPr="00542D2D">
        <w:rPr>
          <w:rFonts w:asciiTheme="majorHAnsi" w:hAnsiTheme="majorHAnsi"/>
          <w:sz w:val="20"/>
          <w:szCs w:val="20"/>
          <w:lang w:val="es-ES"/>
        </w:rPr>
        <w:t xml:space="preserve"> </w:t>
      </w:r>
      <w:r w:rsidR="00426AC9" w:rsidRPr="00542D2D">
        <w:rPr>
          <w:rFonts w:asciiTheme="majorHAnsi" w:hAnsiTheme="majorHAnsi"/>
          <w:sz w:val="20"/>
          <w:szCs w:val="20"/>
          <w:lang w:val="es-AR"/>
        </w:rPr>
        <w:t xml:space="preserve"> </w:t>
      </w:r>
    </w:p>
    <w:p w14:paraId="0C1FAF27" w14:textId="45F15E32" w:rsidR="00DF7C6F" w:rsidRPr="0093551E" w:rsidRDefault="00DF7C6F" w:rsidP="00DF7C6F">
      <w:pPr>
        <w:pStyle w:val="ListParagraph"/>
        <w:spacing w:before="120" w:after="120"/>
        <w:jc w:val="both"/>
        <w:rPr>
          <w:rFonts w:asciiTheme="majorHAnsi" w:hAnsiTheme="majorHAnsi"/>
          <w:b/>
          <w:bCs/>
          <w:sz w:val="20"/>
          <w:szCs w:val="20"/>
          <w:lang w:val="es-ES"/>
        </w:rPr>
      </w:pPr>
      <w:r w:rsidRPr="0093551E">
        <w:rPr>
          <w:rFonts w:asciiTheme="majorHAnsi" w:hAnsiTheme="majorHAnsi"/>
          <w:b/>
          <w:bCs/>
          <w:sz w:val="20"/>
          <w:szCs w:val="20"/>
          <w:lang w:val="es-ES"/>
        </w:rPr>
        <w:t>VII.</w:t>
      </w:r>
      <w:r w:rsidR="00761066">
        <w:rPr>
          <w:rFonts w:asciiTheme="majorHAnsi" w:hAnsiTheme="majorHAnsi"/>
          <w:b/>
          <w:bCs/>
          <w:sz w:val="20"/>
          <w:szCs w:val="20"/>
          <w:lang w:val="es-ES"/>
        </w:rPr>
        <w:tab/>
      </w:r>
      <w:r w:rsidRPr="0093551E">
        <w:rPr>
          <w:rFonts w:asciiTheme="majorHAnsi" w:hAnsiTheme="majorHAnsi"/>
          <w:b/>
          <w:bCs/>
          <w:sz w:val="20"/>
          <w:szCs w:val="20"/>
          <w:lang w:val="es-ES"/>
        </w:rPr>
        <w:t>ANÁLISIS DE DUPLICACIÓN DE PROCEDIMIENTOS Y COSA JUZGADA</w:t>
      </w:r>
      <w:r w:rsidRPr="0093551E">
        <w:rPr>
          <w:rFonts w:asciiTheme="majorHAnsi" w:hAnsiTheme="majorHAnsi"/>
          <w:b/>
          <w:bCs/>
          <w:i/>
          <w:sz w:val="20"/>
          <w:szCs w:val="20"/>
          <w:lang w:val="es-ES"/>
        </w:rPr>
        <w:t xml:space="preserve"> </w:t>
      </w:r>
      <w:r w:rsidRPr="0093551E">
        <w:rPr>
          <w:rFonts w:asciiTheme="majorHAnsi" w:hAnsiTheme="majorHAnsi"/>
          <w:b/>
          <w:bCs/>
          <w:sz w:val="20"/>
          <w:szCs w:val="20"/>
          <w:lang w:val="es-ES"/>
        </w:rPr>
        <w:t>INTERNACIONAL</w:t>
      </w:r>
    </w:p>
    <w:p w14:paraId="1F269336" w14:textId="05E1E17F" w:rsidR="00174A5F" w:rsidRPr="0093551E" w:rsidRDefault="0068409F" w:rsidP="00174A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3551E">
        <w:rPr>
          <w:rFonts w:asciiTheme="majorHAnsi" w:hAnsiTheme="majorHAnsi"/>
          <w:sz w:val="20"/>
          <w:szCs w:val="20"/>
          <w:lang w:val="es-ES"/>
        </w:rPr>
        <w:t>M</w:t>
      </w:r>
      <w:r w:rsidR="00DF7C6F" w:rsidRPr="0093551E">
        <w:rPr>
          <w:rFonts w:asciiTheme="majorHAnsi" w:hAnsiTheme="majorHAnsi"/>
          <w:sz w:val="20"/>
          <w:szCs w:val="20"/>
          <w:lang w:val="es-ES"/>
        </w:rPr>
        <w:t xml:space="preserve">ediante comunicación recibida el </w:t>
      </w:r>
      <w:r w:rsidRPr="0093551E">
        <w:rPr>
          <w:rFonts w:asciiTheme="majorHAnsi" w:hAnsiTheme="majorHAnsi"/>
          <w:sz w:val="20"/>
          <w:szCs w:val="20"/>
          <w:lang w:val="es-ES"/>
        </w:rPr>
        <w:t>19 de agosto de 2013</w:t>
      </w:r>
      <w:r w:rsidR="00DF7C6F" w:rsidRPr="0093551E">
        <w:rPr>
          <w:rFonts w:asciiTheme="majorHAnsi" w:hAnsiTheme="majorHAnsi"/>
          <w:sz w:val="20"/>
          <w:szCs w:val="20"/>
          <w:lang w:val="es-ES"/>
        </w:rPr>
        <w:t xml:space="preserve">, los peticionarios indicaron </w:t>
      </w:r>
      <w:r w:rsidRPr="0093551E">
        <w:rPr>
          <w:rFonts w:asciiTheme="majorHAnsi" w:hAnsiTheme="majorHAnsi"/>
          <w:sz w:val="20"/>
          <w:szCs w:val="20"/>
          <w:lang w:val="es-ES"/>
        </w:rPr>
        <w:t>que presentaron un informe alternativo ante el Comité contra la Tortura el 18 de abril de 201</w:t>
      </w:r>
      <w:r w:rsidR="00EC0C3B" w:rsidRPr="0093551E">
        <w:rPr>
          <w:rFonts w:asciiTheme="majorHAnsi" w:hAnsiTheme="majorHAnsi"/>
          <w:sz w:val="20"/>
          <w:szCs w:val="20"/>
          <w:lang w:val="es-ES"/>
        </w:rPr>
        <w:t>3 en el marco del 50 per</w:t>
      </w:r>
      <w:r w:rsidR="00EC0C3B" w:rsidRPr="0093551E">
        <w:rPr>
          <w:rFonts w:asciiTheme="majorHAnsi" w:hAnsiTheme="majorHAnsi"/>
          <w:sz w:val="20"/>
          <w:szCs w:val="20"/>
          <w:rtl/>
          <w:lang w:val="es-ES"/>
        </w:rPr>
        <w:t>íodo</w:t>
      </w:r>
      <w:r w:rsidR="00EC0C3B" w:rsidRPr="0093551E">
        <w:rPr>
          <w:rFonts w:asciiTheme="majorHAnsi" w:hAnsiTheme="majorHAnsi"/>
          <w:sz w:val="20"/>
          <w:szCs w:val="20"/>
          <w:lang w:val="es-ES"/>
        </w:rPr>
        <w:t xml:space="preserve"> de sesiones</w:t>
      </w:r>
      <w:r w:rsidRPr="0093551E">
        <w:rPr>
          <w:rFonts w:asciiTheme="majorHAnsi" w:hAnsiTheme="majorHAnsi"/>
          <w:sz w:val="20"/>
          <w:szCs w:val="20"/>
          <w:lang w:val="es-ES"/>
        </w:rPr>
        <w:t xml:space="preserve"> y dicho Comité emitió sus recomendaciones para el Estado de Bolivia el 14 de junio de 2013</w:t>
      </w:r>
      <w:r w:rsidR="009E1E02" w:rsidRPr="0093551E">
        <w:rPr>
          <w:rFonts w:asciiTheme="majorHAnsi" w:hAnsiTheme="majorHAnsi"/>
          <w:sz w:val="20"/>
          <w:szCs w:val="20"/>
          <w:lang w:val="es-ES"/>
        </w:rPr>
        <w:t>, recomendaciones que surgen a partir de la revisión general de tortura en el Estado.</w:t>
      </w:r>
      <w:r w:rsidR="00DF7C6F" w:rsidRPr="0093551E">
        <w:rPr>
          <w:rFonts w:asciiTheme="majorHAnsi" w:hAnsiTheme="majorHAnsi"/>
          <w:sz w:val="20"/>
          <w:szCs w:val="20"/>
          <w:lang w:val="es-ES"/>
        </w:rPr>
        <w:t xml:space="preserve"> </w:t>
      </w:r>
      <w:r w:rsidR="00174A5F" w:rsidRPr="0093551E">
        <w:rPr>
          <w:rFonts w:asciiTheme="majorHAnsi" w:hAnsiTheme="majorHAnsi"/>
          <w:sz w:val="20"/>
          <w:szCs w:val="20"/>
          <w:lang w:val="es-ES"/>
        </w:rPr>
        <w:t>Si bien el Comité contra l</w:t>
      </w:r>
      <w:r w:rsidR="0093551E">
        <w:rPr>
          <w:rFonts w:asciiTheme="majorHAnsi" w:hAnsiTheme="majorHAnsi"/>
          <w:sz w:val="20"/>
          <w:szCs w:val="20"/>
          <w:lang w:val="es-ES"/>
        </w:rPr>
        <w:t xml:space="preserve">a </w:t>
      </w:r>
      <w:r w:rsidR="00426AC9">
        <w:rPr>
          <w:rFonts w:asciiTheme="majorHAnsi" w:hAnsiTheme="majorHAnsi"/>
          <w:sz w:val="20"/>
          <w:szCs w:val="20"/>
          <w:lang w:val="es-ES"/>
        </w:rPr>
        <w:t>T</w:t>
      </w:r>
      <w:r w:rsidR="0093551E">
        <w:rPr>
          <w:rFonts w:asciiTheme="majorHAnsi" w:hAnsiTheme="majorHAnsi"/>
          <w:sz w:val="20"/>
          <w:szCs w:val="20"/>
          <w:lang w:val="es-ES"/>
        </w:rPr>
        <w:t>ortura presenta un mecanismo</w:t>
      </w:r>
      <w:r w:rsidR="00174A5F" w:rsidRPr="0093551E">
        <w:rPr>
          <w:rFonts w:asciiTheme="majorHAnsi" w:hAnsiTheme="majorHAnsi"/>
          <w:sz w:val="20"/>
          <w:szCs w:val="20"/>
          <w:lang w:val="es-ES"/>
        </w:rPr>
        <w:t xml:space="preserve"> de denuncias individuale</w:t>
      </w:r>
      <w:r w:rsidR="0093551E">
        <w:rPr>
          <w:rFonts w:asciiTheme="majorHAnsi" w:hAnsiTheme="majorHAnsi"/>
          <w:sz w:val="20"/>
          <w:szCs w:val="20"/>
          <w:lang w:val="es-ES"/>
        </w:rPr>
        <w:t xml:space="preserve">s, de los </w:t>
      </w:r>
      <w:r w:rsidR="00426AC9">
        <w:rPr>
          <w:rFonts w:asciiTheme="majorHAnsi" w:hAnsiTheme="majorHAnsi"/>
          <w:sz w:val="20"/>
          <w:szCs w:val="20"/>
          <w:lang w:val="es-ES"/>
        </w:rPr>
        <w:t>alegatos</w:t>
      </w:r>
      <w:r w:rsidR="0093551E">
        <w:rPr>
          <w:rFonts w:asciiTheme="majorHAnsi" w:hAnsiTheme="majorHAnsi"/>
          <w:sz w:val="20"/>
          <w:szCs w:val="20"/>
          <w:lang w:val="es-ES"/>
        </w:rPr>
        <w:t xml:space="preserve"> del Estado y los</w:t>
      </w:r>
      <w:r w:rsidR="00174A5F" w:rsidRPr="0093551E">
        <w:rPr>
          <w:rFonts w:asciiTheme="majorHAnsi" w:hAnsiTheme="majorHAnsi"/>
          <w:sz w:val="20"/>
          <w:szCs w:val="20"/>
          <w:lang w:val="es-ES"/>
        </w:rPr>
        <w:t xml:space="preserve"> peticionario</w:t>
      </w:r>
      <w:r w:rsidR="0093551E">
        <w:rPr>
          <w:rFonts w:asciiTheme="majorHAnsi" w:hAnsiTheme="majorHAnsi"/>
          <w:sz w:val="20"/>
          <w:szCs w:val="20"/>
          <w:lang w:val="es-ES"/>
        </w:rPr>
        <w:t>s</w:t>
      </w:r>
      <w:r w:rsidR="00174A5F" w:rsidRPr="0093551E">
        <w:rPr>
          <w:rFonts w:asciiTheme="majorHAnsi" w:hAnsiTheme="majorHAnsi"/>
          <w:sz w:val="20"/>
          <w:szCs w:val="20"/>
          <w:lang w:val="es-ES"/>
        </w:rPr>
        <w:t xml:space="preserve"> la Comisión concluye que el caso no fue presentado dentro de dicho proceso, sino en el marco del período de sesiones del Comité. Es decir, </w:t>
      </w:r>
      <w:r w:rsidR="00174A5F" w:rsidRPr="0093551E">
        <w:rPr>
          <w:rFonts w:asciiTheme="majorHAnsi" w:hAnsiTheme="majorHAnsi" w:cs="Calibri"/>
          <w:sz w:val="20"/>
          <w:szCs w:val="20"/>
          <w:lang w:val="es-ES_tradnl"/>
        </w:rPr>
        <w:t>los procedimientos en cuestión no resultan equivalentes al previsto para la tramitación de peticiones individuales ante el sistema interamericano, entre otros, porque no examinaban casos individuales, sino situaciones que afectaban a un gran número de personas con miras a determinar la existencia de un cuadro persistente de violaciones de derechos humanos, y el caso de la presunta víctima, fue utilizado como un ejemplo de ello.</w:t>
      </w:r>
      <w:r w:rsidR="0093551E">
        <w:rPr>
          <w:rFonts w:asciiTheme="majorHAnsi" w:hAnsiTheme="majorHAnsi" w:cs="Calibri"/>
          <w:sz w:val="20"/>
          <w:szCs w:val="20"/>
          <w:lang w:val="es-ES_tradnl"/>
        </w:rPr>
        <w:t xml:space="preserve"> La CIDH encuentra que el mecanismo en cuestión no conduce</w:t>
      </w:r>
      <w:r w:rsidR="00174A5F" w:rsidRPr="0093551E">
        <w:rPr>
          <w:rFonts w:asciiTheme="majorHAnsi" w:hAnsiTheme="majorHAnsi" w:cs="Calibri"/>
          <w:sz w:val="20"/>
          <w:szCs w:val="20"/>
          <w:lang w:val="es-ES_tradnl"/>
        </w:rPr>
        <w:t xml:space="preserve"> al arreglo efectivo de la violación denunciada en el sentido de un sistema de peticion</w:t>
      </w:r>
      <w:r w:rsidR="0093551E">
        <w:rPr>
          <w:rFonts w:asciiTheme="majorHAnsi" w:hAnsiTheme="majorHAnsi" w:cs="Calibri"/>
          <w:sz w:val="20"/>
          <w:szCs w:val="20"/>
          <w:lang w:val="es-ES_tradnl"/>
        </w:rPr>
        <w:t>es individuales, ni a la adopción de</w:t>
      </w:r>
      <w:r w:rsidR="00174A5F" w:rsidRPr="0093551E">
        <w:rPr>
          <w:rFonts w:asciiTheme="majorHAnsi" w:hAnsiTheme="majorHAnsi" w:cs="Calibri"/>
          <w:sz w:val="20"/>
          <w:szCs w:val="20"/>
          <w:lang w:val="es-ES_tradnl"/>
        </w:rPr>
        <w:t xml:space="preserve"> decisiones y medidas tendientes a la resolución de disputas como la que nos ocupa</w:t>
      </w:r>
      <w:r w:rsidR="00174A5F" w:rsidRPr="0093551E">
        <w:rPr>
          <w:rStyle w:val="FootnoteReference"/>
          <w:rFonts w:asciiTheme="majorHAnsi" w:hAnsiTheme="majorHAnsi" w:cs="Calibri"/>
          <w:sz w:val="20"/>
          <w:szCs w:val="20"/>
        </w:rPr>
        <w:footnoteReference w:id="11"/>
      </w:r>
      <w:r w:rsidR="00174A5F" w:rsidRPr="0093551E">
        <w:rPr>
          <w:rFonts w:asciiTheme="majorHAnsi" w:hAnsiTheme="majorHAnsi" w:cs="Calibri"/>
          <w:sz w:val="20"/>
          <w:szCs w:val="20"/>
          <w:lang w:val="es-ES_tradnl"/>
        </w:rPr>
        <w:t>.</w:t>
      </w:r>
    </w:p>
    <w:p w14:paraId="7181657F" w14:textId="7A709CCB" w:rsidR="00DF7C6F" w:rsidRPr="0093551E" w:rsidRDefault="00DF7C6F" w:rsidP="00CE44DE">
      <w:pPr>
        <w:pStyle w:val="ListParagraph"/>
        <w:numPr>
          <w:ilvl w:val="0"/>
          <w:numId w:val="55"/>
        </w:numPr>
        <w:spacing w:before="120" w:after="120"/>
        <w:jc w:val="both"/>
        <w:rPr>
          <w:rFonts w:asciiTheme="majorHAnsi" w:hAnsiTheme="majorHAnsi"/>
          <w:bCs/>
          <w:sz w:val="20"/>
          <w:szCs w:val="20"/>
          <w:lang w:val="es-ES"/>
        </w:rPr>
      </w:pPr>
      <w:r w:rsidRPr="0093551E">
        <w:rPr>
          <w:rFonts w:asciiTheme="majorHAnsi" w:hAnsiTheme="majorHAnsi"/>
          <w:bCs/>
          <w:sz w:val="20"/>
          <w:szCs w:val="20"/>
          <w:lang w:val="es-ES"/>
        </w:rPr>
        <w:t xml:space="preserve">Por lo tanto, la CIDH concluye que la presente petición cumple con el requisito de admisibilidad establecido en el artículo 46.1.c de la Convención y el artículo 33.2.a del Reglamento de la Comisión. </w:t>
      </w:r>
      <w:r w:rsidRPr="0093551E">
        <w:rPr>
          <w:rFonts w:asciiTheme="majorHAnsi" w:hAnsiTheme="majorHAnsi"/>
          <w:bCs/>
          <w:sz w:val="20"/>
          <w:szCs w:val="20"/>
          <w:lang w:val="es-ES"/>
        </w:rPr>
        <w:tab/>
      </w:r>
    </w:p>
    <w:p w14:paraId="7090A929" w14:textId="115AB145" w:rsidR="00F04591" w:rsidRPr="0093551E" w:rsidRDefault="00F04591" w:rsidP="00647756">
      <w:pPr>
        <w:pStyle w:val="ListParagraph"/>
        <w:spacing w:before="120" w:after="120"/>
        <w:jc w:val="both"/>
        <w:rPr>
          <w:rFonts w:asciiTheme="majorHAnsi" w:hAnsiTheme="majorHAnsi"/>
          <w:b/>
          <w:bCs/>
          <w:sz w:val="20"/>
          <w:szCs w:val="20"/>
          <w:lang w:val="es-ES"/>
        </w:rPr>
      </w:pPr>
      <w:r w:rsidRPr="0093551E">
        <w:rPr>
          <w:rFonts w:asciiTheme="majorHAnsi" w:hAnsiTheme="majorHAnsi"/>
          <w:b/>
          <w:bCs/>
          <w:sz w:val="20"/>
          <w:szCs w:val="20"/>
          <w:lang w:val="es-ES"/>
        </w:rPr>
        <w:t>V</w:t>
      </w:r>
      <w:r w:rsidR="000E2789" w:rsidRPr="0093551E">
        <w:rPr>
          <w:rFonts w:asciiTheme="majorHAnsi" w:hAnsiTheme="majorHAnsi"/>
          <w:b/>
          <w:bCs/>
          <w:sz w:val="20"/>
          <w:szCs w:val="20"/>
          <w:lang w:val="es-ES"/>
        </w:rPr>
        <w:t>I</w:t>
      </w:r>
      <w:r w:rsidRPr="0093551E">
        <w:rPr>
          <w:rFonts w:asciiTheme="majorHAnsi" w:hAnsiTheme="majorHAnsi"/>
          <w:b/>
          <w:bCs/>
          <w:sz w:val="20"/>
          <w:szCs w:val="20"/>
          <w:lang w:val="es-ES"/>
        </w:rPr>
        <w:t xml:space="preserve">I. </w:t>
      </w:r>
      <w:r w:rsidRPr="0093551E">
        <w:rPr>
          <w:rFonts w:asciiTheme="majorHAnsi" w:hAnsiTheme="majorHAnsi"/>
          <w:b/>
          <w:bCs/>
          <w:sz w:val="20"/>
          <w:szCs w:val="20"/>
          <w:lang w:val="es-ES"/>
        </w:rPr>
        <w:tab/>
        <w:t>CARACTERIZACIÓN</w:t>
      </w:r>
    </w:p>
    <w:p w14:paraId="03B7970F" w14:textId="10DC4F6D" w:rsidR="00A11881" w:rsidRPr="00095286" w:rsidRDefault="0055112B" w:rsidP="00095286">
      <w:pPr>
        <w:pStyle w:val="ListParagraph"/>
        <w:numPr>
          <w:ilvl w:val="0"/>
          <w:numId w:val="55"/>
        </w:numPr>
        <w:spacing w:before="120" w:after="120"/>
        <w:jc w:val="both"/>
        <w:rPr>
          <w:rFonts w:asciiTheme="majorHAnsi" w:hAnsiTheme="majorHAnsi"/>
          <w:bCs/>
          <w:sz w:val="20"/>
          <w:szCs w:val="20"/>
          <w:lang w:val="es-ES"/>
        </w:rPr>
      </w:pPr>
      <w:r>
        <w:rPr>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w:t>
      </w:r>
      <w:r w:rsidR="00A11881" w:rsidRPr="00095286">
        <w:rPr>
          <w:rFonts w:asciiTheme="majorHAnsi" w:hAnsiTheme="majorHAnsi"/>
          <w:bCs/>
          <w:sz w:val="20"/>
          <w:szCs w:val="20"/>
          <w:lang w:val="es-AR"/>
        </w:rPr>
        <w:t>ser probad</w:t>
      </w:r>
      <w:r w:rsidR="00426AC9" w:rsidRPr="00095286">
        <w:rPr>
          <w:rFonts w:asciiTheme="majorHAnsi" w:hAnsiTheme="majorHAnsi"/>
          <w:bCs/>
          <w:sz w:val="20"/>
          <w:szCs w:val="20"/>
          <w:lang w:val="es-AR"/>
        </w:rPr>
        <w:t>a la alegada violación sexual</w:t>
      </w:r>
      <w:r w:rsidR="00095286" w:rsidRPr="00095286">
        <w:rPr>
          <w:rFonts w:asciiTheme="majorHAnsi" w:hAnsiTheme="majorHAnsi"/>
          <w:bCs/>
          <w:sz w:val="20"/>
          <w:szCs w:val="20"/>
          <w:lang w:val="es-AR"/>
        </w:rPr>
        <w:t>, tortura</w:t>
      </w:r>
      <w:r w:rsidR="00426AC9" w:rsidRPr="00095286">
        <w:rPr>
          <w:rFonts w:asciiTheme="majorHAnsi" w:hAnsiTheme="majorHAnsi"/>
          <w:bCs/>
          <w:sz w:val="20"/>
          <w:szCs w:val="20"/>
          <w:lang w:val="es-AR"/>
        </w:rPr>
        <w:t xml:space="preserve"> y posterior asesinato de la presunta víctima </w:t>
      </w:r>
      <w:r w:rsidR="00D51877">
        <w:rPr>
          <w:rFonts w:asciiTheme="majorHAnsi" w:hAnsiTheme="majorHAnsi"/>
          <w:bCs/>
          <w:sz w:val="20"/>
          <w:szCs w:val="20"/>
          <w:lang w:val="es-AR"/>
        </w:rPr>
        <w:t xml:space="preserve">cometidos </w:t>
      </w:r>
      <w:r w:rsidR="00426AC9" w:rsidRPr="00095286">
        <w:rPr>
          <w:rFonts w:asciiTheme="majorHAnsi" w:hAnsiTheme="majorHAnsi"/>
          <w:bCs/>
          <w:sz w:val="20"/>
          <w:szCs w:val="20"/>
          <w:lang w:val="es-AR"/>
        </w:rPr>
        <w:t>en un establecimiento educativo púbico</w:t>
      </w:r>
      <w:r w:rsidR="00D51877">
        <w:rPr>
          <w:rStyle w:val="FootnoteReference"/>
          <w:rFonts w:asciiTheme="majorHAnsi" w:hAnsiTheme="majorHAnsi"/>
          <w:bCs/>
          <w:sz w:val="20"/>
          <w:szCs w:val="20"/>
          <w:lang w:val="es-AR"/>
        </w:rPr>
        <w:footnoteReference w:id="12"/>
      </w:r>
      <w:r w:rsidR="000C0B68" w:rsidRPr="00095286">
        <w:rPr>
          <w:rFonts w:asciiTheme="majorHAnsi" w:hAnsiTheme="majorHAnsi"/>
          <w:bCs/>
          <w:sz w:val="20"/>
          <w:szCs w:val="20"/>
          <w:lang w:val="es-AR"/>
        </w:rPr>
        <w:t xml:space="preserve"> cuando tenía 10 años de edad</w:t>
      </w:r>
      <w:r w:rsidR="00426AC9" w:rsidRPr="00095286">
        <w:rPr>
          <w:rFonts w:asciiTheme="majorHAnsi" w:hAnsiTheme="majorHAnsi"/>
          <w:bCs/>
          <w:sz w:val="20"/>
          <w:szCs w:val="20"/>
          <w:lang w:val="es-AR"/>
        </w:rPr>
        <w:t xml:space="preserve">, </w:t>
      </w:r>
      <w:r w:rsidR="00A11881" w:rsidRPr="00095286">
        <w:rPr>
          <w:rFonts w:asciiTheme="majorHAnsi" w:hAnsiTheme="majorHAnsi"/>
          <w:bCs/>
          <w:sz w:val="20"/>
          <w:szCs w:val="20"/>
          <w:lang w:val="es-AR"/>
        </w:rPr>
        <w:t>l</w:t>
      </w:r>
      <w:r w:rsidR="00426AC9" w:rsidRPr="00095286">
        <w:rPr>
          <w:rFonts w:asciiTheme="majorHAnsi" w:hAnsiTheme="majorHAnsi"/>
          <w:bCs/>
          <w:sz w:val="20"/>
          <w:szCs w:val="20"/>
          <w:lang w:val="es-AR"/>
        </w:rPr>
        <w:t xml:space="preserve">os supuestos </w:t>
      </w:r>
      <w:r w:rsidR="00CD7F97" w:rsidRPr="00095286">
        <w:rPr>
          <w:rFonts w:asciiTheme="majorHAnsi" w:hAnsiTheme="majorHAnsi"/>
          <w:bCs/>
          <w:sz w:val="20"/>
          <w:szCs w:val="20"/>
          <w:lang w:val="es-AR"/>
        </w:rPr>
        <w:t>actos de revictimización</w:t>
      </w:r>
      <w:r w:rsidR="000C0B68" w:rsidRPr="00095286">
        <w:rPr>
          <w:rFonts w:asciiTheme="majorHAnsi" w:hAnsiTheme="majorHAnsi"/>
          <w:bCs/>
          <w:sz w:val="20"/>
          <w:szCs w:val="20"/>
          <w:lang w:val="es-AR"/>
        </w:rPr>
        <w:t xml:space="preserve">, la presunta falta de debida diligencia y ausencia </w:t>
      </w:r>
      <w:r w:rsidR="00A11881" w:rsidRPr="00095286">
        <w:rPr>
          <w:rFonts w:asciiTheme="majorHAnsi" w:hAnsiTheme="majorHAnsi"/>
          <w:bCs/>
          <w:sz w:val="20"/>
          <w:szCs w:val="20"/>
          <w:lang w:val="es-AR"/>
        </w:rPr>
        <w:t>de protección judicial en los procesos de investiga</w:t>
      </w:r>
      <w:r w:rsidR="000C0B68" w:rsidRPr="00095286">
        <w:rPr>
          <w:rFonts w:asciiTheme="majorHAnsi" w:hAnsiTheme="majorHAnsi"/>
          <w:bCs/>
          <w:sz w:val="20"/>
          <w:szCs w:val="20"/>
          <w:lang w:val="es-AR"/>
        </w:rPr>
        <w:t>ción penal iniciados</w:t>
      </w:r>
      <w:r w:rsidR="00A11881" w:rsidRPr="00095286">
        <w:rPr>
          <w:rFonts w:asciiTheme="majorHAnsi" w:hAnsiTheme="majorHAnsi"/>
          <w:bCs/>
          <w:sz w:val="20"/>
          <w:szCs w:val="20"/>
          <w:lang w:val="es-AR"/>
        </w:rPr>
        <w:t>, podrían caracterizar posibles violaciones de los artículos</w:t>
      </w:r>
      <w:r w:rsidR="00906429" w:rsidRPr="00095286">
        <w:rPr>
          <w:rFonts w:asciiTheme="majorHAnsi" w:hAnsiTheme="majorHAnsi"/>
          <w:bCs/>
          <w:sz w:val="20"/>
          <w:szCs w:val="20"/>
          <w:lang w:val="es-AR"/>
        </w:rPr>
        <w:t xml:space="preserve"> 4 (vida),</w:t>
      </w:r>
      <w:r w:rsidR="00A11881" w:rsidRPr="00095286">
        <w:rPr>
          <w:rFonts w:asciiTheme="majorHAnsi" w:hAnsiTheme="majorHAnsi"/>
          <w:bCs/>
          <w:sz w:val="20"/>
          <w:szCs w:val="20"/>
          <w:lang w:val="es-AR"/>
        </w:rPr>
        <w:t xml:space="preserve"> 5 (integridad personal), 8 (garantías judiciales), 11 (protección de la honra y de la dig</w:t>
      </w:r>
      <w:r w:rsidR="00906429" w:rsidRPr="00095286">
        <w:rPr>
          <w:rFonts w:asciiTheme="majorHAnsi" w:hAnsiTheme="majorHAnsi"/>
          <w:bCs/>
          <w:sz w:val="20"/>
          <w:szCs w:val="20"/>
          <w:lang w:val="es-AR"/>
        </w:rPr>
        <w:t>nidad), 19 (derechos del niño)</w:t>
      </w:r>
      <w:r w:rsidR="000C0B68" w:rsidRPr="00095286">
        <w:rPr>
          <w:rFonts w:asciiTheme="majorHAnsi" w:hAnsiTheme="majorHAnsi"/>
          <w:bCs/>
          <w:sz w:val="20"/>
          <w:szCs w:val="20"/>
          <w:lang w:val="es-AR"/>
        </w:rPr>
        <w:t>, 24 (igualdad ante la ley)</w:t>
      </w:r>
      <w:r w:rsidR="00095286" w:rsidRPr="00095286">
        <w:rPr>
          <w:rFonts w:asciiTheme="majorHAnsi" w:hAnsiTheme="majorHAnsi"/>
          <w:bCs/>
          <w:sz w:val="20"/>
          <w:szCs w:val="20"/>
          <w:lang w:val="es-AR"/>
        </w:rPr>
        <w:t>,</w:t>
      </w:r>
      <w:r w:rsidR="00906429" w:rsidRPr="00095286">
        <w:rPr>
          <w:rFonts w:asciiTheme="majorHAnsi" w:hAnsiTheme="majorHAnsi"/>
          <w:bCs/>
          <w:sz w:val="20"/>
          <w:szCs w:val="20"/>
          <w:lang w:val="es-AR"/>
        </w:rPr>
        <w:t xml:space="preserve"> 25 (protección </w:t>
      </w:r>
      <w:r w:rsidR="00A11881" w:rsidRPr="00095286">
        <w:rPr>
          <w:rFonts w:asciiTheme="majorHAnsi" w:hAnsiTheme="majorHAnsi"/>
          <w:bCs/>
          <w:sz w:val="20"/>
          <w:szCs w:val="20"/>
          <w:lang w:val="es-AR"/>
        </w:rPr>
        <w:t>judicial)</w:t>
      </w:r>
      <w:r w:rsidR="00095286" w:rsidRPr="00095286">
        <w:rPr>
          <w:rFonts w:asciiTheme="majorHAnsi" w:hAnsiTheme="majorHAnsi"/>
          <w:bCs/>
          <w:sz w:val="20"/>
          <w:szCs w:val="20"/>
          <w:lang w:val="es-AR"/>
        </w:rPr>
        <w:t xml:space="preserve"> y 26 (derechos económicos, sociales y culturales)</w:t>
      </w:r>
      <w:r w:rsidR="00A11881" w:rsidRPr="00095286">
        <w:rPr>
          <w:rFonts w:asciiTheme="majorHAnsi" w:hAnsiTheme="majorHAnsi"/>
          <w:bCs/>
          <w:sz w:val="20"/>
          <w:szCs w:val="20"/>
          <w:lang w:val="es-AR"/>
        </w:rPr>
        <w:t xml:space="preserve"> de la Convención Americana en </w:t>
      </w:r>
      <w:r w:rsidR="00906429" w:rsidRPr="00095286">
        <w:rPr>
          <w:rFonts w:asciiTheme="majorHAnsi" w:hAnsiTheme="majorHAnsi"/>
          <w:bCs/>
          <w:sz w:val="20"/>
          <w:szCs w:val="20"/>
          <w:lang w:val="es-AR"/>
        </w:rPr>
        <w:t>relación con su</w:t>
      </w:r>
      <w:r w:rsidR="000C0B68" w:rsidRPr="00095286">
        <w:rPr>
          <w:rFonts w:asciiTheme="majorHAnsi" w:hAnsiTheme="majorHAnsi"/>
          <w:bCs/>
          <w:sz w:val="20"/>
          <w:szCs w:val="20"/>
          <w:lang w:val="es-AR"/>
        </w:rPr>
        <w:t>s</w:t>
      </w:r>
      <w:r w:rsidR="00906429" w:rsidRPr="00095286">
        <w:rPr>
          <w:rFonts w:asciiTheme="majorHAnsi" w:hAnsiTheme="majorHAnsi"/>
          <w:bCs/>
          <w:sz w:val="20"/>
          <w:szCs w:val="20"/>
          <w:lang w:val="es-AR"/>
        </w:rPr>
        <w:t xml:space="preserve"> artículo</w:t>
      </w:r>
      <w:r w:rsidR="000C0B68" w:rsidRPr="00095286">
        <w:rPr>
          <w:rFonts w:asciiTheme="majorHAnsi" w:hAnsiTheme="majorHAnsi"/>
          <w:bCs/>
          <w:sz w:val="20"/>
          <w:szCs w:val="20"/>
          <w:lang w:val="es-AR"/>
        </w:rPr>
        <w:t>s</w:t>
      </w:r>
      <w:r w:rsidR="00906429" w:rsidRPr="00095286">
        <w:rPr>
          <w:rFonts w:asciiTheme="majorHAnsi" w:hAnsiTheme="majorHAnsi"/>
          <w:bCs/>
          <w:sz w:val="20"/>
          <w:szCs w:val="20"/>
          <w:lang w:val="es-AR"/>
        </w:rPr>
        <w:t xml:space="preserve"> 1.1</w:t>
      </w:r>
      <w:r w:rsidR="000C0B68" w:rsidRPr="00095286">
        <w:rPr>
          <w:rFonts w:asciiTheme="majorHAnsi" w:hAnsiTheme="majorHAnsi"/>
          <w:bCs/>
          <w:sz w:val="20"/>
          <w:szCs w:val="20"/>
          <w:lang w:val="es-AR"/>
        </w:rPr>
        <w:t xml:space="preserve"> y 2</w:t>
      </w:r>
      <w:r w:rsidR="00A11881" w:rsidRPr="00095286">
        <w:rPr>
          <w:rFonts w:asciiTheme="majorHAnsi" w:hAnsiTheme="majorHAnsi"/>
          <w:bCs/>
          <w:sz w:val="20"/>
          <w:szCs w:val="20"/>
          <w:lang w:val="es-AR"/>
        </w:rPr>
        <w:t>, en perjuicio de la presunta víctima</w:t>
      </w:r>
      <w:r w:rsidR="000C0B68" w:rsidRPr="00095286">
        <w:rPr>
          <w:rFonts w:asciiTheme="majorHAnsi" w:hAnsiTheme="majorHAnsi"/>
          <w:bCs/>
          <w:sz w:val="20"/>
          <w:szCs w:val="20"/>
          <w:lang w:val="es-AR"/>
        </w:rPr>
        <w:t xml:space="preserve"> y sus familiares</w:t>
      </w:r>
      <w:r w:rsidR="00A11881" w:rsidRPr="00095286">
        <w:rPr>
          <w:rFonts w:asciiTheme="majorHAnsi" w:hAnsiTheme="majorHAnsi"/>
          <w:bCs/>
          <w:sz w:val="20"/>
          <w:szCs w:val="20"/>
          <w:lang w:val="es-AR"/>
        </w:rPr>
        <w:t>, así como al artículo 7 de la Convención Belém do Pará.</w:t>
      </w:r>
      <w:r w:rsidR="000C0B68" w:rsidRPr="00095286">
        <w:rPr>
          <w:rFonts w:asciiTheme="majorHAnsi" w:hAnsiTheme="majorHAnsi"/>
          <w:bCs/>
          <w:sz w:val="20"/>
          <w:szCs w:val="20"/>
          <w:lang w:val="es-AR"/>
        </w:rPr>
        <w:t xml:space="preserve"> </w:t>
      </w:r>
      <w:r w:rsidR="00095286" w:rsidRPr="00095286">
        <w:rPr>
          <w:rFonts w:asciiTheme="majorHAnsi" w:hAnsiTheme="majorHAnsi"/>
          <w:bCs/>
          <w:sz w:val="20"/>
          <w:szCs w:val="20"/>
          <w:lang w:val="es-AR"/>
        </w:rPr>
        <w:t>Así como los artículos 1, 6 y 8 de la Convención Interamericana para Prevenir y Sancionar la Tortura respecto a la</w:t>
      </w:r>
      <w:r w:rsidR="00095286">
        <w:rPr>
          <w:rFonts w:asciiTheme="majorHAnsi" w:hAnsiTheme="majorHAnsi"/>
          <w:bCs/>
          <w:sz w:val="20"/>
          <w:szCs w:val="20"/>
          <w:lang w:val="es-AR"/>
        </w:rPr>
        <w:t xml:space="preserve"> </w:t>
      </w:r>
      <w:r w:rsidR="00095286" w:rsidRPr="00095286">
        <w:rPr>
          <w:rFonts w:asciiTheme="majorHAnsi" w:hAnsiTheme="majorHAnsi"/>
          <w:bCs/>
          <w:sz w:val="20"/>
          <w:szCs w:val="20"/>
          <w:lang w:val="es-AR"/>
        </w:rPr>
        <w:t>falta de investigación de hechos alegados tras la</w:t>
      </w:r>
      <w:r w:rsidR="00095286">
        <w:rPr>
          <w:rFonts w:asciiTheme="majorHAnsi" w:hAnsiTheme="majorHAnsi"/>
          <w:bCs/>
          <w:sz w:val="20"/>
          <w:szCs w:val="20"/>
          <w:lang w:val="es-AR"/>
        </w:rPr>
        <w:t xml:space="preserve"> fecha</w:t>
      </w:r>
      <w:r w:rsidR="00095286" w:rsidRPr="00095286">
        <w:rPr>
          <w:rFonts w:asciiTheme="majorHAnsi" w:hAnsiTheme="majorHAnsi"/>
          <w:bCs/>
          <w:sz w:val="20"/>
          <w:szCs w:val="20"/>
          <w:lang w:val="es-AR"/>
        </w:rPr>
        <w:t xml:space="preserve"> de la respectiva ratificaci</w:t>
      </w:r>
      <w:r w:rsidR="00095286">
        <w:rPr>
          <w:rFonts w:asciiTheme="majorHAnsi" w:hAnsiTheme="majorHAnsi"/>
          <w:bCs/>
          <w:sz w:val="20"/>
          <w:szCs w:val="20"/>
          <w:lang w:val="es-AR"/>
        </w:rPr>
        <w:t>ón</w:t>
      </w:r>
      <w:r w:rsidR="00095286" w:rsidRPr="00095286">
        <w:rPr>
          <w:rFonts w:asciiTheme="majorHAnsi" w:hAnsiTheme="majorHAnsi"/>
          <w:bCs/>
          <w:sz w:val="20"/>
          <w:szCs w:val="20"/>
          <w:lang w:val="es-AR"/>
        </w:rPr>
        <w:t xml:space="preserve"> y depósito.</w:t>
      </w:r>
    </w:p>
    <w:p w14:paraId="7034E8F8" w14:textId="13FF2C96" w:rsidR="00DF7C6F" w:rsidRPr="00D51877" w:rsidRDefault="005E3522" w:rsidP="00CE44D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AR"/>
        </w:rPr>
      </w:pPr>
      <w:r w:rsidRPr="0093551E">
        <w:rPr>
          <w:rFonts w:asciiTheme="majorHAnsi" w:hAnsiTheme="majorHAnsi"/>
          <w:sz w:val="20"/>
          <w:szCs w:val="20"/>
          <w:lang w:val="es-ES"/>
        </w:rPr>
        <w:t>Por último, 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p>
    <w:p w14:paraId="5DF1B3E0" w14:textId="47577065" w:rsidR="005E3522" w:rsidRPr="0093551E" w:rsidRDefault="00EC72AB" w:rsidP="001218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93551E">
        <w:rPr>
          <w:rFonts w:asciiTheme="majorHAnsi" w:hAnsiTheme="majorHAnsi"/>
          <w:b/>
          <w:bCs/>
          <w:sz w:val="20"/>
          <w:szCs w:val="20"/>
          <w:lang w:val="es-ES"/>
        </w:rPr>
        <w:t>VI</w:t>
      </w:r>
      <w:r w:rsidR="00F04591" w:rsidRPr="0093551E">
        <w:rPr>
          <w:rFonts w:asciiTheme="majorHAnsi" w:hAnsiTheme="majorHAnsi"/>
          <w:b/>
          <w:bCs/>
          <w:sz w:val="20"/>
          <w:szCs w:val="20"/>
          <w:lang w:val="es-ES"/>
        </w:rPr>
        <w:t>II</w:t>
      </w:r>
      <w:r w:rsidR="003239B8" w:rsidRPr="0093551E">
        <w:rPr>
          <w:rFonts w:asciiTheme="majorHAnsi" w:hAnsiTheme="majorHAnsi"/>
          <w:b/>
          <w:bCs/>
          <w:sz w:val="20"/>
          <w:szCs w:val="20"/>
          <w:lang w:val="es-ES"/>
        </w:rPr>
        <w:t xml:space="preserve">. </w:t>
      </w:r>
      <w:r w:rsidR="003239B8" w:rsidRPr="0093551E">
        <w:rPr>
          <w:rFonts w:asciiTheme="majorHAnsi" w:hAnsiTheme="majorHAnsi"/>
          <w:b/>
          <w:bCs/>
          <w:sz w:val="20"/>
          <w:szCs w:val="20"/>
          <w:lang w:val="es-ES"/>
        </w:rPr>
        <w:tab/>
        <w:t>DECISIÓN</w:t>
      </w:r>
    </w:p>
    <w:p w14:paraId="0D3965FC" w14:textId="1351AD35" w:rsidR="005E3522" w:rsidRPr="005338F4" w:rsidRDefault="003239B8" w:rsidP="005338F4">
      <w:pPr>
        <w:pStyle w:val="ListParagraph"/>
        <w:numPr>
          <w:ilvl w:val="0"/>
          <w:numId w:val="56"/>
        </w:numPr>
        <w:spacing w:before="120" w:after="120"/>
        <w:jc w:val="both"/>
        <w:rPr>
          <w:rFonts w:asciiTheme="majorHAnsi" w:hAnsiTheme="majorHAnsi"/>
          <w:bCs/>
          <w:sz w:val="20"/>
          <w:szCs w:val="20"/>
          <w:lang w:val="es-ES"/>
        </w:rPr>
      </w:pPr>
      <w:r w:rsidRPr="005338F4">
        <w:rPr>
          <w:rFonts w:asciiTheme="majorHAnsi" w:hAnsiTheme="majorHAnsi"/>
          <w:sz w:val="20"/>
          <w:szCs w:val="20"/>
          <w:lang w:val="es-ES"/>
        </w:rPr>
        <w:t>Declarar admisible la presente petición en relación con</w:t>
      </w:r>
      <w:r w:rsidR="003A6337" w:rsidRPr="005338F4">
        <w:rPr>
          <w:rFonts w:asciiTheme="majorHAnsi" w:hAnsiTheme="majorHAnsi"/>
          <w:sz w:val="20"/>
          <w:szCs w:val="20"/>
          <w:lang w:val="es-ES"/>
        </w:rPr>
        <w:t xml:space="preserve"> los </w:t>
      </w:r>
      <w:r w:rsidR="003A6337" w:rsidRPr="005338F4">
        <w:rPr>
          <w:rFonts w:asciiTheme="majorHAnsi" w:hAnsiTheme="majorHAnsi"/>
          <w:bCs/>
          <w:sz w:val="20"/>
          <w:szCs w:val="20"/>
          <w:lang w:val="es-ES"/>
        </w:rPr>
        <w:t xml:space="preserve">artículos </w:t>
      </w:r>
      <w:r w:rsidR="005E3522" w:rsidRPr="005338F4">
        <w:rPr>
          <w:rFonts w:asciiTheme="majorHAnsi" w:hAnsiTheme="majorHAnsi"/>
          <w:bCs/>
          <w:sz w:val="20"/>
          <w:szCs w:val="20"/>
          <w:lang w:val="es-AR"/>
        </w:rPr>
        <w:t>artículos 4, 5, 8, 11</w:t>
      </w:r>
      <w:r w:rsidR="000C0B68" w:rsidRPr="005338F4">
        <w:rPr>
          <w:rFonts w:asciiTheme="majorHAnsi" w:hAnsiTheme="majorHAnsi"/>
          <w:bCs/>
          <w:sz w:val="20"/>
          <w:szCs w:val="20"/>
          <w:lang w:val="es-AR"/>
        </w:rPr>
        <w:t>,</w:t>
      </w:r>
      <w:r w:rsidR="005E3522" w:rsidRPr="005338F4">
        <w:rPr>
          <w:rFonts w:asciiTheme="majorHAnsi" w:hAnsiTheme="majorHAnsi"/>
          <w:bCs/>
          <w:sz w:val="20"/>
          <w:szCs w:val="20"/>
          <w:lang w:val="es-AR"/>
        </w:rPr>
        <w:t xml:space="preserve"> 19</w:t>
      </w:r>
      <w:r w:rsidR="000C0B68" w:rsidRPr="005338F4">
        <w:rPr>
          <w:rFonts w:asciiTheme="majorHAnsi" w:hAnsiTheme="majorHAnsi"/>
          <w:bCs/>
          <w:sz w:val="20"/>
          <w:szCs w:val="20"/>
          <w:lang w:val="es-AR"/>
        </w:rPr>
        <w:t>, 24</w:t>
      </w:r>
      <w:r w:rsidR="00095286" w:rsidRPr="005338F4">
        <w:rPr>
          <w:rFonts w:asciiTheme="majorHAnsi" w:hAnsiTheme="majorHAnsi"/>
          <w:bCs/>
          <w:sz w:val="20"/>
          <w:szCs w:val="20"/>
          <w:lang w:val="es-AR"/>
        </w:rPr>
        <w:t>,</w:t>
      </w:r>
      <w:r w:rsidR="005E3522" w:rsidRPr="005338F4">
        <w:rPr>
          <w:rFonts w:asciiTheme="majorHAnsi" w:hAnsiTheme="majorHAnsi"/>
          <w:bCs/>
          <w:sz w:val="20"/>
          <w:szCs w:val="20"/>
          <w:lang w:val="es-AR"/>
        </w:rPr>
        <w:t xml:space="preserve"> 25</w:t>
      </w:r>
      <w:r w:rsidR="00095286" w:rsidRPr="005338F4">
        <w:rPr>
          <w:rFonts w:asciiTheme="majorHAnsi" w:hAnsiTheme="majorHAnsi"/>
          <w:bCs/>
          <w:sz w:val="20"/>
          <w:szCs w:val="20"/>
          <w:lang w:val="es-AR"/>
        </w:rPr>
        <w:t xml:space="preserve"> y 26</w:t>
      </w:r>
      <w:r w:rsidR="005E3522" w:rsidRPr="005338F4">
        <w:rPr>
          <w:rFonts w:asciiTheme="majorHAnsi" w:hAnsiTheme="majorHAnsi"/>
          <w:bCs/>
          <w:sz w:val="20"/>
          <w:szCs w:val="20"/>
          <w:lang w:val="es-AR"/>
        </w:rPr>
        <w:t xml:space="preserve"> de la Convención Americana en relación con su</w:t>
      </w:r>
      <w:r w:rsidR="000C0B68" w:rsidRPr="005338F4">
        <w:rPr>
          <w:rFonts w:asciiTheme="majorHAnsi" w:hAnsiTheme="majorHAnsi"/>
          <w:bCs/>
          <w:sz w:val="20"/>
          <w:szCs w:val="20"/>
          <w:lang w:val="es-AR"/>
        </w:rPr>
        <w:t>s</w:t>
      </w:r>
      <w:r w:rsidR="005E3522" w:rsidRPr="005338F4">
        <w:rPr>
          <w:rFonts w:asciiTheme="majorHAnsi" w:hAnsiTheme="majorHAnsi"/>
          <w:bCs/>
          <w:sz w:val="20"/>
          <w:szCs w:val="20"/>
          <w:lang w:val="es-AR"/>
        </w:rPr>
        <w:t xml:space="preserve"> artículo</w:t>
      </w:r>
      <w:r w:rsidR="000C0B68" w:rsidRPr="005338F4">
        <w:rPr>
          <w:rFonts w:asciiTheme="majorHAnsi" w:hAnsiTheme="majorHAnsi"/>
          <w:bCs/>
          <w:sz w:val="20"/>
          <w:szCs w:val="20"/>
          <w:lang w:val="es-AR"/>
        </w:rPr>
        <w:t>s</w:t>
      </w:r>
      <w:r w:rsidR="005E3522" w:rsidRPr="005338F4">
        <w:rPr>
          <w:rFonts w:asciiTheme="majorHAnsi" w:hAnsiTheme="majorHAnsi"/>
          <w:bCs/>
          <w:sz w:val="20"/>
          <w:szCs w:val="20"/>
          <w:lang w:val="es-AR"/>
        </w:rPr>
        <w:t xml:space="preserve"> 1.1</w:t>
      </w:r>
      <w:r w:rsidR="000C0B68" w:rsidRPr="005338F4">
        <w:rPr>
          <w:rFonts w:asciiTheme="majorHAnsi" w:hAnsiTheme="majorHAnsi"/>
          <w:bCs/>
          <w:sz w:val="20"/>
          <w:szCs w:val="20"/>
          <w:lang w:val="es-AR"/>
        </w:rPr>
        <w:t xml:space="preserve"> y 2</w:t>
      </w:r>
      <w:r w:rsidR="005E3522" w:rsidRPr="005338F4">
        <w:rPr>
          <w:rFonts w:asciiTheme="majorHAnsi" w:hAnsiTheme="majorHAnsi"/>
          <w:bCs/>
          <w:sz w:val="20"/>
          <w:szCs w:val="20"/>
          <w:lang w:val="es-AR"/>
        </w:rPr>
        <w:t>, en perjuicio de la presunta víctima, así como al artículo 7 de la Convención Belém do Pará</w:t>
      </w:r>
      <w:r w:rsidR="005338F4" w:rsidRPr="005338F4">
        <w:rPr>
          <w:rFonts w:asciiTheme="majorHAnsi" w:hAnsiTheme="majorHAnsi"/>
          <w:bCs/>
          <w:sz w:val="20"/>
          <w:szCs w:val="20"/>
          <w:lang w:val="es-AR"/>
        </w:rPr>
        <w:t>; y los artículos 1, 6 y 8 de la Convención</w:t>
      </w:r>
      <w:r w:rsidR="005338F4">
        <w:rPr>
          <w:rFonts w:asciiTheme="majorHAnsi" w:hAnsiTheme="majorHAnsi"/>
          <w:bCs/>
          <w:sz w:val="20"/>
          <w:szCs w:val="20"/>
          <w:lang w:val="es-AR"/>
        </w:rPr>
        <w:t xml:space="preserve"> </w:t>
      </w:r>
      <w:r w:rsidR="005338F4" w:rsidRPr="005338F4">
        <w:rPr>
          <w:rFonts w:asciiTheme="majorHAnsi" w:hAnsiTheme="majorHAnsi"/>
          <w:bCs/>
          <w:sz w:val="20"/>
          <w:szCs w:val="20"/>
          <w:lang w:val="es-AR"/>
        </w:rPr>
        <w:t>Interamericana para Prevenir y Sancionar la Tortura;</w:t>
      </w:r>
    </w:p>
    <w:p w14:paraId="4157390F" w14:textId="2DD8B170" w:rsidR="00D93A90"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3551E">
        <w:rPr>
          <w:rFonts w:asciiTheme="majorHAnsi" w:hAnsiTheme="majorHAnsi"/>
          <w:sz w:val="20"/>
          <w:szCs w:val="20"/>
          <w:lang w:val="es-ES"/>
        </w:rPr>
        <w:lastRenderedPageBreak/>
        <w:t>Notificar a las partes la presente decisión; continuar con el análisis del fondo de la cuestión; y publicar esta decisión e incluirla en su Informe Anual a la Asamblea General de la Organización de los Estados Americanos.</w:t>
      </w:r>
    </w:p>
    <w:p w14:paraId="03B9620E" w14:textId="071E9B98" w:rsidR="00192EF4" w:rsidRPr="00A37B82" w:rsidRDefault="00192EF4" w:rsidP="006519A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192EF4"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B2BF5" w14:textId="77777777" w:rsidR="00E60A5F" w:rsidRDefault="00E60A5F">
      <w:r>
        <w:separator/>
      </w:r>
    </w:p>
  </w:endnote>
  <w:endnote w:type="continuationSeparator" w:id="0">
    <w:p w14:paraId="1B400503" w14:textId="77777777" w:rsidR="00E60A5F" w:rsidRDefault="00E6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95842" w14:textId="77777777" w:rsidR="00E55186" w:rsidRDefault="00E551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22473E0"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55186">
          <w:rPr>
            <w:noProof/>
            <w:sz w:val="16"/>
            <w:szCs w:val="22"/>
          </w:rPr>
          <w:t>7</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2EB3A" w14:textId="77777777" w:rsidR="00E60A5F" w:rsidRPr="000F35ED" w:rsidRDefault="00E60A5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294BA5A" w14:textId="77777777" w:rsidR="00E60A5F" w:rsidRPr="000F35ED" w:rsidRDefault="00E60A5F" w:rsidP="000F35ED">
      <w:pPr>
        <w:rPr>
          <w:rFonts w:asciiTheme="majorHAnsi" w:hAnsiTheme="majorHAnsi"/>
          <w:sz w:val="16"/>
          <w:szCs w:val="16"/>
        </w:rPr>
      </w:pPr>
      <w:r w:rsidRPr="000F35ED">
        <w:rPr>
          <w:rFonts w:asciiTheme="majorHAnsi" w:hAnsiTheme="majorHAnsi"/>
          <w:sz w:val="16"/>
          <w:szCs w:val="16"/>
        </w:rPr>
        <w:separator/>
      </w:r>
    </w:p>
    <w:p w14:paraId="0EBDD009" w14:textId="77777777" w:rsidR="00E60A5F" w:rsidRPr="000F35ED" w:rsidRDefault="00E60A5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CE30331" w14:textId="77777777" w:rsidR="00E60A5F" w:rsidRPr="000F35ED" w:rsidRDefault="00E60A5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4D4ABAA" w14:textId="76173324" w:rsidR="00761066" w:rsidRPr="00DD061E" w:rsidRDefault="007E08B8" w:rsidP="00D51877">
      <w:pPr>
        <w:pStyle w:val="FootnoteText"/>
        <w:jc w:val="both"/>
        <w:rPr>
          <w:rFonts w:ascii="Cambria" w:hAnsi="Cambria"/>
          <w:sz w:val="16"/>
          <w:szCs w:val="16"/>
          <w:lang w:val="es-ES"/>
        </w:rPr>
      </w:pPr>
      <w:r>
        <w:rPr>
          <w:rFonts w:ascii="Cambria" w:hAnsi="Cambria"/>
          <w:sz w:val="16"/>
          <w:szCs w:val="16"/>
          <w:lang w:val="es-ES"/>
        </w:rPr>
        <w:tab/>
      </w:r>
      <w:r w:rsidR="00761066" w:rsidRPr="00DD061E">
        <w:rPr>
          <w:rStyle w:val="FootnoteReference"/>
          <w:rFonts w:ascii="Cambria" w:hAnsi="Cambria"/>
          <w:sz w:val="16"/>
          <w:szCs w:val="16"/>
        </w:rPr>
        <w:footnoteRef/>
      </w:r>
      <w:r w:rsidR="00761066" w:rsidRPr="00DD061E">
        <w:rPr>
          <w:rFonts w:ascii="Cambria" w:hAnsi="Cambria"/>
          <w:sz w:val="16"/>
          <w:szCs w:val="16"/>
          <w:lang w:val="es-ES"/>
        </w:rPr>
        <w:t xml:space="preserve"> En adelante “la Convención Americana” o “la Convención”.</w:t>
      </w:r>
    </w:p>
  </w:footnote>
  <w:footnote w:id="3">
    <w:p w14:paraId="40DF6AE5" w14:textId="24315663" w:rsidR="007C0345" w:rsidRPr="007C0345" w:rsidRDefault="007E08B8" w:rsidP="00D51877">
      <w:pPr>
        <w:pStyle w:val="FootnoteText"/>
        <w:jc w:val="both"/>
        <w:rPr>
          <w:lang w:val="es-ES"/>
        </w:rPr>
      </w:pPr>
      <w:r>
        <w:rPr>
          <w:lang w:val="es-ES"/>
        </w:rPr>
        <w:tab/>
      </w:r>
      <w:r w:rsidR="007C0345">
        <w:rPr>
          <w:rStyle w:val="FootnoteReference"/>
        </w:rPr>
        <w:footnoteRef/>
      </w:r>
      <w:r w:rsidR="007C0345" w:rsidRPr="007C0345">
        <w:rPr>
          <w:lang w:val="es-ES"/>
        </w:rPr>
        <w:t xml:space="preserve"> </w:t>
      </w:r>
      <w:r w:rsidR="007C0345" w:rsidRPr="007C0345">
        <w:rPr>
          <w:rFonts w:asciiTheme="majorHAnsi" w:hAnsiTheme="majorHAnsi"/>
          <w:sz w:val="16"/>
          <w:szCs w:val="16"/>
          <w:lang w:val="es-ES"/>
        </w:rPr>
        <w:t>E</w:t>
      </w:r>
      <w:r w:rsidR="00E74A01">
        <w:rPr>
          <w:rFonts w:asciiTheme="majorHAnsi" w:hAnsiTheme="majorHAnsi"/>
          <w:sz w:val="16"/>
          <w:szCs w:val="16"/>
          <w:lang w:val="es-ES"/>
        </w:rPr>
        <w:t>n adelante, “Convención de Belém</w:t>
      </w:r>
      <w:r w:rsidR="007C0345" w:rsidRPr="007C0345">
        <w:rPr>
          <w:rFonts w:asciiTheme="majorHAnsi" w:hAnsiTheme="majorHAnsi"/>
          <w:sz w:val="16"/>
          <w:szCs w:val="16"/>
          <w:lang w:val="es-ES"/>
        </w:rPr>
        <w:t xml:space="preserve"> do Pará”.</w:t>
      </w:r>
    </w:p>
  </w:footnote>
  <w:footnote w:id="4">
    <w:p w14:paraId="79F07139" w14:textId="7C836362" w:rsidR="008E3BFE" w:rsidRPr="00DD061E" w:rsidRDefault="007E08B8" w:rsidP="00D51877">
      <w:pPr>
        <w:pStyle w:val="FootnoteText"/>
        <w:jc w:val="both"/>
        <w:rPr>
          <w:rFonts w:ascii="Cambria" w:hAnsi="Cambria"/>
          <w:sz w:val="16"/>
          <w:szCs w:val="16"/>
          <w:lang w:val="es-ES"/>
        </w:rPr>
      </w:pPr>
      <w:r>
        <w:rPr>
          <w:rFonts w:ascii="Cambria" w:hAnsi="Cambria"/>
          <w:sz w:val="16"/>
          <w:szCs w:val="16"/>
          <w:lang w:val="es-ES"/>
        </w:rPr>
        <w:tab/>
      </w:r>
      <w:r w:rsidR="008E3BFE" w:rsidRPr="00DD061E">
        <w:rPr>
          <w:rStyle w:val="FootnoteReference"/>
          <w:rFonts w:ascii="Cambria" w:hAnsi="Cambria"/>
          <w:sz w:val="16"/>
          <w:szCs w:val="16"/>
        </w:rPr>
        <w:footnoteRef/>
      </w:r>
      <w:r w:rsidR="008E3BFE" w:rsidRPr="00DD061E">
        <w:rPr>
          <w:rFonts w:ascii="Cambria" w:hAnsi="Cambria"/>
          <w:sz w:val="16"/>
          <w:szCs w:val="16"/>
          <w:lang w:val="es-ES"/>
        </w:rPr>
        <w:t xml:space="preserve"> Las observaciones de cada parte fueron debidamente trasladadas a la parte contraria.</w:t>
      </w:r>
    </w:p>
  </w:footnote>
  <w:footnote w:id="5">
    <w:p w14:paraId="096FE850" w14:textId="707BD1AD" w:rsidR="00A81FA5" w:rsidRPr="00A81FA5" w:rsidRDefault="007E08B8" w:rsidP="00D51877">
      <w:pPr>
        <w:pStyle w:val="FootnoteText"/>
        <w:jc w:val="both"/>
        <w:rPr>
          <w:lang w:val="es-ES"/>
        </w:rPr>
      </w:pPr>
      <w:r>
        <w:rPr>
          <w:lang w:val="es-ES"/>
        </w:rPr>
        <w:tab/>
      </w:r>
      <w:r w:rsidR="00A81FA5">
        <w:rPr>
          <w:rStyle w:val="FootnoteReference"/>
        </w:rPr>
        <w:footnoteRef/>
      </w:r>
      <w:r w:rsidR="00A81FA5" w:rsidRPr="00A81FA5">
        <w:rPr>
          <w:lang w:val="es-ES"/>
        </w:rPr>
        <w:t xml:space="preserve"> </w:t>
      </w:r>
      <w:r w:rsidR="00A81FA5" w:rsidRPr="005945C5">
        <w:rPr>
          <w:rFonts w:asciiTheme="majorHAnsi" w:hAnsiTheme="majorHAnsi"/>
          <w:sz w:val="16"/>
          <w:szCs w:val="16"/>
          <w:lang w:val="es-ES"/>
        </w:rPr>
        <w:t xml:space="preserve">Los peticionarios señalan que </w:t>
      </w:r>
      <w:r w:rsidR="00A81FA5" w:rsidRPr="00C5496F">
        <w:rPr>
          <w:rFonts w:asciiTheme="majorHAnsi" w:hAnsiTheme="majorHAnsi"/>
          <w:sz w:val="16"/>
          <w:szCs w:val="16"/>
          <w:lang w:val="es-ES"/>
        </w:rPr>
        <w:t xml:space="preserve">el </w:t>
      </w:r>
      <w:r w:rsidR="00C5496F" w:rsidRPr="00C5496F">
        <w:rPr>
          <w:rFonts w:asciiTheme="majorHAnsi" w:hAnsiTheme="majorHAnsi"/>
          <w:sz w:val="16"/>
          <w:szCs w:val="16"/>
          <w:lang w:val="es-ES"/>
        </w:rPr>
        <w:t xml:space="preserve">4 de abril del 2000, </w:t>
      </w:r>
      <w:r w:rsidR="00A81FA5" w:rsidRPr="00C5496F">
        <w:rPr>
          <w:rFonts w:asciiTheme="majorHAnsi" w:hAnsiTheme="majorHAnsi"/>
          <w:sz w:val="16"/>
          <w:szCs w:val="16"/>
          <w:lang w:val="es-ES"/>
        </w:rPr>
        <w:t>el Dr.</w:t>
      </w:r>
      <w:r w:rsidR="00A81FA5" w:rsidRPr="005945C5">
        <w:rPr>
          <w:rFonts w:asciiTheme="majorHAnsi" w:hAnsiTheme="majorHAnsi"/>
          <w:sz w:val="16"/>
          <w:szCs w:val="16"/>
          <w:lang w:val="es-ES"/>
        </w:rPr>
        <w:t xml:space="preserve"> </w:t>
      </w:r>
      <w:proofErr w:type="spellStart"/>
      <w:r w:rsidR="00A81FA5" w:rsidRPr="005945C5">
        <w:rPr>
          <w:rFonts w:asciiTheme="majorHAnsi" w:hAnsiTheme="majorHAnsi"/>
          <w:sz w:val="16"/>
          <w:szCs w:val="16"/>
          <w:lang w:val="es-ES"/>
        </w:rPr>
        <w:t>Sagárnaga</w:t>
      </w:r>
      <w:proofErr w:type="spellEnd"/>
      <w:r w:rsidR="00A81FA5" w:rsidRPr="005945C5">
        <w:rPr>
          <w:rFonts w:asciiTheme="majorHAnsi" w:hAnsiTheme="majorHAnsi"/>
          <w:sz w:val="16"/>
          <w:szCs w:val="16"/>
          <w:lang w:val="es-ES"/>
        </w:rPr>
        <w:t xml:space="preserve">, apareció muerto con signos de suicidio, y dejando una nota póstuma </w:t>
      </w:r>
      <w:r w:rsidR="005945C5" w:rsidRPr="005945C5">
        <w:rPr>
          <w:rFonts w:asciiTheme="majorHAnsi" w:hAnsiTheme="majorHAnsi"/>
          <w:sz w:val="16"/>
          <w:szCs w:val="16"/>
          <w:lang w:val="es-ES"/>
        </w:rPr>
        <w:t>que establecía que el hecho de no haber diseccionado el cráneo se debió a las presiones en el caso.</w:t>
      </w:r>
    </w:p>
  </w:footnote>
  <w:footnote w:id="6">
    <w:p w14:paraId="1D10A7C5" w14:textId="6E1396D7" w:rsidR="00B05C86" w:rsidRPr="00B05C86" w:rsidRDefault="007E08B8" w:rsidP="00D51877">
      <w:pPr>
        <w:pStyle w:val="FootnoteText"/>
        <w:jc w:val="both"/>
        <w:rPr>
          <w:rFonts w:asciiTheme="majorHAnsi" w:hAnsiTheme="majorHAnsi"/>
          <w:sz w:val="16"/>
          <w:szCs w:val="16"/>
          <w:lang w:val="es-ES"/>
        </w:rPr>
      </w:pPr>
      <w:r>
        <w:rPr>
          <w:rFonts w:asciiTheme="majorHAnsi" w:hAnsiTheme="majorHAnsi"/>
          <w:sz w:val="16"/>
          <w:szCs w:val="16"/>
          <w:lang w:val="es-ES"/>
        </w:rPr>
        <w:tab/>
      </w:r>
      <w:r w:rsidR="00B05C86" w:rsidRPr="00B05C86">
        <w:rPr>
          <w:rStyle w:val="FootnoteReference"/>
          <w:rFonts w:asciiTheme="majorHAnsi" w:hAnsiTheme="majorHAnsi"/>
          <w:sz w:val="16"/>
          <w:szCs w:val="16"/>
        </w:rPr>
        <w:footnoteRef/>
      </w:r>
      <w:r w:rsidR="00B05C86" w:rsidRPr="00B05C86">
        <w:rPr>
          <w:rFonts w:asciiTheme="majorHAnsi" w:hAnsiTheme="majorHAnsi"/>
          <w:sz w:val="16"/>
          <w:szCs w:val="16"/>
          <w:lang w:val="es-ES"/>
        </w:rPr>
        <w:t xml:space="preserve"> Yerno de una de las porteras de la escuela.</w:t>
      </w:r>
    </w:p>
  </w:footnote>
  <w:footnote w:id="7">
    <w:p w14:paraId="2BC42972" w14:textId="0EB4E198" w:rsidR="00B02D7E" w:rsidRPr="00B02D7E" w:rsidRDefault="007E08B8" w:rsidP="00D51877">
      <w:pPr>
        <w:pStyle w:val="FootnoteText"/>
        <w:jc w:val="both"/>
        <w:rPr>
          <w:rFonts w:asciiTheme="majorHAnsi" w:hAnsiTheme="majorHAnsi"/>
          <w:sz w:val="16"/>
          <w:szCs w:val="16"/>
          <w:lang w:val="es-AR"/>
        </w:rPr>
      </w:pPr>
      <w:r>
        <w:rPr>
          <w:rFonts w:asciiTheme="majorHAnsi" w:hAnsiTheme="majorHAnsi"/>
          <w:sz w:val="16"/>
          <w:szCs w:val="16"/>
          <w:lang w:val="es-AR"/>
        </w:rPr>
        <w:tab/>
      </w:r>
      <w:r w:rsidR="00B02D7E" w:rsidRPr="00B02D7E">
        <w:rPr>
          <w:rStyle w:val="FootnoteReference"/>
          <w:rFonts w:asciiTheme="majorHAnsi" w:hAnsiTheme="majorHAnsi"/>
          <w:sz w:val="16"/>
          <w:szCs w:val="16"/>
        </w:rPr>
        <w:footnoteRef/>
      </w:r>
      <w:r w:rsidR="00B02D7E" w:rsidRPr="00B02D7E">
        <w:rPr>
          <w:rFonts w:asciiTheme="majorHAnsi" w:hAnsiTheme="majorHAnsi"/>
          <w:sz w:val="16"/>
          <w:szCs w:val="16"/>
          <w:lang w:val="es-AR"/>
        </w:rPr>
        <w:t xml:space="preserve"> M.U.U</w:t>
      </w:r>
      <w:r w:rsidR="003B45B4">
        <w:rPr>
          <w:rFonts w:asciiTheme="majorHAnsi" w:hAnsiTheme="majorHAnsi"/>
          <w:sz w:val="16"/>
          <w:szCs w:val="16"/>
          <w:lang w:val="es-AR"/>
        </w:rPr>
        <w:t>.</w:t>
      </w:r>
      <w:r w:rsidR="00B02D7E" w:rsidRPr="00B02D7E">
        <w:rPr>
          <w:rFonts w:asciiTheme="majorHAnsi" w:hAnsiTheme="majorHAnsi"/>
          <w:sz w:val="16"/>
          <w:szCs w:val="16"/>
          <w:lang w:val="es-AR"/>
        </w:rPr>
        <w:t xml:space="preserve"> y B.P</w:t>
      </w:r>
      <w:r w:rsidR="003B45B4">
        <w:rPr>
          <w:rFonts w:asciiTheme="majorHAnsi" w:hAnsiTheme="majorHAnsi"/>
          <w:sz w:val="16"/>
          <w:szCs w:val="16"/>
          <w:lang w:val="es-AR"/>
        </w:rPr>
        <w:t>.</w:t>
      </w:r>
      <w:r w:rsidR="00B02D7E" w:rsidRPr="00B02D7E">
        <w:rPr>
          <w:rFonts w:asciiTheme="majorHAnsi" w:hAnsiTheme="majorHAnsi"/>
          <w:sz w:val="16"/>
          <w:szCs w:val="16"/>
          <w:lang w:val="es-AR"/>
        </w:rPr>
        <w:t xml:space="preserve"> eran porteras del colegio donde asistía la</w:t>
      </w:r>
      <w:r w:rsidR="00535FF4">
        <w:rPr>
          <w:rFonts w:asciiTheme="majorHAnsi" w:hAnsiTheme="majorHAnsi"/>
          <w:sz w:val="16"/>
          <w:szCs w:val="16"/>
          <w:lang w:val="es-AR"/>
        </w:rPr>
        <w:t xml:space="preserve"> presunta víctima</w:t>
      </w:r>
      <w:r w:rsidR="00B02D7E" w:rsidRPr="00B02D7E">
        <w:rPr>
          <w:rFonts w:asciiTheme="majorHAnsi" w:hAnsiTheme="majorHAnsi"/>
          <w:sz w:val="16"/>
          <w:szCs w:val="16"/>
          <w:lang w:val="es-AR"/>
        </w:rPr>
        <w:t>.</w:t>
      </w:r>
    </w:p>
  </w:footnote>
  <w:footnote w:id="8">
    <w:p w14:paraId="6EF69ED1" w14:textId="57D61F77" w:rsidR="00B02D7E" w:rsidRPr="00B02D7E" w:rsidRDefault="007E08B8" w:rsidP="00D51877">
      <w:pPr>
        <w:pStyle w:val="FootnoteText"/>
        <w:jc w:val="both"/>
        <w:rPr>
          <w:rFonts w:asciiTheme="majorHAnsi" w:hAnsiTheme="majorHAnsi"/>
          <w:sz w:val="16"/>
          <w:szCs w:val="16"/>
          <w:lang w:val="es-AR"/>
        </w:rPr>
      </w:pPr>
      <w:r>
        <w:rPr>
          <w:rFonts w:asciiTheme="majorHAnsi" w:hAnsiTheme="majorHAnsi"/>
          <w:sz w:val="16"/>
          <w:szCs w:val="16"/>
          <w:lang w:val="es-AR"/>
        </w:rPr>
        <w:tab/>
      </w:r>
      <w:r w:rsidR="00B02D7E" w:rsidRPr="00B02D7E">
        <w:rPr>
          <w:rStyle w:val="FootnoteReference"/>
          <w:rFonts w:asciiTheme="majorHAnsi" w:hAnsiTheme="majorHAnsi"/>
          <w:sz w:val="16"/>
          <w:szCs w:val="16"/>
        </w:rPr>
        <w:footnoteRef/>
      </w:r>
      <w:r w:rsidR="00B02D7E" w:rsidRPr="00B02D7E">
        <w:rPr>
          <w:rFonts w:asciiTheme="majorHAnsi" w:hAnsiTheme="majorHAnsi"/>
          <w:sz w:val="16"/>
          <w:szCs w:val="16"/>
          <w:lang w:val="es-AR"/>
        </w:rPr>
        <w:t xml:space="preserve"> M.R.V.V</w:t>
      </w:r>
      <w:r w:rsidR="003B45B4">
        <w:rPr>
          <w:rFonts w:asciiTheme="majorHAnsi" w:hAnsiTheme="majorHAnsi"/>
          <w:sz w:val="16"/>
          <w:szCs w:val="16"/>
          <w:lang w:val="es-AR"/>
        </w:rPr>
        <w:t>.</w:t>
      </w:r>
      <w:r w:rsidR="00B02D7E" w:rsidRPr="00B02D7E">
        <w:rPr>
          <w:rFonts w:asciiTheme="majorHAnsi" w:hAnsiTheme="majorHAnsi"/>
          <w:sz w:val="16"/>
          <w:szCs w:val="16"/>
          <w:lang w:val="es-AR"/>
        </w:rPr>
        <w:t xml:space="preserve"> era directora d</w:t>
      </w:r>
      <w:r w:rsidR="00C5496F">
        <w:rPr>
          <w:rFonts w:asciiTheme="majorHAnsi" w:hAnsiTheme="majorHAnsi"/>
          <w:sz w:val="16"/>
          <w:szCs w:val="16"/>
          <w:lang w:val="es-AR"/>
        </w:rPr>
        <w:t>el</w:t>
      </w:r>
      <w:r w:rsidR="007238A0">
        <w:rPr>
          <w:rFonts w:asciiTheme="majorHAnsi" w:hAnsiTheme="majorHAnsi"/>
          <w:sz w:val="16"/>
          <w:szCs w:val="16"/>
          <w:lang w:val="es-AR"/>
        </w:rPr>
        <w:t xml:space="preserve"> citado</w:t>
      </w:r>
      <w:r w:rsidR="00C5496F">
        <w:rPr>
          <w:rFonts w:asciiTheme="majorHAnsi" w:hAnsiTheme="majorHAnsi"/>
          <w:sz w:val="16"/>
          <w:szCs w:val="16"/>
          <w:lang w:val="es-AR"/>
        </w:rPr>
        <w:t xml:space="preserve"> colegio</w:t>
      </w:r>
      <w:r w:rsidR="00B02D7E" w:rsidRPr="00B02D7E">
        <w:rPr>
          <w:rFonts w:asciiTheme="majorHAnsi" w:hAnsiTheme="majorHAnsi"/>
          <w:sz w:val="16"/>
          <w:szCs w:val="16"/>
          <w:lang w:val="es-AR"/>
        </w:rPr>
        <w:t>.</w:t>
      </w:r>
    </w:p>
  </w:footnote>
  <w:footnote w:id="9">
    <w:p w14:paraId="5C85B2FB" w14:textId="21D8ADC8" w:rsidR="00B02D7E" w:rsidRPr="00B02D7E" w:rsidRDefault="007E08B8" w:rsidP="00D51877">
      <w:pPr>
        <w:pStyle w:val="FootnoteText"/>
        <w:jc w:val="both"/>
        <w:rPr>
          <w:lang w:val="es-AR"/>
        </w:rPr>
      </w:pPr>
      <w:r>
        <w:rPr>
          <w:rFonts w:asciiTheme="majorHAnsi" w:hAnsiTheme="majorHAnsi"/>
          <w:sz w:val="16"/>
          <w:szCs w:val="16"/>
          <w:lang w:val="es-AR"/>
        </w:rPr>
        <w:tab/>
      </w:r>
      <w:r w:rsidR="00B02D7E" w:rsidRPr="00B02D7E">
        <w:rPr>
          <w:rStyle w:val="FootnoteReference"/>
          <w:rFonts w:asciiTheme="majorHAnsi" w:hAnsiTheme="majorHAnsi"/>
          <w:sz w:val="16"/>
          <w:szCs w:val="16"/>
        </w:rPr>
        <w:footnoteRef/>
      </w:r>
      <w:r w:rsidR="00B02D7E" w:rsidRPr="00B02D7E">
        <w:rPr>
          <w:rFonts w:asciiTheme="majorHAnsi" w:hAnsiTheme="majorHAnsi"/>
          <w:sz w:val="16"/>
          <w:szCs w:val="16"/>
          <w:lang w:val="es-AR"/>
        </w:rPr>
        <w:t xml:space="preserve"> A.L.R</w:t>
      </w:r>
      <w:r w:rsidR="003B45B4">
        <w:rPr>
          <w:rFonts w:asciiTheme="majorHAnsi" w:hAnsiTheme="majorHAnsi"/>
          <w:sz w:val="16"/>
          <w:szCs w:val="16"/>
          <w:lang w:val="es-AR"/>
        </w:rPr>
        <w:t>.</w:t>
      </w:r>
      <w:r w:rsidR="00B02D7E" w:rsidRPr="00B02D7E">
        <w:rPr>
          <w:rFonts w:asciiTheme="majorHAnsi" w:hAnsiTheme="majorHAnsi"/>
          <w:sz w:val="16"/>
          <w:szCs w:val="16"/>
          <w:lang w:val="es-AR"/>
        </w:rPr>
        <w:t xml:space="preserve"> era la profesora de la </w:t>
      </w:r>
      <w:r w:rsidR="003B45B4">
        <w:rPr>
          <w:rFonts w:asciiTheme="majorHAnsi" w:hAnsiTheme="majorHAnsi"/>
          <w:sz w:val="16"/>
          <w:szCs w:val="16"/>
          <w:lang w:val="es-AR"/>
        </w:rPr>
        <w:t>presunta víctima</w:t>
      </w:r>
      <w:r w:rsidR="00B02D7E" w:rsidRPr="00B02D7E">
        <w:rPr>
          <w:rFonts w:asciiTheme="majorHAnsi" w:hAnsiTheme="majorHAnsi"/>
          <w:sz w:val="16"/>
          <w:szCs w:val="16"/>
          <w:lang w:val="es-AR"/>
        </w:rPr>
        <w:t xml:space="preserve"> al momento de su desaparición.</w:t>
      </w:r>
      <w:r w:rsidR="00B02D7E" w:rsidRPr="00B02D7E">
        <w:rPr>
          <w:lang w:val="es-AR"/>
        </w:rPr>
        <w:t xml:space="preserve"> </w:t>
      </w:r>
    </w:p>
  </w:footnote>
  <w:footnote w:id="10">
    <w:p w14:paraId="3848A843" w14:textId="13819354" w:rsidR="00542D2D" w:rsidRPr="00D51877" w:rsidRDefault="007E08B8" w:rsidP="00D51877">
      <w:pPr>
        <w:pStyle w:val="FootnoteText"/>
        <w:jc w:val="both"/>
        <w:rPr>
          <w:rFonts w:asciiTheme="majorHAnsi" w:hAnsiTheme="majorHAnsi"/>
          <w:sz w:val="16"/>
          <w:szCs w:val="16"/>
          <w:lang w:val="es-BO"/>
        </w:rPr>
      </w:pPr>
      <w:r>
        <w:rPr>
          <w:rFonts w:asciiTheme="majorHAnsi" w:hAnsiTheme="majorHAnsi"/>
          <w:sz w:val="16"/>
          <w:szCs w:val="16"/>
          <w:lang w:val="es-ES"/>
        </w:rPr>
        <w:tab/>
      </w:r>
      <w:r w:rsidR="00542D2D" w:rsidRPr="00D51877">
        <w:rPr>
          <w:rStyle w:val="FootnoteReference"/>
          <w:rFonts w:asciiTheme="majorHAnsi" w:hAnsiTheme="majorHAnsi"/>
          <w:sz w:val="16"/>
          <w:szCs w:val="16"/>
        </w:rPr>
        <w:footnoteRef/>
      </w:r>
      <w:r w:rsidR="00542D2D" w:rsidRPr="00D51877">
        <w:rPr>
          <w:rFonts w:asciiTheme="majorHAnsi" w:hAnsiTheme="majorHAnsi"/>
          <w:sz w:val="16"/>
          <w:szCs w:val="16"/>
          <w:lang w:val="es-ES"/>
        </w:rPr>
        <w:t xml:space="preserve"> CIDH, Informe No. 15/15, Petición 374-05. Trabajadores del Sindicato de Trabajadores de la Federación Nacional de Cafeteros de Colombia. Colombia. 24 de marzo de 2015, párr. 41. Véase en conformidad, Corte IDH, Caso Wong Ho </w:t>
      </w:r>
      <w:proofErr w:type="spellStart"/>
      <w:r w:rsidR="00542D2D" w:rsidRPr="00D51877">
        <w:rPr>
          <w:rFonts w:asciiTheme="majorHAnsi" w:hAnsiTheme="majorHAnsi"/>
          <w:sz w:val="16"/>
          <w:szCs w:val="16"/>
          <w:lang w:val="es-ES"/>
        </w:rPr>
        <w:t>Wing</w:t>
      </w:r>
      <w:proofErr w:type="spellEnd"/>
      <w:r w:rsidR="00542D2D" w:rsidRPr="00D51877">
        <w:rPr>
          <w:rFonts w:asciiTheme="majorHAnsi" w:hAnsiTheme="majorHAnsi"/>
          <w:sz w:val="16"/>
          <w:szCs w:val="16"/>
          <w:lang w:val="es-ES"/>
        </w:rPr>
        <w:t xml:space="preserve"> vs, Perú. Excepción Preliminar, Fondo, Reparaciones y Costas. Sentencia de 30 de junio de 2015. Serie C No. 297, párr. 25-28</w:t>
      </w:r>
    </w:p>
  </w:footnote>
  <w:footnote w:id="11">
    <w:p w14:paraId="31BD13D6" w14:textId="3D6AF632" w:rsidR="00174A5F" w:rsidRPr="00D51877" w:rsidRDefault="007E08B8" w:rsidP="00D51877">
      <w:pPr>
        <w:pStyle w:val="FootnoteText"/>
        <w:jc w:val="both"/>
        <w:rPr>
          <w:rFonts w:asciiTheme="majorHAnsi" w:hAnsiTheme="majorHAnsi"/>
          <w:sz w:val="16"/>
          <w:szCs w:val="16"/>
          <w:lang w:val="es-ES"/>
        </w:rPr>
      </w:pPr>
      <w:r>
        <w:rPr>
          <w:rFonts w:asciiTheme="majorHAnsi" w:hAnsiTheme="majorHAnsi"/>
          <w:sz w:val="16"/>
          <w:szCs w:val="16"/>
          <w:lang w:val="es-ES"/>
        </w:rPr>
        <w:tab/>
      </w:r>
      <w:r w:rsidR="00174A5F" w:rsidRPr="00D51877">
        <w:rPr>
          <w:rStyle w:val="FootnoteReference"/>
          <w:rFonts w:asciiTheme="majorHAnsi" w:hAnsiTheme="majorHAnsi"/>
          <w:sz w:val="16"/>
          <w:szCs w:val="16"/>
        </w:rPr>
        <w:footnoteRef/>
      </w:r>
      <w:r w:rsidR="00174A5F" w:rsidRPr="00D51877">
        <w:rPr>
          <w:rFonts w:asciiTheme="majorHAnsi" w:hAnsiTheme="majorHAnsi"/>
          <w:sz w:val="16"/>
          <w:szCs w:val="16"/>
          <w:lang w:val="es-ES"/>
        </w:rPr>
        <w:t xml:space="preserve"> </w:t>
      </w:r>
      <w:r w:rsidR="00174A5F" w:rsidRPr="00D51877">
        <w:rPr>
          <w:rFonts w:asciiTheme="majorHAnsi" w:hAnsiTheme="majorHAnsi"/>
          <w:sz w:val="16"/>
          <w:szCs w:val="16"/>
          <w:lang w:val="es-ES_tradnl"/>
        </w:rPr>
        <w:t xml:space="preserve">CIDH, Informe No. 33/15, Petición 11.754. Admisibilidad. Pueblo </w:t>
      </w:r>
      <w:proofErr w:type="spellStart"/>
      <w:r w:rsidR="00174A5F" w:rsidRPr="00D51877">
        <w:rPr>
          <w:rFonts w:asciiTheme="majorHAnsi" w:hAnsiTheme="majorHAnsi"/>
          <w:sz w:val="16"/>
          <w:szCs w:val="16"/>
          <w:lang w:val="es-ES_tradnl"/>
        </w:rPr>
        <w:t>U'wa</w:t>
      </w:r>
      <w:proofErr w:type="spellEnd"/>
      <w:r w:rsidR="00174A5F" w:rsidRPr="00D51877">
        <w:rPr>
          <w:rFonts w:asciiTheme="majorHAnsi" w:hAnsiTheme="majorHAnsi"/>
          <w:sz w:val="16"/>
          <w:szCs w:val="16"/>
          <w:lang w:val="es-ES_tradnl"/>
        </w:rPr>
        <w:t>. Colombia. 22 de julio de 2015, párr. 42.</w:t>
      </w:r>
    </w:p>
  </w:footnote>
  <w:footnote w:id="12">
    <w:p w14:paraId="5CCB54E0" w14:textId="0B55DE1A" w:rsidR="00D51877" w:rsidRPr="00D51877" w:rsidRDefault="007E08B8" w:rsidP="00D51877">
      <w:pPr>
        <w:pStyle w:val="FootnoteText"/>
        <w:jc w:val="both"/>
        <w:rPr>
          <w:lang w:val="es-BO"/>
        </w:rPr>
      </w:pPr>
      <w:r>
        <w:rPr>
          <w:rFonts w:asciiTheme="majorHAnsi" w:hAnsiTheme="majorHAnsi"/>
          <w:sz w:val="16"/>
          <w:szCs w:val="16"/>
          <w:lang w:val="es-ES"/>
        </w:rPr>
        <w:tab/>
      </w:r>
      <w:r w:rsidR="00D51877" w:rsidRPr="00D51877">
        <w:rPr>
          <w:rStyle w:val="FootnoteReference"/>
          <w:rFonts w:asciiTheme="majorHAnsi" w:hAnsiTheme="majorHAnsi"/>
          <w:sz w:val="16"/>
          <w:szCs w:val="16"/>
        </w:rPr>
        <w:footnoteRef/>
      </w:r>
      <w:r w:rsidR="00D51877" w:rsidRPr="00D51877">
        <w:rPr>
          <w:rFonts w:asciiTheme="majorHAnsi" w:hAnsiTheme="majorHAnsi"/>
          <w:sz w:val="16"/>
          <w:szCs w:val="16"/>
          <w:lang w:val="es-ES"/>
        </w:rPr>
        <w:t xml:space="preserve"> CIDH, Informe No. 110/18, Caso 12.678 Fondo. Paola del Rosario Albarracín Guzmán y familiares. </w:t>
      </w:r>
      <w:r w:rsidR="00D51877" w:rsidRPr="00D51877">
        <w:rPr>
          <w:rFonts w:asciiTheme="majorHAnsi" w:hAnsiTheme="majorHAnsi"/>
          <w:sz w:val="16"/>
          <w:szCs w:val="16"/>
        </w:rPr>
        <w:t xml:space="preserve">5 de </w:t>
      </w:r>
      <w:proofErr w:type="spellStart"/>
      <w:r w:rsidR="00D51877" w:rsidRPr="00D51877">
        <w:rPr>
          <w:rFonts w:asciiTheme="majorHAnsi" w:hAnsiTheme="majorHAnsi"/>
          <w:sz w:val="16"/>
          <w:szCs w:val="16"/>
        </w:rPr>
        <w:t>octubre</w:t>
      </w:r>
      <w:proofErr w:type="spellEnd"/>
      <w:r w:rsidR="00D51877" w:rsidRPr="00D51877">
        <w:rPr>
          <w:rFonts w:asciiTheme="majorHAnsi" w:hAnsiTheme="majorHAnsi"/>
          <w:sz w:val="16"/>
          <w:szCs w:val="16"/>
        </w:rPr>
        <w:t xml:space="preserve"> de 2018, </w:t>
      </w:r>
      <w:proofErr w:type="spellStart"/>
      <w:r w:rsidR="00D51877" w:rsidRPr="00D51877">
        <w:rPr>
          <w:rFonts w:asciiTheme="majorHAnsi" w:hAnsiTheme="majorHAnsi"/>
          <w:sz w:val="16"/>
          <w:szCs w:val="16"/>
        </w:rPr>
        <w:t>párr</w:t>
      </w:r>
      <w:proofErr w:type="spellEnd"/>
      <w:r w:rsidR="00D51877" w:rsidRPr="00D51877">
        <w:rPr>
          <w:rFonts w:asciiTheme="majorHAnsi" w:hAnsiTheme="majorHAnsi"/>
          <w:sz w:val="16"/>
          <w:szCs w:val="16"/>
        </w:rPr>
        <w:t>.</w:t>
      </w:r>
      <w:r w:rsidR="00D51877" w:rsidRPr="00D51877">
        <w:rPr>
          <w:rFonts w:asciiTheme="majorHAnsi" w:hAnsiTheme="majorHAnsi"/>
          <w:sz w:val="16"/>
          <w:szCs w:val="16"/>
          <w:lang w:val="es-BO"/>
        </w:rPr>
        <w:t xml:space="preserve"> 119.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E60A5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1A66" w14:textId="77777777" w:rsidR="00E55186" w:rsidRDefault="00E551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07DBF"/>
    <w:rsid w:val="000104F5"/>
    <w:rsid w:val="000151D0"/>
    <w:rsid w:val="00015701"/>
    <w:rsid w:val="0001788C"/>
    <w:rsid w:val="0002186F"/>
    <w:rsid w:val="000337EF"/>
    <w:rsid w:val="00033F5B"/>
    <w:rsid w:val="00040C3A"/>
    <w:rsid w:val="000419AD"/>
    <w:rsid w:val="000503C9"/>
    <w:rsid w:val="00052D89"/>
    <w:rsid w:val="00054201"/>
    <w:rsid w:val="000716C5"/>
    <w:rsid w:val="00075E23"/>
    <w:rsid w:val="0009006E"/>
    <w:rsid w:val="0009344A"/>
    <w:rsid w:val="00095286"/>
    <w:rsid w:val="000A19F8"/>
    <w:rsid w:val="000A3254"/>
    <w:rsid w:val="000A392E"/>
    <w:rsid w:val="000A575F"/>
    <w:rsid w:val="000A63D0"/>
    <w:rsid w:val="000B0579"/>
    <w:rsid w:val="000B660A"/>
    <w:rsid w:val="000C0B68"/>
    <w:rsid w:val="000C1A8C"/>
    <w:rsid w:val="000C1C69"/>
    <w:rsid w:val="000C3A31"/>
    <w:rsid w:val="000D10DB"/>
    <w:rsid w:val="000E2789"/>
    <w:rsid w:val="000E5EB5"/>
    <w:rsid w:val="000F0144"/>
    <w:rsid w:val="000F3358"/>
    <w:rsid w:val="000F35ED"/>
    <w:rsid w:val="00107131"/>
    <w:rsid w:val="0010736F"/>
    <w:rsid w:val="00111A8A"/>
    <w:rsid w:val="00113F73"/>
    <w:rsid w:val="00121860"/>
    <w:rsid w:val="00121CC2"/>
    <w:rsid w:val="00131D8B"/>
    <w:rsid w:val="00133EE5"/>
    <w:rsid w:val="00136E3D"/>
    <w:rsid w:val="00143930"/>
    <w:rsid w:val="00143EFE"/>
    <w:rsid w:val="00144A50"/>
    <w:rsid w:val="001479C0"/>
    <w:rsid w:val="0015330B"/>
    <w:rsid w:val="00167A34"/>
    <w:rsid w:val="00174A5F"/>
    <w:rsid w:val="00176BB3"/>
    <w:rsid w:val="00177EEF"/>
    <w:rsid w:val="00192EF4"/>
    <w:rsid w:val="00195BAB"/>
    <w:rsid w:val="001A5485"/>
    <w:rsid w:val="001A7870"/>
    <w:rsid w:val="001B3069"/>
    <w:rsid w:val="001B3A00"/>
    <w:rsid w:val="001B4C00"/>
    <w:rsid w:val="001C1B41"/>
    <w:rsid w:val="001C5652"/>
    <w:rsid w:val="001C7089"/>
    <w:rsid w:val="001C7B61"/>
    <w:rsid w:val="001D65EF"/>
    <w:rsid w:val="001E49E7"/>
    <w:rsid w:val="001E7539"/>
    <w:rsid w:val="001F271B"/>
    <w:rsid w:val="001F7201"/>
    <w:rsid w:val="00204931"/>
    <w:rsid w:val="00206CCD"/>
    <w:rsid w:val="00222EA3"/>
    <w:rsid w:val="00223A29"/>
    <w:rsid w:val="00223D5A"/>
    <w:rsid w:val="00224414"/>
    <w:rsid w:val="002250A3"/>
    <w:rsid w:val="00231294"/>
    <w:rsid w:val="002326C3"/>
    <w:rsid w:val="00233749"/>
    <w:rsid w:val="00235217"/>
    <w:rsid w:val="002355A9"/>
    <w:rsid w:val="00241FB0"/>
    <w:rsid w:val="00246D1F"/>
    <w:rsid w:val="00247403"/>
    <w:rsid w:val="00247542"/>
    <w:rsid w:val="0026159D"/>
    <w:rsid w:val="00266B61"/>
    <w:rsid w:val="0026712A"/>
    <w:rsid w:val="002704DB"/>
    <w:rsid w:val="00277BDA"/>
    <w:rsid w:val="002818A2"/>
    <w:rsid w:val="00290A15"/>
    <w:rsid w:val="0029575A"/>
    <w:rsid w:val="002A0AAE"/>
    <w:rsid w:val="002A4E03"/>
    <w:rsid w:val="002A5820"/>
    <w:rsid w:val="002B342A"/>
    <w:rsid w:val="002C3350"/>
    <w:rsid w:val="002D2B26"/>
    <w:rsid w:val="002D7EA2"/>
    <w:rsid w:val="002E187C"/>
    <w:rsid w:val="002E7271"/>
    <w:rsid w:val="002E7512"/>
    <w:rsid w:val="002E76AC"/>
    <w:rsid w:val="002F3724"/>
    <w:rsid w:val="002F3E72"/>
    <w:rsid w:val="00302733"/>
    <w:rsid w:val="00307E35"/>
    <w:rsid w:val="00307FF2"/>
    <w:rsid w:val="00310274"/>
    <w:rsid w:val="003121D5"/>
    <w:rsid w:val="00314078"/>
    <w:rsid w:val="0031535D"/>
    <w:rsid w:val="00320A55"/>
    <w:rsid w:val="003239B8"/>
    <w:rsid w:val="00326686"/>
    <w:rsid w:val="0033169F"/>
    <w:rsid w:val="00341097"/>
    <w:rsid w:val="0034224A"/>
    <w:rsid w:val="00343438"/>
    <w:rsid w:val="00344977"/>
    <w:rsid w:val="00346C95"/>
    <w:rsid w:val="00351155"/>
    <w:rsid w:val="00355FAE"/>
    <w:rsid w:val="00356185"/>
    <w:rsid w:val="00360380"/>
    <w:rsid w:val="00370A7D"/>
    <w:rsid w:val="0037519E"/>
    <w:rsid w:val="003768FF"/>
    <w:rsid w:val="00386C6C"/>
    <w:rsid w:val="00386CF0"/>
    <w:rsid w:val="003942EC"/>
    <w:rsid w:val="003A4D6A"/>
    <w:rsid w:val="003A6337"/>
    <w:rsid w:val="003A7623"/>
    <w:rsid w:val="003B45B4"/>
    <w:rsid w:val="003B4FF6"/>
    <w:rsid w:val="003B55F2"/>
    <w:rsid w:val="003B70FB"/>
    <w:rsid w:val="003C0615"/>
    <w:rsid w:val="003C6112"/>
    <w:rsid w:val="003C676B"/>
    <w:rsid w:val="003D0A55"/>
    <w:rsid w:val="003D3BC2"/>
    <w:rsid w:val="003E614F"/>
    <w:rsid w:val="003E6CA1"/>
    <w:rsid w:val="00400B3D"/>
    <w:rsid w:val="004065A8"/>
    <w:rsid w:val="004153F5"/>
    <w:rsid w:val="004165C2"/>
    <w:rsid w:val="00422DB6"/>
    <w:rsid w:val="00424BDA"/>
    <w:rsid w:val="00426AC9"/>
    <w:rsid w:val="004304AD"/>
    <w:rsid w:val="004336B4"/>
    <w:rsid w:val="00441D98"/>
    <w:rsid w:val="00441ECB"/>
    <w:rsid w:val="00445193"/>
    <w:rsid w:val="00447CCF"/>
    <w:rsid w:val="0045512B"/>
    <w:rsid w:val="004556C2"/>
    <w:rsid w:val="004561BB"/>
    <w:rsid w:val="004565BA"/>
    <w:rsid w:val="00461842"/>
    <w:rsid w:val="00462C1B"/>
    <w:rsid w:val="00463BD0"/>
    <w:rsid w:val="0046524E"/>
    <w:rsid w:val="00467B7E"/>
    <w:rsid w:val="0047080D"/>
    <w:rsid w:val="0047085E"/>
    <w:rsid w:val="00473BB4"/>
    <w:rsid w:val="00475774"/>
    <w:rsid w:val="00476211"/>
    <w:rsid w:val="00477592"/>
    <w:rsid w:val="00486F1C"/>
    <w:rsid w:val="0049419D"/>
    <w:rsid w:val="004A59CC"/>
    <w:rsid w:val="004A6A54"/>
    <w:rsid w:val="004C20D2"/>
    <w:rsid w:val="004C2312"/>
    <w:rsid w:val="004C4B62"/>
    <w:rsid w:val="004C54C9"/>
    <w:rsid w:val="004C616A"/>
    <w:rsid w:val="004D0CB5"/>
    <w:rsid w:val="004D1805"/>
    <w:rsid w:val="004D4ABA"/>
    <w:rsid w:val="004D6025"/>
    <w:rsid w:val="004D6FF5"/>
    <w:rsid w:val="004E19B1"/>
    <w:rsid w:val="004E2649"/>
    <w:rsid w:val="004F06A1"/>
    <w:rsid w:val="004F784D"/>
    <w:rsid w:val="00501399"/>
    <w:rsid w:val="00501652"/>
    <w:rsid w:val="0050633D"/>
    <w:rsid w:val="00507BC4"/>
    <w:rsid w:val="005128E4"/>
    <w:rsid w:val="005133DB"/>
    <w:rsid w:val="00525560"/>
    <w:rsid w:val="00530EA5"/>
    <w:rsid w:val="005338F4"/>
    <w:rsid w:val="00535FF4"/>
    <w:rsid w:val="005414B3"/>
    <w:rsid w:val="005415E6"/>
    <w:rsid w:val="00542D2D"/>
    <w:rsid w:val="00544216"/>
    <w:rsid w:val="00544C49"/>
    <w:rsid w:val="0055112B"/>
    <w:rsid w:val="005516A1"/>
    <w:rsid w:val="0055424B"/>
    <w:rsid w:val="00563557"/>
    <w:rsid w:val="0057402A"/>
    <w:rsid w:val="00574CB7"/>
    <w:rsid w:val="00576D56"/>
    <w:rsid w:val="005771D0"/>
    <w:rsid w:val="00585466"/>
    <w:rsid w:val="0059191A"/>
    <w:rsid w:val="00591FD3"/>
    <w:rsid w:val="005921FF"/>
    <w:rsid w:val="005945C5"/>
    <w:rsid w:val="00594707"/>
    <w:rsid w:val="005971DB"/>
    <w:rsid w:val="005A24ED"/>
    <w:rsid w:val="005A5737"/>
    <w:rsid w:val="005A6D0E"/>
    <w:rsid w:val="005B37CC"/>
    <w:rsid w:val="005B52B0"/>
    <w:rsid w:val="005B6806"/>
    <w:rsid w:val="005B6D22"/>
    <w:rsid w:val="005C261A"/>
    <w:rsid w:val="005C4225"/>
    <w:rsid w:val="005C7989"/>
    <w:rsid w:val="005D21DE"/>
    <w:rsid w:val="005D66AD"/>
    <w:rsid w:val="005E0B65"/>
    <w:rsid w:val="005E11B2"/>
    <w:rsid w:val="005E1D2A"/>
    <w:rsid w:val="005E3522"/>
    <w:rsid w:val="005F0DAD"/>
    <w:rsid w:val="005F0F33"/>
    <w:rsid w:val="005F217B"/>
    <w:rsid w:val="00600DEB"/>
    <w:rsid w:val="006068B7"/>
    <w:rsid w:val="00607D61"/>
    <w:rsid w:val="00620188"/>
    <w:rsid w:val="006277DE"/>
    <w:rsid w:val="00627C9F"/>
    <w:rsid w:val="006311E9"/>
    <w:rsid w:val="00632354"/>
    <w:rsid w:val="00641F33"/>
    <w:rsid w:val="00642810"/>
    <w:rsid w:val="00647756"/>
    <w:rsid w:val="006509DA"/>
    <w:rsid w:val="006519A2"/>
    <w:rsid w:val="00652333"/>
    <w:rsid w:val="0066129C"/>
    <w:rsid w:val="006775AB"/>
    <w:rsid w:val="0068009E"/>
    <w:rsid w:val="006819E9"/>
    <w:rsid w:val="0068409F"/>
    <w:rsid w:val="00686471"/>
    <w:rsid w:val="0068794B"/>
    <w:rsid w:val="00691BBE"/>
    <w:rsid w:val="00692219"/>
    <w:rsid w:val="0069402E"/>
    <w:rsid w:val="006A17D2"/>
    <w:rsid w:val="006A629D"/>
    <w:rsid w:val="006A73E6"/>
    <w:rsid w:val="006B2D5C"/>
    <w:rsid w:val="006B2EE8"/>
    <w:rsid w:val="006C1E7B"/>
    <w:rsid w:val="006C4EB1"/>
    <w:rsid w:val="006D4BE2"/>
    <w:rsid w:val="006E0166"/>
    <w:rsid w:val="006E47C8"/>
    <w:rsid w:val="006E772A"/>
    <w:rsid w:val="006E7B34"/>
    <w:rsid w:val="006F1E55"/>
    <w:rsid w:val="006F2CA2"/>
    <w:rsid w:val="006F76D4"/>
    <w:rsid w:val="00702C01"/>
    <w:rsid w:val="0070697F"/>
    <w:rsid w:val="0072199C"/>
    <w:rsid w:val="00722C9F"/>
    <w:rsid w:val="007238A0"/>
    <w:rsid w:val="007253B8"/>
    <w:rsid w:val="00727B0E"/>
    <w:rsid w:val="0073598C"/>
    <w:rsid w:val="0073741F"/>
    <w:rsid w:val="007563E7"/>
    <w:rsid w:val="00761066"/>
    <w:rsid w:val="00763CF0"/>
    <w:rsid w:val="00764B60"/>
    <w:rsid w:val="0076643F"/>
    <w:rsid w:val="007750DA"/>
    <w:rsid w:val="00776FF7"/>
    <w:rsid w:val="00777F63"/>
    <w:rsid w:val="00783661"/>
    <w:rsid w:val="00784ABE"/>
    <w:rsid w:val="007852B5"/>
    <w:rsid w:val="00787111"/>
    <w:rsid w:val="00796A37"/>
    <w:rsid w:val="00797387"/>
    <w:rsid w:val="007A29A7"/>
    <w:rsid w:val="007A3E2A"/>
    <w:rsid w:val="007A5817"/>
    <w:rsid w:val="007A5846"/>
    <w:rsid w:val="007A74CF"/>
    <w:rsid w:val="007B05C4"/>
    <w:rsid w:val="007B4E24"/>
    <w:rsid w:val="007B60E9"/>
    <w:rsid w:val="007B6CC3"/>
    <w:rsid w:val="007C0345"/>
    <w:rsid w:val="007C3334"/>
    <w:rsid w:val="007C402A"/>
    <w:rsid w:val="007C6973"/>
    <w:rsid w:val="007D2B98"/>
    <w:rsid w:val="007D7C02"/>
    <w:rsid w:val="007E08B8"/>
    <w:rsid w:val="007E21BC"/>
    <w:rsid w:val="007E58FE"/>
    <w:rsid w:val="007E7C82"/>
    <w:rsid w:val="007F588D"/>
    <w:rsid w:val="007F7A09"/>
    <w:rsid w:val="00802748"/>
    <w:rsid w:val="00803F1C"/>
    <w:rsid w:val="0080600E"/>
    <w:rsid w:val="00816ED8"/>
    <w:rsid w:val="00817612"/>
    <w:rsid w:val="008215A6"/>
    <w:rsid w:val="008338A4"/>
    <w:rsid w:val="00834D49"/>
    <w:rsid w:val="00837C45"/>
    <w:rsid w:val="008411F0"/>
    <w:rsid w:val="008439BC"/>
    <w:rsid w:val="00844701"/>
    <w:rsid w:val="00844730"/>
    <w:rsid w:val="008457C2"/>
    <w:rsid w:val="008561F9"/>
    <w:rsid w:val="00857A82"/>
    <w:rsid w:val="00867D01"/>
    <w:rsid w:val="00871526"/>
    <w:rsid w:val="00873836"/>
    <w:rsid w:val="00873AB2"/>
    <w:rsid w:val="00875668"/>
    <w:rsid w:val="0087712D"/>
    <w:rsid w:val="00885737"/>
    <w:rsid w:val="00890650"/>
    <w:rsid w:val="008952BD"/>
    <w:rsid w:val="00897E12"/>
    <w:rsid w:val="008A0F81"/>
    <w:rsid w:val="008A20BA"/>
    <w:rsid w:val="008A216F"/>
    <w:rsid w:val="008A310C"/>
    <w:rsid w:val="008A70E3"/>
    <w:rsid w:val="008A79EA"/>
    <w:rsid w:val="008A7E0F"/>
    <w:rsid w:val="008B113D"/>
    <w:rsid w:val="008B12F5"/>
    <w:rsid w:val="008B42F0"/>
    <w:rsid w:val="008B4AAA"/>
    <w:rsid w:val="008B5932"/>
    <w:rsid w:val="008B5A87"/>
    <w:rsid w:val="008C5751"/>
    <w:rsid w:val="008D526D"/>
    <w:rsid w:val="008D768D"/>
    <w:rsid w:val="008E0FD8"/>
    <w:rsid w:val="008E181A"/>
    <w:rsid w:val="008E328A"/>
    <w:rsid w:val="008E3759"/>
    <w:rsid w:val="008E3BFE"/>
    <w:rsid w:val="008E7900"/>
    <w:rsid w:val="008F1912"/>
    <w:rsid w:val="0090270B"/>
    <w:rsid w:val="0090341C"/>
    <w:rsid w:val="009041DC"/>
    <w:rsid w:val="00905A3F"/>
    <w:rsid w:val="00906429"/>
    <w:rsid w:val="00917B5A"/>
    <w:rsid w:val="00920A58"/>
    <w:rsid w:val="00920A8C"/>
    <w:rsid w:val="00926D20"/>
    <w:rsid w:val="00934A2C"/>
    <w:rsid w:val="0093551E"/>
    <w:rsid w:val="00935F06"/>
    <w:rsid w:val="00937B3A"/>
    <w:rsid w:val="009432C2"/>
    <w:rsid w:val="00954B82"/>
    <w:rsid w:val="00957000"/>
    <w:rsid w:val="00962436"/>
    <w:rsid w:val="0096706E"/>
    <w:rsid w:val="00967893"/>
    <w:rsid w:val="00974491"/>
    <w:rsid w:val="00975C4E"/>
    <w:rsid w:val="00981FBA"/>
    <w:rsid w:val="00982054"/>
    <w:rsid w:val="00984122"/>
    <w:rsid w:val="00995A35"/>
    <w:rsid w:val="00997459"/>
    <w:rsid w:val="00997BC5"/>
    <w:rsid w:val="009A4F41"/>
    <w:rsid w:val="009A6001"/>
    <w:rsid w:val="009A7783"/>
    <w:rsid w:val="009B01B5"/>
    <w:rsid w:val="009B381B"/>
    <w:rsid w:val="009C2369"/>
    <w:rsid w:val="009C2FC5"/>
    <w:rsid w:val="009D1753"/>
    <w:rsid w:val="009D6502"/>
    <w:rsid w:val="009D7611"/>
    <w:rsid w:val="009D78A5"/>
    <w:rsid w:val="009E08DD"/>
    <w:rsid w:val="009E0B61"/>
    <w:rsid w:val="009E1E02"/>
    <w:rsid w:val="009E53DE"/>
    <w:rsid w:val="009E7C00"/>
    <w:rsid w:val="009F7BD4"/>
    <w:rsid w:val="00A055B2"/>
    <w:rsid w:val="00A0691C"/>
    <w:rsid w:val="00A10409"/>
    <w:rsid w:val="00A11881"/>
    <w:rsid w:val="00A11E44"/>
    <w:rsid w:val="00A154C8"/>
    <w:rsid w:val="00A22397"/>
    <w:rsid w:val="00A32313"/>
    <w:rsid w:val="00A328B3"/>
    <w:rsid w:val="00A4345A"/>
    <w:rsid w:val="00A4761B"/>
    <w:rsid w:val="00A50FCF"/>
    <w:rsid w:val="00A528D1"/>
    <w:rsid w:val="00A610CD"/>
    <w:rsid w:val="00A625E0"/>
    <w:rsid w:val="00A74947"/>
    <w:rsid w:val="00A758AA"/>
    <w:rsid w:val="00A81687"/>
    <w:rsid w:val="00A81FA5"/>
    <w:rsid w:val="00A92093"/>
    <w:rsid w:val="00A968FA"/>
    <w:rsid w:val="00AA09A2"/>
    <w:rsid w:val="00AA7996"/>
    <w:rsid w:val="00AB5162"/>
    <w:rsid w:val="00AC19CB"/>
    <w:rsid w:val="00AD1886"/>
    <w:rsid w:val="00AE5488"/>
    <w:rsid w:val="00AE6F91"/>
    <w:rsid w:val="00AF5571"/>
    <w:rsid w:val="00B0014A"/>
    <w:rsid w:val="00B02D7E"/>
    <w:rsid w:val="00B05C86"/>
    <w:rsid w:val="00B06B4E"/>
    <w:rsid w:val="00B07341"/>
    <w:rsid w:val="00B13933"/>
    <w:rsid w:val="00B202B5"/>
    <w:rsid w:val="00B229F2"/>
    <w:rsid w:val="00B23D23"/>
    <w:rsid w:val="00B24077"/>
    <w:rsid w:val="00B30539"/>
    <w:rsid w:val="00B314DB"/>
    <w:rsid w:val="00B33B2B"/>
    <w:rsid w:val="00B361F2"/>
    <w:rsid w:val="00B3718B"/>
    <w:rsid w:val="00B41942"/>
    <w:rsid w:val="00B4632A"/>
    <w:rsid w:val="00B5067D"/>
    <w:rsid w:val="00B50780"/>
    <w:rsid w:val="00B5164F"/>
    <w:rsid w:val="00B52E66"/>
    <w:rsid w:val="00B530F1"/>
    <w:rsid w:val="00B57297"/>
    <w:rsid w:val="00B61B60"/>
    <w:rsid w:val="00B6224B"/>
    <w:rsid w:val="00B67613"/>
    <w:rsid w:val="00B7069E"/>
    <w:rsid w:val="00B736AF"/>
    <w:rsid w:val="00B742BE"/>
    <w:rsid w:val="00B81900"/>
    <w:rsid w:val="00B8587C"/>
    <w:rsid w:val="00B87359"/>
    <w:rsid w:val="00B97946"/>
    <w:rsid w:val="00BA276C"/>
    <w:rsid w:val="00BA5544"/>
    <w:rsid w:val="00BB06BC"/>
    <w:rsid w:val="00BB306F"/>
    <w:rsid w:val="00BB3FBD"/>
    <w:rsid w:val="00BC6CD0"/>
    <w:rsid w:val="00BD45EA"/>
    <w:rsid w:val="00BD4B89"/>
    <w:rsid w:val="00BD5922"/>
    <w:rsid w:val="00BD76D9"/>
    <w:rsid w:val="00BE7E5E"/>
    <w:rsid w:val="00BF02CB"/>
    <w:rsid w:val="00BF514A"/>
    <w:rsid w:val="00BF6FD8"/>
    <w:rsid w:val="00BF775D"/>
    <w:rsid w:val="00C03680"/>
    <w:rsid w:val="00C054DF"/>
    <w:rsid w:val="00C10AFC"/>
    <w:rsid w:val="00C21562"/>
    <w:rsid w:val="00C21762"/>
    <w:rsid w:val="00C21FEF"/>
    <w:rsid w:val="00C24543"/>
    <w:rsid w:val="00C256A2"/>
    <w:rsid w:val="00C35A26"/>
    <w:rsid w:val="00C51515"/>
    <w:rsid w:val="00C53910"/>
    <w:rsid w:val="00C5496F"/>
    <w:rsid w:val="00C5660B"/>
    <w:rsid w:val="00C56854"/>
    <w:rsid w:val="00C5788A"/>
    <w:rsid w:val="00C66B72"/>
    <w:rsid w:val="00C864EF"/>
    <w:rsid w:val="00C87AC4"/>
    <w:rsid w:val="00C9567A"/>
    <w:rsid w:val="00CA48A3"/>
    <w:rsid w:val="00CB212D"/>
    <w:rsid w:val="00CB2660"/>
    <w:rsid w:val="00CB49EC"/>
    <w:rsid w:val="00CB4B3C"/>
    <w:rsid w:val="00CC5E90"/>
    <w:rsid w:val="00CD046C"/>
    <w:rsid w:val="00CD186A"/>
    <w:rsid w:val="00CD7F97"/>
    <w:rsid w:val="00CE076C"/>
    <w:rsid w:val="00CE44DE"/>
    <w:rsid w:val="00CE5199"/>
    <w:rsid w:val="00CE66D5"/>
    <w:rsid w:val="00CE74B6"/>
    <w:rsid w:val="00CF0B87"/>
    <w:rsid w:val="00CF637A"/>
    <w:rsid w:val="00CF66AC"/>
    <w:rsid w:val="00D059DE"/>
    <w:rsid w:val="00D05ABD"/>
    <w:rsid w:val="00D05B74"/>
    <w:rsid w:val="00D111AB"/>
    <w:rsid w:val="00D13FCE"/>
    <w:rsid w:val="00D14FA4"/>
    <w:rsid w:val="00D17E8C"/>
    <w:rsid w:val="00D306D1"/>
    <w:rsid w:val="00D30800"/>
    <w:rsid w:val="00D31B7B"/>
    <w:rsid w:val="00D34786"/>
    <w:rsid w:val="00D37BFC"/>
    <w:rsid w:val="00D42822"/>
    <w:rsid w:val="00D473A7"/>
    <w:rsid w:val="00D47A8E"/>
    <w:rsid w:val="00D51877"/>
    <w:rsid w:val="00D52D14"/>
    <w:rsid w:val="00D541A8"/>
    <w:rsid w:val="00D55256"/>
    <w:rsid w:val="00D56D93"/>
    <w:rsid w:val="00D712D3"/>
    <w:rsid w:val="00D71422"/>
    <w:rsid w:val="00D72DC6"/>
    <w:rsid w:val="00D73F5E"/>
    <w:rsid w:val="00D7558D"/>
    <w:rsid w:val="00D77503"/>
    <w:rsid w:val="00D800AB"/>
    <w:rsid w:val="00D80E4D"/>
    <w:rsid w:val="00D81D92"/>
    <w:rsid w:val="00D876F9"/>
    <w:rsid w:val="00D877B6"/>
    <w:rsid w:val="00D91227"/>
    <w:rsid w:val="00D918CF"/>
    <w:rsid w:val="00D926DD"/>
    <w:rsid w:val="00D93A90"/>
    <w:rsid w:val="00D977CF"/>
    <w:rsid w:val="00DA251A"/>
    <w:rsid w:val="00DA7B5F"/>
    <w:rsid w:val="00DB1C59"/>
    <w:rsid w:val="00DC11E7"/>
    <w:rsid w:val="00DC4E37"/>
    <w:rsid w:val="00DC7023"/>
    <w:rsid w:val="00DC769A"/>
    <w:rsid w:val="00DD061E"/>
    <w:rsid w:val="00DD3D86"/>
    <w:rsid w:val="00DD5282"/>
    <w:rsid w:val="00DE12F0"/>
    <w:rsid w:val="00DF1EC4"/>
    <w:rsid w:val="00DF22FB"/>
    <w:rsid w:val="00DF51E9"/>
    <w:rsid w:val="00DF6183"/>
    <w:rsid w:val="00DF7C6F"/>
    <w:rsid w:val="00E01943"/>
    <w:rsid w:val="00E0340B"/>
    <w:rsid w:val="00E04A90"/>
    <w:rsid w:val="00E0551F"/>
    <w:rsid w:val="00E10563"/>
    <w:rsid w:val="00E204DA"/>
    <w:rsid w:val="00E20BC8"/>
    <w:rsid w:val="00E219C7"/>
    <w:rsid w:val="00E26CCA"/>
    <w:rsid w:val="00E27F56"/>
    <w:rsid w:val="00E33D8D"/>
    <w:rsid w:val="00E3485F"/>
    <w:rsid w:val="00E34A42"/>
    <w:rsid w:val="00E4118C"/>
    <w:rsid w:val="00E411E6"/>
    <w:rsid w:val="00E43157"/>
    <w:rsid w:val="00E45AA7"/>
    <w:rsid w:val="00E461CE"/>
    <w:rsid w:val="00E55186"/>
    <w:rsid w:val="00E60A5F"/>
    <w:rsid w:val="00E62CA3"/>
    <w:rsid w:val="00E655E6"/>
    <w:rsid w:val="00E65E72"/>
    <w:rsid w:val="00E720CA"/>
    <w:rsid w:val="00E73091"/>
    <w:rsid w:val="00E74A01"/>
    <w:rsid w:val="00E77677"/>
    <w:rsid w:val="00E84EB5"/>
    <w:rsid w:val="00E85662"/>
    <w:rsid w:val="00E8789F"/>
    <w:rsid w:val="00E908AC"/>
    <w:rsid w:val="00E92747"/>
    <w:rsid w:val="00E97B71"/>
    <w:rsid w:val="00EA32D9"/>
    <w:rsid w:val="00EA3D34"/>
    <w:rsid w:val="00EB44CE"/>
    <w:rsid w:val="00EB454D"/>
    <w:rsid w:val="00EC0C3B"/>
    <w:rsid w:val="00EC26E9"/>
    <w:rsid w:val="00EC72AB"/>
    <w:rsid w:val="00ED2F03"/>
    <w:rsid w:val="00ED549D"/>
    <w:rsid w:val="00ED5A3F"/>
    <w:rsid w:val="00ED76BE"/>
    <w:rsid w:val="00ED7F05"/>
    <w:rsid w:val="00EE00E9"/>
    <w:rsid w:val="00EE014D"/>
    <w:rsid w:val="00EE05D9"/>
    <w:rsid w:val="00EE3C77"/>
    <w:rsid w:val="00EF35AB"/>
    <w:rsid w:val="00EF4C44"/>
    <w:rsid w:val="00EF619B"/>
    <w:rsid w:val="00F00B55"/>
    <w:rsid w:val="00F02AD1"/>
    <w:rsid w:val="00F04591"/>
    <w:rsid w:val="00F06354"/>
    <w:rsid w:val="00F163A8"/>
    <w:rsid w:val="00F231BA"/>
    <w:rsid w:val="00F25046"/>
    <w:rsid w:val="00F253CC"/>
    <w:rsid w:val="00F3084B"/>
    <w:rsid w:val="00F30D50"/>
    <w:rsid w:val="00F32A6C"/>
    <w:rsid w:val="00F332B0"/>
    <w:rsid w:val="00F332EF"/>
    <w:rsid w:val="00F37106"/>
    <w:rsid w:val="00F47E0B"/>
    <w:rsid w:val="00F519CF"/>
    <w:rsid w:val="00F53168"/>
    <w:rsid w:val="00F558C4"/>
    <w:rsid w:val="00F56BA5"/>
    <w:rsid w:val="00F60E22"/>
    <w:rsid w:val="00F63B39"/>
    <w:rsid w:val="00F708DA"/>
    <w:rsid w:val="00F757BE"/>
    <w:rsid w:val="00F75C67"/>
    <w:rsid w:val="00F76ACC"/>
    <w:rsid w:val="00F81395"/>
    <w:rsid w:val="00F81887"/>
    <w:rsid w:val="00F81BB8"/>
    <w:rsid w:val="00F87571"/>
    <w:rsid w:val="00F917D1"/>
    <w:rsid w:val="00F9342C"/>
    <w:rsid w:val="00F93656"/>
    <w:rsid w:val="00F9653B"/>
    <w:rsid w:val="00FA40A0"/>
    <w:rsid w:val="00FA5438"/>
    <w:rsid w:val="00FA56EA"/>
    <w:rsid w:val="00FB62CF"/>
    <w:rsid w:val="00FC0F4A"/>
    <w:rsid w:val="00FC333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1702">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61848846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499AD-D5A7-4B77-A27F-93841B23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4439</Words>
  <Characters>22952</Characters>
  <Application>Microsoft Office Word</Application>
  <DocSecurity>0</DocSecurity>
  <Lines>441</Lines>
  <Paragraphs>139</Paragraphs>
  <ScaleCrop>false</ScaleCrop>
  <Company/>
  <LinksUpToDate>false</LinksUpToDate>
  <CharactersWithSpaces>27252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225/20</dc:title>
  <dc:creator/>
  <cp:lastModifiedBy/>
  <cp:revision>1</cp:revision>
  <dcterms:created xsi:type="dcterms:W3CDTF">2020-10-20T15:44:00Z</dcterms:created>
  <dcterms:modified xsi:type="dcterms:W3CDTF">2020-10-20T15:44:00Z</dcterms:modified>
</cp:coreProperties>
</file>