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BB2DCA" w:rsidRDefault="00D306D1" w:rsidP="00627C9F">
      <w:pPr>
        <w:jc w:val="both"/>
        <w:rPr>
          <w:rFonts w:asciiTheme="majorHAnsi" w:hAnsiTheme="majorHAnsi" w:cs="Univers"/>
          <w:b/>
          <w:bCs/>
          <w:sz w:val="22"/>
          <w:szCs w:val="22"/>
          <w:lang w:val="es-ES"/>
        </w:rPr>
      </w:pPr>
      <w:r w:rsidRPr="00BB2DC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53C04C3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AEA5B1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BB2DC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2611B15" w:rsidR="007E5B3C" w:rsidRDefault="007E5B3C" w:rsidP="00AE5488">
                            <w:r>
                              <w:rPr>
                                <w:noProof/>
                              </w:rPr>
                              <w:drawing>
                                <wp:inline distT="0" distB="0" distL="0" distR="0" wp14:anchorId="1766E2F8" wp14:editId="611E0A26">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666" cy="509676"/>
                                          </a:xfrm>
                                          <a:prstGeom prst="rect">
                                            <a:avLst/>
                                          </a:prstGeom>
                                          <a:noFill/>
                                          <a:ln>
                                            <a:noFill/>
                                          </a:ln>
                                        </pic:spPr>
                                      </pic:pic>
                                    </a:graphicData>
                                  </a:graphic>
                                </wp:inline>
                              </w:drawing>
                            </w:r>
                            <w:r>
                              <w:tab/>
                            </w:r>
                            <w:r w:rsidR="00FD10D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22611B15" w:rsidR="007E5B3C" w:rsidRDefault="007E5B3C" w:rsidP="00AE5488">
                      <w:r>
                        <w:rPr>
                          <w:noProof/>
                          <w:lang w:val="pt-BR" w:eastAsia="pt-BR"/>
                        </w:rPr>
                        <w:drawing>
                          <wp:inline distT="0" distB="0" distL="0" distR="0" wp14:anchorId="1766E2F8" wp14:editId="611E0A26">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666" cy="509676"/>
                                    </a:xfrm>
                                    <a:prstGeom prst="rect">
                                      <a:avLst/>
                                    </a:prstGeom>
                                    <a:noFill/>
                                    <a:ln>
                                      <a:noFill/>
                                    </a:ln>
                                  </pic:spPr>
                                </pic:pic>
                              </a:graphicData>
                            </a:graphic>
                          </wp:inline>
                        </w:drawing>
                      </w:r>
                      <w:r>
                        <w:tab/>
                      </w:r>
                      <w:r w:rsidR="00FD10D3">
                        <w:t xml:space="preserve">               </w:t>
                      </w:r>
                    </w:p>
                  </w:txbxContent>
                </v:textbox>
              </v:shape>
            </w:pict>
          </mc:Fallback>
        </mc:AlternateContent>
      </w:r>
    </w:p>
    <w:p w14:paraId="47386BAF" w14:textId="77777777" w:rsidR="00040C3A" w:rsidRPr="00BB2DCA"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BB2DCA"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BB2DCA" w:rsidRDefault="005128E4" w:rsidP="00040C3A">
      <w:pPr>
        <w:tabs>
          <w:tab w:val="center" w:pos="5400"/>
        </w:tabs>
        <w:suppressAutoHyphens/>
        <w:rPr>
          <w:rFonts w:asciiTheme="majorHAnsi" w:hAnsiTheme="majorHAnsi"/>
          <w:sz w:val="22"/>
          <w:szCs w:val="22"/>
          <w:lang w:val="es-ES"/>
        </w:rPr>
      </w:pPr>
    </w:p>
    <w:p w14:paraId="12A36B24" w14:textId="77777777" w:rsidR="005128E4" w:rsidRPr="00BB2DCA" w:rsidRDefault="005128E4" w:rsidP="00040C3A">
      <w:pPr>
        <w:tabs>
          <w:tab w:val="center" w:pos="5400"/>
        </w:tabs>
        <w:suppressAutoHyphens/>
        <w:rPr>
          <w:rFonts w:asciiTheme="majorHAnsi" w:hAnsiTheme="majorHAnsi"/>
          <w:sz w:val="22"/>
          <w:szCs w:val="22"/>
          <w:lang w:val="es-ES"/>
        </w:rPr>
      </w:pPr>
    </w:p>
    <w:p w14:paraId="2252093D" w14:textId="77777777" w:rsidR="005128E4" w:rsidRPr="00BB2DCA" w:rsidRDefault="005128E4" w:rsidP="00040C3A">
      <w:pPr>
        <w:tabs>
          <w:tab w:val="center" w:pos="5400"/>
        </w:tabs>
        <w:suppressAutoHyphens/>
        <w:rPr>
          <w:rFonts w:asciiTheme="majorHAnsi" w:hAnsiTheme="majorHAnsi"/>
          <w:sz w:val="22"/>
          <w:szCs w:val="22"/>
          <w:lang w:val="es-ES"/>
        </w:rPr>
      </w:pPr>
    </w:p>
    <w:p w14:paraId="403935BD" w14:textId="77777777" w:rsidR="00040C3A" w:rsidRPr="00BB2DCA"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BB2DCA"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BB2DCA"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BB2DCA"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BB2DCA"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BB2DCA"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BB2DCA"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BB2DCA" w:rsidRDefault="003D3BC2" w:rsidP="00040C3A">
      <w:pPr>
        <w:tabs>
          <w:tab w:val="center" w:pos="5400"/>
        </w:tabs>
        <w:suppressAutoHyphens/>
        <w:jc w:val="center"/>
        <w:rPr>
          <w:rFonts w:asciiTheme="majorHAnsi" w:hAnsiTheme="majorHAnsi"/>
          <w:sz w:val="22"/>
          <w:szCs w:val="22"/>
          <w:lang w:val="es-ES"/>
        </w:rPr>
      </w:pPr>
      <w:r w:rsidRPr="00BB2DC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3C7B6AF" w:rsidR="007E5B3C" w:rsidRPr="000E0D2C" w:rsidRDefault="00C905F4" w:rsidP="00997BC5">
                            <w:pPr>
                              <w:spacing w:line="276" w:lineRule="auto"/>
                              <w:rPr>
                                <w:rFonts w:asciiTheme="majorHAnsi" w:hAnsiTheme="majorHAnsi" w:cs="Arial"/>
                                <w:b/>
                                <w:bCs/>
                                <w:color w:val="0D0D0D" w:themeColor="text1" w:themeTint="F2"/>
                                <w:sz w:val="36"/>
                                <w:szCs w:val="22"/>
                                <w:lang w:val="es-419"/>
                              </w:rPr>
                            </w:pPr>
                            <w:r>
                              <w:rPr>
                                <w:rFonts w:asciiTheme="majorHAnsi" w:hAnsiTheme="majorHAnsi" w:cs="Arial"/>
                                <w:b/>
                                <w:bCs/>
                                <w:color w:val="0D0D0D" w:themeColor="text1" w:themeTint="F2"/>
                                <w:sz w:val="36"/>
                                <w:szCs w:val="22"/>
                                <w:lang w:val="es-419"/>
                              </w:rPr>
                              <w:t>INFORME No. 70</w:t>
                            </w:r>
                            <w:r w:rsidR="007E5B3C" w:rsidRPr="000E0D2C">
                              <w:rPr>
                                <w:rFonts w:asciiTheme="majorHAnsi" w:hAnsiTheme="majorHAnsi" w:cs="Arial"/>
                                <w:b/>
                                <w:bCs/>
                                <w:color w:val="0D0D0D" w:themeColor="text1" w:themeTint="F2"/>
                                <w:sz w:val="36"/>
                                <w:szCs w:val="22"/>
                                <w:lang w:val="es-419"/>
                              </w:rPr>
                              <w:t>/</w:t>
                            </w:r>
                            <w:r w:rsidR="000E0D2C" w:rsidRPr="000E0D2C">
                              <w:rPr>
                                <w:rFonts w:asciiTheme="majorHAnsi" w:hAnsiTheme="majorHAnsi" w:cs="Arial"/>
                                <w:b/>
                                <w:bCs/>
                                <w:color w:val="0D0D0D" w:themeColor="text1" w:themeTint="F2"/>
                                <w:sz w:val="36"/>
                                <w:szCs w:val="22"/>
                                <w:lang w:val="es-419"/>
                              </w:rPr>
                              <w:t>20</w:t>
                            </w:r>
                          </w:p>
                          <w:p w14:paraId="09C54AB3" w14:textId="2CA3110A" w:rsidR="007E5B3C" w:rsidRPr="000E0D2C" w:rsidRDefault="007E5B3C" w:rsidP="00997BC5">
                            <w:pPr>
                              <w:spacing w:line="276" w:lineRule="auto"/>
                              <w:rPr>
                                <w:rFonts w:asciiTheme="majorHAnsi" w:hAnsiTheme="majorHAnsi" w:cs="Arial"/>
                                <w:b/>
                                <w:color w:val="0D0D0D" w:themeColor="text1" w:themeTint="F2"/>
                                <w:sz w:val="36"/>
                                <w:szCs w:val="22"/>
                                <w:lang w:val="es-419"/>
                              </w:rPr>
                            </w:pPr>
                            <w:r w:rsidRPr="000E0D2C">
                              <w:rPr>
                                <w:rFonts w:asciiTheme="majorHAnsi" w:hAnsiTheme="majorHAnsi" w:cs="Arial"/>
                                <w:b/>
                                <w:color w:val="0D0D0D" w:themeColor="text1" w:themeTint="F2"/>
                                <w:sz w:val="36"/>
                                <w:szCs w:val="22"/>
                                <w:lang w:val="es-419"/>
                              </w:rPr>
                              <w:t xml:space="preserve">PETICIÓN 2326-12 </w:t>
                            </w:r>
                          </w:p>
                          <w:p w14:paraId="70CF6833" w14:textId="5678CCEA" w:rsidR="007E5B3C" w:rsidRPr="000E0D2C" w:rsidRDefault="007E5B3C" w:rsidP="00997BC5">
                            <w:pPr>
                              <w:spacing w:line="276" w:lineRule="auto"/>
                              <w:rPr>
                                <w:rFonts w:asciiTheme="majorHAnsi" w:hAnsiTheme="majorHAnsi" w:cs="Arial"/>
                                <w:color w:val="0D0D0D" w:themeColor="text1" w:themeTint="F2"/>
                                <w:szCs w:val="22"/>
                                <w:lang w:val="es-419"/>
                              </w:rPr>
                            </w:pPr>
                            <w:r w:rsidRPr="000E0D2C">
                              <w:rPr>
                                <w:rFonts w:asciiTheme="majorHAnsi" w:hAnsiTheme="majorHAnsi" w:cs="Arial"/>
                                <w:color w:val="0D0D0D" w:themeColor="text1" w:themeTint="F2"/>
                                <w:szCs w:val="22"/>
                                <w:lang w:val="es-419"/>
                              </w:rPr>
                              <w:t xml:space="preserve">INFORME DE ADMISIBILIDAD </w:t>
                            </w:r>
                          </w:p>
                          <w:p w14:paraId="5FDD6F0D" w14:textId="77777777" w:rsidR="007E5B3C" w:rsidRPr="000E0D2C" w:rsidRDefault="007E5B3C" w:rsidP="00997BC5">
                            <w:pPr>
                              <w:spacing w:line="276" w:lineRule="auto"/>
                              <w:rPr>
                                <w:rFonts w:asciiTheme="majorHAnsi" w:hAnsiTheme="majorHAnsi" w:cs="Arial"/>
                                <w:color w:val="0D0D0D" w:themeColor="text1" w:themeTint="F2"/>
                                <w:szCs w:val="22"/>
                                <w:lang w:val="es-419"/>
                              </w:rPr>
                            </w:pPr>
                            <w:bookmarkStart w:id="0" w:name="_ftnref1"/>
                          </w:p>
                          <w:p w14:paraId="4CFA2FBF" w14:textId="37DE82A3" w:rsidR="007E5B3C" w:rsidRPr="003C37B1" w:rsidRDefault="008477F5"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JONAT</w:t>
                            </w:r>
                            <w:r w:rsidR="007E5B3C" w:rsidRPr="003C37B1">
                              <w:rPr>
                                <w:rFonts w:asciiTheme="majorHAnsi" w:hAnsiTheme="majorHAnsi" w:cs="Arial"/>
                                <w:color w:val="0D0D0D" w:themeColor="text1" w:themeTint="F2"/>
                                <w:szCs w:val="22"/>
                                <w:lang w:val="es-US"/>
                              </w:rPr>
                              <w:t>AN SOUZA AZEVEDO</w:t>
                            </w:r>
                          </w:p>
                          <w:bookmarkEnd w:id="0"/>
                          <w:p w14:paraId="35068D0D" w14:textId="7AE425B5" w:rsidR="007E5B3C" w:rsidRPr="0010736F" w:rsidRDefault="007E5B3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7E5B3C" w:rsidRPr="00AE5488" w:rsidRDefault="007E5B3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3C7B6AF" w:rsidR="007E5B3C" w:rsidRPr="000E0D2C" w:rsidRDefault="00C905F4" w:rsidP="00997BC5">
                      <w:pPr>
                        <w:spacing w:line="276" w:lineRule="auto"/>
                        <w:rPr>
                          <w:rFonts w:asciiTheme="majorHAnsi" w:hAnsiTheme="majorHAnsi" w:cs="Arial"/>
                          <w:b/>
                          <w:bCs/>
                          <w:color w:val="0D0D0D" w:themeColor="text1" w:themeTint="F2"/>
                          <w:sz w:val="36"/>
                          <w:szCs w:val="22"/>
                          <w:lang w:val="es-419"/>
                        </w:rPr>
                      </w:pPr>
                      <w:r>
                        <w:rPr>
                          <w:rFonts w:asciiTheme="majorHAnsi" w:hAnsiTheme="majorHAnsi" w:cs="Arial"/>
                          <w:b/>
                          <w:bCs/>
                          <w:color w:val="0D0D0D" w:themeColor="text1" w:themeTint="F2"/>
                          <w:sz w:val="36"/>
                          <w:szCs w:val="22"/>
                          <w:lang w:val="es-419"/>
                        </w:rPr>
                        <w:t>INFORME No. 70</w:t>
                      </w:r>
                      <w:r w:rsidR="007E5B3C" w:rsidRPr="000E0D2C">
                        <w:rPr>
                          <w:rFonts w:asciiTheme="majorHAnsi" w:hAnsiTheme="majorHAnsi" w:cs="Arial"/>
                          <w:b/>
                          <w:bCs/>
                          <w:color w:val="0D0D0D" w:themeColor="text1" w:themeTint="F2"/>
                          <w:sz w:val="36"/>
                          <w:szCs w:val="22"/>
                          <w:lang w:val="es-419"/>
                        </w:rPr>
                        <w:t>/</w:t>
                      </w:r>
                      <w:r w:rsidR="000E0D2C" w:rsidRPr="000E0D2C">
                        <w:rPr>
                          <w:rFonts w:asciiTheme="majorHAnsi" w:hAnsiTheme="majorHAnsi" w:cs="Arial"/>
                          <w:b/>
                          <w:bCs/>
                          <w:color w:val="0D0D0D" w:themeColor="text1" w:themeTint="F2"/>
                          <w:sz w:val="36"/>
                          <w:szCs w:val="22"/>
                          <w:lang w:val="es-419"/>
                        </w:rPr>
                        <w:t>20</w:t>
                      </w:r>
                    </w:p>
                    <w:p w14:paraId="09C54AB3" w14:textId="2CA3110A" w:rsidR="007E5B3C" w:rsidRPr="000E0D2C" w:rsidRDefault="007E5B3C" w:rsidP="00997BC5">
                      <w:pPr>
                        <w:spacing w:line="276" w:lineRule="auto"/>
                        <w:rPr>
                          <w:rFonts w:asciiTheme="majorHAnsi" w:hAnsiTheme="majorHAnsi" w:cs="Arial"/>
                          <w:b/>
                          <w:color w:val="0D0D0D" w:themeColor="text1" w:themeTint="F2"/>
                          <w:sz w:val="36"/>
                          <w:szCs w:val="22"/>
                          <w:lang w:val="es-419"/>
                        </w:rPr>
                      </w:pPr>
                      <w:r w:rsidRPr="000E0D2C">
                        <w:rPr>
                          <w:rFonts w:asciiTheme="majorHAnsi" w:hAnsiTheme="majorHAnsi" w:cs="Arial"/>
                          <w:b/>
                          <w:color w:val="0D0D0D" w:themeColor="text1" w:themeTint="F2"/>
                          <w:sz w:val="36"/>
                          <w:szCs w:val="22"/>
                          <w:lang w:val="es-419"/>
                        </w:rPr>
                        <w:t xml:space="preserve">PETICIÓN 2326-12 </w:t>
                      </w:r>
                    </w:p>
                    <w:p w14:paraId="70CF6833" w14:textId="5678CCEA" w:rsidR="007E5B3C" w:rsidRPr="000E0D2C" w:rsidRDefault="007E5B3C" w:rsidP="00997BC5">
                      <w:pPr>
                        <w:spacing w:line="276" w:lineRule="auto"/>
                        <w:rPr>
                          <w:rFonts w:asciiTheme="majorHAnsi" w:hAnsiTheme="majorHAnsi" w:cs="Arial"/>
                          <w:color w:val="0D0D0D" w:themeColor="text1" w:themeTint="F2"/>
                          <w:szCs w:val="22"/>
                          <w:lang w:val="es-419"/>
                        </w:rPr>
                      </w:pPr>
                      <w:r w:rsidRPr="000E0D2C">
                        <w:rPr>
                          <w:rFonts w:asciiTheme="majorHAnsi" w:hAnsiTheme="majorHAnsi" w:cs="Arial"/>
                          <w:color w:val="0D0D0D" w:themeColor="text1" w:themeTint="F2"/>
                          <w:szCs w:val="22"/>
                          <w:lang w:val="es-419"/>
                        </w:rPr>
                        <w:t xml:space="preserve">INFORME DE ADMISIBILIDAD </w:t>
                      </w:r>
                    </w:p>
                    <w:p w14:paraId="5FDD6F0D" w14:textId="77777777" w:rsidR="007E5B3C" w:rsidRPr="000E0D2C" w:rsidRDefault="007E5B3C" w:rsidP="00997BC5">
                      <w:pPr>
                        <w:spacing w:line="276" w:lineRule="auto"/>
                        <w:rPr>
                          <w:rFonts w:asciiTheme="majorHAnsi" w:hAnsiTheme="majorHAnsi" w:cs="Arial"/>
                          <w:color w:val="0D0D0D" w:themeColor="text1" w:themeTint="F2"/>
                          <w:szCs w:val="22"/>
                          <w:lang w:val="es-419"/>
                        </w:rPr>
                      </w:pPr>
                      <w:bookmarkStart w:id="1" w:name="_ftnref1"/>
                    </w:p>
                    <w:p w14:paraId="4CFA2FBF" w14:textId="37DE82A3" w:rsidR="007E5B3C" w:rsidRPr="003C37B1" w:rsidRDefault="008477F5"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JONAT</w:t>
                      </w:r>
                      <w:r w:rsidR="007E5B3C" w:rsidRPr="003C37B1">
                        <w:rPr>
                          <w:rFonts w:asciiTheme="majorHAnsi" w:hAnsiTheme="majorHAnsi" w:cs="Arial"/>
                          <w:color w:val="0D0D0D" w:themeColor="text1" w:themeTint="F2"/>
                          <w:szCs w:val="22"/>
                          <w:lang w:val="es-US"/>
                        </w:rPr>
                        <w:t>AN SOUZA AZEVEDO</w:t>
                      </w:r>
                    </w:p>
                    <w:bookmarkEnd w:id="1"/>
                    <w:p w14:paraId="35068D0D" w14:textId="7AE425B5" w:rsidR="007E5B3C" w:rsidRPr="0010736F" w:rsidRDefault="007E5B3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7E5B3C" w:rsidRPr="00AE5488" w:rsidRDefault="007E5B3C" w:rsidP="007A5817">
                      <w:pPr>
                        <w:rPr>
                          <w:color w:val="0D0D0D" w:themeColor="text1" w:themeTint="F2"/>
                          <w:lang w:val="es-ES_tradnl"/>
                        </w:rPr>
                      </w:pPr>
                    </w:p>
                  </w:txbxContent>
                </v:textbox>
              </v:shape>
            </w:pict>
          </mc:Fallback>
        </mc:AlternateContent>
      </w:r>
      <w:r w:rsidR="004E2649" w:rsidRPr="00BB2DC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4AC2726" w:rsidR="007E5B3C" w:rsidRPr="00142F8A" w:rsidRDefault="00142F8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D400687" w:rsidR="007E5B3C" w:rsidRPr="00142F8A" w:rsidRDefault="00C905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80</w:t>
                            </w:r>
                          </w:p>
                          <w:p w14:paraId="69373ED2" w14:textId="3D309521" w:rsidR="007E5B3C" w:rsidRPr="00142F8A" w:rsidRDefault="00C905F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marzo</w:t>
                            </w:r>
                            <w:r w:rsidR="000E0D2C" w:rsidRPr="00142F8A">
                              <w:rPr>
                                <w:rFonts w:asciiTheme="minorHAnsi" w:hAnsiTheme="minorHAnsi"/>
                                <w:color w:val="FFFFFF" w:themeColor="background1"/>
                                <w:sz w:val="22"/>
                                <w:lang w:val="es-ES"/>
                              </w:rPr>
                              <w:t xml:space="preserve"> 2020</w:t>
                            </w:r>
                          </w:p>
                          <w:p w14:paraId="0771DB5B" w14:textId="33DAFBCF" w:rsidR="007E5B3C" w:rsidRPr="00142F8A" w:rsidRDefault="007E5B3C" w:rsidP="007A5817">
                            <w:pPr>
                              <w:spacing w:line="276" w:lineRule="auto"/>
                              <w:jc w:val="right"/>
                              <w:rPr>
                                <w:rFonts w:asciiTheme="minorHAnsi" w:hAnsiTheme="minorHAnsi"/>
                                <w:color w:val="FFFFFF" w:themeColor="background1"/>
                                <w:sz w:val="22"/>
                                <w:lang w:val="es-ES"/>
                              </w:rPr>
                            </w:pPr>
                            <w:r w:rsidRPr="00142F8A">
                              <w:rPr>
                                <w:rFonts w:asciiTheme="minorHAnsi" w:hAnsiTheme="minorHAnsi"/>
                                <w:color w:val="FFFFFF" w:themeColor="background1"/>
                                <w:sz w:val="22"/>
                                <w:lang w:val="es-E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4AC2726" w:rsidR="007E5B3C" w:rsidRPr="00142F8A" w:rsidRDefault="00142F8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D400687" w:rsidR="007E5B3C" w:rsidRPr="00142F8A" w:rsidRDefault="00C905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80</w:t>
                      </w:r>
                    </w:p>
                    <w:p w14:paraId="69373ED2" w14:textId="3D309521" w:rsidR="007E5B3C" w:rsidRPr="00142F8A" w:rsidRDefault="00C905F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marzo</w:t>
                      </w:r>
                      <w:r w:rsidR="000E0D2C" w:rsidRPr="00142F8A">
                        <w:rPr>
                          <w:rFonts w:asciiTheme="minorHAnsi" w:hAnsiTheme="minorHAnsi"/>
                          <w:color w:val="FFFFFF" w:themeColor="background1"/>
                          <w:sz w:val="22"/>
                          <w:lang w:val="es-ES"/>
                        </w:rPr>
                        <w:t xml:space="preserve"> 2020</w:t>
                      </w:r>
                    </w:p>
                    <w:p w14:paraId="0771DB5B" w14:textId="33DAFBCF" w:rsidR="007E5B3C" w:rsidRPr="00142F8A" w:rsidRDefault="007E5B3C" w:rsidP="007A5817">
                      <w:pPr>
                        <w:spacing w:line="276" w:lineRule="auto"/>
                        <w:jc w:val="right"/>
                        <w:rPr>
                          <w:rFonts w:asciiTheme="minorHAnsi" w:hAnsiTheme="minorHAnsi"/>
                          <w:color w:val="FFFFFF" w:themeColor="background1"/>
                          <w:sz w:val="22"/>
                          <w:lang w:val="es-ES"/>
                        </w:rPr>
                      </w:pPr>
                      <w:r w:rsidRPr="00142F8A">
                        <w:rPr>
                          <w:rFonts w:asciiTheme="minorHAnsi" w:hAnsiTheme="minorHAnsi"/>
                          <w:color w:val="FFFFFF" w:themeColor="background1"/>
                          <w:sz w:val="22"/>
                          <w:lang w:val="es-ES"/>
                        </w:rPr>
                        <w:t>Original: portugués</w:t>
                      </w:r>
                    </w:p>
                  </w:txbxContent>
                </v:textbox>
              </v:shape>
            </w:pict>
          </mc:Fallback>
        </mc:AlternateContent>
      </w:r>
    </w:p>
    <w:p w14:paraId="155B0536" w14:textId="77777777" w:rsidR="00040C3A" w:rsidRPr="00BB2DCA"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BB2DCA"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BB2DCA"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BB2DCA"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BB2DCA"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BB2DCA"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BB2DCA"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BB2DCA"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BB2DCA"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BB2DCA"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BB2DCA"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BB2DCA"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BB2DCA"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BB2DCA" w:rsidRDefault="00040C3A" w:rsidP="00040C3A">
      <w:pPr>
        <w:tabs>
          <w:tab w:val="center" w:pos="5400"/>
        </w:tabs>
        <w:suppressAutoHyphens/>
        <w:jc w:val="center"/>
        <w:rPr>
          <w:rFonts w:asciiTheme="majorHAnsi" w:hAnsiTheme="majorHAnsi"/>
          <w:sz w:val="22"/>
          <w:szCs w:val="22"/>
          <w:lang w:val="es-ES"/>
        </w:rPr>
      </w:pPr>
      <w:bookmarkStart w:id="1" w:name="_GoBack"/>
      <w:bookmarkEnd w:id="1"/>
    </w:p>
    <w:p w14:paraId="048FBB22"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BB2DCA" w:rsidRDefault="0090270B" w:rsidP="00040C3A">
      <w:pPr>
        <w:tabs>
          <w:tab w:val="center" w:pos="5400"/>
        </w:tabs>
        <w:suppressAutoHyphens/>
        <w:jc w:val="center"/>
        <w:rPr>
          <w:rFonts w:asciiTheme="majorHAnsi" w:hAnsiTheme="majorHAnsi"/>
          <w:sz w:val="18"/>
          <w:szCs w:val="22"/>
          <w:lang w:val="es-ES"/>
        </w:rPr>
      </w:pPr>
      <w:r w:rsidRPr="00BB2DC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A6FA3" w14:textId="278ADD9B" w:rsidR="007E5B3C" w:rsidRPr="000E0D2C" w:rsidRDefault="007E5B3C" w:rsidP="002F04F8">
                            <w:pPr>
                              <w:tabs>
                                <w:tab w:val="center" w:pos="5400"/>
                              </w:tabs>
                              <w:suppressAutoHyphens/>
                              <w:spacing w:before="60"/>
                              <w:rPr>
                                <w:rFonts w:asciiTheme="majorHAnsi" w:hAnsiTheme="majorHAnsi"/>
                                <w:color w:val="0D0D0D" w:themeColor="text1" w:themeTint="F2"/>
                                <w:sz w:val="18"/>
                                <w:szCs w:val="22"/>
                                <w:lang w:val="es-419"/>
                              </w:rPr>
                            </w:pPr>
                            <w:r w:rsidRPr="000E0D2C">
                              <w:rPr>
                                <w:rFonts w:asciiTheme="majorHAnsi" w:hAnsiTheme="majorHAnsi"/>
                                <w:color w:val="0D0D0D" w:themeColor="text1" w:themeTint="F2"/>
                                <w:sz w:val="18"/>
                                <w:szCs w:val="20"/>
                                <w:lang w:val="es-419"/>
                              </w:rPr>
                              <w:t xml:space="preserve">Aprobado </w:t>
                            </w:r>
                            <w:proofErr w:type="spellStart"/>
                            <w:r w:rsidRPr="000E0D2C">
                              <w:rPr>
                                <w:rFonts w:asciiTheme="majorHAnsi" w:hAnsiTheme="majorHAnsi"/>
                                <w:color w:val="0D0D0D" w:themeColor="text1" w:themeTint="F2"/>
                                <w:sz w:val="18"/>
                                <w:szCs w:val="20"/>
                                <w:lang w:val="es-419"/>
                              </w:rPr>
                              <w:t>elecrónicamente</w:t>
                            </w:r>
                            <w:proofErr w:type="spellEnd"/>
                            <w:r w:rsidRPr="000E0D2C">
                              <w:rPr>
                                <w:rFonts w:asciiTheme="majorHAnsi" w:hAnsiTheme="majorHAnsi"/>
                                <w:color w:val="0D0D0D" w:themeColor="text1" w:themeTint="F2"/>
                                <w:sz w:val="18"/>
                                <w:szCs w:val="20"/>
                                <w:lang w:val="es-419"/>
                              </w:rPr>
                              <w:t xml:space="preserve"> por la Comisión el</w:t>
                            </w:r>
                            <w:r w:rsidR="008E7E81">
                              <w:rPr>
                                <w:rFonts w:asciiTheme="majorHAnsi" w:hAnsiTheme="majorHAnsi"/>
                                <w:color w:val="0D0D0D" w:themeColor="text1" w:themeTint="F2"/>
                                <w:sz w:val="18"/>
                                <w:szCs w:val="20"/>
                                <w:lang w:val="es-419"/>
                              </w:rPr>
                              <w:t xml:space="preserve"> </w:t>
                            </w:r>
                            <w:r w:rsidR="00C905F4">
                              <w:rPr>
                                <w:rFonts w:asciiTheme="majorHAnsi" w:hAnsiTheme="majorHAnsi"/>
                                <w:color w:val="0D0D0D" w:themeColor="text1" w:themeTint="F2"/>
                                <w:sz w:val="18"/>
                                <w:szCs w:val="20"/>
                                <w:lang w:val="es-419"/>
                              </w:rPr>
                              <w:t xml:space="preserve">12 </w:t>
                            </w:r>
                            <w:r w:rsidRPr="000E0D2C">
                              <w:rPr>
                                <w:rFonts w:asciiTheme="majorHAnsi" w:hAnsiTheme="majorHAnsi"/>
                                <w:color w:val="0D0D0D" w:themeColor="text1" w:themeTint="F2"/>
                                <w:sz w:val="18"/>
                                <w:szCs w:val="20"/>
                                <w:lang w:val="es-419"/>
                              </w:rPr>
                              <w:t xml:space="preserve">de </w:t>
                            </w:r>
                            <w:r w:rsidR="00C905F4">
                              <w:rPr>
                                <w:rFonts w:asciiTheme="majorHAnsi" w:hAnsiTheme="majorHAnsi"/>
                                <w:color w:val="0D0D0D" w:themeColor="text1" w:themeTint="F2"/>
                                <w:sz w:val="18"/>
                                <w:szCs w:val="20"/>
                                <w:lang w:val="es-419"/>
                              </w:rPr>
                              <w:t>marzo</w:t>
                            </w:r>
                            <w:r w:rsidRPr="000E0D2C">
                              <w:rPr>
                                <w:rFonts w:asciiTheme="majorHAnsi" w:hAnsiTheme="majorHAnsi"/>
                                <w:color w:val="0D0D0D" w:themeColor="text1" w:themeTint="F2"/>
                                <w:sz w:val="18"/>
                                <w:szCs w:val="20"/>
                                <w:lang w:val="es-419"/>
                              </w:rPr>
                              <w:t xml:space="preserve"> de 20</w:t>
                            </w:r>
                            <w:r w:rsidR="000E0D2C" w:rsidRPr="000E0D2C">
                              <w:rPr>
                                <w:rFonts w:asciiTheme="majorHAnsi" w:hAnsiTheme="majorHAnsi"/>
                                <w:color w:val="0D0D0D" w:themeColor="text1" w:themeTint="F2"/>
                                <w:sz w:val="18"/>
                                <w:szCs w:val="20"/>
                                <w:lang w:val="es-419"/>
                              </w:rPr>
                              <w:t>20</w:t>
                            </w:r>
                            <w:r w:rsidRPr="000E0D2C">
                              <w:rPr>
                                <w:rFonts w:asciiTheme="majorHAnsi" w:hAnsiTheme="majorHAnsi"/>
                                <w:color w:val="0D0D0D" w:themeColor="text1" w:themeTint="F2"/>
                                <w:sz w:val="18"/>
                                <w:szCs w:val="20"/>
                                <w:lang w:val="es-419"/>
                              </w:rPr>
                              <w:t>.</w:t>
                            </w:r>
                          </w:p>
                          <w:p w14:paraId="4BDF3581" w14:textId="77777777" w:rsidR="007E5B3C" w:rsidRPr="000E0D2C" w:rsidRDefault="007E5B3C" w:rsidP="00247403">
                            <w:pPr>
                              <w:tabs>
                                <w:tab w:val="center" w:pos="5400"/>
                              </w:tabs>
                              <w:suppressAutoHyphens/>
                              <w:spacing w:before="60"/>
                              <w:rPr>
                                <w:rFonts w:asciiTheme="minorHAnsi" w:hAnsiTheme="minorHAnsi" w:cs="Univers"/>
                                <w:color w:val="0D0D0D" w:themeColor="text1" w:themeTint="F2"/>
                                <w:sz w:val="20"/>
                                <w:szCs w:val="20"/>
                                <w:lang w:val="es-419"/>
                              </w:rPr>
                            </w:pPr>
                          </w:p>
                          <w:p w14:paraId="4D148488" w14:textId="77777777" w:rsidR="007E5B3C" w:rsidRPr="000E0D2C" w:rsidRDefault="007E5B3C" w:rsidP="0059191A">
                            <w:pPr>
                              <w:tabs>
                                <w:tab w:val="center" w:pos="5400"/>
                              </w:tabs>
                              <w:suppressAutoHyphens/>
                              <w:spacing w:before="60"/>
                              <w:rPr>
                                <w:rFonts w:ascii="Calibri" w:hAnsi="Calibri"/>
                                <w:color w:val="FFFFFF" w:themeColor="background1"/>
                                <w:spacing w:val="-2"/>
                                <w:sz w:val="16"/>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1DA6FA3" w14:textId="278ADD9B" w:rsidR="007E5B3C" w:rsidRPr="000E0D2C" w:rsidRDefault="007E5B3C" w:rsidP="002F04F8">
                      <w:pPr>
                        <w:tabs>
                          <w:tab w:val="center" w:pos="5400"/>
                        </w:tabs>
                        <w:suppressAutoHyphens/>
                        <w:spacing w:before="60"/>
                        <w:rPr>
                          <w:rFonts w:asciiTheme="majorHAnsi" w:hAnsiTheme="majorHAnsi"/>
                          <w:color w:val="0D0D0D" w:themeColor="text1" w:themeTint="F2"/>
                          <w:sz w:val="18"/>
                          <w:szCs w:val="22"/>
                          <w:lang w:val="es-419"/>
                        </w:rPr>
                      </w:pPr>
                      <w:r w:rsidRPr="000E0D2C">
                        <w:rPr>
                          <w:rFonts w:asciiTheme="majorHAnsi" w:hAnsiTheme="majorHAnsi"/>
                          <w:color w:val="0D0D0D" w:themeColor="text1" w:themeTint="F2"/>
                          <w:sz w:val="18"/>
                          <w:szCs w:val="20"/>
                          <w:lang w:val="es-419"/>
                        </w:rPr>
                        <w:t xml:space="preserve">Aprobado </w:t>
                      </w:r>
                      <w:proofErr w:type="spellStart"/>
                      <w:r w:rsidRPr="000E0D2C">
                        <w:rPr>
                          <w:rFonts w:asciiTheme="majorHAnsi" w:hAnsiTheme="majorHAnsi"/>
                          <w:color w:val="0D0D0D" w:themeColor="text1" w:themeTint="F2"/>
                          <w:sz w:val="18"/>
                          <w:szCs w:val="20"/>
                          <w:lang w:val="es-419"/>
                        </w:rPr>
                        <w:t>elecrónicamente</w:t>
                      </w:r>
                      <w:proofErr w:type="spellEnd"/>
                      <w:r w:rsidRPr="000E0D2C">
                        <w:rPr>
                          <w:rFonts w:asciiTheme="majorHAnsi" w:hAnsiTheme="majorHAnsi"/>
                          <w:color w:val="0D0D0D" w:themeColor="text1" w:themeTint="F2"/>
                          <w:sz w:val="18"/>
                          <w:szCs w:val="20"/>
                          <w:lang w:val="es-419"/>
                        </w:rPr>
                        <w:t xml:space="preserve"> por la Comisión el</w:t>
                      </w:r>
                      <w:r w:rsidR="008E7E81">
                        <w:rPr>
                          <w:rFonts w:asciiTheme="majorHAnsi" w:hAnsiTheme="majorHAnsi"/>
                          <w:color w:val="0D0D0D" w:themeColor="text1" w:themeTint="F2"/>
                          <w:sz w:val="18"/>
                          <w:szCs w:val="20"/>
                          <w:lang w:val="es-419"/>
                        </w:rPr>
                        <w:t xml:space="preserve"> </w:t>
                      </w:r>
                      <w:r w:rsidR="00C905F4">
                        <w:rPr>
                          <w:rFonts w:asciiTheme="majorHAnsi" w:hAnsiTheme="majorHAnsi"/>
                          <w:color w:val="0D0D0D" w:themeColor="text1" w:themeTint="F2"/>
                          <w:sz w:val="18"/>
                          <w:szCs w:val="20"/>
                          <w:lang w:val="es-419"/>
                        </w:rPr>
                        <w:t xml:space="preserve">12 </w:t>
                      </w:r>
                      <w:r w:rsidRPr="000E0D2C">
                        <w:rPr>
                          <w:rFonts w:asciiTheme="majorHAnsi" w:hAnsiTheme="majorHAnsi"/>
                          <w:color w:val="0D0D0D" w:themeColor="text1" w:themeTint="F2"/>
                          <w:sz w:val="18"/>
                          <w:szCs w:val="20"/>
                          <w:lang w:val="es-419"/>
                        </w:rPr>
                        <w:t xml:space="preserve">de </w:t>
                      </w:r>
                      <w:r w:rsidR="00C905F4">
                        <w:rPr>
                          <w:rFonts w:asciiTheme="majorHAnsi" w:hAnsiTheme="majorHAnsi"/>
                          <w:color w:val="0D0D0D" w:themeColor="text1" w:themeTint="F2"/>
                          <w:sz w:val="18"/>
                          <w:szCs w:val="20"/>
                          <w:lang w:val="es-419"/>
                        </w:rPr>
                        <w:t>marzo</w:t>
                      </w:r>
                      <w:r w:rsidRPr="000E0D2C">
                        <w:rPr>
                          <w:rFonts w:asciiTheme="majorHAnsi" w:hAnsiTheme="majorHAnsi"/>
                          <w:color w:val="0D0D0D" w:themeColor="text1" w:themeTint="F2"/>
                          <w:sz w:val="18"/>
                          <w:szCs w:val="20"/>
                          <w:lang w:val="es-419"/>
                        </w:rPr>
                        <w:t xml:space="preserve"> de 20</w:t>
                      </w:r>
                      <w:r w:rsidR="000E0D2C" w:rsidRPr="000E0D2C">
                        <w:rPr>
                          <w:rFonts w:asciiTheme="majorHAnsi" w:hAnsiTheme="majorHAnsi"/>
                          <w:color w:val="0D0D0D" w:themeColor="text1" w:themeTint="F2"/>
                          <w:sz w:val="18"/>
                          <w:szCs w:val="20"/>
                          <w:lang w:val="es-419"/>
                        </w:rPr>
                        <w:t>20</w:t>
                      </w:r>
                      <w:r w:rsidRPr="000E0D2C">
                        <w:rPr>
                          <w:rFonts w:asciiTheme="majorHAnsi" w:hAnsiTheme="majorHAnsi"/>
                          <w:color w:val="0D0D0D" w:themeColor="text1" w:themeTint="F2"/>
                          <w:sz w:val="18"/>
                          <w:szCs w:val="20"/>
                          <w:lang w:val="es-419"/>
                        </w:rPr>
                        <w:t>.</w:t>
                      </w:r>
                    </w:p>
                    <w:p w14:paraId="4BDF3581" w14:textId="77777777" w:rsidR="007E5B3C" w:rsidRPr="000E0D2C" w:rsidRDefault="007E5B3C" w:rsidP="00247403">
                      <w:pPr>
                        <w:tabs>
                          <w:tab w:val="center" w:pos="5400"/>
                        </w:tabs>
                        <w:suppressAutoHyphens/>
                        <w:spacing w:before="60"/>
                        <w:rPr>
                          <w:rFonts w:asciiTheme="minorHAnsi" w:hAnsiTheme="minorHAnsi" w:cs="Univers"/>
                          <w:color w:val="0D0D0D" w:themeColor="text1" w:themeTint="F2"/>
                          <w:sz w:val="20"/>
                          <w:szCs w:val="20"/>
                          <w:lang w:val="es-419"/>
                        </w:rPr>
                      </w:pPr>
                    </w:p>
                    <w:p w14:paraId="4D148488" w14:textId="77777777" w:rsidR="007E5B3C" w:rsidRPr="000E0D2C" w:rsidRDefault="007E5B3C" w:rsidP="0059191A">
                      <w:pPr>
                        <w:tabs>
                          <w:tab w:val="center" w:pos="5400"/>
                        </w:tabs>
                        <w:suppressAutoHyphens/>
                        <w:spacing w:before="60"/>
                        <w:rPr>
                          <w:rFonts w:ascii="Calibri" w:hAnsi="Calibri"/>
                          <w:color w:val="FFFFFF" w:themeColor="background1"/>
                          <w:spacing w:val="-2"/>
                          <w:sz w:val="16"/>
                          <w:lang w:val="es-419"/>
                        </w:rPr>
                      </w:pPr>
                    </w:p>
                  </w:txbxContent>
                </v:textbox>
              </v:shape>
            </w:pict>
          </mc:Fallback>
        </mc:AlternateContent>
      </w:r>
    </w:p>
    <w:p w14:paraId="1F28BEBB"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BB2DCA" w:rsidRDefault="0090270B" w:rsidP="00040C3A">
      <w:pPr>
        <w:tabs>
          <w:tab w:val="center" w:pos="5400"/>
        </w:tabs>
        <w:suppressAutoHyphens/>
        <w:jc w:val="center"/>
        <w:rPr>
          <w:rFonts w:asciiTheme="majorHAnsi" w:hAnsiTheme="majorHAnsi"/>
          <w:sz w:val="18"/>
          <w:szCs w:val="22"/>
          <w:lang w:val="es-ES"/>
        </w:rPr>
      </w:pPr>
      <w:r w:rsidRPr="00BB2DC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34F5A" w14:textId="317FBEC7" w:rsidR="007E5B3C" w:rsidRPr="0038709A" w:rsidRDefault="007E5B3C" w:rsidP="00534941">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 No.</w:t>
                            </w:r>
                            <w:r w:rsidRPr="00890650">
                              <w:rPr>
                                <w:rFonts w:asciiTheme="majorHAnsi" w:hAnsiTheme="majorHAnsi"/>
                                <w:color w:val="595959" w:themeColor="text1" w:themeTint="A6"/>
                                <w:sz w:val="18"/>
                                <w:szCs w:val="18"/>
                                <w:lang w:val="pt-BR"/>
                              </w:rPr>
                              <w:t xml:space="preserve"> </w:t>
                            </w:r>
                            <w:r w:rsidR="00C905F4" w:rsidRPr="00C905F4">
                              <w:rPr>
                                <w:rFonts w:asciiTheme="majorHAnsi" w:hAnsiTheme="majorHAnsi"/>
                                <w:color w:val="595959" w:themeColor="text1" w:themeTint="A6"/>
                                <w:sz w:val="18"/>
                                <w:szCs w:val="18"/>
                                <w:lang w:val="pt-BR"/>
                              </w:rPr>
                              <w:t>70</w:t>
                            </w:r>
                            <w:r w:rsidRPr="00C905F4">
                              <w:rPr>
                                <w:rFonts w:asciiTheme="majorHAnsi" w:hAnsiTheme="majorHAnsi"/>
                                <w:color w:val="595959" w:themeColor="text1" w:themeTint="A6"/>
                                <w:sz w:val="18"/>
                                <w:szCs w:val="18"/>
                                <w:lang w:val="pt-BR"/>
                              </w:rPr>
                              <w:t>/</w:t>
                            </w:r>
                            <w:r w:rsidR="000E0D2C" w:rsidRPr="00C905F4">
                              <w:rPr>
                                <w:rFonts w:asciiTheme="majorHAnsi" w:hAnsiTheme="majorHAnsi"/>
                                <w:color w:val="595959" w:themeColor="text1" w:themeTint="A6"/>
                                <w:sz w:val="18"/>
                                <w:szCs w:val="18"/>
                                <w:lang w:val="pt-BR"/>
                              </w:rPr>
                              <w:t>20</w:t>
                            </w:r>
                            <w:r w:rsidRPr="00C905F4">
                              <w:rPr>
                                <w:rFonts w:asciiTheme="majorHAnsi" w:hAnsiTheme="majorHAnsi"/>
                                <w:color w:val="595959" w:themeColor="text1" w:themeTint="A6"/>
                                <w:sz w:val="18"/>
                                <w:szCs w:val="18"/>
                                <w:lang w:val="pt-BR"/>
                              </w:rPr>
                              <w:t xml:space="preserve">. </w:t>
                            </w:r>
                            <w:r w:rsidRPr="000E0D2C">
                              <w:rPr>
                                <w:rFonts w:asciiTheme="majorHAnsi" w:hAnsiTheme="majorHAnsi"/>
                                <w:color w:val="595959" w:themeColor="text1" w:themeTint="A6"/>
                                <w:sz w:val="18"/>
                                <w:szCs w:val="18"/>
                                <w:lang w:val="es-419"/>
                              </w:rPr>
                              <w:t>Petició</w:t>
                            </w:r>
                            <w:r w:rsidR="008477F5">
                              <w:rPr>
                                <w:rFonts w:asciiTheme="majorHAnsi" w:hAnsiTheme="majorHAnsi"/>
                                <w:color w:val="595959" w:themeColor="text1" w:themeTint="A6"/>
                                <w:sz w:val="18"/>
                                <w:szCs w:val="18"/>
                                <w:lang w:val="es-419"/>
                              </w:rPr>
                              <w:t xml:space="preserve">n 2326-12. Admisibilidad. </w:t>
                            </w:r>
                            <w:proofErr w:type="spellStart"/>
                            <w:r w:rsidR="008477F5">
                              <w:rPr>
                                <w:rFonts w:asciiTheme="majorHAnsi" w:hAnsiTheme="majorHAnsi"/>
                                <w:color w:val="595959" w:themeColor="text1" w:themeTint="A6"/>
                                <w:sz w:val="18"/>
                                <w:szCs w:val="18"/>
                                <w:lang w:val="es-419"/>
                              </w:rPr>
                              <w:t>Jonat</w:t>
                            </w:r>
                            <w:r w:rsidRPr="000E0D2C">
                              <w:rPr>
                                <w:rFonts w:asciiTheme="majorHAnsi" w:hAnsiTheme="majorHAnsi"/>
                                <w:color w:val="595959" w:themeColor="text1" w:themeTint="A6"/>
                                <w:sz w:val="18"/>
                                <w:szCs w:val="18"/>
                                <w:lang w:val="es-419"/>
                              </w:rPr>
                              <w:t>an</w:t>
                            </w:r>
                            <w:proofErr w:type="spellEnd"/>
                            <w:r w:rsidRPr="000E0D2C">
                              <w:rPr>
                                <w:rFonts w:asciiTheme="majorHAnsi" w:hAnsiTheme="majorHAnsi"/>
                                <w:color w:val="595959" w:themeColor="text1" w:themeTint="A6"/>
                                <w:sz w:val="18"/>
                                <w:szCs w:val="18"/>
                                <w:lang w:val="es-419"/>
                              </w:rPr>
                              <w:t xml:space="preserve"> Souza Azevedo.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C905F4">
                              <w:rPr>
                                <w:rFonts w:asciiTheme="majorHAnsi" w:hAnsiTheme="majorHAnsi"/>
                                <w:color w:val="595959" w:themeColor="text1" w:themeTint="A6"/>
                                <w:sz w:val="18"/>
                                <w:szCs w:val="18"/>
                                <w:lang w:val="pt-BR"/>
                              </w:rPr>
                              <w:t>12 de marzo de 2020</w:t>
                            </w:r>
                            <w:r w:rsidRPr="0038709A">
                              <w:rPr>
                                <w:rFonts w:asciiTheme="majorHAnsi" w:hAnsiTheme="majorHAnsi"/>
                                <w:color w:val="595959" w:themeColor="text1" w:themeTint="A6"/>
                                <w:sz w:val="18"/>
                                <w:szCs w:val="18"/>
                                <w:lang w:val="pt-BR"/>
                              </w:rPr>
                              <w:t>.</w:t>
                            </w:r>
                          </w:p>
                          <w:p w14:paraId="0D1B22CF" w14:textId="2D3CFA19" w:rsidR="007E5B3C" w:rsidRPr="007B05C4" w:rsidRDefault="007E5B3C"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7534F5A" w14:textId="317FBEC7" w:rsidR="007E5B3C" w:rsidRPr="0038709A" w:rsidRDefault="007E5B3C" w:rsidP="00534941">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 No.</w:t>
                      </w:r>
                      <w:r w:rsidRPr="00890650">
                        <w:rPr>
                          <w:rFonts w:asciiTheme="majorHAnsi" w:hAnsiTheme="majorHAnsi"/>
                          <w:color w:val="595959" w:themeColor="text1" w:themeTint="A6"/>
                          <w:sz w:val="18"/>
                          <w:szCs w:val="18"/>
                          <w:lang w:val="pt-BR"/>
                        </w:rPr>
                        <w:t xml:space="preserve"> </w:t>
                      </w:r>
                      <w:r w:rsidR="00C905F4" w:rsidRPr="00C905F4">
                        <w:rPr>
                          <w:rFonts w:asciiTheme="majorHAnsi" w:hAnsiTheme="majorHAnsi"/>
                          <w:color w:val="595959" w:themeColor="text1" w:themeTint="A6"/>
                          <w:sz w:val="18"/>
                          <w:szCs w:val="18"/>
                          <w:lang w:val="pt-BR"/>
                        </w:rPr>
                        <w:t>70</w:t>
                      </w:r>
                      <w:r w:rsidRPr="00C905F4">
                        <w:rPr>
                          <w:rFonts w:asciiTheme="majorHAnsi" w:hAnsiTheme="majorHAnsi"/>
                          <w:color w:val="595959" w:themeColor="text1" w:themeTint="A6"/>
                          <w:sz w:val="18"/>
                          <w:szCs w:val="18"/>
                          <w:lang w:val="pt-BR"/>
                        </w:rPr>
                        <w:t>/</w:t>
                      </w:r>
                      <w:r w:rsidR="000E0D2C" w:rsidRPr="00C905F4">
                        <w:rPr>
                          <w:rFonts w:asciiTheme="majorHAnsi" w:hAnsiTheme="majorHAnsi"/>
                          <w:color w:val="595959" w:themeColor="text1" w:themeTint="A6"/>
                          <w:sz w:val="18"/>
                          <w:szCs w:val="18"/>
                          <w:lang w:val="pt-BR"/>
                        </w:rPr>
                        <w:t>20</w:t>
                      </w:r>
                      <w:r w:rsidRPr="00C905F4">
                        <w:rPr>
                          <w:rFonts w:asciiTheme="majorHAnsi" w:hAnsiTheme="majorHAnsi"/>
                          <w:color w:val="595959" w:themeColor="text1" w:themeTint="A6"/>
                          <w:sz w:val="18"/>
                          <w:szCs w:val="18"/>
                          <w:lang w:val="pt-BR"/>
                        </w:rPr>
                        <w:t xml:space="preserve">. </w:t>
                      </w:r>
                      <w:r w:rsidRPr="000E0D2C">
                        <w:rPr>
                          <w:rFonts w:asciiTheme="majorHAnsi" w:hAnsiTheme="majorHAnsi"/>
                          <w:color w:val="595959" w:themeColor="text1" w:themeTint="A6"/>
                          <w:sz w:val="18"/>
                          <w:szCs w:val="18"/>
                          <w:lang w:val="es-419"/>
                        </w:rPr>
                        <w:t>Petició</w:t>
                      </w:r>
                      <w:r w:rsidR="008477F5">
                        <w:rPr>
                          <w:rFonts w:asciiTheme="majorHAnsi" w:hAnsiTheme="majorHAnsi"/>
                          <w:color w:val="595959" w:themeColor="text1" w:themeTint="A6"/>
                          <w:sz w:val="18"/>
                          <w:szCs w:val="18"/>
                          <w:lang w:val="es-419"/>
                        </w:rPr>
                        <w:t xml:space="preserve">n 2326-12. Admisibilidad. </w:t>
                      </w:r>
                      <w:proofErr w:type="spellStart"/>
                      <w:r w:rsidR="008477F5">
                        <w:rPr>
                          <w:rFonts w:asciiTheme="majorHAnsi" w:hAnsiTheme="majorHAnsi"/>
                          <w:color w:val="595959" w:themeColor="text1" w:themeTint="A6"/>
                          <w:sz w:val="18"/>
                          <w:szCs w:val="18"/>
                          <w:lang w:val="es-419"/>
                        </w:rPr>
                        <w:t>Jonat</w:t>
                      </w:r>
                      <w:bookmarkStart w:id="3" w:name="_GoBack"/>
                      <w:bookmarkEnd w:id="3"/>
                      <w:r w:rsidRPr="000E0D2C">
                        <w:rPr>
                          <w:rFonts w:asciiTheme="majorHAnsi" w:hAnsiTheme="majorHAnsi"/>
                          <w:color w:val="595959" w:themeColor="text1" w:themeTint="A6"/>
                          <w:sz w:val="18"/>
                          <w:szCs w:val="18"/>
                          <w:lang w:val="es-419"/>
                        </w:rPr>
                        <w:t>an</w:t>
                      </w:r>
                      <w:proofErr w:type="spellEnd"/>
                      <w:r w:rsidRPr="000E0D2C">
                        <w:rPr>
                          <w:rFonts w:asciiTheme="majorHAnsi" w:hAnsiTheme="majorHAnsi"/>
                          <w:color w:val="595959" w:themeColor="text1" w:themeTint="A6"/>
                          <w:sz w:val="18"/>
                          <w:szCs w:val="18"/>
                          <w:lang w:val="es-419"/>
                        </w:rPr>
                        <w:t xml:space="preserve"> Souza Azevedo.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C905F4">
                        <w:rPr>
                          <w:rFonts w:asciiTheme="majorHAnsi" w:hAnsiTheme="majorHAnsi"/>
                          <w:color w:val="595959" w:themeColor="text1" w:themeTint="A6"/>
                          <w:sz w:val="18"/>
                          <w:szCs w:val="18"/>
                          <w:lang w:val="pt-BR"/>
                        </w:rPr>
                        <w:t>12 de marzo de 2020</w:t>
                      </w:r>
                      <w:r w:rsidRPr="0038709A">
                        <w:rPr>
                          <w:rFonts w:asciiTheme="majorHAnsi" w:hAnsiTheme="majorHAnsi"/>
                          <w:color w:val="595959" w:themeColor="text1" w:themeTint="A6"/>
                          <w:sz w:val="18"/>
                          <w:szCs w:val="18"/>
                          <w:lang w:val="pt-BR"/>
                        </w:rPr>
                        <w:t>.</w:t>
                      </w:r>
                    </w:p>
                    <w:p w14:paraId="0D1B22CF" w14:textId="2D3CFA19" w:rsidR="007E5B3C" w:rsidRPr="007B05C4" w:rsidRDefault="007E5B3C"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BB2DCA" w:rsidRDefault="00A50FCF" w:rsidP="00040C3A">
      <w:pPr>
        <w:tabs>
          <w:tab w:val="center" w:pos="5400"/>
        </w:tabs>
        <w:suppressAutoHyphens/>
        <w:jc w:val="center"/>
        <w:rPr>
          <w:rFonts w:asciiTheme="majorHAnsi" w:hAnsiTheme="majorHAnsi"/>
          <w:sz w:val="18"/>
          <w:szCs w:val="22"/>
          <w:lang w:val="es-ES"/>
        </w:rPr>
      </w:pPr>
    </w:p>
    <w:p w14:paraId="1DA07629" w14:textId="54F39133" w:rsidR="0090270B" w:rsidRPr="00BB2DCA" w:rsidRDefault="00D306D1" w:rsidP="005516A1">
      <w:pPr>
        <w:tabs>
          <w:tab w:val="center" w:pos="5400"/>
        </w:tabs>
        <w:suppressAutoHyphens/>
        <w:jc w:val="center"/>
        <w:rPr>
          <w:rFonts w:asciiTheme="majorHAnsi" w:hAnsiTheme="majorHAnsi"/>
          <w:b/>
          <w:sz w:val="20"/>
          <w:lang w:val="es-ES"/>
        </w:rPr>
      </w:pPr>
      <w:r w:rsidRPr="00BB2DC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2B91C7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7E5B3C" w:rsidRPr="00C905F4" w:rsidRDefault="007E5B3C" w:rsidP="00D306D1">
                            <w:pPr>
                              <w:jc w:val="center"/>
                              <w:rPr>
                                <w:rFonts w:asciiTheme="minorHAnsi" w:hAnsiTheme="minorHAnsi"/>
                                <w:b/>
                                <w:color w:val="FFFFFF" w:themeColor="background1"/>
                              </w:rPr>
                            </w:pPr>
                            <w:r w:rsidRPr="00C905F4">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7E5B3C" w:rsidRPr="00C905F4" w:rsidRDefault="007E5B3C" w:rsidP="00D306D1">
                      <w:pPr>
                        <w:jc w:val="center"/>
                        <w:rPr>
                          <w:rFonts w:asciiTheme="minorHAnsi" w:hAnsiTheme="minorHAnsi"/>
                          <w:b/>
                          <w:color w:val="FFFFFF" w:themeColor="background1"/>
                        </w:rPr>
                      </w:pPr>
                      <w:r w:rsidRPr="00C905F4">
                        <w:rPr>
                          <w:rFonts w:asciiTheme="minorHAnsi" w:hAnsiTheme="minorHAnsi"/>
                          <w:b/>
                          <w:color w:val="FFFFFF" w:themeColor="background1"/>
                          <w:lang w:val="pt-BR"/>
                        </w:rPr>
                        <w:t>www.cidh.org</w:t>
                      </w:r>
                    </w:p>
                  </w:txbxContent>
                </v:textbox>
              </v:shape>
            </w:pict>
          </mc:Fallback>
        </mc:AlternateContent>
      </w:r>
    </w:p>
    <w:p w14:paraId="2FE1B253" w14:textId="1F162A78" w:rsidR="0070697F" w:rsidRPr="00BB2DCA" w:rsidRDefault="00C905F4" w:rsidP="005516A1">
      <w:pPr>
        <w:tabs>
          <w:tab w:val="center" w:pos="5400"/>
        </w:tabs>
        <w:suppressAutoHyphens/>
        <w:jc w:val="center"/>
        <w:rPr>
          <w:rFonts w:asciiTheme="majorHAnsi" w:hAnsiTheme="majorHAnsi"/>
          <w:b/>
          <w:sz w:val="20"/>
          <w:lang w:val="es-ES"/>
        </w:rPr>
        <w:sectPr w:rsidR="0070697F" w:rsidRPr="00BB2DCA"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B2DC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56B3326">
                <wp:simplePos x="0" y="0"/>
                <wp:positionH relativeFrom="column">
                  <wp:posOffset>1344114</wp:posOffset>
                </wp:positionH>
                <wp:positionV relativeFrom="page">
                  <wp:posOffset>9018814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4E12557" w:rsidR="007E5B3C" w:rsidRPr="00D72DC6" w:rsidRDefault="00184F52" w:rsidP="00F02AD1">
                            <w:pPr>
                              <w:rPr>
                                <w:color w:val="FFFFFF" w:themeColor="background1"/>
                                <w14:textFill>
                                  <w14:noFill/>
                                </w14:textFill>
                              </w:rPr>
                            </w:pPr>
                            <w:r>
                              <w:rPr>
                                <w:noProof/>
                                <w:color w:val="FFFFFF" w:themeColor="background1"/>
                              </w:rPr>
                              <w:drawing>
                                <wp:inline distT="0" distB="0" distL="0" distR="0" wp14:anchorId="6C623F76" wp14:editId="18A34D26">
                                  <wp:extent cx="1824355" cy="4692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2" type="#_x0000_t202" style="position:absolute;left:0;text-align:left;margin-left:105.85pt;margin-top:710.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" fillcolor="white [3201]" stroked="f" strokeweight=".5pt">
                <v:textbox>
                  <w:txbxContent>
                    <w:p w14:paraId="2A1ECD3C" w14:textId="24E12557" w:rsidR="007E5B3C" w:rsidRPr="00D72DC6" w:rsidRDefault="00184F52" w:rsidP="00F02AD1">
                      <w:pPr>
                        <w:rPr>
                          <w:color w:val="FFFFFF" w:themeColor="background1"/>
                          <w14:textFill>
                            <w14:noFill/>
                          </w14:textFill>
                        </w:rPr>
                      </w:pPr>
                      <w:r>
                        <w:rPr>
                          <w:noProof/>
                          <w:color w:val="FFFFFF" w:themeColor="background1"/>
                        </w:rPr>
                        <w:drawing>
                          <wp:inline distT="0" distB="0" distL="0" distR="0" wp14:anchorId="6C623F76" wp14:editId="18A34D26">
                            <wp:extent cx="1824355" cy="4692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w10:wrap anchory="page"/>
              </v:shape>
            </w:pict>
          </mc:Fallback>
        </mc:AlternateContent>
      </w:r>
      <w:r w:rsidR="004A6A54" w:rsidRPr="00BB2DCA">
        <w:rPr>
          <w:rFonts w:asciiTheme="majorHAnsi" w:hAnsiTheme="majorHAnsi"/>
          <w:b/>
          <w:sz w:val="20"/>
          <w:lang w:val="es-ES"/>
        </w:rPr>
        <w:tab/>
      </w:r>
    </w:p>
    <w:p w14:paraId="376DDC8B" w14:textId="2501472E" w:rsidR="003239B8" w:rsidRPr="009B4C53" w:rsidRDefault="00394E04" w:rsidP="0028163E">
      <w:pPr>
        <w:pStyle w:val="ListParagraph"/>
        <w:numPr>
          <w:ilvl w:val="0"/>
          <w:numId w:val="111"/>
        </w:numPr>
        <w:spacing w:after="120"/>
        <w:jc w:val="both"/>
        <w:rPr>
          <w:b/>
          <w:bCs/>
          <w:sz w:val="20"/>
          <w:szCs w:val="20"/>
          <w:lang w:val="es-ES"/>
        </w:rPr>
      </w:pPr>
      <w:r w:rsidRPr="009B4C53">
        <w:rPr>
          <w:b/>
          <w:bCs/>
          <w:sz w:val="20"/>
          <w:szCs w:val="20"/>
          <w:lang w:val="es-ES"/>
        </w:rPr>
        <w:lastRenderedPageBreak/>
        <w:t>DATOS DE LA PETICIÓN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060"/>
        <w:gridCol w:w="6300"/>
      </w:tblGrid>
      <w:tr w:rsidR="00394E04" w:rsidRPr="00BB553D" w14:paraId="036FDCBB" w14:textId="77777777" w:rsidTr="00142F8A">
        <w:tc>
          <w:tcPr>
            <w:tcW w:w="3060" w:type="dxa"/>
            <w:tcBorders>
              <w:top w:val="single" w:sz="4" w:space="0" w:color="auto"/>
              <w:bottom w:val="single" w:sz="6" w:space="0" w:color="auto"/>
            </w:tcBorders>
            <w:shd w:val="clear" w:color="auto" w:fill="4A7194"/>
          </w:tcPr>
          <w:p w14:paraId="676248FE" w14:textId="21C2E690" w:rsidR="00394E04" w:rsidRPr="00142F8A" w:rsidRDefault="00394E04" w:rsidP="00D872D6">
            <w:pPr>
              <w:jc w:val="center"/>
              <w:rPr>
                <w:rFonts w:ascii="Cambria" w:hAnsi="Cambria"/>
                <w:b/>
                <w:bCs/>
                <w:color w:val="FFFFFF" w:themeColor="background1"/>
                <w:sz w:val="20"/>
                <w:szCs w:val="20"/>
                <w:lang w:val="es-ES"/>
              </w:rPr>
            </w:pPr>
            <w:r w:rsidRPr="00142F8A">
              <w:rPr>
                <w:rFonts w:ascii="Cambria" w:hAnsi="Cambria"/>
                <w:b/>
                <w:color w:val="FFFFFF" w:themeColor="background1"/>
                <w:sz w:val="20"/>
                <w:szCs w:val="20"/>
                <w:lang w:val="es-ES"/>
              </w:rPr>
              <w:t>Parte peticionaria:</w:t>
            </w:r>
          </w:p>
        </w:tc>
        <w:tc>
          <w:tcPr>
            <w:tcW w:w="6300" w:type="dxa"/>
            <w:vAlign w:val="center"/>
          </w:tcPr>
          <w:p w14:paraId="40973242" w14:textId="34C57323" w:rsidR="00394E04" w:rsidRPr="009B4C53" w:rsidRDefault="00394E04" w:rsidP="00D872D6">
            <w:pPr>
              <w:jc w:val="both"/>
              <w:rPr>
                <w:rFonts w:ascii="Cambria" w:hAnsi="Cambria"/>
                <w:bCs/>
                <w:sz w:val="20"/>
                <w:szCs w:val="20"/>
                <w:lang w:val="es-ES"/>
              </w:rPr>
            </w:pPr>
            <w:r w:rsidRPr="009B4C53">
              <w:rPr>
                <w:rFonts w:ascii="Cambria" w:hAnsi="Cambria"/>
                <w:bCs/>
                <w:sz w:val="20"/>
                <w:szCs w:val="20"/>
                <w:lang w:val="es-ES"/>
              </w:rPr>
              <w:t xml:space="preserve">Núcleo de </w:t>
            </w:r>
            <w:r w:rsidR="00BB2DCA" w:rsidRPr="009B4C53">
              <w:rPr>
                <w:rFonts w:ascii="Cambria" w:hAnsi="Cambria"/>
                <w:bCs/>
                <w:sz w:val="20"/>
                <w:szCs w:val="20"/>
                <w:lang w:val="es-ES"/>
              </w:rPr>
              <w:t>Derechos</w:t>
            </w:r>
            <w:r w:rsidRPr="009B4C53">
              <w:rPr>
                <w:rFonts w:ascii="Cambria" w:hAnsi="Cambria"/>
                <w:bCs/>
                <w:sz w:val="20"/>
                <w:szCs w:val="20"/>
                <w:lang w:val="es-ES"/>
              </w:rPr>
              <w:t xml:space="preserve"> Humanos d</w:t>
            </w:r>
            <w:r w:rsidR="00BB2DCA" w:rsidRPr="009B4C53">
              <w:rPr>
                <w:rFonts w:ascii="Cambria" w:hAnsi="Cambria"/>
                <w:bCs/>
                <w:sz w:val="20"/>
                <w:szCs w:val="20"/>
                <w:lang w:val="es-ES"/>
              </w:rPr>
              <w:t>e l</w:t>
            </w:r>
            <w:r w:rsidRPr="009B4C53">
              <w:rPr>
                <w:rFonts w:ascii="Cambria" w:hAnsi="Cambria"/>
                <w:bCs/>
                <w:sz w:val="20"/>
                <w:szCs w:val="20"/>
                <w:lang w:val="es-ES"/>
              </w:rPr>
              <w:t xml:space="preserve">a </w:t>
            </w:r>
            <w:r w:rsidR="00BB2DCA" w:rsidRPr="009B4C53">
              <w:rPr>
                <w:rFonts w:ascii="Cambria" w:hAnsi="Cambria"/>
                <w:bCs/>
                <w:sz w:val="20"/>
                <w:szCs w:val="20"/>
                <w:lang w:val="es-ES"/>
              </w:rPr>
              <w:t>Defensoría</w:t>
            </w:r>
            <w:r w:rsidRPr="009B4C53">
              <w:rPr>
                <w:rFonts w:ascii="Cambria" w:hAnsi="Cambria"/>
                <w:bCs/>
                <w:sz w:val="20"/>
                <w:szCs w:val="20"/>
                <w:lang w:val="es-ES"/>
              </w:rPr>
              <w:t xml:space="preserve"> Pública d</w:t>
            </w:r>
            <w:r w:rsidR="001A5D84" w:rsidRPr="009B4C53">
              <w:rPr>
                <w:rFonts w:ascii="Cambria" w:hAnsi="Cambria"/>
                <w:bCs/>
                <w:sz w:val="20"/>
                <w:szCs w:val="20"/>
                <w:lang w:val="es-ES"/>
              </w:rPr>
              <w:t>el Estado</w:t>
            </w:r>
            <w:r w:rsidRPr="009B4C53">
              <w:rPr>
                <w:rFonts w:ascii="Cambria" w:hAnsi="Cambria"/>
                <w:bCs/>
                <w:sz w:val="20"/>
                <w:szCs w:val="20"/>
                <w:lang w:val="es-ES"/>
              </w:rPr>
              <w:t xml:space="preserve"> de São Paulo</w:t>
            </w:r>
            <w:r w:rsidR="003C37B1">
              <w:rPr>
                <w:rFonts w:ascii="Cambria" w:hAnsi="Cambria"/>
                <w:bCs/>
                <w:sz w:val="20"/>
                <w:szCs w:val="20"/>
                <w:lang w:val="es-ES"/>
              </w:rPr>
              <w:t xml:space="preserve"> (en adelante “DPE/SP”)</w:t>
            </w:r>
          </w:p>
        </w:tc>
      </w:tr>
      <w:tr w:rsidR="00394E04" w:rsidRPr="009B4C53" w14:paraId="499CACBF" w14:textId="77777777" w:rsidTr="00142F8A">
        <w:tc>
          <w:tcPr>
            <w:tcW w:w="3060" w:type="dxa"/>
            <w:tcBorders>
              <w:top w:val="single" w:sz="6" w:space="0" w:color="auto"/>
              <w:bottom w:val="single" w:sz="6" w:space="0" w:color="auto"/>
            </w:tcBorders>
            <w:shd w:val="clear" w:color="auto" w:fill="4A7194"/>
          </w:tcPr>
          <w:p w14:paraId="7573A1BC" w14:textId="0F114022" w:rsidR="00394E04" w:rsidRPr="00142F8A" w:rsidRDefault="00394E04" w:rsidP="00D872D6">
            <w:pPr>
              <w:jc w:val="center"/>
              <w:rPr>
                <w:rFonts w:ascii="Cambria" w:hAnsi="Cambria"/>
                <w:b/>
                <w:bCs/>
                <w:color w:val="FFFFFF" w:themeColor="background1"/>
                <w:sz w:val="20"/>
                <w:szCs w:val="20"/>
                <w:lang w:val="es-ES"/>
              </w:rPr>
            </w:pPr>
            <w:r w:rsidRPr="00142F8A">
              <w:rPr>
                <w:rFonts w:ascii="Cambria" w:hAnsi="Cambria"/>
                <w:b/>
                <w:color w:val="FFFFFF" w:themeColor="background1"/>
                <w:sz w:val="20"/>
                <w:szCs w:val="20"/>
                <w:lang w:val="es-ES"/>
              </w:rPr>
              <w:t>Presunta víctima:</w:t>
            </w:r>
          </w:p>
        </w:tc>
        <w:tc>
          <w:tcPr>
            <w:tcW w:w="6300" w:type="dxa"/>
            <w:vAlign w:val="center"/>
          </w:tcPr>
          <w:p w14:paraId="7010A527" w14:textId="4B22EFBD" w:rsidR="00394E04" w:rsidRPr="009B4C53" w:rsidRDefault="008477F5" w:rsidP="00D872D6">
            <w:pPr>
              <w:jc w:val="both"/>
              <w:rPr>
                <w:rFonts w:ascii="Cambria" w:hAnsi="Cambria"/>
                <w:bCs/>
                <w:sz w:val="20"/>
                <w:szCs w:val="20"/>
                <w:lang w:val="es-ES"/>
              </w:rPr>
            </w:pPr>
            <w:proofErr w:type="spellStart"/>
            <w:r>
              <w:rPr>
                <w:rFonts w:ascii="Cambria" w:hAnsi="Cambria"/>
                <w:bCs/>
                <w:sz w:val="20"/>
                <w:szCs w:val="20"/>
                <w:lang w:val="es-ES"/>
              </w:rPr>
              <w:t>Jonat</w:t>
            </w:r>
            <w:r w:rsidR="00394E04" w:rsidRPr="009B4C53">
              <w:rPr>
                <w:rFonts w:ascii="Cambria" w:hAnsi="Cambria"/>
                <w:bCs/>
                <w:sz w:val="20"/>
                <w:szCs w:val="20"/>
                <w:lang w:val="es-ES"/>
              </w:rPr>
              <w:t>an</w:t>
            </w:r>
            <w:proofErr w:type="spellEnd"/>
            <w:r w:rsidR="00394E04" w:rsidRPr="009B4C53">
              <w:rPr>
                <w:rFonts w:ascii="Cambria" w:hAnsi="Cambria"/>
                <w:bCs/>
                <w:sz w:val="20"/>
                <w:szCs w:val="20"/>
                <w:lang w:val="es-ES"/>
              </w:rPr>
              <w:t xml:space="preserve"> Souza Azevedo</w:t>
            </w:r>
          </w:p>
        </w:tc>
      </w:tr>
      <w:tr w:rsidR="00394E04" w:rsidRPr="009B4C53" w14:paraId="33431EE4" w14:textId="77777777" w:rsidTr="00142F8A">
        <w:tc>
          <w:tcPr>
            <w:tcW w:w="3060" w:type="dxa"/>
            <w:tcBorders>
              <w:top w:val="single" w:sz="6" w:space="0" w:color="auto"/>
              <w:bottom w:val="single" w:sz="6" w:space="0" w:color="auto"/>
            </w:tcBorders>
            <w:shd w:val="clear" w:color="auto" w:fill="4A7194"/>
          </w:tcPr>
          <w:p w14:paraId="1A9C04AA" w14:textId="663A2E0E" w:rsidR="00394E04" w:rsidRPr="00142F8A" w:rsidRDefault="00394E04" w:rsidP="00D872D6">
            <w:pPr>
              <w:jc w:val="center"/>
              <w:rPr>
                <w:rFonts w:ascii="Cambria" w:hAnsi="Cambria"/>
                <w:b/>
                <w:bCs/>
                <w:color w:val="FFFFFF" w:themeColor="background1"/>
                <w:sz w:val="20"/>
                <w:szCs w:val="20"/>
                <w:lang w:val="es-ES"/>
              </w:rPr>
            </w:pPr>
            <w:r w:rsidRPr="00142F8A">
              <w:rPr>
                <w:rFonts w:ascii="Cambria" w:hAnsi="Cambria"/>
                <w:b/>
                <w:color w:val="FFFFFF" w:themeColor="background1"/>
                <w:sz w:val="20"/>
                <w:szCs w:val="20"/>
                <w:lang w:val="es-ES"/>
              </w:rPr>
              <w:t>Estado denunciado:</w:t>
            </w:r>
          </w:p>
        </w:tc>
        <w:tc>
          <w:tcPr>
            <w:tcW w:w="6300" w:type="dxa"/>
            <w:vAlign w:val="center"/>
          </w:tcPr>
          <w:p w14:paraId="6E6BA919" w14:textId="77777777" w:rsidR="00394E04" w:rsidRPr="009B4C53" w:rsidRDefault="00394E04" w:rsidP="00D872D6">
            <w:pPr>
              <w:jc w:val="both"/>
              <w:rPr>
                <w:rFonts w:ascii="Cambria" w:hAnsi="Cambria"/>
                <w:bCs/>
                <w:sz w:val="20"/>
                <w:szCs w:val="20"/>
                <w:lang w:val="es-ES"/>
              </w:rPr>
            </w:pPr>
            <w:r w:rsidRPr="009B4C53">
              <w:rPr>
                <w:rFonts w:ascii="Cambria" w:hAnsi="Cambria"/>
                <w:bCs/>
                <w:sz w:val="20"/>
                <w:szCs w:val="20"/>
                <w:lang w:val="es-ES"/>
              </w:rPr>
              <w:t>Brasil</w:t>
            </w:r>
            <w:r w:rsidRPr="009B4C53">
              <w:rPr>
                <w:rStyle w:val="FootnoteReference"/>
                <w:rFonts w:ascii="Cambria" w:hAnsi="Cambria"/>
                <w:bCs/>
                <w:sz w:val="20"/>
                <w:szCs w:val="20"/>
                <w:lang w:val="es-ES"/>
              </w:rPr>
              <w:footnoteReference w:id="2"/>
            </w:r>
          </w:p>
        </w:tc>
      </w:tr>
      <w:tr w:rsidR="00394E04" w:rsidRPr="00BB553D" w14:paraId="1FD0D452" w14:textId="77777777" w:rsidTr="00142F8A">
        <w:tc>
          <w:tcPr>
            <w:tcW w:w="3060" w:type="dxa"/>
            <w:tcBorders>
              <w:top w:val="single" w:sz="6" w:space="0" w:color="auto"/>
              <w:bottom w:val="single" w:sz="6" w:space="0" w:color="auto"/>
            </w:tcBorders>
            <w:shd w:val="clear" w:color="auto" w:fill="4A7194"/>
          </w:tcPr>
          <w:p w14:paraId="3104DF94" w14:textId="34EB92B4" w:rsidR="00394E04" w:rsidRPr="00142F8A" w:rsidRDefault="00394E04" w:rsidP="00D872D6">
            <w:pPr>
              <w:jc w:val="center"/>
              <w:rPr>
                <w:rFonts w:ascii="Cambria" w:hAnsi="Cambria"/>
                <w:b/>
                <w:bCs/>
                <w:color w:val="FFFFFF" w:themeColor="background1"/>
                <w:sz w:val="20"/>
                <w:szCs w:val="20"/>
                <w:lang w:val="es-ES"/>
              </w:rPr>
            </w:pPr>
            <w:r w:rsidRPr="00142F8A">
              <w:rPr>
                <w:rFonts w:ascii="Cambria" w:hAnsi="Cambria"/>
                <w:b/>
                <w:color w:val="FFFFFF" w:themeColor="background1"/>
                <w:sz w:val="20"/>
                <w:szCs w:val="20"/>
                <w:lang w:val="es-ES"/>
              </w:rPr>
              <w:t>Derechos invocados:</w:t>
            </w:r>
          </w:p>
        </w:tc>
        <w:tc>
          <w:tcPr>
            <w:tcW w:w="6300" w:type="dxa"/>
            <w:vAlign w:val="center"/>
          </w:tcPr>
          <w:p w14:paraId="230206EF" w14:textId="01D02968" w:rsidR="00394E04" w:rsidRPr="009B4C53" w:rsidRDefault="00394E04" w:rsidP="003C37B1">
            <w:pPr>
              <w:jc w:val="both"/>
              <w:rPr>
                <w:rFonts w:ascii="Cambria" w:hAnsi="Cambria"/>
                <w:bCs/>
                <w:color w:val="FF0000"/>
                <w:sz w:val="20"/>
                <w:szCs w:val="20"/>
                <w:lang w:val="es-ES"/>
              </w:rPr>
            </w:pPr>
            <w:r w:rsidRPr="009B4C53">
              <w:rPr>
                <w:rFonts w:ascii="Cambria" w:hAnsi="Cambria"/>
                <w:bCs/>
                <w:sz w:val="20"/>
                <w:szCs w:val="20"/>
                <w:lang w:val="es-ES"/>
              </w:rPr>
              <w:t xml:space="preserve">Artículos 5 (derecho a la integridad personal), 8 (garantías judiciales) y 25 (protección judicial) de la Convención Americana </w:t>
            </w:r>
            <w:r w:rsidR="003C37B1">
              <w:rPr>
                <w:rFonts w:ascii="Cambria" w:hAnsi="Cambria"/>
                <w:bCs/>
                <w:sz w:val="20"/>
                <w:szCs w:val="20"/>
                <w:lang w:val="es-ES"/>
              </w:rPr>
              <w:t>sobre</w:t>
            </w:r>
            <w:r w:rsidRPr="009B4C53">
              <w:rPr>
                <w:rFonts w:ascii="Cambria" w:hAnsi="Cambria"/>
                <w:bCs/>
                <w:sz w:val="20"/>
                <w:szCs w:val="20"/>
                <w:lang w:val="es-ES"/>
              </w:rPr>
              <w:t xml:space="preserve"> Derechos Humanos</w:t>
            </w:r>
            <w:r w:rsidRPr="009B4C53">
              <w:rPr>
                <w:rStyle w:val="FootnoteReference"/>
                <w:rFonts w:ascii="Cambria" w:hAnsi="Cambria"/>
                <w:bCs/>
                <w:sz w:val="20"/>
                <w:szCs w:val="20"/>
                <w:lang w:val="es-ES"/>
              </w:rPr>
              <w:footnoteReference w:id="3"/>
            </w:r>
            <w:r w:rsidRPr="009B4C53">
              <w:rPr>
                <w:rFonts w:ascii="Cambria" w:hAnsi="Cambria"/>
                <w:bCs/>
                <w:sz w:val="20"/>
                <w:szCs w:val="20"/>
                <w:lang w:val="es-ES"/>
              </w:rPr>
              <w:t xml:space="preserve">, en relación con </w:t>
            </w:r>
            <w:r w:rsidR="003C37B1">
              <w:rPr>
                <w:rFonts w:ascii="Cambria" w:hAnsi="Cambria"/>
                <w:bCs/>
                <w:sz w:val="20"/>
                <w:szCs w:val="20"/>
                <w:lang w:val="es-ES"/>
              </w:rPr>
              <w:t>su</w:t>
            </w:r>
            <w:r w:rsidRPr="009B4C53">
              <w:rPr>
                <w:rFonts w:ascii="Cambria" w:hAnsi="Cambria"/>
                <w:bCs/>
                <w:sz w:val="20"/>
                <w:szCs w:val="20"/>
                <w:lang w:val="es-ES"/>
              </w:rPr>
              <w:t xml:space="preserve"> artículo 1.1 (obligación de respetar los derechos)</w:t>
            </w:r>
            <w:r w:rsidR="003C37B1">
              <w:rPr>
                <w:rFonts w:ascii="Cambria" w:hAnsi="Cambria"/>
                <w:bCs/>
                <w:sz w:val="20"/>
                <w:szCs w:val="20"/>
                <w:lang w:val="es-ES"/>
              </w:rPr>
              <w:t>;</w:t>
            </w:r>
            <w:r w:rsidRPr="009B4C53">
              <w:rPr>
                <w:rFonts w:ascii="Cambria" w:hAnsi="Cambria"/>
                <w:bCs/>
                <w:sz w:val="20"/>
                <w:szCs w:val="20"/>
                <w:lang w:val="es-ES"/>
              </w:rPr>
              <w:t xml:space="preserve"> y artículos 2 y 8 de la Convención Interamericana para Prevenir y Sancionar la Tortura</w:t>
            </w:r>
          </w:p>
        </w:tc>
      </w:tr>
    </w:tbl>
    <w:p w14:paraId="20263696" w14:textId="4B78FB02" w:rsidR="003239B8" w:rsidRPr="009B4C53" w:rsidRDefault="003239B8" w:rsidP="007C402A">
      <w:pPr>
        <w:spacing w:before="120" w:after="120"/>
        <w:ind w:firstLine="720"/>
        <w:jc w:val="both"/>
        <w:rPr>
          <w:rFonts w:ascii="Cambria" w:hAnsi="Cambria"/>
          <w:b/>
          <w:bCs/>
          <w:sz w:val="20"/>
          <w:szCs w:val="20"/>
          <w:lang w:val="es-ES"/>
        </w:rPr>
      </w:pPr>
      <w:r w:rsidRPr="009B4C53">
        <w:rPr>
          <w:rFonts w:ascii="Cambria" w:hAnsi="Cambria"/>
          <w:b/>
          <w:bCs/>
          <w:sz w:val="20"/>
          <w:szCs w:val="20"/>
          <w:lang w:val="es-ES"/>
        </w:rPr>
        <w:t>II.</w:t>
      </w:r>
      <w:r w:rsidRPr="009B4C53">
        <w:rPr>
          <w:rFonts w:ascii="Cambria" w:hAnsi="Cambria"/>
          <w:b/>
          <w:bCs/>
          <w:sz w:val="20"/>
          <w:szCs w:val="20"/>
          <w:lang w:val="es-ES"/>
        </w:rPr>
        <w:tab/>
      </w:r>
      <w:r w:rsidR="0028163E" w:rsidRPr="009B4C53">
        <w:rPr>
          <w:rFonts w:ascii="Cambria" w:hAnsi="Cambria"/>
          <w:b/>
          <w:bCs/>
          <w:sz w:val="20"/>
          <w:szCs w:val="20"/>
          <w:lang w:val="es-ES"/>
        </w:rPr>
        <w:t>TR</w:t>
      </w:r>
      <w:r w:rsidR="00394E04" w:rsidRPr="009B4C53">
        <w:rPr>
          <w:rFonts w:ascii="Cambria" w:hAnsi="Cambria"/>
          <w:b/>
          <w:bCs/>
          <w:sz w:val="20"/>
          <w:szCs w:val="20"/>
          <w:lang w:val="es-ES"/>
        </w:rPr>
        <w:t>Á</w:t>
      </w:r>
      <w:r w:rsidR="0028163E" w:rsidRPr="009B4C53">
        <w:rPr>
          <w:rFonts w:ascii="Cambria" w:hAnsi="Cambria"/>
          <w:b/>
          <w:bCs/>
          <w:sz w:val="20"/>
          <w:szCs w:val="20"/>
          <w:lang w:val="es-ES"/>
        </w:rPr>
        <w:t xml:space="preserve">MITE ANTE </w:t>
      </w:r>
      <w:r w:rsidR="00394E04" w:rsidRPr="009B4C53">
        <w:rPr>
          <w:rFonts w:ascii="Cambria" w:hAnsi="Cambria"/>
          <w:b/>
          <w:bCs/>
          <w:sz w:val="20"/>
          <w:szCs w:val="20"/>
          <w:lang w:val="es-ES"/>
        </w:rPr>
        <w:t>L</w:t>
      </w:r>
      <w:r w:rsidR="0028163E" w:rsidRPr="009B4C53">
        <w:rPr>
          <w:rFonts w:ascii="Cambria" w:hAnsi="Cambria"/>
          <w:b/>
          <w:bCs/>
          <w:sz w:val="20"/>
          <w:szCs w:val="20"/>
          <w:lang w:val="es-ES"/>
        </w:rPr>
        <w:t>A CIDH</w:t>
      </w:r>
      <w:r w:rsidR="008E3BFE" w:rsidRPr="009B4C53">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060"/>
        <w:gridCol w:w="6300"/>
      </w:tblGrid>
      <w:tr w:rsidR="00394E04" w:rsidRPr="009B4C53" w14:paraId="306EFCB0" w14:textId="77777777" w:rsidTr="00142F8A">
        <w:tc>
          <w:tcPr>
            <w:tcW w:w="3060" w:type="dxa"/>
            <w:tcBorders>
              <w:top w:val="single" w:sz="6" w:space="0" w:color="auto"/>
              <w:bottom w:val="single" w:sz="6" w:space="0" w:color="auto"/>
            </w:tcBorders>
            <w:shd w:val="clear" w:color="auto" w:fill="4A7194"/>
            <w:vAlign w:val="center"/>
          </w:tcPr>
          <w:p w14:paraId="7FC270B2" w14:textId="77777777" w:rsidR="00394E04" w:rsidRPr="00142F8A" w:rsidRDefault="00394E04" w:rsidP="00D872D6">
            <w:pPr>
              <w:jc w:val="center"/>
              <w:rPr>
                <w:rFonts w:ascii="Cambria" w:hAnsi="Cambria"/>
                <w:b/>
                <w:bCs/>
                <w:color w:val="FFFFFF" w:themeColor="background1"/>
                <w:sz w:val="20"/>
                <w:szCs w:val="20"/>
                <w:lang w:val="es-ES"/>
              </w:rPr>
            </w:pPr>
            <w:r w:rsidRPr="00142F8A">
              <w:rPr>
                <w:rFonts w:ascii="Cambria" w:hAnsi="Cambria"/>
                <w:b/>
                <w:bCs/>
                <w:color w:val="FFFFFF" w:themeColor="background1"/>
                <w:sz w:val="20"/>
                <w:szCs w:val="20"/>
                <w:lang w:val="es-ES"/>
              </w:rPr>
              <w:t>Fecha de presentación</w:t>
            </w:r>
          </w:p>
          <w:p w14:paraId="7508D16F" w14:textId="616A4CD4" w:rsidR="00394E04" w:rsidRPr="00142F8A" w:rsidRDefault="00394E04" w:rsidP="004A6A54">
            <w:pPr>
              <w:jc w:val="center"/>
              <w:rPr>
                <w:rFonts w:ascii="Cambria" w:hAnsi="Cambria"/>
                <w:bCs/>
                <w:color w:val="FFFFFF" w:themeColor="background1"/>
                <w:sz w:val="20"/>
                <w:szCs w:val="20"/>
                <w:lang w:val="es-ES"/>
              </w:rPr>
            </w:pPr>
            <w:r w:rsidRPr="00142F8A">
              <w:rPr>
                <w:rFonts w:ascii="Cambria" w:hAnsi="Cambria"/>
                <w:b/>
                <w:bCs/>
                <w:color w:val="FFFFFF" w:themeColor="background1"/>
                <w:sz w:val="20"/>
                <w:szCs w:val="20"/>
                <w:lang w:val="es-ES"/>
              </w:rPr>
              <w:t>de la petición:</w:t>
            </w:r>
          </w:p>
        </w:tc>
        <w:tc>
          <w:tcPr>
            <w:tcW w:w="6300" w:type="dxa"/>
            <w:vAlign w:val="center"/>
          </w:tcPr>
          <w:p w14:paraId="6E579153" w14:textId="39CB3981" w:rsidR="00394E04" w:rsidRPr="009B4C53" w:rsidRDefault="00394E04" w:rsidP="00D872D6">
            <w:pPr>
              <w:jc w:val="both"/>
              <w:rPr>
                <w:rFonts w:ascii="Cambria" w:hAnsi="Cambria"/>
                <w:bCs/>
                <w:sz w:val="20"/>
                <w:szCs w:val="20"/>
                <w:lang w:val="es-ES"/>
              </w:rPr>
            </w:pPr>
            <w:r w:rsidRPr="009B4C53">
              <w:rPr>
                <w:rFonts w:ascii="Cambria" w:hAnsi="Cambria"/>
                <w:bCs/>
                <w:sz w:val="20"/>
                <w:szCs w:val="20"/>
                <w:lang w:val="es-ES"/>
              </w:rPr>
              <w:t>21 de diciembre de 2012</w:t>
            </w:r>
          </w:p>
        </w:tc>
      </w:tr>
      <w:tr w:rsidR="00394E04" w:rsidRPr="009B4C53" w14:paraId="1BDCD5C6" w14:textId="77777777" w:rsidTr="00142F8A">
        <w:tc>
          <w:tcPr>
            <w:tcW w:w="3060" w:type="dxa"/>
            <w:tcBorders>
              <w:top w:val="single" w:sz="6" w:space="0" w:color="auto"/>
              <w:bottom w:val="single" w:sz="6" w:space="0" w:color="auto"/>
            </w:tcBorders>
            <w:shd w:val="clear" w:color="auto" w:fill="4A7194"/>
          </w:tcPr>
          <w:p w14:paraId="0258B539" w14:textId="77777777" w:rsidR="00FD10D3" w:rsidRPr="00142F8A" w:rsidRDefault="00394E04" w:rsidP="000C1C69">
            <w:pPr>
              <w:jc w:val="center"/>
              <w:rPr>
                <w:rFonts w:ascii="Cambria" w:hAnsi="Cambria"/>
                <w:b/>
                <w:color w:val="FFFFFF" w:themeColor="background1"/>
                <w:sz w:val="20"/>
                <w:szCs w:val="20"/>
                <w:lang w:val="es-ES"/>
              </w:rPr>
            </w:pPr>
            <w:r w:rsidRPr="00142F8A">
              <w:rPr>
                <w:rFonts w:ascii="Cambria" w:hAnsi="Cambria"/>
                <w:b/>
                <w:color w:val="FFFFFF" w:themeColor="background1"/>
                <w:sz w:val="20"/>
                <w:szCs w:val="20"/>
                <w:lang w:val="es-ES"/>
              </w:rPr>
              <w:t>Fecha de notificación</w:t>
            </w:r>
          </w:p>
          <w:p w14:paraId="7A18664F" w14:textId="76D3DBF0" w:rsidR="00394E04" w:rsidRPr="00142F8A" w:rsidRDefault="00394E04" w:rsidP="000C1C69">
            <w:pPr>
              <w:jc w:val="center"/>
              <w:rPr>
                <w:rFonts w:ascii="Cambria" w:hAnsi="Cambria"/>
                <w:bCs/>
                <w:color w:val="FFFFFF" w:themeColor="background1"/>
                <w:sz w:val="20"/>
                <w:szCs w:val="20"/>
                <w:lang w:val="es-ES"/>
              </w:rPr>
            </w:pPr>
            <w:r w:rsidRPr="00142F8A">
              <w:rPr>
                <w:rFonts w:ascii="Cambria" w:hAnsi="Cambria"/>
                <w:b/>
                <w:color w:val="FFFFFF" w:themeColor="background1"/>
                <w:sz w:val="20"/>
                <w:szCs w:val="20"/>
                <w:lang w:val="es-ES"/>
              </w:rPr>
              <w:t>de la petición al Estado:</w:t>
            </w:r>
          </w:p>
        </w:tc>
        <w:tc>
          <w:tcPr>
            <w:tcW w:w="6300" w:type="dxa"/>
            <w:vAlign w:val="center"/>
          </w:tcPr>
          <w:p w14:paraId="1519DA6A" w14:textId="2DCFBC60" w:rsidR="00394E04" w:rsidRPr="009B4C53" w:rsidRDefault="00394E04" w:rsidP="00D872D6">
            <w:pPr>
              <w:jc w:val="both"/>
              <w:rPr>
                <w:rFonts w:ascii="Cambria" w:hAnsi="Cambria"/>
                <w:bCs/>
                <w:sz w:val="20"/>
                <w:szCs w:val="20"/>
                <w:lang w:val="es-ES"/>
              </w:rPr>
            </w:pPr>
            <w:r w:rsidRPr="009B4C53">
              <w:rPr>
                <w:rFonts w:ascii="Cambria" w:hAnsi="Cambria"/>
                <w:bCs/>
                <w:sz w:val="20"/>
                <w:szCs w:val="20"/>
                <w:lang w:val="es-ES"/>
              </w:rPr>
              <w:t>30 de diciembre de 2015</w:t>
            </w:r>
          </w:p>
        </w:tc>
      </w:tr>
      <w:tr w:rsidR="00394E04" w:rsidRPr="009B4C53" w14:paraId="6147A8D5" w14:textId="77777777" w:rsidTr="00142F8A">
        <w:tc>
          <w:tcPr>
            <w:tcW w:w="3060" w:type="dxa"/>
            <w:tcBorders>
              <w:top w:val="single" w:sz="6" w:space="0" w:color="auto"/>
              <w:bottom w:val="single" w:sz="6" w:space="0" w:color="auto"/>
            </w:tcBorders>
            <w:shd w:val="clear" w:color="auto" w:fill="4A7194"/>
          </w:tcPr>
          <w:p w14:paraId="471FB92D" w14:textId="77777777" w:rsidR="00394E04" w:rsidRPr="00142F8A" w:rsidRDefault="00394E04" w:rsidP="00D872D6">
            <w:pPr>
              <w:jc w:val="center"/>
              <w:rPr>
                <w:rFonts w:ascii="Cambria" w:hAnsi="Cambria"/>
                <w:b/>
                <w:color w:val="FFFFFF" w:themeColor="background1"/>
                <w:sz w:val="20"/>
                <w:szCs w:val="20"/>
                <w:lang w:val="es-ES"/>
              </w:rPr>
            </w:pPr>
            <w:r w:rsidRPr="00142F8A">
              <w:rPr>
                <w:rFonts w:ascii="Cambria" w:hAnsi="Cambria"/>
                <w:b/>
                <w:color w:val="FFFFFF" w:themeColor="background1"/>
                <w:sz w:val="20"/>
                <w:szCs w:val="20"/>
                <w:lang w:val="es-ES"/>
              </w:rPr>
              <w:t>Fecha de la primera respuesta</w:t>
            </w:r>
          </w:p>
          <w:p w14:paraId="0201C86D" w14:textId="270FE012" w:rsidR="00394E04" w:rsidRPr="00142F8A" w:rsidRDefault="00394E04" w:rsidP="00F06354">
            <w:pPr>
              <w:jc w:val="center"/>
              <w:rPr>
                <w:rFonts w:ascii="Cambria" w:hAnsi="Cambria"/>
                <w:bCs/>
                <w:color w:val="FFFFFF" w:themeColor="background1"/>
                <w:sz w:val="20"/>
                <w:szCs w:val="20"/>
                <w:lang w:val="es-ES"/>
              </w:rPr>
            </w:pPr>
            <w:r w:rsidRPr="00142F8A">
              <w:rPr>
                <w:rFonts w:ascii="Cambria" w:hAnsi="Cambria"/>
                <w:b/>
                <w:color w:val="FFFFFF" w:themeColor="background1"/>
                <w:sz w:val="20"/>
                <w:szCs w:val="20"/>
                <w:lang w:val="es-ES"/>
              </w:rPr>
              <w:t>del Estado:</w:t>
            </w:r>
          </w:p>
        </w:tc>
        <w:tc>
          <w:tcPr>
            <w:tcW w:w="6300" w:type="dxa"/>
            <w:vAlign w:val="center"/>
          </w:tcPr>
          <w:p w14:paraId="1972B99E" w14:textId="2C552F1A" w:rsidR="00394E04" w:rsidRPr="009B4C53" w:rsidRDefault="00394E04" w:rsidP="00F06354">
            <w:pPr>
              <w:jc w:val="both"/>
              <w:rPr>
                <w:rFonts w:ascii="Cambria" w:hAnsi="Cambria"/>
                <w:bCs/>
                <w:sz w:val="20"/>
                <w:szCs w:val="20"/>
                <w:lang w:val="es-ES"/>
              </w:rPr>
            </w:pPr>
            <w:r w:rsidRPr="009B4C53">
              <w:rPr>
                <w:rFonts w:ascii="Cambria" w:hAnsi="Cambria"/>
                <w:bCs/>
                <w:sz w:val="20"/>
                <w:szCs w:val="20"/>
                <w:lang w:val="es-ES"/>
              </w:rPr>
              <w:t xml:space="preserve">9 de </w:t>
            </w:r>
            <w:r w:rsidR="001A5D84" w:rsidRPr="009B4C53">
              <w:rPr>
                <w:rFonts w:ascii="Cambria" w:hAnsi="Cambria"/>
                <w:bCs/>
                <w:sz w:val="20"/>
                <w:szCs w:val="20"/>
                <w:lang w:val="es-ES"/>
              </w:rPr>
              <w:t>enero</w:t>
            </w:r>
            <w:r w:rsidRPr="009B4C53">
              <w:rPr>
                <w:rFonts w:ascii="Cambria" w:hAnsi="Cambria"/>
                <w:bCs/>
                <w:sz w:val="20"/>
                <w:szCs w:val="20"/>
                <w:lang w:val="es-ES"/>
              </w:rPr>
              <w:t xml:space="preserve"> de 2017</w:t>
            </w:r>
          </w:p>
        </w:tc>
      </w:tr>
      <w:tr w:rsidR="00394E04" w:rsidRPr="00BB553D" w14:paraId="322668B6" w14:textId="77777777" w:rsidTr="00142F8A">
        <w:tc>
          <w:tcPr>
            <w:tcW w:w="3060" w:type="dxa"/>
            <w:tcBorders>
              <w:top w:val="single" w:sz="6" w:space="0" w:color="auto"/>
              <w:bottom w:val="single" w:sz="6" w:space="0" w:color="auto"/>
            </w:tcBorders>
            <w:shd w:val="clear" w:color="auto" w:fill="4A7194"/>
          </w:tcPr>
          <w:p w14:paraId="3FD95402" w14:textId="77777777" w:rsidR="00394E04" w:rsidRPr="00142F8A" w:rsidRDefault="00394E04" w:rsidP="00D872D6">
            <w:pPr>
              <w:jc w:val="center"/>
              <w:rPr>
                <w:rFonts w:ascii="Cambria" w:hAnsi="Cambria"/>
                <w:b/>
                <w:bCs/>
                <w:color w:val="FFFFFF" w:themeColor="background1"/>
                <w:sz w:val="20"/>
                <w:szCs w:val="20"/>
                <w:lang w:val="es-ES"/>
              </w:rPr>
            </w:pPr>
            <w:r w:rsidRPr="00142F8A">
              <w:rPr>
                <w:rFonts w:ascii="Cambria" w:hAnsi="Cambria"/>
                <w:b/>
                <w:bCs/>
                <w:color w:val="FFFFFF" w:themeColor="background1"/>
                <w:sz w:val="20"/>
                <w:szCs w:val="20"/>
                <w:lang w:val="es-ES"/>
              </w:rPr>
              <w:t>Observaciones adicionales</w:t>
            </w:r>
          </w:p>
          <w:p w14:paraId="1524DA55" w14:textId="0F78B0A3" w:rsidR="00394E04" w:rsidRPr="00142F8A" w:rsidRDefault="00394E04" w:rsidP="00F06354">
            <w:pPr>
              <w:jc w:val="center"/>
              <w:rPr>
                <w:rFonts w:ascii="Cambria" w:hAnsi="Cambria"/>
                <w:bCs/>
                <w:color w:val="FFFFFF" w:themeColor="background1"/>
                <w:sz w:val="20"/>
                <w:szCs w:val="20"/>
                <w:lang w:val="es-ES"/>
              </w:rPr>
            </w:pPr>
            <w:r w:rsidRPr="00142F8A">
              <w:rPr>
                <w:rFonts w:ascii="Cambria" w:hAnsi="Cambria"/>
                <w:b/>
                <w:bCs/>
                <w:color w:val="FFFFFF" w:themeColor="background1"/>
                <w:sz w:val="20"/>
                <w:szCs w:val="20"/>
                <w:lang w:val="es-ES"/>
              </w:rPr>
              <w:t>de la parte peticionaria:</w:t>
            </w:r>
          </w:p>
        </w:tc>
        <w:tc>
          <w:tcPr>
            <w:tcW w:w="6300" w:type="dxa"/>
            <w:vAlign w:val="center"/>
          </w:tcPr>
          <w:p w14:paraId="41D8B862" w14:textId="07415E89" w:rsidR="00394E04" w:rsidRPr="009B4C53" w:rsidRDefault="00394E04" w:rsidP="000E0D2C">
            <w:pPr>
              <w:jc w:val="both"/>
              <w:rPr>
                <w:rFonts w:ascii="Cambria" w:hAnsi="Cambria"/>
                <w:bCs/>
                <w:sz w:val="20"/>
                <w:szCs w:val="20"/>
                <w:lang w:val="es-ES"/>
              </w:rPr>
            </w:pPr>
            <w:r w:rsidRPr="009B4C53">
              <w:rPr>
                <w:rFonts w:ascii="Cambria" w:hAnsi="Cambria"/>
                <w:bCs/>
                <w:sz w:val="20"/>
                <w:szCs w:val="20"/>
                <w:lang w:val="es-ES"/>
              </w:rPr>
              <w:t xml:space="preserve">18 de </w:t>
            </w:r>
            <w:r w:rsidR="001A5D84" w:rsidRPr="009B4C53">
              <w:rPr>
                <w:rFonts w:ascii="Cambria" w:hAnsi="Cambria"/>
                <w:bCs/>
                <w:sz w:val="20"/>
                <w:szCs w:val="20"/>
                <w:lang w:val="es-ES"/>
              </w:rPr>
              <w:t>enero</w:t>
            </w:r>
            <w:r w:rsidRPr="009B4C53">
              <w:rPr>
                <w:rFonts w:ascii="Cambria" w:hAnsi="Cambria"/>
                <w:bCs/>
                <w:sz w:val="20"/>
                <w:szCs w:val="20"/>
                <w:lang w:val="es-ES"/>
              </w:rPr>
              <w:t xml:space="preserve"> de 2013</w:t>
            </w:r>
            <w:r w:rsidR="00FD10D3">
              <w:rPr>
                <w:rFonts w:ascii="Cambria" w:hAnsi="Cambria"/>
                <w:bCs/>
                <w:sz w:val="20"/>
                <w:szCs w:val="20"/>
                <w:lang w:val="es-ES"/>
              </w:rPr>
              <w:t>,</w:t>
            </w:r>
            <w:r w:rsidRPr="009B4C53">
              <w:rPr>
                <w:rFonts w:ascii="Cambria" w:hAnsi="Cambria"/>
                <w:bCs/>
                <w:sz w:val="20"/>
                <w:szCs w:val="20"/>
                <w:lang w:val="es-ES"/>
              </w:rPr>
              <w:t xml:space="preserve"> 7 de agosto de 2014</w:t>
            </w:r>
            <w:r w:rsidR="00FD10D3">
              <w:rPr>
                <w:rFonts w:ascii="Cambria" w:hAnsi="Cambria"/>
                <w:bCs/>
                <w:sz w:val="20"/>
                <w:szCs w:val="20"/>
                <w:lang w:val="es-ES"/>
              </w:rPr>
              <w:t>,</w:t>
            </w:r>
            <w:r w:rsidRPr="009B4C53">
              <w:rPr>
                <w:rFonts w:ascii="Cambria" w:hAnsi="Cambria"/>
                <w:bCs/>
                <w:sz w:val="20"/>
                <w:szCs w:val="20"/>
                <w:lang w:val="es-ES"/>
              </w:rPr>
              <w:t xml:space="preserve"> 25 de </w:t>
            </w:r>
            <w:r w:rsidR="001A5D84" w:rsidRPr="009B4C53">
              <w:rPr>
                <w:rFonts w:ascii="Cambria" w:hAnsi="Cambria"/>
                <w:bCs/>
                <w:sz w:val="20"/>
                <w:szCs w:val="20"/>
                <w:lang w:val="es-ES"/>
              </w:rPr>
              <w:t>enero</w:t>
            </w:r>
            <w:r w:rsidRPr="009B4C53">
              <w:rPr>
                <w:rFonts w:ascii="Cambria" w:hAnsi="Cambria"/>
                <w:bCs/>
                <w:sz w:val="20"/>
                <w:szCs w:val="20"/>
                <w:lang w:val="es-ES"/>
              </w:rPr>
              <w:t xml:space="preserve"> de 2018</w:t>
            </w:r>
            <w:r w:rsidR="003C37B1">
              <w:rPr>
                <w:rFonts w:ascii="Cambria" w:hAnsi="Cambria"/>
                <w:bCs/>
                <w:sz w:val="20"/>
                <w:szCs w:val="20"/>
                <w:lang w:val="es-ES"/>
              </w:rPr>
              <w:t xml:space="preserve"> y</w:t>
            </w:r>
            <w:r w:rsidR="000E0D2C">
              <w:rPr>
                <w:rFonts w:ascii="Cambria" w:hAnsi="Cambria"/>
                <w:bCs/>
                <w:sz w:val="20"/>
                <w:szCs w:val="20"/>
                <w:lang w:val="es-ES"/>
              </w:rPr>
              <w:t xml:space="preserve"> 17 de mayo de 2019</w:t>
            </w:r>
          </w:p>
        </w:tc>
      </w:tr>
      <w:tr w:rsidR="00394E04" w:rsidRPr="009B4C53" w14:paraId="291ACE7A" w14:textId="77777777" w:rsidTr="00142F8A">
        <w:tc>
          <w:tcPr>
            <w:tcW w:w="3060" w:type="dxa"/>
            <w:tcBorders>
              <w:top w:val="single" w:sz="6" w:space="0" w:color="auto"/>
              <w:bottom w:val="single" w:sz="6" w:space="0" w:color="auto"/>
            </w:tcBorders>
            <w:shd w:val="clear" w:color="auto" w:fill="4A7194"/>
          </w:tcPr>
          <w:p w14:paraId="0CF606DE" w14:textId="77777777" w:rsidR="00394E04" w:rsidRPr="00142F8A" w:rsidRDefault="00394E04" w:rsidP="00D872D6">
            <w:pPr>
              <w:jc w:val="center"/>
              <w:rPr>
                <w:rFonts w:ascii="Cambria" w:hAnsi="Cambria"/>
                <w:b/>
                <w:color w:val="FFFFFF" w:themeColor="background1"/>
                <w:sz w:val="20"/>
                <w:szCs w:val="20"/>
                <w:lang w:val="es-ES"/>
              </w:rPr>
            </w:pPr>
            <w:r w:rsidRPr="00142F8A">
              <w:rPr>
                <w:rFonts w:ascii="Cambria" w:hAnsi="Cambria"/>
                <w:b/>
                <w:color w:val="FFFFFF" w:themeColor="background1"/>
                <w:sz w:val="20"/>
                <w:szCs w:val="20"/>
                <w:lang w:val="es-ES"/>
              </w:rPr>
              <w:t>Observaciones adicionales</w:t>
            </w:r>
          </w:p>
          <w:p w14:paraId="068BD12F" w14:textId="557238DB" w:rsidR="00394E04" w:rsidRPr="00142F8A" w:rsidRDefault="00394E04" w:rsidP="00F06354">
            <w:pPr>
              <w:jc w:val="center"/>
              <w:rPr>
                <w:rFonts w:ascii="Cambria" w:hAnsi="Cambria"/>
                <w:bCs/>
                <w:color w:val="FFFFFF" w:themeColor="background1"/>
                <w:sz w:val="20"/>
                <w:szCs w:val="20"/>
                <w:lang w:val="es-ES"/>
              </w:rPr>
            </w:pPr>
            <w:r w:rsidRPr="00142F8A">
              <w:rPr>
                <w:rFonts w:ascii="Cambria" w:hAnsi="Cambria"/>
                <w:b/>
                <w:color w:val="FFFFFF" w:themeColor="background1"/>
                <w:sz w:val="20"/>
                <w:szCs w:val="20"/>
                <w:lang w:val="es-ES"/>
              </w:rPr>
              <w:t>del Estado:</w:t>
            </w:r>
          </w:p>
        </w:tc>
        <w:tc>
          <w:tcPr>
            <w:tcW w:w="6300" w:type="dxa"/>
            <w:vAlign w:val="center"/>
          </w:tcPr>
          <w:p w14:paraId="3CE49AFE" w14:textId="3B27775A" w:rsidR="00394E04" w:rsidRPr="009B4C53" w:rsidRDefault="00394E04" w:rsidP="00F06354">
            <w:pPr>
              <w:jc w:val="both"/>
              <w:rPr>
                <w:rFonts w:ascii="Cambria" w:hAnsi="Cambria"/>
                <w:bCs/>
                <w:sz w:val="20"/>
                <w:szCs w:val="20"/>
                <w:lang w:val="es-ES"/>
              </w:rPr>
            </w:pPr>
            <w:r w:rsidRPr="009B4C53">
              <w:rPr>
                <w:rFonts w:ascii="Cambria" w:hAnsi="Cambria"/>
                <w:bCs/>
                <w:sz w:val="20"/>
                <w:szCs w:val="20"/>
                <w:lang w:val="es-ES"/>
              </w:rPr>
              <w:t xml:space="preserve">18 de </w:t>
            </w:r>
            <w:r w:rsidR="001A5D84" w:rsidRPr="009B4C53">
              <w:rPr>
                <w:rFonts w:ascii="Cambria" w:hAnsi="Cambria"/>
                <w:bCs/>
                <w:sz w:val="20"/>
                <w:szCs w:val="20"/>
                <w:lang w:val="es-ES"/>
              </w:rPr>
              <w:t>junio</w:t>
            </w:r>
            <w:r w:rsidRPr="009B4C53">
              <w:rPr>
                <w:rFonts w:ascii="Cambria" w:hAnsi="Cambria"/>
                <w:bCs/>
                <w:sz w:val="20"/>
                <w:szCs w:val="20"/>
                <w:lang w:val="es-ES"/>
              </w:rPr>
              <w:t xml:space="preserve"> de 2018</w:t>
            </w:r>
          </w:p>
        </w:tc>
      </w:tr>
    </w:tbl>
    <w:p w14:paraId="21DAA666" w14:textId="19047B1F" w:rsidR="003239B8" w:rsidRPr="009B4C53" w:rsidRDefault="0028163E" w:rsidP="007C402A">
      <w:pPr>
        <w:spacing w:before="120" w:after="120"/>
        <w:ind w:firstLine="720"/>
        <w:jc w:val="both"/>
        <w:rPr>
          <w:rFonts w:ascii="Cambria" w:hAnsi="Cambria"/>
          <w:b/>
          <w:bCs/>
          <w:sz w:val="20"/>
          <w:szCs w:val="20"/>
          <w:lang w:val="es-ES"/>
        </w:rPr>
      </w:pPr>
      <w:r w:rsidRPr="009B4C53">
        <w:rPr>
          <w:rFonts w:ascii="Cambria" w:hAnsi="Cambria"/>
          <w:b/>
          <w:bCs/>
          <w:sz w:val="20"/>
          <w:szCs w:val="20"/>
          <w:lang w:val="es-ES"/>
        </w:rPr>
        <w:t xml:space="preserve">III. </w:t>
      </w:r>
      <w:r w:rsidRPr="009B4C53">
        <w:rPr>
          <w:rFonts w:ascii="Cambria" w:hAnsi="Cambria"/>
          <w:b/>
          <w:bCs/>
          <w:sz w:val="20"/>
          <w:szCs w:val="20"/>
          <w:lang w:val="es-ES"/>
        </w:rPr>
        <w:tab/>
        <w:t>COMPET</w:t>
      </w:r>
      <w:r w:rsidR="001A5D84" w:rsidRPr="009B4C53">
        <w:rPr>
          <w:rFonts w:ascii="Cambria" w:hAnsi="Cambria"/>
          <w:b/>
          <w:bCs/>
          <w:sz w:val="20"/>
          <w:szCs w:val="20"/>
          <w:lang w:val="es-ES"/>
        </w:rPr>
        <w:t>E</w:t>
      </w:r>
      <w:r w:rsidR="003239B8" w:rsidRPr="009B4C53">
        <w:rPr>
          <w:rFonts w:ascii="Cambria" w:hAnsi="Cambria"/>
          <w:b/>
          <w:bCs/>
          <w:sz w:val="20"/>
          <w:szCs w:val="20"/>
          <w:lang w:val="es-ES"/>
        </w:rPr>
        <w:t>NCIA</w:t>
      </w:r>
      <w:r w:rsidR="00EE00E9" w:rsidRPr="009B4C53">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030"/>
        <w:gridCol w:w="6212"/>
      </w:tblGrid>
      <w:tr w:rsidR="001A5D84" w:rsidRPr="009B4C53" w14:paraId="072532AD" w14:textId="77777777" w:rsidTr="00142F8A">
        <w:trPr>
          <w:cantSplit/>
        </w:trPr>
        <w:tc>
          <w:tcPr>
            <w:tcW w:w="3060" w:type="dxa"/>
            <w:tcBorders>
              <w:top w:val="single" w:sz="4" w:space="0" w:color="auto"/>
              <w:bottom w:val="single" w:sz="6" w:space="0" w:color="auto"/>
            </w:tcBorders>
            <w:shd w:val="clear" w:color="auto" w:fill="4A7194"/>
          </w:tcPr>
          <w:p w14:paraId="5C2E4B34" w14:textId="6505D0B2" w:rsidR="001A5D84" w:rsidRPr="00142F8A" w:rsidRDefault="001A5D84" w:rsidP="00D872D6">
            <w:pPr>
              <w:jc w:val="center"/>
              <w:rPr>
                <w:rFonts w:ascii="Cambria" w:hAnsi="Cambria"/>
                <w:b/>
                <w:bCs/>
                <w:i/>
                <w:color w:val="FFFFFF" w:themeColor="background1"/>
                <w:sz w:val="20"/>
                <w:szCs w:val="20"/>
                <w:lang w:val="es-ES"/>
              </w:rPr>
            </w:pPr>
            <w:r w:rsidRPr="00142F8A">
              <w:rPr>
                <w:rFonts w:ascii="Cambria" w:hAnsi="Cambria"/>
                <w:b/>
                <w:color w:val="FFFFFF" w:themeColor="background1"/>
                <w:sz w:val="20"/>
                <w:szCs w:val="20"/>
                <w:lang w:val="es-ES"/>
              </w:rPr>
              <w:t xml:space="preserve">Competencia </w:t>
            </w:r>
            <w:r w:rsidRPr="00142F8A">
              <w:rPr>
                <w:rFonts w:ascii="Cambria" w:hAnsi="Cambria"/>
                <w:b/>
                <w:i/>
                <w:color w:val="FFFFFF" w:themeColor="background1"/>
                <w:sz w:val="20"/>
                <w:szCs w:val="20"/>
                <w:lang w:val="es-ES"/>
              </w:rPr>
              <w:t>ratione personae</w:t>
            </w:r>
            <w:r w:rsidRPr="00142F8A">
              <w:rPr>
                <w:rFonts w:ascii="Cambria" w:hAnsi="Cambria"/>
                <w:b/>
                <w:color w:val="FFFFFF" w:themeColor="background1"/>
                <w:sz w:val="20"/>
                <w:szCs w:val="20"/>
                <w:lang w:val="es-ES"/>
              </w:rPr>
              <w:t>:</w:t>
            </w:r>
          </w:p>
        </w:tc>
        <w:tc>
          <w:tcPr>
            <w:tcW w:w="6300" w:type="dxa"/>
            <w:vAlign w:val="center"/>
          </w:tcPr>
          <w:p w14:paraId="7707F3E9" w14:textId="4940C019" w:rsidR="001A5D84" w:rsidRPr="009B4C53" w:rsidRDefault="001A5D84" w:rsidP="001A5D84">
            <w:pPr>
              <w:rPr>
                <w:rFonts w:ascii="Cambria" w:hAnsi="Cambria"/>
                <w:bCs/>
                <w:sz w:val="20"/>
                <w:szCs w:val="20"/>
                <w:lang w:val="es-ES"/>
              </w:rPr>
            </w:pPr>
            <w:r w:rsidRPr="009B4C53">
              <w:rPr>
                <w:rFonts w:ascii="Cambria" w:hAnsi="Cambria"/>
                <w:bCs/>
                <w:sz w:val="20"/>
                <w:szCs w:val="20"/>
                <w:lang w:val="es-ES"/>
              </w:rPr>
              <w:t>Sí</w:t>
            </w:r>
          </w:p>
        </w:tc>
      </w:tr>
      <w:tr w:rsidR="001A5D84" w:rsidRPr="009B4C53" w14:paraId="4B8802DA" w14:textId="77777777" w:rsidTr="00142F8A">
        <w:trPr>
          <w:cantSplit/>
        </w:trPr>
        <w:tc>
          <w:tcPr>
            <w:tcW w:w="3060" w:type="dxa"/>
            <w:tcBorders>
              <w:top w:val="single" w:sz="6" w:space="0" w:color="auto"/>
              <w:bottom w:val="single" w:sz="6" w:space="0" w:color="auto"/>
            </w:tcBorders>
            <w:shd w:val="clear" w:color="auto" w:fill="4A7194"/>
          </w:tcPr>
          <w:p w14:paraId="3915C23B" w14:textId="2606BBEE" w:rsidR="001A5D84" w:rsidRPr="00142F8A" w:rsidRDefault="001A5D84" w:rsidP="00D77503">
            <w:pPr>
              <w:jc w:val="center"/>
              <w:rPr>
                <w:rFonts w:ascii="Cambria" w:hAnsi="Cambria"/>
                <w:b/>
                <w:bCs/>
                <w:color w:val="FFFFFF" w:themeColor="background1"/>
                <w:sz w:val="20"/>
                <w:szCs w:val="20"/>
                <w:lang w:val="es-ES"/>
              </w:rPr>
            </w:pPr>
            <w:r w:rsidRPr="00142F8A">
              <w:rPr>
                <w:rFonts w:ascii="Cambria" w:hAnsi="Cambria"/>
                <w:b/>
                <w:color w:val="FFFFFF" w:themeColor="background1"/>
                <w:sz w:val="20"/>
                <w:szCs w:val="20"/>
                <w:lang w:val="es-ES"/>
              </w:rPr>
              <w:t xml:space="preserve">Competencia </w:t>
            </w:r>
            <w:r w:rsidRPr="00142F8A">
              <w:rPr>
                <w:rFonts w:ascii="Cambria" w:hAnsi="Cambria"/>
                <w:b/>
                <w:i/>
                <w:color w:val="FFFFFF" w:themeColor="background1"/>
                <w:sz w:val="20"/>
                <w:szCs w:val="20"/>
                <w:lang w:val="es-ES"/>
              </w:rPr>
              <w:t>ratione loci</w:t>
            </w:r>
            <w:r w:rsidRPr="00142F8A">
              <w:rPr>
                <w:rFonts w:ascii="Cambria" w:hAnsi="Cambria"/>
                <w:b/>
                <w:color w:val="FFFFFF" w:themeColor="background1"/>
                <w:sz w:val="20"/>
                <w:szCs w:val="20"/>
                <w:lang w:val="es-ES"/>
              </w:rPr>
              <w:t>:</w:t>
            </w:r>
          </w:p>
        </w:tc>
        <w:tc>
          <w:tcPr>
            <w:tcW w:w="6300" w:type="dxa"/>
            <w:vAlign w:val="center"/>
          </w:tcPr>
          <w:p w14:paraId="12C931CB" w14:textId="58FA65CF" w:rsidR="001A5D84" w:rsidRPr="009B4C53" w:rsidRDefault="001A5D84" w:rsidP="001A5D84">
            <w:pPr>
              <w:rPr>
                <w:rFonts w:ascii="Cambria" w:hAnsi="Cambria"/>
                <w:bCs/>
                <w:sz w:val="20"/>
                <w:szCs w:val="20"/>
                <w:lang w:val="es-ES"/>
              </w:rPr>
            </w:pPr>
            <w:r w:rsidRPr="009B4C53">
              <w:rPr>
                <w:rFonts w:ascii="Cambria" w:hAnsi="Cambria"/>
                <w:bCs/>
                <w:sz w:val="20"/>
                <w:szCs w:val="20"/>
                <w:lang w:val="es-ES"/>
              </w:rPr>
              <w:t>Sí</w:t>
            </w:r>
          </w:p>
        </w:tc>
      </w:tr>
      <w:tr w:rsidR="001A5D84" w:rsidRPr="009B4C53" w14:paraId="4362FDF3" w14:textId="77777777" w:rsidTr="00142F8A">
        <w:trPr>
          <w:cantSplit/>
        </w:trPr>
        <w:tc>
          <w:tcPr>
            <w:tcW w:w="3060" w:type="dxa"/>
            <w:tcBorders>
              <w:top w:val="single" w:sz="6" w:space="0" w:color="auto"/>
              <w:bottom w:val="single" w:sz="6" w:space="0" w:color="auto"/>
            </w:tcBorders>
            <w:shd w:val="clear" w:color="auto" w:fill="4A7194"/>
          </w:tcPr>
          <w:p w14:paraId="3BE23153" w14:textId="0363D3CB" w:rsidR="001A5D84" w:rsidRPr="00142F8A" w:rsidRDefault="001A5D84" w:rsidP="00D872D6">
            <w:pPr>
              <w:jc w:val="center"/>
              <w:rPr>
                <w:rFonts w:ascii="Cambria" w:hAnsi="Cambria"/>
                <w:b/>
                <w:bCs/>
                <w:color w:val="FFFFFF" w:themeColor="background1"/>
                <w:sz w:val="20"/>
                <w:szCs w:val="20"/>
                <w:lang w:val="es-ES"/>
              </w:rPr>
            </w:pPr>
            <w:r w:rsidRPr="00142F8A">
              <w:rPr>
                <w:rFonts w:ascii="Cambria" w:hAnsi="Cambria"/>
                <w:b/>
                <w:color w:val="FFFFFF" w:themeColor="background1"/>
                <w:sz w:val="20"/>
                <w:szCs w:val="20"/>
                <w:lang w:val="es-ES"/>
              </w:rPr>
              <w:t xml:space="preserve">Competencia </w:t>
            </w:r>
            <w:r w:rsidRPr="00142F8A">
              <w:rPr>
                <w:rFonts w:ascii="Cambria" w:hAnsi="Cambria"/>
                <w:b/>
                <w:i/>
                <w:color w:val="FFFFFF" w:themeColor="background1"/>
                <w:sz w:val="20"/>
                <w:szCs w:val="20"/>
                <w:lang w:val="es-ES"/>
              </w:rPr>
              <w:t>ratione temporis</w:t>
            </w:r>
            <w:r w:rsidRPr="00142F8A">
              <w:rPr>
                <w:rFonts w:ascii="Cambria" w:hAnsi="Cambria"/>
                <w:b/>
                <w:color w:val="FFFFFF" w:themeColor="background1"/>
                <w:sz w:val="20"/>
                <w:szCs w:val="20"/>
                <w:lang w:val="es-ES"/>
              </w:rPr>
              <w:t>:</w:t>
            </w:r>
          </w:p>
        </w:tc>
        <w:tc>
          <w:tcPr>
            <w:tcW w:w="6300" w:type="dxa"/>
            <w:vAlign w:val="center"/>
          </w:tcPr>
          <w:p w14:paraId="6F8B059B" w14:textId="1A507FAD" w:rsidR="001A5D84" w:rsidRPr="009B4C53" w:rsidRDefault="001A5D84" w:rsidP="001A5D84">
            <w:pPr>
              <w:rPr>
                <w:rFonts w:ascii="Cambria" w:hAnsi="Cambria"/>
                <w:bCs/>
                <w:sz w:val="20"/>
                <w:szCs w:val="20"/>
                <w:lang w:val="es-ES"/>
              </w:rPr>
            </w:pPr>
            <w:r w:rsidRPr="009B4C53">
              <w:rPr>
                <w:rFonts w:ascii="Cambria" w:hAnsi="Cambria"/>
                <w:bCs/>
                <w:sz w:val="20"/>
                <w:szCs w:val="20"/>
                <w:lang w:val="es-ES"/>
              </w:rPr>
              <w:t>Sí</w:t>
            </w:r>
          </w:p>
        </w:tc>
      </w:tr>
      <w:tr w:rsidR="001A5D84" w:rsidRPr="00BB553D" w14:paraId="30ABEC3E" w14:textId="77777777" w:rsidTr="00142F8A">
        <w:trPr>
          <w:cantSplit/>
        </w:trPr>
        <w:tc>
          <w:tcPr>
            <w:tcW w:w="3060" w:type="dxa"/>
            <w:tcBorders>
              <w:top w:val="single" w:sz="6" w:space="0" w:color="auto"/>
              <w:bottom w:val="single" w:sz="6" w:space="0" w:color="auto"/>
            </w:tcBorders>
            <w:shd w:val="clear" w:color="auto" w:fill="4A7194"/>
          </w:tcPr>
          <w:p w14:paraId="47B529D2" w14:textId="286D56CC" w:rsidR="001A5D84" w:rsidRPr="00142F8A" w:rsidRDefault="001A5D84" w:rsidP="00D872D6">
            <w:pPr>
              <w:jc w:val="center"/>
              <w:rPr>
                <w:rFonts w:ascii="Cambria" w:hAnsi="Cambria"/>
                <w:b/>
                <w:bCs/>
                <w:color w:val="FFFFFF" w:themeColor="background1"/>
                <w:sz w:val="20"/>
                <w:szCs w:val="20"/>
                <w:lang w:val="es-ES"/>
              </w:rPr>
            </w:pPr>
            <w:r w:rsidRPr="00142F8A">
              <w:rPr>
                <w:rFonts w:ascii="Cambria" w:hAnsi="Cambria"/>
                <w:b/>
                <w:color w:val="FFFFFF" w:themeColor="background1"/>
                <w:sz w:val="20"/>
                <w:szCs w:val="20"/>
                <w:lang w:val="es-ES"/>
              </w:rPr>
              <w:t xml:space="preserve">Competencia </w:t>
            </w:r>
            <w:r w:rsidRPr="00142F8A">
              <w:rPr>
                <w:rFonts w:ascii="Cambria" w:hAnsi="Cambria"/>
                <w:b/>
                <w:i/>
                <w:color w:val="FFFFFF" w:themeColor="background1"/>
                <w:sz w:val="20"/>
                <w:szCs w:val="20"/>
                <w:lang w:val="es-ES"/>
              </w:rPr>
              <w:t>ratione materiae</w:t>
            </w:r>
            <w:r w:rsidRPr="00142F8A">
              <w:rPr>
                <w:rFonts w:ascii="Cambria" w:hAnsi="Cambria"/>
                <w:b/>
                <w:color w:val="FFFFFF" w:themeColor="background1"/>
                <w:sz w:val="20"/>
                <w:szCs w:val="20"/>
                <w:lang w:val="es-ES"/>
              </w:rPr>
              <w:t>:</w:t>
            </w:r>
          </w:p>
        </w:tc>
        <w:tc>
          <w:tcPr>
            <w:tcW w:w="6300" w:type="dxa"/>
            <w:vAlign w:val="center"/>
          </w:tcPr>
          <w:p w14:paraId="0C122F44" w14:textId="091A22B3" w:rsidR="001A5D84" w:rsidRPr="009B4C53" w:rsidRDefault="001A5D84" w:rsidP="003C37B1">
            <w:pPr>
              <w:jc w:val="both"/>
              <w:rPr>
                <w:rFonts w:ascii="Cambria" w:hAnsi="Cambria"/>
                <w:bCs/>
                <w:sz w:val="20"/>
                <w:szCs w:val="20"/>
                <w:lang w:val="es-ES"/>
              </w:rPr>
            </w:pPr>
            <w:r w:rsidRPr="009B4C53">
              <w:rPr>
                <w:rFonts w:ascii="Cambria" w:hAnsi="Cambria"/>
                <w:bCs/>
                <w:sz w:val="20"/>
                <w:szCs w:val="20"/>
                <w:lang w:val="es-ES"/>
              </w:rPr>
              <w:t>Sí, Convención Americana (</w:t>
            </w:r>
            <w:r w:rsidR="003C37B1">
              <w:rPr>
                <w:rFonts w:ascii="Cambria" w:hAnsi="Cambria"/>
                <w:bCs/>
                <w:sz w:val="20"/>
                <w:szCs w:val="20"/>
                <w:lang w:val="es-ES"/>
              </w:rPr>
              <w:t>depósito de instrumento de ratificación</w:t>
            </w:r>
            <w:r w:rsidRPr="009B4C53">
              <w:rPr>
                <w:rFonts w:ascii="Cambria" w:hAnsi="Cambria"/>
                <w:bCs/>
                <w:sz w:val="20"/>
                <w:szCs w:val="20"/>
                <w:lang w:val="es-ES"/>
              </w:rPr>
              <w:t xml:space="preserve"> el 25 de septiembre de 1992) y Convención Interamericana para Prevenir y Sancionar la Tortura (</w:t>
            </w:r>
            <w:r w:rsidR="003C37B1">
              <w:rPr>
                <w:rFonts w:ascii="Cambria" w:hAnsi="Cambria"/>
                <w:bCs/>
                <w:sz w:val="20"/>
                <w:szCs w:val="20"/>
                <w:lang w:val="es-ES"/>
              </w:rPr>
              <w:t>depósito de instrumento de ratificación</w:t>
            </w:r>
            <w:r w:rsidR="003C37B1" w:rsidRPr="009B4C53">
              <w:rPr>
                <w:rFonts w:ascii="Cambria" w:hAnsi="Cambria"/>
                <w:bCs/>
                <w:sz w:val="20"/>
                <w:szCs w:val="20"/>
                <w:lang w:val="es-ES"/>
              </w:rPr>
              <w:t xml:space="preserve"> el</w:t>
            </w:r>
            <w:r w:rsidRPr="009B4C53">
              <w:rPr>
                <w:rFonts w:ascii="Cambria" w:hAnsi="Cambria"/>
                <w:bCs/>
                <w:sz w:val="20"/>
                <w:szCs w:val="20"/>
                <w:lang w:val="es-ES"/>
              </w:rPr>
              <w:t xml:space="preserve"> el 20 de julio de 1989)</w:t>
            </w:r>
          </w:p>
        </w:tc>
      </w:tr>
    </w:tbl>
    <w:p w14:paraId="2447F896" w14:textId="647352A0" w:rsidR="0028163E" w:rsidRPr="009B4C53" w:rsidRDefault="0028163E" w:rsidP="0028163E">
      <w:pPr>
        <w:spacing w:before="120" w:after="120"/>
        <w:ind w:firstLine="720"/>
        <w:jc w:val="both"/>
        <w:rPr>
          <w:rFonts w:ascii="Cambria" w:hAnsi="Cambria"/>
          <w:b/>
          <w:bCs/>
          <w:sz w:val="20"/>
          <w:szCs w:val="20"/>
          <w:lang w:val="es-ES"/>
        </w:rPr>
      </w:pPr>
      <w:r w:rsidRPr="009B4C53">
        <w:rPr>
          <w:rFonts w:ascii="Cambria" w:hAnsi="Cambria"/>
          <w:b/>
          <w:bCs/>
          <w:sz w:val="20"/>
          <w:szCs w:val="20"/>
          <w:lang w:val="es-ES"/>
        </w:rPr>
        <w:t xml:space="preserve">IV. </w:t>
      </w:r>
      <w:r w:rsidRPr="009B4C53">
        <w:rPr>
          <w:rFonts w:ascii="Cambria" w:hAnsi="Cambria"/>
          <w:b/>
          <w:bCs/>
          <w:sz w:val="20"/>
          <w:szCs w:val="20"/>
          <w:lang w:val="es-ES"/>
        </w:rPr>
        <w:tab/>
      </w:r>
      <w:r w:rsidR="001A5D84" w:rsidRPr="009B4C53">
        <w:rPr>
          <w:rFonts w:ascii="Cambria" w:hAnsi="Cambria"/>
          <w:b/>
          <w:bCs/>
          <w:sz w:val="20"/>
          <w:szCs w:val="20"/>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033"/>
        <w:gridCol w:w="6209"/>
      </w:tblGrid>
      <w:tr w:rsidR="00EE00E9" w:rsidRPr="009B4C53" w14:paraId="1231C988" w14:textId="77777777" w:rsidTr="00142F8A">
        <w:trPr>
          <w:cantSplit/>
        </w:trPr>
        <w:tc>
          <w:tcPr>
            <w:tcW w:w="3060" w:type="dxa"/>
            <w:tcBorders>
              <w:top w:val="single" w:sz="4" w:space="0" w:color="auto"/>
              <w:bottom w:val="single" w:sz="6" w:space="0" w:color="auto"/>
            </w:tcBorders>
            <w:shd w:val="clear" w:color="auto" w:fill="4A7194"/>
            <w:vAlign w:val="center"/>
          </w:tcPr>
          <w:p w14:paraId="3C9E9AAF" w14:textId="77777777" w:rsidR="001A5D84" w:rsidRPr="00142F8A" w:rsidRDefault="001A5D84" w:rsidP="001A5D84">
            <w:pPr>
              <w:jc w:val="center"/>
              <w:rPr>
                <w:rFonts w:ascii="Cambria" w:hAnsi="Cambria"/>
                <w:b/>
                <w:bCs/>
                <w:color w:val="FFFFFF" w:themeColor="background1"/>
                <w:sz w:val="20"/>
                <w:szCs w:val="20"/>
                <w:lang w:val="es-ES"/>
              </w:rPr>
            </w:pPr>
            <w:r w:rsidRPr="00142F8A">
              <w:rPr>
                <w:rFonts w:ascii="Cambria" w:hAnsi="Cambria"/>
                <w:b/>
                <w:bCs/>
                <w:color w:val="FFFFFF" w:themeColor="background1"/>
                <w:sz w:val="20"/>
                <w:szCs w:val="20"/>
                <w:lang w:val="es-ES"/>
              </w:rPr>
              <w:t>Duplicación de procedimientos</w:t>
            </w:r>
          </w:p>
          <w:p w14:paraId="6F8031F4" w14:textId="2BA0F8E7" w:rsidR="00EE00E9" w:rsidRPr="00142F8A" w:rsidRDefault="001A5D84" w:rsidP="001A5D84">
            <w:pPr>
              <w:jc w:val="center"/>
              <w:rPr>
                <w:rFonts w:ascii="Cambria" w:hAnsi="Cambria"/>
                <w:bCs/>
                <w:color w:val="FFFFFF" w:themeColor="background1"/>
                <w:sz w:val="20"/>
                <w:szCs w:val="20"/>
                <w:lang w:val="es-ES"/>
              </w:rPr>
            </w:pPr>
            <w:r w:rsidRPr="00142F8A">
              <w:rPr>
                <w:rFonts w:ascii="Cambria" w:hAnsi="Cambria"/>
                <w:b/>
                <w:bCs/>
                <w:color w:val="FFFFFF" w:themeColor="background1"/>
                <w:sz w:val="20"/>
                <w:szCs w:val="20"/>
                <w:lang w:val="es-ES"/>
              </w:rPr>
              <w:t>y cosa juzgada internacional:</w:t>
            </w:r>
          </w:p>
        </w:tc>
        <w:tc>
          <w:tcPr>
            <w:tcW w:w="6300" w:type="dxa"/>
            <w:vAlign w:val="center"/>
          </w:tcPr>
          <w:p w14:paraId="240941E6" w14:textId="7BCF0FDC" w:rsidR="00EE00E9" w:rsidRPr="009B4C53" w:rsidRDefault="00A14190" w:rsidP="001A5D84">
            <w:pPr>
              <w:jc w:val="both"/>
              <w:rPr>
                <w:rFonts w:ascii="Cambria" w:hAnsi="Cambria"/>
                <w:bCs/>
                <w:sz w:val="20"/>
                <w:szCs w:val="20"/>
                <w:lang w:val="es-ES"/>
              </w:rPr>
            </w:pPr>
            <w:r w:rsidRPr="009B4C53">
              <w:rPr>
                <w:rFonts w:ascii="Cambria" w:hAnsi="Cambria"/>
                <w:bCs/>
                <w:sz w:val="20"/>
                <w:szCs w:val="20"/>
                <w:lang w:val="es-ES"/>
              </w:rPr>
              <w:t>No</w:t>
            </w:r>
          </w:p>
        </w:tc>
      </w:tr>
      <w:tr w:rsidR="001A5D84" w:rsidRPr="00BB553D" w14:paraId="15FAA7D1" w14:textId="77777777" w:rsidTr="00142F8A">
        <w:trPr>
          <w:cantSplit/>
        </w:trPr>
        <w:tc>
          <w:tcPr>
            <w:tcW w:w="3060" w:type="dxa"/>
            <w:tcBorders>
              <w:top w:val="single" w:sz="4" w:space="0" w:color="auto"/>
              <w:bottom w:val="single" w:sz="6" w:space="0" w:color="auto"/>
            </w:tcBorders>
            <w:shd w:val="clear" w:color="auto" w:fill="4A7194"/>
            <w:vAlign w:val="center"/>
          </w:tcPr>
          <w:p w14:paraId="1B0D29FF" w14:textId="7AB8CD48" w:rsidR="001A5D84" w:rsidRPr="00142F8A" w:rsidRDefault="001A5D84" w:rsidP="00954B82">
            <w:pPr>
              <w:jc w:val="center"/>
              <w:rPr>
                <w:rFonts w:ascii="Cambria" w:hAnsi="Cambria"/>
                <w:bCs/>
                <w:i/>
                <w:color w:val="FFFFFF" w:themeColor="background1"/>
                <w:sz w:val="20"/>
                <w:szCs w:val="20"/>
                <w:lang w:val="es-ES"/>
              </w:rPr>
            </w:pPr>
            <w:r w:rsidRPr="00142F8A">
              <w:rPr>
                <w:rFonts w:ascii="Cambria" w:hAnsi="Cambria"/>
                <w:b/>
                <w:bCs/>
                <w:color w:val="FFFFFF" w:themeColor="background1"/>
                <w:sz w:val="20"/>
                <w:szCs w:val="20"/>
                <w:lang w:val="es-ES"/>
              </w:rPr>
              <w:t>Derechos declarados admitidos:</w:t>
            </w:r>
          </w:p>
        </w:tc>
        <w:tc>
          <w:tcPr>
            <w:tcW w:w="6300" w:type="dxa"/>
            <w:vAlign w:val="center"/>
          </w:tcPr>
          <w:p w14:paraId="6310C8F7" w14:textId="42CBD765" w:rsidR="001A5D84" w:rsidRPr="009B4C53" w:rsidRDefault="001A5D84" w:rsidP="001A5D84">
            <w:pPr>
              <w:jc w:val="both"/>
              <w:rPr>
                <w:rFonts w:ascii="Cambria" w:hAnsi="Cambria"/>
                <w:bCs/>
                <w:sz w:val="20"/>
                <w:szCs w:val="20"/>
                <w:lang w:val="es-ES"/>
              </w:rPr>
            </w:pPr>
            <w:r w:rsidRPr="009B4C53">
              <w:rPr>
                <w:rFonts w:ascii="Cambria" w:hAnsi="Cambria"/>
                <w:bCs/>
                <w:sz w:val="20"/>
                <w:szCs w:val="20"/>
                <w:lang w:val="es-ES"/>
              </w:rPr>
              <w:t>Artículos 5 (derecho a la integridad personal), 8 (garantías judiciales) y 25 (protección judicial) de la Convención Americana, en relación con el artículo 1.1 (obligación de respetar los derechos), y artículos 1, 6 y 8 de la Convención Interamericana para Prevenir y Sancionar la Tortura</w:t>
            </w:r>
          </w:p>
        </w:tc>
      </w:tr>
      <w:tr w:rsidR="001A5D84" w:rsidRPr="009B4C53" w14:paraId="4EFD141E" w14:textId="77777777" w:rsidTr="00142F8A">
        <w:trPr>
          <w:cantSplit/>
        </w:trPr>
        <w:tc>
          <w:tcPr>
            <w:tcW w:w="3060" w:type="dxa"/>
            <w:tcBorders>
              <w:top w:val="single" w:sz="6" w:space="0" w:color="auto"/>
              <w:bottom w:val="single" w:sz="6" w:space="0" w:color="auto"/>
            </w:tcBorders>
            <w:shd w:val="clear" w:color="auto" w:fill="4A7194"/>
          </w:tcPr>
          <w:p w14:paraId="4C04A89C" w14:textId="3607EACC" w:rsidR="001A5D84" w:rsidRPr="00142F8A" w:rsidRDefault="001A5D84" w:rsidP="0028163E">
            <w:pPr>
              <w:jc w:val="center"/>
              <w:rPr>
                <w:rFonts w:ascii="Cambria" w:hAnsi="Cambria"/>
                <w:bCs/>
                <w:color w:val="FFFFFF" w:themeColor="background1"/>
                <w:sz w:val="20"/>
                <w:szCs w:val="20"/>
                <w:lang w:val="es-ES"/>
              </w:rPr>
            </w:pPr>
            <w:r w:rsidRPr="00142F8A">
              <w:rPr>
                <w:rFonts w:ascii="Cambria" w:hAnsi="Cambria"/>
                <w:b/>
                <w:color w:val="FFFFFF" w:themeColor="background1"/>
                <w:sz w:val="20"/>
                <w:szCs w:val="20"/>
                <w:lang w:val="es-ES"/>
              </w:rPr>
              <w:t>Agotamiento de los recursos internos o aplicabilidad de una excepción a la regla:</w:t>
            </w:r>
          </w:p>
        </w:tc>
        <w:tc>
          <w:tcPr>
            <w:tcW w:w="6300" w:type="dxa"/>
            <w:vAlign w:val="center"/>
          </w:tcPr>
          <w:p w14:paraId="69C53E8A" w14:textId="321DE97C" w:rsidR="001A5D84" w:rsidRPr="009B4C53" w:rsidRDefault="001A5D84" w:rsidP="001A5D84">
            <w:pPr>
              <w:rPr>
                <w:rFonts w:ascii="Cambria" w:hAnsi="Cambria"/>
                <w:bCs/>
                <w:sz w:val="20"/>
                <w:szCs w:val="20"/>
                <w:lang w:val="es-ES"/>
              </w:rPr>
            </w:pPr>
            <w:r w:rsidRPr="009B4C53">
              <w:rPr>
                <w:rFonts w:ascii="Cambria" w:hAnsi="Cambria"/>
                <w:bCs/>
                <w:sz w:val="20"/>
                <w:szCs w:val="20"/>
                <w:lang w:val="es-ES"/>
              </w:rPr>
              <w:t>Sí</w:t>
            </w:r>
          </w:p>
        </w:tc>
      </w:tr>
      <w:tr w:rsidR="003239B8" w:rsidRPr="009B4C53" w14:paraId="52B5BA17" w14:textId="77777777" w:rsidTr="00142F8A">
        <w:trPr>
          <w:cantSplit/>
        </w:trPr>
        <w:tc>
          <w:tcPr>
            <w:tcW w:w="3060" w:type="dxa"/>
            <w:tcBorders>
              <w:top w:val="single" w:sz="6" w:space="0" w:color="auto"/>
              <w:bottom w:val="single" w:sz="6" w:space="0" w:color="auto"/>
            </w:tcBorders>
            <w:shd w:val="clear" w:color="auto" w:fill="4A7194"/>
            <w:vAlign w:val="center"/>
          </w:tcPr>
          <w:p w14:paraId="5DF99086" w14:textId="70D5F60B" w:rsidR="003239B8" w:rsidRPr="00142F8A" w:rsidRDefault="001A5D84" w:rsidP="00D872D6">
            <w:pPr>
              <w:jc w:val="center"/>
              <w:rPr>
                <w:rFonts w:ascii="Cambria" w:hAnsi="Cambria"/>
                <w:bCs/>
                <w:color w:val="FFFFFF" w:themeColor="background1"/>
                <w:sz w:val="20"/>
                <w:szCs w:val="20"/>
                <w:lang w:val="es-ES"/>
              </w:rPr>
            </w:pPr>
            <w:r w:rsidRPr="00142F8A">
              <w:rPr>
                <w:rFonts w:ascii="Cambria" w:hAnsi="Cambria"/>
                <w:b/>
                <w:bCs/>
                <w:color w:val="FFFFFF" w:themeColor="background1"/>
                <w:sz w:val="20"/>
                <w:szCs w:val="20"/>
                <w:lang w:val="es-ES"/>
              </w:rPr>
              <w:t>Presentación dentro del plazo:</w:t>
            </w:r>
          </w:p>
        </w:tc>
        <w:tc>
          <w:tcPr>
            <w:tcW w:w="6300" w:type="dxa"/>
            <w:vAlign w:val="center"/>
          </w:tcPr>
          <w:p w14:paraId="4A2A4569" w14:textId="3FD8B368" w:rsidR="003239B8" w:rsidRPr="009B4C53" w:rsidRDefault="00B95180" w:rsidP="001A5D84">
            <w:pPr>
              <w:rPr>
                <w:rFonts w:ascii="Cambria" w:hAnsi="Cambria"/>
                <w:bCs/>
                <w:sz w:val="20"/>
                <w:szCs w:val="20"/>
                <w:lang w:val="es-ES"/>
              </w:rPr>
            </w:pPr>
            <w:r w:rsidRPr="009B4C53">
              <w:rPr>
                <w:rFonts w:ascii="Cambria" w:hAnsi="Cambria"/>
                <w:bCs/>
                <w:sz w:val="20"/>
                <w:szCs w:val="20"/>
                <w:lang w:val="es-ES"/>
              </w:rPr>
              <w:t>S</w:t>
            </w:r>
            <w:r w:rsidR="001A5D84" w:rsidRPr="009B4C53">
              <w:rPr>
                <w:rFonts w:ascii="Cambria" w:hAnsi="Cambria"/>
                <w:bCs/>
                <w:sz w:val="20"/>
                <w:szCs w:val="20"/>
                <w:lang w:val="es-ES"/>
              </w:rPr>
              <w:t>í</w:t>
            </w:r>
            <w:r w:rsidRPr="009B4C53">
              <w:rPr>
                <w:rFonts w:ascii="Cambria" w:hAnsi="Cambria"/>
                <w:bCs/>
                <w:sz w:val="20"/>
                <w:szCs w:val="20"/>
                <w:lang w:val="es-ES"/>
              </w:rPr>
              <w:t xml:space="preserve">, </w:t>
            </w:r>
            <w:r w:rsidR="001777EC" w:rsidRPr="009B4C53">
              <w:rPr>
                <w:rFonts w:ascii="Cambria" w:hAnsi="Cambria"/>
                <w:bCs/>
                <w:sz w:val="20"/>
                <w:szCs w:val="20"/>
                <w:lang w:val="es-ES"/>
              </w:rPr>
              <w:t xml:space="preserve">5 de </w:t>
            </w:r>
            <w:r w:rsidR="001A5D84" w:rsidRPr="009B4C53">
              <w:rPr>
                <w:rFonts w:ascii="Cambria" w:hAnsi="Cambria"/>
                <w:bCs/>
                <w:sz w:val="20"/>
                <w:szCs w:val="20"/>
                <w:lang w:val="es-ES"/>
              </w:rPr>
              <w:t>marzo</w:t>
            </w:r>
            <w:r w:rsidR="001777EC" w:rsidRPr="009B4C53">
              <w:rPr>
                <w:rFonts w:ascii="Cambria" w:hAnsi="Cambria"/>
                <w:bCs/>
                <w:sz w:val="20"/>
                <w:szCs w:val="20"/>
                <w:lang w:val="es-ES"/>
              </w:rPr>
              <w:t xml:space="preserve"> de 2014</w:t>
            </w:r>
          </w:p>
        </w:tc>
      </w:tr>
    </w:tbl>
    <w:p w14:paraId="47C66AAD" w14:textId="77777777" w:rsidR="00C905F4" w:rsidRDefault="00C905F4">
      <w:pPr>
        <w:rPr>
          <w:rFonts w:ascii="Cambria" w:hAnsi="Cambria"/>
          <w:b/>
          <w:sz w:val="20"/>
          <w:szCs w:val="20"/>
          <w:lang w:val="es-ES"/>
        </w:rPr>
      </w:pPr>
      <w:r>
        <w:rPr>
          <w:rFonts w:ascii="Cambria" w:hAnsi="Cambria"/>
          <w:b/>
          <w:sz w:val="20"/>
          <w:szCs w:val="20"/>
          <w:lang w:val="es-ES"/>
        </w:rPr>
        <w:br w:type="page"/>
      </w:r>
    </w:p>
    <w:p w14:paraId="18E6423B" w14:textId="3322593E" w:rsidR="003239B8" w:rsidRPr="009B4C53" w:rsidRDefault="00223A29" w:rsidP="00647756">
      <w:pPr>
        <w:spacing w:before="120" w:after="120"/>
        <w:ind w:firstLine="720"/>
        <w:jc w:val="both"/>
        <w:rPr>
          <w:rFonts w:ascii="Cambria" w:hAnsi="Cambria"/>
          <w:b/>
          <w:sz w:val="20"/>
          <w:szCs w:val="20"/>
          <w:lang w:val="es-ES"/>
        </w:rPr>
      </w:pPr>
      <w:r w:rsidRPr="009B4C53">
        <w:rPr>
          <w:rFonts w:ascii="Cambria" w:hAnsi="Cambria"/>
          <w:b/>
          <w:sz w:val="20"/>
          <w:szCs w:val="20"/>
          <w:lang w:val="es-ES"/>
        </w:rPr>
        <w:lastRenderedPageBreak/>
        <w:t xml:space="preserve">V. </w:t>
      </w:r>
      <w:r w:rsidRPr="009B4C53">
        <w:rPr>
          <w:rFonts w:ascii="Cambria" w:hAnsi="Cambria"/>
          <w:b/>
          <w:sz w:val="20"/>
          <w:szCs w:val="20"/>
          <w:lang w:val="es-ES"/>
        </w:rPr>
        <w:tab/>
      </w:r>
      <w:r w:rsidR="001A5D84" w:rsidRPr="009B4C53">
        <w:rPr>
          <w:rFonts w:ascii="Cambria" w:hAnsi="Cambria"/>
          <w:b/>
          <w:sz w:val="20"/>
          <w:szCs w:val="20"/>
          <w:lang w:val="es-ES"/>
        </w:rPr>
        <w:t>RESUMEN DE LOS HECHOS ALEGADOS</w:t>
      </w:r>
    </w:p>
    <w:p w14:paraId="0D32F936" w14:textId="2D2D520C" w:rsidR="004C616A" w:rsidRPr="003C37B1" w:rsidRDefault="003C37B1" w:rsidP="003C37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bCs/>
          <w:sz w:val="20"/>
          <w:szCs w:val="20"/>
          <w:lang w:val="es-ES"/>
        </w:rPr>
        <w:t xml:space="preserve">El peticionario alega que </w:t>
      </w:r>
      <w:r>
        <w:rPr>
          <w:rFonts w:ascii="Cambria" w:hAnsi="Cambria"/>
          <w:sz w:val="20"/>
          <w:szCs w:val="20"/>
          <w:lang w:val="es-ES"/>
        </w:rPr>
        <w:t xml:space="preserve">el Estado </w:t>
      </w:r>
      <w:r w:rsidR="009B57CE">
        <w:rPr>
          <w:rFonts w:ascii="Cambria" w:hAnsi="Cambria"/>
          <w:sz w:val="20"/>
          <w:szCs w:val="20"/>
          <w:lang w:val="es-ES"/>
        </w:rPr>
        <w:t>brasileño</w:t>
      </w:r>
      <w:r>
        <w:rPr>
          <w:rFonts w:ascii="Cambria" w:hAnsi="Cambria"/>
          <w:sz w:val="20"/>
          <w:szCs w:val="20"/>
          <w:lang w:val="es-ES"/>
        </w:rPr>
        <w:t xml:space="preserve"> es responsable por la violación de los derechos a integridad personal, a la garantía de prohibición de tortura y los derechos a la</w:t>
      </w:r>
      <w:r w:rsidR="004A3D7E">
        <w:rPr>
          <w:rFonts w:ascii="Cambria" w:hAnsi="Cambria"/>
          <w:sz w:val="20"/>
          <w:szCs w:val="20"/>
          <w:lang w:val="es-ES"/>
        </w:rPr>
        <w:t>s</w:t>
      </w:r>
      <w:r>
        <w:rPr>
          <w:rFonts w:ascii="Cambria" w:hAnsi="Cambria"/>
          <w:sz w:val="20"/>
          <w:szCs w:val="20"/>
          <w:lang w:val="es-ES"/>
        </w:rPr>
        <w:t xml:space="preserve"> garantía</w:t>
      </w:r>
      <w:r w:rsidR="004A3D7E">
        <w:rPr>
          <w:rFonts w:ascii="Cambria" w:hAnsi="Cambria"/>
          <w:sz w:val="20"/>
          <w:szCs w:val="20"/>
          <w:lang w:val="es-ES"/>
        </w:rPr>
        <w:t>s</w:t>
      </w:r>
      <w:r>
        <w:rPr>
          <w:rFonts w:ascii="Cambria" w:hAnsi="Cambria"/>
          <w:sz w:val="20"/>
          <w:szCs w:val="20"/>
          <w:lang w:val="es-ES"/>
        </w:rPr>
        <w:t xml:space="preserve"> judicial</w:t>
      </w:r>
      <w:r w:rsidR="004A3D7E">
        <w:rPr>
          <w:rFonts w:ascii="Cambria" w:hAnsi="Cambria"/>
          <w:sz w:val="20"/>
          <w:szCs w:val="20"/>
          <w:lang w:val="es-ES"/>
        </w:rPr>
        <w:t>es</w:t>
      </w:r>
      <w:r>
        <w:rPr>
          <w:rFonts w:ascii="Cambria" w:hAnsi="Cambria"/>
          <w:sz w:val="20"/>
          <w:szCs w:val="20"/>
          <w:lang w:val="es-ES"/>
        </w:rPr>
        <w:t xml:space="preserve"> y al debido proceso</w:t>
      </w:r>
      <w:r w:rsidR="004C6EFB">
        <w:rPr>
          <w:rFonts w:ascii="Cambria" w:hAnsi="Cambria"/>
          <w:sz w:val="20"/>
          <w:szCs w:val="20"/>
          <w:lang w:val="es-ES"/>
        </w:rPr>
        <w:t xml:space="preserve"> de</w:t>
      </w:r>
      <w:r w:rsidR="004A3D7E">
        <w:rPr>
          <w:rFonts w:ascii="Cambria" w:hAnsi="Cambria"/>
          <w:sz w:val="20"/>
          <w:szCs w:val="20"/>
          <w:lang w:val="es-ES"/>
        </w:rPr>
        <w:t>l señor</w:t>
      </w:r>
      <w:r w:rsidR="004C6EFB">
        <w:rPr>
          <w:rFonts w:ascii="Cambria" w:hAnsi="Cambria"/>
          <w:sz w:val="20"/>
          <w:szCs w:val="20"/>
          <w:lang w:val="es-ES"/>
        </w:rPr>
        <w:t xml:space="preserve"> </w:t>
      </w:r>
      <w:proofErr w:type="spellStart"/>
      <w:r w:rsidR="008477F5">
        <w:rPr>
          <w:rFonts w:ascii="Cambria" w:hAnsi="Cambria"/>
          <w:sz w:val="20"/>
          <w:szCs w:val="20"/>
          <w:lang w:val="es-ES"/>
        </w:rPr>
        <w:t>Jonat</w:t>
      </w:r>
      <w:r w:rsidRPr="009B4C53">
        <w:rPr>
          <w:rFonts w:ascii="Cambria" w:hAnsi="Cambria"/>
          <w:sz w:val="20"/>
          <w:szCs w:val="20"/>
          <w:lang w:val="es-ES"/>
        </w:rPr>
        <w:t>an</w:t>
      </w:r>
      <w:proofErr w:type="spellEnd"/>
      <w:r w:rsidRPr="009B4C53">
        <w:rPr>
          <w:rFonts w:ascii="Cambria" w:hAnsi="Cambria"/>
          <w:sz w:val="20"/>
          <w:szCs w:val="20"/>
          <w:lang w:val="es-ES"/>
        </w:rPr>
        <w:t xml:space="preserve"> Souza Azevedo (en adelante “la presunta víctima” o “el señor Azevedo”)</w:t>
      </w:r>
      <w:r w:rsidR="004C6EFB">
        <w:rPr>
          <w:rFonts w:ascii="Cambria" w:hAnsi="Cambria"/>
          <w:sz w:val="20"/>
          <w:szCs w:val="20"/>
          <w:lang w:val="es-ES"/>
        </w:rPr>
        <w:t>, pues él</w:t>
      </w:r>
      <w:r>
        <w:rPr>
          <w:rFonts w:ascii="Cambria" w:hAnsi="Cambria"/>
          <w:sz w:val="20"/>
          <w:szCs w:val="20"/>
          <w:lang w:val="es-ES"/>
        </w:rPr>
        <w:t xml:space="preserve"> </w:t>
      </w:r>
      <w:r w:rsidR="005D291C" w:rsidRPr="003C37B1">
        <w:rPr>
          <w:rFonts w:ascii="Cambria" w:hAnsi="Cambria"/>
          <w:sz w:val="20"/>
          <w:szCs w:val="20"/>
          <w:lang w:val="es-ES"/>
        </w:rPr>
        <w:t>f</w:t>
      </w:r>
      <w:r w:rsidR="001666B8" w:rsidRPr="003C37B1">
        <w:rPr>
          <w:rFonts w:ascii="Cambria" w:hAnsi="Cambria"/>
          <w:sz w:val="20"/>
          <w:szCs w:val="20"/>
          <w:lang w:val="es-ES"/>
        </w:rPr>
        <w:t>ue</w:t>
      </w:r>
      <w:r w:rsidR="005D291C" w:rsidRPr="003C37B1">
        <w:rPr>
          <w:rFonts w:ascii="Cambria" w:hAnsi="Cambria"/>
          <w:sz w:val="20"/>
          <w:szCs w:val="20"/>
          <w:lang w:val="es-ES"/>
        </w:rPr>
        <w:t xml:space="preserve"> </w:t>
      </w:r>
      <w:r w:rsidR="001666B8" w:rsidRPr="003C37B1">
        <w:rPr>
          <w:rFonts w:ascii="Cambria" w:hAnsi="Cambria"/>
          <w:sz w:val="20"/>
          <w:szCs w:val="20"/>
          <w:lang w:val="es-ES"/>
        </w:rPr>
        <w:t xml:space="preserve">torturado por </w:t>
      </w:r>
      <w:r w:rsidR="00BB2DCA" w:rsidRPr="003C37B1">
        <w:rPr>
          <w:rFonts w:ascii="Cambria" w:hAnsi="Cambria"/>
          <w:sz w:val="20"/>
          <w:szCs w:val="20"/>
          <w:lang w:val="es-ES"/>
        </w:rPr>
        <w:t>agentes de la policía militar</w:t>
      </w:r>
      <w:r w:rsidR="004A3D7E">
        <w:rPr>
          <w:rFonts w:ascii="Cambria" w:hAnsi="Cambria"/>
          <w:sz w:val="20"/>
          <w:szCs w:val="20"/>
          <w:lang w:val="es-ES"/>
        </w:rPr>
        <w:t xml:space="preserve">; </w:t>
      </w:r>
      <w:r>
        <w:rPr>
          <w:rFonts w:ascii="Cambria" w:hAnsi="Cambria"/>
          <w:sz w:val="20"/>
          <w:szCs w:val="20"/>
          <w:lang w:val="es-ES"/>
        </w:rPr>
        <w:t xml:space="preserve">estos hechos no fueron investigados y los </w:t>
      </w:r>
      <w:r w:rsidR="001666B8" w:rsidRPr="003C37B1">
        <w:rPr>
          <w:rFonts w:ascii="Cambria" w:hAnsi="Cambria"/>
          <w:sz w:val="20"/>
          <w:szCs w:val="20"/>
          <w:lang w:val="es-ES"/>
        </w:rPr>
        <w:t>responsables</w:t>
      </w:r>
      <w:r>
        <w:rPr>
          <w:rFonts w:ascii="Cambria" w:hAnsi="Cambria"/>
          <w:sz w:val="20"/>
          <w:szCs w:val="20"/>
          <w:lang w:val="es-ES"/>
        </w:rPr>
        <w:t xml:space="preserve"> por el delito</w:t>
      </w:r>
      <w:r w:rsidR="001666B8" w:rsidRPr="003C37B1">
        <w:rPr>
          <w:rFonts w:ascii="Cambria" w:hAnsi="Cambria"/>
          <w:sz w:val="20"/>
          <w:szCs w:val="20"/>
          <w:lang w:val="es-ES"/>
        </w:rPr>
        <w:t xml:space="preserve"> no fueron debidamente</w:t>
      </w:r>
      <w:r w:rsidR="00547954" w:rsidRPr="003C37B1">
        <w:rPr>
          <w:rFonts w:ascii="Cambria" w:hAnsi="Cambria"/>
          <w:sz w:val="20"/>
          <w:szCs w:val="20"/>
          <w:lang w:val="es-ES"/>
        </w:rPr>
        <w:t xml:space="preserve"> sancionados</w:t>
      </w:r>
      <w:r w:rsidR="005D291C" w:rsidRPr="003C37B1">
        <w:rPr>
          <w:rFonts w:ascii="Cambria" w:hAnsi="Cambria"/>
          <w:sz w:val="20"/>
          <w:szCs w:val="20"/>
          <w:lang w:val="es-ES"/>
        </w:rPr>
        <w:t>.</w:t>
      </w:r>
    </w:p>
    <w:p w14:paraId="3F38D6B4" w14:textId="675B4616" w:rsidR="003C37B1" w:rsidRDefault="001666B8"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9B4C53">
        <w:rPr>
          <w:rFonts w:ascii="Cambria" w:hAnsi="Cambria"/>
          <w:sz w:val="20"/>
          <w:szCs w:val="20"/>
          <w:lang w:val="es-ES"/>
        </w:rPr>
        <w:t xml:space="preserve">El peticionario </w:t>
      </w:r>
      <w:r w:rsidR="003C37B1">
        <w:rPr>
          <w:rFonts w:ascii="Cambria" w:hAnsi="Cambria"/>
          <w:sz w:val="20"/>
          <w:szCs w:val="20"/>
          <w:lang w:val="es-ES"/>
        </w:rPr>
        <w:t>afirma que</w:t>
      </w:r>
      <w:r w:rsidRPr="009B4C53">
        <w:rPr>
          <w:rFonts w:ascii="Cambria" w:hAnsi="Cambria"/>
          <w:sz w:val="20"/>
          <w:szCs w:val="20"/>
          <w:lang w:val="es-ES"/>
        </w:rPr>
        <w:t xml:space="preserve"> el </w:t>
      </w:r>
      <w:r w:rsidR="0049307C" w:rsidRPr="009B4C53">
        <w:rPr>
          <w:rFonts w:ascii="Cambria" w:hAnsi="Cambria"/>
          <w:sz w:val="20"/>
          <w:szCs w:val="20"/>
          <w:lang w:val="es-ES"/>
        </w:rPr>
        <w:t xml:space="preserve">12 de </w:t>
      </w:r>
      <w:r w:rsidR="001A5D84" w:rsidRPr="009B4C53">
        <w:rPr>
          <w:rFonts w:ascii="Cambria" w:hAnsi="Cambria"/>
          <w:sz w:val="20"/>
          <w:szCs w:val="20"/>
          <w:lang w:val="es-ES"/>
        </w:rPr>
        <w:t>marzo</w:t>
      </w:r>
      <w:r w:rsidR="0049307C" w:rsidRPr="009B4C53">
        <w:rPr>
          <w:rFonts w:ascii="Cambria" w:hAnsi="Cambria"/>
          <w:sz w:val="20"/>
          <w:szCs w:val="20"/>
          <w:lang w:val="es-ES"/>
        </w:rPr>
        <w:t xml:space="preserve"> de 2011</w:t>
      </w:r>
      <w:r w:rsidR="005D291C" w:rsidRPr="009B4C53">
        <w:rPr>
          <w:rFonts w:ascii="Cambria" w:hAnsi="Cambria"/>
          <w:sz w:val="20"/>
          <w:szCs w:val="20"/>
          <w:lang w:val="es-ES"/>
        </w:rPr>
        <w:t xml:space="preserve"> </w:t>
      </w:r>
      <w:r w:rsidR="001A5D84" w:rsidRPr="009B4C53">
        <w:rPr>
          <w:rFonts w:ascii="Cambria" w:hAnsi="Cambria"/>
          <w:sz w:val="20"/>
          <w:szCs w:val="20"/>
          <w:lang w:val="es-ES"/>
        </w:rPr>
        <w:t>la presunta víctima</w:t>
      </w:r>
      <w:r w:rsidR="005D291C" w:rsidRPr="009B4C53">
        <w:rPr>
          <w:rFonts w:ascii="Cambria" w:hAnsi="Cambria"/>
          <w:sz w:val="20"/>
          <w:szCs w:val="20"/>
          <w:lang w:val="es-ES"/>
        </w:rPr>
        <w:t xml:space="preserve"> f</w:t>
      </w:r>
      <w:r w:rsidRPr="009B4C53">
        <w:rPr>
          <w:rFonts w:ascii="Cambria" w:hAnsi="Cambria"/>
          <w:sz w:val="20"/>
          <w:szCs w:val="20"/>
          <w:lang w:val="es-ES"/>
        </w:rPr>
        <w:t xml:space="preserve">ue sorprendida en flagrante delito de robo de un vehículo. Después de ser perseguido por dos </w:t>
      </w:r>
      <w:r w:rsidR="00BB2DCA" w:rsidRPr="009B4C53">
        <w:rPr>
          <w:rFonts w:ascii="Cambria" w:hAnsi="Cambria"/>
          <w:sz w:val="20"/>
          <w:szCs w:val="20"/>
          <w:lang w:val="es-ES"/>
        </w:rPr>
        <w:t>agentes de la policía militar</w:t>
      </w:r>
      <w:r w:rsidR="00F521BC" w:rsidRPr="009B4C53">
        <w:rPr>
          <w:rFonts w:ascii="Cambria" w:hAnsi="Cambria"/>
          <w:sz w:val="20"/>
          <w:szCs w:val="20"/>
          <w:lang w:val="es-ES"/>
        </w:rPr>
        <w:t xml:space="preserve">, </w:t>
      </w:r>
      <w:r w:rsidRPr="009B4C53">
        <w:rPr>
          <w:rFonts w:ascii="Cambria" w:hAnsi="Cambria"/>
          <w:sz w:val="20"/>
          <w:szCs w:val="20"/>
          <w:lang w:val="es-ES"/>
        </w:rPr>
        <w:t>el</w:t>
      </w:r>
      <w:r w:rsidR="00F521BC" w:rsidRPr="009B4C53">
        <w:rPr>
          <w:rFonts w:ascii="Cambria" w:hAnsi="Cambria"/>
          <w:sz w:val="20"/>
          <w:szCs w:val="20"/>
          <w:lang w:val="es-ES"/>
        </w:rPr>
        <w:t xml:space="preserve"> </w:t>
      </w:r>
      <w:r w:rsidRPr="009B4C53">
        <w:rPr>
          <w:rFonts w:ascii="Cambria" w:hAnsi="Cambria"/>
          <w:sz w:val="20"/>
          <w:szCs w:val="20"/>
          <w:lang w:val="es-ES"/>
        </w:rPr>
        <w:t>vehículo</w:t>
      </w:r>
      <w:r w:rsidR="00F521BC" w:rsidRPr="009B4C53">
        <w:rPr>
          <w:rFonts w:ascii="Cambria" w:hAnsi="Cambria"/>
          <w:sz w:val="20"/>
          <w:szCs w:val="20"/>
          <w:lang w:val="es-ES"/>
        </w:rPr>
        <w:t xml:space="preserve"> </w:t>
      </w:r>
      <w:r w:rsidRPr="009B4C53">
        <w:rPr>
          <w:rFonts w:ascii="Cambria" w:hAnsi="Cambria"/>
          <w:sz w:val="20"/>
          <w:szCs w:val="20"/>
          <w:lang w:val="es-ES"/>
        </w:rPr>
        <w:t xml:space="preserve">en el cual estaba </w:t>
      </w:r>
      <w:r w:rsidR="001A5D84" w:rsidRPr="009B4C53">
        <w:rPr>
          <w:rFonts w:ascii="Cambria" w:hAnsi="Cambria"/>
          <w:sz w:val="20"/>
          <w:szCs w:val="20"/>
          <w:lang w:val="es-ES"/>
        </w:rPr>
        <w:t>la presunta víctima</w:t>
      </w:r>
      <w:r w:rsidR="00741AD0" w:rsidRPr="009B4C53">
        <w:rPr>
          <w:rFonts w:ascii="Cambria" w:hAnsi="Cambria"/>
          <w:sz w:val="20"/>
          <w:szCs w:val="20"/>
          <w:lang w:val="es-ES"/>
        </w:rPr>
        <w:t xml:space="preserve"> </w:t>
      </w:r>
      <w:r w:rsidR="004A3D7E">
        <w:rPr>
          <w:rFonts w:ascii="Cambria" w:hAnsi="Cambria"/>
          <w:sz w:val="20"/>
          <w:szCs w:val="20"/>
          <w:lang w:val="es-ES"/>
        </w:rPr>
        <w:t xml:space="preserve">se </w:t>
      </w:r>
      <w:r w:rsidR="004A3D7E" w:rsidRPr="009B4C53">
        <w:rPr>
          <w:rFonts w:ascii="Cambria" w:hAnsi="Cambria"/>
          <w:sz w:val="20"/>
          <w:szCs w:val="20"/>
          <w:lang w:val="es-ES"/>
        </w:rPr>
        <w:t>chocó con</w:t>
      </w:r>
      <w:r w:rsidR="00741AD0" w:rsidRPr="009B4C53">
        <w:rPr>
          <w:rFonts w:ascii="Cambria" w:hAnsi="Cambria"/>
          <w:sz w:val="20"/>
          <w:szCs w:val="20"/>
          <w:lang w:val="es-ES"/>
        </w:rPr>
        <w:t xml:space="preserve"> </w:t>
      </w:r>
      <w:r w:rsidRPr="009B4C53">
        <w:rPr>
          <w:rFonts w:ascii="Cambria" w:hAnsi="Cambria"/>
          <w:sz w:val="20"/>
          <w:szCs w:val="20"/>
          <w:lang w:val="es-ES"/>
        </w:rPr>
        <w:t>un</w:t>
      </w:r>
      <w:r w:rsidR="00741AD0" w:rsidRPr="009B4C53">
        <w:rPr>
          <w:rFonts w:ascii="Cambria" w:hAnsi="Cambria"/>
          <w:sz w:val="20"/>
          <w:szCs w:val="20"/>
          <w:lang w:val="es-ES"/>
        </w:rPr>
        <w:t xml:space="preserve"> muro. </w:t>
      </w:r>
      <w:r w:rsidRPr="009B4C53">
        <w:rPr>
          <w:rFonts w:ascii="Cambria" w:hAnsi="Cambria"/>
          <w:sz w:val="20"/>
          <w:szCs w:val="20"/>
          <w:lang w:val="es-ES"/>
        </w:rPr>
        <w:t xml:space="preserve">En ese </w:t>
      </w:r>
      <w:r w:rsidR="00741AD0" w:rsidRPr="009B4C53">
        <w:rPr>
          <w:rFonts w:ascii="Cambria" w:hAnsi="Cambria"/>
          <w:sz w:val="20"/>
          <w:szCs w:val="20"/>
          <w:lang w:val="es-ES"/>
        </w:rPr>
        <w:t xml:space="preserve">momento, </w:t>
      </w:r>
      <w:r w:rsidR="001A5D84" w:rsidRPr="009B4C53">
        <w:rPr>
          <w:rFonts w:ascii="Cambria" w:hAnsi="Cambria"/>
          <w:sz w:val="20"/>
          <w:szCs w:val="20"/>
          <w:lang w:val="es-ES"/>
        </w:rPr>
        <w:t>el señor</w:t>
      </w:r>
      <w:r w:rsidR="00741AD0" w:rsidRPr="009B4C53">
        <w:rPr>
          <w:rFonts w:ascii="Cambria" w:hAnsi="Cambria"/>
          <w:sz w:val="20"/>
          <w:szCs w:val="20"/>
          <w:lang w:val="es-ES"/>
        </w:rPr>
        <w:t xml:space="preserve"> Azevedo</w:t>
      </w:r>
      <w:r w:rsidR="00F521BC" w:rsidRPr="009B4C53">
        <w:rPr>
          <w:rFonts w:ascii="Cambria" w:hAnsi="Cambria"/>
          <w:sz w:val="20"/>
          <w:szCs w:val="20"/>
          <w:lang w:val="es-ES"/>
        </w:rPr>
        <w:t xml:space="preserve"> sa</w:t>
      </w:r>
      <w:r w:rsidRPr="009B4C53">
        <w:rPr>
          <w:rFonts w:ascii="Cambria" w:hAnsi="Cambria"/>
          <w:sz w:val="20"/>
          <w:szCs w:val="20"/>
          <w:lang w:val="es-ES"/>
        </w:rPr>
        <w:t>lió del vehículo</w:t>
      </w:r>
      <w:r w:rsidR="00F521BC" w:rsidRPr="009B4C53">
        <w:rPr>
          <w:rFonts w:ascii="Cambria" w:hAnsi="Cambria"/>
          <w:sz w:val="20"/>
          <w:szCs w:val="20"/>
          <w:lang w:val="es-ES"/>
        </w:rPr>
        <w:t xml:space="preserve"> co</w:t>
      </w:r>
      <w:r w:rsidRPr="009B4C53">
        <w:rPr>
          <w:rFonts w:ascii="Cambria" w:hAnsi="Cambria"/>
          <w:sz w:val="20"/>
          <w:szCs w:val="20"/>
          <w:lang w:val="es-ES"/>
        </w:rPr>
        <w:t xml:space="preserve">n las manos levantadas en señal de rendición. A pesar de que no estaba </w:t>
      </w:r>
      <w:r w:rsidR="00F521BC" w:rsidRPr="009B4C53">
        <w:rPr>
          <w:rFonts w:ascii="Cambria" w:hAnsi="Cambria"/>
          <w:sz w:val="20"/>
          <w:szCs w:val="20"/>
          <w:lang w:val="es-ES"/>
        </w:rPr>
        <w:t xml:space="preserve">armado </w:t>
      </w:r>
      <w:r w:rsidRPr="009B4C53">
        <w:rPr>
          <w:rFonts w:ascii="Cambria" w:hAnsi="Cambria"/>
          <w:sz w:val="20"/>
          <w:szCs w:val="20"/>
          <w:lang w:val="es-ES"/>
        </w:rPr>
        <w:t>y no representa</w:t>
      </w:r>
      <w:r w:rsidR="004A3D7E">
        <w:rPr>
          <w:rFonts w:ascii="Cambria" w:hAnsi="Cambria"/>
          <w:sz w:val="20"/>
          <w:szCs w:val="20"/>
          <w:lang w:val="es-ES"/>
        </w:rPr>
        <w:t>r</w:t>
      </w:r>
      <w:r w:rsidRPr="009B4C53">
        <w:rPr>
          <w:rFonts w:ascii="Cambria" w:hAnsi="Cambria"/>
          <w:sz w:val="20"/>
          <w:szCs w:val="20"/>
          <w:lang w:val="es-ES"/>
        </w:rPr>
        <w:t xml:space="preserve"> un peligro, le dispararon un tiro en la espalda y lo llevaron a un lugar donde los agentes de policía lo agredieron y l</w:t>
      </w:r>
      <w:r w:rsidR="00F521BC" w:rsidRPr="009B4C53">
        <w:rPr>
          <w:rFonts w:ascii="Cambria" w:hAnsi="Cambria"/>
          <w:sz w:val="20"/>
          <w:szCs w:val="20"/>
          <w:lang w:val="es-ES"/>
        </w:rPr>
        <w:t xml:space="preserve">e </w:t>
      </w:r>
      <w:r w:rsidRPr="009B4C53">
        <w:rPr>
          <w:rFonts w:ascii="Cambria" w:hAnsi="Cambria"/>
          <w:sz w:val="20"/>
          <w:szCs w:val="20"/>
          <w:lang w:val="es-ES"/>
        </w:rPr>
        <w:t xml:space="preserve">pusieron </w:t>
      </w:r>
      <w:r w:rsidR="002B226E" w:rsidRPr="009B4C53">
        <w:rPr>
          <w:rFonts w:ascii="Cambria" w:hAnsi="Cambria"/>
          <w:sz w:val="20"/>
          <w:szCs w:val="20"/>
          <w:lang w:val="es-ES"/>
        </w:rPr>
        <w:t>pólvora e</w:t>
      </w:r>
      <w:r w:rsidRPr="009B4C53">
        <w:rPr>
          <w:rFonts w:ascii="Cambria" w:hAnsi="Cambria"/>
          <w:sz w:val="20"/>
          <w:szCs w:val="20"/>
          <w:lang w:val="es-ES"/>
        </w:rPr>
        <w:t xml:space="preserve">n las manos, tras lo cual habría sido llevado a un </w:t>
      </w:r>
      <w:r w:rsidR="002B226E" w:rsidRPr="009B4C53">
        <w:rPr>
          <w:rFonts w:ascii="Cambria" w:hAnsi="Cambria"/>
          <w:sz w:val="20"/>
          <w:szCs w:val="20"/>
          <w:lang w:val="es-ES"/>
        </w:rPr>
        <w:t>hospital</w:t>
      </w:r>
      <w:r w:rsidR="00741AD0" w:rsidRPr="009B4C53">
        <w:rPr>
          <w:rFonts w:ascii="Cambria" w:hAnsi="Cambria"/>
          <w:sz w:val="20"/>
          <w:szCs w:val="20"/>
          <w:lang w:val="es-ES"/>
        </w:rPr>
        <w:t xml:space="preserve"> municipal. </w:t>
      </w:r>
    </w:p>
    <w:p w14:paraId="2D042C79" w14:textId="1860DAFF" w:rsidR="002B226E" w:rsidRPr="00F00894" w:rsidRDefault="002B226E" w:rsidP="003C37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9B4C53">
        <w:rPr>
          <w:rFonts w:ascii="Cambria" w:hAnsi="Cambria"/>
          <w:sz w:val="20"/>
          <w:szCs w:val="20"/>
          <w:lang w:val="es-ES"/>
        </w:rPr>
        <w:t>E</w:t>
      </w:r>
      <w:r w:rsidR="001666B8" w:rsidRPr="009B4C53">
        <w:rPr>
          <w:rFonts w:ascii="Cambria" w:hAnsi="Cambria"/>
          <w:sz w:val="20"/>
          <w:szCs w:val="20"/>
          <w:lang w:val="es-ES"/>
        </w:rPr>
        <w:t>l</w:t>
      </w:r>
      <w:r w:rsidRPr="009B4C53">
        <w:rPr>
          <w:rFonts w:ascii="Cambria" w:hAnsi="Cambria"/>
          <w:sz w:val="20"/>
          <w:szCs w:val="20"/>
          <w:lang w:val="es-ES"/>
        </w:rPr>
        <w:t xml:space="preserve"> 13 de abril de 2011, Maria José Azevedo, m</w:t>
      </w:r>
      <w:r w:rsidR="001666B8" w:rsidRPr="009B4C53">
        <w:rPr>
          <w:rFonts w:ascii="Cambria" w:hAnsi="Cambria"/>
          <w:sz w:val="20"/>
          <w:szCs w:val="20"/>
          <w:lang w:val="es-ES"/>
        </w:rPr>
        <w:t>adre</w:t>
      </w:r>
      <w:r w:rsidRPr="009B4C53">
        <w:rPr>
          <w:rFonts w:ascii="Cambria" w:hAnsi="Cambria"/>
          <w:sz w:val="20"/>
          <w:szCs w:val="20"/>
          <w:lang w:val="es-ES"/>
        </w:rPr>
        <w:t xml:space="preserve"> d</w:t>
      </w:r>
      <w:r w:rsidR="001666B8" w:rsidRPr="009B4C53">
        <w:rPr>
          <w:rFonts w:ascii="Cambria" w:hAnsi="Cambria"/>
          <w:sz w:val="20"/>
          <w:szCs w:val="20"/>
          <w:lang w:val="es-ES"/>
        </w:rPr>
        <w:t xml:space="preserve">e </w:t>
      </w:r>
      <w:r w:rsidR="001A5D84" w:rsidRPr="009B4C53">
        <w:rPr>
          <w:rFonts w:ascii="Cambria" w:hAnsi="Cambria"/>
          <w:sz w:val="20"/>
          <w:szCs w:val="20"/>
          <w:lang w:val="es-ES"/>
        </w:rPr>
        <w:t>la presunta víctima</w:t>
      </w:r>
      <w:r w:rsidRPr="009B4C53">
        <w:rPr>
          <w:rFonts w:ascii="Cambria" w:hAnsi="Cambria"/>
          <w:sz w:val="20"/>
          <w:szCs w:val="20"/>
          <w:lang w:val="es-ES"/>
        </w:rPr>
        <w:t>, comparec</w:t>
      </w:r>
      <w:r w:rsidR="001666B8" w:rsidRPr="009B4C53">
        <w:rPr>
          <w:rFonts w:ascii="Cambria" w:hAnsi="Cambria"/>
          <w:sz w:val="20"/>
          <w:szCs w:val="20"/>
          <w:lang w:val="es-ES"/>
        </w:rPr>
        <w:t xml:space="preserve">ió ante la </w:t>
      </w:r>
      <w:r w:rsidR="003C37B1">
        <w:rPr>
          <w:rFonts w:ascii="Cambria" w:hAnsi="Cambria"/>
          <w:sz w:val="20"/>
          <w:szCs w:val="20"/>
          <w:lang w:val="es-ES"/>
        </w:rPr>
        <w:t>Defensoría del Estado de Sao Paulo</w:t>
      </w:r>
      <w:r w:rsidRPr="009B4C53">
        <w:rPr>
          <w:rFonts w:ascii="Cambria" w:hAnsi="Cambria"/>
          <w:sz w:val="20"/>
          <w:szCs w:val="20"/>
          <w:lang w:val="es-ES"/>
        </w:rPr>
        <w:t xml:space="preserve"> para denunciar </w:t>
      </w:r>
      <w:r w:rsidR="001666B8" w:rsidRPr="009B4C53">
        <w:rPr>
          <w:rFonts w:ascii="Cambria" w:hAnsi="Cambria"/>
          <w:sz w:val="20"/>
          <w:szCs w:val="20"/>
          <w:lang w:val="es-ES"/>
        </w:rPr>
        <w:t>lo</w:t>
      </w:r>
      <w:r w:rsidRPr="009B4C53">
        <w:rPr>
          <w:rFonts w:ascii="Cambria" w:hAnsi="Cambria"/>
          <w:sz w:val="20"/>
          <w:szCs w:val="20"/>
          <w:lang w:val="es-ES"/>
        </w:rPr>
        <w:t xml:space="preserve">s </w:t>
      </w:r>
      <w:r w:rsidR="001666B8" w:rsidRPr="009B4C53">
        <w:rPr>
          <w:rFonts w:ascii="Cambria" w:hAnsi="Cambria"/>
          <w:sz w:val="20"/>
          <w:szCs w:val="20"/>
          <w:lang w:val="es-ES"/>
        </w:rPr>
        <w:t>hechos</w:t>
      </w:r>
      <w:r w:rsidR="00741AD0" w:rsidRPr="009B4C53">
        <w:rPr>
          <w:rFonts w:ascii="Cambria" w:hAnsi="Cambria"/>
          <w:sz w:val="20"/>
          <w:szCs w:val="20"/>
          <w:lang w:val="es-ES"/>
        </w:rPr>
        <w:t>. E</w:t>
      </w:r>
      <w:r w:rsidR="001666B8" w:rsidRPr="009B4C53">
        <w:rPr>
          <w:rFonts w:ascii="Cambria" w:hAnsi="Cambria"/>
          <w:sz w:val="20"/>
          <w:szCs w:val="20"/>
          <w:lang w:val="es-ES"/>
        </w:rPr>
        <w:t>l</w:t>
      </w:r>
      <w:r w:rsidR="00741AD0" w:rsidRPr="009B4C53">
        <w:rPr>
          <w:rFonts w:ascii="Cambria" w:hAnsi="Cambria"/>
          <w:sz w:val="20"/>
          <w:szCs w:val="20"/>
          <w:lang w:val="es-ES"/>
        </w:rPr>
        <w:t xml:space="preserve"> 20 de abril de 2011 </w:t>
      </w:r>
      <w:r w:rsidR="001666B8" w:rsidRPr="009B4C53">
        <w:rPr>
          <w:rFonts w:ascii="Cambria" w:hAnsi="Cambria"/>
          <w:sz w:val="20"/>
          <w:szCs w:val="20"/>
          <w:lang w:val="es-ES"/>
        </w:rPr>
        <w:t xml:space="preserve">el órgano </w:t>
      </w:r>
      <w:r w:rsidR="004A3D7E">
        <w:rPr>
          <w:rFonts w:ascii="Cambria" w:hAnsi="Cambria"/>
          <w:sz w:val="20"/>
          <w:szCs w:val="20"/>
          <w:lang w:val="es-ES"/>
        </w:rPr>
        <w:t>solicitó</w:t>
      </w:r>
      <w:r w:rsidR="001666B8" w:rsidRPr="009B4C53">
        <w:rPr>
          <w:rFonts w:ascii="Cambria" w:hAnsi="Cambria"/>
          <w:sz w:val="20"/>
          <w:szCs w:val="20"/>
          <w:lang w:val="es-ES"/>
        </w:rPr>
        <w:t xml:space="preserve"> copia del expediente </w:t>
      </w:r>
      <w:r w:rsidRPr="009B4C53">
        <w:rPr>
          <w:rFonts w:ascii="Cambria" w:hAnsi="Cambria"/>
          <w:sz w:val="20"/>
          <w:szCs w:val="20"/>
          <w:lang w:val="es-ES"/>
        </w:rPr>
        <w:t>médico d</w:t>
      </w:r>
      <w:r w:rsidR="001666B8" w:rsidRPr="009B4C53">
        <w:rPr>
          <w:rFonts w:ascii="Cambria" w:hAnsi="Cambria"/>
          <w:sz w:val="20"/>
          <w:szCs w:val="20"/>
          <w:lang w:val="es-ES"/>
        </w:rPr>
        <w:t xml:space="preserve">e </w:t>
      </w:r>
      <w:r w:rsidR="001A5D84" w:rsidRPr="009B4C53">
        <w:rPr>
          <w:rFonts w:ascii="Cambria" w:hAnsi="Cambria"/>
          <w:sz w:val="20"/>
          <w:szCs w:val="20"/>
          <w:lang w:val="es-ES"/>
        </w:rPr>
        <w:t>la presunta víctima</w:t>
      </w:r>
      <w:r w:rsidRPr="009B4C53">
        <w:rPr>
          <w:rFonts w:ascii="Cambria" w:hAnsi="Cambria"/>
          <w:sz w:val="20"/>
          <w:szCs w:val="20"/>
          <w:lang w:val="es-ES"/>
        </w:rPr>
        <w:t xml:space="preserve"> a</w:t>
      </w:r>
      <w:r w:rsidR="001666B8" w:rsidRPr="009B4C53">
        <w:rPr>
          <w:rFonts w:ascii="Cambria" w:hAnsi="Cambria"/>
          <w:sz w:val="20"/>
          <w:szCs w:val="20"/>
          <w:lang w:val="es-ES"/>
        </w:rPr>
        <w:t>l</w:t>
      </w:r>
      <w:r w:rsidRPr="009B4C53">
        <w:rPr>
          <w:rFonts w:ascii="Cambria" w:hAnsi="Cambria"/>
          <w:sz w:val="20"/>
          <w:szCs w:val="20"/>
          <w:lang w:val="es-ES"/>
        </w:rPr>
        <w:t xml:space="preserve"> Hospital Municipal Dr. José Soares Hungria</w:t>
      </w:r>
      <w:r w:rsidR="001666B8" w:rsidRPr="009B4C53">
        <w:rPr>
          <w:rFonts w:ascii="Cambria" w:hAnsi="Cambria"/>
          <w:sz w:val="20"/>
          <w:szCs w:val="20"/>
          <w:lang w:val="es-ES"/>
        </w:rPr>
        <w:t xml:space="preserve"> y lo recibió el </w:t>
      </w:r>
      <w:r w:rsidRPr="009B4C53">
        <w:rPr>
          <w:rFonts w:ascii="Cambria" w:hAnsi="Cambria"/>
          <w:sz w:val="20"/>
          <w:szCs w:val="20"/>
          <w:lang w:val="es-ES"/>
        </w:rPr>
        <w:t>10 de ma</w:t>
      </w:r>
      <w:r w:rsidR="001666B8" w:rsidRPr="009B4C53">
        <w:rPr>
          <w:rFonts w:ascii="Cambria" w:hAnsi="Cambria"/>
          <w:sz w:val="20"/>
          <w:szCs w:val="20"/>
          <w:lang w:val="es-ES"/>
        </w:rPr>
        <w:t>y</w:t>
      </w:r>
      <w:r w:rsidRPr="009B4C53">
        <w:rPr>
          <w:rFonts w:ascii="Cambria" w:hAnsi="Cambria"/>
          <w:sz w:val="20"/>
          <w:szCs w:val="20"/>
          <w:lang w:val="es-ES"/>
        </w:rPr>
        <w:t>o s</w:t>
      </w:r>
      <w:r w:rsidR="001666B8" w:rsidRPr="009B4C53">
        <w:rPr>
          <w:rFonts w:ascii="Cambria" w:hAnsi="Cambria"/>
          <w:sz w:val="20"/>
          <w:szCs w:val="20"/>
          <w:lang w:val="es-ES"/>
        </w:rPr>
        <w:t>iguiente.</w:t>
      </w:r>
      <w:r w:rsidR="003C37B1">
        <w:rPr>
          <w:rFonts w:ascii="Cambria" w:hAnsi="Cambria"/>
          <w:sz w:val="20"/>
          <w:szCs w:val="20"/>
          <w:lang w:val="es-ES"/>
        </w:rPr>
        <w:t xml:space="preserve"> </w:t>
      </w:r>
      <w:r w:rsidRPr="003C37B1">
        <w:rPr>
          <w:rFonts w:ascii="Cambria" w:hAnsi="Cambria"/>
          <w:sz w:val="20"/>
          <w:szCs w:val="20"/>
          <w:lang w:val="es-ES"/>
        </w:rPr>
        <w:t>E</w:t>
      </w:r>
      <w:r w:rsidR="001666B8" w:rsidRPr="003C37B1">
        <w:rPr>
          <w:rFonts w:ascii="Cambria" w:hAnsi="Cambria"/>
          <w:sz w:val="20"/>
          <w:szCs w:val="20"/>
          <w:lang w:val="es-ES"/>
        </w:rPr>
        <w:t>l</w:t>
      </w:r>
      <w:r w:rsidRPr="003C37B1">
        <w:rPr>
          <w:rFonts w:ascii="Cambria" w:hAnsi="Cambria"/>
          <w:sz w:val="20"/>
          <w:szCs w:val="20"/>
          <w:lang w:val="es-ES"/>
        </w:rPr>
        <w:t xml:space="preserve"> 13 de </w:t>
      </w:r>
      <w:r w:rsidR="001A5D84" w:rsidRPr="003C37B1">
        <w:rPr>
          <w:rFonts w:ascii="Cambria" w:hAnsi="Cambria"/>
          <w:sz w:val="20"/>
          <w:szCs w:val="20"/>
          <w:lang w:val="es-ES"/>
        </w:rPr>
        <w:t>enero</w:t>
      </w:r>
      <w:r w:rsidRPr="003C37B1">
        <w:rPr>
          <w:rFonts w:ascii="Cambria" w:hAnsi="Cambria"/>
          <w:sz w:val="20"/>
          <w:szCs w:val="20"/>
          <w:lang w:val="es-ES"/>
        </w:rPr>
        <w:t xml:space="preserve"> de 2012, </w:t>
      </w:r>
      <w:r w:rsidR="001A5D84" w:rsidRPr="003C37B1">
        <w:rPr>
          <w:rFonts w:ascii="Cambria" w:hAnsi="Cambria"/>
          <w:sz w:val="20"/>
          <w:szCs w:val="20"/>
          <w:lang w:val="es-ES"/>
        </w:rPr>
        <w:t>la presunta víctima</w:t>
      </w:r>
      <w:r w:rsidRPr="003C37B1">
        <w:rPr>
          <w:rFonts w:ascii="Cambria" w:hAnsi="Cambria"/>
          <w:sz w:val="20"/>
          <w:szCs w:val="20"/>
          <w:lang w:val="es-ES"/>
        </w:rPr>
        <w:t xml:space="preserve"> </w:t>
      </w:r>
      <w:r w:rsidR="001666B8" w:rsidRPr="003C37B1">
        <w:rPr>
          <w:rFonts w:ascii="Cambria" w:hAnsi="Cambria"/>
          <w:sz w:val="20"/>
          <w:szCs w:val="20"/>
          <w:lang w:val="es-ES"/>
        </w:rPr>
        <w:t>y dos</w:t>
      </w:r>
      <w:r w:rsidRPr="003C37B1">
        <w:rPr>
          <w:rFonts w:ascii="Cambria" w:hAnsi="Cambria"/>
          <w:sz w:val="20"/>
          <w:szCs w:val="20"/>
          <w:lang w:val="es-ES"/>
        </w:rPr>
        <w:t xml:space="preserve"> </w:t>
      </w:r>
      <w:r w:rsidR="001A5D84" w:rsidRPr="003C37B1">
        <w:rPr>
          <w:rFonts w:ascii="Cambria" w:hAnsi="Cambria"/>
          <w:sz w:val="20"/>
          <w:szCs w:val="20"/>
          <w:lang w:val="es-ES"/>
        </w:rPr>
        <w:t>testigos</w:t>
      </w:r>
      <w:r w:rsidRPr="003C37B1">
        <w:rPr>
          <w:rFonts w:ascii="Cambria" w:hAnsi="Cambria"/>
          <w:sz w:val="20"/>
          <w:szCs w:val="20"/>
          <w:lang w:val="es-ES"/>
        </w:rPr>
        <w:t xml:space="preserve"> comparec</w:t>
      </w:r>
      <w:r w:rsidR="001666B8" w:rsidRPr="003C37B1">
        <w:rPr>
          <w:rFonts w:ascii="Cambria" w:hAnsi="Cambria"/>
          <w:sz w:val="20"/>
          <w:szCs w:val="20"/>
          <w:lang w:val="es-ES"/>
        </w:rPr>
        <w:t>ieron ante la</w:t>
      </w:r>
      <w:r w:rsidRPr="003C37B1">
        <w:rPr>
          <w:rFonts w:ascii="Cambria" w:hAnsi="Cambria"/>
          <w:sz w:val="20"/>
          <w:szCs w:val="20"/>
          <w:lang w:val="es-ES"/>
        </w:rPr>
        <w:t xml:space="preserve"> </w:t>
      </w:r>
      <w:r w:rsidR="00741AD0" w:rsidRPr="003C37B1">
        <w:rPr>
          <w:rFonts w:ascii="Cambria" w:hAnsi="Cambria"/>
          <w:sz w:val="20"/>
          <w:szCs w:val="20"/>
          <w:lang w:val="es-ES"/>
        </w:rPr>
        <w:t>DPE/SP</w:t>
      </w:r>
      <w:r w:rsidRPr="003C37B1">
        <w:rPr>
          <w:rFonts w:ascii="Cambria" w:hAnsi="Cambria"/>
          <w:sz w:val="20"/>
          <w:szCs w:val="20"/>
          <w:lang w:val="es-ES"/>
        </w:rPr>
        <w:t xml:space="preserve"> para prestar </w:t>
      </w:r>
      <w:r w:rsidR="001666B8" w:rsidRPr="003C37B1">
        <w:rPr>
          <w:rFonts w:ascii="Cambria" w:hAnsi="Cambria"/>
          <w:sz w:val="20"/>
          <w:szCs w:val="20"/>
          <w:lang w:val="es-ES"/>
        </w:rPr>
        <w:t>declaración</w:t>
      </w:r>
      <w:r w:rsidR="003C37B1">
        <w:rPr>
          <w:rFonts w:ascii="Cambria" w:hAnsi="Cambria"/>
          <w:sz w:val="20"/>
          <w:szCs w:val="20"/>
          <w:lang w:val="es-ES"/>
        </w:rPr>
        <w:t xml:space="preserve">; y el </w:t>
      </w:r>
      <w:r w:rsidRPr="003C37B1">
        <w:rPr>
          <w:rFonts w:ascii="Cambria" w:hAnsi="Cambria"/>
          <w:sz w:val="20"/>
          <w:szCs w:val="20"/>
          <w:lang w:val="es-ES"/>
        </w:rPr>
        <w:t xml:space="preserve">30 de </w:t>
      </w:r>
      <w:r w:rsidR="001A5D84" w:rsidRPr="003C37B1">
        <w:rPr>
          <w:rFonts w:ascii="Cambria" w:hAnsi="Cambria"/>
          <w:sz w:val="20"/>
          <w:szCs w:val="20"/>
          <w:lang w:val="es-ES"/>
        </w:rPr>
        <w:t>enero</w:t>
      </w:r>
      <w:r w:rsidRPr="003C37B1">
        <w:rPr>
          <w:rFonts w:ascii="Cambria" w:hAnsi="Cambria"/>
          <w:sz w:val="20"/>
          <w:szCs w:val="20"/>
          <w:lang w:val="es-ES"/>
        </w:rPr>
        <w:t xml:space="preserve"> </w:t>
      </w:r>
      <w:r w:rsidR="001666B8" w:rsidRPr="003C37B1">
        <w:rPr>
          <w:rFonts w:ascii="Cambria" w:hAnsi="Cambria"/>
          <w:sz w:val="20"/>
          <w:szCs w:val="20"/>
          <w:lang w:val="es-ES"/>
        </w:rPr>
        <w:t>l</w:t>
      </w:r>
      <w:r w:rsidRPr="003C37B1">
        <w:rPr>
          <w:rFonts w:ascii="Cambria" w:hAnsi="Cambria"/>
          <w:sz w:val="20"/>
          <w:szCs w:val="20"/>
          <w:lang w:val="es-ES"/>
        </w:rPr>
        <w:t xml:space="preserve">os </w:t>
      </w:r>
      <w:r w:rsidR="001666B8" w:rsidRPr="003C37B1">
        <w:rPr>
          <w:rFonts w:ascii="Cambria" w:hAnsi="Cambria"/>
          <w:sz w:val="20"/>
          <w:szCs w:val="20"/>
          <w:lang w:val="es-ES"/>
        </w:rPr>
        <w:t>hechos</w:t>
      </w:r>
      <w:r w:rsidRPr="003C37B1">
        <w:rPr>
          <w:rFonts w:ascii="Cambria" w:hAnsi="Cambria"/>
          <w:sz w:val="20"/>
          <w:szCs w:val="20"/>
          <w:lang w:val="es-ES"/>
        </w:rPr>
        <w:t xml:space="preserve"> f</w:t>
      </w:r>
      <w:r w:rsidR="001666B8" w:rsidRPr="003C37B1">
        <w:rPr>
          <w:rFonts w:ascii="Cambria" w:hAnsi="Cambria"/>
          <w:sz w:val="20"/>
          <w:szCs w:val="20"/>
          <w:lang w:val="es-ES"/>
        </w:rPr>
        <w:t>ueron</w:t>
      </w:r>
      <w:r w:rsidRPr="003C37B1">
        <w:rPr>
          <w:rFonts w:ascii="Cambria" w:hAnsi="Cambria"/>
          <w:sz w:val="20"/>
          <w:szCs w:val="20"/>
          <w:lang w:val="es-ES"/>
        </w:rPr>
        <w:t xml:space="preserve"> comunicados a</w:t>
      </w:r>
      <w:r w:rsidR="001666B8" w:rsidRPr="003C37B1">
        <w:rPr>
          <w:rFonts w:ascii="Cambria" w:hAnsi="Cambria"/>
          <w:sz w:val="20"/>
          <w:szCs w:val="20"/>
          <w:lang w:val="es-ES"/>
        </w:rPr>
        <w:t>l</w:t>
      </w:r>
      <w:r w:rsidRPr="003C37B1">
        <w:rPr>
          <w:rFonts w:ascii="Cambria" w:hAnsi="Cambria"/>
          <w:sz w:val="20"/>
          <w:szCs w:val="20"/>
          <w:lang w:val="es-ES"/>
        </w:rPr>
        <w:t xml:space="preserve"> </w:t>
      </w:r>
      <w:r w:rsidR="001A5D84" w:rsidRPr="003C37B1">
        <w:rPr>
          <w:rFonts w:ascii="Cambria" w:hAnsi="Cambria"/>
          <w:sz w:val="20"/>
          <w:szCs w:val="20"/>
          <w:lang w:val="es-ES"/>
        </w:rPr>
        <w:t>Ministerio</w:t>
      </w:r>
      <w:r w:rsidRPr="003C37B1">
        <w:rPr>
          <w:rFonts w:ascii="Cambria" w:hAnsi="Cambria"/>
          <w:sz w:val="20"/>
          <w:szCs w:val="20"/>
          <w:lang w:val="es-ES"/>
        </w:rPr>
        <w:t xml:space="preserve"> Público </w:t>
      </w:r>
      <w:r w:rsidR="001666B8" w:rsidRPr="003C37B1">
        <w:rPr>
          <w:rFonts w:ascii="Cambria" w:hAnsi="Cambria"/>
          <w:sz w:val="20"/>
          <w:szCs w:val="20"/>
          <w:lang w:val="es-ES"/>
        </w:rPr>
        <w:t xml:space="preserve">junto </w:t>
      </w:r>
      <w:r w:rsidRPr="003C37B1">
        <w:rPr>
          <w:rFonts w:ascii="Cambria" w:hAnsi="Cambria"/>
          <w:sz w:val="20"/>
          <w:szCs w:val="20"/>
          <w:lang w:val="es-ES"/>
        </w:rPr>
        <w:t>co</w:t>
      </w:r>
      <w:r w:rsidR="001666B8" w:rsidRPr="003C37B1">
        <w:rPr>
          <w:rFonts w:ascii="Cambria" w:hAnsi="Cambria"/>
          <w:sz w:val="20"/>
          <w:szCs w:val="20"/>
          <w:lang w:val="es-ES"/>
        </w:rPr>
        <w:t xml:space="preserve">n un </w:t>
      </w:r>
      <w:r w:rsidR="00E41EFF" w:rsidRPr="003C37B1">
        <w:rPr>
          <w:rFonts w:ascii="Cambria" w:hAnsi="Cambria"/>
          <w:sz w:val="20"/>
          <w:szCs w:val="20"/>
          <w:lang w:val="es-ES"/>
        </w:rPr>
        <w:t>pedido</w:t>
      </w:r>
      <w:r w:rsidRPr="003C37B1">
        <w:rPr>
          <w:rFonts w:ascii="Cambria" w:hAnsi="Cambria"/>
          <w:sz w:val="20"/>
          <w:szCs w:val="20"/>
          <w:lang w:val="es-ES"/>
        </w:rPr>
        <w:t xml:space="preserve"> de </w:t>
      </w:r>
      <w:r w:rsidR="001666B8" w:rsidRPr="003C37B1">
        <w:rPr>
          <w:rFonts w:ascii="Cambria" w:hAnsi="Cambria"/>
          <w:sz w:val="20"/>
          <w:szCs w:val="20"/>
          <w:lang w:val="es-ES"/>
        </w:rPr>
        <w:t>investigación</w:t>
      </w:r>
      <w:r w:rsidRPr="003C37B1">
        <w:rPr>
          <w:rFonts w:ascii="Cambria" w:hAnsi="Cambria"/>
          <w:sz w:val="20"/>
          <w:szCs w:val="20"/>
          <w:lang w:val="es-ES"/>
        </w:rPr>
        <w:t xml:space="preserve"> d</w:t>
      </w:r>
      <w:r w:rsidR="001666B8" w:rsidRPr="003C37B1">
        <w:rPr>
          <w:rFonts w:ascii="Cambria" w:hAnsi="Cambria"/>
          <w:sz w:val="20"/>
          <w:szCs w:val="20"/>
          <w:lang w:val="es-ES"/>
        </w:rPr>
        <w:t xml:space="preserve">el delito </w:t>
      </w:r>
      <w:r w:rsidRPr="003C37B1">
        <w:rPr>
          <w:rFonts w:ascii="Cambria" w:hAnsi="Cambria"/>
          <w:sz w:val="20"/>
          <w:szCs w:val="20"/>
          <w:lang w:val="es-ES"/>
        </w:rPr>
        <w:t>de tortura. E</w:t>
      </w:r>
      <w:r w:rsidR="001666B8" w:rsidRPr="003C37B1">
        <w:rPr>
          <w:rFonts w:ascii="Cambria" w:hAnsi="Cambria"/>
          <w:sz w:val="20"/>
          <w:szCs w:val="20"/>
          <w:lang w:val="es-ES"/>
        </w:rPr>
        <w:t>l</w:t>
      </w:r>
      <w:r w:rsidRPr="003C37B1">
        <w:rPr>
          <w:rFonts w:ascii="Cambria" w:hAnsi="Cambria"/>
          <w:sz w:val="20"/>
          <w:szCs w:val="20"/>
          <w:lang w:val="es-ES"/>
        </w:rPr>
        <w:t xml:space="preserve"> 14 de </w:t>
      </w:r>
      <w:r w:rsidR="001A5D84" w:rsidRPr="003C37B1">
        <w:rPr>
          <w:rFonts w:ascii="Cambria" w:hAnsi="Cambria"/>
          <w:sz w:val="20"/>
          <w:szCs w:val="20"/>
          <w:lang w:val="es-ES"/>
        </w:rPr>
        <w:t>marzo</w:t>
      </w:r>
      <w:r w:rsidR="003C37B1">
        <w:rPr>
          <w:rFonts w:ascii="Cambria" w:hAnsi="Cambria"/>
          <w:sz w:val="20"/>
          <w:szCs w:val="20"/>
          <w:lang w:val="es-ES"/>
        </w:rPr>
        <w:t xml:space="preserve"> de 2012</w:t>
      </w:r>
      <w:r w:rsidRPr="003C37B1">
        <w:rPr>
          <w:rFonts w:ascii="Cambria" w:hAnsi="Cambria"/>
          <w:sz w:val="20"/>
          <w:szCs w:val="20"/>
          <w:lang w:val="es-ES"/>
        </w:rPr>
        <w:t xml:space="preserve"> </w:t>
      </w:r>
      <w:r w:rsidR="001666B8" w:rsidRPr="003C37B1">
        <w:rPr>
          <w:rFonts w:ascii="Cambria" w:hAnsi="Cambria"/>
          <w:sz w:val="20"/>
          <w:szCs w:val="20"/>
          <w:lang w:val="es-ES"/>
        </w:rPr>
        <w:t>el fiscal solicit</w:t>
      </w:r>
      <w:r w:rsidR="003C37B1">
        <w:rPr>
          <w:rFonts w:ascii="Cambria" w:hAnsi="Cambria"/>
          <w:sz w:val="20"/>
          <w:szCs w:val="20"/>
          <w:lang w:val="es-ES"/>
        </w:rPr>
        <w:t>ó el archivo</w:t>
      </w:r>
      <w:r w:rsidR="001666B8" w:rsidRPr="003C37B1">
        <w:rPr>
          <w:rFonts w:ascii="Cambria" w:hAnsi="Cambria"/>
          <w:sz w:val="20"/>
          <w:szCs w:val="20"/>
          <w:lang w:val="es-ES"/>
        </w:rPr>
        <w:t xml:space="preserve"> del pedido hecho por la </w:t>
      </w:r>
      <w:r w:rsidR="00E41EFF" w:rsidRPr="003C37B1">
        <w:rPr>
          <w:rFonts w:ascii="Cambria" w:hAnsi="Cambria"/>
          <w:sz w:val="20"/>
          <w:szCs w:val="20"/>
          <w:lang w:val="es-ES"/>
        </w:rPr>
        <w:t>DPE/SP</w:t>
      </w:r>
      <w:r w:rsidR="004F092D" w:rsidRPr="003C37B1">
        <w:rPr>
          <w:rFonts w:ascii="Cambria" w:hAnsi="Cambria"/>
          <w:sz w:val="20"/>
          <w:szCs w:val="20"/>
          <w:lang w:val="es-ES"/>
        </w:rPr>
        <w:t xml:space="preserve"> s</w:t>
      </w:r>
      <w:r w:rsidR="001666B8" w:rsidRPr="003C37B1">
        <w:rPr>
          <w:rFonts w:ascii="Cambria" w:hAnsi="Cambria"/>
          <w:sz w:val="20"/>
          <w:szCs w:val="20"/>
          <w:lang w:val="es-ES"/>
        </w:rPr>
        <w:t xml:space="preserve">in </w:t>
      </w:r>
      <w:r w:rsidR="004A3D7E">
        <w:rPr>
          <w:rFonts w:ascii="Cambria" w:hAnsi="Cambria"/>
          <w:sz w:val="20"/>
          <w:szCs w:val="20"/>
          <w:lang w:val="es-ES"/>
        </w:rPr>
        <w:t>escuchar</w:t>
      </w:r>
      <w:r w:rsidR="001666B8" w:rsidRPr="003C37B1">
        <w:rPr>
          <w:rFonts w:ascii="Cambria" w:hAnsi="Cambria"/>
          <w:sz w:val="20"/>
          <w:szCs w:val="20"/>
          <w:lang w:val="es-ES"/>
        </w:rPr>
        <w:t xml:space="preserve"> a la</w:t>
      </w:r>
      <w:r w:rsidR="004F092D" w:rsidRPr="003C37B1">
        <w:rPr>
          <w:rFonts w:ascii="Cambria" w:hAnsi="Cambria"/>
          <w:sz w:val="20"/>
          <w:szCs w:val="20"/>
          <w:lang w:val="es-ES"/>
        </w:rPr>
        <w:t xml:space="preserve"> </w:t>
      </w:r>
      <w:r w:rsidR="00BB2DCA" w:rsidRPr="003C37B1">
        <w:rPr>
          <w:rFonts w:ascii="Cambria" w:hAnsi="Cambria"/>
          <w:sz w:val="20"/>
          <w:szCs w:val="20"/>
          <w:lang w:val="es-ES"/>
        </w:rPr>
        <w:t>víctima</w:t>
      </w:r>
      <w:r w:rsidR="001666B8" w:rsidRPr="003C37B1">
        <w:rPr>
          <w:rFonts w:ascii="Cambria" w:hAnsi="Cambria"/>
          <w:sz w:val="20"/>
          <w:szCs w:val="20"/>
          <w:lang w:val="es-ES"/>
        </w:rPr>
        <w:t xml:space="preserve"> o</w:t>
      </w:r>
      <w:r w:rsidR="00E41EFF" w:rsidRPr="003C37B1">
        <w:rPr>
          <w:rFonts w:ascii="Cambria" w:hAnsi="Cambria"/>
          <w:sz w:val="20"/>
          <w:szCs w:val="20"/>
          <w:lang w:val="es-ES"/>
        </w:rPr>
        <w:t xml:space="preserve"> </w:t>
      </w:r>
      <w:r w:rsidR="004F092D" w:rsidRPr="003C37B1">
        <w:rPr>
          <w:rFonts w:ascii="Cambria" w:hAnsi="Cambria"/>
          <w:sz w:val="20"/>
          <w:szCs w:val="20"/>
          <w:lang w:val="es-ES"/>
        </w:rPr>
        <w:t>a</w:t>
      </w:r>
      <w:r w:rsidR="001666B8" w:rsidRPr="003C37B1">
        <w:rPr>
          <w:rFonts w:ascii="Cambria" w:hAnsi="Cambria"/>
          <w:sz w:val="20"/>
          <w:szCs w:val="20"/>
          <w:lang w:val="es-ES"/>
        </w:rPr>
        <w:t xml:space="preserve"> lo</w:t>
      </w:r>
      <w:r w:rsidR="004F092D" w:rsidRPr="003C37B1">
        <w:rPr>
          <w:rFonts w:ascii="Cambria" w:hAnsi="Cambria"/>
          <w:sz w:val="20"/>
          <w:szCs w:val="20"/>
          <w:lang w:val="es-ES"/>
        </w:rPr>
        <w:t xml:space="preserve">s </w:t>
      </w:r>
      <w:r w:rsidR="001A5D84" w:rsidRPr="003C37B1">
        <w:rPr>
          <w:rFonts w:ascii="Cambria" w:hAnsi="Cambria"/>
          <w:sz w:val="20"/>
          <w:szCs w:val="20"/>
          <w:lang w:val="es-ES"/>
        </w:rPr>
        <w:t>testigos</w:t>
      </w:r>
      <w:r w:rsidR="004F092D" w:rsidRPr="003C37B1">
        <w:rPr>
          <w:rFonts w:ascii="Cambria" w:hAnsi="Cambria"/>
          <w:sz w:val="20"/>
          <w:szCs w:val="20"/>
          <w:lang w:val="es-ES"/>
        </w:rPr>
        <w:t xml:space="preserve"> </w:t>
      </w:r>
      <w:r w:rsidR="001666B8" w:rsidRPr="003C37B1">
        <w:rPr>
          <w:rFonts w:ascii="Cambria" w:hAnsi="Cambria"/>
          <w:sz w:val="20"/>
          <w:szCs w:val="20"/>
          <w:lang w:val="es-ES"/>
        </w:rPr>
        <w:t>ni analizar las pruebas</w:t>
      </w:r>
      <w:r w:rsidR="004F092D" w:rsidRPr="003C37B1">
        <w:rPr>
          <w:rFonts w:ascii="Cambria" w:hAnsi="Cambria"/>
          <w:sz w:val="20"/>
          <w:szCs w:val="20"/>
          <w:lang w:val="es-ES"/>
        </w:rPr>
        <w:t xml:space="preserve">, </w:t>
      </w:r>
      <w:r w:rsidR="001666B8" w:rsidRPr="003C37B1">
        <w:rPr>
          <w:rFonts w:ascii="Cambria" w:hAnsi="Cambria"/>
          <w:sz w:val="20"/>
          <w:szCs w:val="20"/>
          <w:lang w:val="es-ES"/>
        </w:rPr>
        <w:t xml:space="preserve">tras </w:t>
      </w:r>
      <w:r w:rsidR="004F092D" w:rsidRPr="003C37B1">
        <w:rPr>
          <w:rFonts w:ascii="Cambria" w:hAnsi="Cambria"/>
          <w:sz w:val="20"/>
          <w:szCs w:val="20"/>
          <w:lang w:val="es-ES"/>
        </w:rPr>
        <w:t>afirma</w:t>
      </w:r>
      <w:r w:rsidR="001666B8" w:rsidRPr="003C37B1">
        <w:rPr>
          <w:rFonts w:ascii="Cambria" w:hAnsi="Cambria"/>
          <w:sz w:val="20"/>
          <w:szCs w:val="20"/>
          <w:lang w:val="es-ES"/>
        </w:rPr>
        <w:t xml:space="preserve">r </w:t>
      </w:r>
      <w:r w:rsidR="004F092D" w:rsidRPr="003C37B1">
        <w:rPr>
          <w:rFonts w:ascii="Cambria" w:hAnsi="Cambria"/>
          <w:sz w:val="20"/>
          <w:szCs w:val="20"/>
          <w:lang w:val="es-ES"/>
        </w:rPr>
        <w:t xml:space="preserve">que </w:t>
      </w:r>
      <w:r w:rsidR="001A5D84" w:rsidRPr="003C37B1">
        <w:rPr>
          <w:rFonts w:ascii="Cambria" w:hAnsi="Cambria"/>
          <w:sz w:val="20"/>
          <w:szCs w:val="20"/>
          <w:lang w:val="es-ES"/>
        </w:rPr>
        <w:t>la presunta víctima</w:t>
      </w:r>
      <w:r w:rsidR="004F092D" w:rsidRPr="003C37B1">
        <w:rPr>
          <w:rFonts w:ascii="Cambria" w:hAnsi="Cambria"/>
          <w:sz w:val="20"/>
          <w:szCs w:val="20"/>
          <w:lang w:val="es-ES"/>
        </w:rPr>
        <w:t xml:space="preserve"> </w:t>
      </w:r>
      <w:r w:rsidR="00D872D6" w:rsidRPr="003C37B1">
        <w:rPr>
          <w:rFonts w:ascii="Cambria" w:hAnsi="Cambria"/>
          <w:sz w:val="20"/>
          <w:szCs w:val="20"/>
          <w:lang w:val="es-ES"/>
        </w:rPr>
        <w:t>resistió el arresto, estaba</w:t>
      </w:r>
      <w:r w:rsidR="00E41EFF" w:rsidRPr="003C37B1">
        <w:rPr>
          <w:rFonts w:ascii="Cambria" w:hAnsi="Cambria"/>
          <w:sz w:val="20"/>
          <w:szCs w:val="20"/>
          <w:lang w:val="es-ES"/>
        </w:rPr>
        <w:t xml:space="preserve"> armada</w:t>
      </w:r>
      <w:r w:rsidR="004F092D" w:rsidRPr="003C37B1">
        <w:rPr>
          <w:rFonts w:ascii="Cambria" w:hAnsi="Cambria"/>
          <w:sz w:val="20"/>
          <w:szCs w:val="20"/>
          <w:lang w:val="es-ES"/>
        </w:rPr>
        <w:t xml:space="preserve"> </w:t>
      </w:r>
      <w:r w:rsidR="00D872D6" w:rsidRPr="003C37B1">
        <w:rPr>
          <w:rFonts w:ascii="Cambria" w:hAnsi="Cambria"/>
          <w:sz w:val="20"/>
          <w:szCs w:val="20"/>
          <w:lang w:val="es-ES"/>
        </w:rPr>
        <w:t>e</w:t>
      </w:r>
      <w:r w:rsidR="004F092D" w:rsidRPr="003C37B1">
        <w:rPr>
          <w:rFonts w:ascii="Cambria" w:hAnsi="Cambria"/>
          <w:sz w:val="20"/>
          <w:szCs w:val="20"/>
          <w:lang w:val="es-ES"/>
        </w:rPr>
        <w:t>n</w:t>
      </w:r>
      <w:r w:rsidR="00D872D6" w:rsidRPr="003C37B1">
        <w:rPr>
          <w:rFonts w:ascii="Cambria" w:hAnsi="Cambria"/>
          <w:sz w:val="20"/>
          <w:szCs w:val="20"/>
          <w:lang w:val="es-ES"/>
        </w:rPr>
        <w:t xml:space="preserve"> el</w:t>
      </w:r>
      <w:r w:rsidR="004F092D" w:rsidRPr="003C37B1">
        <w:rPr>
          <w:rFonts w:ascii="Cambria" w:hAnsi="Cambria"/>
          <w:sz w:val="20"/>
          <w:szCs w:val="20"/>
          <w:lang w:val="es-ES"/>
        </w:rPr>
        <w:t xml:space="preserve"> momento </w:t>
      </w:r>
      <w:r w:rsidR="00D872D6" w:rsidRPr="003C37B1">
        <w:rPr>
          <w:rFonts w:ascii="Cambria" w:hAnsi="Cambria"/>
          <w:sz w:val="20"/>
          <w:szCs w:val="20"/>
          <w:lang w:val="es-ES"/>
        </w:rPr>
        <w:t xml:space="preserve">en que fue detenida y representaba un peligro para los agentes de </w:t>
      </w:r>
      <w:r w:rsidR="00D872D6" w:rsidRPr="00F00894">
        <w:rPr>
          <w:rFonts w:ascii="Cambria" w:hAnsi="Cambria"/>
          <w:sz w:val="20"/>
          <w:szCs w:val="20"/>
          <w:lang w:val="es-ES"/>
        </w:rPr>
        <w:t xml:space="preserve">policía. El </w:t>
      </w:r>
      <w:r w:rsidR="006D1E2B" w:rsidRPr="00F00894">
        <w:rPr>
          <w:rFonts w:ascii="Cambria" w:hAnsi="Cambria"/>
          <w:sz w:val="20"/>
          <w:szCs w:val="20"/>
          <w:lang w:val="es-ES"/>
        </w:rPr>
        <w:t xml:space="preserve">26 de </w:t>
      </w:r>
      <w:r w:rsidR="001A5D84" w:rsidRPr="00F00894">
        <w:rPr>
          <w:rFonts w:ascii="Cambria" w:hAnsi="Cambria"/>
          <w:sz w:val="20"/>
          <w:szCs w:val="20"/>
          <w:lang w:val="es-ES"/>
        </w:rPr>
        <w:t>junio</w:t>
      </w:r>
      <w:r w:rsidR="003C37B1" w:rsidRPr="00F00894">
        <w:rPr>
          <w:rFonts w:ascii="Cambria" w:hAnsi="Cambria"/>
          <w:sz w:val="20"/>
          <w:szCs w:val="20"/>
          <w:lang w:val="es-ES"/>
        </w:rPr>
        <w:t xml:space="preserve"> de 2012</w:t>
      </w:r>
      <w:r w:rsidR="006D1E2B" w:rsidRPr="00F00894">
        <w:rPr>
          <w:rFonts w:ascii="Cambria" w:hAnsi="Cambria"/>
          <w:sz w:val="20"/>
          <w:szCs w:val="20"/>
          <w:lang w:val="es-ES"/>
        </w:rPr>
        <w:t xml:space="preserve"> </w:t>
      </w:r>
      <w:r w:rsidR="00D872D6" w:rsidRPr="00F00894">
        <w:rPr>
          <w:rFonts w:ascii="Cambria" w:hAnsi="Cambria"/>
          <w:sz w:val="20"/>
          <w:szCs w:val="20"/>
          <w:lang w:val="es-ES"/>
        </w:rPr>
        <w:t>el juez</w:t>
      </w:r>
      <w:r w:rsidR="003C37B1" w:rsidRPr="00F00894">
        <w:rPr>
          <w:rFonts w:ascii="Cambria" w:hAnsi="Cambria"/>
          <w:sz w:val="20"/>
          <w:szCs w:val="20"/>
          <w:lang w:val="es-ES"/>
        </w:rPr>
        <w:t xml:space="preserve"> </w:t>
      </w:r>
      <w:r w:rsidR="00D872D6" w:rsidRPr="00F00894">
        <w:rPr>
          <w:rFonts w:ascii="Cambria" w:hAnsi="Cambria"/>
          <w:sz w:val="20"/>
          <w:szCs w:val="20"/>
          <w:lang w:val="es-ES"/>
        </w:rPr>
        <w:t>de primera instancia a</w:t>
      </w:r>
      <w:r w:rsidR="003A7963" w:rsidRPr="00F00894">
        <w:rPr>
          <w:rFonts w:ascii="Cambria" w:hAnsi="Cambria"/>
          <w:sz w:val="20"/>
          <w:szCs w:val="20"/>
          <w:lang w:val="es-ES"/>
        </w:rPr>
        <w:t>prob</w:t>
      </w:r>
      <w:r w:rsidR="00D872D6" w:rsidRPr="00F00894">
        <w:rPr>
          <w:rFonts w:ascii="Cambria" w:hAnsi="Cambria"/>
          <w:sz w:val="20"/>
          <w:szCs w:val="20"/>
          <w:lang w:val="es-ES"/>
        </w:rPr>
        <w:t xml:space="preserve">ó el </w:t>
      </w:r>
      <w:r w:rsidR="00E41EFF" w:rsidRPr="00F00894">
        <w:rPr>
          <w:rFonts w:ascii="Cambria" w:hAnsi="Cambria"/>
          <w:sz w:val="20"/>
          <w:szCs w:val="20"/>
          <w:lang w:val="es-ES"/>
        </w:rPr>
        <w:t>pedido d</w:t>
      </w:r>
      <w:r w:rsidR="00D872D6" w:rsidRPr="00F00894">
        <w:rPr>
          <w:rFonts w:ascii="Cambria" w:hAnsi="Cambria"/>
          <w:sz w:val="20"/>
          <w:szCs w:val="20"/>
          <w:lang w:val="es-ES"/>
        </w:rPr>
        <w:t>el</w:t>
      </w:r>
      <w:r w:rsidR="00E41EFF" w:rsidRPr="00F00894">
        <w:rPr>
          <w:rFonts w:ascii="Cambria" w:hAnsi="Cambria"/>
          <w:sz w:val="20"/>
          <w:szCs w:val="20"/>
          <w:lang w:val="es-ES"/>
        </w:rPr>
        <w:t xml:space="preserve"> </w:t>
      </w:r>
      <w:r w:rsidR="001A5D84" w:rsidRPr="00F00894">
        <w:rPr>
          <w:rFonts w:ascii="Cambria" w:hAnsi="Cambria"/>
          <w:sz w:val="20"/>
          <w:szCs w:val="20"/>
          <w:lang w:val="es-ES"/>
        </w:rPr>
        <w:t>Ministerio</w:t>
      </w:r>
      <w:r w:rsidR="00E41EFF" w:rsidRPr="00F00894">
        <w:rPr>
          <w:rFonts w:ascii="Cambria" w:hAnsi="Cambria"/>
          <w:sz w:val="20"/>
          <w:szCs w:val="20"/>
          <w:lang w:val="es-ES"/>
        </w:rPr>
        <w:t xml:space="preserve"> Público </w:t>
      </w:r>
      <w:r w:rsidR="00D872D6" w:rsidRPr="00F00894">
        <w:rPr>
          <w:rFonts w:ascii="Cambria" w:hAnsi="Cambria"/>
          <w:sz w:val="20"/>
          <w:szCs w:val="20"/>
          <w:lang w:val="es-ES"/>
        </w:rPr>
        <w:t xml:space="preserve">y ordenó que se archivara el procedimiento. </w:t>
      </w:r>
      <w:r w:rsidR="001A5D84" w:rsidRPr="00F00894">
        <w:rPr>
          <w:rFonts w:ascii="Cambria" w:hAnsi="Cambria"/>
          <w:sz w:val="20"/>
          <w:szCs w:val="20"/>
          <w:lang w:val="es-ES"/>
        </w:rPr>
        <w:t>El peticionario</w:t>
      </w:r>
      <w:r w:rsidR="002B6627" w:rsidRPr="00F00894">
        <w:rPr>
          <w:rFonts w:ascii="Cambria" w:hAnsi="Cambria"/>
          <w:sz w:val="20"/>
          <w:szCs w:val="20"/>
          <w:lang w:val="es-ES"/>
        </w:rPr>
        <w:t xml:space="preserve"> indica que</w:t>
      </w:r>
      <w:r w:rsidR="00D872D6" w:rsidRPr="00F00894">
        <w:rPr>
          <w:rFonts w:ascii="Cambria" w:hAnsi="Cambria"/>
          <w:sz w:val="20"/>
          <w:szCs w:val="20"/>
          <w:lang w:val="es-ES"/>
        </w:rPr>
        <w:t xml:space="preserve">, </w:t>
      </w:r>
      <w:r w:rsidR="003A7963" w:rsidRPr="00F00894">
        <w:rPr>
          <w:rFonts w:ascii="Cambria" w:hAnsi="Cambria"/>
          <w:sz w:val="20"/>
          <w:szCs w:val="20"/>
          <w:lang w:val="es-ES"/>
        </w:rPr>
        <w:t>después que se envió</w:t>
      </w:r>
      <w:r w:rsidR="00D872D6" w:rsidRPr="00F00894">
        <w:rPr>
          <w:rFonts w:ascii="Cambria" w:hAnsi="Cambria"/>
          <w:sz w:val="20"/>
          <w:szCs w:val="20"/>
          <w:lang w:val="es-ES"/>
        </w:rPr>
        <w:t xml:space="preserve"> la </w:t>
      </w:r>
      <w:r w:rsidR="00947C02" w:rsidRPr="00F00894">
        <w:rPr>
          <w:rFonts w:ascii="Cambria" w:hAnsi="Cambria"/>
          <w:sz w:val="20"/>
          <w:szCs w:val="20"/>
          <w:lang w:val="es-ES"/>
        </w:rPr>
        <w:t>petición</w:t>
      </w:r>
      <w:r w:rsidR="002B6627" w:rsidRPr="00F00894">
        <w:rPr>
          <w:rFonts w:ascii="Cambria" w:hAnsi="Cambria"/>
          <w:sz w:val="20"/>
          <w:szCs w:val="20"/>
          <w:lang w:val="es-ES"/>
        </w:rPr>
        <w:t xml:space="preserve"> </w:t>
      </w:r>
      <w:r w:rsidR="00D872D6" w:rsidRPr="00F00894">
        <w:rPr>
          <w:rFonts w:ascii="Cambria" w:hAnsi="Cambria"/>
          <w:sz w:val="20"/>
          <w:szCs w:val="20"/>
          <w:lang w:val="es-ES"/>
        </w:rPr>
        <w:t>a la</w:t>
      </w:r>
      <w:r w:rsidR="002B6627" w:rsidRPr="00F00894">
        <w:rPr>
          <w:rFonts w:ascii="Cambria" w:hAnsi="Cambria"/>
          <w:sz w:val="20"/>
          <w:szCs w:val="20"/>
          <w:lang w:val="es-ES"/>
        </w:rPr>
        <w:t xml:space="preserve"> </w:t>
      </w:r>
      <w:r w:rsidR="001A5D84" w:rsidRPr="00F00894">
        <w:rPr>
          <w:rFonts w:ascii="Cambria" w:hAnsi="Cambria"/>
          <w:sz w:val="20"/>
          <w:szCs w:val="20"/>
          <w:lang w:val="es-ES"/>
        </w:rPr>
        <w:t>Comisión</w:t>
      </w:r>
      <w:r w:rsidR="002B6627" w:rsidRPr="00F00894">
        <w:rPr>
          <w:rFonts w:ascii="Cambria" w:hAnsi="Cambria"/>
          <w:sz w:val="20"/>
          <w:szCs w:val="20"/>
          <w:lang w:val="es-ES"/>
        </w:rPr>
        <w:t xml:space="preserve"> </w:t>
      </w:r>
      <w:r w:rsidR="00D872D6" w:rsidRPr="00F00894">
        <w:rPr>
          <w:rFonts w:ascii="Cambria" w:hAnsi="Cambria"/>
          <w:sz w:val="20"/>
          <w:szCs w:val="20"/>
          <w:lang w:val="es-ES"/>
        </w:rPr>
        <w:t>l</w:t>
      </w:r>
      <w:r w:rsidR="002B6627" w:rsidRPr="00F00894">
        <w:rPr>
          <w:rFonts w:ascii="Cambria" w:hAnsi="Cambria"/>
          <w:sz w:val="20"/>
          <w:szCs w:val="20"/>
          <w:lang w:val="es-ES"/>
        </w:rPr>
        <w:t xml:space="preserve">os </w:t>
      </w:r>
      <w:r w:rsidR="00BB2DCA" w:rsidRPr="00F00894">
        <w:rPr>
          <w:rFonts w:ascii="Cambria" w:hAnsi="Cambria"/>
          <w:sz w:val="20"/>
          <w:szCs w:val="20"/>
          <w:lang w:val="es-ES"/>
        </w:rPr>
        <w:t>agentes de la policía militar</w:t>
      </w:r>
      <w:r w:rsidR="002B6627" w:rsidRPr="00F00894">
        <w:rPr>
          <w:rFonts w:ascii="Cambria" w:hAnsi="Cambria"/>
          <w:sz w:val="20"/>
          <w:szCs w:val="20"/>
          <w:lang w:val="es-ES"/>
        </w:rPr>
        <w:t xml:space="preserve"> f</w:t>
      </w:r>
      <w:r w:rsidR="00D872D6" w:rsidRPr="00F00894">
        <w:rPr>
          <w:rFonts w:ascii="Cambria" w:hAnsi="Cambria"/>
          <w:sz w:val="20"/>
          <w:szCs w:val="20"/>
          <w:lang w:val="es-ES"/>
        </w:rPr>
        <w:t>ueron absueltos en un proceso en el cual no se observaron las</w:t>
      </w:r>
      <w:r w:rsidR="001D0C26" w:rsidRPr="00F00894">
        <w:rPr>
          <w:rFonts w:ascii="Cambria" w:hAnsi="Cambria"/>
          <w:sz w:val="20"/>
          <w:szCs w:val="20"/>
          <w:lang w:val="es-ES"/>
        </w:rPr>
        <w:t xml:space="preserve"> </w:t>
      </w:r>
      <w:r w:rsidR="00394E04" w:rsidRPr="00F00894">
        <w:rPr>
          <w:rFonts w:ascii="Cambria" w:hAnsi="Cambria"/>
          <w:sz w:val="20"/>
          <w:szCs w:val="20"/>
          <w:lang w:val="es-ES"/>
        </w:rPr>
        <w:t>garantías judiciales</w:t>
      </w:r>
      <w:r w:rsidR="003A7963" w:rsidRPr="00F00894">
        <w:rPr>
          <w:rFonts w:ascii="Cambria" w:hAnsi="Cambria"/>
          <w:sz w:val="20"/>
          <w:szCs w:val="20"/>
          <w:lang w:val="es-ES"/>
        </w:rPr>
        <w:t xml:space="preserve">, </w:t>
      </w:r>
      <w:r w:rsidR="003C37B1" w:rsidRPr="00F00894">
        <w:rPr>
          <w:rFonts w:ascii="Cambria" w:hAnsi="Cambria"/>
          <w:sz w:val="20"/>
          <w:szCs w:val="20"/>
          <w:lang w:val="es-ES"/>
        </w:rPr>
        <w:t>manteniendo en la impunidad los hechos denunciados</w:t>
      </w:r>
      <w:r w:rsidR="001D0C26" w:rsidRPr="00F00894">
        <w:rPr>
          <w:rFonts w:ascii="Cambria" w:hAnsi="Cambria"/>
          <w:sz w:val="20"/>
          <w:szCs w:val="20"/>
          <w:lang w:val="es-ES"/>
        </w:rPr>
        <w:t>.</w:t>
      </w:r>
      <w:r w:rsidR="009523B9" w:rsidRPr="00F00894">
        <w:rPr>
          <w:rFonts w:ascii="Cambria" w:hAnsi="Cambria"/>
          <w:sz w:val="20"/>
          <w:szCs w:val="20"/>
          <w:lang w:val="es-ES"/>
        </w:rPr>
        <w:t xml:space="preserve"> Se afirma </w:t>
      </w:r>
      <w:r w:rsidR="00BF0D7E" w:rsidRPr="00F00894">
        <w:rPr>
          <w:rFonts w:ascii="Cambria" w:hAnsi="Cambria"/>
          <w:sz w:val="20"/>
          <w:szCs w:val="20"/>
          <w:lang w:val="es-ES"/>
        </w:rPr>
        <w:t>que,</w:t>
      </w:r>
      <w:r w:rsidR="009523B9" w:rsidRPr="00F00894">
        <w:rPr>
          <w:rFonts w:ascii="Cambria" w:hAnsi="Cambria"/>
          <w:sz w:val="20"/>
          <w:szCs w:val="20"/>
          <w:lang w:val="es-ES"/>
        </w:rPr>
        <w:t xml:space="preserve"> en el marco de la investigación, las pruebas no fueron debidamente evaluadas, pues</w:t>
      </w:r>
      <w:r w:rsidR="00F00894" w:rsidRPr="00F00894">
        <w:rPr>
          <w:rFonts w:ascii="Cambria" w:hAnsi="Cambria"/>
          <w:sz w:val="20"/>
          <w:szCs w:val="20"/>
          <w:lang w:val="es-ES"/>
        </w:rPr>
        <w:t>: ni los testigos, ni las presuntas víctimas fueron oídos;</w:t>
      </w:r>
      <w:r w:rsidR="009523B9" w:rsidRPr="00F00894">
        <w:rPr>
          <w:rFonts w:ascii="Cambria" w:hAnsi="Cambria"/>
          <w:sz w:val="20"/>
          <w:szCs w:val="20"/>
          <w:lang w:val="es-ES"/>
        </w:rPr>
        <w:t xml:space="preserve"> </w:t>
      </w:r>
      <w:r w:rsidR="00643C58" w:rsidRPr="00F00894">
        <w:rPr>
          <w:rFonts w:ascii="Cambria" w:hAnsi="Cambria"/>
          <w:sz w:val="20"/>
          <w:szCs w:val="20"/>
          <w:lang w:val="es-ES"/>
        </w:rPr>
        <w:t xml:space="preserve">en la denuncia </w:t>
      </w:r>
      <w:r w:rsidR="00F00894" w:rsidRPr="00F00894">
        <w:rPr>
          <w:rFonts w:ascii="Cambria" w:hAnsi="Cambria"/>
          <w:sz w:val="20"/>
          <w:szCs w:val="20"/>
          <w:lang w:val="es-ES"/>
        </w:rPr>
        <w:t xml:space="preserve">del Ministerio Público </w:t>
      </w:r>
      <w:r w:rsidR="00643C58" w:rsidRPr="00F00894">
        <w:rPr>
          <w:rFonts w:ascii="Cambria" w:hAnsi="Cambria"/>
          <w:sz w:val="20"/>
          <w:szCs w:val="20"/>
          <w:lang w:val="es-ES"/>
        </w:rPr>
        <w:t xml:space="preserve">los hechos fueron descritos superficialmente, en apenas un párrafo, no explicando la conducta de los policías; no se indicó que la presunta víctima fue atingida después de haberse entregado; el Ministerio Público no cuestiono puntos esenciales en sus memoriales; el Ministerio Público no investigó el local del cuerpo de la presunta víctima que fue baleado y tampoco los efectos físicos del ataque; no se evaluaran las declaraciones de la presunta víctima y de testigos de que él había </w:t>
      </w:r>
      <w:r w:rsidR="00F00894" w:rsidRPr="00F00894">
        <w:rPr>
          <w:rFonts w:ascii="Cambria" w:hAnsi="Cambria"/>
          <w:sz w:val="20"/>
          <w:szCs w:val="20"/>
          <w:lang w:val="es-ES"/>
        </w:rPr>
        <w:t>sido torturado.</w:t>
      </w:r>
    </w:p>
    <w:p w14:paraId="581D6E6B" w14:textId="0158A75C" w:rsidR="00053924" w:rsidRPr="009B4C53" w:rsidRDefault="001A5D84" w:rsidP="000539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9B4C53">
        <w:rPr>
          <w:rFonts w:ascii="Cambria" w:hAnsi="Cambria"/>
          <w:sz w:val="20"/>
          <w:szCs w:val="20"/>
          <w:lang w:val="es-ES"/>
        </w:rPr>
        <w:t>El Estado</w:t>
      </w:r>
      <w:r w:rsidR="00E41EFF" w:rsidRPr="009B4C53">
        <w:rPr>
          <w:rFonts w:ascii="Cambria" w:hAnsi="Cambria"/>
          <w:sz w:val="20"/>
          <w:szCs w:val="20"/>
          <w:lang w:val="es-ES"/>
        </w:rPr>
        <w:t>, por su</w:t>
      </w:r>
      <w:r w:rsidR="00D872D6" w:rsidRPr="009B4C53">
        <w:rPr>
          <w:rFonts w:ascii="Cambria" w:hAnsi="Cambria"/>
          <w:sz w:val="20"/>
          <w:szCs w:val="20"/>
          <w:lang w:val="es-ES"/>
        </w:rPr>
        <w:t xml:space="preserve"> parte</w:t>
      </w:r>
      <w:r w:rsidR="00E41EFF" w:rsidRPr="009B4C53">
        <w:rPr>
          <w:rFonts w:ascii="Cambria" w:hAnsi="Cambria"/>
          <w:sz w:val="20"/>
          <w:szCs w:val="20"/>
          <w:lang w:val="es-ES"/>
        </w:rPr>
        <w:t>, afirma que</w:t>
      </w:r>
      <w:r w:rsidR="00F514FC" w:rsidRPr="009B4C53">
        <w:rPr>
          <w:rFonts w:ascii="Cambria" w:hAnsi="Cambria"/>
          <w:sz w:val="20"/>
          <w:szCs w:val="20"/>
          <w:lang w:val="es-ES"/>
        </w:rPr>
        <w:t xml:space="preserve"> </w:t>
      </w:r>
      <w:r w:rsidR="00D872D6" w:rsidRPr="009B4C53">
        <w:rPr>
          <w:rFonts w:ascii="Cambria" w:hAnsi="Cambria"/>
          <w:sz w:val="20"/>
          <w:szCs w:val="20"/>
          <w:lang w:val="es-ES"/>
        </w:rPr>
        <w:t xml:space="preserve">la Policía Militar inició una investigación de la conducta de los agentes con respecto a </w:t>
      </w:r>
      <w:r w:rsidRPr="009B4C53">
        <w:rPr>
          <w:rFonts w:ascii="Cambria" w:hAnsi="Cambria"/>
          <w:sz w:val="20"/>
          <w:szCs w:val="20"/>
          <w:lang w:val="es-ES"/>
        </w:rPr>
        <w:t>la presunta víctima</w:t>
      </w:r>
      <w:r w:rsidR="004774AB" w:rsidRPr="009B4C53">
        <w:rPr>
          <w:rFonts w:ascii="Cambria" w:hAnsi="Cambria"/>
          <w:sz w:val="20"/>
          <w:szCs w:val="20"/>
          <w:lang w:val="es-ES"/>
        </w:rPr>
        <w:t xml:space="preserve"> </w:t>
      </w:r>
      <w:r w:rsidR="00D872D6" w:rsidRPr="009B4C53">
        <w:rPr>
          <w:rFonts w:ascii="Cambria" w:hAnsi="Cambria"/>
          <w:sz w:val="20"/>
          <w:szCs w:val="20"/>
          <w:lang w:val="es-ES"/>
        </w:rPr>
        <w:t>exactamente</w:t>
      </w:r>
      <w:r w:rsidR="00F52936" w:rsidRPr="009B4C53">
        <w:rPr>
          <w:rFonts w:ascii="Cambria" w:hAnsi="Cambria"/>
          <w:sz w:val="20"/>
          <w:szCs w:val="20"/>
          <w:lang w:val="es-ES"/>
        </w:rPr>
        <w:t xml:space="preserve"> u</w:t>
      </w:r>
      <w:r w:rsidR="00D872D6" w:rsidRPr="009B4C53">
        <w:rPr>
          <w:rFonts w:ascii="Cambria" w:hAnsi="Cambria"/>
          <w:sz w:val="20"/>
          <w:szCs w:val="20"/>
          <w:lang w:val="es-ES"/>
        </w:rPr>
        <w:t xml:space="preserve">n día después de los </w:t>
      </w:r>
      <w:r w:rsidR="001666B8" w:rsidRPr="009B4C53">
        <w:rPr>
          <w:rFonts w:ascii="Cambria" w:hAnsi="Cambria"/>
          <w:sz w:val="20"/>
          <w:szCs w:val="20"/>
          <w:lang w:val="es-ES"/>
        </w:rPr>
        <w:t>hechos</w:t>
      </w:r>
      <w:r w:rsidR="00F52936" w:rsidRPr="009B4C53">
        <w:rPr>
          <w:rFonts w:ascii="Cambria" w:hAnsi="Cambria"/>
          <w:sz w:val="20"/>
          <w:szCs w:val="20"/>
          <w:lang w:val="es-ES"/>
        </w:rPr>
        <w:t>. E</w:t>
      </w:r>
      <w:r w:rsidR="00D872D6" w:rsidRPr="009B4C53">
        <w:rPr>
          <w:rFonts w:ascii="Cambria" w:hAnsi="Cambria"/>
          <w:sz w:val="20"/>
          <w:szCs w:val="20"/>
          <w:lang w:val="es-ES"/>
        </w:rPr>
        <w:t>l</w:t>
      </w:r>
      <w:r w:rsidR="00F52936" w:rsidRPr="009B4C53">
        <w:rPr>
          <w:rFonts w:ascii="Cambria" w:hAnsi="Cambria"/>
          <w:sz w:val="20"/>
          <w:szCs w:val="20"/>
          <w:lang w:val="es-ES"/>
        </w:rPr>
        <w:t xml:space="preserve"> 19 de ma</w:t>
      </w:r>
      <w:r w:rsidR="00D872D6" w:rsidRPr="009B4C53">
        <w:rPr>
          <w:rFonts w:ascii="Cambria" w:hAnsi="Cambria"/>
          <w:sz w:val="20"/>
          <w:szCs w:val="20"/>
          <w:lang w:val="es-ES"/>
        </w:rPr>
        <w:t>y</w:t>
      </w:r>
      <w:r w:rsidR="003C37B1">
        <w:rPr>
          <w:rFonts w:ascii="Cambria" w:hAnsi="Cambria"/>
          <w:sz w:val="20"/>
          <w:szCs w:val="20"/>
          <w:lang w:val="es-ES"/>
        </w:rPr>
        <w:t>o de 2011</w:t>
      </w:r>
      <w:r w:rsidR="00F52936" w:rsidRPr="009B4C53">
        <w:rPr>
          <w:rFonts w:ascii="Cambria" w:hAnsi="Cambria"/>
          <w:sz w:val="20"/>
          <w:szCs w:val="20"/>
          <w:lang w:val="es-ES"/>
        </w:rPr>
        <w:t xml:space="preserve"> la </w:t>
      </w:r>
      <w:r w:rsidR="00D872D6" w:rsidRPr="009B4C53">
        <w:rPr>
          <w:rFonts w:ascii="Cambria" w:hAnsi="Cambria"/>
          <w:sz w:val="20"/>
          <w:szCs w:val="20"/>
          <w:lang w:val="es-ES"/>
        </w:rPr>
        <w:t>Oficina de Asuntos Internos de la Policía</w:t>
      </w:r>
      <w:r w:rsidR="00F52936" w:rsidRPr="009B4C53">
        <w:rPr>
          <w:rFonts w:ascii="Cambria" w:hAnsi="Cambria"/>
          <w:sz w:val="20"/>
          <w:szCs w:val="20"/>
          <w:lang w:val="es-ES"/>
        </w:rPr>
        <w:t xml:space="preserve"> Militar d</w:t>
      </w:r>
      <w:r w:rsidRPr="009B4C53">
        <w:rPr>
          <w:rFonts w:ascii="Cambria" w:hAnsi="Cambria"/>
          <w:sz w:val="20"/>
          <w:szCs w:val="20"/>
          <w:lang w:val="es-ES"/>
        </w:rPr>
        <w:t>el Estado</w:t>
      </w:r>
      <w:r w:rsidR="00F52936" w:rsidRPr="009B4C53">
        <w:rPr>
          <w:rFonts w:ascii="Cambria" w:hAnsi="Cambria"/>
          <w:sz w:val="20"/>
          <w:szCs w:val="20"/>
          <w:lang w:val="es-ES"/>
        </w:rPr>
        <w:t xml:space="preserve"> de São Paulo </w:t>
      </w:r>
      <w:r w:rsidR="00D872D6" w:rsidRPr="009B4C53">
        <w:rPr>
          <w:rFonts w:ascii="Cambria" w:hAnsi="Cambria"/>
          <w:sz w:val="20"/>
          <w:szCs w:val="20"/>
          <w:lang w:val="es-ES"/>
        </w:rPr>
        <w:t xml:space="preserve">avocó la investigación militar de la conducta de ambos agentes. Los autos fueron </w:t>
      </w:r>
      <w:r w:rsidR="006C21E3" w:rsidRPr="009B4C53">
        <w:rPr>
          <w:rFonts w:ascii="Cambria" w:hAnsi="Cambria"/>
          <w:sz w:val="20"/>
          <w:szCs w:val="20"/>
          <w:lang w:val="es-ES"/>
        </w:rPr>
        <w:t xml:space="preserve">remitidos </w:t>
      </w:r>
      <w:r w:rsidR="00D872D6" w:rsidRPr="009B4C53">
        <w:rPr>
          <w:rFonts w:ascii="Cambria" w:hAnsi="Cambria"/>
          <w:sz w:val="20"/>
          <w:szCs w:val="20"/>
          <w:lang w:val="es-ES"/>
        </w:rPr>
        <w:t xml:space="preserve">al Quinto Juzgado del </w:t>
      </w:r>
      <w:r w:rsidR="00F52936" w:rsidRPr="009B4C53">
        <w:rPr>
          <w:rFonts w:ascii="Cambria" w:hAnsi="Cambria"/>
          <w:sz w:val="20"/>
          <w:szCs w:val="20"/>
          <w:lang w:val="es-ES"/>
        </w:rPr>
        <w:t>Tribunal d</w:t>
      </w:r>
      <w:r w:rsidR="006C21E3" w:rsidRPr="009B4C53">
        <w:rPr>
          <w:rFonts w:ascii="Cambria" w:hAnsi="Cambria"/>
          <w:sz w:val="20"/>
          <w:szCs w:val="20"/>
          <w:lang w:val="es-ES"/>
        </w:rPr>
        <w:t xml:space="preserve">el Jurado de la </w:t>
      </w:r>
      <w:r w:rsidR="00F52936" w:rsidRPr="009B4C53">
        <w:rPr>
          <w:rFonts w:ascii="Cambria" w:hAnsi="Cambria"/>
          <w:sz w:val="20"/>
          <w:szCs w:val="20"/>
          <w:lang w:val="es-ES"/>
        </w:rPr>
        <w:t>Capital, o</w:t>
      </w:r>
      <w:r w:rsidR="006C21E3" w:rsidRPr="009B4C53">
        <w:rPr>
          <w:rFonts w:ascii="Cambria" w:hAnsi="Cambria"/>
          <w:sz w:val="20"/>
          <w:szCs w:val="20"/>
          <w:lang w:val="es-ES"/>
        </w:rPr>
        <w:t xml:space="preserve"> sea, a la justicia común del estado</w:t>
      </w:r>
      <w:r w:rsidR="00F52936" w:rsidRPr="009B4C53">
        <w:rPr>
          <w:rFonts w:ascii="Cambria" w:hAnsi="Cambria"/>
          <w:sz w:val="20"/>
          <w:szCs w:val="20"/>
          <w:lang w:val="es-ES"/>
        </w:rPr>
        <w:t xml:space="preserve">. </w:t>
      </w:r>
      <w:r w:rsidR="00824D58" w:rsidRPr="009B4C53">
        <w:rPr>
          <w:rFonts w:ascii="Cambria" w:hAnsi="Cambria"/>
          <w:sz w:val="20"/>
          <w:szCs w:val="20"/>
          <w:lang w:val="es-ES"/>
        </w:rPr>
        <w:t xml:space="preserve">No </w:t>
      </w:r>
      <w:r w:rsidR="006C21E3" w:rsidRPr="009B4C53">
        <w:rPr>
          <w:rFonts w:ascii="Cambria" w:hAnsi="Cambria"/>
          <w:sz w:val="20"/>
          <w:szCs w:val="20"/>
          <w:lang w:val="es-ES"/>
        </w:rPr>
        <w:t xml:space="preserve">obstante, en </w:t>
      </w:r>
      <w:r w:rsidR="003C37B1">
        <w:rPr>
          <w:rFonts w:ascii="Cambria" w:hAnsi="Cambria"/>
          <w:sz w:val="20"/>
          <w:szCs w:val="20"/>
          <w:lang w:val="es-ES"/>
        </w:rPr>
        <w:t>agosto de 2012</w:t>
      </w:r>
      <w:r w:rsidR="00824D58" w:rsidRPr="009B4C53">
        <w:rPr>
          <w:rFonts w:ascii="Cambria" w:hAnsi="Cambria"/>
          <w:sz w:val="20"/>
          <w:szCs w:val="20"/>
          <w:lang w:val="es-ES"/>
        </w:rPr>
        <w:t xml:space="preserve"> </w:t>
      </w:r>
      <w:r w:rsidR="006C21E3" w:rsidRPr="009B4C53">
        <w:rPr>
          <w:rFonts w:ascii="Cambria" w:hAnsi="Cambria"/>
          <w:sz w:val="20"/>
          <w:szCs w:val="20"/>
          <w:lang w:val="es-ES"/>
        </w:rPr>
        <w:t>el</w:t>
      </w:r>
      <w:r w:rsidR="00F52936" w:rsidRPr="009B4C53">
        <w:rPr>
          <w:rFonts w:ascii="Cambria" w:hAnsi="Cambria"/>
          <w:sz w:val="20"/>
          <w:szCs w:val="20"/>
          <w:lang w:val="es-ES"/>
        </w:rPr>
        <w:t xml:space="preserve"> </w:t>
      </w:r>
      <w:r w:rsidRPr="009B4C53">
        <w:rPr>
          <w:rFonts w:ascii="Cambria" w:hAnsi="Cambria"/>
          <w:sz w:val="20"/>
          <w:szCs w:val="20"/>
          <w:lang w:val="es-ES"/>
        </w:rPr>
        <w:t>Ministerio</w:t>
      </w:r>
      <w:r w:rsidR="00F52936" w:rsidRPr="009B4C53">
        <w:rPr>
          <w:rFonts w:ascii="Cambria" w:hAnsi="Cambria"/>
          <w:sz w:val="20"/>
          <w:szCs w:val="20"/>
          <w:lang w:val="es-ES"/>
        </w:rPr>
        <w:t xml:space="preserve"> P</w:t>
      </w:r>
      <w:r w:rsidR="00824D58" w:rsidRPr="009B4C53">
        <w:rPr>
          <w:rFonts w:ascii="Cambria" w:hAnsi="Cambria"/>
          <w:sz w:val="20"/>
          <w:szCs w:val="20"/>
          <w:lang w:val="es-ES"/>
        </w:rPr>
        <w:t xml:space="preserve">úblico </w:t>
      </w:r>
      <w:r w:rsidR="00F52936" w:rsidRPr="009B4C53">
        <w:rPr>
          <w:rFonts w:ascii="Cambria" w:hAnsi="Cambria"/>
          <w:sz w:val="20"/>
          <w:szCs w:val="20"/>
          <w:lang w:val="es-ES"/>
        </w:rPr>
        <w:t>solicit</w:t>
      </w:r>
      <w:r w:rsidR="006C21E3" w:rsidRPr="009B4C53">
        <w:rPr>
          <w:rFonts w:ascii="Cambria" w:hAnsi="Cambria"/>
          <w:sz w:val="20"/>
          <w:szCs w:val="20"/>
          <w:lang w:val="es-ES"/>
        </w:rPr>
        <w:t xml:space="preserve">ó que se archivaran autos alegando la ausencia de delito ante la </w:t>
      </w:r>
      <w:r w:rsidR="0049307C" w:rsidRPr="009B4C53">
        <w:rPr>
          <w:rFonts w:ascii="Cambria" w:hAnsi="Cambria"/>
          <w:sz w:val="20"/>
          <w:szCs w:val="20"/>
          <w:lang w:val="es-ES"/>
        </w:rPr>
        <w:t>configura</w:t>
      </w:r>
      <w:r w:rsidR="006C21E3" w:rsidRPr="009B4C53">
        <w:rPr>
          <w:rFonts w:ascii="Cambria" w:hAnsi="Cambria"/>
          <w:sz w:val="20"/>
          <w:szCs w:val="20"/>
          <w:lang w:val="es-ES"/>
        </w:rPr>
        <w:t xml:space="preserve">ción </w:t>
      </w:r>
      <w:r w:rsidR="0049307C" w:rsidRPr="009B4C53">
        <w:rPr>
          <w:rFonts w:ascii="Cambria" w:hAnsi="Cambria"/>
          <w:sz w:val="20"/>
          <w:szCs w:val="20"/>
          <w:lang w:val="es-ES"/>
        </w:rPr>
        <w:t>de legítima defe</w:t>
      </w:r>
      <w:r w:rsidR="006C21E3" w:rsidRPr="009B4C53">
        <w:rPr>
          <w:rFonts w:ascii="Cambria" w:hAnsi="Cambria"/>
          <w:sz w:val="20"/>
          <w:szCs w:val="20"/>
          <w:lang w:val="es-ES"/>
        </w:rPr>
        <w:t>n</w:t>
      </w:r>
      <w:r w:rsidR="0049307C" w:rsidRPr="009B4C53">
        <w:rPr>
          <w:rFonts w:ascii="Cambria" w:hAnsi="Cambria"/>
          <w:sz w:val="20"/>
          <w:szCs w:val="20"/>
          <w:lang w:val="es-ES"/>
        </w:rPr>
        <w:t xml:space="preserve">sa </w:t>
      </w:r>
      <w:r w:rsidR="006C21E3" w:rsidRPr="009B4C53">
        <w:rPr>
          <w:rFonts w:ascii="Cambria" w:hAnsi="Cambria"/>
          <w:sz w:val="20"/>
          <w:szCs w:val="20"/>
          <w:lang w:val="es-ES"/>
        </w:rPr>
        <w:t>y</w:t>
      </w:r>
      <w:r w:rsidR="00F52936" w:rsidRPr="009B4C53">
        <w:rPr>
          <w:rFonts w:ascii="Cambria" w:hAnsi="Cambria"/>
          <w:sz w:val="20"/>
          <w:szCs w:val="20"/>
          <w:lang w:val="es-ES"/>
        </w:rPr>
        <w:t xml:space="preserve"> </w:t>
      </w:r>
      <w:r w:rsidR="006C21E3" w:rsidRPr="009B4C53">
        <w:rPr>
          <w:rFonts w:ascii="Cambria" w:hAnsi="Cambria"/>
          <w:sz w:val="20"/>
          <w:szCs w:val="20"/>
          <w:lang w:val="es-ES"/>
        </w:rPr>
        <w:t>estricto</w:t>
      </w:r>
      <w:r w:rsidR="00F52936" w:rsidRPr="009B4C53">
        <w:rPr>
          <w:rFonts w:ascii="Cambria" w:hAnsi="Cambria"/>
          <w:sz w:val="20"/>
          <w:szCs w:val="20"/>
          <w:lang w:val="es-ES"/>
        </w:rPr>
        <w:t xml:space="preserve"> </w:t>
      </w:r>
      <w:r w:rsidR="006C21E3" w:rsidRPr="009B4C53">
        <w:rPr>
          <w:rFonts w:ascii="Cambria" w:hAnsi="Cambria"/>
          <w:sz w:val="20"/>
          <w:szCs w:val="20"/>
          <w:lang w:val="es-ES"/>
        </w:rPr>
        <w:t>cumplimiento</w:t>
      </w:r>
      <w:r w:rsidR="00F52936" w:rsidRPr="009B4C53">
        <w:rPr>
          <w:rFonts w:ascii="Cambria" w:hAnsi="Cambria"/>
          <w:sz w:val="20"/>
          <w:szCs w:val="20"/>
          <w:lang w:val="es-ES"/>
        </w:rPr>
        <w:t xml:space="preserve"> d</w:t>
      </w:r>
      <w:r w:rsidR="006C21E3" w:rsidRPr="009B4C53">
        <w:rPr>
          <w:rFonts w:ascii="Cambria" w:hAnsi="Cambria"/>
          <w:sz w:val="20"/>
          <w:szCs w:val="20"/>
          <w:lang w:val="es-ES"/>
        </w:rPr>
        <w:t xml:space="preserve">el deber </w:t>
      </w:r>
      <w:r w:rsidR="00F52936" w:rsidRPr="009B4C53">
        <w:rPr>
          <w:rFonts w:ascii="Cambria" w:hAnsi="Cambria"/>
          <w:sz w:val="20"/>
          <w:szCs w:val="20"/>
          <w:lang w:val="es-ES"/>
        </w:rPr>
        <w:t xml:space="preserve">legal por </w:t>
      </w:r>
      <w:r w:rsidR="006C21E3" w:rsidRPr="009B4C53">
        <w:rPr>
          <w:rFonts w:ascii="Cambria" w:hAnsi="Cambria"/>
          <w:sz w:val="20"/>
          <w:szCs w:val="20"/>
          <w:lang w:val="es-ES"/>
        </w:rPr>
        <w:t xml:space="preserve">los dos agentes estatales. </w:t>
      </w:r>
      <w:r w:rsidR="00F52936" w:rsidRPr="009B4C53">
        <w:rPr>
          <w:rFonts w:ascii="Cambria" w:hAnsi="Cambria"/>
          <w:sz w:val="20"/>
          <w:szCs w:val="20"/>
          <w:lang w:val="es-ES"/>
        </w:rPr>
        <w:t>E</w:t>
      </w:r>
      <w:r w:rsidR="006C21E3" w:rsidRPr="009B4C53">
        <w:rPr>
          <w:rFonts w:ascii="Cambria" w:hAnsi="Cambria"/>
          <w:sz w:val="20"/>
          <w:szCs w:val="20"/>
          <w:lang w:val="es-ES"/>
        </w:rPr>
        <w:t xml:space="preserve">l juez togado disintió y ordenó la remisión de </w:t>
      </w:r>
      <w:r w:rsidR="00F52936" w:rsidRPr="009B4C53">
        <w:rPr>
          <w:rFonts w:ascii="Cambria" w:hAnsi="Cambria"/>
          <w:sz w:val="20"/>
          <w:szCs w:val="20"/>
          <w:lang w:val="es-ES"/>
        </w:rPr>
        <w:t>autos a</w:t>
      </w:r>
      <w:r w:rsidR="006C21E3" w:rsidRPr="009B4C53">
        <w:rPr>
          <w:rFonts w:ascii="Cambria" w:hAnsi="Cambria"/>
          <w:sz w:val="20"/>
          <w:szCs w:val="20"/>
          <w:lang w:val="es-ES"/>
        </w:rPr>
        <w:t xml:space="preserve">l </w:t>
      </w:r>
      <w:r w:rsidR="00F52936" w:rsidRPr="009B4C53">
        <w:rPr>
          <w:rFonts w:ascii="Cambria" w:hAnsi="Cambria"/>
          <w:sz w:val="20"/>
          <w:szCs w:val="20"/>
          <w:lang w:val="es-ES"/>
        </w:rPr>
        <w:t>Procurador</w:t>
      </w:r>
      <w:r w:rsidR="006C21E3" w:rsidRPr="009B4C53">
        <w:rPr>
          <w:rFonts w:ascii="Cambria" w:hAnsi="Cambria"/>
          <w:sz w:val="20"/>
          <w:szCs w:val="20"/>
          <w:lang w:val="es-ES"/>
        </w:rPr>
        <w:t xml:space="preserve"> </w:t>
      </w:r>
      <w:r w:rsidR="00F52936" w:rsidRPr="009B4C53">
        <w:rPr>
          <w:rFonts w:ascii="Cambria" w:hAnsi="Cambria"/>
          <w:sz w:val="20"/>
          <w:szCs w:val="20"/>
          <w:lang w:val="es-ES"/>
        </w:rPr>
        <w:t>Ge</w:t>
      </w:r>
      <w:r w:rsidR="006C21E3" w:rsidRPr="009B4C53">
        <w:rPr>
          <w:rFonts w:ascii="Cambria" w:hAnsi="Cambria"/>
          <w:sz w:val="20"/>
          <w:szCs w:val="20"/>
          <w:lang w:val="es-ES"/>
        </w:rPr>
        <w:t>ne</w:t>
      </w:r>
      <w:r w:rsidR="00F52936" w:rsidRPr="009B4C53">
        <w:rPr>
          <w:rFonts w:ascii="Cambria" w:hAnsi="Cambria"/>
          <w:sz w:val="20"/>
          <w:szCs w:val="20"/>
          <w:lang w:val="es-ES"/>
        </w:rPr>
        <w:t>ral de Justi</w:t>
      </w:r>
      <w:r w:rsidR="006C21E3" w:rsidRPr="009B4C53">
        <w:rPr>
          <w:rFonts w:ascii="Cambria" w:hAnsi="Cambria"/>
          <w:sz w:val="20"/>
          <w:szCs w:val="20"/>
          <w:lang w:val="es-ES"/>
        </w:rPr>
        <w:t>cia</w:t>
      </w:r>
      <w:r w:rsidR="00F52936" w:rsidRPr="009B4C53">
        <w:rPr>
          <w:rFonts w:ascii="Cambria" w:hAnsi="Cambria"/>
          <w:sz w:val="20"/>
          <w:szCs w:val="20"/>
          <w:lang w:val="es-ES"/>
        </w:rPr>
        <w:t xml:space="preserve"> d</w:t>
      </w:r>
      <w:r w:rsidRPr="009B4C53">
        <w:rPr>
          <w:rFonts w:ascii="Cambria" w:hAnsi="Cambria"/>
          <w:sz w:val="20"/>
          <w:szCs w:val="20"/>
          <w:lang w:val="es-ES"/>
        </w:rPr>
        <w:t>el Estado</w:t>
      </w:r>
      <w:r w:rsidR="00F52936" w:rsidRPr="009B4C53">
        <w:rPr>
          <w:rFonts w:ascii="Cambria" w:hAnsi="Cambria"/>
          <w:sz w:val="20"/>
          <w:szCs w:val="20"/>
          <w:lang w:val="es-ES"/>
        </w:rPr>
        <w:t xml:space="preserve"> de S</w:t>
      </w:r>
      <w:r w:rsidR="00824D58" w:rsidRPr="009B4C53">
        <w:rPr>
          <w:rFonts w:ascii="Cambria" w:hAnsi="Cambria"/>
          <w:sz w:val="20"/>
          <w:szCs w:val="20"/>
          <w:lang w:val="es-ES"/>
        </w:rPr>
        <w:t>ão Paulo</w:t>
      </w:r>
      <w:r w:rsidR="006C21E3" w:rsidRPr="009B4C53">
        <w:rPr>
          <w:rFonts w:ascii="Cambria" w:hAnsi="Cambria"/>
          <w:sz w:val="20"/>
          <w:szCs w:val="20"/>
          <w:lang w:val="es-ES"/>
        </w:rPr>
        <w:t xml:space="preserve">, quien, el </w:t>
      </w:r>
      <w:r w:rsidR="00824D58" w:rsidRPr="009B4C53">
        <w:rPr>
          <w:rFonts w:ascii="Cambria" w:hAnsi="Cambria"/>
          <w:sz w:val="20"/>
          <w:szCs w:val="20"/>
          <w:lang w:val="es-ES"/>
        </w:rPr>
        <w:t xml:space="preserve">12 de </w:t>
      </w:r>
      <w:r w:rsidR="006C21E3" w:rsidRPr="009B4C53">
        <w:rPr>
          <w:rFonts w:ascii="Cambria" w:hAnsi="Cambria"/>
          <w:sz w:val="20"/>
          <w:szCs w:val="20"/>
          <w:lang w:val="es-ES"/>
        </w:rPr>
        <w:t>septiembre</w:t>
      </w:r>
      <w:r w:rsidR="003C37B1">
        <w:rPr>
          <w:rFonts w:ascii="Cambria" w:hAnsi="Cambria"/>
          <w:sz w:val="20"/>
          <w:szCs w:val="20"/>
          <w:lang w:val="es-ES"/>
        </w:rPr>
        <w:t xml:space="preserve"> de 2012</w:t>
      </w:r>
      <w:r w:rsidR="00824D58" w:rsidRPr="009B4C53">
        <w:rPr>
          <w:rFonts w:ascii="Cambria" w:hAnsi="Cambria"/>
          <w:sz w:val="20"/>
          <w:szCs w:val="20"/>
          <w:lang w:val="es-ES"/>
        </w:rPr>
        <w:t xml:space="preserve"> conclu</w:t>
      </w:r>
      <w:r w:rsidR="006C21E3" w:rsidRPr="009B4C53">
        <w:rPr>
          <w:rFonts w:ascii="Cambria" w:hAnsi="Cambria"/>
          <w:sz w:val="20"/>
          <w:szCs w:val="20"/>
          <w:lang w:val="es-ES"/>
        </w:rPr>
        <w:t xml:space="preserve">yó que el </w:t>
      </w:r>
      <w:r w:rsidR="003C37B1">
        <w:rPr>
          <w:rFonts w:ascii="Cambria" w:hAnsi="Cambria"/>
          <w:sz w:val="20"/>
          <w:szCs w:val="20"/>
          <w:lang w:val="es-ES"/>
        </w:rPr>
        <w:t>archivo de la causa</w:t>
      </w:r>
      <w:r w:rsidR="006C21E3" w:rsidRPr="009B4C53">
        <w:rPr>
          <w:rFonts w:ascii="Cambria" w:hAnsi="Cambria"/>
          <w:sz w:val="20"/>
          <w:szCs w:val="20"/>
          <w:lang w:val="es-ES"/>
        </w:rPr>
        <w:t xml:space="preserve"> no era la solución más adecuada y designó a otro fiscal para que actuara en el </w:t>
      </w:r>
      <w:r w:rsidR="00845A47" w:rsidRPr="009B4C53">
        <w:rPr>
          <w:rFonts w:ascii="Cambria" w:hAnsi="Cambria"/>
          <w:sz w:val="20"/>
          <w:szCs w:val="20"/>
          <w:lang w:val="es-ES"/>
        </w:rPr>
        <w:t>caso.</w:t>
      </w:r>
      <w:r w:rsidR="00053924" w:rsidRPr="009B4C53">
        <w:rPr>
          <w:rFonts w:ascii="Cambria" w:hAnsi="Cambria"/>
          <w:sz w:val="20"/>
          <w:szCs w:val="20"/>
          <w:lang w:val="es-ES"/>
        </w:rPr>
        <w:t xml:space="preserve"> </w:t>
      </w:r>
      <w:r w:rsidR="005B3EE5" w:rsidRPr="009B4C53">
        <w:rPr>
          <w:rFonts w:ascii="Cambria" w:hAnsi="Cambria"/>
          <w:sz w:val="20"/>
          <w:szCs w:val="20"/>
          <w:lang w:val="es-ES"/>
        </w:rPr>
        <w:t>Ante esta situación y en vista del nuevo contenido probatorio</w:t>
      </w:r>
      <w:r w:rsidR="00053924" w:rsidRPr="009B4C53">
        <w:rPr>
          <w:rFonts w:ascii="Cambria" w:hAnsi="Cambria"/>
          <w:sz w:val="20"/>
          <w:szCs w:val="20"/>
          <w:lang w:val="es-ES"/>
        </w:rPr>
        <w:t xml:space="preserve">, </w:t>
      </w:r>
      <w:r w:rsidR="005B3EE5" w:rsidRPr="009B4C53">
        <w:rPr>
          <w:rFonts w:ascii="Cambria" w:hAnsi="Cambria"/>
          <w:sz w:val="20"/>
          <w:szCs w:val="20"/>
          <w:lang w:val="es-ES"/>
        </w:rPr>
        <w:t>el</w:t>
      </w:r>
      <w:r w:rsidR="00053924" w:rsidRPr="009B4C53">
        <w:rPr>
          <w:rFonts w:ascii="Cambria" w:hAnsi="Cambria"/>
          <w:sz w:val="20"/>
          <w:szCs w:val="20"/>
          <w:lang w:val="es-ES"/>
        </w:rPr>
        <w:t xml:space="preserve"> </w:t>
      </w:r>
      <w:r w:rsidRPr="009B4C53">
        <w:rPr>
          <w:rFonts w:ascii="Cambria" w:hAnsi="Cambria"/>
          <w:sz w:val="20"/>
          <w:szCs w:val="20"/>
          <w:lang w:val="es-ES"/>
        </w:rPr>
        <w:t>Ministerio</w:t>
      </w:r>
      <w:r w:rsidR="00053924" w:rsidRPr="009B4C53">
        <w:rPr>
          <w:rFonts w:ascii="Cambria" w:hAnsi="Cambria"/>
          <w:sz w:val="20"/>
          <w:szCs w:val="20"/>
          <w:lang w:val="es-ES"/>
        </w:rPr>
        <w:t xml:space="preserve"> Público </w:t>
      </w:r>
      <w:r w:rsidR="005B3EE5" w:rsidRPr="009B4C53">
        <w:rPr>
          <w:rFonts w:ascii="Cambria" w:hAnsi="Cambria"/>
          <w:sz w:val="20"/>
          <w:szCs w:val="20"/>
          <w:lang w:val="es-ES"/>
        </w:rPr>
        <w:t>interpuso una denuncia</w:t>
      </w:r>
      <w:r w:rsidR="00053924" w:rsidRPr="009B4C53">
        <w:rPr>
          <w:rFonts w:ascii="Cambria" w:hAnsi="Cambria"/>
          <w:sz w:val="20"/>
          <w:szCs w:val="20"/>
          <w:lang w:val="es-ES"/>
        </w:rPr>
        <w:t xml:space="preserve"> contra </w:t>
      </w:r>
      <w:r w:rsidR="005B3EE5" w:rsidRPr="009B4C53">
        <w:rPr>
          <w:rFonts w:ascii="Cambria" w:hAnsi="Cambria"/>
          <w:sz w:val="20"/>
          <w:szCs w:val="20"/>
          <w:lang w:val="es-ES"/>
        </w:rPr>
        <w:t>lo</w:t>
      </w:r>
      <w:r w:rsidR="00053924" w:rsidRPr="009B4C53">
        <w:rPr>
          <w:rFonts w:ascii="Cambria" w:hAnsi="Cambria"/>
          <w:sz w:val="20"/>
          <w:szCs w:val="20"/>
          <w:lang w:val="es-ES"/>
        </w:rPr>
        <w:t xml:space="preserve">s </w:t>
      </w:r>
      <w:r w:rsidR="00BB2DCA" w:rsidRPr="009B4C53">
        <w:rPr>
          <w:rFonts w:ascii="Cambria" w:hAnsi="Cambria"/>
          <w:sz w:val="20"/>
          <w:szCs w:val="20"/>
          <w:lang w:val="es-ES"/>
        </w:rPr>
        <w:t>agentes de la policía militar</w:t>
      </w:r>
      <w:r w:rsidR="00053924" w:rsidRPr="009B4C53">
        <w:rPr>
          <w:rFonts w:ascii="Cambria" w:hAnsi="Cambria"/>
          <w:sz w:val="20"/>
          <w:szCs w:val="20"/>
          <w:lang w:val="es-ES"/>
        </w:rPr>
        <w:t xml:space="preserve"> e</w:t>
      </w:r>
      <w:r w:rsidR="005B3EE5" w:rsidRPr="009B4C53">
        <w:rPr>
          <w:rFonts w:ascii="Cambria" w:hAnsi="Cambria"/>
          <w:sz w:val="20"/>
          <w:szCs w:val="20"/>
          <w:lang w:val="es-ES"/>
        </w:rPr>
        <w:t>l</w:t>
      </w:r>
      <w:r w:rsidR="00053924" w:rsidRPr="009B4C53">
        <w:rPr>
          <w:rFonts w:ascii="Cambria" w:hAnsi="Cambria"/>
          <w:sz w:val="20"/>
          <w:szCs w:val="20"/>
          <w:lang w:val="es-ES"/>
        </w:rPr>
        <w:t xml:space="preserve"> 22 de jul</w:t>
      </w:r>
      <w:r w:rsidR="005B3EE5" w:rsidRPr="009B4C53">
        <w:rPr>
          <w:rFonts w:ascii="Cambria" w:hAnsi="Cambria"/>
          <w:sz w:val="20"/>
          <w:szCs w:val="20"/>
          <w:lang w:val="es-ES"/>
        </w:rPr>
        <w:t>io</w:t>
      </w:r>
      <w:r w:rsidR="00053924" w:rsidRPr="009B4C53">
        <w:rPr>
          <w:rFonts w:ascii="Cambria" w:hAnsi="Cambria"/>
          <w:sz w:val="20"/>
          <w:szCs w:val="20"/>
          <w:lang w:val="es-ES"/>
        </w:rPr>
        <w:t xml:space="preserve"> de 2013</w:t>
      </w:r>
      <w:r w:rsidR="005B3EE5" w:rsidRPr="009B4C53">
        <w:rPr>
          <w:rFonts w:ascii="Cambria" w:hAnsi="Cambria"/>
          <w:sz w:val="20"/>
          <w:szCs w:val="20"/>
          <w:lang w:val="es-ES"/>
        </w:rPr>
        <w:t xml:space="preserve"> por el delito de conspiración para cometer homicidio</w:t>
      </w:r>
      <w:r w:rsidR="00053924" w:rsidRPr="009B4C53">
        <w:rPr>
          <w:rFonts w:ascii="Cambria" w:hAnsi="Cambria"/>
          <w:sz w:val="20"/>
          <w:szCs w:val="20"/>
          <w:lang w:val="es-ES"/>
        </w:rPr>
        <w:t xml:space="preserve"> doloso.</w:t>
      </w:r>
    </w:p>
    <w:p w14:paraId="6804A925" w14:textId="25D0057E" w:rsidR="008B6748" w:rsidRPr="009B4C53" w:rsidRDefault="005B3EE5" w:rsidP="00845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9B4C53">
        <w:rPr>
          <w:rFonts w:ascii="Cambria" w:hAnsi="Cambria"/>
          <w:sz w:val="20"/>
          <w:szCs w:val="20"/>
          <w:lang w:val="es-ES"/>
        </w:rPr>
        <w:t xml:space="preserve">Al cabo del </w:t>
      </w:r>
      <w:r w:rsidR="00A65117" w:rsidRPr="009B4C53">
        <w:rPr>
          <w:rFonts w:ascii="Cambria" w:hAnsi="Cambria"/>
          <w:sz w:val="20"/>
          <w:szCs w:val="20"/>
          <w:lang w:val="es-ES"/>
        </w:rPr>
        <w:t>curso regular d</w:t>
      </w:r>
      <w:r w:rsidRPr="009B4C53">
        <w:rPr>
          <w:rFonts w:ascii="Cambria" w:hAnsi="Cambria"/>
          <w:sz w:val="20"/>
          <w:szCs w:val="20"/>
          <w:lang w:val="es-ES"/>
        </w:rPr>
        <w:t>el</w:t>
      </w:r>
      <w:r w:rsidR="00A65117" w:rsidRPr="009B4C53">
        <w:rPr>
          <w:rFonts w:ascii="Cambria" w:hAnsi="Cambria"/>
          <w:sz w:val="20"/>
          <w:szCs w:val="20"/>
          <w:lang w:val="es-ES"/>
        </w:rPr>
        <w:t xml:space="preserve"> </w:t>
      </w:r>
      <w:r w:rsidRPr="009B4C53">
        <w:rPr>
          <w:rFonts w:ascii="Cambria" w:hAnsi="Cambria"/>
          <w:sz w:val="20"/>
          <w:szCs w:val="20"/>
          <w:lang w:val="es-ES"/>
        </w:rPr>
        <w:t>proceso</w:t>
      </w:r>
      <w:r w:rsidR="00053924" w:rsidRPr="009B4C53">
        <w:rPr>
          <w:rFonts w:ascii="Cambria" w:hAnsi="Cambria"/>
          <w:sz w:val="20"/>
          <w:szCs w:val="20"/>
          <w:lang w:val="es-ES"/>
        </w:rPr>
        <w:t xml:space="preserve"> penal</w:t>
      </w:r>
      <w:r w:rsidR="00A65117" w:rsidRPr="009B4C53">
        <w:rPr>
          <w:rFonts w:ascii="Cambria" w:hAnsi="Cambria"/>
          <w:sz w:val="20"/>
          <w:szCs w:val="20"/>
          <w:lang w:val="es-ES"/>
        </w:rPr>
        <w:t xml:space="preserve"> </w:t>
      </w:r>
      <w:r w:rsidRPr="009B4C53">
        <w:rPr>
          <w:rFonts w:ascii="Cambria" w:hAnsi="Cambria"/>
          <w:sz w:val="20"/>
          <w:szCs w:val="20"/>
          <w:lang w:val="es-ES"/>
        </w:rPr>
        <w:t>l</w:t>
      </w:r>
      <w:r w:rsidR="00A65117" w:rsidRPr="009B4C53">
        <w:rPr>
          <w:rFonts w:ascii="Cambria" w:hAnsi="Cambria"/>
          <w:sz w:val="20"/>
          <w:szCs w:val="20"/>
          <w:lang w:val="es-ES"/>
        </w:rPr>
        <w:t>os acusados f</w:t>
      </w:r>
      <w:r w:rsidRPr="009B4C53">
        <w:rPr>
          <w:rFonts w:ascii="Cambria" w:hAnsi="Cambria"/>
          <w:sz w:val="20"/>
          <w:szCs w:val="20"/>
          <w:lang w:val="es-ES"/>
        </w:rPr>
        <w:t xml:space="preserve">ueron sobreseídos </w:t>
      </w:r>
      <w:r w:rsidR="00A65117" w:rsidRPr="009B4C53">
        <w:rPr>
          <w:rFonts w:ascii="Cambria" w:hAnsi="Cambria"/>
          <w:sz w:val="20"/>
          <w:szCs w:val="20"/>
          <w:lang w:val="es-ES"/>
        </w:rPr>
        <w:t xml:space="preserve">sumariamente </w:t>
      </w:r>
      <w:r w:rsidRPr="009B4C53">
        <w:rPr>
          <w:rFonts w:ascii="Cambria" w:hAnsi="Cambria"/>
          <w:sz w:val="20"/>
          <w:szCs w:val="20"/>
          <w:lang w:val="es-ES"/>
        </w:rPr>
        <w:t xml:space="preserve">mediante sentencia dictada el </w:t>
      </w:r>
      <w:r w:rsidR="00A65117" w:rsidRPr="009B4C53">
        <w:rPr>
          <w:rFonts w:ascii="Cambria" w:hAnsi="Cambria"/>
          <w:sz w:val="20"/>
          <w:szCs w:val="20"/>
          <w:lang w:val="es-ES"/>
        </w:rPr>
        <w:t xml:space="preserve">5 de </w:t>
      </w:r>
      <w:r w:rsidR="001A5D84" w:rsidRPr="009B4C53">
        <w:rPr>
          <w:rFonts w:ascii="Cambria" w:hAnsi="Cambria"/>
          <w:sz w:val="20"/>
          <w:szCs w:val="20"/>
          <w:lang w:val="es-ES"/>
        </w:rPr>
        <w:t>marzo</w:t>
      </w:r>
      <w:r w:rsidR="00A65117" w:rsidRPr="009B4C53">
        <w:rPr>
          <w:rFonts w:ascii="Cambria" w:hAnsi="Cambria"/>
          <w:sz w:val="20"/>
          <w:szCs w:val="20"/>
          <w:lang w:val="es-ES"/>
        </w:rPr>
        <w:t xml:space="preserve"> de 2014, </w:t>
      </w:r>
      <w:r w:rsidR="00375F9B" w:rsidRPr="009B4C53">
        <w:rPr>
          <w:rFonts w:ascii="Cambria" w:hAnsi="Cambria"/>
          <w:sz w:val="20"/>
          <w:szCs w:val="20"/>
          <w:lang w:val="es-ES"/>
        </w:rPr>
        <w:t xml:space="preserve">en la cual se indicó </w:t>
      </w:r>
      <w:r w:rsidR="001762D9" w:rsidRPr="009B4C53">
        <w:rPr>
          <w:rFonts w:ascii="Cambria" w:hAnsi="Cambria"/>
          <w:sz w:val="20"/>
          <w:szCs w:val="20"/>
          <w:lang w:val="es-ES"/>
        </w:rPr>
        <w:t>l</w:t>
      </w:r>
      <w:r w:rsidR="00A65117" w:rsidRPr="009B4C53">
        <w:rPr>
          <w:rFonts w:ascii="Cambria" w:hAnsi="Cambria"/>
          <w:sz w:val="20"/>
          <w:szCs w:val="20"/>
          <w:lang w:val="es-ES"/>
        </w:rPr>
        <w:t>a presen</w:t>
      </w:r>
      <w:r w:rsidR="001762D9" w:rsidRPr="009B4C53">
        <w:rPr>
          <w:rFonts w:ascii="Cambria" w:hAnsi="Cambria"/>
          <w:sz w:val="20"/>
          <w:szCs w:val="20"/>
          <w:lang w:val="es-ES"/>
        </w:rPr>
        <w:t xml:space="preserve">cia de legítima defensa y estricto cumplimiento del deber legal como excluyentes de </w:t>
      </w:r>
      <w:r w:rsidR="006D1E2B" w:rsidRPr="009B4C53">
        <w:rPr>
          <w:rFonts w:ascii="Cambria" w:hAnsi="Cambria"/>
          <w:sz w:val="20"/>
          <w:szCs w:val="20"/>
          <w:lang w:val="es-ES"/>
        </w:rPr>
        <w:t>ilicitud</w:t>
      </w:r>
      <w:r w:rsidR="001762D9" w:rsidRPr="009B4C53">
        <w:rPr>
          <w:rFonts w:ascii="Cambria" w:hAnsi="Cambria"/>
          <w:sz w:val="20"/>
          <w:szCs w:val="20"/>
          <w:lang w:val="es-ES"/>
        </w:rPr>
        <w:t>. El</w:t>
      </w:r>
      <w:r w:rsidR="00A65117" w:rsidRPr="009B4C53">
        <w:rPr>
          <w:rFonts w:ascii="Cambria" w:hAnsi="Cambria"/>
          <w:sz w:val="20"/>
          <w:szCs w:val="20"/>
          <w:lang w:val="es-ES"/>
        </w:rPr>
        <w:t xml:space="preserve"> </w:t>
      </w:r>
      <w:r w:rsidR="001A5D84" w:rsidRPr="009B4C53">
        <w:rPr>
          <w:rFonts w:ascii="Cambria" w:hAnsi="Cambria"/>
          <w:sz w:val="20"/>
          <w:szCs w:val="20"/>
          <w:lang w:val="es-ES"/>
        </w:rPr>
        <w:t>Ministerio</w:t>
      </w:r>
      <w:r w:rsidR="00A65117" w:rsidRPr="009B4C53">
        <w:rPr>
          <w:rFonts w:ascii="Cambria" w:hAnsi="Cambria"/>
          <w:sz w:val="20"/>
          <w:szCs w:val="20"/>
          <w:lang w:val="es-ES"/>
        </w:rPr>
        <w:t xml:space="preserve"> Público no </w:t>
      </w:r>
      <w:r w:rsidR="001762D9" w:rsidRPr="009B4C53">
        <w:rPr>
          <w:rFonts w:ascii="Cambria" w:hAnsi="Cambria"/>
          <w:sz w:val="20"/>
          <w:szCs w:val="20"/>
          <w:lang w:val="es-ES"/>
        </w:rPr>
        <w:t xml:space="preserve">apeló la decisión, </w:t>
      </w:r>
      <w:r w:rsidR="003A7963">
        <w:rPr>
          <w:rFonts w:ascii="Cambria" w:hAnsi="Cambria"/>
          <w:sz w:val="20"/>
          <w:szCs w:val="20"/>
          <w:lang w:val="es-ES"/>
        </w:rPr>
        <w:t xml:space="preserve">puesto </w:t>
      </w:r>
      <w:r w:rsidR="001762D9" w:rsidRPr="009B4C53">
        <w:rPr>
          <w:rFonts w:ascii="Cambria" w:hAnsi="Cambria"/>
          <w:sz w:val="20"/>
          <w:szCs w:val="20"/>
          <w:lang w:val="es-ES"/>
        </w:rPr>
        <w:t>que había solicitado la absolución de los</w:t>
      </w:r>
      <w:r w:rsidR="00A177AF" w:rsidRPr="009B4C53">
        <w:rPr>
          <w:rFonts w:ascii="Cambria" w:hAnsi="Cambria"/>
          <w:sz w:val="20"/>
          <w:szCs w:val="20"/>
          <w:lang w:val="es-ES"/>
        </w:rPr>
        <w:t xml:space="preserve"> acu</w:t>
      </w:r>
      <w:r w:rsidR="005366AE" w:rsidRPr="009B4C53">
        <w:rPr>
          <w:rFonts w:ascii="Cambria" w:hAnsi="Cambria"/>
          <w:sz w:val="20"/>
          <w:szCs w:val="20"/>
          <w:lang w:val="es-ES"/>
        </w:rPr>
        <w:t>sados</w:t>
      </w:r>
      <w:r w:rsidR="00AE3BA9">
        <w:rPr>
          <w:rFonts w:ascii="Cambria" w:hAnsi="Cambria"/>
          <w:sz w:val="20"/>
          <w:szCs w:val="20"/>
          <w:lang w:val="es-ES"/>
        </w:rPr>
        <w:t>. E</w:t>
      </w:r>
      <w:r w:rsidR="001A5D84" w:rsidRPr="009B4C53">
        <w:rPr>
          <w:rFonts w:ascii="Cambria" w:hAnsi="Cambria"/>
          <w:sz w:val="20"/>
          <w:szCs w:val="20"/>
          <w:lang w:val="es-ES"/>
        </w:rPr>
        <w:t>l Estado</w:t>
      </w:r>
      <w:r w:rsidR="00053924" w:rsidRPr="009B4C53">
        <w:rPr>
          <w:rFonts w:ascii="Cambria" w:hAnsi="Cambria"/>
          <w:sz w:val="20"/>
          <w:szCs w:val="20"/>
          <w:lang w:val="es-ES"/>
        </w:rPr>
        <w:t xml:space="preserve"> </w:t>
      </w:r>
      <w:r w:rsidR="006D1E2B" w:rsidRPr="009B4C53">
        <w:rPr>
          <w:rFonts w:ascii="Cambria" w:hAnsi="Cambria"/>
          <w:sz w:val="20"/>
          <w:szCs w:val="20"/>
          <w:lang w:val="es-ES"/>
        </w:rPr>
        <w:t xml:space="preserve">afirma que </w:t>
      </w:r>
      <w:r w:rsidR="001A5D84" w:rsidRPr="009B4C53">
        <w:rPr>
          <w:rFonts w:ascii="Cambria" w:hAnsi="Cambria"/>
          <w:sz w:val="20"/>
          <w:szCs w:val="20"/>
          <w:lang w:val="es-ES"/>
        </w:rPr>
        <w:t>la presunta víctima</w:t>
      </w:r>
      <w:r w:rsidR="00A65117" w:rsidRPr="009B4C53">
        <w:rPr>
          <w:rFonts w:ascii="Cambria" w:hAnsi="Cambria"/>
          <w:sz w:val="20"/>
          <w:szCs w:val="20"/>
          <w:lang w:val="es-ES"/>
        </w:rPr>
        <w:t xml:space="preserve"> </w:t>
      </w:r>
      <w:r w:rsidR="001762D9" w:rsidRPr="009B4C53">
        <w:rPr>
          <w:rFonts w:ascii="Cambria" w:hAnsi="Cambria"/>
          <w:sz w:val="20"/>
          <w:szCs w:val="20"/>
          <w:lang w:val="es-ES"/>
        </w:rPr>
        <w:t>y</w:t>
      </w:r>
      <w:r w:rsidR="00A65117" w:rsidRPr="009B4C53">
        <w:rPr>
          <w:rFonts w:ascii="Cambria" w:hAnsi="Cambria"/>
          <w:sz w:val="20"/>
          <w:szCs w:val="20"/>
          <w:lang w:val="es-ES"/>
        </w:rPr>
        <w:t xml:space="preserve"> sus familiares pod</w:t>
      </w:r>
      <w:r w:rsidR="001762D9" w:rsidRPr="009B4C53">
        <w:rPr>
          <w:rFonts w:ascii="Cambria" w:hAnsi="Cambria"/>
          <w:sz w:val="20"/>
          <w:szCs w:val="20"/>
          <w:lang w:val="es-ES"/>
        </w:rPr>
        <w:t xml:space="preserve">rían haber </w:t>
      </w:r>
      <w:r w:rsidR="00A65117" w:rsidRPr="009B4C53">
        <w:rPr>
          <w:rFonts w:ascii="Cambria" w:hAnsi="Cambria"/>
          <w:sz w:val="20"/>
          <w:szCs w:val="20"/>
          <w:lang w:val="es-ES"/>
        </w:rPr>
        <w:t xml:space="preserve">apelado </w:t>
      </w:r>
      <w:r w:rsidR="001762D9" w:rsidRPr="009B4C53">
        <w:rPr>
          <w:rFonts w:ascii="Cambria" w:hAnsi="Cambria"/>
          <w:sz w:val="20"/>
          <w:szCs w:val="20"/>
          <w:lang w:val="es-ES"/>
        </w:rPr>
        <w:t>l</w:t>
      </w:r>
      <w:r w:rsidR="00A65117" w:rsidRPr="009B4C53">
        <w:rPr>
          <w:rFonts w:ascii="Cambria" w:hAnsi="Cambria"/>
          <w:sz w:val="20"/>
          <w:szCs w:val="20"/>
          <w:lang w:val="es-ES"/>
        </w:rPr>
        <w:t xml:space="preserve">a </w:t>
      </w:r>
      <w:r w:rsidR="001762D9" w:rsidRPr="009B4C53">
        <w:rPr>
          <w:rFonts w:ascii="Cambria" w:hAnsi="Cambria"/>
          <w:sz w:val="20"/>
          <w:szCs w:val="20"/>
          <w:lang w:val="es-ES"/>
        </w:rPr>
        <w:t>sentencia absolutoria, pero no lo hicieron</w:t>
      </w:r>
      <w:r w:rsidR="00A65117" w:rsidRPr="009B4C53">
        <w:rPr>
          <w:rFonts w:ascii="Cambria" w:hAnsi="Cambria"/>
          <w:sz w:val="20"/>
          <w:szCs w:val="20"/>
          <w:lang w:val="es-ES"/>
        </w:rPr>
        <w:t>.</w:t>
      </w:r>
      <w:r w:rsidR="00A177AF" w:rsidRPr="009B4C53">
        <w:rPr>
          <w:rFonts w:ascii="Cambria" w:hAnsi="Cambria"/>
          <w:sz w:val="20"/>
          <w:szCs w:val="20"/>
          <w:lang w:val="es-ES"/>
        </w:rPr>
        <w:t xml:space="preserve"> </w:t>
      </w:r>
      <w:r w:rsidR="001762D9" w:rsidRPr="009B4C53">
        <w:rPr>
          <w:rFonts w:ascii="Cambria" w:hAnsi="Cambria"/>
          <w:sz w:val="20"/>
          <w:szCs w:val="20"/>
          <w:lang w:val="es-ES"/>
        </w:rPr>
        <w:t xml:space="preserve">El Estado agrega que la </w:t>
      </w:r>
      <w:r w:rsidR="00A177AF" w:rsidRPr="009B4C53">
        <w:rPr>
          <w:rFonts w:ascii="Cambria" w:hAnsi="Cambria"/>
          <w:sz w:val="20"/>
          <w:szCs w:val="20"/>
          <w:lang w:val="es-ES"/>
        </w:rPr>
        <w:t>DPE/SP</w:t>
      </w:r>
      <w:r w:rsidR="00437407" w:rsidRPr="009B4C53">
        <w:rPr>
          <w:rFonts w:ascii="Cambria" w:hAnsi="Cambria"/>
          <w:sz w:val="20"/>
          <w:szCs w:val="20"/>
          <w:lang w:val="es-ES"/>
        </w:rPr>
        <w:t xml:space="preserve"> no inici</w:t>
      </w:r>
      <w:r w:rsidR="001762D9" w:rsidRPr="009B4C53">
        <w:rPr>
          <w:rFonts w:ascii="Cambria" w:hAnsi="Cambria"/>
          <w:sz w:val="20"/>
          <w:szCs w:val="20"/>
          <w:lang w:val="es-ES"/>
        </w:rPr>
        <w:t>ó</w:t>
      </w:r>
      <w:r w:rsidR="00437407" w:rsidRPr="009B4C53">
        <w:rPr>
          <w:rFonts w:ascii="Cambria" w:hAnsi="Cambria"/>
          <w:sz w:val="20"/>
          <w:szCs w:val="20"/>
          <w:lang w:val="es-ES"/>
        </w:rPr>
        <w:t xml:space="preserve"> u</w:t>
      </w:r>
      <w:r w:rsidR="001762D9" w:rsidRPr="009B4C53">
        <w:rPr>
          <w:rFonts w:ascii="Cambria" w:hAnsi="Cambria"/>
          <w:sz w:val="20"/>
          <w:szCs w:val="20"/>
          <w:lang w:val="es-ES"/>
        </w:rPr>
        <w:t>n</w:t>
      </w:r>
      <w:r w:rsidR="00437407" w:rsidRPr="009B4C53">
        <w:rPr>
          <w:rFonts w:ascii="Cambria" w:hAnsi="Cambria"/>
          <w:sz w:val="20"/>
          <w:szCs w:val="20"/>
          <w:lang w:val="es-ES"/>
        </w:rPr>
        <w:t>a a</w:t>
      </w:r>
      <w:r w:rsidR="001762D9" w:rsidRPr="009B4C53">
        <w:rPr>
          <w:rFonts w:ascii="Cambria" w:hAnsi="Cambria"/>
          <w:sz w:val="20"/>
          <w:szCs w:val="20"/>
          <w:lang w:val="es-ES"/>
        </w:rPr>
        <w:t>cción</w:t>
      </w:r>
      <w:r w:rsidR="00437407" w:rsidRPr="009B4C53">
        <w:rPr>
          <w:rFonts w:ascii="Cambria" w:hAnsi="Cambria"/>
          <w:sz w:val="20"/>
          <w:szCs w:val="20"/>
          <w:lang w:val="es-ES"/>
        </w:rPr>
        <w:t xml:space="preserve"> civil de inde</w:t>
      </w:r>
      <w:r w:rsidR="001762D9" w:rsidRPr="009B4C53">
        <w:rPr>
          <w:rFonts w:ascii="Cambria" w:hAnsi="Cambria"/>
          <w:sz w:val="20"/>
          <w:szCs w:val="20"/>
          <w:lang w:val="es-ES"/>
        </w:rPr>
        <w:t>m</w:t>
      </w:r>
      <w:r w:rsidR="00437407" w:rsidRPr="009B4C53">
        <w:rPr>
          <w:rFonts w:ascii="Cambria" w:hAnsi="Cambria"/>
          <w:sz w:val="20"/>
          <w:szCs w:val="20"/>
          <w:lang w:val="es-ES"/>
        </w:rPr>
        <w:t>niza</w:t>
      </w:r>
      <w:r w:rsidR="001762D9" w:rsidRPr="009B4C53">
        <w:rPr>
          <w:rFonts w:ascii="Cambria" w:hAnsi="Cambria"/>
          <w:sz w:val="20"/>
          <w:szCs w:val="20"/>
          <w:lang w:val="es-ES"/>
        </w:rPr>
        <w:t>ción pecuniaria</w:t>
      </w:r>
      <w:r w:rsidR="007D4AD9" w:rsidRPr="009B4C53">
        <w:rPr>
          <w:rFonts w:ascii="Cambria" w:hAnsi="Cambria"/>
          <w:sz w:val="20"/>
          <w:szCs w:val="20"/>
          <w:lang w:val="es-ES"/>
        </w:rPr>
        <w:t xml:space="preserve"> </w:t>
      </w:r>
      <w:r w:rsidR="001762D9" w:rsidRPr="009B4C53">
        <w:rPr>
          <w:rFonts w:ascii="Cambria" w:hAnsi="Cambria"/>
          <w:sz w:val="20"/>
          <w:szCs w:val="20"/>
          <w:lang w:val="es-ES"/>
        </w:rPr>
        <w:t xml:space="preserve">a </w:t>
      </w:r>
      <w:r w:rsidR="007D4AD9" w:rsidRPr="009B4C53">
        <w:rPr>
          <w:rFonts w:ascii="Cambria" w:hAnsi="Cambria"/>
          <w:sz w:val="20"/>
          <w:szCs w:val="20"/>
          <w:lang w:val="es-ES"/>
        </w:rPr>
        <w:t>favor d</w:t>
      </w:r>
      <w:r w:rsidR="001762D9" w:rsidRPr="009B4C53">
        <w:rPr>
          <w:rFonts w:ascii="Cambria" w:hAnsi="Cambria"/>
          <w:sz w:val="20"/>
          <w:szCs w:val="20"/>
          <w:lang w:val="es-ES"/>
        </w:rPr>
        <w:t xml:space="preserve">e </w:t>
      </w:r>
      <w:r w:rsidR="001A5D84" w:rsidRPr="009B4C53">
        <w:rPr>
          <w:rFonts w:ascii="Cambria" w:hAnsi="Cambria"/>
          <w:sz w:val="20"/>
          <w:szCs w:val="20"/>
          <w:lang w:val="es-ES"/>
        </w:rPr>
        <w:t>la presunta víctima</w:t>
      </w:r>
      <w:r w:rsidR="00A177AF" w:rsidRPr="009B4C53">
        <w:rPr>
          <w:rFonts w:ascii="Cambria" w:hAnsi="Cambria"/>
          <w:sz w:val="20"/>
          <w:szCs w:val="20"/>
          <w:lang w:val="es-ES"/>
        </w:rPr>
        <w:t xml:space="preserve"> </w:t>
      </w:r>
      <w:r w:rsidR="001762D9" w:rsidRPr="009B4C53">
        <w:rPr>
          <w:rFonts w:ascii="Cambria" w:hAnsi="Cambria"/>
          <w:sz w:val="20"/>
          <w:szCs w:val="20"/>
          <w:lang w:val="es-ES"/>
        </w:rPr>
        <w:t xml:space="preserve">ni acudió a la Dirección de Asuntos Internos del </w:t>
      </w:r>
      <w:r w:rsidR="001A5D84" w:rsidRPr="009B4C53">
        <w:rPr>
          <w:rFonts w:ascii="Cambria" w:hAnsi="Cambria"/>
          <w:sz w:val="20"/>
          <w:szCs w:val="20"/>
          <w:lang w:val="es-ES"/>
        </w:rPr>
        <w:t>Ministerio</w:t>
      </w:r>
      <w:r w:rsidR="005556B5" w:rsidRPr="009B4C53">
        <w:rPr>
          <w:rFonts w:ascii="Cambria" w:hAnsi="Cambria"/>
          <w:sz w:val="20"/>
          <w:szCs w:val="20"/>
          <w:lang w:val="es-ES"/>
        </w:rPr>
        <w:t xml:space="preserve"> Público para </w:t>
      </w:r>
      <w:r w:rsidR="001762D9" w:rsidRPr="009B4C53">
        <w:rPr>
          <w:rFonts w:ascii="Cambria" w:hAnsi="Cambria"/>
          <w:sz w:val="20"/>
          <w:szCs w:val="20"/>
          <w:lang w:val="es-ES"/>
        </w:rPr>
        <w:t xml:space="preserve">denunciar una posible actuación indebida del primer fiscal que había actuado en el </w:t>
      </w:r>
      <w:r w:rsidR="00E67FBF" w:rsidRPr="009B4C53">
        <w:rPr>
          <w:rFonts w:ascii="Cambria" w:hAnsi="Cambria"/>
          <w:sz w:val="20"/>
          <w:szCs w:val="20"/>
          <w:lang w:val="es-ES"/>
        </w:rPr>
        <w:t>caso.</w:t>
      </w:r>
      <w:r w:rsidR="00663E6A" w:rsidRPr="009B4C53">
        <w:rPr>
          <w:rFonts w:ascii="Cambria" w:hAnsi="Cambria"/>
          <w:sz w:val="20"/>
          <w:szCs w:val="20"/>
          <w:lang w:val="es-ES"/>
        </w:rPr>
        <w:t xml:space="preserve"> </w:t>
      </w:r>
      <w:r w:rsidR="001762D9" w:rsidRPr="009B4C53">
        <w:rPr>
          <w:rFonts w:ascii="Cambria" w:hAnsi="Cambria"/>
          <w:sz w:val="20"/>
          <w:szCs w:val="20"/>
          <w:lang w:val="es-ES"/>
        </w:rPr>
        <w:t>Señala que, aunque se hubieran agotado todos l</w:t>
      </w:r>
      <w:r w:rsidR="008B6748" w:rsidRPr="009B4C53">
        <w:rPr>
          <w:rFonts w:ascii="Cambria" w:hAnsi="Cambria"/>
          <w:sz w:val="20"/>
          <w:szCs w:val="20"/>
          <w:lang w:val="es-ES"/>
        </w:rPr>
        <w:t>os recursos</w:t>
      </w:r>
      <w:r w:rsidR="001762D9" w:rsidRPr="009B4C53">
        <w:rPr>
          <w:rFonts w:ascii="Cambria" w:hAnsi="Cambria"/>
          <w:sz w:val="20"/>
          <w:szCs w:val="20"/>
          <w:lang w:val="es-ES"/>
        </w:rPr>
        <w:t xml:space="preserve">, la declaración de </w:t>
      </w:r>
      <w:r w:rsidR="002A54BB" w:rsidRPr="009B4C53">
        <w:rPr>
          <w:rFonts w:ascii="Cambria" w:hAnsi="Cambria"/>
          <w:sz w:val="20"/>
          <w:szCs w:val="20"/>
          <w:lang w:val="es-ES"/>
        </w:rPr>
        <w:t>admisibilidad</w:t>
      </w:r>
      <w:r w:rsidR="008B6748" w:rsidRPr="009B4C53">
        <w:rPr>
          <w:rFonts w:ascii="Cambria" w:hAnsi="Cambria"/>
          <w:sz w:val="20"/>
          <w:szCs w:val="20"/>
          <w:lang w:val="es-ES"/>
        </w:rPr>
        <w:t xml:space="preserve"> d</w:t>
      </w:r>
      <w:r w:rsidR="001762D9" w:rsidRPr="009B4C53">
        <w:rPr>
          <w:rFonts w:ascii="Cambria" w:hAnsi="Cambria"/>
          <w:sz w:val="20"/>
          <w:szCs w:val="20"/>
          <w:lang w:val="es-ES"/>
        </w:rPr>
        <w:t>e l</w:t>
      </w:r>
      <w:r w:rsidR="008B6748" w:rsidRPr="009B4C53">
        <w:rPr>
          <w:rFonts w:ascii="Cambria" w:hAnsi="Cambria"/>
          <w:sz w:val="20"/>
          <w:szCs w:val="20"/>
          <w:lang w:val="es-ES"/>
        </w:rPr>
        <w:t xml:space="preserve">a </w:t>
      </w:r>
      <w:r w:rsidR="00947C02" w:rsidRPr="009B4C53">
        <w:rPr>
          <w:rFonts w:ascii="Cambria" w:hAnsi="Cambria"/>
          <w:sz w:val="20"/>
          <w:szCs w:val="20"/>
          <w:lang w:val="es-ES"/>
        </w:rPr>
        <w:t>petición</w:t>
      </w:r>
      <w:r w:rsidR="008B6748" w:rsidRPr="009B4C53">
        <w:rPr>
          <w:rFonts w:ascii="Cambria" w:hAnsi="Cambria"/>
          <w:sz w:val="20"/>
          <w:szCs w:val="20"/>
          <w:lang w:val="es-ES"/>
        </w:rPr>
        <w:t xml:space="preserve"> </w:t>
      </w:r>
      <w:r w:rsidR="001762D9" w:rsidRPr="009B4C53">
        <w:rPr>
          <w:rFonts w:ascii="Cambria" w:hAnsi="Cambria"/>
          <w:sz w:val="20"/>
          <w:szCs w:val="20"/>
          <w:lang w:val="es-ES"/>
        </w:rPr>
        <w:t>violaría</w:t>
      </w:r>
      <w:r w:rsidR="008B6748" w:rsidRPr="009B4C53">
        <w:rPr>
          <w:rFonts w:ascii="Cambria" w:hAnsi="Cambria"/>
          <w:sz w:val="20"/>
          <w:szCs w:val="20"/>
          <w:lang w:val="es-ES"/>
        </w:rPr>
        <w:t xml:space="preserve"> </w:t>
      </w:r>
      <w:r w:rsidR="001762D9" w:rsidRPr="009B4C53">
        <w:rPr>
          <w:rFonts w:ascii="Cambria" w:hAnsi="Cambria"/>
          <w:sz w:val="20"/>
          <w:szCs w:val="20"/>
          <w:lang w:val="es-ES"/>
        </w:rPr>
        <w:t>l</w:t>
      </w:r>
      <w:r w:rsidR="008B6748" w:rsidRPr="009B4C53">
        <w:rPr>
          <w:rFonts w:ascii="Cambria" w:hAnsi="Cambria"/>
          <w:sz w:val="20"/>
          <w:szCs w:val="20"/>
          <w:lang w:val="es-ES"/>
        </w:rPr>
        <w:t>a fórmula d</w:t>
      </w:r>
      <w:r w:rsidR="001762D9" w:rsidRPr="009B4C53">
        <w:rPr>
          <w:rFonts w:ascii="Cambria" w:hAnsi="Cambria"/>
          <w:sz w:val="20"/>
          <w:szCs w:val="20"/>
          <w:lang w:val="es-ES"/>
        </w:rPr>
        <w:t>e l</w:t>
      </w:r>
      <w:r w:rsidR="008B6748" w:rsidRPr="009B4C53">
        <w:rPr>
          <w:rFonts w:ascii="Cambria" w:hAnsi="Cambria"/>
          <w:sz w:val="20"/>
          <w:szCs w:val="20"/>
          <w:lang w:val="es-ES"/>
        </w:rPr>
        <w:t xml:space="preserve">a </w:t>
      </w:r>
      <w:r w:rsidR="001762D9" w:rsidRPr="009B4C53">
        <w:rPr>
          <w:rFonts w:ascii="Cambria" w:hAnsi="Cambria"/>
          <w:sz w:val="20"/>
          <w:szCs w:val="20"/>
          <w:lang w:val="es-ES"/>
        </w:rPr>
        <w:t>cuarta</w:t>
      </w:r>
      <w:r w:rsidR="008B6748" w:rsidRPr="009B4C53">
        <w:rPr>
          <w:rFonts w:ascii="Cambria" w:hAnsi="Cambria"/>
          <w:sz w:val="20"/>
          <w:szCs w:val="20"/>
          <w:lang w:val="es-ES"/>
        </w:rPr>
        <w:t xml:space="preserve"> </w:t>
      </w:r>
      <w:r w:rsidR="001762D9" w:rsidRPr="009B4C53">
        <w:rPr>
          <w:rFonts w:ascii="Cambria" w:hAnsi="Cambria"/>
          <w:sz w:val="20"/>
          <w:szCs w:val="20"/>
          <w:lang w:val="es-ES"/>
        </w:rPr>
        <w:t>instancia</w:t>
      </w:r>
      <w:r w:rsidR="008B6748" w:rsidRPr="009B4C53">
        <w:rPr>
          <w:rFonts w:ascii="Cambria" w:hAnsi="Cambria"/>
          <w:sz w:val="20"/>
          <w:szCs w:val="20"/>
          <w:lang w:val="es-ES"/>
        </w:rPr>
        <w:t xml:space="preserve">, </w:t>
      </w:r>
      <w:r w:rsidR="001762D9" w:rsidRPr="009B4C53">
        <w:rPr>
          <w:rFonts w:ascii="Cambria" w:hAnsi="Cambria"/>
          <w:sz w:val="20"/>
          <w:szCs w:val="20"/>
          <w:lang w:val="es-ES"/>
        </w:rPr>
        <w:t>en vis</w:t>
      </w:r>
      <w:r w:rsidR="003A7963">
        <w:rPr>
          <w:rFonts w:ascii="Cambria" w:hAnsi="Cambria"/>
          <w:sz w:val="20"/>
          <w:szCs w:val="20"/>
          <w:lang w:val="es-ES"/>
        </w:rPr>
        <w:t>ta</w:t>
      </w:r>
      <w:r w:rsidR="001762D9" w:rsidRPr="009B4C53">
        <w:rPr>
          <w:rFonts w:ascii="Cambria" w:hAnsi="Cambria"/>
          <w:sz w:val="20"/>
          <w:szCs w:val="20"/>
          <w:lang w:val="es-ES"/>
        </w:rPr>
        <w:t xml:space="preserve"> de que l</w:t>
      </w:r>
      <w:r w:rsidR="008B6748" w:rsidRPr="009B4C53">
        <w:rPr>
          <w:rFonts w:ascii="Cambria" w:hAnsi="Cambria"/>
          <w:sz w:val="20"/>
          <w:szCs w:val="20"/>
          <w:lang w:val="es-ES"/>
        </w:rPr>
        <w:t xml:space="preserve">a parte </w:t>
      </w:r>
      <w:r w:rsidR="001762D9" w:rsidRPr="009B4C53">
        <w:rPr>
          <w:rFonts w:ascii="Cambria" w:hAnsi="Cambria"/>
          <w:sz w:val="20"/>
          <w:szCs w:val="20"/>
          <w:lang w:val="es-ES"/>
        </w:rPr>
        <w:t>peticionaria</w:t>
      </w:r>
      <w:r w:rsidR="008B6748" w:rsidRPr="009B4C53">
        <w:rPr>
          <w:rFonts w:ascii="Cambria" w:hAnsi="Cambria"/>
          <w:sz w:val="20"/>
          <w:szCs w:val="20"/>
          <w:lang w:val="es-ES"/>
        </w:rPr>
        <w:t xml:space="preserve"> </w:t>
      </w:r>
      <w:r w:rsidR="001762D9" w:rsidRPr="009B4C53">
        <w:rPr>
          <w:rFonts w:ascii="Cambria" w:hAnsi="Cambria"/>
          <w:sz w:val="20"/>
          <w:szCs w:val="20"/>
          <w:lang w:val="es-ES"/>
        </w:rPr>
        <w:t xml:space="preserve">está </w:t>
      </w:r>
      <w:r w:rsidR="003A7963">
        <w:rPr>
          <w:rFonts w:ascii="Cambria" w:hAnsi="Cambria"/>
          <w:sz w:val="20"/>
          <w:szCs w:val="20"/>
          <w:lang w:val="es-ES"/>
        </w:rPr>
        <w:t xml:space="preserve">simplemente </w:t>
      </w:r>
      <w:r w:rsidR="003A7963">
        <w:rPr>
          <w:rFonts w:ascii="Cambria" w:hAnsi="Cambria"/>
          <w:sz w:val="20"/>
          <w:szCs w:val="20"/>
          <w:lang w:val="es-ES"/>
        </w:rPr>
        <w:lastRenderedPageBreak/>
        <w:t>i</w:t>
      </w:r>
      <w:r w:rsidR="006D1E2B" w:rsidRPr="009B4C53">
        <w:rPr>
          <w:rFonts w:ascii="Cambria" w:hAnsi="Cambria"/>
          <w:sz w:val="20"/>
          <w:szCs w:val="20"/>
          <w:lang w:val="es-ES"/>
        </w:rPr>
        <w:t>nsatisfe</w:t>
      </w:r>
      <w:r w:rsidR="001762D9" w:rsidRPr="009B4C53">
        <w:rPr>
          <w:rFonts w:ascii="Cambria" w:hAnsi="Cambria"/>
          <w:sz w:val="20"/>
          <w:szCs w:val="20"/>
          <w:lang w:val="es-ES"/>
        </w:rPr>
        <w:t xml:space="preserve">cha porque el </w:t>
      </w:r>
      <w:r w:rsidR="001A5D84" w:rsidRPr="009B4C53">
        <w:rPr>
          <w:rFonts w:ascii="Cambria" w:hAnsi="Cambria"/>
          <w:sz w:val="20"/>
          <w:szCs w:val="20"/>
          <w:lang w:val="es-ES"/>
        </w:rPr>
        <w:t>Ministerio</w:t>
      </w:r>
      <w:r w:rsidR="008B6748" w:rsidRPr="009B4C53">
        <w:rPr>
          <w:rFonts w:ascii="Cambria" w:hAnsi="Cambria"/>
          <w:sz w:val="20"/>
          <w:szCs w:val="20"/>
          <w:lang w:val="es-ES"/>
        </w:rPr>
        <w:t xml:space="preserve"> Públi</w:t>
      </w:r>
      <w:r w:rsidR="00E67FBF" w:rsidRPr="009B4C53">
        <w:rPr>
          <w:rFonts w:ascii="Cambria" w:hAnsi="Cambria"/>
          <w:sz w:val="20"/>
          <w:szCs w:val="20"/>
          <w:lang w:val="es-ES"/>
        </w:rPr>
        <w:t>co</w:t>
      </w:r>
      <w:r w:rsidR="001762D9" w:rsidRPr="009B4C53">
        <w:rPr>
          <w:rFonts w:ascii="Cambria" w:hAnsi="Cambria"/>
          <w:sz w:val="20"/>
          <w:szCs w:val="20"/>
          <w:lang w:val="es-ES"/>
        </w:rPr>
        <w:t xml:space="preserve"> no se convenció de la existencia</w:t>
      </w:r>
      <w:r w:rsidR="00E67FBF" w:rsidRPr="009B4C53">
        <w:rPr>
          <w:rFonts w:ascii="Cambria" w:hAnsi="Cambria"/>
          <w:sz w:val="20"/>
          <w:szCs w:val="20"/>
          <w:lang w:val="es-ES"/>
        </w:rPr>
        <w:t xml:space="preserve"> de</w:t>
      </w:r>
      <w:r w:rsidR="001762D9" w:rsidRPr="009B4C53">
        <w:rPr>
          <w:rFonts w:ascii="Cambria" w:hAnsi="Cambria"/>
          <w:sz w:val="20"/>
          <w:szCs w:val="20"/>
          <w:lang w:val="es-ES"/>
        </w:rPr>
        <w:t>l delito y su autoría</w:t>
      </w:r>
      <w:r w:rsidR="008B6748" w:rsidRPr="009B4C53">
        <w:rPr>
          <w:rFonts w:ascii="Cambria" w:hAnsi="Cambria"/>
          <w:sz w:val="20"/>
          <w:szCs w:val="20"/>
          <w:lang w:val="es-ES"/>
        </w:rPr>
        <w:t xml:space="preserve">. </w:t>
      </w:r>
      <w:r w:rsidR="00C42FD8" w:rsidRPr="009B4C53">
        <w:rPr>
          <w:rFonts w:ascii="Cambria" w:hAnsi="Cambria"/>
          <w:sz w:val="20"/>
          <w:szCs w:val="20"/>
          <w:lang w:val="es-ES"/>
        </w:rPr>
        <w:t xml:space="preserve">El Estado afirma </w:t>
      </w:r>
      <w:r w:rsidR="008B6748" w:rsidRPr="009B4C53">
        <w:rPr>
          <w:rFonts w:ascii="Cambria" w:hAnsi="Cambria"/>
          <w:sz w:val="20"/>
          <w:szCs w:val="20"/>
          <w:lang w:val="es-ES"/>
        </w:rPr>
        <w:t xml:space="preserve">que </w:t>
      </w:r>
      <w:r w:rsidR="001762D9" w:rsidRPr="009B4C53">
        <w:rPr>
          <w:rFonts w:ascii="Cambria" w:hAnsi="Cambria"/>
          <w:sz w:val="20"/>
          <w:szCs w:val="20"/>
          <w:lang w:val="es-ES"/>
        </w:rPr>
        <w:t xml:space="preserve">la </w:t>
      </w:r>
      <w:r w:rsidR="008B6748" w:rsidRPr="009B4C53">
        <w:rPr>
          <w:rFonts w:ascii="Cambria" w:hAnsi="Cambria"/>
          <w:sz w:val="20"/>
          <w:szCs w:val="20"/>
          <w:lang w:val="es-ES"/>
        </w:rPr>
        <w:t>eventual nega</w:t>
      </w:r>
      <w:r w:rsidR="00C42FD8" w:rsidRPr="009B4C53">
        <w:rPr>
          <w:rFonts w:ascii="Cambria" w:hAnsi="Cambria"/>
          <w:sz w:val="20"/>
          <w:szCs w:val="20"/>
          <w:lang w:val="es-ES"/>
        </w:rPr>
        <w:t xml:space="preserve">ción </w:t>
      </w:r>
      <w:r w:rsidR="001762D9" w:rsidRPr="009B4C53">
        <w:rPr>
          <w:rFonts w:ascii="Cambria" w:hAnsi="Cambria"/>
          <w:sz w:val="20"/>
          <w:szCs w:val="20"/>
          <w:lang w:val="es-ES"/>
        </w:rPr>
        <w:t xml:space="preserve">de la presencia de </w:t>
      </w:r>
      <w:r w:rsidR="008B6748" w:rsidRPr="009B4C53">
        <w:rPr>
          <w:rFonts w:ascii="Cambria" w:hAnsi="Cambria"/>
          <w:sz w:val="20"/>
          <w:szCs w:val="20"/>
          <w:lang w:val="es-ES"/>
        </w:rPr>
        <w:t xml:space="preserve">elementos suficientes </w:t>
      </w:r>
      <w:r w:rsidR="001762D9" w:rsidRPr="009B4C53">
        <w:rPr>
          <w:rFonts w:ascii="Cambria" w:hAnsi="Cambria"/>
          <w:sz w:val="20"/>
          <w:szCs w:val="20"/>
          <w:lang w:val="es-ES"/>
        </w:rPr>
        <w:t xml:space="preserve">para proponer una acción </w:t>
      </w:r>
      <w:r w:rsidR="008B6748" w:rsidRPr="009B4C53">
        <w:rPr>
          <w:rFonts w:ascii="Cambria" w:hAnsi="Cambria"/>
          <w:sz w:val="20"/>
          <w:szCs w:val="20"/>
          <w:lang w:val="es-ES"/>
        </w:rPr>
        <w:t>penal</w:t>
      </w:r>
      <w:r w:rsidR="00C42FD8" w:rsidRPr="009B4C53">
        <w:rPr>
          <w:rFonts w:ascii="Cambria" w:hAnsi="Cambria"/>
          <w:sz w:val="20"/>
          <w:szCs w:val="20"/>
          <w:lang w:val="es-ES"/>
        </w:rPr>
        <w:t>, al ser una prerrogativa institucional del Ministerio Público,</w:t>
      </w:r>
      <w:r w:rsidR="008B6748" w:rsidRPr="009B4C53">
        <w:rPr>
          <w:rFonts w:ascii="Cambria" w:hAnsi="Cambria"/>
          <w:sz w:val="20"/>
          <w:szCs w:val="20"/>
          <w:lang w:val="es-ES"/>
        </w:rPr>
        <w:t xml:space="preserve"> no </w:t>
      </w:r>
      <w:r w:rsidR="00C42FD8" w:rsidRPr="009B4C53">
        <w:rPr>
          <w:rFonts w:ascii="Cambria" w:hAnsi="Cambria"/>
          <w:sz w:val="20"/>
          <w:szCs w:val="20"/>
          <w:lang w:val="es-ES"/>
        </w:rPr>
        <w:t xml:space="preserve">ofrece a los interesados la </w:t>
      </w:r>
      <w:r w:rsidR="008B6748" w:rsidRPr="009B4C53">
        <w:rPr>
          <w:rFonts w:ascii="Cambria" w:hAnsi="Cambria"/>
          <w:sz w:val="20"/>
          <w:szCs w:val="20"/>
          <w:lang w:val="es-ES"/>
        </w:rPr>
        <w:t xml:space="preserve">posibilidad de </w:t>
      </w:r>
      <w:r w:rsidR="00C42FD8" w:rsidRPr="009B4C53">
        <w:rPr>
          <w:rFonts w:ascii="Cambria" w:hAnsi="Cambria"/>
          <w:sz w:val="20"/>
          <w:szCs w:val="20"/>
          <w:lang w:val="es-ES"/>
        </w:rPr>
        <w:t xml:space="preserve">interponer un </w:t>
      </w:r>
      <w:r w:rsidR="008B6748" w:rsidRPr="009B4C53">
        <w:rPr>
          <w:rFonts w:ascii="Cambria" w:hAnsi="Cambria"/>
          <w:sz w:val="20"/>
          <w:szCs w:val="20"/>
          <w:lang w:val="es-ES"/>
        </w:rPr>
        <w:t>recurso</w:t>
      </w:r>
      <w:r w:rsidR="00C42FD8" w:rsidRPr="009B4C53">
        <w:rPr>
          <w:rFonts w:ascii="Cambria" w:hAnsi="Cambria"/>
          <w:sz w:val="20"/>
          <w:szCs w:val="20"/>
          <w:lang w:val="es-ES"/>
        </w:rPr>
        <w:t>, en tanto que</w:t>
      </w:r>
      <w:r w:rsidR="008B6748" w:rsidRPr="009B4C53">
        <w:rPr>
          <w:rFonts w:ascii="Cambria" w:hAnsi="Cambria"/>
          <w:sz w:val="20"/>
          <w:szCs w:val="20"/>
          <w:lang w:val="es-ES"/>
        </w:rPr>
        <w:t xml:space="preserve"> </w:t>
      </w:r>
      <w:r w:rsidR="00C42FD8" w:rsidRPr="009B4C53">
        <w:rPr>
          <w:rFonts w:ascii="Cambria" w:hAnsi="Cambria"/>
          <w:sz w:val="20"/>
          <w:szCs w:val="20"/>
          <w:lang w:val="es-ES"/>
        </w:rPr>
        <w:t xml:space="preserve">la Comisión, si admitiera la </w:t>
      </w:r>
      <w:r w:rsidR="006D1E2B" w:rsidRPr="009B4C53">
        <w:rPr>
          <w:rFonts w:ascii="Cambria" w:hAnsi="Cambria"/>
          <w:sz w:val="20"/>
          <w:szCs w:val="20"/>
          <w:lang w:val="es-ES"/>
        </w:rPr>
        <w:t xml:space="preserve">presente </w:t>
      </w:r>
      <w:r w:rsidR="00947C02" w:rsidRPr="009B4C53">
        <w:rPr>
          <w:rFonts w:ascii="Cambria" w:hAnsi="Cambria"/>
          <w:sz w:val="20"/>
          <w:szCs w:val="20"/>
          <w:lang w:val="es-ES"/>
        </w:rPr>
        <w:t>petición</w:t>
      </w:r>
      <w:r w:rsidR="006D1E2B" w:rsidRPr="009B4C53">
        <w:rPr>
          <w:rFonts w:ascii="Cambria" w:hAnsi="Cambria"/>
          <w:sz w:val="20"/>
          <w:szCs w:val="20"/>
          <w:lang w:val="es-ES"/>
        </w:rPr>
        <w:t xml:space="preserve">, </w:t>
      </w:r>
      <w:r w:rsidR="00C42FD8" w:rsidRPr="009B4C53">
        <w:rPr>
          <w:rFonts w:ascii="Cambria" w:hAnsi="Cambria"/>
          <w:sz w:val="20"/>
          <w:szCs w:val="20"/>
          <w:lang w:val="es-ES"/>
        </w:rPr>
        <w:t>actuaría</w:t>
      </w:r>
      <w:r w:rsidR="006D1E2B" w:rsidRPr="009B4C53">
        <w:rPr>
          <w:rFonts w:ascii="Cambria" w:hAnsi="Cambria"/>
          <w:sz w:val="20"/>
          <w:szCs w:val="20"/>
          <w:lang w:val="es-ES"/>
        </w:rPr>
        <w:t xml:space="preserve"> como</w:t>
      </w:r>
      <w:r w:rsidR="00E67FBF" w:rsidRPr="009B4C53">
        <w:rPr>
          <w:rFonts w:ascii="Cambria" w:hAnsi="Cambria"/>
          <w:sz w:val="20"/>
          <w:szCs w:val="20"/>
          <w:lang w:val="es-ES"/>
        </w:rPr>
        <w:t xml:space="preserve"> tribunal de revis</w:t>
      </w:r>
      <w:r w:rsidR="00C42FD8" w:rsidRPr="009B4C53">
        <w:rPr>
          <w:rFonts w:ascii="Cambria" w:hAnsi="Cambria"/>
          <w:sz w:val="20"/>
          <w:szCs w:val="20"/>
          <w:lang w:val="es-ES"/>
        </w:rPr>
        <w:t>ión.</w:t>
      </w:r>
      <w:r w:rsidR="00EA1494">
        <w:rPr>
          <w:rFonts w:ascii="Cambria" w:hAnsi="Cambria"/>
          <w:sz w:val="20"/>
          <w:szCs w:val="20"/>
          <w:lang w:val="es-ES"/>
        </w:rPr>
        <w:t xml:space="preserve"> </w:t>
      </w:r>
    </w:p>
    <w:p w14:paraId="3FE6F5AE" w14:textId="19053947" w:rsidR="004C616A" w:rsidRPr="009B4C53" w:rsidRDefault="004C616A" w:rsidP="00C42FD8">
      <w:pPr>
        <w:pStyle w:val="ListParagraph"/>
        <w:keepNext/>
        <w:keepLines/>
        <w:spacing w:before="120" w:after="120"/>
        <w:jc w:val="both"/>
        <w:rPr>
          <w:b/>
          <w:bCs/>
          <w:sz w:val="20"/>
          <w:szCs w:val="20"/>
          <w:lang w:val="es-ES"/>
        </w:rPr>
      </w:pPr>
      <w:r w:rsidRPr="009B4C53">
        <w:rPr>
          <w:b/>
          <w:bCs/>
          <w:sz w:val="20"/>
          <w:szCs w:val="20"/>
          <w:lang w:val="es-ES"/>
        </w:rPr>
        <w:t xml:space="preserve">VI. </w:t>
      </w:r>
      <w:r w:rsidRPr="009B4C53">
        <w:rPr>
          <w:b/>
          <w:bCs/>
          <w:sz w:val="20"/>
          <w:szCs w:val="20"/>
          <w:lang w:val="es-ES"/>
        </w:rPr>
        <w:tab/>
      </w:r>
      <w:r w:rsidR="001A5D84" w:rsidRPr="009B4C53">
        <w:rPr>
          <w:b/>
          <w:bCs/>
          <w:sz w:val="20"/>
          <w:szCs w:val="20"/>
          <w:lang w:val="es-ES"/>
        </w:rPr>
        <w:t>AGOTAMIENTO DE LOS RECURSOS INTERNOS Y PLAZO DE PRESENTACIÓN</w:t>
      </w:r>
    </w:p>
    <w:p w14:paraId="6B1AB973" w14:textId="5AF981A7" w:rsidR="00A625E0" w:rsidRPr="004C0D44" w:rsidRDefault="00E47942" w:rsidP="00C42FD8">
      <w:pPr>
        <w:keepNext/>
        <w:keepLines/>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US"/>
        </w:rPr>
      </w:pPr>
      <w:r w:rsidRPr="009B4C53">
        <w:rPr>
          <w:rFonts w:ascii="Cambria" w:hAnsi="Cambria"/>
          <w:sz w:val="20"/>
          <w:szCs w:val="20"/>
          <w:lang w:val="es-ES"/>
        </w:rPr>
        <w:t>E</w:t>
      </w:r>
      <w:r w:rsidR="00C42FD8" w:rsidRPr="009B4C53">
        <w:rPr>
          <w:rFonts w:ascii="Cambria" w:hAnsi="Cambria"/>
          <w:sz w:val="20"/>
          <w:szCs w:val="20"/>
          <w:lang w:val="es-ES"/>
        </w:rPr>
        <w:t>n lo que se refiere al</w:t>
      </w:r>
      <w:r w:rsidRPr="009B4C53">
        <w:rPr>
          <w:rFonts w:ascii="Cambria" w:hAnsi="Cambria"/>
          <w:sz w:val="20"/>
          <w:szCs w:val="20"/>
          <w:lang w:val="es-ES"/>
        </w:rPr>
        <w:t xml:space="preserve"> </w:t>
      </w:r>
      <w:r w:rsidR="001A5D84" w:rsidRPr="009B4C53">
        <w:rPr>
          <w:rFonts w:ascii="Cambria" w:hAnsi="Cambria"/>
          <w:sz w:val="20"/>
          <w:szCs w:val="20"/>
          <w:lang w:val="es-ES"/>
        </w:rPr>
        <w:t>agotamiento de los recursos internos</w:t>
      </w:r>
      <w:r w:rsidRPr="009B4C53">
        <w:rPr>
          <w:rFonts w:ascii="Cambria" w:hAnsi="Cambria"/>
          <w:sz w:val="20"/>
          <w:szCs w:val="20"/>
          <w:lang w:val="es-ES"/>
        </w:rPr>
        <w:t xml:space="preserve">, </w:t>
      </w:r>
      <w:r w:rsidR="001A5D84" w:rsidRPr="009B4C53">
        <w:rPr>
          <w:rFonts w:ascii="Cambria" w:hAnsi="Cambria"/>
          <w:sz w:val="20"/>
          <w:szCs w:val="20"/>
          <w:lang w:val="es-ES"/>
        </w:rPr>
        <w:t>el peticionario</w:t>
      </w:r>
      <w:r w:rsidR="001A2E9D" w:rsidRPr="009B4C53">
        <w:rPr>
          <w:rFonts w:ascii="Cambria" w:hAnsi="Cambria"/>
          <w:sz w:val="20"/>
          <w:szCs w:val="20"/>
          <w:lang w:val="es-ES"/>
        </w:rPr>
        <w:t xml:space="preserve"> </w:t>
      </w:r>
      <w:r w:rsidRPr="009B4C53">
        <w:rPr>
          <w:rFonts w:ascii="Cambria" w:hAnsi="Cambria"/>
          <w:sz w:val="20"/>
          <w:szCs w:val="20"/>
          <w:lang w:val="es-ES"/>
        </w:rPr>
        <w:t>alega que</w:t>
      </w:r>
      <w:r w:rsidR="001A2E9D" w:rsidRPr="009B4C53">
        <w:rPr>
          <w:rFonts w:ascii="Cambria" w:hAnsi="Cambria"/>
          <w:sz w:val="20"/>
          <w:szCs w:val="20"/>
          <w:lang w:val="es-ES"/>
        </w:rPr>
        <w:t xml:space="preserve"> </w:t>
      </w:r>
      <w:r w:rsidR="001A058F">
        <w:rPr>
          <w:rFonts w:ascii="Cambria" w:hAnsi="Cambria"/>
          <w:sz w:val="20"/>
          <w:szCs w:val="20"/>
          <w:lang w:val="es-ES"/>
        </w:rPr>
        <w:t xml:space="preserve">una </w:t>
      </w:r>
      <w:r w:rsidRPr="009B4C53">
        <w:rPr>
          <w:rFonts w:ascii="Cambria" w:hAnsi="Cambria"/>
          <w:sz w:val="20"/>
          <w:szCs w:val="20"/>
          <w:lang w:val="es-ES"/>
        </w:rPr>
        <w:t xml:space="preserve">eventual </w:t>
      </w:r>
      <w:r w:rsidR="001A058F">
        <w:rPr>
          <w:rFonts w:ascii="Cambria" w:hAnsi="Cambria"/>
          <w:sz w:val="20"/>
          <w:szCs w:val="20"/>
          <w:lang w:val="es-ES"/>
        </w:rPr>
        <w:t xml:space="preserve">sanción </w:t>
      </w:r>
      <w:r w:rsidRPr="009B4C53">
        <w:rPr>
          <w:rFonts w:ascii="Cambria" w:hAnsi="Cambria"/>
          <w:sz w:val="20"/>
          <w:szCs w:val="20"/>
          <w:lang w:val="es-ES"/>
        </w:rPr>
        <w:t>disciplinar</w:t>
      </w:r>
      <w:r w:rsidR="001A058F">
        <w:rPr>
          <w:rFonts w:ascii="Cambria" w:hAnsi="Cambria"/>
          <w:sz w:val="20"/>
          <w:szCs w:val="20"/>
          <w:lang w:val="es-ES"/>
        </w:rPr>
        <w:t>ia</w:t>
      </w:r>
      <w:r w:rsidRPr="009B4C53">
        <w:rPr>
          <w:rFonts w:ascii="Cambria" w:hAnsi="Cambria"/>
          <w:sz w:val="20"/>
          <w:szCs w:val="20"/>
          <w:lang w:val="es-ES"/>
        </w:rPr>
        <w:t xml:space="preserve"> d</w:t>
      </w:r>
      <w:r w:rsidR="00C42FD8" w:rsidRPr="009B4C53">
        <w:rPr>
          <w:rFonts w:ascii="Cambria" w:hAnsi="Cambria"/>
          <w:sz w:val="20"/>
          <w:szCs w:val="20"/>
          <w:lang w:val="es-ES"/>
        </w:rPr>
        <w:t xml:space="preserve">el fiscal </w:t>
      </w:r>
      <w:r w:rsidRPr="009B4C53">
        <w:rPr>
          <w:rFonts w:ascii="Cambria" w:hAnsi="Cambria"/>
          <w:sz w:val="20"/>
          <w:szCs w:val="20"/>
          <w:lang w:val="es-ES"/>
        </w:rPr>
        <w:t xml:space="preserve">por no </w:t>
      </w:r>
      <w:r w:rsidR="001A058F">
        <w:rPr>
          <w:rFonts w:ascii="Cambria" w:hAnsi="Cambria"/>
          <w:sz w:val="20"/>
          <w:szCs w:val="20"/>
          <w:lang w:val="es-ES"/>
        </w:rPr>
        <w:t>hab</w:t>
      </w:r>
      <w:r w:rsidRPr="009B4C53">
        <w:rPr>
          <w:rFonts w:ascii="Cambria" w:hAnsi="Cambria"/>
          <w:sz w:val="20"/>
          <w:szCs w:val="20"/>
          <w:lang w:val="es-ES"/>
        </w:rPr>
        <w:t xml:space="preserve">er </w:t>
      </w:r>
      <w:r w:rsidR="001A058F">
        <w:rPr>
          <w:rFonts w:ascii="Cambria" w:hAnsi="Cambria"/>
          <w:sz w:val="20"/>
          <w:szCs w:val="20"/>
          <w:lang w:val="es-ES"/>
        </w:rPr>
        <w:t xml:space="preserve">interpuesto una </w:t>
      </w:r>
      <w:r w:rsidR="001A058F" w:rsidRPr="009B4C53">
        <w:rPr>
          <w:rFonts w:ascii="Cambria" w:hAnsi="Cambria"/>
          <w:sz w:val="20"/>
          <w:szCs w:val="20"/>
          <w:lang w:val="es-ES"/>
        </w:rPr>
        <w:t>denuncia</w:t>
      </w:r>
      <w:r w:rsidRPr="009B4C53">
        <w:rPr>
          <w:rFonts w:ascii="Cambria" w:hAnsi="Cambria"/>
          <w:sz w:val="20"/>
          <w:szCs w:val="20"/>
          <w:lang w:val="es-ES"/>
        </w:rPr>
        <w:t xml:space="preserve"> </w:t>
      </w:r>
      <w:r w:rsidR="001A058F">
        <w:rPr>
          <w:rFonts w:ascii="Cambria" w:hAnsi="Cambria"/>
          <w:sz w:val="20"/>
          <w:szCs w:val="20"/>
          <w:lang w:val="es-ES"/>
        </w:rPr>
        <w:t xml:space="preserve">penal </w:t>
      </w:r>
      <w:r w:rsidRPr="009B4C53">
        <w:rPr>
          <w:rFonts w:ascii="Cambria" w:hAnsi="Cambria"/>
          <w:sz w:val="20"/>
          <w:szCs w:val="20"/>
          <w:lang w:val="es-ES"/>
        </w:rPr>
        <w:t xml:space="preserve">contra </w:t>
      </w:r>
      <w:r w:rsidR="001A058F">
        <w:rPr>
          <w:rFonts w:ascii="Cambria" w:hAnsi="Cambria"/>
          <w:sz w:val="20"/>
          <w:szCs w:val="20"/>
          <w:lang w:val="es-ES"/>
        </w:rPr>
        <w:t>l</w:t>
      </w:r>
      <w:r w:rsidRPr="009B4C53">
        <w:rPr>
          <w:rFonts w:ascii="Cambria" w:hAnsi="Cambria"/>
          <w:sz w:val="20"/>
          <w:szCs w:val="20"/>
          <w:lang w:val="es-ES"/>
        </w:rPr>
        <w:t xml:space="preserve">os dos </w:t>
      </w:r>
      <w:r w:rsidR="001A058F">
        <w:rPr>
          <w:rFonts w:ascii="Cambria" w:hAnsi="Cambria"/>
          <w:sz w:val="20"/>
          <w:szCs w:val="20"/>
          <w:lang w:val="es-ES"/>
        </w:rPr>
        <w:t xml:space="preserve">agentes de policía no llevaría a la </w:t>
      </w:r>
      <w:r w:rsidR="001A058F" w:rsidRPr="00D05F42">
        <w:rPr>
          <w:rFonts w:ascii="Cambria" w:hAnsi="Cambria"/>
          <w:sz w:val="20"/>
          <w:szCs w:val="20"/>
          <w:lang w:val="es-ES"/>
        </w:rPr>
        <w:t xml:space="preserve">reapertura del </w:t>
      </w:r>
      <w:r w:rsidRPr="00D05F42">
        <w:rPr>
          <w:rFonts w:ascii="Cambria" w:hAnsi="Cambria"/>
          <w:sz w:val="20"/>
          <w:szCs w:val="20"/>
          <w:lang w:val="es-ES"/>
        </w:rPr>
        <w:t xml:space="preserve">caso </w:t>
      </w:r>
      <w:r w:rsidR="001A058F" w:rsidRPr="00D05F42">
        <w:rPr>
          <w:rFonts w:ascii="Cambria" w:hAnsi="Cambria"/>
          <w:sz w:val="20"/>
          <w:szCs w:val="20"/>
          <w:lang w:val="es-ES"/>
        </w:rPr>
        <w:t xml:space="preserve">y a la sanción penal de los agentes y sería una </w:t>
      </w:r>
      <w:r w:rsidRPr="00D05F42">
        <w:rPr>
          <w:rFonts w:ascii="Cambria" w:hAnsi="Cambria"/>
          <w:sz w:val="20"/>
          <w:szCs w:val="20"/>
          <w:lang w:val="es-ES"/>
        </w:rPr>
        <w:t xml:space="preserve">medida inútil e </w:t>
      </w:r>
      <w:r w:rsidR="001A058F" w:rsidRPr="00D05F42">
        <w:rPr>
          <w:rFonts w:ascii="Cambria" w:hAnsi="Cambria"/>
          <w:sz w:val="20"/>
          <w:szCs w:val="20"/>
          <w:lang w:val="es-ES"/>
        </w:rPr>
        <w:t>inn</w:t>
      </w:r>
      <w:r w:rsidRPr="00D05F42">
        <w:rPr>
          <w:rFonts w:ascii="Cambria" w:hAnsi="Cambria"/>
          <w:sz w:val="20"/>
          <w:szCs w:val="20"/>
          <w:lang w:val="es-ES"/>
        </w:rPr>
        <w:t>eces</w:t>
      </w:r>
      <w:r w:rsidR="001A058F" w:rsidRPr="00D05F42">
        <w:rPr>
          <w:rFonts w:ascii="Cambria" w:hAnsi="Cambria"/>
          <w:sz w:val="20"/>
          <w:szCs w:val="20"/>
          <w:lang w:val="es-ES"/>
        </w:rPr>
        <w:t>a</w:t>
      </w:r>
      <w:r w:rsidRPr="00D05F42">
        <w:rPr>
          <w:rFonts w:ascii="Cambria" w:hAnsi="Cambria"/>
          <w:sz w:val="20"/>
          <w:szCs w:val="20"/>
          <w:lang w:val="es-ES"/>
        </w:rPr>
        <w:t xml:space="preserve">ria </w:t>
      </w:r>
      <w:r w:rsidR="001A058F" w:rsidRPr="00D05F42">
        <w:rPr>
          <w:rFonts w:ascii="Cambria" w:hAnsi="Cambria"/>
          <w:sz w:val="20"/>
          <w:szCs w:val="20"/>
          <w:lang w:val="es-ES"/>
        </w:rPr>
        <w:t>e</w:t>
      </w:r>
      <w:r w:rsidRPr="00D05F42">
        <w:rPr>
          <w:rFonts w:ascii="Cambria" w:hAnsi="Cambria"/>
          <w:sz w:val="20"/>
          <w:szCs w:val="20"/>
          <w:lang w:val="es-ES"/>
        </w:rPr>
        <w:t>n</w:t>
      </w:r>
      <w:r w:rsidR="001A058F" w:rsidRPr="00D05F42">
        <w:rPr>
          <w:rFonts w:ascii="Cambria" w:hAnsi="Cambria"/>
          <w:sz w:val="20"/>
          <w:szCs w:val="20"/>
          <w:lang w:val="es-ES"/>
        </w:rPr>
        <w:t xml:space="preserve"> este</w:t>
      </w:r>
      <w:r w:rsidRPr="00D05F42">
        <w:rPr>
          <w:rFonts w:ascii="Cambria" w:hAnsi="Cambria"/>
          <w:sz w:val="20"/>
          <w:szCs w:val="20"/>
          <w:lang w:val="es-ES"/>
        </w:rPr>
        <w:t xml:space="preserve"> caso. </w:t>
      </w:r>
      <w:r w:rsidR="001A058F" w:rsidRPr="00D05F42">
        <w:rPr>
          <w:rFonts w:ascii="Cambria" w:hAnsi="Cambria"/>
          <w:sz w:val="20"/>
          <w:szCs w:val="20"/>
          <w:lang w:val="es-ES"/>
        </w:rPr>
        <w:t xml:space="preserve">Recalca que los delitos de </w:t>
      </w:r>
      <w:r w:rsidRPr="00D05F42">
        <w:rPr>
          <w:rFonts w:ascii="Cambria" w:hAnsi="Cambria"/>
          <w:sz w:val="20"/>
          <w:szCs w:val="20"/>
          <w:lang w:val="es-ES"/>
        </w:rPr>
        <w:t>tortura o</w:t>
      </w:r>
      <w:r w:rsidR="001A058F" w:rsidRPr="00D05F42">
        <w:rPr>
          <w:rFonts w:ascii="Cambria" w:hAnsi="Cambria"/>
          <w:sz w:val="20"/>
          <w:szCs w:val="20"/>
          <w:lang w:val="es-ES"/>
        </w:rPr>
        <w:t xml:space="preserve"> intento de homicidio</w:t>
      </w:r>
      <w:r w:rsidRPr="00D05F42">
        <w:rPr>
          <w:rFonts w:ascii="Cambria" w:hAnsi="Cambria"/>
          <w:sz w:val="20"/>
          <w:szCs w:val="20"/>
          <w:lang w:val="es-ES"/>
        </w:rPr>
        <w:t xml:space="preserve"> s</w:t>
      </w:r>
      <w:r w:rsidR="001A058F" w:rsidRPr="00D05F42">
        <w:rPr>
          <w:rFonts w:ascii="Cambria" w:hAnsi="Cambria"/>
          <w:sz w:val="20"/>
          <w:szCs w:val="20"/>
          <w:lang w:val="es-ES"/>
        </w:rPr>
        <w:t xml:space="preserve">on objeto de acción </w:t>
      </w:r>
      <w:r w:rsidRPr="00D05F42">
        <w:rPr>
          <w:rFonts w:ascii="Cambria" w:hAnsi="Cambria"/>
          <w:sz w:val="20"/>
          <w:szCs w:val="20"/>
          <w:lang w:val="es-ES"/>
        </w:rPr>
        <w:t xml:space="preserve">penal pública incondicionada, o sea, </w:t>
      </w:r>
      <w:r w:rsidR="001A058F" w:rsidRPr="00D05F42">
        <w:rPr>
          <w:rFonts w:ascii="Cambria" w:hAnsi="Cambria"/>
          <w:sz w:val="20"/>
          <w:szCs w:val="20"/>
          <w:lang w:val="es-ES"/>
        </w:rPr>
        <w:t xml:space="preserve">la acción debe ser </w:t>
      </w:r>
      <w:r w:rsidRPr="00D05F42">
        <w:rPr>
          <w:rFonts w:ascii="Cambria" w:hAnsi="Cambria"/>
          <w:sz w:val="20"/>
          <w:szCs w:val="20"/>
          <w:lang w:val="es-ES"/>
        </w:rPr>
        <w:t>iniciada p</w:t>
      </w:r>
      <w:r w:rsidR="001A058F" w:rsidRPr="00D05F42">
        <w:rPr>
          <w:rFonts w:ascii="Cambria" w:hAnsi="Cambria"/>
          <w:sz w:val="20"/>
          <w:szCs w:val="20"/>
          <w:lang w:val="es-ES"/>
        </w:rPr>
        <w:t xml:space="preserve">or </w:t>
      </w:r>
      <w:r w:rsidRPr="00D05F42">
        <w:rPr>
          <w:rFonts w:ascii="Cambria" w:hAnsi="Cambria"/>
          <w:sz w:val="20"/>
          <w:szCs w:val="20"/>
          <w:lang w:val="es-ES"/>
        </w:rPr>
        <w:t xml:space="preserve">el </w:t>
      </w:r>
      <w:r w:rsidR="001A5D84" w:rsidRPr="00D05F42">
        <w:rPr>
          <w:rFonts w:ascii="Cambria" w:hAnsi="Cambria"/>
          <w:sz w:val="20"/>
          <w:szCs w:val="20"/>
          <w:lang w:val="es-ES"/>
        </w:rPr>
        <w:t>Ministerio</w:t>
      </w:r>
      <w:r w:rsidRPr="00D05F42">
        <w:rPr>
          <w:rFonts w:ascii="Cambria" w:hAnsi="Cambria"/>
          <w:sz w:val="20"/>
          <w:szCs w:val="20"/>
          <w:lang w:val="es-ES"/>
        </w:rPr>
        <w:t xml:space="preserve"> Público. </w:t>
      </w:r>
      <w:r w:rsidR="001A058F" w:rsidRPr="00D05F42">
        <w:rPr>
          <w:rFonts w:ascii="Cambria" w:hAnsi="Cambria"/>
          <w:sz w:val="20"/>
          <w:szCs w:val="20"/>
          <w:lang w:val="es-ES"/>
        </w:rPr>
        <w:t>Por lo</w:t>
      </w:r>
      <w:r w:rsidR="00FD10D3" w:rsidRPr="00D05F42">
        <w:rPr>
          <w:rFonts w:ascii="Cambria" w:hAnsi="Cambria"/>
          <w:sz w:val="20"/>
          <w:szCs w:val="20"/>
          <w:lang w:val="es-ES"/>
        </w:rPr>
        <w:t xml:space="preserve"> </w:t>
      </w:r>
      <w:r w:rsidR="001A058F" w:rsidRPr="00D05F42">
        <w:rPr>
          <w:rFonts w:ascii="Cambria" w:hAnsi="Cambria"/>
          <w:sz w:val="20"/>
          <w:szCs w:val="20"/>
          <w:lang w:val="es-ES"/>
        </w:rPr>
        <w:t xml:space="preserve">tanto, </w:t>
      </w:r>
      <w:r w:rsidR="001A5D84" w:rsidRPr="00D05F42">
        <w:rPr>
          <w:rFonts w:ascii="Cambria" w:hAnsi="Cambria"/>
          <w:sz w:val="20"/>
          <w:szCs w:val="20"/>
          <w:lang w:val="es-ES"/>
        </w:rPr>
        <w:t>el Estado</w:t>
      </w:r>
      <w:r w:rsidRPr="00D05F42">
        <w:rPr>
          <w:rFonts w:ascii="Cambria" w:hAnsi="Cambria"/>
          <w:sz w:val="20"/>
          <w:szCs w:val="20"/>
          <w:lang w:val="es-ES"/>
        </w:rPr>
        <w:t xml:space="preserve"> no </w:t>
      </w:r>
      <w:r w:rsidR="001A058F" w:rsidRPr="00D05F42">
        <w:rPr>
          <w:rFonts w:ascii="Cambria" w:hAnsi="Cambria"/>
          <w:sz w:val="20"/>
          <w:szCs w:val="20"/>
          <w:lang w:val="es-ES"/>
        </w:rPr>
        <w:t>podría</w:t>
      </w:r>
      <w:r w:rsidRPr="00D05F42">
        <w:rPr>
          <w:rFonts w:ascii="Cambria" w:hAnsi="Cambria"/>
          <w:sz w:val="20"/>
          <w:szCs w:val="20"/>
          <w:lang w:val="es-ES"/>
        </w:rPr>
        <w:t xml:space="preserve"> exigir que </w:t>
      </w:r>
      <w:r w:rsidR="001A5D84" w:rsidRPr="00D05F42">
        <w:rPr>
          <w:rFonts w:ascii="Cambria" w:hAnsi="Cambria"/>
          <w:sz w:val="20"/>
          <w:szCs w:val="20"/>
          <w:lang w:val="es-ES"/>
        </w:rPr>
        <w:t>la presunta víctima</w:t>
      </w:r>
      <w:r w:rsidRPr="00D05F42">
        <w:rPr>
          <w:rFonts w:ascii="Cambria" w:hAnsi="Cambria"/>
          <w:sz w:val="20"/>
          <w:szCs w:val="20"/>
          <w:lang w:val="es-ES"/>
        </w:rPr>
        <w:t xml:space="preserve"> a</w:t>
      </w:r>
      <w:r w:rsidR="001A058F" w:rsidRPr="00D05F42">
        <w:rPr>
          <w:rFonts w:ascii="Cambria" w:hAnsi="Cambria"/>
          <w:sz w:val="20"/>
          <w:szCs w:val="20"/>
          <w:lang w:val="es-ES"/>
        </w:rPr>
        <w:t>c</w:t>
      </w:r>
      <w:r w:rsidRPr="00D05F42">
        <w:rPr>
          <w:rFonts w:ascii="Cambria" w:hAnsi="Cambria"/>
          <w:sz w:val="20"/>
          <w:szCs w:val="20"/>
          <w:lang w:val="es-ES"/>
        </w:rPr>
        <w:t>tua</w:t>
      </w:r>
      <w:r w:rsidR="001A058F" w:rsidRPr="00D05F42">
        <w:rPr>
          <w:rFonts w:ascii="Cambria" w:hAnsi="Cambria"/>
          <w:sz w:val="20"/>
          <w:szCs w:val="20"/>
          <w:lang w:val="es-ES"/>
        </w:rPr>
        <w:t>ra</w:t>
      </w:r>
      <w:r w:rsidRPr="00D05F42">
        <w:rPr>
          <w:rFonts w:ascii="Cambria" w:hAnsi="Cambria"/>
          <w:sz w:val="20"/>
          <w:szCs w:val="20"/>
          <w:lang w:val="es-ES"/>
        </w:rPr>
        <w:t xml:space="preserve"> como </w:t>
      </w:r>
      <w:r w:rsidR="001A058F" w:rsidRPr="00D05F42">
        <w:rPr>
          <w:rFonts w:ascii="Cambria" w:hAnsi="Cambria"/>
          <w:sz w:val="20"/>
          <w:szCs w:val="20"/>
          <w:lang w:val="es-ES"/>
        </w:rPr>
        <w:t xml:space="preserve">parte contingente en vista de la </w:t>
      </w:r>
      <w:r w:rsidRPr="00D05F42">
        <w:rPr>
          <w:rFonts w:ascii="Cambria" w:hAnsi="Cambria"/>
          <w:sz w:val="20"/>
          <w:szCs w:val="20"/>
          <w:lang w:val="es-ES"/>
        </w:rPr>
        <w:t xml:space="preserve">prerrogativa exclusiva </w:t>
      </w:r>
      <w:r w:rsidR="001A058F" w:rsidRPr="00D05F42">
        <w:rPr>
          <w:rFonts w:ascii="Cambria" w:hAnsi="Cambria"/>
          <w:sz w:val="20"/>
          <w:szCs w:val="20"/>
          <w:lang w:val="es-ES"/>
        </w:rPr>
        <w:t xml:space="preserve">del órgano </w:t>
      </w:r>
      <w:r w:rsidRPr="00D05F42">
        <w:rPr>
          <w:rFonts w:ascii="Cambria" w:hAnsi="Cambria"/>
          <w:sz w:val="20"/>
          <w:szCs w:val="20"/>
          <w:lang w:val="es-ES"/>
        </w:rPr>
        <w:t xml:space="preserve">público </w:t>
      </w:r>
      <w:r w:rsidR="001A058F" w:rsidRPr="00D05F42">
        <w:rPr>
          <w:rFonts w:ascii="Cambria" w:hAnsi="Cambria"/>
          <w:sz w:val="20"/>
          <w:szCs w:val="20"/>
          <w:lang w:val="es-ES"/>
        </w:rPr>
        <w:t>para formular acusación</w:t>
      </w:r>
      <w:r w:rsidR="004C0D44" w:rsidRPr="00D05F42">
        <w:rPr>
          <w:rFonts w:ascii="Cambria" w:hAnsi="Cambria"/>
          <w:sz w:val="20"/>
          <w:szCs w:val="20"/>
          <w:lang w:val="es-ES"/>
        </w:rPr>
        <w:t>.</w:t>
      </w:r>
      <w:r w:rsidR="00EA1494" w:rsidRPr="00D05F42">
        <w:rPr>
          <w:rFonts w:ascii="Cambria" w:hAnsi="Cambria"/>
          <w:sz w:val="20"/>
          <w:szCs w:val="20"/>
          <w:lang w:val="es-ES"/>
        </w:rPr>
        <w:t xml:space="preserve"> </w:t>
      </w:r>
      <w:r w:rsidR="004C0D44" w:rsidRPr="00D05F42">
        <w:rPr>
          <w:rFonts w:ascii="Cambria" w:hAnsi="Cambria"/>
          <w:sz w:val="20"/>
          <w:szCs w:val="20"/>
          <w:lang w:val="es-US"/>
        </w:rPr>
        <w:t xml:space="preserve">Según lo peticionario, </w:t>
      </w:r>
      <w:r w:rsidR="00D05F42" w:rsidRPr="00D05F42">
        <w:rPr>
          <w:rFonts w:ascii="Cambria" w:hAnsi="Cambria"/>
          <w:sz w:val="20"/>
          <w:szCs w:val="20"/>
          <w:lang w:val="es-US"/>
        </w:rPr>
        <w:t xml:space="preserve">no se recurrió de la </w:t>
      </w:r>
      <w:r w:rsidR="004C0D44" w:rsidRPr="00D05F42">
        <w:rPr>
          <w:rFonts w:ascii="Cambria" w:hAnsi="Cambria"/>
          <w:sz w:val="20"/>
          <w:szCs w:val="20"/>
          <w:lang w:val="es-US"/>
        </w:rPr>
        <w:t>sentencia de absolución sumaria de 2014</w:t>
      </w:r>
      <w:r w:rsidR="00D05F42" w:rsidRPr="00D05F42">
        <w:rPr>
          <w:rFonts w:ascii="Cambria" w:hAnsi="Cambria"/>
          <w:sz w:val="20"/>
          <w:szCs w:val="20"/>
          <w:lang w:val="es-US"/>
        </w:rPr>
        <w:t xml:space="preserve">, porque la investigación tramitó bajo la competencia de la Justicia Militar y el proceso se refiriera a la tentativa de homicidio y no al crimen de tortura denunciado ante la CIDH. </w:t>
      </w:r>
    </w:p>
    <w:p w14:paraId="69BDF957" w14:textId="18683D86" w:rsidR="00824D58" w:rsidRPr="00955F7A" w:rsidRDefault="001A058F"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US"/>
        </w:rPr>
      </w:pPr>
      <w:r w:rsidRPr="004C0D44">
        <w:rPr>
          <w:rFonts w:ascii="Cambria" w:hAnsi="Cambria"/>
          <w:sz w:val="20"/>
          <w:szCs w:val="20"/>
          <w:lang w:val="es-ES"/>
        </w:rPr>
        <w:t>Por otro lado, e</w:t>
      </w:r>
      <w:r w:rsidR="001A5D84" w:rsidRPr="004C0D44">
        <w:rPr>
          <w:rFonts w:ascii="Cambria" w:hAnsi="Cambria"/>
          <w:sz w:val="20"/>
          <w:szCs w:val="20"/>
          <w:lang w:val="es-ES"/>
        </w:rPr>
        <w:t>l Estado</w:t>
      </w:r>
      <w:r w:rsidRPr="004C0D44">
        <w:rPr>
          <w:rFonts w:ascii="Cambria" w:hAnsi="Cambria"/>
          <w:sz w:val="20"/>
          <w:szCs w:val="20"/>
          <w:lang w:val="es-ES"/>
        </w:rPr>
        <w:t xml:space="preserve"> </w:t>
      </w:r>
      <w:r w:rsidR="00845A47" w:rsidRPr="004C0D44">
        <w:rPr>
          <w:rFonts w:ascii="Cambria" w:hAnsi="Cambria"/>
          <w:sz w:val="20"/>
          <w:szCs w:val="20"/>
          <w:lang w:val="es-ES"/>
        </w:rPr>
        <w:t>afirma que</w:t>
      </w:r>
      <w:r w:rsidRPr="004C0D44">
        <w:rPr>
          <w:rFonts w:ascii="Cambria" w:hAnsi="Cambria"/>
          <w:sz w:val="20"/>
          <w:szCs w:val="20"/>
          <w:lang w:val="es-ES"/>
        </w:rPr>
        <w:t xml:space="preserve">, a pesar de que el primer fiscal que actuó en el caso no presentó una denuncia </w:t>
      </w:r>
      <w:r w:rsidR="00663E6A" w:rsidRPr="004C0D44">
        <w:rPr>
          <w:rFonts w:ascii="Cambria" w:hAnsi="Cambria"/>
          <w:sz w:val="20"/>
          <w:szCs w:val="20"/>
          <w:lang w:val="es-ES"/>
        </w:rPr>
        <w:t xml:space="preserve">contra </w:t>
      </w:r>
      <w:r w:rsidRPr="004C0D44">
        <w:rPr>
          <w:rFonts w:ascii="Cambria" w:hAnsi="Cambria"/>
          <w:sz w:val="20"/>
          <w:szCs w:val="20"/>
          <w:lang w:val="es-ES"/>
        </w:rPr>
        <w:t>l</w:t>
      </w:r>
      <w:r w:rsidR="00663E6A" w:rsidRPr="004C0D44">
        <w:rPr>
          <w:rFonts w:ascii="Cambria" w:hAnsi="Cambria"/>
          <w:sz w:val="20"/>
          <w:szCs w:val="20"/>
          <w:lang w:val="es-ES"/>
        </w:rPr>
        <w:t>os</w:t>
      </w:r>
      <w:r w:rsidR="00845A47" w:rsidRPr="004C0D44">
        <w:rPr>
          <w:rFonts w:ascii="Cambria" w:hAnsi="Cambria"/>
          <w:sz w:val="20"/>
          <w:szCs w:val="20"/>
          <w:lang w:val="es-ES"/>
        </w:rPr>
        <w:t xml:space="preserve"> </w:t>
      </w:r>
      <w:r w:rsidR="00BB2DCA" w:rsidRPr="004C0D44">
        <w:rPr>
          <w:rFonts w:ascii="Cambria" w:hAnsi="Cambria"/>
          <w:sz w:val="20"/>
          <w:szCs w:val="20"/>
          <w:lang w:val="es-ES"/>
        </w:rPr>
        <w:t>agentes de la policía militar</w:t>
      </w:r>
      <w:r w:rsidR="00845A47" w:rsidRPr="004C0D44">
        <w:rPr>
          <w:rFonts w:ascii="Cambria" w:hAnsi="Cambria"/>
          <w:sz w:val="20"/>
          <w:szCs w:val="20"/>
          <w:lang w:val="es-ES"/>
        </w:rPr>
        <w:t xml:space="preserve">, </w:t>
      </w:r>
      <w:r w:rsidR="009B4C53" w:rsidRPr="004C0D44">
        <w:rPr>
          <w:rFonts w:ascii="Cambria" w:hAnsi="Cambria"/>
          <w:sz w:val="20"/>
          <w:szCs w:val="20"/>
          <w:lang w:val="es-ES"/>
        </w:rPr>
        <w:t xml:space="preserve">el </w:t>
      </w:r>
      <w:r w:rsidR="00845A47" w:rsidRPr="004C0D44">
        <w:rPr>
          <w:rFonts w:ascii="Cambria" w:hAnsi="Cambria"/>
          <w:sz w:val="20"/>
          <w:szCs w:val="20"/>
          <w:lang w:val="es-ES"/>
        </w:rPr>
        <w:t>peticion</w:t>
      </w:r>
      <w:r w:rsidR="009B4C53" w:rsidRPr="004C0D44">
        <w:rPr>
          <w:rFonts w:ascii="Cambria" w:hAnsi="Cambria"/>
          <w:sz w:val="20"/>
          <w:szCs w:val="20"/>
          <w:lang w:val="es-ES"/>
        </w:rPr>
        <w:t xml:space="preserve">ario podría haber recurrido a la Dirección de Asuntos Internos de la institución para que se investigara la actuación del </w:t>
      </w:r>
      <w:r w:rsidR="00845A47" w:rsidRPr="004C0D44">
        <w:rPr>
          <w:rFonts w:ascii="Cambria" w:hAnsi="Cambria"/>
          <w:sz w:val="20"/>
          <w:szCs w:val="20"/>
          <w:lang w:val="es-ES"/>
        </w:rPr>
        <w:t>representante d</w:t>
      </w:r>
      <w:r w:rsidR="009B4C53" w:rsidRPr="004C0D44">
        <w:rPr>
          <w:rFonts w:ascii="Cambria" w:hAnsi="Cambria"/>
          <w:sz w:val="20"/>
          <w:szCs w:val="20"/>
          <w:lang w:val="es-ES"/>
        </w:rPr>
        <w:t>el</w:t>
      </w:r>
      <w:r w:rsidR="00845A47" w:rsidRPr="004C0D44">
        <w:rPr>
          <w:rFonts w:ascii="Cambria" w:hAnsi="Cambria"/>
          <w:sz w:val="20"/>
          <w:szCs w:val="20"/>
          <w:lang w:val="es-ES"/>
        </w:rPr>
        <w:t xml:space="preserve"> </w:t>
      </w:r>
      <w:r w:rsidR="001A5D84" w:rsidRPr="004C0D44">
        <w:rPr>
          <w:rFonts w:ascii="Cambria" w:hAnsi="Cambria"/>
          <w:sz w:val="20"/>
          <w:szCs w:val="20"/>
          <w:lang w:val="es-ES"/>
        </w:rPr>
        <w:t>Ministerio</w:t>
      </w:r>
      <w:r w:rsidR="00845A47" w:rsidRPr="004C0D44">
        <w:rPr>
          <w:rFonts w:ascii="Cambria" w:hAnsi="Cambria"/>
          <w:sz w:val="20"/>
          <w:szCs w:val="20"/>
          <w:lang w:val="es-ES"/>
        </w:rPr>
        <w:t xml:space="preserve"> Público. </w:t>
      </w:r>
      <w:r w:rsidRPr="004C0D44">
        <w:rPr>
          <w:rFonts w:ascii="Cambria" w:hAnsi="Cambria"/>
          <w:sz w:val="20"/>
          <w:szCs w:val="20"/>
          <w:lang w:val="es-ES"/>
        </w:rPr>
        <w:t xml:space="preserve">En cambio, el peticionario recurrió </w:t>
      </w:r>
      <w:r w:rsidR="00845A47" w:rsidRPr="004C0D44">
        <w:rPr>
          <w:rFonts w:ascii="Cambria" w:hAnsi="Cambria"/>
          <w:sz w:val="20"/>
          <w:szCs w:val="20"/>
          <w:lang w:val="es-ES"/>
        </w:rPr>
        <w:t>dire</w:t>
      </w:r>
      <w:r w:rsidRPr="004C0D44">
        <w:rPr>
          <w:rFonts w:ascii="Cambria" w:hAnsi="Cambria"/>
          <w:sz w:val="20"/>
          <w:szCs w:val="20"/>
          <w:lang w:val="es-ES"/>
        </w:rPr>
        <w:t>c</w:t>
      </w:r>
      <w:r w:rsidR="00845A47" w:rsidRPr="004C0D44">
        <w:rPr>
          <w:rFonts w:ascii="Cambria" w:hAnsi="Cambria"/>
          <w:sz w:val="20"/>
          <w:szCs w:val="20"/>
          <w:lang w:val="es-ES"/>
        </w:rPr>
        <w:t xml:space="preserve">tamente </w:t>
      </w:r>
      <w:r w:rsidRPr="004C0D44">
        <w:rPr>
          <w:rFonts w:ascii="Cambria" w:hAnsi="Cambria"/>
          <w:sz w:val="20"/>
          <w:szCs w:val="20"/>
          <w:lang w:val="es-ES"/>
        </w:rPr>
        <w:t>a la</w:t>
      </w:r>
      <w:r w:rsidR="00845A47" w:rsidRPr="004C0D44">
        <w:rPr>
          <w:rFonts w:ascii="Cambria" w:hAnsi="Cambria"/>
          <w:sz w:val="20"/>
          <w:szCs w:val="20"/>
          <w:lang w:val="es-ES"/>
        </w:rPr>
        <w:t xml:space="preserve"> </w:t>
      </w:r>
      <w:r w:rsidR="001A5D84" w:rsidRPr="004C0D44">
        <w:rPr>
          <w:rFonts w:ascii="Cambria" w:hAnsi="Cambria"/>
          <w:sz w:val="20"/>
          <w:szCs w:val="20"/>
          <w:lang w:val="es-ES"/>
        </w:rPr>
        <w:t>Comisión</w:t>
      </w:r>
      <w:r w:rsidR="00845A47" w:rsidRPr="004C0D44">
        <w:rPr>
          <w:rFonts w:ascii="Cambria" w:hAnsi="Cambria"/>
          <w:sz w:val="20"/>
          <w:szCs w:val="20"/>
          <w:lang w:val="es-ES"/>
        </w:rPr>
        <w:t xml:space="preserve"> Interamericana</w:t>
      </w:r>
      <w:r w:rsidRPr="004C0D44">
        <w:rPr>
          <w:rFonts w:ascii="Cambria" w:hAnsi="Cambria"/>
          <w:sz w:val="20"/>
          <w:szCs w:val="20"/>
          <w:lang w:val="es-ES"/>
        </w:rPr>
        <w:t>, sin agota</w:t>
      </w:r>
      <w:r w:rsidR="00845A47" w:rsidRPr="004C0D44">
        <w:rPr>
          <w:rFonts w:ascii="Cambria" w:hAnsi="Cambria"/>
          <w:sz w:val="20"/>
          <w:szCs w:val="20"/>
          <w:lang w:val="es-ES"/>
        </w:rPr>
        <w:t xml:space="preserve">r </w:t>
      </w:r>
      <w:r w:rsidRPr="004C0D44">
        <w:rPr>
          <w:rFonts w:ascii="Cambria" w:hAnsi="Cambria"/>
          <w:sz w:val="20"/>
          <w:szCs w:val="20"/>
          <w:lang w:val="es-ES"/>
        </w:rPr>
        <w:t>l</w:t>
      </w:r>
      <w:r w:rsidR="00845A47" w:rsidRPr="004C0D44">
        <w:rPr>
          <w:rFonts w:ascii="Cambria" w:hAnsi="Cambria"/>
          <w:sz w:val="20"/>
          <w:szCs w:val="20"/>
          <w:lang w:val="es-ES"/>
        </w:rPr>
        <w:t>os recursos internos</w:t>
      </w:r>
      <w:r w:rsidR="004C0D44" w:rsidRPr="004C0D44">
        <w:rPr>
          <w:rFonts w:ascii="Cambria" w:hAnsi="Cambria"/>
          <w:sz w:val="20"/>
          <w:szCs w:val="20"/>
          <w:lang w:val="es-ES"/>
        </w:rPr>
        <w:t>. I</w:t>
      </w:r>
      <w:r w:rsidR="007A4E22" w:rsidRPr="004C0D44">
        <w:rPr>
          <w:rFonts w:ascii="Cambria" w:hAnsi="Cambria"/>
          <w:sz w:val="20"/>
          <w:szCs w:val="20"/>
          <w:lang w:val="es-ES"/>
        </w:rPr>
        <w:t>ndica</w:t>
      </w:r>
      <w:r w:rsidR="00824D58" w:rsidRPr="004C0D44">
        <w:rPr>
          <w:rFonts w:ascii="Cambria" w:hAnsi="Cambria"/>
          <w:sz w:val="20"/>
          <w:szCs w:val="20"/>
          <w:lang w:val="es-ES"/>
        </w:rPr>
        <w:t xml:space="preserve"> que </w:t>
      </w:r>
      <w:r w:rsidRPr="004C0D44">
        <w:rPr>
          <w:rFonts w:ascii="Cambria" w:hAnsi="Cambria"/>
          <w:sz w:val="20"/>
          <w:szCs w:val="20"/>
          <w:lang w:val="es-ES"/>
        </w:rPr>
        <w:t>l</w:t>
      </w:r>
      <w:r w:rsidR="00824D58" w:rsidRPr="004C0D44">
        <w:rPr>
          <w:rFonts w:ascii="Cambria" w:hAnsi="Cambria"/>
          <w:sz w:val="20"/>
          <w:szCs w:val="20"/>
          <w:lang w:val="es-ES"/>
        </w:rPr>
        <w:t>a a</w:t>
      </w:r>
      <w:r w:rsidRPr="004C0D44">
        <w:rPr>
          <w:rFonts w:ascii="Cambria" w:hAnsi="Cambria"/>
          <w:sz w:val="20"/>
          <w:szCs w:val="20"/>
          <w:lang w:val="es-ES"/>
        </w:rPr>
        <w:t xml:space="preserve">cción </w:t>
      </w:r>
      <w:r w:rsidR="00824D58" w:rsidRPr="004C0D44">
        <w:rPr>
          <w:rFonts w:ascii="Cambria" w:hAnsi="Cambria"/>
          <w:sz w:val="20"/>
          <w:szCs w:val="20"/>
          <w:lang w:val="es-ES"/>
        </w:rPr>
        <w:t xml:space="preserve">penal </w:t>
      </w:r>
      <w:r w:rsidRPr="004C0D44">
        <w:rPr>
          <w:rFonts w:ascii="Cambria" w:hAnsi="Cambria"/>
          <w:sz w:val="20"/>
          <w:szCs w:val="20"/>
          <w:lang w:val="es-ES"/>
        </w:rPr>
        <w:t xml:space="preserve">en el ámbito </w:t>
      </w:r>
      <w:r w:rsidR="00824D58" w:rsidRPr="004C0D44">
        <w:rPr>
          <w:rFonts w:ascii="Cambria" w:hAnsi="Cambria"/>
          <w:sz w:val="20"/>
          <w:szCs w:val="20"/>
          <w:lang w:val="es-ES"/>
        </w:rPr>
        <w:t xml:space="preserve">de </w:t>
      </w:r>
      <w:r w:rsidRPr="004C0D44">
        <w:rPr>
          <w:rFonts w:ascii="Cambria" w:hAnsi="Cambria"/>
          <w:sz w:val="20"/>
          <w:szCs w:val="20"/>
          <w:lang w:val="es-ES"/>
        </w:rPr>
        <w:t>competencia</w:t>
      </w:r>
      <w:r w:rsidR="00824D58" w:rsidRPr="004C0D44">
        <w:rPr>
          <w:rFonts w:ascii="Cambria" w:hAnsi="Cambria"/>
          <w:sz w:val="20"/>
          <w:szCs w:val="20"/>
          <w:lang w:val="es-ES"/>
        </w:rPr>
        <w:t xml:space="preserve"> d</w:t>
      </w:r>
      <w:r w:rsidRPr="004C0D44">
        <w:rPr>
          <w:rFonts w:ascii="Cambria" w:hAnsi="Cambria"/>
          <w:sz w:val="20"/>
          <w:szCs w:val="20"/>
          <w:lang w:val="es-ES"/>
        </w:rPr>
        <w:t>el</w:t>
      </w:r>
      <w:r w:rsidR="00824D58" w:rsidRPr="004C0D44">
        <w:rPr>
          <w:rFonts w:ascii="Cambria" w:hAnsi="Cambria"/>
          <w:sz w:val="20"/>
          <w:szCs w:val="20"/>
          <w:lang w:val="es-ES"/>
        </w:rPr>
        <w:t xml:space="preserve"> Tribunal d</w:t>
      </w:r>
      <w:r w:rsidRPr="004C0D44">
        <w:rPr>
          <w:rFonts w:ascii="Cambria" w:hAnsi="Cambria"/>
          <w:sz w:val="20"/>
          <w:szCs w:val="20"/>
          <w:lang w:val="es-ES"/>
        </w:rPr>
        <w:t>el</w:t>
      </w:r>
      <w:r w:rsidR="00824D58" w:rsidRPr="004C0D44">
        <w:rPr>
          <w:rFonts w:ascii="Cambria" w:hAnsi="Cambria"/>
          <w:sz w:val="20"/>
          <w:szCs w:val="20"/>
          <w:lang w:val="es-ES"/>
        </w:rPr>
        <w:t xml:space="preserve"> J</w:t>
      </w:r>
      <w:r w:rsidRPr="004C0D44">
        <w:rPr>
          <w:rFonts w:ascii="Cambria" w:hAnsi="Cambria"/>
          <w:sz w:val="20"/>
          <w:szCs w:val="20"/>
          <w:lang w:val="es-ES"/>
        </w:rPr>
        <w:t xml:space="preserve">urado que tramitó </w:t>
      </w:r>
      <w:r w:rsidR="003A7963" w:rsidRPr="004C0D44">
        <w:rPr>
          <w:rFonts w:ascii="Cambria" w:hAnsi="Cambria"/>
          <w:sz w:val="20"/>
          <w:szCs w:val="20"/>
          <w:lang w:val="es-ES"/>
        </w:rPr>
        <w:t>ante</w:t>
      </w:r>
      <w:r w:rsidRPr="004C0D44">
        <w:rPr>
          <w:rFonts w:ascii="Cambria" w:hAnsi="Cambria"/>
          <w:sz w:val="20"/>
          <w:szCs w:val="20"/>
          <w:lang w:val="es-ES"/>
        </w:rPr>
        <w:t xml:space="preserve"> la justicia común </w:t>
      </w:r>
      <w:r w:rsidR="00824D58" w:rsidRPr="004C0D44">
        <w:rPr>
          <w:rFonts w:ascii="Cambria" w:hAnsi="Cambria"/>
          <w:sz w:val="20"/>
          <w:szCs w:val="20"/>
          <w:lang w:val="es-ES"/>
        </w:rPr>
        <w:t xml:space="preserve">contra </w:t>
      </w:r>
      <w:r w:rsidRPr="00955F7A">
        <w:rPr>
          <w:rFonts w:ascii="Cambria" w:hAnsi="Cambria"/>
          <w:sz w:val="20"/>
          <w:szCs w:val="20"/>
          <w:lang w:val="es-ES"/>
        </w:rPr>
        <w:t>l</w:t>
      </w:r>
      <w:r w:rsidR="00824D58" w:rsidRPr="00955F7A">
        <w:rPr>
          <w:rFonts w:ascii="Cambria" w:hAnsi="Cambria"/>
          <w:sz w:val="20"/>
          <w:szCs w:val="20"/>
          <w:lang w:val="es-ES"/>
        </w:rPr>
        <w:t xml:space="preserve">os </w:t>
      </w:r>
      <w:r w:rsidR="00BB2DCA" w:rsidRPr="00955F7A">
        <w:rPr>
          <w:rFonts w:ascii="Cambria" w:hAnsi="Cambria"/>
          <w:sz w:val="20"/>
          <w:szCs w:val="20"/>
          <w:lang w:val="es-ES"/>
        </w:rPr>
        <w:t>agentes de la policía militar</w:t>
      </w:r>
      <w:r w:rsidR="00824D58" w:rsidRPr="00955F7A">
        <w:rPr>
          <w:rFonts w:ascii="Cambria" w:hAnsi="Cambria"/>
          <w:sz w:val="20"/>
          <w:szCs w:val="20"/>
          <w:lang w:val="es-ES"/>
        </w:rPr>
        <w:t xml:space="preserve"> </w:t>
      </w:r>
      <w:r w:rsidRPr="00955F7A">
        <w:rPr>
          <w:rFonts w:ascii="Cambria" w:hAnsi="Cambria"/>
          <w:sz w:val="20"/>
          <w:szCs w:val="20"/>
          <w:lang w:val="es-ES"/>
        </w:rPr>
        <w:t xml:space="preserve">concluyó después de la presentación de la petición a la </w:t>
      </w:r>
      <w:r w:rsidR="001A5D84" w:rsidRPr="00955F7A">
        <w:rPr>
          <w:rFonts w:ascii="Cambria" w:hAnsi="Cambria"/>
          <w:sz w:val="20"/>
          <w:szCs w:val="20"/>
          <w:lang w:val="es-ES"/>
        </w:rPr>
        <w:t>Comisión</w:t>
      </w:r>
      <w:r w:rsidR="00824D58" w:rsidRPr="00955F7A">
        <w:rPr>
          <w:rFonts w:ascii="Cambria" w:hAnsi="Cambria"/>
          <w:sz w:val="20"/>
          <w:szCs w:val="20"/>
          <w:lang w:val="es-ES"/>
        </w:rPr>
        <w:t xml:space="preserve">, </w:t>
      </w:r>
      <w:r w:rsidRPr="00955F7A">
        <w:rPr>
          <w:rFonts w:ascii="Cambria" w:hAnsi="Cambria"/>
          <w:sz w:val="20"/>
          <w:szCs w:val="20"/>
          <w:lang w:val="es-ES"/>
        </w:rPr>
        <w:t xml:space="preserve">lo cual demuestra </w:t>
      </w:r>
      <w:r w:rsidR="00824D58" w:rsidRPr="00955F7A">
        <w:rPr>
          <w:rFonts w:ascii="Cambria" w:hAnsi="Cambria"/>
          <w:sz w:val="20"/>
          <w:szCs w:val="20"/>
          <w:lang w:val="es-ES"/>
        </w:rPr>
        <w:t>que</w:t>
      </w:r>
      <w:r w:rsidRPr="00955F7A">
        <w:rPr>
          <w:rFonts w:ascii="Cambria" w:hAnsi="Cambria"/>
          <w:sz w:val="20"/>
          <w:szCs w:val="20"/>
          <w:lang w:val="es-ES"/>
        </w:rPr>
        <w:t>,</w:t>
      </w:r>
      <w:r w:rsidR="00824D58" w:rsidRPr="00955F7A">
        <w:rPr>
          <w:rFonts w:ascii="Cambria" w:hAnsi="Cambria"/>
          <w:sz w:val="20"/>
          <w:szCs w:val="20"/>
          <w:lang w:val="es-ES"/>
        </w:rPr>
        <w:t xml:space="preserve"> </w:t>
      </w:r>
      <w:r w:rsidRPr="00955F7A">
        <w:rPr>
          <w:rFonts w:ascii="Cambria" w:hAnsi="Cambria"/>
          <w:sz w:val="20"/>
          <w:szCs w:val="20"/>
          <w:lang w:val="es-ES"/>
        </w:rPr>
        <w:t>e</w:t>
      </w:r>
      <w:r w:rsidR="00824D58" w:rsidRPr="00955F7A">
        <w:rPr>
          <w:rFonts w:ascii="Cambria" w:hAnsi="Cambria"/>
          <w:sz w:val="20"/>
          <w:szCs w:val="20"/>
          <w:lang w:val="es-ES"/>
        </w:rPr>
        <w:t>n</w:t>
      </w:r>
      <w:r w:rsidRPr="00955F7A">
        <w:rPr>
          <w:rFonts w:ascii="Cambria" w:hAnsi="Cambria"/>
          <w:sz w:val="20"/>
          <w:szCs w:val="20"/>
          <w:lang w:val="es-ES"/>
        </w:rPr>
        <w:t xml:space="preserve"> el</w:t>
      </w:r>
      <w:r w:rsidR="00824D58" w:rsidRPr="00955F7A">
        <w:rPr>
          <w:rFonts w:ascii="Cambria" w:hAnsi="Cambria"/>
          <w:sz w:val="20"/>
          <w:szCs w:val="20"/>
          <w:lang w:val="es-ES"/>
        </w:rPr>
        <w:t xml:space="preserve"> mom</w:t>
      </w:r>
      <w:r w:rsidR="00663E6A" w:rsidRPr="00955F7A">
        <w:rPr>
          <w:rFonts w:ascii="Cambria" w:hAnsi="Cambria"/>
          <w:sz w:val="20"/>
          <w:szCs w:val="20"/>
          <w:lang w:val="es-ES"/>
        </w:rPr>
        <w:t xml:space="preserve">ento </w:t>
      </w:r>
      <w:r w:rsidRPr="00955F7A">
        <w:rPr>
          <w:rFonts w:ascii="Cambria" w:hAnsi="Cambria"/>
          <w:sz w:val="20"/>
          <w:szCs w:val="20"/>
          <w:lang w:val="es-ES"/>
        </w:rPr>
        <w:t xml:space="preserve">en que se presentó la </w:t>
      </w:r>
      <w:r w:rsidR="00947C02" w:rsidRPr="00955F7A">
        <w:rPr>
          <w:rFonts w:ascii="Cambria" w:hAnsi="Cambria"/>
          <w:sz w:val="20"/>
          <w:szCs w:val="20"/>
          <w:lang w:val="es-ES"/>
        </w:rPr>
        <w:t>petición</w:t>
      </w:r>
      <w:r w:rsidRPr="00955F7A">
        <w:rPr>
          <w:rFonts w:ascii="Cambria" w:hAnsi="Cambria"/>
          <w:sz w:val="20"/>
          <w:szCs w:val="20"/>
          <w:lang w:val="es-ES"/>
        </w:rPr>
        <w:t>, todavía no se habían agotado l</w:t>
      </w:r>
      <w:r w:rsidR="00EA1494" w:rsidRPr="00955F7A">
        <w:rPr>
          <w:rFonts w:ascii="Cambria" w:hAnsi="Cambria"/>
          <w:sz w:val="20"/>
          <w:szCs w:val="20"/>
          <w:lang w:val="es-ES"/>
        </w:rPr>
        <w:t xml:space="preserve">os recursos internos. </w:t>
      </w:r>
      <w:r w:rsidR="004C0D44" w:rsidRPr="00955F7A">
        <w:rPr>
          <w:rFonts w:ascii="Cambria" w:hAnsi="Cambria"/>
          <w:sz w:val="20"/>
          <w:szCs w:val="20"/>
          <w:lang w:val="es-US"/>
        </w:rPr>
        <w:t>Según el Estado, en 2014 fue proferida sentencia de absolución sumaria de los supuesto responsables por las violaciones, pero ni la presunta víctima, ni la parte peticionaria</w:t>
      </w:r>
      <w:r w:rsidR="00CF2D93" w:rsidRPr="00955F7A">
        <w:rPr>
          <w:rFonts w:ascii="Cambria" w:hAnsi="Cambria"/>
          <w:sz w:val="20"/>
          <w:szCs w:val="20"/>
          <w:lang w:val="es-US"/>
        </w:rPr>
        <w:t xml:space="preserve"> recurrieron de esa decisión. Alega, además, que no se apeló la decisión final. </w:t>
      </w:r>
    </w:p>
    <w:p w14:paraId="18C1B5DD" w14:textId="00F89F90" w:rsidR="00CF2D93" w:rsidRPr="00955F7A" w:rsidRDefault="007E5B3C" w:rsidP="00CF2D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955F7A">
        <w:rPr>
          <w:rFonts w:ascii="Cambria" w:hAnsi="Cambria"/>
          <w:sz w:val="20"/>
          <w:szCs w:val="20"/>
          <w:lang w:val="es-ES"/>
        </w:rPr>
        <w:t>La</w:t>
      </w:r>
      <w:r w:rsidR="00B95180" w:rsidRPr="00955F7A">
        <w:rPr>
          <w:rFonts w:ascii="Cambria" w:hAnsi="Cambria"/>
          <w:sz w:val="20"/>
          <w:szCs w:val="20"/>
          <w:lang w:val="es-ES"/>
        </w:rPr>
        <w:t xml:space="preserve"> </w:t>
      </w:r>
      <w:r w:rsidR="001A5D84" w:rsidRPr="00955F7A">
        <w:rPr>
          <w:rFonts w:ascii="Cambria" w:hAnsi="Cambria"/>
          <w:sz w:val="20"/>
          <w:szCs w:val="20"/>
          <w:lang w:val="es-ES"/>
        </w:rPr>
        <w:t>Comisión</w:t>
      </w:r>
      <w:r w:rsidR="00B95180" w:rsidRPr="00955F7A">
        <w:rPr>
          <w:rFonts w:ascii="Cambria" w:hAnsi="Cambria"/>
          <w:sz w:val="20"/>
          <w:szCs w:val="20"/>
          <w:lang w:val="es-ES"/>
        </w:rPr>
        <w:t xml:space="preserve"> </w:t>
      </w:r>
      <w:r w:rsidRPr="00955F7A">
        <w:rPr>
          <w:rFonts w:ascii="Cambria" w:hAnsi="Cambria"/>
          <w:sz w:val="20"/>
          <w:szCs w:val="20"/>
          <w:lang w:val="es-ES"/>
        </w:rPr>
        <w:t>entiende</w:t>
      </w:r>
      <w:r w:rsidR="00B95180" w:rsidRPr="00955F7A">
        <w:rPr>
          <w:rFonts w:ascii="Cambria" w:hAnsi="Cambria"/>
          <w:sz w:val="20"/>
          <w:szCs w:val="20"/>
          <w:lang w:val="es-ES"/>
        </w:rPr>
        <w:t xml:space="preserve"> que</w:t>
      </w:r>
      <w:r w:rsidR="000707AE" w:rsidRPr="00955F7A">
        <w:rPr>
          <w:rFonts w:ascii="Cambria" w:hAnsi="Cambria"/>
          <w:sz w:val="20"/>
          <w:szCs w:val="20"/>
          <w:lang w:val="es-ES"/>
        </w:rPr>
        <w:t xml:space="preserve">, en los casos de posibles violaciones </w:t>
      </w:r>
      <w:r w:rsidR="00B95180" w:rsidRPr="00955F7A">
        <w:rPr>
          <w:rFonts w:ascii="Cambria" w:hAnsi="Cambria"/>
          <w:sz w:val="20"/>
          <w:szCs w:val="20"/>
          <w:lang w:val="es-ES"/>
        </w:rPr>
        <w:t xml:space="preserve">de </w:t>
      </w:r>
      <w:r w:rsidR="00BB2DCA" w:rsidRPr="00955F7A">
        <w:rPr>
          <w:rFonts w:ascii="Cambria" w:hAnsi="Cambria"/>
          <w:sz w:val="20"/>
          <w:szCs w:val="20"/>
          <w:lang w:val="es-ES"/>
        </w:rPr>
        <w:t>derechos</w:t>
      </w:r>
      <w:r w:rsidR="00B95180" w:rsidRPr="00955F7A">
        <w:rPr>
          <w:rFonts w:ascii="Cambria" w:hAnsi="Cambria"/>
          <w:sz w:val="20"/>
          <w:szCs w:val="20"/>
          <w:lang w:val="es-ES"/>
        </w:rPr>
        <w:t xml:space="preserve"> humanos </w:t>
      </w:r>
      <w:r w:rsidR="00947C02" w:rsidRPr="00955F7A">
        <w:rPr>
          <w:rFonts w:ascii="Cambria" w:hAnsi="Cambria"/>
          <w:sz w:val="20"/>
          <w:szCs w:val="20"/>
          <w:lang w:val="es-ES"/>
        </w:rPr>
        <w:t>perseguibles de oficio</w:t>
      </w:r>
      <w:r w:rsidR="00B95180" w:rsidRPr="00955F7A">
        <w:rPr>
          <w:rFonts w:ascii="Cambria" w:hAnsi="Cambria"/>
          <w:sz w:val="20"/>
          <w:szCs w:val="20"/>
          <w:lang w:val="es-ES"/>
        </w:rPr>
        <w:t xml:space="preserve"> </w:t>
      </w:r>
      <w:r w:rsidR="00947C02" w:rsidRPr="00955F7A">
        <w:rPr>
          <w:rFonts w:ascii="Cambria" w:hAnsi="Cambria"/>
          <w:sz w:val="20"/>
          <w:szCs w:val="20"/>
          <w:lang w:val="es-ES"/>
        </w:rPr>
        <w:t>y</w:t>
      </w:r>
      <w:r w:rsidR="000707AE" w:rsidRPr="00955F7A">
        <w:rPr>
          <w:rFonts w:ascii="Cambria" w:hAnsi="Cambria"/>
          <w:sz w:val="20"/>
          <w:szCs w:val="20"/>
          <w:lang w:val="es-ES"/>
        </w:rPr>
        <w:t xml:space="preserve"> </w:t>
      </w:r>
      <w:r w:rsidR="00947C02" w:rsidRPr="00955F7A">
        <w:rPr>
          <w:rFonts w:ascii="Cambria" w:hAnsi="Cambria"/>
          <w:sz w:val="20"/>
          <w:szCs w:val="20"/>
          <w:lang w:val="es-ES"/>
        </w:rPr>
        <w:t>más aún</w:t>
      </w:r>
      <w:r w:rsidR="000707AE" w:rsidRPr="00955F7A">
        <w:rPr>
          <w:rFonts w:ascii="Cambria" w:hAnsi="Cambria"/>
          <w:sz w:val="20"/>
          <w:szCs w:val="20"/>
          <w:lang w:val="es-ES"/>
        </w:rPr>
        <w:t>,</w:t>
      </w:r>
      <w:r w:rsidR="00947C02" w:rsidRPr="00955F7A">
        <w:rPr>
          <w:rFonts w:ascii="Cambria" w:hAnsi="Cambria"/>
          <w:sz w:val="20"/>
          <w:szCs w:val="20"/>
          <w:lang w:val="es-ES"/>
        </w:rPr>
        <w:t xml:space="preserve"> cuando podría haber agentes </w:t>
      </w:r>
      <w:r w:rsidR="000707AE" w:rsidRPr="00955F7A">
        <w:rPr>
          <w:rFonts w:ascii="Cambria" w:hAnsi="Cambria"/>
          <w:sz w:val="20"/>
          <w:szCs w:val="20"/>
          <w:lang w:val="es-ES"/>
        </w:rPr>
        <w:t xml:space="preserve">estatales </w:t>
      </w:r>
      <w:r w:rsidR="00947C02" w:rsidRPr="00955F7A">
        <w:rPr>
          <w:rFonts w:ascii="Cambria" w:hAnsi="Cambria"/>
          <w:sz w:val="20"/>
          <w:szCs w:val="20"/>
          <w:lang w:val="es-ES"/>
        </w:rPr>
        <w:t>implicados en l</w:t>
      </w:r>
      <w:r w:rsidR="00B95180" w:rsidRPr="00955F7A">
        <w:rPr>
          <w:rFonts w:ascii="Cambria" w:hAnsi="Cambria"/>
          <w:sz w:val="20"/>
          <w:szCs w:val="20"/>
          <w:lang w:val="es-ES"/>
        </w:rPr>
        <w:t xml:space="preserve">os </w:t>
      </w:r>
      <w:r w:rsidR="00947C02" w:rsidRPr="00955F7A">
        <w:rPr>
          <w:rFonts w:ascii="Cambria" w:hAnsi="Cambria"/>
          <w:sz w:val="20"/>
          <w:szCs w:val="20"/>
          <w:lang w:val="es-ES"/>
        </w:rPr>
        <w:t>hechos</w:t>
      </w:r>
      <w:r w:rsidR="00B95180" w:rsidRPr="00955F7A">
        <w:rPr>
          <w:rFonts w:ascii="Cambria" w:hAnsi="Cambria"/>
          <w:sz w:val="20"/>
          <w:szCs w:val="20"/>
          <w:lang w:val="es-ES"/>
        </w:rPr>
        <w:t xml:space="preserve">, </w:t>
      </w:r>
      <w:r w:rsidR="000707AE" w:rsidRPr="00955F7A">
        <w:rPr>
          <w:rFonts w:ascii="Cambria" w:hAnsi="Cambria"/>
          <w:sz w:val="20"/>
          <w:szCs w:val="20"/>
          <w:lang w:val="es-ES"/>
        </w:rPr>
        <w:t xml:space="preserve">el Estado </w:t>
      </w:r>
      <w:r w:rsidR="00947C02" w:rsidRPr="00955F7A">
        <w:rPr>
          <w:rFonts w:ascii="Cambria" w:hAnsi="Cambria"/>
          <w:sz w:val="20"/>
          <w:szCs w:val="20"/>
          <w:lang w:val="es-ES"/>
        </w:rPr>
        <w:t>tiene la obligación de investigarlos</w:t>
      </w:r>
      <w:r w:rsidR="003D7FC5" w:rsidRPr="00955F7A">
        <w:rPr>
          <w:rFonts w:ascii="Cambria" w:hAnsi="Cambria"/>
          <w:sz w:val="20"/>
          <w:szCs w:val="20"/>
          <w:lang w:val="es-ES"/>
        </w:rPr>
        <w:t xml:space="preserve"> </w:t>
      </w:r>
      <w:r w:rsidR="003A7963" w:rsidRPr="00955F7A">
        <w:rPr>
          <w:rFonts w:ascii="Cambria" w:hAnsi="Cambria"/>
          <w:sz w:val="20"/>
          <w:szCs w:val="20"/>
          <w:lang w:val="es-ES"/>
        </w:rPr>
        <w:t>con diligencia</w:t>
      </w:r>
      <w:r w:rsidR="00B95180" w:rsidRPr="00955F7A">
        <w:rPr>
          <w:rFonts w:ascii="Cambria" w:hAnsi="Cambria"/>
          <w:sz w:val="20"/>
          <w:szCs w:val="20"/>
          <w:lang w:val="es-ES"/>
        </w:rPr>
        <w:t xml:space="preserve">. </w:t>
      </w:r>
      <w:r w:rsidR="00947C02" w:rsidRPr="00955F7A">
        <w:rPr>
          <w:rFonts w:ascii="Cambria" w:hAnsi="Cambria"/>
          <w:sz w:val="20"/>
          <w:szCs w:val="20"/>
          <w:lang w:val="es-ES"/>
        </w:rPr>
        <w:t xml:space="preserve">El Estado </w:t>
      </w:r>
      <w:r w:rsidR="003A7963" w:rsidRPr="00955F7A">
        <w:rPr>
          <w:rFonts w:ascii="Cambria" w:hAnsi="Cambria"/>
          <w:sz w:val="20"/>
          <w:szCs w:val="20"/>
          <w:lang w:val="es-ES"/>
        </w:rPr>
        <w:t xml:space="preserve">debe asumir esta carga </w:t>
      </w:r>
      <w:r w:rsidR="00947C02" w:rsidRPr="00955F7A">
        <w:rPr>
          <w:rFonts w:ascii="Cambria" w:hAnsi="Cambria"/>
          <w:sz w:val="20"/>
          <w:szCs w:val="20"/>
          <w:lang w:val="es-ES"/>
        </w:rPr>
        <w:t xml:space="preserve">como un deber jurídico propio, y no como una </w:t>
      </w:r>
      <w:r w:rsidR="004361B5" w:rsidRPr="00955F7A">
        <w:rPr>
          <w:rFonts w:ascii="Cambria" w:hAnsi="Cambria"/>
          <w:sz w:val="20"/>
          <w:szCs w:val="20"/>
          <w:lang w:val="es-ES"/>
        </w:rPr>
        <w:t xml:space="preserve">mera </w:t>
      </w:r>
      <w:r w:rsidR="00947C02" w:rsidRPr="00955F7A">
        <w:rPr>
          <w:rFonts w:ascii="Cambria" w:hAnsi="Cambria"/>
          <w:sz w:val="20"/>
          <w:szCs w:val="20"/>
          <w:lang w:val="es-ES"/>
        </w:rPr>
        <w:t xml:space="preserve">gestión de intereses de particulares que dependa de la iniciativa </w:t>
      </w:r>
      <w:r w:rsidR="004361B5" w:rsidRPr="00955F7A">
        <w:rPr>
          <w:rFonts w:ascii="Cambria" w:hAnsi="Cambria"/>
          <w:sz w:val="20"/>
          <w:szCs w:val="20"/>
          <w:lang w:val="es-ES"/>
        </w:rPr>
        <w:t xml:space="preserve">procesal de las presuntas víctimas </w:t>
      </w:r>
      <w:r w:rsidR="00947C02" w:rsidRPr="00955F7A">
        <w:rPr>
          <w:rFonts w:ascii="Cambria" w:hAnsi="Cambria"/>
          <w:sz w:val="20"/>
          <w:szCs w:val="20"/>
          <w:lang w:val="es-ES"/>
        </w:rPr>
        <w:t xml:space="preserve">o de </w:t>
      </w:r>
      <w:r w:rsidR="004361B5" w:rsidRPr="00955F7A">
        <w:rPr>
          <w:rFonts w:ascii="Cambria" w:hAnsi="Cambria"/>
          <w:sz w:val="20"/>
          <w:szCs w:val="20"/>
          <w:lang w:val="es-ES"/>
        </w:rPr>
        <w:t>su</w:t>
      </w:r>
      <w:r w:rsidR="00947C02" w:rsidRPr="00955F7A">
        <w:rPr>
          <w:rFonts w:ascii="Cambria" w:hAnsi="Cambria"/>
          <w:sz w:val="20"/>
          <w:szCs w:val="20"/>
          <w:lang w:val="es-ES"/>
        </w:rPr>
        <w:t xml:space="preserve"> aportación de pruebas</w:t>
      </w:r>
      <w:r w:rsidR="00B95180" w:rsidRPr="00955F7A">
        <w:rPr>
          <w:rFonts w:ascii="Cambria" w:hAnsi="Cambria"/>
          <w:sz w:val="20"/>
          <w:szCs w:val="20"/>
          <w:vertAlign w:val="superscript"/>
          <w:lang w:val="es-ES"/>
        </w:rPr>
        <w:footnoteReference w:id="5"/>
      </w:r>
      <w:r w:rsidR="00B95180" w:rsidRPr="00955F7A">
        <w:rPr>
          <w:rFonts w:ascii="Cambria" w:hAnsi="Cambria"/>
          <w:sz w:val="20"/>
          <w:szCs w:val="20"/>
          <w:lang w:val="es-ES"/>
        </w:rPr>
        <w:t>.</w:t>
      </w:r>
      <w:r w:rsidR="00CF2D93" w:rsidRPr="00955F7A">
        <w:rPr>
          <w:rFonts w:ascii="Cambria" w:hAnsi="Cambria"/>
          <w:sz w:val="20"/>
          <w:szCs w:val="20"/>
          <w:lang w:val="es-US"/>
        </w:rPr>
        <w:t xml:space="preserve"> En el presente caso, la Comisión observa que, en un primer momento, los testigos y la presunta víctima no fueron oídos durante las investigaciones y que no se hicieron las evaluaciones pertinentes respecto a los efectos del ataque en la presunta víctima y tampoco el lugar de su cuerpo que fue baleado, lo que permitiría evaluar sus declaraciones junto a la Defensoría Pública, sin que fueran considerada irrelevantes, como hecho. Eso, para la CIDH, demuestra que el Estado brasileño no investigó con diligencia los hechos, generando el primer archivamiento de la denuncia. </w:t>
      </w:r>
    </w:p>
    <w:p w14:paraId="24F3D4E3" w14:textId="77777777" w:rsidR="00CF2D93" w:rsidRPr="00955F7A" w:rsidRDefault="00CF2D93" w:rsidP="00CF2D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955F7A">
        <w:rPr>
          <w:rFonts w:ascii="Cambria" w:hAnsi="Cambria"/>
          <w:sz w:val="20"/>
          <w:szCs w:val="20"/>
          <w:lang w:val="es-US"/>
        </w:rPr>
        <w:t xml:space="preserve">Con </w:t>
      </w:r>
      <w:r w:rsidRPr="00955F7A">
        <w:rPr>
          <w:rFonts w:asciiTheme="majorHAnsi" w:hAnsiTheme="majorHAnsi"/>
          <w:sz w:val="20"/>
          <w:szCs w:val="20"/>
          <w:lang w:val="es-US"/>
        </w:rPr>
        <w:t xml:space="preserve">relación al segundo proceso, la Comisión toma nota de que los investigados eran agentes de policía y que las denuncias involucraban hechos de tortura. Sin embargo, las investigaciones fueron realizadas bajo la jurisdicción de la Policía Militar. </w:t>
      </w:r>
      <w:r w:rsidRPr="00955F7A">
        <w:rPr>
          <w:rFonts w:asciiTheme="majorHAnsi" w:hAnsiTheme="majorHAnsi" w:cs="Calibri"/>
          <w:sz w:val="20"/>
          <w:szCs w:val="20"/>
          <w:lang w:val="es-US"/>
        </w:rPr>
        <w:t xml:space="preserve">A respeto, la Comisión consolidó que </w:t>
      </w:r>
      <w:r w:rsidRPr="00955F7A">
        <w:rPr>
          <w:rFonts w:asciiTheme="majorHAnsi" w:hAnsiTheme="majorHAnsi" w:cs="Calibri"/>
          <w:sz w:val="20"/>
          <w:szCs w:val="20"/>
          <w:lang w:val="es-ES_tradnl"/>
        </w:rPr>
        <w:t>la jurisdicción militar no constituye un foro apropiado y por lo tanto no brinda un recurso adecuado para investigar, juzgar y sancionar las alegadas violaciones a los derechos humanos consagrados en la Convención Americana, presuntamente cometidas por miembros de la Fuerza Pública o con su colaboración o aquiescencia.</w:t>
      </w:r>
    </w:p>
    <w:p w14:paraId="4E2AD9BB" w14:textId="5066916B" w:rsidR="00D05F42" w:rsidRPr="00955F7A" w:rsidRDefault="00CF2D93" w:rsidP="00955F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955F7A">
        <w:rPr>
          <w:rFonts w:asciiTheme="majorHAnsi" w:hAnsiTheme="majorHAnsi" w:cs="Calibri"/>
          <w:sz w:val="20"/>
          <w:szCs w:val="20"/>
          <w:lang w:val="es-ES_tradnl"/>
        </w:rPr>
        <w:t xml:space="preserve">Asimismo, como indica la parte peticionaria, los policías involucrados en las violaciones a la presunta víctima no fueron denunciados por </w:t>
      </w:r>
      <w:r w:rsidR="00955F7A">
        <w:rPr>
          <w:rFonts w:asciiTheme="majorHAnsi" w:hAnsiTheme="majorHAnsi" w:cs="Calibri"/>
          <w:sz w:val="20"/>
          <w:szCs w:val="20"/>
          <w:lang w:val="es-ES_tradnl"/>
        </w:rPr>
        <w:t xml:space="preserve">hechos de tortura (objeto de la petición en examen) </w:t>
      </w:r>
      <w:r w:rsidRPr="00955F7A">
        <w:rPr>
          <w:rFonts w:asciiTheme="majorHAnsi" w:hAnsiTheme="majorHAnsi" w:cs="Calibri"/>
          <w:sz w:val="20"/>
          <w:szCs w:val="20"/>
          <w:lang w:val="es-ES_tradnl"/>
        </w:rPr>
        <w:t>sino que</w:t>
      </w:r>
      <w:r>
        <w:rPr>
          <w:rFonts w:asciiTheme="majorHAnsi" w:hAnsiTheme="majorHAnsi" w:cs="Calibri"/>
          <w:sz w:val="20"/>
          <w:szCs w:val="20"/>
          <w:lang w:val="es-ES_tradnl"/>
        </w:rPr>
        <w:t xml:space="preserve"> por la posible violación al derecho a la vida</w:t>
      </w:r>
      <w:r w:rsidR="00955F7A">
        <w:rPr>
          <w:rFonts w:asciiTheme="majorHAnsi" w:hAnsiTheme="majorHAnsi" w:cs="Calibri"/>
          <w:sz w:val="20"/>
          <w:szCs w:val="20"/>
          <w:lang w:val="es-ES_tradnl"/>
        </w:rPr>
        <w:t xml:space="preserve"> (homicidio intentado)</w:t>
      </w:r>
      <w:r>
        <w:rPr>
          <w:rFonts w:asciiTheme="majorHAnsi" w:hAnsiTheme="majorHAnsi" w:cs="Calibri"/>
          <w:sz w:val="20"/>
          <w:szCs w:val="20"/>
          <w:lang w:val="es-ES_tradnl"/>
        </w:rPr>
        <w:t>. Sobre el tema, la Comisión observa que, según la legislación brasileña,</w:t>
      </w:r>
      <w:r>
        <w:rPr>
          <w:rStyle w:val="FootnoteReference"/>
          <w:rFonts w:asciiTheme="majorHAnsi" w:hAnsiTheme="majorHAnsi" w:cs="Calibri"/>
          <w:sz w:val="20"/>
          <w:szCs w:val="20"/>
          <w:lang w:val="es-ES_tradnl"/>
        </w:rPr>
        <w:footnoteReference w:id="6"/>
      </w:r>
      <w:r>
        <w:rPr>
          <w:rFonts w:asciiTheme="majorHAnsi" w:hAnsiTheme="majorHAnsi" w:cs="Calibri"/>
          <w:sz w:val="20"/>
          <w:szCs w:val="20"/>
          <w:lang w:val="es-ES_tradnl"/>
        </w:rPr>
        <w:t xml:space="preserve"> las acciones penales que involucren tortura son de iniciativa privada, lo que no </w:t>
      </w:r>
      <w:r w:rsidR="00955F7A">
        <w:rPr>
          <w:rFonts w:asciiTheme="majorHAnsi" w:hAnsiTheme="majorHAnsi" w:cs="Calibri"/>
          <w:sz w:val="20"/>
          <w:szCs w:val="20"/>
          <w:lang w:val="es-ES_tradnl"/>
        </w:rPr>
        <w:t>permite</w:t>
      </w:r>
      <w:r>
        <w:rPr>
          <w:rFonts w:asciiTheme="majorHAnsi" w:hAnsiTheme="majorHAnsi" w:cs="Calibri"/>
          <w:sz w:val="20"/>
          <w:szCs w:val="20"/>
          <w:lang w:val="es-ES_tradnl"/>
        </w:rPr>
        <w:t xml:space="preserve"> ni a la presunta víctima, ni a la parte peticionaria ampliar la caracterización de la denuncia del Ministerio Público y tampoco </w:t>
      </w:r>
      <w:r w:rsidR="00955F7A">
        <w:rPr>
          <w:rFonts w:asciiTheme="majorHAnsi" w:hAnsiTheme="majorHAnsi" w:cs="Calibri"/>
          <w:sz w:val="20"/>
          <w:szCs w:val="20"/>
          <w:lang w:val="es-ES_tradnl"/>
        </w:rPr>
        <w:t xml:space="preserve">presentar denuncia sobre el crimen de </w:t>
      </w:r>
      <w:r w:rsidR="00955F7A" w:rsidRPr="00955F7A">
        <w:rPr>
          <w:rFonts w:asciiTheme="majorHAnsi" w:hAnsiTheme="majorHAnsi" w:cs="Calibri"/>
          <w:sz w:val="20"/>
          <w:szCs w:val="20"/>
          <w:lang w:val="es-ES_tradnl"/>
        </w:rPr>
        <w:t xml:space="preserve">tortura. </w:t>
      </w:r>
    </w:p>
    <w:p w14:paraId="19DBFF48" w14:textId="77777777" w:rsidR="009523B9" w:rsidRPr="00D05F42" w:rsidRDefault="009523B9" w:rsidP="009523B9">
      <w:pPr>
        <w:pStyle w:val="ListParagraph"/>
        <w:contextualSpacing/>
        <w:jc w:val="both"/>
        <w:rPr>
          <w:rFonts w:cs="Calibri"/>
          <w:sz w:val="20"/>
          <w:szCs w:val="20"/>
          <w:highlight w:val="cyan"/>
          <w:lang w:val="es-ES_tradnl"/>
        </w:rPr>
      </w:pPr>
    </w:p>
    <w:p w14:paraId="671C6AE2" w14:textId="1F3386C1" w:rsidR="00B95180" w:rsidRPr="001D1119" w:rsidRDefault="009B4C53" w:rsidP="00246C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D1119">
        <w:rPr>
          <w:rFonts w:ascii="Cambria" w:hAnsi="Cambria"/>
          <w:sz w:val="20"/>
          <w:szCs w:val="20"/>
          <w:lang w:val="es-ES"/>
        </w:rPr>
        <w:t>Además</w:t>
      </w:r>
      <w:r w:rsidR="00B95180" w:rsidRPr="001D1119">
        <w:rPr>
          <w:rFonts w:ascii="Cambria" w:hAnsi="Cambria"/>
          <w:sz w:val="20"/>
          <w:szCs w:val="20"/>
          <w:lang w:val="es-ES"/>
        </w:rPr>
        <w:t xml:space="preserve">, </w:t>
      </w:r>
      <w:r w:rsidR="00947C02" w:rsidRPr="001D1119">
        <w:rPr>
          <w:rFonts w:ascii="Cambria" w:hAnsi="Cambria"/>
          <w:sz w:val="20"/>
          <w:szCs w:val="20"/>
          <w:lang w:val="es-ES"/>
        </w:rPr>
        <w:t>l</w:t>
      </w:r>
      <w:r w:rsidR="00246C37" w:rsidRPr="001D1119">
        <w:rPr>
          <w:rFonts w:ascii="Cambria" w:hAnsi="Cambria"/>
          <w:sz w:val="20"/>
          <w:szCs w:val="20"/>
          <w:lang w:val="es-ES"/>
        </w:rPr>
        <w:t xml:space="preserve">a </w:t>
      </w:r>
      <w:r w:rsidR="001A5D84" w:rsidRPr="001D1119">
        <w:rPr>
          <w:rFonts w:ascii="Cambria" w:hAnsi="Cambria"/>
          <w:sz w:val="20"/>
          <w:szCs w:val="20"/>
          <w:lang w:val="es-ES"/>
        </w:rPr>
        <w:t>Comisión</w:t>
      </w:r>
      <w:r w:rsidR="00246C37" w:rsidRPr="001D1119">
        <w:rPr>
          <w:rFonts w:ascii="Cambria" w:hAnsi="Cambria"/>
          <w:sz w:val="20"/>
          <w:szCs w:val="20"/>
          <w:lang w:val="es-ES"/>
        </w:rPr>
        <w:t xml:space="preserve"> observa </w:t>
      </w:r>
      <w:r w:rsidR="00947C02" w:rsidRPr="001D1119">
        <w:rPr>
          <w:rFonts w:ascii="Cambria" w:hAnsi="Cambria"/>
          <w:sz w:val="20"/>
          <w:szCs w:val="20"/>
          <w:lang w:val="es-ES"/>
        </w:rPr>
        <w:t>que, en situaciones</w:t>
      </w:r>
      <w:r w:rsidR="00246C37" w:rsidRPr="001D1119">
        <w:rPr>
          <w:rFonts w:ascii="Cambria" w:hAnsi="Cambria"/>
          <w:sz w:val="20"/>
          <w:szCs w:val="20"/>
          <w:lang w:val="es-ES"/>
        </w:rPr>
        <w:t xml:space="preserve"> </w:t>
      </w:r>
      <w:r w:rsidR="000707AE" w:rsidRPr="001D1119">
        <w:rPr>
          <w:rFonts w:ascii="Cambria" w:hAnsi="Cambria"/>
          <w:sz w:val="20"/>
          <w:szCs w:val="20"/>
          <w:lang w:val="es-ES"/>
        </w:rPr>
        <w:t xml:space="preserve">vinculadas a </w:t>
      </w:r>
      <w:r w:rsidR="00947C02" w:rsidRPr="001D1119">
        <w:rPr>
          <w:rFonts w:ascii="Cambria" w:hAnsi="Cambria"/>
          <w:sz w:val="20"/>
          <w:szCs w:val="20"/>
          <w:lang w:val="es-ES"/>
        </w:rPr>
        <w:t>delitos contra la vida y la integridad</w:t>
      </w:r>
      <w:r w:rsidR="00246C37" w:rsidRPr="001D1119">
        <w:rPr>
          <w:rFonts w:ascii="Cambria" w:hAnsi="Cambria"/>
          <w:sz w:val="20"/>
          <w:szCs w:val="20"/>
          <w:lang w:val="es-ES"/>
        </w:rPr>
        <w:t xml:space="preserve">, como </w:t>
      </w:r>
      <w:r w:rsidR="000707AE" w:rsidRPr="001D1119">
        <w:rPr>
          <w:rFonts w:ascii="Cambria" w:hAnsi="Cambria"/>
          <w:sz w:val="20"/>
          <w:szCs w:val="20"/>
          <w:lang w:val="es-ES"/>
        </w:rPr>
        <w:t>l</w:t>
      </w:r>
      <w:r w:rsidR="00246C37" w:rsidRPr="001D1119">
        <w:rPr>
          <w:rFonts w:ascii="Cambria" w:hAnsi="Cambria"/>
          <w:sz w:val="20"/>
          <w:szCs w:val="20"/>
          <w:lang w:val="es-ES"/>
        </w:rPr>
        <w:t xml:space="preserve">a </w:t>
      </w:r>
      <w:r w:rsidR="000707AE" w:rsidRPr="001D1119">
        <w:rPr>
          <w:rFonts w:ascii="Cambria" w:hAnsi="Cambria"/>
          <w:sz w:val="20"/>
          <w:szCs w:val="20"/>
          <w:lang w:val="es-ES"/>
        </w:rPr>
        <w:t>relatada</w:t>
      </w:r>
      <w:r w:rsidR="00246C37" w:rsidRPr="001D1119">
        <w:rPr>
          <w:rFonts w:ascii="Cambria" w:hAnsi="Cambria"/>
          <w:sz w:val="20"/>
          <w:szCs w:val="20"/>
          <w:lang w:val="es-ES"/>
        </w:rPr>
        <w:t xml:space="preserve"> </w:t>
      </w:r>
      <w:r w:rsidR="000707AE" w:rsidRPr="001D1119">
        <w:rPr>
          <w:rFonts w:ascii="Cambria" w:hAnsi="Cambria"/>
          <w:sz w:val="20"/>
          <w:szCs w:val="20"/>
          <w:lang w:val="es-ES"/>
        </w:rPr>
        <w:t>e</w:t>
      </w:r>
      <w:r w:rsidR="00246C37" w:rsidRPr="001D1119">
        <w:rPr>
          <w:rFonts w:ascii="Cambria" w:hAnsi="Cambria"/>
          <w:sz w:val="20"/>
          <w:szCs w:val="20"/>
          <w:lang w:val="es-ES"/>
        </w:rPr>
        <w:t>n</w:t>
      </w:r>
      <w:r w:rsidR="000707AE" w:rsidRPr="001D1119">
        <w:rPr>
          <w:rFonts w:ascii="Cambria" w:hAnsi="Cambria"/>
          <w:sz w:val="20"/>
          <w:szCs w:val="20"/>
          <w:lang w:val="es-ES"/>
        </w:rPr>
        <w:t xml:space="preserve"> l</w:t>
      </w:r>
      <w:r w:rsidR="00246C37" w:rsidRPr="001D1119">
        <w:rPr>
          <w:rFonts w:ascii="Cambria" w:hAnsi="Cambria"/>
          <w:sz w:val="20"/>
          <w:szCs w:val="20"/>
          <w:lang w:val="es-ES"/>
        </w:rPr>
        <w:t xml:space="preserve">a presente </w:t>
      </w:r>
      <w:r w:rsidR="00947C02" w:rsidRPr="001D1119">
        <w:rPr>
          <w:rFonts w:ascii="Cambria" w:hAnsi="Cambria"/>
          <w:sz w:val="20"/>
          <w:szCs w:val="20"/>
          <w:lang w:val="es-ES"/>
        </w:rPr>
        <w:t>petición</w:t>
      </w:r>
      <w:r w:rsidR="00246C37" w:rsidRPr="001D1119">
        <w:rPr>
          <w:rFonts w:ascii="Cambria" w:hAnsi="Cambria"/>
          <w:sz w:val="20"/>
          <w:szCs w:val="20"/>
          <w:lang w:val="es-ES"/>
        </w:rPr>
        <w:t xml:space="preserve">, </w:t>
      </w:r>
      <w:r w:rsidR="00947C02" w:rsidRPr="001D1119">
        <w:rPr>
          <w:rFonts w:ascii="Cambria" w:hAnsi="Cambria"/>
          <w:sz w:val="20"/>
          <w:szCs w:val="20"/>
          <w:lang w:val="es-ES"/>
        </w:rPr>
        <w:t>los recursos internos que deben tomarse en cuenta a los efectos de la admisibilidad de las peticiones son los relacionados con la investigación penal y la sanción de los responsables</w:t>
      </w:r>
      <w:r w:rsidR="00246C37" w:rsidRPr="001D1119">
        <w:rPr>
          <w:rStyle w:val="FootnoteReference"/>
          <w:rFonts w:ascii="Cambria" w:hAnsi="Cambria" w:cs="Calibri"/>
          <w:sz w:val="20"/>
          <w:szCs w:val="20"/>
          <w:lang w:val="es-ES"/>
        </w:rPr>
        <w:footnoteReference w:id="7"/>
      </w:r>
      <w:r w:rsidR="00246C37" w:rsidRPr="001D1119">
        <w:rPr>
          <w:rFonts w:ascii="Cambria" w:hAnsi="Cambria" w:cs="Calibri"/>
          <w:sz w:val="20"/>
          <w:szCs w:val="20"/>
          <w:lang w:val="es-ES"/>
        </w:rPr>
        <w:t xml:space="preserve">. </w:t>
      </w:r>
      <w:r w:rsidR="004361B5" w:rsidRPr="001D1119">
        <w:rPr>
          <w:rFonts w:ascii="Cambria" w:hAnsi="Cambria" w:cs="Calibri"/>
          <w:sz w:val="20"/>
          <w:szCs w:val="20"/>
          <w:lang w:val="es-ES"/>
        </w:rPr>
        <w:t>Por consiguiente</w:t>
      </w:r>
      <w:r w:rsidR="00246C37" w:rsidRPr="001D1119">
        <w:rPr>
          <w:rFonts w:ascii="Cambria" w:hAnsi="Cambria" w:cs="Calibri"/>
          <w:sz w:val="20"/>
          <w:szCs w:val="20"/>
          <w:lang w:val="es-ES"/>
        </w:rPr>
        <w:t xml:space="preserve">, </w:t>
      </w:r>
      <w:r w:rsidR="000707AE" w:rsidRPr="001D1119">
        <w:rPr>
          <w:rFonts w:ascii="Cambria" w:hAnsi="Cambria" w:cs="Calibri"/>
          <w:sz w:val="20"/>
          <w:szCs w:val="20"/>
          <w:lang w:val="es-ES"/>
        </w:rPr>
        <w:t xml:space="preserve">en lo que se refiere a la </w:t>
      </w:r>
      <w:r w:rsidR="00246C37" w:rsidRPr="001D1119">
        <w:rPr>
          <w:rFonts w:ascii="Cambria" w:hAnsi="Cambria"/>
          <w:sz w:val="20"/>
          <w:szCs w:val="20"/>
          <w:lang w:val="es-ES"/>
        </w:rPr>
        <w:t xml:space="preserve">necesidad de </w:t>
      </w:r>
      <w:r w:rsidR="000707AE" w:rsidRPr="001D1119">
        <w:rPr>
          <w:rFonts w:ascii="Cambria" w:hAnsi="Cambria"/>
          <w:sz w:val="20"/>
          <w:szCs w:val="20"/>
          <w:lang w:val="es-ES"/>
        </w:rPr>
        <w:t>a</w:t>
      </w:r>
      <w:r w:rsidR="00246C37" w:rsidRPr="001D1119">
        <w:rPr>
          <w:rFonts w:ascii="Cambria" w:hAnsi="Cambria"/>
          <w:sz w:val="20"/>
          <w:szCs w:val="20"/>
          <w:lang w:val="es-ES"/>
        </w:rPr>
        <w:t xml:space="preserve">gotar </w:t>
      </w:r>
      <w:r w:rsidR="000707AE" w:rsidRPr="001D1119">
        <w:rPr>
          <w:rFonts w:ascii="Cambria" w:hAnsi="Cambria"/>
          <w:sz w:val="20"/>
          <w:szCs w:val="20"/>
          <w:lang w:val="es-ES"/>
        </w:rPr>
        <w:t>l</w:t>
      </w:r>
      <w:r w:rsidR="00246C37" w:rsidRPr="001D1119">
        <w:rPr>
          <w:rFonts w:ascii="Cambria" w:hAnsi="Cambria"/>
          <w:sz w:val="20"/>
          <w:szCs w:val="20"/>
          <w:lang w:val="es-ES"/>
        </w:rPr>
        <w:t xml:space="preserve">os recursos internos </w:t>
      </w:r>
      <w:r w:rsidR="000707AE" w:rsidRPr="001D1119">
        <w:rPr>
          <w:rFonts w:ascii="Cambria" w:hAnsi="Cambria"/>
          <w:sz w:val="20"/>
          <w:szCs w:val="20"/>
          <w:lang w:val="es-ES"/>
        </w:rPr>
        <w:t xml:space="preserve">con respecto a la </w:t>
      </w:r>
      <w:r w:rsidR="00540850" w:rsidRPr="001D1119">
        <w:rPr>
          <w:rFonts w:ascii="Cambria" w:hAnsi="Cambria"/>
          <w:sz w:val="20"/>
          <w:szCs w:val="20"/>
          <w:lang w:val="es-ES"/>
        </w:rPr>
        <w:t>reparación</w:t>
      </w:r>
      <w:r w:rsidR="00246C37" w:rsidRPr="001D1119">
        <w:rPr>
          <w:rFonts w:ascii="Cambria" w:hAnsi="Cambria"/>
          <w:sz w:val="20"/>
          <w:szCs w:val="20"/>
          <w:lang w:val="es-ES"/>
        </w:rPr>
        <w:t xml:space="preserve"> civil e</w:t>
      </w:r>
      <w:r w:rsidR="000707AE" w:rsidRPr="001D1119">
        <w:rPr>
          <w:rFonts w:ascii="Cambria" w:hAnsi="Cambria"/>
          <w:sz w:val="20"/>
          <w:szCs w:val="20"/>
          <w:lang w:val="es-ES"/>
        </w:rPr>
        <w:t>n</w:t>
      </w:r>
      <w:r w:rsidR="00246C37" w:rsidRPr="001D1119">
        <w:rPr>
          <w:rFonts w:ascii="Cambria" w:hAnsi="Cambria"/>
          <w:sz w:val="20"/>
          <w:szCs w:val="20"/>
          <w:lang w:val="es-ES"/>
        </w:rPr>
        <w:t xml:space="preserve"> casos de graves viola</w:t>
      </w:r>
      <w:r w:rsidR="000707AE" w:rsidRPr="001D1119">
        <w:rPr>
          <w:rFonts w:ascii="Cambria" w:hAnsi="Cambria"/>
          <w:sz w:val="20"/>
          <w:szCs w:val="20"/>
          <w:lang w:val="es-ES"/>
        </w:rPr>
        <w:t>ciones</w:t>
      </w:r>
      <w:r w:rsidR="00246C37" w:rsidRPr="001D1119">
        <w:rPr>
          <w:rFonts w:ascii="Cambria" w:hAnsi="Cambria"/>
          <w:sz w:val="20"/>
          <w:szCs w:val="20"/>
          <w:lang w:val="es-ES"/>
        </w:rPr>
        <w:t xml:space="preserve"> de </w:t>
      </w:r>
      <w:r w:rsidR="00BB2DCA" w:rsidRPr="001D1119">
        <w:rPr>
          <w:rFonts w:ascii="Cambria" w:hAnsi="Cambria"/>
          <w:sz w:val="20"/>
          <w:szCs w:val="20"/>
          <w:lang w:val="es-ES"/>
        </w:rPr>
        <w:t>derechos</w:t>
      </w:r>
      <w:r w:rsidR="00246C37" w:rsidRPr="001D1119">
        <w:rPr>
          <w:rFonts w:ascii="Cambria" w:hAnsi="Cambria"/>
          <w:sz w:val="20"/>
          <w:szCs w:val="20"/>
          <w:lang w:val="es-ES"/>
        </w:rPr>
        <w:t xml:space="preserve"> humanos, </w:t>
      </w:r>
      <w:r w:rsidR="000707AE" w:rsidRPr="001D1119">
        <w:rPr>
          <w:rFonts w:ascii="Cambria" w:hAnsi="Cambria"/>
          <w:sz w:val="20"/>
          <w:szCs w:val="20"/>
          <w:lang w:val="es-ES"/>
        </w:rPr>
        <w:t>l</w:t>
      </w:r>
      <w:r w:rsidR="00246C37" w:rsidRPr="001D1119">
        <w:rPr>
          <w:rFonts w:ascii="Cambria" w:hAnsi="Cambria"/>
          <w:sz w:val="20"/>
          <w:szCs w:val="20"/>
          <w:lang w:val="es-ES"/>
        </w:rPr>
        <w:t xml:space="preserve">as </w:t>
      </w:r>
      <w:r w:rsidR="00947C02" w:rsidRPr="001D1119">
        <w:rPr>
          <w:rFonts w:ascii="Cambria" w:hAnsi="Cambria"/>
          <w:sz w:val="20"/>
          <w:szCs w:val="20"/>
          <w:lang w:val="es-ES"/>
        </w:rPr>
        <w:t>presuntas víctimas</w:t>
      </w:r>
      <w:r w:rsidR="00246C37" w:rsidRPr="001D1119">
        <w:rPr>
          <w:rFonts w:ascii="Cambria" w:hAnsi="Cambria"/>
          <w:sz w:val="20"/>
          <w:szCs w:val="20"/>
          <w:lang w:val="es-ES"/>
        </w:rPr>
        <w:t xml:space="preserve"> no necesita</w:t>
      </w:r>
      <w:r w:rsidR="000707AE" w:rsidRPr="001D1119">
        <w:rPr>
          <w:rFonts w:ascii="Cambria" w:hAnsi="Cambria"/>
          <w:sz w:val="20"/>
          <w:szCs w:val="20"/>
          <w:lang w:val="es-ES"/>
        </w:rPr>
        <w:t>n</w:t>
      </w:r>
      <w:r w:rsidR="00246C37" w:rsidRPr="001D1119">
        <w:rPr>
          <w:rFonts w:ascii="Cambria" w:hAnsi="Cambria"/>
          <w:sz w:val="20"/>
          <w:szCs w:val="20"/>
          <w:lang w:val="es-ES"/>
        </w:rPr>
        <w:t xml:space="preserve"> acudir </w:t>
      </w:r>
      <w:r w:rsidR="000707AE" w:rsidRPr="001D1119">
        <w:rPr>
          <w:rFonts w:ascii="Cambria" w:hAnsi="Cambria"/>
          <w:sz w:val="20"/>
          <w:szCs w:val="20"/>
          <w:lang w:val="es-ES"/>
        </w:rPr>
        <w:t>a la</w:t>
      </w:r>
      <w:r w:rsidR="00246C37" w:rsidRPr="001D1119">
        <w:rPr>
          <w:rFonts w:ascii="Cambria" w:hAnsi="Cambria"/>
          <w:sz w:val="20"/>
          <w:szCs w:val="20"/>
          <w:lang w:val="es-ES"/>
        </w:rPr>
        <w:t xml:space="preserve"> esfera civil e</w:t>
      </w:r>
      <w:r w:rsidR="000707AE" w:rsidRPr="001D1119">
        <w:rPr>
          <w:rFonts w:ascii="Cambria" w:hAnsi="Cambria"/>
          <w:sz w:val="20"/>
          <w:szCs w:val="20"/>
          <w:lang w:val="es-ES"/>
        </w:rPr>
        <w:t>n</w:t>
      </w:r>
      <w:r w:rsidR="00246C37" w:rsidRPr="001D1119">
        <w:rPr>
          <w:rFonts w:ascii="Cambria" w:hAnsi="Cambria"/>
          <w:sz w:val="20"/>
          <w:szCs w:val="20"/>
          <w:lang w:val="es-ES"/>
        </w:rPr>
        <w:t xml:space="preserve"> busca de </w:t>
      </w:r>
      <w:r w:rsidR="00540850" w:rsidRPr="001D1119">
        <w:rPr>
          <w:rFonts w:ascii="Cambria" w:hAnsi="Cambria"/>
          <w:sz w:val="20"/>
          <w:szCs w:val="20"/>
          <w:lang w:val="es-ES"/>
        </w:rPr>
        <w:t>reparación</w:t>
      </w:r>
      <w:r w:rsidR="00246C37" w:rsidRPr="001D1119">
        <w:rPr>
          <w:rFonts w:ascii="Cambria" w:hAnsi="Cambria"/>
          <w:sz w:val="20"/>
          <w:szCs w:val="20"/>
          <w:lang w:val="es-ES"/>
        </w:rPr>
        <w:t xml:space="preserve"> antes de </w:t>
      </w:r>
      <w:r w:rsidR="004361B5" w:rsidRPr="001D1119">
        <w:rPr>
          <w:rFonts w:ascii="Cambria" w:hAnsi="Cambria"/>
          <w:sz w:val="20"/>
          <w:szCs w:val="20"/>
          <w:lang w:val="es-ES"/>
        </w:rPr>
        <w:t>re</w:t>
      </w:r>
      <w:r w:rsidR="000707AE" w:rsidRPr="001D1119">
        <w:rPr>
          <w:rFonts w:ascii="Cambria" w:hAnsi="Cambria"/>
          <w:sz w:val="20"/>
          <w:szCs w:val="20"/>
          <w:lang w:val="es-ES"/>
        </w:rPr>
        <w:t>cu</w:t>
      </w:r>
      <w:r w:rsidR="004361B5" w:rsidRPr="001D1119">
        <w:rPr>
          <w:rFonts w:ascii="Cambria" w:hAnsi="Cambria"/>
          <w:sz w:val="20"/>
          <w:szCs w:val="20"/>
          <w:lang w:val="es-ES"/>
        </w:rPr>
        <w:t>rr</w:t>
      </w:r>
      <w:r w:rsidR="000707AE" w:rsidRPr="001D1119">
        <w:rPr>
          <w:rFonts w:ascii="Cambria" w:hAnsi="Cambria"/>
          <w:sz w:val="20"/>
          <w:szCs w:val="20"/>
          <w:lang w:val="es-ES"/>
        </w:rPr>
        <w:t xml:space="preserve">ir al </w:t>
      </w:r>
      <w:r w:rsidR="00246C37" w:rsidRPr="001D1119">
        <w:rPr>
          <w:rFonts w:ascii="Cambria" w:hAnsi="Cambria"/>
          <w:sz w:val="20"/>
          <w:szCs w:val="20"/>
          <w:lang w:val="es-ES"/>
        </w:rPr>
        <w:t xml:space="preserve">sistema interamericano, </w:t>
      </w:r>
      <w:r w:rsidR="000707AE" w:rsidRPr="001D1119">
        <w:rPr>
          <w:rFonts w:ascii="Cambria" w:hAnsi="Cambria"/>
          <w:sz w:val="20"/>
          <w:szCs w:val="20"/>
          <w:lang w:val="es-ES"/>
        </w:rPr>
        <w:t xml:space="preserve">en vista de que un recurso de ese tipo no respondería al </w:t>
      </w:r>
      <w:r w:rsidR="00246C37" w:rsidRPr="001D1119">
        <w:rPr>
          <w:rFonts w:ascii="Cambria" w:hAnsi="Cambria"/>
          <w:sz w:val="20"/>
          <w:szCs w:val="20"/>
          <w:lang w:val="es-ES"/>
        </w:rPr>
        <w:t>pedido principal d</w:t>
      </w:r>
      <w:r w:rsidR="000707AE" w:rsidRPr="001D1119">
        <w:rPr>
          <w:rFonts w:ascii="Cambria" w:hAnsi="Cambria"/>
          <w:sz w:val="20"/>
          <w:szCs w:val="20"/>
          <w:lang w:val="es-ES"/>
        </w:rPr>
        <w:t>e la</w:t>
      </w:r>
      <w:r w:rsidR="00246C37" w:rsidRPr="001D1119">
        <w:rPr>
          <w:rFonts w:ascii="Cambria" w:hAnsi="Cambria"/>
          <w:sz w:val="20"/>
          <w:szCs w:val="20"/>
          <w:lang w:val="es-ES"/>
        </w:rPr>
        <w:t xml:space="preserve"> </w:t>
      </w:r>
      <w:r w:rsidR="00947C02" w:rsidRPr="001D1119">
        <w:rPr>
          <w:rFonts w:ascii="Cambria" w:hAnsi="Cambria"/>
          <w:sz w:val="20"/>
          <w:szCs w:val="20"/>
          <w:lang w:val="es-ES"/>
        </w:rPr>
        <w:t>petición</w:t>
      </w:r>
      <w:r w:rsidR="00246C37" w:rsidRPr="001D1119">
        <w:rPr>
          <w:rStyle w:val="FootnoteReference"/>
          <w:rFonts w:ascii="Cambria" w:hAnsi="Cambria"/>
          <w:sz w:val="20"/>
          <w:szCs w:val="20"/>
          <w:lang w:val="es-ES"/>
        </w:rPr>
        <w:footnoteReference w:id="8"/>
      </w:r>
      <w:r w:rsidR="00246C37" w:rsidRPr="001D1119">
        <w:rPr>
          <w:rFonts w:ascii="Cambria" w:hAnsi="Cambria"/>
          <w:sz w:val="20"/>
          <w:szCs w:val="20"/>
          <w:lang w:val="es-ES"/>
        </w:rPr>
        <w:t>.</w:t>
      </w:r>
      <w:r w:rsidR="00955F7A" w:rsidRPr="001D1119">
        <w:rPr>
          <w:rFonts w:ascii="Cambria" w:hAnsi="Cambria"/>
          <w:sz w:val="20"/>
          <w:szCs w:val="20"/>
          <w:lang w:val="es-ES"/>
        </w:rPr>
        <w:t xml:space="preserve"> </w:t>
      </w:r>
    </w:p>
    <w:p w14:paraId="3E129AE7" w14:textId="77777777" w:rsidR="001D1119" w:rsidRPr="001D1119" w:rsidRDefault="001D1119" w:rsidP="00246C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US"/>
        </w:rPr>
      </w:pPr>
      <w:r w:rsidRPr="001D1119">
        <w:rPr>
          <w:rFonts w:ascii="Cambria" w:hAnsi="Cambria" w:cs="Calibri"/>
          <w:sz w:val="20"/>
          <w:szCs w:val="20"/>
          <w:lang w:val="es-ES_tradnl"/>
        </w:rPr>
        <w:t>Respecto al cuestionamiento del Estado sobre el hecho que el agotamiento se produjo con posterioridad a la presentación de la petición, la CIDH reitera su posición constante según la cual la situación que debe tenerse en cuenta para establecer si se han agotado los recursos de la jurisdicción interna es aquella existente al decidir sobre la admisibilidad.</w:t>
      </w:r>
    </w:p>
    <w:p w14:paraId="06C1EFAD" w14:textId="0C71650F" w:rsidR="001777EC" w:rsidRPr="009B4C53" w:rsidRDefault="000707AE" w:rsidP="00177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todo lo expuesto, l</w:t>
      </w:r>
      <w:r w:rsidR="001777EC" w:rsidRPr="009B4C53">
        <w:rPr>
          <w:rFonts w:ascii="Cambria" w:hAnsi="Cambria"/>
          <w:sz w:val="20"/>
          <w:szCs w:val="20"/>
          <w:lang w:val="es-ES"/>
        </w:rPr>
        <w:t xml:space="preserve">a </w:t>
      </w:r>
      <w:r w:rsidR="001A5D84" w:rsidRPr="009B4C53">
        <w:rPr>
          <w:rFonts w:ascii="Cambria" w:hAnsi="Cambria"/>
          <w:sz w:val="20"/>
          <w:szCs w:val="20"/>
          <w:lang w:val="es-ES"/>
        </w:rPr>
        <w:t>Comisión</w:t>
      </w:r>
      <w:r w:rsidR="001777EC" w:rsidRPr="009B4C53">
        <w:rPr>
          <w:rFonts w:ascii="Cambria" w:hAnsi="Cambria"/>
          <w:sz w:val="20"/>
          <w:szCs w:val="20"/>
          <w:lang w:val="es-ES"/>
        </w:rPr>
        <w:t xml:space="preserve"> considera </w:t>
      </w:r>
      <w:r>
        <w:rPr>
          <w:rFonts w:ascii="Cambria" w:hAnsi="Cambria"/>
          <w:sz w:val="20"/>
          <w:szCs w:val="20"/>
          <w:lang w:val="es-ES"/>
        </w:rPr>
        <w:t>que se han cumplido los</w:t>
      </w:r>
      <w:r w:rsidR="001777EC" w:rsidRPr="009B4C53">
        <w:rPr>
          <w:rFonts w:ascii="Cambria" w:hAnsi="Cambria"/>
          <w:sz w:val="20"/>
          <w:szCs w:val="20"/>
          <w:lang w:val="es-ES"/>
        </w:rPr>
        <w:t xml:space="preserve"> requisitos </w:t>
      </w:r>
      <w:r>
        <w:rPr>
          <w:rFonts w:ascii="Cambria" w:hAnsi="Cambria"/>
          <w:sz w:val="20"/>
          <w:szCs w:val="20"/>
          <w:lang w:val="es-ES"/>
        </w:rPr>
        <w:t xml:space="preserve">del artículo </w:t>
      </w:r>
      <w:r w:rsidR="001777EC" w:rsidRPr="009B4C53">
        <w:rPr>
          <w:rFonts w:ascii="Cambria" w:hAnsi="Cambria"/>
          <w:sz w:val="20"/>
          <w:szCs w:val="20"/>
          <w:lang w:val="es-ES"/>
        </w:rPr>
        <w:t>46.1 d</w:t>
      </w:r>
      <w:r>
        <w:rPr>
          <w:rFonts w:ascii="Cambria" w:hAnsi="Cambria"/>
          <w:sz w:val="20"/>
          <w:szCs w:val="20"/>
          <w:lang w:val="es-ES"/>
        </w:rPr>
        <w:t>e l</w:t>
      </w:r>
      <w:r w:rsidR="001777EC" w:rsidRPr="009B4C53">
        <w:rPr>
          <w:rFonts w:ascii="Cambria" w:hAnsi="Cambria"/>
          <w:sz w:val="20"/>
          <w:szCs w:val="20"/>
          <w:lang w:val="es-ES"/>
        </w:rPr>
        <w:t xml:space="preserve">a </w:t>
      </w:r>
      <w:r w:rsidR="001A5D84" w:rsidRPr="009B4C53">
        <w:rPr>
          <w:rFonts w:ascii="Cambria" w:hAnsi="Cambria"/>
          <w:sz w:val="20"/>
          <w:szCs w:val="20"/>
          <w:lang w:val="es-ES"/>
        </w:rPr>
        <w:t>Convención</w:t>
      </w:r>
      <w:r w:rsidR="001777EC" w:rsidRPr="009B4C53">
        <w:rPr>
          <w:rFonts w:ascii="Cambria" w:hAnsi="Cambria"/>
          <w:sz w:val="20"/>
          <w:szCs w:val="20"/>
          <w:lang w:val="es-ES"/>
        </w:rPr>
        <w:t xml:space="preserve"> Americana, </w:t>
      </w:r>
      <w:r>
        <w:rPr>
          <w:rFonts w:ascii="Cambria" w:hAnsi="Cambria"/>
          <w:sz w:val="20"/>
          <w:szCs w:val="20"/>
          <w:lang w:val="es-ES"/>
        </w:rPr>
        <w:t xml:space="preserve">en vista de que la parte peticionaria </w:t>
      </w:r>
      <w:r w:rsidR="001A5D84" w:rsidRPr="009B4C53">
        <w:rPr>
          <w:rFonts w:ascii="Cambria" w:hAnsi="Cambria"/>
          <w:sz w:val="20"/>
          <w:szCs w:val="20"/>
          <w:lang w:val="es-ES"/>
        </w:rPr>
        <w:t>agot</w:t>
      </w:r>
      <w:r>
        <w:rPr>
          <w:rFonts w:ascii="Cambria" w:hAnsi="Cambria"/>
          <w:sz w:val="20"/>
          <w:szCs w:val="20"/>
          <w:lang w:val="es-ES"/>
        </w:rPr>
        <w:t xml:space="preserve">ó </w:t>
      </w:r>
      <w:r w:rsidR="001A5D84" w:rsidRPr="009B4C53">
        <w:rPr>
          <w:rFonts w:ascii="Cambria" w:hAnsi="Cambria"/>
          <w:sz w:val="20"/>
          <w:szCs w:val="20"/>
          <w:lang w:val="es-ES"/>
        </w:rPr>
        <w:t>los recursos internos</w:t>
      </w:r>
      <w:r w:rsidR="001777EC" w:rsidRPr="009B4C53">
        <w:rPr>
          <w:rFonts w:ascii="Cambria" w:hAnsi="Cambria"/>
          <w:sz w:val="20"/>
          <w:szCs w:val="20"/>
          <w:lang w:val="es-ES"/>
        </w:rPr>
        <w:t xml:space="preserve"> </w:t>
      </w:r>
      <w:r>
        <w:rPr>
          <w:rFonts w:ascii="Cambria" w:hAnsi="Cambria"/>
          <w:sz w:val="20"/>
          <w:szCs w:val="20"/>
          <w:lang w:val="es-ES"/>
        </w:rPr>
        <w:t xml:space="preserve">y presentó la petición dentro del plazo </w:t>
      </w:r>
      <w:r w:rsidR="001777EC" w:rsidRPr="009B4C53">
        <w:rPr>
          <w:rFonts w:ascii="Cambria" w:hAnsi="Cambria"/>
          <w:sz w:val="20"/>
          <w:szCs w:val="20"/>
          <w:lang w:val="es-ES"/>
        </w:rPr>
        <w:t>de seis meses. Sobre est</w:t>
      </w:r>
      <w:r>
        <w:rPr>
          <w:rFonts w:ascii="Cambria" w:hAnsi="Cambria"/>
          <w:sz w:val="20"/>
          <w:szCs w:val="20"/>
          <w:lang w:val="es-ES"/>
        </w:rPr>
        <w:t>o</w:t>
      </w:r>
      <w:r w:rsidR="001777EC" w:rsidRPr="009B4C53">
        <w:rPr>
          <w:rFonts w:ascii="Cambria" w:hAnsi="Cambria"/>
          <w:sz w:val="20"/>
          <w:szCs w:val="20"/>
          <w:lang w:val="es-ES"/>
        </w:rPr>
        <w:t xml:space="preserve"> último, </w:t>
      </w:r>
      <w:r>
        <w:rPr>
          <w:rFonts w:ascii="Cambria" w:hAnsi="Cambria"/>
          <w:sz w:val="20"/>
          <w:szCs w:val="20"/>
          <w:lang w:val="es-ES"/>
        </w:rPr>
        <w:t>l</w:t>
      </w:r>
      <w:r w:rsidR="001777EC" w:rsidRPr="009B4C53">
        <w:rPr>
          <w:rFonts w:ascii="Cambria" w:hAnsi="Cambria"/>
          <w:sz w:val="20"/>
          <w:szCs w:val="20"/>
          <w:lang w:val="es-ES"/>
        </w:rPr>
        <w:t xml:space="preserve">a </w:t>
      </w:r>
      <w:r w:rsidR="001A5D84" w:rsidRPr="009B4C53">
        <w:rPr>
          <w:rFonts w:ascii="Cambria" w:hAnsi="Cambria"/>
          <w:sz w:val="20"/>
          <w:szCs w:val="20"/>
          <w:lang w:val="es-ES"/>
        </w:rPr>
        <w:t>Comisión</w:t>
      </w:r>
      <w:r w:rsidR="001777EC" w:rsidRPr="009B4C53">
        <w:rPr>
          <w:rFonts w:ascii="Cambria" w:hAnsi="Cambria"/>
          <w:sz w:val="20"/>
          <w:szCs w:val="20"/>
          <w:lang w:val="es-ES"/>
        </w:rPr>
        <w:t xml:space="preserve"> reitera su</w:t>
      </w:r>
      <w:r>
        <w:rPr>
          <w:rFonts w:ascii="Cambria" w:hAnsi="Cambria"/>
          <w:sz w:val="20"/>
          <w:szCs w:val="20"/>
          <w:lang w:val="es-ES"/>
        </w:rPr>
        <w:t xml:space="preserve"> posición </w:t>
      </w:r>
      <w:r w:rsidR="001777EC" w:rsidRPr="009B4C53">
        <w:rPr>
          <w:rFonts w:ascii="Cambria" w:hAnsi="Cambria"/>
          <w:sz w:val="20"/>
          <w:szCs w:val="20"/>
          <w:lang w:val="es-ES"/>
        </w:rPr>
        <w:t xml:space="preserve">de que </w:t>
      </w:r>
      <w:r>
        <w:rPr>
          <w:rFonts w:ascii="Cambria" w:hAnsi="Cambria"/>
          <w:sz w:val="20"/>
          <w:szCs w:val="20"/>
          <w:lang w:val="es-ES"/>
        </w:rPr>
        <w:t>l</w:t>
      </w:r>
      <w:r w:rsidR="001777EC" w:rsidRPr="009B4C53">
        <w:rPr>
          <w:rFonts w:ascii="Cambria" w:hAnsi="Cambria"/>
          <w:sz w:val="20"/>
          <w:szCs w:val="20"/>
          <w:lang w:val="es-ES"/>
        </w:rPr>
        <w:t>a situa</w:t>
      </w:r>
      <w:r>
        <w:rPr>
          <w:rFonts w:ascii="Cambria" w:hAnsi="Cambria"/>
          <w:sz w:val="20"/>
          <w:szCs w:val="20"/>
          <w:lang w:val="es-ES"/>
        </w:rPr>
        <w:t xml:space="preserve">ción </w:t>
      </w:r>
      <w:r w:rsidR="001777EC" w:rsidRPr="009B4C53">
        <w:rPr>
          <w:rFonts w:ascii="Cambria" w:hAnsi="Cambria"/>
          <w:sz w:val="20"/>
          <w:szCs w:val="20"/>
          <w:lang w:val="es-ES"/>
        </w:rPr>
        <w:t>que se toma e</w:t>
      </w:r>
      <w:r>
        <w:rPr>
          <w:rFonts w:ascii="Cambria" w:hAnsi="Cambria"/>
          <w:sz w:val="20"/>
          <w:szCs w:val="20"/>
          <w:lang w:val="es-ES"/>
        </w:rPr>
        <w:t xml:space="preserve">n cuenta para determinar si se han agotado los </w:t>
      </w:r>
      <w:r w:rsidR="001777EC" w:rsidRPr="009B4C53">
        <w:rPr>
          <w:rFonts w:ascii="Cambria" w:hAnsi="Cambria"/>
          <w:sz w:val="20"/>
          <w:szCs w:val="20"/>
          <w:lang w:val="es-ES"/>
        </w:rPr>
        <w:t>recursos intern</w:t>
      </w:r>
      <w:r w:rsidR="004361B5">
        <w:rPr>
          <w:rFonts w:ascii="Cambria" w:hAnsi="Cambria"/>
          <w:sz w:val="20"/>
          <w:szCs w:val="20"/>
          <w:lang w:val="es-ES"/>
        </w:rPr>
        <w:t>os</w:t>
      </w:r>
      <w:r w:rsidR="001777EC" w:rsidRPr="009B4C53">
        <w:rPr>
          <w:rFonts w:ascii="Cambria" w:hAnsi="Cambria"/>
          <w:sz w:val="20"/>
          <w:szCs w:val="20"/>
          <w:lang w:val="es-ES"/>
        </w:rPr>
        <w:t xml:space="preserve"> </w:t>
      </w:r>
      <w:r>
        <w:rPr>
          <w:rFonts w:ascii="Cambria" w:hAnsi="Cambria"/>
          <w:sz w:val="20"/>
          <w:szCs w:val="20"/>
          <w:lang w:val="es-ES"/>
        </w:rPr>
        <w:t>es la que existe en el momento en que la Comisión se pronuncia s</w:t>
      </w:r>
      <w:r w:rsidR="001777EC" w:rsidRPr="009B4C53">
        <w:rPr>
          <w:rFonts w:ascii="Cambria" w:hAnsi="Cambria"/>
          <w:sz w:val="20"/>
          <w:szCs w:val="20"/>
          <w:lang w:val="es-ES"/>
        </w:rPr>
        <w:t xml:space="preserve">obre </w:t>
      </w:r>
      <w:r>
        <w:rPr>
          <w:rFonts w:ascii="Cambria" w:hAnsi="Cambria"/>
          <w:sz w:val="20"/>
          <w:szCs w:val="20"/>
          <w:lang w:val="es-ES"/>
        </w:rPr>
        <w:t>l</w:t>
      </w:r>
      <w:r w:rsidR="001777EC" w:rsidRPr="009B4C53">
        <w:rPr>
          <w:rFonts w:ascii="Cambria" w:hAnsi="Cambria"/>
          <w:sz w:val="20"/>
          <w:szCs w:val="20"/>
          <w:lang w:val="es-ES"/>
        </w:rPr>
        <w:t xml:space="preserve">a </w:t>
      </w:r>
      <w:r w:rsidR="002A54BB" w:rsidRPr="009B4C53">
        <w:rPr>
          <w:rFonts w:ascii="Cambria" w:hAnsi="Cambria"/>
          <w:sz w:val="20"/>
          <w:szCs w:val="20"/>
          <w:lang w:val="es-ES"/>
        </w:rPr>
        <w:t>admisibilidad</w:t>
      </w:r>
      <w:r w:rsidR="001777EC" w:rsidRPr="009B4C53">
        <w:rPr>
          <w:rFonts w:ascii="Cambria" w:hAnsi="Cambria"/>
          <w:sz w:val="20"/>
          <w:szCs w:val="20"/>
          <w:lang w:val="es-ES"/>
        </w:rPr>
        <w:t>, p</w:t>
      </w:r>
      <w:r>
        <w:rPr>
          <w:rFonts w:ascii="Cambria" w:hAnsi="Cambria"/>
          <w:sz w:val="20"/>
          <w:szCs w:val="20"/>
          <w:lang w:val="es-ES"/>
        </w:rPr>
        <w:t xml:space="preserve">uesto </w:t>
      </w:r>
      <w:r w:rsidR="001777EC" w:rsidRPr="009B4C53">
        <w:rPr>
          <w:rFonts w:ascii="Cambria" w:hAnsi="Cambria"/>
          <w:sz w:val="20"/>
          <w:szCs w:val="20"/>
          <w:lang w:val="es-ES"/>
        </w:rPr>
        <w:t xml:space="preserve">que </w:t>
      </w:r>
      <w:r>
        <w:rPr>
          <w:rFonts w:ascii="Cambria" w:hAnsi="Cambria"/>
          <w:sz w:val="20"/>
          <w:szCs w:val="20"/>
          <w:lang w:val="es-ES"/>
        </w:rPr>
        <w:t>el</w:t>
      </w:r>
      <w:r w:rsidR="001777EC" w:rsidRPr="009B4C53">
        <w:rPr>
          <w:rFonts w:ascii="Cambria" w:hAnsi="Cambria"/>
          <w:sz w:val="20"/>
          <w:szCs w:val="20"/>
          <w:lang w:val="es-ES"/>
        </w:rPr>
        <w:t xml:space="preserve"> momento </w:t>
      </w:r>
      <w:r>
        <w:rPr>
          <w:rFonts w:ascii="Cambria" w:hAnsi="Cambria"/>
          <w:sz w:val="20"/>
          <w:szCs w:val="20"/>
          <w:lang w:val="es-ES"/>
        </w:rPr>
        <w:t xml:space="preserve">en que se presenta la denuncia y el momento del </w:t>
      </w:r>
      <w:r w:rsidRPr="009B4C53">
        <w:rPr>
          <w:rFonts w:ascii="Cambria" w:hAnsi="Cambria"/>
          <w:sz w:val="20"/>
          <w:szCs w:val="20"/>
          <w:lang w:val="es-ES"/>
        </w:rPr>
        <w:t>pronunciamiento</w:t>
      </w:r>
      <w:r w:rsidR="001777EC" w:rsidRPr="009B4C53">
        <w:rPr>
          <w:rFonts w:ascii="Cambria" w:hAnsi="Cambria"/>
          <w:sz w:val="20"/>
          <w:szCs w:val="20"/>
          <w:lang w:val="es-ES"/>
        </w:rPr>
        <w:t xml:space="preserve"> sobre </w:t>
      </w:r>
      <w:r>
        <w:rPr>
          <w:rFonts w:ascii="Cambria" w:hAnsi="Cambria"/>
          <w:sz w:val="20"/>
          <w:szCs w:val="20"/>
          <w:lang w:val="es-ES"/>
        </w:rPr>
        <w:t>la</w:t>
      </w:r>
      <w:r w:rsidR="001777EC" w:rsidRPr="009B4C53">
        <w:rPr>
          <w:rFonts w:ascii="Cambria" w:hAnsi="Cambria"/>
          <w:sz w:val="20"/>
          <w:szCs w:val="20"/>
          <w:lang w:val="es-ES"/>
        </w:rPr>
        <w:t xml:space="preserve"> </w:t>
      </w:r>
      <w:r w:rsidR="002A54BB" w:rsidRPr="009B4C53">
        <w:rPr>
          <w:rFonts w:ascii="Cambria" w:hAnsi="Cambria"/>
          <w:sz w:val="20"/>
          <w:szCs w:val="20"/>
          <w:lang w:val="es-ES"/>
        </w:rPr>
        <w:t>admisibilidad</w:t>
      </w:r>
      <w:r w:rsidR="001777EC" w:rsidRPr="009B4C53">
        <w:rPr>
          <w:rFonts w:ascii="Cambria" w:hAnsi="Cambria"/>
          <w:sz w:val="20"/>
          <w:szCs w:val="20"/>
          <w:lang w:val="es-ES"/>
        </w:rPr>
        <w:t xml:space="preserve"> </w:t>
      </w:r>
      <w:r>
        <w:rPr>
          <w:rFonts w:ascii="Cambria" w:hAnsi="Cambria"/>
          <w:sz w:val="20"/>
          <w:szCs w:val="20"/>
          <w:lang w:val="es-ES"/>
        </w:rPr>
        <w:t>son</w:t>
      </w:r>
      <w:r w:rsidR="00467F16" w:rsidRPr="009B4C53">
        <w:rPr>
          <w:rFonts w:ascii="Cambria" w:hAnsi="Cambria"/>
          <w:sz w:val="20"/>
          <w:szCs w:val="20"/>
          <w:lang w:val="es-ES"/>
        </w:rPr>
        <w:t xml:space="preserve"> di</w:t>
      </w:r>
      <w:r w:rsidR="004361B5">
        <w:rPr>
          <w:rFonts w:ascii="Cambria" w:hAnsi="Cambria"/>
          <w:sz w:val="20"/>
          <w:szCs w:val="20"/>
          <w:lang w:val="es-ES"/>
        </w:rPr>
        <w:t>ferentes.</w:t>
      </w:r>
    </w:p>
    <w:p w14:paraId="7090A929" w14:textId="281C1D80" w:rsidR="00F04591" w:rsidRPr="009B4C53" w:rsidRDefault="00F04591" w:rsidP="00647756">
      <w:pPr>
        <w:pStyle w:val="ListParagraph"/>
        <w:spacing w:before="120" w:after="120"/>
        <w:jc w:val="both"/>
        <w:rPr>
          <w:b/>
          <w:bCs/>
          <w:sz w:val="20"/>
          <w:szCs w:val="20"/>
          <w:lang w:val="es-ES"/>
        </w:rPr>
      </w:pPr>
      <w:r w:rsidRPr="009B4C53">
        <w:rPr>
          <w:b/>
          <w:bCs/>
          <w:sz w:val="20"/>
          <w:szCs w:val="20"/>
          <w:lang w:val="es-ES"/>
        </w:rPr>
        <w:t>V</w:t>
      </w:r>
      <w:r w:rsidR="000E2789" w:rsidRPr="009B4C53">
        <w:rPr>
          <w:b/>
          <w:bCs/>
          <w:sz w:val="20"/>
          <w:szCs w:val="20"/>
          <w:lang w:val="es-ES"/>
        </w:rPr>
        <w:t>I</w:t>
      </w:r>
      <w:r w:rsidRPr="009B4C53">
        <w:rPr>
          <w:b/>
          <w:bCs/>
          <w:sz w:val="20"/>
          <w:szCs w:val="20"/>
          <w:lang w:val="es-ES"/>
        </w:rPr>
        <w:t xml:space="preserve">I. </w:t>
      </w:r>
      <w:r w:rsidRPr="009B4C53">
        <w:rPr>
          <w:b/>
          <w:bCs/>
          <w:sz w:val="20"/>
          <w:szCs w:val="20"/>
          <w:lang w:val="es-ES"/>
        </w:rPr>
        <w:tab/>
      </w:r>
      <w:r w:rsidR="000E0D2C">
        <w:rPr>
          <w:b/>
          <w:bCs/>
          <w:sz w:val="20"/>
          <w:szCs w:val="20"/>
          <w:lang w:val="es-ES"/>
        </w:rPr>
        <w:t xml:space="preserve">ANALISIS DE </w:t>
      </w:r>
      <w:r w:rsidR="002A54BB" w:rsidRPr="009B4C53">
        <w:rPr>
          <w:b/>
          <w:bCs/>
          <w:sz w:val="20"/>
          <w:szCs w:val="20"/>
          <w:lang w:val="es-ES"/>
        </w:rPr>
        <w:t>CARACTERIZACIÓN DE LOS HECHOS ALEGADOS</w:t>
      </w:r>
    </w:p>
    <w:p w14:paraId="207F31AF" w14:textId="373A808D" w:rsidR="00444A18" w:rsidRPr="0094338B" w:rsidRDefault="00444A18" w:rsidP="00444A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94338B">
        <w:rPr>
          <w:rFonts w:ascii="Cambria" w:hAnsi="Cambria"/>
          <w:sz w:val="20"/>
          <w:szCs w:val="20"/>
          <w:lang w:val="es-ES"/>
        </w:rPr>
        <w:t xml:space="preserve">La Comisión observa que la presente petición incluye alegaciones con respecto a </w:t>
      </w:r>
      <w:r w:rsidR="00BE5A5A" w:rsidRPr="0094338B">
        <w:rPr>
          <w:rFonts w:ascii="Cambria" w:hAnsi="Cambria"/>
          <w:sz w:val="20"/>
          <w:szCs w:val="20"/>
          <w:lang w:val="es-ES"/>
        </w:rPr>
        <w:t xml:space="preserve">los hechos de tortura practicados por agentes de la policía militar en contra de Jonatan Souza Azevedo, y </w:t>
      </w:r>
      <w:r w:rsidR="00AE3BA9">
        <w:rPr>
          <w:rFonts w:ascii="Cambria" w:hAnsi="Cambria"/>
          <w:sz w:val="20"/>
          <w:szCs w:val="20"/>
          <w:lang w:val="es-ES"/>
        </w:rPr>
        <w:t>l</w:t>
      </w:r>
      <w:r w:rsidR="00BE5A5A" w:rsidRPr="0094338B">
        <w:rPr>
          <w:rFonts w:ascii="Cambria" w:hAnsi="Cambria"/>
          <w:sz w:val="20"/>
          <w:szCs w:val="20"/>
          <w:lang w:val="es-ES"/>
        </w:rPr>
        <w:t xml:space="preserve">a ausencia de </w:t>
      </w:r>
      <w:r w:rsidR="0094338B" w:rsidRPr="0094338B">
        <w:rPr>
          <w:rFonts w:ascii="Cambria" w:hAnsi="Cambria"/>
          <w:sz w:val="20"/>
          <w:szCs w:val="20"/>
          <w:lang w:val="es-ES"/>
        </w:rPr>
        <w:t xml:space="preserve">diligencia en las </w:t>
      </w:r>
      <w:r w:rsidR="00BE5A5A" w:rsidRPr="0094338B">
        <w:rPr>
          <w:rFonts w:ascii="Cambria" w:hAnsi="Cambria"/>
          <w:sz w:val="20"/>
          <w:szCs w:val="20"/>
          <w:lang w:val="es-ES"/>
        </w:rPr>
        <w:t>investigaciones de los policías lo torturaron, debido al archivamiento de solicitud de investigación hecha por la DPE/SP</w:t>
      </w:r>
      <w:r w:rsidR="0094338B" w:rsidRPr="0094338B">
        <w:rPr>
          <w:rFonts w:ascii="Cambria" w:hAnsi="Cambria"/>
          <w:sz w:val="20"/>
          <w:szCs w:val="20"/>
          <w:lang w:val="es-ES"/>
        </w:rPr>
        <w:t xml:space="preserve"> al Ministerio Publico</w:t>
      </w:r>
      <w:r w:rsidR="00BE5A5A" w:rsidRPr="0094338B">
        <w:rPr>
          <w:rFonts w:ascii="Cambria" w:hAnsi="Cambria"/>
          <w:sz w:val="20"/>
          <w:szCs w:val="20"/>
          <w:lang w:val="es-ES"/>
        </w:rPr>
        <w:t xml:space="preserve">. </w:t>
      </w:r>
    </w:p>
    <w:p w14:paraId="294ACE3E" w14:textId="7073E2DC" w:rsidR="00AE3BA9" w:rsidRPr="00142F8A" w:rsidRDefault="00444A18" w:rsidP="00444A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US"/>
        </w:rPr>
      </w:pPr>
      <w:r w:rsidRPr="00142F8A">
        <w:rPr>
          <w:rFonts w:ascii="Cambria" w:hAnsi="Cambria"/>
          <w:sz w:val="20"/>
          <w:szCs w:val="20"/>
          <w:lang w:val="es-ES"/>
        </w:rPr>
        <w:t xml:space="preserve">Inicialmente, la Comisión valora el alegato del </w:t>
      </w:r>
      <w:r w:rsidR="001A5D84" w:rsidRPr="00142F8A">
        <w:rPr>
          <w:rFonts w:ascii="Cambria" w:hAnsi="Cambria"/>
          <w:sz w:val="20"/>
          <w:szCs w:val="20"/>
          <w:lang w:val="es-ES"/>
        </w:rPr>
        <w:t>Estado</w:t>
      </w:r>
      <w:r w:rsidRPr="00142F8A">
        <w:rPr>
          <w:rFonts w:ascii="Cambria" w:hAnsi="Cambria"/>
          <w:sz w:val="20"/>
          <w:szCs w:val="20"/>
          <w:lang w:val="es-ES"/>
        </w:rPr>
        <w:t xml:space="preserve"> de que la CIDH </w:t>
      </w:r>
      <w:r w:rsidR="00195C54" w:rsidRPr="00142F8A">
        <w:rPr>
          <w:rFonts w:ascii="Cambria" w:hAnsi="Cambria"/>
          <w:sz w:val="20"/>
          <w:szCs w:val="20"/>
          <w:lang w:val="es-ES"/>
        </w:rPr>
        <w:t xml:space="preserve">no </w:t>
      </w:r>
      <w:r w:rsidR="000707AE" w:rsidRPr="00142F8A">
        <w:rPr>
          <w:rFonts w:ascii="Cambria" w:hAnsi="Cambria"/>
          <w:sz w:val="20"/>
          <w:szCs w:val="20"/>
          <w:lang w:val="es-ES"/>
        </w:rPr>
        <w:t>tiene competencia</w:t>
      </w:r>
      <w:r w:rsidR="00195C54" w:rsidRPr="00142F8A">
        <w:rPr>
          <w:rFonts w:ascii="Cambria" w:hAnsi="Cambria"/>
          <w:sz w:val="20"/>
          <w:szCs w:val="20"/>
          <w:lang w:val="es-ES"/>
        </w:rPr>
        <w:t xml:space="preserve"> </w:t>
      </w:r>
      <w:r w:rsidR="00195C54" w:rsidRPr="00142F8A">
        <w:rPr>
          <w:rFonts w:ascii="Cambria" w:hAnsi="Cambria"/>
          <w:i/>
          <w:sz w:val="20"/>
          <w:szCs w:val="20"/>
          <w:lang w:val="es-ES"/>
        </w:rPr>
        <w:t>ratione materiae</w:t>
      </w:r>
      <w:r w:rsidR="00195C54" w:rsidRPr="00142F8A">
        <w:rPr>
          <w:rFonts w:ascii="Cambria" w:hAnsi="Cambria"/>
          <w:sz w:val="20"/>
          <w:szCs w:val="20"/>
          <w:lang w:val="es-ES"/>
        </w:rPr>
        <w:t xml:space="preserve"> para declarar viola</w:t>
      </w:r>
      <w:r w:rsidR="000707AE" w:rsidRPr="00142F8A">
        <w:rPr>
          <w:rFonts w:ascii="Cambria" w:hAnsi="Cambria"/>
          <w:sz w:val="20"/>
          <w:szCs w:val="20"/>
          <w:lang w:val="es-ES"/>
        </w:rPr>
        <w:t xml:space="preserve">ciones de la </w:t>
      </w:r>
      <w:r w:rsidR="001A5D84" w:rsidRPr="00142F8A">
        <w:rPr>
          <w:rFonts w:ascii="Cambria" w:hAnsi="Cambria"/>
          <w:sz w:val="20"/>
          <w:szCs w:val="20"/>
          <w:lang w:val="es-ES"/>
        </w:rPr>
        <w:t>Convención Interamericana para Prevenir y Sancionar la Tortura</w:t>
      </w:r>
      <w:r w:rsidR="00195C54" w:rsidRPr="00142F8A">
        <w:rPr>
          <w:rFonts w:ascii="Cambria" w:hAnsi="Cambria"/>
          <w:sz w:val="20"/>
          <w:szCs w:val="20"/>
          <w:lang w:val="es-ES"/>
        </w:rPr>
        <w:t>.</w:t>
      </w:r>
      <w:r w:rsidRPr="00142F8A">
        <w:rPr>
          <w:rFonts w:ascii="Cambria" w:hAnsi="Cambria"/>
          <w:sz w:val="20"/>
          <w:szCs w:val="20"/>
          <w:lang w:val="es-ES"/>
        </w:rPr>
        <w:t xml:space="preserve"> </w:t>
      </w:r>
      <w:r w:rsidR="00142F8A" w:rsidRPr="00142F8A">
        <w:rPr>
          <w:rFonts w:ascii="Cambria" w:hAnsi="Cambria"/>
          <w:sz w:val="20"/>
          <w:szCs w:val="20"/>
          <w:lang w:val="es-US"/>
        </w:rPr>
        <w:t xml:space="preserve">Según alega, el Estado brasileño solamente reconoció la competencia de la Corte Interamericana para evaluar violaciones a la Convención Americana, y no para evaluar otros tratados del Sistema Interamericano. Asimismo, afirma que el artículo 8 de la </w:t>
      </w:r>
      <w:r w:rsidR="00142F8A" w:rsidRPr="00142F8A">
        <w:rPr>
          <w:rFonts w:ascii="Cambria" w:hAnsi="Cambria"/>
          <w:sz w:val="20"/>
          <w:szCs w:val="20"/>
          <w:lang w:val="es-ES"/>
        </w:rPr>
        <w:t xml:space="preserve">Convención Interamericana para Prevenir y Sancionar la Tortura dispone acerca del reconocimiento facultativo de competencia internacional, es decir, para el Estado, sería necesario una declaración específica sobre el reconocimiento de los órganos del Sistema Interamericano para evaluar dicho tratado. </w:t>
      </w:r>
    </w:p>
    <w:p w14:paraId="7647B76B" w14:textId="0C51938A" w:rsidR="005366AE" w:rsidRPr="00444A18" w:rsidRDefault="00142F8A" w:rsidP="00444A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FF0000"/>
          <w:sz w:val="20"/>
          <w:szCs w:val="20"/>
          <w:lang w:val="es-ES"/>
        </w:rPr>
      </w:pPr>
      <w:r>
        <w:rPr>
          <w:rFonts w:ascii="Cambria" w:hAnsi="Cambria"/>
          <w:sz w:val="20"/>
          <w:szCs w:val="20"/>
          <w:lang w:val="es-ES"/>
        </w:rPr>
        <w:t>Sobre el tema, t</w:t>
      </w:r>
      <w:r w:rsidR="005366AE" w:rsidRPr="00142F8A">
        <w:rPr>
          <w:rFonts w:ascii="Cambria" w:hAnsi="Cambria"/>
          <w:sz w:val="20"/>
          <w:szCs w:val="20"/>
          <w:lang w:val="es-ES"/>
        </w:rPr>
        <w:t xml:space="preserve">anto </w:t>
      </w:r>
      <w:r w:rsidR="000707AE" w:rsidRPr="00142F8A">
        <w:rPr>
          <w:rFonts w:ascii="Cambria" w:hAnsi="Cambria"/>
          <w:sz w:val="20"/>
          <w:szCs w:val="20"/>
          <w:lang w:val="es-ES"/>
        </w:rPr>
        <w:t>l</w:t>
      </w:r>
      <w:r w:rsidR="005366AE" w:rsidRPr="00142F8A">
        <w:rPr>
          <w:rFonts w:ascii="Cambria" w:hAnsi="Cambria"/>
          <w:sz w:val="20"/>
          <w:szCs w:val="20"/>
          <w:lang w:val="es-ES"/>
        </w:rPr>
        <w:t xml:space="preserve">a </w:t>
      </w:r>
      <w:r w:rsidR="001A5D84" w:rsidRPr="00142F8A">
        <w:rPr>
          <w:rFonts w:ascii="Cambria" w:hAnsi="Cambria"/>
          <w:sz w:val="20"/>
          <w:szCs w:val="20"/>
          <w:lang w:val="es-ES"/>
        </w:rPr>
        <w:t>Comisión</w:t>
      </w:r>
      <w:r w:rsidR="005366AE" w:rsidRPr="00142F8A">
        <w:rPr>
          <w:rFonts w:ascii="Cambria" w:hAnsi="Cambria"/>
          <w:sz w:val="20"/>
          <w:szCs w:val="20"/>
          <w:lang w:val="es-ES"/>
        </w:rPr>
        <w:t xml:space="preserve"> como </w:t>
      </w:r>
      <w:r w:rsidR="000707AE" w:rsidRPr="00142F8A">
        <w:rPr>
          <w:rFonts w:ascii="Cambria" w:hAnsi="Cambria"/>
          <w:sz w:val="20"/>
          <w:szCs w:val="20"/>
          <w:lang w:val="es-ES"/>
        </w:rPr>
        <w:t>l</w:t>
      </w:r>
      <w:r w:rsidR="005366AE" w:rsidRPr="00142F8A">
        <w:rPr>
          <w:rFonts w:ascii="Cambria" w:hAnsi="Cambria"/>
          <w:sz w:val="20"/>
          <w:szCs w:val="20"/>
          <w:lang w:val="es-ES"/>
        </w:rPr>
        <w:t xml:space="preserve">a Corte Interamericana </w:t>
      </w:r>
      <w:r w:rsidR="000707AE" w:rsidRPr="00142F8A">
        <w:rPr>
          <w:rFonts w:ascii="Cambria" w:hAnsi="Cambria"/>
          <w:sz w:val="20"/>
          <w:szCs w:val="20"/>
          <w:lang w:val="es-ES"/>
        </w:rPr>
        <w:t xml:space="preserve">ya </w:t>
      </w:r>
      <w:r w:rsidR="004361B5" w:rsidRPr="00142F8A">
        <w:rPr>
          <w:rFonts w:ascii="Cambria" w:hAnsi="Cambria"/>
          <w:sz w:val="20"/>
          <w:szCs w:val="20"/>
          <w:lang w:val="es-ES"/>
        </w:rPr>
        <w:t xml:space="preserve">han </w:t>
      </w:r>
      <w:r w:rsidR="005366AE" w:rsidRPr="00142F8A">
        <w:rPr>
          <w:rFonts w:ascii="Cambria" w:hAnsi="Cambria"/>
          <w:sz w:val="20"/>
          <w:szCs w:val="20"/>
          <w:lang w:val="es-ES"/>
        </w:rPr>
        <w:t>declara</w:t>
      </w:r>
      <w:r w:rsidR="004361B5" w:rsidRPr="00142F8A">
        <w:rPr>
          <w:rFonts w:ascii="Cambria" w:hAnsi="Cambria"/>
          <w:sz w:val="20"/>
          <w:szCs w:val="20"/>
          <w:lang w:val="es-ES"/>
        </w:rPr>
        <w:t>d</w:t>
      </w:r>
      <w:r w:rsidR="000D1735" w:rsidRPr="00142F8A">
        <w:rPr>
          <w:rFonts w:ascii="Cambria" w:hAnsi="Cambria"/>
          <w:sz w:val="20"/>
          <w:szCs w:val="20"/>
          <w:lang w:val="es-ES"/>
        </w:rPr>
        <w:t xml:space="preserve">o violaciones de los </w:t>
      </w:r>
      <w:r w:rsidR="00394E04" w:rsidRPr="00142F8A">
        <w:rPr>
          <w:rFonts w:ascii="Cambria" w:hAnsi="Cambria"/>
          <w:sz w:val="20"/>
          <w:szCs w:val="20"/>
          <w:lang w:val="es-ES"/>
        </w:rPr>
        <w:t>artículos</w:t>
      </w:r>
      <w:r w:rsidR="005366AE" w:rsidRPr="00142F8A">
        <w:rPr>
          <w:rFonts w:ascii="Cambria" w:hAnsi="Cambria"/>
          <w:sz w:val="20"/>
          <w:szCs w:val="20"/>
          <w:lang w:val="es-ES"/>
        </w:rPr>
        <w:t xml:space="preserve"> 1, 6 </w:t>
      </w:r>
      <w:r w:rsidR="000D1735" w:rsidRPr="00142F8A">
        <w:rPr>
          <w:rFonts w:ascii="Cambria" w:hAnsi="Cambria"/>
          <w:sz w:val="20"/>
          <w:szCs w:val="20"/>
          <w:lang w:val="es-ES"/>
        </w:rPr>
        <w:t>y</w:t>
      </w:r>
      <w:r w:rsidR="005366AE" w:rsidRPr="00142F8A">
        <w:rPr>
          <w:rFonts w:ascii="Cambria" w:hAnsi="Cambria"/>
          <w:sz w:val="20"/>
          <w:szCs w:val="20"/>
          <w:lang w:val="es-ES"/>
        </w:rPr>
        <w:t xml:space="preserve"> 8 </w:t>
      </w:r>
      <w:r w:rsidR="000D1735" w:rsidRPr="00142F8A">
        <w:rPr>
          <w:rFonts w:ascii="Cambria" w:hAnsi="Cambria"/>
          <w:sz w:val="20"/>
          <w:szCs w:val="20"/>
          <w:lang w:val="es-ES"/>
        </w:rPr>
        <w:t xml:space="preserve">de </w:t>
      </w:r>
      <w:r w:rsidRPr="00142F8A">
        <w:rPr>
          <w:rFonts w:ascii="Cambria" w:hAnsi="Cambria"/>
          <w:sz w:val="20"/>
          <w:szCs w:val="20"/>
          <w:lang w:val="es-ES"/>
        </w:rPr>
        <w:t>la Convención Interamericana para Prevenir y Sancionar la Tortura</w:t>
      </w:r>
      <w:r w:rsidR="000D1735" w:rsidRPr="00444A18">
        <w:rPr>
          <w:rFonts w:ascii="Cambria" w:hAnsi="Cambria"/>
          <w:sz w:val="20"/>
          <w:szCs w:val="20"/>
          <w:lang w:val="es-ES"/>
        </w:rPr>
        <w:t xml:space="preserve"> a fin de determinar el </w:t>
      </w:r>
      <w:r w:rsidR="005366AE" w:rsidRPr="00444A18">
        <w:rPr>
          <w:rFonts w:ascii="Cambria" w:hAnsi="Cambria"/>
          <w:sz w:val="20"/>
          <w:szCs w:val="20"/>
          <w:lang w:val="es-ES"/>
        </w:rPr>
        <w:t>alcance d</w:t>
      </w:r>
      <w:r w:rsidR="000D1735" w:rsidRPr="00444A18">
        <w:rPr>
          <w:rFonts w:ascii="Cambria" w:hAnsi="Cambria"/>
          <w:sz w:val="20"/>
          <w:szCs w:val="20"/>
          <w:lang w:val="es-ES"/>
        </w:rPr>
        <w:t>e l</w:t>
      </w:r>
      <w:r w:rsidR="005366AE" w:rsidRPr="00444A18">
        <w:rPr>
          <w:rFonts w:ascii="Cambria" w:hAnsi="Cambria"/>
          <w:sz w:val="20"/>
          <w:szCs w:val="20"/>
          <w:lang w:val="es-ES"/>
        </w:rPr>
        <w:t xml:space="preserve">a </w:t>
      </w:r>
      <w:r w:rsidR="00540850" w:rsidRPr="00444A18">
        <w:rPr>
          <w:rFonts w:ascii="Cambria" w:hAnsi="Cambria"/>
          <w:sz w:val="20"/>
          <w:szCs w:val="20"/>
          <w:lang w:val="es-ES"/>
        </w:rPr>
        <w:t>responsabilidad</w:t>
      </w:r>
      <w:r w:rsidR="005366AE" w:rsidRPr="00444A18">
        <w:rPr>
          <w:rFonts w:ascii="Cambria" w:hAnsi="Cambria"/>
          <w:sz w:val="20"/>
          <w:szCs w:val="20"/>
          <w:lang w:val="es-ES"/>
        </w:rPr>
        <w:t xml:space="preserve"> </w:t>
      </w:r>
      <w:r w:rsidR="00540850" w:rsidRPr="00444A18">
        <w:rPr>
          <w:rFonts w:ascii="Cambria" w:hAnsi="Cambria"/>
          <w:sz w:val="20"/>
          <w:szCs w:val="20"/>
          <w:lang w:val="es-ES"/>
        </w:rPr>
        <w:t>del Estado</w:t>
      </w:r>
      <w:r w:rsidR="005366AE" w:rsidRPr="00444A18">
        <w:rPr>
          <w:rFonts w:ascii="Cambria" w:hAnsi="Cambria"/>
          <w:sz w:val="20"/>
          <w:szCs w:val="20"/>
          <w:lang w:val="es-ES"/>
        </w:rPr>
        <w:t xml:space="preserve"> e</w:t>
      </w:r>
      <w:r w:rsidR="000D1735" w:rsidRPr="00444A18">
        <w:rPr>
          <w:rFonts w:ascii="Cambria" w:hAnsi="Cambria"/>
          <w:sz w:val="20"/>
          <w:szCs w:val="20"/>
          <w:lang w:val="es-ES"/>
        </w:rPr>
        <w:t>n</w:t>
      </w:r>
      <w:r w:rsidR="005366AE" w:rsidRPr="00444A18">
        <w:rPr>
          <w:rFonts w:ascii="Cambria" w:hAnsi="Cambria"/>
          <w:sz w:val="20"/>
          <w:szCs w:val="20"/>
          <w:lang w:val="es-ES"/>
        </w:rPr>
        <w:t xml:space="preserve"> casos vinculados </w:t>
      </w:r>
      <w:r w:rsidR="000D1735" w:rsidRPr="00444A18">
        <w:rPr>
          <w:rFonts w:ascii="Cambria" w:hAnsi="Cambria"/>
          <w:sz w:val="20"/>
          <w:szCs w:val="20"/>
          <w:lang w:val="es-ES"/>
        </w:rPr>
        <w:t xml:space="preserve">a la </w:t>
      </w:r>
      <w:r w:rsidR="005366AE" w:rsidRPr="00444A18">
        <w:rPr>
          <w:rFonts w:ascii="Cambria" w:hAnsi="Cambria"/>
          <w:sz w:val="20"/>
          <w:szCs w:val="20"/>
          <w:lang w:val="es-ES"/>
        </w:rPr>
        <w:t xml:space="preserve">falta de </w:t>
      </w:r>
      <w:r w:rsidR="001666B8" w:rsidRPr="00444A18">
        <w:rPr>
          <w:rFonts w:ascii="Cambria" w:hAnsi="Cambria"/>
          <w:sz w:val="20"/>
          <w:szCs w:val="20"/>
          <w:lang w:val="es-ES"/>
        </w:rPr>
        <w:t>investigación</w:t>
      </w:r>
      <w:r w:rsidR="005366AE" w:rsidRPr="00444A18">
        <w:rPr>
          <w:rFonts w:ascii="Cambria" w:hAnsi="Cambria"/>
          <w:sz w:val="20"/>
          <w:szCs w:val="20"/>
          <w:lang w:val="es-ES"/>
        </w:rPr>
        <w:t xml:space="preserve"> de a</w:t>
      </w:r>
      <w:r w:rsidR="000D1735" w:rsidRPr="00444A18">
        <w:rPr>
          <w:rFonts w:ascii="Cambria" w:hAnsi="Cambria"/>
          <w:sz w:val="20"/>
          <w:szCs w:val="20"/>
          <w:lang w:val="es-ES"/>
        </w:rPr>
        <w:t>c</w:t>
      </w:r>
      <w:r w:rsidR="005366AE" w:rsidRPr="00444A18">
        <w:rPr>
          <w:rFonts w:ascii="Cambria" w:hAnsi="Cambria"/>
          <w:sz w:val="20"/>
          <w:szCs w:val="20"/>
          <w:lang w:val="es-ES"/>
        </w:rPr>
        <w:t xml:space="preserve">tos de tortura. </w:t>
      </w:r>
      <w:r w:rsidR="000D1735" w:rsidRPr="00444A18">
        <w:rPr>
          <w:rFonts w:ascii="Cambria" w:hAnsi="Cambria"/>
          <w:sz w:val="20"/>
          <w:szCs w:val="20"/>
          <w:lang w:val="es-ES"/>
        </w:rPr>
        <w:t xml:space="preserve">Por lo tanto, entienden que el </w:t>
      </w:r>
      <w:r w:rsidR="005366AE" w:rsidRPr="00444A18">
        <w:rPr>
          <w:rFonts w:ascii="Cambria" w:hAnsi="Cambria"/>
          <w:sz w:val="20"/>
          <w:szCs w:val="20"/>
          <w:lang w:val="es-ES"/>
        </w:rPr>
        <w:t>art</w:t>
      </w:r>
      <w:r w:rsidR="000D1735" w:rsidRPr="00444A18">
        <w:rPr>
          <w:rFonts w:ascii="Cambria" w:hAnsi="Cambria"/>
          <w:sz w:val="20"/>
          <w:szCs w:val="20"/>
          <w:lang w:val="es-ES"/>
        </w:rPr>
        <w:t xml:space="preserve">ículo </w:t>
      </w:r>
      <w:r w:rsidR="005366AE" w:rsidRPr="00444A18">
        <w:rPr>
          <w:rFonts w:ascii="Cambria" w:hAnsi="Cambria"/>
          <w:sz w:val="20"/>
          <w:szCs w:val="20"/>
          <w:lang w:val="es-ES"/>
        </w:rPr>
        <w:t xml:space="preserve">8 incorpora </w:t>
      </w:r>
      <w:r w:rsidR="000D1735" w:rsidRPr="00444A18">
        <w:rPr>
          <w:rFonts w:ascii="Cambria" w:hAnsi="Cambria"/>
          <w:sz w:val="20"/>
          <w:szCs w:val="20"/>
          <w:lang w:val="es-ES"/>
        </w:rPr>
        <w:t>una</w:t>
      </w:r>
      <w:r w:rsidR="005366AE" w:rsidRPr="00444A18">
        <w:rPr>
          <w:rFonts w:ascii="Cambria" w:hAnsi="Cambria"/>
          <w:sz w:val="20"/>
          <w:szCs w:val="20"/>
          <w:lang w:val="es-ES"/>
        </w:rPr>
        <w:t xml:space="preserve"> cláusula ge</w:t>
      </w:r>
      <w:r w:rsidR="000D1735" w:rsidRPr="00444A18">
        <w:rPr>
          <w:rFonts w:ascii="Cambria" w:hAnsi="Cambria"/>
          <w:sz w:val="20"/>
          <w:szCs w:val="20"/>
          <w:lang w:val="es-ES"/>
        </w:rPr>
        <w:t>nera</w:t>
      </w:r>
      <w:r w:rsidR="005366AE" w:rsidRPr="00444A18">
        <w:rPr>
          <w:rFonts w:ascii="Cambria" w:hAnsi="Cambria"/>
          <w:sz w:val="20"/>
          <w:szCs w:val="20"/>
          <w:lang w:val="es-ES"/>
        </w:rPr>
        <w:t xml:space="preserve">l de </w:t>
      </w:r>
      <w:r w:rsidR="000D1735" w:rsidRPr="00444A18">
        <w:rPr>
          <w:rFonts w:ascii="Cambria" w:hAnsi="Cambria"/>
          <w:sz w:val="20"/>
          <w:szCs w:val="20"/>
          <w:lang w:val="es-ES"/>
        </w:rPr>
        <w:t>competencia</w:t>
      </w:r>
      <w:r w:rsidR="005366AE" w:rsidRPr="00444A18">
        <w:rPr>
          <w:rFonts w:ascii="Cambria" w:hAnsi="Cambria"/>
          <w:sz w:val="20"/>
          <w:szCs w:val="20"/>
          <w:lang w:val="es-ES"/>
        </w:rPr>
        <w:t xml:space="preserve"> </w:t>
      </w:r>
      <w:r w:rsidR="000D1735" w:rsidRPr="00444A18">
        <w:rPr>
          <w:rFonts w:ascii="Cambria" w:hAnsi="Cambria"/>
          <w:sz w:val="20"/>
          <w:szCs w:val="20"/>
          <w:lang w:val="es-ES"/>
        </w:rPr>
        <w:t xml:space="preserve">que </w:t>
      </w:r>
      <w:r w:rsidR="005366AE" w:rsidRPr="00444A18">
        <w:rPr>
          <w:rFonts w:ascii="Cambria" w:hAnsi="Cambria"/>
          <w:sz w:val="20"/>
          <w:szCs w:val="20"/>
          <w:lang w:val="es-ES"/>
        </w:rPr>
        <w:t xml:space="preserve">los Estados </w:t>
      </w:r>
      <w:r w:rsidR="000D1735" w:rsidRPr="00444A18">
        <w:rPr>
          <w:rFonts w:ascii="Cambria" w:hAnsi="Cambria"/>
          <w:sz w:val="20"/>
          <w:szCs w:val="20"/>
          <w:lang w:val="es-ES"/>
        </w:rPr>
        <w:t xml:space="preserve">aceptan en el </w:t>
      </w:r>
      <w:r w:rsidR="005366AE" w:rsidRPr="00444A18">
        <w:rPr>
          <w:rFonts w:ascii="Cambria" w:hAnsi="Cambria"/>
          <w:sz w:val="20"/>
          <w:szCs w:val="20"/>
          <w:lang w:val="es-ES"/>
        </w:rPr>
        <w:t xml:space="preserve">momento </w:t>
      </w:r>
      <w:r w:rsidR="000D1735" w:rsidRPr="00444A18">
        <w:rPr>
          <w:rFonts w:ascii="Cambria" w:hAnsi="Cambria"/>
          <w:sz w:val="20"/>
          <w:szCs w:val="20"/>
          <w:lang w:val="es-ES"/>
        </w:rPr>
        <w:t xml:space="preserve">en que ratifican el </w:t>
      </w:r>
      <w:r w:rsidR="005366AE" w:rsidRPr="00444A18">
        <w:rPr>
          <w:rFonts w:ascii="Cambria" w:hAnsi="Cambria"/>
          <w:sz w:val="20"/>
          <w:szCs w:val="20"/>
          <w:lang w:val="es-ES"/>
        </w:rPr>
        <w:t>instrumento</w:t>
      </w:r>
      <w:r w:rsidR="000D1735" w:rsidRPr="00444A18">
        <w:rPr>
          <w:rFonts w:ascii="Cambria" w:hAnsi="Cambria"/>
          <w:sz w:val="20"/>
          <w:szCs w:val="20"/>
          <w:lang w:val="es-ES"/>
        </w:rPr>
        <w:t xml:space="preserve"> o se adhieren al mismo</w:t>
      </w:r>
      <w:r w:rsidR="005366AE" w:rsidRPr="00444A18">
        <w:rPr>
          <w:rFonts w:ascii="Cambria" w:hAnsi="Cambria"/>
          <w:sz w:val="20"/>
          <w:szCs w:val="20"/>
          <w:lang w:val="es-ES"/>
        </w:rPr>
        <w:t xml:space="preserve">. </w:t>
      </w:r>
      <w:r w:rsidR="004361B5" w:rsidRPr="00444A18">
        <w:rPr>
          <w:rFonts w:ascii="Cambria" w:hAnsi="Cambria"/>
          <w:sz w:val="20"/>
          <w:szCs w:val="20"/>
          <w:lang w:val="es-ES"/>
        </w:rPr>
        <w:t>En consecuencia</w:t>
      </w:r>
      <w:r w:rsidR="005366AE" w:rsidRPr="00444A18">
        <w:rPr>
          <w:rFonts w:ascii="Cambria" w:hAnsi="Cambria"/>
          <w:sz w:val="20"/>
          <w:szCs w:val="20"/>
          <w:lang w:val="es-ES"/>
        </w:rPr>
        <w:t>, e</w:t>
      </w:r>
      <w:r w:rsidR="000D1735" w:rsidRPr="00444A18">
        <w:rPr>
          <w:rFonts w:ascii="Cambria" w:hAnsi="Cambria"/>
          <w:sz w:val="20"/>
          <w:szCs w:val="20"/>
          <w:lang w:val="es-ES"/>
        </w:rPr>
        <w:t>n lo que se refiere a los demás</w:t>
      </w:r>
      <w:r w:rsidR="005366AE" w:rsidRPr="00444A18">
        <w:rPr>
          <w:rFonts w:ascii="Cambria" w:hAnsi="Cambria"/>
          <w:sz w:val="20"/>
          <w:szCs w:val="20"/>
          <w:lang w:val="es-ES"/>
        </w:rPr>
        <w:t xml:space="preserve"> </w:t>
      </w:r>
      <w:r w:rsidR="00394E04" w:rsidRPr="00444A18">
        <w:rPr>
          <w:rFonts w:ascii="Cambria" w:hAnsi="Cambria"/>
          <w:sz w:val="20"/>
          <w:szCs w:val="20"/>
          <w:lang w:val="es-ES"/>
        </w:rPr>
        <w:t>artículos</w:t>
      </w:r>
      <w:r w:rsidR="005366AE" w:rsidRPr="00444A18">
        <w:rPr>
          <w:rFonts w:ascii="Cambria" w:hAnsi="Cambria"/>
          <w:sz w:val="20"/>
          <w:szCs w:val="20"/>
          <w:lang w:val="es-ES"/>
        </w:rPr>
        <w:t xml:space="preserve"> d</w:t>
      </w:r>
      <w:r w:rsidR="000D1735" w:rsidRPr="00444A18">
        <w:rPr>
          <w:rFonts w:ascii="Cambria" w:hAnsi="Cambria"/>
          <w:sz w:val="20"/>
          <w:szCs w:val="20"/>
          <w:lang w:val="es-ES"/>
        </w:rPr>
        <w:t>e dicho t</w:t>
      </w:r>
      <w:r w:rsidR="005366AE" w:rsidRPr="00444A18">
        <w:rPr>
          <w:rFonts w:ascii="Cambria" w:hAnsi="Cambria"/>
          <w:sz w:val="20"/>
          <w:szCs w:val="20"/>
          <w:lang w:val="es-ES"/>
        </w:rPr>
        <w:t xml:space="preserve">ratado </w:t>
      </w:r>
      <w:r w:rsidR="004361B5" w:rsidRPr="00444A18">
        <w:rPr>
          <w:rFonts w:ascii="Cambria" w:hAnsi="Cambria"/>
          <w:sz w:val="20"/>
          <w:szCs w:val="20"/>
          <w:lang w:val="es-ES"/>
        </w:rPr>
        <w:t xml:space="preserve">indicados </w:t>
      </w:r>
      <w:r w:rsidR="005366AE" w:rsidRPr="00444A18">
        <w:rPr>
          <w:rFonts w:ascii="Cambria" w:hAnsi="Cambria"/>
          <w:sz w:val="20"/>
          <w:szCs w:val="20"/>
          <w:lang w:val="es-ES"/>
        </w:rPr>
        <w:t>p</w:t>
      </w:r>
      <w:r w:rsidR="000D1735" w:rsidRPr="00444A18">
        <w:rPr>
          <w:rFonts w:ascii="Cambria" w:hAnsi="Cambria"/>
          <w:sz w:val="20"/>
          <w:szCs w:val="20"/>
          <w:lang w:val="es-ES"/>
        </w:rPr>
        <w:t xml:space="preserve">or </w:t>
      </w:r>
      <w:r w:rsidR="005366AE" w:rsidRPr="00444A18">
        <w:rPr>
          <w:rFonts w:ascii="Cambria" w:hAnsi="Cambria"/>
          <w:sz w:val="20"/>
          <w:szCs w:val="20"/>
          <w:lang w:val="es-ES"/>
        </w:rPr>
        <w:t>la</w:t>
      </w:r>
      <w:r w:rsidR="000D1735" w:rsidRPr="00444A18">
        <w:rPr>
          <w:rFonts w:ascii="Cambria" w:hAnsi="Cambria"/>
          <w:sz w:val="20"/>
          <w:szCs w:val="20"/>
          <w:lang w:val="es-ES"/>
        </w:rPr>
        <w:t xml:space="preserve"> parte</w:t>
      </w:r>
      <w:r w:rsidR="005366AE" w:rsidRPr="00444A18">
        <w:rPr>
          <w:rFonts w:ascii="Cambria" w:hAnsi="Cambria"/>
          <w:sz w:val="20"/>
          <w:szCs w:val="20"/>
          <w:lang w:val="es-ES"/>
        </w:rPr>
        <w:t xml:space="preserve"> </w:t>
      </w:r>
      <w:r w:rsidR="00540850" w:rsidRPr="00444A18">
        <w:rPr>
          <w:rFonts w:ascii="Cambria" w:hAnsi="Cambria"/>
          <w:sz w:val="20"/>
          <w:szCs w:val="20"/>
          <w:lang w:val="es-ES"/>
        </w:rPr>
        <w:t>peticionaria</w:t>
      </w:r>
      <w:r w:rsidR="005366AE" w:rsidRPr="00444A18">
        <w:rPr>
          <w:rFonts w:ascii="Cambria" w:hAnsi="Cambria"/>
          <w:sz w:val="20"/>
          <w:szCs w:val="20"/>
          <w:lang w:val="es-ES"/>
        </w:rPr>
        <w:t xml:space="preserve">, </w:t>
      </w:r>
      <w:r w:rsidR="000D1735" w:rsidRPr="00444A18">
        <w:rPr>
          <w:rFonts w:ascii="Cambria" w:hAnsi="Cambria"/>
          <w:sz w:val="20"/>
          <w:szCs w:val="20"/>
          <w:lang w:val="es-ES"/>
        </w:rPr>
        <w:t>l</w:t>
      </w:r>
      <w:r w:rsidR="005366AE" w:rsidRPr="00444A18">
        <w:rPr>
          <w:rFonts w:ascii="Cambria" w:hAnsi="Cambria"/>
          <w:sz w:val="20"/>
          <w:szCs w:val="20"/>
          <w:lang w:val="es-ES"/>
        </w:rPr>
        <w:t xml:space="preserve">a </w:t>
      </w:r>
      <w:r w:rsidR="001A5D84" w:rsidRPr="00444A18">
        <w:rPr>
          <w:rFonts w:ascii="Cambria" w:hAnsi="Cambria"/>
          <w:sz w:val="20"/>
          <w:szCs w:val="20"/>
          <w:lang w:val="es-ES"/>
        </w:rPr>
        <w:t>Comisión</w:t>
      </w:r>
      <w:r w:rsidR="005366AE" w:rsidRPr="00444A18">
        <w:rPr>
          <w:rFonts w:ascii="Cambria" w:hAnsi="Cambria"/>
          <w:sz w:val="20"/>
          <w:szCs w:val="20"/>
          <w:lang w:val="es-ES"/>
        </w:rPr>
        <w:t xml:space="preserve"> rec</w:t>
      </w:r>
      <w:r w:rsidR="000D1735" w:rsidRPr="00444A18">
        <w:rPr>
          <w:rFonts w:ascii="Cambria" w:hAnsi="Cambria"/>
          <w:sz w:val="20"/>
          <w:szCs w:val="20"/>
          <w:lang w:val="es-ES"/>
        </w:rPr>
        <w:t xml:space="preserve">uerda que podrá tomarlos en cuenta </w:t>
      </w:r>
      <w:r w:rsidR="005366AE" w:rsidRPr="00444A18">
        <w:rPr>
          <w:rFonts w:ascii="Cambria" w:hAnsi="Cambria"/>
          <w:sz w:val="20"/>
          <w:szCs w:val="20"/>
          <w:lang w:val="es-ES"/>
        </w:rPr>
        <w:t>como parte d</w:t>
      </w:r>
      <w:r w:rsidR="000D1735" w:rsidRPr="00444A18">
        <w:rPr>
          <w:rFonts w:ascii="Cambria" w:hAnsi="Cambria"/>
          <w:sz w:val="20"/>
          <w:szCs w:val="20"/>
          <w:lang w:val="es-ES"/>
        </w:rPr>
        <w:t xml:space="preserve">e su interpretación de las </w:t>
      </w:r>
      <w:r w:rsidR="005366AE" w:rsidRPr="00444A18">
        <w:rPr>
          <w:rFonts w:ascii="Cambria" w:hAnsi="Cambria"/>
          <w:sz w:val="20"/>
          <w:szCs w:val="20"/>
          <w:lang w:val="es-ES"/>
        </w:rPr>
        <w:t>normas d</w:t>
      </w:r>
      <w:r w:rsidR="000D1735" w:rsidRPr="00444A18">
        <w:rPr>
          <w:rFonts w:ascii="Cambria" w:hAnsi="Cambria"/>
          <w:sz w:val="20"/>
          <w:szCs w:val="20"/>
          <w:lang w:val="es-ES"/>
        </w:rPr>
        <w:t xml:space="preserve">e la </w:t>
      </w:r>
      <w:r w:rsidR="001A5D84" w:rsidRPr="00444A18">
        <w:rPr>
          <w:rFonts w:ascii="Cambria" w:hAnsi="Cambria"/>
          <w:sz w:val="20"/>
          <w:szCs w:val="20"/>
          <w:lang w:val="es-ES"/>
        </w:rPr>
        <w:t>Convención</w:t>
      </w:r>
      <w:r w:rsidR="005366AE" w:rsidRPr="00444A18">
        <w:rPr>
          <w:rFonts w:ascii="Cambria" w:hAnsi="Cambria"/>
          <w:sz w:val="20"/>
          <w:szCs w:val="20"/>
          <w:lang w:val="es-ES"/>
        </w:rPr>
        <w:t xml:space="preserve"> Americana </w:t>
      </w:r>
      <w:r w:rsidR="000D1735" w:rsidRPr="00444A18">
        <w:rPr>
          <w:rFonts w:ascii="Cambria" w:hAnsi="Cambria"/>
          <w:sz w:val="20"/>
          <w:szCs w:val="20"/>
          <w:lang w:val="es-ES"/>
        </w:rPr>
        <w:t>e</w:t>
      </w:r>
      <w:r w:rsidR="005366AE" w:rsidRPr="00444A18">
        <w:rPr>
          <w:rFonts w:ascii="Cambria" w:hAnsi="Cambria"/>
          <w:sz w:val="20"/>
          <w:szCs w:val="20"/>
          <w:lang w:val="es-ES"/>
        </w:rPr>
        <w:t>n</w:t>
      </w:r>
      <w:r w:rsidR="000D1735" w:rsidRPr="00444A18">
        <w:rPr>
          <w:rFonts w:ascii="Cambria" w:hAnsi="Cambria"/>
          <w:sz w:val="20"/>
          <w:szCs w:val="20"/>
          <w:lang w:val="es-ES"/>
        </w:rPr>
        <w:t xml:space="preserve"> l</w:t>
      </w:r>
      <w:r w:rsidR="005366AE" w:rsidRPr="00444A18">
        <w:rPr>
          <w:rFonts w:ascii="Cambria" w:hAnsi="Cambria"/>
          <w:sz w:val="20"/>
          <w:szCs w:val="20"/>
          <w:lang w:val="es-ES"/>
        </w:rPr>
        <w:t xml:space="preserve">a etapa de </w:t>
      </w:r>
      <w:r w:rsidR="000D1735" w:rsidRPr="00444A18">
        <w:rPr>
          <w:rFonts w:ascii="Cambria" w:hAnsi="Cambria"/>
          <w:sz w:val="20"/>
          <w:szCs w:val="20"/>
          <w:lang w:val="es-ES"/>
        </w:rPr>
        <w:t>fondo, de conformidad con su artículo</w:t>
      </w:r>
      <w:r w:rsidR="005366AE" w:rsidRPr="00444A18">
        <w:rPr>
          <w:rFonts w:ascii="Cambria" w:hAnsi="Cambria"/>
          <w:sz w:val="20"/>
          <w:szCs w:val="20"/>
          <w:lang w:val="es-ES"/>
        </w:rPr>
        <w:t xml:space="preserve"> 29.</w:t>
      </w:r>
    </w:p>
    <w:p w14:paraId="0F9439F2" w14:textId="2BE61A51" w:rsidR="00B95180" w:rsidRPr="00EA1494" w:rsidRDefault="00444A18" w:rsidP="00B951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es-ES"/>
        </w:rPr>
      </w:pPr>
      <w:r w:rsidRPr="00FD3BA4">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w:t>
      </w:r>
      <w:r w:rsidRPr="00FD3BA4">
        <w:rPr>
          <w:rFonts w:asciiTheme="majorHAnsi" w:hAnsiTheme="majorHAnsi"/>
          <w:sz w:val="20"/>
          <w:szCs w:val="20"/>
          <w:lang w:val="es-ES"/>
        </w:rPr>
        <w:t>fondo pues los hechos alegados, de corroborarse como ciertos podrían caracterizar violaciones a los artículos</w:t>
      </w:r>
      <w:r>
        <w:rPr>
          <w:rFonts w:asciiTheme="majorHAnsi" w:hAnsiTheme="majorHAnsi"/>
          <w:sz w:val="20"/>
          <w:szCs w:val="20"/>
          <w:lang w:val="es-ES"/>
        </w:rPr>
        <w:t xml:space="preserve"> </w:t>
      </w:r>
      <w:r w:rsidR="003D7FC5" w:rsidRPr="009B4C53">
        <w:rPr>
          <w:rFonts w:ascii="Cambria" w:hAnsi="Cambria"/>
          <w:bCs/>
          <w:sz w:val="20"/>
          <w:szCs w:val="20"/>
          <w:lang w:val="es-ES"/>
        </w:rPr>
        <w:t xml:space="preserve">5 </w:t>
      </w:r>
      <w:r w:rsidR="00394E04" w:rsidRPr="009B4C53">
        <w:rPr>
          <w:rFonts w:ascii="Cambria" w:hAnsi="Cambria"/>
          <w:bCs/>
          <w:sz w:val="20"/>
          <w:szCs w:val="20"/>
          <w:lang w:val="es-ES"/>
        </w:rPr>
        <w:t>(derecho a la integridad personal)</w:t>
      </w:r>
      <w:r w:rsidR="003D7FC5" w:rsidRPr="009B4C53">
        <w:rPr>
          <w:rFonts w:ascii="Cambria" w:hAnsi="Cambria"/>
          <w:bCs/>
          <w:sz w:val="20"/>
          <w:szCs w:val="20"/>
          <w:lang w:val="es-ES"/>
        </w:rPr>
        <w:t>, 8 (</w:t>
      </w:r>
      <w:r w:rsidR="00394E04" w:rsidRPr="009B4C53">
        <w:rPr>
          <w:rFonts w:ascii="Cambria" w:hAnsi="Cambria"/>
          <w:bCs/>
          <w:sz w:val="20"/>
          <w:szCs w:val="20"/>
          <w:lang w:val="es-ES"/>
        </w:rPr>
        <w:t>garantías judiciales</w:t>
      </w:r>
      <w:r w:rsidR="003D7FC5" w:rsidRPr="009B4C53">
        <w:rPr>
          <w:rFonts w:ascii="Cambria" w:hAnsi="Cambria"/>
          <w:bCs/>
          <w:sz w:val="20"/>
          <w:szCs w:val="20"/>
          <w:lang w:val="es-ES"/>
        </w:rPr>
        <w:t xml:space="preserve">) </w:t>
      </w:r>
      <w:r w:rsidR="002A54BB" w:rsidRPr="009B4C53">
        <w:rPr>
          <w:rFonts w:ascii="Cambria" w:hAnsi="Cambria"/>
          <w:bCs/>
          <w:sz w:val="20"/>
          <w:szCs w:val="20"/>
          <w:lang w:val="es-ES"/>
        </w:rPr>
        <w:t>y</w:t>
      </w:r>
      <w:r w:rsidR="003D7FC5" w:rsidRPr="009B4C53">
        <w:rPr>
          <w:rFonts w:ascii="Cambria" w:hAnsi="Cambria"/>
          <w:bCs/>
          <w:sz w:val="20"/>
          <w:szCs w:val="20"/>
          <w:lang w:val="es-ES"/>
        </w:rPr>
        <w:t xml:space="preserve"> 25 (</w:t>
      </w:r>
      <w:r w:rsidR="00394E04" w:rsidRPr="009B4C53">
        <w:rPr>
          <w:rFonts w:ascii="Cambria" w:hAnsi="Cambria"/>
          <w:bCs/>
          <w:sz w:val="20"/>
          <w:szCs w:val="20"/>
          <w:lang w:val="es-ES"/>
        </w:rPr>
        <w:t>protección</w:t>
      </w:r>
      <w:r w:rsidR="003D7FC5" w:rsidRPr="009B4C53">
        <w:rPr>
          <w:rFonts w:ascii="Cambria" w:hAnsi="Cambria"/>
          <w:bCs/>
          <w:sz w:val="20"/>
          <w:szCs w:val="20"/>
          <w:lang w:val="es-ES"/>
        </w:rPr>
        <w:t xml:space="preserve"> judicial) d</w:t>
      </w:r>
      <w:r w:rsidR="002A54BB" w:rsidRPr="009B4C53">
        <w:rPr>
          <w:rFonts w:ascii="Cambria" w:hAnsi="Cambria"/>
          <w:bCs/>
          <w:sz w:val="20"/>
          <w:szCs w:val="20"/>
          <w:lang w:val="es-ES"/>
        </w:rPr>
        <w:t xml:space="preserve">e la </w:t>
      </w:r>
      <w:r w:rsidR="001A5D84" w:rsidRPr="009B4C53">
        <w:rPr>
          <w:rFonts w:ascii="Cambria" w:hAnsi="Cambria"/>
          <w:bCs/>
          <w:sz w:val="20"/>
          <w:szCs w:val="20"/>
          <w:lang w:val="es-ES"/>
        </w:rPr>
        <w:t>Convención</w:t>
      </w:r>
      <w:r w:rsidR="003D7FC5" w:rsidRPr="009B4C53">
        <w:rPr>
          <w:rFonts w:ascii="Cambria" w:hAnsi="Cambria"/>
          <w:bCs/>
          <w:sz w:val="20"/>
          <w:szCs w:val="20"/>
          <w:lang w:val="es-ES"/>
        </w:rPr>
        <w:t xml:space="preserve"> Americana, </w:t>
      </w:r>
      <w:r w:rsidR="00394E04" w:rsidRPr="009B4C53">
        <w:rPr>
          <w:rFonts w:ascii="Cambria" w:hAnsi="Cambria"/>
          <w:bCs/>
          <w:sz w:val="20"/>
          <w:szCs w:val="20"/>
          <w:lang w:val="es-ES"/>
        </w:rPr>
        <w:t>en relación con el artículo</w:t>
      </w:r>
      <w:r w:rsidR="003D7FC5" w:rsidRPr="009B4C53">
        <w:rPr>
          <w:rFonts w:ascii="Cambria" w:hAnsi="Cambria"/>
          <w:bCs/>
          <w:sz w:val="20"/>
          <w:szCs w:val="20"/>
          <w:lang w:val="es-ES"/>
        </w:rPr>
        <w:t xml:space="preserve"> 1.1 (</w:t>
      </w:r>
      <w:r w:rsidR="00394E04" w:rsidRPr="009B4C53">
        <w:rPr>
          <w:rFonts w:ascii="Cambria" w:hAnsi="Cambria"/>
          <w:bCs/>
          <w:sz w:val="20"/>
          <w:szCs w:val="20"/>
          <w:lang w:val="es-ES"/>
        </w:rPr>
        <w:t xml:space="preserve">obligación de </w:t>
      </w:r>
      <w:r w:rsidR="00394E04" w:rsidRPr="009B4C53">
        <w:rPr>
          <w:rFonts w:ascii="Cambria" w:hAnsi="Cambria"/>
          <w:bCs/>
          <w:sz w:val="20"/>
          <w:szCs w:val="20"/>
          <w:lang w:val="es-ES"/>
        </w:rPr>
        <w:lastRenderedPageBreak/>
        <w:t>respetar los derechos</w:t>
      </w:r>
      <w:r w:rsidR="003D7FC5" w:rsidRPr="009B4C53">
        <w:rPr>
          <w:rFonts w:ascii="Cambria" w:hAnsi="Cambria"/>
          <w:bCs/>
          <w:sz w:val="20"/>
          <w:szCs w:val="20"/>
          <w:lang w:val="es-ES"/>
        </w:rPr>
        <w:t>)</w:t>
      </w:r>
      <w:r w:rsidR="002A54BB" w:rsidRPr="009B4C53">
        <w:rPr>
          <w:rFonts w:ascii="Cambria" w:hAnsi="Cambria"/>
          <w:bCs/>
          <w:sz w:val="20"/>
          <w:szCs w:val="20"/>
          <w:lang w:val="es-ES"/>
        </w:rPr>
        <w:t xml:space="preserve">, y los </w:t>
      </w:r>
      <w:r w:rsidR="00394E04" w:rsidRPr="009B4C53">
        <w:rPr>
          <w:rFonts w:ascii="Cambria" w:hAnsi="Cambria"/>
          <w:bCs/>
          <w:sz w:val="20"/>
          <w:szCs w:val="20"/>
          <w:lang w:val="es-ES"/>
        </w:rPr>
        <w:t>artículos</w:t>
      </w:r>
      <w:r w:rsidR="003D7FC5" w:rsidRPr="009B4C53">
        <w:rPr>
          <w:rFonts w:ascii="Cambria" w:hAnsi="Cambria"/>
          <w:bCs/>
          <w:sz w:val="20"/>
          <w:szCs w:val="20"/>
          <w:lang w:val="es-ES"/>
        </w:rPr>
        <w:t xml:space="preserve"> 1, 6 </w:t>
      </w:r>
      <w:r w:rsidR="002A54BB" w:rsidRPr="009B4C53">
        <w:rPr>
          <w:rFonts w:ascii="Cambria" w:hAnsi="Cambria"/>
          <w:bCs/>
          <w:sz w:val="20"/>
          <w:szCs w:val="20"/>
          <w:lang w:val="es-ES"/>
        </w:rPr>
        <w:t>y</w:t>
      </w:r>
      <w:r w:rsidR="003D7FC5" w:rsidRPr="009B4C53">
        <w:rPr>
          <w:rFonts w:ascii="Cambria" w:hAnsi="Cambria"/>
          <w:bCs/>
          <w:sz w:val="20"/>
          <w:szCs w:val="20"/>
          <w:lang w:val="es-ES"/>
        </w:rPr>
        <w:t xml:space="preserve"> 8 d</w:t>
      </w:r>
      <w:r w:rsidR="002A54BB" w:rsidRPr="009B4C53">
        <w:rPr>
          <w:rFonts w:ascii="Cambria" w:hAnsi="Cambria"/>
          <w:bCs/>
          <w:sz w:val="20"/>
          <w:szCs w:val="20"/>
          <w:lang w:val="es-ES"/>
        </w:rPr>
        <w:t xml:space="preserve">e la </w:t>
      </w:r>
      <w:r w:rsidR="001A5D84" w:rsidRPr="009B4C53">
        <w:rPr>
          <w:rFonts w:ascii="Cambria" w:hAnsi="Cambria"/>
          <w:bCs/>
          <w:sz w:val="20"/>
          <w:szCs w:val="20"/>
          <w:lang w:val="es-ES"/>
        </w:rPr>
        <w:t>Convención Interamericana para Prevenir y Sancionar la Tortura</w:t>
      </w:r>
      <w:r w:rsidR="003D7FC5" w:rsidRPr="009B4C53">
        <w:rPr>
          <w:rFonts w:ascii="Cambria" w:hAnsi="Cambria"/>
          <w:bCs/>
          <w:sz w:val="20"/>
          <w:szCs w:val="20"/>
          <w:lang w:val="es-ES"/>
        </w:rPr>
        <w:t>.</w:t>
      </w:r>
    </w:p>
    <w:p w14:paraId="1533F72C" w14:textId="77777777" w:rsidR="00142F8A" w:rsidRPr="00142F8A" w:rsidRDefault="00142F8A" w:rsidP="00142F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142F8A">
        <w:rPr>
          <w:rFonts w:ascii="Cambria" w:hAnsi="Cambria" w:cs="Calibri"/>
          <w:sz w:val="20"/>
          <w:szCs w:val="20"/>
          <w:lang w:val="es-ES_tradnl"/>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14:paraId="29BB41F5" w14:textId="2FA983D9" w:rsidR="003239B8" w:rsidRPr="00142F8A" w:rsidRDefault="00EC72AB" w:rsidP="00142F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ind w:left="720"/>
        <w:jc w:val="both"/>
        <w:rPr>
          <w:rFonts w:asciiTheme="majorHAnsi" w:hAnsiTheme="majorHAnsi"/>
          <w:sz w:val="20"/>
          <w:szCs w:val="20"/>
          <w:lang w:val="es-ES"/>
        </w:rPr>
      </w:pPr>
      <w:r w:rsidRPr="00142F8A">
        <w:rPr>
          <w:rFonts w:ascii="Cambria" w:hAnsi="Cambria"/>
          <w:b/>
          <w:bCs/>
          <w:sz w:val="20"/>
          <w:szCs w:val="20"/>
          <w:lang w:val="es-ES"/>
        </w:rPr>
        <w:t>VI</w:t>
      </w:r>
      <w:r w:rsidR="00F04591" w:rsidRPr="00142F8A">
        <w:rPr>
          <w:rFonts w:ascii="Cambria" w:hAnsi="Cambria"/>
          <w:b/>
          <w:bCs/>
          <w:sz w:val="20"/>
          <w:szCs w:val="20"/>
          <w:lang w:val="es-ES"/>
        </w:rPr>
        <w:t>II</w:t>
      </w:r>
      <w:r w:rsidR="003239B8" w:rsidRPr="00142F8A">
        <w:rPr>
          <w:rFonts w:ascii="Cambria" w:hAnsi="Cambria"/>
          <w:b/>
          <w:bCs/>
          <w:sz w:val="20"/>
          <w:szCs w:val="20"/>
          <w:lang w:val="es-ES"/>
        </w:rPr>
        <w:t xml:space="preserve">. </w:t>
      </w:r>
      <w:r w:rsidR="003239B8" w:rsidRPr="00142F8A">
        <w:rPr>
          <w:rFonts w:ascii="Cambria" w:hAnsi="Cambria"/>
          <w:b/>
          <w:bCs/>
          <w:sz w:val="20"/>
          <w:szCs w:val="20"/>
          <w:lang w:val="es-ES"/>
        </w:rPr>
        <w:tab/>
      </w:r>
      <w:r w:rsidR="002A54BB" w:rsidRPr="00142F8A">
        <w:rPr>
          <w:rFonts w:ascii="Cambria" w:hAnsi="Cambria"/>
          <w:b/>
          <w:bCs/>
          <w:sz w:val="20"/>
          <w:szCs w:val="20"/>
          <w:lang w:val="es-ES"/>
        </w:rPr>
        <w:t>DECISIÓN</w:t>
      </w:r>
    </w:p>
    <w:p w14:paraId="0FDE1D10" w14:textId="54FFD4FA" w:rsidR="003239B8" w:rsidRPr="009B4C53" w:rsidRDefault="002A54BB"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9B4C53">
        <w:rPr>
          <w:rFonts w:ascii="Cambria" w:hAnsi="Cambria"/>
          <w:sz w:val="20"/>
          <w:szCs w:val="20"/>
          <w:lang w:val="es-ES"/>
        </w:rPr>
        <w:t>Declarar admisible la presente petición en lo que respecta a los artículos</w:t>
      </w:r>
      <w:r w:rsidR="003D7FC5" w:rsidRPr="009B4C53">
        <w:rPr>
          <w:rFonts w:ascii="Cambria" w:hAnsi="Cambria"/>
          <w:bCs/>
          <w:sz w:val="20"/>
          <w:szCs w:val="20"/>
          <w:lang w:val="es-ES"/>
        </w:rPr>
        <w:t xml:space="preserve"> 5, 8 </w:t>
      </w:r>
      <w:r w:rsidRPr="009B4C53">
        <w:rPr>
          <w:rFonts w:ascii="Cambria" w:hAnsi="Cambria"/>
          <w:bCs/>
          <w:sz w:val="20"/>
          <w:szCs w:val="20"/>
          <w:lang w:val="es-ES"/>
        </w:rPr>
        <w:t>y</w:t>
      </w:r>
      <w:r w:rsidR="003D7FC5" w:rsidRPr="009B4C53">
        <w:rPr>
          <w:rFonts w:ascii="Cambria" w:hAnsi="Cambria"/>
          <w:bCs/>
          <w:sz w:val="20"/>
          <w:szCs w:val="20"/>
          <w:lang w:val="es-ES"/>
        </w:rPr>
        <w:t xml:space="preserve"> 25 d</w:t>
      </w:r>
      <w:r w:rsidRPr="009B4C53">
        <w:rPr>
          <w:rFonts w:ascii="Cambria" w:hAnsi="Cambria"/>
          <w:bCs/>
          <w:sz w:val="20"/>
          <w:szCs w:val="20"/>
          <w:lang w:val="es-ES"/>
        </w:rPr>
        <w:t>e l</w:t>
      </w:r>
      <w:r w:rsidR="003D7FC5" w:rsidRPr="009B4C53">
        <w:rPr>
          <w:rFonts w:ascii="Cambria" w:hAnsi="Cambria"/>
          <w:bCs/>
          <w:sz w:val="20"/>
          <w:szCs w:val="20"/>
          <w:lang w:val="es-ES"/>
        </w:rPr>
        <w:t xml:space="preserve">a </w:t>
      </w:r>
      <w:r w:rsidR="001A5D84" w:rsidRPr="009B4C53">
        <w:rPr>
          <w:rFonts w:ascii="Cambria" w:hAnsi="Cambria"/>
          <w:bCs/>
          <w:sz w:val="20"/>
          <w:szCs w:val="20"/>
          <w:lang w:val="es-ES"/>
        </w:rPr>
        <w:t>Convención</w:t>
      </w:r>
      <w:r w:rsidR="003D7FC5" w:rsidRPr="009B4C53">
        <w:rPr>
          <w:rFonts w:ascii="Cambria" w:hAnsi="Cambria"/>
          <w:bCs/>
          <w:sz w:val="20"/>
          <w:szCs w:val="20"/>
          <w:lang w:val="es-ES"/>
        </w:rPr>
        <w:t xml:space="preserve"> Americana, </w:t>
      </w:r>
      <w:r w:rsidR="00394E04" w:rsidRPr="009B4C53">
        <w:rPr>
          <w:rFonts w:ascii="Cambria" w:hAnsi="Cambria"/>
          <w:bCs/>
          <w:sz w:val="20"/>
          <w:szCs w:val="20"/>
          <w:lang w:val="es-ES"/>
        </w:rPr>
        <w:t>en relación con el artículo</w:t>
      </w:r>
      <w:r w:rsidR="003D7FC5" w:rsidRPr="009B4C53">
        <w:rPr>
          <w:rFonts w:ascii="Cambria" w:hAnsi="Cambria"/>
          <w:bCs/>
          <w:sz w:val="20"/>
          <w:szCs w:val="20"/>
          <w:lang w:val="es-ES"/>
        </w:rPr>
        <w:t xml:space="preserve"> 1.1</w:t>
      </w:r>
      <w:r w:rsidRPr="009B4C53">
        <w:rPr>
          <w:rFonts w:ascii="Cambria" w:hAnsi="Cambria"/>
          <w:bCs/>
          <w:sz w:val="20"/>
          <w:szCs w:val="20"/>
          <w:lang w:val="es-ES"/>
        </w:rPr>
        <w:t>,</w:t>
      </w:r>
      <w:r w:rsidR="003D7FC5" w:rsidRPr="009B4C53">
        <w:rPr>
          <w:rFonts w:ascii="Cambria" w:hAnsi="Cambria"/>
          <w:bCs/>
          <w:sz w:val="20"/>
          <w:szCs w:val="20"/>
          <w:lang w:val="es-ES"/>
        </w:rPr>
        <w:t xml:space="preserve"> </w:t>
      </w:r>
      <w:r w:rsidRPr="009B4C53">
        <w:rPr>
          <w:rFonts w:ascii="Cambria" w:hAnsi="Cambria"/>
          <w:bCs/>
          <w:sz w:val="20"/>
          <w:szCs w:val="20"/>
          <w:lang w:val="es-ES"/>
        </w:rPr>
        <w:t xml:space="preserve">y los </w:t>
      </w:r>
      <w:r w:rsidR="00394E04" w:rsidRPr="009B4C53">
        <w:rPr>
          <w:rFonts w:ascii="Cambria" w:hAnsi="Cambria"/>
          <w:bCs/>
          <w:sz w:val="20"/>
          <w:szCs w:val="20"/>
          <w:lang w:val="es-ES"/>
        </w:rPr>
        <w:t>artículos</w:t>
      </w:r>
      <w:r w:rsidR="003D7FC5" w:rsidRPr="009B4C53">
        <w:rPr>
          <w:rFonts w:ascii="Cambria" w:hAnsi="Cambria"/>
          <w:bCs/>
          <w:sz w:val="20"/>
          <w:szCs w:val="20"/>
          <w:lang w:val="es-ES"/>
        </w:rPr>
        <w:t xml:space="preserve"> 1, 6 </w:t>
      </w:r>
      <w:r w:rsidRPr="009B4C53">
        <w:rPr>
          <w:rFonts w:ascii="Cambria" w:hAnsi="Cambria"/>
          <w:bCs/>
          <w:sz w:val="20"/>
          <w:szCs w:val="20"/>
          <w:lang w:val="es-ES"/>
        </w:rPr>
        <w:t>y</w:t>
      </w:r>
      <w:r w:rsidR="003D7FC5" w:rsidRPr="009B4C53">
        <w:rPr>
          <w:rFonts w:ascii="Cambria" w:hAnsi="Cambria"/>
          <w:bCs/>
          <w:sz w:val="20"/>
          <w:szCs w:val="20"/>
          <w:lang w:val="es-ES"/>
        </w:rPr>
        <w:t xml:space="preserve"> 8 d</w:t>
      </w:r>
      <w:r w:rsidRPr="009B4C53">
        <w:rPr>
          <w:rFonts w:ascii="Cambria" w:hAnsi="Cambria"/>
          <w:bCs/>
          <w:sz w:val="20"/>
          <w:szCs w:val="20"/>
          <w:lang w:val="es-ES"/>
        </w:rPr>
        <w:t>e la</w:t>
      </w:r>
      <w:r w:rsidR="003D7FC5" w:rsidRPr="009B4C53">
        <w:rPr>
          <w:rFonts w:ascii="Cambria" w:hAnsi="Cambria"/>
          <w:bCs/>
          <w:sz w:val="20"/>
          <w:szCs w:val="20"/>
          <w:lang w:val="es-ES"/>
        </w:rPr>
        <w:t xml:space="preserve"> </w:t>
      </w:r>
      <w:r w:rsidR="001A5D84" w:rsidRPr="009B4C53">
        <w:rPr>
          <w:rFonts w:ascii="Cambria" w:hAnsi="Cambria"/>
          <w:bCs/>
          <w:sz w:val="20"/>
          <w:szCs w:val="20"/>
          <w:lang w:val="es-ES"/>
        </w:rPr>
        <w:t>Convención Interamericana para Prevenir y Sancionar la Tortura</w:t>
      </w:r>
      <w:r w:rsidR="003D7FC5" w:rsidRPr="009B4C53">
        <w:rPr>
          <w:rFonts w:ascii="Cambria" w:hAnsi="Cambria"/>
          <w:bCs/>
          <w:sz w:val="20"/>
          <w:szCs w:val="20"/>
          <w:lang w:val="es-ES"/>
        </w:rPr>
        <w:t>.</w:t>
      </w:r>
    </w:p>
    <w:p w14:paraId="570DA61C" w14:textId="2EFCD310" w:rsidR="000419AD" w:rsidRPr="009B4C53" w:rsidRDefault="002A54BB" w:rsidP="004A59CC">
      <w:pPr>
        <w:pStyle w:val="ListParagraph"/>
        <w:numPr>
          <w:ilvl w:val="0"/>
          <w:numId w:val="109"/>
        </w:numPr>
        <w:spacing w:after="120"/>
        <w:jc w:val="both"/>
        <w:rPr>
          <w:rFonts w:eastAsia="Arial Unicode MS" w:cs="Times New Roman"/>
          <w:color w:val="auto"/>
          <w:sz w:val="20"/>
          <w:szCs w:val="20"/>
          <w:lang w:val="es-ES" w:eastAsia="en-US"/>
        </w:rPr>
      </w:pPr>
      <w:r w:rsidRPr="009B4C53">
        <w:rPr>
          <w:rFonts w:eastAsia="Arial Unicode MS" w:cs="Times New Roman"/>
          <w:color w:val="auto"/>
          <w:sz w:val="20"/>
          <w:szCs w:val="20"/>
          <w:lang w:val="es-ES" w:eastAsia="en-US"/>
        </w:rPr>
        <w:t xml:space="preserve">Declarar </w:t>
      </w:r>
      <w:r w:rsidR="0094338B">
        <w:rPr>
          <w:rFonts w:eastAsia="Arial Unicode MS" w:cs="Times New Roman"/>
          <w:color w:val="auto"/>
          <w:sz w:val="20"/>
          <w:szCs w:val="20"/>
          <w:lang w:val="es-ES" w:eastAsia="en-US"/>
        </w:rPr>
        <w:t>in</w:t>
      </w:r>
      <w:r w:rsidRPr="009B4C53">
        <w:rPr>
          <w:rFonts w:eastAsia="Arial Unicode MS" w:cs="Times New Roman"/>
          <w:color w:val="auto"/>
          <w:sz w:val="20"/>
          <w:szCs w:val="20"/>
          <w:lang w:val="es-ES" w:eastAsia="en-US"/>
        </w:rPr>
        <w:t>admisible la presente petición en lo que respecta al artículo</w:t>
      </w:r>
      <w:r w:rsidR="003D7FC5" w:rsidRPr="009B4C53">
        <w:rPr>
          <w:color w:val="auto"/>
          <w:sz w:val="20"/>
          <w:szCs w:val="20"/>
          <w:lang w:val="es-ES"/>
        </w:rPr>
        <w:t xml:space="preserve"> 2 d</w:t>
      </w:r>
      <w:r w:rsidRPr="009B4C53">
        <w:rPr>
          <w:color w:val="auto"/>
          <w:sz w:val="20"/>
          <w:szCs w:val="20"/>
          <w:lang w:val="es-ES"/>
        </w:rPr>
        <w:t>e l</w:t>
      </w:r>
      <w:r w:rsidR="003D7FC5" w:rsidRPr="009B4C53">
        <w:rPr>
          <w:color w:val="auto"/>
          <w:sz w:val="20"/>
          <w:szCs w:val="20"/>
          <w:lang w:val="es-ES"/>
        </w:rPr>
        <w:t xml:space="preserve">a </w:t>
      </w:r>
      <w:r w:rsidR="001A5D84" w:rsidRPr="009B4C53">
        <w:rPr>
          <w:bCs/>
          <w:color w:val="auto"/>
          <w:sz w:val="20"/>
          <w:szCs w:val="20"/>
          <w:lang w:val="es-ES"/>
        </w:rPr>
        <w:t>Convención Interamericana para Prevenir y Sancionar la Tortura</w:t>
      </w:r>
      <w:r w:rsidR="003D7FC5" w:rsidRPr="009B4C53">
        <w:rPr>
          <w:bCs/>
          <w:color w:val="auto"/>
          <w:sz w:val="20"/>
          <w:szCs w:val="20"/>
          <w:lang w:val="es-ES"/>
        </w:rPr>
        <w:t>.</w:t>
      </w:r>
    </w:p>
    <w:p w14:paraId="7CD4DFBD" w14:textId="34B88595" w:rsidR="003239B8" w:rsidRPr="00C905F4" w:rsidRDefault="002A54BB" w:rsidP="003B1F0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lang w:val="es-ES"/>
        </w:rPr>
      </w:pPr>
      <w:r w:rsidRPr="009B4C53">
        <w:rPr>
          <w:rFonts w:ascii="Cambria" w:hAnsi="Cambria"/>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3B1F09" w:rsidRPr="009B4C53">
        <w:rPr>
          <w:rFonts w:ascii="Cambria" w:hAnsi="Cambria"/>
          <w:sz w:val="20"/>
          <w:szCs w:val="20"/>
          <w:lang w:val="es-ES"/>
        </w:rPr>
        <w:t>.</w:t>
      </w:r>
    </w:p>
    <w:p w14:paraId="25E985B7" w14:textId="251D1BA1" w:rsidR="00C905F4" w:rsidRPr="00BB2DCA" w:rsidRDefault="00C905F4" w:rsidP="00C905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lang w:val="es-ES"/>
        </w:rPr>
      </w:pPr>
      <w:r>
        <w:rPr>
          <w:rFonts w:asciiTheme="majorHAnsi" w:hAnsiTheme="majorHAnsi" w:cs="Arial"/>
          <w:noProof/>
          <w:spacing w:val="-2"/>
          <w:sz w:val="20"/>
          <w:szCs w:val="20"/>
          <w:lang w:val="es-CL"/>
        </w:rPr>
        <w:tab/>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p>
    <w:sectPr w:rsidR="00C905F4" w:rsidRPr="00BB2DC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8F066" w14:textId="77777777" w:rsidR="003D6EB4" w:rsidRDefault="003D6EB4">
      <w:r>
        <w:separator/>
      </w:r>
    </w:p>
  </w:endnote>
  <w:endnote w:type="continuationSeparator" w:id="0">
    <w:p w14:paraId="489C77C8" w14:textId="77777777" w:rsidR="003D6EB4" w:rsidRDefault="003D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890B" w14:textId="77777777" w:rsidR="00BB553D" w:rsidRDefault="00BB5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13DF45B" w:rsidR="007E5B3C" w:rsidRPr="00934A2C" w:rsidRDefault="007E5B3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B553D">
          <w:rPr>
            <w:noProof/>
            <w:sz w:val="16"/>
            <w:szCs w:val="22"/>
          </w:rPr>
          <w:t>5</w:t>
        </w:r>
        <w:r w:rsidRPr="00934A2C">
          <w:rPr>
            <w:noProof/>
            <w:sz w:val="16"/>
            <w:szCs w:val="22"/>
          </w:rPr>
          <w:fldChar w:fldCharType="end"/>
        </w:r>
      </w:p>
    </w:sdtContent>
  </w:sdt>
  <w:p w14:paraId="68530E6A" w14:textId="77777777" w:rsidR="007E5B3C" w:rsidRDefault="007E5B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E5B3C" w:rsidRPr="00934A2C" w:rsidRDefault="007E5B3C">
    <w:pPr>
      <w:pStyle w:val="Footer"/>
      <w:jc w:val="center"/>
      <w:rPr>
        <w:sz w:val="16"/>
        <w:szCs w:val="22"/>
      </w:rPr>
    </w:pPr>
  </w:p>
  <w:p w14:paraId="49059CE3" w14:textId="77777777" w:rsidR="007E5B3C" w:rsidRDefault="007E5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F40DF" w14:textId="77777777" w:rsidR="003D6EB4" w:rsidRPr="000F35ED" w:rsidRDefault="003D6EB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72355F7" w14:textId="77777777" w:rsidR="003D6EB4" w:rsidRPr="000F35ED" w:rsidRDefault="003D6EB4" w:rsidP="000F35ED">
      <w:pPr>
        <w:rPr>
          <w:rFonts w:asciiTheme="majorHAnsi" w:hAnsiTheme="majorHAnsi"/>
          <w:sz w:val="16"/>
          <w:szCs w:val="16"/>
        </w:rPr>
      </w:pPr>
      <w:r w:rsidRPr="000F35ED">
        <w:rPr>
          <w:rFonts w:asciiTheme="majorHAnsi" w:hAnsiTheme="majorHAnsi"/>
          <w:sz w:val="16"/>
          <w:szCs w:val="16"/>
        </w:rPr>
        <w:separator/>
      </w:r>
    </w:p>
    <w:p w14:paraId="51A5D772" w14:textId="77777777" w:rsidR="003D6EB4" w:rsidRPr="000F35ED" w:rsidRDefault="003D6EB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AE84B35" w14:textId="77777777" w:rsidR="003D6EB4" w:rsidRPr="000F35ED" w:rsidRDefault="003D6EB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6E0AEF" w14:textId="3EA47991" w:rsidR="007E5B3C" w:rsidRPr="00540850" w:rsidRDefault="007E5B3C" w:rsidP="00394E04">
      <w:pPr>
        <w:pStyle w:val="FootnoteText"/>
        <w:jc w:val="both"/>
        <w:rPr>
          <w:rFonts w:asciiTheme="majorHAnsi" w:hAnsiTheme="majorHAnsi"/>
          <w:sz w:val="16"/>
          <w:szCs w:val="16"/>
          <w:lang w:val="es-ES"/>
        </w:rPr>
      </w:pPr>
      <w:r w:rsidRPr="00540850">
        <w:rPr>
          <w:rStyle w:val="FootnoteReference"/>
          <w:rFonts w:asciiTheme="majorHAnsi" w:hAnsiTheme="majorHAnsi"/>
          <w:sz w:val="16"/>
          <w:szCs w:val="16"/>
          <w:lang w:val="es-ES"/>
        </w:rPr>
        <w:footnoteRef/>
      </w:r>
      <w:r w:rsidRPr="00540850">
        <w:rPr>
          <w:rFonts w:asciiTheme="majorHAnsi" w:hAnsiTheme="majorHAnsi"/>
          <w:sz w:val="16"/>
          <w:szCs w:val="16"/>
          <w:lang w:val="es-ES"/>
        </w:rPr>
        <w:t xml:space="preserve"> De conformidad con lo dispuesto en el artículo 17.2.a del Reglamento de la Comisión, la comisionada </w:t>
      </w:r>
      <w:proofErr w:type="spellStart"/>
      <w:r w:rsidRPr="00540850">
        <w:rPr>
          <w:rFonts w:asciiTheme="majorHAnsi" w:hAnsiTheme="majorHAnsi"/>
          <w:sz w:val="16"/>
          <w:szCs w:val="16"/>
          <w:lang w:val="es-ES"/>
        </w:rPr>
        <w:t>Flávia</w:t>
      </w:r>
      <w:proofErr w:type="spellEnd"/>
      <w:r w:rsidRPr="00540850">
        <w:rPr>
          <w:rFonts w:asciiTheme="majorHAnsi" w:hAnsiTheme="majorHAnsi"/>
          <w:sz w:val="16"/>
          <w:szCs w:val="16"/>
          <w:lang w:val="es-ES"/>
        </w:rPr>
        <w:t xml:space="preserve"> </w:t>
      </w:r>
      <w:proofErr w:type="spellStart"/>
      <w:r w:rsidRPr="00540850">
        <w:rPr>
          <w:rFonts w:asciiTheme="majorHAnsi" w:hAnsiTheme="majorHAnsi"/>
          <w:sz w:val="16"/>
          <w:szCs w:val="16"/>
          <w:lang w:val="es-ES"/>
        </w:rPr>
        <w:t>Piovesan</w:t>
      </w:r>
      <w:proofErr w:type="spellEnd"/>
      <w:r w:rsidRPr="00540850">
        <w:rPr>
          <w:rFonts w:asciiTheme="majorHAnsi" w:hAnsiTheme="majorHAnsi"/>
          <w:sz w:val="16"/>
          <w:szCs w:val="16"/>
          <w:lang w:val="es-ES"/>
        </w:rPr>
        <w:t>, de nacionalidad brasileña, no participó en el debate ni en la decisión sobre este caso.</w:t>
      </w:r>
    </w:p>
  </w:footnote>
  <w:footnote w:id="3">
    <w:p w14:paraId="3C94C12E" w14:textId="22B937AB" w:rsidR="007E5B3C" w:rsidRPr="00540850" w:rsidRDefault="007E5B3C" w:rsidP="00394E04">
      <w:pPr>
        <w:pStyle w:val="FootnoteText"/>
        <w:jc w:val="both"/>
        <w:rPr>
          <w:rFonts w:asciiTheme="majorHAnsi" w:hAnsiTheme="majorHAnsi"/>
          <w:sz w:val="16"/>
          <w:szCs w:val="16"/>
          <w:lang w:val="es-ES"/>
        </w:rPr>
      </w:pPr>
      <w:r w:rsidRPr="00540850">
        <w:rPr>
          <w:rStyle w:val="FootnoteReference"/>
          <w:rFonts w:asciiTheme="majorHAnsi" w:hAnsiTheme="majorHAnsi"/>
          <w:sz w:val="16"/>
          <w:szCs w:val="16"/>
          <w:lang w:val="es-ES"/>
        </w:rPr>
        <w:footnoteRef/>
      </w:r>
      <w:r w:rsidRPr="00540850">
        <w:rPr>
          <w:rFonts w:asciiTheme="majorHAnsi" w:hAnsiTheme="majorHAnsi"/>
          <w:sz w:val="16"/>
          <w:szCs w:val="16"/>
          <w:lang w:val="es-ES"/>
        </w:rPr>
        <w:t xml:space="preserve"> En adelante “la Convención Americana” o “la Convención”.</w:t>
      </w:r>
    </w:p>
  </w:footnote>
  <w:footnote w:id="4">
    <w:p w14:paraId="79F07139" w14:textId="312BDD9A" w:rsidR="007E5B3C" w:rsidRPr="00540850" w:rsidRDefault="007E5B3C" w:rsidP="003D7FC5">
      <w:pPr>
        <w:pStyle w:val="FootnoteText"/>
        <w:jc w:val="both"/>
        <w:rPr>
          <w:rFonts w:asciiTheme="majorHAnsi" w:hAnsiTheme="majorHAnsi"/>
          <w:sz w:val="16"/>
          <w:szCs w:val="16"/>
          <w:lang w:val="es-ES"/>
        </w:rPr>
      </w:pPr>
      <w:r w:rsidRPr="00540850">
        <w:rPr>
          <w:rStyle w:val="FootnoteReference"/>
          <w:rFonts w:asciiTheme="majorHAnsi" w:hAnsiTheme="majorHAnsi"/>
          <w:sz w:val="16"/>
          <w:szCs w:val="16"/>
          <w:lang w:val="es-ES"/>
        </w:rPr>
        <w:footnoteRef/>
      </w:r>
      <w:r w:rsidRPr="00540850">
        <w:rPr>
          <w:rFonts w:asciiTheme="majorHAnsi" w:hAnsiTheme="majorHAnsi"/>
          <w:sz w:val="16"/>
          <w:szCs w:val="16"/>
          <w:lang w:val="es-ES"/>
        </w:rPr>
        <w:t xml:space="preserve"> Las observaciones de cada parte fueron transmitidas debidamente a la parte contraria.</w:t>
      </w:r>
    </w:p>
  </w:footnote>
  <w:footnote w:id="5">
    <w:p w14:paraId="483D6061" w14:textId="3A3D7B05" w:rsidR="007E5B3C" w:rsidRPr="00CF2D93" w:rsidRDefault="007E5B3C" w:rsidP="003D7FC5">
      <w:pPr>
        <w:pStyle w:val="FootnoteText"/>
        <w:jc w:val="both"/>
        <w:rPr>
          <w:rFonts w:asciiTheme="majorHAnsi" w:hAnsiTheme="majorHAnsi"/>
          <w:sz w:val="16"/>
          <w:szCs w:val="16"/>
          <w:lang w:val="es-ES"/>
        </w:rPr>
      </w:pPr>
      <w:r w:rsidRPr="00CF2D93">
        <w:rPr>
          <w:rStyle w:val="FootnoteReference"/>
          <w:rFonts w:asciiTheme="majorHAnsi" w:hAnsiTheme="majorHAnsi"/>
          <w:sz w:val="16"/>
          <w:szCs w:val="16"/>
          <w:lang w:val="es-ES"/>
        </w:rPr>
        <w:footnoteRef/>
      </w:r>
      <w:r w:rsidRPr="00CF2D93">
        <w:rPr>
          <w:rFonts w:asciiTheme="majorHAnsi" w:hAnsiTheme="majorHAnsi"/>
          <w:sz w:val="16"/>
          <w:szCs w:val="16"/>
          <w:lang w:val="es-ES"/>
        </w:rPr>
        <w:t xml:space="preserve"> CIDH. Informe No. 159/17. Admisibilidad. Sebastián </w:t>
      </w:r>
      <w:proofErr w:type="spellStart"/>
      <w:r w:rsidRPr="00CF2D93">
        <w:rPr>
          <w:rFonts w:asciiTheme="majorHAnsi" w:hAnsiTheme="majorHAnsi"/>
          <w:sz w:val="16"/>
          <w:szCs w:val="16"/>
          <w:lang w:val="es-ES"/>
        </w:rPr>
        <w:t>Larroza</w:t>
      </w:r>
      <w:proofErr w:type="spellEnd"/>
      <w:r w:rsidRPr="00CF2D93">
        <w:rPr>
          <w:rFonts w:asciiTheme="majorHAnsi" w:hAnsiTheme="majorHAnsi"/>
          <w:sz w:val="16"/>
          <w:szCs w:val="16"/>
          <w:lang w:val="es-ES"/>
        </w:rPr>
        <w:t xml:space="preserve"> Velásquez y familia. Paraguay. 30 de noviembre de 2017, párr. 14.</w:t>
      </w:r>
    </w:p>
  </w:footnote>
  <w:footnote w:id="6">
    <w:p w14:paraId="0D7D757E" w14:textId="79D83C99" w:rsidR="00CF2D93" w:rsidRPr="00CF2D93" w:rsidRDefault="00CF2D93">
      <w:pPr>
        <w:pStyle w:val="FootnoteText"/>
        <w:rPr>
          <w:lang w:val="es-US"/>
        </w:rPr>
      </w:pPr>
      <w:r w:rsidRPr="00CF2D93">
        <w:rPr>
          <w:rStyle w:val="FootnoteReference"/>
          <w:rFonts w:asciiTheme="majorHAnsi" w:hAnsiTheme="majorHAnsi"/>
          <w:sz w:val="16"/>
          <w:szCs w:val="16"/>
        </w:rPr>
        <w:footnoteRef/>
      </w:r>
      <w:r w:rsidRPr="00CF2D93">
        <w:rPr>
          <w:rFonts w:asciiTheme="majorHAnsi" w:hAnsiTheme="majorHAnsi"/>
          <w:sz w:val="16"/>
          <w:szCs w:val="16"/>
          <w:lang w:val="es-US"/>
        </w:rPr>
        <w:t xml:space="preserve"> Ley No. 9.455/97.</w:t>
      </w:r>
    </w:p>
  </w:footnote>
  <w:footnote w:id="7">
    <w:p w14:paraId="311940B8" w14:textId="47B6ABFE" w:rsidR="007E5B3C" w:rsidRPr="00540850" w:rsidRDefault="007E5B3C" w:rsidP="003D7FC5">
      <w:pPr>
        <w:pStyle w:val="FootnoteText"/>
        <w:jc w:val="both"/>
        <w:rPr>
          <w:rFonts w:asciiTheme="majorHAnsi" w:hAnsiTheme="majorHAnsi"/>
          <w:sz w:val="16"/>
          <w:szCs w:val="16"/>
          <w:lang w:val="es-ES"/>
        </w:rPr>
      </w:pPr>
      <w:r w:rsidRPr="00540850">
        <w:rPr>
          <w:rStyle w:val="FootnoteReference"/>
          <w:rFonts w:asciiTheme="majorHAnsi" w:hAnsiTheme="majorHAnsi"/>
          <w:sz w:val="16"/>
          <w:szCs w:val="16"/>
          <w:lang w:val="es-ES"/>
        </w:rPr>
        <w:footnoteRef/>
      </w:r>
      <w:r w:rsidRPr="00540850">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8">
    <w:p w14:paraId="30D49EBF" w14:textId="6F57BE63" w:rsidR="007E5B3C" w:rsidRPr="00540850" w:rsidRDefault="007E5B3C" w:rsidP="003D7FC5">
      <w:pPr>
        <w:pStyle w:val="FootnoteText"/>
        <w:jc w:val="both"/>
        <w:rPr>
          <w:rFonts w:asciiTheme="majorHAnsi" w:hAnsiTheme="majorHAnsi"/>
          <w:sz w:val="16"/>
          <w:szCs w:val="16"/>
          <w:lang w:val="es-ES"/>
        </w:rPr>
      </w:pPr>
      <w:r w:rsidRPr="00540850">
        <w:rPr>
          <w:rStyle w:val="FootnoteReference"/>
          <w:rFonts w:asciiTheme="majorHAnsi" w:hAnsiTheme="majorHAnsi"/>
          <w:sz w:val="16"/>
          <w:szCs w:val="16"/>
          <w:lang w:val="es-ES"/>
        </w:rPr>
        <w:footnoteRef/>
      </w:r>
      <w:r w:rsidRPr="00540850">
        <w:rPr>
          <w:rFonts w:asciiTheme="majorHAnsi" w:hAnsiTheme="majorHAnsi"/>
          <w:sz w:val="16"/>
          <w:szCs w:val="16"/>
          <w:lang w:val="es-ES"/>
        </w:rPr>
        <w:t xml:space="preserve"> CIDH. Informe No. 105/17. Petición 798-07. Admisibilidad. David Valderrama </w:t>
      </w:r>
      <w:proofErr w:type="spellStart"/>
      <w:r w:rsidRPr="00540850">
        <w:rPr>
          <w:rFonts w:asciiTheme="majorHAnsi" w:hAnsiTheme="majorHAnsi"/>
          <w:sz w:val="16"/>
          <w:szCs w:val="16"/>
          <w:lang w:val="es-ES"/>
        </w:rPr>
        <w:t>Opazo</w:t>
      </w:r>
      <w:proofErr w:type="spellEnd"/>
      <w:r w:rsidRPr="00540850">
        <w:rPr>
          <w:rFonts w:asciiTheme="majorHAnsi" w:hAnsiTheme="majorHAnsi"/>
          <w:sz w:val="16"/>
          <w:szCs w:val="16"/>
          <w:lang w:val="es-ES"/>
        </w:rPr>
        <w:t xml:space="preserve"> y otros. Chile. 7 de septiembre de 2017, párr. 11; CIDH. Informe No. 78/16. Petición 1170-09. Admisibilidad. Amir </w:t>
      </w:r>
      <w:proofErr w:type="spellStart"/>
      <w:r w:rsidRPr="00540850">
        <w:rPr>
          <w:rFonts w:asciiTheme="majorHAnsi" w:hAnsiTheme="majorHAnsi"/>
          <w:sz w:val="16"/>
          <w:szCs w:val="16"/>
          <w:lang w:val="es-ES"/>
        </w:rPr>
        <w:t>Muniz</w:t>
      </w:r>
      <w:proofErr w:type="spellEnd"/>
      <w:r w:rsidRPr="00540850">
        <w:rPr>
          <w:rFonts w:asciiTheme="majorHAnsi" w:hAnsiTheme="majorHAnsi"/>
          <w:sz w:val="16"/>
          <w:szCs w:val="16"/>
          <w:lang w:val="es-ES"/>
        </w:rPr>
        <w:t xml:space="preserve"> da Silva. Brasil. 30 de diciembre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7E5B3C" w:rsidRDefault="007E5B3C" w:rsidP="00D872D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7E5B3C" w:rsidRDefault="007E5B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0F16F9FA" w:rsidR="007E5B3C" w:rsidRDefault="007E5B3C" w:rsidP="00A50FCF">
    <w:pPr>
      <w:pStyle w:val="Header"/>
      <w:tabs>
        <w:tab w:val="clear" w:pos="4320"/>
        <w:tab w:val="clear" w:pos="8640"/>
      </w:tabs>
      <w:jc w:val="center"/>
      <w:rPr>
        <w:sz w:val="22"/>
        <w:szCs w:val="22"/>
      </w:rPr>
    </w:pPr>
    <w:r>
      <w:rPr>
        <w:noProof/>
        <w:sz w:val="22"/>
        <w:szCs w:val="22"/>
      </w:rPr>
      <w:drawing>
        <wp:inline distT="0" distB="0" distL="0" distR="0" wp14:anchorId="7F809C38" wp14:editId="03F61D9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7E5B3C" w:rsidRPr="00EC7D62" w:rsidRDefault="003D6EB4"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30532" w14:textId="77777777" w:rsidR="00BB553D" w:rsidRDefault="00BB5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8C39FA"/>
    <w:multiLevelType w:val="hybridMultilevel"/>
    <w:tmpl w:val="795E81D0"/>
    <w:lvl w:ilvl="0" w:tplc="87FA06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7"/>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0KAWAMtEY/At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53924"/>
    <w:rsid w:val="000707AE"/>
    <w:rsid w:val="000716C5"/>
    <w:rsid w:val="00075E23"/>
    <w:rsid w:val="0009006E"/>
    <w:rsid w:val="0009344A"/>
    <w:rsid w:val="000A3254"/>
    <w:rsid w:val="000A392E"/>
    <w:rsid w:val="000A575F"/>
    <w:rsid w:val="000B0579"/>
    <w:rsid w:val="000C1C69"/>
    <w:rsid w:val="000D10DB"/>
    <w:rsid w:val="000D1735"/>
    <w:rsid w:val="000E0D2C"/>
    <w:rsid w:val="000E2789"/>
    <w:rsid w:val="000E5EB5"/>
    <w:rsid w:val="000F35ED"/>
    <w:rsid w:val="00107131"/>
    <w:rsid w:val="0010736F"/>
    <w:rsid w:val="00111A8A"/>
    <w:rsid w:val="00113F73"/>
    <w:rsid w:val="00121CC2"/>
    <w:rsid w:val="00131D8B"/>
    <w:rsid w:val="00133EE5"/>
    <w:rsid w:val="00136E3D"/>
    <w:rsid w:val="00142F8A"/>
    <w:rsid w:val="00143EFE"/>
    <w:rsid w:val="001479C0"/>
    <w:rsid w:val="0015330B"/>
    <w:rsid w:val="001666B8"/>
    <w:rsid w:val="00167A34"/>
    <w:rsid w:val="001762D9"/>
    <w:rsid w:val="001777EC"/>
    <w:rsid w:val="00177DF5"/>
    <w:rsid w:val="00177EEF"/>
    <w:rsid w:val="00184F52"/>
    <w:rsid w:val="00195C54"/>
    <w:rsid w:val="001A00E6"/>
    <w:rsid w:val="001A058F"/>
    <w:rsid w:val="001A2E9D"/>
    <w:rsid w:val="001A5D84"/>
    <w:rsid w:val="001A7870"/>
    <w:rsid w:val="001B0B3A"/>
    <w:rsid w:val="001B3A00"/>
    <w:rsid w:val="001C1B41"/>
    <w:rsid w:val="001D0C26"/>
    <w:rsid w:val="001D1119"/>
    <w:rsid w:val="001D65EF"/>
    <w:rsid w:val="001E49E7"/>
    <w:rsid w:val="001F271B"/>
    <w:rsid w:val="001F7201"/>
    <w:rsid w:val="00204931"/>
    <w:rsid w:val="0021626E"/>
    <w:rsid w:val="00223A29"/>
    <w:rsid w:val="002250A3"/>
    <w:rsid w:val="00231294"/>
    <w:rsid w:val="00235217"/>
    <w:rsid w:val="00246C37"/>
    <w:rsid w:val="00246D1F"/>
    <w:rsid w:val="00247403"/>
    <w:rsid w:val="00247542"/>
    <w:rsid w:val="002665A7"/>
    <w:rsid w:val="00266B61"/>
    <w:rsid w:val="0026712A"/>
    <w:rsid w:val="002704DB"/>
    <w:rsid w:val="002726F1"/>
    <w:rsid w:val="00277BDA"/>
    <w:rsid w:val="0028163E"/>
    <w:rsid w:val="0029575A"/>
    <w:rsid w:val="002A0AAE"/>
    <w:rsid w:val="002A54BB"/>
    <w:rsid w:val="002A5820"/>
    <w:rsid w:val="002B226E"/>
    <w:rsid w:val="002B6627"/>
    <w:rsid w:val="002C3350"/>
    <w:rsid w:val="002D28FE"/>
    <w:rsid w:val="002D2B26"/>
    <w:rsid w:val="002D7EA2"/>
    <w:rsid w:val="002E187C"/>
    <w:rsid w:val="002E7512"/>
    <w:rsid w:val="002F04F8"/>
    <w:rsid w:val="00302733"/>
    <w:rsid w:val="003121D5"/>
    <w:rsid w:val="00314078"/>
    <w:rsid w:val="0031535D"/>
    <w:rsid w:val="003239B8"/>
    <w:rsid w:val="0033169F"/>
    <w:rsid w:val="00337B70"/>
    <w:rsid w:val="0034224A"/>
    <w:rsid w:val="00343438"/>
    <w:rsid w:val="00344977"/>
    <w:rsid w:val="00346C95"/>
    <w:rsid w:val="00351155"/>
    <w:rsid w:val="00356185"/>
    <w:rsid w:val="00360380"/>
    <w:rsid w:val="0037519E"/>
    <w:rsid w:val="00375F9B"/>
    <w:rsid w:val="00386C6C"/>
    <w:rsid w:val="00386CF0"/>
    <w:rsid w:val="00394E04"/>
    <w:rsid w:val="003A6337"/>
    <w:rsid w:val="003A7963"/>
    <w:rsid w:val="003B1F09"/>
    <w:rsid w:val="003B4498"/>
    <w:rsid w:val="003B4FF6"/>
    <w:rsid w:val="003B70FB"/>
    <w:rsid w:val="003C37B1"/>
    <w:rsid w:val="003C676B"/>
    <w:rsid w:val="003D0A55"/>
    <w:rsid w:val="003D3BC2"/>
    <w:rsid w:val="003D6EB4"/>
    <w:rsid w:val="003D7FC5"/>
    <w:rsid w:val="003E0352"/>
    <w:rsid w:val="003E6CA1"/>
    <w:rsid w:val="0040409C"/>
    <w:rsid w:val="004065A8"/>
    <w:rsid w:val="004165C2"/>
    <w:rsid w:val="004304AD"/>
    <w:rsid w:val="004361B5"/>
    <w:rsid w:val="00437407"/>
    <w:rsid w:val="00441ECB"/>
    <w:rsid w:val="00444A18"/>
    <w:rsid w:val="00445193"/>
    <w:rsid w:val="00447CCF"/>
    <w:rsid w:val="004565BA"/>
    <w:rsid w:val="00462C1B"/>
    <w:rsid w:val="00467B7E"/>
    <w:rsid w:val="00467F16"/>
    <w:rsid w:val="00473BB4"/>
    <w:rsid w:val="00476211"/>
    <w:rsid w:val="004774AB"/>
    <w:rsid w:val="00477592"/>
    <w:rsid w:val="00486F1C"/>
    <w:rsid w:val="0049307C"/>
    <w:rsid w:val="0049419D"/>
    <w:rsid w:val="004A3D7E"/>
    <w:rsid w:val="004A59CC"/>
    <w:rsid w:val="004A6A54"/>
    <w:rsid w:val="004C0D44"/>
    <w:rsid w:val="004C20D2"/>
    <w:rsid w:val="004C2312"/>
    <w:rsid w:val="004C4B62"/>
    <w:rsid w:val="004C54C9"/>
    <w:rsid w:val="004C616A"/>
    <w:rsid w:val="004C6EFB"/>
    <w:rsid w:val="004D0ABA"/>
    <w:rsid w:val="004D4ABA"/>
    <w:rsid w:val="004D6025"/>
    <w:rsid w:val="004E19B1"/>
    <w:rsid w:val="004E2649"/>
    <w:rsid w:val="004E2E37"/>
    <w:rsid w:val="004F092D"/>
    <w:rsid w:val="00501399"/>
    <w:rsid w:val="00501652"/>
    <w:rsid w:val="00502066"/>
    <w:rsid w:val="00502C9B"/>
    <w:rsid w:val="00505298"/>
    <w:rsid w:val="0050633D"/>
    <w:rsid w:val="00507BC4"/>
    <w:rsid w:val="00511938"/>
    <w:rsid w:val="005128E4"/>
    <w:rsid w:val="005133DB"/>
    <w:rsid w:val="00521C24"/>
    <w:rsid w:val="00525560"/>
    <w:rsid w:val="00534941"/>
    <w:rsid w:val="005366AE"/>
    <w:rsid w:val="00540850"/>
    <w:rsid w:val="005415E6"/>
    <w:rsid w:val="00544216"/>
    <w:rsid w:val="00544C49"/>
    <w:rsid w:val="00547954"/>
    <w:rsid w:val="005516A1"/>
    <w:rsid w:val="005556B5"/>
    <w:rsid w:val="00563557"/>
    <w:rsid w:val="0057402A"/>
    <w:rsid w:val="00574CB7"/>
    <w:rsid w:val="005771D0"/>
    <w:rsid w:val="0059191A"/>
    <w:rsid w:val="005921FF"/>
    <w:rsid w:val="00595EDD"/>
    <w:rsid w:val="00597743"/>
    <w:rsid w:val="005A24ED"/>
    <w:rsid w:val="005A6D0E"/>
    <w:rsid w:val="005B37CC"/>
    <w:rsid w:val="005B3EE5"/>
    <w:rsid w:val="005B52B0"/>
    <w:rsid w:val="005B6806"/>
    <w:rsid w:val="005B6D22"/>
    <w:rsid w:val="005C261A"/>
    <w:rsid w:val="005C4225"/>
    <w:rsid w:val="005C7989"/>
    <w:rsid w:val="005D291C"/>
    <w:rsid w:val="005E0B65"/>
    <w:rsid w:val="005E11B2"/>
    <w:rsid w:val="005E60B1"/>
    <w:rsid w:val="005F0DAD"/>
    <w:rsid w:val="005F0F33"/>
    <w:rsid w:val="00600DEB"/>
    <w:rsid w:val="006277DE"/>
    <w:rsid w:val="00627C9F"/>
    <w:rsid w:val="006311E9"/>
    <w:rsid w:val="00632354"/>
    <w:rsid w:val="00632FF8"/>
    <w:rsid w:val="00642810"/>
    <w:rsid w:val="00643C58"/>
    <w:rsid w:val="00647756"/>
    <w:rsid w:val="00650239"/>
    <w:rsid w:val="006509DA"/>
    <w:rsid w:val="00652333"/>
    <w:rsid w:val="00663E6A"/>
    <w:rsid w:val="0068009E"/>
    <w:rsid w:val="006819E9"/>
    <w:rsid w:val="00686471"/>
    <w:rsid w:val="00691BBE"/>
    <w:rsid w:val="00692219"/>
    <w:rsid w:val="006A17D2"/>
    <w:rsid w:val="006A73E6"/>
    <w:rsid w:val="006A78A5"/>
    <w:rsid w:val="006B2D5C"/>
    <w:rsid w:val="006C21E3"/>
    <w:rsid w:val="006C4EB1"/>
    <w:rsid w:val="006D1E2B"/>
    <w:rsid w:val="006E0166"/>
    <w:rsid w:val="006E7B34"/>
    <w:rsid w:val="0070697F"/>
    <w:rsid w:val="0072199C"/>
    <w:rsid w:val="00722C9F"/>
    <w:rsid w:val="007253B8"/>
    <w:rsid w:val="0073598C"/>
    <w:rsid w:val="0073741F"/>
    <w:rsid w:val="00741AD0"/>
    <w:rsid w:val="00753A55"/>
    <w:rsid w:val="007608EC"/>
    <w:rsid w:val="0076643F"/>
    <w:rsid w:val="00771DD1"/>
    <w:rsid w:val="00777F63"/>
    <w:rsid w:val="007852B5"/>
    <w:rsid w:val="007A4E22"/>
    <w:rsid w:val="007A5817"/>
    <w:rsid w:val="007B05C4"/>
    <w:rsid w:val="007B60E9"/>
    <w:rsid w:val="007B6CC3"/>
    <w:rsid w:val="007C3334"/>
    <w:rsid w:val="007C402A"/>
    <w:rsid w:val="007D2B98"/>
    <w:rsid w:val="007D3DD9"/>
    <w:rsid w:val="007D4AD9"/>
    <w:rsid w:val="007D7C02"/>
    <w:rsid w:val="007E21BC"/>
    <w:rsid w:val="007E58FE"/>
    <w:rsid w:val="007E5B3C"/>
    <w:rsid w:val="007E7C82"/>
    <w:rsid w:val="007F588D"/>
    <w:rsid w:val="00802748"/>
    <w:rsid w:val="00803F1C"/>
    <w:rsid w:val="0080600E"/>
    <w:rsid w:val="00817612"/>
    <w:rsid w:val="00824D58"/>
    <w:rsid w:val="008338A4"/>
    <w:rsid w:val="00834D49"/>
    <w:rsid w:val="00837C45"/>
    <w:rsid w:val="008411F0"/>
    <w:rsid w:val="00844730"/>
    <w:rsid w:val="008457C2"/>
    <w:rsid w:val="00845A47"/>
    <w:rsid w:val="008477F5"/>
    <w:rsid w:val="00857A82"/>
    <w:rsid w:val="00871526"/>
    <w:rsid w:val="00873836"/>
    <w:rsid w:val="00885737"/>
    <w:rsid w:val="00890650"/>
    <w:rsid w:val="00897E12"/>
    <w:rsid w:val="008A0F81"/>
    <w:rsid w:val="008A7E0F"/>
    <w:rsid w:val="008B12F5"/>
    <w:rsid w:val="008B5932"/>
    <w:rsid w:val="008B6748"/>
    <w:rsid w:val="008C3717"/>
    <w:rsid w:val="008C5751"/>
    <w:rsid w:val="008D768D"/>
    <w:rsid w:val="008E328A"/>
    <w:rsid w:val="008E3759"/>
    <w:rsid w:val="008E3BFE"/>
    <w:rsid w:val="008E7900"/>
    <w:rsid w:val="008E7E81"/>
    <w:rsid w:val="008F1912"/>
    <w:rsid w:val="008F5273"/>
    <w:rsid w:val="0090270B"/>
    <w:rsid w:val="009041DC"/>
    <w:rsid w:val="00917B5A"/>
    <w:rsid w:val="00920A58"/>
    <w:rsid w:val="00920A8C"/>
    <w:rsid w:val="00923A5C"/>
    <w:rsid w:val="00934A2C"/>
    <w:rsid w:val="00935F06"/>
    <w:rsid w:val="00937B3A"/>
    <w:rsid w:val="0094338B"/>
    <w:rsid w:val="00947C02"/>
    <w:rsid w:val="009523B9"/>
    <w:rsid w:val="00954B82"/>
    <w:rsid w:val="00955F7A"/>
    <w:rsid w:val="00962436"/>
    <w:rsid w:val="0096706E"/>
    <w:rsid w:val="00974491"/>
    <w:rsid w:val="00975C4E"/>
    <w:rsid w:val="00981FBA"/>
    <w:rsid w:val="00997BC5"/>
    <w:rsid w:val="009A4F41"/>
    <w:rsid w:val="009B381B"/>
    <w:rsid w:val="009B4C53"/>
    <w:rsid w:val="009B57CE"/>
    <w:rsid w:val="009C2FC5"/>
    <w:rsid w:val="009C514B"/>
    <w:rsid w:val="009D1753"/>
    <w:rsid w:val="009D6502"/>
    <w:rsid w:val="009D7611"/>
    <w:rsid w:val="009D78A5"/>
    <w:rsid w:val="009E0B61"/>
    <w:rsid w:val="009E53DE"/>
    <w:rsid w:val="009E7C00"/>
    <w:rsid w:val="00A0691C"/>
    <w:rsid w:val="00A11E44"/>
    <w:rsid w:val="00A14190"/>
    <w:rsid w:val="00A171AF"/>
    <w:rsid w:val="00A177AF"/>
    <w:rsid w:val="00A22397"/>
    <w:rsid w:val="00A24F61"/>
    <w:rsid w:val="00A328B3"/>
    <w:rsid w:val="00A4497C"/>
    <w:rsid w:val="00A50FCF"/>
    <w:rsid w:val="00A528D1"/>
    <w:rsid w:val="00A610CD"/>
    <w:rsid w:val="00A625E0"/>
    <w:rsid w:val="00A65117"/>
    <w:rsid w:val="00A74947"/>
    <w:rsid w:val="00A758AA"/>
    <w:rsid w:val="00A92FC7"/>
    <w:rsid w:val="00AA09A2"/>
    <w:rsid w:val="00AA7996"/>
    <w:rsid w:val="00AC19CB"/>
    <w:rsid w:val="00AD112B"/>
    <w:rsid w:val="00AD1886"/>
    <w:rsid w:val="00AE3BA9"/>
    <w:rsid w:val="00AE5488"/>
    <w:rsid w:val="00AE6F91"/>
    <w:rsid w:val="00AF5571"/>
    <w:rsid w:val="00B06B4E"/>
    <w:rsid w:val="00B07341"/>
    <w:rsid w:val="00B17A86"/>
    <w:rsid w:val="00B202B5"/>
    <w:rsid w:val="00B30539"/>
    <w:rsid w:val="00B314DB"/>
    <w:rsid w:val="00B361F2"/>
    <w:rsid w:val="00B3718B"/>
    <w:rsid w:val="00B45B40"/>
    <w:rsid w:val="00B4632A"/>
    <w:rsid w:val="00B47DF4"/>
    <w:rsid w:val="00B5067D"/>
    <w:rsid w:val="00B530F1"/>
    <w:rsid w:val="00B736AF"/>
    <w:rsid w:val="00B95180"/>
    <w:rsid w:val="00B97946"/>
    <w:rsid w:val="00BA110C"/>
    <w:rsid w:val="00BA276C"/>
    <w:rsid w:val="00BA5544"/>
    <w:rsid w:val="00BB2DCA"/>
    <w:rsid w:val="00BB306F"/>
    <w:rsid w:val="00BB3FBD"/>
    <w:rsid w:val="00BB553D"/>
    <w:rsid w:val="00BC329F"/>
    <w:rsid w:val="00BC6CD0"/>
    <w:rsid w:val="00BD4B89"/>
    <w:rsid w:val="00BD5922"/>
    <w:rsid w:val="00BD76D9"/>
    <w:rsid w:val="00BE5A5A"/>
    <w:rsid w:val="00BF02CB"/>
    <w:rsid w:val="00BF0D7E"/>
    <w:rsid w:val="00BF514A"/>
    <w:rsid w:val="00BF6FD8"/>
    <w:rsid w:val="00BF775D"/>
    <w:rsid w:val="00C03680"/>
    <w:rsid w:val="00C054DF"/>
    <w:rsid w:val="00C102A9"/>
    <w:rsid w:val="00C10923"/>
    <w:rsid w:val="00C10AFC"/>
    <w:rsid w:val="00C21562"/>
    <w:rsid w:val="00C21762"/>
    <w:rsid w:val="00C21FEF"/>
    <w:rsid w:val="00C24543"/>
    <w:rsid w:val="00C256A2"/>
    <w:rsid w:val="00C35A26"/>
    <w:rsid w:val="00C42FD8"/>
    <w:rsid w:val="00C51515"/>
    <w:rsid w:val="00C53910"/>
    <w:rsid w:val="00C5660B"/>
    <w:rsid w:val="00C56854"/>
    <w:rsid w:val="00C5788A"/>
    <w:rsid w:val="00C66B72"/>
    <w:rsid w:val="00C87AC4"/>
    <w:rsid w:val="00C905F4"/>
    <w:rsid w:val="00C9567A"/>
    <w:rsid w:val="00CA48A3"/>
    <w:rsid w:val="00CB212D"/>
    <w:rsid w:val="00CB2660"/>
    <w:rsid w:val="00CB7AF4"/>
    <w:rsid w:val="00CC5E90"/>
    <w:rsid w:val="00CD046C"/>
    <w:rsid w:val="00CE076C"/>
    <w:rsid w:val="00CE5199"/>
    <w:rsid w:val="00CE66D5"/>
    <w:rsid w:val="00CF2D93"/>
    <w:rsid w:val="00CF5202"/>
    <w:rsid w:val="00CF637A"/>
    <w:rsid w:val="00D059DE"/>
    <w:rsid w:val="00D05ABD"/>
    <w:rsid w:val="00D05F42"/>
    <w:rsid w:val="00D13FCE"/>
    <w:rsid w:val="00D23E71"/>
    <w:rsid w:val="00D306D1"/>
    <w:rsid w:val="00D30800"/>
    <w:rsid w:val="00D34786"/>
    <w:rsid w:val="00D37BFC"/>
    <w:rsid w:val="00D42822"/>
    <w:rsid w:val="00D47A8E"/>
    <w:rsid w:val="00D52D14"/>
    <w:rsid w:val="00D55256"/>
    <w:rsid w:val="00D712D3"/>
    <w:rsid w:val="00D71422"/>
    <w:rsid w:val="00D72DC6"/>
    <w:rsid w:val="00D73F5E"/>
    <w:rsid w:val="00D7558D"/>
    <w:rsid w:val="00D77503"/>
    <w:rsid w:val="00D81D92"/>
    <w:rsid w:val="00D872D6"/>
    <w:rsid w:val="00D876F9"/>
    <w:rsid w:val="00D877B6"/>
    <w:rsid w:val="00DA7B5F"/>
    <w:rsid w:val="00DB2F4A"/>
    <w:rsid w:val="00DB6A19"/>
    <w:rsid w:val="00DC11E7"/>
    <w:rsid w:val="00DC4D5C"/>
    <w:rsid w:val="00DC7023"/>
    <w:rsid w:val="00DC769A"/>
    <w:rsid w:val="00DD3D86"/>
    <w:rsid w:val="00DE12F0"/>
    <w:rsid w:val="00DE20E5"/>
    <w:rsid w:val="00DF1EC4"/>
    <w:rsid w:val="00E01943"/>
    <w:rsid w:val="00E0340B"/>
    <w:rsid w:val="00E04A90"/>
    <w:rsid w:val="00E0551F"/>
    <w:rsid w:val="00E219C7"/>
    <w:rsid w:val="00E26CCA"/>
    <w:rsid w:val="00E4118C"/>
    <w:rsid w:val="00E41EFF"/>
    <w:rsid w:val="00E43157"/>
    <w:rsid w:val="00E461CE"/>
    <w:rsid w:val="00E47942"/>
    <w:rsid w:val="00E47965"/>
    <w:rsid w:val="00E614D5"/>
    <w:rsid w:val="00E67FBF"/>
    <w:rsid w:val="00E720CA"/>
    <w:rsid w:val="00E82982"/>
    <w:rsid w:val="00E84EB5"/>
    <w:rsid w:val="00E85662"/>
    <w:rsid w:val="00E8789F"/>
    <w:rsid w:val="00E91DD9"/>
    <w:rsid w:val="00E97B71"/>
    <w:rsid w:val="00EA1494"/>
    <w:rsid w:val="00EA22D0"/>
    <w:rsid w:val="00EA3D34"/>
    <w:rsid w:val="00EB454D"/>
    <w:rsid w:val="00EC72AB"/>
    <w:rsid w:val="00ED2F03"/>
    <w:rsid w:val="00ED549D"/>
    <w:rsid w:val="00ED76BE"/>
    <w:rsid w:val="00ED7F05"/>
    <w:rsid w:val="00EE00E9"/>
    <w:rsid w:val="00EE014D"/>
    <w:rsid w:val="00EE2FA2"/>
    <w:rsid w:val="00EF2B99"/>
    <w:rsid w:val="00EF35AB"/>
    <w:rsid w:val="00EF4C44"/>
    <w:rsid w:val="00EF619B"/>
    <w:rsid w:val="00F00894"/>
    <w:rsid w:val="00F00B55"/>
    <w:rsid w:val="00F02AD1"/>
    <w:rsid w:val="00F04591"/>
    <w:rsid w:val="00F06354"/>
    <w:rsid w:val="00F17250"/>
    <w:rsid w:val="00F253CC"/>
    <w:rsid w:val="00F332EF"/>
    <w:rsid w:val="00F37106"/>
    <w:rsid w:val="00F514FC"/>
    <w:rsid w:val="00F519CF"/>
    <w:rsid w:val="00F521BC"/>
    <w:rsid w:val="00F52936"/>
    <w:rsid w:val="00F56BA5"/>
    <w:rsid w:val="00F60E22"/>
    <w:rsid w:val="00F63B39"/>
    <w:rsid w:val="00F81395"/>
    <w:rsid w:val="00F81887"/>
    <w:rsid w:val="00F81BB8"/>
    <w:rsid w:val="00F917D1"/>
    <w:rsid w:val="00F9342C"/>
    <w:rsid w:val="00F9653B"/>
    <w:rsid w:val="00FA56EA"/>
    <w:rsid w:val="00FB62CF"/>
    <w:rsid w:val="00FC0F4A"/>
    <w:rsid w:val="00FC3330"/>
    <w:rsid w:val="00FD10D3"/>
    <w:rsid w:val="00FD3C3B"/>
    <w:rsid w:val="00FE07DD"/>
    <w:rsid w:val="00FE6B45"/>
    <w:rsid w:val="00FF55F3"/>
    <w:rsid w:val="00FF5851"/>
    <w:rsid w:val="00FF5F1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5AFE2-512E-4CB4-A13E-0A5983BE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2657</Words>
  <Characters>15150</Characters>
  <Application>Microsoft Office Word</Application>
  <DocSecurity>0</DocSecurity>
  <Lines>126</Lines>
  <Paragraphs>35</Paragraphs>
  <ScaleCrop>false</ScaleCrop>
  <Company/>
  <LinksUpToDate>false</LinksUpToDate>
  <CharactersWithSpaces>17772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70/20</dc:title>
  <dc:creator/>
  <cp:lastModifiedBy/>
  <cp:revision>1</cp:revision>
  <dcterms:created xsi:type="dcterms:W3CDTF">2020-06-24T14:38:00Z</dcterms:created>
  <dcterms:modified xsi:type="dcterms:W3CDTF">2020-06-24T14:38:00Z</dcterms:modified>
</cp:coreProperties>
</file>