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B67D9F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56C83">
                              <w:rPr>
                                <w:rFonts w:asciiTheme="majorHAnsi" w:hAnsiTheme="majorHAnsi" w:cs="Arial"/>
                                <w:b/>
                                <w:bCs/>
                                <w:color w:val="0D0D0D" w:themeColor="text1" w:themeTint="F2"/>
                                <w:sz w:val="36"/>
                                <w:szCs w:val="22"/>
                                <w:lang w:val="es-ES_tradnl"/>
                              </w:rPr>
                              <w:t xml:space="preserve"> 306</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4FB74A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85627">
                              <w:rPr>
                                <w:rFonts w:asciiTheme="majorHAnsi" w:hAnsiTheme="majorHAnsi" w:cs="Arial"/>
                                <w:b/>
                                <w:color w:val="0D0D0D" w:themeColor="text1" w:themeTint="F2"/>
                                <w:sz w:val="36"/>
                                <w:szCs w:val="22"/>
                                <w:lang w:val="es-ES_tradnl"/>
                              </w:rPr>
                              <w:t>1017</w:t>
                            </w:r>
                            <w:r w:rsidR="00246D1F" w:rsidRPr="004E2649">
                              <w:rPr>
                                <w:rFonts w:asciiTheme="majorHAnsi" w:hAnsiTheme="majorHAnsi" w:cs="Arial"/>
                                <w:b/>
                                <w:color w:val="0D0D0D" w:themeColor="text1" w:themeTint="F2"/>
                                <w:sz w:val="36"/>
                                <w:szCs w:val="22"/>
                                <w:lang w:val="es-ES_tradnl"/>
                              </w:rPr>
                              <w:t>-</w:t>
                            </w:r>
                            <w:r w:rsidR="0078562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A98D808"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785627">
                              <w:rPr>
                                <w:rFonts w:asciiTheme="majorHAnsi" w:hAnsiTheme="majorHAnsi" w:cs="Arial"/>
                                <w:color w:val="0D0D0D" w:themeColor="text1" w:themeTint="F2"/>
                                <w:szCs w:val="22"/>
                                <w:lang w:val="es-ES_tradnl"/>
                              </w:rPr>
                              <w:t>SERGIO SEBASTIÁN MONTECINOS ALFARO</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B67D9F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56C83">
                        <w:rPr>
                          <w:rFonts w:asciiTheme="majorHAnsi" w:hAnsiTheme="majorHAnsi" w:cs="Arial"/>
                          <w:b/>
                          <w:bCs/>
                          <w:color w:val="0D0D0D" w:themeColor="text1" w:themeTint="F2"/>
                          <w:sz w:val="36"/>
                          <w:szCs w:val="22"/>
                          <w:lang w:val="es-ES_tradnl"/>
                        </w:rPr>
                        <w:t xml:space="preserve"> 306</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4FB74A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85627">
                        <w:rPr>
                          <w:rFonts w:asciiTheme="majorHAnsi" w:hAnsiTheme="majorHAnsi" w:cs="Arial"/>
                          <w:b/>
                          <w:color w:val="0D0D0D" w:themeColor="text1" w:themeTint="F2"/>
                          <w:sz w:val="36"/>
                          <w:szCs w:val="22"/>
                          <w:lang w:val="es-ES_tradnl"/>
                        </w:rPr>
                        <w:t>1017</w:t>
                      </w:r>
                      <w:r w:rsidR="00246D1F" w:rsidRPr="004E2649">
                        <w:rPr>
                          <w:rFonts w:asciiTheme="majorHAnsi" w:hAnsiTheme="majorHAnsi" w:cs="Arial"/>
                          <w:b/>
                          <w:color w:val="0D0D0D" w:themeColor="text1" w:themeTint="F2"/>
                          <w:sz w:val="36"/>
                          <w:szCs w:val="22"/>
                          <w:lang w:val="es-ES_tradnl"/>
                        </w:rPr>
                        <w:t>-</w:t>
                      </w:r>
                      <w:r w:rsidR="0078562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A98D808"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785627">
                        <w:rPr>
                          <w:rFonts w:asciiTheme="majorHAnsi" w:hAnsiTheme="majorHAnsi" w:cs="Arial"/>
                          <w:color w:val="0D0D0D" w:themeColor="text1" w:themeTint="F2"/>
                          <w:szCs w:val="22"/>
                          <w:lang w:val="es-ES_tradnl"/>
                        </w:rPr>
                        <w:t>SERGIO SEBASTIÁN MONTECINOS ALFARO</w:t>
                      </w:r>
                    </w:p>
                    <w:bookmarkEnd w:id="2"/>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955FC72" w:rsidR="00627C9F" w:rsidRPr="00935F06" w:rsidRDefault="00866B0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8DB3427" w:rsidR="00627C9F" w:rsidRPr="00935F06" w:rsidRDefault="00D56C8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w:t>
                            </w:r>
                            <w:r w:rsidR="00866B05">
                              <w:rPr>
                                <w:rFonts w:asciiTheme="minorHAnsi" w:hAnsiTheme="minorHAnsi"/>
                                <w:color w:val="FFFFFF" w:themeColor="background1"/>
                                <w:sz w:val="22"/>
                                <w:lang w:val="pt-BR"/>
                              </w:rPr>
                              <w:t>3</w:t>
                            </w:r>
                          </w:p>
                          <w:p w14:paraId="69373ED2" w14:textId="2565E121" w:rsidR="00627C9F" w:rsidRPr="00B16B79" w:rsidRDefault="00866B05"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9</w:t>
                            </w:r>
                            <w:r w:rsidR="00627C9F" w:rsidRPr="00B16B79">
                              <w:rPr>
                                <w:rFonts w:asciiTheme="minorHAnsi" w:hAnsiTheme="minorHAnsi"/>
                                <w:color w:val="FFFFFF" w:themeColor="background1"/>
                                <w:sz w:val="22"/>
                                <w:lang w:val="es-MX"/>
                              </w:rPr>
                              <w:t xml:space="preserve"> </w:t>
                            </w:r>
                            <w:r>
                              <w:rPr>
                                <w:rFonts w:asciiTheme="minorHAnsi" w:hAnsiTheme="minorHAnsi"/>
                                <w:color w:val="FFFFFF" w:themeColor="background1"/>
                                <w:sz w:val="22"/>
                                <w:lang w:val="es-MX"/>
                              </w:rPr>
                              <w:t>octubre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955FC72" w:rsidR="00627C9F" w:rsidRPr="00935F06" w:rsidRDefault="00866B0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8DB3427" w:rsidR="00627C9F" w:rsidRPr="00935F06" w:rsidRDefault="00D56C8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w:t>
                      </w:r>
                      <w:r w:rsidR="00866B05">
                        <w:rPr>
                          <w:rFonts w:asciiTheme="minorHAnsi" w:hAnsiTheme="minorHAnsi"/>
                          <w:color w:val="FFFFFF" w:themeColor="background1"/>
                          <w:sz w:val="22"/>
                          <w:lang w:val="pt-BR"/>
                        </w:rPr>
                        <w:t>3</w:t>
                      </w:r>
                    </w:p>
                    <w:p w14:paraId="69373ED2" w14:textId="2565E121" w:rsidR="00627C9F" w:rsidRPr="00B16B79" w:rsidRDefault="00866B05"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9</w:t>
                      </w:r>
                      <w:r w:rsidR="00627C9F" w:rsidRPr="00B16B79">
                        <w:rPr>
                          <w:rFonts w:asciiTheme="minorHAnsi" w:hAnsiTheme="minorHAnsi"/>
                          <w:color w:val="FFFFFF" w:themeColor="background1"/>
                          <w:sz w:val="22"/>
                          <w:lang w:val="es-MX"/>
                        </w:rPr>
                        <w:t xml:space="preserve"> </w:t>
                      </w:r>
                      <w:r>
                        <w:rPr>
                          <w:rFonts w:asciiTheme="minorHAnsi" w:hAnsiTheme="minorHAnsi"/>
                          <w:color w:val="FFFFFF" w:themeColor="background1"/>
                          <w:sz w:val="22"/>
                          <w:lang w:val="es-MX"/>
                        </w:rPr>
                        <w:t>octubre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8B6A7B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66B05">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866B0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ED320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8B6A7B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66B05">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866B0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ED320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BC7914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D56C83">
                              <w:rPr>
                                <w:rFonts w:asciiTheme="majorHAnsi" w:hAnsiTheme="majorHAnsi"/>
                                <w:color w:val="595959" w:themeColor="text1" w:themeTint="A6"/>
                                <w:sz w:val="18"/>
                                <w:szCs w:val="18"/>
                                <w:lang w:val="pt-BR"/>
                              </w:rPr>
                              <w:t>30</w:t>
                            </w:r>
                            <w:r w:rsidR="00866B05" w:rsidRPr="00866B05">
                              <w:rPr>
                                <w:rFonts w:asciiTheme="majorHAnsi" w:hAnsiTheme="majorHAnsi"/>
                                <w:color w:val="595959" w:themeColor="text1" w:themeTint="A6"/>
                                <w:sz w:val="18"/>
                                <w:szCs w:val="18"/>
                                <w:lang w:val="pt-BR"/>
                              </w:rPr>
                              <w:t>6</w:t>
                            </w:r>
                            <w:r w:rsidR="007B05C4" w:rsidRPr="00866B05">
                              <w:rPr>
                                <w:rFonts w:asciiTheme="majorHAnsi" w:hAnsiTheme="majorHAnsi"/>
                                <w:color w:val="595959" w:themeColor="text1" w:themeTint="A6"/>
                                <w:sz w:val="18"/>
                                <w:szCs w:val="18"/>
                                <w:lang w:val="pt-BR"/>
                              </w:rPr>
                              <w:t>/</w:t>
                            </w:r>
                            <w:r w:rsidR="00866B05" w:rsidRPr="00866B05">
                              <w:rPr>
                                <w:rFonts w:asciiTheme="majorHAnsi" w:hAnsiTheme="majorHAnsi"/>
                                <w:color w:val="595959" w:themeColor="text1" w:themeTint="A6"/>
                                <w:sz w:val="18"/>
                                <w:szCs w:val="18"/>
                                <w:lang w:val="pt-BR"/>
                              </w:rPr>
                              <w:t>20</w:t>
                            </w:r>
                            <w:r w:rsidR="00D03715" w:rsidRPr="00866B05">
                              <w:rPr>
                                <w:rFonts w:asciiTheme="majorHAnsi" w:hAnsiTheme="majorHAnsi"/>
                                <w:color w:val="595959" w:themeColor="text1" w:themeTint="A6"/>
                                <w:sz w:val="18"/>
                                <w:szCs w:val="18"/>
                                <w:lang w:val="pt-BR"/>
                              </w:rPr>
                              <w:t>.</w:t>
                            </w:r>
                            <w:r w:rsidR="00214755" w:rsidRPr="00866B05">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785627">
                              <w:rPr>
                                <w:rFonts w:asciiTheme="majorHAnsi" w:hAnsiTheme="majorHAnsi"/>
                                <w:color w:val="595959" w:themeColor="text1" w:themeTint="A6"/>
                                <w:sz w:val="18"/>
                                <w:szCs w:val="18"/>
                                <w:lang w:val="es-ES_tradnl"/>
                              </w:rPr>
                              <w:t>1017-13</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785627">
                              <w:rPr>
                                <w:rFonts w:ascii="Cambria" w:hAnsi="Cambria"/>
                                <w:bCs/>
                                <w:color w:val="595959" w:themeColor="text1" w:themeTint="A6"/>
                                <w:sz w:val="19"/>
                                <w:szCs w:val="19"/>
                                <w:lang w:val="es-ES"/>
                              </w:rPr>
                              <w:t xml:space="preserve"> Sergio Sebastián </w:t>
                            </w:r>
                            <w:proofErr w:type="spellStart"/>
                            <w:r w:rsidR="00785627">
                              <w:rPr>
                                <w:rFonts w:ascii="Cambria" w:hAnsi="Cambria"/>
                                <w:bCs/>
                                <w:color w:val="595959" w:themeColor="text1" w:themeTint="A6"/>
                                <w:sz w:val="19"/>
                                <w:szCs w:val="19"/>
                                <w:lang w:val="es-ES"/>
                              </w:rPr>
                              <w:t>Montecinos</w:t>
                            </w:r>
                            <w:proofErr w:type="spellEnd"/>
                            <w:r w:rsidR="00785627">
                              <w:rPr>
                                <w:rFonts w:ascii="Cambria" w:hAnsi="Cambria"/>
                                <w:bCs/>
                                <w:color w:val="595959" w:themeColor="text1" w:themeTint="A6"/>
                                <w:sz w:val="19"/>
                                <w:szCs w:val="19"/>
                                <w:lang w:val="es-ES"/>
                              </w:rPr>
                              <w:t xml:space="preserve"> Alfaro</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866B05">
                              <w:rPr>
                                <w:rFonts w:asciiTheme="majorHAnsi" w:hAnsiTheme="majorHAnsi"/>
                                <w:color w:val="595959" w:themeColor="text1" w:themeTint="A6"/>
                                <w:sz w:val="18"/>
                                <w:szCs w:val="18"/>
                                <w:lang w:val="es-ES"/>
                              </w:rPr>
                              <w:t>9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BC7914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D56C83">
                        <w:rPr>
                          <w:rFonts w:asciiTheme="majorHAnsi" w:hAnsiTheme="majorHAnsi"/>
                          <w:color w:val="595959" w:themeColor="text1" w:themeTint="A6"/>
                          <w:sz w:val="18"/>
                          <w:szCs w:val="18"/>
                          <w:lang w:val="pt-BR"/>
                        </w:rPr>
                        <w:t>30</w:t>
                      </w:r>
                      <w:r w:rsidR="00866B05" w:rsidRPr="00866B05">
                        <w:rPr>
                          <w:rFonts w:asciiTheme="majorHAnsi" w:hAnsiTheme="majorHAnsi"/>
                          <w:color w:val="595959" w:themeColor="text1" w:themeTint="A6"/>
                          <w:sz w:val="18"/>
                          <w:szCs w:val="18"/>
                          <w:lang w:val="pt-BR"/>
                        </w:rPr>
                        <w:t>6</w:t>
                      </w:r>
                      <w:r w:rsidR="007B05C4" w:rsidRPr="00866B05">
                        <w:rPr>
                          <w:rFonts w:asciiTheme="majorHAnsi" w:hAnsiTheme="majorHAnsi"/>
                          <w:color w:val="595959" w:themeColor="text1" w:themeTint="A6"/>
                          <w:sz w:val="18"/>
                          <w:szCs w:val="18"/>
                          <w:lang w:val="pt-BR"/>
                        </w:rPr>
                        <w:t>/</w:t>
                      </w:r>
                      <w:r w:rsidR="00866B05" w:rsidRPr="00866B05">
                        <w:rPr>
                          <w:rFonts w:asciiTheme="majorHAnsi" w:hAnsiTheme="majorHAnsi"/>
                          <w:color w:val="595959" w:themeColor="text1" w:themeTint="A6"/>
                          <w:sz w:val="18"/>
                          <w:szCs w:val="18"/>
                          <w:lang w:val="pt-BR"/>
                        </w:rPr>
                        <w:t>20</w:t>
                      </w:r>
                      <w:r w:rsidR="00D03715" w:rsidRPr="00866B05">
                        <w:rPr>
                          <w:rFonts w:asciiTheme="majorHAnsi" w:hAnsiTheme="majorHAnsi"/>
                          <w:color w:val="595959" w:themeColor="text1" w:themeTint="A6"/>
                          <w:sz w:val="18"/>
                          <w:szCs w:val="18"/>
                          <w:lang w:val="pt-BR"/>
                        </w:rPr>
                        <w:t>.</w:t>
                      </w:r>
                      <w:r w:rsidR="00214755" w:rsidRPr="00866B05">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785627">
                        <w:rPr>
                          <w:rFonts w:asciiTheme="majorHAnsi" w:hAnsiTheme="majorHAnsi"/>
                          <w:color w:val="595959" w:themeColor="text1" w:themeTint="A6"/>
                          <w:sz w:val="18"/>
                          <w:szCs w:val="18"/>
                          <w:lang w:val="es-ES_tradnl"/>
                        </w:rPr>
                        <w:t>1017-13</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785627">
                        <w:rPr>
                          <w:rFonts w:ascii="Cambria" w:hAnsi="Cambria"/>
                          <w:bCs/>
                          <w:color w:val="595959" w:themeColor="text1" w:themeTint="A6"/>
                          <w:sz w:val="19"/>
                          <w:szCs w:val="19"/>
                          <w:lang w:val="es-ES"/>
                        </w:rPr>
                        <w:t xml:space="preserve"> Sergio Sebastián </w:t>
                      </w:r>
                      <w:proofErr w:type="spellStart"/>
                      <w:r w:rsidR="00785627">
                        <w:rPr>
                          <w:rFonts w:ascii="Cambria" w:hAnsi="Cambria"/>
                          <w:bCs/>
                          <w:color w:val="595959" w:themeColor="text1" w:themeTint="A6"/>
                          <w:sz w:val="19"/>
                          <w:szCs w:val="19"/>
                          <w:lang w:val="es-ES"/>
                        </w:rPr>
                        <w:t>Montecinos</w:t>
                      </w:r>
                      <w:proofErr w:type="spellEnd"/>
                      <w:r w:rsidR="00785627">
                        <w:rPr>
                          <w:rFonts w:ascii="Cambria" w:hAnsi="Cambria"/>
                          <w:bCs/>
                          <w:color w:val="595959" w:themeColor="text1" w:themeTint="A6"/>
                          <w:sz w:val="19"/>
                          <w:szCs w:val="19"/>
                          <w:lang w:val="es-ES"/>
                        </w:rPr>
                        <w:t xml:space="preserve"> Alfaro</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866B05">
                        <w:rPr>
                          <w:rFonts w:asciiTheme="majorHAnsi" w:hAnsiTheme="majorHAnsi"/>
                          <w:color w:val="595959" w:themeColor="text1" w:themeTint="A6"/>
                          <w:sz w:val="18"/>
                          <w:szCs w:val="18"/>
                          <w:lang w:val="es-ES"/>
                        </w:rPr>
                        <w:t>9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C8D0F47" w:rsidR="00D72DC6" w:rsidRPr="00D72DC6" w:rsidRDefault="00ED3207" w:rsidP="00F02AD1">
                            <w:pPr>
                              <w:rPr>
                                <w:color w:val="FFFFFF" w:themeColor="background1"/>
                                <w14:textFill>
                                  <w14:noFill/>
                                </w14:textFill>
                              </w:rPr>
                            </w:pPr>
                            <w:r>
                              <w:rPr>
                                <w:noProof/>
                                <w:color w:val="FFFFFF" w:themeColor="background1"/>
                              </w:rPr>
                              <w:drawing>
                                <wp:inline distT="0" distB="0" distL="0" distR="0" wp14:anchorId="5A9003F6" wp14:editId="61F4E72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C8D0F47" w:rsidR="00D72DC6" w:rsidRPr="00D72DC6" w:rsidRDefault="00ED3207" w:rsidP="00F02AD1">
                      <w:pPr>
                        <w:rPr>
                          <w:color w:val="FFFFFF" w:themeColor="background1"/>
                          <w14:textFill>
                            <w14:noFill/>
                          </w14:textFill>
                        </w:rPr>
                      </w:pPr>
                      <w:r>
                        <w:rPr>
                          <w:noProof/>
                          <w:color w:val="FFFFFF" w:themeColor="background1"/>
                        </w:rPr>
                        <w:drawing>
                          <wp:inline distT="0" distB="0" distL="0" distR="0" wp14:anchorId="5A9003F6" wp14:editId="61F4E72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ED3207"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F12721"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1E97D745"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785627">
              <w:rPr>
                <w:rFonts w:ascii="Cambria" w:hAnsi="Cambria"/>
                <w:bCs/>
                <w:sz w:val="19"/>
                <w:szCs w:val="19"/>
                <w:lang w:val="es-ES"/>
              </w:rPr>
              <w:t>Sergio Sebastián Montecinos Alfaro</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ED3207"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44376E1B" w:rsidR="004C2312" w:rsidRPr="008C31F1" w:rsidRDefault="00785627" w:rsidP="002625EA">
            <w:pPr>
              <w:jc w:val="both"/>
              <w:rPr>
                <w:rFonts w:ascii="Cambria" w:hAnsi="Cambria"/>
                <w:bCs/>
                <w:sz w:val="19"/>
                <w:szCs w:val="19"/>
                <w:lang w:val="es-ES"/>
              </w:rPr>
            </w:pPr>
            <w:r w:rsidRPr="008C31F1">
              <w:rPr>
                <w:rFonts w:ascii="Cambria" w:hAnsi="Cambria"/>
                <w:bCs/>
                <w:sz w:val="19"/>
                <w:szCs w:val="19"/>
                <w:lang w:val="es-ES"/>
              </w:rPr>
              <w:t>7 de junio de 2013</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22EF8411" w:rsidR="004C2312" w:rsidRPr="008C31F1" w:rsidRDefault="00785627" w:rsidP="00E479A2">
            <w:pPr>
              <w:jc w:val="both"/>
              <w:rPr>
                <w:rFonts w:ascii="Cambria" w:hAnsi="Cambria"/>
                <w:bCs/>
                <w:sz w:val="19"/>
                <w:szCs w:val="19"/>
                <w:lang w:val="es-ES"/>
              </w:rPr>
            </w:pPr>
            <w:r w:rsidRPr="008C31F1">
              <w:rPr>
                <w:rFonts w:ascii="Cambria" w:hAnsi="Cambria"/>
                <w:bCs/>
                <w:sz w:val="19"/>
                <w:szCs w:val="19"/>
                <w:lang w:val="es-ES"/>
              </w:rPr>
              <w:t>19 de septiembre de 2018</w:t>
            </w:r>
          </w:p>
        </w:tc>
      </w:tr>
      <w:tr w:rsidR="00F06354" w:rsidRPr="008F07BA"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6ACFA0BC" w:rsidR="00F06354" w:rsidRPr="008C31F1" w:rsidRDefault="008C31F1" w:rsidP="008C31F1">
            <w:pPr>
              <w:jc w:val="both"/>
              <w:rPr>
                <w:rFonts w:ascii="Cambria" w:hAnsi="Cambria"/>
                <w:bCs/>
                <w:sz w:val="19"/>
                <w:szCs w:val="19"/>
                <w:lang w:val="es-ES"/>
              </w:rPr>
            </w:pPr>
            <w:r w:rsidRPr="008C31F1">
              <w:rPr>
                <w:rFonts w:ascii="Cambria" w:hAnsi="Cambria"/>
                <w:bCs/>
                <w:sz w:val="19"/>
                <w:szCs w:val="19"/>
                <w:lang w:val="es-ES"/>
              </w:rPr>
              <w:t>16</w:t>
            </w:r>
            <w:r w:rsidR="008F07BA" w:rsidRPr="008C31F1">
              <w:rPr>
                <w:rFonts w:ascii="Cambria" w:hAnsi="Cambria"/>
                <w:bCs/>
                <w:sz w:val="19"/>
                <w:szCs w:val="19"/>
                <w:lang w:val="es-ES"/>
              </w:rPr>
              <w:t xml:space="preserve"> de </w:t>
            </w:r>
            <w:r w:rsidRPr="008C31F1">
              <w:rPr>
                <w:rFonts w:ascii="Cambria" w:hAnsi="Cambria"/>
                <w:bCs/>
                <w:sz w:val="19"/>
                <w:szCs w:val="19"/>
                <w:lang w:val="es-ES"/>
              </w:rPr>
              <w:t>noviembre</w:t>
            </w:r>
            <w:r w:rsidR="008F07BA" w:rsidRPr="008C31F1">
              <w:rPr>
                <w:rFonts w:ascii="Cambria" w:hAnsi="Cambria"/>
                <w:bCs/>
                <w:sz w:val="19"/>
                <w:szCs w:val="19"/>
                <w:lang w:val="es-ES"/>
              </w:rPr>
              <w:t xml:space="preserve"> </w:t>
            </w:r>
            <w:r w:rsidR="00785627" w:rsidRPr="008C31F1">
              <w:rPr>
                <w:rFonts w:ascii="Cambria" w:hAnsi="Cambria"/>
                <w:bCs/>
                <w:sz w:val="19"/>
                <w:szCs w:val="19"/>
                <w:lang w:val="es-ES"/>
              </w:rPr>
              <w:t>de 2018</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354A27A1" w:rsidR="00F06354" w:rsidRPr="008C31F1" w:rsidRDefault="00785627">
            <w:pPr>
              <w:jc w:val="both"/>
              <w:rPr>
                <w:rFonts w:ascii="Cambria" w:hAnsi="Cambria"/>
                <w:bCs/>
                <w:sz w:val="19"/>
                <w:szCs w:val="19"/>
                <w:lang w:val="es-ES"/>
              </w:rPr>
            </w:pPr>
            <w:r w:rsidRPr="008C31F1">
              <w:rPr>
                <w:rFonts w:ascii="Cambria" w:hAnsi="Cambria"/>
                <w:bCs/>
                <w:sz w:val="19"/>
                <w:szCs w:val="19"/>
                <w:lang w:val="es-ES"/>
              </w:rPr>
              <w:t>24 de mayo de 2019</w:t>
            </w:r>
          </w:p>
        </w:tc>
      </w:tr>
      <w:tr w:rsidR="00785627" w:rsidRPr="00ED70FC" w14:paraId="589C33EF" w14:textId="77777777" w:rsidTr="00954B82">
        <w:tc>
          <w:tcPr>
            <w:tcW w:w="2790" w:type="dxa"/>
            <w:tcBorders>
              <w:top w:val="single" w:sz="6" w:space="0" w:color="auto"/>
              <w:bottom w:val="single" w:sz="6" w:space="0" w:color="auto"/>
            </w:tcBorders>
            <w:shd w:val="clear" w:color="auto" w:fill="386294"/>
            <w:vAlign w:val="center"/>
          </w:tcPr>
          <w:p w14:paraId="672CA76C" w14:textId="20BEC66F" w:rsidR="00785627" w:rsidRPr="00EE0CAD" w:rsidRDefault="008F07BA" w:rsidP="00F063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Advertencia sobre posible archivo</w:t>
            </w:r>
          </w:p>
        </w:tc>
        <w:tc>
          <w:tcPr>
            <w:tcW w:w="6570" w:type="dxa"/>
            <w:vAlign w:val="center"/>
          </w:tcPr>
          <w:p w14:paraId="371FC382" w14:textId="0383FD6B" w:rsidR="00785627" w:rsidRPr="008C31F1" w:rsidRDefault="00785627">
            <w:pPr>
              <w:jc w:val="both"/>
              <w:rPr>
                <w:rFonts w:ascii="Cambria" w:hAnsi="Cambria"/>
                <w:bCs/>
                <w:sz w:val="19"/>
                <w:szCs w:val="19"/>
                <w:lang w:val="es-ES"/>
              </w:rPr>
            </w:pPr>
            <w:r w:rsidRPr="008C31F1">
              <w:rPr>
                <w:rFonts w:ascii="Cambria" w:hAnsi="Cambria"/>
                <w:bCs/>
                <w:sz w:val="19"/>
                <w:szCs w:val="19"/>
                <w:lang w:val="es-ES"/>
              </w:rPr>
              <w:t>2 de mayo de 2017</w:t>
            </w:r>
          </w:p>
        </w:tc>
      </w:tr>
      <w:tr w:rsidR="00785627" w:rsidRPr="00ED70FC" w14:paraId="30557047" w14:textId="77777777" w:rsidTr="00954B82">
        <w:tc>
          <w:tcPr>
            <w:tcW w:w="2790" w:type="dxa"/>
            <w:tcBorders>
              <w:top w:val="single" w:sz="6" w:space="0" w:color="auto"/>
              <w:bottom w:val="single" w:sz="6" w:space="0" w:color="auto"/>
            </w:tcBorders>
            <w:shd w:val="clear" w:color="auto" w:fill="386294"/>
            <w:vAlign w:val="center"/>
          </w:tcPr>
          <w:p w14:paraId="54AEF5DA" w14:textId="3223B3C6" w:rsidR="00785627" w:rsidRPr="00EE0CAD" w:rsidRDefault="008F07BA" w:rsidP="00F063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Respuesta sobre posible archivo</w:t>
            </w:r>
          </w:p>
        </w:tc>
        <w:tc>
          <w:tcPr>
            <w:tcW w:w="6570" w:type="dxa"/>
            <w:vAlign w:val="center"/>
          </w:tcPr>
          <w:p w14:paraId="571A8B0E" w14:textId="54236BCC" w:rsidR="00785627" w:rsidRPr="008C31F1" w:rsidRDefault="00785627">
            <w:pPr>
              <w:jc w:val="both"/>
              <w:rPr>
                <w:rFonts w:ascii="Cambria" w:hAnsi="Cambria"/>
                <w:bCs/>
                <w:sz w:val="19"/>
                <w:szCs w:val="19"/>
                <w:lang w:val="es-ES"/>
              </w:rPr>
            </w:pPr>
            <w:r w:rsidRPr="008C31F1">
              <w:rPr>
                <w:rFonts w:ascii="Cambria" w:hAnsi="Cambria"/>
                <w:bCs/>
                <w:sz w:val="19"/>
                <w:szCs w:val="19"/>
                <w:lang w:val="es-ES"/>
              </w:rPr>
              <w:t>3 de mayo de 2017</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r w:rsidRPr="00ED70FC">
              <w:rPr>
                <w:rFonts w:ascii="Cambria" w:hAnsi="Cambria"/>
                <w:bCs/>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3207"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materiae</w:t>
            </w:r>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ED3207"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ED3207"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104E30CF"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85627">
              <w:rPr>
                <w:rFonts w:asciiTheme="majorHAnsi" w:hAnsiTheme="majorHAnsi"/>
                <w:sz w:val="19"/>
                <w:szCs w:val="19"/>
                <w:lang w:val="es-MX"/>
              </w:rPr>
              <w:t>el 28 de diciembre de 2012</w:t>
            </w:r>
          </w:p>
        </w:tc>
      </w:tr>
      <w:tr w:rsidR="00214755" w:rsidRPr="00ED3207"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3D5963F9"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785627">
              <w:rPr>
                <w:rFonts w:asciiTheme="majorHAnsi" w:hAnsiTheme="majorHAnsi"/>
                <w:sz w:val="19"/>
                <w:szCs w:val="19"/>
                <w:lang w:val="es-MX"/>
              </w:rPr>
              <w:t xml:space="preserve">7 de junio de 2013 </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6F970059"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785627">
        <w:rPr>
          <w:sz w:val="20"/>
          <w:szCs w:val="20"/>
          <w:lang w:val="es-ES"/>
        </w:rPr>
        <w:t xml:space="preserve">Sergio Sebastián Montecinos Alfaro </w:t>
      </w:r>
      <w:r w:rsidRPr="00781854">
        <w:rPr>
          <w:sz w:val="20"/>
          <w:szCs w:val="20"/>
          <w:lang w:val="es-ES"/>
        </w:rPr>
        <w:t>(o en adelante “presunta víctima”) por los daños causados por su detención extrajudicial</w:t>
      </w:r>
      <w:r w:rsidR="00785627">
        <w:rPr>
          <w:sz w:val="20"/>
          <w:szCs w:val="20"/>
          <w:lang w:val="es-ES"/>
        </w:rPr>
        <w:t xml:space="preserve"> </w:t>
      </w:r>
      <w:r w:rsidRPr="00781854">
        <w:rPr>
          <w:sz w:val="20"/>
          <w:szCs w:val="20"/>
          <w:lang w:val="es-ES"/>
        </w:rPr>
        <w:t xml:space="preserve">y posterior desaparición forzada,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6F70B087" w14:textId="0A74B704" w:rsidR="00785627" w:rsidRPr="00B851A2" w:rsidRDefault="002F7F5F" w:rsidP="002959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851A2">
        <w:rPr>
          <w:rFonts w:asciiTheme="majorHAnsi" w:hAnsiTheme="majorHAnsi"/>
          <w:sz w:val="20"/>
          <w:szCs w:val="20"/>
          <w:lang w:val="es-ES"/>
        </w:rPr>
        <w:t xml:space="preserve">El peticionario </w:t>
      </w:r>
      <w:r w:rsidR="00EE0CAD" w:rsidRPr="00B851A2">
        <w:rPr>
          <w:rFonts w:asciiTheme="majorHAnsi" w:hAnsiTheme="majorHAnsi"/>
          <w:sz w:val="20"/>
          <w:szCs w:val="20"/>
          <w:lang w:val="es-ES"/>
        </w:rPr>
        <w:t>alega</w:t>
      </w:r>
      <w:r w:rsidRPr="00717928">
        <w:rPr>
          <w:rStyle w:val="FootnoteReference"/>
          <w:rFonts w:asciiTheme="majorHAnsi" w:hAnsiTheme="majorHAnsi"/>
          <w:sz w:val="20"/>
          <w:szCs w:val="20"/>
          <w:lang w:val="es-ES"/>
        </w:rPr>
        <w:footnoteReference w:id="7"/>
      </w:r>
      <w:r w:rsidR="00037B69" w:rsidRPr="00B851A2">
        <w:rPr>
          <w:rFonts w:asciiTheme="majorHAnsi" w:hAnsiTheme="majorHAnsi"/>
          <w:sz w:val="20"/>
          <w:szCs w:val="20"/>
          <w:lang w:val="es-ES"/>
        </w:rPr>
        <w:t xml:space="preserve"> que </w:t>
      </w:r>
      <w:r w:rsidR="00050A02" w:rsidRPr="00B851A2">
        <w:rPr>
          <w:rFonts w:asciiTheme="majorHAnsi" w:hAnsiTheme="majorHAnsi"/>
          <w:sz w:val="20"/>
          <w:szCs w:val="20"/>
          <w:lang w:val="es-ES"/>
        </w:rPr>
        <w:t>la presunta víctima</w:t>
      </w:r>
      <w:r w:rsidR="00785627" w:rsidRPr="00B851A2">
        <w:rPr>
          <w:rFonts w:asciiTheme="majorHAnsi" w:hAnsiTheme="majorHAnsi"/>
          <w:sz w:val="20"/>
          <w:szCs w:val="20"/>
          <w:lang w:val="es-ES"/>
        </w:rPr>
        <w:t>, militante del Partido Socialista,</w:t>
      </w:r>
      <w:r w:rsidR="00050A02" w:rsidRPr="00B851A2">
        <w:rPr>
          <w:rFonts w:asciiTheme="majorHAnsi" w:hAnsiTheme="majorHAnsi"/>
          <w:sz w:val="20"/>
          <w:szCs w:val="20"/>
          <w:lang w:val="es-ES"/>
        </w:rPr>
        <w:t xml:space="preserve"> fue detenida </w:t>
      </w:r>
      <w:r w:rsidR="00785627" w:rsidRPr="00B851A2">
        <w:rPr>
          <w:rFonts w:asciiTheme="majorHAnsi" w:hAnsiTheme="majorHAnsi"/>
          <w:sz w:val="20"/>
          <w:szCs w:val="20"/>
          <w:lang w:val="es-ES"/>
        </w:rPr>
        <w:t>el 1 de agosto de 1974 en su domicilio</w:t>
      </w:r>
      <w:r w:rsidR="00B851A2" w:rsidRPr="00B851A2">
        <w:rPr>
          <w:rFonts w:asciiTheme="majorHAnsi" w:hAnsiTheme="majorHAnsi"/>
          <w:sz w:val="20"/>
          <w:szCs w:val="20"/>
          <w:lang w:val="es-ES"/>
        </w:rPr>
        <w:t>, sin orden judicial,</w:t>
      </w:r>
      <w:r w:rsidR="00785627" w:rsidRPr="00B851A2">
        <w:rPr>
          <w:rFonts w:asciiTheme="majorHAnsi" w:hAnsiTheme="majorHAnsi"/>
          <w:sz w:val="20"/>
          <w:szCs w:val="20"/>
          <w:lang w:val="es-ES"/>
        </w:rPr>
        <w:t xml:space="preserve"> por agentes de la Dirección de Inteligencia Nacional (DINA). Allanaron el inmueble y le pidieron que los acompañara para una breve declaración</w:t>
      </w:r>
      <w:r w:rsidR="00991E52" w:rsidRPr="00B851A2">
        <w:rPr>
          <w:rFonts w:asciiTheme="majorHAnsi" w:hAnsiTheme="majorHAnsi"/>
          <w:sz w:val="20"/>
          <w:szCs w:val="20"/>
          <w:lang w:val="es-ES"/>
        </w:rPr>
        <w:t xml:space="preserve">, indicándole que </w:t>
      </w:r>
      <w:r w:rsidR="00785627" w:rsidRPr="00B851A2">
        <w:rPr>
          <w:rFonts w:asciiTheme="majorHAnsi" w:hAnsiTheme="majorHAnsi"/>
          <w:sz w:val="20"/>
          <w:szCs w:val="20"/>
          <w:lang w:val="es-ES"/>
        </w:rPr>
        <w:lastRenderedPageBreak/>
        <w:t>si cooperaba podría regresar a su casa. Fue</w:t>
      </w:r>
      <w:r w:rsidR="00B851A2" w:rsidRPr="00B851A2">
        <w:rPr>
          <w:rFonts w:asciiTheme="majorHAnsi" w:hAnsiTheme="majorHAnsi"/>
          <w:sz w:val="20"/>
          <w:szCs w:val="20"/>
          <w:lang w:val="es-ES"/>
        </w:rPr>
        <w:t xml:space="preserve"> entonces</w:t>
      </w:r>
      <w:r w:rsidR="00785627" w:rsidRPr="00B851A2">
        <w:rPr>
          <w:rFonts w:asciiTheme="majorHAnsi" w:hAnsiTheme="majorHAnsi"/>
          <w:sz w:val="20"/>
          <w:szCs w:val="20"/>
          <w:lang w:val="es-ES"/>
        </w:rPr>
        <w:t xml:space="preserve"> trasladado al centro de detención y tortura de la DINA ubicado en Londres 38,</w:t>
      </w:r>
      <w:r w:rsidR="00B851A2" w:rsidRPr="00B851A2">
        <w:rPr>
          <w:rFonts w:asciiTheme="majorHAnsi" w:hAnsiTheme="majorHAnsi"/>
          <w:sz w:val="20"/>
          <w:szCs w:val="20"/>
          <w:lang w:val="es-ES"/>
        </w:rPr>
        <w:t xml:space="preserve"> donde pudo ser visto por diversos otros detenidos, que testimoniaron de su estadía en dicho centro. El 3 de agosto al</w:t>
      </w:r>
      <w:r w:rsidR="00EB2645">
        <w:rPr>
          <w:rFonts w:asciiTheme="majorHAnsi" w:hAnsiTheme="majorHAnsi"/>
          <w:sz w:val="20"/>
          <w:szCs w:val="20"/>
          <w:lang w:val="es-ES"/>
        </w:rPr>
        <w:t>lanaron nuevamente su domicilio y</w:t>
      </w:r>
      <w:r w:rsidR="00B851A2" w:rsidRPr="00B851A2">
        <w:rPr>
          <w:rFonts w:asciiTheme="majorHAnsi" w:hAnsiTheme="majorHAnsi"/>
          <w:sz w:val="20"/>
          <w:szCs w:val="20"/>
          <w:lang w:val="es-ES"/>
        </w:rPr>
        <w:t xml:space="preserve"> se llevaron algunos de sus apuntes de estudios, libros y una vieja escopeta, debidamente inscrita. En esa ocasión les dijeron a sus familiares que tenía para años preso, si es que se libraba con vida. La parte peticionaria indica que el 17 de agosto del mismo año, la presunta víctima fue trasladada a otro recinto</w:t>
      </w:r>
      <w:r w:rsidR="00785627" w:rsidRPr="00B851A2">
        <w:rPr>
          <w:rFonts w:asciiTheme="majorHAnsi" w:hAnsiTheme="majorHAnsi"/>
          <w:sz w:val="20"/>
          <w:szCs w:val="20"/>
          <w:lang w:val="es-ES"/>
        </w:rPr>
        <w:t xml:space="preserve"> y </w:t>
      </w:r>
      <w:r w:rsidR="00EB2645">
        <w:rPr>
          <w:rFonts w:asciiTheme="majorHAnsi" w:hAnsiTheme="majorHAnsi"/>
          <w:sz w:val="20"/>
          <w:szCs w:val="20"/>
          <w:lang w:val="es-ES"/>
        </w:rPr>
        <w:t xml:space="preserve">que </w:t>
      </w:r>
      <w:r w:rsidR="00785627" w:rsidRPr="00B851A2">
        <w:rPr>
          <w:rFonts w:asciiTheme="majorHAnsi" w:hAnsiTheme="majorHAnsi"/>
          <w:sz w:val="20"/>
          <w:szCs w:val="20"/>
          <w:lang w:val="es-ES"/>
        </w:rPr>
        <w:t>se d</w:t>
      </w:r>
      <w:r w:rsidR="00B851A2" w:rsidRPr="00B851A2">
        <w:rPr>
          <w:rFonts w:asciiTheme="majorHAnsi" w:hAnsiTheme="majorHAnsi"/>
          <w:sz w:val="20"/>
          <w:szCs w:val="20"/>
          <w:lang w:val="es-ES"/>
        </w:rPr>
        <w:t xml:space="preserve">esconoce su paradero </w:t>
      </w:r>
      <w:r w:rsidR="00EB2645">
        <w:rPr>
          <w:rFonts w:asciiTheme="majorHAnsi" w:hAnsiTheme="majorHAnsi"/>
          <w:sz w:val="20"/>
          <w:szCs w:val="20"/>
          <w:lang w:val="es-ES"/>
        </w:rPr>
        <w:t>desde este momento</w:t>
      </w:r>
      <w:r w:rsidR="00B851A2" w:rsidRPr="00B851A2">
        <w:rPr>
          <w:rFonts w:asciiTheme="majorHAnsi" w:hAnsiTheme="majorHAnsi"/>
          <w:sz w:val="20"/>
          <w:szCs w:val="20"/>
          <w:lang w:val="es-ES"/>
        </w:rPr>
        <w:t xml:space="preserve">. </w:t>
      </w:r>
      <w:r w:rsidR="00785627" w:rsidRPr="00B851A2">
        <w:rPr>
          <w:rFonts w:asciiTheme="majorHAnsi" w:hAnsiTheme="majorHAnsi"/>
          <w:sz w:val="20"/>
          <w:szCs w:val="20"/>
          <w:lang w:val="es-ES"/>
        </w:rPr>
        <w:t>A</w:t>
      </w:r>
      <w:r w:rsidR="00B851A2">
        <w:rPr>
          <w:rFonts w:asciiTheme="majorHAnsi" w:hAnsiTheme="majorHAnsi"/>
          <w:sz w:val="20"/>
          <w:szCs w:val="20"/>
          <w:lang w:val="es-ES"/>
        </w:rPr>
        <w:t xml:space="preserve">grega </w:t>
      </w:r>
      <w:r w:rsidR="00785627" w:rsidRPr="00B851A2">
        <w:rPr>
          <w:rFonts w:asciiTheme="majorHAnsi" w:hAnsiTheme="majorHAnsi"/>
          <w:sz w:val="20"/>
          <w:szCs w:val="20"/>
          <w:lang w:val="es-ES"/>
        </w:rPr>
        <w:t xml:space="preserve">que el nombre de la presunta víctima </w:t>
      </w:r>
      <w:r w:rsidR="00B851A2">
        <w:rPr>
          <w:rFonts w:asciiTheme="majorHAnsi" w:hAnsiTheme="majorHAnsi"/>
          <w:sz w:val="20"/>
          <w:szCs w:val="20"/>
          <w:lang w:val="es-ES"/>
        </w:rPr>
        <w:t>apareció</w:t>
      </w:r>
      <w:r w:rsidR="00785627" w:rsidRPr="00B851A2">
        <w:rPr>
          <w:rFonts w:asciiTheme="majorHAnsi" w:hAnsiTheme="majorHAnsi"/>
          <w:sz w:val="20"/>
          <w:szCs w:val="20"/>
          <w:lang w:val="es-ES"/>
        </w:rPr>
        <w:t xml:space="preserve"> en nómina de 119 personas supuestamente fallecidas en Salta, Argentina</w:t>
      </w:r>
      <w:r w:rsidR="00B851A2">
        <w:rPr>
          <w:rFonts w:asciiTheme="majorHAnsi" w:hAnsiTheme="majorHAnsi"/>
          <w:sz w:val="20"/>
          <w:szCs w:val="20"/>
          <w:lang w:val="es-ES"/>
        </w:rPr>
        <w:t>,</w:t>
      </w:r>
      <w:r w:rsidR="00785627" w:rsidRPr="00B851A2">
        <w:rPr>
          <w:rFonts w:asciiTheme="majorHAnsi" w:hAnsiTheme="majorHAnsi"/>
          <w:sz w:val="20"/>
          <w:szCs w:val="20"/>
          <w:lang w:val="es-ES"/>
        </w:rPr>
        <w:t xml:space="preserve"> en un enfrentamiento con las Fuerzas Armadas argentinas. Dicha nómina fue consignada en el diario O’DIA de Brasil y e</w:t>
      </w:r>
      <w:r w:rsidR="00B851A2">
        <w:rPr>
          <w:rFonts w:asciiTheme="majorHAnsi" w:hAnsiTheme="majorHAnsi"/>
          <w:sz w:val="20"/>
          <w:szCs w:val="20"/>
          <w:lang w:val="es-ES"/>
        </w:rPr>
        <w:t>n la Revista LEA de Argentina. Indica que l</w:t>
      </w:r>
      <w:r w:rsidR="00785627" w:rsidRPr="00B851A2">
        <w:rPr>
          <w:rFonts w:asciiTheme="majorHAnsi" w:hAnsiTheme="majorHAnsi"/>
          <w:sz w:val="20"/>
          <w:szCs w:val="20"/>
          <w:lang w:val="es-ES"/>
        </w:rPr>
        <w:t xml:space="preserve">a Policía Federal argentina </w:t>
      </w:r>
      <w:r w:rsidR="000C03C1" w:rsidRPr="00B851A2">
        <w:rPr>
          <w:rFonts w:asciiTheme="majorHAnsi" w:hAnsiTheme="majorHAnsi"/>
          <w:sz w:val="20"/>
          <w:szCs w:val="20"/>
          <w:lang w:val="es-ES"/>
        </w:rPr>
        <w:t>señaló</w:t>
      </w:r>
      <w:r w:rsidR="00B851A2">
        <w:rPr>
          <w:rFonts w:asciiTheme="majorHAnsi" w:hAnsiTheme="majorHAnsi"/>
          <w:sz w:val="20"/>
          <w:szCs w:val="20"/>
          <w:lang w:val="es-ES"/>
        </w:rPr>
        <w:t xml:space="preserve"> a la</w:t>
      </w:r>
      <w:r w:rsidR="00EB2645">
        <w:rPr>
          <w:rFonts w:asciiTheme="majorHAnsi" w:hAnsiTheme="majorHAnsi"/>
          <w:sz w:val="20"/>
          <w:szCs w:val="20"/>
          <w:lang w:val="es-ES"/>
        </w:rPr>
        <w:t xml:space="preserve"> CIDH</w:t>
      </w:r>
      <w:r w:rsidR="000C03C1" w:rsidRPr="00B851A2">
        <w:rPr>
          <w:rFonts w:asciiTheme="majorHAnsi" w:hAnsiTheme="majorHAnsi"/>
          <w:sz w:val="20"/>
          <w:szCs w:val="20"/>
          <w:lang w:val="es-ES"/>
        </w:rPr>
        <w:t xml:space="preserve"> que no tenían antecedente alguno sobre las 119 personas mencionadas y que resultaba inverosímil que un suceso de tal magnitud hubiese ocurrido sin el conocimiento</w:t>
      </w:r>
      <w:r w:rsidR="00B851A2">
        <w:rPr>
          <w:rFonts w:asciiTheme="majorHAnsi" w:hAnsiTheme="majorHAnsi"/>
          <w:sz w:val="20"/>
          <w:szCs w:val="20"/>
          <w:lang w:val="es-ES"/>
        </w:rPr>
        <w:t xml:space="preserve"> de los organismos competentes.</w:t>
      </w:r>
    </w:p>
    <w:p w14:paraId="0848B627" w14:textId="219C434B" w:rsidR="00416A7F" w:rsidRDefault="0071444F" w:rsidP="00B851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0C03C1">
        <w:rPr>
          <w:rFonts w:ascii="Cambria" w:hAnsi="Cambria"/>
          <w:sz w:val="20"/>
          <w:szCs w:val="20"/>
          <w:lang w:val="es-ES"/>
        </w:rPr>
        <w:t>2 de agosto de 1974</w:t>
      </w:r>
      <w:r w:rsidR="00B851A2">
        <w:rPr>
          <w:rFonts w:ascii="Cambria" w:hAnsi="Cambria"/>
          <w:sz w:val="20"/>
          <w:szCs w:val="20"/>
          <w:lang w:val="es-ES"/>
        </w:rPr>
        <w:t xml:space="preserve"> la viuda de la presunta víctima </w:t>
      </w:r>
      <w:r w:rsidR="000C03C1">
        <w:rPr>
          <w:rFonts w:ascii="Cambria" w:hAnsi="Cambria"/>
          <w:sz w:val="20"/>
          <w:szCs w:val="20"/>
          <w:lang w:val="es-ES"/>
        </w:rPr>
        <w:t>interpuso un recurso de amparo</w:t>
      </w:r>
      <w:r w:rsidR="00B851A2">
        <w:rPr>
          <w:rFonts w:ascii="Cambria" w:hAnsi="Cambria"/>
          <w:sz w:val="20"/>
          <w:szCs w:val="20"/>
          <w:lang w:val="es-ES"/>
        </w:rPr>
        <w:t xml:space="preserve"> ante la Corte de Apelaciones de Santiago. A</w:t>
      </w:r>
      <w:r w:rsidR="000C03C1">
        <w:rPr>
          <w:rFonts w:ascii="Cambria" w:hAnsi="Cambria"/>
          <w:sz w:val="20"/>
          <w:szCs w:val="20"/>
          <w:lang w:val="es-ES"/>
        </w:rPr>
        <w:t>nte la negativa de distintas autoridades de información sobre su detención o antecedentes sobre su paradero</w:t>
      </w:r>
      <w:r w:rsidR="00B851A2">
        <w:rPr>
          <w:rFonts w:ascii="Cambria" w:hAnsi="Cambria"/>
          <w:sz w:val="20"/>
          <w:szCs w:val="20"/>
          <w:lang w:val="es-ES"/>
        </w:rPr>
        <w:t>,</w:t>
      </w:r>
      <w:r w:rsidR="000C03C1">
        <w:rPr>
          <w:rFonts w:ascii="Cambria" w:hAnsi="Cambria"/>
          <w:sz w:val="20"/>
          <w:szCs w:val="20"/>
          <w:lang w:val="es-ES"/>
        </w:rPr>
        <w:t xml:space="preserve"> el 10 de enero de 1975 el recurso fue rechazado. La Corte remitió los antecedentes al Juzgado del Crimen correspondiente</w:t>
      </w:r>
      <w:r w:rsidR="00B851A2">
        <w:rPr>
          <w:rFonts w:ascii="Cambria" w:hAnsi="Cambria"/>
          <w:sz w:val="20"/>
          <w:szCs w:val="20"/>
          <w:lang w:val="es-ES"/>
        </w:rPr>
        <w:t xml:space="preserve">, a fin que investigara la posible comisión de un delito derivado del </w:t>
      </w:r>
      <w:r w:rsidR="007C22EC">
        <w:rPr>
          <w:rFonts w:ascii="Cambria" w:hAnsi="Cambria"/>
          <w:sz w:val="20"/>
          <w:szCs w:val="20"/>
          <w:lang w:val="es-ES"/>
        </w:rPr>
        <w:t>desaparecimiento</w:t>
      </w:r>
      <w:r w:rsidR="000C03C1">
        <w:rPr>
          <w:rFonts w:ascii="Cambria" w:hAnsi="Cambria"/>
          <w:sz w:val="20"/>
          <w:szCs w:val="20"/>
          <w:lang w:val="es-ES"/>
        </w:rPr>
        <w:t>. El 16 de enero de 1975 el 11</w:t>
      </w:r>
      <w:r w:rsidR="007C22EC">
        <w:rPr>
          <w:rFonts w:ascii="Cambria" w:hAnsi="Cambria"/>
          <w:sz w:val="20"/>
          <w:szCs w:val="20"/>
          <w:vertAlign w:val="superscript"/>
          <w:lang w:val="es-ES"/>
        </w:rPr>
        <w:t>o</w:t>
      </w:r>
      <w:r w:rsidR="000C03C1">
        <w:rPr>
          <w:rFonts w:ascii="Cambria" w:hAnsi="Cambria"/>
          <w:sz w:val="20"/>
          <w:szCs w:val="20"/>
          <w:lang w:val="es-ES"/>
        </w:rPr>
        <w:t xml:space="preserve"> Juzgado del Crimen de Santiago inició un proceso por presunta desgracia, se declaró incompetente y lo derivó a la II Fiscalía Militar</w:t>
      </w:r>
      <w:r w:rsidR="007C22EC">
        <w:rPr>
          <w:rFonts w:ascii="Cambria" w:hAnsi="Cambria"/>
          <w:sz w:val="20"/>
          <w:szCs w:val="20"/>
          <w:lang w:val="es-ES"/>
        </w:rPr>
        <w:t>. D</w:t>
      </w:r>
      <w:r w:rsidR="000C03C1">
        <w:rPr>
          <w:rFonts w:ascii="Cambria" w:hAnsi="Cambria"/>
          <w:sz w:val="20"/>
          <w:szCs w:val="20"/>
          <w:lang w:val="es-ES"/>
        </w:rPr>
        <w:t>icha causa fue sobreseída temporalmente, pero permitió acreditar que la presunta víctima había sido detenida por agentes del Estado, por lo que el 26 de octubre de 1976 se presentó un nuevo recurso de amparo. La Corte rechazó el recurso el 9 de noviembre de 1976 por considerar improcedente presentar un nuevo amparo en base a los mismos hechos.</w:t>
      </w:r>
      <w:r w:rsidR="007C22EC">
        <w:rPr>
          <w:rFonts w:ascii="Cambria" w:hAnsi="Cambria"/>
          <w:sz w:val="20"/>
          <w:szCs w:val="20"/>
          <w:lang w:val="es-ES"/>
        </w:rPr>
        <w:t xml:space="preserve"> Dicha resolución fue confirmada por la Corte Suprema el 15 de noviembre de 1976, teniendo presente que no aparece en estos antecedentes que</w:t>
      </w:r>
      <w:r w:rsidR="00EB2645">
        <w:rPr>
          <w:rFonts w:ascii="Cambria" w:hAnsi="Cambria"/>
          <w:sz w:val="20"/>
          <w:szCs w:val="20"/>
          <w:lang w:val="es-ES"/>
        </w:rPr>
        <w:t xml:space="preserve"> la presunta víctima</w:t>
      </w:r>
      <w:r w:rsidR="007C22EC">
        <w:rPr>
          <w:rFonts w:ascii="Cambria" w:hAnsi="Cambria"/>
          <w:sz w:val="20"/>
          <w:szCs w:val="20"/>
          <w:lang w:val="es-ES"/>
        </w:rPr>
        <w:t xml:space="preserve"> se encuentre privado de libertad por orden de la autoridad.</w:t>
      </w:r>
      <w:r w:rsidR="000C03C1">
        <w:rPr>
          <w:rFonts w:ascii="Cambria" w:hAnsi="Cambria"/>
          <w:sz w:val="20"/>
          <w:szCs w:val="20"/>
          <w:lang w:val="es-ES"/>
        </w:rPr>
        <w:t xml:space="preserve"> El 18 de enero de 1977 se presentó una denuncia por privación de libertad ante el 8</w:t>
      </w:r>
      <w:r w:rsidR="007C22EC">
        <w:rPr>
          <w:rFonts w:ascii="Cambria" w:hAnsi="Cambria"/>
          <w:sz w:val="20"/>
          <w:szCs w:val="20"/>
          <w:lang w:val="es-ES"/>
        </w:rPr>
        <w:t xml:space="preserve"> Juzgado del Crimen de Santiago. E</w:t>
      </w:r>
      <w:r w:rsidR="000C03C1">
        <w:rPr>
          <w:rFonts w:ascii="Cambria" w:hAnsi="Cambria"/>
          <w:sz w:val="20"/>
          <w:szCs w:val="20"/>
          <w:lang w:val="es-ES"/>
        </w:rPr>
        <w:t>l 23 de agosto del mismo año</w:t>
      </w:r>
      <w:r w:rsidR="007C22EC">
        <w:rPr>
          <w:rFonts w:ascii="Cambria" w:hAnsi="Cambria"/>
          <w:sz w:val="20"/>
          <w:szCs w:val="20"/>
          <w:lang w:val="es-ES"/>
        </w:rPr>
        <w:t>,</w:t>
      </w:r>
      <w:r w:rsidR="000C03C1">
        <w:rPr>
          <w:rFonts w:ascii="Cambria" w:hAnsi="Cambria"/>
          <w:sz w:val="20"/>
          <w:szCs w:val="20"/>
          <w:lang w:val="es-ES"/>
        </w:rPr>
        <w:t xml:space="preserve"> y ante el mismo tribunal</w:t>
      </w:r>
      <w:r w:rsidR="007C22EC">
        <w:rPr>
          <w:rFonts w:ascii="Cambria" w:hAnsi="Cambria"/>
          <w:sz w:val="20"/>
          <w:szCs w:val="20"/>
          <w:lang w:val="es-ES"/>
        </w:rPr>
        <w:t>, se presentó</w:t>
      </w:r>
      <w:r w:rsidR="000C03C1">
        <w:rPr>
          <w:rFonts w:ascii="Cambria" w:hAnsi="Cambria"/>
          <w:sz w:val="20"/>
          <w:szCs w:val="20"/>
          <w:lang w:val="es-ES"/>
        </w:rPr>
        <w:t xml:space="preserve"> una </w:t>
      </w:r>
      <w:r w:rsidR="007C22EC">
        <w:rPr>
          <w:rFonts w:ascii="Cambria" w:hAnsi="Cambria"/>
          <w:sz w:val="20"/>
          <w:szCs w:val="20"/>
          <w:lang w:val="es-ES"/>
        </w:rPr>
        <w:t>querella criminal por secuestro;</w:t>
      </w:r>
      <w:r w:rsidR="000C03C1">
        <w:rPr>
          <w:rFonts w:ascii="Cambria" w:hAnsi="Cambria"/>
          <w:sz w:val="20"/>
          <w:szCs w:val="20"/>
          <w:lang w:val="es-ES"/>
        </w:rPr>
        <w:t xml:space="preserve"> ambas causas fueron acumuladas. El 5 de abril de 1978 se decretó el cierre del sumario y el 11 del mismo mes el sobreseimiento temporal de la causa, decisión que fue confirmada por la Corte de Apelaciones el 7 de junio de 1978. </w:t>
      </w:r>
    </w:p>
    <w:p w14:paraId="2EAB0065" w14:textId="68AABF03" w:rsidR="00026D32" w:rsidRPr="00026D32" w:rsidRDefault="000C03C1" w:rsidP="00026D32">
      <w:pPr>
        <w:pStyle w:val="ListParagraph"/>
        <w:numPr>
          <w:ilvl w:val="0"/>
          <w:numId w:val="103"/>
        </w:numPr>
        <w:jc w:val="both"/>
        <w:rPr>
          <w:rFonts w:eastAsia="Arial Unicode MS" w:cs="Times New Roman"/>
          <w:color w:val="auto"/>
          <w:sz w:val="20"/>
          <w:szCs w:val="20"/>
          <w:lang w:val="es-ES" w:eastAsia="en-US"/>
        </w:rPr>
      </w:pPr>
      <w:r w:rsidRPr="00026D32">
        <w:rPr>
          <w:sz w:val="20"/>
          <w:szCs w:val="20"/>
          <w:lang w:val="es-ES"/>
        </w:rPr>
        <w:t xml:space="preserve">El 2 de junio de 2008 </w:t>
      </w:r>
      <w:r w:rsidR="00DC46AF" w:rsidRPr="00026D32">
        <w:rPr>
          <w:sz w:val="20"/>
          <w:szCs w:val="20"/>
          <w:lang w:val="es-ES"/>
        </w:rPr>
        <w:t>se inici</w:t>
      </w:r>
      <w:r w:rsidR="00FA3CA9" w:rsidRPr="00026D32">
        <w:rPr>
          <w:sz w:val="20"/>
          <w:szCs w:val="20"/>
          <w:lang w:val="es-ES"/>
        </w:rPr>
        <w:t xml:space="preserve">ó </w:t>
      </w:r>
      <w:r w:rsidR="008F07BA">
        <w:rPr>
          <w:sz w:val="20"/>
          <w:szCs w:val="20"/>
          <w:lang w:val="es-ES"/>
        </w:rPr>
        <w:t>una</w:t>
      </w:r>
      <w:r w:rsidRPr="00026D32">
        <w:rPr>
          <w:sz w:val="20"/>
          <w:szCs w:val="20"/>
          <w:lang w:val="es-ES"/>
        </w:rPr>
        <w:t xml:space="preserve"> causa civil en el 30</w:t>
      </w:r>
      <w:r w:rsidR="00EA67B7" w:rsidRPr="00026D32">
        <w:rPr>
          <w:sz w:val="20"/>
          <w:szCs w:val="20"/>
          <w:vertAlign w:val="superscript"/>
          <w:lang w:val="es-ES"/>
        </w:rPr>
        <w:t>o</w:t>
      </w:r>
      <w:r w:rsidR="00DC46AF" w:rsidRPr="00026D32">
        <w:rPr>
          <w:sz w:val="20"/>
          <w:szCs w:val="20"/>
          <w:lang w:val="es-ES"/>
        </w:rPr>
        <w:t xml:space="preserve"> Juzgado Civil de Santiago, cuya sentencia se dict</w:t>
      </w:r>
      <w:r w:rsidR="00FA3CA9" w:rsidRPr="00026D32">
        <w:rPr>
          <w:sz w:val="20"/>
          <w:szCs w:val="20"/>
          <w:lang w:val="es-ES"/>
        </w:rPr>
        <w:t>ó</w:t>
      </w:r>
      <w:r w:rsidR="00DC46AF" w:rsidRPr="00026D32">
        <w:rPr>
          <w:sz w:val="20"/>
          <w:szCs w:val="20"/>
          <w:lang w:val="es-ES"/>
        </w:rPr>
        <w:t xml:space="preserve"> </w:t>
      </w:r>
      <w:r w:rsidRPr="00026D32">
        <w:rPr>
          <w:sz w:val="20"/>
          <w:szCs w:val="20"/>
          <w:lang w:val="es-ES"/>
        </w:rPr>
        <w:t xml:space="preserve">el 21 de octubre de 2009 </w:t>
      </w:r>
      <w:r w:rsidR="00DC46AF" w:rsidRPr="00026D32">
        <w:rPr>
          <w:sz w:val="20"/>
          <w:szCs w:val="20"/>
          <w:lang w:val="es-ES"/>
        </w:rPr>
        <w:t xml:space="preserve">denegando la pretensión de los </w:t>
      </w:r>
      <w:r w:rsidR="00EA67B7" w:rsidRPr="00026D32">
        <w:rPr>
          <w:sz w:val="20"/>
          <w:szCs w:val="20"/>
          <w:lang w:val="es-ES"/>
        </w:rPr>
        <w:t>familiares de la presunta víctima</w:t>
      </w:r>
      <w:r w:rsidR="00DC46AF" w:rsidRPr="00026D32">
        <w:rPr>
          <w:sz w:val="20"/>
          <w:szCs w:val="20"/>
          <w:lang w:val="es-ES"/>
        </w:rPr>
        <w:t xml:space="preserve"> a una in</w:t>
      </w:r>
      <w:r w:rsidR="007D4106" w:rsidRPr="00026D32">
        <w:rPr>
          <w:sz w:val="20"/>
          <w:szCs w:val="20"/>
          <w:lang w:val="es-ES"/>
        </w:rPr>
        <w:t>demnización por el daño causado en base a la prescripción de las acciones civiles.</w:t>
      </w:r>
      <w:r w:rsidR="00DC46AF" w:rsidRPr="00026D32">
        <w:rPr>
          <w:sz w:val="20"/>
          <w:szCs w:val="20"/>
          <w:lang w:val="es-ES"/>
        </w:rPr>
        <w:t xml:space="preserve"> </w:t>
      </w:r>
      <w:r w:rsidR="00393274" w:rsidRPr="00026D32">
        <w:rPr>
          <w:sz w:val="20"/>
          <w:szCs w:val="20"/>
          <w:lang w:val="es-ES"/>
        </w:rPr>
        <w:t xml:space="preserve">En sentencia del </w:t>
      </w:r>
      <w:r w:rsidRPr="00026D32">
        <w:rPr>
          <w:sz w:val="20"/>
          <w:szCs w:val="20"/>
          <w:lang w:val="es-ES"/>
        </w:rPr>
        <w:t>30 de septiembre de 2011</w:t>
      </w:r>
      <w:r w:rsidR="00393274" w:rsidRPr="00026D32">
        <w:rPr>
          <w:sz w:val="20"/>
          <w:szCs w:val="20"/>
          <w:lang w:val="es-ES"/>
        </w:rPr>
        <w:t xml:space="preserve"> l</w:t>
      </w:r>
      <w:r w:rsidR="00DC46AF" w:rsidRPr="00026D32">
        <w:rPr>
          <w:sz w:val="20"/>
          <w:szCs w:val="20"/>
          <w:lang w:val="es-ES"/>
        </w:rPr>
        <w:t>a Corte de Apelaciones de Santiago revoc</w:t>
      </w:r>
      <w:r w:rsidR="00FA3CA9" w:rsidRPr="00026D32">
        <w:rPr>
          <w:sz w:val="20"/>
          <w:szCs w:val="20"/>
          <w:lang w:val="es-ES"/>
        </w:rPr>
        <w:t>ó</w:t>
      </w:r>
      <w:r w:rsidR="00DC46AF" w:rsidRPr="00026D32">
        <w:rPr>
          <w:sz w:val="20"/>
          <w:szCs w:val="20"/>
          <w:lang w:val="es-ES"/>
        </w:rPr>
        <w:t xml:space="preserve"> </w:t>
      </w:r>
      <w:r w:rsidR="00393274" w:rsidRPr="00026D32">
        <w:rPr>
          <w:sz w:val="20"/>
          <w:szCs w:val="20"/>
          <w:lang w:val="es-ES"/>
        </w:rPr>
        <w:t>la</w:t>
      </w:r>
      <w:r w:rsidR="00DC46AF" w:rsidRPr="00026D32">
        <w:rPr>
          <w:sz w:val="20"/>
          <w:szCs w:val="20"/>
          <w:lang w:val="es-ES"/>
        </w:rPr>
        <w:t xml:space="preserve"> sentencia de primera instancia</w:t>
      </w:r>
      <w:r w:rsidR="00FA3CA9" w:rsidRPr="00026D32">
        <w:rPr>
          <w:sz w:val="20"/>
          <w:szCs w:val="20"/>
          <w:lang w:val="es-ES"/>
        </w:rPr>
        <w:t>,</w:t>
      </w:r>
      <w:r w:rsidR="00DC46AF" w:rsidRPr="00026D32">
        <w:rPr>
          <w:sz w:val="20"/>
          <w:szCs w:val="20"/>
          <w:lang w:val="es-ES"/>
        </w:rPr>
        <w:t xml:space="preserve"> obligando al Estado a </w:t>
      </w:r>
      <w:r w:rsidR="00724891" w:rsidRPr="00026D32">
        <w:rPr>
          <w:sz w:val="20"/>
          <w:szCs w:val="20"/>
          <w:lang w:val="es-ES"/>
        </w:rPr>
        <w:t xml:space="preserve">indemnizar. Contra este fallo </w:t>
      </w:r>
      <w:r w:rsidRPr="00026D32">
        <w:rPr>
          <w:sz w:val="20"/>
          <w:szCs w:val="20"/>
          <w:lang w:val="es-ES"/>
        </w:rPr>
        <w:t xml:space="preserve">se </w:t>
      </w:r>
      <w:r w:rsidR="00724891" w:rsidRPr="00026D32">
        <w:rPr>
          <w:sz w:val="20"/>
          <w:szCs w:val="20"/>
          <w:lang w:val="es-ES"/>
        </w:rPr>
        <w:t>recurr</w:t>
      </w:r>
      <w:r w:rsidR="00FA3CA9" w:rsidRPr="00026D32">
        <w:rPr>
          <w:sz w:val="20"/>
          <w:szCs w:val="20"/>
          <w:lang w:val="es-ES"/>
        </w:rPr>
        <w:t>ió</w:t>
      </w:r>
      <w:r w:rsidR="00724891" w:rsidRPr="00026D32">
        <w:rPr>
          <w:sz w:val="20"/>
          <w:szCs w:val="20"/>
          <w:lang w:val="es-ES"/>
        </w:rPr>
        <w:t xml:space="preserve"> de casación ante la Corte Suprema, </w:t>
      </w:r>
      <w:r w:rsidR="00FA3CA9" w:rsidRPr="00026D32">
        <w:rPr>
          <w:sz w:val="20"/>
          <w:szCs w:val="20"/>
          <w:lang w:val="es-ES"/>
        </w:rPr>
        <w:t xml:space="preserve">y </w:t>
      </w:r>
      <w:r w:rsidR="00724891" w:rsidRPr="00026D32">
        <w:rPr>
          <w:sz w:val="20"/>
          <w:szCs w:val="20"/>
          <w:lang w:val="es-ES"/>
        </w:rPr>
        <w:t xml:space="preserve">el </w:t>
      </w:r>
      <w:r w:rsidR="008F07BA">
        <w:rPr>
          <w:sz w:val="20"/>
          <w:szCs w:val="20"/>
          <w:lang w:val="es-ES"/>
        </w:rPr>
        <w:t>7 de diciembre de 2012</w:t>
      </w:r>
      <w:r w:rsidRPr="00026D32">
        <w:rPr>
          <w:sz w:val="20"/>
          <w:szCs w:val="20"/>
          <w:lang w:val="es-ES"/>
        </w:rPr>
        <w:t xml:space="preserve"> </w:t>
      </w:r>
      <w:r w:rsidR="00724891" w:rsidRPr="00026D32">
        <w:rPr>
          <w:sz w:val="20"/>
          <w:szCs w:val="20"/>
          <w:lang w:val="es-ES"/>
        </w:rPr>
        <w:t xml:space="preserve">dicho recurso </w:t>
      </w:r>
      <w:r w:rsidR="00FA3CA9" w:rsidRPr="00026D32">
        <w:rPr>
          <w:sz w:val="20"/>
          <w:szCs w:val="20"/>
          <w:lang w:val="es-ES"/>
        </w:rPr>
        <w:t xml:space="preserve">fue </w:t>
      </w:r>
      <w:r w:rsidR="00724891" w:rsidRPr="00026D32">
        <w:rPr>
          <w:sz w:val="20"/>
          <w:szCs w:val="20"/>
          <w:lang w:val="es-ES"/>
        </w:rPr>
        <w:t>acogido por la Corte</w:t>
      </w:r>
      <w:r w:rsidR="00FA3CA9" w:rsidRPr="00026D32">
        <w:rPr>
          <w:sz w:val="20"/>
          <w:szCs w:val="20"/>
          <w:lang w:val="es-ES"/>
        </w:rPr>
        <w:t>,</w:t>
      </w:r>
      <w:r w:rsidR="00724891" w:rsidRPr="00026D32">
        <w:rPr>
          <w:sz w:val="20"/>
          <w:szCs w:val="20"/>
          <w:lang w:val="es-ES"/>
        </w:rPr>
        <w:t xml:space="preserve"> </w:t>
      </w:r>
      <w:r w:rsidR="00FA3CA9" w:rsidRPr="00026D32">
        <w:rPr>
          <w:sz w:val="20"/>
          <w:szCs w:val="20"/>
          <w:lang w:val="es-ES"/>
        </w:rPr>
        <w:t>revocándose</w:t>
      </w:r>
      <w:r w:rsidR="00724891" w:rsidRPr="00026D32">
        <w:rPr>
          <w:sz w:val="20"/>
          <w:szCs w:val="20"/>
          <w:lang w:val="es-ES"/>
        </w:rPr>
        <w:t xml:space="preserve"> el fallo que concedía la indemnización</w:t>
      </w:r>
      <w:r w:rsidR="00AE7F18" w:rsidRPr="00026D32">
        <w:rPr>
          <w:sz w:val="20"/>
          <w:szCs w:val="20"/>
          <w:lang w:val="es-ES"/>
        </w:rPr>
        <w:t>.</w:t>
      </w:r>
      <w:r w:rsidR="00724891" w:rsidRPr="00026D32">
        <w:rPr>
          <w:sz w:val="20"/>
          <w:szCs w:val="20"/>
          <w:lang w:val="es-ES"/>
        </w:rPr>
        <w:t xml:space="preserve"> Con fecha </w:t>
      </w:r>
      <w:r w:rsidRPr="00026D32">
        <w:rPr>
          <w:sz w:val="20"/>
          <w:szCs w:val="20"/>
          <w:lang w:val="es-ES"/>
        </w:rPr>
        <w:t>28 de diciembre de 2012</w:t>
      </w:r>
      <w:r w:rsidR="00724891" w:rsidRPr="00026D32">
        <w:rPr>
          <w:sz w:val="20"/>
          <w:szCs w:val="20"/>
          <w:lang w:val="es-ES"/>
        </w:rPr>
        <w:t xml:space="preserve"> se dict</w:t>
      </w:r>
      <w:r w:rsidR="00FA3CA9" w:rsidRPr="00026D32">
        <w:rPr>
          <w:sz w:val="20"/>
          <w:szCs w:val="20"/>
          <w:lang w:val="es-ES"/>
        </w:rPr>
        <w:t>ó</w:t>
      </w:r>
      <w:r w:rsidR="00724891" w:rsidRPr="00026D32">
        <w:rPr>
          <w:sz w:val="20"/>
          <w:szCs w:val="20"/>
          <w:lang w:val="es-ES"/>
        </w:rPr>
        <w:t xml:space="preserve"> el “cúmplase” por parte del Juzgado Civil de primera instancia. </w:t>
      </w:r>
      <w:r w:rsidR="00DC46AF" w:rsidRPr="00026D32">
        <w:rPr>
          <w:sz w:val="20"/>
          <w:szCs w:val="20"/>
          <w:lang w:val="es-ES"/>
        </w:rPr>
        <w:t xml:space="preserve"> </w:t>
      </w:r>
    </w:p>
    <w:p w14:paraId="1AF4757C" w14:textId="77777777" w:rsidR="00026D32" w:rsidRPr="00026D32" w:rsidRDefault="00026D32" w:rsidP="00026D32">
      <w:pPr>
        <w:pStyle w:val="ListParagraph"/>
        <w:jc w:val="both"/>
        <w:rPr>
          <w:rFonts w:eastAsia="Arial Unicode MS" w:cs="Times New Roman"/>
          <w:color w:val="auto"/>
          <w:sz w:val="20"/>
          <w:szCs w:val="20"/>
          <w:lang w:val="es-ES" w:eastAsia="en-US"/>
        </w:rPr>
      </w:pPr>
    </w:p>
    <w:p w14:paraId="4F225786" w14:textId="22FA2490" w:rsidR="00026D32" w:rsidRPr="00553562" w:rsidRDefault="00026D32" w:rsidP="00E81146">
      <w:pPr>
        <w:pStyle w:val="ListParagraph"/>
        <w:numPr>
          <w:ilvl w:val="0"/>
          <w:numId w:val="103"/>
        </w:numPr>
        <w:jc w:val="both"/>
        <w:rPr>
          <w:rFonts w:eastAsia="Arial Unicode MS" w:cs="Times New Roman"/>
          <w:color w:val="auto"/>
          <w:sz w:val="20"/>
          <w:szCs w:val="20"/>
          <w:lang w:val="es-ES" w:eastAsia="en-US"/>
        </w:rPr>
      </w:pPr>
      <w:r w:rsidRPr="00553562">
        <w:rPr>
          <w:rFonts w:eastAsia="Arial Unicode MS" w:cs="Times New Roman"/>
          <w:color w:val="auto"/>
          <w:sz w:val="20"/>
          <w:szCs w:val="20"/>
          <w:lang w:val="es-ES" w:eastAsia="en-US"/>
        </w:rPr>
        <w:t>Por su parte, el Estado señala que, la petición resulta manifiestamente infundada, puesto que no se explica en que forma la decisión judicial cuestionada infringe los derechos de la peticionaria, esto implica una carencia de fundamentación crítica para la adecuada comprensión de la petición. Agrega que la Comisión estaría actuando como una cuarta instancia respecto de la decisión de la Corte Suprema, buscando corregir la interpretación del derecho de daños nacional</w:t>
      </w:r>
      <w:r w:rsidR="00553562">
        <w:rPr>
          <w:rFonts w:eastAsia="Arial Unicode MS" w:cs="Times New Roman"/>
          <w:color w:val="auto"/>
          <w:sz w:val="20"/>
          <w:szCs w:val="20"/>
          <w:lang w:val="es-ES" w:eastAsia="en-US"/>
        </w:rPr>
        <w:t>. S</w:t>
      </w:r>
      <w:r w:rsidRPr="00553562">
        <w:rPr>
          <w:rFonts w:eastAsia="Arial Unicode MS" w:cs="Times New Roman"/>
          <w:color w:val="auto"/>
          <w:sz w:val="20"/>
          <w:szCs w:val="20"/>
          <w:lang w:val="es-ES" w:eastAsia="en-US"/>
        </w:rPr>
        <w:t>ostiene que si la Comisión es forzada a declarar que dicha interpretación es equivocada en la práctica estaría fijando términos heterónomos una regla de interpretación del derecho chileno que buscaría reemplazar la ya decidida. Adicionalmente</w:t>
      </w:r>
      <w:r w:rsidR="00553562">
        <w:rPr>
          <w:rFonts w:eastAsia="Arial Unicode MS" w:cs="Times New Roman"/>
          <w:color w:val="auto"/>
          <w:sz w:val="20"/>
          <w:szCs w:val="20"/>
          <w:lang w:val="es-ES" w:eastAsia="en-US"/>
        </w:rPr>
        <w:t>,</w:t>
      </w:r>
      <w:r w:rsidRPr="00553562">
        <w:rPr>
          <w:rFonts w:eastAsia="Arial Unicode MS" w:cs="Times New Roman"/>
          <w:color w:val="auto"/>
          <w:sz w:val="20"/>
          <w:szCs w:val="20"/>
          <w:lang w:val="es-ES" w:eastAsia="en-US"/>
        </w:rPr>
        <w:t xml:space="preserve"> recuerda sus reservas a la Convención Americana, en virtud de las cuales se dejó constancia que los reconocimientos de competencia conferidos por el Estado se refieren a hechos posteriores de la fecha de depósito del instrumento de ratificación, o, en todo caso, a hechos cuyo principio de ejecución será posterior al 11 de marzo de 1990. Por lo tanto, la Comisión no tendría competencia para pronunciarse respecto de los mismos debido a una restricción ex </w:t>
      </w:r>
      <w:r w:rsidRPr="00553562">
        <w:rPr>
          <w:rFonts w:eastAsia="Arial Unicode MS" w:cs="Times New Roman"/>
          <w:i/>
          <w:color w:val="auto"/>
          <w:sz w:val="20"/>
          <w:szCs w:val="20"/>
          <w:lang w:val="es-ES" w:eastAsia="en-US"/>
        </w:rPr>
        <w:t>ratione temporis</w:t>
      </w:r>
      <w:r w:rsidRPr="00553562">
        <w:rPr>
          <w:rFonts w:eastAsia="Arial Unicode MS" w:cs="Times New Roman"/>
          <w:color w:val="auto"/>
          <w:sz w:val="20"/>
          <w:szCs w:val="20"/>
          <w:lang w:val="es-ES" w:eastAsia="en-U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1A4A0CC7"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derivada de la desaparición</w:t>
      </w:r>
      <w:r w:rsidR="000C03C1">
        <w:rPr>
          <w:rFonts w:ascii="Cambria" w:hAnsi="Cambria"/>
          <w:sz w:val="20"/>
          <w:szCs w:val="20"/>
          <w:lang w:val="es-ES"/>
        </w:rPr>
        <w:t xml:space="preserve"> de la presunta víctima</w:t>
      </w:r>
      <w:r w:rsidRPr="003D225D">
        <w:rPr>
          <w:rFonts w:ascii="Cambria" w:hAnsi="Cambria"/>
          <w:sz w:val="20"/>
          <w:szCs w:val="20"/>
          <w:lang w:val="es-ES"/>
        </w:rPr>
        <w:t>, c</w:t>
      </w:r>
      <w:r w:rsidR="000C03C1">
        <w:rPr>
          <w:rFonts w:ascii="Cambria" w:hAnsi="Cambria"/>
          <w:sz w:val="20"/>
          <w:szCs w:val="20"/>
          <w:lang w:val="es-ES"/>
        </w:rPr>
        <w:t>uya demanda civil fue rechazada</w:t>
      </w:r>
      <w:r w:rsidRPr="003D225D">
        <w:rPr>
          <w:rFonts w:ascii="Cambria" w:hAnsi="Cambria"/>
          <w:sz w:val="20"/>
          <w:szCs w:val="20"/>
          <w:lang w:val="es-ES"/>
        </w:rPr>
        <w:t xml:space="preserve">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E867BB" w:rsidRPr="003D225D">
        <w:rPr>
          <w:rFonts w:ascii="Cambria" w:hAnsi="Cambria"/>
          <w:sz w:val="20"/>
          <w:szCs w:val="20"/>
          <w:lang w:val="es-ES"/>
        </w:rPr>
        <w:t>contenciosa</w:t>
      </w:r>
      <w:r w:rsidR="00660AE7" w:rsidRPr="003D225D">
        <w:rPr>
          <w:rFonts w:ascii="Cambria" w:hAnsi="Cambria"/>
          <w:sz w:val="20"/>
          <w:szCs w:val="20"/>
          <w:lang w:val="es-ES"/>
        </w:rPr>
        <w:t xml:space="preserve"> administrativa</w:t>
      </w:r>
      <w:r w:rsidR="00393274">
        <w:rPr>
          <w:rFonts w:ascii="Cambria" w:hAnsi="Cambria"/>
          <w:sz w:val="20"/>
          <w:szCs w:val="20"/>
          <w:lang w:val="es-ES"/>
        </w:rPr>
        <w:t xml:space="preserve"> se inició la causa el </w:t>
      </w:r>
      <w:r w:rsidR="000C03C1">
        <w:rPr>
          <w:rFonts w:ascii="Cambria" w:hAnsi="Cambria"/>
          <w:sz w:val="20"/>
          <w:szCs w:val="20"/>
          <w:lang w:val="es-ES"/>
        </w:rPr>
        <w:t>2 de junio de 2008 ante el 30</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0C03C1">
        <w:rPr>
          <w:rFonts w:ascii="Cambria" w:hAnsi="Cambria"/>
          <w:sz w:val="20"/>
          <w:szCs w:val="20"/>
          <w:lang w:val="es-ES"/>
        </w:rPr>
        <w:t xml:space="preserve">28 de diciembre de 2012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0C03C1">
        <w:rPr>
          <w:rFonts w:ascii="Cambria" w:hAnsi="Cambria"/>
          <w:sz w:val="20"/>
          <w:szCs w:val="20"/>
          <w:lang w:val="es-ES"/>
        </w:rPr>
        <w:t xml:space="preserve">7 de diciembre </w:t>
      </w:r>
      <w:r w:rsidR="000C03C1">
        <w:rPr>
          <w:rFonts w:ascii="Cambria" w:hAnsi="Cambria"/>
          <w:sz w:val="20"/>
          <w:szCs w:val="20"/>
          <w:lang w:val="es-ES"/>
        </w:rPr>
        <w:lastRenderedPageBreak/>
        <w:t xml:space="preserve">de 2012 </w:t>
      </w:r>
      <w:r w:rsidR="00393274">
        <w:rPr>
          <w:rFonts w:ascii="Cambria" w:hAnsi="Cambria"/>
          <w:sz w:val="20"/>
          <w:szCs w:val="20"/>
          <w:lang w:val="es-ES"/>
        </w:rPr>
        <w:t>rechaza</w:t>
      </w:r>
      <w:r w:rsidR="001B36D5">
        <w:rPr>
          <w:rFonts w:ascii="Cambria" w:hAnsi="Cambria"/>
          <w:sz w:val="20"/>
          <w:szCs w:val="20"/>
          <w:lang w:val="es-ES"/>
        </w:rPr>
        <w:t>ndo</w:t>
      </w:r>
      <w:r w:rsidR="00393274">
        <w:rPr>
          <w:rFonts w:ascii="Cambria" w:hAnsi="Cambria"/>
          <w:sz w:val="20"/>
          <w:szCs w:val="20"/>
          <w:lang w:val="es-ES"/>
        </w:rPr>
        <w:t xml:space="preserve"> las pretensiones de los peticionarios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13E50634"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553562">
        <w:rPr>
          <w:rFonts w:ascii="Cambria" w:hAnsi="Cambria"/>
          <w:sz w:val="20"/>
          <w:szCs w:val="20"/>
          <w:lang w:val="es-ES"/>
        </w:rPr>
        <w:t xml:space="preserve"> </w:t>
      </w:r>
      <w:r w:rsidR="00CF5B64">
        <w:rPr>
          <w:rFonts w:ascii="Cambria" w:hAnsi="Cambria"/>
          <w:sz w:val="20"/>
          <w:szCs w:val="20"/>
          <w:lang w:val="es-ES"/>
        </w:rPr>
        <w:t>7 de junio de 2013</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039603F3" w14:textId="31770E87" w:rsidR="00026D32" w:rsidRPr="00026D32" w:rsidRDefault="00553562" w:rsidP="00026D32">
      <w:pPr>
        <w:pStyle w:val="ListParagraph"/>
        <w:numPr>
          <w:ilvl w:val="0"/>
          <w:numId w:val="103"/>
        </w:numPr>
        <w:jc w:val="both"/>
        <w:rPr>
          <w:sz w:val="20"/>
          <w:szCs w:val="20"/>
          <w:lang w:val="es-ES"/>
        </w:rPr>
      </w:pPr>
      <w:r w:rsidRPr="0032474F">
        <w:rPr>
          <w:sz w:val="20"/>
          <w:szCs w:val="20"/>
          <w:lang w:val="es-ES"/>
        </w:rPr>
        <w:t>La Comisión observa que los familiares de la presunta víctima tuvieron acceso a los recursos previstos en la legislación chilena y que el asunto fue analizado y resuelto en el ámbito interno incluso por la Corte Suprema, su más alta instancia judicial. Sin embargo, la petición incluye alegatos con respecto a la falta de indemnización a los familiares de la presunta víctima por su secuestro y desaparición forzada, en aplicación judicial de la prescripción en materia civil.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garantizar el derecho de las víctimas a ser reparadas, y por ello no debería aplicarse en tales circunstancias</w:t>
      </w:r>
      <w:r w:rsidRPr="0032474F">
        <w:rPr>
          <w:rStyle w:val="FootnoteReference"/>
          <w:sz w:val="20"/>
          <w:szCs w:val="20"/>
          <w:lang w:val="es-ES"/>
        </w:rPr>
        <w:footnoteReference w:id="8"/>
      </w:r>
      <w:r w:rsidRPr="0032474F">
        <w:rPr>
          <w:sz w:val="20"/>
          <w:szCs w:val="20"/>
          <w:lang w:val="es-ES"/>
        </w:rPr>
        <w:t>.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32474F">
        <w:rPr>
          <w:rStyle w:val="FootnoteReference"/>
          <w:sz w:val="20"/>
          <w:szCs w:val="20"/>
          <w:lang w:val="es-ES"/>
        </w:rPr>
        <w:footnoteReference w:id="9"/>
      </w:r>
      <w:r w:rsidRPr="0032474F">
        <w:rPr>
          <w:sz w:val="20"/>
          <w:szCs w:val="20"/>
          <w:lang w:val="es-ES"/>
        </w:rPr>
        <w:t>.</w:t>
      </w:r>
      <w:r w:rsidR="00026D32" w:rsidRPr="00026D32">
        <w:rPr>
          <w:lang w:val="es-419"/>
        </w:rPr>
        <w:t xml:space="preserve"> </w:t>
      </w:r>
    </w:p>
    <w:p w14:paraId="0F973AEA" w14:textId="77777777" w:rsidR="00026D32" w:rsidRPr="00026D32" w:rsidRDefault="00026D32" w:rsidP="00026D32">
      <w:pPr>
        <w:pStyle w:val="ListParagraph"/>
        <w:jc w:val="both"/>
        <w:rPr>
          <w:sz w:val="20"/>
          <w:szCs w:val="20"/>
          <w:lang w:val="es-ES"/>
        </w:rPr>
      </w:pPr>
    </w:p>
    <w:p w14:paraId="36D3BEE9" w14:textId="63EC7D49" w:rsidR="00553562" w:rsidRPr="008C31F1" w:rsidRDefault="00026D32" w:rsidP="003D35BF">
      <w:pPr>
        <w:pStyle w:val="ListParagraph"/>
        <w:numPr>
          <w:ilvl w:val="0"/>
          <w:numId w:val="103"/>
        </w:numPr>
        <w:jc w:val="both"/>
        <w:rPr>
          <w:sz w:val="20"/>
          <w:szCs w:val="20"/>
          <w:lang w:val="es-ES"/>
        </w:rPr>
      </w:pPr>
      <w:r w:rsidRPr="008C31F1">
        <w:rPr>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w:t>
      </w:r>
      <w:r w:rsidR="00553562" w:rsidRPr="008C31F1">
        <w:rPr>
          <w:sz w:val="20"/>
          <w:szCs w:val="20"/>
          <w:lang w:val="es-ES"/>
        </w:rPr>
        <w:t xml:space="preserve">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p>
    <w:p w14:paraId="6634B3D1" w14:textId="77777777" w:rsidR="00026D32" w:rsidRPr="00026D32" w:rsidRDefault="00026D32" w:rsidP="00026D32">
      <w:pPr>
        <w:jc w:val="both"/>
        <w:rPr>
          <w:sz w:val="20"/>
          <w:szCs w:val="20"/>
          <w:lang w:val="es-ES"/>
        </w:rPr>
      </w:pPr>
    </w:p>
    <w:p w14:paraId="29BB41F5" w14:textId="2EF8BCD8" w:rsidR="003239B8" w:rsidRPr="00ED70FC" w:rsidRDefault="00EC72AB" w:rsidP="00026D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0B6E7957"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0C03C1" w:rsidRPr="00CC3E13">
        <w:rPr>
          <w:rFonts w:ascii="Cambria" w:hAnsi="Cambria"/>
          <w:bCs/>
          <w:sz w:val="20"/>
          <w:szCs w:val="20"/>
          <w:lang w:val="es-ES"/>
        </w:rPr>
        <w:t xml:space="preserve">2; </w:t>
      </w:r>
      <w:r w:rsidR="000C03C1" w:rsidRPr="00CC3E13">
        <w:rPr>
          <w:rFonts w:asciiTheme="majorHAnsi" w:hAnsiTheme="majorHAnsi"/>
          <w:sz w:val="20"/>
          <w:szCs w:val="20"/>
          <w:lang w:val="es-ES"/>
        </w:rPr>
        <w:t>y</w:t>
      </w:r>
    </w:p>
    <w:p w14:paraId="7CD4DFBD" w14:textId="0D56CD18"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45B96B05" w14:textId="30D529B7" w:rsidR="00866B05" w:rsidRPr="00A37B82" w:rsidRDefault="00866B05" w:rsidP="00ED320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w:t>
      </w:r>
      <w:r>
        <w:rPr>
          <w:rFonts w:asciiTheme="majorHAnsi" w:hAnsiTheme="majorHAnsi" w:cs="Arial"/>
          <w:noProof/>
          <w:spacing w:val="-2"/>
          <w:sz w:val="20"/>
          <w:szCs w:val="20"/>
          <w:lang w:val="es-CL"/>
        </w:rPr>
        <w:t xml:space="preserve"> 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66B0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D5FA4" w14:textId="77777777" w:rsidR="00F12721" w:rsidRDefault="00F12721">
      <w:r>
        <w:separator/>
      </w:r>
    </w:p>
  </w:endnote>
  <w:endnote w:type="continuationSeparator" w:id="0">
    <w:p w14:paraId="52E9D29E" w14:textId="77777777" w:rsidR="00F12721" w:rsidRDefault="00F1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D8D9D" w14:textId="77777777" w:rsidR="00CE322A" w:rsidRDefault="00CE3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04C69E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23B63">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D27C4" w14:textId="77777777" w:rsidR="00F12721" w:rsidRPr="000F35ED" w:rsidRDefault="00F1272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9CF201" w14:textId="77777777" w:rsidR="00F12721" w:rsidRPr="000F35ED" w:rsidRDefault="00F12721" w:rsidP="000F35ED">
      <w:pPr>
        <w:rPr>
          <w:rFonts w:asciiTheme="majorHAnsi" w:hAnsiTheme="majorHAnsi"/>
          <w:sz w:val="16"/>
          <w:szCs w:val="16"/>
        </w:rPr>
      </w:pPr>
      <w:r w:rsidRPr="000F35ED">
        <w:rPr>
          <w:rFonts w:asciiTheme="majorHAnsi" w:hAnsiTheme="majorHAnsi"/>
          <w:sz w:val="16"/>
          <w:szCs w:val="16"/>
        </w:rPr>
        <w:separator/>
      </w:r>
    </w:p>
    <w:p w14:paraId="7FFCF3DD" w14:textId="77777777" w:rsidR="00F12721" w:rsidRPr="000F35ED" w:rsidRDefault="00F1272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E982FAC" w14:textId="77777777" w:rsidR="00F12721" w:rsidRPr="000F35ED" w:rsidRDefault="00F1272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1D987" w14:textId="06E7E37A" w:rsidR="00D34B76" w:rsidRPr="00734BF3" w:rsidRDefault="00866B05" w:rsidP="00374340">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085306F5" w:rsidR="00201E85" w:rsidRPr="007D4106" w:rsidRDefault="00866B05" w:rsidP="00374340">
      <w:pPr>
        <w:pStyle w:val="FootnoteText"/>
        <w:jc w:val="both"/>
        <w:rPr>
          <w:rFonts w:asciiTheme="majorHAnsi" w:hAnsiTheme="majorHAnsi"/>
          <w:color w:val="auto"/>
          <w:sz w:val="16"/>
          <w:szCs w:val="16"/>
          <w:lang w:val="es-MX"/>
        </w:rPr>
      </w:pPr>
      <w:r>
        <w:rPr>
          <w:rFonts w:asciiTheme="majorHAnsi" w:hAnsiTheme="majorHAnsi"/>
          <w:color w:val="auto"/>
          <w:sz w:val="16"/>
          <w:szCs w:val="16"/>
          <w:lang w:val="es-MX"/>
        </w:rPr>
        <w:tab/>
      </w:r>
      <w:r w:rsidR="00201E85" w:rsidRPr="006A4D5D">
        <w:rPr>
          <w:rStyle w:val="FootnoteReference"/>
          <w:rFonts w:asciiTheme="majorHAnsi" w:hAnsiTheme="majorHAnsi"/>
          <w:sz w:val="16"/>
          <w:szCs w:val="16"/>
        </w:rPr>
        <w:footnoteRef/>
      </w:r>
      <w:r w:rsidR="00026D32" w:rsidRPr="00026D32">
        <w:rPr>
          <w:rFonts w:asciiTheme="majorHAnsi" w:hAnsiTheme="majorHAnsi"/>
          <w:color w:val="auto"/>
          <w:sz w:val="16"/>
          <w:szCs w:val="16"/>
          <w:lang w:val="es-MX"/>
        </w:rPr>
        <w:t xml:space="preserve">Mónica María </w:t>
      </w:r>
      <w:proofErr w:type="spellStart"/>
      <w:r w:rsidR="00026D32" w:rsidRPr="00026D32">
        <w:rPr>
          <w:rFonts w:asciiTheme="majorHAnsi" w:hAnsiTheme="majorHAnsi"/>
          <w:color w:val="auto"/>
          <w:sz w:val="16"/>
          <w:szCs w:val="16"/>
          <w:lang w:val="es-MX"/>
        </w:rPr>
        <w:t>Cattani</w:t>
      </w:r>
      <w:proofErr w:type="spellEnd"/>
      <w:r w:rsidR="00026D32" w:rsidRPr="00026D32">
        <w:rPr>
          <w:rFonts w:asciiTheme="majorHAnsi" w:hAnsiTheme="majorHAnsi"/>
          <w:color w:val="auto"/>
          <w:sz w:val="16"/>
          <w:szCs w:val="16"/>
          <w:lang w:val="es-MX"/>
        </w:rPr>
        <w:t xml:space="preserve"> Ortega, viuda de la presu</w:t>
      </w:r>
      <w:r w:rsidR="00991E52">
        <w:rPr>
          <w:rFonts w:asciiTheme="majorHAnsi" w:hAnsiTheme="majorHAnsi"/>
          <w:color w:val="auto"/>
          <w:sz w:val="16"/>
          <w:szCs w:val="16"/>
          <w:lang w:val="es-MX"/>
        </w:rPr>
        <w:t>nta víctima;</w:t>
      </w:r>
      <w:r w:rsidR="00026D32" w:rsidRPr="00026D32">
        <w:rPr>
          <w:rFonts w:asciiTheme="majorHAnsi" w:hAnsiTheme="majorHAnsi"/>
          <w:color w:val="auto"/>
          <w:sz w:val="16"/>
          <w:szCs w:val="16"/>
          <w:lang w:val="es-MX"/>
        </w:rPr>
        <w:t xml:space="preserve"> Sergio Andrés </w:t>
      </w:r>
      <w:proofErr w:type="spellStart"/>
      <w:r w:rsidR="00026D32" w:rsidRPr="00026D32">
        <w:rPr>
          <w:rFonts w:asciiTheme="majorHAnsi" w:hAnsiTheme="majorHAnsi"/>
          <w:color w:val="auto"/>
          <w:sz w:val="16"/>
          <w:szCs w:val="16"/>
          <w:lang w:val="es-MX"/>
        </w:rPr>
        <w:t>Montecinos</w:t>
      </w:r>
      <w:proofErr w:type="spellEnd"/>
      <w:r w:rsidR="00026D32" w:rsidRPr="00026D32">
        <w:rPr>
          <w:rFonts w:asciiTheme="majorHAnsi" w:hAnsiTheme="majorHAnsi"/>
          <w:color w:val="auto"/>
          <w:sz w:val="16"/>
          <w:szCs w:val="16"/>
          <w:lang w:val="es-MX"/>
        </w:rPr>
        <w:t xml:space="preserve"> </w:t>
      </w:r>
      <w:proofErr w:type="spellStart"/>
      <w:r w:rsidR="00026D32" w:rsidRPr="00026D32">
        <w:rPr>
          <w:rFonts w:asciiTheme="majorHAnsi" w:hAnsiTheme="majorHAnsi"/>
          <w:color w:val="auto"/>
          <w:sz w:val="16"/>
          <w:szCs w:val="16"/>
          <w:lang w:val="es-MX"/>
        </w:rPr>
        <w:t>Cattani</w:t>
      </w:r>
      <w:proofErr w:type="spellEnd"/>
      <w:r w:rsidR="00026D32" w:rsidRPr="00026D32">
        <w:rPr>
          <w:rFonts w:asciiTheme="majorHAnsi" w:hAnsiTheme="majorHAnsi"/>
          <w:color w:val="auto"/>
          <w:sz w:val="16"/>
          <w:szCs w:val="16"/>
          <w:lang w:val="es-MX"/>
        </w:rPr>
        <w:t>, hijo</w:t>
      </w:r>
      <w:r w:rsidR="008F07BA">
        <w:rPr>
          <w:rFonts w:asciiTheme="majorHAnsi" w:hAnsiTheme="majorHAnsi"/>
          <w:color w:val="auto"/>
          <w:sz w:val="16"/>
          <w:szCs w:val="16"/>
          <w:lang w:val="es-MX"/>
        </w:rPr>
        <w:t xml:space="preserve"> de la presunta víctima; </w:t>
      </w:r>
      <w:proofErr w:type="spellStart"/>
      <w:r w:rsidR="008F07BA">
        <w:rPr>
          <w:rFonts w:asciiTheme="majorHAnsi" w:hAnsiTheme="majorHAnsi"/>
          <w:color w:val="auto"/>
          <w:sz w:val="16"/>
          <w:szCs w:val="16"/>
          <w:lang w:val="es-MX"/>
        </w:rPr>
        <w:t>Ubaldina</w:t>
      </w:r>
      <w:proofErr w:type="spellEnd"/>
      <w:r w:rsidR="008F07BA">
        <w:rPr>
          <w:rFonts w:asciiTheme="majorHAnsi" w:hAnsiTheme="majorHAnsi"/>
          <w:color w:val="auto"/>
          <w:sz w:val="16"/>
          <w:szCs w:val="16"/>
          <w:lang w:val="es-MX"/>
        </w:rPr>
        <w:t xml:space="preserve"> Alfaro Castillo, madre de la presunta víctima.</w:t>
      </w:r>
    </w:p>
  </w:footnote>
  <w:footnote w:id="4">
    <w:p w14:paraId="06C1BEFA" w14:textId="2944CFD9" w:rsidR="004A6A54" w:rsidRPr="00734BF3" w:rsidRDefault="00866B05" w:rsidP="00374340">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1C022EB7" w:rsidR="00BF514A" w:rsidRPr="00734BF3" w:rsidRDefault="00866B05" w:rsidP="00374340">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0712CCCD" w:rsidR="008E3BFE" w:rsidRPr="00734BF3" w:rsidRDefault="00866B05" w:rsidP="00374340">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3DC458A6" w:rsidR="002F7F5F" w:rsidRPr="00EE0CAD" w:rsidRDefault="00866B05">
      <w:pPr>
        <w:pStyle w:val="FootnoteText"/>
        <w:rPr>
          <w:lang w:val="es-MX"/>
        </w:rPr>
      </w:pPr>
      <w:r>
        <w:rPr>
          <w:rFonts w:asciiTheme="majorHAnsi" w:hAnsiTheme="majorHAnsi"/>
          <w:sz w:val="16"/>
          <w:szCs w:val="16"/>
          <w:lang w:val="es-MX"/>
        </w:rPr>
        <w:tab/>
      </w:r>
      <w:r w:rsidR="002F7F5F" w:rsidRPr="002E5993">
        <w:rPr>
          <w:rStyle w:val="FootnoteReference"/>
          <w:rFonts w:asciiTheme="majorHAnsi" w:hAnsiTheme="majorHAnsi"/>
          <w:sz w:val="16"/>
          <w:szCs w:val="16"/>
        </w:rPr>
        <w:footnoteRef/>
      </w:r>
      <w:r w:rsidR="002F7F5F" w:rsidRPr="002E5993">
        <w:rPr>
          <w:rFonts w:asciiTheme="majorHAnsi" w:hAnsiTheme="majorHAnsi"/>
          <w:sz w:val="16"/>
          <w:szCs w:val="16"/>
          <w:lang w:val="es-MX"/>
        </w:rPr>
        <w:t xml:space="preserve"> </w:t>
      </w:r>
      <w:r w:rsidR="002F7F5F" w:rsidRPr="00EE0CAD">
        <w:rPr>
          <w:rFonts w:asciiTheme="majorHAnsi" w:hAnsiTheme="majorHAnsi"/>
          <w:sz w:val="16"/>
          <w:szCs w:val="16"/>
          <w:lang w:val="es-MX"/>
        </w:rPr>
        <w:t xml:space="preserve">El peticionario basó su relato y los hechos denunciados en esta petición en el </w:t>
      </w:r>
      <w:r w:rsidR="004A7464">
        <w:rPr>
          <w:rFonts w:asciiTheme="majorHAnsi" w:hAnsiTheme="majorHAnsi"/>
          <w:sz w:val="16"/>
          <w:szCs w:val="16"/>
          <w:lang w:val="es-MX"/>
        </w:rPr>
        <w:t xml:space="preserve">Informe de la Comisión Nacional de Verdad y Reconciliación (Informe </w:t>
      </w:r>
      <w:proofErr w:type="spellStart"/>
      <w:r w:rsidR="004A7464">
        <w:rPr>
          <w:rFonts w:asciiTheme="majorHAnsi" w:hAnsiTheme="majorHAnsi"/>
          <w:sz w:val="16"/>
          <w:szCs w:val="16"/>
          <w:lang w:val="es-MX"/>
        </w:rPr>
        <w:t>Rettig</w:t>
      </w:r>
      <w:proofErr w:type="spellEnd"/>
      <w:r w:rsidR="004A7464">
        <w:rPr>
          <w:rFonts w:asciiTheme="majorHAnsi" w:hAnsiTheme="majorHAnsi"/>
          <w:sz w:val="16"/>
          <w:szCs w:val="16"/>
          <w:lang w:val="es-MX"/>
        </w:rPr>
        <w:t>).</w:t>
      </w:r>
    </w:p>
  </w:footnote>
  <w:footnote w:id="8">
    <w:p w14:paraId="3F752676" w14:textId="410929E1" w:rsidR="00553562" w:rsidRPr="00553562" w:rsidRDefault="00866B05" w:rsidP="00553562">
      <w:pPr>
        <w:pStyle w:val="FootnoteText"/>
        <w:jc w:val="both"/>
        <w:rPr>
          <w:rFonts w:ascii="Cambria" w:hAnsi="Cambria"/>
          <w:sz w:val="16"/>
          <w:szCs w:val="16"/>
          <w:lang w:val="es-MX"/>
        </w:rPr>
      </w:pPr>
      <w:r>
        <w:rPr>
          <w:rFonts w:ascii="Cambria" w:hAnsi="Cambria"/>
          <w:sz w:val="16"/>
          <w:szCs w:val="16"/>
          <w:lang w:val="es-MX"/>
        </w:rPr>
        <w:tab/>
      </w:r>
      <w:r w:rsidR="00553562" w:rsidRPr="00A022F8">
        <w:rPr>
          <w:rStyle w:val="FootnoteReference"/>
          <w:rFonts w:ascii="Cambria" w:hAnsi="Cambria"/>
          <w:sz w:val="16"/>
          <w:szCs w:val="16"/>
        </w:rPr>
        <w:footnoteRef/>
      </w:r>
      <w:r w:rsidR="00553562" w:rsidRPr="00A022F8">
        <w:rPr>
          <w:rFonts w:ascii="Cambria" w:hAnsi="Cambria"/>
          <w:sz w:val="16"/>
          <w:szCs w:val="16"/>
          <w:lang w:val="es-MX"/>
        </w:rPr>
        <w:t xml:space="preserve"> CIDH, Informe No. 52/16, Caso 12.521. Fondo. Maria Laura Ordenes Guerra y otros. Chile. 30 de noviembre de 2016, párr. 134; ver igualmente CIDH, Informe No. 5/19, Petición 1560-08. Admisibilidad. Juan Paredes Barrientos y Familia. Chile. 31 de enero de 2019; Corte IDH, Caso Órdenes Guerra y otros vs. Chile, Sentencia de 29 de noviembre de 2018 (Fondo, Reparaciones y Costas), párr. </w:t>
      </w:r>
      <w:r w:rsidR="00553562" w:rsidRPr="00553562">
        <w:rPr>
          <w:rFonts w:ascii="Cambria" w:hAnsi="Cambria"/>
          <w:sz w:val="16"/>
          <w:szCs w:val="16"/>
          <w:lang w:val="es-MX"/>
        </w:rPr>
        <w:t>89.</w:t>
      </w:r>
    </w:p>
  </w:footnote>
  <w:footnote w:id="9">
    <w:p w14:paraId="0C515968" w14:textId="21935A11" w:rsidR="00553562" w:rsidRPr="00533DF5" w:rsidRDefault="00866B05" w:rsidP="00553562">
      <w:pPr>
        <w:pStyle w:val="FootnoteText"/>
        <w:jc w:val="both"/>
        <w:rPr>
          <w:rFonts w:ascii="Cambria" w:hAnsi="Cambria"/>
          <w:sz w:val="16"/>
          <w:szCs w:val="16"/>
          <w:lang w:val="es-MX"/>
        </w:rPr>
      </w:pPr>
      <w:r>
        <w:rPr>
          <w:rFonts w:ascii="Cambria" w:hAnsi="Cambria"/>
          <w:sz w:val="16"/>
          <w:szCs w:val="16"/>
          <w:lang w:val="es-MX"/>
        </w:rPr>
        <w:tab/>
      </w:r>
      <w:r w:rsidR="00553562" w:rsidRPr="00A022F8">
        <w:rPr>
          <w:rStyle w:val="FootnoteReference"/>
          <w:rFonts w:ascii="Cambria" w:hAnsi="Cambria"/>
          <w:sz w:val="16"/>
          <w:szCs w:val="16"/>
        </w:rPr>
        <w:footnoteRef/>
      </w:r>
      <w:r w:rsidR="00553562" w:rsidRPr="00A022F8">
        <w:rPr>
          <w:rFonts w:ascii="Cambria" w:hAnsi="Cambria"/>
          <w:sz w:val="16"/>
          <w:szCs w:val="16"/>
          <w:lang w:val="es-MX"/>
        </w:rPr>
        <w:t xml:space="preserve"> Ver CIDH, Informe No. 152/17. Admisibilidad. Hugo Tomás Martínez Guillén y Otros. Chile. 30 de noviembre de 2017; y CIDH, Informe No. 5/19, Petición 1560-08. Admisibilidad. </w:t>
      </w:r>
      <w:r w:rsidR="00553562" w:rsidRPr="00533DF5">
        <w:rPr>
          <w:rFonts w:ascii="Cambria" w:hAnsi="Cambria"/>
          <w:sz w:val="16"/>
          <w:szCs w:val="16"/>
          <w:lang w:val="es-MX"/>
        </w:rPr>
        <w:t>Juan Paredes Barrientos y 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1272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2E05" w14:textId="77777777" w:rsidR="00CE322A" w:rsidRDefault="00CE3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26D32"/>
    <w:rsid w:val="000337EF"/>
    <w:rsid w:val="00037B69"/>
    <w:rsid w:val="00040C3A"/>
    <w:rsid w:val="00041822"/>
    <w:rsid w:val="000419AD"/>
    <w:rsid w:val="00050A02"/>
    <w:rsid w:val="000535D1"/>
    <w:rsid w:val="000716C5"/>
    <w:rsid w:val="00075E23"/>
    <w:rsid w:val="00087017"/>
    <w:rsid w:val="00090CA4"/>
    <w:rsid w:val="0009344A"/>
    <w:rsid w:val="000A3254"/>
    <w:rsid w:val="000A392E"/>
    <w:rsid w:val="000A575F"/>
    <w:rsid w:val="000B0579"/>
    <w:rsid w:val="000B4E5A"/>
    <w:rsid w:val="000C03C1"/>
    <w:rsid w:val="000C1933"/>
    <w:rsid w:val="000C1C69"/>
    <w:rsid w:val="000D10DB"/>
    <w:rsid w:val="000E0841"/>
    <w:rsid w:val="000E2789"/>
    <w:rsid w:val="000E5EB5"/>
    <w:rsid w:val="000F1C1E"/>
    <w:rsid w:val="000F35ED"/>
    <w:rsid w:val="000F5101"/>
    <w:rsid w:val="00107131"/>
    <w:rsid w:val="0010736F"/>
    <w:rsid w:val="00111A8A"/>
    <w:rsid w:val="00113F73"/>
    <w:rsid w:val="00121CC2"/>
    <w:rsid w:val="00123B63"/>
    <w:rsid w:val="00127AF2"/>
    <w:rsid w:val="00127B2C"/>
    <w:rsid w:val="00131D8B"/>
    <w:rsid w:val="00133EE5"/>
    <w:rsid w:val="00136E3D"/>
    <w:rsid w:val="00143EFE"/>
    <w:rsid w:val="001479C0"/>
    <w:rsid w:val="0015330B"/>
    <w:rsid w:val="00160299"/>
    <w:rsid w:val="00167A34"/>
    <w:rsid w:val="001761CF"/>
    <w:rsid w:val="00177EEF"/>
    <w:rsid w:val="001811F7"/>
    <w:rsid w:val="00187408"/>
    <w:rsid w:val="0019517D"/>
    <w:rsid w:val="001A7870"/>
    <w:rsid w:val="001B36D5"/>
    <w:rsid w:val="001B3A00"/>
    <w:rsid w:val="001B4318"/>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0592"/>
    <w:rsid w:val="00214755"/>
    <w:rsid w:val="002155A7"/>
    <w:rsid w:val="00223A29"/>
    <w:rsid w:val="002250A3"/>
    <w:rsid w:val="00231294"/>
    <w:rsid w:val="00235217"/>
    <w:rsid w:val="00235741"/>
    <w:rsid w:val="00241BF2"/>
    <w:rsid w:val="002441DA"/>
    <w:rsid w:val="0024534C"/>
    <w:rsid w:val="00246D1F"/>
    <w:rsid w:val="00247403"/>
    <w:rsid w:val="00247542"/>
    <w:rsid w:val="00260F5B"/>
    <w:rsid w:val="00266B61"/>
    <w:rsid w:val="0026712A"/>
    <w:rsid w:val="002704DB"/>
    <w:rsid w:val="00274BF4"/>
    <w:rsid w:val="00277BDA"/>
    <w:rsid w:val="00285743"/>
    <w:rsid w:val="0029575A"/>
    <w:rsid w:val="002A0AAE"/>
    <w:rsid w:val="002A304F"/>
    <w:rsid w:val="002A3053"/>
    <w:rsid w:val="002A5820"/>
    <w:rsid w:val="002B2C87"/>
    <w:rsid w:val="002C3350"/>
    <w:rsid w:val="002D1EAA"/>
    <w:rsid w:val="002D2B26"/>
    <w:rsid w:val="002D7EA2"/>
    <w:rsid w:val="002E187C"/>
    <w:rsid w:val="002E1ED4"/>
    <w:rsid w:val="002E5993"/>
    <w:rsid w:val="002E7512"/>
    <w:rsid w:val="002F7F5F"/>
    <w:rsid w:val="00302733"/>
    <w:rsid w:val="00303AFC"/>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A55"/>
    <w:rsid w:val="003D225D"/>
    <w:rsid w:val="003D3BC2"/>
    <w:rsid w:val="003D5EA8"/>
    <w:rsid w:val="003E1AD8"/>
    <w:rsid w:val="003E673E"/>
    <w:rsid w:val="003E6CA1"/>
    <w:rsid w:val="003E6D8B"/>
    <w:rsid w:val="003F2A8F"/>
    <w:rsid w:val="004015D9"/>
    <w:rsid w:val="00405929"/>
    <w:rsid w:val="004065A8"/>
    <w:rsid w:val="004165C2"/>
    <w:rsid w:val="00416A7F"/>
    <w:rsid w:val="00417C80"/>
    <w:rsid w:val="00421739"/>
    <w:rsid w:val="00423172"/>
    <w:rsid w:val="004304AD"/>
    <w:rsid w:val="00432B8C"/>
    <w:rsid w:val="00441ECB"/>
    <w:rsid w:val="00445193"/>
    <w:rsid w:val="00447333"/>
    <w:rsid w:val="00447CCF"/>
    <w:rsid w:val="00454B04"/>
    <w:rsid w:val="004565BA"/>
    <w:rsid w:val="0045707F"/>
    <w:rsid w:val="00462C1B"/>
    <w:rsid w:val="00467B7E"/>
    <w:rsid w:val="0047127C"/>
    <w:rsid w:val="00473BB4"/>
    <w:rsid w:val="00477592"/>
    <w:rsid w:val="00484D16"/>
    <w:rsid w:val="00486F1C"/>
    <w:rsid w:val="0049419D"/>
    <w:rsid w:val="004A59CC"/>
    <w:rsid w:val="004A6A54"/>
    <w:rsid w:val="004A6EF1"/>
    <w:rsid w:val="004A7464"/>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6D03"/>
    <w:rsid w:val="00501399"/>
    <w:rsid w:val="00501652"/>
    <w:rsid w:val="0050633D"/>
    <w:rsid w:val="00507BC4"/>
    <w:rsid w:val="005128E4"/>
    <w:rsid w:val="005133DB"/>
    <w:rsid w:val="00520703"/>
    <w:rsid w:val="005229A4"/>
    <w:rsid w:val="00525560"/>
    <w:rsid w:val="005328A7"/>
    <w:rsid w:val="005415E6"/>
    <w:rsid w:val="00541D91"/>
    <w:rsid w:val="00544216"/>
    <w:rsid w:val="00544C49"/>
    <w:rsid w:val="005516A1"/>
    <w:rsid w:val="00553562"/>
    <w:rsid w:val="00560CE3"/>
    <w:rsid w:val="00562FAB"/>
    <w:rsid w:val="00563557"/>
    <w:rsid w:val="00567A1A"/>
    <w:rsid w:val="0057402A"/>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600DEB"/>
    <w:rsid w:val="00601DD9"/>
    <w:rsid w:val="0060313F"/>
    <w:rsid w:val="00623420"/>
    <w:rsid w:val="006277DE"/>
    <w:rsid w:val="00627C9F"/>
    <w:rsid w:val="006311E9"/>
    <w:rsid w:val="00632354"/>
    <w:rsid w:val="00642810"/>
    <w:rsid w:val="00647756"/>
    <w:rsid w:val="006509DA"/>
    <w:rsid w:val="00652333"/>
    <w:rsid w:val="00660AE7"/>
    <w:rsid w:val="0068009E"/>
    <w:rsid w:val="006819E9"/>
    <w:rsid w:val="00686471"/>
    <w:rsid w:val="00690AAB"/>
    <w:rsid w:val="00691BBE"/>
    <w:rsid w:val="00692219"/>
    <w:rsid w:val="006A17D2"/>
    <w:rsid w:val="006A3AE4"/>
    <w:rsid w:val="006A4D5D"/>
    <w:rsid w:val="006A70DA"/>
    <w:rsid w:val="006A73E6"/>
    <w:rsid w:val="006B2D5C"/>
    <w:rsid w:val="006C4EB1"/>
    <w:rsid w:val="006C7AE8"/>
    <w:rsid w:val="006E0166"/>
    <w:rsid w:val="006E4FDC"/>
    <w:rsid w:val="006E7B34"/>
    <w:rsid w:val="006F2F1D"/>
    <w:rsid w:val="006F67A1"/>
    <w:rsid w:val="00701306"/>
    <w:rsid w:val="0070697F"/>
    <w:rsid w:val="0071444F"/>
    <w:rsid w:val="00717928"/>
    <w:rsid w:val="0072199C"/>
    <w:rsid w:val="00722C9F"/>
    <w:rsid w:val="007245EF"/>
    <w:rsid w:val="00724891"/>
    <w:rsid w:val="007253B8"/>
    <w:rsid w:val="00734BF3"/>
    <w:rsid w:val="0073598C"/>
    <w:rsid w:val="0073741F"/>
    <w:rsid w:val="00744470"/>
    <w:rsid w:val="00744590"/>
    <w:rsid w:val="00753794"/>
    <w:rsid w:val="007570CD"/>
    <w:rsid w:val="00762D9F"/>
    <w:rsid w:val="0076643F"/>
    <w:rsid w:val="007751BE"/>
    <w:rsid w:val="007779A8"/>
    <w:rsid w:val="00777F63"/>
    <w:rsid w:val="00781854"/>
    <w:rsid w:val="007852B5"/>
    <w:rsid w:val="00785627"/>
    <w:rsid w:val="007941B3"/>
    <w:rsid w:val="007A2F19"/>
    <w:rsid w:val="007A5817"/>
    <w:rsid w:val="007B05C4"/>
    <w:rsid w:val="007B0A00"/>
    <w:rsid w:val="007B60E9"/>
    <w:rsid w:val="007B6CC3"/>
    <w:rsid w:val="007C22EC"/>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7612"/>
    <w:rsid w:val="0082682E"/>
    <w:rsid w:val="008270EE"/>
    <w:rsid w:val="008338A4"/>
    <w:rsid w:val="00834D49"/>
    <w:rsid w:val="00836A5A"/>
    <w:rsid w:val="00836D82"/>
    <w:rsid w:val="00837C45"/>
    <w:rsid w:val="008411F0"/>
    <w:rsid w:val="00844730"/>
    <w:rsid w:val="008457C2"/>
    <w:rsid w:val="00845EF6"/>
    <w:rsid w:val="00854BC5"/>
    <w:rsid w:val="008561B9"/>
    <w:rsid w:val="00856ECA"/>
    <w:rsid w:val="00857A82"/>
    <w:rsid w:val="00866B05"/>
    <w:rsid w:val="00870539"/>
    <w:rsid w:val="00871526"/>
    <w:rsid w:val="00873836"/>
    <w:rsid w:val="008778AD"/>
    <w:rsid w:val="00885737"/>
    <w:rsid w:val="00890650"/>
    <w:rsid w:val="0089300F"/>
    <w:rsid w:val="00897E12"/>
    <w:rsid w:val="008A0F81"/>
    <w:rsid w:val="008A7E0F"/>
    <w:rsid w:val="008B12F5"/>
    <w:rsid w:val="008B5932"/>
    <w:rsid w:val="008C10F1"/>
    <w:rsid w:val="008C31F1"/>
    <w:rsid w:val="008C5751"/>
    <w:rsid w:val="008D768D"/>
    <w:rsid w:val="008E328A"/>
    <w:rsid w:val="008E3759"/>
    <w:rsid w:val="008E3BFE"/>
    <w:rsid w:val="008E64ED"/>
    <w:rsid w:val="008E7900"/>
    <w:rsid w:val="008F07BA"/>
    <w:rsid w:val="008F1912"/>
    <w:rsid w:val="0090270B"/>
    <w:rsid w:val="009041DC"/>
    <w:rsid w:val="0091381C"/>
    <w:rsid w:val="00917B5A"/>
    <w:rsid w:val="00920874"/>
    <w:rsid w:val="00920A58"/>
    <w:rsid w:val="00920A8C"/>
    <w:rsid w:val="00934A2C"/>
    <w:rsid w:val="00935F06"/>
    <w:rsid w:val="00936942"/>
    <w:rsid w:val="00937B3A"/>
    <w:rsid w:val="00941B3B"/>
    <w:rsid w:val="00943C8E"/>
    <w:rsid w:val="00954B82"/>
    <w:rsid w:val="00962436"/>
    <w:rsid w:val="0096706E"/>
    <w:rsid w:val="00967678"/>
    <w:rsid w:val="00974491"/>
    <w:rsid w:val="00975C4E"/>
    <w:rsid w:val="00981FBA"/>
    <w:rsid w:val="00991E52"/>
    <w:rsid w:val="00996D90"/>
    <w:rsid w:val="00997BC5"/>
    <w:rsid w:val="009A216A"/>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691C"/>
    <w:rsid w:val="00A11E44"/>
    <w:rsid w:val="00A145B6"/>
    <w:rsid w:val="00A16B7B"/>
    <w:rsid w:val="00A22397"/>
    <w:rsid w:val="00A26886"/>
    <w:rsid w:val="00A328B3"/>
    <w:rsid w:val="00A50FCF"/>
    <w:rsid w:val="00A528D1"/>
    <w:rsid w:val="00A610CD"/>
    <w:rsid w:val="00A62508"/>
    <w:rsid w:val="00A625E0"/>
    <w:rsid w:val="00A71C3F"/>
    <w:rsid w:val="00A74947"/>
    <w:rsid w:val="00A758AA"/>
    <w:rsid w:val="00A800EA"/>
    <w:rsid w:val="00A82C5D"/>
    <w:rsid w:val="00A8681B"/>
    <w:rsid w:val="00A93FE6"/>
    <w:rsid w:val="00A97404"/>
    <w:rsid w:val="00AA04D9"/>
    <w:rsid w:val="00AA09A2"/>
    <w:rsid w:val="00AA1FC9"/>
    <w:rsid w:val="00AA247F"/>
    <w:rsid w:val="00AA45EE"/>
    <w:rsid w:val="00AA7996"/>
    <w:rsid w:val="00AB39E7"/>
    <w:rsid w:val="00AC19CB"/>
    <w:rsid w:val="00AC6154"/>
    <w:rsid w:val="00AD1886"/>
    <w:rsid w:val="00AE5488"/>
    <w:rsid w:val="00AE6F91"/>
    <w:rsid w:val="00AE7F18"/>
    <w:rsid w:val="00AF05D4"/>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37ED8"/>
    <w:rsid w:val="00B42859"/>
    <w:rsid w:val="00B4632A"/>
    <w:rsid w:val="00B5067D"/>
    <w:rsid w:val="00B530F1"/>
    <w:rsid w:val="00B56DA5"/>
    <w:rsid w:val="00B736AF"/>
    <w:rsid w:val="00B82FC6"/>
    <w:rsid w:val="00B851A2"/>
    <w:rsid w:val="00B97946"/>
    <w:rsid w:val="00BA276C"/>
    <w:rsid w:val="00BA5544"/>
    <w:rsid w:val="00BB1B05"/>
    <w:rsid w:val="00BB306F"/>
    <w:rsid w:val="00BB3FBD"/>
    <w:rsid w:val="00BB709A"/>
    <w:rsid w:val="00BC6CD0"/>
    <w:rsid w:val="00BD2D61"/>
    <w:rsid w:val="00BD4B89"/>
    <w:rsid w:val="00BD5922"/>
    <w:rsid w:val="00BD76D9"/>
    <w:rsid w:val="00BF02CB"/>
    <w:rsid w:val="00BF514A"/>
    <w:rsid w:val="00BF6FD8"/>
    <w:rsid w:val="00BF775D"/>
    <w:rsid w:val="00C03680"/>
    <w:rsid w:val="00C054DF"/>
    <w:rsid w:val="00C10AFC"/>
    <w:rsid w:val="00C21562"/>
    <w:rsid w:val="00C21762"/>
    <w:rsid w:val="00C21FEF"/>
    <w:rsid w:val="00C2229D"/>
    <w:rsid w:val="00C24543"/>
    <w:rsid w:val="00C256A2"/>
    <w:rsid w:val="00C35A26"/>
    <w:rsid w:val="00C46104"/>
    <w:rsid w:val="00C51515"/>
    <w:rsid w:val="00C53910"/>
    <w:rsid w:val="00C5660B"/>
    <w:rsid w:val="00C56854"/>
    <w:rsid w:val="00C5788A"/>
    <w:rsid w:val="00C66B72"/>
    <w:rsid w:val="00C7589C"/>
    <w:rsid w:val="00C764E1"/>
    <w:rsid w:val="00C85EE2"/>
    <w:rsid w:val="00C87AC4"/>
    <w:rsid w:val="00C938F8"/>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322A"/>
    <w:rsid w:val="00CE5199"/>
    <w:rsid w:val="00CE66D5"/>
    <w:rsid w:val="00CE7046"/>
    <w:rsid w:val="00CF51D6"/>
    <w:rsid w:val="00CF5B64"/>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2D14"/>
    <w:rsid w:val="00D55256"/>
    <w:rsid w:val="00D5551D"/>
    <w:rsid w:val="00D56C83"/>
    <w:rsid w:val="00D62438"/>
    <w:rsid w:val="00D63926"/>
    <w:rsid w:val="00D64647"/>
    <w:rsid w:val="00D712D3"/>
    <w:rsid w:val="00D71422"/>
    <w:rsid w:val="00D72DC6"/>
    <w:rsid w:val="00D73A49"/>
    <w:rsid w:val="00D73F5E"/>
    <w:rsid w:val="00D7558D"/>
    <w:rsid w:val="00D77503"/>
    <w:rsid w:val="00D81D92"/>
    <w:rsid w:val="00D876F9"/>
    <w:rsid w:val="00D877B6"/>
    <w:rsid w:val="00DA009E"/>
    <w:rsid w:val="00DA7B5F"/>
    <w:rsid w:val="00DB20DA"/>
    <w:rsid w:val="00DB3D5F"/>
    <w:rsid w:val="00DC11E7"/>
    <w:rsid w:val="00DC46AF"/>
    <w:rsid w:val="00DC7023"/>
    <w:rsid w:val="00DC769A"/>
    <w:rsid w:val="00DD3D86"/>
    <w:rsid w:val="00DD3F6C"/>
    <w:rsid w:val="00DD44E9"/>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6CCA"/>
    <w:rsid w:val="00E31586"/>
    <w:rsid w:val="00E4118C"/>
    <w:rsid w:val="00E43157"/>
    <w:rsid w:val="00E461CE"/>
    <w:rsid w:val="00E479A2"/>
    <w:rsid w:val="00E50345"/>
    <w:rsid w:val="00E55DFC"/>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2645"/>
    <w:rsid w:val="00EB454D"/>
    <w:rsid w:val="00EB5A62"/>
    <w:rsid w:val="00EB6853"/>
    <w:rsid w:val="00EC5AD9"/>
    <w:rsid w:val="00EC5BD7"/>
    <w:rsid w:val="00EC72AB"/>
    <w:rsid w:val="00ED2F03"/>
    <w:rsid w:val="00ED3207"/>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24BF"/>
    <w:rsid w:val="00F12721"/>
    <w:rsid w:val="00F157A3"/>
    <w:rsid w:val="00F20214"/>
    <w:rsid w:val="00F21A08"/>
    <w:rsid w:val="00F25323"/>
    <w:rsid w:val="00F253CC"/>
    <w:rsid w:val="00F332EF"/>
    <w:rsid w:val="00F37106"/>
    <w:rsid w:val="00F40618"/>
    <w:rsid w:val="00F42E88"/>
    <w:rsid w:val="00F4378E"/>
    <w:rsid w:val="00F50554"/>
    <w:rsid w:val="00F519CF"/>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183B6F"/>
    <w:rsid w:val="001C40BF"/>
    <w:rsid w:val="00200821"/>
    <w:rsid w:val="002468A0"/>
    <w:rsid w:val="00286414"/>
    <w:rsid w:val="002C698B"/>
    <w:rsid w:val="002E6F38"/>
    <w:rsid w:val="00394049"/>
    <w:rsid w:val="004F2DF8"/>
    <w:rsid w:val="005B6D86"/>
    <w:rsid w:val="005D3162"/>
    <w:rsid w:val="005F168B"/>
    <w:rsid w:val="005F72A0"/>
    <w:rsid w:val="00676753"/>
    <w:rsid w:val="006A5D22"/>
    <w:rsid w:val="006E2B51"/>
    <w:rsid w:val="00721418"/>
    <w:rsid w:val="008E3184"/>
    <w:rsid w:val="00942213"/>
    <w:rsid w:val="0097453C"/>
    <w:rsid w:val="009A1B5A"/>
    <w:rsid w:val="009A261B"/>
    <w:rsid w:val="00A311DF"/>
    <w:rsid w:val="00AA67AB"/>
    <w:rsid w:val="00AC15A4"/>
    <w:rsid w:val="00B0336C"/>
    <w:rsid w:val="00BD5B4D"/>
    <w:rsid w:val="00BE224D"/>
    <w:rsid w:val="00C11833"/>
    <w:rsid w:val="00C35D17"/>
    <w:rsid w:val="00C56634"/>
    <w:rsid w:val="00CC1166"/>
    <w:rsid w:val="00D1626E"/>
    <w:rsid w:val="00D17CCA"/>
    <w:rsid w:val="00D46351"/>
    <w:rsid w:val="00D55AA6"/>
    <w:rsid w:val="00D73C04"/>
    <w:rsid w:val="00D84C02"/>
    <w:rsid w:val="00DD65ED"/>
    <w:rsid w:val="00E02BDB"/>
    <w:rsid w:val="00E77140"/>
    <w:rsid w:val="00E907ED"/>
    <w:rsid w:val="00EC5ECB"/>
    <w:rsid w:val="00EC7B7B"/>
    <w:rsid w:val="00EE5A1E"/>
    <w:rsid w:val="00F00624"/>
    <w:rsid w:val="00F00D2F"/>
    <w:rsid w:val="00F128DF"/>
    <w:rsid w:val="00FC6C99"/>
    <w:rsid w:val="00FE0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AE07-BE05-4BB9-8AD6-BFB6BA50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1912</Words>
  <Characters>9850</Characters>
  <Application>Microsoft Office Word</Application>
  <DocSecurity>0</DocSecurity>
  <Lines>223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306/20</dc:title>
  <dc:creator/>
  <cp:lastModifiedBy/>
  <cp:revision>1</cp:revision>
  <dcterms:created xsi:type="dcterms:W3CDTF">2021-01-06T13:16:00Z</dcterms:created>
  <dcterms:modified xsi:type="dcterms:W3CDTF">2021-01-06T13:16:00Z</dcterms:modified>
</cp:coreProperties>
</file>