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088AF4F8" w:rsidR="00040C3A" w:rsidRPr="00AB561B" w:rsidRDefault="00D306D1" w:rsidP="001E32F9">
      <w:pPr>
        <w:ind w:firstLine="720"/>
        <w:jc w:val="both"/>
        <w:rPr>
          <w:rFonts w:asciiTheme="majorHAnsi" w:hAnsiTheme="majorHAnsi" w:cs="Univers"/>
          <w:b/>
          <w:bCs/>
          <w:sz w:val="22"/>
          <w:szCs w:val="22"/>
          <w:lang w:val="es-ES"/>
        </w:rPr>
      </w:pPr>
      <w:r w:rsidRPr="00AB561B">
        <w:rPr>
          <w:rFonts w:asciiTheme="majorHAnsi" w:hAnsiTheme="majorHAnsi"/>
          <w:noProof/>
          <w:sz w:val="22"/>
          <w:szCs w:val="22"/>
          <w:lang w:val="en-US" w:eastAsia="en-US"/>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50EA4A1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AB561B">
        <w:rPr>
          <w:rFonts w:asciiTheme="majorHAnsi" w:hAnsiTheme="majorHAnsi"/>
          <w:noProof/>
          <w:sz w:val="22"/>
          <w:szCs w:val="22"/>
          <w:lang w:val="en-US" w:eastAsia="en-US"/>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lang w:val="en-US" w:eastAsia="en-US"/>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lang w:val="en-US" w:eastAsia="en-US"/>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803F21" w:rsidRPr="00AB561B">
        <w:rPr>
          <w:rFonts w:asciiTheme="majorHAnsi" w:hAnsiTheme="majorHAnsi" w:cs="Univers"/>
          <w:b/>
          <w:bCs/>
          <w:sz w:val="22"/>
          <w:szCs w:val="22"/>
          <w:lang w:val="es-ES"/>
        </w:rPr>
        <w:t>C</w:t>
      </w:r>
    </w:p>
    <w:p w14:paraId="47386BAF" w14:textId="77777777" w:rsidR="00040C3A" w:rsidRPr="00AB561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AB561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AB561B" w:rsidRDefault="005128E4" w:rsidP="00040C3A">
      <w:pPr>
        <w:tabs>
          <w:tab w:val="center" w:pos="5400"/>
        </w:tabs>
        <w:suppressAutoHyphens/>
        <w:rPr>
          <w:rFonts w:asciiTheme="majorHAnsi" w:hAnsiTheme="majorHAnsi"/>
          <w:sz w:val="22"/>
          <w:szCs w:val="22"/>
          <w:lang w:val="es-ES"/>
        </w:rPr>
      </w:pPr>
    </w:p>
    <w:p w14:paraId="12A36B24" w14:textId="77777777" w:rsidR="005128E4" w:rsidRPr="00AB561B" w:rsidRDefault="005128E4" w:rsidP="00040C3A">
      <w:pPr>
        <w:tabs>
          <w:tab w:val="center" w:pos="5400"/>
        </w:tabs>
        <w:suppressAutoHyphens/>
        <w:rPr>
          <w:rFonts w:asciiTheme="majorHAnsi" w:hAnsiTheme="majorHAnsi"/>
          <w:sz w:val="22"/>
          <w:szCs w:val="22"/>
          <w:lang w:val="es-ES"/>
        </w:rPr>
      </w:pPr>
    </w:p>
    <w:p w14:paraId="2252093D" w14:textId="77777777" w:rsidR="005128E4" w:rsidRPr="00AB561B" w:rsidRDefault="005128E4" w:rsidP="00040C3A">
      <w:pPr>
        <w:tabs>
          <w:tab w:val="center" w:pos="5400"/>
        </w:tabs>
        <w:suppressAutoHyphens/>
        <w:rPr>
          <w:rFonts w:asciiTheme="majorHAnsi" w:hAnsiTheme="majorHAnsi"/>
          <w:sz w:val="22"/>
          <w:szCs w:val="22"/>
          <w:lang w:val="es-ES"/>
        </w:rPr>
      </w:pPr>
    </w:p>
    <w:p w14:paraId="403935BD" w14:textId="77777777" w:rsidR="00040C3A" w:rsidRPr="00AB561B"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AB561B" w:rsidRDefault="00040C3A" w:rsidP="005128E4">
      <w:pPr>
        <w:tabs>
          <w:tab w:val="center" w:pos="5400"/>
        </w:tabs>
        <w:suppressAutoHyphens/>
        <w:jc w:val="center"/>
        <w:rPr>
          <w:rFonts w:asciiTheme="majorHAnsi" w:hAnsiTheme="majorHAnsi"/>
          <w:sz w:val="22"/>
          <w:szCs w:val="22"/>
          <w:lang w:val="es-ES"/>
        </w:rPr>
      </w:pPr>
      <w:bookmarkStart w:id="0" w:name="_GoBack"/>
      <w:bookmarkEnd w:id="0"/>
    </w:p>
    <w:p w14:paraId="4791F13A" w14:textId="77777777" w:rsidR="005B52B0" w:rsidRPr="00AB561B"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AB561B"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AB561B"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AB561B"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AB561B"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AB561B" w:rsidRDefault="003D3BC2" w:rsidP="00040C3A">
      <w:pPr>
        <w:tabs>
          <w:tab w:val="center" w:pos="5400"/>
        </w:tabs>
        <w:suppressAutoHyphens/>
        <w:jc w:val="center"/>
        <w:rPr>
          <w:rFonts w:asciiTheme="majorHAnsi" w:hAnsiTheme="majorHAnsi"/>
          <w:sz w:val="22"/>
          <w:szCs w:val="22"/>
          <w:lang w:val="es-ES"/>
        </w:rPr>
      </w:pPr>
      <w:r w:rsidRPr="00AB561B">
        <w:rPr>
          <w:rFonts w:asciiTheme="majorHAnsi" w:hAnsiTheme="majorHAnsi"/>
          <w:noProof/>
          <w:sz w:val="22"/>
          <w:szCs w:val="22"/>
          <w:lang w:val="en-US" w:eastAsia="en-US"/>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AF189E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30341">
                              <w:rPr>
                                <w:rFonts w:asciiTheme="majorHAnsi" w:hAnsiTheme="majorHAnsi" w:cs="Arial"/>
                                <w:b/>
                                <w:bCs/>
                                <w:color w:val="0D0D0D" w:themeColor="text1" w:themeTint="F2"/>
                                <w:sz w:val="36"/>
                                <w:szCs w:val="22"/>
                                <w:lang w:val="es-ES_tradnl"/>
                              </w:rPr>
                              <w:t>402</w:t>
                            </w:r>
                            <w:r w:rsidR="007B05C4">
                              <w:rPr>
                                <w:rFonts w:asciiTheme="majorHAnsi" w:hAnsiTheme="majorHAnsi" w:cs="Arial"/>
                                <w:b/>
                                <w:bCs/>
                                <w:color w:val="0D0D0D" w:themeColor="text1" w:themeTint="F2"/>
                                <w:sz w:val="36"/>
                                <w:szCs w:val="22"/>
                                <w:lang w:val="es-ES_tradnl"/>
                              </w:rPr>
                              <w:t>/</w:t>
                            </w:r>
                            <w:r w:rsidR="00C7589C">
                              <w:rPr>
                                <w:rFonts w:asciiTheme="majorHAnsi" w:hAnsiTheme="majorHAnsi" w:cs="Arial"/>
                                <w:b/>
                                <w:bCs/>
                                <w:color w:val="0D0D0D" w:themeColor="text1" w:themeTint="F2"/>
                                <w:sz w:val="36"/>
                                <w:szCs w:val="22"/>
                                <w:lang w:val="es-ES_tradnl"/>
                              </w:rPr>
                              <w:t>20</w:t>
                            </w:r>
                          </w:p>
                          <w:p w14:paraId="09C54AB3" w14:textId="2F144FA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35943">
                              <w:rPr>
                                <w:rFonts w:asciiTheme="majorHAnsi" w:hAnsiTheme="majorHAnsi" w:cs="Arial"/>
                                <w:b/>
                                <w:color w:val="0D0D0D" w:themeColor="text1" w:themeTint="F2"/>
                                <w:sz w:val="36"/>
                                <w:szCs w:val="22"/>
                                <w:lang w:val="es-ES_tradnl"/>
                              </w:rPr>
                              <w:t>1</w:t>
                            </w:r>
                            <w:r w:rsidR="006001FF">
                              <w:rPr>
                                <w:rFonts w:asciiTheme="majorHAnsi" w:hAnsiTheme="majorHAnsi" w:cs="Arial"/>
                                <w:b/>
                                <w:color w:val="0D0D0D" w:themeColor="text1" w:themeTint="F2"/>
                                <w:sz w:val="36"/>
                                <w:szCs w:val="22"/>
                                <w:lang w:val="es-ES_tradnl"/>
                              </w:rPr>
                              <w:t>549</w:t>
                            </w:r>
                            <w:r w:rsidR="00246D1F" w:rsidRPr="004E2649">
                              <w:rPr>
                                <w:rFonts w:asciiTheme="majorHAnsi" w:hAnsiTheme="majorHAnsi" w:cs="Arial"/>
                                <w:b/>
                                <w:color w:val="0D0D0D" w:themeColor="text1" w:themeTint="F2"/>
                                <w:sz w:val="36"/>
                                <w:szCs w:val="22"/>
                                <w:lang w:val="es-ES_tradnl"/>
                              </w:rPr>
                              <w:t>-</w:t>
                            </w:r>
                            <w:r w:rsidR="00C7589C">
                              <w:rPr>
                                <w:rFonts w:asciiTheme="majorHAnsi" w:hAnsiTheme="majorHAnsi" w:cs="Arial"/>
                                <w:b/>
                                <w:color w:val="0D0D0D" w:themeColor="text1" w:themeTint="F2"/>
                                <w:sz w:val="36"/>
                                <w:szCs w:val="22"/>
                                <w:lang w:val="es-ES_tradnl"/>
                              </w:rPr>
                              <w:t>1</w:t>
                            </w:r>
                            <w:r w:rsidR="006001FF">
                              <w:rPr>
                                <w:rFonts w:asciiTheme="majorHAnsi" w:hAnsiTheme="majorHAnsi" w:cs="Arial"/>
                                <w:b/>
                                <w:color w:val="0D0D0D" w:themeColor="text1" w:themeTint="F2"/>
                                <w:sz w:val="36"/>
                                <w:szCs w:val="22"/>
                                <w:lang w:val="es-ES_tradnl"/>
                              </w:rPr>
                              <w:t>1</w:t>
                            </w:r>
                            <w:r w:rsidR="00246D1F" w:rsidRPr="004E2649">
                              <w:rPr>
                                <w:rFonts w:asciiTheme="majorHAnsi" w:hAnsiTheme="majorHAnsi" w:cs="Arial"/>
                                <w:b/>
                                <w:color w:val="0D0D0D" w:themeColor="text1" w:themeTint="F2"/>
                                <w:sz w:val="36"/>
                                <w:szCs w:val="22"/>
                                <w:lang w:val="es-ES_tradnl"/>
                              </w:rPr>
                              <w:t xml:space="preserve"> </w:t>
                            </w:r>
                          </w:p>
                          <w:p w14:paraId="70CF6833" w14:textId="713AE79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77228F2C" w:rsidR="005B52B0" w:rsidRPr="0010736F" w:rsidRDefault="00F014F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DOMINGO ADASME NU</w:t>
                            </w:r>
                            <w:r w:rsidRPr="00F014FC">
                              <w:rPr>
                                <w:rFonts w:asciiTheme="majorHAnsi" w:hAnsiTheme="majorHAnsi" w:cs="Arial"/>
                                <w:color w:val="0D0D0D" w:themeColor="text1" w:themeTint="F2"/>
                                <w:szCs w:val="22"/>
                                <w:lang w:val="es-ES_tradnl"/>
                              </w:rPr>
                              <w:t>Ñ</w:t>
                            </w:r>
                            <w:r>
                              <w:rPr>
                                <w:rFonts w:asciiTheme="majorHAnsi" w:hAnsiTheme="majorHAnsi" w:cs="Arial"/>
                                <w:color w:val="0D0D0D" w:themeColor="text1" w:themeTint="F2"/>
                                <w:szCs w:val="22"/>
                                <w:lang w:val="es-ES_tradnl"/>
                              </w:rPr>
                              <w:t xml:space="preserve">EZ </w:t>
                            </w:r>
                            <w:r w:rsidR="002C7491">
                              <w:rPr>
                                <w:rFonts w:asciiTheme="majorHAnsi" w:hAnsiTheme="majorHAnsi" w:cs="Arial"/>
                                <w:color w:val="0D0D0D" w:themeColor="text1" w:themeTint="F2"/>
                                <w:szCs w:val="22"/>
                                <w:lang w:val="es-ES_tradnl"/>
                              </w:rPr>
                              <w:t>Y FAMILIA</w:t>
                            </w:r>
                          </w:p>
                          <w:bookmarkEnd w:id="1"/>
                          <w:p w14:paraId="35068D0D" w14:textId="7E99BC46" w:rsidR="005B52B0" w:rsidRPr="0010736F" w:rsidRDefault="003C253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0AF189E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30341">
                        <w:rPr>
                          <w:rFonts w:asciiTheme="majorHAnsi" w:hAnsiTheme="majorHAnsi" w:cs="Arial"/>
                          <w:b/>
                          <w:bCs/>
                          <w:color w:val="0D0D0D" w:themeColor="text1" w:themeTint="F2"/>
                          <w:sz w:val="36"/>
                          <w:szCs w:val="22"/>
                          <w:lang w:val="es-ES_tradnl"/>
                        </w:rPr>
                        <w:t>402</w:t>
                      </w:r>
                      <w:r w:rsidR="007B05C4">
                        <w:rPr>
                          <w:rFonts w:asciiTheme="majorHAnsi" w:hAnsiTheme="majorHAnsi" w:cs="Arial"/>
                          <w:b/>
                          <w:bCs/>
                          <w:color w:val="0D0D0D" w:themeColor="text1" w:themeTint="F2"/>
                          <w:sz w:val="36"/>
                          <w:szCs w:val="22"/>
                          <w:lang w:val="es-ES_tradnl"/>
                        </w:rPr>
                        <w:t>/</w:t>
                      </w:r>
                      <w:r w:rsidR="00C7589C">
                        <w:rPr>
                          <w:rFonts w:asciiTheme="majorHAnsi" w:hAnsiTheme="majorHAnsi" w:cs="Arial"/>
                          <w:b/>
                          <w:bCs/>
                          <w:color w:val="0D0D0D" w:themeColor="text1" w:themeTint="F2"/>
                          <w:sz w:val="36"/>
                          <w:szCs w:val="22"/>
                          <w:lang w:val="es-ES_tradnl"/>
                        </w:rPr>
                        <w:t>20</w:t>
                      </w:r>
                    </w:p>
                    <w:p w14:paraId="09C54AB3" w14:textId="2F144FA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35943">
                        <w:rPr>
                          <w:rFonts w:asciiTheme="majorHAnsi" w:hAnsiTheme="majorHAnsi" w:cs="Arial"/>
                          <w:b/>
                          <w:color w:val="0D0D0D" w:themeColor="text1" w:themeTint="F2"/>
                          <w:sz w:val="36"/>
                          <w:szCs w:val="22"/>
                          <w:lang w:val="es-ES_tradnl"/>
                        </w:rPr>
                        <w:t>1</w:t>
                      </w:r>
                      <w:r w:rsidR="006001FF">
                        <w:rPr>
                          <w:rFonts w:asciiTheme="majorHAnsi" w:hAnsiTheme="majorHAnsi" w:cs="Arial"/>
                          <w:b/>
                          <w:color w:val="0D0D0D" w:themeColor="text1" w:themeTint="F2"/>
                          <w:sz w:val="36"/>
                          <w:szCs w:val="22"/>
                          <w:lang w:val="es-ES_tradnl"/>
                        </w:rPr>
                        <w:t>549</w:t>
                      </w:r>
                      <w:r w:rsidR="00246D1F" w:rsidRPr="004E2649">
                        <w:rPr>
                          <w:rFonts w:asciiTheme="majorHAnsi" w:hAnsiTheme="majorHAnsi" w:cs="Arial"/>
                          <w:b/>
                          <w:color w:val="0D0D0D" w:themeColor="text1" w:themeTint="F2"/>
                          <w:sz w:val="36"/>
                          <w:szCs w:val="22"/>
                          <w:lang w:val="es-ES_tradnl"/>
                        </w:rPr>
                        <w:t>-</w:t>
                      </w:r>
                      <w:r w:rsidR="00C7589C">
                        <w:rPr>
                          <w:rFonts w:asciiTheme="majorHAnsi" w:hAnsiTheme="majorHAnsi" w:cs="Arial"/>
                          <w:b/>
                          <w:color w:val="0D0D0D" w:themeColor="text1" w:themeTint="F2"/>
                          <w:sz w:val="36"/>
                          <w:szCs w:val="22"/>
                          <w:lang w:val="es-ES_tradnl"/>
                        </w:rPr>
                        <w:t>1</w:t>
                      </w:r>
                      <w:r w:rsidR="006001FF">
                        <w:rPr>
                          <w:rFonts w:asciiTheme="majorHAnsi" w:hAnsiTheme="majorHAnsi" w:cs="Arial"/>
                          <w:b/>
                          <w:color w:val="0D0D0D" w:themeColor="text1" w:themeTint="F2"/>
                          <w:sz w:val="36"/>
                          <w:szCs w:val="22"/>
                          <w:lang w:val="es-ES_tradnl"/>
                        </w:rPr>
                        <w:t>1</w:t>
                      </w:r>
                      <w:r w:rsidR="00246D1F" w:rsidRPr="004E2649">
                        <w:rPr>
                          <w:rFonts w:asciiTheme="majorHAnsi" w:hAnsiTheme="majorHAnsi" w:cs="Arial"/>
                          <w:b/>
                          <w:color w:val="0D0D0D" w:themeColor="text1" w:themeTint="F2"/>
                          <w:sz w:val="36"/>
                          <w:szCs w:val="22"/>
                          <w:lang w:val="es-ES_tradnl"/>
                        </w:rPr>
                        <w:t xml:space="preserve"> </w:t>
                      </w:r>
                    </w:p>
                    <w:p w14:paraId="70CF6833" w14:textId="713AE79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77228F2C" w:rsidR="005B52B0" w:rsidRPr="0010736F" w:rsidRDefault="00F014F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DOMINGO ADASME NU</w:t>
                      </w:r>
                      <w:r w:rsidRPr="00F014FC">
                        <w:rPr>
                          <w:rFonts w:asciiTheme="majorHAnsi" w:hAnsiTheme="majorHAnsi" w:cs="Arial"/>
                          <w:color w:val="0D0D0D" w:themeColor="text1" w:themeTint="F2"/>
                          <w:szCs w:val="22"/>
                          <w:lang w:val="es-ES_tradnl"/>
                        </w:rPr>
                        <w:t>Ñ</w:t>
                      </w:r>
                      <w:r>
                        <w:rPr>
                          <w:rFonts w:asciiTheme="majorHAnsi" w:hAnsiTheme="majorHAnsi" w:cs="Arial"/>
                          <w:color w:val="0D0D0D" w:themeColor="text1" w:themeTint="F2"/>
                          <w:szCs w:val="22"/>
                          <w:lang w:val="es-ES_tradnl"/>
                        </w:rPr>
                        <w:t xml:space="preserve">EZ </w:t>
                      </w:r>
                      <w:r w:rsidR="002C7491">
                        <w:rPr>
                          <w:rFonts w:asciiTheme="majorHAnsi" w:hAnsiTheme="majorHAnsi" w:cs="Arial"/>
                          <w:color w:val="0D0D0D" w:themeColor="text1" w:themeTint="F2"/>
                          <w:szCs w:val="22"/>
                          <w:lang w:val="es-ES_tradnl"/>
                        </w:rPr>
                        <w:t>Y FAMILIA</w:t>
                      </w:r>
                    </w:p>
                    <w:bookmarkEnd w:id="1"/>
                    <w:p w14:paraId="35068D0D" w14:textId="7E99BC46" w:rsidR="005B52B0" w:rsidRPr="0010736F" w:rsidRDefault="003C253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AB561B">
        <w:rPr>
          <w:rFonts w:asciiTheme="majorHAnsi" w:hAnsiTheme="majorHAnsi"/>
          <w:noProof/>
          <w:sz w:val="22"/>
          <w:szCs w:val="22"/>
          <w:lang w:val="en-US" w:eastAsia="en-US"/>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0F639A25" w:rsidR="00627C9F" w:rsidRPr="00430341" w:rsidRDefault="00430341" w:rsidP="007A5817">
                            <w:pPr>
                              <w:spacing w:line="276" w:lineRule="auto"/>
                              <w:jc w:val="right"/>
                              <w:rPr>
                                <w:rFonts w:asciiTheme="minorHAnsi" w:hAnsiTheme="minorHAnsi"/>
                                <w:color w:val="FFFFFF" w:themeColor="background1"/>
                                <w:sz w:val="22"/>
                                <w:lang w:val="es-419"/>
                              </w:rPr>
                            </w:pPr>
                            <w:r w:rsidRPr="00430341">
                              <w:rPr>
                                <w:rFonts w:asciiTheme="minorHAnsi" w:hAnsiTheme="minorHAnsi"/>
                                <w:color w:val="FFFFFF" w:themeColor="background1"/>
                                <w:sz w:val="22"/>
                                <w:lang w:val="es-419"/>
                              </w:rPr>
                              <w:t>OEA/</w:t>
                            </w:r>
                            <w:proofErr w:type="spellStart"/>
                            <w:r w:rsidRPr="00430341">
                              <w:rPr>
                                <w:rFonts w:asciiTheme="minorHAnsi" w:hAnsiTheme="minorHAnsi"/>
                                <w:color w:val="FFFFFF" w:themeColor="background1"/>
                                <w:sz w:val="22"/>
                                <w:lang w:val="es-419"/>
                              </w:rPr>
                              <w:t>Ser.L</w:t>
                            </w:r>
                            <w:proofErr w:type="spellEnd"/>
                            <w:r w:rsidRPr="00430341">
                              <w:rPr>
                                <w:rFonts w:asciiTheme="minorHAnsi" w:hAnsiTheme="minorHAnsi"/>
                                <w:color w:val="FFFFFF" w:themeColor="background1"/>
                                <w:sz w:val="22"/>
                                <w:lang w:val="es-419"/>
                              </w:rPr>
                              <w:t>/V/II</w:t>
                            </w:r>
                          </w:p>
                          <w:p w14:paraId="6A41611B" w14:textId="5D081D48" w:rsidR="00627C9F" w:rsidRPr="00430341" w:rsidRDefault="00627C9F" w:rsidP="007A5817">
                            <w:pPr>
                              <w:spacing w:line="276" w:lineRule="auto"/>
                              <w:jc w:val="right"/>
                              <w:rPr>
                                <w:rFonts w:asciiTheme="minorHAnsi" w:hAnsiTheme="minorHAnsi"/>
                                <w:color w:val="FFFFFF" w:themeColor="background1"/>
                                <w:sz w:val="22"/>
                                <w:lang w:val="es-419"/>
                              </w:rPr>
                            </w:pPr>
                            <w:r w:rsidRPr="00430341">
                              <w:rPr>
                                <w:rFonts w:asciiTheme="minorHAnsi" w:hAnsiTheme="minorHAnsi"/>
                                <w:color w:val="FFFFFF" w:themeColor="background1"/>
                                <w:sz w:val="22"/>
                                <w:lang w:val="es-419"/>
                              </w:rPr>
                              <w:t>Doc.</w:t>
                            </w:r>
                            <w:r w:rsidR="00430341" w:rsidRPr="00430341">
                              <w:rPr>
                                <w:rFonts w:asciiTheme="minorHAnsi" w:hAnsiTheme="minorHAnsi"/>
                                <w:color w:val="FFFFFF" w:themeColor="background1"/>
                                <w:sz w:val="22"/>
                                <w:lang w:val="es-419"/>
                              </w:rPr>
                              <w:t xml:space="preserve"> 4</w:t>
                            </w:r>
                            <w:r w:rsidR="00430341">
                              <w:rPr>
                                <w:rFonts w:asciiTheme="minorHAnsi" w:hAnsiTheme="minorHAnsi"/>
                                <w:color w:val="FFFFFF" w:themeColor="background1"/>
                                <w:sz w:val="22"/>
                                <w:lang w:val="es-419"/>
                              </w:rPr>
                              <w:t>20</w:t>
                            </w:r>
                          </w:p>
                          <w:p w14:paraId="69373ED2" w14:textId="77B2C437" w:rsidR="00627C9F" w:rsidRPr="00B16B79" w:rsidRDefault="00430341"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10 diciembre</w:t>
                            </w:r>
                            <w:r w:rsidR="007B05C4" w:rsidRPr="00B16B79">
                              <w:rPr>
                                <w:rFonts w:asciiTheme="minorHAnsi" w:hAnsiTheme="minorHAnsi"/>
                                <w:color w:val="FFFFFF" w:themeColor="background1"/>
                                <w:sz w:val="22"/>
                                <w:lang w:val="es-MX"/>
                              </w:rPr>
                              <w:t xml:space="preserve"> </w:t>
                            </w:r>
                            <w:r w:rsidR="00C7589C" w:rsidRPr="00B16B79">
                              <w:rPr>
                                <w:rFonts w:asciiTheme="minorHAnsi" w:hAnsiTheme="minorHAnsi"/>
                                <w:color w:val="FFFFFF" w:themeColor="background1"/>
                                <w:sz w:val="22"/>
                                <w:lang w:val="es-MX"/>
                              </w:rPr>
                              <w:t>2020</w:t>
                            </w:r>
                          </w:p>
                          <w:p w14:paraId="0771DB5B" w14:textId="77777777" w:rsidR="00627C9F" w:rsidRPr="00B16B79" w:rsidRDefault="00E0340B" w:rsidP="007A5817">
                            <w:pPr>
                              <w:spacing w:line="276" w:lineRule="auto"/>
                              <w:jc w:val="right"/>
                              <w:rPr>
                                <w:rFonts w:asciiTheme="minorHAnsi" w:hAnsiTheme="minorHAnsi"/>
                                <w:color w:val="FFFFFF" w:themeColor="background1"/>
                                <w:sz w:val="22"/>
                                <w:lang w:val="es-MX"/>
                              </w:rPr>
                            </w:pPr>
                            <w:r w:rsidRPr="00B16B79">
                              <w:rPr>
                                <w:rFonts w:asciiTheme="minorHAnsi" w:hAnsiTheme="minorHAnsi"/>
                                <w:color w:val="FFFFFF" w:themeColor="background1"/>
                                <w:sz w:val="22"/>
                                <w:lang w:val="es-MX"/>
                              </w:rPr>
                              <w:t xml:space="preserve">Original: </w:t>
                            </w:r>
                            <w:r w:rsidR="008B12F5" w:rsidRPr="00B16B79">
                              <w:rPr>
                                <w:rFonts w:asciiTheme="minorHAnsi" w:hAnsiTheme="minorHAnsi"/>
                                <w:color w:val="FFFFFF" w:themeColor="background1"/>
                                <w:sz w:val="22"/>
                                <w:lang w:val="es-MX"/>
                              </w:rPr>
                              <w:t>e</w:t>
                            </w:r>
                            <w:r w:rsidR="00627C9F" w:rsidRPr="00B16B79">
                              <w:rPr>
                                <w:rFonts w:asciiTheme="minorHAnsi" w:hAnsiTheme="minorHAnsi"/>
                                <w:color w:val="FFFFFF" w:themeColor="background1"/>
                                <w:sz w:val="22"/>
                                <w:lang w:val="es-MX"/>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0F639A25" w:rsidR="00627C9F" w:rsidRPr="00430341" w:rsidRDefault="00430341" w:rsidP="007A5817">
                      <w:pPr>
                        <w:spacing w:line="276" w:lineRule="auto"/>
                        <w:jc w:val="right"/>
                        <w:rPr>
                          <w:rFonts w:asciiTheme="minorHAnsi" w:hAnsiTheme="minorHAnsi"/>
                          <w:color w:val="FFFFFF" w:themeColor="background1"/>
                          <w:sz w:val="22"/>
                          <w:lang w:val="es-419"/>
                        </w:rPr>
                      </w:pPr>
                      <w:r w:rsidRPr="00430341">
                        <w:rPr>
                          <w:rFonts w:asciiTheme="minorHAnsi" w:hAnsiTheme="minorHAnsi"/>
                          <w:color w:val="FFFFFF" w:themeColor="background1"/>
                          <w:sz w:val="22"/>
                          <w:lang w:val="es-419"/>
                        </w:rPr>
                        <w:t>OEA/Ser.L/V/II</w:t>
                      </w:r>
                    </w:p>
                    <w:p w14:paraId="6A41611B" w14:textId="5D081D48" w:rsidR="00627C9F" w:rsidRPr="00430341" w:rsidRDefault="00627C9F" w:rsidP="007A5817">
                      <w:pPr>
                        <w:spacing w:line="276" w:lineRule="auto"/>
                        <w:jc w:val="right"/>
                        <w:rPr>
                          <w:rFonts w:asciiTheme="minorHAnsi" w:hAnsiTheme="minorHAnsi"/>
                          <w:color w:val="FFFFFF" w:themeColor="background1"/>
                          <w:sz w:val="22"/>
                          <w:lang w:val="es-419"/>
                        </w:rPr>
                      </w:pPr>
                      <w:r w:rsidRPr="00430341">
                        <w:rPr>
                          <w:rFonts w:asciiTheme="minorHAnsi" w:hAnsiTheme="minorHAnsi"/>
                          <w:color w:val="FFFFFF" w:themeColor="background1"/>
                          <w:sz w:val="22"/>
                          <w:lang w:val="es-419"/>
                        </w:rPr>
                        <w:t>Doc.</w:t>
                      </w:r>
                      <w:r w:rsidR="00430341" w:rsidRPr="00430341">
                        <w:rPr>
                          <w:rFonts w:asciiTheme="minorHAnsi" w:hAnsiTheme="minorHAnsi"/>
                          <w:color w:val="FFFFFF" w:themeColor="background1"/>
                          <w:sz w:val="22"/>
                          <w:lang w:val="es-419"/>
                        </w:rPr>
                        <w:t xml:space="preserve"> 4</w:t>
                      </w:r>
                      <w:r w:rsidR="00430341">
                        <w:rPr>
                          <w:rFonts w:asciiTheme="minorHAnsi" w:hAnsiTheme="minorHAnsi"/>
                          <w:color w:val="FFFFFF" w:themeColor="background1"/>
                          <w:sz w:val="22"/>
                          <w:lang w:val="es-419"/>
                        </w:rPr>
                        <w:t>20</w:t>
                      </w:r>
                    </w:p>
                    <w:p w14:paraId="69373ED2" w14:textId="77B2C437" w:rsidR="00627C9F" w:rsidRPr="00B16B79" w:rsidRDefault="00430341"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10 diciembre</w:t>
                      </w:r>
                      <w:r w:rsidR="007B05C4" w:rsidRPr="00B16B79">
                        <w:rPr>
                          <w:rFonts w:asciiTheme="minorHAnsi" w:hAnsiTheme="minorHAnsi"/>
                          <w:color w:val="FFFFFF" w:themeColor="background1"/>
                          <w:sz w:val="22"/>
                          <w:lang w:val="es-MX"/>
                        </w:rPr>
                        <w:t xml:space="preserve"> </w:t>
                      </w:r>
                      <w:r w:rsidR="00C7589C" w:rsidRPr="00B16B79">
                        <w:rPr>
                          <w:rFonts w:asciiTheme="minorHAnsi" w:hAnsiTheme="minorHAnsi"/>
                          <w:color w:val="FFFFFF" w:themeColor="background1"/>
                          <w:sz w:val="22"/>
                          <w:lang w:val="es-MX"/>
                        </w:rPr>
                        <w:t>2020</w:t>
                      </w:r>
                    </w:p>
                    <w:p w14:paraId="0771DB5B" w14:textId="77777777" w:rsidR="00627C9F" w:rsidRPr="00B16B79" w:rsidRDefault="00E0340B" w:rsidP="007A5817">
                      <w:pPr>
                        <w:spacing w:line="276" w:lineRule="auto"/>
                        <w:jc w:val="right"/>
                        <w:rPr>
                          <w:rFonts w:asciiTheme="minorHAnsi" w:hAnsiTheme="minorHAnsi"/>
                          <w:color w:val="FFFFFF" w:themeColor="background1"/>
                          <w:sz w:val="22"/>
                          <w:lang w:val="es-MX"/>
                        </w:rPr>
                      </w:pPr>
                      <w:r w:rsidRPr="00B16B79">
                        <w:rPr>
                          <w:rFonts w:asciiTheme="minorHAnsi" w:hAnsiTheme="minorHAnsi"/>
                          <w:color w:val="FFFFFF" w:themeColor="background1"/>
                          <w:sz w:val="22"/>
                          <w:lang w:val="es-MX"/>
                        </w:rPr>
                        <w:t xml:space="preserve">Original: </w:t>
                      </w:r>
                      <w:r w:rsidR="008B12F5" w:rsidRPr="00B16B79">
                        <w:rPr>
                          <w:rFonts w:asciiTheme="minorHAnsi" w:hAnsiTheme="minorHAnsi"/>
                          <w:color w:val="FFFFFF" w:themeColor="background1"/>
                          <w:sz w:val="22"/>
                          <w:lang w:val="es-MX"/>
                        </w:rPr>
                        <w:t>e</w:t>
                      </w:r>
                      <w:r w:rsidR="00627C9F" w:rsidRPr="00B16B79">
                        <w:rPr>
                          <w:rFonts w:asciiTheme="minorHAnsi" w:hAnsiTheme="minorHAnsi"/>
                          <w:color w:val="FFFFFF" w:themeColor="background1"/>
                          <w:sz w:val="22"/>
                          <w:lang w:val="es-MX"/>
                        </w:rPr>
                        <w:t>spañol</w:t>
                      </w:r>
                    </w:p>
                  </w:txbxContent>
                </v:textbox>
              </v:shape>
            </w:pict>
          </mc:Fallback>
        </mc:AlternateContent>
      </w:r>
    </w:p>
    <w:p w14:paraId="155B0536" w14:textId="77777777" w:rsidR="00040C3A" w:rsidRPr="00AB561B"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AB561B"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AB561B"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AB561B"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AB561B"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AB561B"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AB561B"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AB561B"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AB561B"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AB561B"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AB561B"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AB561B"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AB561B"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AB561B"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AB561B"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AB561B"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AB561B"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AB561B"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AB561B"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AB561B"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AB561B"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AB561B"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AB561B"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AB561B"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AB561B"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AB561B"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AB561B"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AB561B"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AB561B" w:rsidRDefault="0090270B" w:rsidP="00040C3A">
      <w:pPr>
        <w:tabs>
          <w:tab w:val="center" w:pos="5400"/>
        </w:tabs>
        <w:suppressAutoHyphens/>
        <w:jc w:val="center"/>
        <w:rPr>
          <w:rFonts w:asciiTheme="majorHAnsi" w:hAnsiTheme="majorHAnsi"/>
          <w:sz w:val="18"/>
          <w:szCs w:val="22"/>
          <w:lang w:val="es-ES"/>
        </w:rPr>
      </w:pPr>
      <w:r w:rsidRPr="00AB561B">
        <w:rPr>
          <w:rFonts w:asciiTheme="majorHAnsi" w:hAnsiTheme="majorHAnsi"/>
          <w:noProof/>
          <w:sz w:val="22"/>
          <w:szCs w:val="22"/>
          <w:lang w:val="en-US" w:eastAsia="en-US"/>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3649FCA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430341">
                              <w:rPr>
                                <w:rFonts w:asciiTheme="majorHAnsi" w:hAnsiTheme="majorHAnsi"/>
                                <w:color w:val="0D0D0D" w:themeColor="text1" w:themeTint="F2"/>
                                <w:sz w:val="18"/>
                                <w:szCs w:val="22"/>
                                <w:lang w:val="es-ES"/>
                              </w:rPr>
                              <w:t>10</w:t>
                            </w:r>
                            <w:r w:rsidRPr="00890650">
                              <w:rPr>
                                <w:rFonts w:asciiTheme="majorHAnsi" w:hAnsiTheme="majorHAnsi"/>
                                <w:color w:val="0D0D0D" w:themeColor="text1" w:themeTint="F2"/>
                                <w:sz w:val="18"/>
                                <w:szCs w:val="22"/>
                                <w:lang w:val="es-ES"/>
                              </w:rPr>
                              <w:t xml:space="preserve"> de </w:t>
                            </w:r>
                            <w:r w:rsidR="00430341">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B16B79">
                              <w:rPr>
                                <w:rFonts w:asciiTheme="majorHAnsi" w:hAnsiTheme="majorHAnsi"/>
                                <w:color w:val="0D0D0D" w:themeColor="text1" w:themeTint="F2"/>
                                <w:sz w:val="18"/>
                                <w:szCs w:val="22"/>
                                <w:lang w:val="es-ES"/>
                              </w:rPr>
                              <w:t>20</w:t>
                            </w:r>
                            <w:r w:rsidR="008B2FD5">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3649FCA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430341">
                        <w:rPr>
                          <w:rFonts w:asciiTheme="majorHAnsi" w:hAnsiTheme="majorHAnsi"/>
                          <w:color w:val="0D0D0D" w:themeColor="text1" w:themeTint="F2"/>
                          <w:sz w:val="18"/>
                          <w:szCs w:val="22"/>
                          <w:lang w:val="es-ES"/>
                        </w:rPr>
                        <w:t>10</w:t>
                      </w:r>
                      <w:r w:rsidRPr="00890650">
                        <w:rPr>
                          <w:rFonts w:asciiTheme="majorHAnsi" w:hAnsiTheme="majorHAnsi"/>
                          <w:color w:val="0D0D0D" w:themeColor="text1" w:themeTint="F2"/>
                          <w:sz w:val="18"/>
                          <w:szCs w:val="22"/>
                          <w:lang w:val="es-ES"/>
                        </w:rPr>
                        <w:t xml:space="preserve"> de </w:t>
                      </w:r>
                      <w:r w:rsidR="00430341">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B16B79">
                        <w:rPr>
                          <w:rFonts w:asciiTheme="majorHAnsi" w:hAnsiTheme="majorHAnsi"/>
                          <w:color w:val="0D0D0D" w:themeColor="text1" w:themeTint="F2"/>
                          <w:sz w:val="18"/>
                          <w:szCs w:val="22"/>
                          <w:lang w:val="es-ES"/>
                        </w:rPr>
                        <w:t>20</w:t>
                      </w:r>
                      <w:r w:rsidR="008B2FD5">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AB561B"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AB561B"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AB561B"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AB561B"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AB561B" w:rsidRDefault="0090270B" w:rsidP="00040C3A">
      <w:pPr>
        <w:tabs>
          <w:tab w:val="center" w:pos="5400"/>
        </w:tabs>
        <w:suppressAutoHyphens/>
        <w:jc w:val="center"/>
        <w:rPr>
          <w:rFonts w:asciiTheme="majorHAnsi" w:hAnsiTheme="majorHAnsi"/>
          <w:sz w:val="18"/>
          <w:szCs w:val="22"/>
          <w:lang w:val="es-ES"/>
        </w:rPr>
      </w:pPr>
      <w:r w:rsidRPr="00AB561B">
        <w:rPr>
          <w:rFonts w:asciiTheme="majorHAnsi" w:hAnsiTheme="majorHAnsi"/>
          <w:noProof/>
          <w:sz w:val="18"/>
          <w:szCs w:val="22"/>
          <w:lang w:val="en-US" w:eastAsia="en-US"/>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79C84E59"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A82C5D">
                              <w:rPr>
                                <w:rFonts w:asciiTheme="majorHAnsi" w:hAnsiTheme="majorHAnsi"/>
                                <w:color w:val="595959" w:themeColor="text1" w:themeTint="A6"/>
                                <w:sz w:val="18"/>
                                <w:szCs w:val="18"/>
                                <w:lang w:val="pt-BR"/>
                              </w:rPr>
                              <w:t xml:space="preserve">CIDH, Informe No. </w:t>
                            </w:r>
                            <w:r w:rsidR="00430341" w:rsidRPr="00430341">
                              <w:rPr>
                                <w:rFonts w:asciiTheme="majorHAnsi" w:hAnsiTheme="majorHAnsi"/>
                                <w:color w:val="595959" w:themeColor="text1" w:themeTint="A6"/>
                                <w:sz w:val="18"/>
                                <w:szCs w:val="18"/>
                                <w:lang w:val="pt-BR"/>
                              </w:rPr>
                              <w:t>402</w:t>
                            </w:r>
                            <w:r w:rsidR="007B05C4" w:rsidRPr="00430341">
                              <w:rPr>
                                <w:rFonts w:asciiTheme="majorHAnsi" w:hAnsiTheme="majorHAnsi"/>
                                <w:color w:val="595959" w:themeColor="text1" w:themeTint="A6"/>
                                <w:sz w:val="18"/>
                                <w:szCs w:val="18"/>
                                <w:lang w:val="pt-BR"/>
                              </w:rPr>
                              <w:t>/</w:t>
                            </w:r>
                            <w:r w:rsidR="00430341" w:rsidRPr="00430341">
                              <w:rPr>
                                <w:rFonts w:asciiTheme="majorHAnsi" w:hAnsiTheme="majorHAnsi"/>
                                <w:color w:val="595959" w:themeColor="text1" w:themeTint="A6"/>
                                <w:sz w:val="18"/>
                                <w:szCs w:val="18"/>
                                <w:lang w:val="pt-BR"/>
                              </w:rPr>
                              <w:t>20</w:t>
                            </w:r>
                            <w:r w:rsidR="00D03715" w:rsidRPr="00430341">
                              <w:rPr>
                                <w:rFonts w:asciiTheme="majorHAnsi" w:hAnsiTheme="majorHAnsi"/>
                                <w:color w:val="595959" w:themeColor="text1" w:themeTint="A6"/>
                                <w:sz w:val="18"/>
                                <w:szCs w:val="18"/>
                                <w:lang w:val="pt-BR"/>
                              </w:rPr>
                              <w:t>.</w:t>
                            </w:r>
                            <w:r w:rsidR="00214755" w:rsidRPr="00430341">
                              <w:rPr>
                                <w:color w:val="595959" w:themeColor="text1" w:themeTint="A6"/>
                                <w:lang w:val="pt-BR"/>
                              </w:rPr>
                              <w:t xml:space="preserve"> </w:t>
                            </w:r>
                            <w:r w:rsidR="00D03715" w:rsidRPr="00A82C5D">
                              <w:rPr>
                                <w:rFonts w:asciiTheme="majorHAnsi" w:hAnsiTheme="majorHAnsi"/>
                                <w:color w:val="595959" w:themeColor="text1" w:themeTint="A6"/>
                                <w:sz w:val="18"/>
                                <w:szCs w:val="18"/>
                                <w:lang w:val="es-ES_tradnl"/>
                              </w:rPr>
                              <w:t xml:space="preserve">Petición </w:t>
                            </w:r>
                            <w:r w:rsidR="00135943">
                              <w:rPr>
                                <w:rFonts w:asciiTheme="majorHAnsi" w:hAnsiTheme="majorHAnsi"/>
                                <w:color w:val="595959" w:themeColor="text1" w:themeTint="A6"/>
                                <w:sz w:val="18"/>
                                <w:szCs w:val="18"/>
                                <w:lang w:val="es-ES_tradnl"/>
                              </w:rPr>
                              <w:t>1</w:t>
                            </w:r>
                            <w:r w:rsidR="00F014FC">
                              <w:rPr>
                                <w:rFonts w:asciiTheme="majorHAnsi" w:hAnsiTheme="majorHAnsi"/>
                                <w:color w:val="595959" w:themeColor="text1" w:themeTint="A6"/>
                                <w:sz w:val="18"/>
                                <w:szCs w:val="18"/>
                                <w:lang w:val="es-ES_tradnl"/>
                              </w:rPr>
                              <w:t>549</w:t>
                            </w:r>
                            <w:r w:rsidR="00E84790" w:rsidRPr="00A82C5D">
                              <w:rPr>
                                <w:rFonts w:asciiTheme="majorHAnsi" w:hAnsiTheme="majorHAnsi"/>
                                <w:color w:val="595959" w:themeColor="text1" w:themeTint="A6"/>
                                <w:sz w:val="18"/>
                                <w:szCs w:val="18"/>
                                <w:lang w:val="es-ES_tradnl"/>
                              </w:rPr>
                              <w:t>-1</w:t>
                            </w:r>
                            <w:r w:rsidR="00F014FC">
                              <w:rPr>
                                <w:rFonts w:asciiTheme="majorHAnsi" w:hAnsiTheme="majorHAnsi"/>
                                <w:color w:val="595959" w:themeColor="text1" w:themeTint="A6"/>
                                <w:sz w:val="18"/>
                                <w:szCs w:val="18"/>
                                <w:lang w:val="es-ES_tradnl"/>
                              </w:rPr>
                              <w:t>1</w:t>
                            </w:r>
                            <w:r w:rsidR="00D03715" w:rsidRPr="00A82C5D">
                              <w:rPr>
                                <w:rFonts w:asciiTheme="majorHAnsi" w:hAnsiTheme="majorHAnsi"/>
                                <w:color w:val="595959" w:themeColor="text1" w:themeTint="A6"/>
                                <w:sz w:val="18"/>
                                <w:szCs w:val="18"/>
                                <w:lang w:val="es-ES_tradnl"/>
                              </w:rPr>
                              <w:t xml:space="preserve">. </w:t>
                            </w:r>
                            <w:r w:rsidRPr="00A82C5D">
                              <w:rPr>
                                <w:rFonts w:asciiTheme="majorHAnsi" w:hAnsiTheme="majorHAnsi"/>
                                <w:color w:val="595959" w:themeColor="text1" w:themeTint="A6"/>
                                <w:sz w:val="18"/>
                                <w:szCs w:val="18"/>
                                <w:lang w:val="es-ES_tradnl"/>
                              </w:rPr>
                              <w:t xml:space="preserve">Admisibilidad. </w:t>
                            </w:r>
                            <w:r w:rsidR="00F014FC">
                              <w:rPr>
                                <w:rFonts w:ascii="Cambria" w:hAnsi="Cambria"/>
                                <w:bCs/>
                                <w:color w:val="595959" w:themeColor="text1" w:themeTint="A6"/>
                                <w:sz w:val="18"/>
                                <w:szCs w:val="18"/>
                                <w:lang w:val="es-ES"/>
                              </w:rPr>
                              <w:t xml:space="preserve">José Domingo </w:t>
                            </w:r>
                            <w:proofErr w:type="spellStart"/>
                            <w:r w:rsidR="00F014FC">
                              <w:rPr>
                                <w:rFonts w:ascii="Cambria" w:hAnsi="Cambria"/>
                                <w:bCs/>
                                <w:color w:val="595959" w:themeColor="text1" w:themeTint="A6"/>
                                <w:sz w:val="18"/>
                                <w:szCs w:val="18"/>
                                <w:lang w:val="es-ES"/>
                              </w:rPr>
                              <w:t>Adasme</w:t>
                            </w:r>
                            <w:proofErr w:type="spellEnd"/>
                            <w:r w:rsidR="00F014FC">
                              <w:rPr>
                                <w:rFonts w:ascii="Cambria" w:hAnsi="Cambria"/>
                                <w:bCs/>
                                <w:color w:val="595959" w:themeColor="text1" w:themeTint="A6"/>
                                <w:sz w:val="18"/>
                                <w:szCs w:val="18"/>
                                <w:lang w:val="es-ES"/>
                              </w:rPr>
                              <w:t xml:space="preserve"> Núñez</w:t>
                            </w:r>
                            <w:r w:rsidR="002C7491">
                              <w:rPr>
                                <w:rFonts w:ascii="Cambria" w:hAnsi="Cambria"/>
                                <w:bCs/>
                                <w:color w:val="595959" w:themeColor="text1" w:themeTint="A6"/>
                                <w:sz w:val="18"/>
                                <w:szCs w:val="18"/>
                                <w:lang w:val="es-ES"/>
                              </w:rPr>
                              <w:t xml:space="preserve"> y familia</w:t>
                            </w:r>
                            <w:r w:rsidRPr="00A82C5D">
                              <w:rPr>
                                <w:rFonts w:asciiTheme="majorHAnsi" w:hAnsiTheme="majorHAnsi"/>
                                <w:color w:val="595959" w:themeColor="text1" w:themeTint="A6"/>
                                <w:sz w:val="18"/>
                                <w:szCs w:val="18"/>
                                <w:lang w:val="es-ES_tradnl"/>
                              </w:rPr>
                              <w:t xml:space="preserve">. </w:t>
                            </w:r>
                            <w:r w:rsidR="00C2229D" w:rsidRPr="00A82C5D">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430341">
                              <w:rPr>
                                <w:rFonts w:asciiTheme="majorHAnsi" w:hAnsiTheme="majorHAnsi"/>
                                <w:color w:val="595959" w:themeColor="text1" w:themeTint="A6"/>
                                <w:sz w:val="18"/>
                                <w:szCs w:val="18"/>
                                <w:lang w:val="es-ES"/>
                              </w:rPr>
                              <w:t>10 de diciembre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79C84E59"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A82C5D">
                        <w:rPr>
                          <w:rFonts w:asciiTheme="majorHAnsi" w:hAnsiTheme="majorHAnsi"/>
                          <w:color w:val="595959" w:themeColor="text1" w:themeTint="A6"/>
                          <w:sz w:val="18"/>
                          <w:szCs w:val="18"/>
                          <w:lang w:val="pt-BR"/>
                        </w:rPr>
                        <w:t xml:space="preserve">CIDH, Informe No. </w:t>
                      </w:r>
                      <w:r w:rsidR="00430341" w:rsidRPr="00430341">
                        <w:rPr>
                          <w:rFonts w:asciiTheme="majorHAnsi" w:hAnsiTheme="majorHAnsi"/>
                          <w:color w:val="595959" w:themeColor="text1" w:themeTint="A6"/>
                          <w:sz w:val="18"/>
                          <w:szCs w:val="18"/>
                          <w:lang w:val="pt-BR"/>
                        </w:rPr>
                        <w:t>402</w:t>
                      </w:r>
                      <w:r w:rsidR="007B05C4" w:rsidRPr="00430341">
                        <w:rPr>
                          <w:rFonts w:asciiTheme="majorHAnsi" w:hAnsiTheme="majorHAnsi"/>
                          <w:color w:val="595959" w:themeColor="text1" w:themeTint="A6"/>
                          <w:sz w:val="18"/>
                          <w:szCs w:val="18"/>
                          <w:lang w:val="pt-BR"/>
                        </w:rPr>
                        <w:t>/</w:t>
                      </w:r>
                      <w:r w:rsidR="00430341" w:rsidRPr="00430341">
                        <w:rPr>
                          <w:rFonts w:asciiTheme="majorHAnsi" w:hAnsiTheme="majorHAnsi"/>
                          <w:color w:val="595959" w:themeColor="text1" w:themeTint="A6"/>
                          <w:sz w:val="18"/>
                          <w:szCs w:val="18"/>
                          <w:lang w:val="pt-BR"/>
                        </w:rPr>
                        <w:t>20</w:t>
                      </w:r>
                      <w:r w:rsidR="00D03715" w:rsidRPr="00430341">
                        <w:rPr>
                          <w:rFonts w:asciiTheme="majorHAnsi" w:hAnsiTheme="majorHAnsi"/>
                          <w:color w:val="595959" w:themeColor="text1" w:themeTint="A6"/>
                          <w:sz w:val="18"/>
                          <w:szCs w:val="18"/>
                          <w:lang w:val="pt-BR"/>
                        </w:rPr>
                        <w:t>.</w:t>
                      </w:r>
                      <w:r w:rsidR="00214755" w:rsidRPr="00430341">
                        <w:rPr>
                          <w:color w:val="595959" w:themeColor="text1" w:themeTint="A6"/>
                          <w:lang w:val="pt-BR"/>
                        </w:rPr>
                        <w:t xml:space="preserve"> </w:t>
                      </w:r>
                      <w:r w:rsidR="00D03715" w:rsidRPr="00A82C5D">
                        <w:rPr>
                          <w:rFonts w:asciiTheme="majorHAnsi" w:hAnsiTheme="majorHAnsi"/>
                          <w:color w:val="595959" w:themeColor="text1" w:themeTint="A6"/>
                          <w:sz w:val="18"/>
                          <w:szCs w:val="18"/>
                          <w:lang w:val="es-ES_tradnl"/>
                        </w:rPr>
                        <w:t xml:space="preserve">Petición </w:t>
                      </w:r>
                      <w:r w:rsidR="00135943">
                        <w:rPr>
                          <w:rFonts w:asciiTheme="majorHAnsi" w:hAnsiTheme="majorHAnsi"/>
                          <w:color w:val="595959" w:themeColor="text1" w:themeTint="A6"/>
                          <w:sz w:val="18"/>
                          <w:szCs w:val="18"/>
                          <w:lang w:val="es-ES_tradnl"/>
                        </w:rPr>
                        <w:t>1</w:t>
                      </w:r>
                      <w:r w:rsidR="00F014FC">
                        <w:rPr>
                          <w:rFonts w:asciiTheme="majorHAnsi" w:hAnsiTheme="majorHAnsi"/>
                          <w:color w:val="595959" w:themeColor="text1" w:themeTint="A6"/>
                          <w:sz w:val="18"/>
                          <w:szCs w:val="18"/>
                          <w:lang w:val="es-ES_tradnl"/>
                        </w:rPr>
                        <w:t>549</w:t>
                      </w:r>
                      <w:r w:rsidR="00E84790" w:rsidRPr="00A82C5D">
                        <w:rPr>
                          <w:rFonts w:asciiTheme="majorHAnsi" w:hAnsiTheme="majorHAnsi"/>
                          <w:color w:val="595959" w:themeColor="text1" w:themeTint="A6"/>
                          <w:sz w:val="18"/>
                          <w:szCs w:val="18"/>
                          <w:lang w:val="es-ES_tradnl"/>
                        </w:rPr>
                        <w:t>-1</w:t>
                      </w:r>
                      <w:r w:rsidR="00F014FC">
                        <w:rPr>
                          <w:rFonts w:asciiTheme="majorHAnsi" w:hAnsiTheme="majorHAnsi"/>
                          <w:color w:val="595959" w:themeColor="text1" w:themeTint="A6"/>
                          <w:sz w:val="18"/>
                          <w:szCs w:val="18"/>
                          <w:lang w:val="es-ES_tradnl"/>
                        </w:rPr>
                        <w:t>1</w:t>
                      </w:r>
                      <w:r w:rsidR="00D03715" w:rsidRPr="00A82C5D">
                        <w:rPr>
                          <w:rFonts w:asciiTheme="majorHAnsi" w:hAnsiTheme="majorHAnsi"/>
                          <w:color w:val="595959" w:themeColor="text1" w:themeTint="A6"/>
                          <w:sz w:val="18"/>
                          <w:szCs w:val="18"/>
                          <w:lang w:val="es-ES_tradnl"/>
                        </w:rPr>
                        <w:t xml:space="preserve">. </w:t>
                      </w:r>
                      <w:r w:rsidRPr="00A82C5D">
                        <w:rPr>
                          <w:rFonts w:asciiTheme="majorHAnsi" w:hAnsiTheme="majorHAnsi"/>
                          <w:color w:val="595959" w:themeColor="text1" w:themeTint="A6"/>
                          <w:sz w:val="18"/>
                          <w:szCs w:val="18"/>
                          <w:lang w:val="es-ES_tradnl"/>
                        </w:rPr>
                        <w:t xml:space="preserve">Admisibilidad. </w:t>
                      </w:r>
                      <w:r w:rsidR="00F014FC">
                        <w:rPr>
                          <w:rFonts w:ascii="Cambria" w:hAnsi="Cambria"/>
                          <w:bCs/>
                          <w:color w:val="595959" w:themeColor="text1" w:themeTint="A6"/>
                          <w:sz w:val="18"/>
                          <w:szCs w:val="18"/>
                          <w:lang w:val="es-ES"/>
                        </w:rPr>
                        <w:t>José Domingo Adasme Núñez</w:t>
                      </w:r>
                      <w:r w:rsidR="002C7491">
                        <w:rPr>
                          <w:rFonts w:ascii="Cambria" w:hAnsi="Cambria"/>
                          <w:bCs/>
                          <w:color w:val="595959" w:themeColor="text1" w:themeTint="A6"/>
                          <w:sz w:val="18"/>
                          <w:szCs w:val="18"/>
                          <w:lang w:val="es-ES"/>
                        </w:rPr>
                        <w:t xml:space="preserve"> y familia</w:t>
                      </w:r>
                      <w:r w:rsidRPr="00A82C5D">
                        <w:rPr>
                          <w:rFonts w:asciiTheme="majorHAnsi" w:hAnsiTheme="majorHAnsi"/>
                          <w:color w:val="595959" w:themeColor="text1" w:themeTint="A6"/>
                          <w:sz w:val="18"/>
                          <w:szCs w:val="18"/>
                          <w:lang w:val="es-ES_tradnl"/>
                        </w:rPr>
                        <w:t xml:space="preserve">. </w:t>
                      </w:r>
                      <w:r w:rsidR="00C2229D" w:rsidRPr="00A82C5D">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430341">
                        <w:rPr>
                          <w:rFonts w:asciiTheme="majorHAnsi" w:hAnsiTheme="majorHAnsi"/>
                          <w:color w:val="595959" w:themeColor="text1" w:themeTint="A6"/>
                          <w:sz w:val="18"/>
                          <w:szCs w:val="18"/>
                          <w:lang w:val="es-ES"/>
                        </w:rPr>
                        <w:t>10 de diciembre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AB561B"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AB561B" w:rsidRDefault="00D306D1" w:rsidP="005516A1">
      <w:pPr>
        <w:tabs>
          <w:tab w:val="center" w:pos="5400"/>
        </w:tabs>
        <w:suppressAutoHyphens/>
        <w:jc w:val="center"/>
        <w:rPr>
          <w:rFonts w:asciiTheme="majorHAnsi" w:hAnsiTheme="majorHAnsi"/>
          <w:b/>
          <w:sz w:val="20"/>
          <w:lang w:val="es-ES"/>
        </w:rPr>
      </w:pPr>
      <w:r w:rsidRPr="00AB561B">
        <w:rPr>
          <w:rFonts w:asciiTheme="majorHAnsi" w:hAnsiTheme="majorHAnsi"/>
          <w:noProof/>
          <w:sz w:val="18"/>
          <w:szCs w:val="22"/>
          <w:lang w:val="en-US" w:eastAsia="en-US"/>
        </w:rPr>
        <mc:AlternateContent>
          <mc:Choice Requires="wps">
            <w:drawing>
              <wp:anchor distT="0" distB="0" distL="114300" distR="114300" simplePos="0" relativeHeight="251680768" behindDoc="0" locked="0" layoutInCell="1" allowOverlap="1" wp14:anchorId="50472543" wp14:editId="463D751F">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4B7F20B0" w:rsidR="00D72DC6" w:rsidRPr="00D72DC6" w:rsidRDefault="008B2FD5" w:rsidP="00F02AD1">
                            <w:pPr>
                              <w:rPr>
                                <w:color w:val="FFFFFF" w:themeColor="background1"/>
                                <w14:textFill>
                                  <w14:noFill/>
                                </w14:textFill>
                              </w:rPr>
                            </w:pPr>
                            <w:r>
                              <w:rPr>
                                <w:noProof/>
                                <w:color w:val="FFFFFF" w:themeColor="background1"/>
                                <w:lang w:val="en-US" w:eastAsia="en-US"/>
                              </w:rPr>
                              <w:drawing>
                                <wp:inline distT="0" distB="0" distL="0" distR="0" wp14:anchorId="6715D9C6" wp14:editId="64C6B63C">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4B7F20B0" w:rsidR="00D72DC6" w:rsidRPr="00D72DC6" w:rsidRDefault="008B2FD5" w:rsidP="00F02AD1">
                      <w:pPr>
                        <w:rPr>
                          <w:color w:val="FFFFFF" w:themeColor="background1"/>
                          <w14:textFill>
                            <w14:noFill/>
                          </w14:textFill>
                        </w:rPr>
                      </w:pPr>
                      <w:r>
                        <w:rPr>
                          <w:noProof/>
                          <w:color w:val="FFFFFF" w:themeColor="background1"/>
                          <w:lang w:val="en-US" w:eastAsia="en-US"/>
                        </w:rPr>
                        <w:drawing>
                          <wp:inline distT="0" distB="0" distL="0" distR="0" wp14:anchorId="6715D9C6" wp14:editId="64C6B63C">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AB561B">
        <w:rPr>
          <w:rFonts w:asciiTheme="majorHAnsi" w:hAnsiTheme="majorHAnsi"/>
          <w:noProof/>
          <w:sz w:val="22"/>
          <w:szCs w:val="22"/>
          <w:lang w:val="en-US" w:eastAsia="en-US"/>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AB561B" w:rsidRDefault="004A6A54" w:rsidP="005516A1">
      <w:pPr>
        <w:tabs>
          <w:tab w:val="center" w:pos="5400"/>
        </w:tabs>
        <w:suppressAutoHyphens/>
        <w:jc w:val="center"/>
        <w:rPr>
          <w:rFonts w:asciiTheme="majorHAnsi" w:hAnsiTheme="majorHAnsi"/>
          <w:b/>
          <w:sz w:val="20"/>
          <w:lang w:val="es-ES"/>
        </w:rPr>
        <w:sectPr w:rsidR="0070697F" w:rsidRPr="00AB561B"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AB561B">
        <w:rPr>
          <w:rFonts w:asciiTheme="majorHAnsi" w:hAnsiTheme="majorHAnsi"/>
          <w:b/>
          <w:sz w:val="20"/>
          <w:lang w:val="es-ES"/>
        </w:rPr>
        <w:tab/>
      </w:r>
    </w:p>
    <w:p w14:paraId="376DDC8B" w14:textId="77777777" w:rsidR="003239B8" w:rsidRPr="00AB561B" w:rsidRDefault="003239B8" w:rsidP="007C402A">
      <w:pPr>
        <w:spacing w:after="120"/>
        <w:ind w:firstLine="720"/>
        <w:jc w:val="both"/>
        <w:rPr>
          <w:rFonts w:asciiTheme="majorHAnsi" w:hAnsiTheme="majorHAnsi"/>
          <w:b/>
          <w:bCs/>
          <w:sz w:val="20"/>
          <w:szCs w:val="20"/>
          <w:lang w:val="es-ES"/>
        </w:rPr>
      </w:pPr>
      <w:r w:rsidRPr="00AB561B">
        <w:rPr>
          <w:rFonts w:asciiTheme="majorHAnsi" w:hAnsiTheme="majorHAnsi"/>
          <w:b/>
          <w:bCs/>
          <w:sz w:val="20"/>
          <w:szCs w:val="20"/>
          <w:lang w:val="es-ES"/>
        </w:rPr>
        <w:lastRenderedPageBreak/>
        <w:t>I.</w:t>
      </w:r>
      <w:r w:rsidRPr="00AB561B">
        <w:rPr>
          <w:rFonts w:asciiTheme="majorHAnsi" w:hAnsiTheme="majorHAnsi"/>
          <w:b/>
          <w:bCs/>
          <w:sz w:val="20"/>
          <w:szCs w:val="20"/>
          <w:lang w:val="es-ES"/>
        </w:rPr>
        <w:tab/>
        <w:t xml:space="preserve">DATOS DE LA PETICIÓN </w:t>
      </w:r>
    </w:p>
    <w:tbl>
      <w:tblPr>
        <w:tblStyle w:val="TableGrid"/>
        <w:tblW w:w="9360" w:type="dxa"/>
        <w:tblInd w:w="-5"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AB561B" w14:paraId="5A79D1F7" w14:textId="77777777" w:rsidTr="00A107CC">
        <w:tc>
          <w:tcPr>
            <w:tcW w:w="2790" w:type="dxa"/>
            <w:tcBorders>
              <w:top w:val="single" w:sz="4" w:space="0" w:color="auto"/>
              <w:bottom w:val="single" w:sz="6" w:space="0" w:color="auto"/>
            </w:tcBorders>
            <w:shd w:val="clear" w:color="auto" w:fill="386294"/>
            <w:vAlign w:val="center"/>
          </w:tcPr>
          <w:p w14:paraId="0CB2A43B" w14:textId="6FB89BFC" w:rsidR="003239B8" w:rsidRPr="00AB561B" w:rsidRDefault="00D77503" w:rsidP="008D2290">
            <w:pPr>
              <w:jc w:val="center"/>
              <w:rPr>
                <w:rFonts w:asciiTheme="majorHAnsi" w:hAnsiTheme="majorHAnsi"/>
                <w:bCs/>
                <w:color w:val="FFFFFF" w:themeColor="background1"/>
                <w:sz w:val="19"/>
                <w:szCs w:val="19"/>
                <w:lang w:val="es-ES"/>
              </w:rPr>
            </w:pPr>
            <w:r w:rsidRPr="00AB561B">
              <w:rPr>
                <w:rFonts w:asciiTheme="majorHAnsi" w:hAnsiTheme="majorHAnsi"/>
                <w:bCs/>
                <w:color w:val="FFFFFF" w:themeColor="background1"/>
                <w:sz w:val="19"/>
                <w:szCs w:val="19"/>
                <w:lang w:val="es-ES"/>
              </w:rPr>
              <w:t>Parte peticionaria</w:t>
            </w:r>
          </w:p>
        </w:tc>
        <w:tc>
          <w:tcPr>
            <w:tcW w:w="6570" w:type="dxa"/>
            <w:vAlign w:val="center"/>
          </w:tcPr>
          <w:p w14:paraId="3C5315D8" w14:textId="0EF91E73" w:rsidR="003239B8" w:rsidRPr="00AB561B" w:rsidRDefault="005328A7" w:rsidP="00D34B76">
            <w:pPr>
              <w:jc w:val="both"/>
              <w:rPr>
                <w:rFonts w:asciiTheme="majorHAnsi" w:hAnsiTheme="majorHAnsi"/>
                <w:bCs/>
                <w:sz w:val="19"/>
                <w:szCs w:val="19"/>
                <w:lang w:val="es-ES"/>
              </w:rPr>
            </w:pPr>
            <w:r w:rsidRPr="00AB561B">
              <w:rPr>
                <w:rFonts w:asciiTheme="majorHAnsi" w:hAnsiTheme="majorHAnsi"/>
                <w:bCs/>
                <w:sz w:val="19"/>
                <w:szCs w:val="19"/>
                <w:lang w:val="es-ES"/>
              </w:rPr>
              <w:t>N</w:t>
            </w:r>
            <w:r w:rsidR="00D34B76" w:rsidRPr="00AB561B">
              <w:rPr>
                <w:rFonts w:asciiTheme="majorHAnsi" w:hAnsiTheme="majorHAnsi"/>
                <w:bCs/>
                <w:sz w:val="19"/>
                <w:szCs w:val="19"/>
                <w:lang w:val="es-ES"/>
              </w:rPr>
              <w:t xml:space="preserve">elson </w:t>
            </w:r>
            <w:proofErr w:type="spellStart"/>
            <w:r w:rsidR="00D34B76" w:rsidRPr="00AB561B">
              <w:rPr>
                <w:rFonts w:asciiTheme="majorHAnsi" w:hAnsiTheme="majorHAnsi"/>
                <w:bCs/>
                <w:sz w:val="19"/>
                <w:szCs w:val="19"/>
                <w:lang w:val="es-ES"/>
              </w:rPr>
              <w:t>Caucoto</w:t>
            </w:r>
            <w:proofErr w:type="spellEnd"/>
            <w:r w:rsidR="00D34B76" w:rsidRPr="00AB561B">
              <w:rPr>
                <w:rFonts w:asciiTheme="majorHAnsi" w:hAnsiTheme="majorHAnsi"/>
                <w:bCs/>
                <w:sz w:val="19"/>
                <w:szCs w:val="19"/>
                <w:lang w:val="es-ES"/>
              </w:rPr>
              <w:t xml:space="preserve"> Pereira</w:t>
            </w:r>
            <w:r w:rsidR="00D34B76" w:rsidRPr="00AB561B">
              <w:rPr>
                <w:rStyle w:val="FootnoteReference"/>
                <w:rFonts w:asciiTheme="majorHAnsi" w:hAnsiTheme="majorHAnsi"/>
                <w:bCs/>
                <w:sz w:val="19"/>
                <w:szCs w:val="19"/>
                <w:lang w:val="es-ES"/>
              </w:rPr>
              <w:footnoteReference w:id="2"/>
            </w:r>
          </w:p>
        </w:tc>
      </w:tr>
      <w:tr w:rsidR="003239B8" w:rsidRPr="00AB561B" w14:paraId="593A7E45" w14:textId="77777777" w:rsidTr="00A107CC">
        <w:tc>
          <w:tcPr>
            <w:tcW w:w="2790" w:type="dxa"/>
            <w:tcBorders>
              <w:top w:val="single" w:sz="6" w:space="0" w:color="auto"/>
              <w:bottom w:val="single" w:sz="6" w:space="0" w:color="auto"/>
            </w:tcBorders>
            <w:shd w:val="clear" w:color="auto" w:fill="386294"/>
            <w:vAlign w:val="center"/>
          </w:tcPr>
          <w:p w14:paraId="0E78CA0C" w14:textId="07F33939" w:rsidR="003239B8" w:rsidRPr="00AB561B" w:rsidRDefault="00D459B0" w:rsidP="008D2290">
            <w:pPr>
              <w:jc w:val="center"/>
              <w:rPr>
                <w:rFonts w:asciiTheme="majorHAnsi" w:hAnsiTheme="majorHAnsi"/>
                <w:bCs/>
                <w:color w:val="FFFFFF" w:themeColor="background1"/>
                <w:sz w:val="19"/>
                <w:szCs w:val="19"/>
                <w:lang w:val="es-ES"/>
              </w:rPr>
            </w:pPr>
            <w:sdt>
              <w:sdtPr>
                <w:rPr>
                  <w:rFonts w:asciiTheme="majorHAnsi" w:hAnsiTheme="majorHAnsi"/>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AB561B">
                  <w:rPr>
                    <w:rFonts w:asciiTheme="majorHAnsi" w:hAnsiTheme="majorHAnsi"/>
                    <w:bCs/>
                    <w:color w:val="FFFFFF" w:themeColor="background1"/>
                    <w:sz w:val="19"/>
                    <w:szCs w:val="19"/>
                    <w:lang w:val="es-ES"/>
                  </w:rPr>
                  <w:t>Presunta víctima</w:t>
                </w:r>
              </w:sdtContent>
            </w:sdt>
          </w:p>
        </w:tc>
        <w:tc>
          <w:tcPr>
            <w:tcW w:w="6570" w:type="dxa"/>
            <w:vAlign w:val="center"/>
          </w:tcPr>
          <w:p w14:paraId="4AEBF59E" w14:textId="4ACC53CE" w:rsidR="003239B8" w:rsidRPr="00AB561B" w:rsidRDefault="00F014FC" w:rsidP="002E5993">
            <w:pPr>
              <w:jc w:val="both"/>
              <w:rPr>
                <w:rFonts w:asciiTheme="majorHAnsi" w:hAnsiTheme="majorHAnsi"/>
                <w:bCs/>
                <w:sz w:val="19"/>
                <w:szCs w:val="19"/>
                <w:lang w:val="es-419"/>
              </w:rPr>
            </w:pPr>
            <w:r w:rsidRPr="00AB561B">
              <w:rPr>
                <w:rFonts w:asciiTheme="majorHAnsi" w:hAnsiTheme="majorHAnsi"/>
                <w:bCs/>
                <w:sz w:val="19"/>
                <w:szCs w:val="19"/>
                <w:lang w:val="es-419"/>
              </w:rPr>
              <w:t xml:space="preserve">José Domingo </w:t>
            </w:r>
            <w:proofErr w:type="spellStart"/>
            <w:r w:rsidRPr="00AB561B">
              <w:rPr>
                <w:rFonts w:asciiTheme="majorHAnsi" w:hAnsiTheme="majorHAnsi"/>
                <w:bCs/>
                <w:sz w:val="19"/>
                <w:szCs w:val="19"/>
                <w:lang w:val="es-419"/>
              </w:rPr>
              <w:t>Adasme</w:t>
            </w:r>
            <w:proofErr w:type="spellEnd"/>
            <w:r w:rsidRPr="00AB561B">
              <w:rPr>
                <w:rFonts w:asciiTheme="majorHAnsi" w:hAnsiTheme="majorHAnsi"/>
                <w:bCs/>
                <w:sz w:val="19"/>
                <w:szCs w:val="19"/>
                <w:lang w:val="es-419"/>
              </w:rPr>
              <w:t xml:space="preserve"> Núñez</w:t>
            </w:r>
            <w:r w:rsidR="002C7491" w:rsidRPr="00AB561B">
              <w:rPr>
                <w:rFonts w:asciiTheme="majorHAnsi" w:hAnsiTheme="majorHAnsi"/>
                <w:bCs/>
                <w:sz w:val="19"/>
                <w:szCs w:val="19"/>
                <w:lang w:val="es-419"/>
              </w:rPr>
              <w:t xml:space="preserve"> y familia</w:t>
            </w:r>
            <w:r w:rsidR="00201E85" w:rsidRPr="00AB561B">
              <w:rPr>
                <w:rStyle w:val="FootnoteReference"/>
                <w:rFonts w:asciiTheme="majorHAnsi" w:hAnsiTheme="majorHAnsi"/>
                <w:bCs/>
                <w:sz w:val="19"/>
                <w:szCs w:val="19"/>
                <w:lang w:val="es-ES"/>
              </w:rPr>
              <w:footnoteReference w:id="3"/>
            </w:r>
          </w:p>
        </w:tc>
      </w:tr>
      <w:tr w:rsidR="003239B8" w:rsidRPr="00AB561B" w14:paraId="3E62E1D3" w14:textId="77777777" w:rsidTr="00A107CC">
        <w:tc>
          <w:tcPr>
            <w:tcW w:w="2790" w:type="dxa"/>
            <w:tcBorders>
              <w:top w:val="single" w:sz="6" w:space="0" w:color="auto"/>
              <w:bottom w:val="single" w:sz="6" w:space="0" w:color="auto"/>
            </w:tcBorders>
            <w:shd w:val="clear" w:color="auto" w:fill="386294"/>
            <w:vAlign w:val="center"/>
          </w:tcPr>
          <w:p w14:paraId="340B0F09" w14:textId="16C11299" w:rsidR="003239B8" w:rsidRPr="00AB561B" w:rsidRDefault="00D77503" w:rsidP="008D2290">
            <w:pPr>
              <w:jc w:val="center"/>
              <w:rPr>
                <w:rFonts w:asciiTheme="majorHAnsi" w:hAnsiTheme="majorHAnsi"/>
                <w:bCs/>
                <w:color w:val="FFFFFF" w:themeColor="background1"/>
                <w:sz w:val="19"/>
                <w:szCs w:val="19"/>
                <w:lang w:val="es-ES"/>
              </w:rPr>
            </w:pPr>
            <w:r w:rsidRPr="00AB561B">
              <w:rPr>
                <w:rFonts w:asciiTheme="majorHAnsi" w:hAnsiTheme="majorHAnsi"/>
                <w:bCs/>
                <w:color w:val="FFFFFF" w:themeColor="background1"/>
                <w:sz w:val="19"/>
                <w:szCs w:val="19"/>
                <w:lang w:val="es-ES"/>
              </w:rPr>
              <w:t>Estado denunciado</w:t>
            </w:r>
          </w:p>
        </w:tc>
        <w:tc>
          <w:tcPr>
            <w:tcW w:w="6570" w:type="dxa"/>
            <w:vAlign w:val="center"/>
          </w:tcPr>
          <w:p w14:paraId="274C8A50" w14:textId="5F79D196" w:rsidR="003239B8" w:rsidRPr="00AB561B" w:rsidRDefault="00D62438" w:rsidP="008D2290">
            <w:pPr>
              <w:jc w:val="both"/>
              <w:rPr>
                <w:rFonts w:asciiTheme="majorHAnsi" w:hAnsiTheme="majorHAnsi"/>
                <w:bCs/>
                <w:sz w:val="19"/>
                <w:szCs w:val="19"/>
                <w:lang w:val="es-ES"/>
              </w:rPr>
            </w:pPr>
            <w:r w:rsidRPr="00AB561B">
              <w:rPr>
                <w:rFonts w:asciiTheme="majorHAnsi" w:hAnsiTheme="majorHAnsi"/>
                <w:bCs/>
                <w:sz w:val="19"/>
                <w:szCs w:val="19"/>
                <w:lang w:val="es-ES"/>
              </w:rPr>
              <w:t>Chile</w:t>
            </w:r>
            <w:r w:rsidR="004A6A54" w:rsidRPr="00AB561B">
              <w:rPr>
                <w:rStyle w:val="FootnoteReference"/>
                <w:rFonts w:asciiTheme="majorHAnsi" w:hAnsiTheme="majorHAnsi"/>
                <w:bCs/>
                <w:sz w:val="19"/>
                <w:szCs w:val="19"/>
                <w:lang w:val="es-ES"/>
              </w:rPr>
              <w:footnoteReference w:id="4"/>
            </w:r>
          </w:p>
        </w:tc>
      </w:tr>
      <w:tr w:rsidR="00223A29" w:rsidRPr="00AB561B" w14:paraId="632511BC" w14:textId="77777777" w:rsidTr="00A107CC">
        <w:tc>
          <w:tcPr>
            <w:tcW w:w="2790" w:type="dxa"/>
            <w:tcBorders>
              <w:top w:val="single" w:sz="6" w:space="0" w:color="auto"/>
              <w:bottom w:val="single" w:sz="6" w:space="0" w:color="auto"/>
            </w:tcBorders>
            <w:shd w:val="clear" w:color="auto" w:fill="386294"/>
            <w:vAlign w:val="center"/>
          </w:tcPr>
          <w:p w14:paraId="727E2F6B" w14:textId="1D86EADA" w:rsidR="00223A29" w:rsidRPr="00AB561B" w:rsidRDefault="001B3A00" w:rsidP="00E4118C">
            <w:pPr>
              <w:jc w:val="center"/>
              <w:rPr>
                <w:rFonts w:asciiTheme="majorHAnsi" w:hAnsiTheme="majorHAnsi"/>
                <w:bCs/>
                <w:color w:val="FFFFFF" w:themeColor="background1"/>
                <w:sz w:val="19"/>
                <w:szCs w:val="19"/>
                <w:lang w:val="es-ES"/>
              </w:rPr>
            </w:pPr>
            <w:r w:rsidRPr="00AB561B">
              <w:rPr>
                <w:rFonts w:asciiTheme="majorHAnsi" w:hAnsiTheme="majorHAnsi"/>
                <w:bCs/>
                <w:color w:val="FFFFFF" w:themeColor="background1"/>
                <w:sz w:val="19"/>
                <w:szCs w:val="19"/>
                <w:lang w:val="es-ES"/>
              </w:rPr>
              <w:t xml:space="preserve">Derechos </w:t>
            </w:r>
            <w:r w:rsidR="00E4118C" w:rsidRPr="00AB561B">
              <w:rPr>
                <w:rFonts w:asciiTheme="majorHAnsi" w:hAnsiTheme="majorHAnsi"/>
                <w:bCs/>
                <w:color w:val="FFFFFF" w:themeColor="background1"/>
                <w:sz w:val="19"/>
                <w:szCs w:val="19"/>
                <w:lang w:val="es-ES"/>
              </w:rPr>
              <w:t>invocados</w:t>
            </w:r>
          </w:p>
        </w:tc>
        <w:tc>
          <w:tcPr>
            <w:tcW w:w="6570" w:type="dxa"/>
            <w:vAlign w:val="center"/>
          </w:tcPr>
          <w:p w14:paraId="6DEE1EEB" w14:textId="19D07AF4" w:rsidR="00223A29" w:rsidRPr="00AB561B" w:rsidRDefault="00BF514A" w:rsidP="00187408">
            <w:pPr>
              <w:jc w:val="both"/>
              <w:rPr>
                <w:rFonts w:asciiTheme="majorHAnsi" w:hAnsiTheme="majorHAnsi"/>
                <w:bCs/>
                <w:sz w:val="19"/>
                <w:szCs w:val="19"/>
                <w:lang w:val="es-ES"/>
              </w:rPr>
            </w:pPr>
            <w:r w:rsidRPr="00AB561B">
              <w:rPr>
                <w:rFonts w:asciiTheme="majorHAnsi" w:hAnsiTheme="majorHAnsi"/>
                <w:bCs/>
                <w:sz w:val="19"/>
                <w:szCs w:val="19"/>
                <w:lang w:val="es-ES"/>
              </w:rPr>
              <w:t>Artículos</w:t>
            </w:r>
            <w:r w:rsidR="00731229" w:rsidRPr="00AB561B">
              <w:rPr>
                <w:rFonts w:asciiTheme="majorHAnsi" w:hAnsiTheme="majorHAnsi"/>
                <w:bCs/>
                <w:sz w:val="19"/>
                <w:szCs w:val="19"/>
                <w:lang w:val="es-ES"/>
              </w:rPr>
              <w:t xml:space="preserve"> 4 (vida), 5 (integridad personal), 7 (libertad personal),</w:t>
            </w:r>
            <w:r w:rsidRPr="00AB561B">
              <w:rPr>
                <w:rFonts w:asciiTheme="majorHAnsi" w:hAnsiTheme="majorHAnsi"/>
                <w:bCs/>
                <w:sz w:val="19"/>
                <w:szCs w:val="19"/>
                <w:lang w:val="es-ES"/>
              </w:rPr>
              <w:t xml:space="preserve"> </w:t>
            </w:r>
            <w:r w:rsidR="00D461AB" w:rsidRPr="00AB561B">
              <w:rPr>
                <w:rFonts w:asciiTheme="majorHAnsi" w:hAnsiTheme="majorHAnsi"/>
                <w:bCs/>
                <w:sz w:val="19"/>
                <w:szCs w:val="19"/>
                <w:lang w:val="es-ES"/>
              </w:rPr>
              <w:t>8 (garantías judiciales)</w:t>
            </w:r>
            <w:r w:rsidR="007D4106" w:rsidRPr="00AB561B">
              <w:rPr>
                <w:rFonts w:asciiTheme="majorHAnsi" w:hAnsiTheme="majorHAnsi"/>
                <w:bCs/>
                <w:sz w:val="19"/>
                <w:szCs w:val="19"/>
                <w:lang w:val="es-ES"/>
              </w:rPr>
              <w:t xml:space="preserve"> y</w:t>
            </w:r>
            <w:r w:rsidR="00235741" w:rsidRPr="00AB561B">
              <w:rPr>
                <w:rFonts w:asciiTheme="majorHAnsi" w:hAnsiTheme="majorHAnsi"/>
                <w:lang w:val="es-CO"/>
              </w:rPr>
              <w:t xml:space="preserve"> </w:t>
            </w:r>
            <w:r w:rsidR="00235741" w:rsidRPr="00AB561B">
              <w:rPr>
                <w:rFonts w:asciiTheme="majorHAnsi" w:hAnsiTheme="majorHAnsi"/>
                <w:bCs/>
                <w:sz w:val="19"/>
                <w:szCs w:val="19"/>
                <w:lang w:val="es-ES"/>
              </w:rPr>
              <w:t xml:space="preserve">25 (protección judicial) </w:t>
            </w:r>
            <w:r w:rsidRPr="00AB561B">
              <w:rPr>
                <w:rFonts w:asciiTheme="majorHAnsi" w:hAnsiTheme="majorHAnsi"/>
                <w:bCs/>
                <w:sz w:val="19"/>
                <w:szCs w:val="19"/>
                <w:lang w:val="es-ES"/>
              </w:rPr>
              <w:t>de la Convención Americana sobre Derechos Humanos</w:t>
            </w:r>
            <w:r w:rsidRPr="00AB561B">
              <w:rPr>
                <w:rStyle w:val="FootnoteReference"/>
                <w:rFonts w:asciiTheme="majorHAnsi" w:hAnsiTheme="majorHAnsi"/>
                <w:bCs/>
                <w:sz w:val="19"/>
                <w:szCs w:val="19"/>
                <w:lang w:val="es-ES"/>
              </w:rPr>
              <w:footnoteReference w:id="5"/>
            </w:r>
            <w:r w:rsidR="000535D1" w:rsidRPr="00AB561B">
              <w:rPr>
                <w:rFonts w:asciiTheme="majorHAnsi" w:hAnsiTheme="majorHAnsi"/>
                <w:bCs/>
                <w:sz w:val="19"/>
                <w:szCs w:val="19"/>
                <w:lang w:val="es-ES"/>
              </w:rPr>
              <w:t xml:space="preserve">, en relación con </w:t>
            </w:r>
            <w:r w:rsidR="00DE32FE" w:rsidRPr="00AB561B">
              <w:rPr>
                <w:rFonts w:asciiTheme="majorHAnsi" w:hAnsiTheme="majorHAnsi"/>
                <w:bCs/>
                <w:sz w:val="19"/>
                <w:szCs w:val="19"/>
                <w:lang w:val="es-ES"/>
              </w:rPr>
              <w:t xml:space="preserve">sus artículos </w:t>
            </w:r>
            <w:r w:rsidR="00187408" w:rsidRPr="00AB561B">
              <w:rPr>
                <w:rFonts w:asciiTheme="majorHAnsi" w:hAnsiTheme="majorHAnsi"/>
                <w:bCs/>
                <w:sz w:val="19"/>
                <w:szCs w:val="19"/>
                <w:lang w:val="es-ES"/>
              </w:rPr>
              <w:t xml:space="preserve">1.1 (deber de respetar los derechos) </w:t>
            </w:r>
            <w:r w:rsidR="000535D1" w:rsidRPr="00AB561B">
              <w:rPr>
                <w:rFonts w:asciiTheme="majorHAnsi" w:hAnsiTheme="majorHAnsi"/>
                <w:bCs/>
                <w:sz w:val="19"/>
                <w:szCs w:val="19"/>
                <w:lang w:val="es-ES"/>
              </w:rPr>
              <w:t>y 2 (deber de adoptar decisiones de derecho interno)</w:t>
            </w:r>
          </w:p>
        </w:tc>
      </w:tr>
    </w:tbl>
    <w:p w14:paraId="20263696" w14:textId="77777777" w:rsidR="003239B8" w:rsidRPr="00AB561B" w:rsidRDefault="003239B8" w:rsidP="007C402A">
      <w:pPr>
        <w:spacing w:before="120" w:after="120"/>
        <w:ind w:firstLine="720"/>
        <w:jc w:val="both"/>
        <w:rPr>
          <w:rFonts w:asciiTheme="majorHAnsi" w:hAnsiTheme="majorHAnsi"/>
          <w:b/>
          <w:bCs/>
          <w:sz w:val="20"/>
          <w:szCs w:val="20"/>
          <w:lang w:val="es-ES"/>
        </w:rPr>
      </w:pPr>
      <w:r w:rsidRPr="00AB561B">
        <w:rPr>
          <w:rFonts w:asciiTheme="majorHAnsi" w:hAnsiTheme="majorHAnsi"/>
          <w:b/>
          <w:bCs/>
          <w:sz w:val="20"/>
          <w:szCs w:val="20"/>
          <w:lang w:val="es-ES"/>
        </w:rPr>
        <w:t>II.</w:t>
      </w:r>
      <w:r w:rsidRPr="00AB561B">
        <w:rPr>
          <w:rFonts w:asciiTheme="majorHAnsi" w:hAnsiTheme="majorHAnsi"/>
          <w:b/>
          <w:bCs/>
          <w:sz w:val="20"/>
          <w:szCs w:val="20"/>
          <w:lang w:val="es-ES"/>
        </w:rPr>
        <w:tab/>
        <w:t>TRÁMITE ANTE LA CIDH</w:t>
      </w:r>
      <w:r w:rsidR="008E3BFE" w:rsidRPr="00AB561B">
        <w:rPr>
          <w:rStyle w:val="FootnoteReference"/>
          <w:rFonts w:asciiTheme="majorHAnsi" w:hAnsiTheme="majorHAnsi"/>
          <w:b/>
          <w:sz w:val="20"/>
          <w:szCs w:val="20"/>
          <w:lang w:val="es-ES"/>
        </w:rPr>
        <w:footnoteReference w:id="6"/>
      </w:r>
    </w:p>
    <w:tbl>
      <w:tblPr>
        <w:tblStyle w:val="TableGrid"/>
        <w:tblW w:w="9360" w:type="dxa"/>
        <w:tblInd w:w="-5"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AB561B" w14:paraId="306EFCB0" w14:textId="77777777" w:rsidTr="00A107CC">
        <w:tc>
          <w:tcPr>
            <w:tcW w:w="2790" w:type="dxa"/>
            <w:tcBorders>
              <w:top w:val="single" w:sz="6" w:space="0" w:color="auto"/>
              <w:bottom w:val="single" w:sz="6" w:space="0" w:color="auto"/>
            </w:tcBorders>
            <w:shd w:val="clear" w:color="auto" w:fill="386294"/>
            <w:vAlign w:val="center"/>
          </w:tcPr>
          <w:p w14:paraId="7508D16F" w14:textId="2A4C7FC3" w:rsidR="004C2312" w:rsidRPr="00AB561B" w:rsidRDefault="000C1C69" w:rsidP="004A6A54">
            <w:pPr>
              <w:jc w:val="center"/>
              <w:rPr>
                <w:rFonts w:asciiTheme="majorHAnsi" w:hAnsiTheme="majorHAnsi"/>
                <w:bCs/>
                <w:color w:val="FFFFFF" w:themeColor="background1"/>
                <w:sz w:val="19"/>
                <w:szCs w:val="19"/>
                <w:lang w:val="es-ES"/>
              </w:rPr>
            </w:pPr>
            <w:r w:rsidRPr="00AB561B">
              <w:rPr>
                <w:rFonts w:asciiTheme="majorHAnsi" w:hAnsiTheme="majorHAnsi"/>
                <w:bCs/>
                <w:color w:val="FFFFFF" w:themeColor="background1"/>
                <w:sz w:val="19"/>
                <w:szCs w:val="19"/>
                <w:lang w:val="es-ES"/>
              </w:rPr>
              <w:t>Recepción</w:t>
            </w:r>
            <w:r w:rsidR="00D77503" w:rsidRPr="00AB561B">
              <w:rPr>
                <w:rFonts w:asciiTheme="majorHAnsi" w:hAnsiTheme="majorHAnsi"/>
                <w:bCs/>
                <w:color w:val="FFFFFF" w:themeColor="background1"/>
                <w:sz w:val="19"/>
                <w:szCs w:val="19"/>
                <w:lang w:val="es-ES"/>
              </w:rPr>
              <w:t xml:space="preserve"> de la petición</w:t>
            </w:r>
          </w:p>
        </w:tc>
        <w:tc>
          <w:tcPr>
            <w:tcW w:w="6570" w:type="dxa"/>
            <w:vAlign w:val="center"/>
          </w:tcPr>
          <w:p w14:paraId="6E579153" w14:textId="5A93CB6B" w:rsidR="004C2312" w:rsidRPr="00AB561B" w:rsidRDefault="00F014FC" w:rsidP="002625EA">
            <w:pPr>
              <w:jc w:val="both"/>
              <w:rPr>
                <w:rFonts w:asciiTheme="majorHAnsi" w:hAnsiTheme="majorHAnsi"/>
                <w:bCs/>
                <w:sz w:val="19"/>
                <w:szCs w:val="19"/>
                <w:lang w:val="es-ES"/>
              </w:rPr>
            </w:pPr>
            <w:r w:rsidRPr="00AB561B">
              <w:rPr>
                <w:rFonts w:asciiTheme="majorHAnsi" w:hAnsiTheme="majorHAnsi"/>
                <w:bCs/>
                <w:sz w:val="19"/>
                <w:szCs w:val="19"/>
                <w:lang w:val="es-ES"/>
              </w:rPr>
              <w:t xml:space="preserve">3 de noviembre de 2011 </w:t>
            </w:r>
          </w:p>
        </w:tc>
      </w:tr>
      <w:tr w:rsidR="004C2312" w:rsidRPr="00AB561B" w14:paraId="1BDCD5C6" w14:textId="77777777" w:rsidTr="00A107CC">
        <w:tc>
          <w:tcPr>
            <w:tcW w:w="2790" w:type="dxa"/>
            <w:tcBorders>
              <w:top w:val="single" w:sz="6" w:space="0" w:color="auto"/>
              <w:bottom w:val="single" w:sz="6" w:space="0" w:color="auto"/>
            </w:tcBorders>
            <w:shd w:val="clear" w:color="auto" w:fill="386294"/>
            <w:vAlign w:val="center"/>
          </w:tcPr>
          <w:p w14:paraId="7A18664F" w14:textId="53CE1B14" w:rsidR="004C2312" w:rsidRPr="00AB561B" w:rsidRDefault="004A6A54" w:rsidP="000C1C69">
            <w:pPr>
              <w:jc w:val="center"/>
              <w:rPr>
                <w:rFonts w:asciiTheme="majorHAnsi" w:hAnsiTheme="majorHAnsi"/>
                <w:bCs/>
                <w:color w:val="FFFFFF" w:themeColor="background1"/>
                <w:sz w:val="19"/>
                <w:szCs w:val="19"/>
                <w:lang w:val="es-ES"/>
              </w:rPr>
            </w:pPr>
            <w:r w:rsidRPr="00AB561B">
              <w:rPr>
                <w:rFonts w:asciiTheme="majorHAnsi" w:hAnsiTheme="majorHAnsi"/>
                <w:color w:val="FFFFFF" w:themeColor="background1"/>
                <w:sz w:val="19"/>
                <w:szCs w:val="19"/>
                <w:lang w:val="es-ES"/>
              </w:rPr>
              <w:t>N</w:t>
            </w:r>
            <w:r w:rsidR="004C2312" w:rsidRPr="00AB561B">
              <w:rPr>
                <w:rFonts w:asciiTheme="majorHAnsi" w:hAnsiTheme="majorHAnsi"/>
                <w:color w:val="FFFFFF" w:themeColor="background1"/>
                <w:sz w:val="19"/>
                <w:szCs w:val="19"/>
                <w:lang w:val="es-ES"/>
              </w:rPr>
              <w:t>otificación de la petición</w:t>
            </w:r>
          </w:p>
        </w:tc>
        <w:tc>
          <w:tcPr>
            <w:tcW w:w="6570" w:type="dxa"/>
            <w:vAlign w:val="center"/>
          </w:tcPr>
          <w:p w14:paraId="1519DA6A" w14:textId="37439925" w:rsidR="004C2312" w:rsidRPr="00AB561B" w:rsidRDefault="00077D3F" w:rsidP="00E479A2">
            <w:pPr>
              <w:jc w:val="both"/>
              <w:rPr>
                <w:rFonts w:asciiTheme="majorHAnsi" w:hAnsiTheme="majorHAnsi"/>
                <w:bCs/>
                <w:sz w:val="19"/>
                <w:szCs w:val="19"/>
                <w:lang w:val="es-ES"/>
              </w:rPr>
            </w:pPr>
            <w:r w:rsidRPr="00AB561B">
              <w:rPr>
                <w:rFonts w:asciiTheme="majorHAnsi" w:hAnsiTheme="majorHAnsi"/>
                <w:bCs/>
                <w:sz w:val="19"/>
                <w:szCs w:val="19"/>
                <w:lang w:val="es-ES"/>
              </w:rPr>
              <w:t xml:space="preserve">16 de junio </w:t>
            </w:r>
            <w:r w:rsidR="00CB4CEF" w:rsidRPr="00AB561B">
              <w:rPr>
                <w:rFonts w:asciiTheme="majorHAnsi" w:hAnsiTheme="majorHAnsi"/>
                <w:bCs/>
                <w:sz w:val="19"/>
                <w:szCs w:val="19"/>
                <w:lang w:val="es-ES"/>
              </w:rPr>
              <w:t>de 2016</w:t>
            </w:r>
          </w:p>
        </w:tc>
      </w:tr>
      <w:tr w:rsidR="00F06354" w:rsidRPr="00AB561B" w14:paraId="6147A8D5" w14:textId="77777777" w:rsidTr="00A107CC">
        <w:tc>
          <w:tcPr>
            <w:tcW w:w="2790" w:type="dxa"/>
            <w:tcBorders>
              <w:top w:val="single" w:sz="6" w:space="0" w:color="auto"/>
              <w:bottom w:val="single" w:sz="6" w:space="0" w:color="auto"/>
            </w:tcBorders>
            <w:shd w:val="clear" w:color="auto" w:fill="386294"/>
            <w:vAlign w:val="center"/>
          </w:tcPr>
          <w:p w14:paraId="0201C86D" w14:textId="678B514E" w:rsidR="00F06354" w:rsidRPr="00AB561B" w:rsidRDefault="00D77503" w:rsidP="00F06354">
            <w:pPr>
              <w:jc w:val="center"/>
              <w:rPr>
                <w:rFonts w:asciiTheme="majorHAnsi" w:hAnsiTheme="majorHAnsi"/>
                <w:bCs/>
                <w:color w:val="FFFFFF" w:themeColor="background1"/>
                <w:sz w:val="19"/>
                <w:szCs w:val="19"/>
                <w:lang w:val="es-ES"/>
              </w:rPr>
            </w:pPr>
            <w:r w:rsidRPr="00AB561B">
              <w:rPr>
                <w:rFonts w:asciiTheme="majorHAnsi" w:hAnsiTheme="majorHAnsi"/>
                <w:color w:val="FFFFFF" w:themeColor="background1"/>
                <w:sz w:val="19"/>
                <w:szCs w:val="19"/>
                <w:lang w:val="es-ES"/>
              </w:rPr>
              <w:t>Primera respuesta del Estado</w:t>
            </w:r>
          </w:p>
        </w:tc>
        <w:tc>
          <w:tcPr>
            <w:tcW w:w="6570" w:type="dxa"/>
            <w:vAlign w:val="center"/>
          </w:tcPr>
          <w:p w14:paraId="1972B99E" w14:textId="0373B3F4" w:rsidR="00F06354" w:rsidRPr="00AB561B" w:rsidRDefault="00CB4CEF" w:rsidP="00F06354">
            <w:pPr>
              <w:jc w:val="both"/>
              <w:rPr>
                <w:rFonts w:asciiTheme="majorHAnsi" w:hAnsiTheme="majorHAnsi"/>
                <w:bCs/>
                <w:sz w:val="19"/>
                <w:szCs w:val="19"/>
                <w:lang w:val="es-ES"/>
              </w:rPr>
            </w:pPr>
            <w:r w:rsidRPr="00AB561B">
              <w:rPr>
                <w:rFonts w:asciiTheme="majorHAnsi" w:hAnsiTheme="majorHAnsi"/>
                <w:bCs/>
                <w:sz w:val="19"/>
                <w:szCs w:val="19"/>
                <w:lang w:val="es-ES"/>
              </w:rPr>
              <w:t>2</w:t>
            </w:r>
            <w:r w:rsidR="00077D3F" w:rsidRPr="00AB561B">
              <w:rPr>
                <w:rFonts w:asciiTheme="majorHAnsi" w:hAnsiTheme="majorHAnsi"/>
                <w:bCs/>
                <w:sz w:val="19"/>
                <w:szCs w:val="19"/>
                <w:lang w:val="es-ES"/>
              </w:rPr>
              <w:t>8 de diciembre de</w:t>
            </w:r>
            <w:r w:rsidRPr="00AB561B">
              <w:rPr>
                <w:rFonts w:asciiTheme="majorHAnsi" w:hAnsiTheme="majorHAnsi"/>
                <w:bCs/>
                <w:sz w:val="19"/>
                <w:szCs w:val="19"/>
                <w:lang w:val="es-ES"/>
              </w:rPr>
              <w:t xml:space="preserve"> 2016</w:t>
            </w:r>
          </w:p>
        </w:tc>
      </w:tr>
      <w:tr w:rsidR="00F06354" w:rsidRPr="00AB561B" w14:paraId="322668B6" w14:textId="77777777" w:rsidTr="00A107CC">
        <w:tc>
          <w:tcPr>
            <w:tcW w:w="2790" w:type="dxa"/>
            <w:tcBorders>
              <w:top w:val="single" w:sz="6" w:space="0" w:color="auto"/>
              <w:bottom w:val="single" w:sz="6" w:space="0" w:color="auto"/>
            </w:tcBorders>
            <w:shd w:val="clear" w:color="auto" w:fill="386294"/>
            <w:vAlign w:val="center"/>
          </w:tcPr>
          <w:p w14:paraId="1524DA55" w14:textId="2EFC7BC3" w:rsidR="00F06354" w:rsidRPr="00AB561B" w:rsidRDefault="00F06354" w:rsidP="00F06354">
            <w:pPr>
              <w:jc w:val="center"/>
              <w:rPr>
                <w:rFonts w:asciiTheme="majorHAnsi" w:hAnsiTheme="majorHAnsi"/>
                <w:bCs/>
                <w:sz w:val="19"/>
                <w:szCs w:val="19"/>
                <w:lang w:val="es-ES"/>
              </w:rPr>
            </w:pPr>
            <w:r w:rsidRPr="00AB561B">
              <w:rPr>
                <w:rFonts w:asciiTheme="majorHAnsi" w:hAnsiTheme="majorHAnsi"/>
                <w:bCs/>
                <w:color w:val="FFFFFF" w:themeColor="background1"/>
                <w:sz w:val="19"/>
                <w:szCs w:val="19"/>
                <w:lang w:val="es-ES"/>
              </w:rPr>
              <w:t>Observaciones adicionales de</w:t>
            </w:r>
            <w:r w:rsidR="00D77503" w:rsidRPr="00AB561B">
              <w:rPr>
                <w:rFonts w:asciiTheme="majorHAnsi" w:hAnsiTheme="majorHAnsi"/>
                <w:bCs/>
                <w:color w:val="FFFFFF" w:themeColor="background1"/>
                <w:sz w:val="19"/>
                <w:szCs w:val="19"/>
                <w:lang w:val="es-ES"/>
              </w:rPr>
              <w:t xml:space="preserve"> la parte peticionaria</w:t>
            </w:r>
          </w:p>
        </w:tc>
        <w:tc>
          <w:tcPr>
            <w:tcW w:w="6570" w:type="dxa"/>
            <w:vAlign w:val="center"/>
          </w:tcPr>
          <w:p w14:paraId="41D8B862" w14:textId="3632C759" w:rsidR="00F06354" w:rsidRPr="00AB561B" w:rsidRDefault="00077D3F" w:rsidP="00077D3F">
            <w:pPr>
              <w:jc w:val="both"/>
              <w:rPr>
                <w:rFonts w:asciiTheme="majorHAnsi" w:hAnsiTheme="majorHAnsi"/>
                <w:bCs/>
                <w:sz w:val="19"/>
                <w:szCs w:val="19"/>
                <w:lang w:val="es-ES"/>
              </w:rPr>
            </w:pPr>
            <w:r w:rsidRPr="00AB561B">
              <w:rPr>
                <w:rFonts w:asciiTheme="majorHAnsi" w:hAnsiTheme="majorHAnsi"/>
                <w:bCs/>
                <w:sz w:val="19"/>
                <w:szCs w:val="19"/>
                <w:lang w:val="es-ES"/>
              </w:rPr>
              <w:t>8 de septiembre de 2017</w:t>
            </w:r>
          </w:p>
        </w:tc>
      </w:tr>
    </w:tbl>
    <w:p w14:paraId="21DAA666" w14:textId="5065046E" w:rsidR="003239B8" w:rsidRPr="00AB561B" w:rsidRDefault="003239B8" w:rsidP="007C402A">
      <w:pPr>
        <w:spacing w:before="120" w:after="120"/>
        <w:ind w:firstLine="720"/>
        <w:jc w:val="both"/>
        <w:rPr>
          <w:rFonts w:asciiTheme="majorHAnsi" w:hAnsiTheme="majorHAnsi"/>
          <w:b/>
          <w:bCs/>
          <w:sz w:val="20"/>
          <w:szCs w:val="20"/>
          <w:lang w:val="es-ES"/>
        </w:rPr>
      </w:pPr>
      <w:r w:rsidRPr="00AB561B">
        <w:rPr>
          <w:rFonts w:asciiTheme="majorHAnsi" w:hAnsiTheme="majorHAnsi"/>
          <w:b/>
          <w:bCs/>
          <w:sz w:val="20"/>
          <w:szCs w:val="20"/>
          <w:lang w:val="es-ES"/>
        </w:rPr>
        <w:t xml:space="preserve">III. </w:t>
      </w:r>
      <w:r w:rsidRPr="00AB561B">
        <w:rPr>
          <w:rFonts w:asciiTheme="majorHAnsi" w:hAnsiTheme="majorHAnsi"/>
          <w:b/>
          <w:bCs/>
          <w:sz w:val="20"/>
          <w:szCs w:val="20"/>
          <w:lang w:val="es-ES"/>
        </w:rPr>
        <w:tab/>
        <w:t>COMPETENCIA</w:t>
      </w:r>
      <w:r w:rsidR="00EE00E9" w:rsidRPr="00AB561B">
        <w:rPr>
          <w:rFonts w:asciiTheme="majorHAnsi" w:hAnsiTheme="majorHAnsi"/>
          <w:b/>
          <w:bCs/>
          <w:sz w:val="20"/>
          <w:szCs w:val="20"/>
          <w:lang w:val="es-ES"/>
        </w:rPr>
        <w:t xml:space="preserve"> </w:t>
      </w:r>
    </w:p>
    <w:tbl>
      <w:tblPr>
        <w:tblStyle w:val="TableGrid"/>
        <w:tblW w:w="9360" w:type="dxa"/>
        <w:tblInd w:w="-5" w:type="dxa"/>
        <w:tblBorders>
          <w:insideH w:val="single" w:sz="6" w:space="0" w:color="auto"/>
          <w:insideV w:val="single" w:sz="6" w:space="0" w:color="auto"/>
        </w:tblBorders>
        <w:tblLook w:val="04A0" w:firstRow="1" w:lastRow="0" w:firstColumn="1" w:lastColumn="0" w:noHBand="0" w:noVBand="1"/>
      </w:tblPr>
      <w:tblGrid>
        <w:gridCol w:w="2759"/>
        <w:gridCol w:w="6601"/>
      </w:tblGrid>
      <w:tr w:rsidR="00AA1FC9" w:rsidRPr="00AB561B" w14:paraId="072532AD" w14:textId="77777777" w:rsidTr="00A107CC">
        <w:trPr>
          <w:cantSplit/>
        </w:trPr>
        <w:tc>
          <w:tcPr>
            <w:tcW w:w="2759" w:type="dxa"/>
            <w:tcBorders>
              <w:top w:val="single" w:sz="4" w:space="0" w:color="auto"/>
              <w:bottom w:val="single" w:sz="6" w:space="0" w:color="auto"/>
            </w:tcBorders>
            <w:shd w:val="clear" w:color="auto" w:fill="386294"/>
            <w:vAlign w:val="center"/>
          </w:tcPr>
          <w:p w14:paraId="5C2E4B34" w14:textId="7281AAF8" w:rsidR="00AA1FC9" w:rsidRPr="00AB561B" w:rsidRDefault="00AA1FC9" w:rsidP="008D2290">
            <w:pPr>
              <w:jc w:val="center"/>
              <w:rPr>
                <w:rFonts w:asciiTheme="majorHAnsi" w:hAnsiTheme="majorHAnsi"/>
                <w:bCs/>
                <w:i/>
                <w:color w:val="FFFFFF" w:themeColor="background1"/>
                <w:sz w:val="19"/>
                <w:szCs w:val="19"/>
                <w:lang w:val="es-ES"/>
              </w:rPr>
            </w:pPr>
            <w:proofErr w:type="spellStart"/>
            <w:r w:rsidRPr="00AB561B">
              <w:rPr>
                <w:rFonts w:asciiTheme="majorHAnsi" w:hAnsiTheme="majorHAnsi"/>
                <w:bCs/>
                <w:i/>
                <w:color w:val="FFFFFF" w:themeColor="background1"/>
                <w:sz w:val="19"/>
                <w:szCs w:val="19"/>
                <w:lang w:val="es-ES"/>
              </w:rPr>
              <w:t>Ratione</w:t>
            </w:r>
            <w:proofErr w:type="spellEnd"/>
            <w:r w:rsidRPr="00AB561B">
              <w:rPr>
                <w:rFonts w:asciiTheme="majorHAnsi" w:hAnsiTheme="majorHAnsi"/>
                <w:bCs/>
                <w:i/>
                <w:color w:val="FFFFFF" w:themeColor="background1"/>
                <w:sz w:val="19"/>
                <w:szCs w:val="19"/>
                <w:lang w:val="es-ES"/>
              </w:rPr>
              <w:t xml:space="preserve"> </w:t>
            </w:r>
            <w:proofErr w:type="spellStart"/>
            <w:r w:rsidRPr="00AB561B">
              <w:rPr>
                <w:rFonts w:asciiTheme="majorHAnsi" w:hAnsiTheme="majorHAnsi"/>
                <w:bCs/>
                <w:i/>
                <w:color w:val="FFFFFF" w:themeColor="background1"/>
                <w:sz w:val="19"/>
                <w:szCs w:val="19"/>
                <w:lang w:val="es-ES"/>
              </w:rPr>
              <w:t>personae</w:t>
            </w:r>
            <w:proofErr w:type="spellEnd"/>
          </w:p>
        </w:tc>
        <w:tc>
          <w:tcPr>
            <w:tcW w:w="6601" w:type="dxa"/>
          </w:tcPr>
          <w:p w14:paraId="7707F3E9" w14:textId="491FCDE8" w:rsidR="00AA1FC9" w:rsidRPr="00AB561B" w:rsidRDefault="00AA1FC9" w:rsidP="008D2290">
            <w:pPr>
              <w:rPr>
                <w:rFonts w:asciiTheme="majorHAnsi" w:hAnsiTheme="majorHAnsi"/>
                <w:bCs/>
                <w:sz w:val="19"/>
                <w:szCs w:val="19"/>
                <w:lang w:val="es-ES"/>
              </w:rPr>
            </w:pPr>
            <w:r w:rsidRPr="00AB561B">
              <w:rPr>
                <w:rFonts w:asciiTheme="majorHAnsi" w:hAnsiTheme="majorHAnsi"/>
                <w:sz w:val="19"/>
                <w:szCs w:val="19"/>
                <w:lang w:val="es-ES"/>
              </w:rPr>
              <w:t>Sí</w:t>
            </w:r>
          </w:p>
        </w:tc>
      </w:tr>
      <w:tr w:rsidR="00AA1FC9" w:rsidRPr="00AB561B" w14:paraId="4B8802DA" w14:textId="77777777" w:rsidTr="00A107CC">
        <w:trPr>
          <w:cantSplit/>
        </w:trPr>
        <w:tc>
          <w:tcPr>
            <w:tcW w:w="2759" w:type="dxa"/>
            <w:tcBorders>
              <w:top w:val="single" w:sz="6" w:space="0" w:color="auto"/>
              <w:bottom w:val="single" w:sz="6" w:space="0" w:color="auto"/>
            </w:tcBorders>
            <w:shd w:val="clear" w:color="auto" w:fill="386294"/>
            <w:vAlign w:val="center"/>
          </w:tcPr>
          <w:p w14:paraId="3915C23B" w14:textId="629F623D" w:rsidR="00AA1FC9" w:rsidRPr="00AB561B" w:rsidRDefault="00AA1FC9" w:rsidP="00D77503">
            <w:pPr>
              <w:jc w:val="center"/>
              <w:rPr>
                <w:rFonts w:asciiTheme="majorHAnsi" w:hAnsiTheme="majorHAnsi"/>
                <w:bCs/>
                <w:color w:val="FFFFFF" w:themeColor="background1"/>
                <w:sz w:val="19"/>
                <w:szCs w:val="19"/>
                <w:lang w:val="es-ES"/>
              </w:rPr>
            </w:pPr>
            <w:proofErr w:type="spellStart"/>
            <w:r w:rsidRPr="00AB561B">
              <w:rPr>
                <w:rFonts w:asciiTheme="majorHAnsi" w:hAnsiTheme="majorHAnsi"/>
                <w:bCs/>
                <w:i/>
                <w:color w:val="FFFFFF" w:themeColor="background1"/>
                <w:sz w:val="19"/>
                <w:szCs w:val="19"/>
                <w:lang w:val="es-ES"/>
              </w:rPr>
              <w:t>Ratione</w:t>
            </w:r>
            <w:proofErr w:type="spellEnd"/>
            <w:r w:rsidRPr="00AB561B">
              <w:rPr>
                <w:rFonts w:asciiTheme="majorHAnsi" w:hAnsiTheme="majorHAnsi"/>
                <w:bCs/>
                <w:i/>
                <w:color w:val="FFFFFF" w:themeColor="background1"/>
                <w:sz w:val="19"/>
                <w:szCs w:val="19"/>
                <w:lang w:val="es-ES"/>
              </w:rPr>
              <w:t xml:space="preserve"> </w:t>
            </w:r>
            <w:proofErr w:type="spellStart"/>
            <w:r w:rsidRPr="00AB561B">
              <w:rPr>
                <w:rFonts w:asciiTheme="majorHAnsi" w:hAnsiTheme="majorHAnsi"/>
                <w:bCs/>
                <w:i/>
                <w:color w:val="FFFFFF" w:themeColor="background1"/>
                <w:sz w:val="19"/>
                <w:szCs w:val="19"/>
                <w:lang w:val="es-ES"/>
              </w:rPr>
              <w:t>loci</w:t>
            </w:r>
            <w:proofErr w:type="spellEnd"/>
          </w:p>
        </w:tc>
        <w:tc>
          <w:tcPr>
            <w:tcW w:w="6601" w:type="dxa"/>
          </w:tcPr>
          <w:p w14:paraId="12C931CB" w14:textId="642B1A91" w:rsidR="00AA1FC9" w:rsidRPr="00AB561B" w:rsidRDefault="00AA1FC9" w:rsidP="008D2290">
            <w:pPr>
              <w:rPr>
                <w:rFonts w:asciiTheme="majorHAnsi" w:hAnsiTheme="majorHAnsi"/>
                <w:bCs/>
                <w:sz w:val="19"/>
                <w:szCs w:val="19"/>
                <w:lang w:val="es-ES"/>
              </w:rPr>
            </w:pPr>
            <w:r w:rsidRPr="00AB561B">
              <w:rPr>
                <w:rFonts w:asciiTheme="majorHAnsi" w:hAnsiTheme="majorHAnsi"/>
                <w:sz w:val="19"/>
                <w:szCs w:val="19"/>
                <w:lang w:val="es-ES"/>
              </w:rPr>
              <w:t>Sí</w:t>
            </w:r>
          </w:p>
        </w:tc>
      </w:tr>
      <w:tr w:rsidR="00AA1FC9" w:rsidRPr="00AB561B" w14:paraId="4362FDF3" w14:textId="77777777" w:rsidTr="00A107CC">
        <w:trPr>
          <w:cantSplit/>
        </w:trPr>
        <w:tc>
          <w:tcPr>
            <w:tcW w:w="2759" w:type="dxa"/>
            <w:tcBorders>
              <w:top w:val="single" w:sz="6" w:space="0" w:color="auto"/>
              <w:bottom w:val="single" w:sz="6" w:space="0" w:color="auto"/>
            </w:tcBorders>
            <w:shd w:val="clear" w:color="auto" w:fill="386294"/>
            <w:vAlign w:val="center"/>
          </w:tcPr>
          <w:p w14:paraId="3BE23153" w14:textId="1788B5D3" w:rsidR="00AA1FC9" w:rsidRPr="00AB561B" w:rsidRDefault="00AA1FC9" w:rsidP="008D2290">
            <w:pPr>
              <w:jc w:val="center"/>
              <w:rPr>
                <w:rFonts w:asciiTheme="majorHAnsi" w:hAnsiTheme="majorHAnsi"/>
                <w:bCs/>
                <w:color w:val="FFFFFF" w:themeColor="background1"/>
                <w:sz w:val="19"/>
                <w:szCs w:val="19"/>
                <w:lang w:val="es-ES"/>
              </w:rPr>
            </w:pPr>
            <w:proofErr w:type="spellStart"/>
            <w:r w:rsidRPr="00AB561B">
              <w:rPr>
                <w:rFonts w:asciiTheme="majorHAnsi" w:hAnsiTheme="majorHAnsi"/>
                <w:bCs/>
                <w:i/>
                <w:color w:val="FFFFFF" w:themeColor="background1"/>
                <w:sz w:val="19"/>
                <w:szCs w:val="19"/>
                <w:lang w:val="es-ES"/>
              </w:rPr>
              <w:t>Ratione</w:t>
            </w:r>
            <w:proofErr w:type="spellEnd"/>
            <w:r w:rsidRPr="00AB561B">
              <w:rPr>
                <w:rFonts w:asciiTheme="majorHAnsi" w:hAnsiTheme="majorHAnsi"/>
                <w:bCs/>
                <w:i/>
                <w:color w:val="FFFFFF" w:themeColor="background1"/>
                <w:sz w:val="19"/>
                <w:szCs w:val="19"/>
                <w:lang w:val="es-ES"/>
              </w:rPr>
              <w:t xml:space="preserve"> </w:t>
            </w:r>
            <w:proofErr w:type="spellStart"/>
            <w:r w:rsidRPr="00AB561B">
              <w:rPr>
                <w:rFonts w:asciiTheme="majorHAnsi" w:hAnsiTheme="majorHAnsi"/>
                <w:bCs/>
                <w:i/>
                <w:color w:val="FFFFFF" w:themeColor="background1"/>
                <w:sz w:val="19"/>
                <w:szCs w:val="19"/>
                <w:lang w:val="es-ES"/>
              </w:rPr>
              <w:t>temporis</w:t>
            </w:r>
            <w:proofErr w:type="spellEnd"/>
          </w:p>
        </w:tc>
        <w:tc>
          <w:tcPr>
            <w:tcW w:w="6601" w:type="dxa"/>
          </w:tcPr>
          <w:p w14:paraId="6F8B059B" w14:textId="64A70BFC" w:rsidR="00AA1FC9" w:rsidRPr="00AB561B" w:rsidRDefault="00AA1FC9" w:rsidP="008D2290">
            <w:pPr>
              <w:rPr>
                <w:rFonts w:asciiTheme="majorHAnsi" w:hAnsiTheme="majorHAnsi"/>
                <w:bCs/>
                <w:sz w:val="19"/>
                <w:szCs w:val="19"/>
                <w:lang w:val="es-ES"/>
              </w:rPr>
            </w:pPr>
            <w:r w:rsidRPr="00AB561B">
              <w:rPr>
                <w:rFonts w:asciiTheme="majorHAnsi" w:hAnsiTheme="majorHAnsi"/>
                <w:sz w:val="19"/>
                <w:szCs w:val="19"/>
                <w:lang w:val="es-ES"/>
              </w:rPr>
              <w:t>Sí</w:t>
            </w:r>
          </w:p>
        </w:tc>
      </w:tr>
      <w:tr w:rsidR="00AA1FC9" w:rsidRPr="00AB561B" w14:paraId="30ABEC3E" w14:textId="77777777" w:rsidTr="00A107CC">
        <w:trPr>
          <w:cantSplit/>
        </w:trPr>
        <w:tc>
          <w:tcPr>
            <w:tcW w:w="2759" w:type="dxa"/>
            <w:tcBorders>
              <w:top w:val="single" w:sz="6" w:space="0" w:color="auto"/>
              <w:bottom w:val="single" w:sz="6" w:space="0" w:color="auto"/>
            </w:tcBorders>
            <w:shd w:val="clear" w:color="auto" w:fill="386294"/>
            <w:vAlign w:val="center"/>
          </w:tcPr>
          <w:p w14:paraId="47B529D2" w14:textId="72B41633" w:rsidR="00AA1FC9" w:rsidRPr="00AB561B" w:rsidRDefault="00AA1FC9" w:rsidP="008D2290">
            <w:pPr>
              <w:jc w:val="center"/>
              <w:rPr>
                <w:rFonts w:asciiTheme="majorHAnsi" w:hAnsiTheme="majorHAnsi"/>
                <w:bCs/>
                <w:color w:val="FFFFFF" w:themeColor="background1"/>
                <w:sz w:val="19"/>
                <w:szCs w:val="19"/>
                <w:lang w:val="es-ES"/>
              </w:rPr>
            </w:pPr>
            <w:proofErr w:type="spellStart"/>
            <w:r w:rsidRPr="00AB561B">
              <w:rPr>
                <w:rFonts w:asciiTheme="majorHAnsi" w:hAnsiTheme="majorHAnsi"/>
                <w:bCs/>
                <w:i/>
                <w:color w:val="FFFFFF" w:themeColor="background1"/>
                <w:sz w:val="19"/>
                <w:szCs w:val="19"/>
                <w:lang w:val="es-ES"/>
              </w:rPr>
              <w:t>Ratione</w:t>
            </w:r>
            <w:proofErr w:type="spellEnd"/>
            <w:r w:rsidRPr="00AB561B">
              <w:rPr>
                <w:rFonts w:asciiTheme="majorHAnsi" w:hAnsiTheme="majorHAnsi"/>
                <w:bCs/>
                <w:i/>
                <w:color w:val="FFFFFF" w:themeColor="background1"/>
                <w:sz w:val="19"/>
                <w:szCs w:val="19"/>
                <w:lang w:val="es-ES"/>
              </w:rPr>
              <w:t xml:space="preserve"> </w:t>
            </w:r>
            <w:proofErr w:type="spellStart"/>
            <w:r w:rsidRPr="00AB561B">
              <w:rPr>
                <w:rFonts w:asciiTheme="majorHAnsi" w:hAnsiTheme="majorHAnsi"/>
                <w:bCs/>
                <w:i/>
                <w:color w:val="FFFFFF" w:themeColor="background1"/>
                <w:sz w:val="19"/>
                <w:szCs w:val="19"/>
                <w:lang w:val="es-ES"/>
              </w:rPr>
              <w:t>materiae</w:t>
            </w:r>
            <w:proofErr w:type="spellEnd"/>
          </w:p>
        </w:tc>
        <w:tc>
          <w:tcPr>
            <w:tcW w:w="6601" w:type="dxa"/>
          </w:tcPr>
          <w:p w14:paraId="0C122F44" w14:textId="2AB8B3FC" w:rsidR="00AA1FC9" w:rsidRPr="00AB561B" w:rsidRDefault="007B6EFC" w:rsidP="007B6EFC">
            <w:pPr>
              <w:jc w:val="both"/>
              <w:rPr>
                <w:rFonts w:asciiTheme="majorHAnsi" w:hAnsiTheme="majorHAnsi"/>
                <w:bCs/>
                <w:sz w:val="19"/>
                <w:szCs w:val="19"/>
                <w:lang w:val="es-ES"/>
              </w:rPr>
            </w:pPr>
            <w:r w:rsidRPr="00AB561B">
              <w:rPr>
                <w:rFonts w:asciiTheme="majorHAnsi" w:hAnsiTheme="majorHAnsi"/>
                <w:bCs/>
                <w:sz w:val="19"/>
                <w:szCs w:val="19"/>
                <w:lang w:val="es-ES"/>
              </w:rPr>
              <w:t>Sí, Declaración Americana de los Derechos y Deberes del Hombre</w:t>
            </w:r>
            <w:r w:rsidRPr="00AB561B">
              <w:rPr>
                <w:rStyle w:val="FootnoteReference"/>
                <w:rFonts w:asciiTheme="majorHAnsi" w:hAnsiTheme="majorHAnsi"/>
                <w:bCs/>
                <w:sz w:val="19"/>
                <w:szCs w:val="19"/>
                <w:lang w:val="es-ES"/>
              </w:rPr>
              <w:footnoteReference w:id="7"/>
            </w:r>
            <w:r w:rsidRPr="00AB561B">
              <w:rPr>
                <w:rFonts w:asciiTheme="majorHAnsi" w:hAnsiTheme="majorHAnsi"/>
                <w:bCs/>
                <w:sz w:val="19"/>
                <w:szCs w:val="19"/>
                <w:lang w:val="es-ES"/>
              </w:rPr>
              <w:t xml:space="preserve">  (ratificación de la Carta de la OEA el 5 de junio de 1953); Convención Americana (depósito de instrumento realizado el 21 de agosto de 1990); Convención Interamericana para Prevenir y Sancionar la Tortura</w:t>
            </w:r>
            <w:r w:rsidRPr="00AB561B">
              <w:rPr>
                <w:rStyle w:val="FootnoteReference"/>
                <w:rFonts w:asciiTheme="majorHAnsi" w:hAnsiTheme="majorHAnsi"/>
                <w:bCs/>
                <w:sz w:val="19"/>
                <w:szCs w:val="19"/>
                <w:lang w:val="es-ES"/>
              </w:rPr>
              <w:footnoteReference w:id="8"/>
            </w:r>
            <w:r w:rsidRPr="00AB561B">
              <w:rPr>
                <w:rFonts w:asciiTheme="majorHAnsi" w:hAnsiTheme="majorHAnsi"/>
                <w:bCs/>
                <w:sz w:val="19"/>
                <w:szCs w:val="19"/>
                <w:lang w:val="es-ES"/>
              </w:rPr>
              <w:t xml:space="preserve"> (depósito de instrumento realizado el 30 de septiembre de 1988); y Convención Interamericana sobre Desaparición Forzada de Personas (depósito de instrumento realizado el 26 de enero de 2010)</w:t>
            </w:r>
          </w:p>
        </w:tc>
      </w:tr>
    </w:tbl>
    <w:p w14:paraId="4E92C444" w14:textId="6AA541C0" w:rsidR="003239B8" w:rsidRPr="00AB561B" w:rsidRDefault="003239B8" w:rsidP="007C402A">
      <w:pPr>
        <w:spacing w:before="120" w:after="120"/>
        <w:ind w:firstLine="720"/>
        <w:jc w:val="both"/>
        <w:rPr>
          <w:rFonts w:asciiTheme="majorHAnsi" w:hAnsiTheme="majorHAnsi"/>
          <w:b/>
          <w:bCs/>
          <w:sz w:val="20"/>
          <w:szCs w:val="20"/>
          <w:lang w:val="es-ES"/>
        </w:rPr>
      </w:pPr>
      <w:r w:rsidRPr="00AB561B">
        <w:rPr>
          <w:rFonts w:asciiTheme="majorHAnsi" w:hAnsiTheme="majorHAnsi"/>
          <w:b/>
          <w:bCs/>
          <w:sz w:val="20"/>
          <w:szCs w:val="20"/>
          <w:lang w:val="es-ES"/>
        </w:rPr>
        <w:t xml:space="preserve">IV. </w:t>
      </w:r>
      <w:r w:rsidRPr="00AB561B">
        <w:rPr>
          <w:rFonts w:asciiTheme="majorHAnsi" w:hAnsiTheme="majorHAnsi"/>
          <w:b/>
          <w:bCs/>
          <w:sz w:val="20"/>
          <w:szCs w:val="20"/>
          <w:lang w:val="es-ES"/>
        </w:rPr>
        <w:tab/>
      </w:r>
      <w:r w:rsidR="00EE00E9" w:rsidRPr="00AB561B">
        <w:rPr>
          <w:rFonts w:asciiTheme="majorHAnsi" w:hAnsiTheme="majorHAnsi"/>
          <w:b/>
          <w:bCs/>
          <w:sz w:val="20"/>
          <w:szCs w:val="20"/>
          <w:lang w:val="es-ES"/>
        </w:rPr>
        <w:t>DUPLICACIÓN</w:t>
      </w:r>
      <w:r w:rsidR="00EE00E9" w:rsidRPr="00AB561B">
        <w:rPr>
          <w:rFonts w:asciiTheme="majorHAnsi" w:hAnsiTheme="majorHAnsi"/>
          <w:b/>
          <w:bCs/>
          <w:color w:val="FFFFFF" w:themeColor="background1"/>
          <w:sz w:val="20"/>
          <w:szCs w:val="20"/>
          <w:lang w:val="es-ES"/>
        </w:rPr>
        <w:t xml:space="preserve"> </w:t>
      </w:r>
      <w:r w:rsidR="00EE00E9" w:rsidRPr="00AB561B">
        <w:rPr>
          <w:rFonts w:asciiTheme="majorHAnsi" w:hAnsiTheme="majorHAnsi"/>
          <w:b/>
          <w:bCs/>
          <w:sz w:val="20"/>
          <w:szCs w:val="20"/>
          <w:lang w:val="es-ES"/>
        </w:rPr>
        <w:t>DE PROCEDIMIENTOS Y COSA JUZGADA</w:t>
      </w:r>
      <w:r w:rsidR="00EE00E9" w:rsidRPr="00AB561B">
        <w:rPr>
          <w:rFonts w:asciiTheme="majorHAnsi" w:hAnsiTheme="majorHAnsi"/>
          <w:b/>
          <w:bCs/>
          <w:i/>
          <w:sz w:val="20"/>
          <w:szCs w:val="20"/>
          <w:lang w:val="es-ES"/>
        </w:rPr>
        <w:t xml:space="preserve"> </w:t>
      </w:r>
      <w:r w:rsidR="00F4378E" w:rsidRPr="00AB561B">
        <w:rPr>
          <w:rFonts w:asciiTheme="majorHAnsi" w:hAnsiTheme="majorHAnsi"/>
          <w:b/>
          <w:bCs/>
          <w:sz w:val="20"/>
          <w:szCs w:val="20"/>
          <w:lang w:val="es-ES"/>
        </w:rPr>
        <w:t>INTERNACIONAL, CARACTERIZACIÓN</w:t>
      </w:r>
      <w:r w:rsidRPr="00AB561B">
        <w:rPr>
          <w:rFonts w:asciiTheme="majorHAnsi" w:hAnsiTheme="majorHAnsi"/>
          <w:b/>
          <w:bCs/>
          <w:sz w:val="20"/>
          <w:szCs w:val="20"/>
          <w:lang w:val="es-ES"/>
        </w:rPr>
        <w:t xml:space="preserve">, </w:t>
      </w:r>
      <w:r w:rsidRPr="00AB561B">
        <w:rPr>
          <w:rFonts w:asciiTheme="majorHAnsi" w:hAnsiTheme="majorHAnsi"/>
          <w:b/>
          <w:sz w:val="20"/>
          <w:szCs w:val="20"/>
          <w:lang w:val="es-ES"/>
        </w:rPr>
        <w:t>AGOTAMIENTO DE LOS RECURSOS INTERNOS Y PLAZO DE PRESENTACIÓN</w:t>
      </w:r>
    </w:p>
    <w:tbl>
      <w:tblPr>
        <w:tblStyle w:val="TableGrid"/>
        <w:tblW w:w="9360" w:type="dxa"/>
        <w:tblInd w:w="-5" w:type="dxa"/>
        <w:tblBorders>
          <w:insideH w:val="single" w:sz="6" w:space="0" w:color="auto"/>
          <w:insideV w:val="single" w:sz="6" w:space="0" w:color="auto"/>
        </w:tblBorders>
        <w:tblLook w:val="04A0" w:firstRow="1" w:lastRow="0" w:firstColumn="1" w:lastColumn="0" w:noHBand="0" w:noVBand="1"/>
      </w:tblPr>
      <w:tblGrid>
        <w:gridCol w:w="2763"/>
        <w:gridCol w:w="6597"/>
      </w:tblGrid>
      <w:tr w:rsidR="00EE00E9" w:rsidRPr="00AB561B" w14:paraId="1231C988" w14:textId="77777777" w:rsidTr="00A107CC">
        <w:trPr>
          <w:cantSplit/>
        </w:trPr>
        <w:tc>
          <w:tcPr>
            <w:tcW w:w="2763" w:type="dxa"/>
            <w:tcBorders>
              <w:top w:val="single" w:sz="4" w:space="0" w:color="auto"/>
              <w:bottom w:val="single" w:sz="6" w:space="0" w:color="auto"/>
            </w:tcBorders>
            <w:shd w:val="clear" w:color="auto" w:fill="386294"/>
            <w:vAlign w:val="center"/>
          </w:tcPr>
          <w:p w14:paraId="6F8031F4" w14:textId="03D8D2D1" w:rsidR="00EE00E9" w:rsidRPr="00AB561B" w:rsidRDefault="00EE00E9" w:rsidP="00954B82">
            <w:pPr>
              <w:jc w:val="center"/>
              <w:rPr>
                <w:rFonts w:asciiTheme="majorHAnsi" w:hAnsiTheme="majorHAnsi"/>
                <w:bCs/>
                <w:color w:val="FFFFFF" w:themeColor="background1"/>
                <w:sz w:val="19"/>
                <w:szCs w:val="19"/>
                <w:lang w:val="es-ES"/>
              </w:rPr>
            </w:pPr>
            <w:r w:rsidRPr="00AB561B">
              <w:rPr>
                <w:rFonts w:asciiTheme="majorHAnsi" w:hAnsiTheme="majorHAnsi"/>
                <w:bCs/>
                <w:color w:val="FFFFFF" w:themeColor="background1"/>
                <w:sz w:val="19"/>
                <w:szCs w:val="19"/>
                <w:lang w:val="es-ES"/>
              </w:rPr>
              <w:t xml:space="preserve">Duplicación </w:t>
            </w:r>
            <w:r w:rsidR="00D77503" w:rsidRPr="00AB561B">
              <w:rPr>
                <w:rFonts w:asciiTheme="majorHAnsi" w:hAnsiTheme="majorHAnsi"/>
                <w:bCs/>
                <w:color w:val="FFFFFF" w:themeColor="background1"/>
                <w:sz w:val="19"/>
                <w:szCs w:val="19"/>
                <w:lang w:val="es-ES"/>
              </w:rPr>
              <w:t>y cosa juzgada internacional</w:t>
            </w:r>
          </w:p>
        </w:tc>
        <w:tc>
          <w:tcPr>
            <w:tcW w:w="6597" w:type="dxa"/>
            <w:vAlign w:val="center"/>
          </w:tcPr>
          <w:p w14:paraId="240941E6" w14:textId="028B5D36" w:rsidR="00EE00E9" w:rsidRPr="00AB561B" w:rsidRDefault="00ED70FC" w:rsidP="00E747B6">
            <w:pPr>
              <w:jc w:val="both"/>
              <w:rPr>
                <w:rFonts w:asciiTheme="majorHAnsi" w:hAnsiTheme="majorHAnsi"/>
                <w:bCs/>
                <w:sz w:val="19"/>
                <w:szCs w:val="19"/>
                <w:lang w:val="es-ES"/>
              </w:rPr>
            </w:pPr>
            <w:r w:rsidRPr="00AB561B">
              <w:rPr>
                <w:rFonts w:asciiTheme="majorHAnsi" w:hAnsiTheme="majorHAnsi"/>
                <w:bCs/>
                <w:sz w:val="19"/>
                <w:szCs w:val="19"/>
                <w:lang w:val="es-ES"/>
              </w:rPr>
              <w:t>No</w:t>
            </w:r>
          </w:p>
        </w:tc>
      </w:tr>
      <w:tr w:rsidR="00214755" w:rsidRPr="00AB561B" w14:paraId="15FAA7D1" w14:textId="77777777" w:rsidTr="00A107CC">
        <w:trPr>
          <w:cantSplit/>
        </w:trPr>
        <w:tc>
          <w:tcPr>
            <w:tcW w:w="2763" w:type="dxa"/>
            <w:tcBorders>
              <w:top w:val="single" w:sz="4" w:space="0" w:color="auto"/>
              <w:bottom w:val="single" w:sz="6" w:space="0" w:color="auto"/>
            </w:tcBorders>
            <w:shd w:val="clear" w:color="auto" w:fill="386294"/>
            <w:vAlign w:val="center"/>
          </w:tcPr>
          <w:p w14:paraId="1B0D29FF" w14:textId="4FE01870" w:rsidR="00214755" w:rsidRPr="00AB561B" w:rsidRDefault="00214755" w:rsidP="00954B82">
            <w:pPr>
              <w:jc w:val="center"/>
              <w:rPr>
                <w:rFonts w:asciiTheme="majorHAnsi" w:hAnsiTheme="majorHAnsi"/>
                <w:bCs/>
                <w:i/>
                <w:color w:val="FFFFFF" w:themeColor="background1"/>
                <w:sz w:val="19"/>
                <w:szCs w:val="19"/>
                <w:lang w:val="es-ES"/>
              </w:rPr>
            </w:pPr>
            <w:r w:rsidRPr="00AB561B">
              <w:rPr>
                <w:rFonts w:asciiTheme="majorHAnsi" w:hAnsiTheme="majorHAnsi"/>
                <w:bCs/>
                <w:color w:val="FFFFFF" w:themeColor="background1"/>
                <w:sz w:val="19"/>
                <w:szCs w:val="19"/>
                <w:lang w:val="es-ES"/>
              </w:rPr>
              <w:t>Derechos admitidos</w:t>
            </w:r>
          </w:p>
        </w:tc>
        <w:tc>
          <w:tcPr>
            <w:tcW w:w="6597" w:type="dxa"/>
            <w:vAlign w:val="center"/>
          </w:tcPr>
          <w:p w14:paraId="6310C8F7" w14:textId="6DC6B538" w:rsidR="00214755" w:rsidRPr="00AB561B" w:rsidRDefault="002873D4" w:rsidP="000B4E5A">
            <w:pPr>
              <w:jc w:val="both"/>
              <w:rPr>
                <w:rFonts w:asciiTheme="majorHAnsi" w:hAnsiTheme="majorHAnsi"/>
                <w:bCs/>
                <w:sz w:val="19"/>
                <w:szCs w:val="19"/>
                <w:lang w:val="es-ES"/>
              </w:rPr>
            </w:pPr>
            <w:r w:rsidRPr="00AB561B">
              <w:rPr>
                <w:rFonts w:asciiTheme="majorHAnsi" w:hAnsiTheme="majorHAnsi"/>
                <w:bCs/>
                <w:sz w:val="19"/>
                <w:szCs w:val="19"/>
                <w:lang w:val="es-ES"/>
              </w:rPr>
              <w:t xml:space="preserve">Artículos 3 (personalidad jurídica), 4 (vida), 5 (integridad personal), 7 (libertad persona), 8 (garantías judiciales) y 25 (protección judicial) de la Convención Americana, en relación con los artículos 1 (obligación de respetar los derechos) y 2 (deber de adoptar </w:t>
            </w:r>
            <w:r w:rsidRPr="00AB561B">
              <w:rPr>
                <w:rFonts w:asciiTheme="majorHAnsi" w:hAnsiTheme="majorHAnsi"/>
                <w:bCs/>
                <w:sz w:val="19"/>
                <w:szCs w:val="19"/>
                <w:lang w:val="es-CO"/>
              </w:rPr>
              <w:t>disposiciones de derecho interno</w:t>
            </w:r>
            <w:r w:rsidRPr="00AB561B">
              <w:rPr>
                <w:rFonts w:asciiTheme="majorHAnsi" w:hAnsiTheme="majorHAnsi"/>
                <w:bCs/>
                <w:sz w:val="19"/>
                <w:szCs w:val="19"/>
                <w:lang w:val="es-ES"/>
              </w:rPr>
              <w:t>) del mismo cuerpo normativo; artículos I (vida, libertad, seguridad e integridad de la persona), XVII (reconocimiento de la personalidad jurídica y derechos civiles), XVIII (justicia) y XXV (protección contra la detención arbitraria) de la Declaración Americana; artículos 1, 6 y 8 de la Convención contra la Tortura; y artículo I de la Convención Interamericana sobre Desaparición Forzada de Personas</w:t>
            </w:r>
          </w:p>
        </w:tc>
      </w:tr>
      <w:tr w:rsidR="00214755" w:rsidRPr="00AB561B" w14:paraId="4EFD141E" w14:textId="77777777" w:rsidTr="00A107CC">
        <w:trPr>
          <w:cantSplit/>
        </w:trPr>
        <w:tc>
          <w:tcPr>
            <w:tcW w:w="2763" w:type="dxa"/>
            <w:tcBorders>
              <w:top w:val="single" w:sz="6" w:space="0" w:color="auto"/>
              <w:bottom w:val="single" w:sz="6" w:space="0" w:color="auto"/>
            </w:tcBorders>
            <w:shd w:val="clear" w:color="auto" w:fill="386294"/>
            <w:vAlign w:val="center"/>
          </w:tcPr>
          <w:p w14:paraId="4C04A89C" w14:textId="11DC3DBE" w:rsidR="00214755" w:rsidRPr="00AB561B" w:rsidRDefault="00214755" w:rsidP="00D77503">
            <w:pPr>
              <w:jc w:val="center"/>
              <w:rPr>
                <w:rFonts w:asciiTheme="majorHAnsi" w:hAnsiTheme="majorHAnsi"/>
                <w:bCs/>
                <w:color w:val="FFFFFF" w:themeColor="background1"/>
                <w:sz w:val="19"/>
                <w:szCs w:val="19"/>
                <w:lang w:val="es-ES"/>
              </w:rPr>
            </w:pPr>
            <w:r w:rsidRPr="00AB561B">
              <w:rPr>
                <w:rFonts w:asciiTheme="majorHAnsi" w:hAnsiTheme="majorHAnsi"/>
                <w:bCs/>
                <w:color w:val="FFFFFF" w:themeColor="background1"/>
                <w:sz w:val="19"/>
                <w:szCs w:val="19"/>
                <w:lang w:val="es-ES"/>
              </w:rPr>
              <w:t>Agotamiento de recursos o procedencia de una excepción</w:t>
            </w:r>
          </w:p>
        </w:tc>
        <w:tc>
          <w:tcPr>
            <w:tcW w:w="6597" w:type="dxa"/>
            <w:vAlign w:val="center"/>
          </w:tcPr>
          <w:p w14:paraId="69C53E8A" w14:textId="470FD3D3" w:rsidR="00214755" w:rsidRPr="00AB561B" w:rsidRDefault="002C4CA4" w:rsidP="002C4CA4">
            <w:pPr>
              <w:jc w:val="both"/>
              <w:rPr>
                <w:rFonts w:asciiTheme="majorHAnsi" w:hAnsiTheme="majorHAnsi"/>
                <w:sz w:val="19"/>
                <w:szCs w:val="19"/>
                <w:lang w:val="es-MX"/>
              </w:rPr>
            </w:pPr>
            <w:r w:rsidRPr="00AB561B">
              <w:rPr>
                <w:rFonts w:asciiTheme="majorHAnsi" w:hAnsiTheme="majorHAnsi"/>
                <w:sz w:val="19"/>
                <w:szCs w:val="19"/>
                <w:lang w:val="es-MX"/>
              </w:rPr>
              <w:t xml:space="preserve">Sí, en términos de la sección VI </w:t>
            </w:r>
          </w:p>
        </w:tc>
      </w:tr>
      <w:tr w:rsidR="00214755" w:rsidRPr="00AB561B" w14:paraId="52B5BA17" w14:textId="77777777" w:rsidTr="00A107CC">
        <w:trPr>
          <w:cantSplit/>
        </w:trPr>
        <w:tc>
          <w:tcPr>
            <w:tcW w:w="2763" w:type="dxa"/>
            <w:tcBorders>
              <w:top w:val="single" w:sz="6" w:space="0" w:color="auto"/>
              <w:bottom w:val="single" w:sz="6" w:space="0" w:color="auto"/>
            </w:tcBorders>
            <w:shd w:val="clear" w:color="auto" w:fill="386294"/>
            <w:vAlign w:val="center"/>
          </w:tcPr>
          <w:p w14:paraId="5DF99086" w14:textId="392A0ECF" w:rsidR="00214755" w:rsidRPr="00AB561B" w:rsidRDefault="00214755" w:rsidP="008D2290">
            <w:pPr>
              <w:jc w:val="center"/>
              <w:rPr>
                <w:rFonts w:asciiTheme="majorHAnsi" w:hAnsiTheme="majorHAnsi"/>
                <w:bCs/>
                <w:color w:val="FFFFFF" w:themeColor="background1"/>
                <w:sz w:val="19"/>
                <w:szCs w:val="19"/>
                <w:lang w:val="es-ES"/>
              </w:rPr>
            </w:pPr>
            <w:r w:rsidRPr="00AB561B">
              <w:rPr>
                <w:rFonts w:asciiTheme="majorHAnsi" w:hAnsiTheme="majorHAnsi"/>
                <w:bCs/>
                <w:color w:val="FFFFFF" w:themeColor="background1"/>
                <w:sz w:val="19"/>
                <w:szCs w:val="19"/>
                <w:lang w:val="es-ES"/>
              </w:rPr>
              <w:t>Presentación dentro de plazo</w:t>
            </w:r>
          </w:p>
        </w:tc>
        <w:tc>
          <w:tcPr>
            <w:tcW w:w="6597" w:type="dxa"/>
            <w:vAlign w:val="center"/>
          </w:tcPr>
          <w:p w14:paraId="4A2A4569" w14:textId="3D9EA01D" w:rsidR="00214755" w:rsidRPr="00AB561B" w:rsidRDefault="004F1EDB" w:rsidP="00135943">
            <w:pPr>
              <w:jc w:val="both"/>
              <w:rPr>
                <w:rFonts w:asciiTheme="majorHAnsi" w:hAnsiTheme="majorHAnsi"/>
                <w:bCs/>
                <w:sz w:val="19"/>
                <w:szCs w:val="19"/>
                <w:lang w:val="es-ES"/>
              </w:rPr>
            </w:pPr>
            <w:r w:rsidRPr="00AB561B">
              <w:rPr>
                <w:rFonts w:asciiTheme="majorHAnsi" w:hAnsiTheme="majorHAnsi"/>
                <w:sz w:val="19"/>
                <w:szCs w:val="19"/>
                <w:lang w:val="es-MX"/>
              </w:rPr>
              <w:t>Sí, en términos de la sección VI</w:t>
            </w:r>
          </w:p>
        </w:tc>
      </w:tr>
    </w:tbl>
    <w:p w14:paraId="24FF2ACB" w14:textId="77777777" w:rsidR="00430341" w:rsidRPr="00AB561B" w:rsidRDefault="00430341" w:rsidP="00647756">
      <w:pPr>
        <w:spacing w:before="120" w:after="120"/>
        <w:ind w:firstLine="720"/>
        <w:jc w:val="both"/>
        <w:rPr>
          <w:rFonts w:asciiTheme="majorHAnsi" w:hAnsiTheme="majorHAnsi"/>
          <w:b/>
          <w:sz w:val="20"/>
          <w:szCs w:val="20"/>
          <w:lang w:val="es-ES"/>
        </w:rPr>
      </w:pPr>
    </w:p>
    <w:p w14:paraId="18E6423B" w14:textId="1C37D550" w:rsidR="003239B8" w:rsidRPr="00AB561B" w:rsidRDefault="00223A29" w:rsidP="00647756">
      <w:pPr>
        <w:spacing w:before="120" w:after="120"/>
        <w:ind w:firstLine="720"/>
        <w:jc w:val="both"/>
        <w:rPr>
          <w:rFonts w:asciiTheme="majorHAnsi" w:hAnsiTheme="majorHAnsi"/>
          <w:b/>
          <w:sz w:val="20"/>
          <w:szCs w:val="20"/>
          <w:lang w:val="es-ES"/>
        </w:rPr>
      </w:pPr>
      <w:r w:rsidRPr="00AB561B">
        <w:rPr>
          <w:rFonts w:asciiTheme="majorHAnsi" w:hAnsiTheme="majorHAnsi"/>
          <w:b/>
          <w:sz w:val="20"/>
          <w:szCs w:val="20"/>
          <w:lang w:val="es-ES"/>
        </w:rPr>
        <w:lastRenderedPageBreak/>
        <w:t xml:space="preserve">V. </w:t>
      </w:r>
      <w:r w:rsidRPr="00AB561B">
        <w:rPr>
          <w:rFonts w:asciiTheme="majorHAnsi" w:hAnsiTheme="majorHAnsi"/>
          <w:b/>
          <w:sz w:val="20"/>
          <w:szCs w:val="20"/>
          <w:lang w:val="es-ES"/>
        </w:rPr>
        <w:tab/>
      </w:r>
      <w:r w:rsidR="0034224A" w:rsidRPr="00AB561B">
        <w:rPr>
          <w:rFonts w:asciiTheme="majorHAnsi" w:hAnsiTheme="majorHAnsi"/>
          <w:b/>
          <w:sz w:val="20"/>
          <w:szCs w:val="20"/>
          <w:lang w:val="es-ES"/>
        </w:rPr>
        <w:t>RESUMEN DE LOS HECHOS ALEGADOS</w:t>
      </w:r>
    </w:p>
    <w:p w14:paraId="468FC7DE" w14:textId="3D805E87" w:rsidR="007D4106" w:rsidRPr="00AB561B" w:rsidRDefault="0047127C" w:rsidP="00827B7F">
      <w:pPr>
        <w:pStyle w:val="ListParagraph"/>
        <w:numPr>
          <w:ilvl w:val="0"/>
          <w:numId w:val="55"/>
        </w:numPr>
        <w:spacing w:after="120"/>
        <w:jc w:val="both"/>
        <w:rPr>
          <w:rFonts w:asciiTheme="majorHAnsi" w:eastAsia="Arial Unicode MS" w:hAnsiTheme="majorHAnsi" w:cs="Times New Roman"/>
          <w:color w:val="auto"/>
          <w:sz w:val="20"/>
          <w:szCs w:val="20"/>
          <w:lang w:val="es-ES" w:eastAsia="en-US"/>
        </w:rPr>
      </w:pPr>
      <w:r w:rsidRPr="00AB561B">
        <w:rPr>
          <w:rFonts w:asciiTheme="majorHAnsi" w:hAnsiTheme="majorHAnsi"/>
          <w:sz w:val="20"/>
          <w:szCs w:val="20"/>
          <w:lang w:val="es-ES"/>
        </w:rPr>
        <w:t>La parte peticionaria denuncia</w:t>
      </w:r>
      <w:r w:rsidR="004F1EDB" w:rsidRPr="00AB561B">
        <w:rPr>
          <w:rFonts w:asciiTheme="majorHAnsi" w:hAnsiTheme="majorHAnsi"/>
          <w:sz w:val="20"/>
          <w:szCs w:val="20"/>
          <w:lang w:val="es-ES"/>
        </w:rPr>
        <w:t xml:space="preserve"> la detención extrajudicial</w:t>
      </w:r>
      <w:r w:rsidR="0071458C" w:rsidRPr="00AB561B">
        <w:rPr>
          <w:rFonts w:asciiTheme="majorHAnsi" w:hAnsiTheme="majorHAnsi"/>
          <w:sz w:val="20"/>
          <w:szCs w:val="20"/>
          <w:lang w:val="es-ES"/>
        </w:rPr>
        <w:t>, tortura</w:t>
      </w:r>
      <w:r w:rsidR="004F1EDB" w:rsidRPr="00AB561B">
        <w:rPr>
          <w:rFonts w:asciiTheme="majorHAnsi" w:hAnsiTheme="majorHAnsi"/>
          <w:sz w:val="20"/>
          <w:szCs w:val="20"/>
          <w:lang w:val="es-ES"/>
        </w:rPr>
        <w:t xml:space="preserve"> y posterior desaparición forzada de </w:t>
      </w:r>
      <w:r w:rsidR="00F014FC" w:rsidRPr="00AB561B">
        <w:rPr>
          <w:rFonts w:asciiTheme="majorHAnsi" w:hAnsiTheme="majorHAnsi"/>
          <w:sz w:val="20"/>
          <w:szCs w:val="20"/>
          <w:lang w:val="es-ES"/>
        </w:rPr>
        <w:t xml:space="preserve">José Domingo </w:t>
      </w:r>
      <w:proofErr w:type="spellStart"/>
      <w:r w:rsidR="00F014FC" w:rsidRPr="00AB561B">
        <w:rPr>
          <w:rFonts w:asciiTheme="majorHAnsi" w:hAnsiTheme="majorHAnsi"/>
          <w:sz w:val="20"/>
          <w:szCs w:val="20"/>
          <w:lang w:val="es-ES"/>
        </w:rPr>
        <w:t>Adasme</w:t>
      </w:r>
      <w:proofErr w:type="spellEnd"/>
      <w:r w:rsidR="00F014FC" w:rsidRPr="00AB561B">
        <w:rPr>
          <w:rFonts w:asciiTheme="majorHAnsi" w:hAnsiTheme="majorHAnsi"/>
          <w:sz w:val="20"/>
          <w:szCs w:val="20"/>
          <w:lang w:val="es-ES"/>
        </w:rPr>
        <w:t xml:space="preserve"> Núñez </w:t>
      </w:r>
      <w:r w:rsidR="004F1EDB" w:rsidRPr="00AB561B">
        <w:rPr>
          <w:rFonts w:asciiTheme="majorHAnsi" w:hAnsiTheme="majorHAnsi"/>
          <w:sz w:val="20"/>
          <w:szCs w:val="20"/>
          <w:lang w:val="es-ES"/>
        </w:rPr>
        <w:t>(o, en adelante, “presunta víctima”) en el contexto del golpe militar en Chile, como así también</w:t>
      </w:r>
      <w:r w:rsidRPr="00AB561B">
        <w:rPr>
          <w:rFonts w:asciiTheme="majorHAnsi" w:hAnsiTheme="majorHAnsi"/>
          <w:sz w:val="20"/>
          <w:szCs w:val="20"/>
          <w:lang w:val="es-ES"/>
        </w:rPr>
        <w:t xml:space="preserve"> la falta de reparación a </w:t>
      </w:r>
      <w:r w:rsidR="004F1EDB" w:rsidRPr="00AB561B">
        <w:rPr>
          <w:rFonts w:asciiTheme="majorHAnsi" w:hAnsiTheme="majorHAnsi"/>
          <w:sz w:val="20"/>
          <w:szCs w:val="20"/>
          <w:lang w:val="es-ES"/>
        </w:rPr>
        <w:t xml:space="preserve">sus </w:t>
      </w:r>
      <w:r w:rsidRPr="00AB561B">
        <w:rPr>
          <w:rFonts w:asciiTheme="majorHAnsi" w:hAnsiTheme="majorHAnsi"/>
          <w:sz w:val="20"/>
          <w:szCs w:val="20"/>
          <w:lang w:val="es-ES"/>
        </w:rPr>
        <w:t>fa</w:t>
      </w:r>
      <w:r w:rsidR="00A46C54" w:rsidRPr="00AB561B">
        <w:rPr>
          <w:rFonts w:asciiTheme="majorHAnsi" w:hAnsiTheme="majorHAnsi"/>
          <w:sz w:val="20"/>
          <w:szCs w:val="20"/>
          <w:lang w:val="es-ES"/>
        </w:rPr>
        <w:t>miliares por los daños causados, en</w:t>
      </w:r>
      <w:r w:rsidR="004F1EDB" w:rsidRPr="00AB561B">
        <w:rPr>
          <w:rFonts w:asciiTheme="majorHAnsi" w:hAnsiTheme="majorHAnsi"/>
          <w:sz w:val="20"/>
          <w:szCs w:val="20"/>
          <w:lang w:val="es-ES"/>
        </w:rPr>
        <w:t xml:space="preserve"> </w:t>
      </w:r>
      <w:r w:rsidR="00A46C54" w:rsidRPr="00AB561B">
        <w:rPr>
          <w:rFonts w:asciiTheme="majorHAnsi" w:hAnsiTheme="majorHAnsi"/>
          <w:sz w:val="20"/>
          <w:szCs w:val="20"/>
          <w:lang w:val="es-ES"/>
        </w:rPr>
        <w:t>violación de las garantías judiciales y de</w:t>
      </w:r>
      <w:r w:rsidRPr="00AB561B">
        <w:rPr>
          <w:rFonts w:asciiTheme="majorHAnsi" w:hAnsiTheme="majorHAnsi"/>
          <w:sz w:val="20"/>
          <w:szCs w:val="20"/>
          <w:lang w:val="es-ES"/>
        </w:rPr>
        <w:t>l derecho a la protección judicial.</w:t>
      </w:r>
      <w:r w:rsidR="007D4106" w:rsidRPr="00AB561B">
        <w:rPr>
          <w:rFonts w:asciiTheme="majorHAnsi" w:hAnsiTheme="majorHAnsi"/>
          <w:sz w:val="20"/>
          <w:szCs w:val="20"/>
          <w:lang w:val="es-ES"/>
        </w:rPr>
        <w:t xml:space="preserve"> </w:t>
      </w:r>
    </w:p>
    <w:p w14:paraId="0848B627" w14:textId="39CE93FF" w:rsidR="00416A7F" w:rsidRPr="00AB561B" w:rsidRDefault="002F7F5F" w:rsidP="00713658">
      <w:pPr>
        <w:numPr>
          <w:ilvl w:val="0"/>
          <w:numId w:val="55"/>
        </w:numPr>
        <w:suppressAutoHyphens/>
        <w:spacing w:after="120"/>
        <w:jc w:val="both"/>
        <w:rPr>
          <w:rFonts w:asciiTheme="majorHAnsi" w:eastAsia="Arial Unicode MS" w:hAnsiTheme="majorHAnsi"/>
          <w:sz w:val="20"/>
          <w:szCs w:val="20"/>
          <w:bdr w:val="nil"/>
          <w:lang w:val="es-ES" w:eastAsia="en-US"/>
        </w:rPr>
      </w:pPr>
      <w:r w:rsidRPr="00AB561B">
        <w:rPr>
          <w:rFonts w:asciiTheme="majorHAnsi" w:hAnsiTheme="majorHAnsi"/>
          <w:sz w:val="20"/>
          <w:szCs w:val="20"/>
          <w:lang w:val="es-ES"/>
        </w:rPr>
        <w:t xml:space="preserve">El peticionario </w:t>
      </w:r>
      <w:r w:rsidR="00EE0CAD" w:rsidRPr="00AB561B">
        <w:rPr>
          <w:rFonts w:asciiTheme="majorHAnsi" w:hAnsiTheme="majorHAnsi"/>
          <w:sz w:val="20"/>
          <w:szCs w:val="20"/>
          <w:lang w:val="es-ES"/>
        </w:rPr>
        <w:t>alega</w:t>
      </w:r>
      <w:r w:rsidRPr="00AB561B">
        <w:rPr>
          <w:rStyle w:val="FootnoteReference"/>
          <w:rFonts w:asciiTheme="majorHAnsi" w:hAnsiTheme="majorHAnsi"/>
          <w:sz w:val="20"/>
          <w:szCs w:val="20"/>
          <w:lang w:val="es-ES"/>
        </w:rPr>
        <w:footnoteReference w:id="9"/>
      </w:r>
      <w:r w:rsidR="00037B69" w:rsidRPr="00AB561B">
        <w:rPr>
          <w:rFonts w:asciiTheme="majorHAnsi" w:hAnsiTheme="majorHAnsi"/>
          <w:sz w:val="20"/>
          <w:szCs w:val="20"/>
          <w:lang w:val="es-ES"/>
        </w:rPr>
        <w:t xml:space="preserve"> que </w:t>
      </w:r>
      <w:r w:rsidR="00C600EA" w:rsidRPr="00AB561B">
        <w:rPr>
          <w:rFonts w:asciiTheme="majorHAnsi" w:hAnsiTheme="majorHAnsi"/>
          <w:sz w:val="20"/>
          <w:szCs w:val="20"/>
          <w:lang w:val="es-ES"/>
        </w:rPr>
        <w:t xml:space="preserve">el </w:t>
      </w:r>
      <w:r w:rsidR="004A4122" w:rsidRPr="00AB561B">
        <w:rPr>
          <w:rFonts w:asciiTheme="majorHAnsi" w:hAnsiTheme="majorHAnsi"/>
          <w:sz w:val="20"/>
          <w:szCs w:val="20"/>
          <w:lang w:val="es-ES"/>
        </w:rPr>
        <w:t>1</w:t>
      </w:r>
      <w:r w:rsidR="00C600EA" w:rsidRPr="00AB561B">
        <w:rPr>
          <w:rFonts w:asciiTheme="majorHAnsi" w:hAnsiTheme="majorHAnsi"/>
          <w:sz w:val="20"/>
          <w:szCs w:val="20"/>
          <w:lang w:val="es-ES"/>
        </w:rPr>
        <w:t xml:space="preserve">6 de octubre de 1973 </w:t>
      </w:r>
      <w:r w:rsidR="00050A02" w:rsidRPr="00AB561B">
        <w:rPr>
          <w:rFonts w:asciiTheme="majorHAnsi" w:hAnsiTheme="majorHAnsi"/>
          <w:sz w:val="20"/>
          <w:szCs w:val="20"/>
          <w:lang w:val="es-ES"/>
        </w:rPr>
        <w:t>la presunta víctima</w:t>
      </w:r>
      <w:r w:rsidR="004A4122" w:rsidRPr="00AB561B">
        <w:rPr>
          <w:rFonts w:asciiTheme="majorHAnsi" w:hAnsiTheme="majorHAnsi"/>
          <w:sz w:val="20"/>
          <w:szCs w:val="20"/>
          <w:lang w:val="es-ES"/>
        </w:rPr>
        <w:t xml:space="preserve"> fue detenida en su domicilio por militares de la Escuela de Infantería de San Bernardo. Su casa fue allanada sin la</w:t>
      </w:r>
      <w:r w:rsidR="00E019FC" w:rsidRPr="00AB561B">
        <w:rPr>
          <w:rFonts w:asciiTheme="majorHAnsi" w:hAnsiTheme="majorHAnsi"/>
          <w:sz w:val="20"/>
          <w:szCs w:val="20"/>
          <w:lang w:val="es-ES"/>
        </w:rPr>
        <w:t xml:space="preserve"> orden judicial </w:t>
      </w:r>
      <w:r w:rsidR="004A4122" w:rsidRPr="00AB561B">
        <w:rPr>
          <w:rFonts w:asciiTheme="majorHAnsi" w:hAnsiTheme="majorHAnsi"/>
          <w:sz w:val="20"/>
          <w:szCs w:val="20"/>
          <w:lang w:val="es-ES"/>
        </w:rPr>
        <w:t>correspondiente</w:t>
      </w:r>
      <w:r w:rsidR="00B87B57" w:rsidRPr="00AB561B">
        <w:rPr>
          <w:rFonts w:asciiTheme="majorHAnsi" w:hAnsiTheme="majorHAnsi"/>
          <w:sz w:val="20"/>
          <w:szCs w:val="20"/>
          <w:lang w:val="es-ES"/>
        </w:rPr>
        <w:t xml:space="preserve">. Los militares </w:t>
      </w:r>
      <w:r w:rsidR="00D5645E" w:rsidRPr="00AB561B">
        <w:rPr>
          <w:rFonts w:asciiTheme="majorHAnsi" w:hAnsiTheme="majorHAnsi"/>
          <w:sz w:val="20"/>
          <w:szCs w:val="20"/>
          <w:lang w:val="es-ES"/>
        </w:rPr>
        <w:t xml:space="preserve">se </w:t>
      </w:r>
      <w:r w:rsidR="00B87B57" w:rsidRPr="00AB561B">
        <w:rPr>
          <w:rFonts w:asciiTheme="majorHAnsi" w:hAnsiTheme="majorHAnsi"/>
          <w:sz w:val="20"/>
          <w:szCs w:val="20"/>
          <w:lang w:val="es-ES"/>
        </w:rPr>
        <w:t>llevaron a la presunta víctima</w:t>
      </w:r>
      <w:r w:rsidR="004A4122" w:rsidRPr="00AB561B">
        <w:rPr>
          <w:rFonts w:asciiTheme="majorHAnsi" w:hAnsiTheme="majorHAnsi"/>
          <w:sz w:val="20"/>
          <w:szCs w:val="20"/>
          <w:lang w:val="es-ES"/>
        </w:rPr>
        <w:t xml:space="preserve"> y le dijeron a su familia que volvería al día siguiente</w:t>
      </w:r>
      <w:r w:rsidR="00B87B57" w:rsidRPr="00AB561B">
        <w:rPr>
          <w:rFonts w:asciiTheme="majorHAnsi" w:hAnsiTheme="majorHAnsi"/>
          <w:sz w:val="20"/>
          <w:szCs w:val="20"/>
          <w:lang w:val="es-ES"/>
        </w:rPr>
        <w:t>, después de haber declarado en San Bernardo</w:t>
      </w:r>
      <w:r w:rsidR="004A4122" w:rsidRPr="00AB561B">
        <w:rPr>
          <w:rFonts w:asciiTheme="majorHAnsi" w:hAnsiTheme="majorHAnsi"/>
          <w:sz w:val="20"/>
          <w:szCs w:val="20"/>
          <w:lang w:val="es-ES"/>
        </w:rPr>
        <w:t>.</w:t>
      </w:r>
      <w:r w:rsidR="00F21642" w:rsidRPr="00AB561B">
        <w:rPr>
          <w:rFonts w:asciiTheme="majorHAnsi" w:hAnsiTheme="majorHAnsi"/>
          <w:sz w:val="20"/>
          <w:szCs w:val="20"/>
          <w:lang w:val="es-ES"/>
        </w:rPr>
        <w:t xml:space="preserve"> Al no regresar,</w:t>
      </w:r>
      <w:r w:rsidR="004A4122" w:rsidRPr="00AB561B">
        <w:rPr>
          <w:rFonts w:asciiTheme="majorHAnsi" w:hAnsiTheme="majorHAnsi"/>
          <w:sz w:val="20"/>
          <w:szCs w:val="20"/>
          <w:lang w:val="es-ES"/>
        </w:rPr>
        <w:t xml:space="preserve"> </w:t>
      </w:r>
      <w:r w:rsidR="00F21642" w:rsidRPr="00AB561B">
        <w:rPr>
          <w:rFonts w:asciiTheme="majorHAnsi" w:hAnsiTheme="majorHAnsi"/>
          <w:sz w:val="20"/>
          <w:szCs w:val="20"/>
          <w:lang w:val="es-ES"/>
        </w:rPr>
        <w:t>s</w:t>
      </w:r>
      <w:r w:rsidR="004A4122" w:rsidRPr="00AB561B">
        <w:rPr>
          <w:rFonts w:asciiTheme="majorHAnsi" w:hAnsiTheme="majorHAnsi"/>
          <w:sz w:val="20"/>
          <w:szCs w:val="20"/>
          <w:lang w:val="es-ES"/>
        </w:rPr>
        <w:t xml:space="preserve">us familiares lo buscaron en los distintos centros de detención de la zona y en todos se les negó su </w:t>
      </w:r>
      <w:r w:rsidR="00294CB6" w:rsidRPr="00AB561B">
        <w:rPr>
          <w:rFonts w:asciiTheme="majorHAnsi" w:hAnsiTheme="majorHAnsi"/>
          <w:sz w:val="20"/>
          <w:szCs w:val="20"/>
          <w:lang w:val="es-ES"/>
        </w:rPr>
        <w:t>existencia</w:t>
      </w:r>
      <w:r w:rsidR="004A4122" w:rsidRPr="00AB561B">
        <w:rPr>
          <w:rFonts w:asciiTheme="majorHAnsi" w:hAnsiTheme="majorHAnsi"/>
          <w:sz w:val="20"/>
          <w:szCs w:val="20"/>
          <w:lang w:val="es-ES"/>
        </w:rPr>
        <w:t>.</w:t>
      </w:r>
      <w:r w:rsidR="00D5645E" w:rsidRPr="00AB561B">
        <w:rPr>
          <w:rFonts w:asciiTheme="majorHAnsi" w:hAnsiTheme="majorHAnsi"/>
          <w:sz w:val="20"/>
          <w:szCs w:val="20"/>
          <w:lang w:val="es-ES"/>
        </w:rPr>
        <w:t>, desconociéndose d</w:t>
      </w:r>
      <w:r w:rsidR="00AD3896" w:rsidRPr="00AB561B">
        <w:rPr>
          <w:rFonts w:asciiTheme="majorHAnsi" w:hAnsiTheme="majorHAnsi"/>
          <w:sz w:val="20"/>
          <w:szCs w:val="20"/>
          <w:lang w:val="es-ES"/>
        </w:rPr>
        <w:t xml:space="preserve">esde ese día su paradero. </w:t>
      </w:r>
      <w:r w:rsidR="00713658" w:rsidRPr="00AB561B">
        <w:rPr>
          <w:rFonts w:asciiTheme="majorHAnsi" w:hAnsiTheme="majorHAnsi"/>
          <w:sz w:val="20"/>
          <w:szCs w:val="20"/>
          <w:lang w:val="es-ES"/>
        </w:rPr>
        <w:t xml:space="preserve">El </w:t>
      </w:r>
      <w:r w:rsidR="00791761" w:rsidRPr="00AB561B">
        <w:rPr>
          <w:rFonts w:asciiTheme="majorHAnsi" w:hAnsiTheme="majorHAnsi"/>
          <w:sz w:val="20"/>
          <w:szCs w:val="20"/>
          <w:lang w:val="es-ES"/>
        </w:rPr>
        <w:t>peticionario</w:t>
      </w:r>
      <w:r w:rsidR="00713658" w:rsidRPr="00AB561B">
        <w:rPr>
          <w:rFonts w:asciiTheme="majorHAnsi" w:hAnsiTheme="majorHAnsi"/>
          <w:sz w:val="20"/>
          <w:szCs w:val="20"/>
          <w:lang w:val="es-ES"/>
        </w:rPr>
        <w:t xml:space="preserve"> indica que m</w:t>
      </w:r>
      <w:r w:rsidR="004A4122" w:rsidRPr="00AB561B">
        <w:rPr>
          <w:rFonts w:asciiTheme="majorHAnsi" w:hAnsiTheme="majorHAnsi"/>
          <w:sz w:val="20"/>
          <w:szCs w:val="20"/>
          <w:lang w:val="es-ES"/>
        </w:rPr>
        <w:t>ediante antecedentes judiciales</w:t>
      </w:r>
      <w:r w:rsidR="00713658" w:rsidRPr="00AB561B">
        <w:rPr>
          <w:rFonts w:asciiTheme="majorHAnsi" w:hAnsiTheme="majorHAnsi"/>
          <w:sz w:val="20"/>
          <w:szCs w:val="20"/>
          <w:lang w:val="es-ES"/>
        </w:rPr>
        <w:t xml:space="preserve">, </w:t>
      </w:r>
      <w:r w:rsidR="00713658" w:rsidRPr="00AB561B">
        <w:rPr>
          <w:rFonts w:asciiTheme="majorHAnsi" w:eastAsia="Arial Unicode MS" w:hAnsiTheme="majorHAnsi"/>
          <w:sz w:val="20"/>
          <w:szCs w:val="20"/>
          <w:bdr w:val="nil"/>
          <w:lang w:val="es-ES" w:eastAsia="en-US"/>
        </w:rPr>
        <w:br/>
        <w:t>cuya naturaleza no se especifica</w:t>
      </w:r>
      <w:r w:rsidR="00713658" w:rsidRPr="00AB561B">
        <w:rPr>
          <w:rFonts w:asciiTheme="majorHAnsi" w:hAnsiTheme="majorHAnsi"/>
          <w:sz w:val="20"/>
          <w:szCs w:val="20"/>
          <w:lang w:val="es-ES"/>
        </w:rPr>
        <w:t>,</w:t>
      </w:r>
      <w:r w:rsidR="004A4122" w:rsidRPr="00AB561B">
        <w:rPr>
          <w:rFonts w:asciiTheme="majorHAnsi" w:hAnsiTheme="majorHAnsi"/>
          <w:sz w:val="20"/>
          <w:szCs w:val="20"/>
          <w:lang w:val="es-ES"/>
        </w:rPr>
        <w:t xml:space="preserve"> se ha establecido que fue llevado junto </w:t>
      </w:r>
      <w:r w:rsidR="00D5645E" w:rsidRPr="00AB561B">
        <w:rPr>
          <w:rFonts w:asciiTheme="majorHAnsi" w:hAnsiTheme="majorHAnsi"/>
          <w:sz w:val="20"/>
          <w:szCs w:val="20"/>
          <w:lang w:val="es-ES"/>
        </w:rPr>
        <w:t>con</w:t>
      </w:r>
      <w:r w:rsidR="004A4122" w:rsidRPr="00AB561B">
        <w:rPr>
          <w:rFonts w:asciiTheme="majorHAnsi" w:hAnsiTheme="majorHAnsi"/>
          <w:sz w:val="20"/>
          <w:szCs w:val="20"/>
          <w:lang w:val="es-ES"/>
        </w:rPr>
        <w:t xml:space="preserve"> otros detenidos a los cerros de </w:t>
      </w:r>
      <w:proofErr w:type="spellStart"/>
      <w:r w:rsidR="004A4122" w:rsidRPr="00AB561B">
        <w:rPr>
          <w:rFonts w:asciiTheme="majorHAnsi" w:hAnsiTheme="majorHAnsi"/>
          <w:sz w:val="20"/>
          <w:szCs w:val="20"/>
          <w:lang w:val="es-ES"/>
        </w:rPr>
        <w:t>Codegua</w:t>
      </w:r>
      <w:proofErr w:type="spellEnd"/>
      <w:r w:rsidR="004A4122" w:rsidRPr="00AB561B">
        <w:rPr>
          <w:rFonts w:asciiTheme="majorHAnsi" w:hAnsiTheme="majorHAnsi"/>
          <w:sz w:val="20"/>
          <w:szCs w:val="20"/>
          <w:lang w:val="es-ES"/>
        </w:rPr>
        <w:t>, cercanos a Melipilla</w:t>
      </w:r>
      <w:r w:rsidR="00CE65E8" w:rsidRPr="00AB561B">
        <w:rPr>
          <w:rFonts w:asciiTheme="majorHAnsi" w:hAnsiTheme="majorHAnsi"/>
          <w:sz w:val="20"/>
          <w:szCs w:val="20"/>
          <w:lang w:val="es-ES"/>
        </w:rPr>
        <w:t xml:space="preserve">, donde se procedió a su ejecución. </w:t>
      </w:r>
    </w:p>
    <w:p w14:paraId="4C939E4B" w14:textId="27CB82CC" w:rsidR="00E22EEE" w:rsidRPr="00AB561B" w:rsidRDefault="004A4122" w:rsidP="00FB403C">
      <w:pPr>
        <w:numPr>
          <w:ilvl w:val="0"/>
          <w:numId w:val="55"/>
        </w:numPr>
        <w:suppressAutoHyphens/>
        <w:spacing w:after="120"/>
        <w:jc w:val="both"/>
        <w:rPr>
          <w:rFonts w:asciiTheme="majorHAnsi" w:hAnsiTheme="majorHAnsi"/>
          <w:sz w:val="20"/>
          <w:szCs w:val="20"/>
          <w:lang w:val="es-ES"/>
        </w:rPr>
      </w:pPr>
      <w:r w:rsidRPr="00AB561B">
        <w:rPr>
          <w:rFonts w:asciiTheme="majorHAnsi" w:hAnsiTheme="majorHAnsi"/>
          <w:sz w:val="20"/>
          <w:szCs w:val="20"/>
          <w:lang w:val="es-ES"/>
        </w:rPr>
        <w:t xml:space="preserve">El 24 de marzo de 1974 se interpuso un recurso de amparo masivo por 131 personas, entre ellas la presunta víctima, </w:t>
      </w:r>
      <w:r w:rsidR="00254CA4" w:rsidRPr="00AB561B">
        <w:rPr>
          <w:rFonts w:asciiTheme="majorHAnsi" w:hAnsiTheme="majorHAnsi"/>
          <w:sz w:val="20"/>
          <w:szCs w:val="20"/>
          <w:lang w:val="es-ES"/>
        </w:rPr>
        <w:t>ante la Corte de Apelaciones de Santiago. D</w:t>
      </w:r>
      <w:r w:rsidRPr="00AB561B">
        <w:rPr>
          <w:rFonts w:asciiTheme="majorHAnsi" w:hAnsiTheme="majorHAnsi"/>
          <w:sz w:val="20"/>
          <w:szCs w:val="20"/>
          <w:lang w:val="es-ES"/>
        </w:rPr>
        <w:t xml:space="preserve">icho recurso fue rechazado el 28 de noviembre de 1974 y confirmado por la Corte </w:t>
      </w:r>
      <w:r w:rsidR="00927730" w:rsidRPr="00AB561B">
        <w:rPr>
          <w:rFonts w:asciiTheme="majorHAnsi" w:hAnsiTheme="majorHAnsi"/>
          <w:sz w:val="20"/>
          <w:szCs w:val="20"/>
          <w:lang w:val="es-ES"/>
        </w:rPr>
        <w:t xml:space="preserve">Suprema </w:t>
      </w:r>
      <w:r w:rsidRPr="00AB561B">
        <w:rPr>
          <w:rFonts w:asciiTheme="majorHAnsi" w:hAnsiTheme="majorHAnsi"/>
          <w:sz w:val="20"/>
          <w:szCs w:val="20"/>
          <w:lang w:val="es-ES"/>
        </w:rPr>
        <w:t>el 31 de enero de 1975</w:t>
      </w:r>
      <w:r w:rsidR="00BA68CB" w:rsidRPr="00AB561B">
        <w:rPr>
          <w:rFonts w:asciiTheme="majorHAnsi" w:hAnsiTheme="majorHAnsi"/>
          <w:sz w:val="20"/>
          <w:szCs w:val="20"/>
          <w:lang w:val="es-ES"/>
        </w:rPr>
        <w:t xml:space="preserve">, la cual </w:t>
      </w:r>
      <w:r w:rsidRPr="00AB561B">
        <w:rPr>
          <w:rFonts w:asciiTheme="majorHAnsi" w:hAnsiTheme="majorHAnsi"/>
          <w:sz w:val="20"/>
          <w:szCs w:val="20"/>
          <w:lang w:val="es-ES"/>
        </w:rPr>
        <w:t>nombró a un ministro en visita extraordinario para conocer de la causa y la radicó en el Primero Juzgado del Crimen de Santiago. E</w:t>
      </w:r>
      <w:r w:rsidR="00BC5902" w:rsidRPr="00AB561B">
        <w:rPr>
          <w:rFonts w:asciiTheme="majorHAnsi" w:hAnsiTheme="majorHAnsi"/>
          <w:sz w:val="20"/>
          <w:szCs w:val="20"/>
          <w:lang w:val="es-ES"/>
        </w:rPr>
        <w:t>l</w:t>
      </w:r>
      <w:r w:rsidRPr="00AB561B">
        <w:rPr>
          <w:rFonts w:asciiTheme="majorHAnsi" w:hAnsiTheme="majorHAnsi"/>
          <w:sz w:val="20"/>
          <w:szCs w:val="20"/>
          <w:lang w:val="es-ES"/>
        </w:rPr>
        <w:t xml:space="preserve"> 25 de septiembre de 1975 se cerró el sumario </w:t>
      </w:r>
      <w:r w:rsidR="00BC5902" w:rsidRPr="00AB561B">
        <w:rPr>
          <w:rFonts w:asciiTheme="majorHAnsi" w:hAnsiTheme="majorHAnsi"/>
          <w:sz w:val="20"/>
          <w:szCs w:val="20"/>
          <w:lang w:val="es-ES"/>
        </w:rPr>
        <w:t>y</w:t>
      </w:r>
      <w:r w:rsidRPr="00AB561B">
        <w:rPr>
          <w:rFonts w:asciiTheme="majorHAnsi" w:hAnsiTheme="majorHAnsi"/>
          <w:sz w:val="20"/>
          <w:szCs w:val="20"/>
          <w:lang w:val="es-ES"/>
        </w:rPr>
        <w:t xml:space="preserve"> </w:t>
      </w:r>
      <w:r w:rsidR="00EE1407" w:rsidRPr="00AB561B">
        <w:rPr>
          <w:rFonts w:asciiTheme="majorHAnsi" w:hAnsiTheme="majorHAnsi"/>
          <w:sz w:val="20"/>
          <w:szCs w:val="20"/>
          <w:lang w:val="es-ES"/>
        </w:rPr>
        <w:t xml:space="preserve">el 29 de septiembre </w:t>
      </w:r>
      <w:r w:rsidRPr="00AB561B">
        <w:rPr>
          <w:rFonts w:asciiTheme="majorHAnsi" w:hAnsiTheme="majorHAnsi"/>
          <w:sz w:val="20"/>
          <w:szCs w:val="20"/>
          <w:lang w:val="es-ES"/>
        </w:rPr>
        <w:t xml:space="preserve">la causa </w:t>
      </w:r>
      <w:r w:rsidR="00BC5902" w:rsidRPr="00AB561B">
        <w:rPr>
          <w:rFonts w:asciiTheme="majorHAnsi" w:hAnsiTheme="majorHAnsi"/>
          <w:sz w:val="20"/>
          <w:szCs w:val="20"/>
          <w:lang w:val="es-ES"/>
        </w:rPr>
        <w:t>fue sobreseída</w:t>
      </w:r>
      <w:r w:rsidRPr="00AB561B">
        <w:rPr>
          <w:rFonts w:asciiTheme="majorHAnsi" w:hAnsiTheme="majorHAnsi"/>
          <w:sz w:val="20"/>
          <w:szCs w:val="20"/>
          <w:lang w:val="es-ES"/>
        </w:rPr>
        <w:t xml:space="preserve"> temporalmente</w:t>
      </w:r>
      <w:r w:rsidR="00BC5902" w:rsidRPr="00AB561B">
        <w:rPr>
          <w:rFonts w:asciiTheme="majorHAnsi" w:hAnsiTheme="majorHAnsi"/>
          <w:sz w:val="20"/>
          <w:szCs w:val="20"/>
          <w:lang w:val="es-ES"/>
        </w:rPr>
        <w:t>,</w:t>
      </w:r>
      <w:r w:rsidRPr="00AB561B">
        <w:rPr>
          <w:rFonts w:asciiTheme="majorHAnsi" w:hAnsiTheme="majorHAnsi"/>
          <w:sz w:val="20"/>
          <w:szCs w:val="20"/>
          <w:lang w:val="es-ES"/>
        </w:rPr>
        <w:t xml:space="preserve"> lo que fue aprobado por la Corte de Apelación e</w:t>
      </w:r>
      <w:r w:rsidR="000063B7" w:rsidRPr="00AB561B">
        <w:rPr>
          <w:rFonts w:asciiTheme="majorHAnsi" w:hAnsiTheme="majorHAnsi"/>
          <w:sz w:val="20"/>
          <w:szCs w:val="20"/>
          <w:lang w:val="es-ES"/>
        </w:rPr>
        <w:t>l 10 de mayo de 1976</w:t>
      </w:r>
      <w:r w:rsidRPr="00AB561B">
        <w:rPr>
          <w:rFonts w:asciiTheme="majorHAnsi" w:hAnsiTheme="majorHAnsi"/>
          <w:sz w:val="20"/>
          <w:szCs w:val="20"/>
          <w:lang w:val="es-ES"/>
        </w:rPr>
        <w:t xml:space="preserve">. </w:t>
      </w:r>
      <w:r w:rsidR="006F0C2A" w:rsidRPr="00AB561B">
        <w:rPr>
          <w:rFonts w:asciiTheme="majorHAnsi" w:hAnsiTheme="majorHAnsi"/>
          <w:sz w:val="20"/>
          <w:szCs w:val="20"/>
          <w:lang w:val="es-ES"/>
        </w:rPr>
        <w:t>Asimismo, e</w:t>
      </w:r>
      <w:r w:rsidR="00F232E3" w:rsidRPr="00AB561B">
        <w:rPr>
          <w:rFonts w:asciiTheme="majorHAnsi" w:hAnsiTheme="majorHAnsi"/>
          <w:sz w:val="20"/>
          <w:szCs w:val="20"/>
          <w:lang w:val="es-ES"/>
        </w:rPr>
        <w:t xml:space="preserve">l 21 de marzo de 1975 se presentó denuncia por presunta desgracia ante el Juez de Letras de Maipú-Buin, se ordenaron una serie de diligencias a distintas instituciones, entre ellas el Instituto Médico Legal (IML), y todas declararon no tener antecedentes sobre la presunta víctima. En noviembre de 1975 se </w:t>
      </w:r>
      <w:r w:rsidR="00C37243" w:rsidRPr="00AB561B">
        <w:rPr>
          <w:rFonts w:asciiTheme="majorHAnsi" w:hAnsiTheme="majorHAnsi"/>
          <w:sz w:val="20"/>
          <w:szCs w:val="20"/>
          <w:lang w:val="es-ES"/>
        </w:rPr>
        <w:t>cerró</w:t>
      </w:r>
      <w:r w:rsidR="00F232E3" w:rsidRPr="00AB561B">
        <w:rPr>
          <w:rFonts w:asciiTheme="majorHAnsi" w:hAnsiTheme="majorHAnsi"/>
          <w:sz w:val="20"/>
          <w:szCs w:val="20"/>
          <w:lang w:val="es-ES"/>
        </w:rPr>
        <w:t xml:space="preserve"> el sumario y se sobreseyó definitivamente la causa. </w:t>
      </w:r>
      <w:r w:rsidR="0097669A" w:rsidRPr="00AB561B">
        <w:rPr>
          <w:rFonts w:asciiTheme="majorHAnsi" w:hAnsiTheme="majorHAnsi"/>
          <w:sz w:val="20"/>
          <w:szCs w:val="20"/>
          <w:lang w:val="es-ES"/>
        </w:rPr>
        <w:t>El 20 de enero de 1976 l</w:t>
      </w:r>
      <w:r w:rsidR="00F232E3" w:rsidRPr="00AB561B">
        <w:rPr>
          <w:rFonts w:asciiTheme="majorHAnsi" w:hAnsiTheme="majorHAnsi"/>
          <w:sz w:val="20"/>
          <w:szCs w:val="20"/>
          <w:lang w:val="es-ES"/>
        </w:rPr>
        <w:t>a Corte de Apelaciones de Rancagua confirmó el sobreseimiento, pero de manera temporal, por lo que el 23 de marzo de 1977 la causa fue reabierta al presentar el gobierno una nómina de fallecidos ante las Naciones Unid</w:t>
      </w:r>
      <w:r w:rsidR="00C37243" w:rsidRPr="00AB561B">
        <w:rPr>
          <w:rFonts w:asciiTheme="majorHAnsi" w:hAnsiTheme="majorHAnsi"/>
          <w:sz w:val="20"/>
          <w:szCs w:val="20"/>
          <w:lang w:val="es-ES"/>
        </w:rPr>
        <w:t>a</w:t>
      </w:r>
      <w:r w:rsidR="00F232E3" w:rsidRPr="00AB561B">
        <w:rPr>
          <w:rFonts w:asciiTheme="majorHAnsi" w:hAnsiTheme="majorHAnsi"/>
          <w:sz w:val="20"/>
          <w:szCs w:val="20"/>
          <w:lang w:val="es-ES"/>
        </w:rPr>
        <w:t xml:space="preserve">s respecto de la situación de los derechos humanos del país, lo que contradecía la información entregada por el IML. </w:t>
      </w:r>
    </w:p>
    <w:p w14:paraId="577475C1" w14:textId="67522DDD" w:rsidR="00031F56" w:rsidRPr="00AB561B" w:rsidRDefault="00B7601A" w:rsidP="00FB403C">
      <w:pPr>
        <w:numPr>
          <w:ilvl w:val="0"/>
          <w:numId w:val="55"/>
        </w:numPr>
        <w:suppressAutoHyphens/>
        <w:spacing w:after="120"/>
        <w:jc w:val="both"/>
        <w:rPr>
          <w:rFonts w:asciiTheme="majorHAnsi" w:hAnsiTheme="majorHAnsi"/>
          <w:sz w:val="20"/>
          <w:szCs w:val="20"/>
          <w:lang w:val="es-ES"/>
        </w:rPr>
      </w:pPr>
      <w:r w:rsidRPr="00AB561B">
        <w:rPr>
          <w:rFonts w:asciiTheme="majorHAnsi" w:hAnsiTheme="majorHAnsi"/>
          <w:sz w:val="20"/>
          <w:szCs w:val="20"/>
          <w:lang w:val="es-ES"/>
        </w:rPr>
        <w:t xml:space="preserve">En septiembre de 1977 fue presentada una nueva denuncia por la detención y posterior </w:t>
      </w:r>
      <w:r w:rsidR="00E22EEE" w:rsidRPr="00AB561B">
        <w:rPr>
          <w:rFonts w:asciiTheme="majorHAnsi" w:hAnsiTheme="majorHAnsi"/>
          <w:sz w:val="20"/>
          <w:szCs w:val="20"/>
          <w:lang w:val="es-ES"/>
        </w:rPr>
        <w:t xml:space="preserve">desaparición </w:t>
      </w:r>
      <w:r w:rsidRPr="00AB561B">
        <w:rPr>
          <w:rFonts w:asciiTheme="majorHAnsi" w:hAnsiTheme="majorHAnsi"/>
          <w:sz w:val="20"/>
          <w:szCs w:val="20"/>
          <w:lang w:val="es-ES"/>
        </w:rPr>
        <w:t>de la presunta víctima, y e</w:t>
      </w:r>
      <w:r w:rsidR="0016387D" w:rsidRPr="00AB561B">
        <w:rPr>
          <w:rFonts w:asciiTheme="majorHAnsi" w:hAnsiTheme="majorHAnsi"/>
          <w:sz w:val="20"/>
          <w:szCs w:val="20"/>
          <w:lang w:val="es-ES"/>
        </w:rPr>
        <w:t>n marzo de 1978</w:t>
      </w:r>
      <w:r w:rsidRPr="00AB561B">
        <w:rPr>
          <w:rFonts w:asciiTheme="majorHAnsi" w:hAnsiTheme="majorHAnsi"/>
          <w:sz w:val="20"/>
          <w:szCs w:val="20"/>
          <w:lang w:val="es-ES"/>
        </w:rPr>
        <w:t xml:space="preserve"> </w:t>
      </w:r>
      <w:r w:rsidR="00E22EEE" w:rsidRPr="00AB561B">
        <w:rPr>
          <w:rFonts w:asciiTheme="majorHAnsi" w:hAnsiTheme="majorHAnsi"/>
          <w:sz w:val="20"/>
          <w:szCs w:val="20"/>
          <w:lang w:val="es-ES"/>
        </w:rPr>
        <w:t>sus familiares presentaron</w:t>
      </w:r>
      <w:r w:rsidR="0016387D" w:rsidRPr="00AB561B">
        <w:rPr>
          <w:rFonts w:asciiTheme="majorHAnsi" w:hAnsiTheme="majorHAnsi"/>
          <w:sz w:val="20"/>
          <w:szCs w:val="20"/>
          <w:lang w:val="es-ES"/>
        </w:rPr>
        <w:t xml:space="preserve"> una querella por encubrimiento contra el Coronel Jorge </w:t>
      </w:r>
      <w:proofErr w:type="spellStart"/>
      <w:r w:rsidR="0016387D" w:rsidRPr="00AB561B">
        <w:rPr>
          <w:rFonts w:asciiTheme="majorHAnsi" w:hAnsiTheme="majorHAnsi"/>
          <w:sz w:val="20"/>
          <w:szCs w:val="20"/>
          <w:lang w:val="es-ES"/>
        </w:rPr>
        <w:t>Dawling</w:t>
      </w:r>
      <w:proofErr w:type="spellEnd"/>
      <w:r w:rsidR="0016387D" w:rsidRPr="00AB561B">
        <w:rPr>
          <w:rFonts w:asciiTheme="majorHAnsi" w:hAnsiTheme="majorHAnsi"/>
          <w:sz w:val="20"/>
          <w:szCs w:val="20"/>
          <w:lang w:val="es-ES"/>
        </w:rPr>
        <w:t xml:space="preserve"> Santa María, Director de la Escuela de Infantería de San Bernardo</w:t>
      </w:r>
      <w:r w:rsidRPr="00AB561B">
        <w:rPr>
          <w:rFonts w:asciiTheme="majorHAnsi" w:hAnsiTheme="majorHAnsi"/>
          <w:sz w:val="20"/>
          <w:szCs w:val="20"/>
          <w:lang w:val="es-ES"/>
        </w:rPr>
        <w:t>, ambas acumuladas al proceso</w:t>
      </w:r>
      <w:r w:rsidR="0016387D" w:rsidRPr="00AB561B">
        <w:rPr>
          <w:rFonts w:asciiTheme="majorHAnsi" w:hAnsiTheme="majorHAnsi"/>
          <w:sz w:val="20"/>
          <w:szCs w:val="20"/>
          <w:lang w:val="es-ES"/>
        </w:rPr>
        <w:t xml:space="preserve">. </w:t>
      </w:r>
      <w:r w:rsidRPr="00AB561B">
        <w:rPr>
          <w:rFonts w:asciiTheme="majorHAnsi" w:hAnsiTheme="majorHAnsi"/>
          <w:sz w:val="20"/>
          <w:szCs w:val="20"/>
          <w:lang w:val="es-ES"/>
        </w:rPr>
        <w:t>E</w:t>
      </w:r>
      <w:r w:rsidR="0016387D" w:rsidRPr="00AB561B">
        <w:rPr>
          <w:rFonts w:asciiTheme="majorHAnsi" w:hAnsiTheme="majorHAnsi"/>
          <w:sz w:val="20"/>
          <w:szCs w:val="20"/>
          <w:lang w:val="es-ES"/>
        </w:rPr>
        <w:t xml:space="preserve">l 3 de abril de 1979 se nombró un Ministro de Corte, quien ordenó una serie de diligencias las que permitieron establecer la falsedad de la nómina presentada por el gobierno ante Naciones Unidas. </w:t>
      </w:r>
      <w:r w:rsidR="00E22EEE" w:rsidRPr="00AB561B">
        <w:rPr>
          <w:rFonts w:asciiTheme="majorHAnsi" w:hAnsiTheme="majorHAnsi"/>
          <w:sz w:val="20"/>
          <w:szCs w:val="20"/>
          <w:lang w:val="es-ES"/>
        </w:rPr>
        <w:t>E</w:t>
      </w:r>
      <w:r w:rsidR="0016387D" w:rsidRPr="00AB561B">
        <w:rPr>
          <w:rFonts w:asciiTheme="majorHAnsi" w:hAnsiTheme="majorHAnsi"/>
          <w:sz w:val="20"/>
          <w:szCs w:val="20"/>
          <w:lang w:val="es-ES"/>
        </w:rPr>
        <w:t>l Ministro se declaró incompeten</w:t>
      </w:r>
      <w:r w:rsidR="00F3006D" w:rsidRPr="00AB561B">
        <w:rPr>
          <w:rFonts w:asciiTheme="majorHAnsi" w:hAnsiTheme="majorHAnsi"/>
          <w:sz w:val="20"/>
          <w:szCs w:val="20"/>
          <w:lang w:val="es-ES"/>
        </w:rPr>
        <w:t>te</w:t>
      </w:r>
      <w:r w:rsidR="0016387D" w:rsidRPr="00AB561B">
        <w:rPr>
          <w:rFonts w:asciiTheme="majorHAnsi" w:hAnsiTheme="majorHAnsi"/>
          <w:sz w:val="20"/>
          <w:szCs w:val="20"/>
          <w:lang w:val="es-ES"/>
        </w:rPr>
        <w:t xml:space="preserve"> y el 17 de octubre de 1980 los antecedentes de la causa fueron remitidos a la II Fiscalía Militar por inhibitoria de jurisdicción. El 24 de mayo de 1982 la causa fue sobreseída temporalmente. En marzo de 1984 la Corte Marcial revoc</w:t>
      </w:r>
      <w:r w:rsidR="00BC5902" w:rsidRPr="00AB561B">
        <w:rPr>
          <w:rFonts w:asciiTheme="majorHAnsi" w:hAnsiTheme="majorHAnsi"/>
          <w:sz w:val="20"/>
          <w:szCs w:val="20"/>
          <w:lang w:val="es-ES"/>
        </w:rPr>
        <w:t>ó</w:t>
      </w:r>
      <w:r w:rsidR="0016387D" w:rsidRPr="00AB561B">
        <w:rPr>
          <w:rFonts w:asciiTheme="majorHAnsi" w:hAnsiTheme="majorHAnsi"/>
          <w:sz w:val="20"/>
          <w:szCs w:val="20"/>
          <w:lang w:val="es-ES"/>
        </w:rPr>
        <w:t xml:space="preserve"> el sobreseimiento y orden</w:t>
      </w:r>
      <w:r w:rsidR="00BC5902" w:rsidRPr="00AB561B">
        <w:rPr>
          <w:rFonts w:asciiTheme="majorHAnsi" w:hAnsiTheme="majorHAnsi"/>
          <w:sz w:val="20"/>
          <w:szCs w:val="20"/>
          <w:lang w:val="es-ES"/>
        </w:rPr>
        <w:t>ó</w:t>
      </w:r>
      <w:r w:rsidR="0016387D" w:rsidRPr="00AB561B">
        <w:rPr>
          <w:rFonts w:asciiTheme="majorHAnsi" w:hAnsiTheme="majorHAnsi"/>
          <w:sz w:val="20"/>
          <w:szCs w:val="20"/>
          <w:lang w:val="es-ES"/>
        </w:rPr>
        <w:t xml:space="preserve"> diligencias para el avance de la investigación</w:t>
      </w:r>
      <w:r w:rsidR="00BC5902" w:rsidRPr="00AB561B">
        <w:rPr>
          <w:rFonts w:asciiTheme="majorHAnsi" w:hAnsiTheme="majorHAnsi"/>
          <w:sz w:val="20"/>
          <w:szCs w:val="20"/>
          <w:lang w:val="es-ES"/>
        </w:rPr>
        <w:t>;</w:t>
      </w:r>
      <w:r w:rsidR="0016387D" w:rsidRPr="00AB561B">
        <w:rPr>
          <w:rFonts w:asciiTheme="majorHAnsi" w:hAnsiTheme="majorHAnsi"/>
          <w:sz w:val="20"/>
          <w:szCs w:val="20"/>
          <w:lang w:val="es-ES"/>
        </w:rPr>
        <w:t xml:space="preserve"> durante 1985 declararon 26 Oficiales y Suboficiales de la Escuela de Infantería, todos negaron su participación en operativos en </w:t>
      </w:r>
      <w:proofErr w:type="spellStart"/>
      <w:r w:rsidR="0016387D" w:rsidRPr="00AB561B">
        <w:rPr>
          <w:rFonts w:asciiTheme="majorHAnsi" w:hAnsiTheme="majorHAnsi"/>
          <w:sz w:val="20"/>
          <w:szCs w:val="20"/>
          <w:lang w:val="es-ES"/>
        </w:rPr>
        <w:t>Paine</w:t>
      </w:r>
      <w:proofErr w:type="spellEnd"/>
      <w:r w:rsidR="0016387D" w:rsidRPr="00AB561B">
        <w:rPr>
          <w:rFonts w:asciiTheme="majorHAnsi" w:hAnsiTheme="majorHAnsi"/>
          <w:sz w:val="20"/>
          <w:szCs w:val="20"/>
          <w:lang w:val="es-ES"/>
        </w:rPr>
        <w:t xml:space="preserve"> y sus alrededores. El 22 de noviembre de 1985 el Fiscal Militar solicitó la aplicación de la Ley de Amnistía, </w:t>
      </w:r>
      <w:r w:rsidR="00BC5902" w:rsidRPr="00AB561B">
        <w:rPr>
          <w:rFonts w:asciiTheme="majorHAnsi" w:hAnsiTheme="majorHAnsi"/>
          <w:sz w:val="20"/>
          <w:szCs w:val="20"/>
          <w:lang w:val="es-ES"/>
        </w:rPr>
        <w:t xml:space="preserve">y </w:t>
      </w:r>
      <w:r w:rsidR="0016387D" w:rsidRPr="00AB561B">
        <w:rPr>
          <w:rFonts w:asciiTheme="majorHAnsi" w:hAnsiTheme="majorHAnsi"/>
          <w:sz w:val="20"/>
          <w:szCs w:val="20"/>
          <w:lang w:val="es-ES"/>
        </w:rPr>
        <w:t>el Juez Militar sobreseyó la causa total y definitivamente por encontrarse extinguida la responsabilidad penal de las personas presuntamente inculpadas.</w:t>
      </w:r>
      <w:r w:rsidR="00694421" w:rsidRPr="00AB561B">
        <w:rPr>
          <w:rFonts w:asciiTheme="majorHAnsi" w:hAnsiTheme="majorHAnsi"/>
          <w:sz w:val="20"/>
          <w:szCs w:val="20"/>
          <w:lang w:val="es-ES"/>
        </w:rPr>
        <w:t xml:space="preserve"> </w:t>
      </w:r>
      <w:r w:rsidR="0016387D" w:rsidRPr="00AB561B">
        <w:rPr>
          <w:rFonts w:asciiTheme="majorHAnsi" w:hAnsiTheme="majorHAnsi"/>
          <w:sz w:val="20"/>
          <w:szCs w:val="20"/>
          <w:lang w:val="es-ES"/>
        </w:rPr>
        <w:t xml:space="preserve">En febrero de 1992 la Corte Marcial revocó esta decisión y ordenó exhumar </w:t>
      </w:r>
      <w:r w:rsidR="00C81BC4" w:rsidRPr="00AB561B">
        <w:rPr>
          <w:rFonts w:asciiTheme="majorHAnsi" w:hAnsiTheme="majorHAnsi"/>
          <w:sz w:val="20"/>
          <w:szCs w:val="20"/>
          <w:lang w:val="es-ES"/>
        </w:rPr>
        <w:t xml:space="preserve">seis </w:t>
      </w:r>
      <w:r w:rsidR="0016387D" w:rsidRPr="00AB561B">
        <w:rPr>
          <w:rFonts w:asciiTheme="majorHAnsi" w:hAnsiTheme="majorHAnsi"/>
          <w:sz w:val="20"/>
          <w:szCs w:val="20"/>
          <w:lang w:val="es-ES"/>
        </w:rPr>
        <w:t>tumbas del Patio 29</w:t>
      </w:r>
      <w:r w:rsidR="0007616E" w:rsidRPr="00AB561B">
        <w:rPr>
          <w:rFonts w:asciiTheme="majorHAnsi" w:hAnsiTheme="majorHAnsi"/>
          <w:sz w:val="20"/>
          <w:szCs w:val="20"/>
          <w:lang w:val="es-ES"/>
        </w:rPr>
        <w:t>, diligencia que no se llevó a cabo ya que en una causa ante el 22 Juzgado del Crimen por el delito de inhumación ilegal respecto de todos los restos que se encontraban en dicho lugar, ya se había ordenado</w:t>
      </w:r>
      <w:r w:rsidR="0056118B" w:rsidRPr="00AB561B">
        <w:rPr>
          <w:rFonts w:asciiTheme="majorHAnsi" w:hAnsiTheme="majorHAnsi"/>
          <w:sz w:val="20"/>
          <w:szCs w:val="20"/>
          <w:lang w:val="es-ES"/>
        </w:rPr>
        <w:t xml:space="preserve"> y realizado</w:t>
      </w:r>
      <w:r w:rsidR="0007616E" w:rsidRPr="00AB561B">
        <w:rPr>
          <w:rFonts w:asciiTheme="majorHAnsi" w:hAnsiTheme="majorHAnsi"/>
          <w:sz w:val="20"/>
          <w:szCs w:val="20"/>
          <w:lang w:val="es-ES"/>
        </w:rPr>
        <w:t xml:space="preserve"> dicha exhumación</w:t>
      </w:r>
      <w:r w:rsidR="00031F56" w:rsidRPr="00AB561B">
        <w:rPr>
          <w:rFonts w:asciiTheme="majorHAnsi" w:hAnsiTheme="majorHAnsi"/>
          <w:sz w:val="20"/>
          <w:szCs w:val="20"/>
          <w:lang w:val="es-ES"/>
        </w:rPr>
        <w:t xml:space="preserve">. En </w:t>
      </w:r>
      <w:r w:rsidR="0007616E" w:rsidRPr="00AB561B">
        <w:rPr>
          <w:rFonts w:asciiTheme="majorHAnsi" w:hAnsiTheme="majorHAnsi"/>
          <w:sz w:val="20"/>
          <w:szCs w:val="20"/>
          <w:lang w:val="es-ES"/>
        </w:rPr>
        <w:t>el marco de esta</w:t>
      </w:r>
      <w:r w:rsidR="0056118B" w:rsidRPr="00AB561B">
        <w:rPr>
          <w:rFonts w:asciiTheme="majorHAnsi" w:hAnsiTheme="majorHAnsi"/>
          <w:sz w:val="20"/>
          <w:szCs w:val="20"/>
          <w:lang w:val="es-ES"/>
        </w:rPr>
        <w:t xml:space="preserve"> última causa,</w:t>
      </w:r>
      <w:r w:rsidR="0007616E" w:rsidRPr="00AB561B">
        <w:rPr>
          <w:rFonts w:asciiTheme="majorHAnsi" w:hAnsiTheme="majorHAnsi"/>
          <w:sz w:val="20"/>
          <w:szCs w:val="20"/>
          <w:lang w:val="es-ES"/>
        </w:rPr>
        <w:t xml:space="preserve"> </w:t>
      </w:r>
      <w:r w:rsidR="00031F56" w:rsidRPr="00AB561B">
        <w:rPr>
          <w:rFonts w:asciiTheme="majorHAnsi" w:hAnsiTheme="majorHAnsi"/>
          <w:sz w:val="20"/>
          <w:szCs w:val="20"/>
          <w:lang w:val="es-ES"/>
        </w:rPr>
        <w:t>se entregó la información antrop</w:t>
      </w:r>
      <w:r w:rsidR="00A107CC" w:rsidRPr="00AB561B">
        <w:rPr>
          <w:rFonts w:asciiTheme="majorHAnsi" w:hAnsiTheme="majorHAnsi"/>
          <w:sz w:val="20"/>
          <w:szCs w:val="20"/>
          <w:lang w:val="es-ES"/>
        </w:rPr>
        <w:t>omórfica de la presunta víctima y e</w:t>
      </w:r>
      <w:r w:rsidR="00031F56" w:rsidRPr="00AB561B">
        <w:rPr>
          <w:rFonts w:asciiTheme="majorHAnsi" w:hAnsiTheme="majorHAnsi"/>
          <w:sz w:val="20"/>
          <w:szCs w:val="20"/>
          <w:lang w:val="es-ES"/>
        </w:rPr>
        <w:t>n septiembre de 1991 se exhumaron 108 tumbas del Patio 29,</w:t>
      </w:r>
      <w:r w:rsidR="0056118B" w:rsidRPr="00AB561B">
        <w:rPr>
          <w:rFonts w:asciiTheme="majorHAnsi" w:hAnsiTheme="majorHAnsi"/>
          <w:sz w:val="20"/>
          <w:szCs w:val="20"/>
          <w:lang w:val="es-ES"/>
        </w:rPr>
        <w:t xml:space="preserve"> y</w:t>
      </w:r>
      <w:r w:rsidR="00031F56" w:rsidRPr="00AB561B">
        <w:rPr>
          <w:rFonts w:asciiTheme="majorHAnsi" w:hAnsiTheme="majorHAnsi"/>
          <w:sz w:val="20"/>
          <w:szCs w:val="20"/>
          <w:lang w:val="es-ES"/>
        </w:rPr>
        <w:t xml:space="preserve"> las osamentas extraídas </w:t>
      </w:r>
      <w:r w:rsidR="0056118B" w:rsidRPr="00AB561B">
        <w:rPr>
          <w:rFonts w:asciiTheme="majorHAnsi" w:hAnsiTheme="majorHAnsi"/>
          <w:sz w:val="20"/>
          <w:szCs w:val="20"/>
          <w:lang w:val="es-ES"/>
        </w:rPr>
        <w:t>fueron remetidas al</w:t>
      </w:r>
      <w:r w:rsidR="00031F56" w:rsidRPr="00AB561B">
        <w:rPr>
          <w:rFonts w:asciiTheme="majorHAnsi" w:hAnsiTheme="majorHAnsi"/>
          <w:sz w:val="20"/>
          <w:szCs w:val="20"/>
          <w:lang w:val="es-ES"/>
        </w:rPr>
        <w:t xml:space="preserve"> IML</w:t>
      </w:r>
      <w:r w:rsidR="0056118B" w:rsidRPr="00AB561B">
        <w:rPr>
          <w:rFonts w:asciiTheme="majorHAnsi" w:hAnsiTheme="majorHAnsi"/>
          <w:sz w:val="20"/>
          <w:szCs w:val="20"/>
          <w:lang w:val="es-ES"/>
        </w:rPr>
        <w:t xml:space="preserve"> y</w:t>
      </w:r>
      <w:r w:rsidR="00031F56" w:rsidRPr="00AB561B">
        <w:rPr>
          <w:rFonts w:asciiTheme="majorHAnsi" w:hAnsiTheme="majorHAnsi"/>
          <w:sz w:val="20"/>
          <w:szCs w:val="20"/>
          <w:lang w:val="es-ES"/>
        </w:rPr>
        <w:t xml:space="preserve"> sometidas a proceso de identificación.</w:t>
      </w:r>
      <w:r w:rsidR="000D6D00" w:rsidRPr="00AB561B">
        <w:rPr>
          <w:rFonts w:asciiTheme="majorHAnsi" w:hAnsiTheme="majorHAnsi"/>
          <w:sz w:val="20"/>
          <w:szCs w:val="20"/>
          <w:lang w:val="es-ES"/>
        </w:rPr>
        <w:t xml:space="preserve"> A la fecha de publicación del Informe </w:t>
      </w:r>
      <w:proofErr w:type="spellStart"/>
      <w:r w:rsidR="000D6D00" w:rsidRPr="00AB561B">
        <w:rPr>
          <w:rFonts w:asciiTheme="majorHAnsi" w:hAnsiTheme="majorHAnsi"/>
          <w:sz w:val="20"/>
          <w:szCs w:val="20"/>
          <w:lang w:val="es-ES"/>
        </w:rPr>
        <w:t>Rettig</w:t>
      </w:r>
      <w:proofErr w:type="spellEnd"/>
      <w:r w:rsidR="00B77ECB" w:rsidRPr="00AB561B">
        <w:rPr>
          <w:rFonts w:asciiTheme="majorHAnsi" w:hAnsiTheme="majorHAnsi"/>
          <w:sz w:val="20"/>
          <w:szCs w:val="20"/>
          <w:lang w:val="es-ES"/>
        </w:rPr>
        <w:t xml:space="preserve">, en </w:t>
      </w:r>
      <w:r w:rsidR="000D6D00" w:rsidRPr="00AB561B">
        <w:rPr>
          <w:rFonts w:asciiTheme="majorHAnsi" w:hAnsiTheme="majorHAnsi"/>
          <w:sz w:val="20"/>
          <w:szCs w:val="20"/>
          <w:lang w:val="es-ES"/>
        </w:rPr>
        <w:t>1992</w:t>
      </w:r>
      <w:r w:rsidR="00B77ECB" w:rsidRPr="00AB561B">
        <w:rPr>
          <w:rFonts w:asciiTheme="majorHAnsi" w:hAnsiTheme="majorHAnsi"/>
          <w:sz w:val="20"/>
          <w:szCs w:val="20"/>
          <w:lang w:val="es-ES"/>
        </w:rPr>
        <w:t>,</w:t>
      </w:r>
      <w:r w:rsidR="000D6D00" w:rsidRPr="00AB561B">
        <w:rPr>
          <w:rFonts w:asciiTheme="majorHAnsi" w:hAnsiTheme="majorHAnsi"/>
          <w:sz w:val="20"/>
          <w:szCs w:val="20"/>
          <w:lang w:val="es-ES"/>
        </w:rPr>
        <w:t xml:space="preserve"> no</w:t>
      </w:r>
      <w:r w:rsidR="00B77ECB" w:rsidRPr="00AB561B">
        <w:rPr>
          <w:rFonts w:asciiTheme="majorHAnsi" w:hAnsiTheme="majorHAnsi"/>
          <w:sz w:val="20"/>
          <w:szCs w:val="20"/>
          <w:lang w:val="es-ES"/>
        </w:rPr>
        <w:t xml:space="preserve"> se</w:t>
      </w:r>
      <w:r w:rsidR="000D6D00" w:rsidRPr="00AB561B">
        <w:rPr>
          <w:rFonts w:asciiTheme="majorHAnsi" w:hAnsiTheme="majorHAnsi"/>
          <w:sz w:val="20"/>
          <w:szCs w:val="20"/>
          <w:lang w:val="es-ES"/>
        </w:rPr>
        <w:t xml:space="preserve"> había identificad</w:t>
      </w:r>
      <w:r w:rsidR="00B77ECB" w:rsidRPr="00AB561B">
        <w:rPr>
          <w:rFonts w:asciiTheme="majorHAnsi" w:hAnsiTheme="majorHAnsi"/>
          <w:sz w:val="20"/>
          <w:szCs w:val="20"/>
          <w:lang w:val="es-ES"/>
        </w:rPr>
        <w:t>o a la presun</w:t>
      </w:r>
      <w:r w:rsidR="00A107CC" w:rsidRPr="00AB561B">
        <w:rPr>
          <w:rFonts w:asciiTheme="majorHAnsi" w:hAnsiTheme="majorHAnsi"/>
          <w:sz w:val="20"/>
          <w:szCs w:val="20"/>
          <w:lang w:val="es-ES"/>
        </w:rPr>
        <w:t>t</w:t>
      </w:r>
      <w:r w:rsidR="00B77ECB" w:rsidRPr="00AB561B">
        <w:rPr>
          <w:rFonts w:asciiTheme="majorHAnsi" w:hAnsiTheme="majorHAnsi"/>
          <w:sz w:val="20"/>
          <w:szCs w:val="20"/>
          <w:lang w:val="es-ES"/>
        </w:rPr>
        <w:t>a víctima</w:t>
      </w:r>
      <w:r w:rsidR="005809F5" w:rsidRPr="00AB561B">
        <w:rPr>
          <w:rFonts w:asciiTheme="majorHAnsi" w:hAnsiTheme="majorHAnsi"/>
          <w:sz w:val="20"/>
          <w:szCs w:val="20"/>
          <w:lang w:val="es-ES"/>
        </w:rPr>
        <w:t xml:space="preserve"> y en el proceso ante la CIDH tampoco se informó que se hubiera identificado a la presunta víctima o que sus restos hubieran sido entregados a sus </w:t>
      </w:r>
      <w:r w:rsidR="002B007A" w:rsidRPr="00AB561B">
        <w:rPr>
          <w:rFonts w:asciiTheme="majorHAnsi" w:hAnsiTheme="majorHAnsi"/>
          <w:sz w:val="20"/>
          <w:szCs w:val="20"/>
          <w:lang w:val="es-ES"/>
        </w:rPr>
        <w:t>familiares.</w:t>
      </w:r>
      <w:r w:rsidR="00031F56" w:rsidRPr="00AB561B">
        <w:rPr>
          <w:rFonts w:asciiTheme="majorHAnsi" w:hAnsiTheme="majorHAnsi"/>
          <w:sz w:val="20"/>
          <w:szCs w:val="20"/>
          <w:lang w:val="es-ES"/>
        </w:rPr>
        <w:t xml:space="preserve"> </w:t>
      </w:r>
    </w:p>
    <w:p w14:paraId="57972C0A" w14:textId="4D5F32F1" w:rsidR="003D5EA8" w:rsidRPr="00AB561B" w:rsidRDefault="00337951" w:rsidP="00827B7F">
      <w:pPr>
        <w:numPr>
          <w:ilvl w:val="0"/>
          <w:numId w:val="55"/>
        </w:numPr>
        <w:suppressAutoHyphens/>
        <w:spacing w:after="120"/>
        <w:jc w:val="both"/>
        <w:rPr>
          <w:rFonts w:asciiTheme="majorHAnsi" w:hAnsiTheme="majorHAnsi"/>
          <w:sz w:val="20"/>
          <w:szCs w:val="20"/>
          <w:lang w:val="es-ES"/>
        </w:rPr>
      </w:pPr>
      <w:r w:rsidRPr="00AB561B">
        <w:rPr>
          <w:rFonts w:asciiTheme="majorHAnsi" w:hAnsiTheme="majorHAnsi"/>
          <w:sz w:val="20"/>
          <w:szCs w:val="20"/>
          <w:lang w:val="es-ES"/>
        </w:rPr>
        <w:t xml:space="preserve">El 9 </w:t>
      </w:r>
      <w:r w:rsidR="00031F56" w:rsidRPr="00AB561B">
        <w:rPr>
          <w:rFonts w:asciiTheme="majorHAnsi" w:hAnsiTheme="majorHAnsi"/>
          <w:sz w:val="20"/>
          <w:szCs w:val="20"/>
          <w:lang w:val="es-ES"/>
        </w:rPr>
        <w:t xml:space="preserve">de octubre de 2001 </w:t>
      </w:r>
      <w:r w:rsidR="00DC46AF" w:rsidRPr="00AB561B">
        <w:rPr>
          <w:rFonts w:asciiTheme="majorHAnsi" w:hAnsiTheme="majorHAnsi"/>
          <w:sz w:val="20"/>
          <w:szCs w:val="20"/>
          <w:lang w:val="es-ES"/>
        </w:rPr>
        <w:t>se inici</w:t>
      </w:r>
      <w:r w:rsidR="00FA3CA9" w:rsidRPr="00AB561B">
        <w:rPr>
          <w:rFonts w:asciiTheme="majorHAnsi" w:hAnsiTheme="majorHAnsi"/>
          <w:sz w:val="20"/>
          <w:szCs w:val="20"/>
          <w:lang w:val="es-ES"/>
        </w:rPr>
        <w:t>ó la</w:t>
      </w:r>
      <w:r w:rsidR="00031F56" w:rsidRPr="00AB561B">
        <w:rPr>
          <w:rFonts w:asciiTheme="majorHAnsi" w:hAnsiTheme="majorHAnsi"/>
          <w:sz w:val="20"/>
          <w:szCs w:val="20"/>
          <w:lang w:val="es-ES"/>
        </w:rPr>
        <w:t xml:space="preserve"> causa civil en el 26</w:t>
      </w:r>
      <w:r w:rsidR="00EA67B7" w:rsidRPr="00AB561B">
        <w:rPr>
          <w:rFonts w:asciiTheme="majorHAnsi" w:hAnsiTheme="majorHAnsi"/>
          <w:sz w:val="20"/>
          <w:szCs w:val="20"/>
          <w:vertAlign w:val="superscript"/>
          <w:lang w:val="es-ES"/>
        </w:rPr>
        <w:t>o</w:t>
      </w:r>
      <w:r w:rsidR="00DC46AF" w:rsidRPr="00AB561B">
        <w:rPr>
          <w:rFonts w:asciiTheme="majorHAnsi" w:hAnsiTheme="majorHAnsi"/>
          <w:sz w:val="20"/>
          <w:szCs w:val="20"/>
          <w:lang w:val="es-ES"/>
        </w:rPr>
        <w:t xml:space="preserve"> Juzgado Civil de Santiago, cuya sentencia se dict</w:t>
      </w:r>
      <w:r w:rsidR="00FA3CA9" w:rsidRPr="00AB561B">
        <w:rPr>
          <w:rFonts w:asciiTheme="majorHAnsi" w:hAnsiTheme="majorHAnsi"/>
          <w:sz w:val="20"/>
          <w:szCs w:val="20"/>
          <w:lang w:val="es-ES"/>
        </w:rPr>
        <w:t>ó</w:t>
      </w:r>
      <w:r w:rsidR="00DC46AF" w:rsidRPr="00AB561B">
        <w:rPr>
          <w:rFonts w:asciiTheme="majorHAnsi" w:hAnsiTheme="majorHAnsi"/>
          <w:sz w:val="20"/>
          <w:szCs w:val="20"/>
          <w:lang w:val="es-ES"/>
        </w:rPr>
        <w:t xml:space="preserve"> el </w:t>
      </w:r>
      <w:r w:rsidR="00031F56" w:rsidRPr="00AB561B">
        <w:rPr>
          <w:rFonts w:asciiTheme="majorHAnsi" w:hAnsiTheme="majorHAnsi"/>
          <w:sz w:val="20"/>
          <w:szCs w:val="20"/>
          <w:lang w:val="es-ES"/>
        </w:rPr>
        <w:t>24 de agosto de 2004 denegand</w:t>
      </w:r>
      <w:r w:rsidRPr="00AB561B">
        <w:rPr>
          <w:rFonts w:asciiTheme="majorHAnsi" w:hAnsiTheme="majorHAnsi"/>
          <w:sz w:val="20"/>
          <w:szCs w:val="20"/>
          <w:lang w:val="es-ES"/>
        </w:rPr>
        <w:t xml:space="preserve">o </w:t>
      </w:r>
      <w:r w:rsidR="00DC46AF" w:rsidRPr="00AB561B">
        <w:rPr>
          <w:rFonts w:asciiTheme="majorHAnsi" w:hAnsiTheme="majorHAnsi"/>
          <w:sz w:val="20"/>
          <w:szCs w:val="20"/>
          <w:lang w:val="es-ES"/>
        </w:rPr>
        <w:t xml:space="preserve">la pretensión de los </w:t>
      </w:r>
      <w:r w:rsidR="00EA67B7" w:rsidRPr="00AB561B">
        <w:rPr>
          <w:rFonts w:asciiTheme="majorHAnsi" w:hAnsiTheme="majorHAnsi"/>
          <w:sz w:val="20"/>
          <w:szCs w:val="20"/>
          <w:lang w:val="es-ES"/>
        </w:rPr>
        <w:t>familiares de la presunta víctima</w:t>
      </w:r>
      <w:r w:rsidR="00DC46AF" w:rsidRPr="00AB561B">
        <w:rPr>
          <w:rFonts w:asciiTheme="majorHAnsi" w:hAnsiTheme="majorHAnsi"/>
          <w:sz w:val="20"/>
          <w:szCs w:val="20"/>
          <w:lang w:val="es-ES"/>
        </w:rPr>
        <w:t xml:space="preserve"> a una in</w:t>
      </w:r>
      <w:r w:rsidR="007D4106" w:rsidRPr="00AB561B">
        <w:rPr>
          <w:rFonts w:asciiTheme="majorHAnsi" w:hAnsiTheme="majorHAnsi"/>
          <w:sz w:val="20"/>
          <w:szCs w:val="20"/>
          <w:lang w:val="es-ES"/>
        </w:rPr>
        <w:t>demnización por el daño</w:t>
      </w:r>
      <w:r w:rsidR="008941C0" w:rsidRPr="00AB561B">
        <w:rPr>
          <w:rFonts w:asciiTheme="majorHAnsi" w:hAnsiTheme="majorHAnsi"/>
          <w:sz w:val="20"/>
          <w:szCs w:val="20"/>
          <w:lang w:val="es-ES"/>
        </w:rPr>
        <w:t>, en razón de la prescripción de las acciones civiles alegadas</w:t>
      </w:r>
      <w:r w:rsidR="007D4106" w:rsidRPr="00AB561B">
        <w:rPr>
          <w:rFonts w:asciiTheme="majorHAnsi" w:hAnsiTheme="majorHAnsi"/>
          <w:sz w:val="20"/>
          <w:szCs w:val="20"/>
          <w:lang w:val="es-ES"/>
        </w:rPr>
        <w:t>.</w:t>
      </w:r>
      <w:r w:rsidR="00DC46AF" w:rsidRPr="00AB561B">
        <w:rPr>
          <w:rFonts w:asciiTheme="majorHAnsi" w:hAnsiTheme="majorHAnsi"/>
          <w:sz w:val="20"/>
          <w:szCs w:val="20"/>
          <w:lang w:val="es-ES"/>
        </w:rPr>
        <w:t xml:space="preserve"> </w:t>
      </w:r>
      <w:r w:rsidR="00393274" w:rsidRPr="00AB561B">
        <w:rPr>
          <w:rFonts w:asciiTheme="majorHAnsi" w:hAnsiTheme="majorHAnsi"/>
          <w:sz w:val="20"/>
          <w:szCs w:val="20"/>
          <w:lang w:val="es-ES"/>
        </w:rPr>
        <w:t xml:space="preserve">En sentencia del </w:t>
      </w:r>
      <w:r w:rsidR="00031F56" w:rsidRPr="00AB561B">
        <w:rPr>
          <w:rFonts w:asciiTheme="majorHAnsi" w:hAnsiTheme="majorHAnsi"/>
          <w:sz w:val="20"/>
          <w:szCs w:val="20"/>
          <w:lang w:val="es-ES"/>
        </w:rPr>
        <w:t xml:space="preserve">29 de octubre de 2008 </w:t>
      </w:r>
      <w:r w:rsidR="00393274" w:rsidRPr="00AB561B">
        <w:rPr>
          <w:rFonts w:asciiTheme="majorHAnsi" w:hAnsiTheme="majorHAnsi"/>
          <w:sz w:val="20"/>
          <w:szCs w:val="20"/>
          <w:lang w:val="es-ES"/>
        </w:rPr>
        <w:t>l</w:t>
      </w:r>
      <w:r w:rsidR="00DC46AF" w:rsidRPr="00AB561B">
        <w:rPr>
          <w:rFonts w:asciiTheme="majorHAnsi" w:hAnsiTheme="majorHAnsi"/>
          <w:sz w:val="20"/>
          <w:szCs w:val="20"/>
          <w:lang w:val="es-ES"/>
        </w:rPr>
        <w:t xml:space="preserve">a Corte de Apelaciones de </w:t>
      </w:r>
      <w:r w:rsidR="00031F56" w:rsidRPr="00AB561B">
        <w:rPr>
          <w:rFonts w:asciiTheme="majorHAnsi" w:hAnsiTheme="majorHAnsi"/>
          <w:sz w:val="20"/>
          <w:szCs w:val="20"/>
          <w:lang w:val="es-ES"/>
        </w:rPr>
        <w:t>Santiago confirmó la sentencia de primera instancia.</w:t>
      </w:r>
      <w:r w:rsidR="00724891" w:rsidRPr="00AB561B">
        <w:rPr>
          <w:rFonts w:asciiTheme="majorHAnsi" w:hAnsiTheme="majorHAnsi"/>
          <w:sz w:val="20"/>
          <w:szCs w:val="20"/>
          <w:lang w:val="es-ES"/>
        </w:rPr>
        <w:t xml:space="preserve"> Contra este </w:t>
      </w:r>
      <w:r w:rsidR="00724891" w:rsidRPr="00AB561B">
        <w:rPr>
          <w:rFonts w:asciiTheme="majorHAnsi" w:hAnsiTheme="majorHAnsi"/>
          <w:sz w:val="20"/>
          <w:szCs w:val="20"/>
          <w:lang w:val="es-ES"/>
        </w:rPr>
        <w:lastRenderedPageBreak/>
        <w:t xml:space="preserve">fallo </w:t>
      </w:r>
      <w:r w:rsidRPr="00AB561B">
        <w:rPr>
          <w:rFonts w:asciiTheme="majorHAnsi" w:hAnsiTheme="majorHAnsi"/>
          <w:sz w:val="20"/>
          <w:szCs w:val="20"/>
          <w:lang w:val="es-ES"/>
        </w:rPr>
        <w:t xml:space="preserve">la parte demandante </w:t>
      </w:r>
      <w:r w:rsidR="00724891" w:rsidRPr="00AB561B">
        <w:rPr>
          <w:rFonts w:asciiTheme="majorHAnsi" w:hAnsiTheme="majorHAnsi"/>
          <w:sz w:val="20"/>
          <w:szCs w:val="20"/>
          <w:lang w:val="es-ES"/>
        </w:rPr>
        <w:t>recurr</w:t>
      </w:r>
      <w:r w:rsidR="00FA3CA9" w:rsidRPr="00AB561B">
        <w:rPr>
          <w:rFonts w:asciiTheme="majorHAnsi" w:hAnsiTheme="majorHAnsi"/>
          <w:sz w:val="20"/>
          <w:szCs w:val="20"/>
          <w:lang w:val="es-ES"/>
        </w:rPr>
        <w:t>ió</w:t>
      </w:r>
      <w:r w:rsidR="00724891" w:rsidRPr="00AB561B">
        <w:rPr>
          <w:rFonts w:asciiTheme="majorHAnsi" w:hAnsiTheme="majorHAnsi"/>
          <w:sz w:val="20"/>
          <w:szCs w:val="20"/>
          <w:lang w:val="es-ES"/>
        </w:rPr>
        <w:t xml:space="preserve"> de casación ante la Corte Suprema, </w:t>
      </w:r>
      <w:r w:rsidR="00FA3CA9" w:rsidRPr="00AB561B">
        <w:rPr>
          <w:rFonts w:asciiTheme="majorHAnsi" w:hAnsiTheme="majorHAnsi"/>
          <w:sz w:val="20"/>
          <w:szCs w:val="20"/>
          <w:lang w:val="es-ES"/>
        </w:rPr>
        <w:t xml:space="preserve">y </w:t>
      </w:r>
      <w:r w:rsidR="00031F56" w:rsidRPr="00AB561B">
        <w:rPr>
          <w:rFonts w:asciiTheme="majorHAnsi" w:hAnsiTheme="majorHAnsi"/>
          <w:sz w:val="20"/>
          <w:szCs w:val="20"/>
          <w:lang w:val="es-ES"/>
        </w:rPr>
        <w:t>el 14 de abril de 2011</w:t>
      </w:r>
      <w:r w:rsidR="00BE108B" w:rsidRPr="00AB561B">
        <w:rPr>
          <w:rFonts w:asciiTheme="majorHAnsi" w:hAnsiTheme="majorHAnsi"/>
          <w:sz w:val="20"/>
          <w:szCs w:val="20"/>
          <w:lang w:val="es-ES"/>
        </w:rPr>
        <w:t xml:space="preserve"> </w:t>
      </w:r>
      <w:r w:rsidR="00724891" w:rsidRPr="00AB561B">
        <w:rPr>
          <w:rFonts w:asciiTheme="majorHAnsi" w:hAnsiTheme="majorHAnsi"/>
          <w:sz w:val="20"/>
          <w:szCs w:val="20"/>
          <w:lang w:val="es-ES"/>
        </w:rPr>
        <w:t xml:space="preserve">dicho recurso </w:t>
      </w:r>
      <w:r w:rsidR="00FA3CA9" w:rsidRPr="00AB561B">
        <w:rPr>
          <w:rFonts w:asciiTheme="majorHAnsi" w:hAnsiTheme="majorHAnsi"/>
          <w:sz w:val="20"/>
          <w:szCs w:val="20"/>
          <w:lang w:val="es-ES"/>
        </w:rPr>
        <w:t>fue</w:t>
      </w:r>
      <w:r w:rsidR="00031F56" w:rsidRPr="00AB561B">
        <w:rPr>
          <w:rFonts w:asciiTheme="majorHAnsi" w:hAnsiTheme="majorHAnsi"/>
          <w:sz w:val="20"/>
          <w:szCs w:val="20"/>
          <w:lang w:val="es-ES"/>
        </w:rPr>
        <w:t xml:space="preserve"> rechazado</w:t>
      </w:r>
      <w:r w:rsidR="00724891" w:rsidRPr="00AB561B">
        <w:rPr>
          <w:rFonts w:asciiTheme="majorHAnsi" w:hAnsiTheme="majorHAnsi"/>
          <w:sz w:val="20"/>
          <w:szCs w:val="20"/>
          <w:lang w:val="es-ES"/>
        </w:rPr>
        <w:t xml:space="preserve"> por la Corte</w:t>
      </w:r>
      <w:r w:rsidR="00FA3CA9" w:rsidRPr="00AB561B">
        <w:rPr>
          <w:rFonts w:asciiTheme="majorHAnsi" w:hAnsiTheme="majorHAnsi"/>
          <w:sz w:val="20"/>
          <w:szCs w:val="20"/>
          <w:lang w:val="es-ES"/>
        </w:rPr>
        <w:t>,</w:t>
      </w:r>
      <w:r w:rsidR="00724891" w:rsidRPr="00AB561B">
        <w:rPr>
          <w:rFonts w:asciiTheme="majorHAnsi" w:hAnsiTheme="majorHAnsi"/>
          <w:sz w:val="20"/>
          <w:szCs w:val="20"/>
          <w:lang w:val="es-ES"/>
        </w:rPr>
        <w:t xml:space="preserve"> </w:t>
      </w:r>
      <w:r w:rsidR="00CB4CEF" w:rsidRPr="00AB561B">
        <w:rPr>
          <w:rFonts w:asciiTheme="majorHAnsi" w:hAnsiTheme="majorHAnsi"/>
          <w:sz w:val="20"/>
          <w:szCs w:val="20"/>
          <w:lang w:val="es-ES"/>
        </w:rPr>
        <w:t>acogiendo la tesis del Fisco de la prescripción de las acciones civiles alegadas</w:t>
      </w:r>
      <w:r w:rsidR="00AE7F18" w:rsidRPr="00AB561B">
        <w:rPr>
          <w:rFonts w:asciiTheme="majorHAnsi" w:hAnsiTheme="majorHAnsi"/>
          <w:sz w:val="20"/>
          <w:szCs w:val="20"/>
          <w:lang w:val="es-ES"/>
        </w:rPr>
        <w:t>.</w:t>
      </w:r>
      <w:r w:rsidR="00724891" w:rsidRPr="00AB561B">
        <w:rPr>
          <w:rFonts w:asciiTheme="majorHAnsi" w:hAnsiTheme="majorHAnsi"/>
          <w:sz w:val="20"/>
          <w:szCs w:val="20"/>
          <w:lang w:val="es-ES"/>
        </w:rPr>
        <w:t xml:space="preserve"> Con fecha </w:t>
      </w:r>
      <w:r w:rsidR="00031F56" w:rsidRPr="00AB561B">
        <w:rPr>
          <w:rFonts w:asciiTheme="majorHAnsi" w:hAnsiTheme="majorHAnsi"/>
          <w:sz w:val="20"/>
          <w:szCs w:val="20"/>
          <w:lang w:val="es-ES"/>
        </w:rPr>
        <w:t>3 de mayo de 2011</w:t>
      </w:r>
      <w:r w:rsidR="00A04514" w:rsidRPr="00AB561B">
        <w:rPr>
          <w:rFonts w:asciiTheme="majorHAnsi" w:hAnsiTheme="majorHAnsi"/>
          <w:sz w:val="20"/>
          <w:szCs w:val="20"/>
          <w:lang w:val="es-ES"/>
        </w:rPr>
        <w:t xml:space="preserve"> </w:t>
      </w:r>
      <w:r w:rsidR="00724891" w:rsidRPr="00AB561B">
        <w:rPr>
          <w:rFonts w:asciiTheme="majorHAnsi" w:hAnsiTheme="majorHAnsi"/>
          <w:sz w:val="20"/>
          <w:szCs w:val="20"/>
          <w:lang w:val="es-ES"/>
        </w:rPr>
        <w:t>se dict</w:t>
      </w:r>
      <w:r w:rsidR="00FA3CA9" w:rsidRPr="00AB561B">
        <w:rPr>
          <w:rFonts w:asciiTheme="majorHAnsi" w:hAnsiTheme="majorHAnsi"/>
          <w:sz w:val="20"/>
          <w:szCs w:val="20"/>
          <w:lang w:val="es-ES"/>
        </w:rPr>
        <w:t>ó</w:t>
      </w:r>
      <w:r w:rsidR="00724891" w:rsidRPr="00AB561B">
        <w:rPr>
          <w:rFonts w:asciiTheme="majorHAnsi" w:hAnsiTheme="majorHAnsi"/>
          <w:sz w:val="20"/>
          <w:szCs w:val="20"/>
          <w:lang w:val="es-ES"/>
        </w:rPr>
        <w:t xml:space="preserve"> el “cúmplase” por parte del Juzgado Civil de primera instancia. </w:t>
      </w:r>
      <w:r w:rsidR="00DC46AF" w:rsidRPr="00AB561B">
        <w:rPr>
          <w:rFonts w:asciiTheme="majorHAnsi" w:hAnsiTheme="majorHAnsi"/>
          <w:sz w:val="20"/>
          <w:szCs w:val="20"/>
          <w:lang w:val="es-ES"/>
        </w:rPr>
        <w:t xml:space="preserve"> </w:t>
      </w:r>
    </w:p>
    <w:p w14:paraId="571DAAA4" w14:textId="02BBE316" w:rsidR="00202B0A" w:rsidRPr="00AB561B" w:rsidRDefault="00202B0A" w:rsidP="00827B7F">
      <w:pPr>
        <w:numPr>
          <w:ilvl w:val="0"/>
          <w:numId w:val="55"/>
        </w:numPr>
        <w:suppressAutoHyphens/>
        <w:spacing w:after="120"/>
        <w:jc w:val="both"/>
        <w:rPr>
          <w:rFonts w:asciiTheme="majorHAnsi" w:hAnsiTheme="majorHAnsi"/>
          <w:sz w:val="20"/>
          <w:szCs w:val="20"/>
          <w:lang w:val="es-ES"/>
        </w:rPr>
      </w:pPr>
      <w:r w:rsidRPr="00AB561B">
        <w:rPr>
          <w:rFonts w:asciiTheme="majorHAnsi" w:hAnsiTheme="majorHAnsi"/>
          <w:sz w:val="20"/>
          <w:szCs w:val="20"/>
          <w:lang w:val="es-ES"/>
        </w:rPr>
        <w:t xml:space="preserve">Por su parte, el Estado señala </w:t>
      </w:r>
      <w:r w:rsidR="00CB4CEF" w:rsidRPr="00AB561B">
        <w:rPr>
          <w:rFonts w:asciiTheme="majorHAnsi" w:hAnsiTheme="majorHAnsi"/>
          <w:sz w:val="20"/>
          <w:szCs w:val="20"/>
          <w:lang w:val="es-ES"/>
        </w:rPr>
        <w:t>que,</w:t>
      </w:r>
      <w:r w:rsidRPr="00AB561B">
        <w:rPr>
          <w:rFonts w:asciiTheme="majorHAnsi" w:hAnsiTheme="majorHAnsi"/>
          <w:sz w:val="20"/>
          <w:szCs w:val="20"/>
          <w:lang w:val="es-ES"/>
        </w:rPr>
        <w:t xml:space="preserve"> </w:t>
      </w:r>
      <w:r w:rsidR="001B5141" w:rsidRPr="00AB561B">
        <w:rPr>
          <w:rFonts w:asciiTheme="majorHAnsi" w:hAnsiTheme="majorHAnsi"/>
          <w:sz w:val="20"/>
          <w:szCs w:val="20"/>
          <w:lang w:val="es-ES"/>
        </w:rPr>
        <w:t xml:space="preserve">en cuanto a la alegación de falta de reparación civil, </w:t>
      </w:r>
      <w:r w:rsidR="00E50345" w:rsidRPr="00AB561B">
        <w:rPr>
          <w:rFonts w:asciiTheme="majorHAnsi" w:hAnsiTheme="majorHAnsi"/>
          <w:sz w:val="20"/>
          <w:szCs w:val="20"/>
          <w:lang w:val="es-ES"/>
        </w:rPr>
        <w:t>n</w:t>
      </w:r>
      <w:r w:rsidR="001B5141" w:rsidRPr="00AB561B">
        <w:rPr>
          <w:rFonts w:asciiTheme="majorHAnsi" w:hAnsiTheme="majorHAnsi"/>
          <w:sz w:val="20"/>
          <w:szCs w:val="20"/>
          <w:lang w:val="es-ES"/>
        </w:rPr>
        <w:t>o</w:t>
      </w:r>
      <w:r w:rsidR="00E50345" w:rsidRPr="00AB561B">
        <w:rPr>
          <w:rFonts w:asciiTheme="majorHAnsi" w:hAnsiTheme="majorHAnsi"/>
          <w:sz w:val="20"/>
          <w:szCs w:val="20"/>
          <w:lang w:val="es-ES"/>
        </w:rPr>
        <w:t xml:space="preserve"> </w:t>
      </w:r>
      <w:r w:rsidR="001B5141" w:rsidRPr="00AB561B">
        <w:rPr>
          <w:rFonts w:asciiTheme="majorHAnsi" w:hAnsiTheme="majorHAnsi"/>
          <w:sz w:val="20"/>
          <w:szCs w:val="20"/>
          <w:lang w:val="es-ES"/>
        </w:rPr>
        <w:t>tiene reparos que plantear relativos al cumplimiento de los requisitos de forma</w:t>
      </w:r>
      <w:r w:rsidRPr="00AB561B">
        <w:rPr>
          <w:rFonts w:asciiTheme="majorHAnsi" w:hAnsiTheme="majorHAnsi"/>
          <w:sz w:val="20"/>
          <w:szCs w:val="20"/>
          <w:lang w:val="es-ES"/>
        </w:rPr>
        <w:t>, sin perjuicio de las observaciones sobre el fondo que pueda hacer en la oportunidad que corresponda.</w:t>
      </w:r>
      <w:r w:rsidR="00FF0D54" w:rsidRPr="00AB561B">
        <w:rPr>
          <w:rFonts w:asciiTheme="majorHAnsi" w:hAnsiTheme="majorHAnsi"/>
          <w:sz w:val="20"/>
          <w:szCs w:val="20"/>
          <w:lang w:val="es-ES"/>
        </w:rPr>
        <w:t xml:space="preserve"> </w:t>
      </w:r>
      <w:r w:rsidR="00055EF9" w:rsidRPr="00AB561B">
        <w:rPr>
          <w:rFonts w:asciiTheme="majorHAnsi" w:hAnsiTheme="majorHAnsi"/>
          <w:sz w:val="20"/>
          <w:szCs w:val="20"/>
          <w:lang w:val="es-ES"/>
        </w:rPr>
        <w:t xml:space="preserve">En relativo al ámbito penal, </w:t>
      </w:r>
      <w:r w:rsidR="00CB4CEF" w:rsidRPr="00AB561B">
        <w:rPr>
          <w:rFonts w:asciiTheme="majorHAnsi" w:hAnsiTheme="majorHAnsi"/>
          <w:sz w:val="20"/>
          <w:szCs w:val="20"/>
          <w:lang w:val="es-ES"/>
        </w:rPr>
        <w:t>señala que</w:t>
      </w:r>
      <w:r w:rsidR="00631E4F" w:rsidRPr="00AB561B">
        <w:rPr>
          <w:rFonts w:asciiTheme="majorHAnsi" w:hAnsiTheme="majorHAnsi"/>
          <w:sz w:val="20"/>
          <w:szCs w:val="20"/>
          <w:lang w:val="es-ES"/>
        </w:rPr>
        <w:t xml:space="preserve"> </w:t>
      </w:r>
      <w:r w:rsidR="00CB4CEF" w:rsidRPr="00AB561B">
        <w:rPr>
          <w:rFonts w:asciiTheme="majorHAnsi" w:hAnsiTheme="majorHAnsi"/>
          <w:sz w:val="20"/>
          <w:szCs w:val="20"/>
          <w:lang w:val="es-ES"/>
        </w:rPr>
        <w:t xml:space="preserve">se encuentra en la Corte de Apelaciones en etapa de sumario la causa “Patio 29”. </w:t>
      </w:r>
    </w:p>
    <w:p w14:paraId="3FE6F5AE" w14:textId="49631860" w:rsidR="004C616A" w:rsidRPr="00AB561B" w:rsidRDefault="004C616A" w:rsidP="007D4106">
      <w:pPr>
        <w:suppressAutoHyphens/>
        <w:spacing w:before="120" w:after="120"/>
        <w:ind w:left="720"/>
        <w:jc w:val="both"/>
        <w:rPr>
          <w:rFonts w:asciiTheme="majorHAnsi" w:hAnsiTheme="majorHAnsi"/>
          <w:b/>
          <w:bCs/>
          <w:sz w:val="20"/>
          <w:szCs w:val="20"/>
          <w:lang w:val="es-ES"/>
        </w:rPr>
      </w:pPr>
      <w:r w:rsidRPr="00AB561B">
        <w:rPr>
          <w:rFonts w:asciiTheme="majorHAnsi" w:hAnsiTheme="majorHAnsi"/>
          <w:b/>
          <w:bCs/>
          <w:sz w:val="20"/>
          <w:szCs w:val="20"/>
          <w:lang w:val="es-ES"/>
        </w:rPr>
        <w:t xml:space="preserve">VI. </w:t>
      </w:r>
      <w:r w:rsidRPr="00AB561B">
        <w:rPr>
          <w:rFonts w:asciiTheme="majorHAnsi" w:hAnsiTheme="majorHAnsi"/>
          <w:b/>
          <w:bCs/>
          <w:sz w:val="20"/>
          <w:szCs w:val="20"/>
          <w:lang w:val="es-ES"/>
        </w:rPr>
        <w:tab/>
        <w:t>AGOTAMIENTO DE LOS RECURSOS INTERNOS Y PLAZO DE PRESENTACIÓN</w:t>
      </w:r>
    </w:p>
    <w:p w14:paraId="35F8E8DA" w14:textId="77777777" w:rsidR="00A46C54" w:rsidRPr="00AB561B" w:rsidRDefault="00D455A9" w:rsidP="00A46C54">
      <w:pPr>
        <w:numPr>
          <w:ilvl w:val="0"/>
          <w:numId w:val="55"/>
        </w:numPr>
        <w:suppressAutoHyphens/>
        <w:spacing w:after="120"/>
        <w:jc w:val="both"/>
        <w:rPr>
          <w:rFonts w:asciiTheme="majorHAnsi" w:hAnsiTheme="majorHAnsi"/>
          <w:sz w:val="20"/>
          <w:szCs w:val="20"/>
          <w:lang w:val="es-ES"/>
        </w:rPr>
      </w:pPr>
      <w:r w:rsidRPr="00AB561B">
        <w:rPr>
          <w:rFonts w:asciiTheme="majorHAnsi" w:hAnsiTheme="majorHAnsi"/>
          <w:sz w:val="20"/>
          <w:szCs w:val="20"/>
          <w:lang w:val="es-ES"/>
        </w:rPr>
        <w:t>La CIDH recuerda que toda vez que se cometa un presunto delito perseguible de oficio, el Estado tiene la obligación de promover e impulsar el proceso penal</w:t>
      </w:r>
      <w:r w:rsidRPr="00AB561B">
        <w:rPr>
          <w:rStyle w:val="FootnoteReference"/>
          <w:rFonts w:asciiTheme="majorHAnsi" w:hAnsiTheme="majorHAnsi"/>
          <w:sz w:val="20"/>
          <w:szCs w:val="20"/>
          <w:lang w:val="es-ES"/>
        </w:rPr>
        <w:footnoteReference w:id="10"/>
      </w:r>
      <w:r w:rsidRPr="00AB561B">
        <w:rPr>
          <w:rFonts w:asciiTheme="majorHAnsi" w:hAnsiTheme="majorHAnsi"/>
          <w:sz w:val="20"/>
          <w:szCs w:val="20"/>
          <w:lang w:val="es-ES"/>
        </w:rPr>
        <w:t xml:space="preserve">  y que, en esos casos, éste constituye la vía idónea para esclarecer los hechos, juzgar a los responsables y establecer las sanciones penales correspondientes.</w:t>
      </w:r>
      <w:r w:rsidR="0056118B" w:rsidRPr="00AB561B">
        <w:rPr>
          <w:rFonts w:asciiTheme="majorHAnsi" w:hAnsiTheme="majorHAnsi"/>
          <w:sz w:val="20"/>
          <w:szCs w:val="20"/>
          <w:lang w:val="es-ES"/>
        </w:rPr>
        <w:t xml:space="preserve"> Asimismo, la Comisión recuerda que la jurisdicción militar no constituye un foro apropiado y por lo tanto no brinda un recurso adecuado para investigar, juzgar y sancionar las alegadas violaciones a los derechos humanos consagrados en la Convención Americana, presuntamente cometidas por miembros de la Fuerza Pública o con su colaboración o aquiescencia. Finalmente, l</w:t>
      </w:r>
      <w:r w:rsidRPr="00AB561B">
        <w:rPr>
          <w:rFonts w:asciiTheme="majorHAnsi" w:hAnsiTheme="majorHAnsi"/>
          <w:sz w:val="20"/>
          <w:szCs w:val="20"/>
          <w:lang w:val="es-ES"/>
        </w:rPr>
        <w:t>a Comisión toma nota de que el Estado menciona que todavía se encuentra en trámite un procedimiento domestico al respecto</w:t>
      </w:r>
      <w:r w:rsidR="0056118B" w:rsidRPr="00AB561B">
        <w:rPr>
          <w:rFonts w:asciiTheme="majorHAnsi" w:hAnsiTheme="majorHAnsi"/>
          <w:sz w:val="20"/>
          <w:szCs w:val="20"/>
          <w:lang w:val="es-ES"/>
        </w:rPr>
        <w:t xml:space="preserve">, pero </w:t>
      </w:r>
      <w:r w:rsidRPr="00AB561B">
        <w:rPr>
          <w:rFonts w:asciiTheme="majorHAnsi" w:hAnsiTheme="majorHAnsi"/>
          <w:sz w:val="20"/>
          <w:szCs w:val="20"/>
          <w:lang w:val="es-ES"/>
        </w:rPr>
        <w:t>observa que, trascurridos más de 40 años, no se han aclarecido los hechos de detención, tortura y desaparición, ni sancionado a los responsables. En tal sentido, la Comisión concluye que en el presente caso se aplica la excepción al agotamiento de los recursos internos prevista en el artículo 46.2.c de la Convención. En vista del contexto y las características de la petición incluida en el presente informe, la Comisión considera que esta fue presentada dentro de un plazo razonable y que debe darse por satisfecho el requisito de admisibilidad referente al plazo de presentación</w:t>
      </w:r>
      <w:r w:rsidR="005F192F" w:rsidRPr="00AB561B">
        <w:rPr>
          <w:rFonts w:asciiTheme="majorHAnsi" w:hAnsiTheme="majorHAnsi"/>
          <w:sz w:val="20"/>
          <w:szCs w:val="20"/>
          <w:lang w:val="es-ES"/>
        </w:rPr>
        <w:t>.</w:t>
      </w:r>
    </w:p>
    <w:p w14:paraId="79AB0785" w14:textId="3E902115" w:rsidR="002C4CA4" w:rsidRPr="00AB561B" w:rsidRDefault="002C4CA4" w:rsidP="00A46C54">
      <w:pPr>
        <w:numPr>
          <w:ilvl w:val="0"/>
          <w:numId w:val="55"/>
        </w:numPr>
        <w:suppressAutoHyphens/>
        <w:spacing w:after="120"/>
        <w:jc w:val="both"/>
        <w:rPr>
          <w:rFonts w:asciiTheme="majorHAnsi" w:hAnsiTheme="majorHAnsi"/>
          <w:sz w:val="20"/>
          <w:szCs w:val="20"/>
          <w:lang w:val="es-ES"/>
        </w:rPr>
      </w:pPr>
      <w:r w:rsidRPr="00AB561B">
        <w:rPr>
          <w:rFonts w:asciiTheme="majorHAnsi" w:hAnsiTheme="majorHAnsi"/>
          <w:bCs/>
          <w:sz w:val="20"/>
          <w:szCs w:val="20"/>
          <w:lang w:val="es-ES"/>
        </w:rPr>
        <w:t xml:space="preserve">Adicionalmente, en cuanto a los procesos de reparación ante la jurisdicción </w:t>
      </w:r>
      <w:r w:rsidR="00D26CDE" w:rsidRPr="00AB561B">
        <w:rPr>
          <w:rFonts w:asciiTheme="majorHAnsi" w:hAnsiTheme="majorHAnsi"/>
          <w:bCs/>
          <w:sz w:val="20"/>
          <w:szCs w:val="20"/>
          <w:lang w:val="es-ES"/>
        </w:rPr>
        <w:t>civil</w:t>
      </w:r>
      <w:r w:rsidRPr="00AB561B">
        <w:rPr>
          <w:rFonts w:asciiTheme="majorHAnsi" w:hAnsiTheme="majorHAnsi"/>
          <w:bCs/>
          <w:sz w:val="20"/>
          <w:szCs w:val="20"/>
          <w:lang w:val="es-ES"/>
        </w:rPr>
        <w:t>, la Comisión ha sostenido reiteradamente que dicha vía no constituye un recurso idóneo a efectos de analizar la admisibilidad de un reclamo de la naturaleza del presente, ya que la misma no es adecuada para proporcionar una reparación integral que incluye esclarecimiento y justicia a los familiares. Sin perjuicio de lo mencionado, si bien en el presente caso el proceso penal es el recurso idóneo para la investigación de los hechos, se observa que las peticionarias alegan además violaciones concretas en el marco de la demanda de reparación directa. Por ello, dada la vinculación entre los dos procesos, la Comisión toma en cuenta que, en la jurisdicción contenciosa administrativa, los recursos internos se agotaron con el auto de cúmplase dictado por el juez de primera instancia el</w:t>
      </w:r>
      <w:r w:rsidR="00AF25C3" w:rsidRPr="00AB561B">
        <w:rPr>
          <w:rFonts w:asciiTheme="majorHAnsi" w:hAnsiTheme="majorHAnsi"/>
          <w:bCs/>
          <w:sz w:val="20"/>
          <w:szCs w:val="20"/>
          <w:lang w:val="es-ES"/>
        </w:rPr>
        <w:t xml:space="preserve"> 3 de mayo de 2011</w:t>
      </w:r>
      <w:r w:rsidRPr="00AB561B">
        <w:rPr>
          <w:rFonts w:asciiTheme="majorHAnsi" w:hAnsiTheme="majorHAnsi"/>
          <w:bCs/>
          <w:sz w:val="20"/>
          <w:szCs w:val="20"/>
          <w:lang w:val="es-ES"/>
        </w:rPr>
        <w:t xml:space="preserve">, respecto a la decisión de la Corte </w:t>
      </w:r>
      <w:r w:rsidR="00AF25C3" w:rsidRPr="00AB561B">
        <w:rPr>
          <w:rFonts w:asciiTheme="majorHAnsi" w:hAnsiTheme="majorHAnsi"/>
          <w:bCs/>
          <w:sz w:val="20"/>
          <w:szCs w:val="20"/>
          <w:lang w:val="es-ES"/>
        </w:rPr>
        <w:t>Suprema del 14 de abril de 2011</w:t>
      </w:r>
      <w:r w:rsidRPr="00AB561B">
        <w:rPr>
          <w:rFonts w:asciiTheme="majorHAnsi" w:hAnsiTheme="majorHAnsi"/>
          <w:bCs/>
          <w:sz w:val="20"/>
          <w:szCs w:val="20"/>
          <w:lang w:val="es-ES"/>
        </w:rPr>
        <w:t xml:space="preserve">. Con base en ello, la Comisión concluye que la presente petición cumple el requisito establecido en el artículo 46.1.a de la Convención. Asimismo, la petición fue presentada ante la CIDH el </w:t>
      </w:r>
      <w:r w:rsidR="00AF25C3" w:rsidRPr="00AB561B">
        <w:rPr>
          <w:rFonts w:asciiTheme="majorHAnsi" w:hAnsiTheme="majorHAnsi"/>
          <w:bCs/>
          <w:sz w:val="20"/>
          <w:szCs w:val="20"/>
          <w:lang w:val="es-ES"/>
        </w:rPr>
        <w:t>3</w:t>
      </w:r>
      <w:r w:rsidRPr="00AB561B">
        <w:rPr>
          <w:rFonts w:asciiTheme="majorHAnsi" w:hAnsiTheme="majorHAnsi"/>
          <w:bCs/>
          <w:sz w:val="20"/>
          <w:szCs w:val="20"/>
          <w:lang w:val="es-ES"/>
        </w:rPr>
        <w:t xml:space="preserve"> de noviembre de 20</w:t>
      </w:r>
      <w:r w:rsidR="00AF25C3" w:rsidRPr="00AB561B">
        <w:rPr>
          <w:rFonts w:asciiTheme="majorHAnsi" w:hAnsiTheme="majorHAnsi"/>
          <w:bCs/>
          <w:sz w:val="20"/>
          <w:szCs w:val="20"/>
          <w:lang w:val="es-ES"/>
        </w:rPr>
        <w:t>11</w:t>
      </w:r>
      <w:r w:rsidRPr="00AB561B">
        <w:rPr>
          <w:rFonts w:asciiTheme="majorHAnsi" w:hAnsiTheme="majorHAnsi"/>
          <w:bCs/>
          <w:sz w:val="20"/>
          <w:szCs w:val="20"/>
          <w:lang w:val="es-ES"/>
        </w:rPr>
        <w:t>, cumpliendo con el requisito establecido en los artículos 46.1.b de la Convención y 32.1 del Reglamento.</w:t>
      </w:r>
    </w:p>
    <w:p w14:paraId="7090A929" w14:textId="115AB145" w:rsidR="00F04591" w:rsidRPr="00AB561B" w:rsidRDefault="00F04591" w:rsidP="00647756">
      <w:pPr>
        <w:pStyle w:val="ListParagraph"/>
        <w:spacing w:before="120" w:after="120"/>
        <w:jc w:val="both"/>
        <w:rPr>
          <w:rFonts w:asciiTheme="majorHAnsi" w:hAnsiTheme="majorHAnsi"/>
          <w:b/>
          <w:bCs/>
          <w:sz w:val="20"/>
          <w:szCs w:val="20"/>
          <w:lang w:val="es-ES"/>
        </w:rPr>
      </w:pPr>
      <w:r w:rsidRPr="00AB561B">
        <w:rPr>
          <w:rFonts w:asciiTheme="majorHAnsi" w:hAnsiTheme="majorHAnsi"/>
          <w:b/>
          <w:bCs/>
          <w:sz w:val="20"/>
          <w:szCs w:val="20"/>
          <w:lang w:val="es-ES"/>
        </w:rPr>
        <w:t>V</w:t>
      </w:r>
      <w:r w:rsidR="000E2789" w:rsidRPr="00AB561B">
        <w:rPr>
          <w:rFonts w:asciiTheme="majorHAnsi" w:hAnsiTheme="majorHAnsi"/>
          <w:b/>
          <w:bCs/>
          <w:sz w:val="20"/>
          <w:szCs w:val="20"/>
          <w:lang w:val="es-ES"/>
        </w:rPr>
        <w:t>I</w:t>
      </w:r>
      <w:r w:rsidRPr="00AB561B">
        <w:rPr>
          <w:rFonts w:asciiTheme="majorHAnsi" w:hAnsiTheme="majorHAnsi"/>
          <w:b/>
          <w:bCs/>
          <w:sz w:val="20"/>
          <w:szCs w:val="20"/>
          <w:lang w:val="es-ES"/>
        </w:rPr>
        <w:t xml:space="preserve">I. </w:t>
      </w:r>
      <w:r w:rsidRPr="00AB561B">
        <w:rPr>
          <w:rFonts w:asciiTheme="majorHAnsi" w:hAnsiTheme="majorHAnsi"/>
          <w:b/>
          <w:bCs/>
          <w:sz w:val="20"/>
          <w:szCs w:val="20"/>
          <w:lang w:val="es-ES"/>
        </w:rPr>
        <w:tab/>
        <w:t>CARACTERIZACIÓN</w:t>
      </w:r>
    </w:p>
    <w:p w14:paraId="62A1802A" w14:textId="77777777" w:rsidR="00917D4E" w:rsidRPr="00AB561B" w:rsidRDefault="00917D4E" w:rsidP="00827B7F">
      <w:pPr>
        <w:pStyle w:val="ListParagraph"/>
        <w:numPr>
          <w:ilvl w:val="0"/>
          <w:numId w:val="55"/>
        </w:numPr>
        <w:spacing w:before="120" w:after="120"/>
        <w:jc w:val="both"/>
        <w:rPr>
          <w:rFonts w:asciiTheme="majorHAnsi" w:hAnsiTheme="majorHAnsi"/>
          <w:bCs/>
          <w:sz w:val="20"/>
          <w:szCs w:val="20"/>
          <w:lang w:val="es-ES"/>
        </w:rPr>
      </w:pPr>
      <w:r w:rsidRPr="00AB561B">
        <w:rPr>
          <w:rFonts w:asciiTheme="majorHAnsi" w:hAnsiTheme="majorHAnsi"/>
          <w:sz w:val="20"/>
          <w:szCs w:val="20"/>
          <w:lang w:val="es-ES"/>
        </w:rPr>
        <w:t xml:space="preserve">En relación a la competencia </w:t>
      </w:r>
      <w:proofErr w:type="spellStart"/>
      <w:r w:rsidRPr="00AB561B">
        <w:rPr>
          <w:rFonts w:asciiTheme="majorHAnsi" w:hAnsiTheme="majorHAnsi"/>
          <w:i/>
          <w:sz w:val="20"/>
          <w:szCs w:val="20"/>
          <w:lang w:val="es-ES"/>
        </w:rPr>
        <w:t>ratione</w:t>
      </w:r>
      <w:proofErr w:type="spellEnd"/>
      <w:r w:rsidRPr="00AB561B">
        <w:rPr>
          <w:rFonts w:asciiTheme="majorHAnsi" w:hAnsiTheme="majorHAnsi"/>
          <w:i/>
          <w:sz w:val="20"/>
          <w:szCs w:val="20"/>
          <w:lang w:val="es-ES"/>
        </w:rPr>
        <w:t xml:space="preserve"> </w:t>
      </w:r>
      <w:proofErr w:type="spellStart"/>
      <w:r w:rsidRPr="00AB561B">
        <w:rPr>
          <w:rFonts w:asciiTheme="majorHAnsi" w:hAnsiTheme="majorHAnsi"/>
          <w:i/>
          <w:sz w:val="20"/>
          <w:szCs w:val="20"/>
          <w:lang w:val="es-ES"/>
        </w:rPr>
        <w:t>temporis</w:t>
      </w:r>
      <w:proofErr w:type="spellEnd"/>
      <w:r w:rsidRPr="00AB561B">
        <w:rPr>
          <w:rFonts w:asciiTheme="majorHAnsi" w:hAnsiTheme="majorHAnsi"/>
          <w:sz w:val="20"/>
          <w:szCs w:val="20"/>
          <w:lang w:val="es-ES"/>
        </w:rPr>
        <w:t xml:space="preserve"> y </w:t>
      </w:r>
      <w:proofErr w:type="spellStart"/>
      <w:r w:rsidRPr="00AB561B">
        <w:rPr>
          <w:rFonts w:asciiTheme="majorHAnsi" w:hAnsiTheme="majorHAnsi"/>
          <w:i/>
          <w:sz w:val="20"/>
          <w:szCs w:val="20"/>
          <w:lang w:val="es-ES"/>
        </w:rPr>
        <w:t>ratione</w:t>
      </w:r>
      <w:proofErr w:type="spellEnd"/>
      <w:r w:rsidRPr="00AB561B">
        <w:rPr>
          <w:rFonts w:asciiTheme="majorHAnsi" w:hAnsiTheme="majorHAnsi"/>
          <w:i/>
          <w:sz w:val="20"/>
          <w:szCs w:val="20"/>
          <w:lang w:val="es-ES"/>
        </w:rPr>
        <w:t xml:space="preserve"> </w:t>
      </w:r>
      <w:proofErr w:type="spellStart"/>
      <w:r w:rsidRPr="00AB561B">
        <w:rPr>
          <w:rFonts w:asciiTheme="majorHAnsi" w:hAnsiTheme="majorHAnsi"/>
          <w:i/>
          <w:sz w:val="20"/>
          <w:szCs w:val="20"/>
          <w:lang w:val="es-ES"/>
        </w:rPr>
        <w:t>materiae</w:t>
      </w:r>
      <w:proofErr w:type="spellEnd"/>
      <w:r w:rsidRPr="00AB561B">
        <w:rPr>
          <w:rFonts w:asciiTheme="majorHAnsi" w:hAnsiTheme="majorHAnsi"/>
          <w:sz w:val="20"/>
          <w:szCs w:val="20"/>
          <w:lang w:val="es-ES"/>
        </w:rPr>
        <w:t>, la Comisión analizará los hechos del presente caso a la luz de las obligaciones establecidas en la Convención Americana, en la Convención Interamericana sobre Desaparición Forzada de Personas y en la Convención contra la Tortura, respecto de aquellos hechos ocurridos con posterioridad a su entrada en vigor o cuya ejecución continuó luego de la entrada en vigor de dichos instrumentos para el Estado de Chile. La Comisión analizará los hechos consumados con anterioridad a la entrada en vigor de la Convención Americana para dicho Estado, a la luz de las obligaciones derivadas de la Declaración Americana.</w:t>
      </w:r>
    </w:p>
    <w:p w14:paraId="2C9BF404" w14:textId="3D404F12" w:rsidR="00917D4E" w:rsidRPr="00AB561B" w:rsidRDefault="00917D4E" w:rsidP="00827B7F">
      <w:pPr>
        <w:pStyle w:val="ListParagraph"/>
        <w:numPr>
          <w:ilvl w:val="0"/>
          <w:numId w:val="55"/>
        </w:numPr>
        <w:jc w:val="both"/>
        <w:rPr>
          <w:rFonts w:asciiTheme="majorHAnsi" w:hAnsiTheme="majorHAnsi"/>
          <w:sz w:val="20"/>
          <w:szCs w:val="20"/>
          <w:lang w:val="es-ES"/>
        </w:rPr>
      </w:pPr>
      <w:r w:rsidRPr="00AB561B">
        <w:rPr>
          <w:rFonts w:asciiTheme="majorHAnsi" w:hAnsiTheme="majorHAnsi"/>
          <w:sz w:val="20"/>
          <w:szCs w:val="20"/>
          <w:lang w:val="es-ES"/>
        </w:rPr>
        <w:t xml:space="preserve">La Comisión observa que la presente petición incluye alegaciones con respecto a la detención y desaparición forzada de la presunta víctima. 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 </w:t>
      </w:r>
      <w:r w:rsidRPr="00AB561B">
        <w:rPr>
          <w:rFonts w:asciiTheme="majorHAnsi" w:hAnsiTheme="majorHAnsi"/>
          <w:bCs/>
          <w:sz w:val="20"/>
          <w:szCs w:val="20"/>
          <w:lang w:val="es-ES"/>
        </w:rPr>
        <w:t xml:space="preserve">I (vida, libertad, seguridad e integridad de la persona), XVII (reconocimiento de la personalidad jurídica y derechos civiles), XVIII (justicia) y XXV (protección contra la detención arbitraria) de la Declaración Americana. </w:t>
      </w:r>
      <w:r w:rsidR="0056118B" w:rsidRPr="00AB561B">
        <w:rPr>
          <w:rFonts w:asciiTheme="majorHAnsi" w:hAnsiTheme="majorHAnsi"/>
          <w:sz w:val="20"/>
          <w:szCs w:val="20"/>
          <w:lang w:val="es-ES"/>
        </w:rPr>
        <w:t xml:space="preserve">Asimismo, la Comisión observa </w:t>
      </w:r>
      <w:r w:rsidR="0056118B" w:rsidRPr="00AB561B">
        <w:rPr>
          <w:rFonts w:asciiTheme="majorHAnsi" w:hAnsiTheme="majorHAnsi"/>
          <w:sz w:val="20"/>
          <w:szCs w:val="20"/>
          <w:lang w:val="es-ES"/>
        </w:rPr>
        <w:lastRenderedPageBreak/>
        <w:t xml:space="preserve">que la presente petición incluye alegaciones con respecto a la continuidad y falta de esclarecimiento de dichos delitos, así como a la falta de indemnización por los hechos ocurridos, en aplicación judicial de la prescripción en materia civil. </w:t>
      </w:r>
      <w:r w:rsidR="0056118B" w:rsidRPr="00AB561B">
        <w:rPr>
          <w:rFonts w:asciiTheme="majorHAnsi" w:eastAsia="Arial Unicode MS" w:hAnsiTheme="majorHAnsi" w:cs="Times New Roman"/>
          <w:color w:val="auto"/>
          <w:sz w:val="20"/>
          <w:szCs w:val="20"/>
          <w:bdr w:val="none" w:sz="0" w:space="0" w:color="auto"/>
          <w:lang w:val="es-ES" w:eastAsia="en-US"/>
        </w:rPr>
        <w:t>Respecto a las acciones civiles de reparación interpuestas en asuntos como el presente, tanto la Comisión como la Corte Interamericana se han pronunciado en el sentido de que la aplicación de la figura de prescripción constituye un obstáculo al acceso efectivo a la justicia para hacer efectivo el derecho de las víctimas a ser reparadas</w:t>
      </w:r>
      <w:r w:rsidR="0056118B" w:rsidRPr="00AB561B">
        <w:rPr>
          <w:rFonts w:asciiTheme="majorHAnsi" w:eastAsia="Arial Unicode MS" w:hAnsiTheme="majorHAnsi" w:cs="Times New Roman"/>
          <w:color w:val="auto"/>
          <w:sz w:val="20"/>
          <w:szCs w:val="20"/>
          <w:bdr w:val="none" w:sz="0" w:space="0" w:color="auto"/>
          <w:vertAlign w:val="superscript"/>
          <w:lang w:val="es-ES" w:eastAsia="en-US"/>
        </w:rPr>
        <w:footnoteReference w:id="11"/>
      </w:r>
      <w:r w:rsidR="0056118B" w:rsidRPr="00AB561B">
        <w:rPr>
          <w:rFonts w:asciiTheme="majorHAnsi" w:eastAsia="Arial Unicode MS" w:hAnsiTheme="majorHAnsi" w:cs="Times New Roman"/>
          <w:color w:val="auto"/>
          <w:sz w:val="20"/>
          <w:szCs w:val="20"/>
          <w:bdr w:val="none" w:sz="0" w:space="0" w:color="auto"/>
          <w:lang w:val="es-ES" w:eastAsia="en-US"/>
        </w:rPr>
        <w:t>. Teniendo en cuenta lo anterior, la CIDH considera que los alegatos de la parte peticionaria no resultan manifiestamente infundadas y requieren un estudio de fondo pues los hechos alegados, de corroborarse como ciertos podrían caracterizar violaciones</w:t>
      </w:r>
      <w:r w:rsidRPr="00AB561B">
        <w:rPr>
          <w:rFonts w:asciiTheme="majorHAnsi" w:hAnsiTheme="majorHAnsi"/>
          <w:sz w:val="20"/>
          <w:szCs w:val="20"/>
          <w:lang w:val="es-ES"/>
        </w:rPr>
        <w:t xml:space="preserve"> a los artículos 3 (personalidad jurídica), 4 (vida), 5 (integridad personal), 7 (libertad personal), 8 (garantías judiciales) y 25 (protección judicial) de la Convención Americana, ello en relación con sus numerales 1.1 (obligación de respetar los derechos) y 2 (deber de adoptar disposiciones de derecho interno), así como a los artículos 1, 6 y 8 de la Convención contra la Tortura; y el artículo I de la Convención Interamericana sobre Desaparición Forzada de Personas</w:t>
      </w:r>
      <w:r w:rsidRPr="00AB561B">
        <w:rPr>
          <w:rStyle w:val="FootnoteReference"/>
          <w:rFonts w:asciiTheme="majorHAnsi" w:hAnsiTheme="majorHAnsi"/>
          <w:sz w:val="20"/>
          <w:szCs w:val="20"/>
          <w:lang w:val="es-ES"/>
        </w:rPr>
        <w:footnoteReference w:id="12"/>
      </w:r>
      <w:r w:rsidRPr="00AB561B">
        <w:rPr>
          <w:rFonts w:asciiTheme="majorHAnsi" w:hAnsiTheme="majorHAnsi"/>
          <w:sz w:val="20"/>
          <w:szCs w:val="20"/>
          <w:lang w:val="es-ES"/>
        </w:rPr>
        <w:t>.</w:t>
      </w:r>
    </w:p>
    <w:p w14:paraId="60E8BA5E" w14:textId="77777777" w:rsidR="00836A5A" w:rsidRPr="00AB561B" w:rsidRDefault="00836A5A" w:rsidP="000C1933">
      <w:pPr>
        <w:pStyle w:val="ListParagraph"/>
        <w:rPr>
          <w:rFonts w:asciiTheme="majorHAnsi" w:hAnsiTheme="majorHAnsi"/>
          <w:sz w:val="20"/>
          <w:szCs w:val="20"/>
          <w:lang w:val="es-ES"/>
        </w:rPr>
      </w:pPr>
    </w:p>
    <w:p w14:paraId="29BB41F5" w14:textId="2851F5F9" w:rsidR="003239B8" w:rsidRPr="00AB561B" w:rsidRDefault="00EC72AB" w:rsidP="008C5751">
      <w:pPr>
        <w:suppressAutoHyphens/>
        <w:spacing w:after="120"/>
        <w:ind w:left="720"/>
        <w:jc w:val="both"/>
        <w:rPr>
          <w:rFonts w:asciiTheme="majorHAnsi" w:hAnsiTheme="majorHAnsi"/>
          <w:b/>
          <w:bCs/>
          <w:sz w:val="20"/>
          <w:szCs w:val="20"/>
          <w:lang w:val="es-ES"/>
        </w:rPr>
      </w:pPr>
      <w:r w:rsidRPr="00AB561B">
        <w:rPr>
          <w:rFonts w:asciiTheme="majorHAnsi" w:hAnsiTheme="majorHAnsi"/>
          <w:b/>
          <w:bCs/>
          <w:sz w:val="20"/>
          <w:szCs w:val="20"/>
          <w:lang w:val="es-ES"/>
        </w:rPr>
        <w:t>VI</w:t>
      </w:r>
      <w:r w:rsidR="00F04591" w:rsidRPr="00AB561B">
        <w:rPr>
          <w:rFonts w:asciiTheme="majorHAnsi" w:hAnsiTheme="majorHAnsi"/>
          <w:b/>
          <w:bCs/>
          <w:sz w:val="20"/>
          <w:szCs w:val="20"/>
          <w:lang w:val="es-ES"/>
        </w:rPr>
        <w:t>II</w:t>
      </w:r>
      <w:r w:rsidR="003239B8" w:rsidRPr="00AB561B">
        <w:rPr>
          <w:rFonts w:asciiTheme="majorHAnsi" w:hAnsiTheme="majorHAnsi"/>
          <w:b/>
          <w:bCs/>
          <w:sz w:val="20"/>
          <w:szCs w:val="20"/>
          <w:lang w:val="es-ES"/>
        </w:rPr>
        <w:t xml:space="preserve">. </w:t>
      </w:r>
      <w:r w:rsidR="003239B8" w:rsidRPr="00AB561B">
        <w:rPr>
          <w:rFonts w:asciiTheme="majorHAnsi" w:hAnsiTheme="majorHAnsi"/>
          <w:b/>
          <w:bCs/>
          <w:sz w:val="20"/>
          <w:szCs w:val="20"/>
          <w:lang w:val="es-ES"/>
        </w:rPr>
        <w:tab/>
        <w:t>DECISIÓN</w:t>
      </w:r>
    </w:p>
    <w:p w14:paraId="570DA61C" w14:textId="3EF021C3" w:rsidR="000419AD" w:rsidRPr="00AB561B" w:rsidRDefault="007B6EFC" w:rsidP="00827B7F">
      <w:pPr>
        <w:numPr>
          <w:ilvl w:val="0"/>
          <w:numId w:val="56"/>
        </w:numPr>
        <w:suppressAutoHyphens/>
        <w:spacing w:after="120"/>
        <w:jc w:val="both"/>
        <w:rPr>
          <w:rFonts w:asciiTheme="majorHAnsi" w:hAnsiTheme="majorHAnsi"/>
          <w:sz w:val="20"/>
          <w:szCs w:val="20"/>
          <w:lang w:val="es-ES"/>
        </w:rPr>
      </w:pPr>
      <w:r w:rsidRPr="00AB561B">
        <w:rPr>
          <w:rFonts w:asciiTheme="majorHAnsi" w:hAnsiTheme="majorHAnsi"/>
          <w:sz w:val="20"/>
          <w:szCs w:val="20"/>
          <w:lang w:val="es-ES"/>
        </w:rPr>
        <w:t>Declarar admisible la presente petición en relación con los artículos 3, 4, 5, 7, 8 y 25 de la Convención Americana en relación con sus artículos 1.1 y 2; artículos 1, 6 y 8 de la Convención contra la Tortura; y el artículo I de la Convención Interamericana sobre Desaparición Forzada de Personas respecto de aquellos hechos ocurridos con posterioridad a su entrada en vigor o cuya ejecución continuó luego de la entrada en vigor de dichos instrumentos para el Estado de Chile; y los artículos I, XVII, XVIII y XXV de la Declaración Americana;</w:t>
      </w:r>
    </w:p>
    <w:p w14:paraId="0223E9CB" w14:textId="272C1DF3" w:rsidR="00937248" w:rsidRPr="00AB561B" w:rsidRDefault="004A6A54" w:rsidP="00937248">
      <w:pPr>
        <w:numPr>
          <w:ilvl w:val="0"/>
          <w:numId w:val="56"/>
        </w:numPr>
        <w:suppressAutoHyphens/>
        <w:spacing w:after="120"/>
        <w:jc w:val="both"/>
        <w:rPr>
          <w:rFonts w:asciiTheme="majorHAnsi" w:hAnsiTheme="majorHAnsi"/>
          <w:sz w:val="20"/>
          <w:szCs w:val="20"/>
          <w:lang w:val="es-ES"/>
        </w:rPr>
      </w:pPr>
      <w:r w:rsidRPr="00AB561B">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72B729D0" w14:textId="65313B3B" w:rsidR="00430341" w:rsidRPr="00AB561B" w:rsidRDefault="00430341" w:rsidP="00430341">
      <w:pPr>
        <w:ind w:firstLine="720"/>
        <w:jc w:val="both"/>
        <w:rPr>
          <w:rFonts w:asciiTheme="majorHAnsi" w:hAnsiTheme="majorHAnsi" w:cs="Arial"/>
          <w:noProof/>
          <w:spacing w:val="-2"/>
          <w:sz w:val="20"/>
          <w:szCs w:val="20"/>
          <w:lang w:val="es-CL"/>
        </w:rPr>
      </w:pPr>
      <w:r w:rsidRPr="00AB561B">
        <w:rPr>
          <w:rFonts w:asciiTheme="majorHAnsi" w:hAnsiTheme="majorHAnsi" w:cs="Arial"/>
          <w:noProof/>
          <w:spacing w:val="-2"/>
          <w:sz w:val="20"/>
          <w:szCs w:val="20"/>
          <w:lang w:val="es-CL"/>
        </w:rPr>
        <w:t xml:space="preserve">Aprobado por la Comisión Interamericana de Derechos Humanos  a los </w:t>
      </w:r>
      <w:r w:rsidR="00E02FA2" w:rsidRPr="00AB561B">
        <w:rPr>
          <w:rFonts w:asciiTheme="majorHAnsi" w:hAnsiTheme="majorHAnsi" w:cs="Arial"/>
          <w:noProof/>
          <w:spacing w:val="-2"/>
          <w:sz w:val="20"/>
          <w:szCs w:val="20"/>
          <w:lang w:val="es-CL"/>
        </w:rPr>
        <w:t>1</w:t>
      </w:r>
      <w:r w:rsidRPr="00AB561B">
        <w:rPr>
          <w:rFonts w:asciiTheme="majorHAnsi" w:hAnsiTheme="majorHAnsi" w:cs="Arial"/>
          <w:noProof/>
          <w:spacing w:val="-2"/>
          <w:sz w:val="20"/>
          <w:szCs w:val="20"/>
          <w:lang w:val="es-CL"/>
        </w:rPr>
        <w:t xml:space="preserve">0 días del mes de diciembre de </w:t>
      </w:r>
      <w:r w:rsidR="00E02FA2" w:rsidRPr="00AB561B">
        <w:rPr>
          <w:rFonts w:asciiTheme="majorHAnsi" w:hAnsiTheme="majorHAnsi" w:cs="Arial"/>
          <w:noProof/>
          <w:spacing w:val="-2"/>
          <w:sz w:val="20"/>
          <w:szCs w:val="20"/>
          <w:lang w:val="es-CL"/>
        </w:rPr>
        <w:t>2020</w:t>
      </w:r>
      <w:r w:rsidRPr="00AB561B">
        <w:rPr>
          <w:rFonts w:asciiTheme="majorHAnsi" w:hAnsiTheme="majorHAnsi" w:cs="Arial"/>
          <w:noProof/>
          <w:spacing w:val="-2"/>
          <w:sz w:val="20"/>
          <w:szCs w:val="20"/>
          <w:lang w:val="es-CL"/>
        </w:rPr>
        <w:t>.  (Firmado): Joel Hernández, Presidente; Flávia Piovesan, Segunda Vicepresidenta; Margarette May Macaulay y Esmeralda E. Arosemena Bernal de Troitiño, Miembros de la Comisión.</w:t>
      </w:r>
      <w:r w:rsidRPr="00AB561B">
        <w:rPr>
          <w:rFonts w:asciiTheme="majorHAnsi" w:hAnsiTheme="majorHAnsi" w:cs="Arial"/>
          <w:noProof/>
          <w:sz w:val="20"/>
          <w:szCs w:val="20"/>
          <w:lang w:val="es-CL"/>
        </w:rPr>
        <w:t xml:space="preserve"> </w:t>
      </w:r>
    </w:p>
    <w:p w14:paraId="77CBF377" w14:textId="77777777" w:rsidR="00430341" w:rsidRPr="00AB561B" w:rsidRDefault="00430341" w:rsidP="00430341">
      <w:pPr>
        <w:suppressAutoHyphens/>
        <w:ind w:firstLine="720"/>
        <w:jc w:val="both"/>
        <w:rPr>
          <w:rFonts w:asciiTheme="majorHAnsi" w:hAnsiTheme="majorHAnsi" w:cs="Arial"/>
          <w:noProof/>
          <w:spacing w:val="-2"/>
          <w:sz w:val="20"/>
          <w:szCs w:val="20"/>
          <w:lang w:val="es-CL"/>
        </w:rPr>
      </w:pPr>
    </w:p>
    <w:sectPr w:rsidR="00430341" w:rsidRPr="00AB561B" w:rsidSect="00934A2C">
      <w:type w:val="oddPage"/>
      <w:pgSz w:w="12240" w:h="15840"/>
      <w:pgMar w:top="1440" w:right="1440" w:bottom="1440" w:left="1440" w:header="720" w:footer="720" w:gutter="0"/>
      <w:pgNumType w:start="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E5A448" w16cid:durableId="221DE032"/>
  <w16cid:commentId w16cid:paraId="24CEA15B" w16cid:durableId="221DE18F"/>
  <w16cid:commentId w16cid:paraId="60DA17D5" w16cid:durableId="221DE033"/>
  <w16cid:commentId w16cid:paraId="393A2A05" w16cid:durableId="221DED08"/>
  <w16cid:commentId w16cid:paraId="6E04E162" w16cid:durableId="22232333"/>
  <w16cid:commentId w16cid:paraId="3D82C57B" w16cid:durableId="221DE036"/>
  <w16cid:commentId w16cid:paraId="0F62D726" w16cid:durableId="221DE267"/>
  <w16cid:commentId w16cid:paraId="42AF1DE3" w16cid:durableId="221DE037"/>
  <w16cid:commentId w16cid:paraId="5A818DDE" w16cid:durableId="221DE1F0"/>
  <w16cid:commentId w16cid:paraId="0AE119B8" w16cid:durableId="221DE038"/>
  <w16cid:commentId w16cid:paraId="4FBA97ED" w16cid:durableId="221DE1D5"/>
  <w16cid:commentId w16cid:paraId="3DC6246B" w16cid:durableId="221DE039"/>
  <w16cid:commentId w16cid:paraId="5453E6CB" w16cid:durableId="221DEA9D"/>
  <w16cid:commentId w16cid:paraId="00F32666" w16cid:durableId="22231C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27477" w14:textId="77777777" w:rsidR="00D459B0" w:rsidRDefault="00D459B0">
      <w:r>
        <w:separator/>
      </w:r>
    </w:p>
  </w:endnote>
  <w:endnote w:type="continuationSeparator" w:id="0">
    <w:p w14:paraId="2A8DED14" w14:textId="77777777" w:rsidR="00D459B0" w:rsidRDefault="00D45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1776B" w14:textId="77777777" w:rsidR="006C4EFE" w:rsidRDefault="006C4E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69C0B602"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C4EFE">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F7E37" w14:textId="77777777" w:rsidR="00D459B0" w:rsidRPr="000F35ED" w:rsidRDefault="00D459B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FCA6EF5" w14:textId="77777777" w:rsidR="00D459B0" w:rsidRPr="000F35ED" w:rsidRDefault="00D459B0" w:rsidP="000F35ED">
      <w:pPr>
        <w:rPr>
          <w:rFonts w:asciiTheme="majorHAnsi" w:hAnsiTheme="majorHAnsi"/>
          <w:sz w:val="16"/>
          <w:szCs w:val="16"/>
        </w:rPr>
      </w:pPr>
      <w:r w:rsidRPr="000F35ED">
        <w:rPr>
          <w:rFonts w:asciiTheme="majorHAnsi" w:hAnsiTheme="majorHAnsi"/>
          <w:sz w:val="16"/>
          <w:szCs w:val="16"/>
        </w:rPr>
        <w:separator/>
      </w:r>
    </w:p>
    <w:p w14:paraId="240F7CE1" w14:textId="77777777" w:rsidR="00D459B0" w:rsidRPr="000F35ED" w:rsidRDefault="00D459B0"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2525E103" w14:textId="77777777" w:rsidR="00D459B0" w:rsidRPr="000F35ED" w:rsidRDefault="00D459B0"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611D987" w14:textId="01602C2B" w:rsidR="00D34B76" w:rsidRPr="00E55732" w:rsidRDefault="00430341" w:rsidP="00374340">
      <w:pPr>
        <w:pStyle w:val="FootnoteText"/>
        <w:jc w:val="both"/>
        <w:rPr>
          <w:rFonts w:ascii="Cambria" w:hAnsi="Cambria"/>
          <w:sz w:val="16"/>
          <w:szCs w:val="16"/>
          <w:lang w:val="es-MX"/>
        </w:rPr>
      </w:pPr>
      <w:r>
        <w:rPr>
          <w:rFonts w:ascii="Cambria" w:hAnsi="Cambria"/>
          <w:sz w:val="16"/>
          <w:szCs w:val="16"/>
          <w:lang w:val="es-MX"/>
        </w:rPr>
        <w:tab/>
      </w:r>
      <w:r w:rsidR="00D34B76" w:rsidRPr="00E55732">
        <w:rPr>
          <w:rStyle w:val="FootnoteReference"/>
          <w:rFonts w:ascii="Cambria" w:hAnsi="Cambria"/>
          <w:sz w:val="16"/>
          <w:szCs w:val="16"/>
        </w:rPr>
        <w:footnoteRef/>
      </w:r>
      <w:r w:rsidR="00D34B76" w:rsidRPr="00E55732">
        <w:rPr>
          <w:rFonts w:ascii="Cambria" w:hAnsi="Cambria"/>
          <w:sz w:val="16"/>
          <w:szCs w:val="16"/>
          <w:lang w:val="es-MX"/>
        </w:rPr>
        <w:t xml:space="preserve"> </w:t>
      </w:r>
      <w:r w:rsidR="00214755" w:rsidRPr="00E55732">
        <w:rPr>
          <w:rFonts w:ascii="Cambria" w:hAnsi="Cambria"/>
          <w:sz w:val="16"/>
          <w:szCs w:val="16"/>
          <w:lang w:val="es-MX"/>
        </w:rPr>
        <w:t xml:space="preserve">La petición fue presentada inicialmente también por Franz </w:t>
      </w:r>
      <w:proofErr w:type="spellStart"/>
      <w:r w:rsidR="00214755" w:rsidRPr="00E55732">
        <w:rPr>
          <w:rFonts w:ascii="Cambria" w:hAnsi="Cambria"/>
          <w:sz w:val="16"/>
          <w:szCs w:val="16"/>
          <w:lang w:val="es-MX"/>
        </w:rPr>
        <w:t>Moller</w:t>
      </w:r>
      <w:proofErr w:type="spellEnd"/>
      <w:r w:rsidR="00214755" w:rsidRPr="00E55732">
        <w:rPr>
          <w:rFonts w:ascii="Cambria" w:hAnsi="Cambria"/>
          <w:sz w:val="16"/>
          <w:szCs w:val="16"/>
          <w:lang w:val="es-MX"/>
        </w:rPr>
        <w:t xml:space="preserve"> Morris, pero mediante comunicación de fecha 26 de septiembre de 2017, indicó que renunciaba a ser peticionario</w:t>
      </w:r>
      <w:r w:rsidR="00D34B76" w:rsidRPr="00E55732">
        <w:rPr>
          <w:rFonts w:ascii="Cambria" w:hAnsi="Cambria"/>
          <w:sz w:val="16"/>
          <w:szCs w:val="16"/>
          <w:lang w:val="es-MX"/>
        </w:rPr>
        <w:t>.</w:t>
      </w:r>
    </w:p>
  </w:footnote>
  <w:footnote w:id="3">
    <w:p w14:paraId="45B5C617" w14:textId="4F44F8C9" w:rsidR="00201E85" w:rsidRPr="00E55732" w:rsidRDefault="00430341" w:rsidP="00374340">
      <w:pPr>
        <w:pStyle w:val="FootnoteText"/>
        <w:jc w:val="both"/>
        <w:rPr>
          <w:rFonts w:ascii="Cambria" w:hAnsi="Cambria"/>
          <w:color w:val="auto"/>
          <w:sz w:val="16"/>
          <w:szCs w:val="16"/>
          <w:lang w:val="es-MX"/>
        </w:rPr>
      </w:pPr>
      <w:r>
        <w:rPr>
          <w:rFonts w:ascii="Cambria" w:hAnsi="Cambria"/>
          <w:sz w:val="16"/>
          <w:szCs w:val="16"/>
          <w:lang w:val="es-MX"/>
        </w:rPr>
        <w:tab/>
      </w:r>
      <w:r w:rsidR="00201E85" w:rsidRPr="00E55732">
        <w:rPr>
          <w:rStyle w:val="FootnoteReference"/>
          <w:rFonts w:ascii="Cambria" w:hAnsi="Cambria"/>
          <w:sz w:val="16"/>
          <w:szCs w:val="16"/>
        </w:rPr>
        <w:footnoteRef/>
      </w:r>
      <w:r w:rsidR="00C7589C" w:rsidRPr="00E55732">
        <w:rPr>
          <w:rFonts w:ascii="Cambria" w:hAnsi="Cambria"/>
          <w:sz w:val="16"/>
          <w:szCs w:val="16"/>
          <w:lang w:val="es-MX"/>
        </w:rPr>
        <w:t xml:space="preserve"> </w:t>
      </w:r>
      <w:r w:rsidR="004A4122" w:rsidRPr="00E55732">
        <w:rPr>
          <w:rFonts w:ascii="Cambria" w:hAnsi="Cambria"/>
          <w:sz w:val="16"/>
          <w:szCs w:val="16"/>
          <w:lang w:val="es-MX"/>
        </w:rPr>
        <w:t xml:space="preserve">Graciela del Carmen Tamayo Romero, cónyuge de la presunta víctima. </w:t>
      </w:r>
    </w:p>
  </w:footnote>
  <w:footnote w:id="4">
    <w:p w14:paraId="06C1BEFA" w14:textId="7AC74421" w:rsidR="004A6A54" w:rsidRPr="00E55732" w:rsidRDefault="00430341" w:rsidP="00374340">
      <w:pPr>
        <w:pStyle w:val="FootnoteText"/>
        <w:jc w:val="both"/>
        <w:rPr>
          <w:rFonts w:ascii="Cambria" w:hAnsi="Cambria"/>
          <w:sz w:val="16"/>
          <w:szCs w:val="16"/>
          <w:lang w:val="es-ES"/>
        </w:rPr>
      </w:pPr>
      <w:r>
        <w:rPr>
          <w:rFonts w:ascii="Cambria" w:hAnsi="Cambria"/>
          <w:color w:val="auto"/>
          <w:sz w:val="16"/>
          <w:szCs w:val="16"/>
          <w:lang w:val="es-ES"/>
        </w:rPr>
        <w:tab/>
      </w:r>
      <w:r w:rsidR="004A6A54" w:rsidRPr="00E55732">
        <w:rPr>
          <w:rStyle w:val="FootnoteReference"/>
          <w:rFonts w:ascii="Cambria" w:hAnsi="Cambria"/>
          <w:color w:val="auto"/>
          <w:sz w:val="16"/>
          <w:szCs w:val="16"/>
        </w:rPr>
        <w:footnoteRef/>
      </w:r>
      <w:r w:rsidR="004A6A54" w:rsidRPr="00E55732">
        <w:rPr>
          <w:rFonts w:ascii="Cambria" w:hAnsi="Cambria"/>
          <w:color w:val="auto"/>
          <w:sz w:val="16"/>
          <w:szCs w:val="16"/>
          <w:lang w:val="es-ES"/>
        </w:rPr>
        <w:t xml:space="preserve"> </w:t>
      </w:r>
      <w:r w:rsidR="00D62438" w:rsidRPr="00E55732">
        <w:rPr>
          <w:rFonts w:ascii="Cambria" w:hAnsi="Cambria"/>
          <w:color w:val="auto"/>
          <w:sz w:val="16"/>
          <w:szCs w:val="16"/>
          <w:lang w:val="es-ES"/>
        </w:rPr>
        <w:t>Conforme a lo dispuesto en el artículo 17.2.a del Reglamento de la Comisión, la Comisionada Antonia Urrejola Noguera, de nacionalidad chilena, no participó en el debate ni en la decisión del presente asunto</w:t>
      </w:r>
      <w:r w:rsidR="004A6A54" w:rsidRPr="00E55732">
        <w:rPr>
          <w:rFonts w:ascii="Cambria" w:hAnsi="Cambria"/>
          <w:color w:val="auto"/>
          <w:sz w:val="16"/>
          <w:szCs w:val="16"/>
          <w:lang w:val="es-ES"/>
        </w:rPr>
        <w:t>.</w:t>
      </w:r>
    </w:p>
  </w:footnote>
  <w:footnote w:id="5">
    <w:p w14:paraId="215EEB52" w14:textId="19DA612B" w:rsidR="00BF514A" w:rsidRPr="00E55732" w:rsidRDefault="00430341" w:rsidP="00374340">
      <w:pPr>
        <w:pStyle w:val="FootnoteText"/>
        <w:jc w:val="both"/>
        <w:rPr>
          <w:rFonts w:ascii="Cambria" w:hAnsi="Cambria"/>
          <w:sz w:val="16"/>
          <w:szCs w:val="16"/>
          <w:lang w:val="es-ES"/>
        </w:rPr>
      </w:pPr>
      <w:r>
        <w:rPr>
          <w:rFonts w:ascii="Cambria" w:hAnsi="Cambria"/>
          <w:sz w:val="16"/>
          <w:szCs w:val="16"/>
          <w:lang w:val="es-ES"/>
        </w:rPr>
        <w:tab/>
      </w:r>
      <w:r w:rsidR="00BF514A" w:rsidRPr="00E55732">
        <w:rPr>
          <w:rStyle w:val="FootnoteReference"/>
          <w:rFonts w:ascii="Cambria" w:hAnsi="Cambria"/>
          <w:sz w:val="16"/>
          <w:szCs w:val="16"/>
        </w:rPr>
        <w:footnoteRef/>
      </w:r>
      <w:r w:rsidR="00BF514A" w:rsidRPr="00E55732">
        <w:rPr>
          <w:rFonts w:ascii="Cambria" w:hAnsi="Cambria"/>
          <w:sz w:val="16"/>
          <w:szCs w:val="16"/>
          <w:lang w:val="es-ES"/>
        </w:rPr>
        <w:t xml:space="preserve"> En adelante “la Convención Americana” o “la Convención”.</w:t>
      </w:r>
    </w:p>
  </w:footnote>
  <w:footnote w:id="6">
    <w:p w14:paraId="79F07139" w14:textId="62519D58" w:rsidR="008E3BFE" w:rsidRPr="00E55732" w:rsidRDefault="00430341" w:rsidP="00374340">
      <w:pPr>
        <w:pStyle w:val="FootnoteText"/>
        <w:jc w:val="both"/>
        <w:rPr>
          <w:rFonts w:ascii="Cambria" w:hAnsi="Cambria"/>
          <w:sz w:val="16"/>
          <w:szCs w:val="16"/>
          <w:lang w:val="es-ES"/>
        </w:rPr>
      </w:pPr>
      <w:r>
        <w:rPr>
          <w:rFonts w:ascii="Cambria" w:hAnsi="Cambria"/>
          <w:sz w:val="16"/>
          <w:szCs w:val="16"/>
          <w:lang w:val="es-ES"/>
        </w:rPr>
        <w:tab/>
      </w:r>
      <w:r w:rsidR="008E3BFE" w:rsidRPr="00E55732">
        <w:rPr>
          <w:rStyle w:val="FootnoteReference"/>
          <w:rFonts w:ascii="Cambria" w:hAnsi="Cambria"/>
          <w:sz w:val="16"/>
          <w:szCs w:val="16"/>
        </w:rPr>
        <w:footnoteRef/>
      </w:r>
      <w:r w:rsidR="008E3BFE" w:rsidRPr="00E55732">
        <w:rPr>
          <w:rFonts w:ascii="Cambria" w:hAnsi="Cambria"/>
          <w:sz w:val="16"/>
          <w:szCs w:val="16"/>
          <w:lang w:val="es-ES"/>
        </w:rPr>
        <w:t xml:space="preserve"> Las observaciones de cada parte fueron debidamente trasladadas a la parte contraria.</w:t>
      </w:r>
    </w:p>
  </w:footnote>
  <w:footnote w:id="7">
    <w:p w14:paraId="36CB7CB7" w14:textId="128B1CB4" w:rsidR="007B6EFC" w:rsidRPr="00E55732" w:rsidRDefault="00430341" w:rsidP="007B6EFC">
      <w:pPr>
        <w:pStyle w:val="FootnoteText"/>
        <w:rPr>
          <w:rFonts w:ascii="Cambria" w:hAnsi="Cambria"/>
          <w:sz w:val="16"/>
          <w:szCs w:val="16"/>
          <w:lang w:val="es-419"/>
        </w:rPr>
      </w:pPr>
      <w:r>
        <w:rPr>
          <w:rFonts w:ascii="Cambria" w:hAnsi="Cambria"/>
          <w:sz w:val="16"/>
          <w:szCs w:val="16"/>
          <w:lang w:val="es-419"/>
        </w:rPr>
        <w:tab/>
      </w:r>
      <w:r w:rsidR="007B6EFC" w:rsidRPr="00E55732">
        <w:rPr>
          <w:rStyle w:val="FootnoteReference"/>
          <w:rFonts w:ascii="Cambria" w:hAnsi="Cambria"/>
          <w:sz w:val="16"/>
          <w:szCs w:val="16"/>
        </w:rPr>
        <w:footnoteRef/>
      </w:r>
      <w:r w:rsidR="007B6EFC" w:rsidRPr="00E55732">
        <w:rPr>
          <w:rFonts w:ascii="Cambria" w:hAnsi="Cambria"/>
          <w:sz w:val="16"/>
          <w:szCs w:val="16"/>
          <w:lang w:val="es-419"/>
        </w:rPr>
        <w:t xml:space="preserve"> En adelante “Declaración” o “Declaración Americana”.</w:t>
      </w:r>
    </w:p>
  </w:footnote>
  <w:footnote w:id="8">
    <w:p w14:paraId="7637EA1A" w14:textId="6A09A115" w:rsidR="007B6EFC" w:rsidRPr="00E55732" w:rsidRDefault="00430341">
      <w:pPr>
        <w:pStyle w:val="FootnoteText"/>
        <w:rPr>
          <w:rFonts w:ascii="Cambria" w:hAnsi="Cambria"/>
          <w:sz w:val="16"/>
          <w:szCs w:val="16"/>
          <w:lang w:val="es-419"/>
        </w:rPr>
      </w:pPr>
      <w:r>
        <w:rPr>
          <w:rFonts w:ascii="Cambria" w:hAnsi="Cambria"/>
          <w:sz w:val="16"/>
          <w:szCs w:val="16"/>
          <w:lang w:val="es-419"/>
        </w:rPr>
        <w:tab/>
      </w:r>
      <w:r w:rsidR="007B6EFC" w:rsidRPr="00E55732">
        <w:rPr>
          <w:rStyle w:val="FootnoteReference"/>
          <w:rFonts w:ascii="Cambria" w:hAnsi="Cambria"/>
          <w:sz w:val="16"/>
          <w:szCs w:val="16"/>
        </w:rPr>
        <w:footnoteRef/>
      </w:r>
      <w:r w:rsidR="007B6EFC" w:rsidRPr="00E55732">
        <w:rPr>
          <w:rFonts w:ascii="Cambria" w:hAnsi="Cambria"/>
          <w:sz w:val="16"/>
          <w:szCs w:val="16"/>
          <w:lang w:val="es-419"/>
        </w:rPr>
        <w:t xml:space="preserve"> En adelante “Convención contra la tortura”.</w:t>
      </w:r>
    </w:p>
  </w:footnote>
  <w:footnote w:id="9">
    <w:p w14:paraId="184C98A7" w14:textId="4DC754F2" w:rsidR="002F7F5F" w:rsidRPr="00E55732" w:rsidRDefault="00430341">
      <w:pPr>
        <w:pStyle w:val="FootnoteText"/>
        <w:rPr>
          <w:rFonts w:ascii="Cambria" w:hAnsi="Cambria"/>
          <w:sz w:val="16"/>
          <w:szCs w:val="16"/>
          <w:lang w:val="es-MX"/>
        </w:rPr>
      </w:pPr>
      <w:r>
        <w:rPr>
          <w:rFonts w:ascii="Cambria" w:hAnsi="Cambria"/>
          <w:sz w:val="16"/>
          <w:szCs w:val="16"/>
          <w:lang w:val="es-MX"/>
        </w:rPr>
        <w:tab/>
      </w:r>
      <w:r w:rsidR="002F7F5F" w:rsidRPr="00E55732">
        <w:rPr>
          <w:rStyle w:val="FootnoteReference"/>
          <w:rFonts w:ascii="Cambria" w:hAnsi="Cambria"/>
          <w:sz w:val="16"/>
          <w:szCs w:val="16"/>
        </w:rPr>
        <w:footnoteRef/>
      </w:r>
      <w:r w:rsidR="002F7F5F" w:rsidRPr="00E55732">
        <w:rPr>
          <w:rFonts w:ascii="Cambria" w:hAnsi="Cambria"/>
          <w:sz w:val="16"/>
          <w:szCs w:val="16"/>
          <w:lang w:val="es-MX"/>
        </w:rPr>
        <w:t xml:space="preserve"> El peticionario basó su relato y los hechos denunciados en esta petición en el </w:t>
      </w:r>
      <w:r w:rsidR="003D2F9B" w:rsidRPr="00E55732">
        <w:rPr>
          <w:rFonts w:ascii="Cambria" w:hAnsi="Cambria"/>
          <w:sz w:val="16"/>
          <w:szCs w:val="16"/>
          <w:lang w:val="es-MX"/>
        </w:rPr>
        <w:t xml:space="preserve">Informe de la Comisión Nacional </w:t>
      </w:r>
      <w:r w:rsidR="00E05FDF" w:rsidRPr="00E55732">
        <w:rPr>
          <w:rFonts w:ascii="Cambria" w:hAnsi="Cambria"/>
          <w:sz w:val="16"/>
          <w:szCs w:val="16"/>
          <w:lang w:val="es-MX"/>
        </w:rPr>
        <w:t xml:space="preserve">de Verdad y Reconciliación (Informe </w:t>
      </w:r>
      <w:proofErr w:type="spellStart"/>
      <w:r w:rsidR="00E05FDF" w:rsidRPr="00E55732">
        <w:rPr>
          <w:rFonts w:ascii="Cambria" w:hAnsi="Cambria"/>
          <w:sz w:val="16"/>
          <w:szCs w:val="16"/>
          <w:lang w:val="es-MX"/>
        </w:rPr>
        <w:t>Rettig</w:t>
      </w:r>
      <w:proofErr w:type="spellEnd"/>
      <w:r w:rsidR="00E05FDF" w:rsidRPr="00E55732">
        <w:rPr>
          <w:rFonts w:ascii="Cambria" w:hAnsi="Cambria"/>
          <w:sz w:val="16"/>
          <w:szCs w:val="16"/>
          <w:lang w:val="es-MX"/>
        </w:rPr>
        <w:t>)</w:t>
      </w:r>
    </w:p>
  </w:footnote>
  <w:footnote w:id="10">
    <w:p w14:paraId="7B27106D" w14:textId="36A4BAA3" w:rsidR="00D455A9" w:rsidRPr="00734BF3" w:rsidRDefault="00430341" w:rsidP="00D455A9">
      <w:pPr>
        <w:pStyle w:val="FootnoteText"/>
        <w:jc w:val="both"/>
        <w:rPr>
          <w:rFonts w:asciiTheme="majorHAnsi" w:hAnsiTheme="majorHAnsi"/>
          <w:sz w:val="16"/>
          <w:szCs w:val="16"/>
          <w:lang w:val="es-MX"/>
        </w:rPr>
      </w:pPr>
      <w:r>
        <w:rPr>
          <w:rFonts w:asciiTheme="majorHAnsi" w:hAnsiTheme="majorHAnsi"/>
          <w:sz w:val="16"/>
          <w:szCs w:val="16"/>
          <w:lang w:val="es-MX"/>
        </w:rPr>
        <w:tab/>
      </w:r>
      <w:r w:rsidR="00D455A9" w:rsidRPr="00734BF3">
        <w:rPr>
          <w:rStyle w:val="FootnoteReference"/>
          <w:rFonts w:asciiTheme="majorHAnsi" w:hAnsiTheme="majorHAnsi"/>
          <w:sz w:val="16"/>
          <w:szCs w:val="16"/>
        </w:rPr>
        <w:footnoteRef/>
      </w:r>
      <w:r w:rsidR="00D455A9" w:rsidRPr="00214755">
        <w:rPr>
          <w:rFonts w:asciiTheme="majorHAnsi" w:hAnsiTheme="majorHAnsi"/>
          <w:sz w:val="16"/>
          <w:szCs w:val="16"/>
          <w:lang w:val="es-MX"/>
        </w:rPr>
        <w:t xml:space="preserve"> </w:t>
      </w:r>
      <w:r w:rsidR="00D455A9">
        <w:rPr>
          <w:rFonts w:asciiTheme="majorHAnsi" w:hAnsiTheme="majorHAnsi"/>
          <w:sz w:val="16"/>
          <w:szCs w:val="16"/>
          <w:lang w:val="es-MX"/>
        </w:rPr>
        <w:t xml:space="preserve">Ver </w:t>
      </w:r>
      <w:r w:rsidR="00D455A9" w:rsidRPr="0002113F">
        <w:rPr>
          <w:rFonts w:asciiTheme="majorHAnsi" w:hAnsiTheme="majorHAnsi"/>
          <w:sz w:val="16"/>
          <w:szCs w:val="16"/>
          <w:lang w:val="es-MX"/>
        </w:rPr>
        <w:t xml:space="preserve">CIDH, Informe No. 105/17. Petición 798-07. Admisibilidad. David Valderrama </w:t>
      </w:r>
      <w:proofErr w:type="spellStart"/>
      <w:r w:rsidR="00D455A9" w:rsidRPr="0002113F">
        <w:rPr>
          <w:rFonts w:asciiTheme="majorHAnsi" w:hAnsiTheme="majorHAnsi"/>
          <w:sz w:val="16"/>
          <w:szCs w:val="16"/>
          <w:lang w:val="es-MX"/>
        </w:rPr>
        <w:t>Opazo</w:t>
      </w:r>
      <w:proofErr w:type="spellEnd"/>
      <w:r w:rsidR="00D455A9">
        <w:rPr>
          <w:rFonts w:asciiTheme="majorHAnsi" w:hAnsiTheme="majorHAnsi"/>
          <w:sz w:val="16"/>
          <w:szCs w:val="16"/>
          <w:lang w:val="es-MX"/>
        </w:rPr>
        <w:t xml:space="preserve"> </w:t>
      </w:r>
      <w:r w:rsidR="00D455A9" w:rsidRPr="0002113F">
        <w:rPr>
          <w:rFonts w:asciiTheme="majorHAnsi" w:hAnsiTheme="majorHAnsi"/>
          <w:sz w:val="16"/>
          <w:szCs w:val="16"/>
          <w:lang w:val="es-MX"/>
        </w:rPr>
        <w:t>y otros. Chile. 7 de septiembre de 2017.</w:t>
      </w:r>
    </w:p>
  </w:footnote>
  <w:footnote w:id="11">
    <w:p w14:paraId="46BD3CDE" w14:textId="5D9DD0BD" w:rsidR="0056118B" w:rsidRPr="004A352B" w:rsidRDefault="00430341" w:rsidP="00C021EB">
      <w:pPr>
        <w:jc w:val="both"/>
        <w:rPr>
          <w:rFonts w:ascii="Cambria" w:hAnsi="Cambria"/>
          <w:i/>
          <w:iCs/>
          <w:sz w:val="16"/>
          <w:szCs w:val="16"/>
          <w:lang w:val="es-ES"/>
        </w:rPr>
      </w:pPr>
      <w:r>
        <w:rPr>
          <w:rFonts w:ascii="Cambria" w:hAnsi="Cambria"/>
          <w:sz w:val="16"/>
          <w:szCs w:val="16"/>
          <w:lang w:val="es-419"/>
        </w:rPr>
        <w:tab/>
      </w:r>
      <w:r w:rsidR="0056118B" w:rsidRPr="00C021EB">
        <w:rPr>
          <w:rStyle w:val="FootnoteReference"/>
          <w:rFonts w:ascii="Cambria" w:hAnsi="Cambria"/>
          <w:sz w:val="16"/>
          <w:szCs w:val="16"/>
        </w:rPr>
        <w:footnoteRef/>
      </w:r>
      <w:r w:rsidR="00CB4EAA" w:rsidRPr="00430341">
        <w:rPr>
          <w:rFonts w:ascii="Cambria" w:hAnsi="Cambria"/>
          <w:sz w:val="16"/>
          <w:szCs w:val="16"/>
          <w:lang w:val="es-419"/>
        </w:rPr>
        <w:t xml:space="preserve"> </w:t>
      </w:r>
      <w:r w:rsidR="0056118B" w:rsidRPr="00430341">
        <w:rPr>
          <w:rFonts w:ascii="Cambria" w:hAnsi="Cambria"/>
          <w:color w:val="000000"/>
          <w:sz w:val="16"/>
          <w:szCs w:val="16"/>
          <w:lang w:val="es-419"/>
        </w:rPr>
        <w:t>CIDH, Informe No. 52/16, Caso 12.521. </w:t>
      </w:r>
      <w:r w:rsidR="0056118B" w:rsidRPr="00C021EB">
        <w:rPr>
          <w:rFonts w:ascii="Cambria" w:hAnsi="Cambria"/>
          <w:color w:val="000000"/>
          <w:sz w:val="16"/>
          <w:szCs w:val="16"/>
          <w:lang w:val="es-US"/>
        </w:rPr>
        <w:t>Fondo. Maria Laura Ordenes Guerra</w:t>
      </w:r>
      <w:r w:rsidR="0056118B" w:rsidRPr="00CB4EAA">
        <w:rPr>
          <w:rFonts w:ascii="Cambria" w:hAnsi="Cambria"/>
          <w:color w:val="000000"/>
          <w:sz w:val="16"/>
          <w:szCs w:val="16"/>
          <w:lang w:val="es-US"/>
        </w:rPr>
        <w:t xml:space="preserve"> y otros. Chile. 30 de noviembre de 2016; </w:t>
      </w:r>
      <w:r w:rsidR="0056118B" w:rsidRPr="00C021EB">
        <w:rPr>
          <w:rFonts w:ascii="Cambria" w:hAnsi="Cambria"/>
          <w:sz w:val="16"/>
          <w:szCs w:val="16"/>
          <w:lang w:val="es-ES"/>
        </w:rPr>
        <w:t>CI</w:t>
      </w:r>
      <w:r w:rsidR="0056118B" w:rsidRPr="00CB4EAA">
        <w:rPr>
          <w:rFonts w:ascii="Cambria" w:hAnsi="Cambria"/>
          <w:sz w:val="16"/>
          <w:szCs w:val="16"/>
          <w:lang w:val="es-ES"/>
        </w:rPr>
        <w:t xml:space="preserve">DH, Informe No. 5/19, Petición 1560-08. Admisibilidad. Juan Paredes Barrientos y Familia. Chile. 31 de enero de 2019; </w:t>
      </w:r>
      <w:r w:rsidR="0056118B" w:rsidRPr="00C021EB">
        <w:rPr>
          <w:rFonts w:ascii="Cambria" w:hAnsi="Cambria"/>
          <w:color w:val="000000"/>
          <w:sz w:val="16"/>
          <w:szCs w:val="16"/>
          <w:lang w:val="es-ES"/>
        </w:rPr>
        <w:t>Corte IDH, Caso Órdenes Guerra y otros vs</w:t>
      </w:r>
      <w:r w:rsidR="0056118B" w:rsidRPr="00CB4EAA">
        <w:rPr>
          <w:rFonts w:ascii="Cambria" w:hAnsi="Cambria"/>
          <w:color w:val="000000"/>
          <w:sz w:val="16"/>
          <w:szCs w:val="16"/>
          <w:lang w:val="es-ES"/>
        </w:rPr>
        <w:t>. Chile</w:t>
      </w:r>
      <w:r w:rsidR="0056118B" w:rsidRPr="00C021EB">
        <w:rPr>
          <w:rFonts w:ascii="Cambria" w:hAnsi="Cambria"/>
          <w:color w:val="000000"/>
          <w:sz w:val="16"/>
          <w:szCs w:val="16"/>
          <w:lang w:val="es-ES"/>
        </w:rPr>
        <w:t>, Sentencia de 29 de noviembre de 2018, (Fondo, Reparaciones y Costas).</w:t>
      </w:r>
    </w:p>
  </w:footnote>
  <w:footnote w:id="12">
    <w:p w14:paraId="7651B06C" w14:textId="1C74C949" w:rsidR="00917D4E" w:rsidRPr="00E55732" w:rsidRDefault="00430341" w:rsidP="00917D4E">
      <w:pPr>
        <w:pStyle w:val="FootnoteText"/>
        <w:jc w:val="both"/>
        <w:rPr>
          <w:rFonts w:ascii="Cambria" w:hAnsi="Cambria"/>
          <w:sz w:val="16"/>
          <w:szCs w:val="16"/>
          <w:lang w:val="es-MX"/>
        </w:rPr>
      </w:pPr>
      <w:r>
        <w:rPr>
          <w:rFonts w:ascii="Cambria" w:hAnsi="Cambria"/>
          <w:sz w:val="16"/>
          <w:szCs w:val="16"/>
          <w:lang w:val="es-MX"/>
        </w:rPr>
        <w:tab/>
      </w:r>
      <w:r w:rsidR="00917D4E" w:rsidRPr="00E55732">
        <w:rPr>
          <w:rStyle w:val="FootnoteReference"/>
          <w:rFonts w:ascii="Cambria" w:hAnsi="Cambria"/>
          <w:sz w:val="16"/>
          <w:szCs w:val="16"/>
        </w:rPr>
        <w:footnoteRef/>
      </w:r>
      <w:r w:rsidR="00917D4E" w:rsidRPr="00E55732">
        <w:rPr>
          <w:rFonts w:ascii="Cambria" w:hAnsi="Cambria"/>
          <w:sz w:val="16"/>
          <w:szCs w:val="16"/>
          <w:lang w:val="es-MX"/>
        </w:rPr>
        <w:t xml:space="preserve"> CIDH, Informe No. 105/17. Petición 798-07. Admisibilidad. David Valderrama </w:t>
      </w:r>
      <w:proofErr w:type="spellStart"/>
      <w:r w:rsidR="00917D4E" w:rsidRPr="00E55732">
        <w:rPr>
          <w:rFonts w:ascii="Cambria" w:hAnsi="Cambria"/>
          <w:sz w:val="16"/>
          <w:szCs w:val="16"/>
          <w:lang w:val="es-MX"/>
        </w:rPr>
        <w:t>Opazo</w:t>
      </w:r>
      <w:proofErr w:type="spellEnd"/>
      <w:r w:rsidR="00917D4E" w:rsidRPr="00E55732">
        <w:rPr>
          <w:rFonts w:ascii="Cambria" w:hAnsi="Cambria"/>
          <w:sz w:val="16"/>
          <w:szCs w:val="16"/>
          <w:lang w:val="es-MX"/>
        </w:rPr>
        <w:t xml:space="preserve"> y otros. Chile. 7 de septiembre de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D459B0" w:rsidP="00A50FCF">
    <w:pPr>
      <w:pStyle w:val="Header"/>
      <w:tabs>
        <w:tab w:val="clear" w:pos="4320"/>
        <w:tab w:val="clear" w:pos="8640"/>
      </w:tabs>
      <w:jc w:val="center"/>
      <w:rPr>
        <w:sz w:val="22"/>
        <w:szCs w:val="22"/>
      </w:rPr>
    </w:pPr>
    <w:r>
      <w:rPr>
        <w:noProof/>
        <w:sz w:val="22"/>
        <w:szCs w:val="22"/>
        <w:bdr w:val="nil"/>
      </w:rPr>
      <w:pict w14:anchorId="293D3EC7">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96088" w14:textId="77777777" w:rsidR="006C4EFE" w:rsidRDefault="006C4E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2046950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0"/>
  </w:num>
  <w:num w:numId="4">
    <w:abstractNumId w:val="20"/>
  </w:num>
  <w:num w:numId="5">
    <w:abstractNumId w:val="44"/>
  </w:num>
  <w:num w:numId="6">
    <w:abstractNumId w:val="25"/>
  </w:num>
  <w:num w:numId="7">
    <w:abstractNumId w:val="6"/>
  </w:num>
  <w:num w:numId="8">
    <w:abstractNumId w:val="16"/>
  </w:num>
  <w:num w:numId="9">
    <w:abstractNumId w:val="39"/>
  </w:num>
  <w:num w:numId="10">
    <w:abstractNumId w:val="0"/>
  </w:num>
  <w:num w:numId="11">
    <w:abstractNumId w:val="34"/>
  </w:num>
  <w:num w:numId="12">
    <w:abstractNumId w:val="35"/>
  </w:num>
  <w:num w:numId="13">
    <w:abstractNumId w:val="41"/>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6"/>
  </w:num>
  <w:num w:numId="40">
    <w:abstractNumId w:val="37"/>
  </w:num>
  <w:num w:numId="41">
    <w:abstractNumId w:val="43"/>
  </w:num>
  <w:num w:numId="42">
    <w:abstractNumId w:val="45"/>
  </w:num>
  <w:num w:numId="43">
    <w:abstractNumId w:val="46"/>
  </w:num>
  <w:num w:numId="44">
    <w:abstractNumId w:val="48"/>
  </w:num>
  <w:num w:numId="45">
    <w:abstractNumId w:val="49"/>
  </w:num>
  <w:num w:numId="46">
    <w:abstractNumId w:val="51"/>
  </w:num>
  <w:num w:numId="47">
    <w:abstractNumId w:val="52"/>
  </w:num>
  <w:num w:numId="48">
    <w:abstractNumId w:val="53"/>
  </w:num>
  <w:num w:numId="49">
    <w:abstractNumId w:val="54"/>
  </w:num>
  <w:num w:numId="50">
    <w:abstractNumId w:val="55"/>
  </w:num>
  <w:num w:numId="51">
    <w:abstractNumId w:val="19"/>
  </w:num>
  <w:num w:numId="52">
    <w:abstractNumId w:val="38"/>
  </w:num>
  <w:num w:numId="53">
    <w:abstractNumId w:val="47"/>
  </w:num>
  <w:num w:numId="54">
    <w:abstractNumId w:val="42"/>
  </w:num>
  <w:num w:numId="55">
    <w:abstractNumId w:val="4"/>
  </w:num>
  <w:num w:numId="56">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CDA"/>
    <w:rsid w:val="000040EA"/>
    <w:rsid w:val="000063B7"/>
    <w:rsid w:val="000065D0"/>
    <w:rsid w:val="00006B74"/>
    <w:rsid w:val="00006E1F"/>
    <w:rsid w:val="000070D7"/>
    <w:rsid w:val="0000723C"/>
    <w:rsid w:val="000104F5"/>
    <w:rsid w:val="00010644"/>
    <w:rsid w:val="00015701"/>
    <w:rsid w:val="000158A5"/>
    <w:rsid w:val="0001788C"/>
    <w:rsid w:val="0002113F"/>
    <w:rsid w:val="0002186F"/>
    <w:rsid w:val="00021E08"/>
    <w:rsid w:val="00031F56"/>
    <w:rsid w:val="000337EF"/>
    <w:rsid w:val="00037B69"/>
    <w:rsid w:val="00040C3A"/>
    <w:rsid w:val="00041822"/>
    <w:rsid w:val="000419AD"/>
    <w:rsid w:val="00050A02"/>
    <w:rsid w:val="000535D1"/>
    <w:rsid w:val="00055EF9"/>
    <w:rsid w:val="000716C5"/>
    <w:rsid w:val="00075E23"/>
    <w:rsid w:val="0007616E"/>
    <w:rsid w:val="00077D3F"/>
    <w:rsid w:val="00086A52"/>
    <w:rsid w:val="00087017"/>
    <w:rsid w:val="00090CA4"/>
    <w:rsid w:val="0009344A"/>
    <w:rsid w:val="00094A3A"/>
    <w:rsid w:val="000A3254"/>
    <w:rsid w:val="000A392E"/>
    <w:rsid w:val="000A575F"/>
    <w:rsid w:val="000B0579"/>
    <w:rsid w:val="000B3489"/>
    <w:rsid w:val="000B35E1"/>
    <w:rsid w:val="000B4E5A"/>
    <w:rsid w:val="000C183B"/>
    <w:rsid w:val="000C1933"/>
    <w:rsid w:val="000C1C69"/>
    <w:rsid w:val="000C20E9"/>
    <w:rsid w:val="000D10DB"/>
    <w:rsid w:val="000D6D00"/>
    <w:rsid w:val="000E0841"/>
    <w:rsid w:val="000E2789"/>
    <w:rsid w:val="000E5EB5"/>
    <w:rsid w:val="000F1C1E"/>
    <w:rsid w:val="000F35ED"/>
    <w:rsid w:val="000F5101"/>
    <w:rsid w:val="00107131"/>
    <w:rsid w:val="0010736F"/>
    <w:rsid w:val="00111A8A"/>
    <w:rsid w:val="00113F73"/>
    <w:rsid w:val="00121CC2"/>
    <w:rsid w:val="00127AF2"/>
    <w:rsid w:val="00127B2C"/>
    <w:rsid w:val="00131D8B"/>
    <w:rsid w:val="00133EE5"/>
    <w:rsid w:val="00135943"/>
    <w:rsid w:val="00136E3D"/>
    <w:rsid w:val="00143EFE"/>
    <w:rsid w:val="001479C0"/>
    <w:rsid w:val="0015330B"/>
    <w:rsid w:val="00160299"/>
    <w:rsid w:val="00161631"/>
    <w:rsid w:val="0016387D"/>
    <w:rsid w:val="00167A34"/>
    <w:rsid w:val="001726DD"/>
    <w:rsid w:val="001761CF"/>
    <w:rsid w:val="00177EEF"/>
    <w:rsid w:val="00187408"/>
    <w:rsid w:val="00192889"/>
    <w:rsid w:val="0019517D"/>
    <w:rsid w:val="001A7870"/>
    <w:rsid w:val="001B36D5"/>
    <w:rsid w:val="001B3A00"/>
    <w:rsid w:val="001B5141"/>
    <w:rsid w:val="001C1B41"/>
    <w:rsid w:val="001C22CD"/>
    <w:rsid w:val="001C6E86"/>
    <w:rsid w:val="001C77FC"/>
    <w:rsid w:val="001D2337"/>
    <w:rsid w:val="001D65EF"/>
    <w:rsid w:val="001E0500"/>
    <w:rsid w:val="001E32F9"/>
    <w:rsid w:val="001E49E7"/>
    <w:rsid w:val="001F271B"/>
    <w:rsid w:val="001F7201"/>
    <w:rsid w:val="00201E85"/>
    <w:rsid w:val="00202B0A"/>
    <w:rsid w:val="00202C77"/>
    <w:rsid w:val="00203BD4"/>
    <w:rsid w:val="00204931"/>
    <w:rsid w:val="002069EB"/>
    <w:rsid w:val="00214755"/>
    <w:rsid w:val="002155A7"/>
    <w:rsid w:val="00223875"/>
    <w:rsid w:val="00223A29"/>
    <w:rsid w:val="002250A3"/>
    <w:rsid w:val="00231294"/>
    <w:rsid w:val="00235217"/>
    <w:rsid w:val="00235741"/>
    <w:rsid w:val="00241BF2"/>
    <w:rsid w:val="002441DA"/>
    <w:rsid w:val="0024534C"/>
    <w:rsid w:val="00246D1F"/>
    <w:rsid w:val="00247403"/>
    <w:rsid w:val="00247542"/>
    <w:rsid w:val="00254CA4"/>
    <w:rsid w:val="00260F5B"/>
    <w:rsid w:val="00266B61"/>
    <w:rsid w:val="0026712A"/>
    <w:rsid w:val="002704DB"/>
    <w:rsid w:val="00274BF4"/>
    <w:rsid w:val="00277BDA"/>
    <w:rsid w:val="00285743"/>
    <w:rsid w:val="002873D4"/>
    <w:rsid w:val="00294CB6"/>
    <w:rsid w:val="0029575A"/>
    <w:rsid w:val="002A0AAE"/>
    <w:rsid w:val="002A244B"/>
    <w:rsid w:val="002A304F"/>
    <w:rsid w:val="002A3053"/>
    <w:rsid w:val="002A5820"/>
    <w:rsid w:val="002B007A"/>
    <w:rsid w:val="002B2C87"/>
    <w:rsid w:val="002C3350"/>
    <w:rsid w:val="002C4CA4"/>
    <w:rsid w:val="002C5988"/>
    <w:rsid w:val="002C7491"/>
    <w:rsid w:val="002D1EAA"/>
    <w:rsid w:val="002D2B26"/>
    <w:rsid w:val="002D7EA2"/>
    <w:rsid w:val="002E187C"/>
    <w:rsid w:val="002E1ED4"/>
    <w:rsid w:val="002E5993"/>
    <w:rsid w:val="002E7512"/>
    <w:rsid w:val="002F6FBC"/>
    <w:rsid w:val="002F7F5F"/>
    <w:rsid w:val="00302733"/>
    <w:rsid w:val="00303AFC"/>
    <w:rsid w:val="003121D5"/>
    <w:rsid w:val="00314078"/>
    <w:rsid w:val="0031535D"/>
    <w:rsid w:val="00317CF8"/>
    <w:rsid w:val="00320094"/>
    <w:rsid w:val="003239B8"/>
    <w:rsid w:val="00325BBC"/>
    <w:rsid w:val="0032790E"/>
    <w:rsid w:val="0033169F"/>
    <w:rsid w:val="00332E1B"/>
    <w:rsid w:val="003368C4"/>
    <w:rsid w:val="00337951"/>
    <w:rsid w:val="0034171D"/>
    <w:rsid w:val="0034224A"/>
    <w:rsid w:val="00343438"/>
    <w:rsid w:val="003437D7"/>
    <w:rsid w:val="00344977"/>
    <w:rsid w:val="00346C95"/>
    <w:rsid w:val="00351155"/>
    <w:rsid w:val="00355316"/>
    <w:rsid w:val="003558D2"/>
    <w:rsid w:val="00356185"/>
    <w:rsid w:val="00360380"/>
    <w:rsid w:val="00361EFF"/>
    <w:rsid w:val="00362393"/>
    <w:rsid w:val="00374340"/>
    <w:rsid w:val="0037519E"/>
    <w:rsid w:val="003762C7"/>
    <w:rsid w:val="0037789F"/>
    <w:rsid w:val="00386C6C"/>
    <w:rsid w:val="00386CF0"/>
    <w:rsid w:val="00387C6F"/>
    <w:rsid w:val="0039103D"/>
    <w:rsid w:val="00393274"/>
    <w:rsid w:val="00396BB6"/>
    <w:rsid w:val="00397B9C"/>
    <w:rsid w:val="003A60A2"/>
    <w:rsid w:val="003A6337"/>
    <w:rsid w:val="003B4FF6"/>
    <w:rsid w:val="003B70FB"/>
    <w:rsid w:val="003B778F"/>
    <w:rsid w:val="003C114A"/>
    <w:rsid w:val="003C2531"/>
    <w:rsid w:val="003C3CF5"/>
    <w:rsid w:val="003C676B"/>
    <w:rsid w:val="003D0A55"/>
    <w:rsid w:val="003D225D"/>
    <w:rsid w:val="003D2F9B"/>
    <w:rsid w:val="003D3BC2"/>
    <w:rsid w:val="003D5EA8"/>
    <w:rsid w:val="003E1AD8"/>
    <w:rsid w:val="003E673E"/>
    <w:rsid w:val="003E6CA1"/>
    <w:rsid w:val="003E6D8B"/>
    <w:rsid w:val="003F2A8F"/>
    <w:rsid w:val="003F5F62"/>
    <w:rsid w:val="004015D9"/>
    <w:rsid w:val="00405929"/>
    <w:rsid w:val="004065A8"/>
    <w:rsid w:val="004137E6"/>
    <w:rsid w:val="00414D58"/>
    <w:rsid w:val="004165C2"/>
    <w:rsid w:val="00416A7F"/>
    <w:rsid w:val="00417C80"/>
    <w:rsid w:val="00421739"/>
    <w:rsid w:val="00423172"/>
    <w:rsid w:val="00430341"/>
    <w:rsid w:val="004304AD"/>
    <w:rsid w:val="00432B8C"/>
    <w:rsid w:val="00441ECB"/>
    <w:rsid w:val="00445193"/>
    <w:rsid w:val="00447333"/>
    <w:rsid w:val="00447CCF"/>
    <w:rsid w:val="00454B04"/>
    <w:rsid w:val="004565BA"/>
    <w:rsid w:val="0045707F"/>
    <w:rsid w:val="00462C1B"/>
    <w:rsid w:val="00467B7E"/>
    <w:rsid w:val="0047127C"/>
    <w:rsid w:val="00473BB4"/>
    <w:rsid w:val="00477592"/>
    <w:rsid w:val="00484D16"/>
    <w:rsid w:val="00486F1C"/>
    <w:rsid w:val="0049419D"/>
    <w:rsid w:val="004A352B"/>
    <w:rsid w:val="004A4122"/>
    <w:rsid w:val="004A59CC"/>
    <w:rsid w:val="004A6A54"/>
    <w:rsid w:val="004A6EF1"/>
    <w:rsid w:val="004A7A09"/>
    <w:rsid w:val="004B0477"/>
    <w:rsid w:val="004B3FA8"/>
    <w:rsid w:val="004C20D2"/>
    <w:rsid w:val="004C2312"/>
    <w:rsid w:val="004C4B62"/>
    <w:rsid w:val="004C54C9"/>
    <w:rsid w:val="004C616A"/>
    <w:rsid w:val="004D4ABA"/>
    <w:rsid w:val="004D6025"/>
    <w:rsid w:val="004E169F"/>
    <w:rsid w:val="004E19B1"/>
    <w:rsid w:val="004E1D50"/>
    <w:rsid w:val="004E2649"/>
    <w:rsid w:val="004F1EDB"/>
    <w:rsid w:val="004F6D03"/>
    <w:rsid w:val="00501399"/>
    <w:rsid w:val="00501652"/>
    <w:rsid w:val="0050633D"/>
    <w:rsid w:val="00506E6F"/>
    <w:rsid w:val="00507BC4"/>
    <w:rsid w:val="005128E4"/>
    <w:rsid w:val="005133DB"/>
    <w:rsid w:val="005170A6"/>
    <w:rsid w:val="00520703"/>
    <w:rsid w:val="005229A4"/>
    <w:rsid w:val="00525560"/>
    <w:rsid w:val="005328A7"/>
    <w:rsid w:val="005415E6"/>
    <w:rsid w:val="00541D91"/>
    <w:rsid w:val="00544216"/>
    <w:rsid w:val="00544C49"/>
    <w:rsid w:val="005516A1"/>
    <w:rsid w:val="00560CE3"/>
    <w:rsid w:val="0056118B"/>
    <w:rsid w:val="00561DE6"/>
    <w:rsid w:val="00563557"/>
    <w:rsid w:val="00567A1A"/>
    <w:rsid w:val="0057402A"/>
    <w:rsid w:val="00574881"/>
    <w:rsid w:val="00574CB7"/>
    <w:rsid w:val="005753FB"/>
    <w:rsid w:val="005771D0"/>
    <w:rsid w:val="005809F5"/>
    <w:rsid w:val="005857DD"/>
    <w:rsid w:val="0059191A"/>
    <w:rsid w:val="005921FF"/>
    <w:rsid w:val="00595A5E"/>
    <w:rsid w:val="00596DCA"/>
    <w:rsid w:val="005A24ED"/>
    <w:rsid w:val="005A51C7"/>
    <w:rsid w:val="005A6D0E"/>
    <w:rsid w:val="005B37CC"/>
    <w:rsid w:val="005B52B0"/>
    <w:rsid w:val="005B6806"/>
    <w:rsid w:val="005B6D22"/>
    <w:rsid w:val="005C261A"/>
    <w:rsid w:val="005C4225"/>
    <w:rsid w:val="005C6F56"/>
    <w:rsid w:val="005C7989"/>
    <w:rsid w:val="005E0B65"/>
    <w:rsid w:val="005E11B2"/>
    <w:rsid w:val="005F0DAD"/>
    <w:rsid w:val="005F0F33"/>
    <w:rsid w:val="005F192F"/>
    <w:rsid w:val="005F1B98"/>
    <w:rsid w:val="005F4E06"/>
    <w:rsid w:val="006001FF"/>
    <w:rsid w:val="00600DEB"/>
    <w:rsid w:val="00601DD9"/>
    <w:rsid w:val="0060313F"/>
    <w:rsid w:val="00605291"/>
    <w:rsid w:val="00607F80"/>
    <w:rsid w:val="00623420"/>
    <w:rsid w:val="006277DE"/>
    <w:rsid w:val="00627C9F"/>
    <w:rsid w:val="006311E9"/>
    <w:rsid w:val="00631E4F"/>
    <w:rsid w:val="00632354"/>
    <w:rsid w:val="00642810"/>
    <w:rsid w:val="00645553"/>
    <w:rsid w:val="00647756"/>
    <w:rsid w:val="006509DA"/>
    <w:rsid w:val="00652333"/>
    <w:rsid w:val="00660AE7"/>
    <w:rsid w:val="00671067"/>
    <w:rsid w:val="0068009E"/>
    <w:rsid w:val="006819E9"/>
    <w:rsid w:val="00686471"/>
    <w:rsid w:val="00690AAB"/>
    <w:rsid w:val="00691BBE"/>
    <w:rsid w:val="00692219"/>
    <w:rsid w:val="00694421"/>
    <w:rsid w:val="006950B1"/>
    <w:rsid w:val="006A17D2"/>
    <w:rsid w:val="006A3AE4"/>
    <w:rsid w:val="006A4D5D"/>
    <w:rsid w:val="006A70DA"/>
    <w:rsid w:val="006A73E6"/>
    <w:rsid w:val="006B2D5C"/>
    <w:rsid w:val="006B4DBB"/>
    <w:rsid w:val="006C09DB"/>
    <w:rsid w:val="006C4EB1"/>
    <w:rsid w:val="006C4EFE"/>
    <w:rsid w:val="006C7AE8"/>
    <w:rsid w:val="006C7CD3"/>
    <w:rsid w:val="006E0166"/>
    <w:rsid w:val="006E4FDC"/>
    <w:rsid w:val="006E7B34"/>
    <w:rsid w:val="006F0C2A"/>
    <w:rsid w:val="006F2F1D"/>
    <w:rsid w:val="006F67A1"/>
    <w:rsid w:val="00701306"/>
    <w:rsid w:val="00701F84"/>
    <w:rsid w:val="0070697F"/>
    <w:rsid w:val="00713658"/>
    <w:rsid w:val="0071444F"/>
    <w:rsid w:val="0071458C"/>
    <w:rsid w:val="0072199C"/>
    <w:rsid w:val="00722C9F"/>
    <w:rsid w:val="007245EF"/>
    <w:rsid w:val="00724891"/>
    <w:rsid w:val="007253B8"/>
    <w:rsid w:val="00731229"/>
    <w:rsid w:val="00734BF3"/>
    <w:rsid w:val="0073598C"/>
    <w:rsid w:val="00736D05"/>
    <w:rsid w:val="0073741F"/>
    <w:rsid w:val="00744470"/>
    <w:rsid w:val="00744590"/>
    <w:rsid w:val="00753794"/>
    <w:rsid w:val="00754ABB"/>
    <w:rsid w:val="007570CD"/>
    <w:rsid w:val="0076643F"/>
    <w:rsid w:val="007751BE"/>
    <w:rsid w:val="00777F63"/>
    <w:rsid w:val="00781854"/>
    <w:rsid w:val="0078466D"/>
    <w:rsid w:val="007852B5"/>
    <w:rsid w:val="00791761"/>
    <w:rsid w:val="007941B3"/>
    <w:rsid w:val="007A105E"/>
    <w:rsid w:val="007A2F19"/>
    <w:rsid w:val="007A5817"/>
    <w:rsid w:val="007B05C4"/>
    <w:rsid w:val="007B0A00"/>
    <w:rsid w:val="007B5EB4"/>
    <w:rsid w:val="007B60E9"/>
    <w:rsid w:val="007B6CC3"/>
    <w:rsid w:val="007B6EFC"/>
    <w:rsid w:val="007C3334"/>
    <w:rsid w:val="007C402A"/>
    <w:rsid w:val="007D2B98"/>
    <w:rsid w:val="007D4106"/>
    <w:rsid w:val="007D7C02"/>
    <w:rsid w:val="007E21BC"/>
    <w:rsid w:val="007E3A8D"/>
    <w:rsid w:val="007E58FE"/>
    <w:rsid w:val="007E7C82"/>
    <w:rsid w:val="007F588D"/>
    <w:rsid w:val="00802748"/>
    <w:rsid w:val="00803F1C"/>
    <w:rsid w:val="00803F21"/>
    <w:rsid w:val="0080600E"/>
    <w:rsid w:val="00806FBB"/>
    <w:rsid w:val="00817612"/>
    <w:rsid w:val="0082682E"/>
    <w:rsid w:val="0082772C"/>
    <w:rsid w:val="00827B7F"/>
    <w:rsid w:val="008338A4"/>
    <w:rsid w:val="00834D49"/>
    <w:rsid w:val="00836A5A"/>
    <w:rsid w:val="00836D82"/>
    <w:rsid w:val="00837C45"/>
    <w:rsid w:val="008411F0"/>
    <w:rsid w:val="00844730"/>
    <w:rsid w:val="008457C2"/>
    <w:rsid w:val="00854BC5"/>
    <w:rsid w:val="008561B9"/>
    <w:rsid w:val="00856ECA"/>
    <w:rsid w:val="00857A82"/>
    <w:rsid w:val="00870539"/>
    <w:rsid w:val="00871526"/>
    <w:rsid w:val="00873836"/>
    <w:rsid w:val="008778AD"/>
    <w:rsid w:val="00885737"/>
    <w:rsid w:val="00890650"/>
    <w:rsid w:val="0089300F"/>
    <w:rsid w:val="008941C0"/>
    <w:rsid w:val="008957CB"/>
    <w:rsid w:val="00897E12"/>
    <w:rsid w:val="008A0F81"/>
    <w:rsid w:val="008A7E0F"/>
    <w:rsid w:val="008B12F5"/>
    <w:rsid w:val="008B2FD5"/>
    <w:rsid w:val="008B35A8"/>
    <w:rsid w:val="008B5932"/>
    <w:rsid w:val="008B775C"/>
    <w:rsid w:val="008C10F1"/>
    <w:rsid w:val="008C5751"/>
    <w:rsid w:val="008C6C59"/>
    <w:rsid w:val="008D768D"/>
    <w:rsid w:val="008E328A"/>
    <w:rsid w:val="008E3759"/>
    <w:rsid w:val="008E3BFE"/>
    <w:rsid w:val="008E64ED"/>
    <w:rsid w:val="008E7900"/>
    <w:rsid w:val="008F1912"/>
    <w:rsid w:val="00901CD5"/>
    <w:rsid w:val="0090270B"/>
    <w:rsid w:val="009041DC"/>
    <w:rsid w:val="0091381C"/>
    <w:rsid w:val="00917B5A"/>
    <w:rsid w:val="00917D4E"/>
    <w:rsid w:val="00920874"/>
    <w:rsid w:val="00920A58"/>
    <w:rsid w:val="00920A8C"/>
    <w:rsid w:val="00927730"/>
    <w:rsid w:val="00934A2C"/>
    <w:rsid w:val="00935F06"/>
    <w:rsid w:val="00936942"/>
    <w:rsid w:val="00937248"/>
    <w:rsid w:val="00937B3A"/>
    <w:rsid w:val="00941B3B"/>
    <w:rsid w:val="00943C8E"/>
    <w:rsid w:val="009540CB"/>
    <w:rsid w:val="00954B82"/>
    <w:rsid w:val="00962436"/>
    <w:rsid w:val="009642CB"/>
    <w:rsid w:val="0096706E"/>
    <w:rsid w:val="00967678"/>
    <w:rsid w:val="00974491"/>
    <w:rsid w:val="00975C4E"/>
    <w:rsid w:val="0097669A"/>
    <w:rsid w:val="00981FBA"/>
    <w:rsid w:val="00996D90"/>
    <w:rsid w:val="00997BC5"/>
    <w:rsid w:val="009A216A"/>
    <w:rsid w:val="009A4CA7"/>
    <w:rsid w:val="009A4F41"/>
    <w:rsid w:val="009B381B"/>
    <w:rsid w:val="009C0048"/>
    <w:rsid w:val="009C2FC5"/>
    <w:rsid w:val="009D1753"/>
    <w:rsid w:val="009D20FB"/>
    <w:rsid w:val="009D5BEB"/>
    <w:rsid w:val="009D6502"/>
    <w:rsid w:val="009D7611"/>
    <w:rsid w:val="009D78A5"/>
    <w:rsid w:val="009E0B61"/>
    <w:rsid w:val="009E0CA1"/>
    <w:rsid w:val="009E53DE"/>
    <w:rsid w:val="009E5F63"/>
    <w:rsid w:val="009E7C00"/>
    <w:rsid w:val="00A04514"/>
    <w:rsid w:val="00A058C5"/>
    <w:rsid w:val="00A0691C"/>
    <w:rsid w:val="00A107CC"/>
    <w:rsid w:val="00A11E44"/>
    <w:rsid w:val="00A145B6"/>
    <w:rsid w:val="00A16B7B"/>
    <w:rsid w:val="00A22397"/>
    <w:rsid w:val="00A26886"/>
    <w:rsid w:val="00A328B3"/>
    <w:rsid w:val="00A46C54"/>
    <w:rsid w:val="00A50FCF"/>
    <w:rsid w:val="00A528D1"/>
    <w:rsid w:val="00A57843"/>
    <w:rsid w:val="00A610CD"/>
    <w:rsid w:val="00A62508"/>
    <w:rsid w:val="00A625E0"/>
    <w:rsid w:val="00A74947"/>
    <w:rsid w:val="00A758AA"/>
    <w:rsid w:val="00A800EA"/>
    <w:rsid w:val="00A82C5D"/>
    <w:rsid w:val="00A84A94"/>
    <w:rsid w:val="00A859B1"/>
    <w:rsid w:val="00A8681B"/>
    <w:rsid w:val="00A93FE6"/>
    <w:rsid w:val="00A97404"/>
    <w:rsid w:val="00AA04D9"/>
    <w:rsid w:val="00AA09A2"/>
    <w:rsid w:val="00AA1FC9"/>
    <w:rsid w:val="00AA247F"/>
    <w:rsid w:val="00AA45EE"/>
    <w:rsid w:val="00AA7996"/>
    <w:rsid w:val="00AB3214"/>
    <w:rsid w:val="00AB39E7"/>
    <w:rsid w:val="00AB561B"/>
    <w:rsid w:val="00AC19CB"/>
    <w:rsid w:val="00AC6154"/>
    <w:rsid w:val="00AD1886"/>
    <w:rsid w:val="00AD3896"/>
    <w:rsid w:val="00AE5488"/>
    <w:rsid w:val="00AE6F91"/>
    <w:rsid w:val="00AE7F18"/>
    <w:rsid w:val="00AF05D4"/>
    <w:rsid w:val="00AF0F3D"/>
    <w:rsid w:val="00AF25C3"/>
    <w:rsid w:val="00AF4C02"/>
    <w:rsid w:val="00AF5571"/>
    <w:rsid w:val="00AF6D17"/>
    <w:rsid w:val="00B02959"/>
    <w:rsid w:val="00B06B4E"/>
    <w:rsid w:val="00B07341"/>
    <w:rsid w:val="00B16B79"/>
    <w:rsid w:val="00B202B5"/>
    <w:rsid w:val="00B30539"/>
    <w:rsid w:val="00B314DB"/>
    <w:rsid w:val="00B31FAB"/>
    <w:rsid w:val="00B361F2"/>
    <w:rsid w:val="00B3718B"/>
    <w:rsid w:val="00B42859"/>
    <w:rsid w:val="00B4632A"/>
    <w:rsid w:val="00B5067D"/>
    <w:rsid w:val="00B530F1"/>
    <w:rsid w:val="00B5618E"/>
    <w:rsid w:val="00B56DA5"/>
    <w:rsid w:val="00B736AF"/>
    <w:rsid w:val="00B7601A"/>
    <w:rsid w:val="00B77ECB"/>
    <w:rsid w:val="00B82FC6"/>
    <w:rsid w:val="00B87B57"/>
    <w:rsid w:val="00B97946"/>
    <w:rsid w:val="00BA276C"/>
    <w:rsid w:val="00BA5544"/>
    <w:rsid w:val="00BA68CB"/>
    <w:rsid w:val="00BB1B05"/>
    <w:rsid w:val="00BB306F"/>
    <w:rsid w:val="00BB3FBD"/>
    <w:rsid w:val="00BB709A"/>
    <w:rsid w:val="00BC1578"/>
    <w:rsid w:val="00BC5902"/>
    <w:rsid w:val="00BC6CD0"/>
    <w:rsid w:val="00BD2D61"/>
    <w:rsid w:val="00BD4B89"/>
    <w:rsid w:val="00BD5922"/>
    <w:rsid w:val="00BD76D9"/>
    <w:rsid w:val="00BE108B"/>
    <w:rsid w:val="00BF02CB"/>
    <w:rsid w:val="00BF514A"/>
    <w:rsid w:val="00BF6FD8"/>
    <w:rsid w:val="00BF775D"/>
    <w:rsid w:val="00C01F4A"/>
    <w:rsid w:val="00C021EB"/>
    <w:rsid w:val="00C03680"/>
    <w:rsid w:val="00C054DF"/>
    <w:rsid w:val="00C10AFC"/>
    <w:rsid w:val="00C21562"/>
    <w:rsid w:val="00C21762"/>
    <w:rsid w:val="00C21FEF"/>
    <w:rsid w:val="00C2229D"/>
    <w:rsid w:val="00C24543"/>
    <w:rsid w:val="00C256A2"/>
    <w:rsid w:val="00C35A26"/>
    <w:rsid w:val="00C37243"/>
    <w:rsid w:val="00C46104"/>
    <w:rsid w:val="00C51515"/>
    <w:rsid w:val="00C53910"/>
    <w:rsid w:val="00C5660B"/>
    <w:rsid w:val="00C56854"/>
    <w:rsid w:val="00C5788A"/>
    <w:rsid w:val="00C600EA"/>
    <w:rsid w:val="00C64592"/>
    <w:rsid w:val="00C66B72"/>
    <w:rsid w:val="00C7589C"/>
    <w:rsid w:val="00C764E1"/>
    <w:rsid w:val="00C81BC4"/>
    <w:rsid w:val="00C87AC4"/>
    <w:rsid w:val="00C938F8"/>
    <w:rsid w:val="00C9567A"/>
    <w:rsid w:val="00CA48A3"/>
    <w:rsid w:val="00CB212D"/>
    <w:rsid w:val="00CB2660"/>
    <w:rsid w:val="00CB4CEF"/>
    <w:rsid w:val="00CB4D27"/>
    <w:rsid w:val="00CB4EAA"/>
    <w:rsid w:val="00CB52EB"/>
    <w:rsid w:val="00CC3E13"/>
    <w:rsid w:val="00CC5DE9"/>
    <w:rsid w:val="00CC5E90"/>
    <w:rsid w:val="00CC686A"/>
    <w:rsid w:val="00CC6DEA"/>
    <w:rsid w:val="00CC6E35"/>
    <w:rsid w:val="00CD046C"/>
    <w:rsid w:val="00CD3F81"/>
    <w:rsid w:val="00CD5F17"/>
    <w:rsid w:val="00CE076C"/>
    <w:rsid w:val="00CE5199"/>
    <w:rsid w:val="00CE65E8"/>
    <w:rsid w:val="00CE66D5"/>
    <w:rsid w:val="00CE7046"/>
    <w:rsid w:val="00CF51D6"/>
    <w:rsid w:val="00CF637A"/>
    <w:rsid w:val="00CF69B5"/>
    <w:rsid w:val="00D02EEA"/>
    <w:rsid w:val="00D03715"/>
    <w:rsid w:val="00D059DE"/>
    <w:rsid w:val="00D05ABD"/>
    <w:rsid w:val="00D13FCE"/>
    <w:rsid w:val="00D26CDE"/>
    <w:rsid w:val="00D278A4"/>
    <w:rsid w:val="00D306D1"/>
    <w:rsid w:val="00D30800"/>
    <w:rsid w:val="00D32260"/>
    <w:rsid w:val="00D34786"/>
    <w:rsid w:val="00D34B76"/>
    <w:rsid w:val="00D37BFC"/>
    <w:rsid w:val="00D42822"/>
    <w:rsid w:val="00D455A9"/>
    <w:rsid w:val="00D459B0"/>
    <w:rsid w:val="00D460F3"/>
    <w:rsid w:val="00D461AB"/>
    <w:rsid w:val="00D47595"/>
    <w:rsid w:val="00D47A8E"/>
    <w:rsid w:val="00D52D14"/>
    <w:rsid w:val="00D55256"/>
    <w:rsid w:val="00D5551D"/>
    <w:rsid w:val="00D55FB1"/>
    <w:rsid w:val="00D5645E"/>
    <w:rsid w:val="00D61958"/>
    <w:rsid w:val="00D62438"/>
    <w:rsid w:val="00D63926"/>
    <w:rsid w:val="00D6426F"/>
    <w:rsid w:val="00D64647"/>
    <w:rsid w:val="00D712D3"/>
    <w:rsid w:val="00D71422"/>
    <w:rsid w:val="00D72DC6"/>
    <w:rsid w:val="00D73A49"/>
    <w:rsid w:val="00D73F5E"/>
    <w:rsid w:val="00D7558D"/>
    <w:rsid w:val="00D77503"/>
    <w:rsid w:val="00D81D92"/>
    <w:rsid w:val="00D876F9"/>
    <w:rsid w:val="00D877B6"/>
    <w:rsid w:val="00DA009E"/>
    <w:rsid w:val="00DA7B5F"/>
    <w:rsid w:val="00DB20DA"/>
    <w:rsid w:val="00DB3D5F"/>
    <w:rsid w:val="00DC11E7"/>
    <w:rsid w:val="00DC3EB9"/>
    <w:rsid w:val="00DC46AF"/>
    <w:rsid w:val="00DC7023"/>
    <w:rsid w:val="00DC769A"/>
    <w:rsid w:val="00DD3D86"/>
    <w:rsid w:val="00DD3F6C"/>
    <w:rsid w:val="00DD619C"/>
    <w:rsid w:val="00DE12F0"/>
    <w:rsid w:val="00DE32FE"/>
    <w:rsid w:val="00DE6C92"/>
    <w:rsid w:val="00DF1EC4"/>
    <w:rsid w:val="00DF295D"/>
    <w:rsid w:val="00DF2C49"/>
    <w:rsid w:val="00E01943"/>
    <w:rsid w:val="00E019FC"/>
    <w:rsid w:val="00E02FA2"/>
    <w:rsid w:val="00E0340B"/>
    <w:rsid w:val="00E04A90"/>
    <w:rsid w:val="00E0551F"/>
    <w:rsid w:val="00E05FDF"/>
    <w:rsid w:val="00E170D0"/>
    <w:rsid w:val="00E20E8D"/>
    <w:rsid w:val="00E219C7"/>
    <w:rsid w:val="00E22EEE"/>
    <w:rsid w:val="00E23117"/>
    <w:rsid w:val="00E26CCA"/>
    <w:rsid w:val="00E31586"/>
    <w:rsid w:val="00E33AD3"/>
    <w:rsid w:val="00E4118C"/>
    <w:rsid w:val="00E42370"/>
    <w:rsid w:val="00E43157"/>
    <w:rsid w:val="00E461CE"/>
    <w:rsid w:val="00E479A2"/>
    <w:rsid w:val="00E50345"/>
    <w:rsid w:val="00E53B3F"/>
    <w:rsid w:val="00E55732"/>
    <w:rsid w:val="00E55DFC"/>
    <w:rsid w:val="00E57B14"/>
    <w:rsid w:val="00E600FE"/>
    <w:rsid w:val="00E720CA"/>
    <w:rsid w:val="00E747B6"/>
    <w:rsid w:val="00E84790"/>
    <w:rsid w:val="00E84EB5"/>
    <w:rsid w:val="00E85662"/>
    <w:rsid w:val="00E867BB"/>
    <w:rsid w:val="00E8789F"/>
    <w:rsid w:val="00E90881"/>
    <w:rsid w:val="00E97B71"/>
    <w:rsid w:val="00EA2E36"/>
    <w:rsid w:val="00EA325F"/>
    <w:rsid w:val="00EA3D34"/>
    <w:rsid w:val="00EA5252"/>
    <w:rsid w:val="00EA67B7"/>
    <w:rsid w:val="00EA7BB1"/>
    <w:rsid w:val="00EB24CA"/>
    <w:rsid w:val="00EB454D"/>
    <w:rsid w:val="00EB5A62"/>
    <w:rsid w:val="00EB6853"/>
    <w:rsid w:val="00EC5AD9"/>
    <w:rsid w:val="00EC5BD7"/>
    <w:rsid w:val="00EC72AB"/>
    <w:rsid w:val="00ED2F03"/>
    <w:rsid w:val="00ED549D"/>
    <w:rsid w:val="00ED70FC"/>
    <w:rsid w:val="00ED76BE"/>
    <w:rsid w:val="00ED7F05"/>
    <w:rsid w:val="00EE00E9"/>
    <w:rsid w:val="00EE014D"/>
    <w:rsid w:val="00EE0CAD"/>
    <w:rsid w:val="00EE1407"/>
    <w:rsid w:val="00EE24D5"/>
    <w:rsid w:val="00EF35AB"/>
    <w:rsid w:val="00EF4C44"/>
    <w:rsid w:val="00EF5DB8"/>
    <w:rsid w:val="00EF619B"/>
    <w:rsid w:val="00F00B55"/>
    <w:rsid w:val="00F014FC"/>
    <w:rsid w:val="00F024BC"/>
    <w:rsid w:val="00F02AD1"/>
    <w:rsid w:val="00F035E2"/>
    <w:rsid w:val="00F04591"/>
    <w:rsid w:val="00F06354"/>
    <w:rsid w:val="00F124BF"/>
    <w:rsid w:val="00F157A3"/>
    <w:rsid w:val="00F20214"/>
    <w:rsid w:val="00F21642"/>
    <w:rsid w:val="00F21A08"/>
    <w:rsid w:val="00F232E3"/>
    <w:rsid w:val="00F25323"/>
    <w:rsid w:val="00F253CC"/>
    <w:rsid w:val="00F3006D"/>
    <w:rsid w:val="00F332EF"/>
    <w:rsid w:val="00F37106"/>
    <w:rsid w:val="00F40618"/>
    <w:rsid w:val="00F42E88"/>
    <w:rsid w:val="00F4378E"/>
    <w:rsid w:val="00F50554"/>
    <w:rsid w:val="00F519CF"/>
    <w:rsid w:val="00F56BA5"/>
    <w:rsid w:val="00F60E22"/>
    <w:rsid w:val="00F6141B"/>
    <w:rsid w:val="00F6248B"/>
    <w:rsid w:val="00F63B39"/>
    <w:rsid w:val="00F81029"/>
    <w:rsid w:val="00F81395"/>
    <w:rsid w:val="00F81887"/>
    <w:rsid w:val="00F81BB8"/>
    <w:rsid w:val="00F82ADB"/>
    <w:rsid w:val="00F917D1"/>
    <w:rsid w:val="00F9342C"/>
    <w:rsid w:val="00F93D0E"/>
    <w:rsid w:val="00F93F69"/>
    <w:rsid w:val="00F950F2"/>
    <w:rsid w:val="00F9653B"/>
    <w:rsid w:val="00FA3CA9"/>
    <w:rsid w:val="00FA41A1"/>
    <w:rsid w:val="00FA56EA"/>
    <w:rsid w:val="00FB403C"/>
    <w:rsid w:val="00FB62CF"/>
    <w:rsid w:val="00FC0F4A"/>
    <w:rsid w:val="00FC3330"/>
    <w:rsid w:val="00FC3DE9"/>
    <w:rsid w:val="00FD3C3B"/>
    <w:rsid w:val="00FE07DD"/>
    <w:rsid w:val="00FE4CB8"/>
    <w:rsid w:val="00FE6B45"/>
    <w:rsid w:val="00FF0D54"/>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65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fr-CA" w:eastAsia="fr-FR"/>
    </w:rPr>
  </w:style>
  <w:style w:type="paragraph" w:styleId="Heading1">
    <w:name w:val="heading 1"/>
    <w:basedOn w:val="Normal"/>
    <w:next w:val="Normal"/>
    <w:link w:val="Heading1Char"/>
    <w:uiPriority w:val="9"/>
    <w:qFormat/>
    <w:rsid w:val="00D81D92"/>
    <w:pPr>
      <w:keepNext/>
      <w:keepLines/>
      <w:numPr>
        <w:numId w:val="53"/>
      </w:numPr>
      <w:pBdr>
        <w:top w:val="nil"/>
        <w:left w:val="nil"/>
        <w:bottom w:val="nil"/>
        <w:right w:val="nil"/>
        <w:between w:val="nil"/>
        <w:bar w:val="nil"/>
      </w:pBdr>
      <w:spacing w:before="480"/>
      <w:outlineLvl w:val="0"/>
    </w:pPr>
    <w:rPr>
      <w:rFonts w:asciiTheme="majorHAnsi" w:eastAsiaTheme="majorEastAsia" w:hAnsiTheme="majorHAnsi" w:cstheme="majorBidi"/>
      <w:b/>
      <w:bCs/>
      <w:color w:val="365F91" w:themeColor="accent1" w:themeShade="BF"/>
      <w:sz w:val="28"/>
      <w:szCs w:val="28"/>
      <w:bdr w:val="nil"/>
      <w:lang w:val="en-US" w:eastAsia="en-US"/>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lang w:val="en-US" w:eastAsia="en-US"/>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pPr>
      <w:pBdr>
        <w:top w:val="nil"/>
        <w:left w:val="nil"/>
        <w:bottom w:val="nil"/>
        <w:right w:val="nil"/>
        <w:between w:val="nil"/>
        <w:bar w:val="nil"/>
      </w:pBdr>
    </w:pPr>
    <w:rPr>
      <w:rFonts w:ascii="Tahoma" w:eastAsia="Arial Unicode MS" w:hAnsi="Tahoma" w:cs="Tahoma"/>
      <w:sz w:val="16"/>
      <w:szCs w:val="16"/>
      <w:bdr w:val="nil"/>
      <w:lang w:val="en-US" w:eastAsia="en-US"/>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lang w:val="en-US" w:eastAsia="en-U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pBdr>
        <w:top w:val="nil"/>
        <w:left w:val="nil"/>
        <w:bottom w:val="nil"/>
        <w:right w:val="nil"/>
        <w:between w:val="nil"/>
        <w:bar w:val="nil"/>
      </w:pBdr>
      <w:tabs>
        <w:tab w:val="left" w:pos="1440"/>
        <w:tab w:val="right" w:leader="dot" w:pos="9350"/>
      </w:tabs>
      <w:spacing w:after="100"/>
      <w:ind w:left="1440" w:hanging="720"/>
    </w:pPr>
    <w:rPr>
      <w:rFonts w:eastAsia="Arial Unicode MS"/>
      <w:bdr w:val="nil"/>
      <w:lang w:val="en-US" w:eastAsia="en-US"/>
    </w:rPr>
  </w:style>
  <w:style w:type="paragraph" w:styleId="TOC1">
    <w:name w:val="toc 1"/>
    <w:basedOn w:val="Normal"/>
    <w:next w:val="Normal"/>
    <w:autoRedefine/>
    <w:uiPriority w:val="39"/>
    <w:unhideWhenUsed/>
    <w:rsid w:val="005C4225"/>
    <w:pPr>
      <w:pBdr>
        <w:top w:val="nil"/>
        <w:left w:val="nil"/>
        <w:bottom w:val="nil"/>
        <w:right w:val="nil"/>
        <w:between w:val="nil"/>
        <w:bar w:val="nil"/>
      </w:pBdr>
      <w:spacing w:after="100"/>
    </w:pPr>
    <w:rPr>
      <w:rFonts w:asciiTheme="minorHAnsi" w:eastAsia="Arial Unicode MS" w:hAnsiTheme="minorHAnsi"/>
      <w:sz w:val="22"/>
      <w:bdr w:val="nil"/>
      <w:lang w:val="en-US" w:eastAsia="en-US"/>
    </w:rPr>
  </w:style>
  <w:style w:type="paragraph" w:styleId="TOC3">
    <w:name w:val="toc 3"/>
    <w:basedOn w:val="Normal"/>
    <w:next w:val="Normal"/>
    <w:autoRedefine/>
    <w:uiPriority w:val="39"/>
    <w:unhideWhenUsed/>
    <w:rsid w:val="005C4225"/>
    <w:pPr>
      <w:pBdr>
        <w:top w:val="nil"/>
        <w:left w:val="nil"/>
        <w:bottom w:val="nil"/>
        <w:right w:val="nil"/>
        <w:between w:val="nil"/>
        <w:bar w:val="nil"/>
      </w:pBdr>
      <w:tabs>
        <w:tab w:val="left" w:pos="880"/>
        <w:tab w:val="right" w:leader="dot" w:pos="9350"/>
      </w:tabs>
      <w:spacing w:after="100"/>
      <w:ind w:left="2160" w:hanging="720"/>
    </w:pPr>
    <w:rPr>
      <w:rFonts w:eastAsia="Arial Unicode MS"/>
      <w:bdr w:val="nil"/>
      <w:lang w:val="en-US" w:eastAsia="en-US"/>
    </w:rPr>
  </w:style>
  <w:style w:type="paragraph" w:styleId="TOC4">
    <w:name w:val="toc 4"/>
    <w:basedOn w:val="Normal"/>
    <w:next w:val="Normal"/>
    <w:autoRedefine/>
    <w:uiPriority w:val="39"/>
    <w:unhideWhenUsed/>
    <w:rsid w:val="005C4225"/>
    <w:pPr>
      <w:pBdr>
        <w:top w:val="nil"/>
        <w:left w:val="nil"/>
        <w:bottom w:val="nil"/>
        <w:right w:val="nil"/>
        <w:between w:val="nil"/>
        <w:bar w:val="nil"/>
      </w:pBdr>
      <w:spacing w:after="100"/>
      <w:ind w:left="720"/>
    </w:pPr>
    <w:rPr>
      <w:rFonts w:eastAsia="Arial Unicode MS"/>
      <w:bdr w:val="nil"/>
      <w:lang w:val="en-US" w:eastAsia="en-US"/>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pBdr>
        <w:top w:val="nil"/>
        <w:left w:val="nil"/>
        <w:bottom w:val="nil"/>
        <w:right w:val="nil"/>
        <w:between w:val="nil"/>
        <w:bar w:val="nil"/>
      </w:pBdr>
      <w:spacing w:after="120"/>
    </w:pPr>
    <w:rPr>
      <w:rFonts w:eastAsia="Arial Unicode MS"/>
      <w:bdr w:val="nil"/>
      <w:lang w:val="en-US" w:eastAsia="en-US"/>
    </w:r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rPr>
      <w:lang w:val="en-US" w:eastAsia="en-US"/>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pPr>
      <w:pBdr>
        <w:top w:val="nil"/>
        <w:left w:val="nil"/>
        <w:bottom w:val="nil"/>
        <w:right w:val="nil"/>
        <w:between w:val="nil"/>
        <w:bar w:val="nil"/>
      </w:pBdr>
    </w:pPr>
    <w:rPr>
      <w:rFonts w:eastAsia="Arial Unicode MS"/>
      <w:sz w:val="20"/>
      <w:szCs w:val="20"/>
      <w:bdr w:val="nil"/>
      <w:lang w:val="en-US" w:eastAsia="en-US"/>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NormalWeb">
    <w:name w:val="Normal (Web)"/>
    <w:basedOn w:val="Normal"/>
    <w:uiPriority w:val="99"/>
    <w:semiHidden/>
    <w:unhideWhenUsed/>
    <w:rsid w:val="00CE6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62019">
      <w:bodyDiv w:val="1"/>
      <w:marLeft w:val="0"/>
      <w:marRight w:val="0"/>
      <w:marTop w:val="0"/>
      <w:marBottom w:val="0"/>
      <w:divBdr>
        <w:top w:val="none" w:sz="0" w:space="0" w:color="auto"/>
        <w:left w:val="none" w:sz="0" w:space="0" w:color="auto"/>
        <w:bottom w:val="none" w:sz="0" w:space="0" w:color="auto"/>
        <w:right w:val="none" w:sz="0" w:space="0" w:color="auto"/>
      </w:divBdr>
    </w:div>
    <w:div w:id="202864326">
      <w:bodyDiv w:val="1"/>
      <w:marLeft w:val="0"/>
      <w:marRight w:val="0"/>
      <w:marTop w:val="0"/>
      <w:marBottom w:val="0"/>
      <w:divBdr>
        <w:top w:val="none" w:sz="0" w:space="0" w:color="auto"/>
        <w:left w:val="none" w:sz="0" w:space="0" w:color="auto"/>
        <w:bottom w:val="none" w:sz="0" w:space="0" w:color="auto"/>
        <w:right w:val="none" w:sz="0" w:space="0" w:color="auto"/>
      </w:divBdr>
    </w:div>
    <w:div w:id="341013652">
      <w:bodyDiv w:val="1"/>
      <w:marLeft w:val="0"/>
      <w:marRight w:val="0"/>
      <w:marTop w:val="0"/>
      <w:marBottom w:val="0"/>
      <w:divBdr>
        <w:top w:val="none" w:sz="0" w:space="0" w:color="auto"/>
        <w:left w:val="none" w:sz="0" w:space="0" w:color="auto"/>
        <w:bottom w:val="none" w:sz="0" w:space="0" w:color="auto"/>
        <w:right w:val="none" w:sz="0" w:space="0" w:color="auto"/>
      </w:divBdr>
      <w:divsChild>
        <w:div w:id="1980918528">
          <w:marLeft w:val="0"/>
          <w:marRight w:val="0"/>
          <w:marTop w:val="0"/>
          <w:marBottom w:val="0"/>
          <w:divBdr>
            <w:top w:val="none" w:sz="0" w:space="0" w:color="auto"/>
            <w:left w:val="none" w:sz="0" w:space="0" w:color="auto"/>
            <w:bottom w:val="none" w:sz="0" w:space="0" w:color="auto"/>
            <w:right w:val="none" w:sz="0" w:space="0" w:color="auto"/>
          </w:divBdr>
          <w:divsChild>
            <w:div w:id="2006207993">
              <w:marLeft w:val="0"/>
              <w:marRight w:val="0"/>
              <w:marTop w:val="0"/>
              <w:marBottom w:val="0"/>
              <w:divBdr>
                <w:top w:val="none" w:sz="0" w:space="0" w:color="auto"/>
                <w:left w:val="none" w:sz="0" w:space="0" w:color="auto"/>
                <w:bottom w:val="none" w:sz="0" w:space="0" w:color="auto"/>
                <w:right w:val="none" w:sz="0" w:space="0" w:color="auto"/>
              </w:divBdr>
              <w:divsChild>
                <w:div w:id="71554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71940">
      <w:bodyDiv w:val="1"/>
      <w:marLeft w:val="0"/>
      <w:marRight w:val="0"/>
      <w:marTop w:val="0"/>
      <w:marBottom w:val="0"/>
      <w:divBdr>
        <w:top w:val="none" w:sz="0" w:space="0" w:color="auto"/>
        <w:left w:val="none" w:sz="0" w:space="0" w:color="auto"/>
        <w:bottom w:val="none" w:sz="0" w:space="0" w:color="auto"/>
        <w:right w:val="none" w:sz="0" w:space="0" w:color="auto"/>
      </w:divBdr>
      <w:divsChild>
        <w:div w:id="2000451660">
          <w:marLeft w:val="0"/>
          <w:marRight w:val="0"/>
          <w:marTop w:val="0"/>
          <w:marBottom w:val="0"/>
          <w:divBdr>
            <w:top w:val="none" w:sz="0" w:space="0" w:color="auto"/>
            <w:left w:val="none" w:sz="0" w:space="0" w:color="auto"/>
            <w:bottom w:val="none" w:sz="0" w:space="0" w:color="auto"/>
            <w:right w:val="none" w:sz="0" w:space="0" w:color="auto"/>
          </w:divBdr>
          <w:divsChild>
            <w:div w:id="713846298">
              <w:marLeft w:val="0"/>
              <w:marRight w:val="0"/>
              <w:marTop w:val="0"/>
              <w:marBottom w:val="0"/>
              <w:divBdr>
                <w:top w:val="none" w:sz="0" w:space="0" w:color="auto"/>
                <w:left w:val="none" w:sz="0" w:space="0" w:color="auto"/>
                <w:bottom w:val="none" w:sz="0" w:space="0" w:color="auto"/>
                <w:right w:val="none" w:sz="0" w:space="0" w:color="auto"/>
              </w:divBdr>
              <w:divsChild>
                <w:div w:id="67380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1980180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24FC"/>
    <w:rsid w:val="000160EC"/>
    <w:rsid w:val="00020817"/>
    <w:rsid w:val="00022325"/>
    <w:rsid w:val="0003421E"/>
    <w:rsid w:val="000441F7"/>
    <w:rsid w:val="000825FF"/>
    <w:rsid w:val="00083D45"/>
    <w:rsid w:val="000C082D"/>
    <w:rsid w:val="00183B6F"/>
    <w:rsid w:val="001C0E37"/>
    <w:rsid w:val="001C40BF"/>
    <w:rsid w:val="001E0977"/>
    <w:rsid w:val="001E65E5"/>
    <w:rsid w:val="00200821"/>
    <w:rsid w:val="002468A0"/>
    <w:rsid w:val="00286414"/>
    <w:rsid w:val="002C698B"/>
    <w:rsid w:val="002E6F38"/>
    <w:rsid w:val="00394049"/>
    <w:rsid w:val="004D36C2"/>
    <w:rsid w:val="004D5323"/>
    <w:rsid w:val="004F2DF8"/>
    <w:rsid w:val="00542FDC"/>
    <w:rsid w:val="0058053B"/>
    <w:rsid w:val="005B6D86"/>
    <w:rsid w:val="005D3162"/>
    <w:rsid w:val="005E3589"/>
    <w:rsid w:val="005F168B"/>
    <w:rsid w:val="005F72A0"/>
    <w:rsid w:val="006100DB"/>
    <w:rsid w:val="00643D2D"/>
    <w:rsid w:val="00646AA0"/>
    <w:rsid w:val="006E2B51"/>
    <w:rsid w:val="006F0306"/>
    <w:rsid w:val="00712624"/>
    <w:rsid w:val="007C4015"/>
    <w:rsid w:val="008E3184"/>
    <w:rsid w:val="008F2EBD"/>
    <w:rsid w:val="00903D5E"/>
    <w:rsid w:val="00920DBF"/>
    <w:rsid w:val="00942213"/>
    <w:rsid w:val="00952941"/>
    <w:rsid w:val="0097453C"/>
    <w:rsid w:val="009A1B5A"/>
    <w:rsid w:val="009A261B"/>
    <w:rsid w:val="00A311DF"/>
    <w:rsid w:val="00A942E1"/>
    <w:rsid w:val="00AA4108"/>
    <w:rsid w:val="00AA67AB"/>
    <w:rsid w:val="00AC15A4"/>
    <w:rsid w:val="00B0336C"/>
    <w:rsid w:val="00B65CF2"/>
    <w:rsid w:val="00BD5B4D"/>
    <w:rsid w:val="00C11833"/>
    <w:rsid w:val="00C35D17"/>
    <w:rsid w:val="00C56634"/>
    <w:rsid w:val="00C77941"/>
    <w:rsid w:val="00CC1166"/>
    <w:rsid w:val="00CE1AB1"/>
    <w:rsid w:val="00D04D43"/>
    <w:rsid w:val="00D1626E"/>
    <w:rsid w:val="00D46351"/>
    <w:rsid w:val="00D544A6"/>
    <w:rsid w:val="00D54C57"/>
    <w:rsid w:val="00D55AA6"/>
    <w:rsid w:val="00D56735"/>
    <w:rsid w:val="00D73C04"/>
    <w:rsid w:val="00DA2751"/>
    <w:rsid w:val="00DD65ED"/>
    <w:rsid w:val="00E02BDB"/>
    <w:rsid w:val="00E2507E"/>
    <w:rsid w:val="00E77140"/>
    <w:rsid w:val="00E907ED"/>
    <w:rsid w:val="00EC5ECB"/>
    <w:rsid w:val="00EC7B7B"/>
    <w:rsid w:val="00F00D2F"/>
    <w:rsid w:val="00F128DF"/>
    <w:rsid w:val="00FA4E9B"/>
    <w:rsid w:val="00FC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25990-85E7-42F6-9E31-235BC3F7F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2363</Words>
  <Characters>12360</Characters>
  <Application>Microsoft Office Word</Application>
  <DocSecurity>0</DocSecurity>
  <Lines>274</Lines>
  <Paragraphs>89</Paragraphs>
  <ScaleCrop>false</ScaleCrop>
  <Company/>
  <LinksUpToDate>false</LinksUpToDate>
  <CharactersWithSpaces>14634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402/20</dc:title>
  <dc:creator/>
  <cp:lastModifiedBy/>
  <cp:revision>1</cp:revision>
  <dcterms:created xsi:type="dcterms:W3CDTF">2021-02-10T13:51:00Z</dcterms:created>
  <dcterms:modified xsi:type="dcterms:W3CDTF">2021-02-10T13:52:00Z</dcterms:modified>
</cp:coreProperties>
</file>