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356BEB"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39D7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9145B">
                              <w:rPr>
                                <w:rFonts w:asciiTheme="majorHAnsi" w:hAnsiTheme="majorHAnsi" w:cs="Arial"/>
                                <w:b/>
                                <w:bCs/>
                                <w:color w:val="0D0D0D" w:themeColor="text1" w:themeTint="F2"/>
                                <w:sz w:val="36"/>
                                <w:szCs w:val="22"/>
                                <w:lang w:val="es-ES_tradnl"/>
                              </w:rPr>
                              <w:t xml:space="preserve"> 48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E60B9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043F3">
                              <w:rPr>
                                <w:rFonts w:asciiTheme="majorHAnsi" w:hAnsiTheme="majorHAnsi" w:cs="Arial"/>
                                <w:b/>
                                <w:color w:val="0D0D0D" w:themeColor="text1" w:themeTint="F2"/>
                                <w:sz w:val="36"/>
                                <w:szCs w:val="22"/>
                                <w:lang w:val="es-ES_tradnl"/>
                              </w:rPr>
                              <w:t>1587</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4A139FE"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4043F3">
                              <w:rPr>
                                <w:rFonts w:asciiTheme="majorHAnsi" w:hAnsiTheme="majorHAnsi" w:cs="Arial"/>
                                <w:color w:val="0D0D0D" w:themeColor="text1" w:themeTint="F2"/>
                                <w:szCs w:val="22"/>
                                <w:lang w:val="es-ES_tradnl"/>
                              </w:rPr>
                              <w:t xml:space="preserve">JOSÉ MANUEL DÍAZ HINOSTROZA </w:t>
                            </w:r>
                          </w:p>
                          <w:bookmarkEnd w:id="0"/>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239D7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9145B">
                        <w:rPr>
                          <w:rFonts w:asciiTheme="majorHAnsi" w:hAnsiTheme="majorHAnsi" w:cs="Arial"/>
                          <w:b/>
                          <w:bCs/>
                          <w:color w:val="0D0D0D" w:themeColor="text1" w:themeTint="F2"/>
                          <w:sz w:val="36"/>
                          <w:szCs w:val="22"/>
                          <w:lang w:val="es-ES_tradnl"/>
                        </w:rPr>
                        <w:t xml:space="preserve"> 48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E60B9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043F3">
                        <w:rPr>
                          <w:rFonts w:asciiTheme="majorHAnsi" w:hAnsiTheme="majorHAnsi" w:cs="Arial"/>
                          <w:b/>
                          <w:color w:val="0D0D0D" w:themeColor="text1" w:themeTint="F2"/>
                          <w:sz w:val="36"/>
                          <w:szCs w:val="22"/>
                          <w:lang w:val="es-ES_tradnl"/>
                        </w:rPr>
                        <w:t>1587</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4A139FE"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4043F3">
                        <w:rPr>
                          <w:rFonts w:asciiTheme="majorHAnsi" w:hAnsiTheme="majorHAnsi" w:cs="Arial"/>
                          <w:color w:val="0D0D0D" w:themeColor="text1" w:themeTint="F2"/>
                          <w:szCs w:val="22"/>
                          <w:lang w:val="es-ES_tradnl"/>
                        </w:rPr>
                        <w:t xml:space="preserve">JOSÉ MANUEL DÍAZ HINOSTROZA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22F8B1E" w:rsidR="00627C9F" w:rsidRPr="00935F06" w:rsidRDefault="001914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5E7877B" w:rsidR="00627C9F" w:rsidRPr="00935F06" w:rsidRDefault="001914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58</w:t>
                            </w:r>
                          </w:p>
                          <w:p w14:paraId="69373ED2" w14:textId="230450E7" w:rsidR="00627C9F" w:rsidRPr="00B16B79" w:rsidRDefault="0019145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22F8B1E" w:rsidR="00627C9F" w:rsidRPr="00935F06" w:rsidRDefault="001914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5E7877B" w:rsidR="00627C9F" w:rsidRPr="00935F06" w:rsidRDefault="001914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58</w:t>
                      </w:r>
                    </w:p>
                    <w:p w14:paraId="69373ED2" w14:textId="230450E7" w:rsidR="00627C9F" w:rsidRPr="00B16B79" w:rsidRDefault="0019145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1F4D84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9145B">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9145B">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3630A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1F4D84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9145B">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9145B">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3630A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9B9A37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19145B" w:rsidRPr="0019145B">
                              <w:rPr>
                                <w:rFonts w:asciiTheme="majorHAnsi" w:hAnsiTheme="majorHAnsi"/>
                                <w:color w:val="595959" w:themeColor="text1" w:themeTint="A6"/>
                                <w:sz w:val="18"/>
                                <w:szCs w:val="18"/>
                                <w:lang w:val="pt-BR"/>
                              </w:rPr>
                              <w:t>48</w:t>
                            </w:r>
                            <w:r w:rsidR="007B05C4" w:rsidRPr="0019145B">
                              <w:rPr>
                                <w:rFonts w:asciiTheme="majorHAnsi" w:hAnsiTheme="majorHAnsi"/>
                                <w:color w:val="595959" w:themeColor="text1" w:themeTint="A6"/>
                                <w:sz w:val="18"/>
                                <w:szCs w:val="18"/>
                                <w:lang w:val="pt-BR"/>
                              </w:rPr>
                              <w:t>/</w:t>
                            </w:r>
                            <w:r w:rsidR="0019145B" w:rsidRPr="0019145B">
                              <w:rPr>
                                <w:rFonts w:asciiTheme="majorHAnsi" w:hAnsiTheme="majorHAnsi"/>
                                <w:color w:val="595959" w:themeColor="text1" w:themeTint="A6"/>
                                <w:sz w:val="18"/>
                                <w:szCs w:val="18"/>
                                <w:lang w:val="pt-BR"/>
                              </w:rPr>
                              <w:t>20</w:t>
                            </w:r>
                            <w:r w:rsidR="00D03715" w:rsidRPr="0019145B">
                              <w:rPr>
                                <w:rFonts w:asciiTheme="majorHAnsi" w:hAnsiTheme="majorHAnsi"/>
                                <w:color w:val="595959" w:themeColor="text1" w:themeTint="A6"/>
                                <w:sz w:val="18"/>
                                <w:szCs w:val="18"/>
                                <w:lang w:val="pt-BR"/>
                              </w:rPr>
                              <w:t>.</w:t>
                            </w:r>
                            <w:r w:rsidR="00214755" w:rsidRPr="0019145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9319C4">
                              <w:rPr>
                                <w:rFonts w:asciiTheme="majorHAnsi" w:hAnsiTheme="majorHAnsi"/>
                                <w:color w:val="595959" w:themeColor="text1" w:themeTint="A6"/>
                                <w:sz w:val="18"/>
                                <w:szCs w:val="18"/>
                                <w:lang w:val="es-ES_tradnl"/>
                              </w:rPr>
                              <w:t>1587</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0326B9">
                              <w:rPr>
                                <w:rFonts w:ascii="Cambria" w:hAnsi="Cambria"/>
                                <w:bCs/>
                                <w:color w:val="595959" w:themeColor="text1" w:themeTint="A6"/>
                                <w:sz w:val="18"/>
                                <w:szCs w:val="18"/>
                                <w:lang w:val="es-ES"/>
                              </w:rPr>
                              <w:t>Familia</w:t>
                            </w:r>
                            <w:r w:rsidR="00E44F5E" w:rsidRPr="000326B9">
                              <w:rPr>
                                <w:rFonts w:ascii="Cambria" w:hAnsi="Cambria"/>
                                <w:bCs/>
                                <w:color w:val="595959" w:themeColor="text1" w:themeTint="A6"/>
                                <w:sz w:val="18"/>
                                <w:szCs w:val="18"/>
                                <w:lang w:val="es-ES"/>
                              </w:rPr>
                              <w:t>res de</w:t>
                            </w:r>
                            <w:r w:rsidR="009319C4" w:rsidRPr="000326B9">
                              <w:rPr>
                                <w:rFonts w:ascii="Cambria" w:hAnsi="Cambria"/>
                                <w:bCs/>
                                <w:color w:val="595959" w:themeColor="text1" w:themeTint="A6"/>
                                <w:sz w:val="18"/>
                                <w:szCs w:val="18"/>
                                <w:lang w:val="es-ES"/>
                              </w:rPr>
                              <w:t xml:space="preserve"> José Manuel Díaz </w:t>
                            </w:r>
                            <w:proofErr w:type="spellStart"/>
                            <w:r w:rsidR="009319C4" w:rsidRPr="000326B9">
                              <w:rPr>
                                <w:rFonts w:ascii="Cambria" w:hAnsi="Cambria"/>
                                <w:bCs/>
                                <w:color w:val="595959" w:themeColor="text1" w:themeTint="A6"/>
                                <w:sz w:val="18"/>
                                <w:szCs w:val="18"/>
                                <w:lang w:val="es-ES"/>
                              </w:rPr>
                              <w:t>Hinostroza</w:t>
                            </w:r>
                            <w:proofErr w:type="spellEnd"/>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19145B">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9B9A37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19145B" w:rsidRPr="0019145B">
                        <w:rPr>
                          <w:rFonts w:asciiTheme="majorHAnsi" w:hAnsiTheme="majorHAnsi"/>
                          <w:color w:val="595959" w:themeColor="text1" w:themeTint="A6"/>
                          <w:sz w:val="18"/>
                          <w:szCs w:val="18"/>
                          <w:lang w:val="pt-BR"/>
                        </w:rPr>
                        <w:t>48</w:t>
                      </w:r>
                      <w:r w:rsidR="007B05C4" w:rsidRPr="0019145B">
                        <w:rPr>
                          <w:rFonts w:asciiTheme="majorHAnsi" w:hAnsiTheme="majorHAnsi"/>
                          <w:color w:val="595959" w:themeColor="text1" w:themeTint="A6"/>
                          <w:sz w:val="18"/>
                          <w:szCs w:val="18"/>
                          <w:lang w:val="pt-BR"/>
                        </w:rPr>
                        <w:t>/</w:t>
                      </w:r>
                      <w:r w:rsidR="0019145B" w:rsidRPr="0019145B">
                        <w:rPr>
                          <w:rFonts w:asciiTheme="majorHAnsi" w:hAnsiTheme="majorHAnsi"/>
                          <w:color w:val="595959" w:themeColor="text1" w:themeTint="A6"/>
                          <w:sz w:val="18"/>
                          <w:szCs w:val="18"/>
                          <w:lang w:val="pt-BR"/>
                        </w:rPr>
                        <w:t>20</w:t>
                      </w:r>
                      <w:r w:rsidR="00D03715" w:rsidRPr="0019145B">
                        <w:rPr>
                          <w:rFonts w:asciiTheme="majorHAnsi" w:hAnsiTheme="majorHAnsi"/>
                          <w:color w:val="595959" w:themeColor="text1" w:themeTint="A6"/>
                          <w:sz w:val="18"/>
                          <w:szCs w:val="18"/>
                          <w:lang w:val="pt-BR"/>
                        </w:rPr>
                        <w:t>.</w:t>
                      </w:r>
                      <w:r w:rsidR="00214755" w:rsidRPr="0019145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9319C4">
                        <w:rPr>
                          <w:rFonts w:asciiTheme="majorHAnsi" w:hAnsiTheme="majorHAnsi"/>
                          <w:color w:val="595959" w:themeColor="text1" w:themeTint="A6"/>
                          <w:sz w:val="18"/>
                          <w:szCs w:val="18"/>
                          <w:lang w:val="es-ES_tradnl"/>
                        </w:rPr>
                        <w:t>1587</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0326B9">
                        <w:rPr>
                          <w:rFonts w:ascii="Cambria" w:hAnsi="Cambria"/>
                          <w:bCs/>
                          <w:color w:val="595959" w:themeColor="text1" w:themeTint="A6"/>
                          <w:sz w:val="18"/>
                          <w:szCs w:val="18"/>
                          <w:lang w:val="es-ES"/>
                        </w:rPr>
                        <w:t>Familia</w:t>
                      </w:r>
                      <w:r w:rsidR="00E44F5E" w:rsidRPr="000326B9">
                        <w:rPr>
                          <w:rFonts w:ascii="Cambria" w:hAnsi="Cambria"/>
                          <w:bCs/>
                          <w:color w:val="595959" w:themeColor="text1" w:themeTint="A6"/>
                          <w:sz w:val="18"/>
                          <w:szCs w:val="18"/>
                          <w:lang w:val="es-ES"/>
                        </w:rPr>
                        <w:t>res de</w:t>
                      </w:r>
                      <w:r w:rsidR="009319C4" w:rsidRPr="000326B9">
                        <w:rPr>
                          <w:rFonts w:ascii="Cambria" w:hAnsi="Cambria"/>
                          <w:bCs/>
                          <w:color w:val="595959" w:themeColor="text1" w:themeTint="A6"/>
                          <w:sz w:val="18"/>
                          <w:szCs w:val="18"/>
                          <w:lang w:val="es-ES"/>
                        </w:rPr>
                        <w:t xml:space="preserve"> José Manuel Díaz </w:t>
                      </w:r>
                      <w:proofErr w:type="spellStart"/>
                      <w:r w:rsidR="009319C4" w:rsidRPr="000326B9">
                        <w:rPr>
                          <w:rFonts w:ascii="Cambria" w:hAnsi="Cambria"/>
                          <w:bCs/>
                          <w:color w:val="595959" w:themeColor="text1" w:themeTint="A6"/>
                          <w:sz w:val="18"/>
                          <w:szCs w:val="18"/>
                          <w:lang w:val="es-ES"/>
                        </w:rPr>
                        <w:t>Hinostroza</w:t>
                      </w:r>
                      <w:proofErr w:type="spellEnd"/>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19145B">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2669F3"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4B66F5C5" w:rsidR="003239B8" w:rsidRPr="00ED70FC" w:rsidRDefault="005328A7" w:rsidP="00B17FA5">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3630AF"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256B55"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713004F1" w:rsidR="003239B8" w:rsidRPr="00E40857" w:rsidRDefault="002E5993" w:rsidP="00E40857">
            <w:pPr>
              <w:jc w:val="both"/>
              <w:rPr>
                <w:rFonts w:ascii="Cambria" w:hAnsi="Cambria"/>
                <w:bCs/>
                <w:sz w:val="19"/>
                <w:szCs w:val="19"/>
                <w:lang w:val="pt-BR"/>
              </w:rPr>
            </w:pPr>
            <w:r w:rsidRPr="00E40857">
              <w:rPr>
                <w:rFonts w:ascii="Cambria" w:hAnsi="Cambria"/>
                <w:bCs/>
                <w:sz w:val="19"/>
                <w:szCs w:val="19"/>
                <w:lang w:val="pt-BR"/>
              </w:rPr>
              <w:t xml:space="preserve">Familiares de </w:t>
            </w:r>
            <w:r w:rsidR="00E40857" w:rsidRPr="00E40857">
              <w:rPr>
                <w:rFonts w:ascii="Cambria" w:hAnsi="Cambria"/>
                <w:bCs/>
                <w:sz w:val="19"/>
                <w:szCs w:val="19"/>
                <w:lang w:val="pt-BR"/>
              </w:rPr>
              <w:t>José Manuel D</w:t>
            </w:r>
            <w:r w:rsidR="00E40857">
              <w:rPr>
                <w:rFonts w:ascii="Cambria" w:hAnsi="Cambria"/>
                <w:bCs/>
                <w:sz w:val="19"/>
                <w:szCs w:val="19"/>
                <w:lang w:val="pt-BR"/>
              </w:rPr>
              <w:t>íaz Hinostroza</w:t>
            </w:r>
            <w:r w:rsidR="00B17FA5">
              <w:rPr>
                <w:rStyle w:val="FootnoteReference"/>
                <w:rFonts w:ascii="Cambria" w:hAnsi="Cambria"/>
                <w:bCs/>
                <w:sz w:val="19"/>
                <w:szCs w:val="19"/>
                <w:lang w:val="pt-BR"/>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3630AF"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54E3C9DC" w:rsidR="004C2312" w:rsidRPr="00ED70FC" w:rsidRDefault="009319C4" w:rsidP="009319C4">
            <w:pPr>
              <w:jc w:val="both"/>
              <w:rPr>
                <w:rFonts w:ascii="Cambria" w:hAnsi="Cambria"/>
                <w:bCs/>
                <w:sz w:val="19"/>
                <w:szCs w:val="19"/>
                <w:lang w:val="es-ES"/>
              </w:rPr>
            </w:pPr>
            <w:r>
              <w:rPr>
                <w:rFonts w:ascii="Cambria" w:hAnsi="Cambria"/>
                <w:bCs/>
                <w:sz w:val="19"/>
                <w:szCs w:val="19"/>
                <w:lang w:val="es-ES"/>
              </w:rPr>
              <w:t>7 de noviembre de 2010</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148153C9" w:rsidR="004C2312" w:rsidRPr="00ED70FC" w:rsidRDefault="00E40857" w:rsidP="00E479A2">
            <w:pPr>
              <w:jc w:val="both"/>
              <w:rPr>
                <w:rFonts w:ascii="Cambria" w:hAnsi="Cambria"/>
                <w:bCs/>
                <w:sz w:val="19"/>
                <w:szCs w:val="19"/>
                <w:lang w:val="es-ES"/>
              </w:rPr>
            </w:pPr>
            <w:r>
              <w:rPr>
                <w:rFonts w:ascii="Cambria" w:hAnsi="Cambria"/>
                <w:bCs/>
                <w:sz w:val="19"/>
                <w:szCs w:val="19"/>
                <w:lang w:val="es-ES"/>
              </w:rPr>
              <w:t>5 de mayo de 201</w:t>
            </w:r>
            <w:r w:rsidR="002669F3">
              <w:rPr>
                <w:rFonts w:ascii="Cambria" w:hAnsi="Cambria"/>
                <w:bCs/>
                <w:sz w:val="19"/>
                <w:szCs w:val="19"/>
                <w:lang w:val="es-ES"/>
              </w:rPr>
              <w:t>6</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78EDBC6F" w:rsidR="00F06354" w:rsidRPr="00ED70FC" w:rsidRDefault="00E40857" w:rsidP="00F06354">
            <w:pPr>
              <w:jc w:val="both"/>
              <w:rPr>
                <w:rFonts w:ascii="Cambria" w:hAnsi="Cambria"/>
                <w:bCs/>
                <w:sz w:val="19"/>
                <w:szCs w:val="19"/>
                <w:lang w:val="es-ES"/>
              </w:rPr>
            </w:pPr>
            <w:r>
              <w:rPr>
                <w:rFonts w:ascii="Cambria" w:hAnsi="Cambria"/>
                <w:bCs/>
                <w:sz w:val="19"/>
                <w:szCs w:val="19"/>
                <w:lang w:val="es-ES"/>
              </w:rPr>
              <w:t>18 de agosto de 201</w:t>
            </w:r>
            <w:r w:rsidR="002669F3">
              <w:rPr>
                <w:rFonts w:ascii="Cambria" w:hAnsi="Cambria"/>
                <w:bCs/>
                <w:sz w:val="19"/>
                <w:szCs w:val="19"/>
                <w:lang w:val="es-ES"/>
              </w:rPr>
              <w:t>6</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51D8F30C" w:rsidR="00F06354" w:rsidRPr="007D4106" w:rsidRDefault="00E40857">
            <w:pPr>
              <w:jc w:val="both"/>
              <w:rPr>
                <w:rFonts w:ascii="Cambria" w:hAnsi="Cambria"/>
                <w:bCs/>
                <w:sz w:val="19"/>
                <w:szCs w:val="19"/>
                <w:lang w:val="es-ES"/>
              </w:rPr>
            </w:pPr>
            <w:r>
              <w:rPr>
                <w:rFonts w:ascii="Cambria" w:hAnsi="Cambria"/>
                <w:bCs/>
                <w:sz w:val="19"/>
                <w:szCs w:val="19"/>
                <w:lang w:val="es-ES"/>
              </w:rPr>
              <w:t>8 de septiembre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3630AF"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3630AF"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3630AF"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2592128F" w:rsidR="00214755" w:rsidRPr="00AF05D4" w:rsidRDefault="00214755" w:rsidP="009319C4">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9319C4">
              <w:rPr>
                <w:rFonts w:asciiTheme="majorHAnsi" w:hAnsiTheme="majorHAnsi"/>
                <w:sz w:val="19"/>
                <w:szCs w:val="19"/>
                <w:lang w:val="es-MX"/>
              </w:rPr>
              <w:t>7 de mayo de 2010</w:t>
            </w:r>
          </w:p>
        </w:tc>
      </w:tr>
      <w:tr w:rsidR="00214755" w:rsidRPr="003630AF"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10E49ACE" w:rsidR="00214755" w:rsidRPr="00AF05D4" w:rsidRDefault="00214755" w:rsidP="00E40857">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el</w:t>
            </w:r>
            <w:r w:rsidR="00A1312C">
              <w:rPr>
                <w:rFonts w:asciiTheme="majorHAnsi" w:hAnsiTheme="majorHAnsi"/>
                <w:sz w:val="19"/>
                <w:szCs w:val="19"/>
                <w:lang w:val="es-MX"/>
              </w:rPr>
              <w:t xml:space="preserve"> </w:t>
            </w:r>
            <w:r w:rsidR="009319C4">
              <w:rPr>
                <w:rFonts w:asciiTheme="majorHAnsi" w:hAnsiTheme="majorHAnsi"/>
                <w:sz w:val="19"/>
                <w:szCs w:val="19"/>
                <w:lang w:val="es-MX"/>
              </w:rPr>
              <w:t>7 de noviembre</w:t>
            </w:r>
            <w:r w:rsidR="00E40857">
              <w:rPr>
                <w:rFonts w:asciiTheme="majorHAnsi" w:hAnsiTheme="majorHAnsi"/>
                <w:sz w:val="19"/>
                <w:szCs w:val="19"/>
                <w:lang w:val="es-MX"/>
              </w:rPr>
              <w:t xml:space="preserve"> </w:t>
            </w:r>
            <w:r w:rsidR="002A3053">
              <w:rPr>
                <w:rFonts w:asciiTheme="majorHAnsi" w:hAnsiTheme="majorHAnsi"/>
                <w:sz w:val="19"/>
                <w:szCs w:val="19"/>
                <w:lang w:val="es-MX"/>
              </w:rPr>
              <w:t>de 2010</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4C921C69" w:rsidR="007D4106" w:rsidRPr="00781854" w:rsidRDefault="0047127C" w:rsidP="004112F0">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4112F0" w:rsidRPr="004112F0">
        <w:rPr>
          <w:sz w:val="20"/>
          <w:szCs w:val="20"/>
          <w:lang w:val="es-ES"/>
        </w:rPr>
        <w:t xml:space="preserve">José Manuel Díaz </w:t>
      </w:r>
      <w:proofErr w:type="spellStart"/>
      <w:r w:rsidR="004112F0" w:rsidRPr="004112F0">
        <w:rPr>
          <w:sz w:val="20"/>
          <w:szCs w:val="20"/>
          <w:lang w:val="es-ES"/>
        </w:rPr>
        <w:t>Hinostroza</w:t>
      </w:r>
      <w:proofErr w:type="spellEnd"/>
      <w:r w:rsidR="004112F0" w:rsidRPr="004112F0">
        <w:rPr>
          <w:sz w:val="20"/>
          <w:szCs w:val="20"/>
          <w:lang w:val="es-ES"/>
        </w:rPr>
        <w:t xml:space="preserve"> </w:t>
      </w:r>
      <w:r w:rsidRPr="00781854">
        <w:rPr>
          <w:sz w:val="20"/>
          <w:szCs w:val="20"/>
          <w:lang w:val="es-ES"/>
        </w:rPr>
        <w:t>(o en adelante “presunta víctima”) por los daños causados por su detención extrajudicial</w:t>
      </w:r>
      <w:r w:rsidR="00BB709A" w:rsidRPr="00781854">
        <w:rPr>
          <w:sz w:val="20"/>
          <w:szCs w:val="20"/>
          <w:lang w:val="es-ES"/>
        </w:rPr>
        <w:t>, tortura</w:t>
      </w:r>
      <w:r w:rsidRPr="00781854">
        <w:rPr>
          <w:sz w:val="20"/>
          <w:szCs w:val="20"/>
          <w:lang w:val="es-ES"/>
        </w:rPr>
        <w:t xml:space="preserve"> y posterior</w:t>
      </w:r>
      <w:r w:rsidR="00E40857">
        <w:rPr>
          <w:sz w:val="20"/>
          <w:szCs w:val="20"/>
          <w:lang w:val="es-ES"/>
        </w:rPr>
        <w:t xml:space="preserve"> </w:t>
      </w:r>
      <w:r w:rsidR="00E40857" w:rsidRPr="008A1C0F">
        <w:rPr>
          <w:color w:val="auto"/>
          <w:sz w:val="20"/>
          <w:szCs w:val="20"/>
          <w:lang w:val="es-ES"/>
        </w:rPr>
        <w:t>ejecución extrajudicial</w:t>
      </w:r>
      <w:r w:rsidRPr="008A1C0F">
        <w:rPr>
          <w:color w:val="auto"/>
          <w:sz w:val="20"/>
          <w:szCs w:val="20"/>
          <w:lang w:val="es-ES"/>
        </w:rPr>
        <w:t xml:space="preserve">,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0B88B012" w14:textId="04A3D109" w:rsidR="00E40857" w:rsidRPr="009319C4" w:rsidRDefault="002F7F5F" w:rsidP="009319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resunta víctima fue detenida</w:t>
      </w:r>
      <w:r w:rsidR="00A1312C">
        <w:rPr>
          <w:rFonts w:asciiTheme="majorHAnsi" w:hAnsiTheme="majorHAnsi"/>
          <w:sz w:val="20"/>
          <w:szCs w:val="20"/>
          <w:lang w:val="es-ES"/>
        </w:rPr>
        <w:t xml:space="preserve"> </w:t>
      </w:r>
      <w:r w:rsidR="00E40857">
        <w:rPr>
          <w:rFonts w:asciiTheme="majorHAnsi" w:hAnsiTheme="majorHAnsi"/>
          <w:sz w:val="20"/>
          <w:szCs w:val="20"/>
          <w:lang w:val="es-ES"/>
        </w:rPr>
        <w:t xml:space="preserve">en el Asentamiento el </w:t>
      </w:r>
      <w:proofErr w:type="spellStart"/>
      <w:r w:rsidR="00E40857">
        <w:rPr>
          <w:rFonts w:asciiTheme="majorHAnsi" w:hAnsiTheme="majorHAnsi"/>
          <w:sz w:val="20"/>
          <w:szCs w:val="20"/>
          <w:lang w:val="es-ES"/>
        </w:rPr>
        <w:t>Patagual</w:t>
      </w:r>
      <w:proofErr w:type="spellEnd"/>
      <w:r w:rsidR="00E40857">
        <w:rPr>
          <w:rFonts w:asciiTheme="majorHAnsi" w:hAnsiTheme="majorHAnsi"/>
          <w:sz w:val="20"/>
          <w:szCs w:val="20"/>
          <w:lang w:val="es-ES"/>
        </w:rPr>
        <w:t xml:space="preserve"> la mañana del 13 de noviembre de 1973 por un contingente militar y efectivos de Carabineros, quienes portaban una lista con nombres y datos personales entre los que se encontraba el </w:t>
      </w:r>
      <w:r w:rsidR="006C7751">
        <w:rPr>
          <w:rFonts w:asciiTheme="majorHAnsi" w:hAnsiTheme="majorHAnsi"/>
          <w:sz w:val="20"/>
          <w:szCs w:val="20"/>
          <w:lang w:val="es-ES"/>
        </w:rPr>
        <w:t>suyo</w:t>
      </w:r>
      <w:r w:rsidR="00E40857">
        <w:rPr>
          <w:rFonts w:asciiTheme="majorHAnsi" w:hAnsiTheme="majorHAnsi"/>
          <w:sz w:val="20"/>
          <w:szCs w:val="20"/>
          <w:lang w:val="es-ES"/>
        </w:rPr>
        <w:t xml:space="preserve">. </w:t>
      </w:r>
      <w:r w:rsidR="00F57420">
        <w:rPr>
          <w:rFonts w:asciiTheme="majorHAnsi" w:hAnsiTheme="majorHAnsi"/>
          <w:sz w:val="20"/>
          <w:szCs w:val="20"/>
          <w:lang w:val="es-ES"/>
        </w:rPr>
        <w:t>Desde ese momento los familiares de la presunta víctima no tuvieron noticia de ella</w:t>
      </w:r>
      <w:r w:rsidR="00F425F6">
        <w:rPr>
          <w:rFonts w:asciiTheme="majorHAnsi" w:hAnsiTheme="majorHAnsi"/>
          <w:sz w:val="20"/>
          <w:szCs w:val="20"/>
          <w:lang w:val="es-ES"/>
        </w:rPr>
        <w:t xml:space="preserve">. Acudieron a diversos </w:t>
      </w:r>
      <w:r w:rsidR="00E40857">
        <w:rPr>
          <w:rFonts w:asciiTheme="majorHAnsi" w:hAnsiTheme="majorHAnsi"/>
          <w:sz w:val="20"/>
          <w:szCs w:val="20"/>
          <w:lang w:val="es-ES"/>
        </w:rPr>
        <w:t>centros de detención</w:t>
      </w:r>
      <w:r w:rsidR="00CA0783">
        <w:rPr>
          <w:rFonts w:asciiTheme="majorHAnsi" w:hAnsiTheme="majorHAnsi"/>
          <w:sz w:val="20"/>
          <w:szCs w:val="20"/>
          <w:lang w:val="es-ES"/>
        </w:rPr>
        <w:t xml:space="preserve">, </w:t>
      </w:r>
      <w:r w:rsidR="00482988">
        <w:rPr>
          <w:rFonts w:asciiTheme="majorHAnsi" w:hAnsiTheme="majorHAnsi"/>
          <w:sz w:val="20"/>
          <w:szCs w:val="20"/>
          <w:lang w:val="es-ES"/>
        </w:rPr>
        <w:t>pero no obtuvieron</w:t>
      </w:r>
      <w:r w:rsidR="00CA0783">
        <w:rPr>
          <w:rFonts w:asciiTheme="majorHAnsi" w:hAnsiTheme="majorHAnsi"/>
          <w:sz w:val="20"/>
          <w:szCs w:val="20"/>
          <w:lang w:val="es-ES"/>
        </w:rPr>
        <w:t xml:space="preserve"> </w:t>
      </w:r>
      <w:r w:rsidR="00F425F6">
        <w:rPr>
          <w:rFonts w:asciiTheme="majorHAnsi" w:hAnsiTheme="majorHAnsi"/>
          <w:sz w:val="20"/>
          <w:szCs w:val="20"/>
          <w:lang w:val="es-ES"/>
        </w:rPr>
        <w:t>información alguna sobre su paradero</w:t>
      </w:r>
      <w:r w:rsidR="00E40857">
        <w:rPr>
          <w:rFonts w:asciiTheme="majorHAnsi" w:hAnsiTheme="majorHAnsi"/>
          <w:sz w:val="20"/>
          <w:szCs w:val="20"/>
          <w:lang w:val="es-ES"/>
        </w:rPr>
        <w:t xml:space="preserve">. Testigos presenciales afirmaron que los detenidos fueron llevados a la cuesta Cepillos, luego a la localidad de </w:t>
      </w:r>
      <w:proofErr w:type="spellStart"/>
      <w:r w:rsidR="00E40857">
        <w:rPr>
          <w:rFonts w:asciiTheme="majorHAnsi" w:hAnsiTheme="majorHAnsi"/>
          <w:sz w:val="20"/>
          <w:szCs w:val="20"/>
          <w:lang w:val="es-ES"/>
        </w:rPr>
        <w:t>Pintué</w:t>
      </w:r>
      <w:proofErr w:type="spellEnd"/>
      <w:r w:rsidR="00E40857">
        <w:rPr>
          <w:rFonts w:asciiTheme="majorHAnsi" w:hAnsiTheme="majorHAnsi"/>
          <w:sz w:val="20"/>
          <w:szCs w:val="20"/>
          <w:lang w:val="es-ES"/>
        </w:rPr>
        <w:t xml:space="preserve">, específicamente a la Cancha “La </w:t>
      </w:r>
      <w:proofErr w:type="spellStart"/>
      <w:r w:rsidR="00E40857">
        <w:rPr>
          <w:rFonts w:asciiTheme="majorHAnsi" w:hAnsiTheme="majorHAnsi"/>
          <w:sz w:val="20"/>
          <w:szCs w:val="20"/>
          <w:lang w:val="es-ES"/>
        </w:rPr>
        <w:t>Aguachera</w:t>
      </w:r>
      <w:proofErr w:type="spellEnd"/>
      <w:r w:rsidR="00E40857">
        <w:rPr>
          <w:rFonts w:asciiTheme="majorHAnsi" w:hAnsiTheme="majorHAnsi"/>
          <w:sz w:val="20"/>
          <w:szCs w:val="20"/>
          <w:lang w:val="es-ES"/>
        </w:rPr>
        <w:t>”</w:t>
      </w:r>
      <w:r w:rsidR="003B64EF">
        <w:rPr>
          <w:rFonts w:asciiTheme="majorHAnsi" w:hAnsiTheme="majorHAnsi"/>
          <w:sz w:val="20"/>
          <w:szCs w:val="20"/>
          <w:lang w:val="es-ES"/>
        </w:rPr>
        <w:t>, luego trasladado</w:t>
      </w:r>
      <w:r w:rsidR="00E40857">
        <w:rPr>
          <w:rFonts w:asciiTheme="majorHAnsi" w:hAnsiTheme="majorHAnsi"/>
          <w:sz w:val="20"/>
          <w:szCs w:val="20"/>
          <w:lang w:val="es-ES"/>
        </w:rPr>
        <w:t xml:space="preserve"> al centro de detención Cerro </w:t>
      </w:r>
      <w:proofErr w:type="spellStart"/>
      <w:r w:rsidR="00E40857">
        <w:rPr>
          <w:rFonts w:asciiTheme="majorHAnsi" w:hAnsiTheme="majorHAnsi"/>
          <w:sz w:val="20"/>
          <w:szCs w:val="20"/>
          <w:lang w:val="es-ES"/>
        </w:rPr>
        <w:t>Chena</w:t>
      </w:r>
      <w:proofErr w:type="spellEnd"/>
      <w:r w:rsidR="00E40857">
        <w:rPr>
          <w:rFonts w:asciiTheme="majorHAnsi" w:hAnsiTheme="majorHAnsi"/>
          <w:sz w:val="20"/>
          <w:szCs w:val="20"/>
          <w:lang w:val="es-ES"/>
        </w:rPr>
        <w:t xml:space="preserve"> donde sufrieron torturas e interrogatorios. Posteriormente, estuvieron detenidos una semana en el Regimiento </w:t>
      </w:r>
      <w:r w:rsidR="004F57ED">
        <w:rPr>
          <w:rFonts w:asciiTheme="majorHAnsi" w:hAnsiTheme="majorHAnsi"/>
          <w:sz w:val="20"/>
          <w:szCs w:val="20"/>
          <w:lang w:val="es-ES"/>
        </w:rPr>
        <w:t>de Infantería de San Bernardo. Según indican, e</w:t>
      </w:r>
      <w:r w:rsidR="00E40857">
        <w:rPr>
          <w:rFonts w:asciiTheme="majorHAnsi" w:hAnsiTheme="majorHAnsi"/>
          <w:sz w:val="20"/>
          <w:szCs w:val="20"/>
          <w:lang w:val="es-ES"/>
        </w:rPr>
        <w:t xml:space="preserve">l 13 de </w:t>
      </w:r>
      <w:r w:rsidR="00E40857">
        <w:rPr>
          <w:rFonts w:asciiTheme="majorHAnsi" w:hAnsiTheme="majorHAnsi"/>
          <w:sz w:val="20"/>
          <w:szCs w:val="20"/>
          <w:lang w:val="es-ES"/>
        </w:rPr>
        <w:lastRenderedPageBreak/>
        <w:t xml:space="preserve">noviembre de 1973 un campesino descubrió prendas de vestir y restos humanos en el Asentamiento Lo Arcaya de </w:t>
      </w:r>
      <w:proofErr w:type="spellStart"/>
      <w:r w:rsidR="00E40857">
        <w:rPr>
          <w:rFonts w:asciiTheme="majorHAnsi" w:hAnsiTheme="majorHAnsi"/>
          <w:sz w:val="20"/>
          <w:szCs w:val="20"/>
          <w:lang w:val="es-ES"/>
        </w:rPr>
        <w:t>Paine</w:t>
      </w:r>
      <w:proofErr w:type="spellEnd"/>
      <w:r w:rsidR="00E40857">
        <w:rPr>
          <w:rFonts w:asciiTheme="majorHAnsi" w:hAnsiTheme="majorHAnsi"/>
          <w:sz w:val="20"/>
          <w:szCs w:val="20"/>
          <w:lang w:val="es-ES"/>
        </w:rPr>
        <w:t xml:space="preserve">. </w:t>
      </w:r>
      <w:r w:rsidR="009319C4">
        <w:rPr>
          <w:rFonts w:asciiTheme="majorHAnsi" w:hAnsiTheme="majorHAnsi"/>
          <w:sz w:val="20"/>
          <w:szCs w:val="20"/>
          <w:lang w:val="es-ES"/>
        </w:rPr>
        <w:t>Efectivos</w:t>
      </w:r>
      <w:r w:rsidR="00E40857">
        <w:rPr>
          <w:rFonts w:asciiTheme="majorHAnsi" w:hAnsiTheme="majorHAnsi"/>
          <w:sz w:val="20"/>
          <w:szCs w:val="20"/>
          <w:lang w:val="es-ES"/>
        </w:rPr>
        <w:t xml:space="preserve"> militares trasladaron los restos al Servicio Médico Legal, donde fueron reconocidos, entre ellos la presunta víctima.</w:t>
      </w:r>
      <w:r w:rsidR="007305B1">
        <w:rPr>
          <w:rFonts w:asciiTheme="majorHAnsi" w:hAnsiTheme="majorHAnsi"/>
          <w:sz w:val="20"/>
          <w:szCs w:val="20"/>
          <w:lang w:val="es-ES"/>
        </w:rPr>
        <w:t xml:space="preserve"> La parte peticionaria indica que l</w:t>
      </w:r>
      <w:r w:rsidR="00E40857">
        <w:rPr>
          <w:rFonts w:asciiTheme="majorHAnsi" w:hAnsiTheme="majorHAnsi"/>
          <w:sz w:val="20"/>
          <w:szCs w:val="20"/>
          <w:lang w:val="es-ES"/>
        </w:rPr>
        <w:t>a causa de muerte fue heridas de bala.</w:t>
      </w:r>
    </w:p>
    <w:p w14:paraId="57972C0A" w14:textId="0ED75F8B" w:rsidR="003D5EA8" w:rsidRPr="00454B04" w:rsidRDefault="0082790C"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25 de octubre </w:t>
      </w:r>
      <w:r w:rsidR="00201C4C">
        <w:rPr>
          <w:rFonts w:ascii="Cambria" w:hAnsi="Cambria"/>
          <w:sz w:val="20"/>
          <w:szCs w:val="20"/>
          <w:lang w:val="es-ES"/>
        </w:rPr>
        <w:t xml:space="preserve">de 2001 </w:t>
      </w:r>
      <w:r>
        <w:rPr>
          <w:rFonts w:ascii="Cambria" w:hAnsi="Cambria"/>
          <w:sz w:val="20"/>
          <w:szCs w:val="20"/>
          <w:lang w:val="es-ES"/>
        </w:rPr>
        <w:t>se inició una causa civil ante el 24</w:t>
      </w:r>
      <w:r>
        <w:rPr>
          <w:rFonts w:ascii="Cambria" w:hAnsi="Cambria"/>
          <w:sz w:val="20"/>
          <w:szCs w:val="20"/>
          <w:vertAlign w:val="superscript"/>
          <w:lang w:val="es-ES"/>
        </w:rPr>
        <w:t>o</w:t>
      </w:r>
      <w:r>
        <w:rPr>
          <w:rFonts w:ascii="Cambria" w:hAnsi="Cambria"/>
          <w:sz w:val="20"/>
          <w:szCs w:val="20"/>
          <w:lang w:val="es-ES"/>
        </w:rPr>
        <w:t xml:space="preserve"> Juzgado Civil de Santiago, el cual dictó,</w:t>
      </w:r>
      <w:r w:rsidR="0050293B">
        <w:rPr>
          <w:rFonts w:ascii="Cambria" w:hAnsi="Cambria"/>
          <w:sz w:val="20"/>
          <w:szCs w:val="20"/>
          <w:lang w:val="es-ES"/>
        </w:rPr>
        <w:t xml:space="preserve"> e</w:t>
      </w:r>
      <w:r w:rsidR="00DC46AF">
        <w:rPr>
          <w:rFonts w:ascii="Cambria" w:hAnsi="Cambria"/>
          <w:sz w:val="20"/>
          <w:szCs w:val="20"/>
          <w:lang w:val="es-ES"/>
        </w:rPr>
        <w:t xml:space="preserve">l </w:t>
      </w:r>
      <w:r w:rsidR="00A1312C">
        <w:rPr>
          <w:rFonts w:ascii="Cambria" w:hAnsi="Cambria"/>
          <w:sz w:val="20"/>
          <w:szCs w:val="20"/>
          <w:lang w:val="es-ES"/>
        </w:rPr>
        <w:t xml:space="preserve">12 </w:t>
      </w:r>
      <w:r w:rsidR="00E40857">
        <w:rPr>
          <w:rFonts w:ascii="Cambria" w:hAnsi="Cambria"/>
          <w:sz w:val="20"/>
          <w:szCs w:val="20"/>
          <w:lang w:val="es-ES"/>
        </w:rPr>
        <w:t>de mayo de 2004</w:t>
      </w:r>
      <w:r>
        <w:rPr>
          <w:rFonts w:ascii="Cambria" w:hAnsi="Cambria"/>
          <w:sz w:val="20"/>
          <w:szCs w:val="20"/>
          <w:lang w:val="es-ES"/>
        </w:rPr>
        <w:t xml:space="preserve">, </w:t>
      </w:r>
      <w:r w:rsidRPr="002C56E9">
        <w:rPr>
          <w:rFonts w:ascii="Cambria" w:hAnsi="Cambria"/>
          <w:sz w:val="20"/>
          <w:szCs w:val="20"/>
          <w:lang w:val="es-MX"/>
        </w:rPr>
        <w:t xml:space="preserve">una </w:t>
      </w:r>
      <w:r w:rsidR="00A1312C">
        <w:rPr>
          <w:rFonts w:ascii="Cambria" w:hAnsi="Cambria"/>
          <w:sz w:val="20"/>
          <w:szCs w:val="20"/>
          <w:lang w:val="es-ES"/>
        </w:rPr>
        <w:t xml:space="preserve">sentencia </w:t>
      </w:r>
      <w:r w:rsidR="00E40857">
        <w:rPr>
          <w:rFonts w:ascii="Cambria" w:hAnsi="Cambria"/>
          <w:sz w:val="20"/>
          <w:szCs w:val="20"/>
          <w:lang w:val="es-ES"/>
        </w:rPr>
        <w:t>rechazando las pretensiones de</w:t>
      </w:r>
      <w:r w:rsidR="002C56E9">
        <w:rPr>
          <w:rFonts w:ascii="Cambria" w:hAnsi="Cambria"/>
          <w:sz w:val="20"/>
          <w:szCs w:val="20"/>
          <w:lang w:val="es-ES"/>
        </w:rPr>
        <w:t xml:space="preserve"> </w:t>
      </w:r>
      <w:r w:rsidR="00E40857">
        <w:rPr>
          <w:rFonts w:ascii="Cambria" w:hAnsi="Cambria"/>
          <w:sz w:val="20"/>
          <w:szCs w:val="20"/>
          <w:lang w:val="es-ES"/>
        </w:rPr>
        <w:t>l</w:t>
      </w:r>
      <w:r w:rsidR="002C56E9">
        <w:rPr>
          <w:rFonts w:ascii="Cambria" w:hAnsi="Cambria"/>
          <w:sz w:val="20"/>
          <w:szCs w:val="20"/>
          <w:lang w:val="es-ES"/>
        </w:rPr>
        <w:t>a</w:t>
      </w:r>
      <w:r w:rsidR="00E40857">
        <w:rPr>
          <w:rFonts w:ascii="Cambria" w:hAnsi="Cambria"/>
          <w:sz w:val="20"/>
          <w:szCs w:val="20"/>
          <w:lang w:val="es-ES"/>
        </w:rPr>
        <w:t xml:space="preserve"> </w:t>
      </w:r>
      <w:r w:rsidR="002C56E9">
        <w:rPr>
          <w:rFonts w:ascii="Cambria" w:hAnsi="Cambria"/>
          <w:sz w:val="20"/>
          <w:szCs w:val="20"/>
          <w:lang w:val="es-ES"/>
        </w:rPr>
        <w:t xml:space="preserve">parte </w:t>
      </w:r>
      <w:r w:rsidR="00E40857">
        <w:rPr>
          <w:rFonts w:ascii="Cambria" w:hAnsi="Cambria"/>
          <w:sz w:val="20"/>
          <w:szCs w:val="20"/>
          <w:lang w:val="es-ES"/>
        </w:rPr>
        <w:t>demandante</w:t>
      </w:r>
      <w:r w:rsidR="0050293B">
        <w:rPr>
          <w:rFonts w:ascii="Cambria" w:hAnsi="Cambria"/>
          <w:sz w:val="20"/>
          <w:szCs w:val="20"/>
          <w:lang w:val="es-ES"/>
        </w:rPr>
        <w:t xml:space="preserve"> </w:t>
      </w:r>
      <w:r w:rsidR="00421E1A" w:rsidRPr="00421E1A">
        <w:rPr>
          <w:rFonts w:ascii="Cambria" w:hAnsi="Cambria"/>
          <w:sz w:val="20"/>
          <w:szCs w:val="20"/>
          <w:lang w:val="es-ES"/>
        </w:rPr>
        <w:t>respecto a</w:t>
      </w:r>
      <w:r w:rsidR="0050293B" w:rsidRPr="00421E1A">
        <w:rPr>
          <w:rFonts w:ascii="Cambria" w:hAnsi="Cambria"/>
          <w:sz w:val="20"/>
          <w:szCs w:val="20"/>
          <w:lang w:val="es-ES"/>
        </w:rPr>
        <w:t xml:space="preserve"> una indemnizaci</w:t>
      </w:r>
      <w:r w:rsidR="00421E1A" w:rsidRPr="00421E1A">
        <w:rPr>
          <w:rFonts w:ascii="Cambria" w:hAnsi="Cambria"/>
          <w:sz w:val="20"/>
          <w:szCs w:val="20"/>
          <w:lang w:val="es-ES"/>
        </w:rPr>
        <w:t>ón para</w:t>
      </w:r>
      <w:r w:rsidR="0050293B" w:rsidRPr="00421E1A">
        <w:rPr>
          <w:rFonts w:ascii="Cambria" w:hAnsi="Cambria"/>
          <w:sz w:val="20"/>
          <w:szCs w:val="20"/>
          <w:lang w:val="es-ES"/>
        </w:rPr>
        <w:t xml:space="preserve"> reparar el mal causado</w:t>
      </w:r>
      <w:r w:rsidR="009319C4" w:rsidRPr="00421E1A">
        <w:rPr>
          <w:rFonts w:ascii="Cambria" w:hAnsi="Cambria"/>
          <w:sz w:val="20"/>
          <w:szCs w:val="20"/>
          <w:lang w:val="es-ES"/>
        </w:rPr>
        <w:t>. El 24 de abril</w:t>
      </w:r>
      <w:r w:rsidR="00A1312C" w:rsidRPr="00421E1A">
        <w:rPr>
          <w:rFonts w:ascii="Cambria" w:hAnsi="Cambria"/>
          <w:sz w:val="20"/>
          <w:szCs w:val="20"/>
          <w:lang w:val="es-ES"/>
        </w:rPr>
        <w:t xml:space="preserve"> de 2008 la Corte de Apelaciones de Santiago confirm</w:t>
      </w:r>
      <w:r w:rsidR="0050293B" w:rsidRPr="00421E1A">
        <w:rPr>
          <w:rFonts w:ascii="Cambria" w:hAnsi="Cambria"/>
          <w:sz w:val="20"/>
          <w:szCs w:val="20"/>
          <w:lang w:val="es-ES"/>
        </w:rPr>
        <w:t>ó</w:t>
      </w:r>
      <w:r w:rsidR="00A1312C" w:rsidRPr="00421E1A">
        <w:rPr>
          <w:rFonts w:ascii="Cambria" w:hAnsi="Cambria"/>
          <w:sz w:val="20"/>
          <w:szCs w:val="20"/>
          <w:lang w:val="es-ES"/>
        </w:rPr>
        <w:t xml:space="preserve"> la sentencia de primera instancia. El</w:t>
      </w:r>
      <w:r w:rsidR="00A1312C">
        <w:rPr>
          <w:rFonts w:ascii="Cambria" w:hAnsi="Cambria"/>
          <w:sz w:val="20"/>
          <w:szCs w:val="20"/>
          <w:lang w:val="es-ES"/>
        </w:rPr>
        <w:t xml:space="preserve"> </w:t>
      </w:r>
      <w:r w:rsidR="009319C4">
        <w:rPr>
          <w:rFonts w:ascii="Cambria" w:hAnsi="Cambria"/>
          <w:sz w:val="20"/>
          <w:szCs w:val="20"/>
          <w:lang w:val="es-ES"/>
        </w:rPr>
        <w:t xml:space="preserve">5 de abril de 2010 </w:t>
      </w:r>
      <w:r w:rsidR="00A1312C">
        <w:rPr>
          <w:rFonts w:ascii="Cambria" w:hAnsi="Cambria"/>
          <w:sz w:val="20"/>
          <w:szCs w:val="20"/>
          <w:lang w:val="es-ES"/>
        </w:rPr>
        <w:t xml:space="preserve">la Corte Suprema </w:t>
      </w:r>
      <w:r w:rsidR="009319C4">
        <w:rPr>
          <w:rFonts w:ascii="Cambria" w:hAnsi="Cambria"/>
          <w:sz w:val="20"/>
          <w:szCs w:val="20"/>
          <w:lang w:val="es-ES"/>
        </w:rPr>
        <w:t>rechaz</w:t>
      </w:r>
      <w:r w:rsidR="0050293B">
        <w:rPr>
          <w:rFonts w:ascii="Cambria" w:hAnsi="Cambria"/>
          <w:sz w:val="20"/>
          <w:szCs w:val="20"/>
          <w:lang w:val="es-ES"/>
        </w:rPr>
        <w:t>ó</w:t>
      </w:r>
      <w:r w:rsidR="009319C4">
        <w:rPr>
          <w:rFonts w:ascii="Cambria" w:hAnsi="Cambria"/>
          <w:sz w:val="20"/>
          <w:szCs w:val="20"/>
          <w:lang w:val="es-ES"/>
        </w:rPr>
        <w:t xml:space="preserve"> </w:t>
      </w:r>
      <w:r w:rsidR="00A1312C">
        <w:rPr>
          <w:rFonts w:ascii="Cambria" w:hAnsi="Cambria"/>
          <w:sz w:val="20"/>
          <w:szCs w:val="20"/>
          <w:lang w:val="es-ES"/>
        </w:rPr>
        <w:t>el recurso de casación interpuesto por</w:t>
      </w:r>
      <w:r w:rsidR="009319C4">
        <w:rPr>
          <w:rFonts w:ascii="Cambria" w:hAnsi="Cambria"/>
          <w:sz w:val="20"/>
          <w:szCs w:val="20"/>
          <w:lang w:val="es-ES"/>
        </w:rPr>
        <w:t xml:space="preserve"> la parte demandante</w:t>
      </w:r>
      <w:r w:rsidR="00A1312C">
        <w:rPr>
          <w:rFonts w:ascii="Cambria" w:hAnsi="Cambria"/>
          <w:sz w:val="20"/>
          <w:szCs w:val="20"/>
          <w:lang w:val="es-ES"/>
        </w:rPr>
        <w:t>, señalando que las acciones civiles se enc</w:t>
      </w:r>
      <w:r w:rsidR="0050293B">
        <w:rPr>
          <w:rFonts w:ascii="Cambria" w:hAnsi="Cambria"/>
          <w:sz w:val="20"/>
          <w:szCs w:val="20"/>
          <w:lang w:val="es-ES"/>
        </w:rPr>
        <w:t>ontraban</w:t>
      </w:r>
      <w:r w:rsidR="00A1312C">
        <w:rPr>
          <w:rFonts w:ascii="Cambria" w:hAnsi="Cambria"/>
          <w:sz w:val="20"/>
          <w:szCs w:val="20"/>
          <w:lang w:val="es-ES"/>
        </w:rPr>
        <w:t xml:space="preserve"> prescritas</w:t>
      </w:r>
      <w:r w:rsidR="0050293B">
        <w:rPr>
          <w:rFonts w:ascii="Cambria" w:hAnsi="Cambria"/>
          <w:sz w:val="20"/>
          <w:szCs w:val="20"/>
          <w:lang w:val="es-ES"/>
        </w:rPr>
        <w:t>,</w:t>
      </w:r>
      <w:r w:rsidR="00A1312C">
        <w:rPr>
          <w:rFonts w:ascii="Cambria" w:hAnsi="Cambria"/>
          <w:sz w:val="20"/>
          <w:szCs w:val="20"/>
          <w:lang w:val="es-ES"/>
        </w:rPr>
        <w:t xml:space="preserve"> y deneg</w:t>
      </w:r>
      <w:r w:rsidR="0050293B">
        <w:rPr>
          <w:rFonts w:ascii="Cambria" w:hAnsi="Cambria"/>
          <w:sz w:val="20"/>
          <w:szCs w:val="20"/>
          <w:lang w:val="es-ES"/>
        </w:rPr>
        <w:t>ó</w:t>
      </w:r>
      <w:r w:rsidR="00A1312C">
        <w:rPr>
          <w:rFonts w:ascii="Cambria" w:hAnsi="Cambria"/>
          <w:sz w:val="20"/>
          <w:szCs w:val="20"/>
          <w:lang w:val="es-ES"/>
        </w:rPr>
        <w:t xml:space="preserve"> la indemnización correspondiente. El </w:t>
      </w:r>
      <w:r w:rsidR="009319C4">
        <w:rPr>
          <w:rFonts w:ascii="Cambria" w:hAnsi="Cambria"/>
          <w:sz w:val="20"/>
          <w:szCs w:val="20"/>
          <w:lang w:val="es-ES"/>
        </w:rPr>
        <w:t>7 de mayo de 2010</w:t>
      </w:r>
      <w:r w:rsidR="00A1312C">
        <w:rPr>
          <w:rFonts w:ascii="Cambria" w:hAnsi="Cambria"/>
          <w:sz w:val="20"/>
          <w:szCs w:val="20"/>
          <w:lang w:val="es-ES"/>
        </w:rPr>
        <w:t xml:space="preserve"> se dictó el cúmplase por el tribunal de primera instancia. </w:t>
      </w:r>
    </w:p>
    <w:p w14:paraId="571DAAA4" w14:textId="5C9EBD87"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A1312C" w:rsidRPr="005A51C7">
        <w:rPr>
          <w:rFonts w:ascii="Cambria" w:hAnsi="Cambria"/>
          <w:sz w:val="20"/>
          <w:szCs w:val="20"/>
          <w:lang w:val="es-ES"/>
        </w:rPr>
        <w:t>que,</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w:t>
      </w:r>
      <w:r w:rsidR="00A1312C">
        <w:rPr>
          <w:rFonts w:ascii="Cambria" w:hAnsi="Cambria"/>
          <w:sz w:val="20"/>
          <w:szCs w:val="20"/>
          <w:lang w:val="es-ES"/>
        </w:rPr>
        <w:t xml:space="preserve"> la oportunidad que corresponda</w:t>
      </w:r>
      <w:r w:rsidR="00781854">
        <w:rPr>
          <w:rFonts w:ascii="Cambria" w:hAnsi="Cambria"/>
          <w:sz w:val="20"/>
          <w:szCs w:val="20"/>
          <w:lang w:val="es-ES"/>
        </w:rPr>
        <w:t>.</w:t>
      </w:r>
      <w:r w:rsidR="00187408">
        <w:rPr>
          <w:rFonts w:ascii="Cambria" w:hAnsi="Cambria"/>
          <w:sz w:val="20"/>
          <w:szCs w:val="20"/>
          <w:lang w:val="es-ES"/>
        </w:rPr>
        <w:t xml:space="preserve"> </w:t>
      </w:r>
      <w:r w:rsidR="00781854" w:rsidRPr="00781854">
        <w:rPr>
          <w:rFonts w:ascii="Cambria" w:hAnsi="Cambria"/>
          <w:sz w:val="20"/>
          <w:szCs w:val="20"/>
          <w:lang w:val="es-419"/>
        </w:rPr>
        <w:t>A</w:t>
      </w:r>
      <w:r w:rsidR="00781854">
        <w:rPr>
          <w:rFonts w:ascii="Cambria" w:hAnsi="Cambria"/>
          <w:sz w:val="20"/>
          <w:szCs w:val="20"/>
          <w:lang w:val="es-419"/>
        </w:rPr>
        <w:t>dicionalmente</w:t>
      </w:r>
      <w:r w:rsidR="00FF0D54" w:rsidRPr="00ED70FC">
        <w:rPr>
          <w:rFonts w:ascii="Cambria" w:hAnsi="Cambria"/>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xml:space="preserve">, o, en todo caso, a hechos cuyo principio de ejecución será posterior al 11 de </w:t>
      </w:r>
      <w:r w:rsidR="00781854">
        <w:rPr>
          <w:rFonts w:ascii="Cambria" w:hAnsi="Cambria"/>
          <w:sz w:val="20"/>
          <w:szCs w:val="20"/>
          <w:lang w:val="es-ES"/>
        </w:rPr>
        <w:t>marzo</w:t>
      </w:r>
      <w:r w:rsidR="00D278A4">
        <w:rPr>
          <w:rFonts w:ascii="Cambria" w:hAnsi="Cambria"/>
          <w:sz w:val="20"/>
          <w:szCs w:val="20"/>
          <w:lang w:val="es-ES"/>
        </w:rPr>
        <w:t xml:space="preserve"> de 1990</w:t>
      </w:r>
      <w:r w:rsidR="00FF0D54" w:rsidRPr="00ED70FC">
        <w:rPr>
          <w:rFonts w:ascii="Cambria" w:hAnsi="Cambria"/>
          <w:sz w:val="20"/>
          <w:szCs w:val="20"/>
          <w:lang w:val="es-ES"/>
        </w:rPr>
        <w:t>.</w:t>
      </w:r>
      <w:r w:rsidR="00FA41A1">
        <w:rPr>
          <w:rFonts w:ascii="Cambria" w:hAnsi="Cambria"/>
          <w:sz w:val="20"/>
          <w:szCs w:val="20"/>
          <w:lang w:val="es-ES"/>
        </w:rPr>
        <w:t xml:space="preserve"> Por lo </w:t>
      </w:r>
      <w:r w:rsidR="009319C4">
        <w:rPr>
          <w:rFonts w:ascii="Cambria" w:hAnsi="Cambria"/>
          <w:sz w:val="20"/>
          <w:szCs w:val="20"/>
          <w:lang w:val="es-ES"/>
        </w:rPr>
        <w:t>tanto,</w:t>
      </w:r>
      <w:r w:rsidR="00FA41A1">
        <w:rPr>
          <w:rFonts w:ascii="Cambria" w:hAnsi="Cambria"/>
          <w:sz w:val="20"/>
          <w:szCs w:val="20"/>
          <w:lang w:val="es-ES"/>
        </w:rPr>
        <w:t xml:space="preserve"> la Comisión no tendría competencia para pronunciarse respecto de los mismos debido a una restricción ex </w:t>
      </w:r>
      <w:proofErr w:type="spellStart"/>
      <w:r w:rsidR="00FA41A1">
        <w:rPr>
          <w:rFonts w:ascii="Cambria" w:hAnsi="Cambria"/>
          <w:i/>
          <w:sz w:val="20"/>
          <w:szCs w:val="20"/>
          <w:lang w:val="es-ES"/>
        </w:rPr>
        <w:t>ratione</w:t>
      </w:r>
      <w:proofErr w:type="spellEnd"/>
      <w:r w:rsidR="00FA41A1">
        <w:rPr>
          <w:rFonts w:ascii="Cambria" w:hAnsi="Cambria"/>
          <w:i/>
          <w:sz w:val="20"/>
          <w:szCs w:val="20"/>
          <w:lang w:val="es-ES"/>
        </w:rPr>
        <w:t xml:space="preserve"> </w:t>
      </w:r>
      <w:proofErr w:type="spellStart"/>
      <w:r w:rsidR="00FA41A1">
        <w:rPr>
          <w:rFonts w:ascii="Cambria" w:hAnsi="Cambria"/>
          <w:i/>
          <w:sz w:val="20"/>
          <w:szCs w:val="20"/>
          <w:lang w:val="es-ES"/>
        </w:rPr>
        <w:t>temporis</w:t>
      </w:r>
      <w:proofErr w:type="spellEnd"/>
      <w:r w:rsidR="00FA41A1">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54CD7C04"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w:t>
      </w:r>
      <w:r w:rsidR="005F6697">
        <w:rPr>
          <w:rFonts w:ascii="Cambria" w:hAnsi="Cambria"/>
          <w:sz w:val="20"/>
          <w:szCs w:val="20"/>
          <w:lang w:val="es-ES"/>
        </w:rPr>
        <w:t xml:space="preserve"> los familiares de José Manuel Díaz </w:t>
      </w:r>
      <w:proofErr w:type="spellStart"/>
      <w:r w:rsidR="005F6697">
        <w:rPr>
          <w:rFonts w:ascii="Cambria" w:hAnsi="Cambria"/>
          <w:sz w:val="20"/>
          <w:szCs w:val="20"/>
          <w:lang w:val="es-ES"/>
        </w:rPr>
        <w:t>Hinostroza</w:t>
      </w:r>
      <w:proofErr w:type="spellEnd"/>
      <w:r w:rsidR="005F6697">
        <w:rPr>
          <w:rFonts w:ascii="Cambria" w:hAnsi="Cambria"/>
          <w:sz w:val="20"/>
          <w:szCs w:val="20"/>
          <w:lang w:val="es-ES"/>
        </w:rPr>
        <w:t>,</w:t>
      </w:r>
      <w:r w:rsidR="005F6697" w:rsidRPr="003D225D" w:rsidDel="005F6697">
        <w:rPr>
          <w:rFonts w:ascii="Cambria" w:hAnsi="Cambria"/>
          <w:sz w:val="20"/>
          <w:szCs w:val="20"/>
          <w:lang w:val="es-ES"/>
        </w:rPr>
        <w:t xml:space="preserve"> </w:t>
      </w:r>
      <w:r w:rsidRPr="003D225D">
        <w:rPr>
          <w:rFonts w:ascii="Cambria" w:hAnsi="Cambria"/>
          <w:sz w:val="20"/>
          <w:szCs w:val="20"/>
          <w:lang w:val="es-ES"/>
        </w:rPr>
        <w:t>der</w:t>
      </w:r>
      <w:r w:rsidR="00265314">
        <w:rPr>
          <w:rFonts w:ascii="Cambria" w:hAnsi="Cambria"/>
          <w:sz w:val="20"/>
          <w:szCs w:val="20"/>
          <w:lang w:val="es-ES"/>
        </w:rPr>
        <w:t>ivada de</w:t>
      </w:r>
      <w:r w:rsidR="005F6697">
        <w:rPr>
          <w:rFonts w:ascii="Cambria" w:hAnsi="Cambria"/>
          <w:sz w:val="20"/>
          <w:szCs w:val="20"/>
          <w:lang w:val="es-ES"/>
        </w:rPr>
        <w:t xml:space="preserve">l secuestro, tortura </w:t>
      </w:r>
      <w:r w:rsidR="00D914A6">
        <w:rPr>
          <w:rFonts w:ascii="Cambria" w:hAnsi="Cambria"/>
          <w:sz w:val="20"/>
          <w:szCs w:val="20"/>
          <w:lang w:val="es-ES"/>
        </w:rPr>
        <w:t>y muerte</w:t>
      </w:r>
      <w:r w:rsidR="009319C4">
        <w:rPr>
          <w:rFonts w:ascii="Cambria" w:hAnsi="Cambria"/>
          <w:sz w:val="20"/>
          <w:szCs w:val="20"/>
          <w:lang w:val="es-ES"/>
        </w:rPr>
        <w:t xml:space="preserve"> </w:t>
      </w:r>
      <w:r w:rsidR="00265314">
        <w:rPr>
          <w:rFonts w:ascii="Cambria" w:hAnsi="Cambria"/>
          <w:sz w:val="20"/>
          <w:szCs w:val="20"/>
          <w:lang w:val="es-ES"/>
        </w:rPr>
        <w:t>de</w:t>
      </w:r>
      <w:r w:rsidR="005F6697">
        <w:rPr>
          <w:rFonts w:ascii="Cambria" w:hAnsi="Cambria"/>
          <w:sz w:val="20"/>
          <w:szCs w:val="20"/>
          <w:lang w:val="es-ES"/>
        </w:rPr>
        <w:t xml:space="preserve"> este</w:t>
      </w:r>
      <w:r w:rsidRPr="003D225D">
        <w:rPr>
          <w:rFonts w:ascii="Cambria" w:hAnsi="Cambria"/>
          <w:sz w:val="20"/>
          <w:szCs w:val="20"/>
          <w:lang w:val="es-ES"/>
        </w:rPr>
        <w:t xml:space="preserve">, cuya demanda civil fue rechazada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DA68D7">
        <w:rPr>
          <w:rFonts w:ascii="Cambria" w:hAnsi="Cambria"/>
          <w:sz w:val="20"/>
          <w:szCs w:val="20"/>
          <w:lang w:val="es-ES"/>
        </w:rPr>
        <w:t>civil</w:t>
      </w:r>
      <w:r w:rsidR="00393274">
        <w:rPr>
          <w:rFonts w:ascii="Cambria" w:hAnsi="Cambria"/>
          <w:sz w:val="20"/>
          <w:szCs w:val="20"/>
          <w:lang w:val="es-ES"/>
        </w:rPr>
        <w:t xml:space="preserve"> se inició la causa el </w:t>
      </w:r>
      <w:r w:rsidR="009319C4">
        <w:rPr>
          <w:rFonts w:ascii="Cambria" w:hAnsi="Cambria"/>
          <w:sz w:val="20"/>
          <w:szCs w:val="20"/>
          <w:lang w:val="es-ES"/>
        </w:rPr>
        <w:t>25 de octubre de 2001 ante el 24</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9319C4">
        <w:rPr>
          <w:rFonts w:ascii="Cambria" w:hAnsi="Cambria"/>
          <w:sz w:val="20"/>
          <w:szCs w:val="20"/>
          <w:lang w:val="es-ES"/>
        </w:rPr>
        <w:t xml:space="preserve">7 de mayo de 2010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9319C4">
        <w:rPr>
          <w:rFonts w:ascii="Cambria" w:hAnsi="Cambria"/>
          <w:sz w:val="20"/>
          <w:szCs w:val="20"/>
          <w:lang w:val="es-ES"/>
        </w:rPr>
        <w:t xml:space="preserve">5 de </w:t>
      </w:r>
      <w:r w:rsidR="009D1352">
        <w:rPr>
          <w:rFonts w:ascii="Cambria" w:hAnsi="Cambria"/>
          <w:sz w:val="20"/>
          <w:szCs w:val="20"/>
          <w:lang w:val="es-ES"/>
        </w:rPr>
        <w:t>abril</w:t>
      </w:r>
      <w:r w:rsidR="009319C4">
        <w:rPr>
          <w:rFonts w:ascii="Cambria" w:hAnsi="Cambria"/>
          <w:sz w:val="20"/>
          <w:szCs w:val="20"/>
          <w:lang w:val="es-ES"/>
        </w:rPr>
        <w:t xml:space="preserve"> de 2010</w:t>
      </w:r>
      <w:r w:rsidR="00393274">
        <w:rPr>
          <w:rFonts w:ascii="Cambria" w:hAnsi="Cambria"/>
          <w:sz w:val="20"/>
          <w:szCs w:val="20"/>
          <w:lang w:val="es-ES"/>
        </w:rPr>
        <w:t xml:space="preserve"> 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 xml:space="preserve">la presente petición cumple </w:t>
      </w:r>
      <w:r w:rsidR="008A1C0F">
        <w:rPr>
          <w:rFonts w:ascii="Cambria" w:hAnsi="Cambria"/>
          <w:sz w:val="20"/>
          <w:szCs w:val="20"/>
          <w:lang w:val="es-ES"/>
        </w:rPr>
        <w:t xml:space="preserve">con </w:t>
      </w:r>
      <w:r w:rsidR="00660AE7" w:rsidRPr="003D225D">
        <w:rPr>
          <w:rFonts w:ascii="Cambria" w:hAnsi="Cambria"/>
          <w:sz w:val="20"/>
          <w:szCs w:val="20"/>
          <w:lang w:val="es-ES"/>
        </w:rPr>
        <w:t>el requisito establecido en el artículo 46.1.a de la Convención</w:t>
      </w:r>
      <w:r w:rsidR="00F157A3">
        <w:rPr>
          <w:rFonts w:ascii="Cambria" w:hAnsi="Cambria"/>
          <w:sz w:val="20"/>
          <w:szCs w:val="20"/>
          <w:lang w:val="es-ES"/>
        </w:rPr>
        <w:t>.</w:t>
      </w:r>
    </w:p>
    <w:p w14:paraId="082D7B43" w14:textId="09299D46"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454B04" w:rsidRPr="00EE0CAD">
        <w:rPr>
          <w:rFonts w:ascii="Cambria" w:hAnsi="Cambria"/>
          <w:sz w:val="20"/>
          <w:szCs w:val="20"/>
          <w:lang w:val="es-ES"/>
        </w:rPr>
        <w:t xml:space="preserve"> </w:t>
      </w:r>
      <w:r w:rsidR="009319C4">
        <w:rPr>
          <w:rFonts w:ascii="Cambria" w:hAnsi="Cambria"/>
          <w:sz w:val="20"/>
          <w:szCs w:val="20"/>
          <w:lang w:val="es-ES"/>
        </w:rPr>
        <w:t xml:space="preserve">7 de noviembre </w:t>
      </w:r>
      <w:r w:rsidR="00454B04" w:rsidRPr="00EE0CAD">
        <w:rPr>
          <w:rFonts w:ascii="Cambria" w:hAnsi="Cambria"/>
          <w:sz w:val="20"/>
          <w:szCs w:val="20"/>
          <w:lang w:val="es-ES"/>
        </w:rPr>
        <w:t>de 2010</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3D061811" w:rsidR="000B0579" w:rsidRPr="002208BB" w:rsidRDefault="006C7AE8">
      <w:pPr>
        <w:pStyle w:val="ListParagraph"/>
        <w:numPr>
          <w:ilvl w:val="0"/>
          <w:numId w:val="103"/>
        </w:numPr>
        <w:jc w:val="both"/>
        <w:rPr>
          <w:sz w:val="20"/>
          <w:szCs w:val="20"/>
          <w:lang w:val="es-ES"/>
        </w:rPr>
      </w:pPr>
      <w:r w:rsidRPr="006C7AE8">
        <w:rPr>
          <w:sz w:val="20"/>
          <w:szCs w:val="20"/>
          <w:lang w:val="es-ES"/>
        </w:rPr>
        <w:t xml:space="preserve">La </w:t>
      </w:r>
      <w:r w:rsidRPr="002208BB">
        <w:rPr>
          <w:sz w:val="20"/>
          <w:szCs w:val="20"/>
          <w:lang w:val="es-ES"/>
        </w:rPr>
        <w:t>Comisión observa que la presente petición incluye alegaciones con respecto a la falta de indemnización</w:t>
      </w:r>
      <w:r w:rsidR="00941B3B" w:rsidRPr="002208BB">
        <w:rPr>
          <w:sz w:val="20"/>
          <w:szCs w:val="20"/>
          <w:lang w:val="es-ES"/>
        </w:rPr>
        <w:t xml:space="preserve"> a los familiares de la presunta víctima</w:t>
      </w:r>
      <w:r w:rsidRPr="002208BB">
        <w:rPr>
          <w:sz w:val="20"/>
          <w:szCs w:val="20"/>
          <w:lang w:val="es-ES"/>
        </w:rPr>
        <w:t xml:space="preserve"> por </w:t>
      </w:r>
      <w:r w:rsidR="00941B3B" w:rsidRPr="002208BB">
        <w:rPr>
          <w:sz w:val="20"/>
          <w:szCs w:val="20"/>
          <w:lang w:val="es-ES"/>
        </w:rPr>
        <w:t>su</w:t>
      </w:r>
      <w:r w:rsidR="008561B9" w:rsidRPr="002208BB">
        <w:rPr>
          <w:sz w:val="20"/>
          <w:szCs w:val="20"/>
          <w:lang w:val="es-ES"/>
        </w:rPr>
        <w:t xml:space="preserve"> s</w:t>
      </w:r>
      <w:r w:rsidR="009319C4" w:rsidRPr="002208BB">
        <w:rPr>
          <w:sz w:val="20"/>
          <w:szCs w:val="20"/>
          <w:lang w:val="es-ES"/>
        </w:rPr>
        <w:t xml:space="preserve">ecuestro, </w:t>
      </w:r>
      <w:r w:rsidR="00941B3B" w:rsidRPr="002208BB">
        <w:rPr>
          <w:sz w:val="20"/>
          <w:szCs w:val="20"/>
          <w:lang w:val="es-ES"/>
        </w:rPr>
        <w:t>tortura</w:t>
      </w:r>
      <w:r w:rsidR="009319C4" w:rsidRPr="002208BB">
        <w:rPr>
          <w:sz w:val="20"/>
          <w:szCs w:val="20"/>
          <w:lang w:val="es-ES"/>
        </w:rPr>
        <w:t xml:space="preserve"> y ejecución extrajudicial</w:t>
      </w:r>
      <w:r w:rsidRPr="002208BB">
        <w:rPr>
          <w:sz w:val="20"/>
          <w:szCs w:val="20"/>
          <w:lang w:val="es-ES"/>
        </w:rPr>
        <w:t xml:space="preserve"> en aplicación judicial de la prescripción en materia civil.</w:t>
      </w:r>
      <w:r w:rsidRPr="002208BB">
        <w:rPr>
          <w:lang w:val="es-MX"/>
        </w:rPr>
        <w:t xml:space="preserve"> </w:t>
      </w:r>
      <w:r w:rsidR="00356BEB" w:rsidRPr="002208BB">
        <w:rPr>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356BEB" w:rsidRPr="002208BB">
        <w:rPr>
          <w:rStyle w:val="FootnoteReference"/>
          <w:sz w:val="20"/>
          <w:szCs w:val="20"/>
          <w:lang w:val="es-ES"/>
        </w:rPr>
        <w:footnoteReference w:id="8"/>
      </w:r>
      <w:r w:rsidR="00356BEB" w:rsidRPr="002208BB">
        <w:rPr>
          <w:sz w:val="20"/>
          <w:szCs w:val="20"/>
          <w:lang w:val="es-ES"/>
        </w:rPr>
        <w:t>. Teniendo en cuenta lo anterior, la CIDH considera que los alegatos de la parte peticionaria no resultan manifiestamente infundadas y requieren un estudio de fondo pues los hechos alegados, de corroborarse como ciertos podrían caracterizar violaciones a los artículos </w:t>
      </w:r>
      <w:r w:rsidR="000B4E5A" w:rsidRPr="002208BB">
        <w:rPr>
          <w:sz w:val="20"/>
          <w:szCs w:val="20"/>
          <w:lang w:val="es-ES"/>
        </w:rPr>
        <w:t>8 (garantías judiciales) y 25 (protección judicial) de la Convención Americana</w:t>
      </w:r>
      <w:r w:rsidR="00CC3E13" w:rsidRPr="002208BB">
        <w:rPr>
          <w:sz w:val="20"/>
          <w:szCs w:val="20"/>
          <w:lang w:val="es-ES"/>
        </w:rPr>
        <w:t>,</w:t>
      </w:r>
      <w:r w:rsidR="000B4E5A" w:rsidRPr="002208BB">
        <w:rPr>
          <w:sz w:val="20"/>
          <w:szCs w:val="20"/>
          <w:lang w:val="es-ES"/>
        </w:rPr>
        <w:t xml:space="preserve"> en relación con </w:t>
      </w:r>
      <w:r w:rsidRPr="002208BB">
        <w:rPr>
          <w:sz w:val="20"/>
          <w:szCs w:val="20"/>
          <w:lang w:val="es-ES"/>
        </w:rPr>
        <w:t xml:space="preserve">sus </w:t>
      </w:r>
      <w:r w:rsidR="000B4E5A" w:rsidRPr="002208BB">
        <w:rPr>
          <w:sz w:val="20"/>
          <w:szCs w:val="20"/>
          <w:lang w:val="es-ES"/>
        </w:rPr>
        <w:t>artículos 1.1 (obligación de respetar los derechos) y 2 (deber de adoptar disposiciones de derecho interno)</w:t>
      </w:r>
      <w:r w:rsidRPr="002208BB">
        <w:rPr>
          <w:sz w:val="20"/>
          <w:szCs w:val="20"/>
          <w:lang w:val="es-ES"/>
        </w:rPr>
        <w:t>, en concordancia con otros casos similares ya decididos por la CIDH</w:t>
      </w:r>
      <w:r w:rsidRPr="002208BB">
        <w:rPr>
          <w:rStyle w:val="FootnoteReference"/>
          <w:sz w:val="20"/>
          <w:szCs w:val="20"/>
          <w:lang w:val="es-ES"/>
        </w:rPr>
        <w:footnoteReference w:id="9"/>
      </w:r>
      <w:r w:rsidR="006F67A1" w:rsidRPr="002208BB">
        <w:rPr>
          <w:sz w:val="20"/>
          <w:szCs w:val="20"/>
          <w:lang w:val="es-ES"/>
        </w:rPr>
        <w:t>.</w:t>
      </w:r>
      <w:bookmarkStart w:id="1" w:name="_GoBack"/>
      <w:bookmarkEnd w:id="1"/>
    </w:p>
    <w:p w14:paraId="60E8BA5E" w14:textId="77777777" w:rsidR="00836A5A" w:rsidRPr="002208BB" w:rsidRDefault="00836A5A" w:rsidP="000C1933">
      <w:pPr>
        <w:pStyle w:val="ListParagraph"/>
        <w:rPr>
          <w:sz w:val="20"/>
          <w:szCs w:val="20"/>
          <w:lang w:val="es-ES"/>
        </w:rPr>
      </w:pPr>
    </w:p>
    <w:p w14:paraId="6518D73C" w14:textId="77777777" w:rsidR="009E5B2E" w:rsidRDefault="009E5B2E"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2DCFE590" w14:textId="77777777" w:rsidR="009E5B2E" w:rsidRDefault="009E5B2E"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29BB41F5" w14:textId="41D1EF23"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2208BB">
        <w:rPr>
          <w:rFonts w:asciiTheme="majorHAnsi" w:hAnsiTheme="majorHAnsi"/>
          <w:b/>
          <w:bCs/>
          <w:sz w:val="20"/>
          <w:szCs w:val="20"/>
          <w:lang w:val="es-ES"/>
        </w:rPr>
        <w:lastRenderedPageBreak/>
        <w:t>VI</w:t>
      </w:r>
      <w:r w:rsidR="00F04591" w:rsidRPr="002208BB">
        <w:rPr>
          <w:rFonts w:asciiTheme="majorHAnsi" w:hAnsiTheme="majorHAnsi"/>
          <w:b/>
          <w:bCs/>
          <w:sz w:val="20"/>
          <w:szCs w:val="20"/>
          <w:lang w:val="es-ES"/>
        </w:rPr>
        <w:t>II</w:t>
      </w:r>
      <w:r w:rsidR="003239B8" w:rsidRPr="002208BB">
        <w:rPr>
          <w:rFonts w:asciiTheme="majorHAnsi" w:hAnsiTheme="majorHAnsi"/>
          <w:b/>
          <w:bCs/>
          <w:sz w:val="20"/>
          <w:szCs w:val="20"/>
          <w:lang w:val="es-ES"/>
        </w:rPr>
        <w:t xml:space="preserve">. </w:t>
      </w:r>
      <w:r w:rsidR="003239B8" w:rsidRPr="002208BB">
        <w:rPr>
          <w:rFonts w:asciiTheme="majorHAnsi" w:hAnsiTheme="majorHAnsi"/>
          <w:b/>
          <w:bCs/>
          <w:sz w:val="20"/>
          <w:szCs w:val="20"/>
          <w:lang w:val="es-ES"/>
        </w:rPr>
        <w:tab/>
        <w:t>DECISIÓN</w:t>
      </w:r>
    </w:p>
    <w:p w14:paraId="570DA61C" w14:textId="1FD5097D"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9319C4" w:rsidRPr="00CC3E13">
        <w:rPr>
          <w:rFonts w:ascii="Cambria" w:hAnsi="Cambria"/>
          <w:bCs/>
          <w:sz w:val="20"/>
          <w:szCs w:val="20"/>
          <w:lang w:val="es-ES"/>
        </w:rPr>
        <w:t xml:space="preserve">2; </w:t>
      </w:r>
      <w:r w:rsidR="009319C4" w:rsidRPr="00CC3E13">
        <w:rPr>
          <w:rFonts w:asciiTheme="majorHAnsi" w:hAnsiTheme="majorHAnsi"/>
          <w:sz w:val="20"/>
          <w:szCs w:val="20"/>
          <w:lang w:val="es-ES"/>
        </w:rPr>
        <w:t>y</w:t>
      </w:r>
    </w:p>
    <w:p w14:paraId="7CD4DFBD" w14:textId="7EFDECA2"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34951449" w14:textId="01E1E377" w:rsidR="0019145B" w:rsidRPr="00A37B82" w:rsidRDefault="0019145B" w:rsidP="0019145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6380DFC" w14:textId="77777777" w:rsidR="0019145B" w:rsidRPr="00A37B82" w:rsidRDefault="0019145B" w:rsidP="0019145B">
      <w:pPr>
        <w:suppressAutoHyphens/>
        <w:ind w:firstLine="720"/>
        <w:jc w:val="both"/>
        <w:rPr>
          <w:rFonts w:asciiTheme="majorHAnsi" w:hAnsiTheme="majorHAnsi" w:cs="Arial"/>
          <w:noProof/>
          <w:spacing w:val="-2"/>
          <w:sz w:val="20"/>
          <w:szCs w:val="20"/>
          <w:lang w:val="es-CL"/>
        </w:rPr>
      </w:pPr>
    </w:p>
    <w:sectPr w:rsidR="0019145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7A42D" w14:textId="77777777" w:rsidR="00256B55" w:rsidRDefault="00256B55">
      <w:r>
        <w:separator/>
      </w:r>
    </w:p>
  </w:endnote>
  <w:endnote w:type="continuationSeparator" w:id="0">
    <w:p w14:paraId="300D9750" w14:textId="77777777" w:rsidR="00256B55" w:rsidRDefault="0025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3EE" w14:textId="77777777" w:rsidR="00DA67C3" w:rsidRDefault="00DA6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A73F6B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67C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B948" w14:textId="77777777" w:rsidR="00256B55" w:rsidRPr="000F35ED" w:rsidRDefault="00256B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0DE4F8" w14:textId="77777777" w:rsidR="00256B55" w:rsidRPr="000F35ED" w:rsidRDefault="00256B55" w:rsidP="000F35ED">
      <w:pPr>
        <w:rPr>
          <w:rFonts w:asciiTheme="majorHAnsi" w:hAnsiTheme="majorHAnsi"/>
          <w:sz w:val="16"/>
          <w:szCs w:val="16"/>
        </w:rPr>
      </w:pPr>
      <w:r w:rsidRPr="000F35ED">
        <w:rPr>
          <w:rFonts w:asciiTheme="majorHAnsi" w:hAnsiTheme="majorHAnsi"/>
          <w:sz w:val="16"/>
          <w:szCs w:val="16"/>
        </w:rPr>
        <w:separator/>
      </w:r>
    </w:p>
    <w:p w14:paraId="5915C0DB" w14:textId="77777777" w:rsidR="00256B55" w:rsidRPr="000F35ED" w:rsidRDefault="00256B5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2002435" w14:textId="77777777" w:rsidR="00256B55" w:rsidRPr="000F35ED" w:rsidRDefault="00256B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1B7566F0" w:rsidR="00D34B76" w:rsidRPr="00734BF3" w:rsidRDefault="00D34B76"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5A3A9858" w14:textId="5005A162" w:rsidR="00B17FA5" w:rsidRPr="001F57F6" w:rsidRDefault="00B17FA5">
      <w:pPr>
        <w:pStyle w:val="FootnoteText"/>
        <w:rPr>
          <w:rFonts w:asciiTheme="majorHAnsi" w:hAnsiTheme="majorHAnsi"/>
          <w:sz w:val="16"/>
          <w:szCs w:val="16"/>
          <w:lang w:val="es-MX"/>
        </w:rPr>
      </w:pPr>
      <w:r w:rsidRPr="001F57F6">
        <w:rPr>
          <w:rStyle w:val="FootnoteReference"/>
          <w:rFonts w:asciiTheme="majorHAnsi" w:hAnsiTheme="majorHAnsi"/>
          <w:sz w:val="16"/>
          <w:szCs w:val="16"/>
        </w:rPr>
        <w:footnoteRef/>
      </w:r>
      <w:r w:rsidRPr="001F57F6">
        <w:rPr>
          <w:rFonts w:asciiTheme="majorHAnsi" w:hAnsiTheme="majorHAnsi"/>
          <w:sz w:val="16"/>
          <w:szCs w:val="16"/>
          <w:lang w:val="es-MX"/>
        </w:rPr>
        <w:t xml:space="preserve"> </w:t>
      </w:r>
      <w:proofErr w:type="spellStart"/>
      <w:r w:rsidRPr="001F57F6">
        <w:rPr>
          <w:rFonts w:asciiTheme="majorHAnsi" w:hAnsiTheme="majorHAnsi"/>
          <w:sz w:val="16"/>
          <w:szCs w:val="16"/>
          <w:lang w:val="es-MX"/>
        </w:rPr>
        <w:t>Goergina</w:t>
      </w:r>
      <w:proofErr w:type="spellEnd"/>
      <w:r w:rsidRPr="001F57F6">
        <w:rPr>
          <w:rFonts w:asciiTheme="majorHAnsi" w:hAnsiTheme="majorHAnsi"/>
          <w:sz w:val="16"/>
          <w:szCs w:val="16"/>
          <w:lang w:val="es-MX"/>
        </w:rPr>
        <w:t xml:space="preserve"> Rubí Salas Farías, cónyuge de la presunta víctima</w:t>
      </w:r>
    </w:p>
  </w:footnote>
  <w:footnote w:id="4">
    <w:p w14:paraId="06C1BEFA" w14:textId="456C5D07" w:rsidR="004A6A54" w:rsidRPr="00734BF3" w:rsidRDefault="004A6A54" w:rsidP="00374340">
      <w:pPr>
        <w:pStyle w:val="FootnoteText"/>
        <w:jc w:val="both"/>
        <w:rPr>
          <w:rFonts w:asciiTheme="majorHAnsi" w:hAnsiTheme="majorHAnsi"/>
          <w:sz w:val="16"/>
          <w:szCs w:val="16"/>
          <w:lang w:val="es-ES"/>
        </w:rPr>
      </w:pPr>
      <w:r w:rsidRPr="007D4106">
        <w:rPr>
          <w:rStyle w:val="FootnoteReference"/>
          <w:rFonts w:asciiTheme="majorHAnsi" w:hAnsiTheme="majorHAnsi"/>
          <w:color w:val="auto"/>
          <w:sz w:val="16"/>
          <w:szCs w:val="16"/>
        </w:rPr>
        <w:footnoteRef/>
      </w:r>
      <w:r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Pr="007D4106">
        <w:rPr>
          <w:rFonts w:asciiTheme="majorHAnsi" w:hAnsiTheme="majorHAnsi"/>
          <w:color w:val="auto"/>
          <w:sz w:val="16"/>
          <w:szCs w:val="16"/>
          <w:lang w:val="es-ES"/>
        </w:rPr>
        <w:t>.</w:t>
      </w:r>
    </w:p>
  </w:footnote>
  <w:footnote w:id="5">
    <w:p w14:paraId="215EEB52" w14:textId="3D2F5FA7" w:rsidR="00BF514A" w:rsidRPr="00734BF3" w:rsidRDefault="00BF514A"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2C68B76E" w:rsidR="002F7F5F" w:rsidRPr="00EE0CAD" w:rsidRDefault="002F7F5F" w:rsidP="004A1A07">
      <w:pPr>
        <w:pStyle w:val="FootnoteText"/>
        <w:jc w:val="both"/>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El peticionario basó su relato y los hechos denunciados en esta petición en el</w:t>
      </w:r>
      <w:r w:rsidR="003B64EF">
        <w:rPr>
          <w:rFonts w:asciiTheme="majorHAnsi" w:hAnsiTheme="majorHAnsi"/>
          <w:sz w:val="16"/>
          <w:szCs w:val="16"/>
          <w:lang w:val="es-MX"/>
        </w:rPr>
        <w:t xml:space="preserve"> </w:t>
      </w:r>
      <w:r w:rsidR="003B64EF" w:rsidRPr="003B64EF">
        <w:rPr>
          <w:rFonts w:asciiTheme="majorHAnsi" w:hAnsiTheme="majorHAnsi"/>
          <w:sz w:val="16"/>
          <w:szCs w:val="16"/>
          <w:lang w:val="es-MX"/>
        </w:rPr>
        <w:t>Informe de la Comisión Nacional de Verdad y Reconciliación</w:t>
      </w:r>
      <w:r w:rsidRPr="002F7F5F">
        <w:rPr>
          <w:rFonts w:asciiTheme="majorHAnsi" w:hAnsiTheme="majorHAnsi"/>
          <w:sz w:val="16"/>
          <w:szCs w:val="16"/>
          <w:lang w:val="es-MX"/>
        </w:rPr>
        <w:t>.</w:t>
      </w:r>
    </w:p>
  </w:footnote>
  <w:footnote w:id="8">
    <w:p w14:paraId="626112E1" w14:textId="77777777" w:rsidR="00356BEB" w:rsidRPr="00BF01E1" w:rsidRDefault="00356BEB" w:rsidP="00356BEB">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19145B">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3DA2327" w14:textId="77777777" w:rsidR="006C7AE8" w:rsidRPr="00CB578D" w:rsidRDefault="006C7AE8" w:rsidP="006C7AE8">
      <w:pPr>
        <w:pStyle w:val="FootnoteText"/>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56B55"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1DFC8" w14:textId="77777777" w:rsidR="00DA67C3" w:rsidRDefault="00DA6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26B9"/>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B0579"/>
    <w:rsid w:val="000B4E5A"/>
    <w:rsid w:val="000C1933"/>
    <w:rsid w:val="000C1C69"/>
    <w:rsid w:val="000D10DB"/>
    <w:rsid w:val="000E0841"/>
    <w:rsid w:val="000E2789"/>
    <w:rsid w:val="000E5EB5"/>
    <w:rsid w:val="000F1C1E"/>
    <w:rsid w:val="000F35ED"/>
    <w:rsid w:val="000F5101"/>
    <w:rsid w:val="00107131"/>
    <w:rsid w:val="0010736F"/>
    <w:rsid w:val="00111A8A"/>
    <w:rsid w:val="00113F73"/>
    <w:rsid w:val="00121CC2"/>
    <w:rsid w:val="00121F4F"/>
    <w:rsid w:val="00127AF2"/>
    <w:rsid w:val="00127B2C"/>
    <w:rsid w:val="00131D8B"/>
    <w:rsid w:val="00133EE5"/>
    <w:rsid w:val="00136E3D"/>
    <w:rsid w:val="00143EFE"/>
    <w:rsid w:val="001479C0"/>
    <w:rsid w:val="0015330B"/>
    <w:rsid w:val="00160299"/>
    <w:rsid w:val="00167A34"/>
    <w:rsid w:val="001761CF"/>
    <w:rsid w:val="00177EEF"/>
    <w:rsid w:val="00187408"/>
    <w:rsid w:val="0019145B"/>
    <w:rsid w:val="0019517D"/>
    <w:rsid w:val="001A7870"/>
    <w:rsid w:val="001B36D5"/>
    <w:rsid w:val="001B3A00"/>
    <w:rsid w:val="001B5141"/>
    <w:rsid w:val="001C1B41"/>
    <w:rsid w:val="001C22CD"/>
    <w:rsid w:val="001C6E86"/>
    <w:rsid w:val="001C77FC"/>
    <w:rsid w:val="001D65EF"/>
    <w:rsid w:val="001E0500"/>
    <w:rsid w:val="001E49E7"/>
    <w:rsid w:val="001F271B"/>
    <w:rsid w:val="001F57F6"/>
    <w:rsid w:val="001F7201"/>
    <w:rsid w:val="00201C4C"/>
    <w:rsid w:val="00201E85"/>
    <w:rsid w:val="00202B0A"/>
    <w:rsid w:val="00202C77"/>
    <w:rsid w:val="00203BD4"/>
    <w:rsid w:val="00204931"/>
    <w:rsid w:val="00214755"/>
    <w:rsid w:val="002155A7"/>
    <w:rsid w:val="002208BB"/>
    <w:rsid w:val="00223A29"/>
    <w:rsid w:val="002250A3"/>
    <w:rsid w:val="00231294"/>
    <w:rsid w:val="00235217"/>
    <w:rsid w:val="00235741"/>
    <w:rsid w:val="00241BF2"/>
    <w:rsid w:val="002441DA"/>
    <w:rsid w:val="0024534C"/>
    <w:rsid w:val="00246D1F"/>
    <w:rsid w:val="00247403"/>
    <w:rsid w:val="00247542"/>
    <w:rsid w:val="00256B55"/>
    <w:rsid w:val="00260F5B"/>
    <w:rsid w:val="00265314"/>
    <w:rsid w:val="002669F3"/>
    <w:rsid w:val="00266B61"/>
    <w:rsid w:val="0026712A"/>
    <w:rsid w:val="002704DB"/>
    <w:rsid w:val="00274BF4"/>
    <w:rsid w:val="00276DAA"/>
    <w:rsid w:val="00277BDA"/>
    <w:rsid w:val="00285743"/>
    <w:rsid w:val="0029575A"/>
    <w:rsid w:val="002A0AAE"/>
    <w:rsid w:val="002A304F"/>
    <w:rsid w:val="002A3053"/>
    <w:rsid w:val="002A5820"/>
    <w:rsid w:val="002B2C87"/>
    <w:rsid w:val="002C3350"/>
    <w:rsid w:val="002C56E9"/>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56BEB"/>
    <w:rsid w:val="00360380"/>
    <w:rsid w:val="00361EFF"/>
    <w:rsid w:val="00362393"/>
    <w:rsid w:val="003630AF"/>
    <w:rsid w:val="00374340"/>
    <w:rsid w:val="0037519E"/>
    <w:rsid w:val="003762C7"/>
    <w:rsid w:val="00386C6C"/>
    <w:rsid w:val="00386CF0"/>
    <w:rsid w:val="00387C6F"/>
    <w:rsid w:val="0039103D"/>
    <w:rsid w:val="00393274"/>
    <w:rsid w:val="00396BB6"/>
    <w:rsid w:val="00397B9C"/>
    <w:rsid w:val="003A6337"/>
    <w:rsid w:val="003B3B06"/>
    <w:rsid w:val="003B4FF6"/>
    <w:rsid w:val="003B64EF"/>
    <w:rsid w:val="003B6E2A"/>
    <w:rsid w:val="003B70FB"/>
    <w:rsid w:val="003B778F"/>
    <w:rsid w:val="003C114A"/>
    <w:rsid w:val="003C2531"/>
    <w:rsid w:val="003C676B"/>
    <w:rsid w:val="003D0A55"/>
    <w:rsid w:val="003D225D"/>
    <w:rsid w:val="003D3BC2"/>
    <w:rsid w:val="003D5EA8"/>
    <w:rsid w:val="003D6AE3"/>
    <w:rsid w:val="003E1AD8"/>
    <w:rsid w:val="003E673E"/>
    <w:rsid w:val="003E6CA1"/>
    <w:rsid w:val="003E6D8B"/>
    <w:rsid w:val="003F2A8F"/>
    <w:rsid w:val="004015D9"/>
    <w:rsid w:val="004043F3"/>
    <w:rsid w:val="00405929"/>
    <w:rsid w:val="00406581"/>
    <w:rsid w:val="004065A8"/>
    <w:rsid w:val="004112F0"/>
    <w:rsid w:val="004165C2"/>
    <w:rsid w:val="00416A7F"/>
    <w:rsid w:val="00417C80"/>
    <w:rsid w:val="00421739"/>
    <w:rsid w:val="00421E1A"/>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2988"/>
    <w:rsid w:val="00484D16"/>
    <w:rsid w:val="00486F1C"/>
    <w:rsid w:val="0049419D"/>
    <w:rsid w:val="004A0812"/>
    <w:rsid w:val="004A1A07"/>
    <w:rsid w:val="004A59CC"/>
    <w:rsid w:val="004A6A54"/>
    <w:rsid w:val="004A6EF1"/>
    <w:rsid w:val="004A7A09"/>
    <w:rsid w:val="004B0477"/>
    <w:rsid w:val="004B3FA8"/>
    <w:rsid w:val="004C20D2"/>
    <w:rsid w:val="004C2312"/>
    <w:rsid w:val="004C4B62"/>
    <w:rsid w:val="004C54C9"/>
    <w:rsid w:val="004C616A"/>
    <w:rsid w:val="004C6DB4"/>
    <w:rsid w:val="004D4ABA"/>
    <w:rsid w:val="004D6025"/>
    <w:rsid w:val="004E169F"/>
    <w:rsid w:val="004E19B1"/>
    <w:rsid w:val="004E1D50"/>
    <w:rsid w:val="004E2649"/>
    <w:rsid w:val="004E67FE"/>
    <w:rsid w:val="004F57ED"/>
    <w:rsid w:val="004F6D03"/>
    <w:rsid w:val="00501399"/>
    <w:rsid w:val="00501652"/>
    <w:rsid w:val="0050293B"/>
    <w:rsid w:val="0050633D"/>
    <w:rsid w:val="00507BC4"/>
    <w:rsid w:val="005128E4"/>
    <w:rsid w:val="005133DB"/>
    <w:rsid w:val="00520703"/>
    <w:rsid w:val="005229A4"/>
    <w:rsid w:val="00525560"/>
    <w:rsid w:val="005328A7"/>
    <w:rsid w:val="005415E6"/>
    <w:rsid w:val="00541D91"/>
    <w:rsid w:val="00541E13"/>
    <w:rsid w:val="00544216"/>
    <w:rsid w:val="00544C49"/>
    <w:rsid w:val="005516A1"/>
    <w:rsid w:val="00560CE3"/>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5F6697"/>
    <w:rsid w:val="00600DEB"/>
    <w:rsid w:val="00601DD9"/>
    <w:rsid w:val="0060313F"/>
    <w:rsid w:val="0061160D"/>
    <w:rsid w:val="00623420"/>
    <w:rsid w:val="006277DE"/>
    <w:rsid w:val="00627C9F"/>
    <w:rsid w:val="006311E9"/>
    <w:rsid w:val="00632354"/>
    <w:rsid w:val="00642810"/>
    <w:rsid w:val="00647756"/>
    <w:rsid w:val="006509DA"/>
    <w:rsid w:val="00652333"/>
    <w:rsid w:val="00660AE7"/>
    <w:rsid w:val="0068009E"/>
    <w:rsid w:val="006819E9"/>
    <w:rsid w:val="00681DF4"/>
    <w:rsid w:val="00686471"/>
    <w:rsid w:val="00690AAB"/>
    <w:rsid w:val="00691BBE"/>
    <w:rsid w:val="00692219"/>
    <w:rsid w:val="006977FF"/>
    <w:rsid w:val="006A17D2"/>
    <w:rsid w:val="006A3AE4"/>
    <w:rsid w:val="006A4D5D"/>
    <w:rsid w:val="006A70DA"/>
    <w:rsid w:val="006A73E6"/>
    <w:rsid w:val="006B2D5C"/>
    <w:rsid w:val="006C4EB1"/>
    <w:rsid w:val="006C7751"/>
    <w:rsid w:val="006C7AE8"/>
    <w:rsid w:val="006E0166"/>
    <w:rsid w:val="006E4FDC"/>
    <w:rsid w:val="006E7B34"/>
    <w:rsid w:val="006F2F1D"/>
    <w:rsid w:val="006F67A1"/>
    <w:rsid w:val="00701306"/>
    <w:rsid w:val="0070697F"/>
    <w:rsid w:val="0071444F"/>
    <w:rsid w:val="0072199C"/>
    <w:rsid w:val="00722C9F"/>
    <w:rsid w:val="007245EF"/>
    <w:rsid w:val="00724891"/>
    <w:rsid w:val="00724E42"/>
    <w:rsid w:val="007253B8"/>
    <w:rsid w:val="007305B1"/>
    <w:rsid w:val="00734BF3"/>
    <w:rsid w:val="0073598C"/>
    <w:rsid w:val="0073741F"/>
    <w:rsid w:val="00744470"/>
    <w:rsid w:val="00744590"/>
    <w:rsid w:val="00753794"/>
    <w:rsid w:val="007570CD"/>
    <w:rsid w:val="0076643F"/>
    <w:rsid w:val="007751BE"/>
    <w:rsid w:val="00777F63"/>
    <w:rsid w:val="00781854"/>
    <w:rsid w:val="00781893"/>
    <w:rsid w:val="007852B5"/>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36B4"/>
    <w:rsid w:val="0082682E"/>
    <w:rsid w:val="0082790C"/>
    <w:rsid w:val="008338A4"/>
    <w:rsid w:val="00834D49"/>
    <w:rsid w:val="00836A5A"/>
    <w:rsid w:val="00836D82"/>
    <w:rsid w:val="00837C45"/>
    <w:rsid w:val="008411F0"/>
    <w:rsid w:val="00844730"/>
    <w:rsid w:val="008457C2"/>
    <w:rsid w:val="00854BC5"/>
    <w:rsid w:val="008561B9"/>
    <w:rsid w:val="00856ECA"/>
    <w:rsid w:val="00857A82"/>
    <w:rsid w:val="00870539"/>
    <w:rsid w:val="00871526"/>
    <w:rsid w:val="00873836"/>
    <w:rsid w:val="008778AD"/>
    <w:rsid w:val="00885737"/>
    <w:rsid w:val="00890650"/>
    <w:rsid w:val="0089300F"/>
    <w:rsid w:val="00897E12"/>
    <w:rsid w:val="008A0F81"/>
    <w:rsid w:val="008A1C0F"/>
    <w:rsid w:val="008A7E0F"/>
    <w:rsid w:val="008B12F5"/>
    <w:rsid w:val="008B5932"/>
    <w:rsid w:val="008C10F1"/>
    <w:rsid w:val="008C5751"/>
    <w:rsid w:val="008D335C"/>
    <w:rsid w:val="008D768D"/>
    <w:rsid w:val="008E328A"/>
    <w:rsid w:val="008E3759"/>
    <w:rsid w:val="008E3BFE"/>
    <w:rsid w:val="008E64ED"/>
    <w:rsid w:val="008E7900"/>
    <w:rsid w:val="008F1912"/>
    <w:rsid w:val="0090270B"/>
    <w:rsid w:val="009041DC"/>
    <w:rsid w:val="009055EB"/>
    <w:rsid w:val="0091381C"/>
    <w:rsid w:val="00917B5A"/>
    <w:rsid w:val="00920874"/>
    <w:rsid w:val="00920A58"/>
    <w:rsid w:val="00920A8C"/>
    <w:rsid w:val="009319C4"/>
    <w:rsid w:val="00934A2C"/>
    <w:rsid w:val="00935F06"/>
    <w:rsid w:val="00936942"/>
    <w:rsid w:val="00937B3A"/>
    <w:rsid w:val="00941B3B"/>
    <w:rsid w:val="00943C8E"/>
    <w:rsid w:val="00954B82"/>
    <w:rsid w:val="00962436"/>
    <w:rsid w:val="0096706E"/>
    <w:rsid w:val="00967678"/>
    <w:rsid w:val="00974491"/>
    <w:rsid w:val="00975C4E"/>
    <w:rsid w:val="00981FBA"/>
    <w:rsid w:val="00996D90"/>
    <w:rsid w:val="00997BC5"/>
    <w:rsid w:val="009A216A"/>
    <w:rsid w:val="009A4F41"/>
    <w:rsid w:val="009B381B"/>
    <w:rsid w:val="009C0048"/>
    <w:rsid w:val="009C2FC5"/>
    <w:rsid w:val="009D1352"/>
    <w:rsid w:val="009D1753"/>
    <w:rsid w:val="009D20FB"/>
    <w:rsid w:val="009D33C7"/>
    <w:rsid w:val="009D5BEB"/>
    <w:rsid w:val="009D6502"/>
    <w:rsid w:val="009D7611"/>
    <w:rsid w:val="009D78A5"/>
    <w:rsid w:val="009E0B61"/>
    <w:rsid w:val="009E0CA1"/>
    <w:rsid w:val="009E53DE"/>
    <w:rsid w:val="009E5B2E"/>
    <w:rsid w:val="009E5F63"/>
    <w:rsid w:val="009E7C00"/>
    <w:rsid w:val="00A0691C"/>
    <w:rsid w:val="00A11E44"/>
    <w:rsid w:val="00A1312C"/>
    <w:rsid w:val="00A135CC"/>
    <w:rsid w:val="00A145B6"/>
    <w:rsid w:val="00A16B7B"/>
    <w:rsid w:val="00A22397"/>
    <w:rsid w:val="00A26886"/>
    <w:rsid w:val="00A328B3"/>
    <w:rsid w:val="00A3689B"/>
    <w:rsid w:val="00A50FCF"/>
    <w:rsid w:val="00A528D1"/>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17FA5"/>
    <w:rsid w:val="00B202B5"/>
    <w:rsid w:val="00B30539"/>
    <w:rsid w:val="00B314DB"/>
    <w:rsid w:val="00B31FAB"/>
    <w:rsid w:val="00B361F2"/>
    <w:rsid w:val="00B3718B"/>
    <w:rsid w:val="00B42859"/>
    <w:rsid w:val="00B4632A"/>
    <w:rsid w:val="00B5067D"/>
    <w:rsid w:val="00B530F1"/>
    <w:rsid w:val="00B56DA5"/>
    <w:rsid w:val="00B736AF"/>
    <w:rsid w:val="00B82FC6"/>
    <w:rsid w:val="00B97946"/>
    <w:rsid w:val="00BA276C"/>
    <w:rsid w:val="00BA5544"/>
    <w:rsid w:val="00BB1B05"/>
    <w:rsid w:val="00BB306F"/>
    <w:rsid w:val="00BB3FBD"/>
    <w:rsid w:val="00BB709A"/>
    <w:rsid w:val="00BC6CD0"/>
    <w:rsid w:val="00BD2D61"/>
    <w:rsid w:val="00BD4B89"/>
    <w:rsid w:val="00BD5922"/>
    <w:rsid w:val="00BD76D9"/>
    <w:rsid w:val="00BF02CB"/>
    <w:rsid w:val="00BF514A"/>
    <w:rsid w:val="00BF6FD8"/>
    <w:rsid w:val="00BF775D"/>
    <w:rsid w:val="00C03680"/>
    <w:rsid w:val="00C042BF"/>
    <w:rsid w:val="00C054DF"/>
    <w:rsid w:val="00C10AFC"/>
    <w:rsid w:val="00C21562"/>
    <w:rsid w:val="00C21762"/>
    <w:rsid w:val="00C21FEF"/>
    <w:rsid w:val="00C2229D"/>
    <w:rsid w:val="00C24543"/>
    <w:rsid w:val="00C250B2"/>
    <w:rsid w:val="00C256A2"/>
    <w:rsid w:val="00C35A26"/>
    <w:rsid w:val="00C45F8B"/>
    <w:rsid w:val="00C46104"/>
    <w:rsid w:val="00C51515"/>
    <w:rsid w:val="00C53910"/>
    <w:rsid w:val="00C5660B"/>
    <w:rsid w:val="00C56854"/>
    <w:rsid w:val="00C5788A"/>
    <w:rsid w:val="00C66B72"/>
    <w:rsid w:val="00C7589C"/>
    <w:rsid w:val="00C764E1"/>
    <w:rsid w:val="00C87AC4"/>
    <w:rsid w:val="00C938F8"/>
    <w:rsid w:val="00C9567A"/>
    <w:rsid w:val="00CA0783"/>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76F9"/>
    <w:rsid w:val="00D877B6"/>
    <w:rsid w:val="00D914A6"/>
    <w:rsid w:val="00DA009E"/>
    <w:rsid w:val="00DA67C3"/>
    <w:rsid w:val="00DA68D7"/>
    <w:rsid w:val="00DA7B5F"/>
    <w:rsid w:val="00DB20DA"/>
    <w:rsid w:val="00DB3D5F"/>
    <w:rsid w:val="00DC11E7"/>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0857"/>
    <w:rsid w:val="00E4118C"/>
    <w:rsid w:val="00E43157"/>
    <w:rsid w:val="00E44F5E"/>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1015"/>
    <w:rsid w:val="00EC5AD9"/>
    <w:rsid w:val="00EC5BD7"/>
    <w:rsid w:val="00EC72AB"/>
    <w:rsid w:val="00ED2F03"/>
    <w:rsid w:val="00ED549D"/>
    <w:rsid w:val="00ED70FC"/>
    <w:rsid w:val="00ED76BE"/>
    <w:rsid w:val="00ED7B40"/>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5F6"/>
    <w:rsid w:val="00F42E88"/>
    <w:rsid w:val="00F4378E"/>
    <w:rsid w:val="00F50554"/>
    <w:rsid w:val="00F519CF"/>
    <w:rsid w:val="00F56BA5"/>
    <w:rsid w:val="00F57420"/>
    <w:rsid w:val="00F60E22"/>
    <w:rsid w:val="00F6141B"/>
    <w:rsid w:val="00F6248B"/>
    <w:rsid w:val="00F63B39"/>
    <w:rsid w:val="00F81029"/>
    <w:rsid w:val="00F81395"/>
    <w:rsid w:val="00F81887"/>
    <w:rsid w:val="00F81BB8"/>
    <w:rsid w:val="00F82ADB"/>
    <w:rsid w:val="00F900C9"/>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8592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46F24"/>
    <w:rsid w:val="00183B6F"/>
    <w:rsid w:val="001C40BF"/>
    <w:rsid w:val="00200821"/>
    <w:rsid w:val="002468A0"/>
    <w:rsid w:val="00286414"/>
    <w:rsid w:val="002B66AC"/>
    <w:rsid w:val="002C698B"/>
    <w:rsid w:val="002E6F38"/>
    <w:rsid w:val="00394049"/>
    <w:rsid w:val="003A4038"/>
    <w:rsid w:val="00414C10"/>
    <w:rsid w:val="004F2DF8"/>
    <w:rsid w:val="005B6D86"/>
    <w:rsid w:val="005D3162"/>
    <w:rsid w:val="005F168B"/>
    <w:rsid w:val="005F72A0"/>
    <w:rsid w:val="006E2B51"/>
    <w:rsid w:val="00797F80"/>
    <w:rsid w:val="008E3184"/>
    <w:rsid w:val="00942213"/>
    <w:rsid w:val="0097453C"/>
    <w:rsid w:val="009A1B5A"/>
    <w:rsid w:val="009A261B"/>
    <w:rsid w:val="00A311DF"/>
    <w:rsid w:val="00AA67AB"/>
    <w:rsid w:val="00AC15A4"/>
    <w:rsid w:val="00B0336C"/>
    <w:rsid w:val="00B236E4"/>
    <w:rsid w:val="00B7352B"/>
    <w:rsid w:val="00BD5B4D"/>
    <w:rsid w:val="00C11833"/>
    <w:rsid w:val="00C35D17"/>
    <w:rsid w:val="00C45E6C"/>
    <w:rsid w:val="00C56634"/>
    <w:rsid w:val="00CC1166"/>
    <w:rsid w:val="00D1626E"/>
    <w:rsid w:val="00D254A4"/>
    <w:rsid w:val="00D46351"/>
    <w:rsid w:val="00D55AA6"/>
    <w:rsid w:val="00D73C04"/>
    <w:rsid w:val="00D916A1"/>
    <w:rsid w:val="00DD65ED"/>
    <w:rsid w:val="00E02BDB"/>
    <w:rsid w:val="00E73046"/>
    <w:rsid w:val="00E77140"/>
    <w:rsid w:val="00E907ED"/>
    <w:rsid w:val="00EC5ECB"/>
    <w:rsid w:val="00EC7B7B"/>
    <w:rsid w:val="00ED03CF"/>
    <w:rsid w:val="00F00D2F"/>
    <w:rsid w:val="00F128DF"/>
    <w:rsid w:val="00F35A53"/>
    <w:rsid w:val="00F37BEF"/>
    <w:rsid w:val="00F41BD0"/>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43FE-6673-48AB-8EC2-10928581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6204</Characters>
  <Application>Microsoft Office Word</Application>
  <DocSecurity>0</DocSecurity>
  <Lines>155</Lines>
  <Paragraphs>54</Paragraphs>
  <ScaleCrop>false</ScaleCrop>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48/20</dc:title>
  <dc:creator/>
  <cp:lastModifiedBy/>
  <cp:revision>1</cp:revision>
  <dcterms:created xsi:type="dcterms:W3CDTF">2020-06-03T14:18:00Z</dcterms:created>
  <dcterms:modified xsi:type="dcterms:W3CDTF">2020-06-03T14:19:00Z</dcterms:modified>
</cp:coreProperties>
</file>