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E723B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C085A">
                              <w:rPr>
                                <w:rFonts w:asciiTheme="majorHAnsi" w:hAnsiTheme="majorHAnsi" w:cs="Arial"/>
                                <w:b/>
                                <w:bCs/>
                                <w:color w:val="0D0D0D" w:themeColor="text1" w:themeTint="F2"/>
                                <w:sz w:val="36"/>
                                <w:szCs w:val="22"/>
                                <w:lang w:val="es-ES_tradnl"/>
                              </w:rPr>
                              <w:t xml:space="preserve"> 287</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4C292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33ED">
                              <w:rPr>
                                <w:rFonts w:asciiTheme="majorHAnsi" w:hAnsiTheme="majorHAnsi" w:cs="Arial"/>
                                <w:b/>
                                <w:color w:val="0D0D0D" w:themeColor="text1" w:themeTint="F2"/>
                                <w:sz w:val="36"/>
                                <w:szCs w:val="22"/>
                                <w:lang w:val="es-ES_tradnl"/>
                              </w:rPr>
                              <w:t>2137</w:t>
                            </w:r>
                            <w:r w:rsidR="00246D1F" w:rsidRPr="004E2649">
                              <w:rPr>
                                <w:rFonts w:asciiTheme="majorHAnsi" w:hAnsiTheme="majorHAnsi" w:cs="Arial"/>
                                <w:b/>
                                <w:color w:val="0D0D0D" w:themeColor="text1" w:themeTint="F2"/>
                                <w:sz w:val="36"/>
                                <w:szCs w:val="22"/>
                                <w:lang w:val="es-ES_tradnl"/>
                              </w:rPr>
                              <w:t>-</w:t>
                            </w:r>
                            <w:r w:rsidR="005833E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1EFED9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5833ED">
                              <w:rPr>
                                <w:rFonts w:asciiTheme="majorHAnsi" w:hAnsiTheme="majorHAnsi" w:cs="Arial"/>
                                <w:color w:val="0D0D0D" w:themeColor="text1" w:themeTint="F2"/>
                                <w:szCs w:val="22"/>
                                <w:lang w:val="es-ES_tradnl"/>
                              </w:rPr>
                              <w:t>MIGUEL ÁNGEL SANDOVAL RODRÍGUEZ</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E723B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C085A">
                        <w:rPr>
                          <w:rFonts w:asciiTheme="majorHAnsi" w:hAnsiTheme="majorHAnsi" w:cs="Arial"/>
                          <w:b/>
                          <w:bCs/>
                          <w:color w:val="0D0D0D" w:themeColor="text1" w:themeTint="F2"/>
                          <w:sz w:val="36"/>
                          <w:szCs w:val="22"/>
                          <w:lang w:val="es-ES_tradnl"/>
                        </w:rPr>
                        <w:t xml:space="preserve"> 287</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4C292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33ED">
                        <w:rPr>
                          <w:rFonts w:asciiTheme="majorHAnsi" w:hAnsiTheme="majorHAnsi" w:cs="Arial"/>
                          <w:b/>
                          <w:color w:val="0D0D0D" w:themeColor="text1" w:themeTint="F2"/>
                          <w:sz w:val="36"/>
                          <w:szCs w:val="22"/>
                          <w:lang w:val="es-ES_tradnl"/>
                        </w:rPr>
                        <w:t>2137</w:t>
                      </w:r>
                      <w:r w:rsidR="00246D1F" w:rsidRPr="004E2649">
                        <w:rPr>
                          <w:rFonts w:asciiTheme="majorHAnsi" w:hAnsiTheme="majorHAnsi" w:cs="Arial"/>
                          <w:b/>
                          <w:color w:val="0D0D0D" w:themeColor="text1" w:themeTint="F2"/>
                          <w:sz w:val="36"/>
                          <w:szCs w:val="22"/>
                          <w:lang w:val="es-ES_tradnl"/>
                        </w:rPr>
                        <w:t>-</w:t>
                      </w:r>
                      <w:r w:rsidR="005833E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1EFED9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5833ED">
                        <w:rPr>
                          <w:rFonts w:asciiTheme="majorHAnsi" w:hAnsiTheme="majorHAnsi" w:cs="Arial"/>
                          <w:color w:val="0D0D0D" w:themeColor="text1" w:themeTint="F2"/>
                          <w:szCs w:val="22"/>
                          <w:lang w:val="es-ES_tradnl"/>
                        </w:rPr>
                        <w:t>MIGUEL ÁNGEL SANDOVAL RODRÍGUEZ</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D85E1B" w:rsidR="00627C9F" w:rsidRPr="00935F06" w:rsidRDefault="00BC085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D6D6B3" w:rsidR="00627C9F" w:rsidRPr="00935F06" w:rsidRDefault="00BC085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304</w:t>
                            </w:r>
                          </w:p>
                          <w:p w14:paraId="69373ED2" w14:textId="063C3756" w:rsidR="00627C9F" w:rsidRPr="00B16B79" w:rsidRDefault="00BC085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 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7D85E1B" w:rsidR="00627C9F" w:rsidRPr="00935F06" w:rsidRDefault="00BC085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D6D6B3" w:rsidR="00627C9F" w:rsidRPr="00935F06" w:rsidRDefault="00BC085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304</w:t>
                      </w:r>
                    </w:p>
                    <w:p w14:paraId="69373ED2" w14:textId="063C3756" w:rsidR="00627C9F" w:rsidRPr="00B16B79" w:rsidRDefault="00BC085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9 octubre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C39C08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085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BC085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1B3EF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C39C08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085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BC085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1B3EF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807976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C085A" w:rsidRPr="00BC085A">
                              <w:rPr>
                                <w:rFonts w:asciiTheme="majorHAnsi" w:hAnsiTheme="majorHAnsi"/>
                                <w:color w:val="595959" w:themeColor="text1" w:themeTint="A6"/>
                                <w:sz w:val="18"/>
                                <w:szCs w:val="18"/>
                                <w:lang w:val="pt-BR"/>
                              </w:rPr>
                              <w:t>287</w:t>
                            </w:r>
                            <w:r w:rsidR="007B05C4" w:rsidRPr="00BC085A">
                              <w:rPr>
                                <w:rFonts w:asciiTheme="majorHAnsi" w:hAnsiTheme="majorHAnsi"/>
                                <w:color w:val="595959" w:themeColor="text1" w:themeTint="A6"/>
                                <w:sz w:val="18"/>
                                <w:szCs w:val="18"/>
                                <w:lang w:val="pt-BR"/>
                              </w:rPr>
                              <w:t>/</w:t>
                            </w:r>
                            <w:r w:rsidR="00BC085A" w:rsidRPr="00BC085A">
                              <w:rPr>
                                <w:rFonts w:asciiTheme="majorHAnsi" w:hAnsiTheme="majorHAnsi"/>
                                <w:color w:val="595959" w:themeColor="text1" w:themeTint="A6"/>
                                <w:sz w:val="18"/>
                                <w:szCs w:val="18"/>
                                <w:lang w:val="pt-BR"/>
                              </w:rPr>
                              <w:t>20</w:t>
                            </w:r>
                            <w:r w:rsidR="00D03715" w:rsidRPr="00BC085A">
                              <w:rPr>
                                <w:rFonts w:asciiTheme="majorHAnsi" w:hAnsiTheme="majorHAnsi"/>
                                <w:color w:val="595959" w:themeColor="text1" w:themeTint="A6"/>
                                <w:sz w:val="18"/>
                                <w:szCs w:val="18"/>
                                <w:lang w:val="pt-BR"/>
                              </w:rPr>
                              <w:t>.</w:t>
                            </w:r>
                            <w:r w:rsidR="00214755" w:rsidRPr="00BC085A">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5833ED">
                              <w:rPr>
                                <w:rFonts w:asciiTheme="majorHAnsi" w:hAnsiTheme="majorHAnsi"/>
                                <w:color w:val="595959" w:themeColor="text1" w:themeTint="A6"/>
                                <w:sz w:val="18"/>
                                <w:szCs w:val="18"/>
                                <w:lang w:val="es-ES_tradnl"/>
                              </w:rPr>
                              <w:t>2137-12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5833ED">
                              <w:rPr>
                                <w:rFonts w:ascii="Cambria" w:hAnsi="Cambria"/>
                                <w:bCs/>
                                <w:color w:val="595959" w:themeColor="text1" w:themeTint="A6"/>
                                <w:sz w:val="19"/>
                                <w:szCs w:val="19"/>
                                <w:lang w:val="es-ES"/>
                              </w:rPr>
                              <w:t xml:space="preserve"> Miguel Ángel Sandoval Rodríguez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C085A">
                              <w:rPr>
                                <w:rFonts w:asciiTheme="majorHAnsi" w:hAnsiTheme="majorHAnsi"/>
                                <w:color w:val="595959" w:themeColor="text1" w:themeTint="A6"/>
                                <w:sz w:val="18"/>
                                <w:szCs w:val="18"/>
                                <w:lang w:val="es-ES"/>
                              </w:rPr>
                              <w:t>9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807976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C085A" w:rsidRPr="00BC085A">
                        <w:rPr>
                          <w:rFonts w:asciiTheme="majorHAnsi" w:hAnsiTheme="majorHAnsi"/>
                          <w:color w:val="595959" w:themeColor="text1" w:themeTint="A6"/>
                          <w:sz w:val="18"/>
                          <w:szCs w:val="18"/>
                          <w:lang w:val="pt-BR"/>
                        </w:rPr>
                        <w:t>287</w:t>
                      </w:r>
                      <w:r w:rsidR="007B05C4" w:rsidRPr="00BC085A">
                        <w:rPr>
                          <w:rFonts w:asciiTheme="majorHAnsi" w:hAnsiTheme="majorHAnsi"/>
                          <w:color w:val="595959" w:themeColor="text1" w:themeTint="A6"/>
                          <w:sz w:val="18"/>
                          <w:szCs w:val="18"/>
                          <w:lang w:val="pt-BR"/>
                        </w:rPr>
                        <w:t>/</w:t>
                      </w:r>
                      <w:r w:rsidR="00BC085A" w:rsidRPr="00BC085A">
                        <w:rPr>
                          <w:rFonts w:asciiTheme="majorHAnsi" w:hAnsiTheme="majorHAnsi"/>
                          <w:color w:val="595959" w:themeColor="text1" w:themeTint="A6"/>
                          <w:sz w:val="18"/>
                          <w:szCs w:val="18"/>
                          <w:lang w:val="pt-BR"/>
                        </w:rPr>
                        <w:t>20</w:t>
                      </w:r>
                      <w:r w:rsidR="00D03715" w:rsidRPr="00BC085A">
                        <w:rPr>
                          <w:rFonts w:asciiTheme="majorHAnsi" w:hAnsiTheme="majorHAnsi"/>
                          <w:color w:val="595959" w:themeColor="text1" w:themeTint="A6"/>
                          <w:sz w:val="18"/>
                          <w:szCs w:val="18"/>
                          <w:lang w:val="pt-BR"/>
                        </w:rPr>
                        <w:t>.</w:t>
                      </w:r>
                      <w:r w:rsidR="00214755" w:rsidRPr="00BC085A">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5833ED">
                        <w:rPr>
                          <w:rFonts w:asciiTheme="majorHAnsi" w:hAnsiTheme="majorHAnsi"/>
                          <w:color w:val="595959" w:themeColor="text1" w:themeTint="A6"/>
                          <w:sz w:val="18"/>
                          <w:szCs w:val="18"/>
                          <w:lang w:val="es-ES_tradnl"/>
                        </w:rPr>
                        <w:t>2137-12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5833ED">
                        <w:rPr>
                          <w:rFonts w:ascii="Cambria" w:hAnsi="Cambria"/>
                          <w:bCs/>
                          <w:color w:val="595959" w:themeColor="text1" w:themeTint="A6"/>
                          <w:sz w:val="19"/>
                          <w:szCs w:val="19"/>
                          <w:lang w:val="es-ES"/>
                        </w:rPr>
                        <w:t xml:space="preserve"> Miguel Ángel Sandoval Rodríguez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C085A">
                        <w:rPr>
                          <w:rFonts w:asciiTheme="majorHAnsi" w:hAnsiTheme="majorHAnsi"/>
                          <w:color w:val="595959" w:themeColor="text1" w:themeTint="A6"/>
                          <w:sz w:val="18"/>
                          <w:szCs w:val="18"/>
                          <w:lang w:val="es-ES"/>
                        </w:rPr>
                        <w:t>9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04E9B65" w:rsidR="00D72DC6" w:rsidRPr="00D72DC6" w:rsidRDefault="001B3EFA" w:rsidP="00F02AD1">
                            <w:pPr>
                              <w:rPr>
                                <w:color w:val="FFFFFF" w:themeColor="background1"/>
                                <w14:textFill>
                                  <w14:noFill/>
                                </w14:textFill>
                              </w:rPr>
                            </w:pPr>
                            <w:r>
                              <w:rPr>
                                <w:noProof/>
                                <w:color w:val="FFFFFF" w:themeColor="background1"/>
                              </w:rPr>
                              <w:drawing>
                                <wp:inline distT="0" distB="0" distL="0" distR="0" wp14:anchorId="42AC6861" wp14:editId="6B2D204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04E9B65" w:rsidR="00D72DC6" w:rsidRPr="00D72DC6" w:rsidRDefault="001B3EFA" w:rsidP="00F02AD1">
                      <w:pPr>
                        <w:rPr>
                          <w:color w:val="FFFFFF" w:themeColor="background1"/>
                          <w14:textFill>
                            <w14:noFill/>
                          </w14:textFill>
                        </w:rPr>
                      </w:pPr>
                      <w:r>
                        <w:rPr>
                          <w:noProof/>
                          <w:color w:val="FFFFFF" w:themeColor="background1"/>
                        </w:rPr>
                        <w:drawing>
                          <wp:inline distT="0" distB="0" distL="0" distR="0" wp14:anchorId="42AC6861" wp14:editId="6B2D204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1613A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0C1953"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6D4FB340"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5833ED">
              <w:rPr>
                <w:rFonts w:ascii="Cambria" w:hAnsi="Cambria"/>
                <w:bCs/>
                <w:sz w:val="19"/>
                <w:szCs w:val="19"/>
                <w:lang w:val="es-ES"/>
              </w:rPr>
              <w:t>Miguel Ángel Sandoval Rodríguez</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1613A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048DEC79" w:rsidR="004C2312" w:rsidRPr="00ED70FC" w:rsidRDefault="005833ED" w:rsidP="002625EA">
            <w:pPr>
              <w:jc w:val="both"/>
              <w:rPr>
                <w:rFonts w:ascii="Cambria" w:hAnsi="Cambria"/>
                <w:bCs/>
                <w:sz w:val="19"/>
                <w:szCs w:val="19"/>
                <w:lang w:val="es-ES"/>
              </w:rPr>
            </w:pPr>
            <w:r>
              <w:rPr>
                <w:rFonts w:ascii="Cambria" w:hAnsi="Cambria"/>
                <w:bCs/>
                <w:sz w:val="19"/>
                <w:szCs w:val="19"/>
                <w:lang w:val="es-ES"/>
              </w:rPr>
              <w:t>3 de noviembre de 2012</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54AB5A65" w:rsidR="004C2312" w:rsidRPr="00ED70FC" w:rsidRDefault="005833ED" w:rsidP="00E479A2">
            <w:pPr>
              <w:jc w:val="both"/>
              <w:rPr>
                <w:rFonts w:ascii="Cambria" w:hAnsi="Cambria"/>
                <w:bCs/>
                <w:sz w:val="19"/>
                <w:szCs w:val="19"/>
                <w:lang w:val="es-ES"/>
              </w:rPr>
            </w:pPr>
            <w:r>
              <w:rPr>
                <w:rFonts w:ascii="Cambria" w:hAnsi="Cambria"/>
                <w:bCs/>
                <w:sz w:val="19"/>
                <w:szCs w:val="19"/>
                <w:lang w:val="es-ES"/>
              </w:rPr>
              <w:t>6 de septiembre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04CA7318" w:rsidR="00F06354" w:rsidRPr="00ED70FC" w:rsidRDefault="005833ED" w:rsidP="00F06354">
            <w:pPr>
              <w:jc w:val="both"/>
              <w:rPr>
                <w:rFonts w:ascii="Cambria" w:hAnsi="Cambria"/>
                <w:bCs/>
                <w:sz w:val="19"/>
                <w:szCs w:val="19"/>
                <w:lang w:val="es-ES"/>
              </w:rPr>
            </w:pPr>
            <w:r>
              <w:rPr>
                <w:rFonts w:ascii="Cambria" w:hAnsi="Cambria"/>
                <w:bCs/>
                <w:sz w:val="19"/>
                <w:szCs w:val="19"/>
                <w:lang w:val="es-ES"/>
              </w:rPr>
              <w:t>14 de abril de 2018</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1B75CCAC" w:rsidR="00F06354" w:rsidRPr="007D4106" w:rsidRDefault="005833ED">
            <w:pPr>
              <w:jc w:val="both"/>
              <w:rPr>
                <w:rFonts w:ascii="Cambria" w:hAnsi="Cambria"/>
                <w:bCs/>
                <w:sz w:val="19"/>
                <w:szCs w:val="19"/>
                <w:lang w:val="es-ES"/>
              </w:rPr>
            </w:pPr>
            <w:r>
              <w:rPr>
                <w:rFonts w:ascii="Cambria" w:hAnsi="Cambria"/>
                <w:bCs/>
                <w:sz w:val="19"/>
                <w:szCs w:val="19"/>
                <w:lang w:val="es-ES"/>
              </w:rPr>
              <w:t>14 de agosto de 2018</w:t>
            </w:r>
          </w:p>
        </w:tc>
      </w:tr>
      <w:tr w:rsidR="005833ED" w:rsidRPr="005833ED" w14:paraId="42A719B6" w14:textId="77777777" w:rsidTr="00954B82">
        <w:tc>
          <w:tcPr>
            <w:tcW w:w="2790" w:type="dxa"/>
            <w:tcBorders>
              <w:top w:val="single" w:sz="6" w:space="0" w:color="auto"/>
              <w:bottom w:val="single" w:sz="6" w:space="0" w:color="auto"/>
            </w:tcBorders>
            <w:shd w:val="clear" w:color="auto" w:fill="386294"/>
            <w:vAlign w:val="center"/>
          </w:tcPr>
          <w:p w14:paraId="21BF68F6" w14:textId="13CA715C" w:rsidR="005833ED" w:rsidRPr="00EE0CAD" w:rsidRDefault="005833ED" w:rsidP="005833ED">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Advertencia de archivo</w:t>
            </w:r>
          </w:p>
        </w:tc>
        <w:tc>
          <w:tcPr>
            <w:tcW w:w="6570" w:type="dxa"/>
            <w:vAlign w:val="center"/>
          </w:tcPr>
          <w:p w14:paraId="472A73BE" w14:textId="067D7BED" w:rsidR="005833ED" w:rsidRDefault="005833ED">
            <w:pPr>
              <w:jc w:val="both"/>
              <w:rPr>
                <w:rFonts w:ascii="Cambria" w:hAnsi="Cambria"/>
                <w:bCs/>
                <w:sz w:val="19"/>
                <w:szCs w:val="19"/>
                <w:lang w:val="es-ES"/>
              </w:rPr>
            </w:pPr>
            <w:r>
              <w:rPr>
                <w:rFonts w:ascii="Cambria" w:hAnsi="Cambria"/>
                <w:bCs/>
                <w:sz w:val="19"/>
                <w:szCs w:val="19"/>
                <w:lang w:val="es-ES"/>
              </w:rPr>
              <w:t>27 de abril de 2017</w:t>
            </w:r>
          </w:p>
        </w:tc>
      </w:tr>
      <w:tr w:rsidR="005833ED" w:rsidRPr="005833ED" w14:paraId="30A11C6D" w14:textId="77777777" w:rsidTr="00954B82">
        <w:tc>
          <w:tcPr>
            <w:tcW w:w="2790" w:type="dxa"/>
            <w:tcBorders>
              <w:top w:val="single" w:sz="6" w:space="0" w:color="auto"/>
              <w:bottom w:val="single" w:sz="6" w:space="0" w:color="auto"/>
            </w:tcBorders>
            <w:shd w:val="clear" w:color="auto" w:fill="386294"/>
            <w:vAlign w:val="center"/>
          </w:tcPr>
          <w:p w14:paraId="481038B3" w14:textId="4C81E871" w:rsidR="005833ED" w:rsidRPr="00EE0CAD" w:rsidRDefault="005833ED" w:rsidP="00F06354">
            <w:pPr>
              <w:jc w:val="center"/>
              <w:rPr>
                <w:rFonts w:ascii="Cambria" w:hAnsi="Cambria"/>
                <w:bCs/>
                <w:color w:val="FFFFFF" w:themeColor="background1"/>
                <w:sz w:val="19"/>
                <w:szCs w:val="19"/>
                <w:lang w:val="es-ES"/>
              </w:rPr>
            </w:pPr>
            <w:r w:rsidRPr="005833ED">
              <w:rPr>
                <w:rFonts w:ascii="Cambria" w:hAnsi="Cambria"/>
                <w:bCs/>
                <w:color w:val="FFFFFF" w:themeColor="background1"/>
                <w:sz w:val="19"/>
                <w:szCs w:val="19"/>
                <w:lang w:val="es-ES"/>
              </w:rPr>
              <w:t>Respuesta a la advertencia de archivo</w:t>
            </w:r>
          </w:p>
        </w:tc>
        <w:tc>
          <w:tcPr>
            <w:tcW w:w="6570" w:type="dxa"/>
            <w:vAlign w:val="center"/>
          </w:tcPr>
          <w:p w14:paraId="315BFA61" w14:textId="59746430" w:rsidR="005833ED" w:rsidRDefault="005833ED">
            <w:pPr>
              <w:jc w:val="both"/>
              <w:rPr>
                <w:rFonts w:ascii="Cambria" w:hAnsi="Cambria"/>
                <w:bCs/>
                <w:sz w:val="19"/>
                <w:szCs w:val="19"/>
                <w:lang w:val="es-ES"/>
              </w:rPr>
            </w:pPr>
            <w:r>
              <w:rPr>
                <w:rFonts w:ascii="Cambria" w:hAnsi="Cambria"/>
                <w:bCs/>
                <w:sz w:val="19"/>
                <w:szCs w:val="19"/>
                <w:lang w:val="es-ES"/>
              </w:rPr>
              <w:t>28 de abril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1613A3"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1613A3"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1613A3"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36BA09F9"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5833ED">
              <w:rPr>
                <w:rFonts w:asciiTheme="majorHAnsi" w:hAnsiTheme="majorHAnsi"/>
                <w:sz w:val="19"/>
                <w:szCs w:val="19"/>
                <w:lang w:val="es-MX"/>
              </w:rPr>
              <w:t>24 de mayo de 2012</w:t>
            </w:r>
          </w:p>
        </w:tc>
      </w:tr>
      <w:tr w:rsidR="00214755" w:rsidRPr="001613A3"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639D67C1"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5833ED">
              <w:rPr>
                <w:rFonts w:asciiTheme="majorHAnsi" w:hAnsiTheme="majorHAnsi"/>
                <w:sz w:val="19"/>
                <w:szCs w:val="19"/>
                <w:lang w:val="es-MX"/>
              </w:rPr>
              <w:t>3 de noviembre de 2012</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06A393B8"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5833ED">
        <w:rPr>
          <w:sz w:val="20"/>
          <w:szCs w:val="20"/>
          <w:lang w:val="es-ES"/>
        </w:rPr>
        <w:t xml:space="preserve">Miguel Ángel Sandoval Rodríguez </w:t>
      </w:r>
      <w:r w:rsidRPr="00781854">
        <w:rPr>
          <w:sz w:val="20"/>
          <w:szCs w:val="20"/>
          <w:lang w:val="es-ES"/>
        </w:rPr>
        <w:t>(o en adelante “presunta víctima”) por los daños causados por su detención extrajudicial</w:t>
      </w:r>
      <w:r w:rsidR="00FB2845">
        <w:rPr>
          <w:sz w:val="20"/>
          <w:szCs w:val="20"/>
          <w:lang w:val="es-ES"/>
        </w:rPr>
        <w:t>, tortura</w:t>
      </w:r>
      <w:r w:rsidRPr="00781854">
        <w:rPr>
          <w:sz w:val="20"/>
          <w:szCs w:val="20"/>
          <w:lang w:val="es-ES"/>
        </w:rPr>
        <w:t xml:space="preserve"> 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procedimientos civiles</w:t>
      </w:r>
      <w:r w:rsidR="001761CF" w:rsidRPr="00781854">
        <w:rPr>
          <w:sz w:val="20"/>
          <w:szCs w:val="20"/>
          <w:lang w:val="es-ES"/>
        </w:rPr>
        <w:t>, constituyendo denegación de justicia</w:t>
      </w:r>
      <w:r w:rsidRPr="00781854">
        <w:rPr>
          <w:sz w:val="20"/>
          <w:szCs w:val="20"/>
          <w:lang w:val="es-ES"/>
        </w:rPr>
        <w:t>.</w:t>
      </w:r>
    </w:p>
    <w:p w14:paraId="280DE5B5" w14:textId="072F502C" w:rsidR="005833ED" w:rsidRPr="00941C17" w:rsidRDefault="002F7F5F" w:rsidP="00941C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DB6A28">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w:t>
      </w:r>
      <w:r w:rsidR="005833ED">
        <w:rPr>
          <w:rFonts w:ascii="Cambria" w:hAnsi="Cambria"/>
          <w:sz w:val="20"/>
          <w:szCs w:val="20"/>
          <w:lang w:val="es-ES"/>
        </w:rPr>
        <w:t>, militante del Movimiento de Izquierda Revolucionaria,</w:t>
      </w:r>
      <w:r w:rsidR="00050A02">
        <w:rPr>
          <w:rFonts w:ascii="Cambria" w:hAnsi="Cambria"/>
          <w:sz w:val="20"/>
          <w:szCs w:val="20"/>
          <w:lang w:val="es-ES"/>
        </w:rPr>
        <w:t xml:space="preserve"> fue detenida</w:t>
      </w:r>
      <w:r w:rsidR="005833ED">
        <w:rPr>
          <w:rFonts w:asciiTheme="majorHAnsi" w:hAnsiTheme="majorHAnsi"/>
          <w:sz w:val="20"/>
          <w:szCs w:val="20"/>
          <w:lang w:val="es-ES"/>
        </w:rPr>
        <w:t xml:space="preserve"> el 7 de enero de 1975 por agentes de seguridad en la vía pública. </w:t>
      </w:r>
      <w:r w:rsidR="00DB6A28">
        <w:rPr>
          <w:rFonts w:asciiTheme="majorHAnsi" w:hAnsiTheme="majorHAnsi"/>
          <w:sz w:val="20"/>
          <w:szCs w:val="20"/>
          <w:lang w:val="es-ES"/>
        </w:rPr>
        <w:t>La parte peticionaria indica que múltiples testigos vieron a la presunta víctima, en muy malas condiciones físicas, en el centro de detención Villa Grimaldi posterior a su detención.  Señala que d</w:t>
      </w:r>
      <w:r w:rsidR="005833ED">
        <w:rPr>
          <w:rFonts w:asciiTheme="majorHAnsi" w:hAnsiTheme="majorHAnsi"/>
          <w:sz w:val="20"/>
          <w:szCs w:val="20"/>
          <w:lang w:val="es-ES"/>
        </w:rPr>
        <w:t>os semanas después</w:t>
      </w:r>
      <w:r w:rsidR="00DB6A28">
        <w:rPr>
          <w:rFonts w:asciiTheme="majorHAnsi" w:hAnsiTheme="majorHAnsi"/>
          <w:sz w:val="20"/>
          <w:szCs w:val="20"/>
          <w:lang w:val="es-ES"/>
        </w:rPr>
        <w:t xml:space="preserve"> de la detención de la presunta víctima</w:t>
      </w:r>
      <w:r w:rsidR="004D24F0">
        <w:rPr>
          <w:rFonts w:asciiTheme="majorHAnsi" w:hAnsiTheme="majorHAnsi"/>
          <w:sz w:val="20"/>
          <w:szCs w:val="20"/>
          <w:lang w:val="es-ES"/>
        </w:rPr>
        <w:t>,</w:t>
      </w:r>
      <w:r w:rsidR="005833ED">
        <w:rPr>
          <w:rFonts w:asciiTheme="majorHAnsi" w:hAnsiTheme="majorHAnsi"/>
          <w:sz w:val="20"/>
          <w:szCs w:val="20"/>
          <w:lang w:val="es-ES"/>
        </w:rPr>
        <w:t xml:space="preserve"> durante el toque de queda, </w:t>
      </w:r>
      <w:r w:rsidR="00D44E2A">
        <w:rPr>
          <w:rFonts w:asciiTheme="majorHAnsi" w:hAnsiTheme="majorHAnsi"/>
          <w:sz w:val="20"/>
          <w:szCs w:val="20"/>
          <w:lang w:val="es-ES"/>
        </w:rPr>
        <w:t xml:space="preserve">civiles armados </w:t>
      </w:r>
      <w:r w:rsidR="005833ED">
        <w:rPr>
          <w:rFonts w:asciiTheme="majorHAnsi" w:hAnsiTheme="majorHAnsi"/>
          <w:sz w:val="20"/>
          <w:szCs w:val="20"/>
          <w:lang w:val="es-ES"/>
        </w:rPr>
        <w:t xml:space="preserve">allanaron la casa que arrendaba junto a su </w:t>
      </w:r>
      <w:r w:rsidR="005833ED">
        <w:rPr>
          <w:rFonts w:asciiTheme="majorHAnsi" w:hAnsiTheme="majorHAnsi"/>
          <w:sz w:val="20"/>
          <w:szCs w:val="20"/>
          <w:lang w:val="es-ES"/>
        </w:rPr>
        <w:lastRenderedPageBreak/>
        <w:t>familia sin identificarse más que como miembros de las Fuerzas Armadas,</w:t>
      </w:r>
      <w:r w:rsidR="00D44E2A">
        <w:rPr>
          <w:rFonts w:asciiTheme="majorHAnsi" w:hAnsiTheme="majorHAnsi"/>
          <w:sz w:val="20"/>
          <w:szCs w:val="20"/>
          <w:lang w:val="es-ES"/>
        </w:rPr>
        <w:t xml:space="preserve"> y</w:t>
      </w:r>
      <w:r w:rsidR="005833ED">
        <w:rPr>
          <w:rFonts w:asciiTheme="majorHAnsi" w:hAnsiTheme="majorHAnsi"/>
          <w:sz w:val="20"/>
          <w:szCs w:val="20"/>
          <w:lang w:val="es-ES"/>
        </w:rPr>
        <w:t xml:space="preserve"> se llevaron documentación de la habitación de la presunta víctima y un baúl perteneciente al dueño del inmueble.</w:t>
      </w:r>
      <w:r w:rsidR="00941C17">
        <w:rPr>
          <w:sz w:val="20"/>
          <w:szCs w:val="20"/>
          <w:lang w:val="es-ES"/>
        </w:rPr>
        <w:t xml:space="preserve"> </w:t>
      </w:r>
      <w:r w:rsidR="00DB6A28">
        <w:rPr>
          <w:rFonts w:asciiTheme="majorHAnsi" w:hAnsiTheme="majorHAnsi"/>
          <w:sz w:val="20"/>
          <w:szCs w:val="20"/>
          <w:lang w:val="es-ES"/>
        </w:rPr>
        <w:t>En julio de 1975 en la revista argentina</w:t>
      </w:r>
      <w:r w:rsidR="00C943F6" w:rsidRPr="00941C17">
        <w:rPr>
          <w:rFonts w:asciiTheme="majorHAnsi" w:hAnsiTheme="majorHAnsi"/>
          <w:sz w:val="20"/>
          <w:szCs w:val="20"/>
          <w:lang w:val="es-ES"/>
        </w:rPr>
        <w:t xml:space="preserve"> LEA se publicó una lista de chilenos muertos en distintos países, incluyendo el nombre de Miguel Ángel Sandoval Rodríguez</w:t>
      </w:r>
      <w:r w:rsidR="004D24F0">
        <w:rPr>
          <w:rFonts w:asciiTheme="majorHAnsi" w:hAnsiTheme="majorHAnsi"/>
          <w:sz w:val="20"/>
          <w:szCs w:val="20"/>
          <w:lang w:val="es-ES"/>
        </w:rPr>
        <w:t>. D</w:t>
      </w:r>
      <w:r w:rsidR="00C943F6" w:rsidRPr="00941C17">
        <w:rPr>
          <w:rFonts w:asciiTheme="majorHAnsi" w:hAnsiTheme="majorHAnsi"/>
          <w:sz w:val="20"/>
          <w:szCs w:val="20"/>
          <w:lang w:val="es-ES"/>
        </w:rPr>
        <w:t>icha revista no tenía ni editor ni propietario responsable. Una publicación similar apareció en el diario O’DIA de Brasil.</w:t>
      </w:r>
      <w:r w:rsidR="00FB2845">
        <w:rPr>
          <w:rFonts w:asciiTheme="majorHAnsi" w:hAnsiTheme="majorHAnsi"/>
          <w:sz w:val="20"/>
          <w:szCs w:val="20"/>
          <w:lang w:val="es-ES"/>
        </w:rPr>
        <w:t xml:space="preserve"> </w:t>
      </w:r>
      <w:r w:rsidR="004D24F0">
        <w:rPr>
          <w:rFonts w:asciiTheme="majorHAnsi" w:hAnsiTheme="majorHAnsi"/>
          <w:sz w:val="20"/>
          <w:szCs w:val="20"/>
          <w:lang w:val="es-ES"/>
        </w:rPr>
        <w:t>La parte peticionaria i</w:t>
      </w:r>
      <w:r w:rsidR="00FB2845">
        <w:rPr>
          <w:rFonts w:asciiTheme="majorHAnsi" w:hAnsiTheme="majorHAnsi"/>
          <w:sz w:val="20"/>
          <w:szCs w:val="20"/>
          <w:lang w:val="es-ES"/>
        </w:rPr>
        <w:t>ndica que las personas cuyos nombres aparecieron en estas listas hab</w:t>
      </w:r>
      <w:r w:rsidR="004D24F0">
        <w:rPr>
          <w:rFonts w:asciiTheme="majorHAnsi" w:hAnsiTheme="majorHAnsi"/>
          <w:sz w:val="20"/>
          <w:szCs w:val="20"/>
          <w:lang w:val="es-ES"/>
        </w:rPr>
        <w:t>ían desaparecido</w:t>
      </w:r>
      <w:r w:rsidR="00FB2845">
        <w:rPr>
          <w:rFonts w:asciiTheme="majorHAnsi" w:hAnsiTheme="majorHAnsi"/>
          <w:sz w:val="20"/>
          <w:szCs w:val="20"/>
          <w:lang w:val="es-ES"/>
        </w:rPr>
        <w:t xml:space="preserve"> entre junio de 1974 y febrero de 1975, la mayoría de ellas vistas en recintos de detención de la DINA.</w:t>
      </w:r>
      <w:r w:rsidR="00C943F6" w:rsidRPr="00941C17">
        <w:rPr>
          <w:rFonts w:asciiTheme="majorHAnsi" w:hAnsiTheme="majorHAnsi"/>
          <w:sz w:val="20"/>
          <w:szCs w:val="20"/>
          <w:lang w:val="es-ES"/>
        </w:rPr>
        <w:t xml:space="preserve"> </w:t>
      </w:r>
      <w:r w:rsidR="00FB2845">
        <w:rPr>
          <w:rFonts w:asciiTheme="majorHAnsi" w:hAnsiTheme="majorHAnsi"/>
          <w:sz w:val="20"/>
          <w:szCs w:val="20"/>
          <w:lang w:val="es-ES"/>
        </w:rPr>
        <w:t>A</w:t>
      </w:r>
      <w:r w:rsidR="00FB2845" w:rsidRPr="00941C17">
        <w:rPr>
          <w:rFonts w:asciiTheme="majorHAnsi" w:hAnsiTheme="majorHAnsi"/>
          <w:sz w:val="20"/>
          <w:szCs w:val="20"/>
          <w:lang w:val="es-ES"/>
        </w:rPr>
        <w:t xml:space="preserve"> petición del Octavo Juzgado del Crimen</w:t>
      </w:r>
      <w:r w:rsidR="00FB2845">
        <w:rPr>
          <w:rFonts w:asciiTheme="majorHAnsi" w:hAnsiTheme="majorHAnsi"/>
          <w:sz w:val="20"/>
          <w:szCs w:val="20"/>
          <w:lang w:val="es-ES"/>
        </w:rPr>
        <w:t>, el Ministerio de Relaciones Exteriores de Chile respondió</w:t>
      </w:r>
      <w:r w:rsidR="00FB2845" w:rsidRPr="00941C17">
        <w:rPr>
          <w:rFonts w:asciiTheme="majorHAnsi" w:hAnsiTheme="majorHAnsi"/>
          <w:sz w:val="20"/>
          <w:szCs w:val="20"/>
          <w:lang w:val="es-ES"/>
        </w:rPr>
        <w:t xml:space="preserve"> </w:t>
      </w:r>
      <w:r w:rsidR="00FB2845">
        <w:rPr>
          <w:rFonts w:asciiTheme="majorHAnsi" w:hAnsiTheme="majorHAnsi"/>
          <w:sz w:val="20"/>
          <w:szCs w:val="20"/>
          <w:lang w:val="es-ES"/>
        </w:rPr>
        <w:t>e</w:t>
      </w:r>
      <w:r w:rsidR="00C943F6" w:rsidRPr="00941C17">
        <w:rPr>
          <w:rFonts w:asciiTheme="majorHAnsi" w:hAnsiTheme="majorHAnsi"/>
          <w:sz w:val="20"/>
          <w:szCs w:val="20"/>
          <w:lang w:val="es-ES"/>
        </w:rPr>
        <w:t xml:space="preserve">n Oficio Reservado que no existían antecedentes oficiales que corroboraran lo publicado en ambas revistas. </w:t>
      </w:r>
      <w:r w:rsidR="004D24F0">
        <w:rPr>
          <w:rFonts w:asciiTheme="majorHAnsi" w:hAnsiTheme="majorHAnsi"/>
          <w:sz w:val="20"/>
          <w:szCs w:val="20"/>
          <w:lang w:val="es-ES"/>
        </w:rPr>
        <w:t>Hasta el día de hoy se desconoce su paradero.</w:t>
      </w:r>
    </w:p>
    <w:p w14:paraId="0848B627" w14:textId="04527678" w:rsidR="00416A7F" w:rsidRDefault="0071444F" w:rsidP="00DA37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w:t>
      </w:r>
      <w:r w:rsidR="00C943F6">
        <w:rPr>
          <w:rFonts w:ascii="Cambria" w:hAnsi="Cambria"/>
          <w:sz w:val="20"/>
          <w:szCs w:val="20"/>
          <w:lang w:val="es-ES"/>
        </w:rPr>
        <w:t xml:space="preserve"> 18 de febrero de 1975</w:t>
      </w:r>
      <w:r w:rsidR="003C114A" w:rsidRPr="00CF69B5">
        <w:rPr>
          <w:rFonts w:ascii="Cambria" w:hAnsi="Cambria"/>
          <w:sz w:val="20"/>
          <w:szCs w:val="20"/>
          <w:lang w:val="es-ES"/>
        </w:rPr>
        <w:t xml:space="preserve">, </w:t>
      </w:r>
      <w:r w:rsidR="00C943F6">
        <w:rPr>
          <w:rFonts w:ascii="Cambria" w:hAnsi="Cambria"/>
          <w:sz w:val="20"/>
          <w:szCs w:val="20"/>
          <w:lang w:val="es-ES"/>
        </w:rPr>
        <w:t>la hermana</w:t>
      </w:r>
      <w:r>
        <w:rPr>
          <w:rFonts w:ascii="Cambria" w:hAnsi="Cambria"/>
          <w:sz w:val="20"/>
          <w:szCs w:val="20"/>
          <w:lang w:val="es-ES"/>
        </w:rPr>
        <w:t xml:space="preserve"> </w:t>
      </w:r>
      <w:r w:rsidR="003C114A" w:rsidRPr="00CF69B5">
        <w:rPr>
          <w:rFonts w:ascii="Cambria" w:hAnsi="Cambria"/>
          <w:sz w:val="20"/>
          <w:szCs w:val="20"/>
          <w:lang w:val="es-ES"/>
        </w:rPr>
        <w:t>de la presunta víctima interpuso</w:t>
      </w:r>
      <w:r>
        <w:rPr>
          <w:rFonts w:ascii="Cambria" w:hAnsi="Cambria"/>
          <w:sz w:val="20"/>
          <w:szCs w:val="20"/>
          <w:lang w:val="es-ES"/>
        </w:rPr>
        <w:t xml:space="preserve"> un recurso de amparo ante la Corte de Apelaciones de Santiago</w:t>
      </w:r>
      <w:r w:rsidR="00FB2845">
        <w:rPr>
          <w:rFonts w:ascii="Cambria" w:hAnsi="Cambria"/>
          <w:sz w:val="20"/>
          <w:szCs w:val="20"/>
          <w:lang w:val="es-ES"/>
        </w:rPr>
        <w:t>.</w:t>
      </w:r>
      <w:r w:rsidR="00F21A08">
        <w:rPr>
          <w:rFonts w:ascii="Cambria" w:hAnsi="Cambria"/>
          <w:sz w:val="20"/>
          <w:szCs w:val="20"/>
          <w:lang w:val="es-ES"/>
        </w:rPr>
        <w:t xml:space="preserve"> </w:t>
      </w:r>
      <w:r w:rsidR="00FB2845">
        <w:rPr>
          <w:rFonts w:ascii="Cambria" w:hAnsi="Cambria"/>
          <w:sz w:val="20"/>
          <w:szCs w:val="20"/>
          <w:lang w:val="es-ES"/>
        </w:rPr>
        <w:t>A</w:t>
      </w:r>
      <w:r w:rsidR="00C943F6">
        <w:rPr>
          <w:rFonts w:ascii="Cambria" w:hAnsi="Cambria"/>
          <w:sz w:val="20"/>
          <w:szCs w:val="20"/>
          <w:lang w:val="es-ES"/>
        </w:rPr>
        <w:t xml:space="preserve">nte las respuestas negativas de distintos organismos para informar de su detención, el 10 </w:t>
      </w:r>
      <w:r w:rsidR="00FB2845">
        <w:rPr>
          <w:rFonts w:ascii="Cambria" w:hAnsi="Cambria"/>
          <w:sz w:val="20"/>
          <w:szCs w:val="20"/>
          <w:lang w:val="es-ES"/>
        </w:rPr>
        <w:t>de abril de 1975 la Corte ofició</w:t>
      </w:r>
      <w:r w:rsidR="00C943F6">
        <w:rPr>
          <w:rFonts w:ascii="Cambria" w:hAnsi="Cambria"/>
          <w:sz w:val="20"/>
          <w:szCs w:val="20"/>
          <w:lang w:val="es-ES"/>
        </w:rPr>
        <w:t xml:space="preserve"> a</w:t>
      </w:r>
      <w:r w:rsidR="00FB2845">
        <w:rPr>
          <w:rFonts w:ascii="Cambria" w:hAnsi="Cambria"/>
          <w:sz w:val="20"/>
          <w:szCs w:val="20"/>
          <w:lang w:val="es-ES"/>
        </w:rPr>
        <w:t>l</w:t>
      </w:r>
      <w:r w:rsidR="00C943F6">
        <w:rPr>
          <w:rFonts w:ascii="Cambria" w:hAnsi="Cambria"/>
          <w:sz w:val="20"/>
          <w:szCs w:val="20"/>
          <w:lang w:val="es-ES"/>
        </w:rPr>
        <w:t xml:space="preserve"> Juzgado del Crimen para investigar un posible delito. El 21 del mismo mes el Juez del </w:t>
      </w:r>
      <w:r w:rsidR="00DB6A28">
        <w:rPr>
          <w:rFonts w:ascii="Cambria" w:hAnsi="Cambria"/>
          <w:sz w:val="20"/>
          <w:szCs w:val="20"/>
          <w:lang w:val="es-ES"/>
        </w:rPr>
        <w:t>Octavo Juzgado del Crimen ordenó</w:t>
      </w:r>
      <w:r w:rsidR="00C943F6">
        <w:rPr>
          <w:rFonts w:ascii="Cambria" w:hAnsi="Cambria"/>
          <w:sz w:val="20"/>
          <w:szCs w:val="20"/>
          <w:lang w:val="es-ES"/>
        </w:rPr>
        <w:t xml:space="preserve"> abrir sumario. </w:t>
      </w:r>
      <w:r w:rsidR="00E41F2A">
        <w:rPr>
          <w:rFonts w:ascii="Cambria" w:hAnsi="Cambria"/>
          <w:sz w:val="20"/>
          <w:szCs w:val="20"/>
          <w:lang w:val="es-ES"/>
        </w:rPr>
        <w:t xml:space="preserve">El 5 de junio de 1975 el detective de la Octava Comisaría Judicial señaló que luego de una serie de diligencias no lograron ubicar a la presunta víctima. El 28 de noviembre de 1975 se decretó el sobreseimiento temporal de la causa por no encontrarse acreditado en autos la existencia del delito denunciado. El 15 de enero de 1976 dicha decisión fue confirmada por la Corte de Apelaciones. </w:t>
      </w:r>
      <w:r w:rsidR="00FB2845">
        <w:rPr>
          <w:rFonts w:ascii="Cambria" w:hAnsi="Cambria"/>
          <w:sz w:val="20"/>
          <w:szCs w:val="20"/>
          <w:lang w:val="es-ES"/>
        </w:rPr>
        <w:t xml:space="preserve">Los familiares de la presunta víctima realizaron consultas en el campo de detenidos Tres </w:t>
      </w:r>
      <w:r w:rsidR="00DA37E1">
        <w:rPr>
          <w:rFonts w:ascii="Cambria" w:hAnsi="Cambria"/>
          <w:sz w:val="20"/>
          <w:szCs w:val="20"/>
          <w:lang w:val="es-ES"/>
        </w:rPr>
        <w:t xml:space="preserve">Álamos, en la </w:t>
      </w:r>
      <w:r w:rsidR="00DA37E1" w:rsidRPr="00DA37E1">
        <w:rPr>
          <w:rFonts w:ascii="Cambria" w:hAnsi="Cambria"/>
          <w:sz w:val="20"/>
          <w:szCs w:val="20"/>
          <w:lang w:val="es-ES"/>
        </w:rPr>
        <w:t>Secretaría Ejecutiva Nacional de Detenidos</w:t>
      </w:r>
      <w:r w:rsidR="00DA37E1">
        <w:rPr>
          <w:rFonts w:ascii="Cambria" w:hAnsi="Cambria"/>
          <w:sz w:val="20"/>
          <w:szCs w:val="20"/>
          <w:lang w:val="es-ES"/>
        </w:rPr>
        <w:t>, en el Ministerio de Defensa, en el Registro Civil y en la Cruz Roja Internacional sin obtener ninguna información sobre él.</w:t>
      </w:r>
    </w:p>
    <w:p w14:paraId="57972C0A" w14:textId="2F1E1243" w:rsidR="003D5EA8"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E41F2A">
        <w:rPr>
          <w:rFonts w:ascii="Cambria" w:hAnsi="Cambria"/>
          <w:sz w:val="20"/>
          <w:szCs w:val="20"/>
          <w:lang w:val="es-ES"/>
        </w:rPr>
        <w:t xml:space="preserve">27 de marzo de 2006 </w:t>
      </w:r>
      <w:r>
        <w:rPr>
          <w:rFonts w:ascii="Cambria" w:hAnsi="Cambria"/>
          <w:sz w:val="20"/>
          <w:szCs w:val="20"/>
          <w:lang w:val="es-ES"/>
        </w:rPr>
        <w:t>se inici</w:t>
      </w:r>
      <w:r w:rsidR="00FA3CA9">
        <w:rPr>
          <w:rFonts w:ascii="Cambria" w:hAnsi="Cambria"/>
          <w:sz w:val="20"/>
          <w:szCs w:val="20"/>
          <w:lang w:val="es-ES"/>
        </w:rPr>
        <w:t>ó la</w:t>
      </w:r>
      <w:r w:rsidR="00E41F2A">
        <w:rPr>
          <w:rFonts w:ascii="Cambria" w:hAnsi="Cambria"/>
          <w:sz w:val="20"/>
          <w:szCs w:val="20"/>
          <w:lang w:val="es-ES"/>
        </w:rPr>
        <w:t xml:space="preserve"> causa civil en el 9</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E41F2A">
        <w:rPr>
          <w:rFonts w:ascii="Cambria" w:hAnsi="Cambria"/>
          <w:sz w:val="20"/>
          <w:szCs w:val="20"/>
          <w:lang w:val="es-ES"/>
        </w:rPr>
        <w:t>14 de septiembre de 2007</w:t>
      </w:r>
      <w:r>
        <w:rPr>
          <w:rFonts w:ascii="Cambria" w:hAnsi="Cambria"/>
          <w:sz w:val="20"/>
          <w:szCs w:val="20"/>
          <w:lang w:val="es-ES"/>
        </w:rPr>
        <w:t xml:space="preserve"> denegando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el daño causado en base a la prescripción de las acciones civiles.</w:t>
      </w:r>
      <w:r>
        <w:rPr>
          <w:rFonts w:ascii="Cambria" w:hAnsi="Cambria"/>
          <w:sz w:val="20"/>
          <w:szCs w:val="20"/>
          <w:lang w:val="es-ES"/>
        </w:rPr>
        <w:t xml:space="preserve"> </w:t>
      </w:r>
      <w:r w:rsidR="00393274">
        <w:rPr>
          <w:rFonts w:ascii="Cambria" w:hAnsi="Cambria"/>
          <w:sz w:val="20"/>
          <w:szCs w:val="20"/>
          <w:lang w:val="es-ES"/>
        </w:rPr>
        <w:t xml:space="preserve">En sentencia del </w:t>
      </w:r>
      <w:r w:rsidR="00E41F2A">
        <w:rPr>
          <w:rFonts w:ascii="Cambria" w:hAnsi="Cambria"/>
          <w:sz w:val="20"/>
          <w:szCs w:val="20"/>
          <w:lang w:val="es-ES"/>
        </w:rPr>
        <w:t>28 de octubre de 2009</w:t>
      </w:r>
      <w:r w:rsidR="00393274">
        <w:rPr>
          <w:rFonts w:ascii="Cambria" w:hAnsi="Cambria"/>
          <w:sz w:val="20"/>
          <w:szCs w:val="20"/>
          <w:lang w:val="es-ES"/>
        </w:rPr>
        <w:t xml:space="preserve"> 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DA37E1">
        <w:rPr>
          <w:rFonts w:ascii="Cambria" w:hAnsi="Cambria"/>
          <w:sz w:val="20"/>
          <w:szCs w:val="20"/>
          <w:lang w:val="es-ES"/>
        </w:rPr>
        <w:t>indemnizar. C</w:t>
      </w:r>
      <w:r w:rsidR="00724891">
        <w:rPr>
          <w:rFonts w:ascii="Cambria" w:hAnsi="Cambria"/>
          <w:sz w:val="20"/>
          <w:szCs w:val="20"/>
          <w:lang w:val="es-ES"/>
        </w:rPr>
        <w:t xml:space="preserve">ontra este fallo </w:t>
      </w:r>
      <w:r w:rsidR="00E41F2A">
        <w:rPr>
          <w:rFonts w:ascii="Cambria" w:hAnsi="Cambria"/>
          <w:sz w:val="20"/>
          <w:szCs w:val="20"/>
          <w:lang w:val="es-ES"/>
        </w:rPr>
        <w:t xml:space="preserve">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E41F2A">
        <w:rPr>
          <w:rFonts w:ascii="Cambria" w:hAnsi="Cambria"/>
          <w:sz w:val="20"/>
          <w:szCs w:val="20"/>
          <w:lang w:val="es-ES"/>
        </w:rPr>
        <w:t xml:space="preserve">4 de mayo de 2012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724891">
        <w:rPr>
          <w:rFonts w:ascii="Cambria" w:hAnsi="Cambria"/>
          <w:sz w:val="20"/>
          <w:szCs w:val="20"/>
          <w:lang w:val="es-ES"/>
        </w:rPr>
        <w:t>acogido por la Corte</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AE7F18">
        <w:rPr>
          <w:rFonts w:ascii="Cambria" w:hAnsi="Cambria"/>
          <w:sz w:val="20"/>
          <w:szCs w:val="20"/>
          <w:lang w:val="es-ES"/>
        </w:rPr>
        <w:t>.</w:t>
      </w:r>
      <w:r w:rsidR="00724891">
        <w:rPr>
          <w:rFonts w:ascii="Cambria" w:hAnsi="Cambria"/>
          <w:sz w:val="20"/>
          <w:szCs w:val="20"/>
          <w:lang w:val="es-ES"/>
        </w:rPr>
        <w:t xml:space="preserve"> Con fecha </w:t>
      </w:r>
      <w:r w:rsidR="00E41F2A">
        <w:rPr>
          <w:rFonts w:ascii="Cambria" w:hAnsi="Cambria"/>
          <w:sz w:val="20"/>
          <w:szCs w:val="20"/>
          <w:lang w:val="es-ES"/>
        </w:rPr>
        <w:t>24 de mayo de 2012</w:t>
      </w:r>
      <w:r w:rsidR="00724891">
        <w:rPr>
          <w:rFonts w:ascii="Cambria" w:hAnsi="Cambria"/>
          <w:sz w:val="20"/>
          <w:szCs w:val="20"/>
          <w:lang w:val="es-ES"/>
        </w:rPr>
        <w:t xml:space="preserve"> 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6B77EEED" w14:textId="686F979C" w:rsidR="005833ED" w:rsidRPr="00454B04" w:rsidRDefault="005833ED" w:rsidP="00583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833ED">
        <w:rPr>
          <w:rFonts w:ascii="Cambria" w:hAnsi="Cambria"/>
          <w:sz w:val="20"/>
          <w:szCs w:val="20"/>
          <w:lang w:val="es-ES"/>
        </w:rPr>
        <w:t>Por su parte, el Estado señala que la petición carece de un relato claro y coherente que permita una compresión de las vulneraciones alegadas, sin embargo, en aras de la buena fe y entendiendo que la pretensión de los peticionarios se basa en el ámbito civil, no tiene reparos que plantear relativos al cumplimiento de los requisitos de forma, sin perjuicio de las observaciones sobre el fondo que pueda hacer en la oportunidad que corresponda. Respecto a alegaciones sobre hechos que habrían tomado lugar en</w:t>
      </w:r>
      <w:r w:rsidR="00E41F2A">
        <w:rPr>
          <w:rFonts w:ascii="Cambria" w:hAnsi="Cambria"/>
          <w:sz w:val="20"/>
          <w:szCs w:val="20"/>
          <w:lang w:val="es-ES"/>
        </w:rPr>
        <w:t xml:space="preserve"> enero de 1975</w:t>
      </w:r>
      <w:r w:rsidRPr="005833ED">
        <w:rPr>
          <w:rFonts w:ascii="Cambria" w:hAnsi="Cambria"/>
          <w:sz w:val="20"/>
          <w:szCs w:val="20"/>
          <w:lang w:val="es-ES"/>
        </w:rPr>
        <w:t>, consistentes en la vulneración de los derechos a la vida, a la integridad personal y a la libertad personal de la presunta víctima, el Estado señala que existe una</w:t>
      </w:r>
      <w:r w:rsidR="00E41F2A">
        <w:rPr>
          <w:rFonts w:ascii="Cambria" w:hAnsi="Cambria"/>
          <w:sz w:val="20"/>
          <w:szCs w:val="20"/>
          <w:lang w:val="es-ES"/>
        </w:rPr>
        <w:t xml:space="preserve"> sentencia condenatoria contra el Manuel Contreras, fallecido, y Miguel Krassnoff por el secuestro calificado de la presunta víctima</w:t>
      </w:r>
      <w:r w:rsidRPr="005833ED">
        <w:rPr>
          <w:rFonts w:ascii="Cambria" w:hAnsi="Cambria"/>
          <w:sz w:val="20"/>
          <w:szCs w:val="20"/>
          <w:lang w:val="es-ES"/>
        </w:rPr>
        <w:t>. Adicionalmente</w:t>
      </w:r>
      <w:r w:rsidR="00DB6A28">
        <w:rPr>
          <w:rFonts w:ascii="Cambria" w:hAnsi="Cambria"/>
          <w:sz w:val="20"/>
          <w:szCs w:val="20"/>
          <w:lang w:val="es-ES"/>
        </w:rPr>
        <w:t>,</w:t>
      </w:r>
      <w:r w:rsidRPr="005833ED">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w:t>
      </w:r>
      <w:r w:rsidRPr="00DA37E1">
        <w:rPr>
          <w:rFonts w:ascii="Cambria" w:hAnsi="Cambria"/>
          <w:i/>
          <w:sz w:val="20"/>
          <w:szCs w:val="20"/>
          <w:lang w:val="es-ES"/>
        </w:rPr>
        <w:t>ratione temporis</w:t>
      </w:r>
      <w:r>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5D4C7BBA"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derivada de la </w:t>
      </w:r>
      <w:r w:rsidR="00DA37E1">
        <w:rPr>
          <w:rFonts w:ascii="Cambria" w:hAnsi="Cambria"/>
          <w:sz w:val="20"/>
          <w:szCs w:val="20"/>
          <w:lang w:val="es-ES"/>
        </w:rPr>
        <w:t xml:space="preserve">detención y </w:t>
      </w:r>
      <w:r w:rsidRPr="003D225D">
        <w:rPr>
          <w:rFonts w:ascii="Cambria" w:hAnsi="Cambria"/>
          <w:sz w:val="20"/>
          <w:szCs w:val="20"/>
          <w:lang w:val="es-ES"/>
        </w:rPr>
        <w:t>desaparición</w:t>
      </w:r>
      <w:r w:rsidR="00DA37E1">
        <w:rPr>
          <w:rFonts w:ascii="Cambria" w:hAnsi="Cambria"/>
          <w:sz w:val="20"/>
          <w:szCs w:val="20"/>
          <w:lang w:val="es-ES"/>
        </w:rPr>
        <w:t xml:space="preserve"> forzada</w:t>
      </w:r>
      <w:r w:rsidR="00E41F2A">
        <w:rPr>
          <w:rFonts w:ascii="Cambria" w:hAnsi="Cambria"/>
          <w:sz w:val="20"/>
          <w:szCs w:val="20"/>
          <w:lang w:val="es-ES"/>
        </w:rPr>
        <w:t xml:space="preserve"> de la presunta víctima</w:t>
      </w:r>
      <w:r w:rsidRPr="003D225D">
        <w:rPr>
          <w:rFonts w:ascii="Cambria" w:hAnsi="Cambria"/>
          <w:sz w:val="20"/>
          <w:szCs w:val="20"/>
          <w:lang w:val="es-ES"/>
        </w:rPr>
        <w:t>, c</w:t>
      </w:r>
      <w:r w:rsidR="00E41F2A">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DA37E1">
        <w:rPr>
          <w:rFonts w:ascii="Cambria" w:hAnsi="Cambria"/>
          <w:sz w:val="20"/>
          <w:szCs w:val="20"/>
          <w:lang w:val="es-ES"/>
        </w:rPr>
        <w:t>civil</w:t>
      </w:r>
      <w:r w:rsidR="00393274">
        <w:rPr>
          <w:rFonts w:ascii="Cambria" w:hAnsi="Cambria"/>
          <w:sz w:val="20"/>
          <w:szCs w:val="20"/>
          <w:lang w:val="es-ES"/>
        </w:rPr>
        <w:t xml:space="preserve"> se inició la causa el </w:t>
      </w:r>
      <w:r w:rsidR="00E41F2A">
        <w:rPr>
          <w:rFonts w:ascii="Cambria" w:hAnsi="Cambria"/>
          <w:sz w:val="20"/>
          <w:szCs w:val="20"/>
          <w:lang w:val="es-ES"/>
        </w:rPr>
        <w:t>27 de marzo de 2006 ante el 9</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E41F2A">
        <w:rPr>
          <w:rFonts w:ascii="Cambria" w:hAnsi="Cambria"/>
          <w:sz w:val="20"/>
          <w:szCs w:val="20"/>
          <w:lang w:val="es-ES"/>
        </w:rPr>
        <w:t xml:space="preserve">24 de mayo de 2012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E41F2A">
        <w:rPr>
          <w:rFonts w:ascii="Cambria" w:hAnsi="Cambria"/>
          <w:sz w:val="20"/>
          <w:szCs w:val="20"/>
          <w:lang w:val="es-ES"/>
        </w:rPr>
        <w:t xml:space="preserve">4 de mayo de 2012 </w:t>
      </w:r>
      <w:r w:rsidR="00393274">
        <w:rPr>
          <w:rFonts w:ascii="Cambria" w:hAnsi="Cambria"/>
          <w:sz w:val="20"/>
          <w:szCs w:val="20"/>
          <w:lang w:val="es-ES"/>
        </w:rPr>
        <w:t>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DA37E1">
        <w:rPr>
          <w:rFonts w:ascii="Cambria" w:hAnsi="Cambria"/>
          <w:sz w:val="20"/>
          <w:szCs w:val="20"/>
          <w:lang w:val="es-ES"/>
        </w:rPr>
        <w:t xml:space="preserve"> a una indemnización</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4AA772A2"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5526F5">
        <w:rPr>
          <w:rFonts w:ascii="Cambria" w:hAnsi="Cambria"/>
          <w:sz w:val="20"/>
          <w:szCs w:val="20"/>
          <w:lang w:val="es-ES"/>
        </w:rPr>
        <w:t xml:space="preserve"> </w:t>
      </w:r>
      <w:r w:rsidR="00E41F2A">
        <w:rPr>
          <w:rFonts w:ascii="Cambria" w:hAnsi="Cambria"/>
          <w:sz w:val="20"/>
          <w:szCs w:val="20"/>
          <w:lang w:val="es-ES"/>
        </w:rPr>
        <w:t>3 de noviembre de 2012</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396EE28E" w:rsidR="000B0579" w:rsidRDefault="00AC52CD">
      <w:pPr>
        <w:pStyle w:val="ListParagraph"/>
        <w:numPr>
          <w:ilvl w:val="0"/>
          <w:numId w:val="103"/>
        </w:numPr>
        <w:jc w:val="both"/>
        <w:rPr>
          <w:sz w:val="20"/>
          <w:szCs w:val="20"/>
          <w:lang w:val="es-ES"/>
        </w:rPr>
      </w:pPr>
      <w:r w:rsidRPr="0032474F">
        <w:rPr>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w:t>
      </w:r>
      <w:r>
        <w:rPr>
          <w:sz w:val="20"/>
          <w:szCs w:val="20"/>
          <w:lang w:val="es-ES"/>
        </w:rPr>
        <w:t>, tortura</w:t>
      </w:r>
      <w:r w:rsidRPr="0032474F">
        <w:rPr>
          <w:sz w:val="20"/>
          <w:szCs w:val="20"/>
          <w:lang w:val="es-ES"/>
        </w:rPr>
        <w:t xml:space="preserve">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Pr="0032474F">
        <w:rPr>
          <w:rStyle w:val="FootnoteReference"/>
          <w:sz w:val="20"/>
          <w:szCs w:val="20"/>
          <w:lang w:val="es-ES"/>
        </w:rPr>
        <w:footnoteReference w:id="8"/>
      </w:r>
      <w:r w:rsidRPr="0032474F">
        <w:rPr>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32474F">
        <w:rPr>
          <w:rStyle w:val="FootnoteReference"/>
          <w:sz w:val="20"/>
          <w:szCs w:val="20"/>
          <w:lang w:val="es-ES"/>
        </w:rPr>
        <w:footnoteReference w:id="9"/>
      </w:r>
      <w:r w:rsidRPr="0032474F">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392C196F"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E41F2A" w:rsidRPr="00CC3E13">
        <w:rPr>
          <w:rFonts w:ascii="Cambria" w:hAnsi="Cambria"/>
          <w:bCs/>
          <w:sz w:val="20"/>
          <w:szCs w:val="20"/>
          <w:lang w:val="es-ES"/>
        </w:rPr>
        <w:t xml:space="preserve">2; </w:t>
      </w:r>
      <w:r w:rsidR="00E41F2A" w:rsidRPr="00CC3E13">
        <w:rPr>
          <w:rFonts w:asciiTheme="majorHAnsi" w:hAnsiTheme="majorHAnsi"/>
          <w:sz w:val="20"/>
          <w:szCs w:val="20"/>
          <w:lang w:val="es-ES"/>
        </w:rPr>
        <w:t>y</w:t>
      </w:r>
    </w:p>
    <w:p w14:paraId="7CD4DFBD" w14:textId="560EB120"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1EB12C07" w14:textId="0C907D98" w:rsidR="00945CE3" w:rsidRPr="00A37B82" w:rsidRDefault="00945CE3" w:rsidP="00945CE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45CE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83FD" w14:textId="77777777" w:rsidR="000C1953" w:rsidRDefault="000C1953">
      <w:r>
        <w:separator/>
      </w:r>
    </w:p>
  </w:endnote>
  <w:endnote w:type="continuationSeparator" w:id="0">
    <w:p w14:paraId="78A96883" w14:textId="77777777" w:rsidR="000C1953" w:rsidRDefault="000C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FF2D" w14:textId="77777777" w:rsidR="001613A3" w:rsidRDefault="00161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E3C4DE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13A3">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7945" w14:textId="77777777" w:rsidR="000C1953" w:rsidRPr="000F35ED" w:rsidRDefault="000C195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EA75C4" w14:textId="77777777" w:rsidR="000C1953" w:rsidRPr="000F35ED" w:rsidRDefault="000C1953" w:rsidP="000F35ED">
      <w:pPr>
        <w:rPr>
          <w:rFonts w:asciiTheme="majorHAnsi" w:hAnsiTheme="majorHAnsi"/>
          <w:sz w:val="16"/>
          <w:szCs w:val="16"/>
        </w:rPr>
      </w:pPr>
      <w:r w:rsidRPr="000F35ED">
        <w:rPr>
          <w:rFonts w:asciiTheme="majorHAnsi" w:hAnsiTheme="majorHAnsi"/>
          <w:sz w:val="16"/>
          <w:szCs w:val="16"/>
        </w:rPr>
        <w:separator/>
      </w:r>
    </w:p>
    <w:p w14:paraId="34B4DB9C" w14:textId="77777777" w:rsidR="000C1953" w:rsidRPr="000F35ED" w:rsidRDefault="000C195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5830D88" w14:textId="77777777" w:rsidR="000C1953" w:rsidRPr="000F35ED" w:rsidRDefault="000C195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0A58F118" w:rsidR="00D34B76" w:rsidRPr="00734BF3" w:rsidRDefault="00BC085A" w:rsidP="00790387">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3D29E28F" w:rsidR="00201E85" w:rsidRPr="007D4106" w:rsidRDefault="00BC085A" w:rsidP="00790387">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E41F2A">
        <w:rPr>
          <w:rFonts w:asciiTheme="majorHAnsi" w:hAnsiTheme="majorHAnsi"/>
          <w:sz w:val="16"/>
          <w:szCs w:val="16"/>
          <w:lang w:val="es-MX"/>
        </w:rPr>
        <w:t xml:space="preserve"> Pabla del Carmen Segura Soto, viuda de la presunta víctima.</w:t>
      </w:r>
    </w:p>
  </w:footnote>
  <w:footnote w:id="4">
    <w:p w14:paraId="06C1BEFA" w14:textId="4968BD0F" w:rsidR="004A6A54" w:rsidRPr="00734BF3" w:rsidRDefault="00BC085A" w:rsidP="00790387">
      <w:pPr>
        <w:pStyle w:val="FootnoteText"/>
        <w:jc w:val="both"/>
        <w:rPr>
          <w:rFonts w:asciiTheme="majorHAnsi" w:hAnsiTheme="majorHAnsi"/>
          <w:sz w:val="16"/>
          <w:szCs w:val="16"/>
          <w:lang w:val="es-ES"/>
        </w:rPr>
      </w:pPr>
      <w:r>
        <w:rPr>
          <w:rFonts w:asciiTheme="majorHAnsi" w:hAnsiTheme="majorHAnsi"/>
          <w:color w:val="auto"/>
          <w:sz w:val="16"/>
          <w:szCs w:val="16"/>
          <w:lang w:val="es-MX"/>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705272AE" w:rsidR="00BF514A" w:rsidRPr="00734BF3" w:rsidRDefault="00BC085A" w:rsidP="00790387">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6830A4D8" w:rsidR="008E3BFE" w:rsidRPr="00734BF3" w:rsidRDefault="00BC085A" w:rsidP="00790387">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124AC7D5" w:rsidR="002F7F5F" w:rsidRPr="00EE0CAD" w:rsidRDefault="00BC085A" w:rsidP="00790387">
      <w:pPr>
        <w:pStyle w:val="FootnoteText"/>
        <w:jc w:val="both"/>
        <w:rPr>
          <w:lang w:val="es-MX"/>
        </w:rPr>
      </w:pPr>
      <w:r>
        <w:rPr>
          <w:rFonts w:asciiTheme="majorHAnsi" w:hAnsiTheme="majorHAnsi"/>
          <w:sz w:val="16"/>
          <w:szCs w:val="16"/>
          <w:lang w:val="es-ES"/>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 xml:space="preserve">El peticionario basó su relato y los hechos denunciados en esta petición en el </w:t>
      </w:r>
      <w:r w:rsidR="00A57549">
        <w:rPr>
          <w:rFonts w:asciiTheme="majorHAnsi" w:hAnsiTheme="majorHAnsi"/>
          <w:sz w:val="16"/>
          <w:szCs w:val="16"/>
          <w:lang w:val="es-MX"/>
        </w:rPr>
        <w:t xml:space="preserve">Informe de la Comisión Nacional de Verdad y Reconciliación (Informe </w:t>
      </w:r>
      <w:proofErr w:type="spellStart"/>
      <w:r w:rsidR="00A57549">
        <w:rPr>
          <w:rFonts w:asciiTheme="majorHAnsi" w:hAnsiTheme="majorHAnsi"/>
          <w:sz w:val="16"/>
          <w:szCs w:val="16"/>
          <w:lang w:val="es-MX"/>
        </w:rPr>
        <w:t>Rettig</w:t>
      </w:r>
      <w:proofErr w:type="spellEnd"/>
      <w:r w:rsidR="00A57549">
        <w:rPr>
          <w:rFonts w:asciiTheme="majorHAnsi" w:hAnsiTheme="majorHAnsi"/>
          <w:sz w:val="16"/>
          <w:szCs w:val="16"/>
          <w:lang w:val="es-MX"/>
        </w:rPr>
        <w:t>)</w:t>
      </w:r>
    </w:p>
  </w:footnote>
  <w:footnote w:id="8">
    <w:p w14:paraId="06473FD3" w14:textId="112F9276" w:rsidR="00AC52CD" w:rsidRPr="00AC52CD" w:rsidRDefault="00BC085A" w:rsidP="00AC52CD">
      <w:pPr>
        <w:pStyle w:val="FootnoteText"/>
        <w:jc w:val="both"/>
        <w:rPr>
          <w:rFonts w:ascii="Cambria" w:hAnsi="Cambria"/>
          <w:sz w:val="16"/>
          <w:szCs w:val="16"/>
          <w:lang w:val="es-MX"/>
        </w:rPr>
      </w:pPr>
      <w:r>
        <w:rPr>
          <w:rFonts w:ascii="Cambria" w:hAnsi="Cambria"/>
          <w:sz w:val="16"/>
          <w:szCs w:val="16"/>
          <w:lang w:val="es-MX"/>
        </w:rPr>
        <w:tab/>
      </w:r>
      <w:r w:rsidR="00AC52CD" w:rsidRPr="00A022F8">
        <w:rPr>
          <w:rStyle w:val="FootnoteReference"/>
          <w:rFonts w:ascii="Cambria" w:hAnsi="Cambria"/>
          <w:sz w:val="16"/>
          <w:szCs w:val="16"/>
        </w:rPr>
        <w:footnoteRef/>
      </w:r>
      <w:r w:rsidR="00AC52CD"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AC52CD" w:rsidRPr="00AC52CD">
        <w:rPr>
          <w:rFonts w:ascii="Cambria" w:hAnsi="Cambria"/>
          <w:sz w:val="16"/>
          <w:szCs w:val="16"/>
          <w:lang w:val="es-MX"/>
        </w:rPr>
        <w:t>89.</w:t>
      </w:r>
    </w:p>
  </w:footnote>
  <w:footnote w:id="9">
    <w:p w14:paraId="76683713" w14:textId="72098D95" w:rsidR="00AC52CD" w:rsidRPr="00AD2A66" w:rsidRDefault="00BC085A" w:rsidP="00AC52CD">
      <w:pPr>
        <w:pStyle w:val="FootnoteText"/>
        <w:jc w:val="both"/>
        <w:rPr>
          <w:rFonts w:ascii="Cambria" w:hAnsi="Cambria"/>
          <w:sz w:val="16"/>
          <w:szCs w:val="16"/>
          <w:lang w:val="es-MX"/>
        </w:rPr>
      </w:pPr>
      <w:r>
        <w:rPr>
          <w:rFonts w:ascii="Cambria" w:hAnsi="Cambria"/>
          <w:sz w:val="16"/>
          <w:szCs w:val="16"/>
          <w:lang w:val="es-MX"/>
        </w:rPr>
        <w:tab/>
      </w:r>
      <w:r w:rsidR="00AC52CD" w:rsidRPr="00A022F8">
        <w:rPr>
          <w:rStyle w:val="FootnoteReference"/>
          <w:rFonts w:ascii="Cambria" w:hAnsi="Cambria"/>
          <w:sz w:val="16"/>
          <w:szCs w:val="16"/>
        </w:rPr>
        <w:footnoteRef/>
      </w:r>
      <w:r w:rsidR="00AC52CD"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AC52CD" w:rsidRPr="00AD2A66">
        <w:rPr>
          <w:rFonts w:ascii="Cambria" w:hAnsi="Cambria"/>
          <w:sz w:val="16"/>
          <w:szCs w:val="16"/>
          <w:lang w:val="es-MX"/>
        </w:rPr>
        <w:t>Juan Paredes Barrientos y 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C195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2985" w14:textId="77777777" w:rsidR="001613A3" w:rsidRDefault="00161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4522"/>
    <w:rsid w:val="000A575F"/>
    <w:rsid w:val="000B0579"/>
    <w:rsid w:val="000B4E5A"/>
    <w:rsid w:val="000C1933"/>
    <w:rsid w:val="000C1953"/>
    <w:rsid w:val="000C1C69"/>
    <w:rsid w:val="000D10DB"/>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13A3"/>
    <w:rsid w:val="00167A34"/>
    <w:rsid w:val="001761CF"/>
    <w:rsid w:val="00177EEF"/>
    <w:rsid w:val="001811F7"/>
    <w:rsid w:val="00187408"/>
    <w:rsid w:val="0019517D"/>
    <w:rsid w:val="001A7870"/>
    <w:rsid w:val="001B36D5"/>
    <w:rsid w:val="001B3A00"/>
    <w:rsid w:val="001B3EFA"/>
    <w:rsid w:val="001B5141"/>
    <w:rsid w:val="001C1B41"/>
    <w:rsid w:val="001C22CD"/>
    <w:rsid w:val="001C6E86"/>
    <w:rsid w:val="001C77FC"/>
    <w:rsid w:val="001D65EF"/>
    <w:rsid w:val="001E0500"/>
    <w:rsid w:val="001E1068"/>
    <w:rsid w:val="001E49E7"/>
    <w:rsid w:val="001F271B"/>
    <w:rsid w:val="001F7201"/>
    <w:rsid w:val="00201E85"/>
    <w:rsid w:val="00202B0A"/>
    <w:rsid w:val="00202C77"/>
    <w:rsid w:val="00203BD4"/>
    <w:rsid w:val="00204400"/>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37BF6"/>
    <w:rsid w:val="0034171D"/>
    <w:rsid w:val="0034224A"/>
    <w:rsid w:val="00343438"/>
    <w:rsid w:val="003437D7"/>
    <w:rsid w:val="00344977"/>
    <w:rsid w:val="00346C95"/>
    <w:rsid w:val="00351155"/>
    <w:rsid w:val="00355316"/>
    <w:rsid w:val="003558D2"/>
    <w:rsid w:val="00356185"/>
    <w:rsid w:val="00360380"/>
    <w:rsid w:val="00361EFF"/>
    <w:rsid w:val="00362393"/>
    <w:rsid w:val="00373916"/>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24F0"/>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526F5"/>
    <w:rsid w:val="00560CE3"/>
    <w:rsid w:val="00562FAB"/>
    <w:rsid w:val="00563557"/>
    <w:rsid w:val="00567A1A"/>
    <w:rsid w:val="0057402A"/>
    <w:rsid w:val="00574881"/>
    <w:rsid w:val="00574CB7"/>
    <w:rsid w:val="005753FB"/>
    <w:rsid w:val="005771D0"/>
    <w:rsid w:val="005833ED"/>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5F4F63"/>
    <w:rsid w:val="005F56CA"/>
    <w:rsid w:val="00600DEB"/>
    <w:rsid w:val="00601DD9"/>
    <w:rsid w:val="0060313F"/>
    <w:rsid w:val="0060753C"/>
    <w:rsid w:val="00623420"/>
    <w:rsid w:val="006277DE"/>
    <w:rsid w:val="00627C9F"/>
    <w:rsid w:val="006311E9"/>
    <w:rsid w:val="00632354"/>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8699D"/>
    <w:rsid w:val="00790387"/>
    <w:rsid w:val="007941B3"/>
    <w:rsid w:val="007A1427"/>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1C17"/>
    <w:rsid w:val="00943C8E"/>
    <w:rsid w:val="00945CE3"/>
    <w:rsid w:val="00954B82"/>
    <w:rsid w:val="00962436"/>
    <w:rsid w:val="0096706E"/>
    <w:rsid w:val="00967678"/>
    <w:rsid w:val="00974491"/>
    <w:rsid w:val="00975C4E"/>
    <w:rsid w:val="00981FBA"/>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FCF"/>
    <w:rsid w:val="00A528D1"/>
    <w:rsid w:val="00A57549"/>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52CD"/>
    <w:rsid w:val="00AC6154"/>
    <w:rsid w:val="00AD1886"/>
    <w:rsid w:val="00AE5488"/>
    <w:rsid w:val="00AE6F91"/>
    <w:rsid w:val="00AE7F18"/>
    <w:rsid w:val="00AF05D4"/>
    <w:rsid w:val="00AF0ECD"/>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ED8"/>
    <w:rsid w:val="00B42859"/>
    <w:rsid w:val="00B4632A"/>
    <w:rsid w:val="00B5067D"/>
    <w:rsid w:val="00B530F1"/>
    <w:rsid w:val="00B56DA5"/>
    <w:rsid w:val="00B736AF"/>
    <w:rsid w:val="00B82FC6"/>
    <w:rsid w:val="00B97946"/>
    <w:rsid w:val="00BA276C"/>
    <w:rsid w:val="00BA5544"/>
    <w:rsid w:val="00BB1B05"/>
    <w:rsid w:val="00BB2DF9"/>
    <w:rsid w:val="00BB306F"/>
    <w:rsid w:val="00BB3FBD"/>
    <w:rsid w:val="00BB709A"/>
    <w:rsid w:val="00BC085A"/>
    <w:rsid w:val="00BC6CD0"/>
    <w:rsid w:val="00BD2D61"/>
    <w:rsid w:val="00BD4B89"/>
    <w:rsid w:val="00BD5922"/>
    <w:rsid w:val="00BD76D9"/>
    <w:rsid w:val="00BF02CB"/>
    <w:rsid w:val="00BF514A"/>
    <w:rsid w:val="00BF6FD8"/>
    <w:rsid w:val="00BF775D"/>
    <w:rsid w:val="00C01ACC"/>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7AC4"/>
    <w:rsid w:val="00C938F8"/>
    <w:rsid w:val="00C943F6"/>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15D8D"/>
    <w:rsid w:val="00D278A4"/>
    <w:rsid w:val="00D306D1"/>
    <w:rsid w:val="00D30800"/>
    <w:rsid w:val="00D32260"/>
    <w:rsid w:val="00D34786"/>
    <w:rsid w:val="00D34B76"/>
    <w:rsid w:val="00D37BFC"/>
    <w:rsid w:val="00D42822"/>
    <w:rsid w:val="00D44E2A"/>
    <w:rsid w:val="00D460F3"/>
    <w:rsid w:val="00D461AB"/>
    <w:rsid w:val="00D47A8E"/>
    <w:rsid w:val="00D52D14"/>
    <w:rsid w:val="00D55256"/>
    <w:rsid w:val="00D5551D"/>
    <w:rsid w:val="00D62438"/>
    <w:rsid w:val="00D63926"/>
    <w:rsid w:val="00D64647"/>
    <w:rsid w:val="00D712D3"/>
    <w:rsid w:val="00D71422"/>
    <w:rsid w:val="00D71BA2"/>
    <w:rsid w:val="00D72DC6"/>
    <w:rsid w:val="00D73A49"/>
    <w:rsid w:val="00D73F5E"/>
    <w:rsid w:val="00D7558D"/>
    <w:rsid w:val="00D77503"/>
    <w:rsid w:val="00D81D92"/>
    <w:rsid w:val="00D876F9"/>
    <w:rsid w:val="00D877B6"/>
    <w:rsid w:val="00D940ED"/>
    <w:rsid w:val="00DA009E"/>
    <w:rsid w:val="00DA37E1"/>
    <w:rsid w:val="00DA7B5F"/>
    <w:rsid w:val="00DB20DA"/>
    <w:rsid w:val="00DB3D5F"/>
    <w:rsid w:val="00DB6A28"/>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1F2A"/>
    <w:rsid w:val="00E43157"/>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2845"/>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75A87"/>
    <w:rsid w:val="000825FF"/>
    <w:rsid w:val="00083D45"/>
    <w:rsid w:val="00183B6F"/>
    <w:rsid w:val="001C40BF"/>
    <w:rsid w:val="00200821"/>
    <w:rsid w:val="002468A0"/>
    <w:rsid w:val="00286414"/>
    <w:rsid w:val="002C698B"/>
    <w:rsid w:val="002E6F38"/>
    <w:rsid w:val="00301742"/>
    <w:rsid w:val="003174BE"/>
    <w:rsid w:val="00372C86"/>
    <w:rsid w:val="00394049"/>
    <w:rsid w:val="004F2DF8"/>
    <w:rsid w:val="005117E0"/>
    <w:rsid w:val="005B6D86"/>
    <w:rsid w:val="005D3162"/>
    <w:rsid w:val="005E4B4D"/>
    <w:rsid w:val="005F168B"/>
    <w:rsid w:val="005F72A0"/>
    <w:rsid w:val="006E2B51"/>
    <w:rsid w:val="008E3184"/>
    <w:rsid w:val="00942213"/>
    <w:rsid w:val="0097453C"/>
    <w:rsid w:val="009A1B5A"/>
    <w:rsid w:val="009A261B"/>
    <w:rsid w:val="00A311DF"/>
    <w:rsid w:val="00AA67AB"/>
    <w:rsid w:val="00AC15A4"/>
    <w:rsid w:val="00B0336C"/>
    <w:rsid w:val="00BD5B4D"/>
    <w:rsid w:val="00C11833"/>
    <w:rsid w:val="00C35D17"/>
    <w:rsid w:val="00C56634"/>
    <w:rsid w:val="00CC1166"/>
    <w:rsid w:val="00D04DE8"/>
    <w:rsid w:val="00D1626E"/>
    <w:rsid w:val="00D46351"/>
    <w:rsid w:val="00D55AA6"/>
    <w:rsid w:val="00D73C04"/>
    <w:rsid w:val="00D84C02"/>
    <w:rsid w:val="00DD65ED"/>
    <w:rsid w:val="00E02BDB"/>
    <w:rsid w:val="00E77140"/>
    <w:rsid w:val="00E907ED"/>
    <w:rsid w:val="00EA0719"/>
    <w:rsid w:val="00EC5C15"/>
    <w:rsid w:val="00EC5ECB"/>
    <w:rsid w:val="00EC7B7B"/>
    <w:rsid w:val="00EE5A1E"/>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20AA-6435-427F-834F-E6EAAD0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8436</Characters>
  <Application>Microsoft Office Word</Application>
  <DocSecurity>0</DocSecurity>
  <Lines>165</Lines>
  <Paragraphs>45</Paragraphs>
  <ScaleCrop>false</ScaleCrop>
  <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287/20</dc:title>
  <dc:creator/>
  <cp:lastModifiedBy/>
  <cp:revision>1</cp:revision>
  <dcterms:created xsi:type="dcterms:W3CDTF">2021-01-06T13:13:00Z</dcterms:created>
  <dcterms:modified xsi:type="dcterms:W3CDTF">2021-01-06T13:13:00Z</dcterms:modified>
</cp:coreProperties>
</file>