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675820" w:rsidRDefault="00D306D1" w:rsidP="00627C9F">
      <w:pPr>
        <w:jc w:val="both"/>
        <w:rPr>
          <w:rFonts w:asciiTheme="majorHAnsi" w:hAnsiTheme="majorHAnsi" w:cs="Univers"/>
          <w:b/>
          <w:bCs/>
          <w:sz w:val="22"/>
          <w:szCs w:val="22"/>
          <w:lang w:val="es-ES_tradnl"/>
        </w:rPr>
      </w:pPr>
      <w:r w:rsidRPr="0067582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2E6A49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7582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675820"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675820"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675820"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675820"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675820"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675820"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675820"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675820"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675820"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675820"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675820" w:rsidRDefault="003D3BC2" w:rsidP="00040C3A">
      <w:pPr>
        <w:tabs>
          <w:tab w:val="center" w:pos="5400"/>
        </w:tabs>
        <w:suppressAutoHyphens/>
        <w:jc w:val="center"/>
        <w:rPr>
          <w:rFonts w:asciiTheme="majorHAnsi" w:hAnsiTheme="majorHAnsi"/>
          <w:sz w:val="22"/>
          <w:szCs w:val="22"/>
          <w:lang w:val="es-ES_tradnl"/>
        </w:rPr>
      </w:pPr>
      <w:r w:rsidRPr="0067582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7A73AE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57BB5">
                              <w:rPr>
                                <w:rFonts w:asciiTheme="majorHAnsi" w:hAnsiTheme="majorHAnsi" w:cs="Arial"/>
                                <w:b/>
                                <w:bCs/>
                                <w:color w:val="0D0D0D" w:themeColor="text1" w:themeTint="F2"/>
                                <w:sz w:val="36"/>
                                <w:szCs w:val="22"/>
                                <w:lang w:val="es-ES_tradnl"/>
                              </w:rPr>
                              <w:t xml:space="preserve"> 404</w:t>
                            </w:r>
                            <w:r w:rsidR="00E43159">
                              <w:rPr>
                                <w:rFonts w:asciiTheme="majorHAnsi" w:hAnsiTheme="majorHAnsi" w:cs="Arial"/>
                                <w:b/>
                                <w:bCs/>
                                <w:color w:val="0D0D0D" w:themeColor="text1" w:themeTint="F2"/>
                                <w:sz w:val="36"/>
                                <w:szCs w:val="22"/>
                                <w:lang w:val="es-ES_tradnl"/>
                              </w:rPr>
                              <w:t>/20</w:t>
                            </w:r>
                          </w:p>
                          <w:p w14:paraId="09C54AB3" w14:textId="429803B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5381E">
                              <w:rPr>
                                <w:rFonts w:asciiTheme="majorHAnsi" w:hAnsiTheme="majorHAnsi" w:cs="Arial"/>
                                <w:b/>
                                <w:color w:val="0D0D0D" w:themeColor="text1" w:themeTint="F2"/>
                                <w:sz w:val="36"/>
                                <w:szCs w:val="22"/>
                                <w:lang w:val="es-ES_tradnl"/>
                              </w:rPr>
                              <w:t>2295-12</w:t>
                            </w:r>
                            <w:r w:rsidR="00246D1F" w:rsidRPr="004E2649">
                              <w:rPr>
                                <w:rFonts w:asciiTheme="majorHAnsi" w:hAnsiTheme="majorHAnsi" w:cs="Arial"/>
                                <w:b/>
                                <w:color w:val="0D0D0D" w:themeColor="text1" w:themeTint="F2"/>
                                <w:sz w:val="36"/>
                                <w:szCs w:val="22"/>
                                <w:lang w:val="es-ES_tradnl"/>
                              </w:rPr>
                              <w:t xml:space="preserve"> </w:t>
                            </w:r>
                          </w:p>
                          <w:p w14:paraId="70CF6833" w14:textId="5154A223" w:rsidR="00CD046C" w:rsidRPr="0010736F" w:rsidRDefault="00D211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w:t>
                            </w:r>
                            <w:r w:rsidR="005B52B0" w:rsidRPr="00FC5BC1">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935B954" w:rsidR="005B52B0" w:rsidRPr="00714F46" w:rsidRDefault="001F1672"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21.</w:t>
                            </w:r>
                            <w:r w:rsidR="00714F46">
                              <w:rPr>
                                <w:rFonts w:asciiTheme="majorHAnsi" w:hAnsiTheme="majorHAnsi" w:cs="Arial"/>
                                <w:color w:val="0D0D0D" w:themeColor="text1" w:themeTint="F2"/>
                                <w:szCs w:val="22"/>
                                <w:lang w:val="es-ES_tradnl"/>
                              </w:rPr>
                              <w:t>309 PROFESORES DE LA EDUCACI</w:t>
                            </w:r>
                            <w:r w:rsidR="00714F46">
                              <w:rPr>
                                <w:rFonts w:asciiTheme="majorHAnsi" w:hAnsiTheme="majorHAnsi" w:cs="Arial"/>
                                <w:color w:val="0D0D0D" w:themeColor="text1" w:themeTint="F2"/>
                                <w:szCs w:val="22"/>
                                <w:lang w:val="es-PA"/>
                              </w:rPr>
                              <w:t>ÓN PÚBLICA</w:t>
                            </w:r>
                          </w:p>
                          <w:bookmarkEnd w:id="1"/>
                          <w:p w14:paraId="35068D0D" w14:textId="682799F2" w:rsidR="005B52B0" w:rsidRPr="0010736F" w:rsidRDefault="0005381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7A73AE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57BB5">
                        <w:rPr>
                          <w:rFonts w:asciiTheme="majorHAnsi" w:hAnsiTheme="majorHAnsi" w:cs="Arial"/>
                          <w:b/>
                          <w:bCs/>
                          <w:color w:val="0D0D0D" w:themeColor="text1" w:themeTint="F2"/>
                          <w:sz w:val="36"/>
                          <w:szCs w:val="22"/>
                          <w:lang w:val="es-ES_tradnl"/>
                        </w:rPr>
                        <w:t xml:space="preserve"> 404</w:t>
                      </w:r>
                      <w:r w:rsidR="00E43159">
                        <w:rPr>
                          <w:rFonts w:asciiTheme="majorHAnsi" w:hAnsiTheme="majorHAnsi" w:cs="Arial"/>
                          <w:b/>
                          <w:bCs/>
                          <w:color w:val="0D0D0D" w:themeColor="text1" w:themeTint="F2"/>
                          <w:sz w:val="36"/>
                          <w:szCs w:val="22"/>
                          <w:lang w:val="es-ES_tradnl"/>
                        </w:rPr>
                        <w:t>/20</w:t>
                      </w:r>
                    </w:p>
                    <w:p w14:paraId="09C54AB3" w14:textId="429803B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5381E">
                        <w:rPr>
                          <w:rFonts w:asciiTheme="majorHAnsi" w:hAnsiTheme="majorHAnsi" w:cs="Arial"/>
                          <w:b/>
                          <w:color w:val="0D0D0D" w:themeColor="text1" w:themeTint="F2"/>
                          <w:sz w:val="36"/>
                          <w:szCs w:val="22"/>
                          <w:lang w:val="es-ES_tradnl"/>
                        </w:rPr>
                        <w:t>2295-12</w:t>
                      </w:r>
                      <w:r w:rsidR="00246D1F" w:rsidRPr="004E2649">
                        <w:rPr>
                          <w:rFonts w:asciiTheme="majorHAnsi" w:hAnsiTheme="majorHAnsi" w:cs="Arial"/>
                          <w:b/>
                          <w:color w:val="0D0D0D" w:themeColor="text1" w:themeTint="F2"/>
                          <w:sz w:val="36"/>
                          <w:szCs w:val="22"/>
                          <w:lang w:val="es-ES_tradnl"/>
                        </w:rPr>
                        <w:t xml:space="preserve"> </w:t>
                      </w:r>
                    </w:p>
                    <w:p w14:paraId="70CF6833" w14:textId="5154A223" w:rsidR="00CD046C" w:rsidRPr="0010736F" w:rsidRDefault="00D211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w:t>
                      </w:r>
                      <w:r w:rsidR="005B52B0" w:rsidRPr="00FC5BC1">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935B954" w:rsidR="005B52B0" w:rsidRPr="00714F46" w:rsidRDefault="001F1672"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21.</w:t>
                      </w:r>
                      <w:r w:rsidR="00714F46">
                        <w:rPr>
                          <w:rFonts w:asciiTheme="majorHAnsi" w:hAnsiTheme="majorHAnsi" w:cs="Arial"/>
                          <w:color w:val="0D0D0D" w:themeColor="text1" w:themeTint="F2"/>
                          <w:szCs w:val="22"/>
                          <w:lang w:val="es-ES_tradnl"/>
                        </w:rPr>
                        <w:t>309 PROFESORES DE LA EDUCACI</w:t>
                      </w:r>
                      <w:r w:rsidR="00714F46">
                        <w:rPr>
                          <w:rFonts w:asciiTheme="majorHAnsi" w:hAnsiTheme="majorHAnsi" w:cs="Arial"/>
                          <w:color w:val="0D0D0D" w:themeColor="text1" w:themeTint="F2"/>
                          <w:szCs w:val="22"/>
                          <w:lang w:val="es-PA"/>
                        </w:rPr>
                        <w:t>ÓN PÚBLICA</w:t>
                      </w:r>
                    </w:p>
                    <w:bookmarkEnd w:id="1"/>
                    <w:p w14:paraId="35068D0D" w14:textId="682799F2" w:rsidR="005B52B0" w:rsidRPr="0010736F" w:rsidRDefault="0005381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67582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8426283" w:rsidR="00627C9F" w:rsidRPr="00357BB5" w:rsidRDefault="00357BB5" w:rsidP="007A5817">
                            <w:pPr>
                              <w:spacing w:line="276" w:lineRule="auto"/>
                              <w:jc w:val="right"/>
                              <w:rPr>
                                <w:rFonts w:asciiTheme="minorHAnsi" w:hAnsiTheme="minorHAnsi"/>
                                <w:color w:val="FFFFFF" w:themeColor="background1"/>
                                <w:sz w:val="22"/>
                                <w:lang w:val="es-419"/>
                              </w:rPr>
                            </w:pPr>
                            <w:r w:rsidRPr="00357BB5">
                              <w:rPr>
                                <w:rFonts w:asciiTheme="minorHAnsi" w:hAnsiTheme="minorHAnsi"/>
                                <w:color w:val="FFFFFF" w:themeColor="background1"/>
                                <w:sz w:val="22"/>
                                <w:lang w:val="es-419"/>
                              </w:rPr>
                              <w:t>OEA/</w:t>
                            </w:r>
                            <w:proofErr w:type="spellStart"/>
                            <w:r w:rsidRPr="00357BB5">
                              <w:rPr>
                                <w:rFonts w:asciiTheme="minorHAnsi" w:hAnsiTheme="minorHAnsi"/>
                                <w:color w:val="FFFFFF" w:themeColor="background1"/>
                                <w:sz w:val="22"/>
                                <w:lang w:val="es-419"/>
                              </w:rPr>
                              <w:t>Ser.L</w:t>
                            </w:r>
                            <w:proofErr w:type="spellEnd"/>
                            <w:r w:rsidRPr="00357BB5">
                              <w:rPr>
                                <w:rFonts w:asciiTheme="minorHAnsi" w:hAnsiTheme="minorHAnsi"/>
                                <w:color w:val="FFFFFF" w:themeColor="background1"/>
                                <w:sz w:val="22"/>
                                <w:lang w:val="es-419"/>
                              </w:rPr>
                              <w:t>/V/II</w:t>
                            </w:r>
                          </w:p>
                          <w:p w14:paraId="6A41611B" w14:textId="125CD300" w:rsidR="00627C9F" w:rsidRPr="00357BB5" w:rsidRDefault="00357BB5" w:rsidP="007A5817">
                            <w:pPr>
                              <w:spacing w:line="276" w:lineRule="auto"/>
                              <w:jc w:val="right"/>
                              <w:rPr>
                                <w:rFonts w:asciiTheme="minorHAnsi" w:hAnsiTheme="minorHAnsi"/>
                                <w:color w:val="FFFFFF" w:themeColor="background1"/>
                                <w:sz w:val="22"/>
                                <w:lang w:val="es-419"/>
                              </w:rPr>
                            </w:pPr>
                            <w:r w:rsidRPr="00357BB5">
                              <w:rPr>
                                <w:rFonts w:asciiTheme="minorHAnsi" w:hAnsiTheme="minorHAnsi"/>
                                <w:color w:val="FFFFFF" w:themeColor="background1"/>
                                <w:sz w:val="22"/>
                                <w:lang w:val="es-419"/>
                              </w:rPr>
                              <w:t>Doc. 422</w:t>
                            </w:r>
                          </w:p>
                          <w:p w14:paraId="69373ED2" w14:textId="195ED8CA" w:rsidR="00627C9F" w:rsidRPr="00E43159" w:rsidRDefault="00357B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 2020</w:t>
                            </w:r>
                          </w:p>
                          <w:p w14:paraId="0771DB5B" w14:textId="77777777" w:rsidR="00627C9F" w:rsidRPr="00E43159" w:rsidRDefault="00E0340B" w:rsidP="007A5817">
                            <w:pPr>
                              <w:spacing w:line="276" w:lineRule="auto"/>
                              <w:jc w:val="right"/>
                              <w:rPr>
                                <w:rFonts w:asciiTheme="minorHAnsi" w:hAnsiTheme="minorHAnsi"/>
                                <w:color w:val="FFFFFF" w:themeColor="background1"/>
                                <w:sz w:val="22"/>
                                <w:lang w:val="es-PA"/>
                              </w:rPr>
                            </w:pPr>
                            <w:r w:rsidRPr="00E43159">
                              <w:rPr>
                                <w:rFonts w:asciiTheme="minorHAnsi" w:hAnsiTheme="minorHAnsi"/>
                                <w:color w:val="FFFFFF" w:themeColor="background1"/>
                                <w:sz w:val="22"/>
                                <w:lang w:val="es-PA"/>
                              </w:rPr>
                              <w:t xml:space="preserve">Original: </w:t>
                            </w:r>
                            <w:r w:rsidR="008B12F5" w:rsidRPr="00E43159">
                              <w:rPr>
                                <w:rFonts w:asciiTheme="minorHAnsi" w:hAnsiTheme="minorHAnsi"/>
                                <w:color w:val="FFFFFF" w:themeColor="background1"/>
                                <w:sz w:val="22"/>
                                <w:lang w:val="es-PA"/>
                              </w:rPr>
                              <w:t>e</w:t>
                            </w:r>
                            <w:r w:rsidR="00627C9F" w:rsidRPr="00E43159">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8426283" w:rsidR="00627C9F" w:rsidRPr="00357BB5" w:rsidRDefault="00357BB5" w:rsidP="007A5817">
                      <w:pPr>
                        <w:spacing w:line="276" w:lineRule="auto"/>
                        <w:jc w:val="right"/>
                        <w:rPr>
                          <w:rFonts w:asciiTheme="minorHAnsi" w:hAnsiTheme="minorHAnsi"/>
                          <w:color w:val="FFFFFF" w:themeColor="background1"/>
                          <w:sz w:val="22"/>
                          <w:lang w:val="es-419"/>
                        </w:rPr>
                      </w:pPr>
                      <w:r w:rsidRPr="00357BB5">
                        <w:rPr>
                          <w:rFonts w:asciiTheme="minorHAnsi" w:hAnsiTheme="minorHAnsi"/>
                          <w:color w:val="FFFFFF" w:themeColor="background1"/>
                          <w:sz w:val="22"/>
                          <w:lang w:val="es-419"/>
                        </w:rPr>
                        <w:t>OEA/</w:t>
                      </w:r>
                      <w:proofErr w:type="spellStart"/>
                      <w:r w:rsidRPr="00357BB5">
                        <w:rPr>
                          <w:rFonts w:asciiTheme="minorHAnsi" w:hAnsiTheme="minorHAnsi"/>
                          <w:color w:val="FFFFFF" w:themeColor="background1"/>
                          <w:sz w:val="22"/>
                          <w:lang w:val="es-419"/>
                        </w:rPr>
                        <w:t>Ser.L</w:t>
                      </w:r>
                      <w:proofErr w:type="spellEnd"/>
                      <w:r w:rsidRPr="00357BB5">
                        <w:rPr>
                          <w:rFonts w:asciiTheme="minorHAnsi" w:hAnsiTheme="minorHAnsi"/>
                          <w:color w:val="FFFFFF" w:themeColor="background1"/>
                          <w:sz w:val="22"/>
                          <w:lang w:val="es-419"/>
                        </w:rPr>
                        <w:t>/V/II</w:t>
                      </w:r>
                    </w:p>
                    <w:p w14:paraId="6A41611B" w14:textId="125CD300" w:rsidR="00627C9F" w:rsidRPr="00357BB5" w:rsidRDefault="00357BB5" w:rsidP="007A5817">
                      <w:pPr>
                        <w:spacing w:line="276" w:lineRule="auto"/>
                        <w:jc w:val="right"/>
                        <w:rPr>
                          <w:rFonts w:asciiTheme="minorHAnsi" w:hAnsiTheme="minorHAnsi"/>
                          <w:color w:val="FFFFFF" w:themeColor="background1"/>
                          <w:sz w:val="22"/>
                          <w:lang w:val="es-419"/>
                        </w:rPr>
                      </w:pPr>
                      <w:r w:rsidRPr="00357BB5">
                        <w:rPr>
                          <w:rFonts w:asciiTheme="minorHAnsi" w:hAnsiTheme="minorHAnsi"/>
                          <w:color w:val="FFFFFF" w:themeColor="background1"/>
                          <w:sz w:val="22"/>
                          <w:lang w:val="es-419"/>
                        </w:rPr>
                        <w:t>Doc. 422</w:t>
                      </w:r>
                    </w:p>
                    <w:p w14:paraId="69373ED2" w14:textId="195ED8CA" w:rsidR="00627C9F" w:rsidRPr="00E43159" w:rsidRDefault="00357B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 2020</w:t>
                      </w:r>
                    </w:p>
                    <w:p w14:paraId="0771DB5B" w14:textId="77777777" w:rsidR="00627C9F" w:rsidRPr="00E43159" w:rsidRDefault="00E0340B" w:rsidP="007A5817">
                      <w:pPr>
                        <w:spacing w:line="276" w:lineRule="auto"/>
                        <w:jc w:val="right"/>
                        <w:rPr>
                          <w:rFonts w:asciiTheme="minorHAnsi" w:hAnsiTheme="minorHAnsi"/>
                          <w:color w:val="FFFFFF" w:themeColor="background1"/>
                          <w:sz w:val="22"/>
                          <w:lang w:val="es-PA"/>
                        </w:rPr>
                      </w:pPr>
                      <w:r w:rsidRPr="00E43159">
                        <w:rPr>
                          <w:rFonts w:asciiTheme="minorHAnsi" w:hAnsiTheme="minorHAnsi"/>
                          <w:color w:val="FFFFFF" w:themeColor="background1"/>
                          <w:sz w:val="22"/>
                          <w:lang w:val="es-PA"/>
                        </w:rPr>
                        <w:t xml:space="preserve">Original: </w:t>
                      </w:r>
                      <w:r w:rsidR="008B12F5" w:rsidRPr="00E43159">
                        <w:rPr>
                          <w:rFonts w:asciiTheme="minorHAnsi" w:hAnsiTheme="minorHAnsi"/>
                          <w:color w:val="FFFFFF" w:themeColor="background1"/>
                          <w:sz w:val="22"/>
                          <w:lang w:val="es-PA"/>
                        </w:rPr>
                        <w:t>e</w:t>
                      </w:r>
                      <w:r w:rsidR="00627C9F" w:rsidRPr="00E43159">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675820"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675820"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675820"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675820"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675820"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675820"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675820" w:rsidRDefault="0090270B" w:rsidP="00040C3A">
      <w:pPr>
        <w:tabs>
          <w:tab w:val="center" w:pos="5400"/>
        </w:tabs>
        <w:suppressAutoHyphens/>
        <w:jc w:val="center"/>
        <w:rPr>
          <w:rFonts w:asciiTheme="majorHAnsi" w:hAnsiTheme="majorHAnsi"/>
          <w:sz w:val="18"/>
          <w:szCs w:val="22"/>
          <w:lang w:val="es-ES_tradnl"/>
        </w:rPr>
      </w:pPr>
      <w:r w:rsidRPr="0067582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340B24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7BB5">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357BB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00E43159">
                              <w:rPr>
                                <w:rFonts w:asciiTheme="majorHAnsi" w:hAnsiTheme="majorHAnsi"/>
                                <w:color w:val="0D0D0D" w:themeColor="text1" w:themeTint="F2"/>
                                <w:sz w:val="18"/>
                                <w:szCs w:val="22"/>
                                <w:lang w:val="es-ES"/>
                              </w:rPr>
                              <w:t>de 2020</w:t>
                            </w:r>
                            <w:r w:rsidR="002D0ED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340B24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7BB5">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357BB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00E43159">
                        <w:rPr>
                          <w:rFonts w:asciiTheme="majorHAnsi" w:hAnsiTheme="majorHAnsi"/>
                          <w:color w:val="0D0D0D" w:themeColor="text1" w:themeTint="F2"/>
                          <w:sz w:val="18"/>
                          <w:szCs w:val="22"/>
                          <w:lang w:val="es-ES"/>
                        </w:rPr>
                        <w:t>de 2020</w:t>
                      </w:r>
                      <w:r w:rsidR="002D0ED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675820" w:rsidRDefault="0090270B" w:rsidP="00040C3A">
      <w:pPr>
        <w:tabs>
          <w:tab w:val="center" w:pos="5400"/>
        </w:tabs>
        <w:suppressAutoHyphens/>
        <w:jc w:val="center"/>
        <w:rPr>
          <w:rFonts w:asciiTheme="majorHAnsi" w:hAnsiTheme="majorHAnsi"/>
          <w:sz w:val="18"/>
          <w:szCs w:val="22"/>
          <w:lang w:val="es-ES_tradnl"/>
        </w:rPr>
      </w:pPr>
      <w:r w:rsidRPr="0067582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0D17812A">
                <wp:simplePos x="0" y="0"/>
                <wp:positionH relativeFrom="column">
                  <wp:posOffset>1333500</wp:posOffset>
                </wp:positionH>
                <wp:positionV relativeFrom="paragraph">
                  <wp:posOffset>18553</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3B9161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57BB5" w:rsidRPr="00357BB5">
                              <w:rPr>
                                <w:rFonts w:asciiTheme="majorHAnsi" w:hAnsiTheme="majorHAnsi"/>
                                <w:color w:val="595959" w:themeColor="text1" w:themeTint="A6"/>
                                <w:sz w:val="18"/>
                                <w:szCs w:val="18"/>
                                <w:lang w:val="pt-BR"/>
                              </w:rPr>
                              <w:t>4</w:t>
                            </w:r>
                            <w:r w:rsidR="00357BB5">
                              <w:rPr>
                                <w:rFonts w:asciiTheme="majorHAnsi" w:hAnsiTheme="majorHAnsi"/>
                                <w:color w:val="595959" w:themeColor="text1" w:themeTint="A6"/>
                                <w:sz w:val="18"/>
                                <w:szCs w:val="18"/>
                                <w:lang w:val="pt-BR"/>
                              </w:rPr>
                              <w:t>04</w:t>
                            </w:r>
                            <w:r w:rsidR="006117A7" w:rsidRPr="00357BB5">
                              <w:rPr>
                                <w:rFonts w:asciiTheme="majorHAnsi" w:hAnsiTheme="majorHAnsi"/>
                                <w:color w:val="595959" w:themeColor="text1" w:themeTint="A6"/>
                                <w:sz w:val="18"/>
                                <w:szCs w:val="18"/>
                                <w:lang w:val="pt-BR"/>
                              </w:rPr>
                              <w:t>/20</w:t>
                            </w:r>
                            <w:r w:rsidRPr="00357BB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2C6CA8">
                              <w:rPr>
                                <w:rFonts w:asciiTheme="majorHAnsi" w:hAnsiTheme="majorHAnsi"/>
                                <w:color w:val="595959" w:themeColor="text1" w:themeTint="A6"/>
                                <w:sz w:val="18"/>
                                <w:szCs w:val="18"/>
                                <w:lang w:val="es-ES"/>
                              </w:rPr>
                              <w:t>ón</w:t>
                            </w:r>
                            <w:proofErr w:type="spellEnd"/>
                            <w:r w:rsidR="002C6CA8">
                              <w:rPr>
                                <w:rFonts w:asciiTheme="majorHAnsi" w:hAnsiTheme="majorHAnsi"/>
                                <w:color w:val="595959" w:themeColor="text1" w:themeTint="A6"/>
                                <w:sz w:val="18"/>
                                <w:szCs w:val="18"/>
                                <w:lang w:val="es-ES"/>
                              </w:rPr>
                              <w:t xml:space="preserve"> 2295-12</w:t>
                            </w:r>
                            <w:r w:rsidR="000433C9">
                              <w:rPr>
                                <w:rFonts w:asciiTheme="majorHAnsi" w:hAnsiTheme="majorHAnsi"/>
                                <w:color w:val="595959" w:themeColor="text1" w:themeTint="A6"/>
                                <w:sz w:val="18"/>
                                <w:szCs w:val="18"/>
                                <w:lang w:val="es-ES"/>
                              </w:rPr>
                              <w:t xml:space="preserve">. </w:t>
                            </w:r>
                            <w:r w:rsidR="00357BB5">
                              <w:rPr>
                                <w:rFonts w:asciiTheme="majorHAnsi" w:hAnsiTheme="majorHAnsi"/>
                                <w:color w:val="595959" w:themeColor="text1" w:themeTint="A6"/>
                                <w:sz w:val="18"/>
                                <w:szCs w:val="18"/>
                                <w:lang w:val="es-ES_tradnl"/>
                              </w:rPr>
                              <w:t>A</w:t>
                            </w:r>
                            <w:r w:rsidR="002C6CA8" w:rsidRPr="00FC5BC1">
                              <w:rPr>
                                <w:rFonts w:asciiTheme="majorHAnsi" w:hAnsiTheme="majorHAnsi"/>
                                <w:color w:val="595959" w:themeColor="text1" w:themeTint="A6"/>
                                <w:sz w:val="18"/>
                                <w:szCs w:val="18"/>
                                <w:lang w:val="es-ES_tradnl"/>
                              </w:rPr>
                              <w:t>dmisibilidad.</w:t>
                            </w:r>
                            <w:r w:rsidR="002C6CA8">
                              <w:rPr>
                                <w:rFonts w:asciiTheme="majorHAnsi" w:hAnsiTheme="majorHAnsi"/>
                                <w:color w:val="595959" w:themeColor="text1" w:themeTint="A6"/>
                                <w:sz w:val="18"/>
                                <w:szCs w:val="18"/>
                                <w:lang w:val="es-ES_tradnl"/>
                              </w:rPr>
                              <w:t xml:space="preserve"> </w:t>
                            </w:r>
                            <w:r w:rsidR="00363AAB">
                              <w:rPr>
                                <w:rFonts w:asciiTheme="majorHAnsi" w:hAnsiTheme="majorHAnsi"/>
                                <w:color w:val="595959" w:themeColor="text1" w:themeTint="A6"/>
                                <w:sz w:val="18"/>
                                <w:szCs w:val="18"/>
                                <w:lang w:val="es-ES_tradnl"/>
                              </w:rPr>
                              <w:t>21</w:t>
                            </w:r>
                            <w:proofErr w:type="gramStart"/>
                            <w:r w:rsidR="00363AAB">
                              <w:rPr>
                                <w:rFonts w:asciiTheme="majorHAnsi" w:hAnsiTheme="majorHAnsi"/>
                                <w:color w:val="595959" w:themeColor="text1" w:themeTint="A6"/>
                                <w:sz w:val="18"/>
                                <w:szCs w:val="18"/>
                                <w:lang w:val="es-ES_tradnl"/>
                              </w:rPr>
                              <w:t>,</w:t>
                            </w:r>
                            <w:r w:rsidR="00714F46">
                              <w:rPr>
                                <w:rFonts w:asciiTheme="majorHAnsi" w:hAnsiTheme="majorHAnsi"/>
                                <w:color w:val="595959" w:themeColor="text1" w:themeTint="A6"/>
                                <w:sz w:val="18"/>
                                <w:szCs w:val="18"/>
                                <w:lang w:val="es-ES_tradnl"/>
                              </w:rPr>
                              <w:t>.</w:t>
                            </w:r>
                            <w:proofErr w:type="gramEnd"/>
                            <w:r w:rsidR="00714F46">
                              <w:rPr>
                                <w:rFonts w:asciiTheme="majorHAnsi" w:hAnsiTheme="majorHAnsi"/>
                                <w:color w:val="595959" w:themeColor="text1" w:themeTint="A6"/>
                                <w:sz w:val="18"/>
                                <w:szCs w:val="18"/>
                                <w:lang w:val="es-ES_tradnl"/>
                              </w:rPr>
                              <w:t>309 Profesores de la E</w:t>
                            </w:r>
                            <w:r w:rsidR="002C6CA8">
                              <w:rPr>
                                <w:rFonts w:asciiTheme="majorHAnsi" w:hAnsiTheme="majorHAnsi"/>
                                <w:color w:val="595959" w:themeColor="text1" w:themeTint="A6"/>
                                <w:sz w:val="18"/>
                                <w:szCs w:val="18"/>
                                <w:lang w:val="es-ES_tradnl"/>
                              </w:rPr>
                              <w:t>ducación</w:t>
                            </w:r>
                            <w:r w:rsidR="00714F46">
                              <w:rPr>
                                <w:rFonts w:asciiTheme="majorHAnsi" w:hAnsiTheme="majorHAnsi"/>
                                <w:color w:val="595959" w:themeColor="text1" w:themeTint="A6"/>
                                <w:sz w:val="18"/>
                                <w:szCs w:val="18"/>
                                <w:lang w:val="es-ES_tradnl"/>
                              </w:rPr>
                              <w:t xml:space="preserve"> Pública</w:t>
                            </w:r>
                            <w:r w:rsidR="002C6CA8">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357BB5">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r w:rsidR="00357BB5">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1.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" filled="f" stroked="f" strokeweight=".5pt">
                <v:textbox>
                  <w:txbxContent>
                    <w:p w14:paraId="0D1B22CF" w14:textId="13B9161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57BB5" w:rsidRPr="00357BB5">
                        <w:rPr>
                          <w:rFonts w:asciiTheme="majorHAnsi" w:hAnsiTheme="majorHAnsi"/>
                          <w:color w:val="595959" w:themeColor="text1" w:themeTint="A6"/>
                          <w:sz w:val="18"/>
                          <w:szCs w:val="18"/>
                          <w:lang w:val="pt-BR"/>
                        </w:rPr>
                        <w:t>4</w:t>
                      </w:r>
                      <w:r w:rsidR="00357BB5">
                        <w:rPr>
                          <w:rFonts w:asciiTheme="majorHAnsi" w:hAnsiTheme="majorHAnsi"/>
                          <w:color w:val="595959" w:themeColor="text1" w:themeTint="A6"/>
                          <w:sz w:val="18"/>
                          <w:szCs w:val="18"/>
                          <w:lang w:val="pt-BR"/>
                        </w:rPr>
                        <w:t>04</w:t>
                      </w:r>
                      <w:r w:rsidR="006117A7" w:rsidRPr="00357BB5">
                        <w:rPr>
                          <w:rFonts w:asciiTheme="majorHAnsi" w:hAnsiTheme="majorHAnsi"/>
                          <w:color w:val="595959" w:themeColor="text1" w:themeTint="A6"/>
                          <w:sz w:val="18"/>
                          <w:szCs w:val="18"/>
                          <w:lang w:val="pt-BR"/>
                        </w:rPr>
                        <w:t>/20</w:t>
                      </w:r>
                      <w:r w:rsidRPr="00357BB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2C6CA8">
                        <w:rPr>
                          <w:rFonts w:asciiTheme="majorHAnsi" w:hAnsiTheme="majorHAnsi"/>
                          <w:color w:val="595959" w:themeColor="text1" w:themeTint="A6"/>
                          <w:sz w:val="18"/>
                          <w:szCs w:val="18"/>
                          <w:lang w:val="es-ES"/>
                        </w:rPr>
                        <w:t>ón</w:t>
                      </w:r>
                      <w:proofErr w:type="spellEnd"/>
                      <w:r w:rsidR="002C6CA8">
                        <w:rPr>
                          <w:rFonts w:asciiTheme="majorHAnsi" w:hAnsiTheme="majorHAnsi"/>
                          <w:color w:val="595959" w:themeColor="text1" w:themeTint="A6"/>
                          <w:sz w:val="18"/>
                          <w:szCs w:val="18"/>
                          <w:lang w:val="es-ES"/>
                        </w:rPr>
                        <w:t xml:space="preserve"> 2295-12</w:t>
                      </w:r>
                      <w:r w:rsidR="000433C9">
                        <w:rPr>
                          <w:rFonts w:asciiTheme="majorHAnsi" w:hAnsiTheme="majorHAnsi"/>
                          <w:color w:val="595959" w:themeColor="text1" w:themeTint="A6"/>
                          <w:sz w:val="18"/>
                          <w:szCs w:val="18"/>
                          <w:lang w:val="es-ES"/>
                        </w:rPr>
                        <w:t xml:space="preserve">. </w:t>
                      </w:r>
                      <w:r w:rsidR="00357BB5">
                        <w:rPr>
                          <w:rFonts w:asciiTheme="majorHAnsi" w:hAnsiTheme="majorHAnsi"/>
                          <w:color w:val="595959" w:themeColor="text1" w:themeTint="A6"/>
                          <w:sz w:val="18"/>
                          <w:szCs w:val="18"/>
                          <w:lang w:val="es-ES_tradnl"/>
                        </w:rPr>
                        <w:t>A</w:t>
                      </w:r>
                      <w:r w:rsidR="002C6CA8" w:rsidRPr="00FC5BC1">
                        <w:rPr>
                          <w:rFonts w:asciiTheme="majorHAnsi" w:hAnsiTheme="majorHAnsi"/>
                          <w:color w:val="595959" w:themeColor="text1" w:themeTint="A6"/>
                          <w:sz w:val="18"/>
                          <w:szCs w:val="18"/>
                          <w:lang w:val="es-ES_tradnl"/>
                        </w:rPr>
                        <w:t>dmisibilidad.</w:t>
                      </w:r>
                      <w:r w:rsidR="002C6CA8">
                        <w:rPr>
                          <w:rFonts w:asciiTheme="majorHAnsi" w:hAnsiTheme="majorHAnsi"/>
                          <w:color w:val="595959" w:themeColor="text1" w:themeTint="A6"/>
                          <w:sz w:val="18"/>
                          <w:szCs w:val="18"/>
                          <w:lang w:val="es-ES_tradnl"/>
                        </w:rPr>
                        <w:t xml:space="preserve"> </w:t>
                      </w:r>
                      <w:r w:rsidR="00363AAB">
                        <w:rPr>
                          <w:rFonts w:asciiTheme="majorHAnsi" w:hAnsiTheme="majorHAnsi"/>
                          <w:color w:val="595959" w:themeColor="text1" w:themeTint="A6"/>
                          <w:sz w:val="18"/>
                          <w:szCs w:val="18"/>
                          <w:lang w:val="es-ES_tradnl"/>
                        </w:rPr>
                        <w:t>21,</w:t>
                      </w:r>
                      <w:r w:rsidR="00714F46">
                        <w:rPr>
                          <w:rFonts w:asciiTheme="majorHAnsi" w:hAnsiTheme="majorHAnsi"/>
                          <w:color w:val="595959" w:themeColor="text1" w:themeTint="A6"/>
                          <w:sz w:val="18"/>
                          <w:szCs w:val="18"/>
                          <w:lang w:val="es-ES_tradnl"/>
                        </w:rPr>
                        <w:t>.309 Profesores de la E</w:t>
                      </w:r>
                      <w:r w:rsidR="002C6CA8">
                        <w:rPr>
                          <w:rFonts w:asciiTheme="majorHAnsi" w:hAnsiTheme="majorHAnsi"/>
                          <w:color w:val="595959" w:themeColor="text1" w:themeTint="A6"/>
                          <w:sz w:val="18"/>
                          <w:szCs w:val="18"/>
                          <w:lang w:val="es-ES_tradnl"/>
                        </w:rPr>
                        <w:t>ducación</w:t>
                      </w:r>
                      <w:r w:rsidR="00714F46">
                        <w:rPr>
                          <w:rFonts w:asciiTheme="majorHAnsi" w:hAnsiTheme="majorHAnsi"/>
                          <w:color w:val="595959" w:themeColor="text1" w:themeTint="A6"/>
                          <w:sz w:val="18"/>
                          <w:szCs w:val="18"/>
                          <w:lang w:val="es-ES_tradnl"/>
                        </w:rPr>
                        <w:t xml:space="preserve"> Pública</w:t>
                      </w:r>
                      <w:r w:rsidR="002C6CA8">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357BB5">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r w:rsidR="00357BB5">
                        <w:rPr>
                          <w:rFonts w:asciiTheme="majorHAnsi" w:hAnsiTheme="majorHAnsi"/>
                          <w:color w:val="595959" w:themeColor="text1" w:themeTint="A6"/>
                          <w:sz w:val="18"/>
                          <w:szCs w:val="18"/>
                          <w:lang w:val="es-ES"/>
                        </w:rPr>
                        <w:t xml:space="preserve">   </w:t>
                      </w:r>
                    </w:p>
                  </w:txbxContent>
                </v:textbox>
              </v:shape>
            </w:pict>
          </mc:Fallback>
        </mc:AlternateContent>
      </w:r>
    </w:p>
    <w:p w14:paraId="196A49DE" w14:textId="77777777" w:rsidR="00A50FCF" w:rsidRPr="00675820"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675820" w:rsidRDefault="00D306D1" w:rsidP="005516A1">
      <w:pPr>
        <w:tabs>
          <w:tab w:val="center" w:pos="5400"/>
        </w:tabs>
        <w:suppressAutoHyphens/>
        <w:jc w:val="center"/>
        <w:rPr>
          <w:rFonts w:asciiTheme="majorHAnsi" w:hAnsiTheme="majorHAnsi"/>
          <w:b/>
          <w:sz w:val="20"/>
          <w:lang w:val="es-ES_tradnl"/>
        </w:rPr>
      </w:pPr>
      <w:r w:rsidRPr="0067582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F6FEAB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AAE3318" w:rsidR="00D72DC6" w:rsidRPr="00D72DC6" w:rsidRDefault="002D0EDF" w:rsidP="00F02AD1">
                            <w:pPr>
                              <w:rPr>
                                <w:color w:val="FFFFFF" w:themeColor="background1"/>
                                <w14:textFill>
                                  <w14:noFill/>
                                </w14:textFill>
                              </w:rPr>
                            </w:pPr>
                            <w:r>
                              <w:rPr>
                                <w:noProof/>
                                <w:color w:val="FFFFFF" w:themeColor="background1"/>
                              </w:rPr>
                              <w:drawing>
                                <wp:inline distT="0" distB="0" distL="0" distR="0" wp14:anchorId="37EAFF54" wp14:editId="661E222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AAE3318" w:rsidR="00D72DC6" w:rsidRPr="00D72DC6" w:rsidRDefault="002D0EDF" w:rsidP="00F02AD1">
                      <w:pPr>
                        <w:rPr>
                          <w:color w:val="FFFFFF" w:themeColor="background1"/>
                          <w14:textFill>
                            <w14:noFill/>
                          </w14:textFill>
                        </w:rPr>
                      </w:pPr>
                      <w:r>
                        <w:rPr>
                          <w:noProof/>
                          <w:color w:val="FFFFFF" w:themeColor="background1"/>
                        </w:rPr>
                        <w:drawing>
                          <wp:inline distT="0" distB="0" distL="0" distR="0" wp14:anchorId="37EAFF54" wp14:editId="661E222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7582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675820" w:rsidRDefault="004A6A54" w:rsidP="005516A1">
      <w:pPr>
        <w:tabs>
          <w:tab w:val="center" w:pos="5400"/>
        </w:tabs>
        <w:suppressAutoHyphens/>
        <w:jc w:val="center"/>
        <w:rPr>
          <w:rFonts w:asciiTheme="majorHAnsi" w:hAnsiTheme="majorHAnsi"/>
          <w:b/>
          <w:sz w:val="20"/>
          <w:lang w:val="es-ES_tradnl"/>
        </w:rPr>
        <w:sectPr w:rsidR="0070697F" w:rsidRPr="0067582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675820">
        <w:rPr>
          <w:rFonts w:asciiTheme="majorHAnsi" w:hAnsiTheme="majorHAnsi"/>
          <w:b/>
          <w:sz w:val="20"/>
          <w:lang w:val="es-ES_tradnl"/>
        </w:rPr>
        <w:tab/>
      </w:r>
    </w:p>
    <w:p w14:paraId="376DDC8B" w14:textId="77777777" w:rsidR="003239B8" w:rsidRPr="00675820" w:rsidRDefault="003239B8" w:rsidP="004A6A54">
      <w:pPr>
        <w:spacing w:after="240"/>
        <w:ind w:firstLine="720"/>
        <w:jc w:val="both"/>
        <w:rPr>
          <w:rFonts w:asciiTheme="majorHAnsi" w:hAnsiTheme="majorHAnsi"/>
          <w:b/>
          <w:bCs/>
          <w:sz w:val="20"/>
          <w:szCs w:val="20"/>
          <w:lang w:val="es-ES"/>
        </w:rPr>
      </w:pPr>
      <w:r w:rsidRPr="00675820">
        <w:rPr>
          <w:rFonts w:asciiTheme="majorHAnsi" w:hAnsiTheme="majorHAnsi"/>
          <w:b/>
          <w:bCs/>
          <w:sz w:val="20"/>
          <w:szCs w:val="20"/>
          <w:lang w:val="es-ES"/>
        </w:rPr>
        <w:lastRenderedPageBreak/>
        <w:t>I.</w:t>
      </w:r>
      <w:r w:rsidRPr="0067582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7582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675820" w:rsidRDefault="003239B8" w:rsidP="008D2290">
            <w:pPr>
              <w:jc w:val="center"/>
              <w:rPr>
                <w:rFonts w:asciiTheme="majorHAnsi" w:hAnsiTheme="majorHAnsi"/>
                <w:b/>
                <w:bCs/>
                <w:color w:val="FFFFFF" w:themeColor="background1"/>
                <w:sz w:val="20"/>
                <w:szCs w:val="20"/>
              </w:rPr>
            </w:pPr>
            <w:r w:rsidRPr="00675820">
              <w:rPr>
                <w:rFonts w:asciiTheme="majorHAnsi" w:hAnsiTheme="majorHAnsi"/>
                <w:b/>
                <w:bCs/>
                <w:color w:val="FFFFFF" w:themeColor="background1"/>
                <w:sz w:val="20"/>
                <w:szCs w:val="20"/>
              </w:rPr>
              <w:t xml:space="preserve">Parte </w:t>
            </w:r>
            <w:proofErr w:type="spellStart"/>
            <w:r w:rsidRPr="00675820">
              <w:rPr>
                <w:rFonts w:asciiTheme="majorHAnsi" w:hAnsiTheme="majorHAnsi"/>
                <w:b/>
                <w:bCs/>
                <w:color w:val="FFFFFF" w:themeColor="background1"/>
                <w:sz w:val="20"/>
                <w:szCs w:val="20"/>
              </w:rPr>
              <w:t>peticionaria</w:t>
            </w:r>
            <w:proofErr w:type="spellEnd"/>
            <w:r w:rsidRPr="00675820">
              <w:rPr>
                <w:rFonts w:asciiTheme="majorHAnsi" w:hAnsiTheme="majorHAnsi"/>
                <w:b/>
                <w:bCs/>
                <w:color w:val="FFFFFF" w:themeColor="background1"/>
                <w:sz w:val="20"/>
                <w:szCs w:val="20"/>
              </w:rPr>
              <w:t>:</w:t>
            </w:r>
          </w:p>
        </w:tc>
        <w:tc>
          <w:tcPr>
            <w:tcW w:w="5760" w:type="dxa"/>
            <w:vAlign w:val="center"/>
          </w:tcPr>
          <w:p w14:paraId="3C5315D8" w14:textId="744C8732" w:rsidR="003239B8" w:rsidRPr="00675820" w:rsidRDefault="002C6CA8" w:rsidP="008A0600">
            <w:pPr>
              <w:jc w:val="both"/>
              <w:rPr>
                <w:rFonts w:asciiTheme="majorHAnsi" w:hAnsiTheme="majorHAnsi"/>
                <w:bCs/>
                <w:sz w:val="20"/>
                <w:szCs w:val="20"/>
                <w:lang w:val="es-PA"/>
              </w:rPr>
            </w:pPr>
            <w:r w:rsidRPr="00675820">
              <w:rPr>
                <w:rFonts w:asciiTheme="majorHAnsi" w:hAnsiTheme="majorHAnsi"/>
                <w:bCs/>
                <w:sz w:val="20"/>
                <w:szCs w:val="20"/>
                <w:lang w:val="es-PA"/>
              </w:rPr>
              <w:t xml:space="preserve">Roberto </w:t>
            </w:r>
            <w:proofErr w:type="spellStart"/>
            <w:r w:rsidR="008A0600" w:rsidRPr="00675820">
              <w:rPr>
                <w:rFonts w:asciiTheme="majorHAnsi" w:hAnsiTheme="majorHAnsi"/>
                <w:bCs/>
                <w:sz w:val="20"/>
                <w:szCs w:val="20"/>
                <w:lang w:val="es-PA"/>
              </w:rPr>
              <w:t>Garretón</w:t>
            </w:r>
            <w:proofErr w:type="spellEnd"/>
            <w:r w:rsidR="008A0600" w:rsidRPr="00675820">
              <w:rPr>
                <w:rFonts w:asciiTheme="majorHAnsi" w:hAnsiTheme="majorHAnsi"/>
                <w:bCs/>
                <w:sz w:val="20"/>
                <w:szCs w:val="20"/>
                <w:lang w:val="es-PA"/>
              </w:rPr>
              <w:t xml:space="preserve"> Marino y </w:t>
            </w:r>
            <w:r w:rsidRPr="00675820">
              <w:rPr>
                <w:rFonts w:asciiTheme="majorHAnsi" w:hAnsiTheme="majorHAnsi"/>
                <w:bCs/>
                <w:sz w:val="20"/>
                <w:szCs w:val="20"/>
                <w:lang w:val="es-PA"/>
              </w:rPr>
              <w:t xml:space="preserve">Enrique Moreno </w:t>
            </w:r>
            <w:proofErr w:type="spellStart"/>
            <w:r w:rsidRPr="00675820">
              <w:rPr>
                <w:rFonts w:asciiTheme="majorHAnsi" w:hAnsiTheme="majorHAnsi"/>
                <w:bCs/>
                <w:sz w:val="20"/>
                <w:szCs w:val="20"/>
                <w:lang w:val="es-PA"/>
              </w:rPr>
              <w:t>Barturen</w:t>
            </w:r>
            <w:proofErr w:type="spellEnd"/>
          </w:p>
        </w:tc>
      </w:tr>
      <w:tr w:rsidR="003239B8" w:rsidRPr="0067582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675820" w:rsidRDefault="00AA1719"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75820">
                  <w:rPr>
                    <w:rFonts w:asciiTheme="majorHAnsi" w:hAnsiTheme="majorHAnsi"/>
                    <w:b/>
                    <w:bCs/>
                    <w:color w:val="FFFFFF" w:themeColor="background1"/>
                    <w:sz w:val="20"/>
                    <w:szCs w:val="20"/>
                  </w:rPr>
                  <w:t>Presunta víctima</w:t>
                </w:r>
              </w:sdtContent>
            </w:sdt>
            <w:r w:rsidR="003239B8" w:rsidRPr="00675820">
              <w:rPr>
                <w:rFonts w:asciiTheme="majorHAnsi" w:hAnsiTheme="majorHAnsi"/>
                <w:b/>
                <w:bCs/>
                <w:color w:val="FFFFFF" w:themeColor="background1"/>
                <w:sz w:val="20"/>
                <w:szCs w:val="20"/>
              </w:rPr>
              <w:t>:</w:t>
            </w:r>
          </w:p>
        </w:tc>
        <w:tc>
          <w:tcPr>
            <w:tcW w:w="5760" w:type="dxa"/>
            <w:vAlign w:val="center"/>
          </w:tcPr>
          <w:p w14:paraId="4AEBF59E" w14:textId="053C4E0C" w:rsidR="003239B8" w:rsidRPr="00675820" w:rsidRDefault="00357BB5" w:rsidP="008D2290">
            <w:pPr>
              <w:jc w:val="both"/>
              <w:rPr>
                <w:rFonts w:asciiTheme="majorHAnsi" w:hAnsiTheme="majorHAnsi"/>
                <w:bCs/>
                <w:sz w:val="20"/>
                <w:szCs w:val="20"/>
                <w:lang w:val="es-ES"/>
              </w:rPr>
            </w:pPr>
            <w:r w:rsidRPr="00675820">
              <w:rPr>
                <w:rFonts w:asciiTheme="majorHAnsi" w:hAnsiTheme="majorHAnsi"/>
                <w:bCs/>
                <w:sz w:val="20"/>
                <w:szCs w:val="20"/>
                <w:lang w:val="es-ES"/>
              </w:rPr>
              <w:t>21</w:t>
            </w:r>
            <w:r w:rsidR="001F1672" w:rsidRPr="00675820">
              <w:rPr>
                <w:rFonts w:asciiTheme="majorHAnsi" w:hAnsiTheme="majorHAnsi"/>
                <w:bCs/>
                <w:sz w:val="20"/>
                <w:szCs w:val="20"/>
                <w:lang w:val="es-ES"/>
              </w:rPr>
              <w:t>.</w:t>
            </w:r>
            <w:r w:rsidR="008A0600" w:rsidRPr="00675820">
              <w:rPr>
                <w:rFonts w:asciiTheme="majorHAnsi" w:hAnsiTheme="majorHAnsi"/>
                <w:bCs/>
                <w:sz w:val="20"/>
                <w:szCs w:val="20"/>
                <w:lang w:val="es-ES"/>
              </w:rPr>
              <w:t>309 profesores de la educación pública</w:t>
            </w:r>
            <w:r w:rsidR="008A0600" w:rsidRPr="00675820">
              <w:rPr>
                <w:rStyle w:val="FootnoteReference"/>
                <w:rFonts w:asciiTheme="majorHAnsi" w:hAnsiTheme="majorHAnsi"/>
                <w:bCs/>
                <w:sz w:val="20"/>
                <w:szCs w:val="20"/>
                <w:lang w:val="es-ES"/>
              </w:rPr>
              <w:footnoteReference w:id="2"/>
            </w:r>
          </w:p>
        </w:tc>
      </w:tr>
      <w:tr w:rsidR="003239B8" w:rsidRPr="00675820"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675820" w:rsidRDefault="003239B8" w:rsidP="008D2290">
            <w:pPr>
              <w:jc w:val="center"/>
              <w:rPr>
                <w:rFonts w:asciiTheme="majorHAnsi" w:hAnsiTheme="majorHAnsi"/>
                <w:b/>
                <w:bCs/>
                <w:color w:val="FFFFFF" w:themeColor="background1"/>
                <w:sz w:val="20"/>
                <w:szCs w:val="20"/>
              </w:rPr>
            </w:pPr>
            <w:r w:rsidRPr="00675820">
              <w:rPr>
                <w:rFonts w:asciiTheme="majorHAnsi" w:hAnsiTheme="majorHAnsi"/>
                <w:b/>
                <w:bCs/>
                <w:color w:val="FFFFFF" w:themeColor="background1"/>
                <w:sz w:val="20"/>
                <w:szCs w:val="20"/>
              </w:rPr>
              <w:t xml:space="preserve">Estado </w:t>
            </w:r>
            <w:proofErr w:type="spellStart"/>
            <w:r w:rsidRPr="00675820">
              <w:rPr>
                <w:rFonts w:asciiTheme="majorHAnsi" w:hAnsiTheme="majorHAnsi"/>
                <w:b/>
                <w:bCs/>
                <w:color w:val="FFFFFF" w:themeColor="background1"/>
                <w:sz w:val="20"/>
                <w:szCs w:val="20"/>
              </w:rPr>
              <w:t>denunciado</w:t>
            </w:r>
            <w:proofErr w:type="spellEnd"/>
            <w:r w:rsidRPr="00675820">
              <w:rPr>
                <w:rFonts w:asciiTheme="majorHAnsi" w:hAnsiTheme="majorHAnsi"/>
                <w:b/>
                <w:bCs/>
                <w:color w:val="FFFFFF" w:themeColor="background1"/>
                <w:sz w:val="20"/>
                <w:szCs w:val="20"/>
              </w:rPr>
              <w:t>:</w:t>
            </w:r>
          </w:p>
        </w:tc>
        <w:tc>
          <w:tcPr>
            <w:tcW w:w="5760" w:type="dxa"/>
            <w:vAlign w:val="center"/>
          </w:tcPr>
          <w:p w14:paraId="274C8A50" w14:textId="551BC7B8" w:rsidR="003239B8" w:rsidRPr="00675820" w:rsidRDefault="002C6CA8" w:rsidP="008D2290">
            <w:pPr>
              <w:jc w:val="both"/>
              <w:rPr>
                <w:rFonts w:asciiTheme="majorHAnsi" w:hAnsiTheme="majorHAnsi"/>
                <w:bCs/>
                <w:sz w:val="20"/>
                <w:szCs w:val="20"/>
              </w:rPr>
            </w:pPr>
            <w:r w:rsidRPr="00675820">
              <w:rPr>
                <w:rFonts w:asciiTheme="majorHAnsi" w:hAnsiTheme="majorHAnsi"/>
                <w:bCs/>
                <w:sz w:val="20"/>
                <w:szCs w:val="20"/>
              </w:rPr>
              <w:t>Chile</w:t>
            </w:r>
            <w:r w:rsidR="004A6A54" w:rsidRPr="00675820">
              <w:rPr>
                <w:rStyle w:val="FootnoteReference"/>
                <w:rFonts w:asciiTheme="majorHAnsi" w:hAnsiTheme="majorHAnsi"/>
                <w:bCs/>
                <w:sz w:val="20"/>
                <w:szCs w:val="20"/>
              </w:rPr>
              <w:footnoteReference w:id="3"/>
            </w:r>
          </w:p>
        </w:tc>
      </w:tr>
      <w:tr w:rsidR="00223A29" w:rsidRPr="0067582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675820" w:rsidRDefault="001B3A00" w:rsidP="00E4118C">
            <w:pPr>
              <w:jc w:val="center"/>
              <w:rPr>
                <w:rFonts w:asciiTheme="majorHAnsi" w:hAnsiTheme="majorHAnsi"/>
                <w:b/>
                <w:bCs/>
                <w:color w:val="FFFFFF" w:themeColor="background1"/>
                <w:sz w:val="20"/>
                <w:szCs w:val="20"/>
              </w:rPr>
            </w:pPr>
            <w:r w:rsidRPr="00675820">
              <w:rPr>
                <w:rFonts w:asciiTheme="majorHAnsi" w:hAnsiTheme="majorHAnsi"/>
                <w:b/>
                <w:bCs/>
                <w:color w:val="FFFFFF" w:themeColor="background1"/>
                <w:sz w:val="20"/>
                <w:szCs w:val="20"/>
              </w:rPr>
              <w:t xml:space="preserve">Derechos </w:t>
            </w:r>
            <w:proofErr w:type="spellStart"/>
            <w:r w:rsidR="00E4118C" w:rsidRPr="00675820">
              <w:rPr>
                <w:rFonts w:asciiTheme="majorHAnsi" w:hAnsiTheme="majorHAnsi"/>
                <w:b/>
                <w:bCs/>
                <w:color w:val="FFFFFF" w:themeColor="background1"/>
                <w:sz w:val="20"/>
                <w:szCs w:val="20"/>
              </w:rPr>
              <w:t>invocados</w:t>
            </w:r>
            <w:proofErr w:type="spellEnd"/>
            <w:r w:rsidRPr="00675820">
              <w:rPr>
                <w:rFonts w:asciiTheme="majorHAnsi" w:hAnsiTheme="majorHAnsi"/>
                <w:b/>
                <w:bCs/>
                <w:color w:val="FFFFFF" w:themeColor="background1"/>
                <w:sz w:val="20"/>
                <w:szCs w:val="20"/>
              </w:rPr>
              <w:t>:</w:t>
            </w:r>
          </w:p>
        </w:tc>
        <w:tc>
          <w:tcPr>
            <w:tcW w:w="5760" w:type="dxa"/>
            <w:vAlign w:val="center"/>
          </w:tcPr>
          <w:p w14:paraId="6DEE1EEB" w14:textId="1E4D52D1" w:rsidR="00223A29" w:rsidRPr="00675820" w:rsidRDefault="00346BAB" w:rsidP="00BE7821">
            <w:pPr>
              <w:jc w:val="both"/>
              <w:rPr>
                <w:rFonts w:asciiTheme="majorHAnsi" w:hAnsiTheme="majorHAnsi"/>
                <w:bCs/>
                <w:sz w:val="20"/>
                <w:szCs w:val="20"/>
                <w:lang w:val="es-AR"/>
              </w:rPr>
            </w:pPr>
            <w:r w:rsidRPr="00675820">
              <w:rPr>
                <w:rFonts w:asciiTheme="majorHAnsi" w:hAnsiTheme="majorHAnsi"/>
                <w:bCs/>
                <w:sz w:val="20"/>
                <w:szCs w:val="20"/>
                <w:lang w:val="es-PA"/>
              </w:rPr>
              <w:t xml:space="preserve">Artículos </w:t>
            </w:r>
            <w:r w:rsidRPr="00675820">
              <w:rPr>
                <w:rFonts w:asciiTheme="majorHAnsi" w:hAnsiTheme="majorHAnsi"/>
                <w:bCs/>
                <w:sz w:val="20"/>
                <w:szCs w:val="20"/>
                <w:lang w:val="es-AR"/>
              </w:rPr>
              <w:t>7</w:t>
            </w:r>
            <w:r w:rsidR="00B663ED" w:rsidRPr="00675820">
              <w:rPr>
                <w:rFonts w:asciiTheme="majorHAnsi" w:hAnsiTheme="majorHAnsi"/>
                <w:bCs/>
                <w:sz w:val="20"/>
                <w:szCs w:val="20"/>
                <w:lang w:val="es-AR"/>
              </w:rPr>
              <w:t xml:space="preserve"> (libertad personal), 21 (propiedad privada)</w:t>
            </w:r>
            <w:r w:rsidR="007B3804" w:rsidRPr="00675820">
              <w:rPr>
                <w:rFonts w:asciiTheme="majorHAnsi" w:hAnsiTheme="majorHAnsi"/>
                <w:bCs/>
                <w:sz w:val="20"/>
                <w:szCs w:val="20"/>
                <w:lang w:val="es-AR"/>
              </w:rPr>
              <w:t>, 24 (igualdad ante la ley), 25 (protección judicial)</w:t>
            </w:r>
            <w:r w:rsidR="00CF6406" w:rsidRPr="00675820">
              <w:rPr>
                <w:rFonts w:asciiTheme="majorHAnsi" w:hAnsiTheme="majorHAnsi"/>
                <w:bCs/>
                <w:sz w:val="20"/>
                <w:szCs w:val="20"/>
                <w:lang w:val="es-AR"/>
              </w:rPr>
              <w:t xml:space="preserve"> y 26 (derechos económicos, sociales y culturales)</w:t>
            </w:r>
            <w:r w:rsidR="00B663ED" w:rsidRPr="00675820">
              <w:rPr>
                <w:rFonts w:asciiTheme="majorHAnsi" w:hAnsiTheme="majorHAnsi"/>
                <w:bCs/>
                <w:sz w:val="20"/>
                <w:szCs w:val="20"/>
                <w:lang w:val="es-AR"/>
              </w:rPr>
              <w:t xml:space="preserve"> de la Convención</w:t>
            </w:r>
            <w:r w:rsidR="00CF6406" w:rsidRPr="00675820">
              <w:rPr>
                <w:rFonts w:asciiTheme="majorHAnsi" w:hAnsiTheme="majorHAnsi"/>
                <w:bCs/>
                <w:sz w:val="20"/>
                <w:szCs w:val="20"/>
                <w:lang w:val="es-AR"/>
              </w:rPr>
              <w:t xml:space="preserve"> Americana sobre Derechos Humanos</w:t>
            </w:r>
            <w:r w:rsidR="00CF6406" w:rsidRPr="00675820">
              <w:rPr>
                <w:rStyle w:val="FootnoteReference"/>
                <w:rFonts w:asciiTheme="majorHAnsi" w:hAnsiTheme="majorHAnsi"/>
                <w:bCs/>
                <w:sz w:val="20"/>
                <w:szCs w:val="20"/>
                <w:lang w:val="es-AR"/>
              </w:rPr>
              <w:footnoteReference w:id="4"/>
            </w:r>
            <w:r w:rsidR="00CF6406" w:rsidRPr="00675820">
              <w:rPr>
                <w:rFonts w:asciiTheme="majorHAnsi" w:hAnsiTheme="majorHAnsi"/>
                <w:bCs/>
                <w:sz w:val="20"/>
                <w:szCs w:val="20"/>
                <w:lang w:val="es-AR"/>
              </w:rPr>
              <w:t xml:space="preserve"> en relación con su artículo 1 (obligación de respetar los derechos); </w:t>
            </w:r>
            <w:r w:rsidR="00F436B3" w:rsidRPr="00675820">
              <w:rPr>
                <w:rFonts w:asciiTheme="majorHAnsi" w:hAnsiTheme="majorHAnsi"/>
                <w:bCs/>
                <w:sz w:val="20"/>
                <w:szCs w:val="20"/>
                <w:lang w:val="es-AR"/>
              </w:rPr>
              <w:t>I (vida, libertad, seguridad e integridad de la persona</w:t>
            </w:r>
            <w:r w:rsidR="00CF6406" w:rsidRPr="00675820">
              <w:rPr>
                <w:rFonts w:asciiTheme="majorHAnsi" w:hAnsiTheme="majorHAnsi"/>
                <w:bCs/>
                <w:sz w:val="20"/>
                <w:szCs w:val="20"/>
                <w:lang w:val="es-AR"/>
              </w:rPr>
              <w:t xml:space="preserve">), XVI (seguridad social), XVIII (justicia), XXIII (propiedad) </w:t>
            </w:r>
            <w:r w:rsidR="00F436B3" w:rsidRPr="00675820">
              <w:rPr>
                <w:rFonts w:asciiTheme="majorHAnsi" w:hAnsiTheme="majorHAnsi"/>
                <w:bCs/>
                <w:sz w:val="20"/>
                <w:szCs w:val="20"/>
                <w:lang w:val="es-AR"/>
              </w:rPr>
              <w:t>de la Declaración Americana de Derechos y Deberes del Hombre</w:t>
            </w:r>
            <w:r w:rsidR="00F436B3" w:rsidRPr="00675820">
              <w:rPr>
                <w:rStyle w:val="FootnoteReference"/>
                <w:rFonts w:asciiTheme="majorHAnsi" w:hAnsiTheme="majorHAnsi"/>
                <w:bCs/>
                <w:sz w:val="20"/>
                <w:szCs w:val="20"/>
                <w:lang w:val="es-AR"/>
              </w:rPr>
              <w:footnoteReference w:id="5"/>
            </w:r>
            <w:r w:rsidR="00F436B3" w:rsidRPr="00675820">
              <w:rPr>
                <w:rFonts w:asciiTheme="majorHAnsi" w:hAnsiTheme="majorHAnsi"/>
                <w:bCs/>
                <w:sz w:val="20"/>
                <w:szCs w:val="20"/>
                <w:lang w:val="es-AR"/>
              </w:rPr>
              <w:t xml:space="preserve">; y otros </w:t>
            </w:r>
            <w:r w:rsidR="00BE7821" w:rsidRPr="00675820">
              <w:rPr>
                <w:rFonts w:asciiTheme="majorHAnsi" w:hAnsiTheme="majorHAnsi"/>
                <w:bCs/>
                <w:sz w:val="20"/>
                <w:szCs w:val="20"/>
                <w:lang w:val="es-AR"/>
              </w:rPr>
              <w:t>instrumentos</w:t>
            </w:r>
            <w:r w:rsidR="00F436B3" w:rsidRPr="00675820">
              <w:rPr>
                <w:rFonts w:asciiTheme="majorHAnsi" w:hAnsiTheme="majorHAnsi"/>
                <w:bCs/>
                <w:sz w:val="20"/>
                <w:szCs w:val="20"/>
                <w:lang w:val="es-AR"/>
              </w:rPr>
              <w:t xml:space="preserve"> internacionales</w:t>
            </w:r>
            <w:r w:rsidR="00F436B3" w:rsidRPr="00675820">
              <w:rPr>
                <w:rStyle w:val="FootnoteReference"/>
                <w:rFonts w:asciiTheme="majorHAnsi" w:hAnsiTheme="majorHAnsi"/>
                <w:bCs/>
                <w:sz w:val="20"/>
                <w:szCs w:val="20"/>
                <w:lang w:val="es-AR"/>
              </w:rPr>
              <w:footnoteReference w:id="6"/>
            </w:r>
            <w:r w:rsidR="00F436B3" w:rsidRPr="00675820">
              <w:rPr>
                <w:rFonts w:asciiTheme="majorHAnsi" w:hAnsiTheme="majorHAnsi"/>
                <w:bCs/>
                <w:sz w:val="20"/>
                <w:szCs w:val="20"/>
                <w:lang w:val="es-AR"/>
              </w:rPr>
              <w:t xml:space="preserve">. </w:t>
            </w:r>
          </w:p>
        </w:tc>
      </w:tr>
    </w:tbl>
    <w:p w14:paraId="20263696" w14:textId="77777777" w:rsidR="003239B8" w:rsidRPr="00675820" w:rsidRDefault="003239B8" w:rsidP="003239B8">
      <w:pPr>
        <w:spacing w:before="240" w:after="240"/>
        <w:ind w:firstLine="720"/>
        <w:jc w:val="both"/>
        <w:rPr>
          <w:rFonts w:asciiTheme="majorHAnsi" w:hAnsiTheme="majorHAnsi"/>
          <w:b/>
          <w:bCs/>
          <w:sz w:val="20"/>
          <w:szCs w:val="20"/>
          <w:lang w:val="es-ES"/>
        </w:rPr>
      </w:pPr>
      <w:r w:rsidRPr="00675820">
        <w:rPr>
          <w:rFonts w:asciiTheme="majorHAnsi" w:hAnsiTheme="majorHAnsi"/>
          <w:b/>
          <w:bCs/>
          <w:sz w:val="20"/>
          <w:szCs w:val="20"/>
          <w:lang w:val="es-ES"/>
        </w:rPr>
        <w:t>II.</w:t>
      </w:r>
      <w:r w:rsidRPr="00675820">
        <w:rPr>
          <w:rFonts w:asciiTheme="majorHAnsi" w:hAnsiTheme="majorHAnsi"/>
          <w:b/>
          <w:bCs/>
          <w:sz w:val="20"/>
          <w:szCs w:val="20"/>
          <w:lang w:val="es-ES"/>
        </w:rPr>
        <w:tab/>
        <w:t>TRÁMITE ANTE LA CIDH</w:t>
      </w:r>
      <w:r w:rsidR="008E3BFE" w:rsidRPr="00675820">
        <w:rPr>
          <w:rStyle w:val="FootnoteReference"/>
          <w:rFonts w:asciiTheme="majorHAnsi" w:hAnsiTheme="majorHAnsi"/>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75820"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675820" w:rsidRDefault="004A6A54" w:rsidP="004A6A54">
            <w:pPr>
              <w:jc w:val="center"/>
              <w:rPr>
                <w:rFonts w:asciiTheme="majorHAnsi" w:hAnsiTheme="majorHAnsi"/>
                <w:b/>
                <w:bCs/>
                <w:color w:val="FFFFFF" w:themeColor="background1"/>
                <w:sz w:val="20"/>
                <w:szCs w:val="20"/>
                <w:lang w:val="es-ES"/>
              </w:rPr>
            </w:pPr>
            <w:r w:rsidRPr="00675820">
              <w:rPr>
                <w:rFonts w:asciiTheme="majorHAnsi" w:hAnsiTheme="majorHAnsi"/>
                <w:b/>
                <w:bCs/>
                <w:color w:val="FFFFFF" w:themeColor="background1"/>
                <w:sz w:val="20"/>
                <w:szCs w:val="20"/>
                <w:lang w:val="es-ES"/>
              </w:rPr>
              <w:t>P</w:t>
            </w:r>
            <w:r w:rsidR="004C2312" w:rsidRPr="00675820">
              <w:rPr>
                <w:rFonts w:asciiTheme="majorHAnsi" w:hAnsiTheme="majorHAnsi"/>
                <w:b/>
                <w:bCs/>
                <w:color w:val="FFFFFF" w:themeColor="background1"/>
                <w:sz w:val="20"/>
                <w:szCs w:val="20"/>
                <w:lang w:val="es-ES"/>
              </w:rPr>
              <w:t>resentación de la petición:</w:t>
            </w:r>
          </w:p>
        </w:tc>
        <w:tc>
          <w:tcPr>
            <w:tcW w:w="5760" w:type="dxa"/>
            <w:vAlign w:val="center"/>
          </w:tcPr>
          <w:p w14:paraId="6E579153" w14:textId="298516B5" w:rsidR="004C2312" w:rsidRPr="00675820" w:rsidRDefault="00127CC0" w:rsidP="002625EA">
            <w:pPr>
              <w:jc w:val="both"/>
              <w:rPr>
                <w:rFonts w:asciiTheme="majorHAnsi" w:hAnsiTheme="majorHAnsi"/>
                <w:bCs/>
                <w:sz w:val="20"/>
                <w:szCs w:val="20"/>
                <w:lang w:val="es-ES"/>
              </w:rPr>
            </w:pPr>
            <w:r w:rsidRPr="00675820">
              <w:rPr>
                <w:rFonts w:asciiTheme="majorHAnsi" w:hAnsiTheme="majorHAnsi"/>
                <w:bCs/>
                <w:sz w:val="20"/>
                <w:szCs w:val="20"/>
                <w:lang w:val="es-ES"/>
              </w:rPr>
              <w:t>14</w:t>
            </w:r>
            <w:r w:rsidR="002C6CA8" w:rsidRPr="00675820">
              <w:rPr>
                <w:rFonts w:asciiTheme="majorHAnsi" w:hAnsiTheme="majorHAnsi"/>
                <w:bCs/>
                <w:sz w:val="20"/>
                <w:szCs w:val="20"/>
                <w:lang w:val="es-ES"/>
              </w:rPr>
              <w:t xml:space="preserve"> de diciembre de 2012</w:t>
            </w:r>
          </w:p>
        </w:tc>
      </w:tr>
      <w:tr w:rsidR="004C2312" w:rsidRPr="00675820"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675820" w:rsidRDefault="004A6A54" w:rsidP="004A6A54">
            <w:pPr>
              <w:jc w:val="center"/>
              <w:rPr>
                <w:rFonts w:asciiTheme="majorHAnsi" w:hAnsiTheme="majorHAnsi"/>
                <w:b/>
                <w:bCs/>
                <w:color w:val="FFFFFF" w:themeColor="background1"/>
                <w:sz w:val="20"/>
                <w:szCs w:val="20"/>
                <w:lang w:val="es-ES"/>
              </w:rPr>
            </w:pPr>
            <w:r w:rsidRPr="00675820">
              <w:rPr>
                <w:rFonts w:asciiTheme="majorHAnsi" w:hAnsiTheme="majorHAnsi"/>
                <w:b/>
                <w:color w:val="FFFFFF" w:themeColor="background1"/>
                <w:sz w:val="20"/>
                <w:szCs w:val="20"/>
                <w:lang w:val="es-ES"/>
              </w:rPr>
              <w:t>N</w:t>
            </w:r>
            <w:r w:rsidR="004C2312" w:rsidRPr="00675820">
              <w:rPr>
                <w:rFonts w:asciiTheme="majorHAnsi" w:hAnsiTheme="majorHAnsi"/>
                <w:b/>
                <w:color w:val="FFFFFF" w:themeColor="background1"/>
                <w:sz w:val="20"/>
                <w:szCs w:val="20"/>
                <w:lang w:val="es-ES"/>
              </w:rPr>
              <w:t>otificación de la petición al Estado:</w:t>
            </w:r>
          </w:p>
        </w:tc>
        <w:tc>
          <w:tcPr>
            <w:tcW w:w="5760" w:type="dxa"/>
            <w:vAlign w:val="center"/>
          </w:tcPr>
          <w:p w14:paraId="1519DA6A" w14:textId="4A8A100D" w:rsidR="004C2312" w:rsidRPr="00675820" w:rsidRDefault="00111FD4" w:rsidP="008D2290">
            <w:pPr>
              <w:jc w:val="both"/>
              <w:rPr>
                <w:rFonts w:asciiTheme="majorHAnsi" w:hAnsiTheme="majorHAnsi"/>
                <w:bCs/>
                <w:sz w:val="20"/>
                <w:szCs w:val="20"/>
                <w:lang w:val="es-ES"/>
              </w:rPr>
            </w:pPr>
            <w:r w:rsidRPr="00675820">
              <w:rPr>
                <w:rFonts w:asciiTheme="majorHAnsi" w:hAnsiTheme="majorHAnsi"/>
                <w:bCs/>
                <w:sz w:val="20"/>
                <w:szCs w:val="20"/>
                <w:lang w:val="es-ES"/>
              </w:rPr>
              <w:t>5 de julio de 2017</w:t>
            </w:r>
          </w:p>
        </w:tc>
      </w:tr>
      <w:tr w:rsidR="004C2312" w:rsidRPr="0067582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675820" w:rsidRDefault="004A6A54" w:rsidP="004A6A54">
            <w:pPr>
              <w:jc w:val="center"/>
              <w:rPr>
                <w:rFonts w:asciiTheme="majorHAnsi" w:hAnsiTheme="majorHAnsi"/>
                <w:b/>
                <w:bCs/>
                <w:color w:val="FFFFFF" w:themeColor="background1"/>
                <w:sz w:val="20"/>
                <w:szCs w:val="20"/>
                <w:lang w:val="es-ES"/>
              </w:rPr>
            </w:pPr>
            <w:r w:rsidRPr="00675820">
              <w:rPr>
                <w:rFonts w:asciiTheme="majorHAnsi" w:hAnsiTheme="majorHAnsi"/>
                <w:b/>
                <w:color w:val="FFFFFF" w:themeColor="background1"/>
                <w:sz w:val="20"/>
                <w:szCs w:val="20"/>
                <w:lang w:val="es-ES"/>
              </w:rPr>
              <w:t>P</w:t>
            </w:r>
            <w:r w:rsidR="004C2312" w:rsidRPr="00675820">
              <w:rPr>
                <w:rFonts w:asciiTheme="majorHAnsi" w:hAnsiTheme="majorHAnsi"/>
                <w:b/>
                <w:color w:val="FFFFFF" w:themeColor="background1"/>
                <w:sz w:val="20"/>
                <w:szCs w:val="20"/>
                <w:lang w:val="es-ES"/>
              </w:rPr>
              <w:t>rimera respuesta del Estado:</w:t>
            </w:r>
          </w:p>
        </w:tc>
        <w:tc>
          <w:tcPr>
            <w:tcW w:w="5760" w:type="dxa"/>
            <w:vAlign w:val="center"/>
          </w:tcPr>
          <w:p w14:paraId="1972B99E" w14:textId="391AB489" w:rsidR="004C2312" w:rsidRPr="00675820" w:rsidRDefault="003C78D6" w:rsidP="008D2290">
            <w:pPr>
              <w:jc w:val="both"/>
              <w:rPr>
                <w:rFonts w:asciiTheme="majorHAnsi" w:hAnsiTheme="majorHAnsi"/>
                <w:bCs/>
                <w:sz w:val="20"/>
                <w:szCs w:val="20"/>
                <w:lang w:val="es-ES"/>
              </w:rPr>
            </w:pPr>
            <w:r w:rsidRPr="00675820">
              <w:rPr>
                <w:rFonts w:asciiTheme="majorHAnsi" w:hAnsiTheme="majorHAnsi"/>
                <w:bCs/>
                <w:sz w:val="20"/>
                <w:szCs w:val="20"/>
                <w:lang w:val="es-ES"/>
              </w:rPr>
              <w:t>17</w:t>
            </w:r>
            <w:r w:rsidR="006D4957" w:rsidRPr="00675820">
              <w:rPr>
                <w:rFonts w:asciiTheme="majorHAnsi" w:hAnsiTheme="majorHAnsi"/>
                <w:bCs/>
                <w:sz w:val="20"/>
                <w:szCs w:val="20"/>
                <w:lang w:val="es-ES"/>
              </w:rPr>
              <w:t xml:space="preserve"> de julio de 2018</w:t>
            </w:r>
          </w:p>
        </w:tc>
      </w:tr>
      <w:tr w:rsidR="004C2312" w:rsidRPr="00675820"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675820" w:rsidRDefault="008E3BFE" w:rsidP="008E3BFE">
            <w:pPr>
              <w:jc w:val="center"/>
              <w:rPr>
                <w:rFonts w:asciiTheme="majorHAnsi" w:hAnsiTheme="majorHAnsi"/>
                <w:b/>
                <w:bCs/>
                <w:color w:val="FFFFFF" w:themeColor="background1"/>
                <w:sz w:val="20"/>
                <w:szCs w:val="20"/>
                <w:lang w:val="es-ES"/>
              </w:rPr>
            </w:pPr>
            <w:r w:rsidRPr="00675820">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1D8B862" w14:textId="0ED3D3BA" w:rsidR="004C2312" w:rsidRPr="00675820" w:rsidRDefault="00127CC0" w:rsidP="008D2290">
            <w:pPr>
              <w:jc w:val="both"/>
              <w:rPr>
                <w:rFonts w:asciiTheme="majorHAnsi" w:hAnsiTheme="majorHAnsi"/>
                <w:bCs/>
                <w:sz w:val="20"/>
                <w:szCs w:val="20"/>
                <w:lang w:val="es-ES"/>
              </w:rPr>
            </w:pPr>
            <w:r w:rsidRPr="00675820">
              <w:rPr>
                <w:rFonts w:asciiTheme="majorHAnsi" w:hAnsiTheme="majorHAnsi"/>
                <w:bCs/>
                <w:color w:val="000000" w:themeColor="text1"/>
                <w:sz w:val="20"/>
                <w:szCs w:val="20"/>
                <w:lang w:val="es-AR"/>
              </w:rPr>
              <w:t>16 de enero de 2016</w:t>
            </w:r>
            <w:r w:rsidR="003C78D6" w:rsidRPr="00675820">
              <w:rPr>
                <w:rFonts w:asciiTheme="majorHAnsi" w:hAnsiTheme="majorHAnsi"/>
                <w:bCs/>
                <w:color w:val="000000" w:themeColor="text1"/>
                <w:sz w:val="20"/>
                <w:szCs w:val="20"/>
                <w:lang w:val="es-AR"/>
              </w:rPr>
              <w:t xml:space="preserve"> y</w:t>
            </w:r>
            <w:r w:rsidRPr="00675820">
              <w:rPr>
                <w:rFonts w:asciiTheme="majorHAnsi" w:hAnsiTheme="majorHAnsi"/>
                <w:bCs/>
                <w:color w:val="000000" w:themeColor="text1"/>
                <w:sz w:val="20"/>
                <w:szCs w:val="20"/>
                <w:lang w:val="es-AR"/>
              </w:rPr>
              <w:t xml:space="preserve"> </w:t>
            </w:r>
            <w:r w:rsidR="005A3949" w:rsidRPr="00675820">
              <w:rPr>
                <w:rFonts w:asciiTheme="majorHAnsi" w:hAnsiTheme="majorHAnsi"/>
                <w:bCs/>
                <w:color w:val="000000" w:themeColor="text1"/>
                <w:sz w:val="20"/>
                <w:szCs w:val="20"/>
                <w:lang w:val="es-AR"/>
              </w:rPr>
              <w:t>25 de mayo de 2017</w:t>
            </w:r>
          </w:p>
        </w:tc>
      </w:tr>
    </w:tbl>
    <w:p w14:paraId="21DAA666" w14:textId="77777777" w:rsidR="003239B8" w:rsidRPr="00675820" w:rsidRDefault="003239B8" w:rsidP="003239B8">
      <w:pPr>
        <w:spacing w:before="240" w:after="240"/>
        <w:ind w:firstLine="720"/>
        <w:jc w:val="both"/>
        <w:rPr>
          <w:rFonts w:asciiTheme="majorHAnsi" w:hAnsiTheme="majorHAnsi"/>
          <w:b/>
          <w:bCs/>
          <w:sz w:val="20"/>
          <w:szCs w:val="20"/>
          <w:lang w:val="es-ES"/>
        </w:rPr>
      </w:pPr>
      <w:r w:rsidRPr="00675820">
        <w:rPr>
          <w:rFonts w:asciiTheme="majorHAnsi" w:hAnsiTheme="majorHAnsi"/>
          <w:b/>
          <w:bCs/>
          <w:sz w:val="20"/>
          <w:szCs w:val="20"/>
          <w:lang w:val="es-ES"/>
        </w:rPr>
        <w:t xml:space="preserve">III. </w:t>
      </w:r>
      <w:r w:rsidRPr="00675820">
        <w:rPr>
          <w:rFonts w:asciiTheme="majorHAnsi" w:hAnsiTheme="majorHAnsi"/>
          <w:b/>
          <w:bCs/>
          <w:sz w:val="20"/>
          <w:szCs w:val="20"/>
          <w:lang w:val="es-ES"/>
        </w:rPr>
        <w:tab/>
        <w:t>COMPETENCIA</w:t>
      </w:r>
      <w:r w:rsidR="00EE00E9" w:rsidRPr="0067582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75820"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675820" w:rsidRDefault="003239B8" w:rsidP="008D2290">
            <w:pPr>
              <w:jc w:val="center"/>
              <w:rPr>
                <w:rFonts w:asciiTheme="majorHAnsi" w:hAnsiTheme="majorHAnsi"/>
                <w:b/>
                <w:bCs/>
                <w:i/>
                <w:color w:val="FFFFFF" w:themeColor="background1"/>
                <w:sz w:val="20"/>
                <w:szCs w:val="20"/>
              </w:rPr>
            </w:pPr>
            <w:proofErr w:type="spellStart"/>
            <w:r w:rsidRPr="00675820">
              <w:rPr>
                <w:rFonts w:asciiTheme="majorHAnsi" w:hAnsiTheme="majorHAnsi"/>
                <w:b/>
                <w:bCs/>
                <w:color w:val="FFFFFF" w:themeColor="background1"/>
                <w:sz w:val="20"/>
                <w:szCs w:val="20"/>
              </w:rPr>
              <w:t>Competencia</w:t>
            </w:r>
            <w:proofErr w:type="spellEnd"/>
            <w:r w:rsidRPr="00675820">
              <w:rPr>
                <w:rFonts w:asciiTheme="majorHAnsi" w:hAnsiTheme="majorHAnsi"/>
                <w:b/>
                <w:bCs/>
                <w:i/>
                <w:color w:val="FFFFFF" w:themeColor="background1"/>
                <w:sz w:val="20"/>
                <w:szCs w:val="20"/>
              </w:rPr>
              <w:t xml:space="preserve"> </w:t>
            </w:r>
            <w:proofErr w:type="spellStart"/>
            <w:r w:rsidRPr="00675820">
              <w:rPr>
                <w:rFonts w:asciiTheme="majorHAnsi" w:hAnsiTheme="majorHAnsi"/>
                <w:b/>
                <w:bCs/>
                <w:i/>
                <w:color w:val="FFFFFF" w:themeColor="background1"/>
                <w:sz w:val="20"/>
                <w:szCs w:val="20"/>
              </w:rPr>
              <w:t>Ratione</w:t>
            </w:r>
            <w:proofErr w:type="spellEnd"/>
            <w:r w:rsidRPr="00675820">
              <w:rPr>
                <w:rFonts w:asciiTheme="majorHAnsi" w:hAnsiTheme="majorHAnsi"/>
                <w:b/>
                <w:bCs/>
                <w:i/>
                <w:color w:val="FFFFFF" w:themeColor="background1"/>
                <w:sz w:val="20"/>
                <w:szCs w:val="20"/>
              </w:rPr>
              <w:t xml:space="preserve"> personae:</w:t>
            </w:r>
          </w:p>
        </w:tc>
        <w:tc>
          <w:tcPr>
            <w:tcW w:w="5760" w:type="dxa"/>
            <w:vAlign w:val="center"/>
          </w:tcPr>
          <w:p w14:paraId="7707F3E9" w14:textId="34042AFA" w:rsidR="003239B8" w:rsidRPr="00675820" w:rsidRDefault="008A2DCB" w:rsidP="008D2290">
            <w:pPr>
              <w:rPr>
                <w:rFonts w:asciiTheme="majorHAnsi" w:hAnsiTheme="majorHAnsi"/>
                <w:bCs/>
                <w:sz w:val="20"/>
                <w:szCs w:val="20"/>
              </w:rPr>
            </w:pPr>
            <w:proofErr w:type="spellStart"/>
            <w:r w:rsidRPr="00675820">
              <w:rPr>
                <w:rFonts w:asciiTheme="majorHAnsi" w:hAnsiTheme="majorHAnsi"/>
                <w:bCs/>
                <w:sz w:val="20"/>
                <w:szCs w:val="20"/>
              </w:rPr>
              <w:t>Sí</w:t>
            </w:r>
            <w:proofErr w:type="spellEnd"/>
          </w:p>
        </w:tc>
      </w:tr>
      <w:tr w:rsidR="003239B8" w:rsidRPr="00675820"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675820" w:rsidRDefault="003239B8" w:rsidP="008D2290">
            <w:pPr>
              <w:jc w:val="center"/>
              <w:rPr>
                <w:rFonts w:asciiTheme="majorHAnsi" w:hAnsiTheme="majorHAnsi"/>
                <w:b/>
                <w:bCs/>
                <w:color w:val="FFFFFF" w:themeColor="background1"/>
                <w:sz w:val="20"/>
                <w:szCs w:val="20"/>
              </w:rPr>
            </w:pPr>
            <w:proofErr w:type="spellStart"/>
            <w:r w:rsidRPr="00675820">
              <w:rPr>
                <w:rFonts w:asciiTheme="majorHAnsi" w:hAnsiTheme="majorHAnsi"/>
                <w:b/>
                <w:bCs/>
                <w:color w:val="FFFFFF" w:themeColor="background1"/>
                <w:sz w:val="20"/>
                <w:szCs w:val="20"/>
              </w:rPr>
              <w:t>Competencia</w:t>
            </w:r>
            <w:proofErr w:type="spellEnd"/>
            <w:r w:rsidRPr="00675820">
              <w:rPr>
                <w:rFonts w:asciiTheme="majorHAnsi" w:hAnsiTheme="majorHAnsi"/>
                <w:b/>
                <w:bCs/>
                <w:i/>
                <w:color w:val="FFFFFF" w:themeColor="background1"/>
                <w:sz w:val="20"/>
                <w:szCs w:val="20"/>
              </w:rPr>
              <w:t xml:space="preserve"> </w:t>
            </w:r>
            <w:proofErr w:type="spellStart"/>
            <w:r w:rsidRPr="00675820">
              <w:rPr>
                <w:rFonts w:asciiTheme="majorHAnsi" w:hAnsiTheme="majorHAnsi"/>
                <w:b/>
                <w:bCs/>
                <w:i/>
                <w:color w:val="FFFFFF" w:themeColor="background1"/>
                <w:sz w:val="20"/>
                <w:szCs w:val="20"/>
              </w:rPr>
              <w:t>Ratione</w:t>
            </w:r>
            <w:proofErr w:type="spellEnd"/>
            <w:r w:rsidRPr="00675820">
              <w:rPr>
                <w:rFonts w:asciiTheme="majorHAnsi" w:hAnsiTheme="majorHAnsi"/>
                <w:b/>
                <w:bCs/>
                <w:i/>
                <w:color w:val="FFFFFF" w:themeColor="background1"/>
                <w:sz w:val="20"/>
                <w:szCs w:val="20"/>
              </w:rPr>
              <w:t xml:space="preserve"> loci</w:t>
            </w:r>
            <w:r w:rsidRPr="00675820">
              <w:rPr>
                <w:rFonts w:asciiTheme="majorHAnsi" w:hAnsiTheme="majorHAnsi"/>
                <w:b/>
                <w:bCs/>
                <w:color w:val="FFFFFF" w:themeColor="background1"/>
                <w:sz w:val="20"/>
                <w:szCs w:val="20"/>
              </w:rPr>
              <w:t>:</w:t>
            </w:r>
          </w:p>
        </w:tc>
        <w:tc>
          <w:tcPr>
            <w:tcW w:w="5760" w:type="dxa"/>
            <w:vAlign w:val="center"/>
          </w:tcPr>
          <w:p w14:paraId="12C931CB" w14:textId="72D863CB" w:rsidR="003239B8" w:rsidRPr="00675820" w:rsidRDefault="008A2DCB" w:rsidP="008D2290">
            <w:pPr>
              <w:rPr>
                <w:rFonts w:asciiTheme="majorHAnsi" w:hAnsiTheme="majorHAnsi"/>
                <w:bCs/>
                <w:sz w:val="20"/>
                <w:szCs w:val="20"/>
              </w:rPr>
            </w:pPr>
            <w:proofErr w:type="spellStart"/>
            <w:r w:rsidRPr="00675820">
              <w:rPr>
                <w:rFonts w:asciiTheme="majorHAnsi" w:hAnsiTheme="majorHAnsi"/>
                <w:bCs/>
                <w:sz w:val="20"/>
                <w:szCs w:val="20"/>
              </w:rPr>
              <w:t>Sí</w:t>
            </w:r>
            <w:proofErr w:type="spellEnd"/>
          </w:p>
        </w:tc>
      </w:tr>
      <w:tr w:rsidR="003239B8" w:rsidRPr="00675820"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675820" w:rsidRDefault="003239B8" w:rsidP="008D2290">
            <w:pPr>
              <w:jc w:val="center"/>
              <w:rPr>
                <w:rFonts w:asciiTheme="majorHAnsi" w:hAnsiTheme="majorHAnsi"/>
                <w:b/>
                <w:bCs/>
                <w:color w:val="FFFFFF" w:themeColor="background1"/>
                <w:sz w:val="20"/>
                <w:szCs w:val="20"/>
              </w:rPr>
            </w:pPr>
            <w:proofErr w:type="spellStart"/>
            <w:r w:rsidRPr="00675820">
              <w:rPr>
                <w:rFonts w:asciiTheme="majorHAnsi" w:hAnsiTheme="majorHAnsi"/>
                <w:b/>
                <w:bCs/>
                <w:color w:val="FFFFFF" w:themeColor="background1"/>
                <w:sz w:val="20"/>
                <w:szCs w:val="20"/>
              </w:rPr>
              <w:t>Competencia</w:t>
            </w:r>
            <w:proofErr w:type="spellEnd"/>
            <w:r w:rsidRPr="00675820">
              <w:rPr>
                <w:rFonts w:asciiTheme="majorHAnsi" w:hAnsiTheme="majorHAnsi"/>
                <w:b/>
                <w:bCs/>
                <w:i/>
                <w:color w:val="FFFFFF" w:themeColor="background1"/>
                <w:sz w:val="20"/>
                <w:szCs w:val="20"/>
              </w:rPr>
              <w:t xml:space="preserve"> </w:t>
            </w:r>
            <w:proofErr w:type="spellStart"/>
            <w:r w:rsidRPr="00675820">
              <w:rPr>
                <w:rFonts w:asciiTheme="majorHAnsi" w:hAnsiTheme="majorHAnsi"/>
                <w:b/>
                <w:bCs/>
                <w:i/>
                <w:color w:val="FFFFFF" w:themeColor="background1"/>
                <w:sz w:val="20"/>
                <w:szCs w:val="20"/>
              </w:rPr>
              <w:t>Ratione</w:t>
            </w:r>
            <w:proofErr w:type="spellEnd"/>
            <w:r w:rsidRPr="00675820">
              <w:rPr>
                <w:rFonts w:asciiTheme="majorHAnsi" w:hAnsiTheme="majorHAnsi"/>
                <w:b/>
                <w:bCs/>
                <w:i/>
                <w:color w:val="FFFFFF" w:themeColor="background1"/>
                <w:sz w:val="20"/>
                <w:szCs w:val="20"/>
              </w:rPr>
              <w:t xml:space="preserve"> </w:t>
            </w:r>
            <w:proofErr w:type="spellStart"/>
            <w:r w:rsidRPr="00675820">
              <w:rPr>
                <w:rFonts w:asciiTheme="majorHAnsi" w:hAnsiTheme="majorHAnsi"/>
                <w:b/>
                <w:bCs/>
                <w:i/>
                <w:color w:val="FFFFFF" w:themeColor="background1"/>
                <w:sz w:val="20"/>
                <w:szCs w:val="20"/>
              </w:rPr>
              <w:t>temporis</w:t>
            </w:r>
            <w:proofErr w:type="spellEnd"/>
            <w:r w:rsidRPr="00675820">
              <w:rPr>
                <w:rFonts w:asciiTheme="majorHAnsi" w:hAnsiTheme="majorHAnsi"/>
                <w:b/>
                <w:bCs/>
                <w:color w:val="FFFFFF" w:themeColor="background1"/>
                <w:sz w:val="20"/>
                <w:szCs w:val="20"/>
              </w:rPr>
              <w:t>:</w:t>
            </w:r>
          </w:p>
        </w:tc>
        <w:tc>
          <w:tcPr>
            <w:tcW w:w="5760" w:type="dxa"/>
            <w:vAlign w:val="center"/>
          </w:tcPr>
          <w:p w14:paraId="6F8B059B" w14:textId="2473F867" w:rsidR="003239B8" w:rsidRPr="00675820" w:rsidRDefault="009102B6" w:rsidP="008D2290">
            <w:pPr>
              <w:rPr>
                <w:rFonts w:asciiTheme="majorHAnsi" w:hAnsiTheme="majorHAnsi"/>
                <w:bCs/>
                <w:sz w:val="20"/>
                <w:szCs w:val="20"/>
              </w:rPr>
            </w:pPr>
            <w:proofErr w:type="spellStart"/>
            <w:r w:rsidRPr="00675820">
              <w:rPr>
                <w:rFonts w:asciiTheme="majorHAnsi" w:hAnsiTheme="majorHAnsi"/>
                <w:bCs/>
                <w:sz w:val="20"/>
                <w:szCs w:val="20"/>
              </w:rPr>
              <w:t>Sí</w:t>
            </w:r>
            <w:proofErr w:type="spellEnd"/>
            <w:r w:rsidRPr="00675820">
              <w:rPr>
                <w:rFonts w:asciiTheme="majorHAnsi" w:hAnsiTheme="majorHAnsi"/>
                <w:bCs/>
                <w:sz w:val="20"/>
                <w:szCs w:val="20"/>
              </w:rPr>
              <w:t xml:space="preserve"> </w:t>
            </w:r>
          </w:p>
        </w:tc>
      </w:tr>
      <w:tr w:rsidR="003239B8" w:rsidRPr="0067582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675820" w:rsidRDefault="003239B8" w:rsidP="008D2290">
            <w:pPr>
              <w:jc w:val="center"/>
              <w:rPr>
                <w:rFonts w:asciiTheme="majorHAnsi" w:hAnsiTheme="majorHAnsi"/>
                <w:b/>
                <w:bCs/>
                <w:color w:val="FFFFFF" w:themeColor="background1"/>
                <w:sz w:val="20"/>
                <w:szCs w:val="20"/>
              </w:rPr>
            </w:pPr>
            <w:proofErr w:type="spellStart"/>
            <w:r w:rsidRPr="00675820">
              <w:rPr>
                <w:rFonts w:asciiTheme="majorHAnsi" w:hAnsiTheme="majorHAnsi"/>
                <w:b/>
                <w:bCs/>
                <w:color w:val="FFFFFF" w:themeColor="background1"/>
                <w:sz w:val="20"/>
                <w:szCs w:val="20"/>
              </w:rPr>
              <w:t>Competencia</w:t>
            </w:r>
            <w:proofErr w:type="spellEnd"/>
            <w:r w:rsidRPr="00675820">
              <w:rPr>
                <w:rFonts w:asciiTheme="majorHAnsi" w:hAnsiTheme="majorHAnsi"/>
                <w:b/>
                <w:bCs/>
                <w:i/>
                <w:color w:val="FFFFFF" w:themeColor="background1"/>
                <w:sz w:val="20"/>
                <w:szCs w:val="20"/>
              </w:rPr>
              <w:t xml:space="preserve"> </w:t>
            </w:r>
            <w:proofErr w:type="spellStart"/>
            <w:r w:rsidRPr="00675820">
              <w:rPr>
                <w:rFonts w:asciiTheme="majorHAnsi" w:hAnsiTheme="majorHAnsi"/>
                <w:b/>
                <w:bCs/>
                <w:i/>
                <w:color w:val="FFFFFF" w:themeColor="background1"/>
                <w:sz w:val="20"/>
                <w:szCs w:val="20"/>
              </w:rPr>
              <w:t>Ratione</w:t>
            </w:r>
            <w:proofErr w:type="spellEnd"/>
            <w:r w:rsidRPr="00675820">
              <w:rPr>
                <w:rFonts w:asciiTheme="majorHAnsi" w:hAnsiTheme="majorHAnsi"/>
                <w:b/>
                <w:bCs/>
                <w:i/>
                <w:color w:val="FFFFFF" w:themeColor="background1"/>
                <w:sz w:val="20"/>
                <w:szCs w:val="20"/>
              </w:rPr>
              <w:t xml:space="preserve"> </w:t>
            </w:r>
            <w:proofErr w:type="spellStart"/>
            <w:r w:rsidRPr="00675820">
              <w:rPr>
                <w:rFonts w:asciiTheme="majorHAnsi" w:hAnsiTheme="majorHAnsi"/>
                <w:b/>
                <w:bCs/>
                <w:i/>
                <w:color w:val="FFFFFF" w:themeColor="background1"/>
                <w:sz w:val="20"/>
                <w:szCs w:val="20"/>
              </w:rPr>
              <w:t>materia</w:t>
            </w:r>
            <w:r w:rsidR="00EE00E9" w:rsidRPr="00675820">
              <w:rPr>
                <w:rFonts w:asciiTheme="majorHAnsi" w:hAnsiTheme="majorHAnsi"/>
                <w:b/>
                <w:bCs/>
                <w:i/>
                <w:color w:val="FFFFFF" w:themeColor="background1"/>
                <w:sz w:val="20"/>
                <w:szCs w:val="20"/>
              </w:rPr>
              <w:t>e</w:t>
            </w:r>
            <w:proofErr w:type="spellEnd"/>
            <w:r w:rsidRPr="00675820">
              <w:rPr>
                <w:rFonts w:asciiTheme="majorHAnsi" w:hAnsiTheme="majorHAnsi"/>
                <w:b/>
                <w:bCs/>
                <w:color w:val="FFFFFF" w:themeColor="background1"/>
                <w:sz w:val="20"/>
                <w:szCs w:val="20"/>
              </w:rPr>
              <w:t>:</w:t>
            </w:r>
          </w:p>
        </w:tc>
        <w:tc>
          <w:tcPr>
            <w:tcW w:w="5760" w:type="dxa"/>
            <w:vAlign w:val="center"/>
          </w:tcPr>
          <w:p w14:paraId="0C122F44" w14:textId="766030EA" w:rsidR="003239B8" w:rsidRPr="00675820" w:rsidRDefault="00CF57F4" w:rsidP="00474C4D">
            <w:pPr>
              <w:jc w:val="both"/>
              <w:rPr>
                <w:rFonts w:asciiTheme="majorHAnsi" w:hAnsiTheme="majorHAnsi"/>
                <w:bCs/>
                <w:sz w:val="20"/>
                <w:szCs w:val="20"/>
                <w:lang w:val="es-ES"/>
              </w:rPr>
            </w:pPr>
            <w:r w:rsidRPr="00675820">
              <w:rPr>
                <w:rFonts w:asciiTheme="majorHAnsi" w:hAnsiTheme="majorHAnsi"/>
                <w:bCs/>
                <w:sz w:val="20"/>
                <w:szCs w:val="20"/>
                <w:lang w:val="es-ES"/>
              </w:rPr>
              <w:t>Sí</w:t>
            </w:r>
            <w:r w:rsidR="00474C4D" w:rsidRPr="00675820">
              <w:rPr>
                <w:rFonts w:asciiTheme="majorHAnsi" w:hAnsiTheme="majorHAnsi"/>
                <w:bCs/>
                <w:sz w:val="20"/>
                <w:szCs w:val="20"/>
                <w:lang w:val="es-ES"/>
              </w:rPr>
              <w:t>,</w:t>
            </w:r>
            <w:r w:rsidRPr="00675820">
              <w:rPr>
                <w:rFonts w:asciiTheme="majorHAnsi" w:hAnsiTheme="majorHAnsi"/>
                <w:bCs/>
                <w:sz w:val="20"/>
                <w:szCs w:val="20"/>
                <w:lang w:val="es-ES"/>
              </w:rPr>
              <w:t xml:space="preserve"> </w:t>
            </w:r>
            <w:r w:rsidR="00474C4D" w:rsidRPr="00675820">
              <w:rPr>
                <w:rFonts w:asciiTheme="majorHAnsi" w:hAnsiTheme="majorHAnsi"/>
                <w:bCs/>
                <w:sz w:val="20"/>
                <w:szCs w:val="20"/>
                <w:lang w:val="es-ES"/>
              </w:rPr>
              <w:t>Convención Americana (depósito del instrumento</w:t>
            </w:r>
            <w:r w:rsidR="005A3949" w:rsidRPr="00675820">
              <w:rPr>
                <w:rFonts w:asciiTheme="majorHAnsi" w:hAnsiTheme="majorHAnsi"/>
                <w:bCs/>
                <w:sz w:val="20"/>
                <w:szCs w:val="20"/>
                <w:lang w:val="es-ES"/>
              </w:rPr>
              <w:t xml:space="preserve"> de ratificación</w:t>
            </w:r>
            <w:r w:rsidR="00474C4D" w:rsidRPr="00675820">
              <w:rPr>
                <w:rFonts w:asciiTheme="majorHAnsi" w:hAnsiTheme="majorHAnsi"/>
                <w:bCs/>
                <w:sz w:val="20"/>
                <w:szCs w:val="20"/>
                <w:lang w:val="es-ES"/>
              </w:rPr>
              <w:t xml:space="preserve"> realizado el 21 de agosto de 1990)</w:t>
            </w:r>
          </w:p>
        </w:tc>
      </w:tr>
    </w:tbl>
    <w:p w14:paraId="4E92C444" w14:textId="544C2602" w:rsidR="003239B8" w:rsidRPr="00675820" w:rsidRDefault="003239B8" w:rsidP="003239B8">
      <w:pPr>
        <w:spacing w:before="240" w:after="240"/>
        <w:ind w:firstLine="720"/>
        <w:jc w:val="both"/>
        <w:rPr>
          <w:rFonts w:asciiTheme="majorHAnsi" w:hAnsiTheme="majorHAnsi"/>
          <w:b/>
          <w:bCs/>
          <w:sz w:val="20"/>
          <w:szCs w:val="20"/>
          <w:lang w:val="es-ES"/>
        </w:rPr>
      </w:pPr>
      <w:r w:rsidRPr="00675820">
        <w:rPr>
          <w:rFonts w:asciiTheme="majorHAnsi" w:hAnsiTheme="majorHAnsi"/>
          <w:b/>
          <w:bCs/>
          <w:sz w:val="20"/>
          <w:szCs w:val="20"/>
          <w:lang w:val="es-ES"/>
        </w:rPr>
        <w:t xml:space="preserve">IV. </w:t>
      </w:r>
      <w:r w:rsidRPr="00675820">
        <w:rPr>
          <w:rFonts w:asciiTheme="majorHAnsi" w:hAnsiTheme="majorHAnsi"/>
          <w:b/>
          <w:bCs/>
          <w:sz w:val="20"/>
          <w:szCs w:val="20"/>
          <w:lang w:val="es-ES"/>
        </w:rPr>
        <w:tab/>
      </w:r>
      <w:r w:rsidR="00EE00E9" w:rsidRPr="00675820">
        <w:rPr>
          <w:rFonts w:asciiTheme="majorHAnsi" w:hAnsiTheme="majorHAnsi"/>
          <w:b/>
          <w:bCs/>
          <w:sz w:val="20"/>
          <w:szCs w:val="20"/>
          <w:lang w:val="es-ES"/>
        </w:rPr>
        <w:t>DUPLICACIÓN</w:t>
      </w:r>
      <w:r w:rsidR="00EE00E9" w:rsidRPr="00675820">
        <w:rPr>
          <w:rFonts w:asciiTheme="majorHAnsi" w:hAnsiTheme="majorHAnsi"/>
          <w:b/>
          <w:bCs/>
          <w:color w:val="FFFFFF" w:themeColor="background1"/>
          <w:sz w:val="20"/>
          <w:szCs w:val="20"/>
          <w:lang w:val="es-ES"/>
        </w:rPr>
        <w:t xml:space="preserve"> </w:t>
      </w:r>
      <w:r w:rsidR="00EE00E9" w:rsidRPr="00675820">
        <w:rPr>
          <w:rFonts w:asciiTheme="majorHAnsi" w:hAnsiTheme="majorHAnsi"/>
          <w:b/>
          <w:bCs/>
          <w:sz w:val="20"/>
          <w:szCs w:val="20"/>
          <w:lang w:val="es-ES"/>
        </w:rPr>
        <w:t>DE PROCEDIMIENTOS Y COSA JUZGADA</w:t>
      </w:r>
      <w:r w:rsidR="00EE00E9" w:rsidRPr="00675820">
        <w:rPr>
          <w:rFonts w:asciiTheme="majorHAnsi" w:hAnsiTheme="majorHAnsi"/>
          <w:b/>
          <w:bCs/>
          <w:i/>
          <w:sz w:val="20"/>
          <w:szCs w:val="20"/>
          <w:lang w:val="es-ES"/>
        </w:rPr>
        <w:t xml:space="preserve"> </w:t>
      </w:r>
      <w:r w:rsidR="00C5753B" w:rsidRPr="00675820">
        <w:rPr>
          <w:rFonts w:asciiTheme="majorHAnsi" w:hAnsiTheme="majorHAnsi"/>
          <w:b/>
          <w:bCs/>
          <w:sz w:val="20"/>
          <w:szCs w:val="20"/>
          <w:lang w:val="es-ES"/>
        </w:rPr>
        <w:t>INTERNACIONAL, CARACTERIZACIÓN</w:t>
      </w:r>
      <w:r w:rsidRPr="00675820">
        <w:rPr>
          <w:rFonts w:asciiTheme="majorHAnsi" w:hAnsiTheme="majorHAnsi"/>
          <w:b/>
          <w:bCs/>
          <w:sz w:val="20"/>
          <w:szCs w:val="20"/>
          <w:lang w:val="es-ES"/>
        </w:rPr>
        <w:t xml:space="preserve">, </w:t>
      </w:r>
      <w:r w:rsidRPr="0067582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75820"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675820" w:rsidRDefault="00EE00E9" w:rsidP="008D2290">
            <w:pPr>
              <w:jc w:val="center"/>
              <w:rPr>
                <w:rFonts w:asciiTheme="majorHAnsi" w:hAnsiTheme="majorHAnsi"/>
                <w:b/>
                <w:bCs/>
                <w:color w:val="FFFFFF" w:themeColor="background1"/>
                <w:sz w:val="20"/>
                <w:szCs w:val="20"/>
                <w:lang w:val="es-ES"/>
              </w:rPr>
            </w:pPr>
            <w:r w:rsidRPr="00675820">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0F2D2484" w:rsidR="00EE00E9" w:rsidRPr="00675820" w:rsidRDefault="00BC4854" w:rsidP="008D2290">
            <w:pPr>
              <w:jc w:val="both"/>
              <w:rPr>
                <w:rFonts w:asciiTheme="majorHAnsi" w:hAnsiTheme="majorHAnsi"/>
                <w:bCs/>
                <w:sz w:val="20"/>
                <w:szCs w:val="20"/>
                <w:lang w:val="es-ES"/>
              </w:rPr>
            </w:pPr>
            <w:r w:rsidRPr="00675820">
              <w:rPr>
                <w:rFonts w:asciiTheme="majorHAnsi" w:hAnsiTheme="majorHAnsi"/>
                <w:bCs/>
                <w:sz w:val="20"/>
                <w:szCs w:val="20"/>
                <w:lang w:val="es-ES"/>
              </w:rPr>
              <w:t>No</w:t>
            </w:r>
          </w:p>
        </w:tc>
      </w:tr>
      <w:tr w:rsidR="003239B8" w:rsidRPr="00675820"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675820" w:rsidRDefault="003239B8" w:rsidP="008D2290">
            <w:pPr>
              <w:jc w:val="center"/>
              <w:rPr>
                <w:rFonts w:asciiTheme="majorHAnsi" w:hAnsiTheme="majorHAnsi"/>
                <w:b/>
                <w:bCs/>
                <w:i/>
                <w:color w:val="FFFFFF" w:themeColor="background1"/>
                <w:sz w:val="20"/>
                <w:szCs w:val="20"/>
              </w:rPr>
            </w:pPr>
            <w:r w:rsidRPr="00675820">
              <w:rPr>
                <w:rFonts w:asciiTheme="majorHAnsi" w:hAnsiTheme="majorHAnsi"/>
                <w:b/>
                <w:bCs/>
                <w:color w:val="FFFFFF" w:themeColor="background1"/>
                <w:sz w:val="20"/>
                <w:szCs w:val="20"/>
              </w:rPr>
              <w:t xml:space="preserve">Derechos </w:t>
            </w:r>
            <w:proofErr w:type="spellStart"/>
            <w:r w:rsidRPr="00675820">
              <w:rPr>
                <w:rFonts w:asciiTheme="majorHAnsi" w:hAnsiTheme="majorHAnsi"/>
                <w:b/>
                <w:bCs/>
                <w:color w:val="FFFFFF" w:themeColor="background1"/>
                <w:sz w:val="20"/>
                <w:szCs w:val="20"/>
              </w:rPr>
              <w:t>declarados</w:t>
            </w:r>
            <w:proofErr w:type="spellEnd"/>
            <w:r w:rsidRPr="00675820">
              <w:rPr>
                <w:rFonts w:asciiTheme="majorHAnsi" w:hAnsiTheme="majorHAnsi"/>
                <w:b/>
                <w:bCs/>
                <w:color w:val="FFFFFF" w:themeColor="background1"/>
                <w:sz w:val="20"/>
                <w:szCs w:val="20"/>
              </w:rPr>
              <w:t xml:space="preserve"> </w:t>
            </w:r>
            <w:proofErr w:type="spellStart"/>
            <w:r w:rsidRPr="00675820">
              <w:rPr>
                <w:rFonts w:asciiTheme="majorHAnsi" w:hAnsiTheme="majorHAnsi"/>
                <w:b/>
                <w:bCs/>
                <w:color w:val="FFFFFF" w:themeColor="background1"/>
                <w:sz w:val="20"/>
                <w:szCs w:val="20"/>
              </w:rPr>
              <w:t>admisibles</w:t>
            </w:r>
            <w:proofErr w:type="spellEnd"/>
            <w:r w:rsidRPr="00675820">
              <w:rPr>
                <w:rFonts w:asciiTheme="majorHAnsi" w:hAnsiTheme="majorHAnsi"/>
                <w:b/>
                <w:bCs/>
                <w:i/>
                <w:color w:val="FFFFFF" w:themeColor="background1"/>
                <w:sz w:val="20"/>
                <w:szCs w:val="20"/>
              </w:rPr>
              <w:t>:</w:t>
            </w:r>
          </w:p>
        </w:tc>
        <w:tc>
          <w:tcPr>
            <w:tcW w:w="5760" w:type="dxa"/>
            <w:vAlign w:val="center"/>
          </w:tcPr>
          <w:p w14:paraId="6310C8F7" w14:textId="42BB0E01" w:rsidR="003239B8" w:rsidRPr="00675820" w:rsidRDefault="00D211B0" w:rsidP="009102B6">
            <w:pPr>
              <w:jc w:val="both"/>
              <w:rPr>
                <w:rFonts w:asciiTheme="majorHAnsi" w:hAnsiTheme="majorHAnsi"/>
                <w:bCs/>
                <w:sz w:val="20"/>
                <w:szCs w:val="20"/>
                <w:lang w:val="es-AR"/>
              </w:rPr>
            </w:pPr>
            <w:r w:rsidRPr="00675820">
              <w:rPr>
                <w:rFonts w:asciiTheme="majorHAnsi" w:hAnsiTheme="majorHAnsi"/>
                <w:bCs/>
                <w:sz w:val="20"/>
                <w:szCs w:val="20"/>
                <w:lang w:val="es-AR"/>
              </w:rPr>
              <w:t>Artículo</w:t>
            </w:r>
            <w:r w:rsidR="007E7669" w:rsidRPr="00675820">
              <w:rPr>
                <w:rFonts w:asciiTheme="majorHAnsi" w:hAnsiTheme="majorHAnsi"/>
                <w:bCs/>
                <w:sz w:val="20"/>
                <w:szCs w:val="20"/>
                <w:lang w:val="es-AR"/>
              </w:rPr>
              <w:t>s</w:t>
            </w:r>
            <w:r w:rsidRPr="00675820">
              <w:rPr>
                <w:rFonts w:asciiTheme="majorHAnsi" w:hAnsiTheme="majorHAnsi"/>
                <w:bCs/>
                <w:sz w:val="20"/>
                <w:szCs w:val="20"/>
                <w:lang w:val="es-AR"/>
              </w:rPr>
              <w:t xml:space="preserve"> 8 (garantías judiciales), 21 (propiedad privada), 25 (protección judicial) y 26 (derechos económicos sociales y culturales) de la Convención Americana en relación con su art</w:t>
            </w:r>
            <w:r w:rsidR="007E7669" w:rsidRPr="00675820">
              <w:rPr>
                <w:rFonts w:asciiTheme="majorHAnsi" w:hAnsiTheme="majorHAnsi"/>
                <w:bCs/>
                <w:sz w:val="20"/>
                <w:szCs w:val="20"/>
                <w:lang w:val="es-AR"/>
              </w:rPr>
              <w:t>ículo 1</w:t>
            </w:r>
            <w:r w:rsidRPr="00675820">
              <w:rPr>
                <w:rFonts w:asciiTheme="majorHAnsi" w:hAnsiTheme="majorHAnsi"/>
                <w:bCs/>
                <w:sz w:val="20"/>
                <w:szCs w:val="20"/>
                <w:lang w:val="es-AR"/>
              </w:rPr>
              <w:t>.1 (obligación de respetar los derechos)</w:t>
            </w:r>
          </w:p>
        </w:tc>
      </w:tr>
      <w:tr w:rsidR="003239B8" w:rsidRPr="0067582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675820" w:rsidRDefault="003239B8" w:rsidP="008D2290">
            <w:pPr>
              <w:jc w:val="center"/>
              <w:rPr>
                <w:rFonts w:asciiTheme="majorHAnsi" w:hAnsiTheme="majorHAnsi"/>
                <w:b/>
                <w:bCs/>
                <w:color w:val="FFFFFF" w:themeColor="background1"/>
                <w:sz w:val="20"/>
                <w:szCs w:val="20"/>
                <w:lang w:val="es-ES"/>
              </w:rPr>
            </w:pPr>
            <w:r w:rsidRPr="00675820">
              <w:rPr>
                <w:rFonts w:asciiTheme="majorHAnsi" w:hAnsiTheme="majorHAnsi"/>
                <w:b/>
                <w:bCs/>
                <w:color w:val="FFFFFF" w:themeColor="background1"/>
                <w:sz w:val="20"/>
                <w:szCs w:val="20"/>
                <w:lang w:val="es-ES"/>
              </w:rPr>
              <w:t>Agotamiento de recursos internos</w:t>
            </w:r>
            <w:r w:rsidR="00EE00E9" w:rsidRPr="00675820">
              <w:rPr>
                <w:rFonts w:asciiTheme="majorHAnsi" w:hAnsiTheme="majorHAnsi"/>
                <w:b/>
                <w:bCs/>
                <w:color w:val="FFFFFF" w:themeColor="background1"/>
                <w:sz w:val="20"/>
                <w:szCs w:val="20"/>
                <w:lang w:val="es-ES"/>
              </w:rPr>
              <w:t xml:space="preserve"> o procedencia de una excepción</w:t>
            </w:r>
            <w:r w:rsidRPr="00675820">
              <w:rPr>
                <w:rFonts w:asciiTheme="majorHAnsi" w:hAnsiTheme="majorHAnsi"/>
                <w:b/>
                <w:bCs/>
                <w:color w:val="FFFFFF" w:themeColor="background1"/>
                <w:sz w:val="20"/>
                <w:szCs w:val="20"/>
                <w:lang w:val="es-ES"/>
              </w:rPr>
              <w:t>:</w:t>
            </w:r>
          </w:p>
        </w:tc>
        <w:tc>
          <w:tcPr>
            <w:tcW w:w="5760" w:type="dxa"/>
            <w:vAlign w:val="center"/>
          </w:tcPr>
          <w:p w14:paraId="69C53E8A" w14:textId="2697B82C" w:rsidR="003239B8" w:rsidRPr="00675820" w:rsidRDefault="00D211B0" w:rsidP="008D2290">
            <w:pPr>
              <w:rPr>
                <w:rFonts w:asciiTheme="majorHAnsi" w:hAnsiTheme="majorHAnsi"/>
                <w:bCs/>
                <w:sz w:val="20"/>
                <w:szCs w:val="20"/>
                <w:lang w:val="es-ES"/>
              </w:rPr>
            </w:pPr>
            <w:r w:rsidRPr="00675820">
              <w:rPr>
                <w:rFonts w:asciiTheme="majorHAnsi" w:hAnsiTheme="majorHAnsi"/>
                <w:bCs/>
                <w:sz w:val="20"/>
                <w:szCs w:val="20"/>
                <w:lang w:val="es-ES"/>
              </w:rPr>
              <w:t>Sí, 26 de junio de 2012</w:t>
            </w:r>
          </w:p>
        </w:tc>
      </w:tr>
      <w:tr w:rsidR="003239B8" w:rsidRPr="00675820"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675820" w:rsidRDefault="003239B8" w:rsidP="008D2290">
            <w:pPr>
              <w:jc w:val="center"/>
              <w:rPr>
                <w:rFonts w:asciiTheme="majorHAnsi" w:hAnsiTheme="majorHAnsi"/>
                <w:b/>
                <w:bCs/>
                <w:color w:val="FFFFFF" w:themeColor="background1"/>
                <w:sz w:val="20"/>
                <w:szCs w:val="20"/>
              </w:rPr>
            </w:pPr>
            <w:proofErr w:type="spellStart"/>
            <w:r w:rsidRPr="00675820">
              <w:rPr>
                <w:rFonts w:asciiTheme="majorHAnsi" w:hAnsiTheme="majorHAnsi"/>
                <w:b/>
                <w:bCs/>
                <w:color w:val="FFFFFF" w:themeColor="background1"/>
                <w:sz w:val="20"/>
                <w:szCs w:val="20"/>
              </w:rPr>
              <w:t>Presentación</w:t>
            </w:r>
            <w:proofErr w:type="spellEnd"/>
            <w:r w:rsidRPr="00675820">
              <w:rPr>
                <w:rFonts w:asciiTheme="majorHAnsi" w:hAnsiTheme="majorHAnsi"/>
                <w:b/>
                <w:bCs/>
                <w:color w:val="FFFFFF" w:themeColor="background1"/>
                <w:sz w:val="20"/>
                <w:szCs w:val="20"/>
              </w:rPr>
              <w:t xml:space="preserve"> </w:t>
            </w:r>
            <w:proofErr w:type="spellStart"/>
            <w:r w:rsidRPr="00675820">
              <w:rPr>
                <w:rFonts w:asciiTheme="majorHAnsi" w:hAnsiTheme="majorHAnsi"/>
                <w:b/>
                <w:bCs/>
                <w:color w:val="FFFFFF" w:themeColor="background1"/>
                <w:sz w:val="20"/>
                <w:szCs w:val="20"/>
              </w:rPr>
              <w:t>dentro</w:t>
            </w:r>
            <w:proofErr w:type="spellEnd"/>
            <w:r w:rsidRPr="00675820">
              <w:rPr>
                <w:rFonts w:asciiTheme="majorHAnsi" w:hAnsiTheme="majorHAnsi"/>
                <w:b/>
                <w:bCs/>
                <w:color w:val="FFFFFF" w:themeColor="background1"/>
                <w:sz w:val="20"/>
                <w:szCs w:val="20"/>
              </w:rPr>
              <w:t xml:space="preserve"> de </w:t>
            </w:r>
            <w:proofErr w:type="spellStart"/>
            <w:r w:rsidRPr="00675820">
              <w:rPr>
                <w:rFonts w:asciiTheme="majorHAnsi" w:hAnsiTheme="majorHAnsi"/>
                <w:b/>
                <w:bCs/>
                <w:color w:val="FFFFFF" w:themeColor="background1"/>
                <w:sz w:val="20"/>
                <w:szCs w:val="20"/>
              </w:rPr>
              <w:t>plazo</w:t>
            </w:r>
            <w:proofErr w:type="spellEnd"/>
            <w:r w:rsidRPr="00675820">
              <w:rPr>
                <w:rFonts w:asciiTheme="majorHAnsi" w:hAnsiTheme="majorHAnsi"/>
                <w:b/>
                <w:bCs/>
                <w:color w:val="FFFFFF" w:themeColor="background1"/>
                <w:sz w:val="20"/>
                <w:szCs w:val="20"/>
              </w:rPr>
              <w:t>:</w:t>
            </w:r>
          </w:p>
        </w:tc>
        <w:tc>
          <w:tcPr>
            <w:tcW w:w="5760" w:type="dxa"/>
            <w:vAlign w:val="center"/>
          </w:tcPr>
          <w:p w14:paraId="4A2A4569" w14:textId="41B0743C" w:rsidR="003239B8" w:rsidRPr="00675820" w:rsidRDefault="00D211B0" w:rsidP="009F2EAB">
            <w:pPr>
              <w:rPr>
                <w:rFonts w:asciiTheme="majorHAnsi" w:hAnsiTheme="majorHAnsi"/>
                <w:bCs/>
                <w:sz w:val="20"/>
                <w:szCs w:val="20"/>
                <w:lang w:val="es-AR"/>
              </w:rPr>
            </w:pPr>
            <w:r w:rsidRPr="00675820">
              <w:rPr>
                <w:rFonts w:asciiTheme="majorHAnsi" w:hAnsiTheme="majorHAnsi"/>
                <w:bCs/>
                <w:sz w:val="20"/>
                <w:szCs w:val="20"/>
                <w:lang w:val="es-AR"/>
              </w:rPr>
              <w:t>Sí, 14 de diciembre de 2012</w:t>
            </w:r>
            <w:r w:rsidR="00C737CB" w:rsidRPr="00675820">
              <w:rPr>
                <w:rFonts w:asciiTheme="majorHAnsi" w:hAnsiTheme="majorHAnsi"/>
                <w:bCs/>
                <w:sz w:val="20"/>
                <w:szCs w:val="20"/>
                <w:lang w:val="es-AR"/>
              </w:rPr>
              <w:t xml:space="preserve"> </w:t>
            </w:r>
          </w:p>
        </w:tc>
      </w:tr>
    </w:tbl>
    <w:p w14:paraId="18E6423B" w14:textId="792B6946" w:rsidR="003239B8" w:rsidRPr="00675820" w:rsidRDefault="00223A29" w:rsidP="003239B8">
      <w:pPr>
        <w:spacing w:before="240" w:after="240"/>
        <w:ind w:firstLine="720"/>
        <w:jc w:val="both"/>
        <w:rPr>
          <w:rFonts w:asciiTheme="majorHAnsi" w:hAnsiTheme="majorHAnsi"/>
          <w:b/>
          <w:sz w:val="20"/>
          <w:szCs w:val="20"/>
          <w:lang w:val="es-UY"/>
        </w:rPr>
      </w:pPr>
      <w:r w:rsidRPr="00675820">
        <w:rPr>
          <w:rFonts w:asciiTheme="majorHAnsi" w:hAnsiTheme="majorHAnsi"/>
          <w:b/>
          <w:sz w:val="20"/>
          <w:szCs w:val="20"/>
          <w:lang w:val="es-UY"/>
        </w:rPr>
        <w:lastRenderedPageBreak/>
        <w:t xml:space="preserve">V. </w:t>
      </w:r>
      <w:r w:rsidRPr="00675820">
        <w:rPr>
          <w:rFonts w:asciiTheme="majorHAnsi" w:hAnsiTheme="majorHAnsi"/>
          <w:b/>
          <w:sz w:val="20"/>
          <w:szCs w:val="20"/>
          <w:lang w:val="es-UY"/>
        </w:rPr>
        <w:tab/>
      </w:r>
      <w:r w:rsidR="003239B8" w:rsidRPr="00675820">
        <w:rPr>
          <w:rFonts w:asciiTheme="majorHAnsi" w:hAnsiTheme="majorHAnsi"/>
          <w:b/>
          <w:sz w:val="20"/>
          <w:szCs w:val="20"/>
          <w:lang w:val="es-UY"/>
        </w:rPr>
        <w:t xml:space="preserve">HECHOS ALEGADOS </w:t>
      </w:r>
    </w:p>
    <w:p w14:paraId="3F38282C" w14:textId="2590A73A" w:rsidR="00E43159" w:rsidRPr="00675820" w:rsidRDefault="00E43159" w:rsidP="00D51518">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UY"/>
        </w:rPr>
        <w:t xml:space="preserve">Roberto </w:t>
      </w:r>
      <w:proofErr w:type="spellStart"/>
      <w:r w:rsidRPr="00675820">
        <w:rPr>
          <w:rFonts w:asciiTheme="majorHAnsi" w:hAnsiTheme="majorHAnsi"/>
          <w:sz w:val="20"/>
          <w:szCs w:val="20"/>
          <w:lang w:val="es-UY"/>
        </w:rPr>
        <w:t>Garretón</w:t>
      </w:r>
      <w:proofErr w:type="spellEnd"/>
      <w:r w:rsidRPr="00675820">
        <w:rPr>
          <w:rFonts w:asciiTheme="majorHAnsi" w:hAnsiTheme="majorHAnsi"/>
          <w:sz w:val="20"/>
          <w:szCs w:val="20"/>
          <w:lang w:val="es-UY"/>
        </w:rPr>
        <w:t xml:space="preserve"> Marino y Enrique Moreno </w:t>
      </w:r>
      <w:proofErr w:type="spellStart"/>
      <w:r w:rsidRPr="00675820">
        <w:rPr>
          <w:rFonts w:asciiTheme="majorHAnsi" w:hAnsiTheme="majorHAnsi"/>
          <w:sz w:val="20"/>
          <w:szCs w:val="20"/>
          <w:lang w:val="es-UY"/>
        </w:rPr>
        <w:t>Barturen</w:t>
      </w:r>
      <w:proofErr w:type="spellEnd"/>
      <w:r w:rsidRPr="00675820">
        <w:rPr>
          <w:rFonts w:asciiTheme="majorHAnsi" w:hAnsiTheme="majorHAnsi"/>
          <w:sz w:val="20"/>
          <w:szCs w:val="20"/>
          <w:lang w:val="es-UY"/>
        </w:rPr>
        <w:t xml:space="preserve"> (en adelante “l</w:t>
      </w:r>
      <w:r w:rsidR="00D51518" w:rsidRPr="00675820">
        <w:rPr>
          <w:rFonts w:asciiTheme="majorHAnsi" w:hAnsiTheme="majorHAnsi"/>
          <w:sz w:val="20"/>
          <w:szCs w:val="20"/>
          <w:lang w:val="es-UY"/>
        </w:rPr>
        <w:t>a parte peticionaria</w:t>
      </w:r>
      <w:r w:rsidRPr="00675820">
        <w:rPr>
          <w:rFonts w:asciiTheme="majorHAnsi" w:hAnsiTheme="majorHAnsi"/>
          <w:sz w:val="20"/>
          <w:szCs w:val="20"/>
          <w:lang w:val="es-UY"/>
        </w:rPr>
        <w:t>”)</w:t>
      </w:r>
      <w:r w:rsidR="00D51518" w:rsidRPr="00675820">
        <w:rPr>
          <w:rFonts w:asciiTheme="majorHAnsi" w:hAnsiTheme="majorHAnsi"/>
          <w:sz w:val="20"/>
          <w:szCs w:val="20"/>
          <w:lang w:val="es-UY"/>
        </w:rPr>
        <w:t xml:space="preserve"> denuncia presuntas violacio</w:t>
      </w:r>
      <w:r w:rsidR="005A3949" w:rsidRPr="00675820">
        <w:rPr>
          <w:rFonts w:asciiTheme="majorHAnsi" w:hAnsiTheme="majorHAnsi"/>
          <w:sz w:val="20"/>
          <w:szCs w:val="20"/>
          <w:lang w:val="es-UY"/>
        </w:rPr>
        <w:t>nes a los derechos humanos de 21,</w:t>
      </w:r>
      <w:r w:rsidR="00D51518" w:rsidRPr="00675820">
        <w:rPr>
          <w:rFonts w:asciiTheme="majorHAnsi" w:hAnsiTheme="majorHAnsi"/>
          <w:sz w:val="20"/>
          <w:szCs w:val="20"/>
          <w:lang w:val="es-UY"/>
        </w:rPr>
        <w:t>309 docentes de la educación pública de Chile</w:t>
      </w:r>
      <w:r w:rsidRPr="00675820">
        <w:rPr>
          <w:rFonts w:asciiTheme="majorHAnsi" w:hAnsiTheme="majorHAnsi"/>
          <w:sz w:val="20"/>
          <w:szCs w:val="20"/>
          <w:lang w:val="es-UY"/>
        </w:rPr>
        <w:t xml:space="preserve"> (en adelante “las presuntas víctimas”)</w:t>
      </w:r>
      <w:r w:rsidR="00D51518" w:rsidRPr="00675820">
        <w:rPr>
          <w:rFonts w:asciiTheme="majorHAnsi" w:hAnsiTheme="majorHAnsi"/>
          <w:sz w:val="20"/>
          <w:szCs w:val="20"/>
          <w:lang w:val="es-UY"/>
        </w:rPr>
        <w:t xml:space="preserve"> a quienes</w:t>
      </w:r>
      <w:r w:rsidRPr="00675820">
        <w:rPr>
          <w:rFonts w:asciiTheme="majorHAnsi" w:hAnsiTheme="majorHAnsi"/>
          <w:sz w:val="20"/>
          <w:szCs w:val="20"/>
          <w:lang w:val="es-UY"/>
        </w:rPr>
        <w:t xml:space="preserve"> alega</w:t>
      </w:r>
      <w:r w:rsidR="00D51518" w:rsidRPr="00675820">
        <w:rPr>
          <w:rFonts w:asciiTheme="majorHAnsi" w:hAnsiTheme="majorHAnsi"/>
          <w:sz w:val="20"/>
          <w:szCs w:val="20"/>
          <w:lang w:val="es-UY"/>
        </w:rPr>
        <w:t xml:space="preserve"> no se les hizo efectivo el pago completo de una asignación especial no imponible a la que tenían derecho por ley.</w:t>
      </w:r>
    </w:p>
    <w:p w14:paraId="38E208D3" w14:textId="46073925" w:rsidR="00D51518" w:rsidRPr="00675820" w:rsidRDefault="00D51518" w:rsidP="00D51518">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UY"/>
        </w:rPr>
        <w:t xml:space="preserve"> </w:t>
      </w:r>
      <w:r w:rsidR="00E43159" w:rsidRPr="00675820">
        <w:rPr>
          <w:rFonts w:asciiTheme="majorHAnsi" w:hAnsiTheme="majorHAnsi"/>
          <w:sz w:val="20"/>
          <w:szCs w:val="20"/>
          <w:lang w:val="es-UY"/>
        </w:rPr>
        <w:t>La parte peticionaria r</w:t>
      </w:r>
      <w:r w:rsidRPr="00675820">
        <w:rPr>
          <w:rFonts w:asciiTheme="majorHAnsi" w:hAnsiTheme="majorHAnsi"/>
          <w:sz w:val="20"/>
          <w:szCs w:val="20"/>
          <w:lang w:val="es-UY"/>
        </w:rPr>
        <w:t>elata que a partir de 1974 se dio un grave deterioro en las remuneraciones de los docentes de la educación pública (por cada $100.00 que ganaba un profesor en 1972 en 1981 ganaba $28.00)</w:t>
      </w:r>
      <w:r w:rsidR="00A41EC8" w:rsidRPr="00675820">
        <w:rPr>
          <w:rFonts w:asciiTheme="majorHAnsi" w:hAnsiTheme="majorHAnsi"/>
          <w:sz w:val="20"/>
          <w:szCs w:val="20"/>
          <w:lang w:val="es-UY"/>
        </w:rPr>
        <w:t xml:space="preserve">, </w:t>
      </w:r>
      <w:r w:rsidR="00A41EC8" w:rsidRPr="00675820">
        <w:rPr>
          <w:rFonts w:asciiTheme="majorHAnsi" w:hAnsiTheme="majorHAnsi"/>
          <w:sz w:val="20"/>
          <w:szCs w:val="20"/>
          <w:lang w:val="es-PA"/>
        </w:rPr>
        <w:t>En adición de que durante ese periodo también se les rebajó el reajuste trienal y se eliminó la asignación profesional de un 25% sobre su sueldo base.</w:t>
      </w:r>
      <w:r w:rsidRPr="00675820">
        <w:rPr>
          <w:rFonts w:asciiTheme="majorHAnsi" w:hAnsiTheme="majorHAnsi"/>
          <w:sz w:val="20"/>
          <w:szCs w:val="20"/>
          <w:lang w:val="es-UY"/>
        </w:rPr>
        <w:t xml:space="preserve"> Señala que, para compensar este deterioro, se estableció en el artículo 40 del Decreto Ley 3551 de 2 de enero de 1981 (en adelante “DL 3551”) una asignación no imponible a favor de los docentes la que inicialmente debía pagarse en cuotas entre 1981 y 1984, plazo que </w:t>
      </w:r>
      <w:r w:rsidR="004D7E40" w:rsidRPr="00675820">
        <w:rPr>
          <w:rFonts w:asciiTheme="majorHAnsi" w:hAnsiTheme="majorHAnsi"/>
          <w:sz w:val="20"/>
          <w:szCs w:val="20"/>
          <w:lang w:val="es-UY"/>
        </w:rPr>
        <w:t xml:space="preserve">luego fue ampliado hasta 1988. </w:t>
      </w:r>
      <w:r w:rsidRPr="00675820">
        <w:rPr>
          <w:rFonts w:asciiTheme="majorHAnsi" w:hAnsiTheme="majorHAnsi"/>
          <w:sz w:val="20"/>
          <w:szCs w:val="20"/>
          <w:lang w:val="es-UY"/>
        </w:rPr>
        <w:t>Explica que entre 1981 y 1986 el gobierno de facto que regía el país también desarrolló una política por la cual los docentes de la educación pública eran forzados a aceptar su traslado a las distintas administraciones municipales.</w:t>
      </w:r>
      <w:r w:rsidR="00A41EC8" w:rsidRPr="00675820">
        <w:rPr>
          <w:rFonts w:asciiTheme="majorHAnsi" w:hAnsiTheme="majorHAnsi"/>
          <w:sz w:val="20"/>
          <w:szCs w:val="20"/>
          <w:lang w:val="es-UY"/>
        </w:rPr>
        <w:t xml:space="preserve"> </w:t>
      </w:r>
      <w:r w:rsidR="00A41EC8" w:rsidRPr="00675820">
        <w:rPr>
          <w:rFonts w:asciiTheme="majorHAnsi" w:hAnsiTheme="majorHAnsi"/>
          <w:sz w:val="20"/>
          <w:szCs w:val="20"/>
          <w:lang w:val="es-PA"/>
        </w:rPr>
        <w:t>Resalta que en caso de que el docente no aceptara y se negara a firmar la notificación de su traspaso, la política indicaba bastaba la declaración de dos testigos para que se diera por aceptado el traslado.</w:t>
      </w:r>
      <w:r w:rsidRPr="00675820">
        <w:rPr>
          <w:rFonts w:asciiTheme="majorHAnsi" w:hAnsiTheme="majorHAnsi"/>
          <w:sz w:val="20"/>
          <w:szCs w:val="20"/>
          <w:lang w:val="es-UY"/>
        </w:rPr>
        <w:t xml:space="preserve"> Alega que mediante la ley 18.196 de 1982 se estableció que las municipalidades mantendrían a los docentes traspasados bajo el régimen de funcionarios públicos y respetarían las remuneraciones percibidas, incluida la del artículo 40 del DL 3551.</w:t>
      </w:r>
      <w:r w:rsidR="00A41EC8" w:rsidRPr="00675820">
        <w:rPr>
          <w:rFonts w:asciiTheme="majorHAnsi" w:hAnsiTheme="majorHAnsi"/>
          <w:sz w:val="20"/>
          <w:szCs w:val="20"/>
          <w:lang w:val="es-UY"/>
        </w:rPr>
        <w:t xml:space="preserve"> </w:t>
      </w:r>
      <w:r w:rsidR="00A41EC8" w:rsidRPr="00675820">
        <w:rPr>
          <w:rFonts w:asciiTheme="majorHAnsi" w:hAnsiTheme="majorHAnsi"/>
          <w:sz w:val="20"/>
          <w:szCs w:val="20"/>
          <w:lang w:val="es-PA"/>
        </w:rPr>
        <w:t>Alega que, aunque posteriormente se aprobaron leyes que establecieron que el régimen previsional y el sistema de remuneraciones y reajustes del personal docente traspasado pasaría a regirse por las normas del sector privado, estas no suprimieron la asignación no imponible del DL 3551. Denuncia que, pese a esto,</w:t>
      </w:r>
      <w:r w:rsidRPr="00675820">
        <w:rPr>
          <w:rFonts w:asciiTheme="majorHAnsi" w:hAnsiTheme="majorHAnsi"/>
          <w:sz w:val="20"/>
          <w:szCs w:val="20"/>
          <w:lang w:val="es-UY"/>
        </w:rPr>
        <w:t xml:space="preserve"> </w:t>
      </w:r>
      <w:r w:rsidR="005D34E5" w:rsidRPr="00675820">
        <w:rPr>
          <w:rFonts w:asciiTheme="majorHAnsi" w:hAnsiTheme="majorHAnsi"/>
          <w:sz w:val="20"/>
          <w:szCs w:val="20"/>
          <w:lang w:val="es-UY"/>
        </w:rPr>
        <w:t xml:space="preserve">la mayoría de las </w:t>
      </w:r>
      <w:r w:rsidRPr="00675820">
        <w:rPr>
          <w:rFonts w:asciiTheme="majorHAnsi" w:hAnsiTheme="majorHAnsi"/>
          <w:sz w:val="20"/>
          <w:szCs w:val="20"/>
          <w:lang w:val="es-UY"/>
        </w:rPr>
        <w:t xml:space="preserve">municipalidades desconocieron este derecho adquirido por lo que los docentes no percibieron las cuotas de la asignación del DL 3551 correspondientes a las fechas posteriores a su traslado. </w:t>
      </w:r>
    </w:p>
    <w:p w14:paraId="65609960" w14:textId="74211816" w:rsidR="00D51518" w:rsidRPr="00675820" w:rsidRDefault="00D30351" w:rsidP="00D51518">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UY"/>
        </w:rPr>
        <w:t xml:space="preserve">De acuerdo a la parte peticionaria, </w:t>
      </w:r>
      <w:r w:rsidR="00B5707C" w:rsidRPr="00675820">
        <w:rPr>
          <w:rFonts w:asciiTheme="majorHAnsi" w:hAnsiTheme="majorHAnsi"/>
          <w:sz w:val="20"/>
          <w:szCs w:val="20"/>
          <w:lang w:val="es-UY"/>
        </w:rPr>
        <w:t>el incumplimiento por parte de los municipios del pago de la asignación del DL 3551 ha resultado en múltiples procesos judiciales los que han tenido resultados diversos</w:t>
      </w:r>
      <w:r w:rsidR="003B3363" w:rsidRPr="00675820">
        <w:rPr>
          <w:rFonts w:asciiTheme="majorHAnsi" w:hAnsiTheme="majorHAnsi"/>
          <w:sz w:val="20"/>
          <w:szCs w:val="20"/>
          <w:lang w:val="es-UY"/>
        </w:rPr>
        <w:t>, siendo en algunos casos los municipios condenados al pago de la asignación y en otros no</w:t>
      </w:r>
      <w:r w:rsidR="00B5707C" w:rsidRPr="00675820">
        <w:rPr>
          <w:rStyle w:val="FootnoteReference"/>
          <w:rFonts w:asciiTheme="majorHAnsi" w:hAnsiTheme="majorHAnsi"/>
          <w:sz w:val="20"/>
          <w:szCs w:val="20"/>
          <w:lang w:val="es-UY"/>
        </w:rPr>
        <w:footnoteReference w:id="8"/>
      </w:r>
      <w:r w:rsidR="008F3941" w:rsidRPr="00675820">
        <w:rPr>
          <w:rFonts w:asciiTheme="majorHAnsi" w:hAnsiTheme="majorHAnsi"/>
          <w:sz w:val="20"/>
          <w:szCs w:val="20"/>
          <w:lang w:val="es-UY"/>
        </w:rPr>
        <w:t>.  En el caso de las presuntas víctimas, estas presentaron el 4 de agosto de 2000 una demanda de indemnizaci</w:t>
      </w:r>
      <w:r w:rsidR="007C7473" w:rsidRPr="00675820">
        <w:rPr>
          <w:rFonts w:asciiTheme="majorHAnsi" w:hAnsiTheme="majorHAnsi"/>
          <w:sz w:val="20"/>
          <w:szCs w:val="20"/>
          <w:lang w:val="es-UY"/>
        </w:rPr>
        <w:t>ón de perjuicios contra el Fisco de Chile. El 18 de mayo de 2005 el 26° Juzgado Civil de Santiago negó l</w:t>
      </w:r>
      <w:r w:rsidR="00D610B4" w:rsidRPr="00675820">
        <w:rPr>
          <w:rFonts w:asciiTheme="majorHAnsi" w:hAnsiTheme="majorHAnsi"/>
          <w:sz w:val="20"/>
          <w:szCs w:val="20"/>
          <w:lang w:val="es-UY"/>
        </w:rPr>
        <w:t xml:space="preserve">a demanda al acoger la excepción de prescripción presentada por el Fisco. El Juzgado consideró </w:t>
      </w:r>
      <w:r w:rsidR="00890DF1" w:rsidRPr="00675820">
        <w:rPr>
          <w:rFonts w:asciiTheme="majorHAnsi" w:hAnsiTheme="majorHAnsi"/>
          <w:sz w:val="20"/>
          <w:szCs w:val="20"/>
          <w:lang w:val="es-UY"/>
        </w:rPr>
        <w:t xml:space="preserve">que </w:t>
      </w:r>
      <w:r w:rsidR="00954F50" w:rsidRPr="00675820">
        <w:rPr>
          <w:rFonts w:asciiTheme="majorHAnsi" w:hAnsiTheme="majorHAnsi"/>
          <w:sz w:val="20"/>
          <w:szCs w:val="20"/>
          <w:lang w:val="es-UY"/>
        </w:rPr>
        <w:t xml:space="preserve">debía aplicar las normas del código civil </w:t>
      </w:r>
      <w:r w:rsidR="008C3B14" w:rsidRPr="00675820">
        <w:rPr>
          <w:rFonts w:asciiTheme="majorHAnsi" w:hAnsiTheme="majorHAnsi"/>
          <w:sz w:val="20"/>
          <w:szCs w:val="20"/>
          <w:lang w:val="es-UY"/>
        </w:rPr>
        <w:t>según las que</w:t>
      </w:r>
      <w:r w:rsidR="00954F50" w:rsidRPr="00675820">
        <w:rPr>
          <w:rFonts w:asciiTheme="majorHAnsi" w:hAnsiTheme="majorHAnsi"/>
          <w:sz w:val="20"/>
          <w:szCs w:val="20"/>
          <w:lang w:val="es-UY"/>
        </w:rPr>
        <w:t xml:space="preserve"> </w:t>
      </w:r>
      <w:r w:rsidR="008C3B14" w:rsidRPr="00675820">
        <w:rPr>
          <w:rFonts w:asciiTheme="majorHAnsi" w:hAnsiTheme="majorHAnsi"/>
          <w:sz w:val="20"/>
          <w:szCs w:val="20"/>
          <w:lang w:val="es-UY"/>
        </w:rPr>
        <w:t>la</w:t>
      </w:r>
      <w:r w:rsidR="00954F50" w:rsidRPr="00675820">
        <w:rPr>
          <w:rFonts w:asciiTheme="majorHAnsi" w:hAnsiTheme="majorHAnsi"/>
          <w:sz w:val="20"/>
          <w:szCs w:val="20"/>
          <w:lang w:val="es-UY"/>
        </w:rPr>
        <w:t xml:space="preserve"> responsabil</w:t>
      </w:r>
      <w:r w:rsidR="008C3B14" w:rsidRPr="00675820">
        <w:rPr>
          <w:rFonts w:asciiTheme="majorHAnsi" w:hAnsiTheme="majorHAnsi"/>
          <w:sz w:val="20"/>
          <w:szCs w:val="20"/>
          <w:lang w:val="es-UY"/>
        </w:rPr>
        <w:t>idad extracontractual prescribe</w:t>
      </w:r>
      <w:r w:rsidR="00954F50" w:rsidRPr="00675820">
        <w:rPr>
          <w:rFonts w:asciiTheme="majorHAnsi" w:hAnsiTheme="majorHAnsi"/>
          <w:sz w:val="20"/>
          <w:szCs w:val="20"/>
          <w:lang w:val="es-UY"/>
        </w:rPr>
        <w:t xml:space="preserve"> a los cuatro años contados desde la perpetración del acto</w:t>
      </w:r>
      <w:r w:rsidR="008C3B14" w:rsidRPr="00675820">
        <w:rPr>
          <w:rFonts w:asciiTheme="majorHAnsi" w:hAnsiTheme="majorHAnsi"/>
          <w:sz w:val="20"/>
          <w:szCs w:val="20"/>
          <w:lang w:val="es-UY"/>
        </w:rPr>
        <w:t xml:space="preserve"> que causó el daño reclamado</w:t>
      </w:r>
      <w:r w:rsidR="00954F50" w:rsidRPr="00675820">
        <w:rPr>
          <w:rFonts w:asciiTheme="majorHAnsi" w:hAnsiTheme="majorHAnsi"/>
          <w:sz w:val="20"/>
          <w:szCs w:val="20"/>
          <w:lang w:val="es-UY"/>
        </w:rPr>
        <w:t>. Por lo tanto, concluyó que el plazo para la presentación de la acción estaba prescrito, incluso en el caso de que se considerara que</w:t>
      </w:r>
      <w:r w:rsidR="008C3B14" w:rsidRPr="00675820">
        <w:rPr>
          <w:rFonts w:asciiTheme="majorHAnsi" w:hAnsiTheme="majorHAnsi"/>
          <w:sz w:val="20"/>
          <w:szCs w:val="20"/>
          <w:lang w:val="es-UY"/>
        </w:rPr>
        <w:t xml:space="preserve"> éste</w:t>
      </w:r>
      <w:r w:rsidR="00954F50" w:rsidRPr="00675820">
        <w:rPr>
          <w:rFonts w:asciiTheme="majorHAnsi" w:hAnsiTheme="majorHAnsi"/>
          <w:sz w:val="20"/>
          <w:szCs w:val="20"/>
          <w:lang w:val="es-UY"/>
        </w:rPr>
        <w:t xml:space="preserve"> empezó a correr desde la instauración del primer gobierno democrático en 1990. </w:t>
      </w:r>
      <w:r w:rsidR="005A3949" w:rsidRPr="00675820">
        <w:rPr>
          <w:rFonts w:asciiTheme="majorHAnsi" w:hAnsiTheme="majorHAnsi"/>
          <w:sz w:val="20"/>
          <w:szCs w:val="20"/>
          <w:lang w:val="es-UY"/>
        </w:rPr>
        <w:t xml:space="preserve"> </w:t>
      </w:r>
      <w:r w:rsidR="00C737CB" w:rsidRPr="00675820">
        <w:rPr>
          <w:rFonts w:asciiTheme="majorHAnsi" w:hAnsiTheme="majorHAnsi"/>
          <w:sz w:val="20"/>
          <w:szCs w:val="20"/>
          <w:lang w:val="es-UY"/>
        </w:rPr>
        <w:t xml:space="preserve">Las presuntas víctimas apelaron el fallo pero el mismo fue confirmado el 8 de octubre de 2009 por la Corte de Apelaciones de Santiago. Luego, interpusieron un recurso de casación en el fondo que fue desestimado el 15 de junio de 2012 por la Corte Suprema. </w:t>
      </w:r>
      <w:r w:rsidR="001548BE" w:rsidRPr="00675820">
        <w:rPr>
          <w:rFonts w:asciiTheme="majorHAnsi" w:hAnsiTheme="majorHAnsi"/>
          <w:sz w:val="20"/>
          <w:szCs w:val="20"/>
          <w:lang w:val="es-UY"/>
        </w:rPr>
        <w:t>La parte peticionaria considera que los recursos internos quedaron agotados con la notificación de esta decisión el 26 de junio de 2012.</w:t>
      </w:r>
    </w:p>
    <w:p w14:paraId="208EF589" w14:textId="5BA28F69" w:rsidR="00FA68AA" w:rsidRPr="00675820" w:rsidRDefault="00B77685" w:rsidP="00B77685">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UY"/>
        </w:rPr>
        <w:t>L</w:t>
      </w:r>
      <w:r w:rsidR="000557BB" w:rsidRPr="00675820">
        <w:rPr>
          <w:rFonts w:asciiTheme="majorHAnsi" w:hAnsiTheme="majorHAnsi"/>
          <w:sz w:val="20"/>
          <w:szCs w:val="20"/>
          <w:lang w:val="es-UY"/>
        </w:rPr>
        <w:t xml:space="preserve">a parte peticionaria </w:t>
      </w:r>
      <w:r w:rsidR="004401BA" w:rsidRPr="00675820">
        <w:rPr>
          <w:rFonts w:asciiTheme="majorHAnsi" w:hAnsiTheme="majorHAnsi"/>
          <w:sz w:val="20"/>
          <w:szCs w:val="20"/>
          <w:lang w:val="es-UY"/>
        </w:rPr>
        <w:t>agrega</w:t>
      </w:r>
      <w:r w:rsidR="000557BB" w:rsidRPr="00675820">
        <w:rPr>
          <w:rFonts w:asciiTheme="majorHAnsi" w:hAnsiTheme="majorHAnsi"/>
          <w:sz w:val="20"/>
          <w:szCs w:val="20"/>
          <w:lang w:val="es-UY"/>
        </w:rPr>
        <w:t xml:space="preserve"> que</w:t>
      </w:r>
      <w:r w:rsidR="00A639A4" w:rsidRPr="00675820">
        <w:rPr>
          <w:rFonts w:asciiTheme="majorHAnsi" w:hAnsiTheme="majorHAnsi"/>
          <w:sz w:val="20"/>
          <w:szCs w:val="20"/>
          <w:lang w:val="es-UY"/>
        </w:rPr>
        <w:t xml:space="preserve">, paralelamente a los procesos judiciales, los gremios </w:t>
      </w:r>
      <w:r w:rsidR="008039B8" w:rsidRPr="00675820">
        <w:rPr>
          <w:rFonts w:asciiTheme="majorHAnsi" w:hAnsiTheme="majorHAnsi"/>
          <w:sz w:val="20"/>
          <w:szCs w:val="20"/>
          <w:lang w:val="es-UY"/>
        </w:rPr>
        <w:t>docentes han abogado a nivel político por el pago de las asignaciones adeudadas a los docentes</w:t>
      </w:r>
      <w:r w:rsidR="005C18B4" w:rsidRPr="00675820">
        <w:rPr>
          <w:rFonts w:asciiTheme="majorHAnsi" w:hAnsiTheme="majorHAnsi"/>
          <w:sz w:val="20"/>
          <w:szCs w:val="20"/>
          <w:lang w:val="es-UY"/>
        </w:rPr>
        <w:t xml:space="preserve">. </w:t>
      </w:r>
      <w:r w:rsidR="00ED3289" w:rsidRPr="00675820">
        <w:rPr>
          <w:rFonts w:asciiTheme="majorHAnsi" w:hAnsiTheme="majorHAnsi"/>
          <w:sz w:val="20"/>
          <w:szCs w:val="20"/>
          <w:lang w:val="es-UY"/>
        </w:rPr>
        <w:t>Alega</w:t>
      </w:r>
      <w:r w:rsidR="008039B8" w:rsidRPr="00675820">
        <w:rPr>
          <w:rFonts w:asciiTheme="majorHAnsi" w:hAnsiTheme="majorHAnsi"/>
          <w:sz w:val="20"/>
          <w:szCs w:val="20"/>
          <w:lang w:val="es-UY"/>
        </w:rPr>
        <w:t xml:space="preserve"> que</w:t>
      </w:r>
      <w:r w:rsidR="000557BB" w:rsidRPr="00675820">
        <w:rPr>
          <w:rFonts w:asciiTheme="majorHAnsi" w:hAnsiTheme="majorHAnsi"/>
          <w:sz w:val="20"/>
          <w:szCs w:val="20"/>
          <w:lang w:val="es-UY"/>
        </w:rPr>
        <w:t xml:space="preserve"> la Comisión Especial de la Cámara de Diputados sobre Deudas Históricas ha reconocido que el Estado mantiene una deuda hist</w:t>
      </w:r>
      <w:r w:rsidR="004401BA" w:rsidRPr="00675820">
        <w:rPr>
          <w:rFonts w:asciiTheme="majorHAnsi" w:hAnsiTheme="majorHAnsi"/>
          <w:sz w:val="20"/>
          <w:szCs w:val="20"/>
          <w:lang w:val="es-UY"/>
        </w:rPr>
        <w:t>órica para con 84,002 docentes la que totaliza US$9,133,000.00</w:t>
      </w:r>
      <w:r w:rsidRPr="00675820">
        <w:rPr>
          <w:rFonts w:asciiTheme="majorHAnsi" w:hAnsiTheme="majorHAnsi"/>
          <w:sz w:val="20"/>
          <w:szCs w:val="20"/>
          <w:lang w:val="es-UY"/>
        </w:rPr>
        <w:t xml:space="preserve"> (</w:t>
      </w:r>
      <w:proofErr w:type="spellStart"/>
      <w:r w:rsidRPr="00675820">
        <w:rPr>
          <w:rFonts w:asciiTheme="majorHAnsi" w:hAnsiTheme="majorHAnsi"/>
          <w:sz w:val="20"/>
          <w:szCs w:val="20"/>
          <w:lang w:val="es-UY"/>
        </w:rPr>
        <w:t>ta</w:t>
      </w:r>
      <w:r w:rsidRPr="00675820">
        <w:rPr>
          <w:rFonts w:asciiTheme="majorHAnsi" w:hAnsiTheme="majorHAnsi"/>
          <w:sz w:val="20"/>
          <w:szCs w:val="20"/>
          <w:lang w:val="es-PA"/>
        </w:rPr>
        <w:t>mbién</w:t>
      </w:r>
      <w:proofErr w:type="spellEnd"/>
      <w:r w:rsidRPr="00675820">
        <w:rPr>
          <w:rFonts w:asciiTheme="majorHAnsi" w:hAnsiTheme="majorHAnsi"/>
          <w:sz w:val="20"/>
          <w:szCs w:val="20"/>
          <w:lang w:val="es-PA"/>
        </w:rPr>
        <w:t xml:space="preserve"> cita un cálculo del Colegio de Profesores de Chile que concluyó en 2008 que eran 93,089 los docentes afectados y US$14,000,000.00 el total de la deuda). </w:t>
      </w:r>
      <w:r w:rsidR="00ED3289" w:rsidRPr="00675820">
        <w:rPr>
          <w:rFonts w:asciiTheme="majorHAnsi" w:hAnsiTheme="majorHAnsi"/>
          <w:sz w:val="20"/>
          <w:szCs w:val="20"/>
          <w:lang w:val="es-UY"/>
        </w:rPr>
        <w:t>Aduce</w:t>
      </w:r>
      <w:r w:rsidR="00B52214" w:rsidRPr="00675820">
        <w:rPr>
          <w:rFonts w:asciiTheme="majorHAnsi" w:hAnsiTheme="majorHAnsi"/>
          <w:sz w:val="20"/>
          <w:szCs w:val="20"/>
          <w:lang w:val="es-UY"/>
        </w:rPr>
        <w:t xml:space="preserve"> que esta Comisión presentó al Ejecutivo un informe detallado con propuestas de solución para la deuda, las que fueron rechazadas resultando en huelgas, paros y manifestaciones a lo largo del país. </w:t>
      </w:r>
      <w:r w:rsidR="00ED3289" w:rsidRPr="00675820">
        <w:rPr>
          <w:rFonts w:asciiTheme="majorHAnsi" w:hAnsiTheme="majorHAnsi"/>
          <w:sz w:val="20"/>
          <w:szCs w:val="20"/>
          <w:lang w:val="es-UY"/>
        </w:rPr>
        <w:t>Indic</w:t>
      </w:r>
      <w:r w:rsidR="005A3949" w:rsidRPr="00675820">
        <w:rPr>
          <w:rFonts w:asciiTheme="majorHAnsi" w:hAnsiTheme="majorHAnsi"/>
          <w:sz w:val="20"/>
          <w:szCs w:val="20"/>
          <w:lang w:val="es-UY"/>
        </w:rPr>
        <w:t>a que el 17 de mayo de 2011 el S</w:t>
      </w:r>
      <w:r w:rsidR="00ED3289" w:rsidRPr="00675820">
        <w:rPr>
          <w:rFonts w:asciiTheme="majorHAnsi" w:hAnsiTheme="majorHAnsi"/>
          <w:sz w:val="20"/>
          <w:szCs w:val="20"/>
          <w:lang w:val="es-UY"/>
        </w:rPr>
        <w:t>enado</w:t>
      </w:r>
      <w:r w:rsidR="005A3949" w:rsidRPr="00675820">
        <w:rPr>
          <w:rFonts w:asciiTheme="majorHAnsi" w:hAnsiTheme="majorHAnsi"/>
          <w:sz w:val="20"/>
          <w:szCs w:val="20"/>
          <w:lang w:val="es-UY"/>
        </w:rPr>
        <w:t xml:space="preserve"> aprobó un proyecto de acuerdo </w:t>
      </w:r>
      <w:r w:rsidR="00ED3289" w:rsidRPr="00675820">
        <w:rPr>
          <w:rFonts w:asciiTheme="majorHAnsi" w:hAnsiTheme="majorHAnsi"/>
          <w:sz w:val="20"/>
          <w:szCs w:val="20"/>
          <w:lang w:val="es-UY"/>
        </w:rPr>
        <w:t>para la creación de una comisión para la búsqueda de una solución a la deuda histórica integrada por representantes del Poder Ejecutivo, el Colegio de Profesores y la Asociación Chilena de Municipalidades.</w:t>
      </w:r>
      <w:r w:rsidR="009E4952" w:rsidRPr="00675820">
        <w:rPr>
          <w:rFonts w:asciiTheme="majorHAnsi" w:hAnsiTheme="majorHAnsi"/>
          <w:sz w:val="20"/>
          <w:szCs w:val="20"/>
          <w:lang w:val="es-UY"/>
        </w:rPr>
        <w:t xml:space="preserve"> Según la parte peticionaria, esta comisión </w:t>
      </w:r>
      <w:r w:rsidR="009E4952" w:rsidRPr="00675820">
        <w:rPr>
          <w:rFonts w:asciiTheme="majorHAnsi" w:hAnsiTheme="majorHAnsi"/>
          <w:sz w:val="20"/>
          <w:szCs w:val="20"/>
          <w:lang w:val="es-UY"/>
        </w:rPr>
        <w:lastRenderedPageBreak/>
        <w:t xml:space="preserve">debía rendir un informe el 30 de junio de 2011 pero no llegó a funcionar producto de la falta de disposición del Poder Ejecutivo. </w:t>
      </w:r>
      <w:r w:rsidRPr="00675820">
        <w:rPr>
          <w:rFonts w:asciiTheme="majorHAnsi" w:hAnsiTheme="majorHAnsi"/>
          <w:sz w:val="20"/>
          <w:szCs w:val="20"/>
          <w:lang w:val="es-UY"/>
        </w:rPr>
        <w:t>A</w:t>
      </w:r>
      <w:r w:rsidRPr="00675820">
        <w:rPr>
          <w:rFonts w:asciiTheme="majorHAnsi" w:hAnsiTheme="majorHAnsi"/>
          <w:sz w:val="20"/>
          <w:szCs w:val="20"/>
          <w:lang w:val="es-PA"/>
        </w:rPr>
        <w:t>lega que el 27 de mayo de 2011 el Ministerio de Educación suspendió unilateralmente las conversaciones con el gremio docente.</w:t>
      </w:r>
    </w:p>
    <w:p w14:paraId="52EE4088" w14:textId="372BFAD7" w:rsidR="00C65DB3" w:rsidRPr="00675820" w:rsidRDefault="00570841" w:rsidP="00C65DB3">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UY"/>
        </w:rPr>
        <w:t>En la opinión de la parte peticionaria</w:t>
      </w:r>
      <w:r w:rsidR="007B591A" w:rsidRPr="00675820">
        <w:rPr>
          <w:rFonts w:asciiTheme="majorHAnsi" w:hAnsiTheme="majorHAnsi"/>
          <w:sz w:val="20"/>
          <w:szCs w:val="20"/>
          <w:lang w:val="es-UY"/>
        </w:rPr>
        <w:t xml:space="preserve">, se ha suscitado una situación de discriminación </w:t>
      </w:r>
      <w:r w:rsidR="00C65DB3" w:rsidRPr="00675820">
        <w:rPr>
          <w:rFonts w:asciiTheme="majorHAnsi" w:hAnsiTheme="majorHAnsi"/>
          <w:sz w:val="20"/>
          <w:szCs w:val="20"/>
          <w:lang w:val="es-PA"/>
        </w:rPr>
        <w:t>dado que los distintos municipios y tribunales no han tenido un criterio uniforme resultando en que a</w:t>
      </w:r>
      <w:r w:rsidR="00A5782E" w:rsidRPr="00675820">
        <w:rPr>
          <w:rFonts w:asciiTheme="majorHAnsi" w:hAnsiTheme="majorHAnsi"/>
          <w:sz w:val="20"/>
          <w:szCs w:val="20"/>
          <w:lang w:val="es-UY"/>
        </w:rPr>
        <w:t xml:space="preserve"> algunos docentes se les ha </w:t>
      </w:r>
      <w:r w:rsidR="0005212B" w:rsidRPr="00675820">
        <w:rPr>
          <w:rFonts w:asciiTheme="majorHAnsi" w:hAnsiTheme="majorHAnsi"/>
          <w:sz w:val="20"/>
          <w:szCs w:val="20"/>
          <w:lang w:val="es-UY"/>
        </w:rPr>
        <w:t>pagado</w:t>
      </w:r>
      <w:r w:rsidR="00A5782E" w:rsidRPr="00675820">
        <w:rPr>
          <w:rFonts w:asciiTheme="majorHAnsi" w:hAnsiTheme="majorHAnsi"/>
          <w:sz w:val="20"/>
          <w:szCs w:val="20"/>
          <w:lang w:val="es-UY"/>
        </w:rPr>
        <w:t xml:space="preserve"> o se les ha reconocido judicialmente su derecho al pago </w:t>
      </w:r>
      <w:r w:rsidR="00BC77AB" w:rsidRPr="00675820">
        <w:rPr>
          <w:rFonts w:asciiTheme="majorHAnsi" w:hAnsiTheme="majorHAnsi"/>
          <w:sz w:val="20"/>
          <w:szCs w:val="20"/>
          <w:lang w:val="es-UY"/>
        </w:rPr>
        <w:t>completo de la asignación del DL 355</w:t>
      </w:r>
      <w:r w:rsidR="00E04655" w:rsidRPr="00675820">
        <w:rPr>
          <w:rFonts w:asciiTheme="majorHAnsi" w:hAnsiTheme="majorHAnsi"/>
          <w:sz w:val="20"/>
          <w:szCs w:val="20"/>
          <w:lang w:val="es-UY"/>
        </w:rPr>
        <w:t>1</w:t>
      </w:r>
      <w:r w:rsidR="00BC77AB" w:rsidRPr="00675820">
        <w:rPr>
          <w:rFonts w:asciiTheme="majorHAnsi" w:hAnsiTheme="majorHAnsi"/>
          <w:sz w:val="20"/>
          <w:szCs w:val="20"/>
          <w:lang w:val="es-UY"/>
        </w:rPr>
        <w:t>, mientras que a otros en idénticas circunstancias no.</w:t>
      </w:r>
      <w:r w:rsidR="0005212B" w:rsidRPr="00675820">
        <w:rPr>
          <w:rFonts w:asciiTheme="majorHAnsi" w:hAnsiTheme="majorHAnsi"/>
          <w:sz w:val="20"/>
          <w:szCs w:val="20"/>
          <w:lang w:val="es-UY"/>
        </w:rPr>
        <w:t xml:space="preserve"> De igual manera, porque algunos docentes continuaron recibiendo la asignación por el sólo hecho de que permanecieron en el Ministerio de Educación realizando tareas administrativas, a diferencia de quienes fueron traspasados forzadamente a los municipios.</w:t>
      </w:r>
      <w:r w:rsidR="00E04655" w:rsidRPr="00675820">
        <w:rPr>
          <w:rFonts w:asciiTheme="majorHAnsi" w:hAnsiTheme="majorHAnsi"/>
          <w:sz w:val="20"/>
          <w:szCs w:val="20"/>
          <w:lang w:val="es-UY"/>
        </w:rPr>
        <w:t xml:space="preserve"> Considera que la asignación del DL 3551 </w:t>
      </w:r>
      <w:r w:rsidR="00B31AA8" w:rsidRPr="00675820">
        <w:rPr>
          <w:rFonts w:asciiTheme="majorHAnsi" w:hAnsiTheme="majorHAnsi"/>
          <w:sz w:val="20"/>
          <w:szCs w:val="20"/>
          <w:lang w:val="es-UY"/>
        </w:rPr>
        <w:t xml:space="preserve">era un derecho adquirido por lo que se ha vulnerado el derecho a la propiedad de quienes no han recibido el pago completo. De igual manera, que también se ha vulnerado el derecho a la propiedad </w:t>
      </w:r>
      <w:r w:rsidR="006B36A7" w:rsidRPr="00675820">
        <w:rPr>
          <w:rFonts w:asciiTheme="majorHAnsi" w:hAnsiTheme="majorHAnsi"/>
          <w:sz w:val="20"/>
          <w:szCs w:val="20"/>
          <w:lang w:val="es-UY"/>
        </w:rPr>
        <w:t xml:space="preserve">y el principio de desarrollo progresivo de los derechos económicos sociales y culturales, puesto que </w:t>
      </w:r>
      <w:r w:rsidR="00B31AA8" w:rsidRPr="00675820">
        <w:rPr>
          <w:rFonts w:asciiTheme="majorHAnsi" w:hAnsiTheme="majorHAnsi"/>
          <w:sz w:val="20"/>
          <w:szCs w:val="20"/>
          <w:lang w:val="es-UY"/>
        </w:rPr>
        <w:t>al ser traspasados a los municipios los docentes se vier</w:t>
      </w:r>
      <w:r w:rsidR="006B36A7" w:rsidRPr="00675820">
        <w:rPr>
          <w:rFonts w:asciiTheme="majorHAnsi" w:hAnsiTheme="majorHAnsi"/>
          <w:sz w:val="20"/>
          <w:szCs w:val="20"/>
          <w:lang w:val="es-UY"/>
        </w:rPr>
        <w:t>on forzados a renunciar a su carácter de funcionarios públicos y a sus derechos adquiridos para aceptar un régimen previsional injustificadamente desventajoso en comparación al que tenían antes.</w:t>
      </w:r>
      <w:r w:rsidR="00C65DB3" w:rsidRPr="00675820">
        <w:rPr>
          <w:rFonts w:asciiTheme="majorHAnsi" w:hAnsiTheme="majorHAnsi"/>
          <w:sz w:val="20"/>
          <w:szCs w:val="20"/>
          <w:lang w:val="es-UY"/>
        </w:rPr>
        <w:t xml:space="preserve"> </w:t>
      </w:r>
      <w:r w:rsidR="00C65DB3" w:rsidRPr="00675820">
        <w:rPr>
          <w:rFonts w:asciiTheme="majorHAnsi" w:hAnsiTheme="majorHAnsi"/>
          <w:sz w:val="20"/>
          <w:szCs w:val="20"/>
          <w:lang w:val="es-PA"/>
        </w:rPr>
        <w:t xml:space="preserve">Según la parte peticionaria, pasaron de un régimen que concedía derecho a una pensión vitalicia justa alimentado por contribuciones de los empleadores y del Estado a un sistema financiado sólo por el trabajador que concede una pensión insuficiente que dura “hasta que se acabe su </w:t>
      </w:r>
      <w:proofErr w:type="spellStart"/>
      <w:r w:rsidR="00C65DB3" w:rsidRPr="00675820">
        <w:rPr>
          <w:rFonts w:asciiTheme="majorHAnsi" w:hAnsiTheme="majorHAnsi"/>
          <w:sz w:val="20"/>
          <w:szCs w:val="20"/>
          <w:lang w:val="es-PA"/>
        </w:rPr>
        <w:t>ahorrro</w:t>
      </w:r>
      <w:proofErr w:type="spellEnd"/>
      <w:r w:rsidR="00C65DB3" w:rsidRPr="00675820">
        <w:rPr>
          <w:rFonts w:asciiTheme="majorHAnsi" w:hAnsiTheme="majorHAnsi"/>
          <w:sz w:val="20"/>
          <w:szCs w:val="20"/>
          <w:lang w:val="es-PA"/>
        </w:rPr>
        <w:t xml:space="preserve">”, a menos que el trabajador acepte una reducción aún mayor de su pensión para que esta pueda ser vitalicia. </w:t>
      </w:r>
    </w:p>
    <w:p w14:paraId="577DE293" w14:textId="62BE0C11" w:rsidR="007B591A" w:rsidRPr="00675820" w:rsidRDefault="006B36A7" w:rsidP="00C65DB3">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UY"/>
        </w:rPr>
        <w:t xml:space="preserve"> </w:t>
      </w:r>
      <w:r w:rsidR="00BC5FE4" w:rsidRPr="00675820">
        <w:rPr>
          <w:rFonts w:asciiTheme="majorHAnsi" w:hAnsiTheme="majorHAnsi"/>
          <w:sz w:val="20"/>
          <w:szCs w:val="20"/>
          <w:lang w:val="es-UY"/>
        </w:rPr>
        <w:t>Indica que los gremios docentes presentaron una reclamación ante la OIT por violación a los convenios 35(seguro de vejez)</w:t>
      </w:r>
      <w:r w:rsidR="008D393F" w:rsidRPr="00675820">
        <w:rPr>
          <w:rFonts w:asciiTheme="majorHAnsi" w:hAnsiTheme="majorHAnsi"/>
          <w:sz w:val="20"/>
          <w:szCs w:val="20"/>
          <w:lang w:val="es-UY"/>
        </w:rPr>
        <w:t xml:space="preserve"> y 37 </w:t>
      </w:r>
      <w:r w:rsidR="00BC5FE4" w:rsidRPr="00675820">
        <w:rPr>
          <w:rFonts w:asciiTheme="majorHAnsi" w:hAnsiTheme="majorHAnsi"/>
          <w:sz w:val="20"/>
          <w:szCs w:val="20"/>
          <w:lang w:val="es-UY"/>
        </w:rPr>
        <w:t>(seguro de invalidez) producto de que las pensiones de los docentes fueron calculadas sin tomar en cuenta la asignación del DL 3551, la que formaba parte de su salario. Ésta reclamación resultó en que se estableciera un comité tripartito el que concluyó el 20 de marzo de 2015</w:t>
      </w:r>
      <w:r w:rsidR="008D393F" w:rsidRPr="00675820">
        <w:rPr>
          <w:rFonts w:asciiTheme="majorHAnsi" w:hAnsiTheme="majorHAnsi"/>
          <w:sz w:val="20"/>
          <w:szCs w:val="20"/>
          <w:lang w:val="es-UY"/>
        </w:rPr>
        <w:t xml:space="preserve"> que el impago de la asignación especial había resultado en una </w:t>
      </w:r>
      <w:r w:rsidR="008D393F" w:rsidRPr="00675820">
        <w:rPr>
          <w:rFonts w:asciiTheme="majorHAnsi" w:hAnsiTheme="majorHAnsi"/>
          <w:color w:val="auto"/>
          <w:sz w:val="20"/>
          <w:szCs w:val="20"/>
          <w:lang w:val="es-UY"/>
        </w:rPr>
        <w:t>reducción de las pensiones de los docentes, en violac</w:t>
      </w:r>
      <w:r w:rsidR="00B6656E" w:rsidRPr="00675820">
        <w:rPr>
          <w:rFonts w:asciiTheme="majorHAnsi" w:hAnsiTheme="majorHAnsi"/>
          <w:color w:val="auto"/>
          <w:sz w:val="20"/>
          <w:szCs w:val="20"/>
          <w:lang w:val="es-UY"/>
        </w:rPr>
        <w:t xml:space="preserve">ión a sus derechos. En adición, </w:t>
      </w:r>
      <w:r w:rsidR="004D7E40" w:rsidRPr="00675820">
        <w:rPr>
          <w:rFonts w:asciiTheme="majorHAnsi" w:hAnsiTheme="majorHAnsi"/>
          <w:color w:val="auto"/>
          <w:sz w:val="20"/>
          <w:szCs w:val="20"/>
          <w:lang w:val="es-UY"/>
        </w:rPr>
        <w:t xml:space="preserve">la parte peticionaria </w:t>
      </w:r>
      <w:r w:rsidR="008D393F" w:rsidRPr="00675820">
        <w:rPr>
          <w:rFonts w:asciiTheme="majorHAnsi" w:hAnsiTheme="majorHAnsi"/>
          <w:color w:val="auto"/>
          <w:sz w:val="20"/>
          <w:szCs w:val="20"/>
          <w:lang w:val="es-UY"/>
        </w:rPr>
        <w:t xml:space="preserve">argumenta que se violó el derecho a un </w:t>
      </w:r>
      <w:r w:rsidR="00F82FDA" w:rsidRPr="00675820">
        <w:rPr>
          <w:rFonts w:asciiTheme="majorHAnsi" w:hAnsiTheme="majorHAnsi"/>
          <w:color w:val="auto"/>
          <w:sz w:val="20"/>
          <w:szCs w:val="20"/>
          <w:lang w:val="es-UY"/>
        </w:rPr>
        <w:t xml:space="preserve">recurso efectivo de los docentes por la inexistencia de una acción específica </w:t>
      </w:r>
      <w:r w:rsidR="00F82FDA" w:rsidRPr="00675820">
        <w:rPr>
          <w:rFonts w:asciiTheme="majorHAnsi" w:hAnsiTheme="majorHAnsi"/>
          <w:sz w:val="20"/>
          <w:szCs w:val="20"/>
          <w:lang w:val="es-UY"/>
        </w:rPr>
        <w:t>para reclamar contra abusos de autoridades gubernamentales por la vía contenciosa administrativa, forzando a estos a recurrir a la vía civil para demandar por responsabilidad extracontractual, dónde se decretó la prescripción sin ningún pronunciamiento sobre el fondo.</w:t>
      </w:r>
    </w:p>
    <w:p w14:paraId="7C3206C6" w14:textId="550E4E4E" w:rsidR="00F82FDA" w:rsidRPr="00675820" w:rsidRDefault="00F82FDA" w:rsidP="00D51518">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UY"/>
        </w:rPr>
        <w:t>El Estado, por su parte,</w:t>
      </w:r>
      <w:r w:rsidR="00AA2AF8" w:rsidRPr="00675820">
        <w:rPr>
          <w:rFonts w:asciiTheme="majorHAnsi" w:hAnsiTheme="majorHAnsi"/>
          <w:sz w:val="20"/>
          <w:szCs w:val="20"/>
          <w:lang w:val="es-UY"/>
        </w:rPr>
        <w:t xml:space="preserve"> considera que la Comisión carece de competencia </w:t>
      </w:r>
      <w:proofErr w:type="spellStart"/>
      <w:r w:rsidR="00AA2AF8" w:rsidRPr="00675820">
        <w:rPr>
          <w:rFonts w:asciiTheme="majorHAnsi" w:hAnsiTheme="majorHAnsi"/>
          <w:i/>
          <w:sz w:val="20"/>
          <w:szCs w:val="20"/>
          <w:lang w:val="es-UY"/>
        </w:rPr>
        <w:t>ratione</w:t>
      </w:r>
      <w:proofErr w:type="spellEnd"/>
      <w:r w:rsidR="00AA2AF8" w:rsidRPr="00675820">
        <w:rPr>
          <w:rFonts w:asciiTheme="majorHAnsi" w:hAnsiTheme="majorHAnsi"/>
          <w:i/>
          <w:sz w:val="20"/>
          <w:szCs w:val="20"/>
          <w:lang w:val="es-UY"/>
        </w:rPr>
        <w:t xml:space="preserve"> </w:t>
      </w:r>
      <w:proofErr w:type="spellStart"/>
      <w:r w:rsidR="00AA2AF8" w:rsidRPr="00675820">
        <w:rPr>
          <w:rFonts w:asciiTheme="majorHAnsi" w:hAnsiTheme="majorHAnsi"/>
          <w:i/>
          <w:sz w:val="20"/>
          <w:szCs w:val="20"/>
          <w:lang w:val="es-UY"/>
        </w:rPr>
        <w:t>temporis</w:t>
      </w:r>
      <w:proofErr w:type="spellEnd"/>
      <w:r w:rsidR="00AA2AF8" w:rsidRPr="00675820">
        <w:rPr>
          <w:rFonts w:asciiTheme="majorHAnsi" w:hAnsiTheme="majorHAnsi"/>
          <w:i/>
          <w:sz w:val="20"/>
          <w:szCs w:val="20"/>
          <w:lang w:val="es-UY"/>
        </w:rPr>
        <w:t xml:space="preserve"> </w:t>
      </w:r>
      <w:r w:rsidR="00AA2AF8" w:rsidRPr="00675820">
        <w:rPr>
          <w:rFonts w:asciiTheme="majorHAnsi" w:hAnsiTheme="majorHAnsi"/>
          <w:sz w:val="20"/>
          <w:szCs w:val="20"/>
          <w:lang w:val="es-UY"/>
        </w:rPr>
        <w:t>para conocer la petición</w:t>
      </w:r>
      <w:r w:rsidR="005A2965" w:rsidRPr="00675820">
        <w:rPr>
          <w:rFonts w:asciiTheme="majorHAnsi" w:hAnsiTheme="majorHAnsi"/>
          <w:sz w:val="20"/>
          <w:szCs w:val="20"/>
          <w:lang w:val="es-UY"/>
        </w:rPr>
        <w:t xml:space="preserve"> por ser los hechos generadores de la supuesta violación previos a la ratificación de la Convención Americana por parte de Chile. Resalta</w:t>
      </w:r>
      <w:r w:rsidR="00AA2AF8" w:rsidRPr="00675820">
        <w:rPr>
          <w:rFonts w:asciiTheme="majorHAnsi" w:hAnsiTheme="majorHAnsi"/>
          <w:sz w:val="20"/>
          <w:szCs w:val="20"/>
          <w:lang w:val="es-UY"/>
        </w:rPr>
        <w:t xml:space="preserve"> </w:t>
      </w:r>
      <w:r w:rsidR="005A2965" w:rsidRPr="00675820">
        <w:rPr>
          <w:rFonts w:asciiTheme="majorHAnsi" w:hAnsiTheme="majorHAnsi"/>
          <w:sz w:val="20"/>
          <w:szCs w:val="20"/>
          <w:lang w:val="es-UY"/>
        </w:rPr>
        <w:t>que Chile</w:t>
      </w:r>
      <w:r w:rsidR="00237855" w:rsidRPr="00675820">
        <w:rPr>
          <w:rFonts w:asciiTheme="majorHAnsi" w:hAnsiTheme="majorHAnsi"/>
          <w:sz w:val="20"/>
          <w:szCs w:val="20"/>
          <w:lang w:val="es-UY"/>
        </w:rPr>
        <w:t xml:space="preserve"> </w:t>
      </w:r>
      <w:r w:rsidR="005A2965" w:rsidRPr="00675820">
        <w:rPr>
          <w:rFonts w:asciiTheme="majorHAnsi" w:hAnsiTheme="majorHAnsi"/>
          <w:sz w:val="20"/>
          <w:szCs w:val="20"/>
          <w:lang w:val="es-UY"/>
        </w:rPr>
        <w:t>depositó su instrumento de ratificación de la Convención Americana el 21 de</w:t>
      </w:r>
      <w:r w:rsidR="00DF5D7C" w:rsidRPr="00675820">
        <w:rPr>
          <w:rFonts w:asciiTheme="majorHAnsi" w:hAnsiTheme="majorHAnsi"/>
          <w:sz w:val="20"/>
          <w:szCs w:val="20"/>
          <w:lang w:val="es-UY"/>
        </w:rPr>
        <w:t xml:space="preserve"> agosto de</w:t>
      </w:r>
      <w:r w:rsidR="005A2965" w:rsidRPr="00675820">
        <w:rPr>
          <w:rFonts w:asciiTheme="majorHAnsi" w:hAnsiTheme="majorHAnsi"/>
          <w:sz w:val="20"/>
          <w:szCs w:val="20"/>
          <w:lang w:val="es-UY"/>
        </w:rPr>
        <w:t xml:space="preserve"> 1990 mientras que el Decreto Ley No. 3551 se emitió en 1981, el traspaso del personal docente a los municipios finalizó en 1986 y el plazo para el pago de la asignación reclamada venció en 1988.</w:t>
      </w:r>
      <w:r w:rsidR="00C65DB3" w:rsidRPr="00675820">
        <w:rPr>
          <w:rFonts w:asciiTheme="majorHAnsi" w:hAnsiTheme="majorHAnsi"/>
          <w:sz w:val="20"/>
          <w:szCs w:val="20"/>
          <w:lang w:val="es-UY"/>
        </w:rPr>
        <w:t xml:space="preserve"> </w:t>
      </w:r>
      <w:r w:rsidR="00C65DB3" w:rsidRPr="00675820">
        <w:rPr>
          <w:rFonts w:asciiTheme="majorHAnsi" w:hAnsiTheme="majorHAnsi"/>
          <w:sz w:val="20"/>
          <w:szCs w:val="20"/>
          <w:lang w:val="es-PA"/>
        </w:rPr>
        <w:t>Resalta que al depositar el instrumento de ratificación el gobierno de Chile dejo constancia que los reconocimientos de competencia sólo se referían a hechos posteriores a la fecha de depósito del instrumento o, en todo caso, a hechos cuyo principio de ejecución sea posterior al 11 de marzo de 1990.</w:t>
      </w:r>
      <w:r w:rsidR="00C65DB3" w:rsidRPr="00675820">
        <w:rPr>
          <w:rFonts w:asciiTheme="majorHAnsi" w:hAnsiTheme="majorHAnsi"/>
          <w:sz w:val="16"/>
          <w:szCs w:val="16"/>
          <w:lang w:val="es-PA"/>
        </w:rPr>
        <w:t xml:space="preserve"> </w:t>
      </w:r>
      <w:r w:rsidR="005A2965" w:rsidRPr="00675820">
        <w:rPr>
          <w:rFonts w:asciiTheme="majorHAnsi" w:hAnsiTheme="majorHAnsi"/>
          <w:sz w:val="20"/>
          <w:szCs w:val="20"/>
          <w:lang w:val="es-UY"/>
        </w:rPr>
        <w:t xml:space="preserve"> </w:t>
      </w:r>
      <w:r w:rsidR="006318AC" w:rsidRPr="00675820">
        <w:rPr>
          <w:rFonts w:asciiTheme="majorHAnsi" w:hAnsiTheme="majorHAnsi"/>
          <w:sz w:val="20"/>
          <w:szCs w:val="20"/>
          <w:lang w:val="es-UY"/>
        </w:rPr>
        <w:t xml:space="preserve">De igual manera, </w:t>
      </w:r>
      <w:r w:rsidR="00217EB8" w:rsidRPr="00675820">
        <w:rPr>
          <w:rFonts w:asciiTheme="majorHAnsi" w:hAnsiTheme="majorHAnsi"/>
          <w:sz w:val="20"/>
          <w:szCs w:val="20"/>
          <w:lang w:val="es-UY"/>
        </w:rPr>
        <w:t>sostiene</w:t>
      </w:r>
      <w:r w:rsidR="006318AC" w:rsidRPr="00675820">
        <w:rPr>
          <w:rFonts w:asciiTheme="majorHAnsi" w:hAnsiTheme="majorHAnsi"/>
          <w:sz w:val="20"/>
          <w:szCs w:val="20"/>
          <w:lang w:val="es-UY"/>
        </w:rPr>
        <w:t xml:space="preserve"> que la Comisión carece de competencia </w:t>
      </w:r>
      <w:proofErr w:type="spellStart"/>
      <w:r w:rsidR="006318AC" w:rsidRPr="00675820">
        <w:rPr>
          <w:rFonts w:asciiTheme="majorHAnsi" w:hAnsiTheme="majorHAnsi"/>
          <w:i/>
          <w:sz w:val="20"/>
          <w:szCs w:val="20"/>
          <w:lang w:val="es-UY"/>
        </w:rPr>
        <w:t>ratione</w:t>
      </w:r>
      <w:proofErr w:type="spellEnd"/>
      <w:r w:rsidR="006318AC" w:rsidRPr="00675820">
        <w:rPr>
          <w:rFonts w:asciiTheme="majorHAnsi" w:hAnsiTheme="majorHAnsi"/>
          <w:i/>
          <w:sz w:val="20"/>
          <w:szCs w:val="20"/>
          <w:lang w:val="es-UY"/>
        </w:rPr>
        <w:t xml:space="preserve"> </w:t>
      </w:r>
      <w:proofErr w:type="spellStart"/>
      <w:r w:rsidR="006318AC" w:rsidRPr="00675820">
        <w:rPr>
          <w:rFonts w:asciiTheme="majorHAnsi" w:hAnsiTheme="majorHAnsi"/>
          <w:i/>
          <w:sz w:val="20"/>
          <w:szCs w:val="20"/>
          <w:lang w:val="es-UY"/>
        </w:rPr>
        <w:t>materiae</w:t>
      </w:r>
      <w:proofErr w:type="spellEnd"/>
      <w:r w:rsidR="006318AC" w:rsidRPr="00675820">
        <w:rPr>
          <w:rFonts w:asciiTheme="majorHAnsi" w:hAnsiTheme="majorHAnsi"/>
          <w:i/>
          <w:sz w:val="20"/>
          <w:szCs w:val="20"/>
          <w:lang w:val="es-UY"/>
        </w:rPr>
        <w:t xml:space="preserve"> </w:t>
      </w:r>
      <w:r w:rsidR="006318AC" w:rsidRPr="00675820">
        <w:rPr>
          <w:rFonts w:asciiTheme="majorHAnsi" w:hAnsiTheme="majorHAnsi"/>
          <w:sz w:val="20"/>
          <w:szCs w:val="20"/>
          <w:lang w:val="es-UY"/>
        </w:rPr>
        <w:t xml:space="preserve">para </w:t>
      </w:r>
      <w:r w:rsidR="00217EB8" w:rsidRPr="00675820">
        <w:rPr>
          <w:rFonts w:asciiTheme="majorHAnsi" w:hAnsiTheme="majorHAnsi"/>
          <w:sz w:val="20"/>
          <w:szCs w:val="20"/>
          <w:lang w:val="es-UY"/>
        </w:rPr>
        <w:t>pronunciarse respecto a las denuncias de la parte peticionaria sobre supuestas violaciones al derecho al trabajo y al derecho a la seguridad social, argumentando que estos derechos no pueden ser objeto de judicialización ante la Comisión Interamericana.</w:t>
      </w:r>
    </w:p>
    <w:p w14:paraId="17321EBA" w14:textId="6A1F5B12" w:rsidR="00217EB8" w:rsidRPr="00675820" w:rsidRDefault="00570841" w:rsidP="00D51518">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UY"/>
        </w:rPr>
        <w:t>En cuanto a la aducida violación del derecho a un recurso efectivo</w:t>
      </w:r>
      <w:r w:rsidR="000B285A" w:rsidRPr="00675820">
        <w:rPr>
          <w:rFonts w:asciiTheme="majorHAnsi" w:hAnsiTheme="majorHAnsi"/>
          <w:sz w:val="20"/>
          <w:szCs w:val="20"/>
          <w:lang w:val="es-UY"/>
        </w:rPr>
        <w:t xml:space="preserve">, el Estado señala que el artículo 20 de la Constitución establece una acción constitucional de protección que puede ser interpuesta  por toda persona que “por causa de actos u omisiones arbitrarios o ilegales sufra privación, perturbación o </w:t>
      </w:r>
      <w:r w:rsidR="000B285A" w:rsidRPr="00675820">
        <w:rPr>
          <w:rFonts w:asciiTheme="majorHAnsi" w:hAnsiTheme="majorHAnsi"/>
          <w:color w:val="auto"/>
          <w:sz w:val="20"/>
          <w:szCs w:val="20"/>
          <w:lang w:val="es-UY"/>
        </w:rPr>
        <w:t>amenaza en el legítimo ejercicio” de la mayoría de los derechos fundamentales, incluyendo la igualdad ante la ley, el derecho al trabajo y el derecho de propiedad</w:t>
      </w:r>
      <w:r w:rsidR="003D2E81" w:rsidRPr="00675820">
        <w:rPr>
          <w:rFonts w:asciiTheme="majorHAnsi" w:hAnsiTheme="majorHAnsi"/>
          <w:color w:val="auto"/>
          <w:sz w:val="20"/>
          <w:szCs w:val="20"/>
          <w:lang w:val="es-UY"/>
        </w:rPr>
        <w:t>; con el fin de que la Corte de Apelaciones respectiva adopte “de inmediato las providencias que juzgue necesarias para restablecer el imperio del derecho y asegurar la debida protección del afectado”</w:t>
      </w:r>
      <w:r w:rsidR="000B285A" w:rsidRPr="00675820">
        <w:rPr>
          <w:rFonts w:asciiTheme="majorHAnsi" w:hAnsiTheme="majorHAnsi"/>
          <w:color w:val="auto"/>
          <w:sz w:val="20"/>
          <w:szCs w:val="20"/>
          <w:lang w:val="es-UY"/>
        </w:rPr>
        <w:t xml:space="preserve">. </w:t>
      </w:r>
      <w:r w:rsidR="006D49B8" w:rsidRPr="00675820">
        <w:rPr>
          <w:rFonts w:asciiTheme="majorHAnsi" w:hAnsiTheme="majorHAnsi"/>
          <w:color w:val="auto"/>
          <w:sz w:val="20"/>
          <w:szCs w:val="20"/>
          <w:lang w:val="es-UY"/>
        </w:rPr>
        <w:t xml:space="preserve">Considera </w:t>
      </w:r>
      <w:r w:rsidR="006D49B8" w:rsidRPr="00675820">
        <w:rPr>
          <w:rFonts w:asciiTheme="majorHAnsi" w:hAnsiTheme="majorHAnsi"/>
          <w:sz w:val="20"/>
          <w:szCs w:val="20"/>
          <w:lang w:val="es-UY"/>
        </w:rPr>
        <w:t xml:space="preserve">que, </w:t>
      </w:r>
      <w:r w:rsidR="000B285A" w:rsidRPr="00675820">
        <w:rPr>
          <w:rFonts w:asciiTheme="majorHAnsi" w:hAnsiTheme="majorHAnsi"/>
          <w:sz w:val="20"/>
          <w:szCs w:val="20"/>
          <w:lang w:val="es-UY"/>
        </w:rPr>
        <w:t>al no haber agotado éste y otros recursos administrativos y judiciales a los que tenían acceso</w:t>
      </w:r>
      <w:r w:rsidR="006D49B8" w:rsidRPr="00675820">
        <w:rPr>
          <w:rFonts w:asciiTheme="majorHAnsi" w:hAnsiTheme="majorHAnsi"/>
          <w:sz w:val="20"/>
          <w:szCs w:val="20"/>
          <w:lang w:val="es-UY"/>
        </w:rPr>
        <w:t>, la parte peticionaria no ha cumplido con el requisito de agotamiento de los recursos internos. Por último, alega que la parte peticionaria pretende improcedentemente que la Comisión actúe</w:t>
      </w:r>
      <w:r w:rsidR="00E6164D" w:rsidRPr="00675820">
        <w:rPr>
          <w:rFonts w:asciiTheme="majorHAnsi" w:hAnsiTheme="majorHAnsi"/>
          <w:sz w:val="20"/>
          <w:szCs w:val="20"/>
          <w:lang w:val="es-UY"/>
        </w:rPr>
        <w:t xml:space="preserve"> como </w:t>
      </w:r>
      <w:r w:rsidR="00E6164D" w:rsidRPr="00675820">
        <w:rPr>
          <w:rFonts w:asciiTheme="majorHAnsi" w:hAnsiTheme="majorHAnsi"/>
          <w:sz w:val="20"/>
          <w:szCs w:val="20"/>
          <w:lang w:val="es-UY"/>
        </w:rPr>
        <w:lastRenderedPageBreak/>
        <w:t>una cuarta instancia, pues su intención real es impugnar una resolución judicial que les resulta desfavorable o perjudicial para sus intereses.</w:t>
      </w:r>
    </w:p>
    <w:p w14:paraId="42EBFA21" w14:textId="5C830A0D" w:rsidR="000535BC" w:rsidRPr="00675820" w:rsidRDefault="000535BC" w:rsidP="00BC40D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675820">
        <w:rPr>
          <w:rFonts w:asciiTheme="majorHAnsi" w:hAnsiTheme="majorHAnsi"/>
          <w:b/>
          <w:bCs/>
          <w:sz w:val="20"/>
          <w:szCs w:val="20"/>
          <w:lang w:val="es-ES"/>
        </w:rPr>
        <w:t>VI.</w:t>
      </w:r>
      <w:r w:rsidRPr="00675820">
        <w:rPr>
          <w:rFonts w:asciiTheme="majorHAnsi" w:hAnsiTheme="majorHAnsi"/>
          <w:b/>
          <w:bCs/>
          <w:sz w:val="20"/>
          <w:szCs w:val="20"/>
          <w:lang w:val="es-ES"/>
        </w:rPr>
        <w:tab/>
      </w:r>
      <w:r w:rsidRPr="00675820">
        <w:rPr>
          <w:rFonts w:asciiTheme="majorHAnsi" w:hAnsiTheme="majorHAnsi"/>
          <w:b/>
          <w:bCs/>
          <w:sz w:val="20"/>
          <w:szCs w:val="20"/>
          <w:lang w:val="es-ES_tradnl"/>
        </w:rPr>
        <w:t xml:space="preserve">ANÁLISIS DE </w:t>
      </w:r>
      <w:r w:rsidRPr="00675820">
        <w:rPr>
          <w:rFonts w:asciiTheme="majorHAnsi" w:hAnsiTheme="majorHAnsi"/>
          <w:b/>
          <w:sz w:val="20"/>
          <w:szCs w:val="20"/>
          <w:lang w:val="es-ES"/>
        </w:rPr>
        <w:t>AGOTAMIENTO DE LOS RECURSOS INTERNOS Y PLAZO DE PRESENTACIÓN</w:t>
      </w:r>
      <w:r w:rsidRPr="00675820">
        <w:rPr>
          <w:rFonts w:asciiTheme="majorHAnsi" w:hAnsiTheme="majorHAnsi"/>
          <w:b/>
          <w:bCs/>
          <w:sz w:val="20"/>
          <w:szCs w:val="20"/>
          <w:lang w:val="es-ES"/>
        </w:rPr>
        <w:t xml:space="preserve"> </w:t>
      </w:r>
    </w:p>
    <w:p w14:paraId="144C7304" w14:textId="753800D3" w:rsidR="00C65DB3" w:rsidRPr="00675820" w:rsidRDefault="000535BC" w:rsidP="00C65DB3">
      <w:pPr>
        <w:pStyle w:val="ListParagraph"/>
        <w:numPr>
          <w:ilvl w:val="0"/>
          <w:numId w:val="103"/>
        </w:numPr>
        <w:spacing w:before="240" w:after="240"/>
        <w:jc w:val="both"/>
        <w:rPr>
          <w:rFonts w:asciiTheme="majorHAnsi" w:hAnsiTheme="majorHAnsi"/>
          <w:color w:val="auto"/>
          <w:sz w:val="20"/>
          <w:szCs w:val="20"/>
          <w:lang w:val="es-UY"/>
        </w:rPr>
      </w:pPr>
      <w:r w:rsidRPr="00675820">
        <w:rPr>
          <w:rFonts w:asciiTheme="majorHAnsi" w:eastAsia="Arial Unicode MS" w:hAnsiTheme="majorHAnsi" w:cs="Times New Roman"/>
          <w:color w:val="auto"/>
          <w:sz w:val="20"/>
          <w:szCs w:val="20"/>
          <w:lang w:val="es-UY" w:eastAsia="en-US"/>
        </w:rPr>
        <w:t>La</w:t>
      </w:r>
      <w:r w:rsidR="00C65DB3" w:rsidRPr="00675820">
        <w:rPr>
          <w:rFonts w:asciiTheme="majorHAnsi" w:eastAsia="Arial Unicode MS" w:hAnsiTheme="majorHAnsi" w:cs="Times New Roman"/>
          <w:color w:val="auto"/>
          <w:sz w:val="20"/>
          <w:szCs w:val="20"/>
          <w:lang w:val="es-UY" w:eastAsia="en-US"/>
        </w:rPr>
        <w:t xml:space="preserve"> Comisión toma nota que la</w:t>
      </w:r>
      <w:r w:rsidRPr="00675820">
        <w:rPr>
          <w:rFonts w:asciiTheme="majorHAnsi" w:eastAsia="Arial Unicode MS" w:hAnsiTheme="majorHAnsi" w:cs="Times New Roman"/>
          <w:color w:val="auto"/>
          <w:sz w:val="20"/>
          <w:szCs w:val="20"/>
          <w:lang w:val="es-UY" w:eastAsia="en-US"/>
        </w:rPr>
        <w:t xml:space="preserve"> parte peticionaria ha indicado que la jurisdicción doméstica se agotó con la decisión emitida por la Corte Suprema el 15 de junio de 2012</w:t>
      </w:r>
      <w:r w:rsidR="00C65DB3" w:rsidRPr="00675820">
        <w:rPr>
          <w:rFonts w:asciiTheme="majorHAnsi" w:eastAsia="Arial Unicode MS" w:hAnsiTheme="majorHAnsi" w:cs="Times New Roman"/>
          <w:color w:val="auto"/>
          <w:sz w:val="20"/>
          <w:szCs w:val="20"/>
          <w:lang w:val="es-UY" w:eastAsia="en-US"/>
        </w:rPr>
        <w:t>; sosteniendo</w:t>
      </w:r>
      <w:r w:rsidR="00ED1956" w:rsidRPr="00675820">
        <w:rPr>
          <w:rFonts w:asciiTheme="majorHAnsi" w:eastAsia="Arial Unicode MS" w:hAnsiTheme="majorHAnsi" w:cs="Times New Roman"/>
          <w:color w:val="auto"/>
          <w:sz w:val="20"/>
          <w:szCs w:val="20"/>
          <w:lang w:val="es-UY" w:eastAsia="en-US"/>
        </w:rPr>
        <w:t xml:space="preserve"> </w:t>
      </w:r>
      <w:r w:rsidR="00ED1956" w:rsidRPr="00675820">
        <w:rPr>
          <w:rFonts w:asciiTheme="majorHAnsi" w:hAnsiTheme="majorHAnsi" w:cs="Calibri"/>
          <w:color w:val="auto"/>
          <w:sz w:val="20"/>
          <w:szCs w:val="20"/>
          <w:lang w:val="es-ES"/>
        </w:rPr>
        <w:t xml:space="preserve">que las presuntas víctimas se vieron obligadas a recurrir a la vía civil extracontractual, que no era la idónea para sus pretensiones, dada la inexistencia </w:t>
      </w:r>
      <w:r w:rsidR="00ED1956" w:rsidRPr="00675820">
        <w:rPr>
          <w:rFonts w:asciiTheme="majorHAnsi" w:hAnsiTheme="majorHAnsi"/>
          <w:color w:val="auto"/>
          <w:sz w:val="20"/>
          <w:szCs w:val="20"/>
          <w:lang w:val="es-UY"/>
        </w:rPr>
        <w:t xml:space="preserve">de una acción específica para reclamar contra abusos de autoridades gubernamentales por la vía contenciosa administrativa. </w:t>
      </w:r>
      <w:r w:rsidR="00C65DB3" w:rsidRPr="00675820">
        <w:rPr>
          <w:rFonts w:asciiTheme="majorHAnsi" w:hAnsiTheme="majorHAnsi"/>
          <w:color w:val="auto"/>
          <w:sz w:val="20"/>
          <w:szCs w:val="20"/>
          <w:lang w:val="es-UY"/>
        </w:rPr>
        <w:t>De igual manera, observa que el Estado ha indicado que los recursos internos no fueron agotados por que las presuntas víctimas no interpusieron la acción constitucional de protección y demás recursos judiciales y administrativos a los que tenían acceso.</w:t>
      </w:r>
    </w:p>
    <w:p w14:paraId="1DCC480E" w14:textId="18AAEB1F" w:rsidR="00B80C6D" w:rsidRPr="00675820" w:rsidRDefault="00B80C6D" w:rsidP="00C65DB3">
      <w:pPr>
        <w:pStyle w:val="ListParagraph"/>
        <w:numPr>
          <w:ilvl w:val="0"/>
          <w:numId w:val="103"/>
        </w:numPr>
        <w:spacing w:before="240" w:after="240"/>
        <w:jc w:val="both"/>
        <w:rPr>
          <w:rFonts w:asciiTheme="majorHAnsi" w:hAnsiTheme="majorHAnsi"/>
          <w:color w:val="auto"/>
          <w:sz w:val="20"/>
          <w:szCs w:val="20"/>
          <w:lang w:val="es-UY"/>
        </w:rPr>
      </w:pPr>
      <w:r w:rsidRPr="00675820">
        <w:rPr>
          <w:rFonts w:asciiTheme="majorHAnsi" w:hAnsiTheme="majorHAnsi" w:cs="Arial"/>
          <w:sz w:val="20"/>
          <w:szCs w:val="20"/>
          <w:lang w:val="es-VE"/>
        </w:rPr>
        <w:t xml:space="preserve">Dada las alegaciones de las partes, la Comisión considera pertinente recordar su criterio sostenido según el cual </w:t>
      </w:r>
      <w:r w:rsidRPr="00675820">
        <w:rPr>
          <w:rFonts w:asciiTheme="majorHAnsi" w:hAnsiTheme="majorHAnsi" w:cs="Calibri"/>
          <w:sz w:val="20"/>
          <w:szCs w:val="20"/>
          <w:lang w:val="es-ES_tradnl"/>
        </w:rPr>
        <w:t>vez que un Estado alega la falta de agotamiento de los recursos internos por parte de los peticionarios, 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w:t>
      </w:r>
      <w:r w:rsidRPr="00675820">
        <w:rPr>
          <w:rStyle w:val="FootnoteReference"/>
          <w:rFonts w:asciiTheme="majorHAnsi" w:eastAsia="Trebuchet MS" w:hAnsiTheme="majorHAnsi" w:cs="Calibri"/>
          <w:sz w:val="20"/>
          <w:szCs w:val="20"/>
        </w:rPr>
        <w:footnoteReference w:id="9"/>
      </w:r>
      <w:r w:rsidRPr="00675820">
        <w:rPr>
          <w:rFonts w:asciiTheme="majorHAnsi" w:hAnsiTheme="majorHAnsi" w:cs="Calibri"/>
          <w:sz w:val="20"/>
          <w:szCs w:val="20"/>
          <w:lang w:val="es-ES_tradnl"/>
        </w:rPr>
        <w:t>. De igual manera, sus criterios respecto a que para efectos de determinar la vía procesal adecuada en el ordenamiento interno la Comisión considera necesario establecer, preliminarmente, el objeto de la petición presentada a su conocimiento</w:t>
      </w:r>
      <w:r w:rsidRPr="00675820">
        <w:rPr>
          <w:rStyle w:val="FootnoteReference"/>
          <w:rFonts w:asciiTheme="majorHAnsi" w:eastAsia="Trebuchet MS" w:hAnsiTheme="majorHAnsi" w:cs="Calibri"/>
          <w:sz w:val="20"/>
          <w:szCs w:val="20"/>
        </w:rPr>
        <w:footnoteReference w:id="10"/>
      </w:r>
      <w:r w:rsidRPr="00675820">
        <w:rPr>
          <w:rFonts w:asciiTheme="majorHAnsi" w:hAnsiTheme="majorHAnsi" w:cs="Calibri"/>
          <w:sz w:val="20"/>
          <w:szCs w:val="20"/>
          <w:lang w:val="es-PA"/>
        </w:rPr>
        <w:t>.</w:t>
      </w:r>
    </w:p>
    <w:p w14:paraId="7577FDC5" w14:textId="10C5EE03" w:rsidR="00116B5D" w:rsidRPr="00675820" w:rsidRDefault="00694556" w:rsidP="00D211B0">
      <w:pPr>
        <w:pStyle w:val="ListParagraph"/>
        <w:numPr>
          <w:ilvl w:val="0"/>
          <w:numId w:val="103"/>
        </w:numPr>
        <w:spacing w:before="240" w:after="240"/>
        <w:jc w:val="both"/>
        <w:rPr>
          <w:rFonts w:asciiTheme="majorHAnsi" w:hAnsiTheme="majorHAnsi"/>
          <w:color w:val="auto"/>
          <w:sz w:val="20"/>
          <w:szCs w:val="20"/>
          <w:lang w:val="es-UY"/>
        </w:rPr>
      </w:pPr>
      <w:r w:rsidRPr="00675820">
        <w:rPr>
          <w:rFonts w:asciiTheme="majorHAnsi" w:hAnsiTheme="majorHAnsi" w:cs="Calibri"/>
          <w:sz w:val="20"/>
          <w:szCs w:val="20"/>
          <w:lang w:val="es-UY"/>
        </w:rPr>
        <w:t>E</w:t>
      </w:r>
      <w:r w:rsidR="00F808C6" w:rsidRPr="00675820">
        <w:rPr>
          <w:rFonts w:asciiTheme="majorHAnsi" w:hAnsiTheme="majorHAnsi" w:cs="Calibri"/>
          <w:sz w:val="20"/>
          <w:szCs w:val="20"/>
          <w:lang w:val="es-PA"/>
        </w:rPr>
        <w:t xml:space="preserve">l Estado </w:t>
      </w:r>
      <w:r w:rsidR="0032228D" w:rsidRPr="00675820">
        <w:rPr>
          <w:rFonts w:asciiTheme="majorHAnsi" w:hAnsiTheme="majorHAnsi" w:cs="Calibri"/>
          <w:sz w:val="20"/>
          <w:szCs w:val="20"/>
          <w:lang w:val="es-PA"/>
        </w:rPr>
        <w:t>h</w:t>
      </w:r>
      <w:r w:rsidR="00F808C6" w:rsidRPr="00675820">
        <w:rPr>
          <w:rFonts w:asciiTheme="majorHAnsi" w:hAnsiTheme="majorHAnsi" w:cs="Calibri"/>
          <w:sz w:val="20"/>
          <w:szCs w:val="20"/>
          <w:lang w:val="es-PA"/>
        </w:rPr>
        <w:t xml:space="preserve">a hecho referencia general a que la parte peticionaria no ha agotado los recursos judiciales y administrativos previstos por el derecho doméstico pero sólo ha aportado información específica con respecto a la acción de protección; indicando que </w:t>
      </w:r>
      <w:r w:rsidR="004E1D5F" w:rsidRPr="00675820">
        <w:rPr>
          <w:rFonts w:asciiTheme="majorHAnsi" w:hAnsiTheme="majorHAnsi" w:cs="Calibri"/>
          <w:sz w:val="20"/>
          <w:szCs w:val="20"/>
          <w:lang w:val="es-PA"/>
        </w:rPr>
        <w:t xml:space="preserve">ésta </w:t>
      </w:r>
      <w:r w:rsidRPr="00675820">
        <w:rPr>
          <w:rFonts w:asciiTheme="majorHAnsi" w:hAnsiTheme="majorHAnsi" w:cs="Calibri"/>
          <w:sz w:val="20"/>
          <w:szCs w:val="20"/>
          <w:lang w:val="es-PA"/>
        </w:rPr>
        <w:t>permite la adopción de medidas para el restablecimiento del derecho</w:t>
      </w:r>
      <w:r w:rsidR="004E1D5F" w:rsidRPr="00675820">
        <w:rPr>
          <w:rFonts w:asciiTheme="majorHAnsi" w:hAnsiTheme="majorHAnsi" w:cs="Calibri"/>
          <w:sz w:val="20"/>
          <w:szCs w:val="20"/>
          <w:lang w:val="es-PA"/>
        </w:rPr>
        <w:t xml:space="preserve"> </w:t>
      </w:r>
      <w:r w:rsidRPr="00675820">
        <w:rPr>
          <w:rFonts w:asciiTheme="majorHAnsi" w:hAnsiTheme="majorHAnsi" w:cs="Calibri"/>
          <w:sz w:val="20"/>
          <w:szCs w:val="20"/>
          <w:lang w:val="es-PA"/>
        </w:rPr>
        <w:t xml:space="preserve">en los casos en que actos ilegales o arbitrarios del Estado le hayan causado </w:t>
      </w:r>
      <w:r w:rsidR="004E1D5F" w:rsidRPr="00675820">
        <w:rPr>
          <w:rFonts w:asciiTheme="majorHAnsi" w:hAnsiTheme="majorHAnsi" w:cs="Calibri"/>
          <w:sz w:val="20"/>
          <w:szCs w:val="20"/>
          <w:lang w:val="es-PA"/>
        </w:rPr>
        <w:t>perjuicios</w:t>
      </w:r>
      <w:r w:rsidRPr="00675820">
        <w:rPr>
          <w:rFonts w:asciiTheme="majorHAnsi" w:hAnsiTheme="majorHAnsi" w:cs="Calibri"/>
          <w:sz w:val="20"/>
          <w:szCs w:val="20"/>
          <w:lang w:val="es-PA"/>
        </w:rPr>
        <w:t xml:space="preserve"> a una personas</w:t>
      </w:r>
      <w:r w:rsidR="004E1D5F" w:rsidRPr="00675820">
        <w:rPr>
          <w:rFonts w:asciiTheme="majorHAnsi" w:hAnsiTheme="majorHAnsi" w:cs="Calibri"/>
          <w:sz w:val="20"/>
          <w:szCs w:val="20"/>
          <w:lang w:val="es-PA"/>
        </w:rPr>
        <w:t xml:space="preserve"> en sus derechos constitucionales tales como la igualdad ante la ley y el derecho de propiedad</w:t>
      </w:r>
      <w:r w:rsidRPr="00675820">
        <w:rPr>
          <w:rFonts w:asciiTheme="majorHAnsi" w:hAnsiTheme="majorHAnsi" w:cs="Calibri"/>
          <w:sz w:val="20"/>
          <w:szCs w:val="20"/>
          <w:lang w:val="es-PA"/>
        </w:rPr>
        <w:t xml:space="preserve">. En este sentido, la Comisión observa que </w:t>
      </w:r>
      <w:r w:rsidR="00CF58F2" w:rsidRPr="00675820">
        <w:rPr>
          <w:rFonts w:asciiTheme="majorHAnsi" w:hAnsiTheme="majorHAnsi" w:cs="Calibri"/>
          <w:sz w:val="20"/>
          <w:szCs w:val="20"/>
          <w:lang w:val="es-PA"/>
        </w:rPr>
        <w:t xml:space="preserve">la presente petición denuncia violaciones al derecho a la propiedad de las presuntas víctimas a quienes se les habría cancelado ilegal y arbitrariamente un derecho </w:t>
      </w:r>
      <w:r w:rsidR="00F808C6" w:rsidRPr="00675820">
        <w:rPr>
          <w:rFonts w:asciiTheme="majorHAnsi" w:hAnsiTheme="majorHAnsi" w:cs="Calibri"/>
          <w:sz w:val="20"/>
          <w:szCs w:val="20"/>
          <w:lang w:val="es-PA"/>
        </w:rPr>
        <w:t xml:space="preserve">laboral </w:t>
      </w:r>
      <w:r w:rsidR="00CF58F2" w:rsidRPr="00675820">
        <w:rPr>
          <w:rFonts w:asciiTheme="majorHAnsi" w:hAnsiTheme="majorHAnsi" w:cs="Calibri"/>
          <w:sz w:val="20"/>
          <w:szCs w:val="20"/>
          <w:lang w:val="es-PA"/>
        </w:rPr>
        <w:t>adquirido</w:t>
      </w:r>
      <w:r w:rsidR="00F808C6" w:rsidRPr="00675820">
        <w:rPr>
          <w:rFonts w:asciiTheme="majorHAnsi" w:hAnsiTheme="majorHAnsi" w:cs="Calibri"/>
          <w:sz w:val="20"/>
          <w:szCs w:val="20"/>
          <w:lang w:val="es-PA"/>
        </w:rPr>
        <w:t xml:space="preserve"> de naturaleza pecuniaria</w:t>
      </w:r>
      <w:r w:rsidR="00CF58F2" w:rsidRPr="00675820">
        <w:rPr>
          <w:rFonts w:asciiTheme="majorHAnsi" w:hAnsiTheme="majorHAnsi" w:cs="Calibri"/>
          <w:sz w:val="20"/>
          <w:szCs w:val="20"/>
          <w:lang w:val="es-PA"/>
        </w:rPr>
        <w:t>; así como violacion</w:t>
      </w:r>
      <w:r w:rsidR="00F808C6" w:rsidRPr="00675820">
        <w:rPr>
          <w:rFonts w:asciiTheme="majorHAnsi" w:hAnsiTheme="majorHAnsi" w:cs="Calibri"/>
          <w:sz w:val="20"/>
          <w:szCs w:val="20"/>
          <w:lang w:val="es-PA"/>
        </w:rPr>
        <w:t>es al derecho a la igualdad de é</w:t>
      </w:r>
      <w:r w:rsidR="00CF58F2" w:rsidRPr="00675820">
        <w:rPr>
          <w:rFonts w:asciiTheme="majorHAnsi" w:hAnsiTheme="majorHAnsi" w:cs="Calibri"/>
          <w:sz w:val="20"/>
          <w:szCs w:val="20"/>
          <w:lang w:val="es-PA"/>
        </w:rPr>
        <w:t>stas por razón de que a otras perso</w:t>
      </w:r>
      <w:r w:rsidR="00F808C6" w:rsidRPr="00675820">
        <w:rPr>
          <w:rFonts w:asciiTheme="majorHAnsi" w:hAnsiTheme="majorHAnsi" w:cs="Calibri"/>
          <w:sz w:val="20"/>
          <w:szCs w:val="20"/>
          <w:lang w:val="es-PA"/>
        </w:rPr>
        <w:t>nas en iguales circunstancias sí</w:t>
      </w:r>
      <w:r w:rsidR="00CF58F2" w:rsidRPr="00675820">
        <w:rPr>
          <w:rFonts w:asciiTheme="majorHAnsi" w:hAnsiTheme="majorHAnsi" w:cs="Calibri"/>
          <w:sz w:val="20"/>
          <w:szCs w:val="20"/>
          <w:lang w:val="es-PA"/>
        </w:rPr>
        <w:t xml:space="preserve"> se les habría </w:t>
      </w:r>
      <w:r w:rsidR="00F808C6" w:rsidRPr="00675820">
        <w:rPr>
          <w:rFonts w:asciiTheme="majorHAnsi" w:hAnsiTheme="majorHAnsi" w:cs="Calibri"/>
          <w:sz w:val="20"/>
          <w:szCs w:val="20"/>
          <w:lang w:val="es-PA"/>
        </w:rPr>
        <w:t>pagado la asignación en cuestión, o por lo menos reconocido su derecho a recibirla</w:t>
      </w:r>
      <w:r w:rsidRPr="00675820">
        <w:rPr>
          <w:rFonts w:asciiTheme="majorHAnsi" w:hAnsiTheme="majorHAnsi" w:cs="Calibri"/>
          <w:sz w:val="20"/>
          <w:szCs w:val="20"/>
          <w:lang w:val="es-PA"/>
        </w:rPr>
        <w:t>. P</w:t>
      </w:r>
      <w:r w:rsidR="00006248" w:rsidRPr="00675820">
        <w:rPr>
          <w:rFonts w:asciiTheme="majorHAnsi" w:hAnsiTheme="majorHAnsi" w:cs="Calibri"/>
          <w:sz w:val="20"/>
          <w:szCs w:val="20"/>
          <w:lang w:val="es-PA"/>
        </w:rPr>
        <w:t xml:space="preserve">or estas razones, la Comisión considera fundado lo planteado por el Estado en el sentido de que la acción de protección, </w:t>
      </w:r>
      <w:r w:rsidR="00006248" w:rsidRPr="00675820">
        <w:rPr>
          <w:rFonts w:asciiTheme="majorHAnsi" w:hAnsiTheme="majorHAnsi" w:cs="Calibri"/>
          <w:i/>
          <w:sz w:val="20"/>
          <w:szCs w:val="20"/>
          <w:lang w:val="es-PA"/>
        </w:rPr>
        <w:t>prima facie</w:t>
      </w:r>
      <w:r w:rsidR="00006248" w:rsidRPr="00675820">
        <w:rPr>
          <w:rFonts w:asciiTheme="majorHAnsi" w:hAnsiTheme="majorHAnsi" w:cs="Calibri"/>
          <w:sz w:val="20"/>
          <w:szCs w:val="20"/>
          <w:lang w:val="es-PA"/>
        </w:rPr>
        <w:t xml:space="preserve">, pudiese haber constituido un recurso adecuado para que las reclamaciones de la parte peticionaria fueran atendidas a nivel doméstico. </w:t>
      </w:r>
      <w:r w:rsidR="00D211B0" w:rsidRPr="00675820">
        <w:rPr>
          <w:rFonts w:asciiTheme="majorHAnsi" w:hAnsiTheme="majorHAnsi" w:cs="Calibri"/>
          <w:sz w:val="20"/>
          <w:szCs w:val="20"/>
          <w:lang w:val="es-PA"/>
        </w:rPr>
        <w:t>Sin embar</w:t>
      </w:r>
      <w:r w:rsidR="00B91896" w:rsidRPr="00675820">
        <w:rPr>
          <w:rFonts w:asciiTheme="majorHAnsi" w:hAnsiTheme="majorHAnsi" w:cs="Calibri"/>
          <w:color w:val="000000" w:themeColor="text1"/>
          <w:sz w:val="20"/>
          <w:szCs w:val="20"/>
          <w:lang w:val="es-PA"/>
        </w:rPr>
        <w:t>go,</w:t>
      </w:r>
      <w:r w:rsidR="00116B5D" w:rsidRPr="00675820">
        <w:rPr>
          <w:rFonts w:asciiTheme="majorHAnsi" w:hAnsiTheme="majorHAnsi"/>
          <w:color w:val="000000" w:themeColor="text1"/>
          <w:sz w:val="20"/>
          <w:szCs w:val="20"/>
          <w:lang w:val="es-UY"/>
        </w:rPr>
        <w:t xml:space="preserve"> la Comisión recuerda que ya ha establecido que</w:t>
      </w:r>
      <w:r w:rsidR="00116B5D" w:rsidRPr="00675820">
        <w:rPr>
          <w:rFonts w:asciiTheme="majorHAnsi" w:hAnsiTheme="majorHAnsi" w:cs="Calibri"/>
          <w:color w:val="000000" w:themeColor="text1"/>
          <w:sz w:val="20"/>
          <w:szCs w:val="20"/>
          <w:lang w:val="es-ES_tradnl"/>
        </w:rPr>
        <w:t xml:space="preserv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116B5D" w:rsidRPr="00675820">
        <w:rPr>
          <w:rStyle w:val="FootnoteReference"/>
          <w:rFonts w:asciiTheme="majorHAnsi" w:hAnsiTheme="majorHAnsi" w:cs="Calibri"/>
          <w:color w:val="000000" w:themeColor="text1"/>
          <w:sz w:val="20"/>
          <w:szCs w:val="20"/>
        </w:rPr>
        <w:footnoteReference w:id="11"/>
      </w:r>
      <w:r w:rsidR="004C6214" w:rsidRPr="00675820">
        <w:rPr>
          <w:rFonts w:asciiTheme="majorHAnsi" w:hAnsiTheme="majorHAnsi" w:cs="Calibri"/>
          <w:color w:val="000000" w:themeColor="text1"/>
          <w:sz w:val="20"/>
          <w:szCs w:val="20"/>
          <w:lang w:val="es-ES_tradnl"/>
        </w:rPr>
        <w:t xml:space="preserve">. En el presente caso, la Comisión </w:t>
      </w:r>
      <w:r w:rsidR="00B91896" w:rsidRPr="00675820">
        <w:rPr>
          <w:rFonts w:asciiTheme="majorHAnsi" w:hAnsiTheme="majorHAnsi" w:cs="Calibri"/>
          <w:color w:val="000000" w:themeColor="text1"/>
          <w:sz w:val="20"/>
          <w:szCs w:val="20"/>
          <w:lang w:val="es-ES_tradnl"/>
        </w:rPr>
        <w:t>valora que el Estado no ha indicado ni se desprende del expediente que</w:t>
      </w:r>
      <w:r w:rsidR="004C6214" w:rsidRPr="00675820">
        <w:rPr>
          <w:rFonts w:asciiTheme="majorHAnsi" w:hAnsiTheme="majorHAnsi" w:cs="Calibri"/>
          <w:color w:val="000000" w:themeColor="text1"/>
          <w:sz w:val="20"/>
          <w:szCs w:val="20"/>
          <w:lang w:val="es-ES_tradnl"/>
        </w:rPr>
        <w:t xml:space="preserve"> la acción de indemnización por daños y perjuicios </w:t>
      </w:r>
      <w:r w:rsidR="00B91896" w:rsidRPr="00675820">
        <w:rPr>
          <w:rFonts w:asciiTheme="majorHAnsi" w:hAnsiTheme="majorHAnsi" w:cs="Calibri"/>
          <w:color w:val="000000" w:themeColor="text1"/>
          <w:sz w:val="20"/>
          <w:szCs w:val="20"/>
          <w:lang w:val="es-ES_tradnl"/>
        </w:rPr>
        <w:t>no constituyera un recurso idóneo para que las reclamaciones de la parte peticionaria fueran atendidas a nivel doméstico. Consecuentemente, la Comisión considera que con respecto a la presente petición el requisito de agotamiento de los recursos internos se cumplió con</w:t>
      </w:r>
      <w:r w:rsidR="00896FF4" w:rsidRPr="00675820">
        <w:rPr>
          <w:rFonts w:asciiTheme="majorHAnsi" w:hAnsiTheme="majorHAnsi" w:cs="Calibri"/>
          <w:color w:val="000000" w:themeColor="text1"/>
          <w:sz w:val="20"/>
          <w:szCs w:val="20"/>
          <w:lang w:val="es-ES_tradnl"/>
        </w:rPr>
        <w:t xml:space="preserve"> la sentencia de casación de la Corte Suprema que determinó el rechazo definitivo de la acción de indemnización interpuesta por las presuntas víctimas. Por esta razón, y dado que la decisión definitiva</w:t>
      </w:r>
      <w:r w:rsidR="00B91896" w:rsidRPr="00675820">
        <w:rPr>
          <w:rFonts w:asciiTheme="majorHAnsi" w:hAnsiTheme="majorHAnsi" w:cs="Calibri"/>
          <w:color w:val="000000" w:themeColor="text1"/>
          <w:sz w:val="20"/>
          <w:szCs w:val="20"/>
          <w:lang w:val="es-ES_tradnl"/>
        </w:rPr>
        <w:t xml:space="preserve"> </w:t>
      </w:r>
      <w:r w:rsidR="00896FF4" w:rsidRPr="00675820">
        <w:rPr>
          <w:rFonts w:asciiTheme="majorHAnsi" w:hAnsiTheme="majorHAnsi" w:cs="Calibri"/>
          <w:color w:val="000000" w:themeColor="text1"/>
          <w:sz w:val="20"/>
          <w:szCs w:val="20"/>
          <w:lang w:val="es-ES_tradnl"/>
        </w:rPr>
        <w:t>fue notificada a las presuntas víctimas el 26 de junio de 2012 y la petición presentada el 14 de diciembre de 2012, la Comisión concluye que la presente p</w:t>
      </w:r>
      <w:r w:rsidR="00E5003F" w:rsidRPr="00675820">
        <w:rPr>
          <w:rFonts w:asciiTheme="majorHAnsi" w:hAnsiTheme="majorHAnsi" w:cs="Calibri"/>
          <w:color w:val="000000" w:themeColor="text1"/>
          <w:sz w:val="20"/>
          <w:szCs w:val="20"/>
          <w:lang w:val="es-ES_tradnl"/>
        </w:rPr>
        <w:t>etición cumple con los requisit</w:t>
      </w:r>
      <w:r w:rsidR="00896FF4" w:rsidRPr="00675820">
        <w:rPr>
          <w:rFonts w:asciiTheme="majorHAnsi" w:hAnsiTheme="majorHAnsi" w:cs="Calibri"/>
          <w:color w:val="000000" w:themeColor="text1"/>
          <w:sz w:val="20"/>
          <w:szCs w:val="20"/>
          <w:lang w:val="es-ES_tradnl"/>
        </w:rPr>
        <w:t>o</w:t>
      </w:r>
      <w:r w:rsidR="00E5003F" w:rsidRPr="00675820">
        <w:rPr>
          <w:rFonts w:asciiTheme="majorHAnsi" w:hAnsiTheme="majorHAnsi" w:cs="Calibri"/>
          <w:color w:val="000000" w:themeColor="text1"/>
          <w:sz w:val="20"/>
          <w:szCs w:val="20"/>
          <w:lang w:val="es-ES_tradnl"/>
        </w:rPr>
        <w:t>s</w:t>
      </w:r>
      <w:r w:rsidR="00896FF4" w:rsidRPr="00675820">
        <w:rPr>
          <w:rFonts w:asciiTheme="majorHAnsi" w:hAnsiTheme="majorHAnsi" w:cs="Calibri"/>
          <w:color w:val="000000" w:themeColor="text1"/>
          <w:sz w:val="20"/>
          <w:szCs w:val="20"/>
          <w:lang w:val="es-ES_tradnl"/>
        </w:rPr>
        <w:t xml:space="preserve"> del artículo 46.1(a) y (b) de la Convención Americana. </w:t>
      </w:r>
    </w:p>
    <w:p w14:paraId="179339AD" w14:textId="2B1377EC" w:rsidR="002B6663" w:rsidRPr="00675820" w:rsidRDefault="004C6214" w:rsidP="005F6ECD">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cs="Calibri"/>
          <w:sz w:val="20"/>
          <w:szCs w:val="20"/>
          <w:lang w:val="es-ES"/>
        </w:rPr>
        <w:lastRenderedPageBreak/>
        <w:t xml:space="preserve">La Comisión </w:t>
      </w:r>
      <w:r w:rsidR="000677C4" w:rsidRPr="00675820">
        <w:rPr>
          <w:rFonts w:asciiTheme="majorHAnsi" w:hAnsiTheme="majorHAnsi" w:cs="Calibri"/>
          <w:sz w:val="20"/>
          <w:szCs w:val="20"/>
          <w:lang w:val="es-ES"/>
        </w:rPr>
        <w:t>toma nota que, aunque la petición también refiere a otros</w:t>
      </w:r>
      <w:r w:rsidR="00663589" w:rsidRPr="00675820">
        <w:rPr>
          <w:rFonts w:asciiTheme="majorHAnsi" w:hAnsiTheme="majorHAnsi" w:cs="Calibri"/>
          <w:sz w:val="20"/>
          <w:szCs w:val="20"/>
          <w:lang w:val="es-ES"/>
        </w:rPr>
        <w:t xml:space="preserve"> hechos tales como</w:t>
      </w:r>
      <w:r w:rsidRPr="00675820">
        <w:rPr>
          <w:rFonts w:asciiTheme="majorHAnsi" w:hAnsiTheme="majorHAnsi" w:cs="Calibri"/>
          <w:sz w:val="20"/>
          <w:szCs w:val="20"/>
          <w:lang w:val="es-ES"/>
        </w:rPr>
        <w:t xml:space="preserve"> que las presuntas víctimas</w:t>
      </w:r>
      <w:r w:rsidR="00663589" w:rsidRPr="00675820">
        <w:rPr>
          <w:rFonts w:asciiTheme="majorHAnsi" w:hAnsiTheme="majorHAnsi" w:cs="Calibri"/>
          <w:sz w:val="20"/>
          <w:szCs w:val="20"/>
          <w:lang w:val="es-ES"/>
        </w:rPr>
        <w:t xml:space="preserve"> su</w:t>
      </w:r>
      <w:r w:rsidRPr="00675820">
        <w:rPr>
          <w:rFonts w:asciiTheme="majorHAnsi" w:hAnsiTheme="majorHAnsi" w:cs="Calibri"/>
          <w:sz w:val="20"/>
          <w:szCs w:val="20"/>
          <w:lang w:val="es-ES"/>
        </w:rPr>
        <w:t>frieron un</w:t>
      </w:r>
      <w:r w:rsidR="00663589" w:rsidRPr="00675820">
        <w:rPr>
          <w:rFonts w:asciiTheme="majorHAnsi" w:hAnsiTheme="majorHAnsi" w:cs="Calibri"/>
          <w:sz w:val="20"/>
          <w:szCs w:val="20"/>
          <w:lang w:val="es-ES"/>
        </w:rPr>
        <w:t xml:space="preserve"> t</w:t>
      </w:r>
      <w:r w:rsidRPr="00675820">
        <w:rPr>
          <w:rFonts w:asciiTheme="majorHAnsi" w:hAnsiTheme="majorHAnsi" w:cs="Calibri"/>
          <w:sz w:val="20"/>
          <w:szCs w:val="20"/>
          <w:lang w:val="es-ES"/>
        </w:rPr>
        <w:t>raslado forzado a un sistema pre</w:t>
      </w:r>
      <w:r w:rsidR="000677C4" w:rsidRPr="00675820">
        <w:rPr>
          <w:rFonts w:asciiTheme="majorHAnsi" w:hAnsiTheme="majorHAnsi" w:cs="Calibri"/>
          <w:sz w:val="20"/>
          <w:szCs w:val="20"/>
          <w:lang w:val="es-ES"/>
        </w:rPr>
        <w:t>visional más desventajoso, la</w:t>
      </w:r>
      <w:r w:rsidR="00663589" w:rsidRPr="00675820">
        <w:rPr>
          <w:rFonts w:asciiTheme="majorHAnsi" w:hAnsiTheme="majorHAnsi" w:cs="Calibri"/>
          <w:sz w:val="20"/>
          <w:szCs w:val="20"/>
          <w:lang w:val="es-ES"/>
        </w:rPr>
        <w:t xml:space="preserve"> peticionaria sólo ha aportado información respecto a los recursos internos agotados en reclamación del pago de la asignación del DL 3551. </w:t>
      </w:r>
      <w:r w:rsidR="00896FF4" w:rsidRPr="00675820">
        <w:rPr>
          <w:rFonts w:asciiTheme="majorHAnsi" w:hAnsiTheme="majorHAnsi" w:cs="Calibri"/>
          <w:sz w:val="20"/>
          <w:szCs w:val="20"/>
          <w:lang w:val="es-ES"/>
        </w:rPr>
        <w:t xml:space="preserve">Por esta razón, la Comisión considera que la petición es admisible solo con respecto a ese punto. </w:t>
      </w:r>
    </w:p>
    <w:p w14:paraId="0A8D3EF2" w14:textId="11017884" w:rsidR="00F208AC" w:rsidRPr="00675820" w:rsidRDefault="00896CE1" w:rsidP="006117A7">
      <w:pPr>
        <w:pStyle w:val="ListParagraph"/>
        <w:spacing w:before="240" w:after="240"/>
        <w:jc w:val="both"/>
        <w:rPr>
          <w:rFonts w:asciiTheme="majorHAnsi" w:hAnsiTheme="majorHAnsi"/>
          <w:b/>
          <w:bCs/>
          <w:sz w:val="20"/>
          <w:szCs w:val="20"/>
          <w:lang w:val="es-UY"/>
        </w:rPr>
      </w:pPr>
      <w:r w:rsidRPr="00675820">
        <w:rPr>
          <w:rFonts w:asciiTheme="majorHAnsi" w:hAnsiTheme="majorHAnsi"/>
          <w:b/>
          <w:bCs/>
          <w:sz w:val="20"/>
          <w:szCs w:val="20"/>
          <w:lang w:val="es-ES"/>
        </w:rPr>
        <w:t>VII.</w:t>
      </w:r>
      <w:r w:rsidRPr="00675820">
        <w:rPr>
          <w:rFonts w:asciiTheme="majorHAnsi" w:hAnsiTheme="majorHAnsi"/>
          <w:b/>
          <w:bCs/>
          <w:sz w:val="20"/>
          <w:szCs w:val="20"/>
          <w:lang w:val="es-ES"/>
        </w:rPr>
        <w:tab/>
      </w:r>
      <w:r w:rsidRPr="00675820">
        <w:rPr>
          <w:rFonts w:asciiTheme="majorHAnsi" w:hAnsiTheme="majorHAnsi"/>
          <w:b/>
          <w:bCs/>
          <w:sz w:val="20"/>
          <w:szCs w:val="20"/>
          <w:lang w:val="es-ES_tradnl"/>
        </w:rPr>
        <w:t xml:space="preserve">ANÁLISIS DE </w:t>
      </w:r>
      <w:r w:rsidRPr="00675820">
        <w:rPr>
          <w:rFonts w:asciiTheme="majorHAnsi" w:hAnsiTheme="majorHAnsi"/>
          <w:b/>
          <w:bCs/>
          <w:sz w:val="20"/>
          <w:szCs w:val="20"/>
          <w:lang w:val="es-ES"/>
        </w:rPr>
        <w:t xml:space="preserve">CARACTERIZACIÓN </w:t>
      </w:r>
      <w:r w:rsidRPr="00675820">
        <w:rPr>
          <w:rFonts w:asciiTheme="majorHAnsi" w:hAnsiTheme="majorHAnsi"/>
          <w:b/>
          <w:bCs/>
          <w:sz w:val="20"/>
          <w:szCs w:val="20"/>
          <w:lang w:val="es-UY"/>
        </w:rPr>
        <w:t>DE LOS HECHOS ALEGADOS</w:t>
      </w:r>
    </w:p>
    <w:p w14:paraId="38174080" w14:textId="7091A5E3" w:rsidR="00565477" w:rsidRPr="00675820" w:rsidRDefault="00896FF4" w:rsidP="00403A01">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cs="Calibri"/>
          <w:sz w:val="20"/>
          <w:szCs w:val="20"/>
          <w:lang w:val="es-ES"/>
        </w:rPr>
        <w:t>La Comisión observa que la presente petición</w:t>
      </w:r>
      <w:r w:rsidR="00F208AC" w:rsidRPr="00675820">
        <w:rPr>
          <w:rFonts w:asciiTheme="majorHAnsi" w:hAnsiTheme="majorHAnsi" w:cs="Calibri"/>
          <w:sz w:val="20"/>
          <w:szCs w:val="20"/>
          <w:lang w:val="es-ES"/>
        </w:rPr>
        <w:t>, en su parte que cumple con el requisito de agotamiento de los recursos internos según la Sección VI de este informe,</w:t>
      </w:r>
      <w:r w:rsidRPr="00675820">
        <w:rPr>
          <w:rFonts w:asciiTheme="majorHAnsi" w:hAnsiTheme="majorHAnsi" w:cs="Calibri"/>
          <w:sz w:val="20"/>
          <w:szCs w:val="20"/>
          <w:lang w:val="es-ES"/>
        </w:rPr>
        <w:t xml:space="preserve"> incluye alegaciones con respecto a que a las presuntas víctimas no se les han </w:t>
      </w:r>
      <w:r w:rsidR="000F5516" w:rsidRPr="00675820">
        <w:rPr>
          <w:rFonts w:asciiTheme="majorHAnsi" w:hAnsiTheme="majorHAnsi" w:cs="Calibri"/>
          <w:sz w:val="20"/>
          <w:szCs w:val="20"/>
          <w:lang w:val="es-ES"/>
        </w:rPr>
        <w:t>cancelado los pagos pertinentes a un derecho laboral que adquirieron conforme al derecho doméstico.</w:t>
      </w:r>
      <w:r w:rsidR="00F208AC" w:rsidRPr="00675820">
        <w:rPr>
          <w:rFonts w:asciiTheme="majorHAnsi" w:hAnsiTheme="majorHAnsi" w:cs="Calibri"/>
          <w:sz w:val="20"/>
          <w:szCs w:val="20"/>
          <w:lang w:val="es-ES"/>
        </w:rPr>
        <w:t xml:space="preserve"> En este sentido, la Comisión valora que, si bien </w:t>
      </w:r>
      <w:r w:rsidR="00413A4A" w:rsidRPr="00675820">
        <w:rPr>
          <w:rFonts w:asciiTheme="majorHAnsi" w:hAnsiTheme="majorHAnsi" w:cs="Calibri"/>
          <w:sz w:val="20"/>
          <w:szCs w:val="20"/>
          <w:lang w:val="es-ES"/>
        </w:rPr>
        <w:t>el derecho laboral reclamado se generó</w:t>
      </w:r>
      <w:r w:rsidR="006117A7" w:rsidRPr="00675820">
        <w:rPr>
          <w:rFonts w:asciiTheme="majorHAnsi" w:hAnsiTheme="majorHAnsi" w:cs="Calibri"/>
          <w:sz w:val="20"/>
          <w:szCs w:val="20"/>
          <w:lang w:val="es-ES"/>
        </w:rPr>
        <w:t>, según las alegaciones,</w:t>
      </w:r>
      <w:r w:rsidR="00413A4A" w:rsidRPr="00675820">
        <w:rPr>
          <w:rFonts w:asciiTheme="majorHAnsi" w:hAnsiTheme="majorHAnsi" w:cs="Calibri"/>
          <w:sz w:val="20"/>
          <w:szCs w:val="20"/>
          <w:lang w:val="es-ES"/>
        </w:rPr>
        <w:t xml:space="preserve"> con anterioridad a la ratificación de la Convención Americana por parte de Chile, los alegados efectos </w:t>
      </w:r>
      <w:r w:rsidR="006117A7" w:rsidRPr="00675820">
        <w:rPr>
          <w:rFonts w:asciiTheme="majorHAnsi" w:hAnsiTheme="majorHAnsi" w:cs="Calibri"/>
          <w:sz w:val="20"/>
          <w:szCs w:val="20"/>
          <w:lang w:val="es-ES"/>
        </w:rPr>
        <w:t>que su no pago tendría</w:t>
      </w:r>
      <w:r w:rsidR="00413A4A" w:rsidRPr="00675820">
        <w:rPr>
          <w:rFonts w:asciiTheme="majorHAnsi" w:hAnsiTheme="majorHAnsi" w:cs="Calibri"/>
          <w:sz w:val="20"/>
          <w:szCs w:val="20"/>
          <w:lang w:val="es-ES"/>
        </w:rPr>
        <w:t xml:space="preserve"> sobre los derechos humanos de </w:t>
      </w:r>
      <w:r w:rsidR="006117A7" w:rsidRPr="00675820">
        <w:rPr>
          <w:rFonts w:asciiTheme="majorHAnsi" w:hAnsiTheme="majorHAnsi" w:cs="Calibri"/>
          <w:sz w:val="20"/>
          <w:szCs w:val="20"/>
          <w:lang w:val="es-ES"/>
        </w:rPr>
        <w:t>las presuntas víctima</w:t>
      </w:r>
      <w:r w:rsidR="00E5003F" w:rsidRPr="00675820">
        <w:rPr>
          <w:rFonts w:asciiTheme="majorHAnsi" w:hAnsiTheme="majorHAnsi" w:cs="Calibri"/>
          <w:sz w:val="20"/>
          <w:szCs w:val="20"/>
          <w:lang w:val="es-ES"/>
        </w:rPr>
        <w:t>s</w:t>
      </w:r>
      <w:r w:rsidR="006117A7" w:rsidRPr="00675820">
        <w:rPr>
          <w:rFonts w:asciiTheme="majorHAnsi" w:hAnsiTheme="majorHAnsi" w:cs="Calibri"/>
          <w:sz w:val="20"/>
          <w:szCs w:val="20"/>
          <w:lang w:val="es-ES"/>
        </w:rPr>
        <w:t xml:space="preserve"> serían de naturaleza continuada, extendiéndose</w:t>
      </w:r>
      <w:r w:rsidR="00413A4A" w:rsidRPr="00675820">
        <w:rPr>
          <w:rFonts w:asciiTheme="majorHAnsi" w:hAnsiTheme="majorHAnsi" w:cs="Calibri"/>
          <w:sz w:val="20"/>
          <w:szCs w:val="20"/>
          <w:lang w:val="es-ES"/>
        </w:rPr>
        <w:t xml:space="preserve"> hasta la actualidad. Por esta razón, la Comisión concluye que </w:t>
      </w:r>
      <w:r w:rsidR="006117A7" w:rsidRPr="00675820">
        <w:rPr>
          <w:rFonts w:asciiTheme="majorHAnsi" w:hAnsiTheme="majorHAnsi" w:cs="Calibri"/>
          <w:sz w:val="20"/>
          <w:szCs w:val="20"/>
          <w:lang w:val="es-ES"/>
        </w:rPr>
        <w:t>cuenta con competencia temporal para conocer estas reclamaciones en base a la Convención Americana.</w:t>
      </w:r>
    </w:p>
    <w:p w14:paraId="21D967AA" w14:textId="0960E805" w:rsidR="000F5516" w:rsidRPr="00675820" w:rsidRDefault="00987961" w:rsidP="00403A01">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UY"/>
        </w:rPr>
        <w:t>Dada la naturaleza de las alegaciones la Comisión considera pertinente recordar que la Corte Interamericana ha determinado que “</w:t>
      </w:r>
      <w:r w:rsidRPr="00675820">
        <w:rPr>
          <w:rFonts w:asciiTheme="majorHAnsi" w:hAnsiTheme="majorHAnsi"/>
          <w:sz w:val="20"/>
          <w:lang w:val="es-ES_tradnl"/>
        </w:rPr>
        <w:t>los Estados tienen la obligación de velar para que dentro de su territorio se reconozcan y apliquen</w:t>
      </w:r>
      <w:r w:rsidRPr="00675820">
        <w:rPr>
          <w:rFonts w:asciiTheme="majorHAnsi" w:hAnsiTheme="majorHAnsi"/>
          <w:b/>
          <w:sz w:val="20"/>
          <w:lang w:val="es-ES_tradnl"/>
        </w:rPr>
        <w:t xml:space="preserve"> </w:t>
      </w:r>
      <w:r w:rsidRPr="00675820">
        <w:rPr>
          <w:rFonts w:asciiTheme="majorHAnsi" w:hAnsiTheme="majorHAnsi"/>
          <w:sz w:val="20"/>
          <w:lang w:val="es-ES_tradnl"/>
        </w:rPr>
        <w:t>todos los derechos laborales que su ordenamiento jurídico estipula, derechos originados en instrumentos internacionales o en normativa interna”</w:t>
      </w:r>
      <w:r w:rsidRPr="00675820">
        <w:rPr>
          <w:rStyle w:val="FootnoteReference"/>
          <w:rFonts w:asciiTheme="majorHAnsi" w:hAnsiTheme="majorHAnsi"/>
          <w:sz w:val="20"/>
          <w:lang w:val="es-ES_tradnl"/>
        </w:rPr>
        <w:footnoteReference w:id="12"/>
      </w:r>
      <w:r w:rsidRPr="00675820">
        <w:rPr>
          <w:rFonts w:asciiTheme="majorHAnsi" w:hAnsiTheme="majorHAnsi"/>
          <w:sz w:val="20"/>
          <w:lang w:val="es-ES_tradnl"/>
        </w:rPr>
        <w:t>. De igual manera, recordar que la Corte Interamericana ha reconocido que el artículo 21 de la Convención Americana protege los derechos laborales adquiridos que se han incorporado al patrimonio de las personas</w:t>
      </w:r>
      <w:r w:rsidRPr="00675820">
        <w:rPr>
          <w:rStyle w:val="FootnoteReference"/>
          <w:rFonts w:asciiTheme="majorHAnsi" w:hAnsiTheme="majorHAnsi"/>
          <w:sz w:val="20"/>
          <w:lang w:val="es-ES_tradnl"/>
        </w:rPr>
        <w:footnoteReference w:id="13"/>
      </w:r>
      <w:r w:rsidRPr="00675820">
        <w:rPr>
          <w:rFonts w:asciiTheme="majorHAnsi" w:hAnsiTheme="majorHAnsi"/>
          <w:sz w:val="20"/>
          <w:lang w:val="es-ES_tradnl"/>
        </w:rPr>
        <w:t xml:space="preserve">. </w:t>
      </w:r>
    </w:p>
    <w:p w14:paraId="65B1C302" w14:textId="6D774C78" w:rsidR="00E20080" w:rsidRPr="00675820" w:rsidRDefault="007E7669" w:rsidP="00403A01">
      <w:pPr>
        <w:pStyle w:val="ListParagraph"/>
        <w:numPr>
          <w:ilvl w:val="0"/>
          <w:numId w:val="103"/>
        </w:numPr>
        <w:spacing w:before="240" w:after="240"/>
        <w:jc w:val="both"/>
        <w:rPr>
          <w:rFonts w:asciiTheme="majorHAnsi" w:hAnsiTheme="majorHAnsi"/>
          <w:sz w:val="20"/>
          <w:szCs w:val="20"/>
          <w:lang w:val="es-UY"/>
        </w:rPr>
      </w:pPr>
      <w:r w:rsidRPr="00675820">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675820">
        <w:rPr>
          <w:rFonts w:asciiTheme="majorHAnsi" w:hAnsiTheme="majorHAnsi"/>
          <w:bCs/>
          <w:sz w:val="20"/>
          <w:szCs w:val="20"/>
          <w:lang w:val="es-AR"/>
        </w:rPr>
        <w:t>8 (garantías judiciales), 21 (propiedad privada), 25 (protección judicial) y 26 (derechos económicos sociales y culturales) de la Convención Americana en relación con su artículo 1.1 (obligación de respetar los derechos)</w:t>
      </w:r>
    </w:p>
    <w:p w14:paraId="0EE39712" w14:textId="5056CD08" w:rsidR="008D1D04" w:rsidRPr="00675820" w:rsidRDefault="007E7669" w:rsidP="008D1D04">
      <w:pPr>
        <w:pStyle w:val="ListParagraph"/>
        <w:numPr>
          <w:ilvl w:val="0"/>
          <w:numId w:val="103"/>
        </w:numPr>
        <w:jc w:val="both"/>
        <w:rPr>
          <w:rFonts w:asciiTheme="majorHAnsi" w:eastAsia="Times New Roman" w:hAnsiTheme="majorHAnsi" w:cs="Times New Roman"/>
          <w:color w:val="auto"/>
          <w:sz w:val="20"/>
          <w:szCs w:val="20"/>
          <w:lang w:val="es-PE"/>
        </w:rPr>
      </w:pPr>
      <w:r w:rsidRPr="00675820">
        <w:rPr>
          <w:rFonts w:asciiTheme="majorHAnsi" w:hAnsiTheme="majorHAnsi"/>
          <w:bCs/>
          <w:sz w:val="20"/>
          <w:szCs w:val="20"/>
          <w:lang w:val="es-AR"/>
        </w:rPr>
        <w:t xml:space="preserve">En cuanto a las alegadas violaciones a los artículos I (vida, libertad, seguridad e integridad de la persona) y XVIII (justicia) de la Declaración Americana, </w:t>
      </w:r>
      <w:r w:rsidRPr="00675820">
        <w:rPr>
          <w:rFonts w:asciiTheme="majorHAnsi" w:hAnsiTheme="majorHAnsi" w:cs="Calibri"/>
          <w:sz w:val="20"/>
          <w:szCs w:val="20"/>
          <w:lang w:val="es-ES"/>
        </w:rPr>
        <w:t xml:space="preserve">la Comisión recuerda que ya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Comisión considera que las alegadas violaciones a la Declaración Americana no escapan el alcance de la protección de los artículos 7, 8 y 25 de la Convención Americana. Por lo tanto, la Comisión examinará estos alegatos a la luz de la Convención Americana. Respecto a la alegada violación al artículo </w:t>
      </w:r>
      <w:r w:rsidR="008D1D04" w:rsidRPr="00675820">
        <w:rPr>
          <w:rFonts w:asciiTheme="majorHAnsi" w:hAnsiTheme="majorHAnsi"/>
          <w:bCs/>
          <w:sz w:val="20"/>
          <w:szCs w:val="20"/>
          <w:lang w:val="es-AR"/>
        </w:rPr>
        <w:t xml:space="preserve">XVI (seguridad social) de la Declaración Americana, </w:t>
      </w:r>
      <w:r w:rsidR="008D1D04" w:rsidRPr="00675820">
        <w:rPr>
          <w:rFonts w:asciiTheme="majorHAnsi" w:hAnsiTheme="majorHAnsi" w:cs="Calibri"/>
          <w:color w:val="auto"/>
          <w:sz w:val="20"/>
          <w:szCs w:val="20"/>
          <w:lang w:val="es-ES"/>
        </w:rPr>
        <w:t>la Comisión considera que los hechos expuestos, pudieran, de corroborarse como ciertos, caracterizar violaciones a éste artículo. Sin embargo, tomando en cuento lo ya</w:t>
      </w:r>
      <w:r w:rsidR="008D1D04" w:rsidRPr="00675820">
        <w:rPr>
          <w:rFonts w:asciiTheme="majorHAnsi" w:hAnsiTheme="majorHAnsi" w:cs="Calibri"/>
          <w:color w:val="auto"/>
          <w:sz w:val="20"/>
          <w:szCs w:val="20"/>
          <w:lang w:val="es-AR"/>
        </w:rPr>
        <w:t xml:space="preserve"> expuesto referente a la fuente primaria de derecho aplicable, y teniendo en cuenta que el artículo 26 de la Convención hace una referencia general a los derechos económicos, sociales y culturales, y que estos deben ser determinados en conexión con la Carta de la OEA e instrumentos aplicables, la Comisión considera que en casos donde se alegue alguna violación específica de la Declaración relacionada con el contenido general del artículo 26 antes referido, el análisis de su correspondencia e identidad es propia de la etapa de fondo.</w:t>
      </w:r>
    </w:p>
    <w:p w14:paraId="2D048599" w14:textId="77777777" w:rsidR="008D1D04" w:rsidRPr="00675820" w:rsidRDefault="008D1D04" w:rsidP="008D1D04">
      <w:pPr>
        <w:pStyle w:val="ListParagraph"/>
        <w:jc w:val="both"/>
        <w:rPr>
          <w:rFonts w:asciiTheme="majorHAnsi" w:eastAsia="Times New Roman" w:hAnsiTheme="majorHAnsi" w:cs="Times New Roman"/>
          <w:color w:val="auto"/>
          <w:sz w:val="20"/>
          <w:szCs w:val="20"/>
          <w:lang w:val="es-PE"/>
        </w:rPr>
      </w:pPr>
    </w:p>
    <w:p w14:paraId="22AA0305" w14:textId="55AE8E02" w:rsidR="008D1D04" w:rsidRPr="00675820" w:rsidRDefault="008D1D04" w:rsidP="008D1D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820">
        <w:rPr>
          <w:rFonts w:asciiTheme="majorHAnsi" w:hAnsiTheme="majorHAnsi"/>
          <w:sz w:val="20"/>
          <w:szCs w:val="20"/>
          <w:lang w:val="es-ES"/>
        </w:rPr>
        <w:t xml:space="preserve">Respecto a las alegadas violaciones a los artículos 7 (libertad personal) y 24 (igualdad ante la ley) de la Convención Americana, la Comisión considera que la parte peticionaria no ha aportado ni surgen del expediente elementos o sustento suficiente para considerar </w:t>
      </w:r>
      <w:r w:rsidRPr="00675820">
        <w:rPr>
          <w:rFonts w:asciiTheme="majorHAnsi" w:hAnsiTheme="majorHAnsi"/>
          <w:i/>
          <w:sz w:val="20"/>
          <w:szCs w:val="20"/>
          <w:lang w:val="es-ES"/>
        </w:rPr>
        <w:t>prima facie</w:t>
      </w:r>
      <w:r w:rsidRPr="00675820">
        <w:rPr>
          <w:rFonts w:asciiTheme="majorHAnsi" w:hAnsiTheme="majorHAnsi"/>
          <w:sz w:val="20"/>
          <w:szCs w:val="20"/>
          <w:lang w:val="es-ES"/>
        </w:rPr>
        <w:t xml:space="preserve"> su posible violación.</w:t>
      </w:r>
    </w:p>
    <w:p w14:paraId="36C67461" w14:textId="5AA71CE1" w:rsidR="008D1D04" w:rsidRPr="00675820" w:rsidRDefault="008D1D04" w:rsidP="008D04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820">
        <w:rPr>
          <w:rFonts w:asciiTheme="majorHAnsi" w:hAnsiTheme="majorHAnsi"/>
          <w:sz w:val="20"/>
          <w:szCs w:val="20"/>
          <w:lang w:val="es-ES"/>
        </w:rPr>
        <w:lastRenderedPageBreak/>
        <w:t xml:space="preserve">En lo referente a las alegadas violaciones a la </w:t>
      </w:r>
      <w:r w:rsidRPr="00675820">
        <w:rPr>
          <w:rFonts w:asciiTheme="majorHAnsi" w:hAnsiTheme="majorHAnsi"/>
          <w:sz w:val="20"/>
          <w:szCs w:val="20"/>
          <w:lang w:val="es-PA"/>
        </w:rPr>
        <w:t xml:space="preserve">Declaración Universal de los Derechos Humanos, Pacto Internacional de Derechos Civiles y Político, Pacto Internacional de Derechos Económicos, Sociales y Culturales y convenios de la Organización internacional del trabajo, la Comisión </w:t>
      </w:r>
      <w:r w:rsidR="008D04A1" w:rsidRPr="00675820">
        <w:rPr>
          <w:rFonts w:asciiTheme="majorHAnsi" w:hAnsiTheme="majorHAnsi"/>
          <w:sz w:val="20"/>
          <w:szCs w:val="20"/>
          <w:lang w:val="es-PA"/>
        </w:rPr>
        <w:t xml:space="preserve">recuerda que </w:t>
      </w:r>
      <w:r w:rsidR="008D04A1" w:rsidRPr="00675820">
        <w:rPr>
          <w:rFonts w:asciiTheme="majorHAnsi" w:hAnsiTheme="majorHAnsi" w:cs="Calibri"/>
          <w:sz w:val="20"/>
          <w:szCs w:val="20"/>
          <w:lang w:val="es-ES_tradnl"/>
        </w:rPr>
        <w:t xml:space="preserve">carece de competencia </w:t>
      </w:r>
      <w:proofErr w:type="spellStart"/>
      <w:r w:rsidR="008D04A1" w:rsidRPr="00675820">
        <w:rPr>
          <w:rFonts w:asciiTheme="majorHAnsi" w:hAnsiTheme="majorHAnsi" w:cs="Calibri"/>
          <w:i/>
          <w:sz w:val="20"/>
          <w:szCs w:val="20"/>
          <w:lang w:val="es-ES_tradnl"/>
        </w:rPr>
        <w:t>ratione</w:t>
      </w:r>
      <w:proofErr w:type="spellEnd"/>
      <w:r w:rsidR="008D04A1" w:rsidRPr="00675820">
        <w:rPr>
          <w:rFonts w:asciiTheme="majorHAnsi" w:hAnsiTheme="majorHAnsi" w:cs="Calibri"/>
          <w:i/>
          <w:sz w:val="20"/>
          <w:szCs w:val="20"/>
          <w:lang w:val="es-ES_tradnl"/>
        </w:rPr>
        <w:t xml:space="preserve"> </w:t>
      </w:r>
      <w:proofErr w:type="spellStart"/>
      <w:r w:rsidR="008D04A1" w:rsidRPr="00675820">
        <w:rPr>
          <w:rFonts w:asciiTheme="majorHAnsi" w:hAnsiTheme="majorHAnsi" w:cs="Calibri"/>
          <w:i/>
          <w:sz w:val="20"/>
          <w:szCs w:val="20"/>
          <w:lang w:val="es-ES_tradnl"/>
        </w:rPr>
        <w:t>materiae</w:t>
      </w:r>
      <w:proofErr w:type="spellEnd"/>
      <w:r w:rsidR="008D04A1" w:rsidRPr="00675820">
        <w:rPr>
          <w:rFonts w:asciiTheme="majorHAnsi" w:hAnsiTheme="majorHAnsi" w:cs="Calibri"/>
          <w:sz w:val="20"/>
          <w:szCs w:val="20"/>
          <w:lang w:val="es-ES_tradnl"/>
        </w:rPr>
        <w:t xml:space="preserve"> para pronunciarse sobre violaciones a los derechos contenidos en instrumentos fuera del Sistema Interamericano. En adición y en cuanto las alegadas violaciones al Protocolo de San Salvador, la Comisión carece de competencia </w:t>
      </w:r>
      <w:proofErr w:type="spellStart"/>
      <w:r w:rsidR="008D04A1" w:rsidRPr="00675820">
        <w:rPr>
          <w:rFonts w:asciiTheme="majorHAnsi" w:hAnsiTheme="majorHAnsi" w:cs="Calibri"/>
          <w:i/>
          <w:sz w:val="20"/>
          <w:szCs w:val="20"/>
          <w:lang w:val="es-ES_tradnl"/>
        </w:rPr>
        <w:t>ratione</w:t>
      </w:r>
      <w:proofErr w:type="spellEnd"/>
      <w:r w:rsidR="008D04A1" w:rsidRPr="00675820">
        <w:rPr>
          <w:rFonts w:asciiTheme="majorHAnsi" w:hAnsiTheme="majorHAnsi" w:cs="Calibri"/>
          <w:i/>
          <w:sz w:val="20"/>
          <w:szCs w:val="20"/>
          <w:lang w:val="es-ES_tradnl"/>
        </w:rPr>
        <w:t xml:space="preserve"> </w:t>
      </w:r>
      <w:proofErr w:type="spellStart"/>
      <w:r w:rsidR="008D04A1" w:rsidRPr="00675820">
        <w:rPr>
          <w:rFonts w:asciiTheme="majorHAnsi" w:hAnsiTheme="majorHAnsi" w:cs="Calibri"/>
          <w:i/>
          <w:sz w:val="20"/>
          <w:szCs w:val="20"/>
          <w:lang w:val="es-ES_tradnl"/>
        </w:rPr>
        <w:t>materiae</w:t>
      </w:r>
      <w:proofErr w:type="spellEnd"/>
      <w:r w:rsidR="008D04A1" w:rsidRPr="00675820">
        <w:rPr>
          <w:rFonts w:asciiTheme="majorHAnsi" w:hAnsiTheme="majorHAnsi" w:cs="Calibri"/>
          <w:sz w:val="20"/>
          <w:szCs w:val="20"/>
          <w:lang w:val="es-ES_tradnl"/>
        </w:rPr>
        <w:t xml:space="preserve"> para pronunciarse al respecto dado que dicho protocolo no ha sido ratificado por Chile. Estas determinaciones son sin perjuicio de que la Comisión pueda recurrir a los estándares establecidos en los referidos instrumentos a fin de interpretar las normas de la Convención en virtud del artículo 29 de la misma</w:t>
      </w:r>
      <w:r w:rsidR="008D04A1" w:rsidRPr="00675820">
        <w:rPr>
          <w:rStyle w:val="FootnoteReference"/>
          <w:rFonts w:asciiTheme="majorHAnsi" w:hAnsiTheme="majorHAnsi" w:cs="Calibri"/>
          <w:sz w:val="20"/>
          <w:szCs w:val="20"/>
        </w:rPr>
        <w:footnoteReference w:id="14"/>
      </w:r>
      <w:r w:rsidR="008D04A1" w:rsidRPr="00675820">
        <w:rPr>
          <w:rFonts w:asciiTheme="majorHAnsi" w:hAnsiTheme="majorHAnsi" w:cs="Calibri"/>
          <w:sz w:val="20"/>
          <w:szCs w:val="20"/>
          <w:lang w:val="es-ES_tradnl"/>
        </w:rPr>
        <w:t>.</w:t>
      </w:r>
    </w:p>
    <w:p w14:paraId="29BB41F5" w14:textId="77777777" w:rsidR="003239B8" w:rsidRPr="00675820" w:rsidRDefault="003239B8" w:rsidP="00AC2B25">
      <w:pPr>
        <w:pStyle w:val="ListParagraph"/>
        <w:spacing w:before="240" w:after="240"/>
        <w:jc w:val="both"/>
        <w:rPr>
          <w:rFonts w:asciiTheme="majorHAnsi" w:hAnsiTheme="majorHAnsi"/>
          <w:b/>
          <w:bCs/>
          <w:sz w:val="20"/>
          <w:szCs w:val="20"/>
          <w:lang w:val="es-ES"/>
        </w:rPr>
      </w:pPr>
      <w:r w:rsidRPr="00675820">
        <w:rPr>
          <w:rFonts w:asciiTheme="majorHAnsi" w:hAnsiTheme="majorHAnsi"/>
          <w:b/>
          <w:bCs/>
          <w:sz w:val="20"/>
          <w:szCs w:val="20"/>
          <w:lang w:val="es-ES"/>
        </w:rPr>
        <w:t xml:space="preserve">VIII. </w:t>
      </w:r>
      <w:r w:rsidRPr="00675820">
        <w:rPr>
          <w:rFonts w:asciiTheme="majorHAnsi" w:hAnsiTheme="majorHAnsi"/>
          <w:b/>
          <w:bCs/>
          <w:sz w:val="20"/>
          <w:szCs w:val="20"/>
          <w:lang w:val="es-ES"/>
        </w:rPr>
        <w:tab/>
        <w:t>DECISIÓN</w:t>
      </w:r>
    </w:p>
    <w:p w14:paraId="41AA5BF6" w14:textId="04E642BB" w:rsidR="000419AD" w:rsidRPr="00675820" w:rsidRDefault="003239B8" w:rsidP="00AC2B2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820">
        <w:rPr>
          <w:rFonts w:asciiTheme="majorHAnsi" w:hAnsiTheme="majorHAnsi"/>
          <w:sz w:val="20"/>
          <w:szCs w:val="20"/>
          <w:lang w:val="es-ES"/>
        </w:rPr>
        <w:t xml:space="preserve">Declarar </w:t>
      </w:r>
      <w:r w:rsidR="00896CE1" w:rsidRPr="00675820">
        <w:rPr>
          <w:rFonts w:asciiTheme="majorHAnsi" w:hAnsiTheme="majorHAnsi"/>
          <w:sz w:val="20"/>
          <w:szCs w:val="20"/>
          <w:lang w:val="es-ES"/>
        </w:rPr>
        <w:t xml:space="preserve">admisible la presente petición </w:t>
      </w:r>
      <w:r w:rsidR="006117A7" w:rsidRPr="00675820">
        <w:rPr>
          <w:rFonts w:asciiTheme="majorHAnsi" w:hAnsiTheme="majorHAnsi"/>
          <w:sz w:val="20"/>
          <w:szCs w:val="20"/>
          <w:lang w:val="es-ES"/>
        </w:rPr>
        <w:t>en relación con los artículos 8, 21, 25 y 26 de la Convención Americana en relación con su artículo 1.1. y el artículo XVI de la Declaración Americana.</w:t>
      </w:r>
    </w:p>
    <w:p w14:paraId="109AAA59" w14:textId="30D5D9A0" w:rsidR="006117A7" w:rsidRPr="00675820" w:rsidRDefault="006117A7" w:rsidP="00AC2B2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820">
        <w:rPr>
          <w:rFonts w:asciiTheme="majorHAnsi" w:hAnsiTheme="majorHAnsi"/>
          <w:sz w:val="20"/>
          <w:szCs w:val="20"/>
          <w:lang w:val="es-ES"/>
        </w:rPr>
        <w:t>Declarar inadmisible la presente petición en relación con los artículos 7 y 24 de la Convención Americana.</w:t>
      </w:r>
    </w:p>
    <w:p w14:paraId="12A7002C" w14:textId="35CEA72A" w:rsidR="004A6A54" w:rsidRPr="00675820" w:rsidRDefault="004A6A54" w:rsidP="00AC2B2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820">
        <w:rPr>
          <w:rFonts w:asciiTheme="majorHAnsi" w:hAnsiTheme="majorHAnsi"/>
          <w:sz w:val="20"/>
          <w:szCs w:val="20"/>
          <w:lang w:val="es-ES"/>
        </w:rPr>
        <w:t>Notificar a las partes la presente decisión;</w:t>
      </w:r>
      <w:r w:rsidR="006117A7" w:rsidRPr="00675820">
        <w:rPr>
          <w:rFonts w:asciiTheme="majorHAnsi" w:hAnsiTheme="majorHAnsi"/>
          <w:sz w:val="20"/>
          <w:szCs w:val="20"/>
          <w:lang w:val="es-ES"/>
        </w:rPr>
        <w:t xml:space="preserve"> continuar con el análisis de fondo;</w:t>
      </w:r>
      <w:r w:rsidRPr="00675820">
        <w:rPr>
          <w:rFonts w:asciiTheme="majorHAnsi" w:hAnsiTheme="majorHAnsi"/>
          <w:sz w:val="20"/>
          <w:szCs w:val="20"/>
          <w:lang w:val="es-ES"/>
        </w:rPr>
        <w:t xml:space="preserve"> y publicar esta decisión e incluirla en su Informe Anual a la Asamblea General de la Organización de los Estados Americanos.</w:t>
      </w:r>
    </w:p>
    <w:p w14:paraId="1185E6A9" w14:textId="12028645" w:rsidR="00357BB5" w:rsidRPr="00675820" w:rsidRDefault="00357BB5" w:rsidP="00AD43AA">
      <w:pPr>
        <w:ind w:firstLine="720"/>
        <w:jc w:val="both"/>
        <w:rPr>
          <w:rFonts w:asciiTheme="majorHAnsi" w:hAnsiTheme="majorHAnsi" w:cs="Arial"/>
          <w:noProof/>
          <w:spacing w:val="-2"/>
          <w:sz w:val="20"/>
          <w:szCs w:val="20"/>
          <w:lang w:val="es-CL"/>
        </w:rPr>
      </w:pPr>
      <w:r w:rsidRPr="00675820">
        <w:rPr>
          <w:rFonts w:asciiTheme="majorHAnsi" w:hAnsiTheme="majorHAnsi" w:cs="Arial"/>
          <w:noProof/>
          <w:spacing w:val="-2"/>
          <w:sz w:val="20"/>
          <w:szCs w:val="20"/>
          <w:lang w:val="es-CL"/>
        </w:rPr>
        <w:t xml:space="preserve">Aprobado por la Comisión Interamericana de Derechos Humanos  a los </w:t>
      </w:r>
      <w:r w:rsidR="007B4B9E" w:rsidRPr="00675820">
        <w:rPr>
          <w:rFonts w:asciiTheme="majorHAnsi" w:hAnsiTheme="majorHAnsi" w:cs="Arial"/>
          <w:noProof/>
          <w:spacing w:val="-2"/>
          <w:sz w:val="20"/>
          <w:szCs w:val="20"/>
          <w:lang w:val="es-CL"/>
        </w:rPr>
        <w:t>1</w:t>
      </w:r>
      <w:r w:rsidRPr="00675820">
        <w:rPr>
          <w:rFonts w:asciiTheme="majorHAnsi" w:hAnsiTheme="majorHAnsi" w:cs="Arial"/>
          <w:noProof/>
          <w:spacing w:val="-2"/>
          <w:sz w:val="20"/>
          <w:szCs w:val="20"/>
          <w:lang w:val="es-CL"/>
        </w:rPr>
        <w:t xml:space="preserve">0 días del mes de diciembre de </w:t>
      </w:r>
      <w:r w:rsidR="00524320" w:rsidRPr="00675820">
        <w:rPr>
          <w:rFonts w:asciiTheme="majorHAnsi" w:hAnsiTheme="majorHAnsi" w:cs="Arial"/>
          <w:noProof/>
          <w:spacing w:val="-2"/>
          <w:sz w:val="20"/>
          <w:szCs w:val="20"/>
          <w:lang w:val="es-CL"/>
        </w:rPr>
        <w:t>2020</w:t>
      </w:r>
      <w:r w:rsidRPr="00675820">
        <w:rPr>
          <w:rFonts w:asciiTheme="majorHAnsi" w:hAnsiTheme="majorHAnsi" w:cs="Arial"/>
          <w:noProof/>
          <w:spacing w:val="-2"/>
          <w:sz w:val="20"/>
          <w:szCs w:val="20"/>
          <w:lang w:val="es-CL"/>
        </w:rPr>
        <w:t>.  (Firmado): Joel Hernández, Presidente; Flávia Piovesan, Segunda Vicepresidenta; Margarette May Macaulay y Esmeralda E. Arosemena Bernal de Troitiño, Miembros de la Comisión.</w:t>
      </w:r>
      <w:r w:rsidRPr="00675820">
        <w:rPr>
          <w:rFonts w:asciiTheme="majorHAnsi" w:hAnsiTheme="majorHAnsi" w:cs="Arial"/>
          <w:noProof/>
          <w:sz w:val="20"/>
          <w:szCs w:val="20"/>
          <w:lang w:val="es-CL"/>
        </w:rPr>
        <w:t xml:space="preserve"> </w:t>
      </w:r>
    </w:p>
    <w:sectPr w:rsidR="00357BB5" w:rsidRPr="0067582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1D62F" w14:textId="77777777" w:rsidR="00AA1719" w:rsidRDefault="00AA1719">
      <w:r>
        <w:separator/>
      </w:r>
    </w:p>
  </w:endnote>
  <w:endnote w:type="continuationSeparator" w:id="0">
    <w:p w14:paraId="33E85D62" w14:textId="77777777" w:rsidR="00AA1719" w:rsidRDefault="00AA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12B6D" w14:textId="77777777" w:rsidR="001C601F" w:rsidRDefault="001C6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EFCEDD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C601F">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032D3" w14:textId="77777777" w:rsidR="00AA1719" w:rsidRPr="000F35ED" w:rsidRDefault="00AA171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B02CDB3" w14:textId="77777777" w:rsidR="00AA1719" w:rsidRPr="000F35ED" w:rsidRDefault="00AA1719" w:rsidP="000F35ED">
      <w:pPr>
        <w:rPr>
          <w:rFonts w:asciiTheme="majorHAnsi" w:hAnsiTheme="majorHAnsi"/>
          <w:sz w:val="16"/>
          <w:szCs w:val="16"/>
        </w:rPr>
      </w:pPr>
      <w:r w:rsidRPr="000F35ED">
        <w:rPr>
          <w:rFonts w:asciiTheme="majorHAnsi" w:hAnsiTheme="majorHAnsi"/>
          <w:sz w:val="16"/>
          <w:szCs w:val="16"/>
        </w:rPr>
        <w:separator/>
      </w:r>
    </w:p>
    <w:p w14:paraId="359A5406" w14:textId="77777777" w:rsidR="00AA1719" w:rsidRPr="000F35ED" w:rsidRDefault="00AA171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9E4DAB3" w14:textId="77777777" w:rsidR="00AA1719" w:rsidRPr="000F35ED" w:rsidRDefault="00AA171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004976D" w14:textId="1CBA5C82" w:rsidR="008A0600" w:rsidRPr="005A3949" w:rsidRDefault="008A0600" w:rsidP="008A0600">
      <w:pPr>
        <w:pStyle w:val="FootnoteText"/>
        <w:ind w:firstLine="720"/>
        <w:jc w:val="both"/>
        <w:rPr>
          <w:rFonts w:asciiTheme="majorHAnsi" w:hAnsiTheme="majorHAnsi"/>
          <w:sz w:val="16"/>
          <w:szCs w:val="16"/>
          <w:lang w:val="es-PA"/>
        </w:rPr>
      </w:pPr>
      <w:r w:rsidRPr="005A3949">
        <w:rPr>
          <w:rStyle w:val="FootnoteReference"/>
          <w:rFonts w:asciiTheme="majorHAnsi" w:hAnsiTheme="majorHAnsi"/>
          <w:sz w:val="16"/>
          <w:szCs w:val="16"/>
        </w:rPr>
        <w:footnoteRef/>
      </w:r>
      <w:r w:rsidR="005A3949">
        <w:rPr>
          <w:rFonts w:asciiTheme="majorHAnsi" w:hAnsiTheme="majorHAnsi"/>
          <w:sz w:val="16"/>
          <w:szCs w:val="16"/>
          <w:lang w:val="es-PA"/>
        </w:rPr>
        <w:t>La petición se refiere a 21,</w:t>
      </w:r>
      <w:r w:rsidRPr="005A3949">
        <w:rPr>
          <w:rFonts w:asciiTheme="majorHAnsi" w:hAnsiTheme="majorHAnsi"/>
          <w:sz w:val="16"/>
          <w:szCs w:val="16"/>
          <w:lang w:val="es-PA"/>
        </w:rPr>
        <w:t>309 presuntas víctimas quien</w:t>
      </w:r>
      <w:r w:rsidR="00346BAB" w:rsidRPr="005A3949">
        <w:rPr>
          <w:rFonts w:asciiTheme="majorHAnsi" w:hAnsiTheme="majorHAnsi"/>
          <w:sz w:val="16"/>
          <w:szCs w:val="16"/>
          <w:lang w:val="es-PA"/>
        </w:rPr>
        <w:t>es figuran como demandantes en el expediente judicial caratulado “</w:t>
      </w:r>
      <w:proofErr w:type="spellStart"/>
      <w:r w:rsidR="00346BAB" w:rsidRPr="005A3949">
        <w:rPr>
          <w:rFonts w:asciiTheme="majorHAnsi" w:hAnsiTheme="majorHAnsi"/>
          <w:sz w:val="16"/>
          <w:szCs w:val="16"/>
          <w:lang w:val="es-PA"/>
        </w:rPr>
        <w:t>Pavéz</w:t>
      </w:r>
      <w:proofErr w:type="spellEnd"/>
      <w:r w:rsidR="00346BAB" w:rsidRPr="005A3949">
        <w:rPr>
          <w:rFonts w:asciiTheme="majorHAnsi" w:hAnsiTheme="majorHAnsi"/>
          <w:sz w:val="16"/>
          <w:szCs w:val="16"/>
          <w:lang w:val="es-PA"/>
        </w:rPr>
        <w:t xml:space="preserve"> Urrutia, Jorge y otros contra Fisco de Chile” rol C-3409-2000 tramitado ante el 26° Juzgado Civil de Santiago. </w:t>
      </w:r>
    </w:p>
  </w:footnote>
  <w:footnote w:id="3">
    <w:p w14:paraId="06C1BEFA" w14:textId="6245018E" w:rsidR="004A6A54" w:rsidRPr="005A3949" w:rsidRDefault="004A6A54" w:rsidP="008A0600">
      <w:pPr>
        <w:pStyle w:val="FootnoteText"/>
        <w:ind w:firstLine="720"/>
        <w:jc w:val="both"/>
        <w:rPr>
          <w:rFonts w:asciiTheme="majorHAnsi" w:hAnsiTheme="majorHAnsi"/>
          <w:sz w:val="16"/>
          <w:szCs w:val="16"/>
          <w:lang w:val="es-ES"/>
        </w:rPr>
      </w:pPr>
      <w:r w:rsidRPr="005A3949">
        <w:rPr>
          <w:rStyle w:val="FootnoteReference"/>
          <w:rFonts w:asciiTheme="majorHAnsi" w:hAnsiTheme="majorHAnsi"/>
          <w:sz w:val="16"/>
          <w:szCs w:val="16"/>
        </w:rPr>
        <w:footnoteRef/>
      </w:r>
      <w:r w:rsidRPr="005A3949">
        <w:rPr>
          <w:rFonts w:asciiTheme="majorHAnsi" w:hAnsiTheme="majorHAnsi"/>
          <w:sz w:val="16"/>
          <w:szCs w:val="16"/>
          <w:lang w:val="es-ES"/>
        </w:rPr>
        <w:t xml:space="preserve"> </w:t>
      </w:r>
      <w:r w:rsidR="00ED2EAF" w:rsidRPr="005A3949">
        <w:rPr>
          <w:rFonts w:asciiTheme="majorHAnsi" w:hAnsiTheme="majorHAnsi"/>
          <w:sz w:val="16"/>
          <w:szCs w:val="16"/>
          <w:lang w:val="es-ES"/>
        </w:rPr>
        <w:t xml:space="preserve">Conforme a lo dispuesto en el artículo 17.2.a del Reglamento de la Comisión, </w:t>
      </w:r>
      <w:r w:rsidR="002C6CA8" w:rsidRPr="005A3949">
        <w:rPr>
          <w:rFonts w:asciiTheme="majorHAnsi" w:hAnsiTheme="majorHAnsi"/>
          <w:sz w:val="16"/>
          <w:szCs w:val="16"/>
          <w:lang w:val="es-ES"/>
        </w:rPr>
        <w:t>la Comisionada</w:t>
      </w:r>
      <w:r w:rsidR="002C6CA8" w:rsidRPr="005A3949">
        <w:rPr>
          <w:rFonts w:asciiTheme="majorHAnsi" w:hAnsiTheme="majorHAnsi"/>
          <w:sz w:val="16"/>
          <w:szCs w:val="16"/>
          <w:lang w:val="es-AR"/>
        </w:rPr>
        <w:t xml:space="preserve"> </w:t>
      </w:r>
      <w:r w:rsidR="002C6CA8" w:rsidRPr="005A3949">
        <w:rPr>
          <w:rFonts w:asciiTheme="majorHAnsi" w:hAnsiTheme="majorHAnsi"/>
          <w:sz w:val="16"/>
          <w:szCs w:val="16"/>
          <w:lang w:val="es-ES"/>
        </w:rPr>
        <w:t>Antonia Urrejola Noguera</w:t>
      </w:r>
      <w:r w:rsidR="00ED2EAF" w:rsidRPr="005A3949">
        <w:rPr>
          <w:rFonts w:asciiTheme="majorHAnsi" w:hAnsiTheme="majorHAnsi"/>
          <w:sz w:val="16"/>
          <w:szCs w:val="16"/>
          <w:lang w:val="es-ES"/>
        </w:rPr>
        <w:t xml:space="preserve">, de nacionalidad </w:t>
      </w:r>
      <w:r w:rsidR="002C6CA8" w:rsidRPr="005A3949">
        <w:rPr>
          <w:rFonts w:asciiTheme="majorHAnsi" w:hAnsiTheme="majorHAnsi"/>
          <w:sz w:val="16"/>
          <w:szCs w:val="16"/>
          <w:lang w:val="es-ES"/>
        </w:rPr>
        <w:t>chilena</w:t>
      </w:r>
      <w:r w:rsidR="00ED2EAF" w:rsidRPr="005A3949">
        <w:rPr>
          <w:rFonts w:asciiTheme="majorHAnsi" w:hAnsiTheme="majorHAnsi"/>
          <w:sz w:val="16"/>
          <w:szCs w:val="16"/>
          <w:lang w:val="es-ES"/>
        </w:rPr>
        <w:t>, no participó en el debate ni en la decisión del presente asunto.</w:t>
      </w:r>
    </w:p>
  </w:footnote>
  <w:footnote w:id="4">
    <w:p w14:paraId="5FF647C0" w14:textId="2CAA05C4" w:rsidR="00CF6406" w:rsidRPr="005A3949" w:rsidRDefault="00CF6406" w:rsidP="00CF6406">
      <w:pPr>
        <w:pStyle w:val="FootnoteText"/>
        <w:ind w:firstLine="720"/>
        <w:jc w:val="both"/>
        <w:rPr>
          <w:rFonts w:asciiTheme="majorHAnsi" w:hAnsiTheme="majorHAnsi"/>
          <w:sz w:val="16"/>
          <w:szCs w:val="16"/>
          <w:lang w:val="es-PA"/>
        </w:rPr>
      </w:pPr>
      <w:r w:rsidRPr="005A3949">
        <w:rPr>
          <w:rStyle w:val="FootnoteReference"/>
          <w:rFonts w:asciiTheme="majorHAnsi" w:hAnsiTheme="majorHAnsi"/>
          <w:sz w:val="16"/>
          <w:szCs w:val="16"/>
        </w:rPr>
        <w:footnoteRef/>
      </w:r>
      <w:r w:rsidRPr="005A3949">
        <w:rPr>
          <w:rFonts w:asciiTheme="majorHAnsi" w:hAnsiTheme="majorHAnsi"/>
          <w:sz w:val="16"/>
          <w:szCs w:val="16"/>
          <w:lang w:val="es-PA"/>
        </w:rPr>
        <w:t xml:space="preserve"> En adelante la “Convención Americana”</w:t>
      </w:r>
      <w:r w:rsidR="005A3949">
        <w:rPr>
          <w:rFonts w:asciiTheme="majorHAnsi" w:hAnsiTheme="majorHAnsi"/>
          <w:sz w:val="16"/>
          <w:szCs w:val="16"/>
          <w:lang w:val="es-PA"/>
        </w:rPr>
        <w:t>.</w:t>
      </w:r>
    </w:p>
  </w:footnote>
  <w:footnote w:id="5">
    <w:p w14:paraId="2CC77ADE" w14:textId="2DC83FA2" w:rsidR="00F436B3" w:rsidRPr="005A3949" w:rsidRDefault="00F436B3" w:rsidP="00F436B3">
      <w:pPr>
        <w:pStyle w:val="FootnoteText"/>
        <w:ind w:firstLine="720"/>
        <w:jc w:val="both"/>
        <w:rPr>
          <w:rFonts w:asciiTheme="majorHAnsi" w:hAnsiTheme="majorHAnsi"/>
          <w:sz w:val="16"/>
          <w:szCs w:val="16"/>
          <w:lang w:val="es-PA"/>
        </w:rPr>
      </w:pPr>
      <w:r w:rsidRPr="005A3949">
        <w:rPr>
          <w:rStyle w:val="FootnoteReference"/>
          <w:rFonts w:asciiTheme="majorHAnsi" w:hAnsiTheme="majorHAnsi"/>
          <w:sz w:val="16"/>
          <w:szCs w:val="16"/>
        </w:rPr>
        <w:footnoteRef/>
      </w:r>
      <w:r w:rsidRPr="005A3949">
        <w:rPr>
          <w:rFonts w:asciiTheme="majorHAnsi" w:hAnsiTheme="majorHAnsi"/>
          <w:sz w:val="16"/>
          <w:szCs w:val="16"/>
          <w:lang w:val="es-PA"/>
        </w:rPr>
        <w:t xml:space="preserve"> En adelanta la “Declaración Americana”</w:t>
      </w:r>
      <w:r w:rsidR="005A3949">
        <w:rPr>
          <w:rFonts w:asciiTheme="majorHAnsi" w:hAnsiTheme="majorHAnsi"/>
          <w:sz w:val="16"/>
          <w:szCs w:val="16"/>
          <w:lang w:val="es-PA"/>
        </w:rPr>
        <w:t>.</w:t>
      </w:r>
    </w:p>
  </w:footnote>
  <w:footnote w:id="6">
    <w:p w14:paraId="65530FD1" w14:textId="6BB1585C" w:rsidR="00F436B3" w:rsidRPr="005A3949" w:rsidRDefault="00F436B3" w:rsidP="00F436B3">
      <w:pPr>
        <w:pStyle w:val="FootnoteText"/>
        <w:ind w:firstLine="720"/>
        <w:jc w:val="both"/>
        <w:rPr>
          <w:rFonts w:asciiTheme="majorHAnsi" w:hAnsiTheme="majorHAnsi"/>
          <w:sz w:val="16"/>
          <w:szCs w:val="16"/>
          <w:lang w:val="es-PA"/>
        </w:rPr>
      </w:pPr>
      <w:r w:rsidRPr="005A3949">
        <w:rPr>
          <w:rStyle w:val="FootnoteReference"/>
          <w:rFonts w:asciiTheme="majorHAnsi" w:hAnsiTheme="majorHAnsi"/>
          <w:sz w:val="16"/>
          <w:szCs w:val="16"/>
        </w:rPr>
        <w:footnoteRef/>
      </w:r>
      <w:r w:rsidR="00BE7821" w:rsidRPr="005A3949">
        <w:rPr>
          <w:rFonts w:asciiTheme="majorHAnsi" w:hAnsiTheme="majorHAnsi"/>
          <w:sz w:val="16"/>
          <w:szCs w:val="16"/>
          <w:lang w:val="es-PA"/>
        </w:rPr>
        <w:t xml:space="preserve"> Protocolo adici</w:t>
      </w:r>
      <w:r w:rsidR="005A3949">
        <w:rPr>
          <w:rFonts w:asciiTheme="majorHAnsi" w:hAnsiTheme="majorHAnsi"/>
          <w:sz w:val="16"/>
          <w:szCs w:val="16"/>
          <w:lang w:val="es-PA"/>
        </w:rPr>
        <w:t>onal a la Convención Americana s</w:t>
      </w:r>
      <w:r w:rsidR="00BE7821" w:rsidRPr="005A3949">
        <w:rPr>
          <w:rFonts w:asciiTheme="majorHAnsi" w:hAnsiTheme="majorHAnsi"/>
          <w:sz w:val="16"/>
          <w:szCs w:val="16"/>
          <w:lang w:val="es-PA"/>
        </w:rPr>
        <w:t xml:space="preserve">obre Derechos Humanos en Materia de Derechos Económicos, Sociales y Culturales “Protocolo de San Salvador”; Declaración Universal de los Derechos Humanos; Pacto Internacional de Derechos Civiles y Políticos; </w:t>
      </w:r>
      <w:r w:rsidR="006045FB" w:rsidRPr="005A3949">
        <w:rPr>
          <w:rFonts w:asciiTheme="majorHAnsi" w:hAnsiTheme="majorHAnsi"/>
          <w:sz w:val="16"/>
          <w:szCs w:val="16"/>
          <w:lang w:val="es-PA"/>
        </w:rPr>
        <w:t xml:space="preserve">Pacto Internacional de Derechos Económicos, Sociales y Culturales; Convenio 35 de la Organización Internacional </w:t>
      </w:r>
      <w:r w:rsidR="005A3949">
        <w:rPr>
          <w:rFonts w:asciiTheme="majorHAnsi" w:hAnsiTheme="majorHAnsi"/>
          <w:sz w:val="16"/>
          <w:szCs w:val="16"/>
          <w:lang w:val="es-PA"/>
        </w:rPr>
        <w:t>del Trabajo sobre el Seguro de V</w:t>
      </w:r>
      <w:r w:rsidR="006045FB" w:rsidRPr="005A3949">
        <w:rPr>
          <w:rFonts w:asciiTheme="majorHAnsi" w:hAnsiTheme="majorHAnsi"/>
          <w:sz w:val="16"/>
          <w:szCs w:val="16"/>
          <w:lang w:val="es-PA"/>
        </w:rPr>
        <w:t>ejez; Convenio 37 de la Organización Internacional del Trabajo sobre el Seguro de Invalidez.</w:t>
      </w:r>
    </w:p>
  </w:footnote>
  <w:footnote w:id="7">
    <w:p w14:paraId="79F07139" w14:textId="77777777" w:rsidR="008E3BFE" w:rsidRPr="004D18F6" w:rsidRDefault="008E3BFE" w:rsidP="008A0600">
      <w:pPr>
        <w:pStyle w:val="FootnoteText"/>
        <w:spacing w:after="120"/>
        <w:ind w:firstLine="720"/>
        <w:jc w:val="both"/>
        <w:rPr>
          <w:rFonts w:asciiTheme="majorHAnsi" w:hAnsiTheme="majorHAnsi"/>
          <w:sz w:val="16"/>
          <w:szCs w:val="16"/>
          <w:lang w:val="es-ES"/>
        </w:rPr>
      </w:pPr>
      <w:r w:rsidRPr="005A3949">
        <w:rPr>
          <w:rStyle w:val="FootnoteReference"/>
          <w:rFonts w:asciiTheme="majorHAnsi" w:hAnsiTheme="majorHAnsi"/>
          <w:sz w:val="16"/>
          <w:szCs w:val="16"/>
        </w:rPr>
        <w:footnoteRef/>
      </w:r>
      <w:r w:rsidRPr="005A3949">
        <w:rPr>
          <w:rFonts w:asciiTheme="majorHAnsi" w:hAnsiTheme="majorHAnsi"/>
          <w:sz w:val="16"/>
          <w:szCs w:val="16"/>
          <w:lang w:val="es-ES"/>
        </w:rPr>
        <w:t xml:space="preserve"> Las observaciones de cada parte fueron debidamente trasladadas a la parte contraria.</w:t>
      </w:r>
    </w:p>
  </w:footnote>
  <w:footnote w:id="8">
    <w:p w14:paraId="397E75C2" w14:textId="72D45997" w:rsidR="00B5707C" w:rsidRPr="004401BA" w:rsidRDefault="00B5707C" w:rsidP="004401BA">
      <w:pPr>
        <w:pStyle w:val="FootnoteText"/>
        <w:ind w:firstLine="720"/>
        <w:jc w:val="both"/>
        <w:rPr>
          <w:rFonts w:asciiTheme="majorHAnsi" w:hAnsiTheme="majorHAnsi"/>
          <w:sz w:val="16"/>
          <w:szCs w:val="16"/>
          <w:lang w:val="es-PA"/>
        </w:rPr>
      </w:pPr>
      <w:r w:rsidRPr="004401BA">
        <w:rPr>
          <w:rStyle w:val="FootnoteReference"/>
          <w:rFonts w:asciiTheme="majorHAnsi" w:hAnsiTheme="majorHAnsi"/>
          <w:sz w:val="16"/>
          <w:szCs w:val="16"/>
        </w:rPr>
        <w:footnoteRef/>
      </w:r>
      <w:r w:rsidRPr="004401BA">
        <w:rPr>
          <w:rFonts w:asciiTheme="majorHAnsi" w:hAnsiTheme="majorHAnsi"/>
          <w:sz w:val="16"/>
          <w:szCs w:val="16"/>
          <w:lang w:val="es-PA"/>
        </w:rPr>
        <w:t xml:space="preserve"> </w:t>
      </w:r>
      <w:r w:rsidR="00536AE1" w:rsidRPr="004401BA">
        <w:rPr>
          <w:rFonts w:asciiTheme="majorHAnsi" w:hAnsiTheme="majorHAnsi"/>
          <w:sz w:val="16"/>
          <w:szCs w:val="16"/>
          <w:lang w:val="es-PA"/>
        </w:rPr>
        <w:t xml:space="preserve">Destaca que ante esta Comisión se encuentra en trámite un caso relativo al Municipio de </w:t>
      </w:r>
      <w:proofErr w:type="spellStart"/>
      <w:r w:rsidR="00536AE1" w:rsidRPr="004401BA">
        <w:rPr>
          <w:rFonts w:asciiTheme="majorHAnsi" w:hAnsiTheme="majorHAnsi"/>
          <w:sz w:val="16"/>
          <w:szCs w:val="16"/>
          <w:lang w:val="es-PA"/>
        </w:rPr>
        <w:t>Chañaral</w:t>
      </w:r>
      <w:proofErr w:type="spellEnd"/>
      <w:r w:rsidR="00536AE1" w:rsidRPr="004401BA">
        <w:rPr>
          <w:rFonts w:asciiTheme="majorHAnsi" w:hAnsiTheme="majorHAnsi"/>
          <w:sz w:val="16"/>
          <w:szCs w:val="16"/>
          <w:lang w:val="es-PA"/>
        </w:rPr>
        <w:t xml:space="preserve"> por presunto incumplimiento de la sentencia judicial que le ordenaba el pago de la asignación</w:t>
      </w:r>
      <w:r w:rsidR="00B10A4A" w:rsidRPr="004401BA">
        <w:rPr>
          <w:rFonts w:asciiTheme="majorHAnsi" w:hAnsiTheme="majorHAnsi"/>
          <w:sz w:val="16"/>
          <w:szCs w:val="16"/>
          <w:lang w:val="es-PA"/>
        </w:rPr>
        <w:t xml:space="preserve"> (</w:t>
      </w:r>
      <w:r w:rsidR="00B10A4A" w:rsidRPr="004401BA">
        <w:rPr>
          <w:rFonts w:asciiTheme="majorHAnsi" w:hAnsiTheme="majorHAnsi"/>
          <w:sz w:val="16"/>
          <w:szCs w:val="16"/>
          <w:lang w:val="es-AR"/>
        </w:rPr>
        <w:t xml:space="preserve">CIDH, Informe No. 28/13. Admisibilidad. Profesores de </w:t>
      </w:r>
      <w:proofErr w:type="spellStart"/>
      <w:r w:rsidR="00B10A4A" w:rsidRPr="004401BA">
        <w:rPr>
          <w:rFonts w:asciiTheme="majorHAnsi" w:hAnsiTheme="majorHAnsi"/>
          <w:sz w:val="16"/>
          <w:szCs w:val="16"/>
          <w:lang w:val="es-AR"/>
        </w:rPr>
        <w:t>Chañaral</w:t>
      </w:r>
      <w:proofErr w:type="spellEnd"/>
      <w:r w:rsidR="00B10A4A" w:rsidRPr="004401BA">
        <w:rPr>
          <w:rFonts w:asciiTheme="majorHAnsi" w:hAnsiTheme="majorHAnsi"/>
          <w:sz w:val="16"/>
          <w:szCs w:val="16"/>
          <w:lang w:val="es-AR"/>
        </w:rPr>
        <w:t>. Chile. 20 de marzo de 2013)</w:t>
      </w:r>
      <w:r w:rsidR="007B591A">
        <w:rPr>
          <w:rFonts w:asciiTheme="majorHAnsi" w:hAnsiTheme="majorHAnsi"/>
          <w:sz w:val="16"/>
          <w:szCs w:val="16"/>
          <w:lang w:val="es-AR"/>
        </w:rPr>
        <w:t>.</w:t>
      </w:r>
    </w:p>
  </w:footnote>
  <w:footnote w:id="9">
    <w:p w14:paraId="53850961" w14:textId="77777777" w:rsidR="00B80C6D" w:rsidRPr="006132CC" w:rsidRDefault="00B80C6D" w:rsidP="00B80C6D">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26/16</w:t>
      </w:r>
      <w:r>
        <w:rPr>
          <w:rFonts w:ascii="Cambria" w:hAnsi="Cambria"/>
          <w:sz w:val="16"/>
          <w:szCs w:val="16"/>
          <w:lang w:val="es-ES"/>
        </w:rPr>
        <w:t>, Petición 932-03</w:t>
      </w:r>
      <w:r w:rsidRPr="006132CC">
        <w:rPr>
          <w:rFonts w:ascii="Cambria" w:hAnsi="Cambria"/>
          <w:sz w:val="16"/>
          <w:szCs w:val="16"/>
          <w:lang w:val="es-ES"/>
        </w:rPr>
        <w:t>. Inadmisibilidad. Rómulo Jonás Ponce Santamaría. Perú. 15 de abril de 2016, párr.</w:t>
      </w:r>
      <w:r w:rsidRPr="006132CC">
        <w:rPr>
          <w:rFonts w:ascii="Cambria" w:hAnsi="Cambria"/>
          <w:sz w:val="16"/>
          <w:szCs w:val="16"/>
          <w:lang w:val="es-ES_tradnl"/>
        </w:rPr>
        <w:t xml:space="preserve"> 25.</w:t>
      </w:r>
    </w:p>
  </w:footnote>
  <w:footnote w:id="10">
    <w:p w14:paraId="31C5A66E" w14:textId="77777777" w:rsidR="00B80C6D" w:rsidRPr="004247BC" w:rsidRDefault="00B80C6D" w:rsidP="00B80C6D">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11">
    <w:p w14:paraId="65EE1599" w14:textId="77777777" w:rsidR="00116B5D" w:rsidRPr="006132CC" w:rsidRDefault="00116B5D" w:rsidP="00116B5D">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16/18</w:t>
      </w:r>
      <w:r>
        <w:rPr>
          <w:rFonts w:ascii="Cambria" w:hAnsi="Cambria"/>
          <w:sz w:val="16"/>
          <w:szCs w:val="16"/>
          <w:lang w:val="es-ES"/>
        </w:rPr>
        <w:t>, Petición 884-07</w:t>
      </w:r>
      <w:r w:rsidRPr="006132CC">
        <w:rPr>
          <w:rFonts w:ascii="Cambria" w:hAnsi="Cambria"/>
          <w:sz w:val="16"/>
          <w:szCs w:val="16"/>
          <w:lang w:val="es-ES"/>
        </w:rPr>
        <w:t>. Admisibilidad. Victoria Piedad Palacios Tejada de Saavedra. Perú. 24 de febrero de 2018, párr. 12.</w:t>
      </w:r>
    </w:p>
  </w:footnote>
  <w:footnote w:id="12">
    <w:p w14:paraId="0AA094FC" w14:textId="34532E47" w:rsidR="00987961" w:rsidRPr="00E20080" w:rsidRDefault="00987961" w:rsidP="00987961">
      <w:pPr>
        <w:pStyle w:val="FootnoteText"/>
        <w:ind w:firstLine="720"/>
        <w:jc w:val="both"/>
        <w:rPr>
          <w:rFonts w:asciiTheme="majorHAnsi" w:hAnsiTheme="majorHAnsi"/>
          <w:sz w:val="16"/>
          <w:szCs w:val="16"/>
          <w:lang w:val="es-PA"/>
        </w:rPr>
      </w:pPr>
      <w:r w:rsidRPr="00E20080">
        <w:rPr>
          <w:rStyle w:val="FootnoteReference"/>
          <w:rFonts w:asciiTheme="majorHAnsi" w:hAnsiTheme="majorHAnsi"/>
          <w:sz w:val="16"/>
          <w:szCs w:val="16"/>
        </w:rPr>
        <w:footnoteRef/>
      </w:r>
      <w:r w:rsidRPr="00E20080">
        <w:rPr>
          <w:rFonts w:asciiTheme="majorHAnsi" w:hAnsiTheme="majorHAnsi"/>
          <w:sz w:val="16"/>
          <w:szCs w:val="16"/>
          <w:lang w:val="es-PA"/>
        </w:rPr>
        <w:t xml:space="preserve"> Corte IDH Opinión Consultiva “Condición Jurídica y Derechos de los Migrantes Indocumentados”. 17 de septiembre de 2003, párr. </w:t>
      </w:r>
      <w:r w:rsidR="00E20080" w:rsidRPr="00E20080">
        <w:rPr>
          <w:rFonts w:asciiTheme="majorHAnsi" w:hAnsiTheme="majorHAnsi"/>
          <w:sz w:val="16"/>
          <w:szCs w:val="16"/>
          <w:lang w:val="es-PA"/>
        </w:rPr>
        <w:t>153.</w:t>
      </w:r>
    </w:p>
  </w:footnote>
  <w:footnote w:id="13">
    <w:p w14:paraId="68693093" w14:textId="595D19B8" w:rsidR="00987961" w:rsidRPr="00987961" w:rsidRDefault="00987961" w:rsidP="00987961">
      <w:pPr>
        <w:pStyle w:val="FootnoteText"/>
        <w:ind w:firstLine="720"/>
        <w:jc w:val="both"/>
        <w:rPr>
          <w:rFonts w:asciiTheme="majorHAnsi" w:hAnsiTheme="majorHAnsi"/>
          <w:sz w:val="16"/>
          <w:szCs w:val="16"/>
          <w:lang w:val="es-PA"/>
        </w:rPr>
      </w:pPr>
      <w:r w:rsidRPr="00E20080">
        <w:rPr>
          <w:rStyle w:val="FootnoteReference"/>
          <w:rFonts w:asciiTheme="majorHAnsi" w:hAnsiTheme="majorHAnsi"/>
          <w:sz w:val="16"/>
          <w:szCs w:val="16"/>
        </w:rPr>
        <w:footnoteRef/>
      </w:r>
      <w:r w:rsidRPr="00E20080">
        <w:rPr>
          <w:rFonts w:asciiTheme="majorHAnsi" w:hAnsiTheme="majorHAnsi"/>
          <w:sz w:val="16"/>
          <w:szCs w:val="16"/>
          <w:lang w:val="es-PA"/>
        </w:rPr>
        <w:t xml:space="preserve"> </w:t>
      </w:r>
      <w:r w:rsidRPr="00357BB5">
        <w:rPr>
          <w:rFonts w:asciiTheme="majorHAnsi" w:hAnsiTheme="majorHAnsi"/>
          <w:sz w:val="16"/>
          <w:szCs w:val="16"/>
          <w:lang w:val="es-419"/>
        </w:rPr>
        <w:t xml:space="preserve">Corte IDH Caso “Cinco Pensionistas” vs. Perú. </w:t>
      </w:r>
      <w:r w:rsidRPr="00E20080">
        <w:rPr>
          <w:rFonts w:asciiTheme="majorHAnsi" w:hAnsiTheme="majorHAnsi"/>
          <w:sz w:val="16"/>
          <w:szCs w:val="16"/>
          <w:lang w:val="es-PA"/>
        </w:rPr>
        <w:t>Fondo, Reparaciones y Costas. Sen</w:t>
      </w:r>
      <w:r w:rsidR="00E20080" w:rsidRPr="00E20080">
        <w:rPr>
          <w:rFonts w:asciiTheme="majorHAnsi" w:hAnsiTheme="majorHAnsi"/>
          <w:sz w:val="16"/>
          <w:szCs w:val="16"/>
          <w:lang w:val="es-PA"/>
        </w:rPr>
        <w:t>tencia de 28 de febrero de 2003, párr. 102.</w:t>
      </w:r>
    </w:p>
  </w:footnote>
  <w:footnote w:id="14">
    <w:p w14:paraId="66EB1782" w14:textId="77777777" w:rsidR="008D04A1" w:rsidRPr="006132CC" w:rsidRDefault="008D04A1" w:rsidP="008D04A1">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26/17</w:t>
      </w:r>
      <w:r>
        <w:rPr>
          <w:rFonts w:ascii="Cambria" w:hAnsi="Cambria"/>
          <w:sz w:val="16"/>
          <w:szCs w:val="16"/>
          <w:lang w:val="es-ES"/>
        </w:rPr>
        <w:t>, Petición 1208-08</w:t>
      </w:r>
      <w:r w:rsidRPr="006132CC">
        <w:rPr>
          <w:rFonts w:ascii="Cambria" w:hAnsi="Cambria"/>
          <w:sz w:val="16"/>
          <w:szCs w:val="16"/>
          <w:lang w:val="es-ES"/>
        </w:rPr>
        <w:t xml:space="preserve">. Admisibilidad. William Olaya Moreno y familia. Colombia. 18 de marzo de 2017, párr.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A171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26DD" w14:textId="77777777" w:rsidR="001C601F" w:rsidRDefault="001C6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781"/>
    <w:rsid w:val="00006248"/>
    <w:rsid w:val="00006E1F"/>
    <w:rsid w:val="000070D7"/>
    <w:rsid w:val="00007F5F"/>
    <w:rsid w:val="00012ECE"/>
    <w:rsid w:val="0001788C"/>
    <w:rsid w:val="000337EF"/>
    <w:rsid w:val="0003448D"/>
    <w:rsid w:val="00040C3A"/>
    <w:rsid w:val="000419AD"/>
    <w:rsid w:val="000433C9"/>
    <w:rsid w:val="00050F7E"/>
    <w:rsid w:val="0005212B"/>
    <w:rsid w:val="000535BC"/>
    <w:rsid w:val="0005381E"/>
    <w:rsid w:val="00053DD8"/>
    <w:rsid w:val="000557BB"/>
    <w:rsid w:val="000677C4"/>
    <w:rsid w:val="000716C5"/>
    <w:rsid w:val="00075E23"/>
    <w:rsid w:val="0008520E"/>
    <w:rsid w:val="0008721A"/>
    <w:rsid w:val="000903D6"/>
    <w:rsid w:val="0009344A"/>
    <w:rsid w:val="00094E94"/>
    <w:rsid w:val="000A392E"/>
    <w:rsid w:val="000A575F"/>
    <w:rsid w:val="000B285A"/>
    <w:rsid w:val="000B7BBF"/>
    <w:rsid w:val="000C13ED"/>
    <w:rsid w:val="000D05CB"/>
    <w:rsid w:val="000D10DB"/>
    <w:rsid w:val="000D691A"/>
    <w:rsid w:val="000E5EB5"/>
    <w:rsid w:val="000F35ED"/>
    <w:rsid w:val="000F5516"/>
    <w:rsid w:val="001013BE"/>
    <w:rsid w:val="00103886"/>
    <w:rsid w:val="00107131"/>
    <w:rsid w:val="0010736F"/>
    <w:rsid w:val="00111FD4"/>
    <w:rsid w:val="00113F73"/>
    <w:rsid w:val="00115B51"/>
    <w:rsid w:val="00116B5D"/>
    <w:rsid w:val="00121CC2"/>
    <w:rsid w:val="00122CD0"/>
    <w:rsid w:val="00127CC0"/>
    <w:rsid w:val="00133EE0"/>
    <w:rsid w:val="00133EE5"/>
    <w:rsid w:val="001374BB"/>
    <w:rsid w:val="00142DE2"/>
    <w:rsid w:val="001548BE"/>
    <w:rsid w:val="00161FEB"/>
    <w:rsid w:val="00167A34"/>
    <w:rsid w:val="00174028"/>
    <w:rsid w:val="001A0592"/>
    <w:rsid w:val="001A7870"/>
    <w:rsid w:val="001B3A00"/>
    <w:rsid w:val="001C1B41"/>
    <w:rsid w:val="001C601F"/>
    <w:rsid w:val="001D65EF"/>
    <w:rsid w:val="001E0098"/>
    <w:rsid w:val="001E49E7"/>
    <w:rsid w:val="001F0A07"/>
    <w:rsid w:val="001F1672"/>
    <w:rsid w:val="001F3044"/>
    <w:rsid w:val="001F5B42"/>
    <w:rsid w:val="001F7201"/>
    <w:rsid w:val="00210241"/>
    <w:rsid w:val="00217EB8"/>
    <w:rsid w:val="00220421"/>
    <w:rsid w:val="00220E2A"/>
    <w:rsid w:val="00223A29"/>
    <w:rsid w:val="002250A3"/>
    <w:rsid w:val="00230E43"/>
    <w:rsid w:val="00235217"/>
    <w:rsid w:val="00237855"/>
    <w:rsid w:val="00240F50"/>
    <w:rsid w:val="00241EF9"/>
    <w:rsid w:val="00244FBD"/>
    <w:rsid w:val="00246D1F"/>
    <w:rsid w:val="00247403"/>
    <w:rsid w:val="00247542"/>
    <w:rsid w:val="00266B61"/>
    <w:rsid w:val="0026712A"/>
    <w:rsid w:val="002704DB"/>
    <w:rsid w:val="002A0AAE"/>
    <w:rsid w:val="002A4EF7"/>
    <w:rsid w:val="002A5820"/>
    <w:rsid w:val="002B6663"/>
    <w:rsid w:val="002C6CA8"/>
    <w:rsid w:val="002D0EDF"/>
    <w:rsid w:val="002D2B26"/>
    <w:rsid w:val="002D7EA2"/>
    <w:rsid w:val="002E187C"/>
    <w:rsid w:val="00302733"/>
    <w:rsid w:val="00314078"/>
    <w:rsid w:val="0031535D"/>
    <w:rsid w:val="0032228D"/>
    <w:rsid w:val="003239B8"/>
    <w:rsid w:val="00330298"/>
    <w:rsid w:val="0033169F"/>
    <w:rsid w:val="00344977"/>
    <w:rsid w:val="00346BAB"/>
    <w:rsid w:val="00346C95"/>
    <w:rsid w:val="00356185"/>
    <w:rsid w:val="00357BB5"/>
    <w:rsid w:val="00360380"/>
    <w:rsid w:val="00363AAB"/>
    <w:rsid w:val="0037519E"/>
    <w:rsid w:val="00386CF0"/>
    <w:rsid w:val="00390972"/>
    <w:rsid w:val="003A7BFC"/>
    <w:rsid w:val="003B3363"/>
    <w:rsid w:val="003B70FB"/>
    <w:rsid w:val="003C676B"/>
    <w:rsid w:val="003C78D6"/>
    <w:rsid w:val="003D2E81"/>
    <w:rsid w:val="003D3BC2"/>
    <w:rsid w:val="003E6CA1"/>
    <w:rsid w:val="00403A01"/>
    <w:rsid w:val="004065A8"/>
    <w:rsid w:val="00413A4A"/>
    <w:rsid w:val="0041418C"/>
    <w:rsid w:val="004165C2"/>
    <w:rsid w:val="00436C2E"/>
    <w:rsid w:val="00440048"/>
    <w:rsid w:val="004401BA"/>
    <w:rsid w:val="004412AC"/>
    <w:rsid w:val="00441ECB"/>
    <w:rsid w:val="00445193"/>
    <w:rsid w:val="00462C1B"/>
    <w:rsid w:val="0046412B"/>
    <w:rsid w:val="00467B7E"/>
    <w:rsid w:val="00473BB4"/>
    <w:rsid w:val="00474C4D"/>
    <w:rsid w:val="00477592"/>
    <w:rsid w:val="004827E7"/>
    <w:rsid w:val="00486F1C"/>
    <w:rsid w:val="0049419D"/>
    <w:rsid w:val="004946FD"/>
    <w:rsid w:val="004956FF"/>
    <w:rsid w:val="004A6A54"/>
    <w:rsid w:val="004C20D2"/>
    <w:rsid w:val="004C2312"/>
    <w:rsid w:val="004C2F54"/>
    <w:rsid w:val="004C4B62"/>
    <w:rsid w:val="004C54C9"/>
    <w:rsid w:val="004C5CBF"/>
    <w:rsid w:val="004C6214"/>
    <w:rsid w:val="004D18F6"/>
    <w:rsid w:val="004D4ABA"/>
    <w:rsid w:val="004D6025"/>
    <w:rsid w:val="004D7E40"/>
    <w:rsid w:val="004E1D5F"/>
    <w:rsid w:val="004E2649"/>
    <w:rsid w:val="004F78FA"/>
    <w:rsid w:val="00501399"/>
    <w:rsid w:val="0050633D"/>
    <w:rsid w:val="00507BC4"/>
    <w:rsid w:val="005128E4"/>
    <w:rsid w:val="005133DB"/>
    <w:rsid w:val="00520D81"/>
    <w:rsid w:val="0052424F"/>
    <w:rsid w:val="00524320"/>
    <w:rsid w:val="00525560"/>
    <w:rsid w:val="0053494D"/>
    <w:rsid w:val="00536AE1"/>
    <w:rsid w:val="00536F4E"/>
    <w:rsid w:val="005417ED"/>
    <w:rsid w:val="00544C49"/>
    <w:rsid w:val="0054762C"/>
    <w:rsid w:val="005516A1"/>
    <w:rsid w:val="00557BB2"/>
    <w:rsid w:val="00560447"/>
    <w:rsid w:val="00563557"/>
    <w:rsid w:val="00565477"/>
    <w:rsid w:val="00567FAF"/>
    <w:rsid w:val="00570841"/>
    <w:rsid w:val="0057402A"/>
    <w:rsid w:val="005771D0"/>
    <w:rsid w:val="005812DE"/>
    <w:rsid w:val="0059191A"/>
    <w:rsid w:val="005921FF"/>
    <w:rsid w:val="005A1EBF"/>
    <w:rsid w:val="005A24ED"/>
    <w:rsid w:val="005A2965"/>
    <w:rsid w:val="005A3949"/>
    <w:rsid w:val="005A6D0E"/>
    <w:rsid w:val="005B52B0"/>
    <w:rsid w:val="005B64EF"/>
    <w:rsid w:val="005B6806"/>
    <w:rsid w:val="005C00D4"/>
    <w:rsid w:val="005C18B4"/>
    <w:rsid w:val="005C1BD7"/>
    <w:rsid w:val="005C3EE9"/>
    <w:rsid w:val="005C4225"/>
    <w:rsid w:val="005D34E5"/>
    <w:rsid w:val="005D3B1C"/>
    <w:rsid w:val="005F010E"/>
    <w:rsid w:val="005F0DAD"/>
    <w:rsid w:val="005F0F33"/>
    <w:rsid w:val="005F6ECD"/>
    <w:rsid w:val="006007AA"/>
    <w:rsid w:val="00600DEB"/>
    <w:rsid w:val="006045FB"/>
    <w:rsid w:val="006117A7"/>
    <w:rsid w:val="0061756E"/>
    <w:rsid w:val="00627C9F"/>
    <w:rsid w:val="006311E9"/>
    <w:rsid w:val="006314D8"/>
    <w:rsid w:val="006318AC"/>
    <w:rsid w:val="00632354"/>
    <w:rsid w:val="00642810"/>
    <w:rsid w:val="00652333"/>
    <w:rsid w:val="00653D91"/>
    <w:rsid w:val="006616B5"/>
    <w:rsid w:val="00663589"/>
    <w:rsid w:val="0066738B"/>
    <w:rsid w:val="006730BF"/>
    <w:rsid w:val="00675820"/>
    <w:rsid w:val="0068009E"/>
    <w:rsid w:val="006821E4"/>
    <w:rsid w:val="00685FBC"/>
    <w:rsid w:val="00692219"/>
    <w:rsid w:val="006932A4"/>
    <w:rsid w:val="006934E0"/>
    <w:rsid w:val="00694556"/>
    <w:rsid w:val="006A17D2"/>
    <w:rsid w:val="006A35E3"/>
    <w:rsid w:val="006A6565"/>
    <w:rsid w:val="006A73E6"/>
    <w:rsid w:val="006B2D5C"/>
    <w:rsid w:val="006B36A7"/>
    <w:rsid w:val="006C370F"/>
    <w:rsid w:val="006C4EB1"/>
    <w:rsid w:val="006D4957"/>
    <w:rsid w:val="006D49B8"/>
    <w:rsid w:val="006D6ACB"/>
    <w:rsid w:val="006E0166"/>
    <w:rsid w:val="006E2FFB"/>
    <w:rsid w:val="006E7B34"/>
    <w:rsid w:val="006F0468"/>
    <w:rsid w:val="0070697F"/>
    <w:rsid w:val="00714F46"/>
    <w:rsid w:val="0072199C"/>
    <w:rsid w:val="00722C9F"/>
    <w:rsid w:val="007253B8"/>
    <w:rsid w:val="00731437"/>
    <w:rsid w:val="007317FA"/>
    <w:rsid w:val="0073741F"/>
    <w:rsid w:val="00743C1A"/>
    <w:rsid w:val="0076643F"/>
    <w:rsid w:val="00777F63"/>
    <w:rsid w:val="00780241"/>
    <w:rsid w:val="007A5817"/>
    <w:rsid w:val="007B05C4"/>
    <w:rsid w:val="007B37AD"/>
    <w:rsid w:val="007B3804"/>
    <w:rsid w:val="007B4B9E"/>
    <w:rsid w:val="007B591A"/>
    <w:rsid w:val="007B60E9"/>
    <w:rsid w:val="007B6CC3"/>
    <w:rsid w:val="007B76D3"/>
    <w:rsid w:val="007C3334"/>
    <w:rsid w:val="007C7473"/>
    <w:rsid w:val="007D2B98"/>
    <w:rsid w:val="007E21BC"/>
    <w:rsid w:val="007E36C5"/>
    <w:rsid w:val="007E7669"/>
    <w:rsid w:val="007E7C82"/>
    <w:rsid w:val="007F249C"/>
    <w:rsid w:val="007F588D"/>
    <w:rsid w:val="008039B8"/>
    <w:rsid w:val="00803F1C"/>
    <w:rsid w:val="0080600E"/>
    <w:rsid w:val="00817612"/>
    <w:rsid w:val="008235CC"/>
    <w:rsid w:val="008338A4"/>
    <w:rsid w:val="00834D49"/>
    <w:rsid w:val="00837C45"/>
    <w:rsid w:val="00844730"/>
    <w:rsid w:val="008457C2"/>
    <w:rsid w:val="0085721B"/>
    <w:rsid w:val="00857A82"/>
    <w:rsid w:val="00867225"/>
    <w:rsid w:val="008673A3"/>
    <w:rsid w:val="00873836"/>
    <w:rsid w:val="00877116"/>
    <w:rsid w:val="00885737"/>
    <w:rsid w:val="00890650"/>
    <w:rsid w:val="00890DF1"/>
    <w:rsid w:val="00896CE1"/>
    <w:rsid w:val="00896FF4"/>
    <w:rsid w:val="00897E12"/>
    <w:rsid w:val="008A0600"/>
    <w:rsid w:val="008A2092"/>
    <w:rsid w:val="008A2DCB"/>
    <w:rsid w:val="008A7E0F"/>
    <w:rsid w:val="008B12F5"/>
    <w:rsid w:val="008C1576"/>
    <w:rsid w:val="008C3B14"/>
    <w:rsid w:val="008D04A1"/>
    <w:rsid w:val="008D1D04"/>
    <w:rsid w:val="008D393F"/>
    <w:rsid w:val="008D7519"/>
    <w:rsid w:val="008D768D"/>
    <w:rsid w:val="008E3759"/>
    <w:rsid w:val="008E3BFE"/>
    <w:rsid w:val="008F1912"/>
    <w:rsid w:val="008F3941"/>
    <w:rsid w:val="0090270B"/>
    <w:rsid w:val="009041DC"/>
    <w:rsid w:val="009102B6"/>
    <w:rsid w:val="00913AC8"/>
    <w:rsid w:val="00917B5A"/>
    <w:rsid w:val="00920A58"/>
    <w:rsid w:val="00920A8C"/>
    <w:rsid w:val="00925F45"/>
    <w:rsid w:val="00934A2C"/>
    <w:rsid w:val="00953FEA"/>
    <w:rsid w:val="00954F50"/>
    <w:rsid w:val="0096706E"/>
    <w:rsid w:val="00974491"/>
    <w:rsid w:val="00975C4E"/>
    <w:rsid w:val="00981FBA"/>
    <w:rsid w:val="00987961"/>
    <w:rsid w:val="00997BC5"/>
    <w:rsid w:val="009A4F41"/>
    <w:rsid w:val="009B381B"/>
    <w:rsid w:val="009D1753"/>
    <w:rsid w:val="009D7611"/>
    <w:rsid w:val="009E0B61"/>
    <w:rsid w:val="009E4952"/>
    <w:rsid w:val="009E53DE"/>
    <w:rsid w:val="009F2EAB"/>
    <w:rsid w:val="00A01738"/>
    <w:rsid w:val="00A06D28"/>
    <w:rsid w:val="00A11212"/>
    <w:rsid w:val="00A11E44"/>
    <w:rsid w:val="00A17D51"/>
    <w:rsid w:val="00A26DDC"/>
    <w:rsid w:val="00A328B3"/>
    <w:rsid w:val="00A33E17"/>
    <w:rsid w:val="00A41EC8"/>
    <w:rsid w:val="00A44447"/>
    <w:rsid w:val="00A50FCF"/>
    <w:rsid w:val="00A528D1"/>
    <w:rsid w:val="00A5782E"/>
    <w:rsid w:val="00A610CD"/>
    <w:rsid w:val="00A639A4"/>
    <w:rsid w:val="00A758AA"/>
    <w:rsid w:val="00AA0434"/>
    <w:rsid w:val="00AA09A2"/>
    <w:rsid w:val="00AA14A8"/>
    <w:rsid w:val="00AA1719"/>
    <w:rsid w:val="00AA2AF8"/>
    <w:rsid w:val="00AA32DF"/>
    <w:rsid w:val="00AA7996"/>
    <w:rsid w:val="00AB3397"/>
    <w:rsid w:val="00AB6A14"/>
    <w:rsid w:val="00AC19CB"/>
    <w:rsid w:val="00AC2B25"/>
    <w:rsid w:val="00AD43AA"/>
    <w:rsid w:val="00AE5488"/>
    <w:rsid w:val="00AE6F91"/>
    <w:rsid w:val="00AF52F5"/>
    <w:rsid w:val="00AF5571"/>
    <w:rsid w:val="00B07341"/>
    <w:rsid w:val="00B10A4A"/>
    <w:rsid w:val="00B13311"/>
    <w:rsid w:val="00B30539"/>
    <w:rsid w:val="00B314DB"/>
    <w:rsid w:val="00B31AA8"/>
    <w:rsid w:val="00B361F2"/>
    <w:rsid w:val="00B3718B"/>
    <w:rsid w:val="00B3745F"/>
    <w:rsid w:val="00B4632A"/>
    <w:rsid w:val="00B52214"/>
    <w:rsid w:val="00B530F1"/>
    <w:rsid w:val="00B5707C"/>
    <w:rsid w:val="00B663ED"/>
    <w:rsid w:val="00B6656E"/>
    <w:rsid w:val="00B73ADE"/>
    <w:rsid w:val="00B77685"/>
    <w:rsid w:val="00B80C6D"/>
    <w:rsid w:val="00B836D6"/>
    <w:rsid w:val="00B91896"/>
    <w:rsid w:val="00B93995"/>
    <w:rsid w:val="00BA276C"/>
    <w:rsid w:val="00BB306F"/>
    <w:rsid w:val="00BB7D4E"/>
    <w:rsid w:val="00BC40D1"/>
    <w:rsid w:val="00BC4854"/>
    <w:rsid w:val="00BC5FE4"/>
    <w:rsid w:val="00BC77AB"/>
    <w:rsid w:val="00BD0995"/>
    <w:rsid w:val="00BD4B89"/>
    <w:rsid w:val="00BD5922"/>
    <w:rsid w:val="00BE7821"/>
    <w:rsid w:val="00BF02CB"/>
    <w:rsid w:val="00BF6727"/>
    <w:rsid w:val="00BF6FD8"/>
    <w:rsid w:val="00C03680"/>
    <w:rsid w:val="00C054DF"/>
    <w:rsid w:val="00C20D22"/>
    <w:rsid w:val="00C21762"/>
    <w:rsid w:val="00C21FEF"/>
    <w:rsid w:val="00C24543"/>
    <w:rsid w:val="00C256A2"/>
    <w:rsid w:val="00C37541"/>
    <w:rsid w:val="00C51515"/>
    <w:rsid w:val="00C5660B"/>
    <w:rsid w:val="00C56D18"/>
    <w:rsid w:val="00C5753B"/>
    <w:rsid w:val="00C65DB3"/>
    <w:rsid w:val="00C66B72"/>
    <w:rsid w:val="00C72CD9"/>
    <w:rsid w:val="00C737CB"/>
    <w:rsid w:val="00C87AC4"/>
    <w:rsid w:val="00C93547"/>
    <w:rsid w:val="00C9567A"/>
    <w:rsid w:val="00CB212D"/>
    <w:rsid w:val="00CB2660"/>
    <w:rsid w:val="00CB404E"/>
    <w:rsid w:val="00CC5E90"/>
    <w:rsid w:val="00CD046C"/>
    <w:rsid w:val="00CE076C"/>
    <w:rsid w:val="00CE5199"/>
    <w:rsid w:val="00CE66D5"/>
    <w:rsid w:val="00CF57F4"/>
    <w:rsid w:val="00CF58F2"/>
    <w:rsid w:val="00CF637A"/>
    <w:rsid w:val="00CF6406"/>
    <w:rsid w:val="00D059DE"/>
    <w:rsid w:val="00D05ABD"/>
    <w:rsid w:val="00D13FCE"/>
    <w:rsid w:val="00D211B0"/>
    <w:rsid w:val="00D30351"/>
    <w:rsid w:val="00D306D1"/>
    <w:rsid w:val="00D30800"/>
    <w:rsid w:val="00D34786"/>
    <w:rsid w:val="00D34EC3"/>
    <w:rsid w:val="00D37BFC"/>
    <w:rsid w:val="00D47A8E"/>
    <w:rsid w:val="00D51518"/>
    <w:rsid w:val="00D52D14"/>
    <w:rsid w:val="00D610B4"/>
    <w:rsid w:val="00D67DE6"/>
    <w:rsid w:val="00D712D3"/>
    <w:rsid w:val="00D71422"/>
    <w:rsid w:val="00D72A50"/>
    <w:rsid w:val="00D72DC6"/>
    <w:rsid w:val="00D74CA8"/>
    <w:rsid w:val="00D7558D"/>
    <w:rsid w:val="00D81D92"/>
    <w:rsid w:val="00D868F5"/>
    <w:rsid w:val="00D876F9"/>
    <w:rsid w:val="00D93063"/>
    <w:rsid w:val="00D97599"/>
    <w:rsid w:val="00DA7B5F"/>
    <w:rsid w:val="00DC11E7"/>
    <w:rsid w:val="00DC24E3"/>
    <w:rsid w:val="00DC7023"/>
    <w:rsid w:val="00DC769A"/>
    <w:rsid w:val="00DD15B7"/>
    <w:rsid w:val="00DD3D86"/>
    <w:rsid w:val="00DD4AD2"/>
    <w:rsid w:val="00DE7866"/>
    <w:rsid w:val="00DF0D9F"/>
    <w:rsid w:val="00DF1EC4"/>
    <w:rsid w:val="00DF5D7C"/>
    <w:rsid w:val="00DF6A3B"/>
    <w:rsid w:val="00E0340B"/>
    <w:rsid w:val="00E04655"/>
    <w:rsid w:val="00E04A90"/>
    <w:rsid w:val="00E0551F"/>
    <w:rsid w:val="00E14677"/>
    <w:rsid w:val="00E14953"/>
    <w:rsid w:val="00E20080"/>
    <w:rsid w:val="00E219C7"/>
    <w:rsid w:val="00E34D52"/>
    <w:rsid w:val="00E4118C"/>
    <w:rsid w:val="00E43157"/>
    <w:rsid w:val="00E43159"/>
    <w:rsid w:val="00E461CE"/>
    <w:rsid w:val="00E5003F"/>
    <w:rsid w:val="00E53E5B"/>
    <w:rsid w:val="00E6164D"/>
    <w:rsid w:val="00E636E0"/>
    <w:rsid w:val="00E720CA"/>
    <w:rsid w:val="00E84EB5"/>
    <w:rsid w:val="00E85662"/>
    <w:rsid w:val="00E8789F"/>
    <w:rsid w:val="00E971A7"/>
    <w:rsid w:val="00E97B71"/>
    <w:rsid w:val="00EA3D34"/>
    <w:rsid w:val="00EB01DF"/>
    <w:rsid w:val="00EB454D"/>
    <w:rsid w:val="00EB6A37"/>
    <w:rsid w:val="00ED1956"/>
    <w:rsid w:val="00ED2EAF"/>
    <w:rsid w:val="00ED3289"/>
    <w:rsid w:val="00ED549D"/>
    <w:rsid w:val="00ED76BE"/>
    <w:rsid w:val="00EE00E9"/>
    <w:rsid w:val="00EE7089"/>
    <w:rsid w:val="00EF53E5"/>
    <w:rsid w:val="00EF619B"/>
    <w:rsid w:val="00F00B55"/>
    <w:rsid w:val="00F02AD1"/>
    <w:rsid w:val="00F10793"/>
    <w:rsid w:val="00F166C6"/>
    <w:rsid w:val="00F208AC"/>
    <w:rsid w:val="00F253CC"/>
    <w:rsid w:val="00F30947"/>
    <w:rsid w:val="00F31ADB"/>
    <w:rsid w:val="00F331C4"/>
    <w:rsid w:val="00F35B23"/>
    <w:rsid w:val="00F37106"/>
    <w:rsid w:val="00F436B3"/>
    <w:rsid w:val="00F519CF"/>
    <w:rsid w:val="00F56BA5"/>
    <w:rsid w:val="00F57962"/>
    <w:rsid w:val="00F60E22"/>
    <w:rsid w:val="00F66D52"/>
    <w:rsid w:val="00F7665E"/>
    <w:rsid w:val="00F808C6"/>
    <w:rsid w:val="00F81395"/>
    <w:rsid w:val="00F81BB8"/>
    <w:rsid w:val="00F82FDA"/>
    <w:rsid w:val="00F917D1"/>
    <w:rsid w:val="00F9653B"/>
    <w:rsid w:val="00FA68AA"/>
    <w:rsid w:val="00FB4F57"/>
    <w:rsid w:val="00FB62CF"/>
    <w:rsid w:val="00FC5BC1"/>
    <w:rsid w:val="00FD3C3B"/>
    <w:rsid w:val="00FE07DD"/>
    <w:rsid w:val="00FE3555"/>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6E0"/>
    <w:rPr>
      <w:sz w:val="16"/>
      <w:szCs w:val="16"/>
    </w:rPr>
  </w:style>
  <w:style w:type="paragraph" w:styleId="CommentText">
    <w:name w:val="annotation text"/>
    <w:basedOn w:val="Normal"/>
    <w:link w:val="CommentTextChar"/>
    <w:uiPriority w:val="99"/>
    <w:semiHidden/>
    <w:unhideWhenUsed/>
    <w:rsid w:val="00E636E0"/>
    <w:rPr>
      <w:sz w:val="20"/>
      <w:szCs w:val="20"/>
    </w:rPr>
  </w:style>
  <w:style w:type="character" w:customStyle="1" w:styleId="CommentTextChar">
    <w:name w:val="Comment Text Char"/>
    <w:basedOn w:val="DefaultParagraphFont"/>
    <w:link w:val="CommentText"/>
    <w:uiPriority w:val="99"/>
    <w:semiHidden/>
    <w:rsid w:val="00E636E0"/>
    <w:rPr>
      <w:lang w:val="en-US" w:eastAsia="en-US"/>
    </w:rPr>
  </w:style>
  <w:style w:type="paragraph" w:styleId="CommentSubject">
    <w:name w:val="annotation subject"/>
    <w:basedOn w:val="CommentText"/>
    <w:next w:val="CommentText"/>
    <w:link w:val="CommentSubjectChar"/>
    <w:uiPriority w:val="99"/>
    <w:semiHidden/>
    <w:unhideWhenUsed/>
    <w:rsid w:val="00E636E0"/>
    <w:rPr>
      <w:b/>
      <w:bCs/>
    </w:rPr>
  </w:style>
  <w:style w:type="character" w:customStyle="1" w:styleId="CommentSubjectChar">
    <w:name w:val="Comment Subject Char"/>
    <w:basedOn w:val="CommentTextChar"/>
    <w:link w:val="CommentSubject"/>
    <w:uiPriority w:val="99"/>
    <w:semiHidden/>
    <w:rsid w:val="00E636E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26EB"/>
    <w:rsid w:val="0007321A"/>
    <w:rsid w:val="000754C3"/>
    <w:rsid w:val="00200821"/>
    <w:rsid w:val="002424D3"/>
    <w:rsid w:val="002A6A11"/>
    <w:rsid w:val="00327C17"/>
    <w:rsid w:val="00391679"/>
    <w:rsid w:val="00394049"/>
    <w:rsid w:val="00451E61"/>
    <w:rsid w:val="0049150E"/>
    <w:rsid w:val="004D13B5"/>
    <w:rsid w:val="004F2DF8"/>
    <w:rsid w:val="0052662C"/>
    <w:rsid w:val="005C15AC"/>
    <w:rsid w:val="00721A04"/>
    <w:rsid w:val="00905BFD"/>
    <w:rsid w:val="009A261B"/>
    <w:rsid w:val="009C71BB"/>
    <w:rsid w:val="00A06AE9"/>
    <w:rsid w:val="00AC15A4"/>
    <w:rsid w:val="00B0336C"/>
    <w:rsid w:val="00B3408C"/>
    <w:rsid w:val="00B36F01"/>
    <w:rsid w:val="00C172ED"/>
    <w:rsid w:val="00D2256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185F-8909-4CC6-B4F4-C5EC9404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3520</Words>
  <Characters>18586</Characters>
  <Application>Microsoft Office Word</Application>
  <DocSecurity>0</DocSecurity>
  <Lines>273</Lines>
  <Paragraphs>45</Paragraphs>
  <ScaleCrop>false</ScaleCrop>
  <Company/>
  <LinksUpToDate>false</LinksUpToDate>
  <CharactersWithSpaces>22061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404/20</dc:title>
  <dc:creator/>
  <cp:lastModifiedBy/>
  <cp:revision>1</cp:revision>
  <dcterms:created xsi:type="dcterms:W3CDTF">2021-02-16T14:56:00Z</dcterms:created>
  <dcterms:modified xsi:type="dcterms:W3CDTF">2021-02-16T14:57:00Z</dcterms:modified>
</cp:coreProperties>
</file>