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14410FF9"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064C20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002EF4" w:rsidRDefault="00002EF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002EF4" w:rsidRDefault="00002EF4"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E65C30">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455F269" w:rsidR="00002EF4" w:rsidRPr="004E2649" w:rsidRDefault="00002E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32BE6">
                              <w:rPr>
                                <w:rFonts w:asciiTheme="majorHAnsi" w:hAnsiTheme="majorHAnsi" w:cs="Arial"/>
                                <w:b/>
                                <w:bCs/>
                                <w:color w:val="0D0D0D" w:themeColor="text1" w:themeTint="F2"/>
                                <w:sz w:val="36"/>
                                <w:szCs w:val="22"/>
                                <w:lang w:val="es-ES_tradnl"/>
                              </w:rPr>
                              <w:t xml:space="preserve"> 351</w:t>
                            </w:r>
                            <w:r>
                              <w:rPr>
                                <w:rFonts w:asciiTheme="majorHAnsi" w:hAnsiTheme="majorHAnsi" w:cs="Arial"/>
                                <w:b/>
                                <w:bCs/>
                                <w:color w:val="0D0D0D" w:themeColor="text1" w:themeTint="F2"/>
                                <w:sz w:val="36"/>
                                <w:szCs w:val="22"/>
                                <w:lang w:val="es-ES_tradnl"/>
                              </w:rPr>
                              <w:t>/20</w:t>
                            </w:r>
                          </w:p>
                          <w:p w14:paraId="09C54AB3" w14:textId="3AEC0845" w:rsidR="00002EF4" w:rsidRDefault="00002E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0C0602CE" w:rsidR="00002EF4" w:rsidRPr="0010736F" w:rsidRDefault="00002E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002EF4" w:rsidRPr="0010736F" w:rsidRDefault="00002EF4"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D3D4909" w14:textId="7809E7CD" w:rsidR="00E35596" w:rsidRDefault="00E35596" w:rsidP="00997BC5">
                            <w:pPr>
                              <w:spacing w:line="276" w:lineRule="auto"/>
                              <w:rPr>
                                <w:rFonts w:asciiTheme="majorHAnsi" w:hAnsiTheme="majorHAnsi" w:cs="Arial"/>
                                <w:bCs/>
                                <w:color w:val="0D0D0D" w:themeColor="text1" w:themeTint="F2"/>
                                <w:szCs w:val="22"/>
                                <w:lang w:val="es-ES_tradnl"/>
                              </w:rPr>
                            </w:pPr>
                            <w:r w:rsidRPr="000A3264">
                              <w:rPr>
                                <w:rFonts w:asciiTheme="majorHAnsi" w:hAnsiTheme="majorHAnsi" w:cs="Arial"/>
                                <w:bCs/>
                                <w:color w:val="0D0D0D" w:themeColor="text1" w:themeTint="F2"/>
                                <w:szCs w:val="22"/>
                                <w:lang w:val="es-VE"/>
                              </w:rPr>
                              <w:t>VÍCTOR HUGO RIVAS FLOR Y FAMILIARES</w:t>
                            </w:r>
                            <w:r w:rsidRPr="00E35596">
                              <w:rPr>
                                <w:rFonts w:asciiTheme="majorHAnsi" w:hAnsiTheme="majorHAnsi" w:cs="Arial"/>
                                <w:bCs/>
                                <w:color w:val="0D0D0D" w:themeColor="text1" w:themeTint="F2"/>
                                <w:szCs w:val="22"/>
                                <w:lang w:val="es-ES_tradnl"/>
                              </w:rPr>
                              <w:t xml:space="preserve"> </w:t>
                            </w:r>
                          </w:p>
                          <w:p w14:paraId="35068D0D" w14:textId="009B9F5C" w:rsidR="00002EF4" w:rsidRPr="0010736F" w:rsidRDefault="00002E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02EF4" w:rsidRPr="00AE5488" w:rsidRDefault="00002E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455F269" w:rsidR="00002EF4" w:rsidRPr="004E2649" w:rsidRDefault="00002E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32BE6">
                        <w:rPr>
                          <w:rFonts w:asciiTheme="majorHAnsi" w:hAnsiTheme="majorHAnsi" w:cs="Arial"/>
                          <w:b/>
                          <w:bCs/>
                          <w:color w:val="0D0D0D" w:themeColor="text1" w:themeTint="F2"/>
                          <w:sz w:val="36"/>
                          <w:szCs w:val="22"/>
                          <w:lang w:val="es-ES_tradnl"/>
                        </w:rPr>
                        <w:t xml:space="preserve"> 351</w:t>
                      </w:r>
                      <w:r>
                        <w:rPr>
                          <w:rFonts w:asciiTheme="majorHAnsi" w:hAnsiTheme="majorHAnsi" w:cs="Arial"/>
                          <w:b/>
                          <w:bCs/>
                          <w:color w:val="0D0D0D" w:themeColor="text1" w:themeTint="F2"/>
                          <w:sz w:val="36"/>
                          <w:szCs w:val="22"/>
                          <w:lang w:val="es-ES_tradnl"/>
                        </w:rPr>
                        <w:t>/20</w:t>
                      </w:r>
                    </w:p>
                    <w:p w14:paraId="09C54AB3" w14:textId="3AEC0845" w:rsidR="00002EF4" w:rsidRDefault="00002E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0C0602CE" w:rsidR="00002EF4" w:rsidRPr="0010736F" w:rsidRDefault="00002E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002EF4" w:rsidRPr="0010736F" w:rsidRDefault="00002EF4"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D3D4909" w14:textId="7809E7CD" w:rsidR="00E35596" w:rsidRDefault="00E35596" w:rsidP="00997BC5">
                      <w:pPr>
                        <w:spacing w:line="276" w:lineRule="auto"/>
                        <w:rPr>
                          <w:rFonts w:asciiTheme="majorHAnsi" w:hAnsiTheme="majorHAnsi" w:cs="Arial"/>
                          <w:bCs/>
                          <w:color w:val="0D0D0D" w:themeColor="text1" w:themeTint="F2"/>
                          <w:szCs w:val="22"/>
                          <w:lang w:val="es-ES_tradnl"/>
                        </w:rPr>
                      </w:pPr>
                      <w:r w:rsidRPr="000A3264">
                        <w:rPr>
                          <w:rFonts w:asciiTheme="majorHAnsi" w:hAnsiTheme="majorHAnsi" w:cs="Arial"/>
                          <w:bCs/>
                          <w:color w:val="0D0D0D" w:themeColor="text1" w:themeTint="F2"/>
                          <w:szCs w:val="22"/>
                          <w:lang w:val="es-VE"/>
                        </w:rPr>
                        <w:t>VÍCTOR HUGO RIVAS FLOR Y FAMILIARES</w:t>
                      </w:r>
                      <w:r w:rsidRPr="00E35596">
                        <w:rPr>
                          <w:rFonts w:asciiTheme="majorHAnsi" w:hAnsiTheme="majorHAnsi" w:cs="Arial"/>
                          <w:bCs/>
                          <w:color w:val="0D0D0D" w:themeColor="text1" w:themeTint="F2"/>
                          <w:szCs w:val="22"/>
                          <w:lang w:val="es-ES_tradnl"/>
                        </w:rPr>
                        <w:t xml:space="preserve"> </w:t>
                      </w:r>
                    </w:p>
                    <w:p w14:paraId="35068D0D" w14:textId="009B9F5C" w:rsidR="00002EF4" w:rsidRPr="0010736F" w:rsidRDefault="00002E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02EF4" w:rsidRPr="00AE5488" w:rsidRDefault="00002EF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7683546" w:rsidR="00002EF4" w:rsidRPr="004E2649" w:rsidRDefault="00002E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381F8E" w:rsidR="00002EF4" w:rsidRPr="00332BE6" w:rsidRDefault="00332BE6"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369</w:t>
                            </w:r>
                          </w:p>
                          <w:p w14:paraId="69373ED2" w14:textId="7971C39A" w:rsidR="00002EF4" w:rsidRPr="00C25ADB" w:rsidRDefault="00332B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002EF4" w:rsidRPr="00C25ADB">
                              <w:rPr>
                                <w:rFonts w:asciiTheme="minorHAnsi" w:hAnsiTheme="minorHAnsi"/>
                                <w:color w:val="FFFFFF" w:themeColor="background1"/>
                                <w:sz w:val="22"/>
                                <w:lang w:val="es-PA"/>
                              </w:rPr>
                              <w:t xml:space="preserve"> 2020</w:t>
                            </w:r>
                          </w:p>
                          <w:p w14:paraId="0771DB5B" w14:textId="77777777" w:rsidR="00002EF4" w:rsidRPr="00C25ADB" w:rsidRDefault="00002E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7683546" w:rsidR="00002EF4" w:rsidRPr="004E2649" w:rsidRDefault="00002E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381F8E" w:rsidR="00002EF4" w:rsidRPr="00332BE6" w:rsidRDefault="00332BE6"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369</w:t>
                      </w:r>
                    </w:p>
                    <w:p w14:paraId="69373ED2" w14:textId="7971C39A" w:rsidR="00002EF4" w:rsidRPr="00C25ADB" w:rsidRDefault="00332B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002EF4" w:rsidRPr="00C25ADB">
                        <w:rPr>
                          <w:rFonts w:asciiTheme="minorHAnsi" w:hAnsiTheme="minorHAnsi"/>
                          <w:color w:val="FFFFFF" w:themeColor="background1"/>
                          <w:sz w:val="22"/>
                          <w:lang w:val="es-PA"/>
                        </w:rPr>
                        <w:t xml:space="preserve"> 2020</w:t>
                      </w:r>
                    </w:p>
                    <w:p w14:paraId="0771DB5B" w14:textId="77777777" w:rsidR="00002EF4" w:rsidRPr="00C25ADB" w:rsidRDefault="00002E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49792F0" w:rsidR="00002EF4" w:rsidRPr="00890650" w:rsidRDefault="00002E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32BE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332BE6">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D200F5">
                              <w:rPr>
                                <w:rFonts w:asciiTheme="majorHAnsi" w:hAnsiTheme="majorHAnsi"/>
                                <w:color w:val="0D0D0D" w:themeColor="text1" w:themeTint="F2"/>
                                <w:sz w:val="18"/>
                                <w:szCs w:val="22"/>
                                <w:lang w:val="es-ES"/>
                              </w:rPr>
                              <w:t>.</w:t>
                            </w:r>
                          </w:p>
                          <w:p w14:paraId="4BDF3581" w14:textId="77777777" w:rsidR="00002EF4" w:rsidRPr="007A5817" w:rsidRDefault="00002E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02EF4" w:rsidRPr="00167A34" w:rsidRDefault="00002E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49792F0" w:rsidR="00002EF4" w:rsidRPr="00890650" w:rsidRDefault="00002E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32BE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332BE6">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D200F5">
                        <w:rPr>
                          <w:rFonts w:asciiTheme="majorHAnsi" w:hAnsiTheme="majorHAnsi"/>
                          <w:color w:val="0D0D0D" w:themeColor="text1" w:themeTint="F2"/>
                          <w:sz w:val="18"/>
                          <w:szCs w:val="22"/>
                          <w:lang w:val="es-ES"/>
                        </w:rPr>
                        <w:t>.</w:t>
                      </w:r>
                    </w:p>
                    <w:p w14:paraId="4BDF3581" w14:textId="77777777" w:rsidR="00002EF4" w:rsidRPr="007A5817" w:rsidRDefault="00002E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02EF4" w:rsidRPr="00167A34" w:rsidRDefault="00002E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E271C1B" w:rsidR="00002EF4" w:rsidRPr="007B05C4" w:rsidRDefault="00002E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2BE6" w:rsidRPr="00332BE6">
                              <w:rPr>
                                <w:rFonts w:asciiTheme="majorHAnsi" w:hAnsiTheme="majorHAnsi"/>
                                <w:color w:val="595959" w:themeColor="text1" w:themeTint="A6"/>
                                <w:sz w:val="18"/>
                                <w:szCs w:val="18"/>
                                <w:lang w:val="pt-BR"/>
                              </w:rPr>
                              <w:t>351</w:t>
                            </w:r>
                            <w:r w:rsidRPr="00332BE6">
                              <w:rPr>
                                <w:rFonts w:asciiTheme="majorHAnsi" w:hAnsiTheme="majorHAnsi"/>
                                <w:color w:val="595959" w:themeColor="text1" w:themeTint="A6"/>
                                <w:sz w:val="18"/>
                                <w:szCs w:val="18"/>
                                <w:lang w:val="pt-BR"/>
                              </w:rPr>
                              <w:t>/</w:t>
                            </w:r>
                            <w:r w:rsidR="00332BE6" w:rsidRPr="00332BE6">
                              <w:rPr>
                                <w:rFonts w:asciiTheme="majorHAnsi" w:hAnsiTheme="majorHAnsi"/>
                                <w:color w:val="595959" w:themeColor="text1" w:themeTint="A6"/>
                                <w:sz w:val="18"/>
                                <w:szCs w:val="18"/>
                                <w:lang w:val="pt-BR"/>
                              </w:rPr>
                              <w:t>20</w:t>
                            </w:r>
                            <w:r w:rsidRPr="00332BE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1416-10. </w:t>
                            </w:r>
                            <w:r w:rsidRPr="00890650">
                              <w:rPr>
                                <w:rFonts w:asciiTheme="majorHAnsi" w:hAnsiTheme="majorHAnsi"/>
                                <w:color w:val="595959" w:themeColor="text1" w:themeTint="A6"/>
                                <w:sz w:val="18"/>
                                <w:szCs w:val="18"/>
                                <w:lang w:val="es-ES_tradnl"/>
                              </w:rPr>
                              <w:t xml:space="preserve">Admisibilidad. </w:t>
                            </w:r>
                            <w:r w:rsidR="00C8541E">
                              <w:rPr>
                                <w:rFonts w:asciiTheme="majorHAnsi" w:hAnsiTheme="majorHAnsi"/>
                                <w:color w:val="595959" w:themeColor="text1" w:themeTint="A6"/>
                                <w:sz w:val="18"/>
                                <w:szCs w:val="18"/>
                                <w:lang w:val="es-419"/>
                              </w:rPr>
                              <w:t>Víctor</w:t>
                            </w:r>
                            <w:r w:rsidR="00351C84">
                              <w:rPr>
                                <w:rFonts w:asciiTheme="majorHAnsi" w:hAnsiTheme="majorHAnsi"/>
                                <w:color w:val="595959" w:themeColor="text1" w:themeTint="A6"/>
                                <w:sz w:val="18"/>
                                <w:szCs w:val="18"/>
                                <w:lang w:val="es-419"/>
                              </w:rPr>
                              <w:t xml:space="preserve"> Hugo Rivas Flor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32BE6">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E271C1B" w:rsidR="00002EF4" w:rsidRPr="007B05C4" w:rsidRDefault="00002E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32BE6" w:rsidRPr="00332BE6">
                        <w:rPr>
                          <w:rFonts w:asciiTheme="majorHAnsi" w:hAnsiTheme="majorHAnsi"/>
                          <w:color w:val="595959" w:themeColor="text1" w:themeTint="A6"/>
                          <w:sz w:val="18"/>
                          <w:szCs w:val="18"/>
                          <w:lang w:val="pt-BR"/>
                        </w:rPr>
                        <w:t>351</w:t>
                      </w:r>
                      <w:r w:rsidRPr="00332BE6">
                        <w:rPr>
                          <w:rFonts w:asciiTheme="majorHAnsi" w:hAnsiTheme="majorHAnsi"/>
                          <w:color w:val="595959" w:themeColor="text1" w:themeTint="A6"/>
                          <w:sz w:val="18"/>
                          <w:szCs w:val="18"/>
                          <w:lang w:val="pt-BR"/>
                        </w:rPr>
                        <w:t>/</w:t>
                      </w:r>
                      <w:r w:rsidR="00332BE6" w:rsidRPr="00332BE6">
                        <w:rPr>
                          <w:rFonts w:asciiTheme="majorHAnsi" w:hAnsiTheme="majorHAnsi"/>
                          <w:color w:val="595959" w:themeColor="text1" w:themeTint="A6"/>
                          <w:sz w:val="18"/>
                          <w:szCs w:val="18"/>
                          <w:lang w:val="pt-BR"/>
                        </w:rPr>
                        <w:t>20</w:t>
                      </w:r>
                      <w:r w:rsidRPr="00332BE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1416-10. </w:t>
                      </w:r>
                      <w:r w:rsidRPr="00890650">
                        <w:rPr>
                          <w:rFonts w:asciiTheme="majorHAnsi" w:hAnsiTheme="majorHAnsi"/>
                          <w:color w:val="595959" w:themeColor="text1" w:themeTint="A6"/>
                          <w:sz w:val="18"/>
                          <w:szCs w:val="18"/>
                          <w:lang w:val="es-ES_tradnl"/>
                        </w:rPr>
                        <w:t xml:space="preserve">Admisibilidad. </w:t>
                      </w:r>
                      <w:r w:rsidR="00C8541E">
                        <w:rPr>
                          <w:rFonts w:asciiTheme="majorHAnsi" w:hAnsiTheme="majorHAnsi"/>
                          <w:color w:val="595959" w:themeColor="text1" w:themeTint="A6"/>
                          <w:sz w:val="18"/>
                          <w:szCs w:val="18"/>
                          <w:lang w:val="es-419"/>
                        </w:rPr>
                        <w:t>Víctor</w:t>
                      </w:r>
                      <w:r w:rsidR="00351C84">
                        <w:rPr>
                          <w:rFonts w:asciiTheme="majorHAnsi" w:hAnsiTheme="majorHAnsi"/>
                          <w:color w:val="595959" w:themeColor="text1" w:themeTint="A6"/>
                          <w:sz w:val="18"/>
                          <w:szCs w:val="18"/>
                          <w:lang w:val="es-419"/>
                        </w:rPr>
                        <w:t xml:space="preserve"> Hugo Rivas Flor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32BE6">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32D68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F38B04" w:rsidR="00002EF4" w:rsidRPr="00D72DC6" w:rsidRDefault="00D200F5" w:rsidP="00F02AD1">
                            <w:pPr>
                              <w:rPr>
                                <w:color w:val="FFFFFF" w:themeColor="background1"/>
                                <w14:textFill>
                                  <w14:noFill/>
                                </w14:textFill>
                              </w:rPr>
                            </w:pPr>
                            <w:r>
                              <w:rPr>
                                <w:noProof/>
                                <w:color w:val="FFFFFF" w:themeColor="background1"/>
                              </w:rPr>
                              <w:drawing>
                                <wp:inline distT="0" distB="0" distL="0" distR="0" wp14:anchorId="4328DDB0" wp14:editId="1053792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DF38B04" w:rsidR="00002EF4" w:rsidRPr="00D72DC6" w:rsidRDefault="00D200F5" w:rsidP="00F02AD1">
                      <w:pPr>
                        <w:rPr>
                          <w:color w:val="FFFFFF" w:themeColor="background1"/>
                          <w14:textFill>
                            <w14:noFill/>
                          </w14:textFill>
                        </w:rPr>
                      </w:pPr>
                      <w:r>
                        <w:rPr>
                          <w:noProof/>
                          <w:color w:val="FFFFFF" w:themeColor="background1"/>
                        </w:rPr>
                        <w:drawing>
                          <wp:inline distT="0" distB="0" distL="0" distR="0" wp14:anchorId="4328DDB0" wp14:editId="1053792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02EF4" w:rsidRPr="004B7EB6" w:rsidRDefault="00002E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02EF4" w:rsidRPr="004B7EB6" w:rsidRDefault="00002E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67CC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351C84" w:rsidRDefault="003239B8" w:rsidP="00490243">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Parte peticionaria:</w:t>
            </w:r>
          </w:p>
        </w:tc>
        <w:tc>
          <w:tcPr>
            <w:tcW w:w="5760" w:type="dxa"/>
            <w:vAlign w:val="center"/>
          </w:tcPr>
          <w:p w14:paraId="3C5315D8" w14:textId="2FD2E0A4" w:rsidR="003239B8" w:rsidRPr="009A34E1" w:rsidRDefault="009A34E1" w:rsidP="00490243">
            <w:pPr>
              <w:jc w:val="both"/>
              <w:rPr>
                <w:rFonts w:ascii="Cambria" w:hAnsi="Cambria"/>
                <w:bCs/>
                <w:sz w:val="20"/>
                <w:szCs w:val="20"/>
                <w:lang w:val="es-419"/>
              </w:rPr>
            </w:pPr>
            <w:r w:rsidRPr="009A34E1">
              <w:rPr>
                <w:rFonts w:ascii="Cambria" w:hAnsi="Cambria"/>
                <w:bCs/>
                <w:sz w:val="20"/>
                <w:szCs w:val="19"/>
                <w:bdr w:val="none" w:sz="0" w:space="0" w:color="auto"/>
                <w:lang w:val="es-ES"/>
              </w:rPr>
              <w:t>Persona con reserva de identidad</w:t>
            </w:r>
            <w:r w:rsidRPr="009A34E1">
              <w:rPr>
                <w:rFonts w:ascii="Cambria" w:hAnsi="Cambria"/>
                <w:bCs/>
                <w:sz w:val="20"/>
                <w:szCs w:val="19"/>
                <w:bdr w:val="none" w:sz="0" w:space="0" w:color="auto"/>
                <w:vertAlign w:val="superscript"/>
                <w:lang w:val="es-ES"/>
              </w:rPr>
              <w:footnoteReference w:id="2"/>
            </w:r>
          </w:p>
        </w:tc>
      </w:tr>
      <w:tr w:rsidR="003239B8" w:rsidRPr="00A67CC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48710980" w:rsidR="003239B8" w:rsidRPr="00351C84" w:rsidRDefault="001713E2" w:rsidP="00490243">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Presunta víctima</w:t>
            </w:r>
            <w:r w:rsidR="003239B8" w:rsidRPr="00351C84">
              <w:rPr>
                <w:rFonts w:ascii="Cambria" w:hAnsi="Cambria"/>
                <w:b/>
                <w:bCs/>
                <w:color w:val="FFFFFF" w:themeColor="background1"/>
                <w:sz w:val="20"/>
                <w:szCs w:val="20"/>
                <w:lang w:val="es-419"/>
              </w:rPr>
              <w:t>:</w:t>
            </w:r>
          </w:p>
        </w:tc>
        <w:tc>
          <w:tcPr>
            <w:tcW w:w="5760" w:type="dxa"/>
            <w:vAlign w:val="center"/>
          </w:tcPr>
          <w:p w14:paraId="4AEBF59E" w14:textId="55AEAC35" w:rsidR="003239B8" w:rsidRPr="00B27A74" w:rsidRDefault="00C827A6" w:rsidP="00490243">
            <w:pPr>
              <w:jc w:val="both"/>
              <w:rPr>
                <w:rFonts w:ascii="Cambria" w:hAnsi="Cambria"/>
                <w:bCs/>
                <w:sz w:val="20"/>
                <w:szCs w:val="20"/>
                <w:lang w:val="es-VE"/>
              </w:rPr>
            </w:pPr>
            <w:r w:rsidRPr="00B27A74">
              <w:rPr>
                <w:rFonts w:ascii="Cambria" w:hAnsi="Cambria"/>
                <w:bCs/>
                <w:sz w:val="20"/>
                <w:szCs w:val="20"/>
                <w:lang w:val="es-VE"/>
              </w:rPr>
              <w:t>Víctor Hugo Rivas Flor y familiares</w:t>
            </w:r>
            <w:r w:rsidR="0065704D" w:rsidRPr="00B27A74">
              <w:rPr>
                <w:rStyle w:val="FootnoteReference"/>
                <w:rFonts w:ascii="Cambria" w:hAnsi="Cambria"/>
                <w:bCs/>
                <w:sz w:val="20"/>
                <w:szCs w:val="20"/>
                <w:lang w:val="es-VE"/>
              </w:rPr>
              <w:footnoteReference w:id="3"/>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351C84" w:rsidRDefault="003239B8" w:rsidP="00490243">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Estado denunciado:</w:t>
            </w:r>
          </w:p>
        </w:tc>
        <w:tc>
          <w:tcPr>
            <w:tcW w:w="5760" w:type="dxa"/>
            <w:vAlign w:val="center"/>
          </w:tcPr>
          <w:p w14:paraId="274C8A50" w14:textId="09EF49BB" w:rsidR="003239B8" w:rsidRPr="000D05CB" w:rsidRDefault="000D7CF3" w:rsidP="00490243">
            <w:pPr>
              <w:jc w:val="both"/>
              <w:rPr>
                <w:rFonts w:ascii="Cambria" w:hAnsi="Cambria"/>
                <w:bCs/>
                <w:sz w:val="20"/>
                <w:szCs w:val="20"/>
              </w:rPr>
            </w:pPr>
            <w:r>
              <w:rPr>
                <w:rFonts w:ascii="Cambria" w:hAnsi="Cambria"/>
                <w:bCs/>
                <w:sz w:val="20"/>
                <w:szCs w:val="20"/>
              </w:rPr>
              <w:t>Colombia</w:t>
            </w:r>
          </w:p>
        </w:tc>
      </w:tr>
      <w:tr w:rsidR="00223A29" w:rsidRPr="00A67CC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351C84" w:rsidRDefault="001B3A00" w:rsidP="00E4118C">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 xml:space="preserve">Derechos </w:t>
            </w:r>
            <w:r w:rsidR="00E4118C" w:rsidRPr="00351C84">
              <w:rPr>
                <w:rFonts w:ascii="Cambria" w:hAnsi="Cambria"/>
                <w:b/>
                <w:bCs/>
                <w:color w:val="FFFFFF" w:themeColor="background1"/>
                <w:sz w:val="20"/>
                <w:szCs w:val="20"/>
                <w:lang w:val="es-419"/>
              </w:rPr>
              <w:t>invocados</w:t>
            </w:r>
            <w:r w:rsidRPr="00351C84">
              <w:rPr>
                <w:rFonts w:ascii="Cambria" w:hAnsi="Cambria"/>
                <w:b/>
                <w:bCs/>
                <w:color w:val="FFFFFF" w:themeColor="background1"/>
                <w:sz w:val="20"/>
                <w:szCs w:val="20"/>
                <w:lang w:val="es-419"/>
              </w:rPr>
              <w:t>:</w:t>
            </w:r>
          </w:p>
        </w:tc>
        <w:tc>
          <w:tcPr>
            <w:tcW w:w="5760" w:type="dxa"/>
            <w:vAlign w:val="center"/>
          </w:tcPr>
          <w:p w14:paraId="6DEE1EEB" w14:textId="00163763" w:rsidR="00DF1682" w:rsidRPr="00AA7193" w:rsidRDefault="00484ED7" w:rsidP="00490243">
            <w:pPr>
              <w:jc w:val="both"/>
              <w:rPr>
                <w:rFonts w:ascii="Cambria" w:hAnsi="Cambria"/>
                <w:bCs/>
                <w:sz w:val="20"/>
                <w:szCs w:val="20"/>
                <w:lang w:val="es-VE"/>
              </w:rPr>
            </w:pPr>
            <w:r>
              <w:rPr>
                <w:rFonts w:ascii="Cambria" w:hAnsi="Cambria"/>
                <w:bCs/>
                <w:sz w:val="20"/>
                <w:szCs w:val="20"/>
                <w:lang w:val="es-VE"/>
              </w:rPr>
              <w:t xml:space="preserve">Artículos 4 (derecho a la vida), 5 (derecho a la integridad personal), </w:t>
            </w:r>
            <w:r w:rsidR="00AC63DE">
              <w:rPr>
                <w:rFonts w:ascii="Cambria" w:hAnsi="Cambria"/>
                <w:bCs/>
                <w:sz w:val="20"/>
                <w:szCs w:val="20"/>
                <w:lang w:val="es-VE"/>
              </w:rPr>
              <w:t xml:space="preserve">7 (derecho a la libertad personal), </w:t>
            </w:r>
            <w:r>
              <w:rPr>
                <w:rFonts w:ascii="Cambria" w:hAnsi="Cambria"/>
                <w:bCs/>
                <w:sz w:val="20"/>
                <w:szCs w:val="20"/>
                <w:lang w:val="es-VE"/>
              </w:rPr>
              <w:t xml:space="preserve">8 (garantías judiciales), </w:t>
            </w:r>
            <w:r w:rsidR="00AC63DE">
              <w:rPr>
                <w:rFonts w:ascii="Cambria" w:hAnsi="Cambria"/>
                <w:bCs/>
                <w:sz w:val="20"/>
                <w:szCs w:val="20"/>
                <w:lang w:val="es-VE"/>
              </w:rPr>
              <w:t xml:space="preserve">10 (derecho a indemnización), </w:t>
            </w:r>
            <w:r>
              <w:rPr>
                <w:rFonts w:ascii="Cambria" w:hAnsi="Cambria"/>
                <w:bCs/>
                <w:sz w:val="20"/>
                <w:szCs w:val="20"/>
                <w:lang w:val="es-VE"/>
              </w:rPr>
              <w:t>2</w:t>
            </w:r>
            <w:r w:rsidR="00AC63DE">
              <w:rPr>
                <w:rFonts w:ascii="Cambria" w:hAnsi="Cambria"/>
                <w:bCs/>
                <w:sz w:val="20"/>
                <w:szCs w:val="20"/>
                <w:lang w:val="es-VE"/>
              </w:rPr>
              <w:t>4</w:t>
            </w:r>
            <w:r>
              <w:rPr>
                <w:rFonts w:ascii="Cambria" w:hAnsi="Cambria"/>
                <w:bCs/>
                <w:sz w:val="20"/>
                <w:szCs w:val="20"/>
                <w:lang w:val="es-VE"/>
              </w:rPr>
              <w:t xml:space="preserve"> (</w:t>
            </w:r>
            <w:r w:rsidR="00AC63DE">
              <w:rPr>
                <w:rFonts w:ascii="Cambria" w:hAnsi="Cambria"/>
                <w:bCs/>
                <w:sz w:val="20"/>
                <w:szCs w:val="20"/>
                <w:lang w:val="es-VE"/>
              </w:rPr>
              <w:t>igualdad ante la ley</w:t>
            </w:r>
            <w:r>
              <w:rPr>
                <w:rFonts w:ascii="Cambria" w:hAnsi="Cambria"/>
                <w:bCs/>
                <w:sz w:val="20"/>
                <w:szCs w:val="20"/>
                <w:lang w:val="es-VE"/>
              </w:rPr>
              <w:t xml:space="preserve">) y 25 (protección judicial) de la Convención Americana </w:t>
            </w:r>
            <w:r w:rsidR="00AC63DE">
              <w:rPr>
                <w:rFonts w:ascii="Cambria" w:hAnsi="Cambria"/>
                <w:bCs/>
                <w:sz w:val="20"/>
                <w:szCs w:val="20"/>
                <w:lang w:val="es-VE"/>
              </w:rPr>
              <w:t>sobre Derechos Humanos</w:t>
            </w:r>
            <w:r w:rsidR="00AC63DE">
              <w:rPr>
                <w:rStyle w:val="FootnoteReference"/>
                <w:rFonts w:ascii="Cambria" w:hAnsi="Cambria"/>
                <w:bCs/>
                <w:sz w:val="20"/>
                <w:szCs w:val="20"/>
                <w:lang w:val="es-VE"/>
              </w:rPr>
              <w:footnoteReference w:id="4"/>
            </w:r>
            <w:r w:rsidR="00AC63DE">
              <w:rPr>
                <w:rFonts w:ascii="Cambria" w:hAnsi="Cambria"/>
                <w:bCs/>
                <w:sz w:val="20"/>
                <w:szCs w:val="20"/>
                <w:lang w:val="es-VE"/>
              </w:rPr>
              <w:t xml:space="preserve"> </w:t>
            </w:r>
            <w:r>
              <w:rPr>
                <w:rFonts w:ascii="Cambria" w:hAnsi="Cambria"/>
                <w:bCs/>
                <w:sz w:val="20"/>
                <w:szCs w:val="20"/>
                <w:lang w:val="es-VE"/>
              </w:rPr>
              <w:t>en relación con el artículo 1.1 del mismo instrumento</w:t>
            </w:r>
            <w:r w:rsidR="00AC63DE">
              <w:rPr>
                <w:rFonts w:ascii="Cambria" w:hAnsi="Cambria"/>
                <w:bCs/>
                <w:sz w:val="20"/>
                <w:szCs w:val="20"/>
                <w:lang w:val="es-VE"/>
              </w:rPr>
              <w:t>; y artículos I, II, V, XVIII y XXIV de la Declaración Americana de los Derechos y Deberes del Hombre</w:t>
            </w:r>
            <w:r w:rsidR="00AC63DE">
              <w:rPr>
                <w:rStyle w:val="FootnoteReference"/>
                <w:rFonts w:ascii="Cambria" w:hAnsi="Cambria"/>
                <w:bCs/>
                <w:sz w:val="20"/>
                <w:szCs w:val="20"/>
                <w:lang w:val="es-VE"/>
              </w:rPr>
              <w:footnoteReference w:id="5"/>
            </w:r>
            <w:r w:rsidR="00DF1682">
              <w:rPr>
                <w:rFonts w:ascii="Cambria" w:hAnsi="Cambria"/>
                <w:bCs/>
                <w:sz w:val="20"/>
                <w:szCs w:val="20"/>
                <w:lang w:val="es-VE"/>
              </w:rPr>
              <w:t xml:space="preserve"> </w:t>
            </w:r>
          </w:p>
        </w:tc>
      </w:tr>
    </w:tbl>
    <w:p w14:paraId="20263696" w14:textId="77777777" w:rsidR="003239B8" w:rsidRPr="00AA7193" w:rsidRDefault="003239B8" w:rsidP="003239B8">
      <w:pPr>
        <w:spacing w:before="240" w:after="240"/>
        <w:ind w:firstLine="720"/>
        <w:jc w:val="both"/>
        <w:rPr>
          <w:rFonts w:asciiTheme="majorHAnsi" w:hAnsiTheme="majorHAnsi"/>
          <w:b/>
          <w:bCs/>
          <w:sz w:val="20"/>
          <w:szCs w:val="20"/>
          <w:lang w:val="es-VE"/>
        </w:rPr>
      </w:pPr>
      <w:r w:rsidRPr="00AA7193">
        <w:rPr>
          <w:rFonts w:asciiTheme="majorHAnsi" w:hAnsiTheme="majorHAnsi"/>
          <w:b/>
          <w:bCs/>
          <w:sz w:val="20"/>
          <w:szCs w:val="20"/>
          <w:lang w:val="es-VE"/>
        </w:rPr>
        <w:t>II.</w:t>
      </w:r>
      <w:r w:rsidRPr="00AA7193">
        <w:rPr>
          <w:rFonts w:asciiTheme="majorHAnsi" w:hAnsiTheme="majorHAnsi"/>
          <w:b/>
          <w:bCs/>
          <w:sz w:val="20"/>
          <w:szCs w:val="20"/>
          <w:lang w:val="es-VE"/>
        </w:rPr>
        <w:tab/>
        <w:t>TRÁMITE ANTE LA CIDH</w:t>
      </w:r>
      <w:r w:rsidR="008E3BFE" w:rsidRPr="00AA7193">
        <w:rPr>
          <w:rStyle w:val="FootnoteReference"/>
          <w:rFonts w:ascii="Cambria" w:hAnsi="Cambria"/>
          <w:b/>
          <w:sz w:val="20"/>
          <w:szCs w:val="20"/>
          <w:lang w:val="es-VE"/>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A719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AA7193" w:rsidRDefault="004A6A54" w:rsidP="004A6A54">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P</w:t>
            </w:r>
            <w:r w:rsidR="004C2312" w:rsidRPr="00AA7193">
              <w:rPr>
                <w:rFonts w:ascii="Cambria" w:hAnsi="Cambria"/>
                <w:b/>
                <w:bCs/>
                <w:color w:val="FFFFFF" w:themeColor="background1"/>
                <w:sz w:val="20"/>
                <w:szCs w:val="20"/>
                <w:lang w:val="es-VE"/>
              </w:rPr>
              <w:t>resentación de la petición:</w:t>
            </w:r>
          </w:p>
        </w:tc>
        <w:tc>
          <w:tcPr>
            <w:tcW w:w="5760" w:type="dxa"/>
            <w:vAlign w:val="center"/>
          </w:tcPr>
          <w:p w14:paraId="6E579153" w14:textId="5848837A" w:rsidR="004C2312" w:rsidRPr="00AA7193" w:rsidRDefault="000D7CF3" w:rsidP="00490243">
            <w:pPr>
              <w:jc w:val="both"/>
              <w:rPr>
                <w:rFonts w:ascii="Cambria" w:hAnsi="Cambria"/>
                <w:bCs/>
                <w:sz w:val="20"/>
                <w:szCs w:val="20"/>
                <w:lang w:val="es-VE"/>
              </w:rPr>
            </w:pPr>
            <w:r w:rsidRPr="00AA7193">
              <w:rPr>
                <w:rFonts w:ascii="Cambria" w:hAnsi="Cambria"/>
                <w:bCs/>
                <w:sz w:val="20"/>
                <w:szCs w:val="20"/>
                <w:lang w:val="es-VE"/>
              </w:rPr>
              <w:t>8 de octubre de 2010</w:t>
            </w:r>
          </w:p>
        </w:tc>
      </w:tr>
      <w:tr w:rsidR="00131425" w:rsidRPr="00AA7193"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AA7193" w:rsidRDefault="00131425" w:rsidP="004A6A54">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Información adicional recibida durante la etapa de estudio:</w:t>
            </w:r>
          </w:p>
        </w:tc>
        <w:tc>
          <w:tcPr>
            <w:tcW w:w="5760" w:type="dxa"/>
            <w:vAlign w:val="center"/>
          </w:tcPr>
          <w:p w14:paraId="30151270" w14:textId="2E8C4992" w:rsidR="00131425" w:rsidRPr="00AA7193" w:rsidRDefault="00AA7193" w:rsidP="00490243">
            <w:pPr>
              <w:jc w:val="both"/>
              <w:rPr>
                <w:rFonts w:ascii="Cambria" w:hAnsi="Cambria"/>
                <w:bCs/>
                <w:sz w:val="20"/>
                <w:szCs w:val="20"/>
                <w:lang w:val="es-VE"/>
              </w:rPr>
            </w:pPr>
            <w:r w:rsidRPr="00AA7193">
              <w:rPr>
                <w:rFonts w:ascii="Cambria" w:hAnsi="Cambria"/>
                <w:bCs/>
                <w:sz w:val="20"/>
                <w:szCs w:val="20"/>
                <w:lang w:val="es-VE"/>
              </w:rPr>
              <w:t>22 de agosto de 2011</w:t>
            </w:r>
          </w:p>
        </w:tc>
      </w:tr>
      <w:tr w:rsidR="004C2312" w:rsidRPr="00AA719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AA7193" w:rsidRDefault="004A6A54" w:rsidP="004A6A54">
            <w:pPr>
              <w:jc w:val="center"/>
              <w:rPr>
                <w:rFonts w:ascii="Cambria" w:hAnsi="Cambria"/>
                <w:b/>
                <w:bCs/>
                <w:color w:val="FFFFFF" w:themeColor="background1"/>
                <w:sz w:val="20"/>
                <w:szCs w:val="20"/>
                <w:lang w:val="es-VE"/>
              </w:rPr>
            </w:pPr>
            <w:r w:rsidRPr="00AA7193">
              <w:rPr>
                <w:rFonts w:ascii="Cambria" w:hAnsi="Cambria"/>
                <w:b/>
                <w:color w:val="FFFFFF" w:themeColor="background1"/>
                <w:sz w:val="20"/>
                <w:szCs w:val="20"/>
                <w:lang w:val="es-VE"/>
              </w:rPr>
              <w:t>N</w:t>
            </w:r>
            <w:r w:rsidR="004C2312" w:rsidRPr="00AA7193">
              <w:rPr>
                <w:rFonts w:ascii="Cambria" w:hAnsi="Cambria"/>
                <w:b/>
                <w:color w:val="FFFFFF" w:themeColor="background1"/>
                <w:sz w:val="20"/>
                <w:szCs w:val="20"/>
                <w:lang w:val="es-VE"/>
              </w:rPr>
              <w:t>otificación de la petición al Estado:</w:t>
            </w:r>
          </w:p>
        </w:tc>
        <w:tc>
          <w:tcPr>
            <w:tcW w:w="5760" w:type="dxa"/>
            <w:vAlign w:val="center"/>
          </w:tcPr>
          <w:p w14:paraId="1519DA6A" w14:textId="5A97A7C8" w:rsidR="004C2312" w:rsidRPr="00AA7193" w:rsidRDefault="00AA7193" w:rsidP="00490243">
            <w:pPr>
              <w:jc w:val="both"/>
              <w:rPr>
                <w:rFonts w:ascii="Cambria" w:hAnsi="Cambria"/>
                <w:bCs/>
                <w:sz w:val="20"/>
                <w:szCs w:val="20"/>
                <w:lang w:val="es-VE"/>
              </w:rPr>
            </w:pPr>
            <w:r w:rsidRPr="00AA7193">
              <w:rPr>
                <w:rFonts w:ascii="Cambria" w:hAnsi="Cambria"/>
                <w:bCs/>
                <w:sz w:val="20"/>
                <w:szCs w:val="20"/>
                <w:lang w:val="es-VE"/>
              </w:rPr>
              <w:t>6 de mayo de 2016</w:t>
            </w:r>
          </w:p>
        </w:tc>
      </w:tr>
      <w:tr w:rsidR="004C2312" w:rsidRPr="00AA719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AA7193" w:rsidRDefault="004A6A54" w:rsidP="004A6A54">
            <w:pPr>
              <w:jc w:val="center"/>
              <w:rPr>
                <w:rFonts w:ascii="Cambria" w:hAnsi="Cambria"/>
                <w:b/>
                <w:bCs/>
                <w:color w:val="FFFFFF" w:themeColor="background1"/>
                <w:sz w:val="20"/>
                <w:szCs w:val="20"/>
                <w:lang w:val="es-VE"/>
              </w:rPr>
            </w:pPr>
            <w:r w:rsidRPr="00AA7193">
              <w:rPr>
                <w:rFonts w:ascii="Cambria" w:hAnsi="Cambria"/>
                <w:b/>
                <w:color w:val="FFFFFF" w:themeColor="background1"/>
                <w:sz w:val="20"/>
                <w:szCs w:val="20"/>
                <w:lang w:val="es-VE"/>
              </w:rPr>
              <w:t>P</w:t>
            </w:r>
            <w:r w:rsidR="004C2312" w:rsidRPr="00AA7193">
              <w:rPr>
                <w:rFonts w:ascii="Cambria" w:hAnsi="Cambria"/>
                <w:b/>
                <w:color w:val="FFFFFF" w:themeColor="background1"/>
                <w:sz w:val="20"/>
                <w:szCs w:val="20"/>
                <w:lang w:val="es-VE"/>
              </w:rPr>
              <w:t>rimera respuesta del Estado:</w:t>
            </w:r>
          </w:p>
        </w:tc>
        <w:tc>
          <w:tcPr>
            <w:tcW w:w="5760" w:type="dxa"/>
            <w:vAlign w:val="center"/>
          </w:tcPr>
          <w:p w14:paraId="1972B99E" w14:textId="601BD225" w:rsidR="004C2312" w:rsidRPr="00AA7193" w:rsidRDefault="00AA7193" w:rsidP="00490243">
            <w:pPr>
              <w:jc w:val="both"/>
              <w:rPr>
                <w:rFonts w:ascii="Cambria" w:hAnsi="Cambria"/>
                <w:bCs/>
                <w:sz w:val="20"/>
                <w:szCs w:val="20"/>
                <w:lang w:val="es-VE"/>
              </w:rPr>
            </w:pPr>
            <w:r w:rsidRPr="00AA7193">
              <w:rPr>
                <w:rFonts w:ascii="Cambria" w:hAnsi="Cambria"/>
                <w:bCs/>
                <w:sz w:val="20"/>
                <w:szCs w:val="20"/>
                <w:lang w:val="es-VE"/>
              </w:rPr>
              <w:t>18 de mayo de 2018</w:t>
            </w:r>
          </w:p>
        </w:tc>
      </w:tr>
      <w:tr w:rsidR="004C2312" w:rsidRPr="00A67CC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AA7193" w:rsidRDefault="008E3BFE" w:rsidP="008E3BFE">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Observaciones adicionales de la parte peticionaria:</w:t>
            </w:r>
          </w:p>
        </w:tc>
        <w:tc>
          <w:tcPr>
            <w:tcW w:w="5760" w:type="dxa"/>
            <w:vAlign w:val="center"/>
          </w:tcPr>
          <w:p w14:paraId="41D8B862" w14:textId="325D052C" w:rsidR="004C2312" w:rsidRPr="00AA7193" w:rsidRDefault="00AA7193" w:rsidP="00490243">
            <w:pPr>
              <w:jc w:val="both"/>
              <w:rPr>
                <w:rFonts w:ascii="Cambria" w:hAnsi="Cambria"/>
                <w:bCs/>
                <w:sz w:val="20"/>
                <w:szCs w:val="20"/>
                <w:lang w:val="es-VE"/>
              </w:rPr>
            </w:pPr>
            <w:r w:rsidRPr="00AA7193">
              <w:rPr>
                <w:rFonts w:ascii="Cambria" w:hAnsi="Cambria"/>
                <w:bCs/>
                <w:sz w:val="20"/>
                <w:szCs w:val="20"/>
                <w:lang w:val="es-VE"/>
              </w:rPr>
              <w:t>16 de noviembre de 2018 y 28 de octubre de 2019</w:t>
            </w:r>
          </w:p>
        </w:tc>
      </w:tr>
      <w:tr w:rsidR="004C2312" w:rsidRPr="00AA719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AA7193" w:rsidRDefault="004C2312" w:rsidP="008E3BFE">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Observaciones adicionales del Estado:</w:t>
            </w:r>
          </w:p>
        </w:tc>
        <w:tc>
          <w:tcPr>
            <w:tcW w:w="5760" w:type="dxa"/>
            <w:vAlign w:val="center"/>
          </w:tcPr>
          <w:p w14:paraId="3CE49AFE" w14:textId="4C64C9CF" w:rsidR="004C2312" w:rsidRPr="00AA7193" w:rsidRDefault="00AA7193" w:rsidP="00490243">
            <w:pPr>
              <w:jc w:val="both"/>
              <w:rPr>
                <w:rFonts w:ascii="Cambria" w:hAnsi="Cambria"/>
                <w:bCs/>
                <w:sz w:val="20"/>
                <w:szCs w:val="20"/>
                <w:lang w:val="es-VE"/>
              </w:rPr>
            </w:pPr>
            <w:r w:rsidRPr="00AA7193">
              <w:rPr>
                <w:rFonts w:ascii="Cambria" w:hAnsi="Cambria"/>
                <w:bCs/>
                <w:sz w:val="20"/>
                <w:szCs w:val="20"/>
                <w:lang w:val="es-VE"/>
              </w:rPr>
              <w:t>15 de agosto de 2019</w:t>
            </w:r>
          </w:p>
        </w:tc>
      </w:tr>
      <w:tr w:rsidR="009D0921" w:rsidRPr="00AA7193" w14:paraId="3F697A60" w14:textId="77777777" w:rsidTr="004A6A54">
        <w:tc>
          <w:tcPr>
            <w:tcW w:w="3600" w:type="dxa"/>
            <w:tcBorders>
              <w:top w:val="single" w:sz="6" w:space="0" w:color="auto"/>
              <w:bottom w:val="single" w:sz="6" w:space="0" w:color="auto"/>
            </w:tcBorders>
            <w:shd w:val="clear" w:color="auto" w:fill="386294"/>
            <w:vAlign w:val="center"/>
          </w:tcPr>
          <w:p w14:paraId="027291D3" w14:textId="44C6EF04" w:rsidR="009D0921" w:rsidRPr="00AA7193" w:rsidRDefault="009D0921" w:rsidP="008E3BFE">
            <w:pPr>
              <w:jc w:val="center"/>
              <w:rPr>
                <w:rFonts w:ascii="Cambria" w:hAnsi="Cambria"/>
                <w:b/>
                <w:bCs/>
                <w:color w:val="FFFFFF" w:themeColor="background1"/>
                <w:sz w:val="20"/>
                <w:szCs w:val="20"/>
                <w:lang w:val="es-VE"/>
              </w:rPr>
            </w:pPr>
            <w:r>
              <w:rPr>
                <w:rFonts w:ascii="Cambria" w:hAnsi="Cambria"/>
                <w:b/>
                <w:bCs/>
                <w:color w:val="FFFFFF" w:themeColor="background1"/>
                <w:sz w:val="20"/>
                <w:szCs w:val="20"/>
                <w:lang w:val="es-VE"/>
              </w:rPr>
              <w:t>Advertencia sobre posible archivo</w:t>
            </w:r>
          </w:p>
        </w:tc>
        <w:tc>
          <w:tcPr>
            <w:tcW w:w="5760" w:type="dxa"/>
            <w:vAlign w:val="center"/>
          </w:tcPr>
          <w:p w14:paraId="00510640" w14:textId="45208F45" w:rsidR="009D0921" w:rsidRPr="00AA7193" w:rsidRDefault="009D0921" w:rsidP="00490243">
            <w:pPr>
              <w:jc w:val="both"/>
              <w:rPr>
                <w:rFonts w:ascii="Cambria" w:hAnsi="Cambria"/>
                <w:bCs/>
                <w:sz w:val="20"/>
                <w:szCs w:val="20"/>
                <w:lang w:val="es-VE"/>
              </w:rPr>
            </w:pPr>
            <w:r>
              <w:rPr>
                <w:rFonts w:ascii="Cambria" w:hAnsi="Cambria"/>
                <w:bCs/>
                <w:sz w:val="20"/>
                <w:szCs w:val="20"/>
                <w:lang w:val="es-VE"/>
              </w:rPr>
              <w:t>29 de octubre de 2018</w:t>
            </w:r>
          </w:p>
        </w:tc>
      </w:tr>
    </w:tbl>
    <w:p w14:paraId="21DAA666" w14:textId="77777777" w:rsidR="003239B8" w:rsidRPr="00AA7193" w:rsidRDefault="003239B8" w:rsidP="003239B8">
      <w:pPr>
        <w:spacing w:before="240" w:after="240"/>
        <w:ind w:firstLine="720"/>
        <w:jc w:val="both"/>
        <w:rPr>
          <w:rFonts w:asciiTheme="majorHAnsi" w:hAnsiTheme="majorHAnsi"/>
          <w:b/>
          <w:bCs/>
          <w:sz w:val="20"/>
          <w:szCs w:val="20"/>
          <w:lang w:val="es-VE"/>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r>
      <w:r w:rsidRPr="00AA7193">
        <w:rPr>
          <w:rFonts w:asciiTheme="majorHAnsi" w:hAnsiTheme="majorHAnsi"/>
          <w:b/>
          <w:bCs/>
          <w:sz w:val="20"/>
          <w:szCs w:val="20"/>
          <w:lang w:val="es-VE"/>
        </w:rPr>
        <w:t>COMPETENCIA</w:t>
      </w:r>
      <w:r w:rsidR="00EE00E9" w:rsidRPr="00AA7193">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A719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AA7193" w:rsidRDefault="003239B8" w:rsidP="00490243">
            <w:pPr>
              <w:jc w:val="center"/>
              <w:rPr>
                <w:rFonts w:ascii="Cambria" w:hAnsi="Cambria"/>
                <w:b/>
                <w:bCs/>
                <w:i/>
                <w:color w:val="FFFFFF" w:themeColor="background1"/>
                <w:sz w:val="20"/>
                <w:szCs w:val="20"/>
                <w:lang w:val="es-VE"/>
              </w:rPr>
            </w:pPr>
            <w:r w:rsidRPr="00AA7193">
              <w:rPr>
                <w:rFonts w:ascii="Cambria" w:hAnsi="Cambria"/>
                <w:b/>
                <w:bCs/>
                <w:color w:val="FFFFFF" w:themeColor="background1"/>
                <w:sz w:val="20"/>
                <w:szCs w:val="20"/>
                <w:lang w:val="es-VE"/>
              </w:rPr>
              <w:t>Competencia</w:t>
            </w:r>
            <w:r w:rsidRPr="00AA7193">
              <w:rPr>
                <w:rFonts w:ascii="Cambria" w:hAnsi="Cambria"/>
                <w:b/>
                <w:bCs/>
                <w:i/>
                <w:color w:val="FFFFFF" w:themeColor="background1"/>
                <w:sz w:val="20"/>
                <w:szCs w:val="20"/>
                <w:lang w:val="es-VE"/>
              </w:rPr>
              <w:t xml:space="preserve"> Ratione personae:</w:t>
            </w:r>
          </w:p>
        </w:tc>
        <w:tc>
          <w:tcPr>
            <w:tcW w:w="5760" w:type="dxa"/>
            <w:vAlign w:val="center"/>
          </w:tcPr>
          <w:p w14:paraId="7707F3E9" w14:textId="57B90424" w:rsidR="003239B8" w:rsidRPr="00AA7193" w:rsidRDefault="00AA7193" w:rsidP="00490243">
            <w:pPr>
              <w:rPr>
                <w:rFonts w:ascii="Cambria" w:hAnsi="Cambria"/>
                <w:bCs/>
                <w:sz w:val="20"/>
                <w:szCs w:val="20"/>
                <w:lang w:val="es-VE"/>
              </w:rPr>
            </w:pPr>
            <w:r>
              <w:rPr>
                <w:rFonts w:ascii="Cambria" w:hAnsi="Cambria"/>
                <w:bCs/>
                <w:sz w:val="20"/>
                <w:szCs w:val="20"/>
                <w:lang w:val="es-VE"/>
              </w:rPr>
              <w:t>Sí</w:t>
            </w:r>
          </w:p>
        </w:tc>
      </w:tr>
      <w:tr w:rsidR="003239B8" w:rsidRPr="00AA719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AA7193" w:rsidRDefault="003239B8" w:rsidP="00490243">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Competencia</w:t>
            </w:r>
            <w:r w:rsidRPr="00AA7193">
              <w:rPr>
                <w:rFonts w:ascii="Cambria" w:hAnsi="Cambria"/>
                <w:b/>
                <w:bCs/>
                <w:i/>
                <w:color w:val="FFFFFF" w:themeColor="background1"/>
                <w:sz w:val="20"/>
                <w:szCs w:val="20"/>
                <w:lang w:val="es-VE"/>
              </w:rPr>
              <w:t xml:space="preserve"> Ratione loci</w:t>
            </w:r>
            <w:r w:rsidRPr="00AA7193">
              <w:rPr>
                <w:rFonts w:ascii="Cambria" w:hAnsi="Cambria"/>
                <w:b/>
                <w:bCs/>
                <w:color w:val="FFFFFF" w:themeColor="background1"/>
                <w:sz w:val="20"/>
                <w:szCs w:val="20"/>
                <w:lang w:val="es-VE"/>
              </w:rPr>
              <w:t>:</w:t>
            </w:r>
          </w:p>
        </w:tc>
        <w:tc>
          <w:tcPr>
            <w:tcW w:w="5760" w:type="dxa"/>
            <w:vAlign w:val="center"/>
          </w:tcPr>
          <w:p w14:paraId="12C931CB" w14:textId="1A5C519F" w:rsidR="003239B8" w:rsidRPr="00AA7193" w:rsidRDefault="00AA7193" w:rsidP="00490243">
            <w:pPr>
              <w:rPr>
                <w:rFonts w:ascii="Cambria" w:hAnsi="Cambria"/>
                <w:bCs/>
                <w:sz w:val="20"/>
                <w:szCs w:val="20"/>
                <w:lang w:val="es-VE"/>
              </w:rPr>
            </w:pPr>
            <w:r>
              <w:rPr>
                <w:rFonts w:ascii="Cambria" w:hAnsi="Cambria"/>
                <w:bCs/>
                <w:sz w:val="20"/>
                <w:szCs w:val="20"/>
                <w:lang w:val="es-VE"/>
              </w:rPr>
              <w:t>Sí</w:t>
            </w:r>
          </w:p>
        </w:tc>
      </w:tr>
      <w:tr w:rsidR="003239B8" w:rsidRPr="00AA719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AA7193" w:rsidRDefault="003239B8" w:rsidP="00490243">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Competencia</w:t>
            </w:r>
            <w:r w:rsidRPr="00AA7193">
              <w:rPr>
                <w:rFonts w:ascii="Cambria" w:hAnsi="Cambria"/>
                <w:b/>
                <w:bCs/>
                <w:i/>
                <w:color w:val="FFFFFF" w:themeColor="background1"/>
                <w:sz w:val="20"/>
                <w:szCs w:val="20"/>
                <w:lang w:val="es-VE"/>
              </w:rPr>
              <w:t xml:space="preserve"> Ratione temporis</w:t>
            </w:r>
            <w:r w:rsidRPr="00AA7193">
              <w:rPr>
                <w:rFonts w:ascii="Cambria" w:hAnsi="Cambria"/>
                <w:b/>
                <w:bCs/>
                <w:color w:val="FFFFFF" w:themeColor="background1"/>
                <w:sz w:val="20"/>
                <w:szCs w:val="20"/>
                <w:lang w:val="es-VE"/>
              </w:rPr>
              <w:t>:</w:t>
            </w:r>
          </w:p>
        </w:tc>
        <w:tc>
          <w:tcPr>
            <w:tcW w:w="5760" w:type="dxa"/>
            <w:vAlign w:val="center"/>
          </w:tcPr>
          <w:p w14:paraId="6F8B059B" w14:textId="32BF8A6A" w:rsidR="003239B8" w:rsidRPr="00AA7193" w:rsidRDefault="00AA7193" w:rsidP="00490243">
            <w:pPr>
              <w:rPr>
                <w:rFonts w:ascii="Cambria" w:hAnsi="Cambria"/>
                <w:bCs/>
                <w:sz w:val="20"/>
                <w:szCs w:val="20"/>
                <w:lang w:val="es-VE"/>
              </w:rPr>
            </w:pPr>
            <w:r>
              <w:rPr>
                <w:rFonts w:ascii="Cambria" w:hAnsi="Cambria"/>
                <w:bCs/>
                <w:sz w:val="20"/>
                <w:szCs w:val="20"/>
                <w:lang w:val="es-VE"/>
              </w:rPr>
              <w:t xml:space="preserve">Sí </w:t>
            </w:r>
          </w:p>
        </w:tc>
      </w:tr>
      <w:tr w:rsidR="003239B8" w:rsidRPr="00A67CC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AA7193" w:rsidRDefault="003239B8" w:rsidP="00490243">
            <w:pPr>
              <w:jc w:val="center"/>
              <w:rPr>
                <w:rFonts w:ascii="Cambria" w:hAnsi="Cambria"/>
                <w:b/>
                <w:bCs/>
                <w:color w:val="FFFFFF" w:themeColor="background1"/>
                <w:sz w:val="20"/>
                <w:szCs w:val="20"/>
                <w:lang w:val="es-VE"/>
              </w:rPr>
            </w:pPr>
            <w:r w:rsidRPr="00AA7193">
              <w:rPr>
                <w:rFonts w:ascii="Cambria" w:hAnsi="Cambria"/>
                <w:b/>
                <w:bCs/>
                <w:color w:val="FFFFFF" w:themeColor="background1"/>
                <w:sz w:val="20"/>
                <w:szCs w:val="20"/>
                <w:lang w:val="es-VE"/>
              </w:rPr>
              <w:t>Competencia</w:t>
            </w:r>
            <w:r w:rsidRPr="00AA7193">
              <w:rPr>
                <w:rFonts w:ascii="Cambria" w:hAnsi="Cambria"/>
                <w:b/>
                <w:bCs/>
                <w:i/>
                <w:color w:val="FFFFFF" w:themeColor="background1"/>
                <w:sz w:val="20"/>
                <w:szCs w:val="20"/>
                <w:lang w:val="es-VE"/>
              </w:rPr>
              <w:t xml:space="preserve"> Ratione materia</w:t>
            </w:r>
            <w:r w:rsidR="00EE00E9" w:rsidRPr="00AA7193">
              <w:rPr>
                <w:rFonts w:ascii="Cambria" w:hAnsi="Cambria"/>
                <w:b/>
                <w:bCs/>
                <w:i/>
                <w:color w:val="FFFFFF" w:themeColor="background1"/>
                <w:sz w:val="20"/>
                <w:szCs w:val="20"/>
                <w:lang w:val="es-VE"/>
              </w:rPr>
              <w:t>e</w:t>
            </w:r>
            <w:r w:rsidRPr="00AA7193">
              <w:rPr>
                <w:rFonts w:ascii="Cambria" w:hAnsi="Cambria"/>
                <w:b/>
                <w:bCs/>
                <w:color w:val="FFFFFF" w:themeColor="background1"/>
                <w:sz w:val="20"/>
                <w:szCs w:val="20"/>
                <w:lang w:val="es-VE"/>
              </w:rPr>
              <w:t>:</w:t>
            </w:r>
          </w:p>
        </w:tc>
        <w:tc>
          <w:tcPr>
            <w:tcW w:w="5760" w:type="dxa"/>
            <w:vAlign w:val="center"/>
          </w:tcPr>
          <w:p w14:paraId="0C122F44" w14:textId="1D652C9E" w:rsidR="003239B8" w:rsidRPr="00AA7193" w:rsidRDefault="00AA7193" w:rsidP="00490243">
            <w:pPr>
              <w:jc w:val="both"/>
              <w:rPr>
                <w:rFonts w:ascii="Cambria" w:hAnsi="Cambria"/>
                <w:bCs/>
                <w:sz w:val="20"/>
                <w:szCs w:val="20"/>
                <w:lang w:val="es-VE"/>
              </w:rPr>
            </w:pPr>
            <w:r>
              <w:rPr>
                <w:rFonts w:ascii="Cambria" w:hAnsi="Cambria"/>
                <w:bCs/>
                <w:sz w:val="20"/>
                <w:szCs w:val="20"/>
                <w:lang w:val="es-VE"/>
              </w:rPr>
              <w:t>Sí, Convención Americana (depósito de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AA7193">
        <w:rPr>
          <w:rFonts w:asciiTheme="majorHAnsi" w:hAnsiTheme="majorHAnsi"/>
          <w:b/>
          <w:bCs/>
          <w:sz w:val="20"/>
          <w:szCs w:val="20"/>
          <w:lang w:val="es-VE"/>
        </w:rPr>
        <w:t xml:space="preserve">IV. </w:t>
      </w:r>
      <w:r w:rsidRPr="00AA7193">
        <w:rPr>
          <w:rFonts w:asciiTheme="majorHAnsi" w:hAnsiTheme="majorHAnsi"/>
          <w:b/>
          <w:bCs/>
          <w:sz w:val="20"/>
          <w:szCs w:val="20"/>
          <w:lang w:val="es-VE"/>
        </w:rPr>
        <w:tab/>
      </w:r>
      <w:r w:rsidR="00EE00E9" w:rsidRPr="00AA7193">
        <w:rPr>
          <w:rFonts w:asciiTheme="majorHAnsi" w:hAnsiTheme="majorHAnsi"/>
          <w:b/>
          <w:bCs/>
          <w:sz w:val="20"/>
          <w:szCs w:val="20"/>
          <w:lang w:val="es-VE"/>
        </w:rPr>
        <w:t>DUPLICACIÓN</w:t>
      </w:r>
      <w:r w:rsidR="00EE00E9" w:rsidRPr="00AA7193">
        <w:rPr>
          <w:rFonts w:asciiTheme="majorHAnsi" w:hAnsiTheme="majorHAnsi"/>
          <w:b/>
          <w:bCs/>
          <w:color w:val="FFFFFF" w:themeColor="background1"/>
          <w:sz w:val="20"/>
          <w:szCs w:val="20"/>
          <w:lang w:val="es-VE"/>
        </w:rPr>
        <w:t xml:space="preserve"> </w:t>
      </w:r>
      <w:r w:rsidR="00EE00E9" w:rsidRPr="00AA7193">
        <w:rPr>
          <w:rFonts w:asciiTheme="majorHAnsi" w:hAnsiTheme="majorHAnsi"/>
          <w:b/>
          <w:bCs/>
          <w:sz w:val="20"/>
          <w:szCs w:val="20"/>
          <w:lang w:val="es-VE"/>
        </w:rPr>
        <w:t>DE PROCEDIMIENTOS Y</w:t>
      </w:r>
      <w:r w:rsidR="00EE00E9" w:rsidRPr="003239B8">
        <w:rPr>
          <w:rFonts w:asciiTheme="majorHAnsi" w:hAnsiTheme="majorHAnsi"/>
          <w:b/>
          <w:bCs/>
          <w:sz w:val="20"/>
          <w:szCs w:val="20"/>
          <w:lang w:val="es-ES"/>
        </w:rPr>
        <w:t xml:space="preserve">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4439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49024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63AF3E9" w:rsidR="00EE00E9" w:rsidRPr="00DC24E3" w:rsidRDefault="00E43357" w:rsidP="00490243">
            <w:pPr>
              <w:jc w:val="both"/>
              <w:rPr>
                <w:rFonts w:ascii="Cambria" w:hAnsi="Cambria"/>
                <w:bCs/>
                <w:sz w:val="20"/>
                <w:szCs w:val="20"/>
                <w:lang w:val="es-ES"/>
              </w:rPr>
            </w:pPr>
            <w:r>
              <w:rPr>
                <w:rFonts w:ascii="Cambria" w:hAnsi="Cambria"/>
                <w:bCs/>
                <w:sz w:val="20"/>
                <w:szCs w:val="20"/>
                <w:lang w:val="es-ES"/>
              </w:rPr>
              <w:t>No</w:t>
            </w:r>
          </w:p>
        </w:tc>
      </w:tr>
      <w:tr w:rsidR="003239B8" w:rsidRPr="00A67CC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351C84" w:rsidRDefault="003239B8" w:rsidP="00490243">
            <w:pPr>
              <w:jc w:val="center"/>
              <w:rPr>
                <w:rFonts w:ascii="Cambria" w:hAnsi="Cambria"/>
                <w:b/>
                <w:bCs/>
                <w:i/>
                <w:color w:val="FFFFFF" w:themeColor="background1"/>
                <w:sz w:val="20"/>
                <w:szCs w:val="20"/>
                <w:lang w:val="es-419"/>
              </w:rPr>
            </w:pPr>
            <w:r w:rsidRPr="00351C84">
              <w:rPr>
                <w:rFonts w:ascii="Cambria" w:hAnsi="Cambria"/>
                <w:b/>
                <w:bCs/>
                <w:color w:val="FFFFFF" w:themeColor="background1"/>
                <w:sz w:val="20"/>
                <w:szCs w:val="20"/>
                <w:lang w:val="es-419"/>
              </w:rPr>
              <w:t>Derechos declarados admisibles</w:t>
            </w:r>
            <w:r w:rsidRPr="00351C84">
              <w:rPr>
                <w:rFonts w:ascii="Cambria" w:hAnsi="Cambria"/>
                <w:b/>
                <w:bCs/>
                <w:i/>
                <w:color w:val="FFFFFF" w:themeColor="background1"/>
                <w:sz w:val="20"/>
                <w:szCs w:val="20"/>
                <w:lang w:val="es-419"/>
              </w:rPr>
              <w:t>:</w:t>
            </w:r>
          </w:p>
        </w:tc>
        <w:tc>
          <w:tcPr>
            <w:tcW w:w="5760" w:type="dxa"/>
            <w:vAlign w:val="center"/>
          </w:tcPr>
          <w:p w14:paraId="6310C8F7" w14:textId="5D938C82" w:rsidR="003239B8" w:rsidRPr="00AC63DE" w:rsidRDefault="00AC63DE" w:rsidP="00490243">
            <w:pPr>
              <w:jc w:val="both"/>
              <w:rPr>
                <w:rFonts w:ascii="Cambria" w:hAnsi="Cambria"/>
                <w:bCs/>
                <w:sz w:val="20"/>
                <w:szCs w:val="20"/>
                <w:lang w:val="es-VE"/>
              </w:rPr>
            </w:pPr>
            <w:r>
              <w:rPr>
                <w:rFonts w:ascii="Cambria" w:hAnsi="Cambria"/>
                <w:bCs/>
                <w:sz w:val="20"/>
                <w:szCs w:val="20"/>
                <w:lang w:val="es-VE"/>
              </w:rPr>
              <w:t>Artículos 4 (derecho a la vida), 5 (derecho a la integridad personal), 8 (garantías judiciales), 19 (derechos del niño)</w:t>
            </w:r>
            <w:r w:rsidR="0065704D">
              <w:rPr>
                <w:rFonts w:ascii="Cambria" w:hAnsi="Cambria"/>
                <w:bCs/>
                <w:sz w:val="20"/>
                <w:szCs w:val="20"/>
                <w:lang w:val="es-VE"/>
              </w:rPr>
              <w:t xml:space="preserve"> </w:t>
            </w:r>
            <w:r>
              <w:rPr>
                <w:rFonts w:ascii="Cambria" w:hAnsi="Cambria"/>
                <w:bCs/>
                <w:sz w:val="20"/>
                <w:szCs w:val="20"/>
                <w:lang w:val="es-VE"/>
              </w:rPr>
              <w:t>y 25 (protección judicial) de la Convención Americana en relación con el artículo 1.1 del mismo instrumento</w:t>
            </w:r>
          </w:p>
        </w:tc>
      </w:tr>
      <w:tr w:rsidR="003239B8" w:rsidRPr="00A67CC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351C84" w:rsidRDefault="003239B8" w:rsidP="00490243">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Agotamiento de recursos internos</w:t>
            </w:r>
            <w:r w:rsidR="00EE00E9" w:rsidRPr="00351C84">
              <w:rPr>
                <w:rFonts w:ascii="Cambria" w:hAnsi="Cambria"/>
                <w:b/>
                <w:bCs/>
                <w:color w:val="FFFFFF" w:themeColor="background1"/>
                <w:sz w:val="20"/>
                <w:szCs w:val="20"/>
                <w:lang w:val="es-419"/>
              </w:rPr>
              <w:t xml:space="preserve"> o procedencia de una excepción</w:t>
            </w:r>
            <w:r w:rsidRPr="00351C84">
              <w:rPr>
                <w:rFonts w:ascii="Cambria" w:hAnsi="Cambria"/>
                <w:b/>
                <w:bCs/>
                <w:color w:val="FFFFFF" w:themeColor="background1"/>
                <w:sz w:val="20"/>
                <w:szCs w:val="20"/>
                <w:lang w:val="es-419"/>
              </w:rPr>
              <w:t>:</w:t>
            </w:r>
          </w:p>
        </w:tc>
        <w:tc>
          <w:tcPr>
            <w:tcW w:w="5760" w:type="dxa"/>
            <w:vAlign w:val="center"/>
          </w:tcPr>
          <w:p w14:paraId="69C53E8A" w14:textId="2A0ECAD4" w:rsidR="003239B8" w:rsidRPr="00E43357" w:rsidRDefault="00E43357" w:rsidP="00490243">
            <w:pPr>
              <w:rPr>
                <w:rFonts w:ascii="Cambria" w:hAnsi="Cambria"/>
                <w:bCs/>
                <w:sz w:val="20"/>
                <w:szCs w:val="20"/>
                <w:lang w:val="es-VE"/>
              </w:rPr>
            </w:pPr>
            <w:r>
              <w:rPr>
                <w:rFonts w:ascii="Cambria" w:hAnsi="Cambria"/>
                <w:bCs/>
                <w:sz w:val="20"/>
                <w:szCs w:val="20"/>
                <w:lang w:val="es-ES"/>
              </w:rPr>
              <w:t>S</w:t>
            </w:r>
            <w:r>
              <w:rPr>
                <w:rFonts w:ascii="Cambria" w:hAnsi="Cambria"/>
                <w:bCs/>
                <w:sz w:val="20"/>
                <w:szCs w:val="20"/>
                <w:lang w:val="es-VE"/>
              </w:rPr>
              <w:t>í, en los términos de la Sección VI</w:t>
            </w:r>
          </w:p>
        </w:tc>
      </w:tr>
      <w:tr w:rsidR="003239B8" w:rsidRPr="00A67CC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351C84" w:rsidRDefault="003239B8" w:rsidP="00490243">
            <w:pPr>
              <w:jc w:val="center"/>
              <w:rPr>
                <w:rFonts w:ascii="Cambria" w:hAnsi="Cambria"/>
                <w:b/>
                <w:bCs/>
                <w:color w:val="FFFFFF" w:themeColor="background1"/>
                <w:sz w:val="20"/>
                <w:szCs w:val="20"/>
                <w:lang w:val="es-419"/>
              </w:rPr>
            </w:pPr>
            <w:r w:rsidRPr="00351C84">
              <w:rPr>
                <w:rFonts w:ascii="Cambria" w:hAnsi="Cambria"/>
                <w:b/>
                <w:bCs/>
                <w:color w:val="FFFFFF" w:themeColor="background1"/>
                <w:sz w:val="20"/>
                <w:szCs w:val="20"/>
                <w:lang w:val="es-419"/>
              </w:rPr>
              <w:t>Presentación dentro de plazo:</w:t>
            </w:r>
          </w:p>
        </w:tc>
        <w:tc>
          <w:tcPr>
            <w:tcW w:w="5760" w:type="dxa"/>
            <w:vAlign w:val="center"/>
          </w:tcPr>
          <w:p w14:paraId="4A2A4569" w14:textId="3318A50B" w:rsidR="003239B8" w:rsidRPr="00E43357" w:rsidRDefault="00E43357" w:rsidP="00490243">
            <w:pPr>
              <w:rPr>
                <w:rFonts w:ascii="Cambria" w:hAnsi="Cambria"/>
                <w:bCs/>
                <w:sz w:val="20"/>
                <w:szCs w:val="20"/>
                <w:lang w:val="es-VE"/>
              </w:rPr>
            </w:pPr>
            <w:r w:rsidRPr="00E43357">
              <w:rPr>
                <w:rFonts w:ascii="Cambria" w:hAnsi="Cambria"/>
                <w:bCs/>
                <w:sz w:val="20"/>
                <w:szCs w:val="20"/>
                <w:lang w:val="es-VE"/>
              </w:rPr>
              <w:t xml:space="preserve">Sí, en los términos de </w:t>
            </w:r>
            <w:r>
              <w:rPr>
                <w:rFonts w:ascii="Cambria" w:hAnsi="Cambria"/>
                <w:bCs/>
                <w:sz w:val="20"/>
                <w:szCs w:val="20"/>
                <w:lang w:val="es-VE"/>
              </w:rPr>
              <w:t>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444BCC9" w14:textId="344DC842" w:rsidR="00F21674" w:rsidRPr="00F21674" w:rsidRDefault="00F21674" w:rsidP="00F216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presente petición </w:t>
      </w:r>
      <w:r w:rsidR="00E43357">
        <w:rPr>
          <w:rFonts w:ascii="Cambria" w:hAnsi="Cambria"/>
          <w:sz w:val="20"/>
          <w:szCs w:val="20"/>
          <w:lang w:val="es-AR"/>
        </w:rPr>
        <w:t xml:space="preserve">reclama la responsabilidad internacional del Estado de Colombia </w:t>
      </w:r>
      <w:r w:rsidR="009C4352">
        <w:rPr>
          <w:rFonts w:ascii="Cambria" w:hAnsi="Cambria"/>
          <w:sz w:val="20"/>
          <w:szCs w:val="20"/>
          <w:lang w:val="es-AR"/>
        </w:rPr>
        <w:t xml:space="preserve">en relación a </w:t>
      </w:r>
      <w:r w:rsidR="00E43357">
        <w:rPr>
          <w:rFonts w:ascii="Cambria" w:hAnsi="Cambria"/>
          <w:sz w:val="20"/>
          <w:szCs w:val="20"/>
          <w:lang w:val="es-AR"/>
        </w:rPr>
        <w:t xml:space="preserve">la muerte violenta </w:t>
      </w:r>
      <w:r>
        <w:rPr>
          <w:rFonts w:ascii="Cambria" w:hAnsi="Cambria"/>
          <w:sz w:val="20"/>
          <w:szCs w:val="20"/>
          <w:lang w:val="es-AR"/>
        </w:rPr>
        <w:t>de</w:t>
      </w:r>
      <w:r w:rsidR="009C4352">
        <w:rPr>
          <w:rFonts w:ascii="Cambria" w:hAnsi="Cambria"/>
          <w:sz w:val="20"/>
          <w:szCs w:val="20"/>
          <w:lang w:val="es-AR"/>
        </w:rPr>
        <w:t xml:space="preserve"> </w:t>
      </w:r>
      <w:r w:rsidR="00F44392">
        <w:rPr>
          <w:rFonts w:ascii="Cambria" w:hAnsi="Cambria"/>
          <w:sz w:val="20"/>
          <w:szCs w:val="20"/>
          <w:lang w:val="es-AR"/>
        </w:rPr>
        <w:t>Víctor</w:t>
      </w:r>
      <w:r>
        <w:rPr>
          <w:rFonts w:ascii="Cambria" w:hAnsi="Cambria"/>
          <w:sz w:val="20"/>
          <w:szCs w:val="20"/>
          <w:lang w:val="es-AR"/>
        </w:rPr>
        <w:t xml:space="preserve"> Hugo Rivas Flor</w:t>
      </w:r>
      <w:r w:rsidR="009C4352">
        <w:rPr>
          <w:rFonts w:ascii="Cambria" w:hAnsi="Cambria"/>
          <w:sz w:val="20"/>
          <w:szCs w:val="20"/>
          <w:lang w:val="es-AR"/>
        </w:rPr>
        <w:t xml:space="preserve">, un niño </w:t>
      </w:r>
      <w:r w:rsidR="00DF1682">
        <w:rPr>
          <w:rFonts w:ascii="Cambria" w:hAnsi="Cambria"/>
          <w:sz w:val="20"/>
          <w:szCs w:val="20"/>
          <w:lang w:val="es-AR"/>
        </w:rPr>
        <w:t>de 17 años de edad</w:t>
      </w:r>
      <w:r w:rsidR="009C4352">
        <w:rPr>
          <w:rFonts w:ascii="Cambria" w:hAnsi="Cambria"/>
          <w:sz w:val="20"/>
          <w:szCs w:val="20"/>
          <w:lang w:val="es-AR"/>
        </w:rPr>
        <w:t>,</w:t>
      </w:r>
      <w:r w:rsidR="00DF1682">
        <w:rPr>
          <w:rFonts w:ascii="Cambria" w:hAnsi="Cambria"/>
          <w:sz w:val="20"/>
          <w:szCs w:val="20"/>
          <w:lang w:val="es-AR"/>
        </w:rPr>
        <w:t xml:space="preserve"> </w:t>
      </w:r>
      <w:r w:rsidR="00F165E1">
        <w:rPr>
          <w:rFonts w:ascii="Cambria" w:hAnsi="Cambria"/>
          <w:sz w:val="20"/>
          <w:szCs w:val="20"/>
          <w:lang w:val="es-AR"/>
        </w:rPr>
        <w:t xml:space="preserve">el 8 de noviembre de 1996 </w:t>
      </w:r>
      <w:r w:rsidR="00DB7E7F">
        <w:rPr>
          <w:rFonts w:ascii="Cambria" w:hAnsi="Cambria"/>
          <w:sz w:val="20"/>
          <w:szCs w:val="20"/>
          <w:lang w:val="es-AR"/>
        </w:rPr>
        <w:t xml:space="preserve">a manos de un agente de la Policía Nacional </w:t>
      </w:r>
      <w:r>
        <w:rPr>
          <w:rFonts w:ascii="Cambria" w:hAnsi="Cambria"/>
          <w:sz w:val="20"/>
          <w:szCs w:val="20"/>
          <w:lang w:val="es-AR"/>
        </w:rPr>
        <w:t xml:space="preserve">en el Corregimiento de Zaragoza del Municipio de Cartago-Valle. </w:t>
      </w:r>
      <w:r w:rsidR="00094B67">
        <w:rPr>
          <w:rFonts w:ascii="Cambria" w:hAnsi="Cambria"/>
          <w:sz w:val="20"/>
          <w:szCs w:val="20"/>
          <w:lang w:val="es-AR"/>
        </w:rPr>
        <w:t xml:space="preserve">La parte peticionaria </w:t>
      </w:r>
      <w:r w:rsidR="001169EB">
        <w:rPr>
          <w:rFonts w:ascii="Cambria" w:hAnsi="Cambria"/>
          <w:sz w:val="20"/>
          <w:szCs w:val="20"/>
          <w:lang w:val="es-AR"/>
        </w:rPr>
        <w:t xml:space="preserve">sostiene que </w:t>
      </w:r>
      <w:r w:rsidR="00094B67">
        <w:rPr>
          <w:rFonts w:ascii="Cambria" w:hAnsi="Cambria"/>
          <w:sz w:val="20"/>
          <w:szCs w:val="20"/>
          <w:lang w:val="es-AR"/>
        </w:rPr>
        <w:t xml:space="preserve">la muerte de la presunta víctima </w:t>
      </w:r>
      <w:r w:rsidR="001169EB">
        <w:rPr>
          <w:rFonts w:ascii="Cambria" w:hAnsi="Cambria"/>
          <w:sz w:val="20"/>
          <w:szCs w:val="20"/>
          <w:lang w:val="es-AR"/>
        </w:rPr>
        <w:t>se mantiene en impunidad</w:t>
      </w:r>
      <w:r w:rsidR="009C4352">
        <w:rPr>
          <w:rFonts w:ascii="Cambria" w:hAnsi="Cambria"/>
          <w:sz w:val="20"/>
          <w:szCs w:val="20"/>
          <w:lang w:val="es-AR"/>
        </w:rPr>
        <w:t xml:space="preserve"> y</w:t>
      </w:r>
      <w:r w:rsidR="00A173DB">
        <w:rPr>
          <w:rFonts w:ascii="Cambria" w:hAnsi="Cambria"/>
          <w:sz w:val="20"/>
          <w:szCs w:val="20"/>
          <w:lang w:val="es-AR"/>
        </w:rPr>
        <w:t xml:space="preserve"> alega que</w:t>
      </w:r>
      <w:r w:rsidR="00E35596">
        <w:rPr>
          <w:rFonts w:ascii="Cambria" w:hAnsi="Cambria"/>
          <w:sz w:val="20"/>
          <w:szCs w:val="20"/>
          <w:lang w:val="es-AR"/>
        </w:rPr>
        <w:t>,</w:t>
      </w:r>
      <w:r w:rsidR="009C4352">
        <w:rPr>
          <w:rFonts w:ascii="Cambria" w:hAnsi="Cambria"/>
          <w:sz w:val="20"/>
          <w:szCs w:val="20"/>
          <w:lang w:val="es-AR"/>
        </w:rPr>
        <w:t xml:space="preserve"> </w:t>
      </w:r>
      <w:r w:rsidR="000C53C1">
        <w:rPr>
          <w:rFonts w:ascii="Cambria" w:hAnsi="Cambria"/>
          <w:sz w:val="20"/>
          <w:szCs w:val="20"/>
          <w:lang w:val="es-AR"/>
        </w:rPr>
        <w:t>a pesar que los hechos constituyen una clara falla del servicio público</w:t>
      </w:r>
      <w:r w:rsidR="009C4352">
        <w:rPr>
          <w:rFonts w:ascii="Cambria" w:hAnsi="Cambria"/>
          <w:sz w:val="20"/>
          <w:szCs w:val="20"/>
          <w:lang w:val="es-AR"/>
        </w:rPr>
        <w:t>, los familiares no han recibido una reparación integral</w:t>
      </w:r>
      <w:r w:rsidR="00DC6A6C">
        <w:rPr>
          <w:rFonts w:ascii="Cambria" w:hAnsi="Cambria"/>
          <w:sz w:val="20"/>
          <w:szCs w:val="20"/>
          <w:lang w:val="es-AR"/>
        </w:rPr>
        <w:t xml:space="preserve"> debido, entre otros elementos, </w:t>
      </w:r>
      <w:r w:rsidR="00AE004B">
        <w:rPr>
          <w:rFonts w:ascii="Cambria" w:hAnsi="Cambria"/>
          <w:sz w:val="20"/>
          <w:szCs w:val="20"/>
          <w:lang w:val="es-AR"/>
        </w:rPr>
        <w:t xml:space="preserve">a </w:t>
      </w:r>
      <w:r w:rsidR="001713E2">
        <w:rPr>
          <w:rFonts w:ascii="Cambria" w:hAnsi="Cambria"/>
          <w:sz w:val="20"/>
          <w:szCs w:val="20"/>
          <w:lang w:val="es-AR"/>
        </w:rPr>
        <w:t>la lentitud en la justicia de la jurisdicción contencios</w:t>
      </w:r>
      <w:r w:rsidR="00AE004B">
        <w:rPr>
          <w:rFonts w:ascii="Cambria" w:hAnsi="Cambria"/>
          <w:sz w:val="20"/>
          <w:szCs w:val="20"/>
          <w:lang w:val="es-AR"/>
        </w:rPr>
        <w:t>o</w:t>
      </w:r>
      <w:r w:rsidR="001713E2">
        <w:rPr>
          <w:rFonts w:ascii="Cambria" w:hAnsi="Cambria"/>
          <w:sz w:val="20"/>
          <w:szCs w:val="20"/>
          <w:lang w:val="es-AR"/>
        </w:rPr>
        <w:t xml:space="preserve"> administrativa</w:t>
      </w:r>
      <w:r w:rsidR="00DC6A6C">
        <w:rPr>
          <w:rFonts w:ascii="Cambria" w:hAnsi="Cambria"/>
          <w:sz w:val="20"/>
          <w:szCs w:val="20"/>
          <w:lang w:val="es-AR"/>
        </w:rPr>
        <w:t>.</w:t>
      </w:r>
    </w:p>
    <w:p w14:paraId="7D301A16" w14:textId="67895F55" w:rsidR="001713E2" w:rsidRPr="00A4123C" w:rsidRDefault="006457E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w:t>
      </w:r>
      <w:r w:rsidR="00094B67">
        <w:rPr>
          <w:rFonts w:ascii="Cambria" w:hAnsi="Cambria"/>
          <w:sz w:val="20"/>
          <w:szCs w:val="20"/>
          <w:lang w:val="es-AR"/>
        </w:rPr>
        <w:t xml:space="preserve">a parte peticionaria describe que </w:t>
      </w:r>
      <w:r w:rsidR="00BD6C28">
        <w:rPr>
          <w:rFonts w:ascii="Cambria" w:hAnsi="Cambria"/>
          <w:sz w:val="20"/>
          <w:szCs w:val="20"/>
          <w:lang w:val="es-AR"/>
        </w:rPr>
        <w:t xml:space="preserve">el </w:t>
      </w:r>
      <w:r w:rsidR="00094B67">
        <w:rPr>
          <w:rFonts w:ascii="Cambria" w:hAnsi="Cambria"/>
          <w:sz w:val="20"/>
          <w:szCs w:val="20"/>
          <w:lang w:val="es-AR"/>
        </w:rPr>
        <w:t xml:space="preserve">8 de noviembre de 1996 </w:t>
      </w:r>
      <w:r w:rsidR="00F21674">
        <w:rPr>
          <w:rFonts w:ascii="Cambria" w:hAnsi="Cambria"/>
          <w:sz w:val="20"/>
          <w:szCs w:val="20"/>
          <w:lang w:val="es-AR"/>
        </w:rPr>
        <w:t>agentes</w:t>
      </w:r>
      <w:r w:rsidR="00094B67">
        <w:rPr>
          <w:rFonts w:ascii="Cambria" w:hAnsi="Cambria"/>
          <w:sz w:val="20"/>
          <w:szCs w:val="20"/>
          <w:lang w:val="es-AR"/>
        </w:rPr>
        <w:t xml:space="preserve"> de</w:t>
      </w:r>
      <w:r w:rsidR="00C8541E">
        <w:rPr>
          <w:rFonts w:ascii="Cambria" w:hAnsi="Cambria"/>
          <w:sz w:val="20"/>
          <w:szCs w:val="20"/>
          <w:lang w:val="es-AR"/>
        </w:rPr>
        <w:t xml:space="preserve"> la</w:t>
      </w:r>
      <w:r w:rsidR="00094B67">
        <w:rPr>
          <w:rFonts w:ascii="Cambria" w:hAnsi="Cambria"/>
          <w:sz w:val="20"/>
          <w:szCs w:val="20"/>
          <w:lang w:val="es-AR"/>
        </w:rPr>
        <w:t xml:space="preserve"> policía</w:t>
      </w:r>
      <w:r w:rsidR="00DB7E7F">
        <w:rPr>
          <w:rFonts w:ascii="Cambria" w:hAnsi="Cambria"/>
          <w:sz w:val="20"/>
          <w:szCs w:val="20"/>
          <w:lang w:val="es-AR"/>
        </w:rPr>
        <w:t xml:space="preserve"> nacional</w:t>
      </w:r>
      <w:r w:rsidR="00094B67">
        <w:rPr>
          <w:rFonts w:ascii="Cambria" w:hAnsi="Cambria"/>
          <w:sz w:val="20"/>
          <w:szCs w:val="20"/>
          <w:lang w:val="es-AR"/>
        </w:rPr>
        <w:t xml:space="preserve"> </w:t>
      </w:r>
      <w:r w:rsidR="004A61D2">
        <w:rPr>
          <w:rFonts w:ascii="Cambria" w:hAnsi="Cambria"/>
          <w:sz w:val="20"/>
          <w:szCs w:val="20"/>
          <w:lang w:val="es-AR"/>
        </w:rPr>
        <w:t>del corregimiento de Zaragoza</w:t>
      </w:r>
      <w:r w:rsidR="00F21674">
        <w:rPr>
          <w:rFonts w:ascii="Cambria" w:hAnsi="Cambria"/>
          <w:sz w:val="20"/>
          <w:szCs w:val="20"/>
          <w:lang w:val="es-AR"/>
        </w:rPr>
        <w:t xml:space="preserve"> </w:t>
      </w:r>
      <w:r w:rsidR="00094B67">
        <w:rPr>
          <w:rFonts w:ascii="Cambria" w:hAnsi="Cambria"/>
          <w:sz w:val="20"/>
          <w:szCs w:val="20"/>
          <w:lang w:val="es-AR"/>
        </w:rPr>
        <w:t xml:space="preserve">Municipio de Cartago Valle </w:t>
      </w:r>
      <w:r w:rsidR="00F21674">
        <w:rPr>
          <w:rFonts w:ascii="Cambria" w:hAnsi="Cambria"/>
          <w:sz w:val="20"/>
          <w:szCs w:val="20"/>
          <w:lang w:val="es-AR"/>
        </w:rPr>
        <w:t xml:space="preserve">celebraban </w:t>
      </w:r>
      <w:r w:rsidR="00094B67">
        <w:rPr>
          <w:rFonts w:ascii="Cambria" w:hAnsi="Cambria"/>
          <w:sz w:val="20"/>
          <w:szCs w:val="20"/>
          <w:lang w:val="es-AR"/>
        </w:rPr>
        <w:t xml:space="preserve">con bebidas alcohólicas </w:t>
      </w:r>
      <w:r w:rsidR="00F21674">
        <w:rPr>
          <w:rFonts w:ascii="Cambria" w:hAnsi="Cambria"/>
          <w:sz w:val="20"/>
          <w:szCs w:val="20"/>
          <w:lang w:val="es-AR"/>
        </w:rPr>
        <w:t xml:space="preserve">el natalicio de </w:t>
      </w:r>
      <w:r w:rsidR="00DB7E7F">
        <w:rPr>
          <w:rFonts w:ascii="Cambria" w:hAnsi="Cambria"/>
          <w:sz w:val="20"/>
          <w:szCs w:val="20"/>
          <w:lang w:val="es-AR"/>
        </w:rPr>
        <w:t>dicha institución</w:t>
      </w:r>
      <w:r w:rsidR="00094B67">
        <w:rPr>
          <w:rFonts w:ascii="Cambria" w:hAnsi="Cambria"/>
          <w:sz w:val="20"/>
          <w:szCs w:val="20"/>
          <w:lang w:val="es-AR"/>
        </w:rPr>
        <w:t>.</w:t>
      </w:r>
      <w:r>
        <w:rPr>
          <w:rFonts w:ascii="Cambria" w:hAnsi="Cambria"/>
          <w:sz w:val="20"/>
          <w:szCs w:val="20"/>
          <w:lang w:val="es-AR"/>
        </w:rPr>
        <w:t xml:space="preserve"> </w:t>
      </w:r>
      <w:r w:rsidR="00BD6C28">
        <w:rPr>
          <w:rFonts w:ascii="Cambria" w:hAnsi="Cambria"/>
          <w:sz w:val="20"/>
          <w:szCs w:val="20"/>
          <w:lang w:val="es-AR"/>
        </w:rPr>
        <w:t>A</w:t>
      </w:r>
      <w:r w:rsidR="00094B67">
        <w:rPr>
          <w:rFonts w:ascii="Cambria" w:hAnsi="Cambria"/>
          <w:sz w:val="20"/>
          <w:szCs w:val="20"/>
          <w:lang w:val="es-AR"/>
        </w:rPr>
        <w:t xml:space="preserve">lega que </w:t>
      </w:r>
      <w:r w:rsidR="001713E2">
        <w:rPr>
          <w:rFonts w:ascii="Cambria" w:hAnsi="Cambria"/>
          <w:sz w:val="20"/>
          <w:szCs w:val="20"/>
          <w:lang w:val="es-AR"/>
        </w:rPr>
        <w:t xml:space="preserve">durante </w:t>
      </w:r>
      <w:r w:rsidR="00A173DB">
        <w:rPr>
          <w:rFonts w:ascii="Cambria" w:hAnsi="Cambria"/>
          <w:sz w:val="20"/>
          <w:szCs w:val="20"/>
          <w:lang w:val="es-AR"/>
        </w:rPr>
        <w:t xml:space="preserve">esa </w:t>
      </w:r>
      <w:r w:rsidR="001713E2">
        <w:rPr>
          <w:rFonts w:ascii="Cambria" w:hAnsi="Cambria"/>
          <w:sz w:val="20"/>
          <w:szCs w:val="20"/>
          <w:lang w:val="es-AR"/>
        </w:rPr>
        <w:t xml:space="preserve">noche </w:t>
      </w:r>
      <w:r w:rsidR="00094B67">
        <w:rPr>
          <w:rFonts w:ascii="Cambria" w:hAnsi="Cambria"/>
          <w:sz w:val="20"/>
          <w:szCs w:val="20"/>
          <w:lang w:val="es-AR"/>
        </w:rPr>
        <w:t>e</w:t>
      </w:r>
      <w:r w:rsidR="00094B67" w:rsidRPr="0082410E">
        <w:rPr>
          <w:rFonts w:ascii="Cambria" w:hAnsi="Cambria"/>
          <w:sz w:val="20"/>
          <w:szCs w:val="20"/>
          <w:lang w:val="es-AR"/>
        </w:rPr>
        <w:t xml:space="preserve">l </w:t>
      </w:r>
      <w:r w:rsidR="003D4D80" w:rsidRPr="0082410E">
        <w:rPr>
          <w:rFonts w:ascii="Cambria" w:hAnsi="Cambria"/>
          <w:sz w:val="20"/>
          <w:szCs w:val="20"/>
          <w:lang w:val="es-AR"/>
        </w:rPr>
        <w:t>comandante</w:t>
      </w:r>
      <w:r w:rsidR="00094B67" w:rsidRPr="0082410E">
        <w:rPr>
          <w:rFonts w:ascii="Cambria" w:hAnsi="Cambria"/>
          <w:sz w:val="20"/>
          <w:szCs w:val="20"/>
          <w:lang w:val="es-AR"/>
        </w:rPr>
        <w:t xml:space="preserve"> de </w:t>
      </w:r>
      <w:r w:rsidR="00094B67">
        <w:rPr>
          <w:rFonts w:ascii="Cambria" w:hAnsi="Cambria"/>
          <w:sz w:val="20"/>
          <w:szCs w:val="20"/>
          <w:lang w:val="es-AR"/>
        </w:rPr>
        <w:t xml:space="preserve">la </w:t>
      </w:r>
      <w:r w:rsidR="00A173DB">
        <w:rPr>
          <w:rFonts w:ascii="Cambria" w:hAnsi="Cambria"/>
          <w:sz w:val="20"/>
          <w:szCs w:val="20"/>
          <w:lang w:val="es-AR"/>
        </w:rPr>
        <w:t>p</w:t>
      </w:r>
      <w:r w:rsidR="00094B67" w:rsidRPr="0082410E">
        <w:rPr>
          <w:rFonts w:ascii="Cambria" w:hAnsi="Cambria"/>
          <w:sz w:val="20"/>
          <w:szCs w:val="20"/>
          <w:lang w:val="es-AR"/>
        </w:rPr>
        <w:t>olicía</w:t>
      </w:r>
      <w:r w:rsidR="00DB7E7F">
        <w:rPr>
          <w:rFonts w:ascii="Cambria" w:hAnsi="Cambria"/>
          <w:sz w:val="20"/>
          <w:szCs w:val="20"/>
          <w:lang w:val="es-AR"/>
        </w:rPr>
        <w:t xml:space="preserve"> al pasar revista de seguridad interna en la noche, </w:t>
      </w:r>
      <w:r w:rsidR="00094B67" w:rsidRPr="0082410E">
        <w:rPr>
          <w:rFonts w:ascii="Cambria" w:hAnsi="Cambria"/>
          <w:sz w:val="20"/>
          <w:szCs w:val="20"/>
          <w:lang w:val="es-AR"/>
        </w:rPr>
        <w:t xml:space="preserve">le dio la orden al </w:t>
      </w:r>
      <w:r w:rsidR="003D4D80">
        <w:rPr>
          <w:rFonts w:ascii="Cambria" w:hAnsi="Cambria"/>
          <w:sz w:val="20"/>
          <w:szCs w:val="20"/>
          <w:lang w:val="es-AR"/>
        </w:rPr>
        <w:t>a</w:t>
      </w:r>
      <w:r w:rsidR="00094B67" w:rsidRPr="0082410E">
        <w:rPr>
          <w:rFonts w:ascii="Cambria" w:hAnsi="Cambria"/>
          <w:sz w:val="20"/>
          <w:szCs w:val="20"/>
          <w:lang w:val="es-AR"/>
        </w:rPr>
        <w:t xml:space="preserve">gente Wilfrido Moreno Osorio, </w:t>
      </w:r>
      <w:r w:rsidR="003D4D80">
        <w:rPr>
          <w:rFonts w:ascii="Cambria" w:hAnsi="Cambria"/>
          <w:sz w:val="20"/>
          <w:szCs w:val="20"/>
          <w:lang w:val="es-AR"/>
        </w:rPr>
        <w:t>de retirarse, cambiarse a ropa de civil e irse a su vivienda</w:t>
      </w:r>
      <w:r w:rsidR="00DB7E7F">
        <w:rPr>
          <w:rFonts w:ascii="Cambria" w:hAnsi="Cambria"/>
          <w:sz w:val="20"/>
          <w:szCs w:val="20"/>
          <w:lang w:val="es-AR"/>
        </w:rPr>
        <w:t xml:space="preserve"> </w:t>
      </w:r>
      <w:r w:rsidR="003D4D80">
        <w:rPr>
          <w:rFonts w:ascii="Cambria" w:hAnsi="Cambria"/>
          <w:sz w:val="20"/>
          <w:szCs w:val="20"/>
          <w:lang w:val="es-AR"/>
        </w:rPr>
        <w:t xml:space="preserve">en </w:t>
      </w:r>
      <w:r w:rsidR="001713E2">
        <w:rPr>
          <w:rFonts w:ascii="Cambria" w:hAnsi="Cambria"/>
          <w:sz w:val="20"/>
          <w:szCs w:val="20"/>
          <w:lang w:val="es-AR"/>
        </w:rPr>
        <w:t xml:space="preserve">tanto </w:t>
      </w:r>
      <w:r w:rsidR="00094B67" w:rsidRPr="0082410E">
        <w:rPr>
          <w:rFonts w:ascii="Cambria" w:hAnsi="Cambria"/>
          <w:sz w:val="20"/>
          <w:szCs w:val="20"/>
          <w:lang w:val="es-AR"/>
        </w:rPr>
        <w:t>no pod</w:t>
      </w:r>
      <w:r w:rsidR="003D4D80">
        <w:rPr>
          <w:rFonts w:ascii="Cambria" w:hAnsi="Cambria"/>
          <w:sz w:val="20"/>
          <w:szCs w:val="20"/>
          <w:lang w:val="es-AR"/>
        </w:rPr>
        <w:t>í</w:t>
      </w:r>
      <w:r w:rsidR="00094B67" w:rsidRPr="0082410E">
        <w:rPr>
          <w:rFonts w:ascii="Cambria" w:hAnsi="Cambria"/>
          <w:sz w:val="20"/>
          <w:szCs w:val="20"/>
          <w:lang w:val="es-AR"/>
        </w:rPr>
        <w:t>a continuar prestando el servicio policial</w:t>
      </w:r>
      <w:r w:rsidR="001713E2">
        <w:rPr>
          <w:rFonts w:ascii="Cambria" w:hAnsi="Cambria"/>
          <w:sz w:val="20"/>
          <w:szCs w:val="20"/>
          <w:lang w:val="es-AR"/>
        </w:rPr>
        <w:t xml:space="preserve"> por su condición </w:t>
      </w:r>
      <w:r w:rsidR="001713E2" w:rsidRPr="0082410E">
        <w:rPr>
          <w:rFonts w:ascii="Cambria" w:hAnsi="Cambria"/>
          <w:sz w:val="20"/>
          <w:szCs w:val="20"/>
          <w:lang w:val="es-AR"/>
        </w:rPr>
        <w:t>de alicoramiento</w:t>
      </w:r>
      <w:r w:rsidR="003D4D80">
        <w:rPr>
          <w:rFonts w:ascii="Cambria" w:hAnsi="Cambria"/>
          <w:sz w:val="20"/>
          <w:szCs w:val="20"/>
          <w:lang w:val="es-AR"/>
        </w:rPr>
        <w:t xml:space="preserve">. </w:t>
      </w:r>
      <w:r w:rsidR="001713E2">
        <w:rPr>
          <w:rFonts w:ascii="Cambria" w:hAnsi="Cambria"/>
          <w:sz w:val="20"/>
          <w:szCs w:val="20"/>
          <w:lang w:val="es-AR"/>
        </w:rPr>
        <w:t>S</w:t>
      </w:r>
      <w:r>
        <w:rPr>
          <w:rFonts w:ascii="Cambria" w:hAnsi="Cambria"/>
          <w:sz w:val="20"/>
          <w:szCs w:val="20"/>
          <w:lang w:val="es-AR"/>
        </w:rPr>
        <w:t xml:space="preserve">ostiene que </w:t>
      </w:r>
      <w:r w:rsidR="00DB7E7F">
        <w:rPr>
          <w:rFonts w:ascii="Cambria" w:hAnsi="Cambria"/>
          <w:sz w:val="20"/>
          <w:szCs w:val="20"/>
          <w:lang w:val="es-AR"/>
        </w:rPr>
        <w:t>posteriormente</w:t>
      </w:r>
      <w:r w:rsidR="00094B67">
        <w:rPr>
          <w:rFonts w:ascii="Cambria" w:hAnsi="Cambria"/>
          <w:sz w:val="20"/>
          <w:szCs w:val="20"/>
          <w:lang w:val="es-AR"/>
        </w:rPr>
        <w:t xml:space="preserve"> el </w:t>
      </w:r>
      <w:r w:rsidR="003D4D80">
        <w:rPr>
          <w:rFonts w:ascii="Cambria" w:hAnsi="Cambria"/>
          <w:sz w:val="20"/>
          <w:szCs w:val="20"/>
          <w:lang w:val="es-AR"/>
        </w:rPr>
        <w:t xml:space="preserve">mencionado </w:t>
      </w:r>
      <w:r w:rsidR="00094B67">
        <w:rPr>
          <w:rFonts w:ascii="Cambria" w:hAnsi="Cambria"/>
          <w:sz w:val="20"/>
          <w:szCs w:val="20"/>
          <w:lang w:val="es-AR"/>
        </w:rPr>
        <w:t>agente</w:t>
      </w:r>
      <w:r>
        <w:rPr>
          <w:rFonts w:ascii="Cambria" w:hAnsi="Cambria"/>
          <w:sz w:val="20"/>
          <w:szCs w:val="20"/>
          <w:lang w:val="es-AR"/>
        </w:rPr>
        <w:t xml:space="preserve"> </w:t>
      </w:r>
      <w:r w:rsidR="003D4D80">
        <w:rPr>
          <w:rFonts w:ascii="Cambria" w:hAnsi="Cambria"/>
          <w:sz w:val="20"/>
          <w:szCs w:val="20"/>
          <w:lang w:val="es-AR"/>
        </w:rPr>
        <w:t xml:space="preserve">sacó </w:t>
      </w:r>
      <w:r w:rsidR="001713E2">
        <w:rPr>
          <w:rFonts w:ascii="Cambria" w:hAnsi="Cambria"/>
          <w:sz w:val="20"/>
          <w:szCs w:val="20"/>
          <w:lang w:val="es-AR"/>
        </w:rPr>
        <w:t xml:space="preserve">un </w:t>
      </w:r>
      <w:r w:rsidR="003D4D80">
        <w:rPr>
          <w:rFonts w:ascii="Cambria" w:hAnsi="Cambria"/>
          <w:sz w:val="20"/>
          <w:szCs w:val="20"/>
          <w:lang w:val="es-AR"/>
        </w:rPr>
        <w:t>arma</w:t>
      </w:r>
      <w:r w:rsidR="001713E2">
        <w:rPr>
          <w:rFonts w:ascii="Cambria" w:hAnsi="Cambria"/>
          <w:sz w:val="20"/>
          <w:szCs w:val="20"/>
          <w:lang w:val="es-AR"/>
        </w:rPr>
        <w:t xml:space="preserve"> </w:t>
      </w:r>
      <w:r w:rsidR="00751F91">
        <w:rPr>
          <w:rFonts w:ascii="Cambria" w:hAnsi="Cambria"/>
          <w:sz w:val="20"/>
          <w:szCs w:val="20"/>
          <w:lang w:val="es-AR"/>
        </w:rPr>
        <w:t xml:space="preserve">de </w:t>
      </w:r>
      <w:r w:rsidR="001713E2">
        <w:rPr>
          <w:rFonts w:ascii="Cambria" w:hAnsi="Cambria"/>
          <w:sz w:val="20"/>
          <w:szCs w:val="20"/>
          <w:lang w:val="es-AR"/>
        </w:rPr>
        <w:t>su propiedad</w:t>
      </w:r>
      <w:r w:rsidR="003D4D80">
        <w:rPr>
          <w:rFonts w:ascii="Cambria" w:hAnsi="Cambria"/>
          <w:sz w:val="20"/>
          <w:szCs w:val="20"/>
          <w:lang w:val="es-AR"/>
        </w:rPr>
        <w:t xml:space="preserve"> </w:t>
      </w:r>
      <w:r w:rsidR="00751F91">
        <w:rPr>
          <w:rFonts w:ascii="Cambria" w:hAnsi="Cambria"/>
          <w:sz w:val="20"/>
          <w:szCs w:val="20"/>
          <w:lang w:val="es-AR"/>
        </w:rPr>
        <w:t>en las cercanías de las instalaciones</w:t>
      </w:r>
      <w:r w:rsidR="00751F91" w:rsidRPr="00A4123C">
        <w:rPr>
          <w:rFonts w:ascii="Cambria" w:hAnsi="Cambria"/>
          <w:sz w:val="20"/>
          <w:szCs w:val="20"/>
          <w:lang w:val="es-AR"/>
        </w:rPr>
        <w:t xml:space="preserve"> de la policía </w:t>
      </w:r>
      <w:r w:rsidR="003D4D80" w:rsidRPr="00A4123C">
        <w:rPr>
          <w:rFonts w:ascii="Cambria" w:hAnsi="Cambria"/>
          <w:sz w:val="20"/>
          <w:szCs w:val="20"/>
          <w:lang w:val="es-AR"/>
        </w:rPr>
        <w:t>y le disparó a un perro</w:t>
      </w:r>
      <w:r w:rsidRPr="00A4123C">
        <w:rPr>
          <w:rFonts w:ascii="Cambria" w:hAnsi="Cambria"/>
          <w:sz w:val="20"/>
          <w:szCs w:val="20"/>
          <w:lang w:val="es-AR"/>
        </w:rPr>
        <w:t xml:space="preserve">, </w:t>
      </w:r>
      <w:r w:rsidR="00F21674" w:rsidRPr="00A4123C">
        <w:rPr>
          <w:rFonts w:ascii="Cambria" w:hAnsi="Cambria"/>
          <w:sz w:val="20"/>
          <w:szCs w:val="20"/>
          <w:lang w:val="es-AR"/>
        </w:rPr>
        <w:t xml:space="preserve">razón por la cual </w:t>
      </w:r>
      <w:r w:rsidR="003D4D80" w:rsidRPr="00A4123C">
        <w:rPr>
          <w:rFonts w:ascii="Cambria" w:hAnsi="Cambria"/>
          <w:sz w:val="20"/>
          <w:szCs w:val="20"/>
          <w:lang w:val="es-AR"/>
        </w:rPr>
        <w:t>Víctor</w:t>
      </w:r>
      <w:r w:rsidR="00F21674" w:rsidRPr="00A4123C">
        <w:rPr>
          <w:rFonts w:ascii="Cambria" w:hAnsi="Cambria"/>
          <w:sz w:val="20"/>
          <w:szCs w:val="20"/>
          <w:lang w:val="es-AR"/>
        </w:rPr>
        <w:t xml:space="preserve"> Hugo Rivas y su amigo</w:t>
      </w:r>
      <w:r w:rsidRPr="00A4123C">
        <w:rPr>
          <w:rFonts w:ascii="Cambria" w:hAnsi="Cambria"/>
          <w:sz w:val="20"/>
          <w:szCs w:val="20"/>
          <w:lang w:val="es-AR"/>
        </w:rPr>
        <w:t xml:space="preserve"> Jhonier Ramírez Rojas</w:t>
      </w:r>
      <w:r w:rsidR="00F21674" w:rsidRPr="00A4123C">
        <w:rPr>
          <w:rFonts w:ascii="Cambria" w:hAnsi="Cambria"/>
          <w:sz w:val="20"/>
          <w:szCs w:val="20"/>
          <w:lang w:val="es-AR"/>
        </w:rPr>
        <w:t xml:space="preserve"> le reclamaron. </w:t>
      </w:r>
      <w:r w:rsidR="003D4D80" w:rsidRPr="00A4123C">
        <w:rPr>
          <w:rFonts w:ascii="Cambria" w:hAnsi="Cambria"/>
          <w:sz w:val="20"/>
          <w:szCs w:val="20"/>
          <w:lang w:val="es-AR"/>
        </w:rPr>
        <w:t>Explica que s</w:t>
      </w:r>
      <w:r w:rsidR="00F21674" w:rsidRPr="00A4123C">
        <w:rPr>
          <w:rFonts w:ascii="Cambria" w:hAnsi="Cambria"/>
          <w:sz w:val="20"/>
          <w:szCs w:val="20"/>
          <w:lang w:val="es-AR"/>
        </w:rPr>
        <w:t xml:space="preserve">eguidamente, el policía disparó </w:t>
      </w:r>
      <w:r w:rsidR="00DF1682" w:rsidRPr="00A4123C">
        <w:rPr>
          <w:rFonts w:ascii="Cambria" w:hAnsi="Cambria"/>
          <w:sz w:val="20"/>
          <w:szCs w:val="20"/>
          <w:lang w:val="es-AR"/>
        </w:rPr>
        <w:t xml:space="preserve">4 veces </w:t>
      </w:r>
      <w:r w:rsidR="005C66D5" w:rsidRPr="00A4123C">
        <w:rPr>
          <w:rFonts w:ascii="Cambria" w:hAnsi="Cambria"/>
          <w:sz w:val="20"/>
          <w:szCs w:val="20"/>
          <w:lang w:val="es-AR"/>
        </w:rPr>
        <w:t xml:space="preserve">hiriéndolos </w:t>
      </w:r>
      <w:r w:rsidRPr="00A4123C">
        <w:rPr>
          <w:rFonts w:ascii="Cambria" w:hAnsi="Cambria"/>
          <w:sz w:val="20"/>
          <w:szCs w:val="20"/>
          <w:lang w:val="es-AR"/>
        </w:rPr>
        <w:t>por lo cual fueron trasladados a un centro médico</w:t>
      </w:r>
      <w:r w:rsidR="005C66D5" w:rsidRPr="00A4123C">
        <w:rPr>
          <w:rFonts w:ascii="Cambria" w:hAnsi="Cambria"/>
          <w:sz w:val="20"/>
          <w:szCs w:val="20"/>
          <w:lang w:val="es-AR"/>
        </w:rPr>
        <w:t xml:space="preserve"> donde falleció Víctor Hugo Rivas</w:t>
      </w:r>
      <w:r w:rsidR="00F21674" w:rsidRPr="00A4123C">
        <w:rPr>
          <w:rFonts w:ascii="Cambria" w:hAnsi="Cambria"/>
          <w:sz w:val="20"/>
          <w:szCs w:val="20"/>
          <w:lang w:val="es-AR"/>
        </w:rPr>
        <w:t xml:space="preserve">. </w:t>
      </w:r>
      <w:r w:rsidR="0059065D" w:rsidRPr="00A4123C">
        <w:rPr>
          <w:rFonts w:ascii="Cambria" w:hAnsi="Cambria"/>
          <w:sz w:val="20"/>
          <w:szCs w:val="20"/>
          <w:lang w:val="es-AR"/>
        </w:rPr>
        <w:t>Alega que otro agente policial Edison Londoño Franco a pesar de haber visto los hechos hizo caso omiso en auxiliar a los niños</w:t>
      </w:r>
      <w:r w:rsidR="005C66D5" w:rsidRPr="00A4123C">
        <w:rPr>
          <w:rFonts w:ascii="Cambria" w:hAnsi="Cambria"/>
          <w:sz w:val="20"/>
          <w:szCs w:val="20"/>
          <w:lang w:val="es-AR"/>
        </w:rPr>
        <w:t xml:space="preserve">, sin </w:t>
      </w:r>
      <w:r w:rsidR="00101204" w:rsidRPr="00A4123C">
        <w:rPr>
          <w:rFonts w:ascii="Cambria" w:hAnsi="Cambria"/>
          <w:sz w:val="20"/>
          <w:szCs w:val="20"/>
          <w:lang w:val="es-AR"/>
        </w:rPr>
        <w:t>embargo,</w:t>
      </w:r>
      <w:r w:rsidR="005C66D5" w:rsidRPr="00A4123C">
        <w:rPr>
          <w:rFonts w:ascii="Cambria" w:hAnsi="Cambria"/>
          <w:sz w:val="20"/>
          <w:szCs w:val="20"/>
          <w:lang w:val="es-AR"/>
        </w:rPr>
        <w:t xml:space="preserve"> días después denunció los hechos a sus superiores</w:t>
      </w:r>
      <w:r w:rsidR="00101204" w:rsidRPr="00A4123C">
        <w:rPr>
          <w:rFonts w:ascii="Cambria" w:hAnsi="Cambria"/>
          <w:sz w:val="20"/>
          <w:szCs w:val="20"/>
          <w:lang w:val="es-AR"/>
        </w:rPr>
        <w:t xml:space="preserve"> </w:t>
      </w:r>
      <w:r w:rsidR="001713E2" w:rsidRPr="00A4123C">
        <w:rPr>
          <w:rFonts w:ascii="Cambria" w:hAnsi="Cambria"/>
          <w:sz w:val="20"/>
          <w:szCs w:val="20"/>
          <w:lang w:val="es-AR"/>
        </w:rPr>
        <w:t xml:space="preserve">al conocer de </w:t>
      </w:r>
      <w:r w:rsidR="00101204" w:rsidRPr="00A4123C">
        <w:rPr>
          <w:rFonts w:ascii="Cambria" w:hAnsi="Cambria"/>
          <w:sz w:val="20"/>
          <w:szCs w:val="20"/>
          <w:lang w:val="es-AR"/>
        </w:rPr>
        <w:t>rumores que él había estado involucrado en los hechos violentos</w:t>
      </w:r>
      <w:r w:rsidR="0059065D" w:rsidRPr="00A4123C">
        <w:rPr>
          <w:rFonts w:ascii="Cambria" w:hAnsi="Cambria"/>
          <w:sz w:val="20"/>
          <w:szCs w:val="20"/>
          <w:lang w:val="es-AR"/>
        </w:rPr>
        <w:t>.</w:t>
      </w:r>
      <w:r w:rsidR="000C53C1" w:rsidRPr="00A4123C">
        <w:rPr>
          <w:rFonts w:ascii="Cambria" w:hAnsi="Cambria"/>
          <w:sz w:val="20"/>
          <w:szCs w:val="20"/>
          <w:lang w:val="es-AR"/>
        </w:rPr>
        <w:t xml:space="preserve"> </w:t>
      </w:r>
    </w:p>
    <w:p w14:paraId="435042CE" w14:textId="089B8FCE" w:rsidR="003D6482" w:rsidRPr="00A4123C" w:rsidRDefault="000C53C1" w:rsidP="00002E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VE"/>
        </w:rPr>
      </w:pPr>
      <w:r w:rsidRPr="00A4123C">
        <w:rPr>
          <w:rFonts w:ascii="Cambria" w:hAnsi="Cambria"/>
          <w:sz w:val="20"/>
          <w:szCs w:val="20"/>
          <w:lang w:val="es-AR"/>
        </w:rPr>
        <w:t xml:space="preserve">Alega que el agente </w:t>
      </w:r>
      <w:r w:rsidR="001713E2" w:rsidRPr="00A4123C">
        <w:rPr>
          <w:rFonts w:ascii="Cambria" w:hAnsi="Cambria"/>
          <w:sz w:val="20"/>
          <w:szCs w:val="20"/>
          <w:lang w:val="es-AR"/>
        </w:rPr>
        <w:t>Wilfrido M</w:t>
      </w:r>
      <w:r w:rsidRPr="00A4123C">
        <w:rPr>
          <w:rFonts w:ascii="Cambria" w:hAnsi="Cambria"/>
          <w:sz w:val="20"/>
          <w:szCs w:val="20"/>
          <w:lang w:val="es-AR"/>
        </w:rPr>
        <w:t xml:space="preserve">oreno Osorio </w:t>
      </w:r>
      <w:r w:rsidR="001713E2" w:rsidRPr="00A4123C">
        <w:rPr>
          <w:rFonts w:ascii="Cambria" w:hAnsi="Cambria"/>
          <w:sz w:val="20"/>
          <w:szCs w:val="20"/>
          <w:lang w:val="es-AR"/>
        </w:rPr>
        <w:t xml:space="preserve">fue </w:t>
      </w:r>
      <w:r w:rsidRPr="00A4123C">
        <w:rPr>
          <w:rFonts w:ascii="Cambria" w:hAnsi="Cambria"/>
          <w:sz w:val="20"/>
          <w:szCs w:val="20"/>
          <w:lang w:val="es-AR"/>
        </w:rPr>
        <w:t xml:space="preserve">detenido en la cárcel piloto en Cali por tres </w:t>
      </w:r>
      <w:r w:rsidR="001713E2" w:rsidRPr="00A4123C">
        <w:rPr>
          <w:rFonts w:ascii="Cambria" w:hAnsi="Cambria"/>
          <w:sz w:val="20"/>
          <w:szCs w:val="20"/>
          <w:lang w:val="es-AR"/>
        </w:rPr>
        <w:t>meses desde el 20 de noviembre de 1996,</w:t>
      </w:r>
      <w:r w:rsidRPr="00A4123C">
        <w:rPr>
          <w:rFonts w:ascii="Cambria" w:hAnsi="Cambria"/>
          <w:sz w:val="20"/>
          <w:szCs w:val="20"/>
          <w:lang w:val="es-AR"/>
        </w:rPr>
        <w:t xml:space="preserve"> </w:t>
      </w:r>
      <w:r w:rsidR="0086347B" w:rsidRPr="00A4123C">
        <w:rPr>
          <w:rFonts w:ascii="Cambria" w:hAnsi="Cambria"/>
          <w:sz w:val="20"/>
          <w:szCs w:val="20"/>
          <w:lang w:val="es-AR"/>
        </w:rPr>
        <w:t>sin embargo, éste</w:t>
      </w:r>
      <w:r w:rsidRPr="00A4123C">
        <w:rPr>
          <w:rFonts w:ascii="Cambria" w:hAnsi="Cambria"/>
          <w:sz w:val="20"/>
          <w:szCs w:val="20"/>
          <w:lang w:val="es-AR"/>
        </w:rPr>
        <w:t xml:space="preserve"> </w:t>
      </w:r>
      <w:r w:rsidR="001713E2" w:rsidRPr="00A4123C">
        <w:rPr>
          <w:rFonts w:ascii="Cambria" w:hAnsi="Cambria"/>
          <w:sz w:val="20"/>
          <w:szCs w:val="20"/>
          <w:lang w:val="es-AR"/>
        </w:rPr>
        <w:t>incriminó</w:t>
      </w:r>
      <w:r w:rsidR="001713E2" w:rsidRPr="00A4123C">
        <w:rPr>
          <w:rFonts w:ascii="Cambria" w:hAnsi="Cambria"/>
          <w:sz w:val="20"/>
          <w:szCs w:val="20"/>
          <w:lang w:val="es-VE"/>
        </w:rPr>
        <w:t xml:space="preserve"> </w:t>
      </w:r>
      <w:r w:rsidRPr="00A4123C">
        <w:rPr>
          <w:rFonts w:ascii="Cambria" w:hAnsi="Cambria"/>
          <w:sz w:val="20"/>
          <w:szCs w:val="20"/>
          <w:lang w:val="es-AR"/>
        </w:rPr>
        <w:t xml:space="preserve">al agente </w:t>
      </w:r>
      <w:r w:rsidR="00810DDF" w:rsidRPr="00A4123C">
        <w:rPr>
          <w:rFonts w:ascii="Cambria" w:hAnsi="Cambria"/>
          <w:sz w:val="20"/>
          <w:szCs w:val="20"/>
          <w:lang w:val="es-AR"/>
        </w:rPr>
        <w:t xml:space="preserve">Edison </w:t>
      </w:r>
      <w:r w:rsidRPr="00A4123C">
        <w:rPr>
          <w:rFonts w:ascii="Cambria" w:hAnsi="Cambria"/>
          <w:sz w:val="20"/>
          <w:szCs w:val="20"/>
          <w:lang w:val="es-AR"/>
        </w:rPr>
        <w:t>Londoño Franco</w:t>
      </w:r>
      <w:r w:rsidR="0086347B" w:rsidRPr="00A4123C">
        <w:rPr>
          <w:rFonts w:ascii="Cambria" w:hAnsi="Cambria"/>
          <w:sz w:val="20"/>
          <w:szCs w:val="20"/>
          <w:lang w:val="es-AR"/>
        </w:rPr>
        <w:t xml:space="preserve">. Al respecto, describe que a pesar que este último policía no fue el responsable, la Fiscalía 18 Seccional de Cartago </w:t>
      </w:r>
      <w:r w:rsidR="00A4123C">
        <w:rPr>
          <w:rFonts w:ascii="Cambria" w:hAnsi="Cambria"/>
          <w:sz w:val="20"/>
          <w:szCs w:val="20"/>
          <w:lang w:val="es-AR"/>
        </w:rPr>
        <w:t xml:space="preserve">en base a testimonios de algunos testigos </w:t>
      </w:r>
      <w:r w:rsidR="00810DDF" w:rsidRPr="00A4123C">
        <w:rPr>
          <w:rFonts w:ascii="Cambria" w:hAnsi="Cambria"/>
          <w:sz w:val="20"/>
          <w:szCs w:val="20"/>
          <w:lang w:val="es-AR"/>
        </w:rPr>
        <w:t xml:space="preserve">decretó medida de aseguramiento de detención preventiva </w:t>
      </w:r>
      <w:r w:rsidR="00A4123C" w:rsidRPr="00A4123C">
        <w:rPr>
          <w:rFonts w:ascii="Cambria" w:hAnsi="Cambria"/>
          <w:sz w:val="20"/>
          <w:szCs w:val="20"/>
          <w:lang w:val="es-AR"/>
        </w:rPr>
        <w:t xml:space="preserve">en su contra </w:t>
      </w:r>
      <w:r w:rsidR="00810DDF" w:rsidRPr="00A4123C">
        <w:rPr>
          <w:rFonts w:ascii="Cambria" w:hAnsi="Cambria"/>
          <w:sz w:val="20"/>
          <w:szCs w:val="20"/>
          <w:lang w:val="es-AR"/>
        </w:rPr>
        <w:t xml:space="preserve">como sindicado de los hechos alegados </w:t>
      </w:r>
      <w:r w:rsidR="001713E2" w:rsidRPr="00A4123C">
        <w:rPr>
          <w:rFonts w:ascii="Cambria" w:hAnsi="Cambria"/>
          <w:sz w:val="20"/>
          <w:szCs w:val="20"/>
          <w:lang w:val="es-VE"/>
        </w:rPr>
        <w:t>y</w:t>
      </w:r>
      <w:r w:rsidR="00810DDF" w:rsidRPr="00A4123C">
        <w:rPr>
          <w:rFonts w:ascii="Cambria" w:hAnsi="Cambria"/>
          <w:sz w:val="20"/>
          <w:szCs w:val="20"/>
          <w:lang w:val="es-VE"/>
        </w:rPr>
        <w:t xml:space="preserve"> </w:t>
      </w:r>
      <w:r w:rsidR="001713E2" w:rsidRPr="00A4123C">
        <w:rPr>
          <w:rFonts w:ascii="Cambria" w:hAnsi="Cambria"/>
          <w:sz w:val="20"/>
          <w:szCs w:val="20"/>
          <w:lang w:val="es-VE"/>
        </w:rPr>
        <w:t>precluy</w:t>
      </w:r>
      <w:r w:rsidR="008D1EE2" w:rsidRPr="00A4123C">
        <w:rPr>
          <w:rFonts w:ascii="Cambria" w:hAnsi="Cambria"/>
          <w:sz w:val="20"/>
          <w:szCs w:val="20"/>
          <w:lang w:val="es-VE"/>
        </w:rPr>
        <w:t>ó</w:t>
      </w:r>
      <w:r w:rsidR="001713E2" w:rsidRPr="00A4123C">
        <w:rPr>
          <w:rFonts w:ascii="Cambria" w:hAnsi="Cambria"/>
          <w:sz w:val="20"/>
          <w:szCs w:val="20"/>
          <w:lang w:val="es-VE"/>
        </w:rPr>
        <w:t xml:space="preserve"> la investigación adelantada respecto de Wilfrido Moreno O</w:t>
      </w:r>
      <w:r w:rsidR="00810DDF" w:rsidRPr="00A4123C">
        <w:rPr>
          <w:rFonts w:ascii="Cambria" w:hAnsi="Cambria"/>
          <w:sz w:val="20"/>
          <w:szCs w:val="20"/>
          <w:lang w:val="es-VE"/>
        </w:rPr>
        <w:t>sor</w:t>
      </w:r>
      <w:r w:rsidR="001713E2" w:rsidRPr="00A4123C">
        <w:rPr>
          <w:rFonts w:ascii="Cambria" w:hAnsi="Cambria"/>
          <w:sz w:val="20"/>
          <w:szCs w:val="20"/>
          <w:lang w:val="es-VE"/>
        </w:rPr>
        <w:t>io</w:t>
      </w:r>
      <w:r w:rsidR="003D6482" w:rsidRPr="00A4123C">
        <w:rPr>
          <w:rFonts w:ascii="Cambria" w:hAnsi="Cambria"/>
          <w:sz w:val="20"/>
          <w:szCs w:val="20"/>
          <w:lang w:val="es-AR"/>
        </w:rPr>
        <w:t>. Así</w:t>
      </w:r>
      <w:r w:rsidR="00A4123C" w:rsidRPr="00A4123C">
        <w:rPr>
          <w:rFonts w:ascii="Cambria" w:hAnsi="Cambria"/>
          <w:sz w:val="20"/>
          <w:szCs w:val="20"/>
          <w:lang w:val="es-AR"/>
        </w:rPr>
        <w:t>, i</w:t>
      </w:r>
      <w:r w:rsidR="003D6482" w:rsidRPr="00A4123C">
        <w:rPr>
          <w:rFonts w:ascii="Cambria" w:hAnsi="Cambria"/>
          <w:sz w:val="20"/>
          <w:szCs w:val="20"/>
          <w:lang w:val="es-AR"/>
        </w:rPr>
        <w:t>nforma</w:t>
      </w:r>
      <w:r w:rsidR="00A4123C" w:rsidRPr="00A4123C">
        <w:rPr>
          <w:rFonts w:ascii="Cambria" w:hAnsi="Cambria"/>
          <w:sz w:val="20"/>
          <w:szCs w:val="20"/>
          <w:lang w:val="es-AR"/>
        </w:rPr>
        <w:t xml:space="preserve"> que el</w:t>
      </w:r>
      <w:r w:rsidR="003D6482" w:rsidRPr="00A4123C">
        <w:rPr>
          <w:rFonts w:ascii="Cambria" w:hAnsi="Cambria"/>
          <w:sz w:val="20"/>
          <w:szCs w:val="20"/>
          <w:lang w:val="es-AR"/>
        </w:rPr>
        <w:t xml:space="preserve"> 14 de marzo de 1997 </w:t>
      </w:r>
      <w:r w:rsidR="00A4123C" w:rsidRPr="00A4123C">
        <w:rPr>
          <w:rFonts w:ascii="Cambria" w:hAnsi="Cambria"/>
          <w:sz w:val="20"/>
          <w:szCs w:val="20"/>
          <w:lang w:val="es-AR"/>
        </w:rPr>
        <w:t>la fisca</w:t>
      </w:r>
      <w:r w:rsidR="00A4123C" w:rsidRPr="00A4123C">
        <w:rPr>
          <w:rFonts w:ascii="Cambria" w:hAnsi="Cambria"/>
          <w:sz w:val="20"/>
          <w:szCs w:val="20"/>
          <w:lang w:val="es-VE"/>
        </w:rPr>
        <w:t xml:space="preserve">lía </w:t>
      </w:r>
      <w:r w:rsidR="003D6482" w:rsidRPr="00A4123C">
        <w:rPr>
          <w:rFonts w:ascii="Cambria" w:hAnsi="Cambria"/>
          <w:sz w:val="20"/>
          <w:szCs w:val="20"/>
          <w:lang w:val="es-AR"/>
        </w:rPr>
        <w:t>cerr</w:t>
      </w:r>
      <w:r w:rsidR="00A4123C" w:rsidRPr="00A4123C">
        <w:rPr>
          <w:rFonts w:ascii="Cambria" w:hAnsi="Cambria"/>
          <w:sz w:val="20"/>
          <w:szCs w:val="20"/>
          <w:lang w:val="es-AR"/>
        </w:rPr>
        <w:t>ó</w:t>
      </w:r>
      <w:r w:rsidR="003D6482" w:rsidRPr="00A4123C">
        <w:rPr>
          <w:rFonts w:ascii="Cambria" w:hAnsi="Cambria"/>
          <w:sz w:val="20"/>
          <w:szCs w:val="20"/>
          <w:lang w:val="es-AR"/>
        </w:rPr>
        <w:t xml:space="preserve"> la investigación </w:t>
      </w:r>
      <w:r w:rsidR="00A4123C" w:rsidRPr="00A4123C">
        <w:rPr>
          <w:rFonts w:ascii="Cambria" w:hAnsi="Cambria"/>
          <w:sz w:val="20"/>
          <w:szCs w:val="20"/>
          <w:lang w:val="es-AR"/>
        </w:rPr>
        <w:t xml:space="preserve">penal </w:t>
      </w:r>
      <w:r w:rsidR="003D6482" w:rsidRPr="00A4123C">
        <w:rPr>
          <w:rFonts w:ascii="Cambria" w:hAnsi="Cambria"/>
          <w:sz w:val="20"/>
          <w:szCs w:val="20"/>
          <w:lang w:val="es-AR"/>
        </w:rPr>
        <w:t>y le ot</w:t>
      </w:r>
      <w:r w:rsidR="00A4123C" w:rsidRPr="00A4123C">
        <w:rPr>
          <w:rFonts w:ascii="Cambria" w:hAnsi="Cambria"/>
          <w:sz w:val="20"/>
          <w:szCs w:val="20"/>
          <w:lang w:val="es-AR"/>
        </w:rPr>
        <w:t>orgó</w:t>
      </w:r>
      <w:r w:rsidR="003D6482" w:rsidRPr="00A4123C">
        <w:rPr>
          <w:rFonts w:ascii="Cambria" w:hAnsi="Cambria"/>
          <w:sz w:val="20"/>
          <w:szCs w:val="20"/>
          <w:lang w:val="es-AR"/>
        </w:rPr>
        <w:t xml:space="preserve"> libertad provisional a </w:t>
      </w:r>
      <w:r w:rsidR="00A4123C" w:rsidRPr="00A4123C">
        <w:rPr>
          <w:rFonts w:ascii="Cambria" w:hAnsi="Cambria"/>
          <w:sz w:val="20"/>
          <w:szCs w:val="20"/>
          <w:lang w:val="es-AR"/>
        </w:rPr>
        <w:t>E</w:t>
      </w:r>
      <w:r w:rsidR="003D6482" w:rsidRPr="00A4123C">
        <w:rPr>
          <w:rFonts w:ascii="Cambria" w:hAnsi="Cambria"/>
          <w:sz w:val="20"/>
          <w:szCs w:val="20"/>
          <w:lang w:val="es-AR"/>
        </w:rPr>
        <w:t xml:space="preserve">dison </w:t>
      </w:r>
      <w:r w:rsidR="00A4123C" w:rsidRPr="00A4123C">
        <w:rPr>
          <w:rFonts w:ascii="Cambria" w:hAnsi="Cambria"/>
          <w:sz w:val="20"/>
          <w:szCs w:val="20"/>
          <w:lang w:val="es-AR"/>
        </w:rPr>
        <w:t>L</w:t>
      </w:r>
      <w:r w:rsidR="003D6482" w:rsidRPr="00A4123C">
        <w:rPr>
          <w:rFonts w:ascii="Cambria" w:hAnsi="Cambria"/>
          <w:sz w:val="20"/>
          <w:szCs w:val="20"/>
          <w:lang w:val="es-AR"/>
        </w:rPr>
        <w:t>on</w:t>
      </w:r>
      <w:r w:rsidR="00A4123C" w:rsidRPr="00A4123C">
        <w:rPr>
          <w:rFonts w:ascii="Cambria" w:hAnsi="Cambria"/>
          <w:sz w:val="20"/>
          <w:szCs w:val="20"/>
          <w:lang w:val="es-AR"/>
        </w:rPr>
        <w:t>doñ</w:t>
      </w:r>
      <w:r w:rsidR="003D6482" w:rsidRPr="00A4123C">
        <w:rPr>
          <w:rFonts w:ascii="Cambria" w:hAnsi="Cambria"/>
          <w:sz w:val="20"/>
          <w:szCs w:val="20"/>
          <w:lang w:val="es-AR"/>
        </w:rPr>
        <w:t xml:space="preserve">o </w:t>
      </w:r>
      <w:r w:rsidR="00A4123C" w:rsidRPr="00A4123C">
        <w:rPr>
          <w:rFonts w:ascii="Cambria" w:hAnsi="Cambria"/>
          <w:sz w:val="20"/>
          <w:szCs w:val="20"/>
          <w:lang w:val="es-AR"/>
        </w:rPr>
        <w:t>F</w:t>
      </w:r>
      <w:r w:rsidR="003D6482" w:rsidRPr="00A4123C">
        <w:rPr>
          <w:rFonts w:ascii="Cambria" w:hAnsi="Cambria"/>
          <w:sz w:val="20"/>
          <w:szCs w:val="20"/>
          <w:lang w:val="es-AR"/>
        </w:rPr>
        <w:t xml:space="preserve">ranco </w:t>
      </w:r>
      <w:r w:rsidR="00A4123C" w:rsidRPr="00A4123C">
        <w:rPr>
          <w:rFonts w:ascii="Cambria" w:hAnsi="Cambria"/>
          <w:sz w:val="20"/>
          <w:szCs w:val="20"/>
          <w:lang w:val="es-AR"/>
        </w:rPr>
        <w:t xml:space="preserve">al </w:t>
      </w:r>
      <w:r w:rsidR="003D6482" w:rsidRPr="00A4123C">
        <w:rPr>
          <w:rFonts w:ascii="Cambria" w:hAnsi="Cambria"/>
          <w:sz w:val="20"/>
          <w:szCs w:val="20"/>
          <w:lang w:val="es-AR"/>
        </w:rPr>
        <w:t xml:space="preserve">haberse vencido </w:t>
      </w:r>
      <w:r w:rsidR="00A4123C" w:rsidRPr="00A4123C">
        <w:rPr>
          <w:rFonts w:ascii="Cambria" w:hAnsi="Cambria"/>
          <w:sz w:val="20"/>
          <w:szCs w:val="20"/>
          <w:lang w:val="es-AR"/>
        </w:rPr>
        <w:t xml:space="preserve">el lapso </w:t>
      </w:r>
      <w:r w:rsidR="003D6482" w:rsidRPr="00A4123C">
        <w:rPr>
          <w:rFonts w:ascii="Cambria" w:hAnsi="Cambria"/>
          <w:sz w:val="20"/>
          <w:szCs w:val="20"/>
          <w:lang w:val="es-AR"/>
        </w:rPr>
        <w:t>para calificar el m</w:t>
      </w:r>
      <w:r w:rsidR="00A4123C" w:rsidRPr="00A4123C">
        <w:rPr>
          <w:rFonts w:ascii="Cambria" w:hAnsi="Cambria"/>
          <w:sz w:val="20"/>
          <w:szCs w:val="20"/>
          <w:lang w:val="es-AR"/>
        </w:rPr>
        <w:t>é</w:t>
      </w:r>
      <w:r w:rsidR="003D6482" w:rsidRPr="00A4123C">
        <w:rPr>
          <w:rFonts w:ascii="Cambria" w:hAnsi="Cambria"/>
          <w:sz w:val="20"/>
          <w:szCs w:val="20"/>
          <w:lang w:val="es-AR"/>
        </w:rPr>
        <w:t xml:space="preserve">rito del sumario </w:t>
      </w:r>
      <w:r w:rsidR="003D6482" w:rsidRPr="00F67B65">
        <w:rPr>
          <w:rFonts w:ascii="Cambria" w:hAnsi="Cambria"/>
          <w:sz w:val="20"/>
          <w:szCs w:val="20"/>
          <w:lang w:val="es-AR"/>
        </w:rPr>
        <w:t>debido al exceso de trabajo existente en la fiscalía</w:t>
      </w:r>
      <w:r w:rsidR="003D6482" w:rsidRPr="00A4123C">
        <w:rPr>
          <w:rFonts w:ascii="Cambria" w:hAnsi="Cambria"/>
          <w:sz w:val="20"/>
          <w:szCs w:val="20"/>
          <w:lang w:val="es-AR"/>
        </w:rPr>
        <w:t xml:space="preserve">. </w:t>
      </w:r>
      <w:r w:rsidR="00A4123C" w:rsidRPr="00A4123C">
        <w:rPr>
          <w:rFonts w:ascii="Cambria" w:hAnsi="Cambria"/>
          <w:sz w:val="20"/>
          <w:szCs w:val="20"/>
          <w:lang w:val="es-AR"/>
        </w:rPr>
        <w:t>Al respecto, informa igualmente que e</w:t>
      </w:r>
      <w:r w:rsidR="003D6482" w:rsidRPr="00A4123C">
        <w:rPr>
          <w:rFonts w:ascii="Cambria" w:hAnsi="Cambria"/>
          <w:sz w:val="20"/>
          <w:szCs w:val="20"/>
          <w:lang w:val="es-AR"/>
        </w:rPr>
        <w:t xml:space="preserve">l </w:t>
      </w:r>
      <w:r w:rsidR="00A4123C" w:rsidRPr="00A4123C">
        <w:rPr>
          <w:rFonts w:ascii="Cambria" w:hAnsi="Cambria"/>
          <w:sz w:val="20"/>
          <w:szCs w:val="20"/>
          <w:lang w:val="es-AR"/>
        </w:rPr>
        <w:t>P</w:t>
      </w:r>
      <w:r w:rsidR="003D6482" w:rsidRPr="00A4123C">
        <w:rPr>
          <w:rFonts w:ascii="Cambria" w:hAnsi="Cambria"/>
          <w:sz w:val="20"/>
          <w:szCs w:val="20"/>
          <w:lang w:val="es-AR"/>
        </w:rPr>
        <w:t xml:space="preserve">rocurador 80 </w:t>
      </w:r>
      <w:r w:rsidR="00A4123C" w:rsidRPr="00A4123C">
        <w:rPr>
          <w:rFonts w:ascii="Cambria" w:hAnsi="Cambria"/>
          <w:sz w:val="20"/>
          <w:szCs w:val="20"/>
          <w:lang w:val="es-AR"/>
        </w:rPr>
        <w:t>J</w:t>
      </w:r>
      <w:r w:rsidR="003D6482" w:rsidRPr="00A4123C">
        <w:rPr>
          <w:rFonts w:ascii="Cambria" w:hAnsi="Cambria"/>
          <w:sz w:val="20"/>
          <w:szCs w:val="20"/>
          <w:lang w:val="es-AR"/>
        </w:rPr>
        <w:t xml:space="preserve">udicial II </w:t>
      </w:r>
      <w:r w:rsidR="00A4123C" w:rsidRPr="00A4123C">
        <w:rPr>
          <w:rFonts w:ascii="Cambria" w:hAnsi="Cambria"/>
          <w:sz w:val="20"/>
          <w:szCs w:val="20"/>
          <w:lang w:val="es-AR"/>
        </w:rPr>
        <w:t>P</w:t>
      </w:r>
      <w:r w:rsidR="003D6482" w:rsidRPr="00A4123C">
        <w:rPr>
          <w:rFonts w:ascii="Cambria" w:hAnsi="Cambria"/>
          <w:sz w:val="20"/>
          <w:szCs w:val="20"/>
          <w:lang w:val="es-AR"/>
        </w:rPr>
        <w:t>enal present</w:t>
      </w:r>
      <w:r w:rsidR="00A4123C" w:rsidRPr="00A4123C">
        <w:rPr>
          <w:rFonts w:ascii="Cambria" w:hAnsi="Cambria"/>
          <w:sz w:val="20"/>
          <w:szCs w:val="20"/>
          <w:lang w:val="es-AR"/>
        </w:rPr>
        <w:t xml:space="preserve">ó el 20 de mayo de 1997 su </w:t>
      </w:r>
      <w:r w:rsidR="003D6482" w:rsidRPr="00A4123C">
        <w:rPr>
          <w:rFonts w:ascii="Cambria" w:hAnsi="Cambria"/>
          <w:sz w:val="20"/>
          <w:szCs w:val="20"/>
          <w:lang w:val="es-AR"/>
        </w:rPr>
        <w:t>alegato de conclusión en el cual solicit</w:t>
      </w:r>
      <w:r w:rsidR="00A4123C" w:rsidRPr="00A4123C">
        <w:rPr>
          <w:rFonts w:ascii="Cambria" w:hAnsi="Cambria"/>
          <w:sz w:val="20"/>
          <w:szCs w:val="20"/>
          <w:lang w:val="es-AR"/>
        </w:rPr>
        <w:t>ó</w:t>
      </w:r>
      <w:r w:rsidR="003D6482" w:rsidRPr="00A4123C">
        <w:rPr>
          <w:rFonts w:ascii="Cambria" w:hAnsi="Cambria"/>
          <w:sz w:val="20"/>
          <w:szCs w:val="20"/>
          <w:lang w:val="es-AR"/>
        </w:rPr>
        <w:t xml:space="preserve"> resolución acusatoria </w:t>
      </w:r>
      <w:r w:rsidR="00A4123C" w:rsidRPr="00A4123C">
        <w:rPr>
          <w:rFonts w:ascii="Cambria" w:hAnsi="Cambria"/>
          <w:sz w:val="20"/>
          <w:szCs w:val="20"/>
          <w:lang w:val="es-AR"/>
        </w:rPr>
        <w:t xml:space="preserve">contra </w:t>
      </w:r>
      <w:r w:rsidR="003D6482" w:rsidRPr="00A4123C">
        <w:rPr>
          <w:rFonts w:ascii="Cambria" w:hAnsi="Cambria"/>
          <w:sz w:val="20"/>
          <w:szCs w:val="20"/>
          <w:lang w:val="es-AR"/>
        </w:rPr>
        <w:t xml:space="preserve">el agente Wilfrido </w:t>
      </w:r>
      <w:r w:rsidR="00A4123C" w:rsidRPr="00A4123C">
        <w:rPr>
          <w:rFonts w:ascii="Cambria" w:hAnsi="Cambria"/>
          <w:sz w:val="20"/>
          <w:szCs w:val="20"/>
          <w:lang w:val="es-AR"/>
        </w:rPr>
        <w:t>M</w:t>
      </w:r>
      <w:r w:rsidR="003D6482" w:rsidRPr="00A4123C">
        <w:rPr>
          <w:rFonts w:ascii="Cambria" w:hAnsi="Cambria"/>
          <w:sz w:val="20"/>
          <w:szCs w:val="20"/>
          <w:lang w:val="es-AR"/>
        </w:rPr>
        <w:t xml:space="preserve">oreno </w:t>
      </w:r>
      <w:r w:rsidR="00A4123C" w:rsidRPr="00A4123C">
        <w:rPr>
          <w:rFonts w:ascii="Cambria" w:hAnsi="Cambria"/>
          <w:sz w:val="20"/>
          <w:szCs w:val="20"/>
          <w:lang w:val="es-AR"/>
        </w:rPr>
        <w:t>O</w:t>
      </w:r>
      <w:r w:rsidR="000C6E72">
        <w:rPr>
          <w:rFonts w:ascii="Cambria" w:hAnsi="Cambria"/>
          <w:sz w:val="20"/>
          <w:szCs w:val="20"/>
          <w:lang w:val="es-AR"/>
        </w:rPr>
        <w:t>sori</w:t>
      </w:r>
      <w:r w:rsidR="003D6482" w:rsidRPr="00A4123C">
        <w:rPr>
          <w:rFonts w:ascii="Cambria" w:hAnsi="Cambria"/>
          <w:sz w:val="20"/>
          <w:szCs w:val="20"/>
          <w:lang w:val="es-AR"/>
        </w:rPr>
        <w:t xml:space="preserve">o y </w:t>
      </w:r>
      <w:r w:rsidR="00A4123C" w:rsidRPr="00A4123C">
        <w:rPr>
          <w:rFonts w:ascii="Cambria" w:hAnsi="Cambria"/>
          <w:sz w:val="20"/>
          <w:szCs w:val="20"/>
          <w:lang w:val="es-AR"/>
        </w:rPr>
        <w:t xml:space="preserve">la </w:t>
      </w:r>
      <w:r w:rsidR="003D6482" w:rsidRPr="00A4123C">
        <w:rPr>
          <w:rFonts w:ascii="Cambria" w:hAnsi="Cambria"/>
          <w:sz w:val="20"/>
          <w:szCs w:val="20"/>
          <w:lang w:val="es-AR"/>
        </w:rPr>
        <w:t xml:space="preserve">preclusión de </w:t>
      </w:r>
      <w:r w:rsidR="00A4123C" w:rsidRPr="00A4123C">
        <w:rPr>
          <w:rFonts w:ascii="Cambria" w:hAnsi="Cambria"/>
          <w:sz w:val="20"/>
          <w:szCs w:val="20"/>
          <w:lang w:val="es-AR"/>
        </w:rPr>
        <w:t>l</w:t>
      </w:r>
      <w:r w:rsidR="003D6482" w:rsidRPr="00A4123C">
        <w:rPr>
          <w:rFonts w:ascii="Cambria" w:hAnsi="Cambria"/>
          <w:sz w:val="20"/>
          <w:szCs w:val="20"/>
          <w:lang w:val="es-AR"/>
        </w:rPr>
        <w:t xml:space="preserve">a instrucción para el agente </w:t>
      </w:r>
      <w:r w:rsidR="00A4123C" w:rsidRPr="00A4123C">
        <w:rPr>
          <w:rFonts w:ascii="Cambria" w:hAnsi="Cambria"/>
          <w:sz w:val="20"/>
          <w:szCs w:val="20"/>
          <w:lang w:val="es-AR"/>
        </w:rPr>
        <w:t>E</w:t>
      </w:r>
      <w:r w:rsidR="003D6482" w:rsidRPr="00A4123C">
        <w:rPr>
          <w:rFonts w:ascii="Cambria" w:hAnsi="Cambria"/>
          <w:sz w:val="20"/>
          <w:szCs w:val="20"/>
          <w:lang w:val="es-AR"/>
        </w:rPr>
        <w:t xml:space="preserve">dison </w:t>
      </w:r>
      <w:r w:rsidR="00A4123C" w:rsidRPr="00A4123C">
        <w:rPr>
          <w:rFonts w:ascii="Cambria" w:hAnsi="Cambria"/>
          <w:sz w:val="20"/>
          <w:szCs w:val="20"/>
          <w:lang w:val="es-AR"/>
        </w:rPr>
        <w:t>L</w:t>
      </w:r>
      <w:r w:rsidR="003D6482" w:rsidRPr="00A4123C">
        <w:rPr>
          <w:rFonts w:ascii="Cambria" w:hAnsi="Cambria"/>
          <w:sz w:val="20"/>
          <w:szCs w:val="20"/>
          <w:lang w:val="es-AR"/>
        </w:rPr>
        <w:t xml:space="preserve">ondoño. </w:t>
      </w:r>
    </w:p>
    <w:p w14:paraId="403F4D8B" w14:textId="36A0CE67" w:rsidR="001713E2" w:rsidRPr="00A4123C" w:rsidRDefault="00A4123C" w:rsidP="00002E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VE"/>
        </w:rPr>
      </w:pPr>
      <w:r w:rsidRPr="00A4123C">
        <w:rPr>
          <w:rFonts w:ascii="Cambria" w:hAnsi="Cambria"/>
          <w:sz w:val="20"/>
          <w:szCs w:val="20"/>
          <w:lang w:val="es-AR"/>
        </w:rPr>
        <w:t>D</w:t>
      </w:r>
      <w:r w:rsidR="00235998" w:rsidRPr="00A4123C">
        <w:rPr>
          <w:rFonts w:ascii="Cambria" w:hAnsi="Cambria"/>
          <w:sz w:val="20"/>
          <w:szCs w:val="20"/>
          <w:lang w:val="es-AR"/>
        </w:rPr>
        <w:t>etalla que el 28 de enero de 1998</w:t>
      </w:r>
      <w:r w:rsidR="001713E2" w:rsidRPr="00A4123C">
        <w:rPr>
          <w:rFonts w:ascii="Cambria" w:hAnsi="Cambria"/>
          <w:sz w:val="20"/>
          <w:szCs w:val="20"/>
          <w:lang w:val="es-VE"/>
        </w:rPr>
        <w:t xml:space="preserve"> el Juzgado Segundo Penal del Circuito de Cartago</w:t>
      </w:r>
      <w:r w:rsidR="00235998" w:rsidRPr="00A4123C">
        <w:rPr>
          <w:rFonts w:ascii="Cambria" w:hAnsi="Cambria"/>
          <w:sz w:val="20"/>
          <w:szCs w:val="20"/>
          <w:lang w:val="es-VE"/>
        </w:rPr>
        <w:t xml:space="preserve"> profirió sentencia absolutoria </w:t>
      </w:r>
      <w:r w:rsidR="001713E2" w:rsidRPr="00A4123C">
        <w:rPr>
          <w:rFonts w:ascii="Cambria" w:hAnsi="Cambria"/>
          <w:sz w:val="20"/>
          <w:szCs w:val="20"/>
          <w:lang w:val="es-VE"/>
        </w:rPr>
        <w:t xml:space="preserve">al acusado Edison Londoño Franco de los delitos imputados en tanto de los </w:t>
      </w:r>
      <w:r w:rsidR="0086347B" w:rsidRPr="00A4123C">
        <w:rPr>
          <w:rFonts w:ascii="Cambria" w:hAnsi="Cambria"/>
          <w:sz w:val="20"/>
          <w:szCs w:val="20"/>
          <w:lang w:val="es-VE"/>
        </w:rPr>
        <w:t xml:space="preserve">testimonios presentados por los </w:t>
      </w:r>
      <w:r w:rsidR="001713E2" w:rsidRPr="00A4123C">
        <w:rPr>
          <w:rFonts w:ascii="Cambria" w:hAnsi="Cambria"/>
          <w:sz w:val="20"/>
          <w:szCs w:val="20"/>
          <w:lang w:val="es-VE"/>
        </w:rPr>
        <w:t xml:space="preserve">testigos presenciales, </w:t>
      </w:r>
      <w:r w:rsidR="0086347B" w:rsidRPr="00A4123C">
        <w:rPr>
          <w:rFonts w:ascii="Cambria" w:hAnsi="Cambria"/>
          <w:sz w:val="20"/>
          <w:szCs w:val="20"/>
          <w:lang w:val="es-VE"/>
        </w:rPr>
        <w:t xml:space="preserve">Jhonier Ramírez y otro </w:t>
      </w:r>
      <w:r w:rsidR="001713E2" w:rsidRPr="00A4123C">
        <w:rPr>
          <w:rFonts w:ascii="Cambria" w:hAnsi="Cambria"/>
          <w:sz w:val="20"/>
          <w:szCs w:val="20"/>
          <w:lang w:val="es-VE"/>
        </w:rPr>
        <w:t>j</w:t>
      </w:r>
      <w:r w:rsidR="0086347B" w:rsidRPr="00A4123C">
        <w:rPr>
          <w:rFonts w:ascii="Cambria" w:hAnsi="Cambria"/>
          <w:sz w:val="20"/>
          <w:szCs w:val="20"/>
          <w:lang w:val="es-VE"/>
        </w:rPr>
        <w:t>oven</w:t>
      </w:r>
      <w:r w:rsidR="001713E2" w:rsidRPr="00A4123C">
        <w:rPr>
          <w:rFonts w:ascii="Cambria" w:hAnsi="Cambria"/>
          <w:sz w:val="20"/>
          <w:szCs w:val="20"/>
          <w:lang w:val="es-VE"/>
        </w:rPr>
        <w:t xml:space="preserve">, en el curso de la investigación </w:t>
      </w:r>
      <w:r w:rsidR="0086347B" w:rsidRPr="00A4123C">
        <w:rPr>
          <w:rFonts w:ascii="Cambria" w:hAnsi="Cambria"/>
          <w:sz w:val="20"/>
          <w:szCs w:val="20"/>
          <w:lang w:val="es-VE"/>
        </w:rPr>
        <w:t xml:space="preserve">contaban con </w:t>
      </w:r>
      <w:r w:rsidR="001713E2" w:rsidRPr="00A4123C">
        <w:rPr>
          <w:rFonts w:ascii="Cambria" w:hAnsi="Cambria"/>
          <w:sz w:val="20"/>
          <w:szCs w:val="20"/>
          <w:lang w:val="es-VE"/>
        </w:rPr>
        <w:t>una serie de inco</w:t>
      </w:r>
      <w:r w:rsidR="0086347B" w:rsidRPr="00A4123C">
        <w:rPr>
          <w:rFonts w:ascii="Cambria" w:hAnsi="Cambria"/>
          <w:sz w:val="20"/>
          <w:szCs w:val="20"/>
          <w:lang w:val="es-VE"/>
        </w:rPr>
        <w:t>n</w:t>
      </w:r>
      <w:r w:rsidR="001713E2" w:rsidRPr="00A4123C">
        <w:rPr>
          <w:rFonts w:ascii="Cambria" w:hAnsi="Cambria"/>
          <w:sz w:val="20"/>
          <w:szCs w:val="20"/>
          <w:lang w:val="es-VE"/>
        </w:rPr>
        <w:t>g</w:t>
      </w:r>
      <w:r w:rsidR="0086347B" w:rsidRPr="00A4123C">
        <w:rPr>
          <w:rFonts w:ascii="Cambria" w:hAnsi="Cambria"/>
          <w:sz w:val="20"/>
          <w:szCs w:val="20"/>
          <w:lang w:val="es-VE"/>
        </w:rPr>
        <w:t>r</w:t>
      </w:r>
      <w:r w:rsidR="001713E2" w:rsidRPr="00A4123C">
        <w:rPr>
          <w:rFonts w:ascii="Cambria" w:hAnsi="Cambria"/>
          <w:sz w:val="20"/>
          <w:szCs w:val="20"/>
          <w:lang w:val="es-VE"/>
        </w:rPr>
        <w:t>uencias</w:t>
      </w:r>
      <w:r w:rsidR="0086347B" w:rsidRPr="00A4123C">
        <w:rPr>
          <w:rFonts w:ascii="Cambria" w:hAnsi="Cambria"/>
          <w:sz w:val="20"/>
          <w:szCs w:val="20"/>
          <w:lang w:val="es-VE"/>
        </w:rPr>
        <w:t xml:space="preserve"> e</w:t>
      </w:r>
      <w:r w:rsidR="001713E2" w:rsidRPr="00A4123C">
        <w:rPr>
          <w:rFonts w:ascii="Cambria" w:hAnsi="Cambria"/>
          <w:sz w:val="20"/>
          <w:szCs w:val="20"/>
          <w:lang w:val="es-VE"/>
        </w:rPr>
        <w:t xml:space="preserve"> imprecisione</w:t>
      </w:r>
      <w:r w:rsidR="0086347B" w:rsidRPr="00A4123C">
        <w:rPr>
          <w:rFonts w:ascii="Cambria" w:hAnsi="Cambria"/>
          <w:sz w:val="20"/>
          <w:szCs w:val="20"/>
          <w:lang w:val="es-VE"/>
        </w:rPr>
        <w:t>s</w:t>
      </w:r>
      <w:r w:rsidR="001713E2" w:rsidRPr="00A4123C">
        <w:rPr>
          <w:rFonts w:ascii="Cambria" w:hAnsi="Cambria"/>
          <w:sz w:val="20"/>
          <w:szCs w:val="20"/>
          <w:lang w:val="es-VE"/>
        </w:rPr>
        <w:t xml:space="preserve"> que </w:t>
      </w:r>
      <w:r w:rsidR="0086347B" w:rsidRPr="00A4123C">
        <w:rPr>
          <w:rFonts w:ascii="Cambria" w:hAnsi="Cambria"/>
          <w:sz w:val="20"/>
          <w:szCs w:val="20"/>
          <w:lang w:val="es-VE"/>
        </w:rPr>
        <w:t xml:space="preserve">de acuerdo a la autoridad judicial </w:t>
      </w:r>
      <w:r w:rsidR="001713E2" w:rsidRPr="00A4123C">
        <w:rPr>
          <w:rFonts w:ascii="Cambria" w:hAnsi="Cambria"/>
          <w:sz w:val="20"/>
          <w:szCs w:val="20"/>
          <w:lang w:val="es-VE"/>
        </w:rPr>
        <w:t>crea</w:t>
      </w:r>
      <w:r w:rsidR="0086347B" w:rsidRPr="00A4123C">
        <w:rPr>
          <w:rFonts w:ascii="Cambria" w:hAnsi="Cambria"/>
          <w:sz w:val="20"/>
          <w:szCs w:val="20"/>
          <w:lang w:val="es-VE"/>
        </w:rPr>
        <w:t>ro</w:t>
      </w:r>
      <w:r w:rsidR="001713E2" w:rsidRPr="00A4123C">
        <w:rPr>
          <w:rFonts w:ascii="Cambria" w:hAnsi="Cambria"/>
          <w:sz w:val="20"/>
          <w:szCs w:val="20"/>
          <w:lang w:val="es-VE"/>
        </w:rPr>
        <w:t xml:space="preserve">n </w:t>
      </w:r>
      <w:r w:rsidR="0086347B" w:rsidRPr="00A4123C">
        <w:rPr>
          <w:rFonts w:ascii="Cambria" w:hAnsi="Cambria"/>
          <w:sz w:val="20"/>
          <w:szCs w:val="20"/>
          <w:lang w:val="es-VE"/>
        </w:rPr>
        <w:t xml:space="preserve">un </w:t>
      </w:r>
      <w:r w:rsidR="001713E2" w:rsidRPr="00A4123C">
        <w:rPr>
          <w:rFonts w:ascii="Cambria" w:hAnsi="Cambria"/>
          <w:sz w:val="20"/>
          <w:szCs w:val="20"/>
          <w:lang w:val="es-VE"/>
        </w:rPr>
        <w:t xml:space="preserve">ambiente de incertidumbre </w:t>
      </w:r>
      <w:r w:rsidR="0086347B" w:rsidRPr="00A4123C">
        <w:rPr>
          <w:rFonts w:ascii="Cambria" w:hAnsi="Cambria"/>
          <w:sz w:val="20"/>
          <w:szCs w:val="20"/>
          <w:lang w:val="es-VE"/>
        </w:rPr>
        <w:t xml:space="preserve">referido por </w:t>
      </w:r>
      <w:r w:rsidR="001713E2" w:rsidRPr="00A4123C">
        <w:rPr>
          <w:rFonts w:ascii="Cambria" w:hAnsi="Cambria"/>
          <w:sz w:val="20"/>
          <w:szCs w:val="20"/>
          <w:lang w:val="es-VE"/>
        </w:rPr>
        <w:t xml:space="preserve">todos los sujetos procesales intervinientes en el debate. </w:t>
      </w:r>
      <w:r w:rsidR="0086347B" w:rsidRPr="00A4123C">
        <w:rPr>
          <w:rFonts w:ascii="Cambria" w:hAnsi="Cambria"/>
          <w:sz w:val="20"/>
          <w:szCs w:val="20"/>
          <w:lang w:val="es-VE"/>
        </w:rPr>
        <w:t>Así, informa que la autoridad judicial consideró que la</w:t>
      </w:r>
      <w:r w:rsidR="001713E2" w:rsidRPr="00A4123C">
        <w:rPr>
          <w:rFonts w:ascii="Cambria" w:hAnsi="Cambria"/>
          <w:sz w:val="20"/>
          <w:szCs w:val="20"/>
          <w:lang w:val="es-VE"/>
        </w:rPr>
        <w:t xml:space="preserve"> carencia de medios probatorios valederos de producirle la absoluta certeza sobre la responsabilidad de </w:t>
      </w:r>
      <w:r w:rsidR="0086347B" w:rsidRPr="00A4123C">
        <w:rPr>
          <w:rFonts w:ascii="Cambria" w:hAnsi="Cambria"/>
          <w:sz w:val="20"/>
          <w:szCs w:val="20"/>
          <w:lang w:val="es-VE"/>
        </w:rPr>
        <w:t>L</w:t>
      </w:r>
      <w:r w:rsidR="001713E2" w:rsidRPr="00A4123C">
        <w:rPr>
          <w:rFonts w:ascii="Cambria" w:hAnsi="Cambria"/>
          <w:sz w:val="20"/>
          <w:szCs w:val="20"/>
          <w:lang w:val="es-VE"/>
        </w:rPr>
        <w:t xml:space="preserve">ondoño </w:t>
      </w:r>
      <w:r w:rsidR="0086347B" w:rsidRPr="00A4123C">
        <w:rPr>
          <w:rFonts w:ascii="Cambria" w:hAnsi="Cambria"/>
          <w:sz w:val="20"/>
          <w:szCs w:val="20"/>
          <w:lang w:val="es-VE"/>
        </w:rPr>
        <w:t xml:space="preserve">llevó </w:t>
      </w:r>
      <w:r w:rsidR="001713E2" w:rsidRPr="00A4123C">
        <w:rPr>
          <w:rFonts w:ascii="Cambria" w:hAnsi="Cambria"/>
          <w:sz w:val="20"/>
          <w:szCs w:val="20"/>
          <w:lang w:val="es-VE"/>
        </w:rPr>
        <w:t>a exonerarlo</w:t>
      </w:r>
      <w:r w:rsidR="0086347B" w:rsidRPr="00A4123C">
        <w:rPr>
          <w:rStyle w:val="FootnoteReference"/>
          <w:rFonts w:ascii="Cambria" w:hAnsi="Cambria"/>
          <w:sz w:val="20"/>
          <w:szCs w:val="20"/>
          <w:lang w:val="es-VE"/>
        </w:rPr>
        <w:footnoteReference w:id="7"/>
      </w:r>
      <w:r w:rsidR="0086347B" w:rsidRPr="00A4123C">
        <w:rPr>
          <w:rFonts w:ascii="Cambria" w:hAnsi="Cambria"/>
          <w:sz w:val="20"/>
          <w:szCs w:val="20"/>
          <w:lang w:val="es-VE"/>
        </w:rPr>
        <w:t xml:space="preserve">. </w:t>
      </w:r>
    </w:p>
    <w:p w14:paraId="3116571E" w14:textId="230D8D99" w:rsidR="001713E2" w:rsidRPr="00861C57" w:rsidRDefault="0086347B" w:rsidP="00002E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A4123C">
        <w:rPr>
          <w:color w:val="auto"/>
          <w:sz w:val="20"/>
          <w:szCs w:val="20"/>
          <w:lang w:val="es-AR"/>
        </w:rPr>
        <w:t xml:space="preserve">Por otra parte, la parte peticionaria argumenta </w:t>
      </w:r>
      <w:r w:rsidR="00F21674" w:rsidRPr="00A4123C">
        <w:rPr>
          <w:color w:val="auto"/>
          <w:sz w:val="20"/>
          <w:szCs w:val="20"/>
          <w:lang w:val="es-AR"/>
        </w:rPr>
        <w:t>que en f</w:t>
      </w:r>
      <w:r w:rsidR="001713E2" w:rsidRPr="00A4123C">
        <w:rPr>
          <w:color w:val="auto"/>
          <w:sz w:val="20"/>
          <w:szCs w:val="20"/>
          <w:lang w:val="es-AR"/>
        </w:rPr>
        <w:t>eb</w:t>
      </w:r>
      <w:r w:rsidR="00F21674" w:rsidRPr="00A4123C">
        <w:rPr>
          <w:color w:val="auto"/>
          <w:sz w:val="20"/>
          <w:szCs w:val="20"/>
          <w:lang w:val="es-AR"/>
        </w:rPr>
        <w:t xml:space="preserve">rero de 1998 la familia de la presunta </w:t>
      </w:r>
      <w:r w:rsidR="001713E2" w:rsidRPr="00A4123C">
        <w:rPr>
          <w:color w:val="auto"/>
          <w:sz w:val="20"/>
          <w:szCs w:val="20"/>
          <w:lang w:val="es-AR"/>
        </w:rPr>
        <w:t>víctima</w:t>
      </w:r>
      <w:r w:rsidR="00F21674" w:rsidRPr="00A4123C">
        <w:rPr>
          <w:color w:val="auto"/>
          <w:sz w:val="20"/>
          <w:szCs w:val="20"/>
          <w:lang w:val="es-AR"/>
        </w:rPr>
        <w:t xml:space="preserve"> presentó demanda de reparación directa ante el Tribunal Administrativo del Valle del Cauca la cual fue </w:t>
      </w:r>
      <w:r w:rsidR="001713E2" w:rsidRPr="00A4123C">
        <w:rPr>
          <w:color w:val="auto"/>
          <w:sz w:val="20"/>
          <w:szCs w:val="20"/>
          <w:lang w:val="es-AR"/>
        </w:rPr>
        <w:t>resuelta</w:t>
      </w:r>
      <w:r w:rsidR="00F21674" w:rsidRPr="00A4123C">
        <w:rPr>
          <w:color w:val="auto"/>
          <w:sz w:val="20"/>
          <w:szCs w:val="20"/>
          <w:lang w:val="es-AR"/>
        </w:rPr>
        <w:t xml:space="preserve"> med</w:t>
      </w:r>
      <w:r w:rsidR="001713E2" w:rsidRPr="00A4123C">
        <w:rPr>
          <w:color w:val="auto"/>
          <w:sz w:val="20"/>
          <w:szCs w:val="20"/>
          <w:lang w:val="es-AR"/>
        </w:rPr>
        <w:t>i</w:t>
      </w:r>
      <w:r w:rsidR="00F21674" w:rsidRPr="00A4123C">
        <w:rPr>
          <w:color w:val="auto"/>
          <w:sz w:val="20"/>
          <w:szCs w:val="20"/>
          <w:lang w:val="es-AR"/>
        </w:rPr>
        <w:t xml:space="preserve">ante sentencia </w:t>
      </w:r>
      <w:r w:rsidR="001713E2" w:rsidRPr="00A4123C">
        <w:rPr>
          <w:color w:val="auto"/>
          <w:sz w:val="20"/>
          <w:szCs w:val="20"/>
          <w:lang w:val="es-AR"/>
        </w:rPr>
        <w:t>del 21 de enero de 2000</w:t>
      </w:r>
      <w:r w:rsidR="006738A5" w:rsidRPr="00A4123C">
        <w:rPr>
          <w:color w:val="auto"/>
          <w:sz w:val="20"/>
          <w:szCs w:val="20"/>
          <w:lang w:val="es-AR"/>
        </w:rPr>
        <w:t xml:space="preserve">. Sostiene que el tribunal administrativo desestimó </w:t>
      </w:r>
      <w:r w:rsidR="00F21674" w:rsidRPr="00A4123C">
        <w:rPr>
          <w:color w:val="auto"/>
          <w:sz w:val="20"/>
          <w:szCs w:val="20"/>
          <w:lang w:val="es-AR"/>
        </w:rPr>
        <w:t xml:space="preserve">las pretensiones de la </w:t>
      </w:r>
      <w:r w:rsidR="001713E2" w:rsidRPr="00A4123C">
        <w:rPr>
          <w:color w:val="auto"/>
          <w:sz w:val="20"/>
          <w:szCs w:val="20"/>
          <w:lang w:val="es-AR"/>
        </w:rPr>
        <w:t>demanda</w:t>
      </w:r>
      <w:r w:rsidR="006738A5" w:rsidRPr="00A4123C">
        <w:rPr>
          <w:color w:val="auto"/>
          <w:sz w:val="20"/>
          <w:szCs w:val="20"/>
          <w:lang w:val="es-AR"/>
        </w:rPr>
        <w:t xml:space="preserve"> al entender que </w:t>
      </w:r>
      <w:r w:rsidR="001713E2" w:rsidRPr="00A4123C">
        <w:rPr>
          <w:color w:val="auto"/>
          <w:sz w:val="20"/>
          <w:szCs w:val="20"/>
          <w:lang w:val="es-AR"/>
        </w:rPr>
        <w:t>el agente act</w:t>
      </w:r>
      <w:r w:rsidR="006738A5" w:rsidRPr="00A4123C">
        <w:rPr>
          <w:color w:val="auto"/>
          <w:sz w:val="20"/>
          <w:szCs w:val="20"/>
          <w:lang w:val="es-AR"/>
        </w:rPr>
        <w:t>u</w:t>
      </w:r>
      <w:r w:rsidR="001713E2" w:rsidRPr="00A4123C">
        <w:rPr>
          <w:color w:val="auto"/>
          <w:sz w:val="20"/>
          <w:szCs w:val="20"/>
          <w:lang w:val="es-AR"/>
        </w:rPr>
        <w:t>ó de manera individual por circunstancias ajenas</w:t>
      </w:r>
      <w:r w:rsidR="006738A5" w:rsidRPr="00A4123C">
        <w:rPr>
          <w:color w:val="auto"/>
          <w:sz w:val="20"/>
          <w:szCs w:val="20"/>
          <w:lang w:val="es-AR"/>
        </w:rPr>
        <w:t xml:space="preserve">, </w:t>
      </w:r>
      <w:r w:rsidR="001713E2" w:rsidRPr="00A4123C">
        <w:rPr>
          <w:color w:val="auto"/>
          <w:sz w:val="20"/>
          <w:szCs w:val="20"/>
          <w:lang w:val="es-AR"/>
        </w:rPr>
        <w:t>no se encontraba cumpliendo ninguna función</w:t>
      </w:r>
      <w:r w:rsidR="001E5182" w:rsidRPr="00A4123C">
        <w:rPr>
          <w:color w:val="auto"/>
          <w:sz w:val="20"/>
          <w:szCs w:val="20"/>
          <w:lang w:val="es-AR"/>
        </w:rPr>
        <w:t xml:space="preserve"> relacionada con el servicio, se encontraba en día de descanso</w:t>
      </w:r>
      <w:r w:rsidR="001713E2" w:rsidRPr="00A4123C">
        <w:rPr>
          <w:color w:val="auto"/>
          <w:sz w:val="20"/>
          <w:szCs w:val="20"/>
          <w:lang w:val="es-AR"/>
        </w:rPr>
        <w:t xml:space="preserve"> </w:t>
      </w:r>
      <w:r w:rsidR="006738A5" w:rsidRPr="00A4123C">
        <w:rPr>
          <w:noProof/>
          <w:color w:val="auto"/>
          <w:sz w:val="20"/>
          <w:szCs w:val="20"/>
          <w:lang w:val="es-VE"/>
        </w:rPr>
        <w:t>y no p</w:t>
      </w:r>
      <w:r w:rsidR="00861C57">
        <w:rPr>
          <w:noProof/>
          <w:color w:val="auto"/>
          <w:sz w:val="20"/>
          <w:szCs w:val="20"/>
          <w:lang w:val="es-VE"/>
        </w:rPr>
        <w:t>or</w:t>
      </w:r>
      <w:r w:rsidR="006738A5" w:rsidRPr="00A4123C">
        <w:rPr>
          <w:noProof/>
          <w:color w:val="auto"/>
          <w:sz w:val="20"/>
          <w:szCs w:val="20"/>
          <w:lang w:val="es-VE"/>
        </w:rPr>
        <w:t>taba armam</w:t>
      </w:r>
      <w:r w:rsidR="001E5182" w:rsidRPr="00A4123C">
        <w:rPr>
          <w:noProof/>
          <w:color w:val="auto"/>
          <w:sz w:val="20"/>
          <w:szCs w:val="20"/>
          <w:lang w:val="es-VE"/>
        </w:rPr>
        <w:t>e</w:t>
      </w:r>
      <w:r w:rsidR="006738A5" w:rsidRPr="00A4123C">
        <w:rPr>
          <w:noProof/>
          <w:color w:val="auto"/>
          <w:sz w:val="20"/>
          <w:szCs w:val="20"/>
          <w:lang w:val="es-VE"/>
        </w:rPr>
        <w:t>nt</w:t>
      </w:r>
      <w:r w:rsidR="001E5182" w:rsidRPr="00A4123C">
        <w:rPr>
          <w:noProof/>
          <w:color w:val="auto"/>
          <w:sz w:val="20"/>
          <w:szCs w:val="20"/>
          <w:lang w:val="es-VE"/>
        </w:rPr>
        <w:t>o</w:t>
      </w:r>
      <w:r w:rsidR="006738A5" w:rsidRPr="00A4123C">
        <w:rPr>
          <w:noProof/>
          <w:color w:val="auto"/>
          <w:sz w:val="20"/>
          <w:szCs w:val="20"/>
          <w:lang w:val="es-VE"/>
        </w:rPr>
        <w:t xml:space="preserve"> de dotaci</w:t>
      </w:r>
      <w:r w:rsidR="00861C57">
        <w:rPr>
          <w:noProof/>
          <w:color w:val="auto"/>
          <w:sz w:val="20"/>
          <w:szCs w:val="20"/>
          <w:lang w:val="es-VE"/>
        </w:rPr>
        <w:t>ó</w:t>
      </w:r>
      <w:r w:rsidR="006738A5" w:rsidRPr="00A4123C">
        <w:rPr>
          <w:noProof/>
          <w:color w:val="auto"/>
          <w:sz w:val="20"/>
          <w:szCs w:val="20"/>
          <w:lang w:val="es-VE"/>
        </w:rPr>
        <w:t>n oficial</w:t>
      </w:r>
      <w:r w:rsidR="00F21674" w:rsidRPr="00A4123C">
        <w:rPr>
          <w:color w:val="auto"/>
          <w:sz w:val="20"/>
          <w:szCs w:val="20"/>
          <w:lang w:val="es-AR"/>
        </w:rPr>
        <w:t>.</w:t>
      </w:r>
      <w:r w:rsidR="001E5182" w:rsidRPr="00A4123C">
        <w:rPr>
          <w:color w:val="auto"/>
          <w:sz w:val="20"/>
          <w:szCs w:val="20"/>
          <w:lang w:val="es-AR"/>
        </w:rPr>
        <w:t xml:space="preserve"> Sostiene que la familia apeló dicha decisión </w:t>
      </w:r>
      <w:r w:rsidR="006738A5" w:rsidRPr="00A4123C">
        <w:rPr>
          <w:color w:val="auto"/>
          <w:sz w:val="20"/>
          <w:szCs w:val="20"/>
          <w:lang w:val="es-VE"/>
        </w:rPr>
        <w:t>reiter</w:t>
      </w:r>
      <w:r w:rsidR="001E5182" w:rsidRPr="00A4123C">
        <w:rPr>
          <w:color w:val="auto"/>
          <w:sz w:val="20"/>
          <w:szCs w:val="20"/>
          <w:lang w:val="es-VE"/>
        </w:rPr>
        <w:t xml:space="preserve">ando </w:t>
      </w:r>
      <w:r w:rsidR="0010123A" w:rsidRPr="00A4123C">
        <w:rPr>
          <w:color w:val="auto"/>
          <w:sz w:val="20"/>
          <w:szCs w:val="20"/>
          <w:lang w:val="es-VE"/>
        </w:rPr>
        <w:t xml:space="preserve">sus </w:t>
      </w:r>
      <w:r w:rsidR="006738A5" w:rsidRPr="00A4123C">
        <w:rPr>
          <w:color w:val="auto"/>
          <w:sz w:val="20"/>
          <w:szCs w:val="20"/>
          <w:lang w:val="es-VE"/>
        </w:rPr>
        <w:t>argumentos</w:t>
      </w:r>
      <w:r w:rsidR="00FE5111" w:rsidRPr="00A4123C">
        <w:rPr>
          <w:color w:val="auto"/>
          <w:sz w:val="20"/>
          <w:szCs w:val="20"/>
          <w:lang w:val="es-VE"/>
        </w:rPr>
        <w:t xml:space="preserve"> y</w:t>
      </w:r>
      <w:r w:rsidR="001E5182" w:rsidRPr="00A4123C">
        <w:rPr>
          <w:color w:val="auto"/>
          <w:sz w:val="20"/>
          <w:szCs w:val="20"/>
          <w:lang w:val="es-VE"/>
        </w:rPr>
        <w:t xml:space="preserve"> afirm</w:t>
      </w:r>
      <w:r w:rsidR="00FE5111" w:rsidRPr="00A4123C">
        <w:rPr>
          <w:color w:val="auto"/>
          <w:sz w:val="20"/>
          <w:szCs w:val="20"/>
          <w:lang w:val="es-VE"/>
        </w:rPr>
        <w:t>a</w:t>
      </w:r>
      <w:r w:rsidR="00861C57">
        <w:rPr>
          <w:color w:val="auto"/>
          <w:sz w:val="20"/>
          <w:szCs w:val="20"/>
          <w:lang w:val="es-VE"/>
        </w:rPr>
        <w:t>ndo</w:t>
      </w:r>
      <w:r w:rsidR="00FE5111" w:rsidRPr="00A4123C">
        <w:rPr>
          <w:color w:val="auto"/>
          <w:sz w:val="20"/>
          <w:szCs w:val="20"/>
          <w:lang w:val="es-VE"/>
        </w:rPr>
        <w:t xml:space="preserve"> </w:t>
      </w:r>
      <w:r w:rsidR="00861C57" w:rsidRPr="00A4123C">
        <w:rPr>
          <w:color w:val="auto"/>
          <w:sz w:val="20"/>
          <w:szCs w:val="20"/>
          <w:lang w:val="es-VE"/>
        </w:rPr>
        <w:t xml:space="preserve">en particular </w:t>
      </w:r>
      <w:r w:rsidR="001E5182" w:rsidRPr="00A4123C">
        <w:rPr>
          <w:color w:val="auto"/>
          <w:sz w:val="20"/>
          <w:szCs w:val="20"/>
          <w:lang w:val="es-VE"/>
        </w:rPr>
        <w:t xml:space="preserve">que </w:t>
      </w:r>
      <w:r w:rsidR="001713E2" w:rsidRPr="00A4123C">
        <w:rPr>
          <w:color w:val="auto"/>
          <w:sz w:val="20"/>
          <w:szCs w:val="20"/>
          <w:lang w:val="es-AR"/>
        </w:rPr>
        <w:t>el día</w:t>
      </w:r>
      <w:r w:rsidR="001E5182" w:rsidRPr="00A4123C">
        <w:rPr>
          <w:color w:val="auto"/>
          <w:sz w:val="20"/>
          <w:szCs w:val="20"/>
          <w:lang w:val="es-AR"/>
        </w:rPr>
        <w:t xml:space="preserve"> que ocurrieron los hechos</w:t>
      </w:r>
      <w:r w:rsidR="001713E2" w:rsidRPr="00A4123C">
        <w:rPr>
          <w:color w:val="auto"/>
          <w:sz w:val="20"/>
          <w:szCs w:val="20"/>
          <w:lang w:val="es-AR"/>
        </w:rPr>
        <w:t xml:space="preserve"> le correspondía al agente prestar sus servicios como Centinela </w:t>
      </w:r>
      <w:r w:rsidR="001713E2" w:rsidRPr="006738A5">
        <w:rPr>
          <w:sz w:val="20"/>
          <w:szCs w:val="20"/>
          <w:lang w:val="es-AR"/>
        </w:rPr>
        <w:t>y como Comandante de Guardia no obstante el comandante de la policía le permitió tomar bebidas alcohólicas</w:t>
      </w:r>
      <w:r w:rsidR="001E5182">
        <w:rPr>
          <w:sz w:val="20"/>
          <w:szCs w:val="20"/>
          <w:lang w:val="es-AR"/>
        </w:rPr>
        <w:t xml:space="preserve">, </w:t>
      </w:r>
      <w:r w:rsidR="00FE5111">
        <w:rPr>
          <w:sz w:val="20"/>
          <w:szCs w:val="20"/>
          <w:lang w:val="es-AR"/>
        </w:rPr>
        <w:t xml:space="preserve">lo cual desenlazó en una </w:t>
      </w:r>
      <w:r w:rsidR="001713E2" w:rsidRPr="006738A5">
        <w:rPr>
          <w:sz w:val="20"/>
          <w:szCs w:val="20"/>
          <w:lang w:val="es-AR"/>
        </w:rPr>
        <w:t>conducta criminal qu</w:t>
      </w:r>
      <w:r w:rsidR="00FE5111">
        <w:rPr>
          <w:sz w:val="20"/>
          <w:szCs w:val="20"/>
          <w:lang w:val="es-AR"/>
        </w:rPr>
        <w:t>e</w:t>
      </w:r>
      <w:r w:rsidR="001713E2" w:rsidRPr="006738A5">
        <w:rPr>
          <w:sz w:val="20"/>
          <w:szCs w:val="20"/>
          <w:lang w:val="es-AR"/>
        </w:rPr>
        <w:t xml:space="preserve"> se hubiera podido </w:t>
      </w:r>
      <w:r w:rsidR="001713E2" w:rsidRPr="006738A5">
        <w:rPr>
          <w:sz w:val="20"/>
          <w:szCs w:val="20"/>
          <w:lang w:val="es-AR"/>
        </w:rPr>
        <w:lastRenderedPageBreak/>
        <w:t>evitar o prevenir</w:t>
      </w:r>
      <w:r w:rsidR="006738A5" w:rsidRPr="006738A5">
        <w:rPr>
          <w:sz w:val="20"/>
          <w:szCs w:val="20"/>
          <w:lang w:val="es-AR"/>
        </w:rPr>
        <w:t xml:space="preserve">. </w:t>
      </w:r>
      <w:r w:rsidR="001E5182">
        <w:rPr>
          <w:sz w:val="20"/>
          <w:szCs w:val="20"/>
          <w:lang w:val="es-AR"/>
        </w:rPr>
        <w:t xml:space="preserve">En este sentido, la parte peticionaria </w:t>
      </w:r>
      <w:r w:rsidR="00FE5111">
        <w:rPr>
          <w:sz w:val="20"/>
          <w:szCs w:val="20"/>
          <w:lang w:val="es-AR"/>
        </w:rPr>
        <w:t>sostiene</w:t>
      </w:r>
      <w:r w:rsidR="001E5182">
        <w:rPr>
          <w:sz w:val="20"/>
          <w:szCs w:val="20"/>
          <w:lang w:val="es-AR"/>
        </w:rPr>
        <w:t xml:space="preserve"> que no solo hubo falla de servicio por las acciones del agente sino también por e</w:t>
      </w:r>
      <w:r w:rsidR="001713E2" w:rsidRPr="006738A5">
        <w:rPr>
          <w:sz w:val="20"/>
          <w:szCs w:val="20"/>
          <w:lang w:val="es-AR"/>
        </w:rPr>
        <w:t xml:space="preserve">l </w:t>
      </w:r>
      <w:r w:rsidR="00FE5111" w:rsidRPr="006738A5">
        <w:rPr>
          <w:sz w:val="20"/>
          <w:szCs w:val="20"/>
          <w:lang w:val="es-AR"/>
        </w:rPr>
        <w:t>comandante</w:t>
      </w:r>
      <w:r w:rsidR="001713E2" w:rsidRPr="006738A5">
        <w:rPr>
          <w:sz w:val="20"/>
          <w:szCs w:val="20"/>
          <w:lang w:val="es-AR"/>
        </w:rPr>
        <w:t xml:space="preserve"> del puesto de po</w:t>
      </w:r>
      <w:r w:rsidR="001E5182">
        <w:rPr>
          <w:sz w:val="20"/>
          <w:szCs w:val="20"/>
          <w:lang w:val="es-AR"/>
        </w:rPr>
        <w:t>l</w:t>
      </w:r>
      <w:r w:rsidR="001713E2" w:rsidRPr="006738A5">
        <w:rPr>
          <w:sz w:val="20"/>
          <w:szCs w:val="20"/>
          <w:lang w:val="es-AR"/>
        </w:rPr>
        <w:t>ic</w:t>
      </w:r>
      <w:r w:rsidR="001E5182">
        <w:rPr>
          <w:sz w:val="20"/>
          <w:szCs w:val="20"/>
          <w:lang w:val="es-AR"/>
        </w:rPr>
        <w:t>í</w:t>
      </w:r>
      <w:r w:rsidR="001713E2" w:rsidRPr="006738A5">
        <w:rPr>
          <w:sz w:val="20"/>
          <w:szCs w:val="20"/>
          <w:lang w:val="es-AR"/>
        </w:rPr>
        <w:t>a del Corregimiento de Zarago</w:t>
      </w:r>
      <w:r w:rsidR="001E5182">
        <w:rPr>
          <w:sz w:val="20"/>
          <w:szCs w:val="20"/>
          <w:lang w:val="es-AR"/>
        </w:rPr>
        <w:t>z</w:t>
      </w:r>
      <w:r w:rsidR="001713E2" w:rsidRPr="006738A5">
        <w:rPr>
          <w:sz w:val="20"/>
          <w:szCs w:val="20"/>
          <w:lang w:val="es-AR"/>
        </w:rPr>
        <w:t>a</w:t>
      </w:r>
      <w:r w:rsidR="001E5182">
        <w:rPr>
          <w:sz w:val="20"/>
          <w:szCs w:val="20"/>
          <w:lang w:val="es-AR"/>
        </w:rPr>
        <w:t xml:space="preserve"> quien</w:t>
      </w:r>
      <w:r w:rsidR="001713E2" w:rsidRPr="006738A5">
        <w:rPr>
          <w:sz w:val="20"/>
          <w:szCs w:val="20"/>
          <w:lang w:val="es-AR"/>
        </w:rPr>
        <w:t xml:space="preserve"> no cumpli</w:t>
      </w:r>
      <w:r w:rsidR="001E5182">
        <w:rPr>
          <w:sz w:val="20"/>
          <w:szCs w:val="20"/>
          <w:lang w:val="es-AR"/>
        </w:rPr>
        <w:t xml:space="preserve">ó </w:t>
      </w:r>
      <w:r w:rsidR="001713E2" w:rsidRPr="006738A5">
        <w:rPr>
          <w:sz w:val="20"/>
          <w:szCs w:val="20"/>
          <w:lang w:val="es-AR"/>
        </w:rPr>
        <w:t xml:space="preserve">con sus funciones </w:t>
      </w:r>
      <w:r w:rsidR="001713E2" w:rsidRPr="006738A5">
        <w:rPr>
          <w:sz w:val="20"/>
          <w:szCs w:val="20"/>
          <w:lang w:val="es-VE"/>
        </w:rPr>
        <w:t xml:space="preserve">y luego </w:t>
      </w:r>
      <w:r w:rsidR="00FE5111" w:rsidRPr="00861C57">
        <w:rPr>
          <w:sz w:val="20"/>
          <w:szCs w:val="20"/>
          <w:lang w:val="es-VE"/>
        </w:rPr>
        <w:t xml:space="preserve">despachó al oficial </w:t>
      </w:r>
      <w:r w:rsidR="001713E2" w:rsidRPr="00861C57">
        <w:rPr>
          <w:sz w:val="20"/>
          <w:szCs w:val="20"/>
          <w:lang w:val="es-VE"/>
        </w:rPr>
        <w:t>a su casa sin percatarse del riesgo o peligrosidad que ello representaba</w:t>
      </w:r>
      <w:r w:rsidR="006738A5" w:rsidRPr="00861C57">
        <w:rPr>
          <w:sz w:val="20"/>
          <w:szCs w:val="20"/>
          <w:lang w:val="es-VE"/>
        </w:rPr>
        <w:t xml:space="preserve">. </w:t>
      </w:r>
    </w:p>
    <w:p w14:paraId="17B46EEA" w14:textId="569DE097" w:rsidR="006738A5" w:rsidRPr="00861C57" w:rsidRDefault="001E5182" w:rsidP="00002E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861C57">
        <w:rPr>
          <w:rFonts w:ascii="Cambria" w:hAnsi="Cambria"/>
          <w:sz w:val="20"/>
          <w:szCs w:val="20"/>
          <w:lang w:val="es-AR"/>
        </w:rPr>
        <w:t xml:space="preserve">Al respecto, detalla que </w:t>
      </w:r>
      <w:r w:rsidR="00F21674" w:rsidRPr="00861C57">
        <w:rPr>
          <w:rFonts w:ascii="Cambria" w:hAnsi="Cambria"/>
          <w:sz w:val="20"/>
          <w:szCs w:val="20"/>
          <w:lang w:val="es-AR"/>
        </w:rPr>
        <w:t xml:space="preserve">el Consejo de Estado </w:t>
      </w:r>
      <w:r w:rsidRPr="00861C57">
        <w:rPr>
          <w:rFonts w:ascii="Cambria" w:hAnsi="Cambria"/>
          <w:sz w:val="20"/>
          <w:szCs w:val="20"/>
          <w:lang w:val="es-AR"/>
        </w:rPr>
        <w:t xml:space="preserve">confirmó la decisión apelada </w:t>
      </w:r>
      <w:r w:rsidR="00F21674" w:rsidRPr="00861C57">
        <w:rPr>
          <w:rFonts w:ascii="Cambria" w:hAnsi="Cambria"/>
          <w:sz w:val="20"/>
          <w:szCs w:val="20"/>
          <w:lang w:val="es-AR"/>
        </w:rPr>
        <w:t>el 26 de mayo de 2010</w:t>
      </w:r>
      <w:r w:rsidRPr="00861C57">
        <w:rPr>
          <w:rFonts w:ascii="Cambria" w:hAnsi="Cambria"/>
          <w:sz w:val="20"/>
          <w:szCs w:val="20"/>
          <w:lang w:val="es-AR"/>
        </w:rPr>
        <w:t xml:space="preserve"> y quedó ejecutoriada el 11 de junio de 2010 de acuerdo al edicto que notificó la misma</w:t>
      </w:r>
      <w:r w:rsidR="00F21674" w:rsidRPr="00861C57">
        <w:rPr>
          <w:rFonts w:ascii="Cambria" w:hAnsi="Cambria"/>
          <w:sz w:val="20"/>
          <w:szCs w:val="20"/>
          <w:lang w:val="es-AR"/>
        </w:rPr>
        <w:t xml:space="preserve">. </w:t>
      </w:r>
      <w:r w:rsidR="00DF1682" w:rsidRPr="00861C57">
        <w:rPr>
          <w:rFonts w:ascii="Cambria" w:hAnsi="Cambria"/>
          <w:sz w:val="20"/>
          <w:szCs w:val="20"/>
          <w:lang w:val="es-AR"/>
        </w:rPr>
        <w:t xml:space="preserve">Alega que el Consejo de Estado desconoció su reiterada </w:t>
      </w:r>
      <w:r w:rsidRPr="00861C57">
        <w:rPr>
          <w:rFonts w:ascii="Cambria" w:hAnsi="Cambria"/>
          <w:sz w:val="20"/>
          <w:szCs w:val="20"/>
          <w:lang w:val="es-AR"/>
        </w:rPr>
        <w:t>jurisprudencia</w:t>
      </w:r>
      <w:r w:rsidR="00DF1682" w:rsidRPr="00861C57">
        <w:rPr>
          <w:rFonts w:ascii="Cambria" w:hAnsi="Cambria"/>
          <w:sz w:val="20"/>
          <w:szCs w:val="20"/>
          <w:lang w:val="es-AR"/>
        </w:rPr>
        <w:t xml:space="preserve"> en casos similares</w:t>
      </w:r>
      <w:r w:rsidRPr="00861C57">
        <w:rPr>
          <w:rFonts w:ascii="Cambria" w:hAnsi="Cambria"/>
          <w:sz w:val="20"/>
          <w:szCs w:val="20"/>
          <w:lang w:val="es-AR"/>
        </w:rPr>
        <w:t xml:space="preserve"> </w:t>
      </w:r>
      <w:r w:rsidR="004A61D2" w:rsidRPr="00861C57">
        <w:rPr>
          <w:rFonts w:ascii="Cambria" w:hAnsi="Cambria"/>
          <w:sz w:val="20"/>
          <w:szCs w:val="20"/>
          <w:lang w:val="es-AR"/>
        </w:rPr>
        <w:t>en razón de la cual el Estado es responsable por fallas en el servicio público así el agente agresor esté fuera de servicio público, excusado, en franquicia o de vacaciones</w:t>
      </w:r>
      <w:r w:rsidR="00861C57" w:rsidRPr="00861C57">
        <w:rPr>
          <w:rFonts w:ascii="Cambria" w:hAnsi="Cambria"/>
          <w:sz w:val="20"/>
          <w:szCs w:val="20"/>
          <w:lang w:val="es-AR"/>
        </w:rPr>
        <w:t xml:space="preserve"> a</w:t>
      </w:r>
      <w:r w:rsidR="004A61D2" w:rsidRPr="00861C57">
        <w:rPr>
          <w:rFonts w:ascii="Cambria" w:hAnsi="Cambria"/>
          <w:sz w:val="20"/>
          <w:szCs w:val="20"/>
          <w:lang w:val="es-AR"/>
        </w:rPr>
        <w:t xml:space="preserve">sí </w:t>
      </w:r>
      <w:r w:rsidR="00861C57" w:rsidRPr="00861C57">
        <w:rPr>
          <w:rFonts w:ascii="Cambria" w:hAnsi="Cambria"/>
          <w:sz w:val="20"/>
          <w:szCs w:val="20"/>
          <w:lang w:val="es-AR"/>
        </w:rPr>
        <w:t xml:space="preserve">cometiera el delito </w:t>
      </w:r>
      <w:r w:rsidR="004A61D2" w:rsidRPr="00861C57">
        <w:rPr>
          <w:rFonts w:ascii="Cambria" w:hAnsi="Cambria"/>
          <w:sz w:val="20"/>
          <w:szCs w:val="20"/>
          <w:lang w:val="es-AR"/>
        </w:rPr>
        <w:t>con un arma no oficial</w:t>
      </w:r>
      <w:r w:rsidR="00584B46">
        <w:rPr>
          <w:rStyle w:val="FootnoteReference"/>
          <w:rFonts w:ascii="Cambria" w:hAnsi="Cambria"/>
          <w:sz w:val="20"/>
          <w:szCs w:val="20"/>
          <w:lang w:val="es-AR"/>
        </w:rPr>
        <w:footnoteReference w:id="8"/>
      </w:r>
      <w:r w:rsidR="0059065D" w:rsidRPr="00F67B65">
        <w:rPr>
          <w:rFonts w:ascii="Cambria" w:hAnsi="Cambria"/>
          <w:sz w:val="20"/>
          <w:szCs w:val="20"/>
          <w:lang w:val="es-AR"/>
        </w:rPr>
        <w:t xml:space="preserve">. </w:t>
      </w:r>
      <w:r w:rsidR="00861C57" w:rsidRPr="00F67B65">
        <w:rPr>
          <w:rFonts w:ascii="Cambria" w:hAnsi="Cambria"/>
          <w:sz w:val="20"/>
          <w:szCs w:val="20"/>
          <w:lang w:val="es-AR"/>
        </w:rPr>
        <w:t xml:space="preserve">Argumenta que las autoridades judiciales </w:t>
      </w:r>
      <w:r w:rsidR="00861C57" w:rsidRPr="00584B46">
        <w:rPr>
          <w:rFonts w:ascii="Cambria" w:hAnsi="Cambria"/>
          <w:sz w:val="20"/>
          <w:szCs w:val="20"/>
          <w:lang w:val="es-AR"/>
        </w:rPr>
        <w:t>“pasaron por encima” (no valoraron) los medios de prueba actuando de manera arbitraria y que hay “consigna a los jueces administrativos por parte del ejecutivo” para que no condenen al Estado, en tanto a pesar que en las mayorías de las audiencias judiciales los funcionarios públicos no asistieron igual solicitan dinero para gastos de audiencias.</w:t>
      </w:r>
    </w:p>
    <w:p w14:paraId="6498C6ED" w14:textId="0E3FD458" w:rsidR="00BA6BA2" w:rsidRPr="002533B9" w:rsidRDefault="00BA6BA2" w:rsidP="002533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61C57">
        <w:rPr>
          <w:rFonts w:ascii="Cambria" w:hAnsi="Cambria"/>
          <w:sz w:val="20"/>
          <w:szCs w:val="20"/>
          <w:lang w:val="es-AR"/>
        </w:rPr>
        <w:t xml:space="preserve">Por su parte el Estado </w:t>
      </w:r>
      <w:r w:rsidR="00F302FB" w:rsidRPr="00861C57">
        <w:rPr>
          <w:rFonts w:ascii="Cambria" w:hAnsi="Cambria"/>
          <w:sz w:val="20"/>
          <w:szCs w:val="20"/>
          <w:lang w:val="es-AR"/>
        </w:rPr>
        <w:t>resalta que en el caso particular se evidencia una ausencia de violaciones a las garantías consagradas en la C</w:t>
      </w:r>
      <w:r w:rsidR="00D3025A" w:rsidRPr="00861C57">
        <w:rPr>
          <w:rFonts w:ascii="Cambria" w:hAnsi="Cambria"/>
          <w:sz w:val="20"/>
          <w:szCs w:val="20"/>
          <w:lang w:val="es-AR"/>
        </w:rPr>
        <w:t xml:space="preserve">onvención Americana. Sostiene que la parte </w:t>
      </w:r>
      <w:r w:rsidR="00F302FB" w:rsidRPr="00861C57">
        <w:rPr>
          <w:rFonts w:ascii="Cambria" w:hAnsi="Cambria"/>
          <w:sz w:val="20"/>
          <w:szCs w:val="20"/>
          <w:lang w:val="es-AR"/>
        </w:rPr>
        <w:t>peticionari</w:t>
      </w:r>
      <w:r w:rsidR="00D3025A" w:rsidRPr="00861C57">
        <w:rPr>
          <w:rFonts w:ascii="Cambria" w:hAnsi="Cambria"/>
          <w:sz w:val="20"/>
          <w:szCs w:val="20"/>
          <w:lang w:val="es-AR"/>
        </w:rPr>
        <w:t>a</w:t>
      </w:r>
      <w:r w:rsidR="00F302FB" w:rsidRPr="00861C57">
        <w:rPr>
          <w:rFonts w:ascii="Cambria" w:hAnsi="Cambria"/>
          <w:sz w:val="20"/>
          <w:szCs w:val="20"/>
          <w:lang w:val="es-AR"/>
        </w:rPr>
        <w:t xml:space="preserve"> </w:t>
      </w:r>
      <w:r w:rsidR="00D3025A" w:rsidRPr="00861C57">
        <w:rPr>
          <w:rFonts w:ascii="Cambria" w:hAnsi="Cambria"/>
          <w:sz w:val="20"/>
          <w:szCs w:val="20"/>
          <w:lang w:val="es-AR"/>
        </w:rPr>
        <w:t xml:space="preserve">solo </w:t>
      </w:r>
      <w:r w:rsidR="00F302FB" w:rsidRPr="00861C57">
        <w:rPr>
          <w:rFonts w:ascii="Cambria" w:hAnsi="Cambria"/>
          <w:sz w:val="20"/>
          <w:szCs w:val="20"/>
          <w:lang w:val="es-AR"/>
        </w:rPr>
        <w:t>manifiesta su inconformidad con los fallos proferidos a nivel interno y alega la comisión de</w:t>
      </w:r>
      <w:r w:rsidR="00F302FB" w:rsidRPr="007D153E">
        <w:rPr>
          <w:rFonts w:ascii="Cambria" w:hAnsi="Cambria"/>
          <w:sz w:val="20"/>
          <w:szCs w:val="20"/>
          <w:lang w:val="es-AR"/>
        </w:rPr>
        <w:t xml:space="preserve"> supuestos errores judiciales por parte los jueces nacionales</w:t>
      </w:r>
      <w:r w:rsidR="00D3025A">
        <w:rPr>
          <w:rFonts w:ascii="Cambria" w:hAnsi="Cambria"/>
          <w:sz w:val="20"/>
          <w:szCs w:val="20"/>
          <w:lang w:val="es-AR"/>
        </w:rPr>
        <w:t>, s</w:t>
      </w:r>
      <w:r w:rsidR="00F302FB" w:rsidRPr="007D153E">
        <w:rPr>
          <w:rFonts w:ascii="Cambria" w:hAnsi="Cambria"/>
          <w:sz w:val="20"/>
          <w:szCs w:val="20"/>
          <w:lang w:val="es-AR"/>
        </w:rPr>
        <w:t>in embargo, no logra demostrar que alguno de los presuntos errores hubiese vulnerado algún derecho contenido en la Convención.</w:t>
      </w:r>
      <w:r w:rsidR="002533B9">
        <w:rPr>
          <w:rFonts w:ascii="Cambria" w:hAnsi="Cambria"/>
          <w:sz w:val="20"/>
          <w:szCs w:val="20"/>
          <w:lang w:val="es-AR"/>
        </w:rPr>
        <w:t xml:space="preserve"> </w:t>
      </w:r>
      <w:r w:rsidR="002533B9" w:rsidRPr="00F302FB">
        <w:rPr>
          <w:rFonts w:ascii="Cambria" w:hAnsi="Cambria"/>
          <w:sz w:val="20"/>
          <w:szCs w:val="20"/>
          <w:lang w:val="es-AR"/>
        </w:rPr>
        <w:t>En consecuencia, la petición de la referencia resulta inadmisible conforme con el artículo 47.b de la CADH, por incurrir en la fórmula de la cuarta instancia internacional.</w:t>
      </w:r>
    </w:p>
    <w:p w14:paraId="545D195B" w14:textId="679AE8F4" w:rsidR="00DC6A6C" w:rsidRPr="005629DA" w:rsidRDefault="00F67B65" w:rsidP="00834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w:t>
      </w:r>
      <w:r w:rsidR="00F302FB" w:rsidRPr="005629DA">
        <w:rPr>
          <w:rFonts w:ascii="Cambria" w:hAnsi="Cambria"/>
          <w:sz w:val="20"/>
          <w:szCs w:val="20"/>
          <w:lang w:val="es-AR"/>
        </w:rPr>
        <w:t xml:space="preserve"> </w:t>
      </w:r>
      <w:r w:rsidR="00C70A02">
        <w:rPr>
          <w:rFonts w:ascii="Cambria" w:hAnsi="Cambria"/>
          <w:sz w:val="20"/>
          <w:szCs w:val="20"/>
          <w:lang w:val="es-AR"/>
        </w:rPr>
        <w:t xml:space="preserve">relación con </w:t>
      </w:r>
      <w:r w:rsidR="00F302FB" w:rsidRPr="005629DA">
        <w:rPr>
          <w:rFonts w:ascii="Cambria" w:hAnsi="Cambria"/>
          <w:sz w:val="20"/>
          <w:szCs w:val="20"/>
          <w:lang w:val="es-AR"/>
        </w:rPr>
        <w:t>el proceso penal</w:t>
      </w:r>
      <w:r>
        <w:rPr>
          <w:rFonts w:ascii="Cambria" w:hAnsi="Cambria"/>
          <w:sz w:val="20"/>
          <w:szCs w:val="20"/>
          <w:lang w:val="es-AR"/>
        </w:rPr>
        <w:t xml:space="preserve"> sostiene que</w:t>
      </w:r>
      <w:r w:rsidR="00D3025A" w:rsidRPr="005629DA">
        <w:rPr>
          <w:rFonts w:ascii="Cambria" w:hAnsi="Cambria"/>
          <w:sz w:val="20"/>
          <w:szCs w:val="20"/>
          <w:lang w:val="es-AR"/>
        </w:rPr>
        <w:t xml:space="preserve">, </w:t>
      </w:r>
      <w:r w:rsidR="00235998" w:rsidRPr="005629DA">
        <w:rPr>
          <w:rFonts w:ascii="Cambria" w:hAnsi="Cambria"/>
          <w:sz w:val="20"/>
          <w:szCs w:val="20"/>
          <w:lang w:val="es-AR"/>
        </w:rPr>
        <w:t>la decisión absolutoria no es objeto de reproche por parte de los peticionarios en el marco del presente trámite internacional.</w:t>
      </w:r>
      <w:r w:rsidR="00D3025A" w:rsidRPr="005629DA">
        <w:rPr>
          <w:rFonts w:ascii="Cambria" w:hAnsi="Cambria"/>
          <w:sz w:val="20"/>
          <w:szCs w:val="20"/>
          <w:lang w:val="es-AR"/>
        </w:rPr>
        <w:t xml:space="preserve"> </w:t>
      </w:r>
      <w:r w:rsidR="00C70A02">
        <w:rPr>
          <w:rFonts w:ascii="Cambria" w:hAnsi="Cambria"/>
          <w:sz w:val="20"/>
          <w:szCs w:val="20"/>
          <w:lang w:val="es-AR"/>
        </w:rPr>
        <w:t>No obstante, a</w:t>
      </w:r>
      <w:r w:rsidR="00D3025A" w:rsidRPr="005629DA">
        <w:rPr>
          <w:rFonts w:ascii="Cambria" w:hAnsi="Cambria"/>
          <w:sz w:val="20"/>
          <w:szCs w:val="20"/>
          <w:lang w:val="es-AR"/>
        </w:rPr>
        <w:t xml:space="preserve">lega que se preservaron los derechos al debido proceso lo cual se evidencia de la razonabilidad de las decisiones tomadas a nivel interno por las autoridades penales. </w:t>
      </w:r>
      <w:r w:rsidR="00C70A02">
        <w:rPr>
          <w:rFonts w:ascii="Cambria" w:hAnsi="Cambria"/>
          <w:sz w:val="20"/>
          <w:szCs w:val="20"/>
          <w:lang w:val="es-AR"/>
        </w:rPr>
        <w:t xml:space="preserve">Afirma que </w:t>
      </w:r>
      <w:r w:rsidR="001F1D88" w:rsidRPr="005629DA">
        <w:rPr>
          <w:rFonts w:ascii="Cambria" w:hAnsi="Cambria"/>
          <w:sz w:val="20"/>
          <w:szCs w:val="20"/>
          <w:lang w:val="es-AR"/>
        </w:rPr>
        <w:t>l</w:t>
      </w:r>
      <w:r w:rsidR="00DC6A6C" w:rsidRPr="005629DA">
        <w:rPr>
          <w:rFonts w:ascii="Cambria" w:hAnsi="Cambria"/>
          <w:sz w:val="20"/>
          <w:szCs w:val="20"/>
          <w:lang w:val="es-AR"/>
        </w:rPr>
        <w:t xml:space="preserve">as labores de investigación en relación con la muerte del menor Víctor Hugo Rivas se iniciaron desde la fecha del conocimiento de los hechos, y se dirigieron de forma lineal e ininterrumpida hacía la recolección del material probatorio documental, testimonial y técnico necesario para el establecimiento de los responsables. </w:t>
      </w:r>
      <w:r w:rsidR="007561A2" w:rsidRPr="005629DA">
        <w:rPr>
          <w:rFonts w:ascii="Cambria" w:hAnsi="Cambria"/>
          <w:sz w:val="20"/>
          <w:szCs w:val="20"/>
          <w:lang w:val="es-AR"/>
        </w:rPr>
        <w:t>En ese sentido afirma que l</w:t>
      </w:r>
      <w:r w:rsidR="001F1D88" w:rsidRPr="005629DA">
        <w:rPr>
          <w:rFonts w:ascii="Cambria" w:hAnsi="Cambria"/>
          <w:sz w:val="20"/>
          <w:szCs w:val="20"/>
          <w:lang w:val="es-AR"/>
        </w:rPr>
        <w:t>a decisión del Juzgado Segundo Penal del Circuito Penal de Cartago estuvo fundada en la valoración del acervo probatorio que fue juiciosa y oportunamente recaudado; las inconsistencias e incongruencias de los testigos directos en su relato de los hechos; así como en la imposibilidad jurídica de responsabilizar al agente de policía Edison Londoño Franco como autor material del homicidio del menor Víctor Hugo Rivas Flor</w:t>
      </w:r>
      <w:r w:rsidR="005629DA" w:rsidRPr="005629DA">
        <w:rPr>
          <w:rFonts w:ascii="Cambria" w:hAnsi="Cambria"/>
          <w:sz w:val="20"/>
          <w:szCs w:val="20"/>
          <w:lang w:val="es-AR"/>
        </w:rPr>
        <w:t>.</w:t>
      </w:r>
      <w:r w:rsidR="00C70A02">
        <w:rPr>
          <w:rFonts w:ascii="Cambria" w:hAnsi="Cambria"/>
          <w:sz w:val="20"/>
          <w:szCs w:val="20"/>
          <w:lang w:val="es-AR"/>
        </w:rPr>
        <w:t xml:space="preserve"> Asimismo, </w:t>
      </w:r>
      <w:r w:rsidR="00DC6A6C" w:rsidRPr="005629DA">
        <w:rPr>
          <w:rFonts w:ascii="Cambria" w:hAnsi="Cambria"/>
          <w:sz w:val="20"/>
          <w:szCs w:val="20"/>
          <w:lang w:val="es-AR"/>
        </w:rPr>
        <w:t xml:space="preserve">destaca </w:t>
      </w:r>
      <w:r w:rsidRPr="005629DA">
        <w:rPr>
          <w:rFonts w:ascii="Cambria" w:hAnsi="Cambria"/>
          <w:sz w:val="20"/>
          <w:szCs w:val="20"/>
          <w:lang w:val="es-AR"/>
        </w:rPr>
        <w:t>que,</w:t>
      </w:r>
      <w:r w:rsidR="00DC6A6C" w:rsidRPr="005629DA">
        <w:rPr>
          <w:rFonts w:ascii="Cambria" w:hAnsi="Cambria"/>
          <w:sz w:val="20"/>
          <w:szCs w:val="20"/>
          <w:lang w:val="es-AR"/>
        </w:rPr>
        <w:t xml:space="preserve"> si bien se profirió sentencia absolutoria a favor del agente Londoño, la responsabilidad de Wilfrido O</w:t>
      </w:r>
      <w:r w:rsidR="000C6E72">
        <w:rPr>
          <w:rFonts w:ascii="Cambria" w:hAnsi="Cambria"/>
          <w:sz w:val="20"/>
          <w:szCs w:val="20"/>
          <w:lang w:val="es-AR"/>
        </w:rPr>
        <w:t>sori</w:t>
      </w:r>
      <w:r w:rsidR="00DC6A6C" w:rsidRPr="005629DA">
        <w:rPr>
          <w:rFonts w:ascii="Cambria" w:hAnsi="Cambria"/>
          <w:sz w:val="20"/>
          <w:szCs w:val="20"/>
          <w:lang w:val="es-AR"/>
        </w:rPr>
        <w:t>o tampoco fue demostrada</w:t>
      </w:r>
      <w:r w:rsidR="00C70A02">
        <w:rPr>
          <w:rFonts w:ascii="Cambria" w:hAnsi="Cambria"/>
          <w:sz w:val="20"/>
          <w:szCs w:val="20"/>
          <w:lang w:val="es-AR"/>
        </w:rPr>
        <w:t xml:space="preserve"> y, p</w:t>
      </w:r>
      <w:r w:rsidR="00DC6A6C" w:rsidRPr="005629DA">
        <w:rPr>
          <w:rFonts w:ascii="Cambria" w:hAnsi="Cambria"/>
          <w:sz w:val="20"/>
          <w:szCs w:val="20"/>
          <w:lang w:val="es-AR"/>
        </w:rPr>
        <w:t>or lo contrario, la Fiscalía General de la Nación había proferido preclusión de la investigación a su favor</w:t>
      </w:r>
      <w:r w:rsidR="00C70A02" w:rsidRPr="00C70A02">
        <w:rPr>
          <w:rFonts w:ascii="Cambria" w:hAnsi="Cambria"/>
          <w:sz w:val="20"/>
          <w:szCs w:val="20"/>
          <w:lang w:val="es-AR"/>
        </w:rPr>
        <w:t xml:space="preserve"> </w:t>
      </w:r>
      <w:r w:rsidR="00C70A02" w:rsidRPr="005629DA">
        <w:rPr>
          <w:rFonts w:ascii="Cambria" w:hAnsi="Cambria"/>
          <w:sz w:val="20"/>
          <w:szCs w:val="20"/>
          <w:lang w:val="es-AR"/>
        </w:rPr>
        <w:t>desde junio de 1997</w:t>
      </w:r>
      <w:r w:rsidR="00C70A02">
        <w:rPr>
          <w:rFonts w:ascii="Cambria" w:hAnsi="Cambria"/>
          <w:sz w:val="20"/>
          <w:szCs w:val="20"/>
          <w:lang w:val="es-AR"/>
        </w:rPr>
        <w:t xml:space="preserve">, </w:t>
      </w:r>
      <w:r w:rsidR="00DC6A6C" w:rsidRPr="005629DA">
        <w:rPr>
          <w:rFonts w:ascii="Cambria" w:hAnsi="Cambria"/>
          <w:sz w:val="20"/>
          <w:szCs w:val="20"/>
          <w:lang w:val="es-AR"/>
        </w:rPr>
        <w:t>en respeto de las garantías convencionales.</w:t>
      </w:r>
    </w:p>
    <w:p w14:paraId="068DB848" w14:textId="46505F68" w:rsidR="007D153E" w:rsidRPr="00A4123C" w:rsidRDefault="002533B9" w:rsidP="006C43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4123C">
        <w:rPr>
          <w:rFonts w:ascii="Cambria" w:hAnsi="Cambria"/>
          <w:sz w:val="20"/>
          <w:szCs w:val="20"/>
          <w:lang w:val="es-AR"/>
        </w:rPr>
        <w:t xml:space="preserve">En el mismo sentido, el Estado destaca que, en </w:t>
      </w:r>
      <w:r w:rsidR="009E0BBB" w:rsidRPr="00A4123C">
        <w:rPr>
          <w:rFonts w:ascii="Cambria" w:hAnsi="Cambria"/>
          <w:sz w:val="20"/>
          <w:szCs w:val="20"/>
          <w:lang w:val="es-AR"/>
        </w:rPr>
        <w:t>relación a</w:t>
      </w:r>
      <w:r w:rsidRPr="00A4123C">
        <w:rPr>
          <w:rFonts w:ascii="Cambria" w:hAnsi="Cambria"/>
          <w:sz w:val="20"/>
          <w:szCs w:val="20"/>
          <w:lang w:val="es-AR"/>
        </w:rPr>
        <w:t xml:space="preserve">l proceso de reparación directa, </w:t>
      </w:r>
      <w:r w:rsidR="00C70A02" w:rsidRPr="00A4123C">
        <w:rPr>
          <w:rFonts w:ascii="Cambria" w:hAnsi="Cambria"/>
          <w:sz w:val="20"/>
          <w:szCs w:val="20"/>
          <w:lang w:val="es-AR"/>
        </w:rPr>
        <w:t xml:space="preserve">la parte peticionaria </w:t>
      </w:r>
      <w:r w:rsidRPr="00A4123C">
        <w:rPr>
          <w:rFonts w:ascii="Cambria" w:hAnsi="Cambria"/>
          <w:sz w:val="20"/>
          <w:szCs w:val="20"/>
          <w:lang w:val="es-AR"/>
        </w:rPr>
        <w:t xml:space="preserve">no presenta argumento mediante el cual pueda advertirse una posible vulneración a alguna de las garantías judiciales </w:t>
      </w:r>
      <w:r w:rsidR="008D1EE2" w:rsidRPr="00A4123C">
        <w:rPr>
          <w:rFonts w:ascii="Cambria" w:hAnsi="Cambria"/>
          <w:sz w:val="20"/>
          <w:szCs w:val="20"/>
          <w:lang w:val="es-AR"/>
        </w:rPr>
        <w:t xml:space="preserve">y se </w:t>
      </w:r>
      <w:r w:rsidR="00C70A02" w:rsidRPr="00A4123C">
        <w:rPr>
          <w:rFonts w:ascii="Cambria" w:hAnsi="Cambria"/>
          <w:sz w:val="20"/>
          <w:szCs w:val="20"/>
          <w:lang w:val="es-AR"/>
        </w:rPr>
        <w:t>limit</w:t>
      </w:r>
      <w:r w:rsidR="008D1EE2" w:rsidRPr="00A4123C">
        <w:rPr>
          <w:rFonts w:ascii="Cambria" w:hAnsi="Cambria"/>
          <w:sz w:val="20"/>
          <w:szCs w:val="20"/>
          <w:lang w:val="es-AR"/>
        </w:rPr>
        <w:t>an</w:t>
      </w:r>
      <w:r w:rsidR="00C70A02" w:rsidRPr="00A4123C">
        <w:rPr>
          <w:rFonts w:ascii="Cambria" w:hAnsi="Cambria"/>
          <w:sz w:val="20"/>
          <w:szCs w:val="20"/>
          <w:lang w:val="es-AR"/>
        </w:rPr>
        <w:t xml:space="preserve"> a alegar </w:t>
      </w:r>
      <w:r w:rsidRPr="00A4123C">
        <w:rPr>
          <w:rFonts w:ascii="Cambria" w:hAnsi="Cambria"/>
          <w:sz w:val="20"/>
          <w:szCs w:val="20"/>
          <w:lang w:val="es-AR"/>
        </w:rPr>
        <w:t xml:space="preserve">que las autoridades judiciales efectuaron una equivocada valoración de diferentes pruebas aportadas. </w:t>
      </w:r>
      <w:r w:rsidR="00C70A02" w:rsidRPr="00A4123C">
        <w:rPr>
          <w:rFonts w:ascii="Cambria" w:hAnsi="Cambria"/>
          <w:sz w:val="20"/>
          <w:szCs w:val="20"/>
          <w:lang w:val="es-AR"/>
        </w:rPr>
        <w:t xml:space="preserve">Al respecto afirma que la parte peticionaria </w:t>
      </w:r>
      <w:r w:rsidRPr="00A4123C">
        <w:rPr>
          <w:rFonts w:ascii="Cambria" w:hAnsi="Cambria"/>
          <w:sz w:val="20"/>
          <w:szCs w:val="20"/>
          <w:lang w:val="es-AR"/>
        </w:rPr>
        <w:t>pretende</w:t>
      </w:r>
      <w:r w:rsidR="00C70A02" w:rsidRPr="00A4123C">
        <w:rPr>
          <w:rFonts w:ascii="Cambria" w:hAnsi="Cambria"/>
          <w:sz w:val="20"/>
          <w:szCs w:val="20"/>
          <w:lang w:val="es-AR"/>
        </w:rPr>
        <w:t xml:space="preserve"> </w:t>
      </w:r>
      <w:r w:rsidRPr="00A4123C">
        <w:rPr>
          <w:rFonts w:ascii="Cambria" w:hAnsi="Cambria"/>
          <w:sz w:val="20"/>
          <w:szCs w:val="20"/>
          <w:lang w:val="es-AR"/>
        </w:rPr>
        <w:t xml:space="preserve">que la Comisión valore nuevamente las pruebas, para modificar las decisiones que fueron adversas a sus intereses. </w:t>
      </w:r>
      <w:r w:rsidR="009E0BBB" w:rsidRPr="00A4123C">
        <w:rPr>
          <w:rFonts w:ascii="Cambria" w:hAnsi="Cambria"/>
          <w:sz w:val="20"/>
          <w:szCs w:val="20"/>
          <w:lang w:val="es-AR"/>
        </w:rPr>
        <w:t xml:space="preserve">En particular indica que la </w:t>
      </w:r>
      <w:r w:rsidR="00BA6BA2" w:rsidRPr="00A4123C">
        <w:rPr>
          <w:rFonts w:ascii="Cambria" w:hAnsi="Cambria"/>
          <w:sz w:val="20"/>
          <w:szCs w:val="20"/>
          <w:lang w:val="es-AR"/>
        </w:rPr>
        <w:t xml:space="preserve">demanda de reparación directa contra la Nación-Ministerio de Defensa-Policía Nacional, </w:t>
      </w:r>
      <w:r w:rsidR="009E0BBB" w:rsidRPr="00A4123C">
        <w:rPr>
          <w:rFonts w:ascii="Cambria" w:hAnsi="Cambria"/>
          <w:sz w:val="20"/>
          <w:szCs w:val="20"/>
          <w:lang w:val="es-AR"/>
        </w:rPr>
        <w:t xml:space="preserve">fue resuelta mediante </w:t>
      </w:r>
      <w:r w:rsidR="00BA6BA2" w:rsidRPr="00A4123C">
        <w:rPr>
          <w:rFonts w:ascii="Cambria" w:hAnsi="Cambria"/>
          <w:sz w:val="20"/>
          <w:szCs w:val="20"/>
          <w:lang w:val="es-AR"/>
        </w:rPr>
        <w:t>decisión de fecha 21 de enero de 2000, e</w:t>
      </w:r>
      <w:r w:rsidR="009E0BBB" w:rsidRPr="00A4123C">
        <w:rPr>
          <w:rFonts w:ascii="Cambria" w:hAnsi="Cambria"/>
          <w:sz w:val="20"/>
          <w:szCs w:val="20"/>
          <w:lang w:val="es-AR"/>
        </w:rPr>
        <w:t>n la cual e</w:t>
      </w:r>
      <w:r w:rsidR="00BA6BA2" w:rsidRPr="00A4123C">
        <w:rPr>
          <w:rFonts w:ascii="Cambria" w:hAnsi="Cambria"/>
          <w:sz w:val="20"/>
          <w:szCs w:val="20"/>
          <w:lang w:val="es-AR"/>
        </w:rPr>
        <w:t>l Tribunal desestimó las pretensiones de la demanda al considerar que no se había presentado una falla del servicio</w:t>
      </w:r>
      <w:r w:rsidR="001F1D88" w:rsidRPr="00A4123C">
        <w:rPr>
          <w:rFonts w:ascii="Cambria" w:hAnsi="Cambria"/>
          <w:sz w:val="20"/>
          <w:szCs w:val="20"/>
          <w:lang w:val="es-AR"/>
        </w:rPr>
        <w:t xml:space="preserve">. </w:t>
      </w:r>
      <w:r w:rsidR="009E0BBB" w:rsidRPr="00A4123C">
        <w:rPr>
          <w:rFonts w:ascii="Cambria" w:hAnsi="Cambria"/>
          <w:sz w:val="20"/>
          <w:szCs w:val="20"/>
          <w:lang w:val="es-AR"/>
        </w:rPr>
        <w:t xml:space="preserve">Agrega que </w:t>
      </w:r>
      <w:r w:rsidR="00BA6BA2" w:rsidRPr="00A4123C">
        <w:rPr>
          <w:rFonts w:ascii="Cambria" w:hAnsi="Cambria"/>
          <w:sz w:val="20"/>
          <w:szCs w:val="20"/>
          <w:lang w:val="es-AR"/>
        </w:rPr>
        <w:t>el Consejo de Estado</w:t>
      </w:r>
      <w:r w:rsidR="001F1D88" w:rsidRPr="00A4123C">
        <w:rPr>
          <w:rFonts w:ascii="Cambria" w:hAnsi="Cambria"/>
          <w:sz w:val="20"/>
          <w:szCs w:val="20"/>
          <w:lang w:val="es-AR"/>
        </w:rPr>
        <w:t xml:space="preserve"> </w:t>
      </w:r>
      <w:r w:rsidR="00BA6BA2" w:rsidRPr="00A4123C">
        <w:rPr>
          <w:rFonts w:ascii="Cambria" w:hAnsi="Cambria"/>
          <w:sz w:val="20"/>
          <w:szCs w:val="20"/>
          <w:lang w:val="es-AR"/>
        </w:rPr>
        <w:t>confirmó la sentencia inicial, pero precisó que</w:t>
      </w:r>
      <w:r w:rsidR="009E0BBB" w:rsidRPr="00A4123C">
        <w:rPr>
          <w:rFonts w:ascii="Cambria" w:hAnsi="Cambria"/>
          <w:sz w:val="20"/>
          <w:szCs w:val="20"/>
          <w:lang w:val="es-AR"/>
        </w:rPr>
        <w:t>,</w:t>
      </w:r>
      <w:r w:rsidR="00BA6BA2" w:rsidRPr="00A4123C">
        <w:rPr>
          <w:rFonts w:ascii="Cambria" w:hAnsi="Cambria"/>
          <w:sz w:val="20"/>
          <w:szCs w:val="20"/>
          <w:lang w:val="es-AR"/>
        </w:rPr>
        <w:t xml:space="preserve"> a diferencia de lo concluido por el juez de primera instancia, la evidencia no permitía establecer si quiera la atribución de los hechos a los agentes policiales y, por lo tanto, tampoco a la entidad demanda</w:t>
      </w:r>
      <w:r w:rsidR="006738A5" w:rsidRPr="00A4123C">
        <w:rPr>
          <w:rFonts w:ascii="Cambria" w:hAnsi="Cambria"/>
          <w:sz w:val="20"/>
          <w:szCs w:val="20"/>
          <w:lang w:val="es-AR"/>
        </w:rPr>
        <w:t>.</w:t>
      </w:r>
      <w:r w:rsidR="009E0BBB" w:rsidRPr="00A4123C">
        <w:rPr>
          <w:rFonts w:ascii="Cambria" w:hAnsi="Cambria"/>
          <w:sz w:val="20"/>
          <w:szCs w:val="20"/>
          <w:lang w:val="es-AR"/>
        </w:rPr>
        <w:t xml:space="preserve"> </w:t>
      </w:r>
      <w:r w:rsidR="008D1EE2" w:rsidRPr="00A4123C">
        <w:rPr>
          <w:rFonts w:ascii="Cambria" w:hAnsi="Cambria"/>
          <w:sz w:val="20"/>
          <w:szCs w:val="20"/>
          <w:lang w:val="es-AR"/>
        </w:rPr>
        <w:t>R</w:t>
      </w:r>
      <w:r w:rsidR="009E0BBB" w:rsidRPr="00A4123C">
        <w:rPr>
          <w:rFonts w:ascii="Cambria" w:hAnsi="Cambria"/>
          <w:sz w:val="20"/>
          <w:szCs w:val="20"/>
          <w:lang w:val="es-AR"/>
        </w:rPr>
        <w:t>esalta</w:t>
      </w:r>
      <w:r w:rsidR="008D1EE2" w:rsidRPr="00A4123C">
        <w:rPr>
          <w:rFonts w:ascii="Cambria" w:hAnsi="Cambria"/>
          <w:sz w:val="20"/>
          <w:szCs w:val="20"/>
          <w:lang w:val="es-AR"/>
        </w:rPr>
        <w:t xml:space="preserve"> </w:t>
      </w:r>
      <w:r w:rsidR="009E0BBB" w:rsidRPr="00A4123C">
        <w:rPr>
          <w:rFonts w:ascii="Cambria" w:hAnsi="Cambria"/>
          <w:sz w:val="20"/>
          <w:szCs w:val="20"/>
          <w:lang w:val="es-AR"/>
        </w:rPr>
        <w:t xml:space="preserve">que, </w:t>
      </w:r>
      <w:r w:rsidR="00002EF4" w:rsidRPr="00A4123C">
        <w:rPr>
          <w:rFonts w:ascii="Cambria" w:hAnsi="Cambria"/>
          <w:sz w:val="20"/>
          <w:szCs w:val="20"/>
          <w:lang w:val="es-AR"/>
        </w:rPr>
        <w:t xml:space="preserve">aunque en el proceso penal la investigación analizó la responsabilidad del agente Edison Londoño, por ser este quienes los testigos señalaron </w:t>
      </w:r>
      <w:r w:rsidR="00002EF4" w:rsidRPr="00A4123C">
        <w:rPr>
          <w:rFonts w:ascii="Cambria" w:hAnsi="Cambria"/>
          <w:sz w:val="20"/>
          <w:szCs w:val="20"/>
          <w:lang w:val="es-AR"/>
        </w:rPr>
        <w:lastRenderedPageBreak/>
        <w:t>como presunto autor de los hechos, ante la jurisdicción contencioso administrativa los accionantes individualizaron la presunta falla del servicio en la conducta del agente de policía Wilfredo Moreno O</w:t>
      </w:r>
      <w:r w:rsidR="000C6E72">
        <w:rPr>
          <w:rFonts w:ascii="Cambria" w:hAnsi="Cambria"/>
          <w:sz w:val="20"/>
          <w:szCs w:val="20"/>
          <w:lang w:val="es-AR"/>
        </w:rPr>
        <w:t>sor</w:t>
      </w:r>
      <w:r w:rsidR="00002EF4" w:rsidRPr="00A4123C">
        <w:rPr>
          <w:rFonts w:ascii="Cambria" w:hAnsi="Cambria"/>
          <w:sz w:val="20"/>
          <w:szCs w:val="20"/>
          <w:lang w:val="es-AR"/>
        </w:rPr>
        <w:t xml:space="preserve">io.  </w:t>
      </w:r>
    </w:p>
    <w:p w14:paraId="6F4D4171" w14:textId="61F41104" w:rsidR="003239B8" w:rsidRPr="00F17BE2"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F17BE2">
        <w:rPr>
          <w:rFonts w:asciiTheme="majorHAnsi" w:hAnsiTheme="majorHAnsi"/>
          <w:b/>
          <w:sz w:val="20"/>
          <w:szCs w:val="20"/>
          <w:lang w:val="es-ES"/>
        </w:rPr>
        <w:t>AGOTAMIENTO DE LOS RECURSOS INTERNOS Y PLAZO DE PRESENTACIÓN</w:t>
      </w:r>
      <w:r w:rsidR="00C21FEF" w:rsidRPr="00F17BE2">
        <w:rPr>
          <w:rFonts w:asciiTheme="majorHAnsi" w:eastAsia="Cambria" w:hAnsiTheme="majorHAnsi" w:cs="Cambria"/>
          <w:b/>
          <w:bCs/>
          <w:sz w:val="20"/>
          <w:szCs w:val="20"/>
          <w:u w:color="000000"/>
          <w:lang w:val="es-ES" w:eastAsia="es-ES"/>
        </w:rPr>
        <w:t xml:space="preserve"> </w:t>
      </w:r>
    </w:p>
    <w:p w14:paraId="1D3793EC" w14:textId="6A3F4862" w:rsidR="00484ED7" w:rsidRPr="00F17BE2" w:rsidRDefault="00484ED7" w:rsidP="00906B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F17BE2">
        <w:rPr>
          <w:rFonts w:ascii="Cambria" w:hAnsi="Cambria"/>
          <w:sz w:val="20"/>
          <w:szCs w:val="20"/>
          <w:lang w:val="es-ES"/>
        </w:rPr>
        <w:t xml:space="preserve">La parte peticionaria </w:t>
      </w:r>
      <w:r w:rsidR="00861C57" w:rsidRPr="00F17BE2">
        <w:rPr>
          <w:rFonts w:ascii="Cambria" w:hAnsi="Cambria"/>
          <w:sz w:val="20"/>
          <w:szCs w:val="20"/>
          <w:lang w:val="es-ES"/>
        </w:rPr>
        <w:t>presenta información en relación al proceso penal seguido en relación a la muerte de la presunta víctim</w:t>
      </w:r>
      <w:r w:rsidR="00F17BE2" w:rsidRPr="00F17BE2">
        <w:rPr>
          <w:rFonts w:ascii="Cambria" w:hAnsi="Cambria"/>
          <w:sz w:val="20"/>
          <w:szCs w:val="20"/>
          <w:lang w:val="es-ES"/>
        </w:rPr>
        <w:t>a</w:t>
      </w:r>
      <w:r w:rsidR="00861C57" w:rsidRPr="00F17BE2">
        <w:rPr>
          <w:rFonts w:ascii="Cambria" w:hAnsi="Cambria"/>
          <w:sz w:val="20"/>
          <w:szCs w:val="20"/>
          <w:lang w:val="es-ES"/>
        </w:rPr>
        <w:t xml:space="preserve">. </w:t>
      </w:r>
      <w:r w:rsidR="00F17BE2" w:rsidRPr="00F17BE2">
        <w:rPr>
          <w:rFonts w:ascii="Cambria" w:hAnsi="Cambria"/>
          <w:sz w:val="20"/>
          <w:szCs w:val="20"/>
          <w:lang w:val="es-ES"/>
        </w:rPr>
        <w:t>Asimismo,</w:t>
      </w:r>
      <w:r w:rsidR="00861C57" w:rsidRPr="00F17BE2">
        <w:rPr>
          <w:rFonts w:ascii="Cambria" w:hAnsi="Cambria"/>
          <w:sz w:val="20"/>
          <w:szCs w:val="20"/>
          <w:lang w:val="es-ES"/>
        </w:rPr>
        <w:t xml:space="preserve"> en relación al proceso contencioso administrativo, alega que los familiares presentaron la acción de reparación directa </w:t>
      </w:r>
      <w:r w:rsidR="00F17BE2" w:rsidRPr="00F17BE2">
        <w:rPr>
          <w:rFonts w:ascii="Cambria" w:hAnsi="Cambria"/>
          <w:sz w:val="20"/>
          <w:szCs w:val="20"/>
          <w:lang w:val="es-ES"/>
        </w:rPr>
        <w:t>en febrero de 1998 y apelaron la decisión del Tribunal Administrativo del Valle del Cauca del 21 de enero de 2000 siendo resu</w:t>
      </w:r>
      <w:r w:rsidR="00AE004B">
        <w:rPr>
          <w:rFonts w:ascii="Cambria" w:hAnsi="Cambria"/>
          <w:sz w:val="20"/>
          <w:szCs w:val="20"/>
          <w:lang w:val="es-ES"/>
        </w:rPr>
        <w:t>e</w:t>
      </w:r>
      <w:r w:rsidR="00F17BE2" w:rsidRPr="00F17BE2">
        <w:rPr>
          <w:rFonts w:ascii="Cambria" w:hAnsi="Cambria"/>
          <w:sz w:val="20"/>
          <w:szCs w:val="20"/>
          <w:lang w:val="es-ES"/>
        </w:rPr>
        <w:t>lto el recurso por el Consejo de Estado mediante decisión</w:t>
      </w:r>
      <w:r w:rsidR="00F17BE2" w:rsidRPr="00F17BE2">
        <w:rPr>
          <w:rFonts w:ascii="Cambria" w:hAnsi="Cambria"/>
          <w:sz w:val="20"/>
          <w:szCs w:val="20"/>
          <w:lang w:val="es-AR"/>
        </w:rPr>
        <w:t xml:space="preserve"> del 26 de mayo de 2010 y la cual fue notificada el 11 de junio del mismo año.</w:t>
      </w:r>
      <w:r w:rsidR="00235998" w:rsidRPr="00F17BE2">
        <w:rPr>
          <w:rFonts w:ascii="Cambria" w:hAnsi="Cambria"/>
          <w:sz w:val="20"/>
          <w:szCs w:val="20"/>
          <w:lang w:val="es-ES"/>
        </w:rPr>
        <w:t xml:space="preserve"> </w:t>
      </w:r>
      <w:r w:rsidR="00F17BE2" w:rsidRPr="00F17BE2">
        <w:rPr>
          <w:rFonts w:ascii="Cambria" w:hAnsi="Cambria"/>
          <w:sz w:val="20"/>
          <w:szCs w:val="20"/>
          <w:lang w:val="es-ES"/>
        </w:rPr>
        <w:t xml:space="preserve">Al respecto, </w:t>
      </w:r>
      <w:r w:rsidRPr="00F17BE2">
        <w:rPr>
          <w:rFonts w:ascii="Cambria" w:hAnsi="Cambria"/>
          <w:sz w:val="20"/>
          <w:szCs w:val="20"/>
          <w:lang w:val="es-VE"/>
        </w:rPr>
        <w:t xml:space="preserve">el Estado </w:t>
      </w:r>
      <w:r w:rsidR="00F17BE2" w:rsidRPr="00F17BE2">
        <w:rPr>
          <w:rFonts w:ascii="Cambria" w:hAnsi="Cambria"/>
          <w:sz w:val="20"/>
          <w:szCs w:val="20"/>
          <w:lang w:val="es-VE"/>
        </w:rPr>
        <w:t xml:space="preserve">no presenta alegatos específicos en relación a la falta de agotamiento de los recursos internos. </w:t>
      </w:r>
    </w:p>
    <w:p w14:paraId="3620B2A2" w14:textId="0B4C8CE6" w:rsidR="00EF5D20" w:rsidRDefault="00672948" w:rsidP="00672948">
      <w:pPr>
        <w:pStyle w:val="ListParagraph"/>
        <w:numPr>
          <w:ilvl w:val="0"/>
          <w:numId w:val="103"/>
        </w:numPr>
        <w:jc w:val="both"/>
        <w:rPr>
          <w:sz w:val="20"/>
          <w:szCs w:val="20"/>
          <w:lang w:val="es-ES"/>
        </w:rPr>
      </w:pPr>
      <w:r w:rsidRPr="00672948">
        <w:rPr>
          <w:sz w:val="20"/>
          <w:szCs w:val="20"/>
          <w:lang w:val="es-ES"/>
        </w:rPr>
        <w:t xml:space="preserve">La Comisión reitera que, 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observa que, de acuerdo a la información proporcionada, respecto de los alegados hechos de violencia que causaron la muerte de la presunta víctima, </w:t>
      </w:r>
      <w:r w:rsidR="00EF5D20">
        <w:rPr>
          <w:sz w:val="20"/>
          <w:szCs w:val="20"/>
          <w:lang w:val="es-ES"/>
        </w:rPr>
        <w:t xml:space="preserve">el mismo 8 de noviembre de 1996 un Fiscal de la Unidad de Reacción Inmediata de Cartago realizó el levantamiento del cadáver de la presunta víctima y al día siguiente se dio inicio a una investigación preliminar </w:t>
      </w:r>
      <w:r w:rsidR="00EF5D20" w:rsidRPr="00F17BE2">
        <w:rPr>
          <w:sz w:val="20"/>
          <w:szCs w:val="20"/>
          <w:lang w:val="es-AR"/>
        </w:rPr>
        <w:t>con el fin de identificar e individualizar a los posibles autores</w:t>
      </w:r>
      <w:r w:rsidR="00EF5D20">
        <w:rPr>
          <w:sz w:val="20"/>
          <w:szCs w:val="20"/>
          <w:lang w:val="es-ES"/>
        </w:rPr>
        <w:t xml:space="preserve">. </w:t>
      </w:r>
    </w:p>
    <w:p w14:paraId="6C2ED1D3" w14:textId="77777777" w:rsidR="00EF5D20" w:rsidRDefault="00EF5D20" w:rsidP="00EF5D20">
      <w:pPr>
        <w:pStyle w:val="ListParagraph"/>
        <w:jc w:val="both"/>
        <w:rPr>
          <w:sz w:val="20"/>
          <w:szCs w:val="20"/>
          <w:lang w:val="es-ES"/>
        </w:rPr>
      </w:pPr>
    </w:p>
    <w:p w14:paraId="02A962FB" w14:textId="44F2A8DB" w:rsidR="0007614E" w:rsidRPr="0007614E" w:rsidRDefault="0007614E" w:rsidP="0007614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r>
        <w:rPr>
          <w:sz w:val="20"/>
          <w:szCs w:val="20"/>
          <w:lang w:val="es-ES"/>
        </w:rPr>
        <w:t>Asimismo</w:t>
      </w:r>
      <w:r w:rsidR="000C6E72">
        <w:rPr>
          <w:sz w:val="20"/>
          <w:szCs w:val="20"/>
          <w:lang w:val="es-ES"/>
        </w:rPr>
        <w:t>,</w:t>
      </w:r>
      <w:r>
        <w:rPr>
          <w:sz w:val="20"/>
          <w:szCs w:val="20"/>
          <w:lang w:val="es-ES"/>
        </w:rPr>
        <w:t xml:space="preserve"> la Comisión observa </w:t>
      </w:r>
      <w:r w:rsidR="000C6E72">
        <w:rPr>
          <w:sz w:val="20"/>
          <w:szCs w:val="20"/>
          <w:lang w:val="es-ES"/>
        </w:rPr>
        <w:t xml:space="preserve">que </w:t>
      </w:r>
      <w:r>
        <w:rPr>
          <w:sz w:val="20"/>
          <w:szCs w:val="20"/>
          <w:lang w:val="es-AR"/>
        </w:rPr>
        <w:t>l</w:t>
      </w:r>
      <w:r w:rsidRPr="005629DA">
        <w:rPr>
          <w:sz w:val="20"/>
          <w:szCs w:val="20"/>
          <w:lang w:val="es-AR"/>
        </w:rPr>
        <w:t xml:space="preserve">a Fiscalía General de la Nación </w:t>
      </w:r>
      <w:r>
        <w:rPr>
          <w:sz w:val="20"/>
          <w:szCs w:val="20"/>
          <w:lang w:val="es-AR"/>
        </w:rPr>
        <w:t xml:space="preserve">precluyó </w:t>
      </w:r>
      <w:r w:rsidRPr="005629DA">
        <w:rPr>
          <w:sz w:val="20"/>
          <w:szCs w:val="20"/>
          <w:lang w:val="es-AR"/>
        </w:rPr>
        <w:t xml:space="preserve">la investigación </w:t>
      </w:r>
      <w:r>
        <w:rPr>
          <w:sz w:val="20"/>
          <w:szCs w:val="20"/>
          <w:lang w:val="es-AR"/>
        </w:rPr>
        <w:t xml:space="preserve">penal </w:t>
      </w:r>
      <w:r w:rsidRPr="005629DA">
        <w:rPr>
          <w:sz w:val="20"/>
          <w:szCs w:val="20"/>
          <w:lang w:val="es-AR"/>
        </w:rPr>
        <w:t>a favor</w:t>
      </w:r>
      <w:r w:rsidRPr="00C70A02">
        <w:rPr>
          <w:sz w:val="20"/>
          <w:szCs w:val="20"/>
          <w:lang w:val="es-AR"/>
        </w:rPr>
        <w:t xml:space="preserve"> </w:t>
      </w:r>
      <w:r w:rsidRPr="005629DA">
        <w:rPr>
          <w:sz w:val="20"/>
          <w:szCs w:val="20"/>
          <w:lang w:val="es-AR"/>
        </w:rPr>
        <w:t>de</w:t>
      </w:r>
      <w:r>
        <w:rPr>
          <w:sz w:val="20"/>
          <w:szCs w:val="20"/>
          <w:lang w:val="es-AR"/>
        </w:rPr>
        <w:t xml:space="preserve"> Wilfrido Moreno Osorio y </w:t>
      </w:r>
      <w:r w:rsidRPr="00A4123C">
        <w:rPr>
          <w:color w:val="auto"/>
          <w:sz w:val="20"/>
          <w:szCs w:val="20"/>
          <w:lang w:val="es-AR"/>
        </w:rPr>
        <w:t>el 28 de enero de 1998</w:t>
      </w:r>
      <w:r w:rsidRPr="00A4123C">
        <w:rPr>
          <w:color w:val="auto"/>
          <w:sz w:val="20"/>
          <w:szCs w:val="20"/>
          <w:lang w:val="es-VE"/>
        </w:rPr>
        <w:t xml:space="preserve"> el Juzgado Segundo Penal del Circuito de Cartago profirió sentencia absolutoria al acusado Edison Londoño Franco de los delitos imputados</w:t>
      </w:r>
      <w:r>
        <w:rPr>
          <w:sz w:val="20"/>
          <w:szCs w:val="20"/>
          <w:lang w:val="es-VE"/>
        </w:rPr>
        <w:t xml:space="preserve"> </w:t>
      </w:r>
      <w:r w:rsidRPr="00A4123C">
        <w:rPr>
          <w:color w:val="auto"/>
          <w:sz w:val="20"/>
          <w:szCs w:val="20"/>
          <w:lang w:val="es-VE"/>
        </w:rPr>
        <w:t xml:space="preserve">en tanto </w:t>
      </w:r>
      <w:r>
        <w:rPr>
          <w:sz w:val="20"/>
          <w:szCs w:val="20"/>
          <w:lang w:val="es-VE"/>
        </w:rPr>
        <w:t xml:space="preserve">existían </w:t>
      </w:r>
      <w:r w:rsidRPr="00A4123C">
        <w:rPr>
          <w:color w:val="auto"/>
          <w:sz w:val="20"/>
          <w:szCs w:val="20"/>
          <w:lang w:val="es-VE"/>
        </w:rPr>
        <w:t>una serie de incongruencias e imprecisiones qu</w:t>
      </w:r>
      <w:r>
        <w:rPr>
          <w:sz w:val="20"/>
          <w:szCs w:val="20"/>
          <w:lang w:val="es-VE"/>
        </w:rPr>
        <w:t xml:space="preserve">e llevaron a una falta de </w:t>
      </w:r>
      <w:r w:rsidRPr="00A4123C">
        <w:rPr>
          <w:color w:val="auto"/>
          <w:sz w:val="20"/>
          <w:szCs w:val="20"/>
          <w:lang w:val="es-VE"/>
        </w:rPr>
        <w:t xml:space="preserve">absoluta certeza sobre </w:t>
      </w:r>
      <w:r>
        <w:rPr>
          <w:sz w:val="20"/>
          <w:szCs w:val="20"/>
          <w:lang w:val="es-VE"/>
        </w:rPr>
        <w:t xml:space="preserve">su </w:t>
      </w:r>
      <w:r w:rsidRPr="00A4123C">
        <w:rPr>
          <w:color w:val="auto"/>
          <w:sz w:val="20"/>
          <w:szCs w:val="20"/>
          <w:lang w:val="es-VE"/>
        </w:rPr>
        <w:t xml:space="preserve">responsabilidad </w:t>
      </w:r>
      <w:r>
        <w:rPr>
          <w:sz w:val="20"/>
          <w:szCs w:val="20"/>
          <w:lang w:val="es-VE"/>
        </w:rPr>
        <w:t xml:space="preserve">penal. </w:t>
      </w:r>
      <w:r>
        <w:rPr>
          <w:color w:val="auto"/>
          <w:sz w:val="20"/>
          <w:szCs w:val="20"/>
          <w:lang w:val="es-VE"/>
        </w:rPr>
        <w:t xml:space="preserve">Al respecto, la Comisión toma nota que el Estado no presenta información sobre la existencia o el estatus de una investigación penal en relación a los hechos violentos. Teniendo en cuenta lo expuesto por las partes, la Comisión recuerda que </w:t>
      </w:r>
      <w:r w:rsidRPr="0007614E">
        <w:rPr>
          <w:sz w:val="20"/>
          <w:szCs w:val="20"/>
          <w:lang w:val="es-VE"/>
        </w:rPr>
        <w:t>una decisión absolutoria, como la recaída en el presente caso, no agota la obligación del Estado de esclarecer el crimen, y establecer la responsabilidad penal de los autores de los hechos, ni permite a los familiares de las presuntas víctimas conocer la verdad de los hechos.</w:t>
      </w:r>
      <w:r>
        <w:rPr>
          <w:sz w:val="20"/>
          <w:szCs w:val="20"/>
          <w:lang w:val="es-VE"/>
        </w:rPr>
        <w:t xml:space="preserve"> </w:t>
      </w:r>
      <w:r w:rsidRPr="00672948">
        <w:rPr>
          <w:sz w:val="20"/>
          <w:szCs w:val="20"/>
          <w:lang w:val="es-ES"/>
        </w:rPr>
        <w:t>Pretender que los peticionarios asuman esas responsabilidades, no sólo sería incongruente con la jurisprudencia del sistema, sino que impondría también una carga desigual a quienes, en general, carecen de los medios y de la idoneidad para descargar esas responsabilidades</w:t>
      </w:r>
      <w:r>
        <w:rPr>
          <w:sz w:val="20"/>
          <w:szCs w:val="20"/>
          <w:lang w:val="es-ES"/>
        </w:rPr>
        <w:t xml:space="preserve">. </w:t>
      </w:r>
      <w:r>
        <w:rPr>
          <w:color w:val="auto"/>
          <w:sz w:val="20"/>
          <w:szCs w:val="20"/>
          <w:lang w:val="es-VE"/>
        </w:rPr>
        <w:t>Atendiendo lo anterior, la Comisión concluye que es aplicable la excepción al requisito de agotamiento prevista</w:t>
      </w:r>
      <w:r>
        <w:rPr>
          <w:color w:val="auto"/>
          <w:sz w:val="20"/>
          <w:szCs w:val="20"/>
          <w:lang w:val="es-ES"/>
        </w:rPr>
        <w:t xml:space="preserve"> en el artículo 46.2.c de la Convención</w:t>
      </w:r>
      <w:r>
        <w:rPr>
          <w:rStyle w:val="FootnoteReference"/>
          <w:color w:val="auto"/>
          <w:sz w:val="20"/>
          <w:szCs w:val="20"/>
          <w:lang w:val="es-ES"/>
        </w:rPr>
        <w:footnoteReference w:id="9"/>
      </w:r>
      <w:r>
        <w:rPr>
          <w:color w:val="auto"/>
          <w:sz w:val="20"/>
          <w:szCs w:val="20"/>
          <w:lang w:val="es-ES"/>
        </w:rPr>
        <w:t>.</w:t>
      </w:r>
    </w:p>
    <w:p w14:paraId="3746F839" w14:textId="77777777" w:rsidR="0007614E" w:rsidRPr="0007614E" w:rsidRDefault="0007614E" w:rsidP="0007614E">
      <w:pPr>
        <w:pStyle w:val="ListParagraph"/>
        <w:rPr>
          <w:sz w:val="20"/>
          <w:szCs w:val="20"/>
          <w:lang w:val="es-ES"/>
        </w:rPr>
      </w:pPr>
    </w:p>
    <w:p w14:paraId="1E9F14BD" w14:textId="0BF12A81" w:rsidR="00FF207F" w:rsidRPr="00AC63DE" w:rsidRDefault="00F17BE2" w:rsidP="00AC63DE">
      <w:pPr>
        <w:pStyle w:val="ListParagraph"/>
        <w:numPr>
          <w:ilvl w:val="0"/>
          <w:numId w:val="103"/>
        </w:numPr>
        <w:jc w:val="both"/>
        <w:rPr>
          <w:sz w:val="20"/>
          <w:szCs w:val="20"/>
          <w:lang w:val="es-ES"/>
        </w:rPr>
      </w:pPr>
      <w:r w:rsidRPr="00672948">
        <w:rPr>
          <w:sz w:val="20"/>
          <w:szCs w:val="20"/>
          <w:lang w:val="es-ES"/>
        </w:rPr>
        <w:t>Respecto a los procesos ante la jurisdicción contencioso 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 Sin perjuicio de lo mencionado, se observa que l</w:t>
      </w:r>
      <w:r w:rsidR="0007614E">
        <w:rPr>
          <w:sz w:val="20"/>
          <w:szCs w:val="20"/>
          <w:lang w:val="es-ES"/>
        </w:rPr>
        <w:t>a parte</w:t>
      </w:r>
      <w:r w:rsidRPr="00672948">
        <w:rPr>
          <w:sz w:val="20"/>
          <w:szCs w:val="20"/>
          <w:lang w:val="es-ES"/>
        </w:rPr>
        <w:t xml:space="preserve"> peticionaria</w:t>
      </w:r>
      <w:r w:rsidR="0007614E">
        <w:rPr>
          <w:sz w:val="20"/>
          <w:szCs w:val="20"/>
          <w:lang w:val="es-ES"/>
        </w:rPr>
        <w:t xml:space="preserve"> </w:t>
      </w:r>
      <w:r w:rsidRPr="00672948">
        <w:rPr>
          <w:sz w:val="20"/>
          <w:szCs w:val="20"/>
          <w:lang w:val="es-ES"/>
        </w:rPr>
        <w:t>alega</w:t>
      </w:r>
      <w:r w:rsidR="0007614E">
        <w:rPr>
          <w:sz w:val="20"/>
          <w:szCs w:val="20"/>
          <w:lang w:val="es-ES"/>
        </w:rPr>
        <w:t xml:space="preserve"> </w:t>
      </w:r>
      <w:r w:rsidRPr="00672948">
        <w:rPr>
          <w:sz w:val="20"/>
          <w:szCs w:val="20"/>
          <w:lang w:val="es-ES"/>
        </w:rPr>
        <w:t xml:space="preserve">además violaciones concretas en el marco de la demanda de reparación directa. Por ello, la Comisión toma en cuenta que en la jurisdicción contencioso administrativa, los recursos internos se agotaron con la decisión </w:t>
      </w:r>
      <w:r w:rsidR="0007614E">
        <w:rPr>
          <w:sz w:val="20"/>
          <w:szCs w:val="20"/>
          <w:lang w:val="es-ES"/>
        </w:rPr>
        <w:t xml:space="preserve">adoptada por el Consejo de Estado </w:t>
      </w:r>
      <w:r w:rsidRPr="00672948">
        <w:rPr>
          <w:sz w:val="20"/>
          <w:szCs w:val="20"/>
          <w:lang w:val="es-ES"/>
        </w:rPr>
        <w:t>e</w:t>
      </w:r>
      <w:r w:rsidR="0007614E">
        <w:rPr>
          <w:sz w:val="20"/>
          <w:szCs w:val="20"/>
          <w:lang w:val="es-ES"/>
        </w:rPr>
        <w:t xml:space="preserve">l 26 de mayo de 2010 la cual fue notificada el 11 de junio del 2010. </w:t>
      </w:r>
      <w:r w:rsidR="00AC63DE">
        <w:rPr>
          <w:sz w:val="20"/>
          <w:szCs w:val="20"/>
          <w:lang w:val="es-ES"/>
        </w:rPr>
        <w:t>E</w:t>
      </w:r>
      <w:r w:rsidR="00FF207F" w:rsidRPr="00AC63DE">
        <w:rPr>
          <w:sz w:val="20"/>
          <w:szCs w:val="20"/>
          <w:lang w:val="es-ES"/>
        </w:rPr>
        <w:t>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B26E83A" w14:textId="77777777" w:rsidR="001163FE" w:rsidRDefault="001163FE" w:rsidP="001163F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 Comisión observa que la presente petición incluye alegaciones con respecto a la muerte violenta de Víctor Hugo Rivas Flor</w:t>
      </w:r>
      <w:r>
        <w:rPr>
          <w:sz w:val="20"/>
          <w:szCs w:val="20"/>
          <w:lang w:val="es-VE"/>
        </w:rPr>
        <w:t xml:space="preserve">; </w:t>
      </w:r>
      <w:r>
        <w:rPr>
          <w:sz w:val="20"/>
          <w:szCs w:val="20"/>
          <w:lang w:val="es-ES"/>
        </w:rPr>
        <w:t xml:space="preserve">la falta de protección judicial efectiva, investigación de tales hechos y sanción de los responsables; la falta de reparación adecuada de los familiares de la presunta víctima, así como </w:t>
      </w:r>
      <w:r>
        <w:rPr>
          <w:sz w:val="20"/>
          <w:szCs w:val="20"/>
          <w:lang w:val="es-ES"/>
        </w:rPr>
        <w:lastRenderedPageBreak/>
        <w:t xml:space="preserve">la falta de valoración de pruebas y el retraso injustificado en el marco del proceso contencioso administrativo de reparación. </w:t>
      </w:r>
    </w:p>
    <w:p w14:paraId="0A0E8288" w14:textId="09124790" w:rsidR="00BC1817" w:rsidRPr="000D4A38" w:rsidRDefault="001163FE" w:rsidP="002F05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cs="Times New Roman"/>
          <w:sz w:val="20"/>
          <w:szCs w:val="20"/>
          <w:lang w:val="es-ES"/>
        </w:rPr>
      </w:pPr>
      <w:r w:rsidRPr="000D4A38">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0D4A38">
        <w:rPr>
          <w:bCs/>
          <w:sz w:val="20"/>
          <w:szCs w:val="20"/>
          <w:lang w:val="es-VE"/>
        </w:rPr>
        <w:t>4 (derecho a la vida), 8 (garantías judiciales), 19 (derechos del niño) y 25 (protección judicial) de la Convención Americana en relación con el artículo 1.1 del mismo instrumento.</w:t>
      </w:r>
      <w:r w:rsidR="000D4A38" w:rsidRPr="000D4A38">
        <w:rPr>
          <w:bCs/>
          <w:sz w:val="20"/>
          <w:szCs w:val="20"/>
          <w:lang w:val="es-VE"/>
        </w:rPr>
        <w:t xml:space="preserve"> </w:t>
      </w:r>
      <w:r w:rsidR="00BC1817" w:rsidRPr="000D4A38">
        <w:rPr>
          <w:rFonts w:cs="Calibri"/>
          <w:sz w:val="20"/>
          <w:szCs w:val="20"/>
          <w:lang w:val="es-ES_tradnl"/>
        </w:rPr>
        <w:t>La CIDH reitera que</w:t>
      </w:r>
      <w:r w:rsidR="000D4A38" w:rsidRPr="000D4A38">
        <w:rPr>
          <w:rFonts w:cs="Calibri"/>
          <w:sz w:val="20"/>
          <w:szCs w:val="20"/>
          <w:lang w:val="es-ES_tradnl"/>
        </w:rPr>
        <w:t xml:space="preserve"> si</w:t>
      </w:r>
      <w:r w:rsidR="00BC1817" w:rsidRPr="000D4A38">
        <w:rPr>
          <w:rFonts w:cs="Calibri"/>
          <w:sz w:val="20"/>
          <w:szCs w:val="20"/>
          <w:lang w:val="es-ES_tradnl"/>
        </w:rPr>
        <w:t xml:space="preserve"> bien la aplicación de razonamientos divergentes por parte de una misma autoridad judicial o administrativa ante situaciones que comparten las mismas características sustantivas y procesales podrían configurar una situación de incerteza incompatible con el artículo 25.1 de la Convención, la CIDH considerará en la etapa de fondo si los hechos alegados en cuanto a una presunta denegación de reparación integral constituirían una violación al derecho a la integridad personal de las presuntas víctimas bajo el artículo 5 de la Convención</w:t>
      </w:r>
      <w:r w:rsidR="000D4A38" w:rsidRPr="000D6FB8">
        <w:rPr>
          <w:rStyle w:val="FootnoteReference"/>
          <w:rFonts w:cs="Calibri"/>
          <w:sz w:val="20"/>
          <w:szCs w:val="20"/>
        </w:rPr>
        <w:footnoteReference w:id="10"/>
      </w:r>
      <w:r w:rsidR="00BC1817" w:rsidRPr="000D4A38">
        <w:rPr>
          <w:rFonts w:cs="Calibri"/>
          <w:sz w:val="20"/>
          <w:szCs w:val="20"/>
          <w:lang w:val="es-ES_tradnl"/>
        </w:rPr>
        <w:t>.</w:t>
      </w:r>
    </w:p>
    <w:p w14:paraId="69B25E17" w14:textId="5461E833" w:rsidR="00BC1817" w:rsidRDefault="00BC1817" w:rsidP="00BC1817">
      <w:pPr>
        <w:pStyle w:val="ListParagraph"/>
        <w:rPr>
          <w:rFonts w:cs="Calibri"/>
          <w:sz w:val="20"/>
          <w:szCs w:val="20"/>
          <w:highlight w:val="yellow"/>
          <w:lang w:val="es-ES_tradnl"/>
        </w:rPr>
      </w:pPr>
    </w:p>
    <w:p w14:paraId="1E2B4D07" w14:textId="72AA75F9" w:rsidR="001163FE" w:rsidRPr="00351C84" w:rsidRDefault="000D4A38" w:rsidP="00351C84">
      <w:pPr>
        <w:pStyle w:val="ListParagraph"/>
        <w:numPr>
          <w:ilvl w:val="0"/>
          <w:numId w:val="103"/>
        </w:numPr>
        <w:contextualSpacing/>
        <w:jc w:val="both"/>
        <w:rPr>
          <w:rFonts w:cs="Calibri"/>
          <w:sz w:val="20"/>
          <w:szCs w:val="20"/>
          <w:lang w:val="es-ES_tradnl"/>
        </w:rPr>
      </w:pPr>
      <w:r>
        <w:rPr>
          <w:sz w:val="20"/>
          <w:szCs w:val="20"/>
          <w:lang w:val="es-ES"/>
        </w:rPr>
        <w:t>En cuanto al reclamo sobre la presunta violación de los artículos 7</w:t>
      </w:r>
      <w:r>
        <w:rPr>
          <w:bCs/>
          <w:sz w:val="20"/>
          <w:szCs w:val="20"/>
          <w:lang w:val="es-ES"/>
        </w:rPr>
        <w:t xml:space="preserve"> y 10 </w:t>
      </w:r>
      <w:r>
        <w:rPr>
          <w:sz w:val="20"/>
          <w:szCs w:val="20"/>
          <w:lang w:val="es-ES"/>
        </w:rPr>
        <w:t xml:space="preserve">de la Convención Americana, la Comisión observa que la parte peticionaria no ha ofrecido alegatos o sustento suficiente que permita considerar, </w:t>
      </w:r>
      <w:r>
        <w:rPr>
          <w:i/>
          <w:sz w:val="20"/>
          <w:szCs w:val="20"/>
          <w:lang w:val="es-ES"/>
        </w:rPr>
        <w:t>prima facie</w:t>
      </w:r>
      <w:r>
        <w:rPr>
          <w:sz w:val="20"/>
          <w:szCs w:val="20"/>
          <w:lang w:val="es-ES"/>
        </w:rPr>
        <w:t>, su posible violación</w:t>
      </w:r>
      <w:r>
        <w:rPr>
          <w:bCs/>
          <w:sz w:val="20"/>
          <w:szCs w:val="20"/>
          <w:lang w:val="es-ES"/>
        </w:rPr>
        <w:t xml:space="preserve">. </w:t>
      </w:r>
      <w:r>
        <w:rPr>
          <w:rFonts w:cs="Calibri"/>
          <w:sz w:val="20"/>
          <w:szCs w:val="20"/>
          <w:lang w:val="es-ES_tradnl"/>
        </w:rPr>
        <w:t>Por otro lado, l</w:t>
      </w:r>
      <w:r w:rsidR="001163FE" w:rsidRPr="00BC1817">
        <w:rPr>
          <w:rFonts w:cs="Calibri"/>
          <w:sz w:val="20"/>
          <w:szCs w:val="20"/>
          <w:lang w:val="es-ES_tradnl"/>
        </w:rPr>
        <w:t xml:space="preserve">a Comisión Interamericana ha señalado que el derecho a la igualdad ante la ley no puede asimilarse al derecho a un igual resultado de los procedimientos judiciales referentes a la misma materia. Al </w:t>
      </w:r>
      <w:r w:rsidR="001163FE" w:rsidRPr="000D4A38">
        <w:rPr>
          <w:rFonts w:cs="Calibri"/>
          <w:sz w:val="20"/>
          <w:szCs w:val="20"/>
          <w:lang w:val="es-ES_tradnl"/>
        </w:rPr>
        <w:t xml:space="preserve">respecto, la Comisión considera que la mera invocación de otros fallos sobre la misma materia con resultados diferentes, no es suficiente para caracterizar </w:t>
      </w:r>
      <w:r w:rsidR="001163FE" w:rsidRPr="000D4A38">
        <w:rPr>
          <w:rFonts w:cs="Calibri"/>
          <w:i/>
          <w:sz w:val="20"/>
          <w:szCs w:val="20"/>
          <w:lang w:val="es-ES_tradnl"/>
        </w:rPr>
        <w:t xml:space="preserve">prima </w:t>
      </w:r>
      <w:r w:rsidR="001163FE" w:rsidRPr="00351C84">
        <w:rPr>
          <w:rFonts w:cs="Calibri"/>
          <w:i/>
          <w:sz w:val="20"/>
          <w:szCs w:val="20"/>
          <w:lang w:val="es-ES_tradnl"/>
        </w:rPr>
        <w:t>facie</w:t>
      </w:r>
      <w:r w:rsidR="001163FE" w:rsidRPr="00351C84">
        <w:rPr>
          <w:rFonts w:cs="Calibri"/>
          <w:sz w:val="20"/>
          <w:szCs w:val="20"/>
          <w:lang w:val="es-ES_tradnl"/>
        </w:rPr>
        <w:t xml:space="preserve"> una posible violación del artículo 24 de la Convención.</w:t>
      </w:r>
    </w:p>
    <w:p w14:paraId="4B15CB76" w14:textId="77777777" w:rsidR="001163FE" w:rsidRPr="00351C84" w:rsidRDefault="001163FE" w:rsidP="00351C84">
      <w:pPr>
        <w:pStyle w:val="ListParagraph"/>
        <w:jc w:val="both"/>
        <w:rPr>
          <w:rFonts w:cs="Calibri"/>
          <w:sz w:val="20"/>
          <w:szCs w:val="20"/>
          <w:lang w:val="es-ES_tradnl"/>
        </w:rPr>
      </w:pPr>
    </w:p>
    <w:p w14:paraId="1EEFF41E" w14:textId="21910918" w:rsidR="00351C84" w:rsidRPr="00351C84" w:rsidRDefault="000D4A38" w:rsidP="00351C8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sz w:val="20"/>
          <w:szCs w:val="20"/>
          <w:lang w:val="es-ES"/>
        </w:rPr>
      </w:pPr>
      <w:r w:rsidRPr="00351C84">
        <w:rPr>
          <w:rFonts w:cs="Calibri"/>
          <w:sz w:val="20"/>
          <w:szCs w:val="20"/>
          <w:lang w:val="es-ES_tradnl"/>
        </w:rPr>
        <w:t xml:space="preserve">En relación a los derechos invocados establecidos en la Declaración Americana, </w:t>
      </w:r>
      <w:r w:rsidR="00BC1817" w:rsidRPr="00351C84">
        <w:rPr>
          <w:rFonts w:cs="Calibri"/>
          <w:sz w:val="20"/>
          <w:szCs w:val="20"/>
          <w:lang w:val="es-ES_tradnl"/>
        </w:rPr>
        <w:t>l</w:t>
      </w:r>
      <w:r w:rsidR="000336E4" w:rsidRPr="00351C84">
        <w:rPr>
          <w:rFonts w:cs="Calibri"/>
          <w:sz w:val="20"/>
          <w:szCs w:val="20"/>
          <w:lang w:val="es-ES_tradnl"/>
        </w:rPr>
        <w:t xml:space="preserve">a Comisión </w:t>
      </w:r>
      <w:r w:rsidRPr="00351C84">
        <w:rPr>
          <w:rFonts w:cs="Calibri"/>
          <w:sz w:val="20"/>
          <w:szCs w:val="20"/>
          <w:lang w:val="es-ES_tradnl"/>
        </w:rPr>
        <w:t xml:space="preserve">reitera </w:t>
      </w:r>
      <w:r w:rsidR="000336E4" w:rsidRPr="00351C84">
        <w:rPr>
          <w:rFonts w:cs="Calibri"/>
          <w:sz w:val="20"/>
          <w:szCs w:val="20"/>
          <w:lang w:val="es-ES_tradnl"/>
        </w:rPr>
        <w:t>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0336E4" w:rsidRPr="00351C84">
        <w:rPr>
          <w:rStyle w:val="FootnoteReference"/>
          <w:rFonts w:cs="Calibri"/>
          <w:sz w:val="20"/>
          <w:szCs w:val="20"/>
        </w:rPr>
        <w:footnoteReference w:id="11"/>
      </w:r>
      <w:r w:rsidR="000336E4" w:rsidRPr="00351C84">
        <w:rPr>
          <w:rFonts w:cs="Calibri"/>
          <w:sz w:val="20"/>
          <w:szCs w:val="20"/>
          <w:lang w:val="es-ES_tradnl"/>
        </w:rPr>
        <w:t>.</w:t>
      </w:r>
      <w:r w:rsidR="00BC1817" w:rsidRPr="00351C84">
        <w:rPr>
          <w:rFonts w:cs="Calibri"/>
          <w:sz w:val="20"/>
          <w:szCs w:val="20"/>
          <w:lang w:val="es-ES_tradnl"/>
        </w:rPr>
        <w:t xml:space="preserve"> </w:t>
      </w:r>
    </w:p>
    <w:p w14:paraId="33D84FC9" w14:textId="77777777" w:rsidR="00351C84" w:rsidRPr="00351C84" w:rsidRDefault="00351C84" w:rsidP="00351C84">
      <w:pPr>
        <w:pStyle w:val="ListParagraph"/>
        <w:jc w:val="both"/>
        <w:rPr>
          <w:sz w:val="20"/>
          <w:szCs w:val="20"/>
          <w:lang w:val="es-ES"/>
        </w:rPr>
      </w:pPr>
    </w:p>
    <w:p w14:paraId="51E149B4" w14:textId="08E45B07" w:rsidR="00351C84" w:rsidRPr="00351C84" w:rsidRDefault="0065704D" w:rsidP="00351C8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sz w:val="20"/>
          <w:szCs w:val="20"/>
          <w:lang w:val="es-ES_tradnl"/>
        </w:rPr>
      </w:pPr>
      <w:r w:rsidRPr="00351C84">
        <w:rPr>
          <w:sz w:val="20"/>
          <w:szCs w:val="20"/>
          <w:lang w:val="es-ES_tradnl"/>
        </w:rPr>
        <w:t xml:space="preserve">Por último, respecto al alegato del Estado </w:t>
      </w:r>
      <w:r w:rsidR="00351C84" w:rsidRPr="00351C84">
        <w:rPr>
          <w:sz w:val="20"/>
          <w:szCs w:val="20"/>
          <w:lang w:val="es-ES_tradnl" w:eastAsia="es-419"/>
        </w:rPr>
        <w:t>referido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p>
    <w:p w14:paraId="4C582168" w14:textId="77777777" w:rsidR="00351C84" w:rsidRPr="00351C84" w:rsidRDefault="00351C84" w:rsidP="00351C8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lang w:val="es-ES_tradnl"/>
        </w:rPr>
      </w:pP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7E7E3B1A" w:rsidR="003239B8" w:rsidRPr="00C41A99" w:rsidRDefault="003239B8" w:rsidP="00351C8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41A99">
        <w:rPr>
          <w:rFonts w:asciiTheme="majorHAnsi" w:hAnsiTheme="majorHAnsi"/>
          <w:sz w:val="20"/>
          <w:szCs w:val="20"/>
          <w:lang w:val="es-ES"/>
        </w:rPr>
        <w:t xml:space="preserve">Declarar admisible la presente petición en relación con </w:t>
      </w:r>
      <w:r w:rsidR="00C41A99" w:rsidRPr="00C41A99">
        <w:rPr>
          <w:rFonts w:asciiTheme="majorHAnsi" w:hAnsiTheme="majorHAnsi"/>
          <w:sz w:val="20"/>
          <w:szCs w:val="20"/>
          <w:lang w:val="es-ES"/>
        </w:rPr>
        <w:t xml:space="preserve">los artículos </w:t>
      </w:r>
      <w:r w:rsidR="000D4A38" w:rsidRPr="00C41A99">
        <w:rPr>
          <w:rFonts w:asciiTheme="majorHAnsi" w:hAnsiTheme="majorHAnsi"/>
          <w:bCs/>
          <w:sz w:val="20"/>
          <w:szCs w:val="20"/>
          <w:lang w:val="es-VE"/>
        </w:rPr>
        <w:t>4, 5, 8, 19 y 25 de la Convención Americana en relación con el artículo 1.1 del mismo instrumento</w:t>
      </w:r>
      <w:r w:rsidR="00A758AA" w:rsidRPr="00C41A99">
        <w:rPr>
          <w:rFonts w:asciiTheme="majorHAnsi" w:hAnsiTheme="majorHAnsi"/>
          <w:sz w:val="20"/>
          <w:szCs w:val="20"/>
          <w:lang w:val="es-ES"/>
        </w:rPr>
        <w:t>;</w:t>
      </w:r>
      <w:r w:rsidR="007B76D3" w:rsidRPr="00C41A99">
        <w:rPr>
          <w:rFonts w:asciiTheme="majorHAnsi" w:hAnsiTheme="majorHAnsi"/>
          <w:sz w:val="20"/>
          <w:szCs w:val="20"/>
          <w:lang w:val="es-ES"/>
        </w:rPr>
        <w:t xml:space="preserve"> y</w:t>
      </w:r>
    </w:p>
    <w:p w14:paraId="570DA61C" w14:textId="273EB34E" w:rsidR="000419AD" w:rsidRDefault="000419AD" w:rsidP="00351C84">
      <w:pPr>
        <w:pStyle w:val="ListParagraph"/>
        <w:numPr>
          <w:ilvl w:val="0"/>
          <w:numId w:val="109"/>
        </w:numPr>
        <w:spacing w:after="120"/>
        <w:jc w:val="both"/>
        <w:rPr>
          <w:rFonts w:eastAsia="Arial Unicode MS" w:cs="Times New Roman"/>
          <w:color w:val="auto"/>
          <w:sz w:val="20"/>
          <w:szCs w:val="20"/>
          <w:lang w:val="es-ES" w:eastAsia="en-US"/>
        </w:rPr>
      </w:pPr>
      <w:r w:rsidRPr="000A3264">
        <w:rPr>
          <w:rFonts w:eastAsia="Arial Unicode MS" w:cs="Times New Roman"/>
          <w:color w:val="auto"/>
          <w:sz w:val="20"/>
          <w:szCs w:val="20"/>
          <w:lang w:val="es-ES" w:eastAsia="en-US"/>
        </w:rPr>
        <w:t xml:space="preserve">Declarar inadmisible la </w:t>
      </w:r>
      <w:r w:rsidRPr="000419AD">
        <w:rPr>
          <w:rFonts w:eastAsia="Arial Unicode MS" w:cs="Times New Roman"/>
          <w:color w:val="auto"/>
          <w:sz w:val="20"/>
          <w:szCs w:val="20"/>
          <w:lang w:val="es-ES" w:eastAsia="en-US"/>
        </w:rPr>
        <w:t xml:space="preserve">presente petición en relación con </w:t>
      </w:r>
      <w:r w:rsidR="00C41A99">
        <w:rPr>
          <w:rFonts w:eastAsia="Arial Unicode MS" w:cs="Times New Roman"/>
          <w:color w:val="auto"/>
          <w:sz w:val="20"/>
          <w:szCs w:val="20"/>
          <w:lang w:val="es-ES" w:eastAsia="en-US"/>
        </w:rPr>
        <w:t>los artículos 7, 10 y 24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018089FE" w14:textId="71A66D0D" w:rsidR="00332BE6" w:rsidRDefault="004A6A54" w:rsidP="00332BE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DEAE062" w14:textId="0C01325D" w:rsidR="00332BE6" w:rsidRPr="00A37B82" w:rsidRDefault="00332BE6" w:rsidP="00332B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6AED92E" w14:textId="77777777" w:rsidR="00332BE6" w:rsidRPr="00A37B82" w:rsidRDefault="00332BE6" w:rsidP="00332BE6">
      <w:pPr>
        <w:suppressAutoHyphens/>
        <w:ind w:firstLine="720"/>
        <w:jc w:val="both"/>
        <w:rPr>
          <w:rFonts w:asciiTheme="majorHAnsi" w:hAnsiTheme="majorHAnsi" w:cs="Arial"/>
          <w:noProof/>
          <w:spacing w:val="-2"/>
          <w:sz w:val="20"/>
          <w:szCs w:val="20"/>
          <w:lang w:val="es-CL"/>
        </w:rPr>
      </w:pPr>
    </w:p>
    <w:sectPr w:rsidR="00332BE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54E4" w14:textId="77777777" w:rsidR="004A4CD8" w:rsidRDefault="004A4CD8">
      <w:r>
        <w:separator/>
      </w:r>
    </w:p>
  </w:endnote>
  <w:endnote w:type="continuationSeparator" w:id="0">
    <w:p w14:paraId="1DA9EE7D" w14:textId="77777777" w:rsidR="004A4CD8" w:rsidRDefault="004A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DF11" w14:textId="77777777" w:rsidR="00A67CC5" w:rsidRDefault="00A67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9CAA95B" w:rsidR="00002EF4" w:rsidRPr="00934A2C" w:rsidRDefault="00002E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67CC5">
          <w:rPr>
            <w:noProof/>
            <w:sz w:val="16"/>
            <w:szCs w:val="22"/>
          </w:rPr>
          <w:t>3</w:t>
        </w:r>
        <w:r w:rsidRPr="00934A2C">
          <w:rPr>
            <w:noProof/>
            <w:sz w:val="16"/>
            <w:szCs w:val="22"/>
          </w:rPr>
          <w:fldChar w:fldCharType="end"/>
        </w:r>
      </w:p>
    </w:sdtContent>
  </w:sdt>
  <w:p w14:paraId="68530E6A" w14:textId="77777777" w:rsidR="00002EF4" w:rsidRDefault="00002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02EF4" w:rsidRPr="00934A2C" w:rsidRDefault="00002EF4">
    <w:pPr>
      <w:pStyle w:val="Footer"/>
      <w:jc w:val="center"/>
      <w:rPr>
        <w:sz w:val="16"/>
        <w:szCs w:val="22"/>
      </w:rPr>
    </w:pPr>
  </w:p>
  <w:p w14:paraId="49059CE3" w14:textId="77777777" w:rsidR="00002EF4" w:rsidRDefault="0000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17F72" w14:textId="77777777" w:rsidR="004A4CD8" w:rsidRPr="000F35ED" w:rsidRDefault="004A4C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8D79BB" w14:textId="77777777" w:rsidR="004A4CD8" w:rsidRPr="000F35ED" w:rsidRDefault="004A4CD8" w:rsidP="000F35ED">
      <w:pPr>
        <w:rPr>
          <w:rFonts w:asciiTheme="majorHAnsi" w:hAnsiTheme="majorHAnsi"/>
          <w:sz w:val="16"/>
          <w:szCs w:val="16"/>
        </w:rPr>
      </w:pPr>
      <w:r w:rsidRPr="000F35ED">
        <w:rPr>
          <w:rFonts w:asciiTheme="majorHAnsi" w:hAnsiTheme="majorHAnsi"/>
          <w:sz w:val="16"/>
          <w:szCs w:val="16"/>
        </w:rPr>
        <w:separator/>
      </w:r>
    </w:p>
    <w:p w14:paraId="0383CC62" w14:textId="77777777" w:rsidR="004A4CD8" w:rsidRPr="000F35ED" w:rsidRDefault="004A4CD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B587695" w14:textId="77777777" w:rsidR="004A4CD8" w:rsidRPr="000F35ED" w:rsidRDefault="004A4C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800C939" w14:textId="77777777" w:rsidR="009A34E1" w:rsidRPr="00CB0A8C" w:rsidRDefault="009A34E1" w:rsidP="009A34E1">
      <w:pPr>
        <w:pStyle w:val="FootnoteText"/>
        <w:pBdr>
          <w:top w:val="none" w:sz="0" w:space="0" w:color="auto"/>
          <w:left w:val="none" w:sz="0" w:space="0" w:color="auto"/>
          <w:bottom w:val="none" w:sz="0" w:space="0" w:color="auto"/>
          <w:right w:val="none" w:sz="0" w:space="0" w:color="auto"/>
        </w:pBdr>
        <w:ind w:firstLine="720"/>
        <w:jc w:val="both"/>
        <w:rPr>
          <w:lang w:val="es-419"/>
        </w:rPr>
      </w:pPr>
      <w:r w:rsidRPr="00F205A7">
        <w:rPr>
          <w:rFonts w:ascii="Cambria" w:hAnsi="Cambria"/>
          <w:sz w:val="16"/>
          <w:szCs w:val="16"/>
          <w:vertAlign w:val="superscript"/>
          <w:lang w:val="es-ES"/>
        </w:rPr>
        <w:footnoteRef/>
      </w:r>
      <w:r w:rsidRPr="00F205A7">
        <w:rPr>
          <w:rFonts w:ascii="Cambria" w:hAnsi="Cambria"/>
          <w:sz w:val="16"/>
          <w:szCs w:val="16"/>
          <w:lang w:val="es-ES"/>
        </w:rPr>
        <w:t xml:space="preserve"> </w:t>
      </w:r>
      <w:r>
        <w:rPr>
          <w:rFonts w:ascii="Cambria" w:hAnsi="Cambria"/>
          <w:sz w:val="16"/>
          <w:szCs w:val="16"/>
          <w:lang w:val="es-ES"/>
        </w:rPr>
        <w:t xml:space="preserve">Por solicitud de la parte peticionaria, la Comisión reserva </w:t>
      </w:r>
      <w:r w:rsidRPr="00721709">
        <w:rPr>
          <w:rFonts w:ascii="Cambria" w:hAnsi="Cambria"/>
          <w:sz w:val="16"/>
          <w:szCs w:val="16"/>
          <w:lang w:val="es-ES"/>
        </w:rPr>
        <w:t>su identidad con base en e</w:t>
      </w:r>
      <w:r>
        <w:rPr>
          <w:rFonts w:ascii="Cambria" w:hAnsi="Cambria"/>
          <w:sz w:val="16"/>
          <w:szCs w:val="16"/>
          <w:lang w:val="es-ES"/>
        </w:rPr>
        <w:t>l artículo 28.2 de su Reglamento.</w:t>
      </w:r>
    </w:p>
  </w:footnote>
  <w:footnote w:id="3">
    <w:p w14:paraId="55E513A1" w14:textId="43EB6F7C" w:rsidR="0065704D" w:rsidRPr="0065704D" w:rsidRDefault="0065704D" w:rsidP="0065704D">
      <w:pPr>
        <w:pStyle w:val="FootnoteText"/>
        <w:ind w:firstLine="720"/>
        <w:rPr>
          <w:rFonts w:ascii="Cambria" w:hAnsi="Cambria"/>
          <w:lang w:val="es-VE"/>
        </w:rPr>
      </w:pPr>
      <w:r w:rsidRPr="0065704D">
        <w:rPr>
          <w:rStyle w:val="FootnoteReference"/>
          <w:rFonts w:ascii="Cambria" w:hAnsi="Cambria"/>
          <w:sz w:val="16"/>
          <w:szCs w:val="16"/>
        </w:rPr>
        <w:footnoteRef/>
      </w:r>
      <w:r>
        <w:rPr>
          <w:rFonts w:ascii="Cambria" w:hAnsi="Cambria"/>
          <w:sz w:val="16"/>
          <w:szCs w:val="16"/>
          <w:lang w:val="es-VE"/>
        </w:rPr>
        <w:t xml:space="preserve"> La petición detalla como presuntas víctimas</w:t>
      </w:r>
      <w:r w:rsidR="00B27A74">
        <w:rPr>
          <w:rFonts w:ascii="Cambria" w:hAnsi="Cambria"/>
          <w:sz w:val="16"/>
          <w:szCs w:val="16"/>
          <w:lang w:val="es-VE"/>
        </w:rPr>
        <w:t xml:space="preserve"> </w:t>
      </w:r>
      <w:r w:rsidR="00584B46">
        <w:rPr>
          <w:rFonts w:ascii="Cambria" w:hAnsi="Cambria"/>
          <w:sz w:val="16"/>
          <w:szCs w:val="16"/>
          <w:lang w:val="es-VE"/>
        </w:rPr>
        <w:t xml:space="preserve">a </w:t>
      </w:r>
      <w:r w:rsidR="00B27A74" w:rsidRPr="0065704D">
        <w:rPr>
          <w:rFonts w:ascii="Cambria" w:hAnsi="Cambria"/>
          <w:bCs/>
          <w:sz w:val="16"/>
          <w:szCs w:val="16"/>
          <w:lang w:val="es-VE"/>
        </w:rPr>
        <w:t>Víctor Hugo Rivas Flor</w:t>
      </w:r>
      <w:r w:rsidR="00584B46">
        <w:rPr>
          <w:rFonts w:ascii="Cambria" w:hAnsi="Cambria"/>
          <w:bCs/>
          <w:sz w:val="16"/>
          <w:szCs w:val="16"/>
          <w:lang w:val="es-VE"/>
        </w:rPr>
        <w:t xml:space="preserve">, </w:t>
      </w:r>
      <w:r w:rsidR="00B27A74">
        <w:rPr>
          <w:rFonts w:ascii="Cambria" w:hAnsi="Cambria"/>
          <w:sz w:val="16"/>
          <w:szCs w:val="16"/>
          <w:lang w:val="es-VE"/>
        </w:rPr>
        <w:t xml:space="preserve">sus </w:t>
      </w:r>
      <w:r w:rsidR="00584B46">
        <w:rPr>
          <w:rFonts w:ascii="Cambria" w:hAnsi="Cambria"/>
          <w:sz w:val="16"/>
          <w:szCs w:val="16"/>
          <w:lang w:val="es-VE"/>
        </w:rPr>
        <w:t xml:space="preserve">padres </w:t>
      </w:r>
      <w:r w:rsidRPr="0065704D">
        <w:rPr>
          <w:rFonts w:ascii="Cambria" w:hAnsi="Cambria"/>
          <w:bCs/>
          <w:sz w:val="16"/>
          <w:szCs w:val="16"/>
          <w:lang w:val="es-VE"/>
        </w:rPr>
        <w:t xml:space="preserve">Luis Evelio </w:t>
      </w:r>
      <w:r w:rsidR="00584B46">
        <w:rPr>
          <w:rFonts w:ascii="Cambria" w:hAnsi="Cambria"/>
          <w:bCs/>
          <w:sz w:val="16"/>
          <w:szCs w:val="16"/>
          <w:lang w:val="es-VE"/>
        </w:rPr>
        <w:t xml:space="preserve">Soto </w:t>
      </w:r>
      <w:r w:rsidRPr="0065704D">
        <w:rPr>
          <w:rFonts w:ascii="Cambria" w:hAnsi="Cambria"/>
          <w:bCs/>
          <w:sz w:val="16"/>
          <w:szCs w:val="16"/>
          <w:lang w:val="es-VE"/>
        </w:rPr>
        <w:t>Arroyabe</w:t>
      </w:r>
      <w:r w:rsidR="00584B46">
        <w:rPr>
          <w:rFonts w:ascii="Cambria" w:hAnsi="Cambria"/>
          <w:bCs/>
          <w:sz w:val="16"/>
          <w:szCs w:val="16"/>
          <w:lang w:val="es-VE"/>
        </w:rPr>
        <w:t xml:space="preserve"> y</w:t>
      </w:r>
      <w:r w:rsidRPr="0065704D">
        <w:rPr>
          <w:rFonts w:ascii="Cambria" w:hAnsi="Cambria"/>
          <w:bCs/>
          <w:sz w:val="16"/>
          <w:szCs w:val="16"/>
          <w:lang w:val="es-VE"/>
        </w:rPr>
        <w:t xml:space="preserve"> María Oliva Flor, </w:t>
      </w:r>
      <w:r w:rsidR="00584B46">
        <w:rPr>
          <w:rFonts w:ascii="Cambria" w:hAnsi="Cambria"/>
          <w:bCs/>
          <w:sz w:val="16"/>
          <w:szCs w:val="16"/>
          <w:lang w:val="es-VE"/>
        </w:rPr>
        <w:t xml:space="preserve">su hermano </w:t>
      </w:r>
      <w:r w:rsidRPr="0065704D">
        <w:rPr>
          <w:rFonts w:ascii="Cambria" w:hAnsi="Cambria"/>
          <w:bCs/>
          <w:sz w:val="16"/>
          <w:szCs w:val="16"/>
          <w:lang w:val="es-VE"/>
        </w:rPr>
        <w:t xml:space="preserve">Richard Armando Soto Flor, </w:t>
      </w:r>
      <w:r w:rsidR="00584B46">
        <w:rPr>
          <w:rFonts w:ascii="Cambria" w:hAnsi="Cambria"/>
          <w:bCs/>
          <w:sz w:val="16"/>
          <w:szCs w:val="16"/>
          <w:lang w:val="es-VE"/>
        </w:rPr>
        <w:t xml:space="preserve">y sus abuelos </w:t>
      </w:r>
      <w:proofErr w:type="spellStart"/>
      <w:r w:rsidRPr="0065704D">
        <w:rPr>
          <w:rFonts w:ascii="Cambria" w:hAnsi="Cambria"/>
          <w:bCs/>
          <w:sz w:val="16"/>
          <w:szCs w:val="16"/>
          <w:lang w:val="es-VE"/>
        </w:rPr>
        <w:t>Genivera</w:t>
      </w:r>
      <w:proofErr w:type="spellEnd"/>
      <w:r w:rsidRPr="0065704D">
        <w:rPr>
          <w:rFonts w:ascii="Cambria" w:hAnsi="Cambria"/>
          <w:bCs/>
          <w:sz w:val="16"/>
          <w:szCs w:val="16"/>
          <w:lang w:val="es-VE"/>
        </w:rPr>
        <w:t xml:space="preserve"> Flor, </w:t>
      </w:r>
      <w:r w:rsidR="00B27A74">
        <w:rPr>
          <w:rFonts w:ascii="Cambria" w:hAnsi="Cambria"/>
          <w:bCs/>
          <w:sz w:val="16"/>
          <w:szCs w:val="16"/>
          <w:lang w:val="es-VE"/>
        </w:rPr>
        <w:t xml:space="preserve">y </w:t>
      </w:r>
      <w:r w:rsidRPr="0065704D">
        <w:rPr>
          <w:rFonts w:ascii="Cambria" w:hAnsi="Cambria"/>
          <w:bCs/>
          <w:sz w:val="16"/>
          <w:szCs w:val="16"/>
          <w:lang w:val="es-VE"/>
        </w:rPr>
        <w:t>Manuel de Jesús Granda Cuesta</w:t>
      </w:r>
      <w:r w:rsidR="009A34E1">
        <w:rPr>
          <w:rFonts w:ascii="Cambria" w:hAnsi="Cambria"/>
          <w:bCs/>
          <w:sz w:val="16"/>
          <w:szCs w:val="16"/>
          <w:lang w:val="es-VE"/>
        </w:rPr>
        <w:t>.</w:t>
      </w:r>
      <w:r>
        <w:rPr>
          <w:rFonts w:ascii="Cambria" w:hAnsi="Cambria"/>
          <w:bCs/>
          <w:sz w:val="16"/>
          <w:szCs w:val="16"/>
          <w:lang w:val="es-VE"/>
        </w:rPr>
        <w:t xml:space="preserve"> </w:t>
      </w:r>
    </w:p>
  </w:footnote>
  <w:footnote w:id="4">
    <w:p w14:paraId="716F342F" w14:textId="6492B325" w:rsidR="00AC63DE" w:rsidRPr="00AC63DE" w:rsidRDefault="00AC63DE" w:rsidP="00AC63DE">
      <w:pPr>
        <w:pStyle w:val="FootnoteText"/>
        <w:ind w:firstLine="720"/>
        <w:rPr>
          <w:rFonts w:ascii="Cambria" w:hAnsi="Cambria"/>
          <w:sz w:val="16"/>
          <w:szCs w:val="16"/>
          <w:lang w:val="es-VE"/>
        </w:rPr>
      </w:pPr>
      <w:r w:rsidRPr="00AC63DE">
        <w:rPr>
          <w:rStyle w:val="FootnoteReference"/>
          <w:rFonts w:ascii="Cambria" w:hAnsi="Cambria"/>
          <w:sz w:val="16"/>
          <w:szCs w:val="16"/>
        </w:rPr>
        <w:footnoteRef/>
      </w:r>
      <w:r w:rsidRPr="00AC63DE">
        <w:rPr>
          <w:rFonts w:ascii="Cambria" w:hAnsi="Cambria"/>
          <w:sz w:val="16"/>
          <w:szCs w:val="16"/>
          <w:lang w:val="es-VE"/>
        </w:rPr>
        <w:t xml:space="preserve"> En adelante “la Convención Americana” o “la Convención”.</w:t>
      </w:r>
    </w:p>
  </w:footnote>
  <w:footnote w:id="5">
    <w:p w14:paraId="16E134CB" w14:textId="7A0F932E" w:rsidR="00AC63DE" w:rsidRPr="00AC63DE" w:rsidRDefault="00AC63DE" w:rsidP="0065704D">
      <w:pPr>
        <w:pStyle w:val="FootnoteText"/>
        <w:ind w:firstLine="720"/>
        <w:rPr>
          <w:lang w:val="es-VE"/>
        </w:rPr>
      </w:pPr>
      <w:r w:rsidRPr="00AC63DE">
        <w:rPr>
          <w:rStyle w:val="FootnoteReference"/>
          <w:rFonts w:ascii="Cambria" w:hAnsi="Cambria"/>
          <w:sz w:val="16"/>
          <w:szCs w:val="16"/>
        </w:rPr>
        <w:footnoteRef/>
      </w:r>
      <w:r w:rsidRPr="00AC63DE">
        <w:rPr>
          <w:rFonts w:ascii="Cambria" w:hAnsi="Cambria"/>
          <w:sz w:val="16"/>
          <w:szCs w:val="16"/>
          <w:lang w:val="es-VE"/>
        </w:rPr>
        <w:t xml:space="preserve"> En adelante “la Declaración Americana” o “la Declaración”.</w:t>
      </w:r>
    </w:p>
  </w:footnote>
  <w:footnote w:id="6">
    <w:p w14:paraId="79F07139" w14:textId="77777777" w:rsidR="00002EF4" w:rsidRPr="00537490" w:rsidRDefault="00002EF4" w:rsidP="0065704D">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7">
    <w:p w14:paraId="3F86C927" w14:textId="460B523F" w:rsidR="00002EF4" w:rsidRPr="0086347B" w:rsidRDefault="00002EF4" w:rsidP="00F67B6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VE"/>
        </w:rPr>
      </w:pPr>
      <w:r w:rsidRPr="0086347B">
        <w:rPr>
          <w:rStyle w:val="FootnoteReference"/>
          <w:rFonts w:ascii="Cambria" w:hAnsi="Cambria"/>
          <w:sz w:val="16"/>
          <w:szCs w:val="16"/>
        </w:rPr>
        <w:footnoteRef/>
      </w:r>
      <w:r w:rsidRPr="0086347B">
        <w:rPr>
          <w:rFonts w:ascii="Cambria" w:hAnsi="Cambria"/>
          <w:sz w:val="16"/>
          <w:szCs w:val="16"/>
          <w:lang w:val="es-VE"/>
        </w:rPr>
        <w:t xml:space="preserve"> De vital importancia es esta </w:t>
      </w:r>
      <w:r w:rsidR="002533B9" w:rsidRPr="0086347B">
        <w:rPr>
          <w:rFonts w:ascii="Cambria" w:hAnsi="Cambria"/>
          <w:sz w:val="16"/>
          <w:szCs w:val="16"/>
          <w:lang w:val="es-VE"/>
        </w:rPr>
        <w:t>circunstancia</w:t>
      </w:r>
      <w:r w:rsidRPr="0086347B">
        <w:rPr>
          <w:rFonts w:ascii="Cambria" w:hAnsi="Cambria"/>
          <w:sz w:val="16"/>
          <w:szCs w:val="16"/>
          <w:lang w:val="es-VE"/>
        </w:rPr>
        <w:t xml:space="preserve"> que el acusado no presenta señal que habla enfáticamente el lesionado, ese </w:t>
      </w:r>
      <w:r w:rsidR="00F67B65" w:rsidRPr="0086347B">
        <w:rPr>
          <w:rFonts w:ascii="Cambria" w:hAnsi="Cambria"/>
          <w:sz w:val="16"/>
          <w:szCs w:val="16"/>
          <w:lang w:val="es-VE"/>
        </w:rPr>
        <w:t>lunar</w:t>
      </w:r>
      <w:r w:rsidRPr="0086347B">
        <w:rPr>
          <w:rFonts w:ascii="Cambria" w:hAnsi="Cambria"/>
          <w:sz w:val="16"/>
          <w:szCs w:val="16"/>
          <w:lang w:val="es-VE"/>
        </w:rPr>
        <w:t xml:space="preserve"> o esa mancha oscura y velluda no la tiene </w:t>
      </w:r>
      <w:r w:rsidR="00F67B65">
        <w:rPr>
          <w:rFonts w:ascii="Cambria" w:hAnsi="Cambria"/>
          <w:sz w:val="16"/>
          <w:szCs w:val="16"/>
          <w:lang w:val="es-VE"/>
        </w:rPr>
        <w:t>E</w:t>
      </w:r>
      <w:r w:rsidRPr="0086347B">
        <w:rPr>
          <w:rFonts w:ascii="Cambria" w:hAnsi="Cambria"/>
          <w:sz w:val="16"/>
          <w:szCs w:val="16"/>
          <w:lang w:val="es-VE"/>
        </w:rPr>
        <w:t xml:space="preserve">dison </w:t>
      </w:r>
      <w:r w:rsidR="00F67B65">
        <w:rPr>
          <w:rFonts w:ascii="Cambria" w:hAnsi="Cambria"/>
          <w:sz w:val="16"/>
          <w:szCs w:val="16"/>
          <w:lang w:val="es-VE"/>
        </w:rPr>
        <w:t>L</w:t>
      </w:r>
      <w:r w:rsidR="00F67B65" w:rsidRPr="0086347B">
        <w:rPr>
          <w:rFonts w:ascii="Cambria" w:hAnsi="Cambria"/>
          <w:sz w:val="16"/>
          <w:szCs w:val="16"/>
          <w:lang w:val="es-VE"/>
        </w:rPr>
        <w:t>ondoño</w:t>
      </w:r>
      <w:r w:rsidRPr="0086347B">
        <w:rPr>
          <w:rFonts w:ascii="Cambria" w:hAnsi="Cambria"/>
          <w:sz w:val="16"/>
          <w:szCs w:val="16"/>
          <w:lang w:val="es-VE"/>
        </w:rPr>
        <w:t xml:space="preserve">. Edison </w:t>
      </w:r>
      <w:r w:rsidR="00F67B65">
        <w:rPr>
          <w:rFonts w:ascii="Cambria" w:hAnsi="Cambria"/>
          <w:sz w:val="16"/>
          <w:szCs w:val="16"/>
          <w:lang w:val="es-VE"/>
        </w:rPr>
        <w:t>L</w:t>
      </w:r>
      <w:r w:rsidRPr="0086347B">
        <w:rPr>
          <w:rFonts w:ascii="Cambria" w:hAnsi="Cambria"/>
          <w:sz w:val="16"/>
          <w:szCs w:val="16"/>
          <w:lang w:val="es-VE"/>
        </w:rPr>
        <w:t xml:space="preserve">ondoño al enterarse de las imputaciones que se le hacían por los habitantes del corregimiento deicidio presentarse para colaborar con el </w:t>
      </w:r>
      <w:r w:rsidR="00F67B65" w:rsidRPr="0086347B">
        <w:rPr>
          <w:rFonts w:ascii="Cambria" w:hAnsi="Cambria"/>
          <w:sz w:val="16"/>
          <w:szCs w:val="16"/>
          <w:lang w:val="es-VE"/>
        </w:rPr>
        <w:t>esclarecimiento</w:t>
      </w:r>
      <w:r w:rsidR="00F67B65">
        <w:rPr>
          <w:rFonts w:ascii="Cambria" w:hAnsi="Cambria"/>
          <w:sz w:val="16"/>
          <w:szCs w:val="16"/>
          <w:lang w:val="es-VE"/>
        </w:rPr>
        <w:t xml:space="preserve"> de los hechos.</w:t>
      </w:r>
    </w:p>
  </w:footnote>
  <w:footnote w:id="8">
    <w:p w14:paraId="01BDE1F7" w14:textId="6500BCBB" w:rsidR="00584B46" w:rsidRPr="000A3264" w:rsidRDefault="00584B46" w:rsidP="000A3264">
      <w:pPr>
        <w:pStyle w:val="FootnoteText"/>
        <w:ind w:firstLine="720"/>
        <w:jc w:val="both"/>
        <w:rPr>
          <w:rFonts w:ascii="Cambria" w:hAnsi="Cambria"/>
          <w:lang w:val="es-VE"/>
        </w:rPr>
      </w:pPr>
      <w:r w:rsidRPr="000A3264">
        <w:rPr>
          <w:rStyle w:val="FootnoteReference"/>
          <w:rFonts w:ascii="Cambria" w:hAnsi="Cambria"/>
          <w:sz w:val="16"/>
          <w:szCs w:val="16"/>
        </w:rPr>
        <w:footnoteRef/>
      </w:r>
      <w:r w:rsidRPr="000A3264">
        <w:rPr>
          <w:rFonts w:ascii="Cambria" w:hAnsi="Cambria"/>
          <w:sz w:val="16"/>
          <w:szCs w:val="16"/>
          <w:lang w:val="es-VE"/>
        </w:rPr>
        <w:t xml:space="preserve"> Al respecto la parte peticionaria cita</w:t>
      </w:r>
      <w:r w:rsidR="000A3264" w:rsidRPr="000A3264">
        <w:rPr>
          <w:rFonts w:ascii="Cambria" w:hAnsi="Cambria"/>
          <w:sz w:val="16"/>
          <w:szCs w:val="16"/>
          <w:lang w:val="es-VE"/>
        </w:rPr>
        <w:t xml:space="preserve"> jurisprudencia del Consejo de Estado como: decisión adoptada el 25 de mayo de 1990 por el Ponente Carlos Betancur Jaramillo relativa al caso Ricardo A. López - proceso No. 5821; decisión adoptada el 12 de julio de 1993 por el mismo Ponente relativa al proceso No. 7569; decisión adoptada el 3 de diciembre de 1993 por el mismo Ponente relativa al proceso No. 7905; y decisión adoptada el 14 de febrero de 1995 por la Ponente Consuelo Sarria </w:t>
      </w:r>
      <w:proofErr w:type="spellStart"/>
      <w:r w:rsidR="000A3264" w:rsidRPr="000A3264">
        <w:rPr>
          <w:rFonts w:ascii="Cambria" w:hAnsi="Cambria"/>
          <w:sz w:val="16"/>
          <w:szCs w:val="16"/>
          <w:lang w:val="es-VE"/>
        </w:rPr>
        <w:t>Olcos</w:t>
      </w:r>
      <w:proofErr w:type="spellEnd"/>
      <w:r w:rsidR="000A3264" w:rsidRPr="000A3264">
        <w:rPr>
          <w:rFonts w:ascii="Cambria" w:hAnsi="Cambria"/>
          <w:sz w:val="16"/>
          <w:szCs w:val="16"/>
          <w:lang w:val="es-VE"/>
        </w:rPr>
        <w:t xml:space="preserve">.  </w:t>
      </w:r>
    </w:p>
  </w:footnote>
  <w:footnote w:id="9">
    <w:p w14:paraId="4FDD6C3C" w14:textId="77777777" w:rsidR="0007614E" w:rsidRDefault="0007614E" w:rsidP="0007614E">
      <w:pPr>
        <w:pStyle w:val="FootnoteText"/>
        <w:ind w:firstLine="720"/>
        <w:jc w:val="both"/>
        <w:rPr>
          <w:rFonts w:ascii="Cambria" w:hAnsi="Cambria"/>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42/18. Petición 663-07. Admisibilidad. Familias desplazadas de la Hacienda </w:t>
      </w:r>
      <w:proofErr w:type="spellStart"/>
      <w:r>
        <w:rPr>
          <w:rFonts w:ascii="Cambria" w:hAnsi="Cambria"/>
          <w:sz w:val="16"/>
          <w:szCs w:val="16"/>
          <w:lang w:val="es-VE"/>
        </w:rPr>
        <w:t>Bellacruz</w:t>
      </w:r>
      <w:proofErr w:type="spellEnd"/>
      <w:r>
        <w:rPr>
          <w:rFonts w:ascii="Cambria" w:hAnsi="Cambria"/>
          <w:sz w:val="16"/>
          <w:szCs w:val="16"/>
          <w:lang w:val="es-VE"/>
        </w:rPr>
        <w:t>. Colombia. 4 de mayo de 2018, párr. 18.</w:t>
      </w:r>
    </w:p>
  </w:footnote>
  <w:footnote w:id="10">
    <w:p w14:paraId="07D434DE" w14:textId="14764F87" w:rsidR="000D4A38" w:rsidRPr="00F96CD8" w:rsidRDefault="000D4A38" w:rsidP="00351C84">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26/16, Petición 932-03. Inadmisibilidad. Rómulo Jonás Ponce Santamaría. Perú. 15 de abril de 2016, párr. 35 y 36.</w:t>
      </w:r>
    </w:p>
  </w:footnote>
  <w:footnote w:id="11">
    <w:p w14:paraId="2B11CBC0" w14:textId="7BB55C05" w:rsidR="000336E4" w:rsidRPr="00F96CD8" w:rsidRDefault="000336E4" w:rsidP="00351C84">
      <w:pPr>
        <w:pStyle w:val="FootnoteText"/>
        <w:ind w:firstLine="720"/>
        <w:jc w:val="both"/>
        <w:rPr>
          <w:rFonts w:ascii="Cambria" w:hAnsi="Cambria"/>
          <w:sz w:val="16"/>
          <w:szCs w:val="16"/>
          <w:lang w:val="es-ES"/>
        </w:rPr>
      </w:pPr>
      <w:r w:rsidRPr="00E35BB4">
        <w:rPr>
          <w:rStyle w:val="FootnoteReference"/>
          <w:rFonts w:ascii="Cambria" w:hAnsi="Cambria"/>
          <w:sz w:val="16"/>
          <w:szCs w:val="16"/>
        </w:rPr>
        <w:footnoteRef/>
      </w:r>
      <w:r w:rsidRPr="00E35BB4">
        <w:rPr>
          <w:rFonts w:ascii="Cambria" w:hAnsi="Cambria"/>
          <w:sz w:val="16"/>
          <w:szCs w:val="16"/>
          <w:lang w:val="es-ES"/>
        </w:rPr>
        <w:t xml:space="preserve"> CIDH, Informe No. 180/18. Petición 1616-07. Admisibilidad. A.G.A. y familiares. Colombia. 26 de diciembre de 2018, párr.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02EF4" w:rsidRDefault="00002EF4" w:rsidP="0049024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02EF4" w:rsidRDefault="00002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02EF4" w:rsidRDefault="00002EF4"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02EF4" w:rsidRPr="00EC7D62" w:rsidRDefault="004A4CD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658A" w14:textId="77777777" w:rsidR="00A67CC5" w:rsidRDefault="00A67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FA8D422"/>
    <w:lvl w:ilvl="0" w:tplc="A74EE322">
      <w:start w:val="1"/>
      <w:numFmt w:val="decimal"/>
      <w:lvlText w:val="%1."/>
      <w:lvlJc w:val="left"/>
      <w:pPr>
        <w:tabs>
          <w:tab w:val="num" w:pos="720"/>
        </w:tabs>
        <w:ind w:left="0" w:firstLine="720"/>
      </w:pPr>
      <w:rPr>
        <w:rFonts w:ascii="Cambria" w:hAnsi="Cambri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997C1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EF4"/>
    <w:rsid w:val="00006E1F"/>
    <w:rsid w:val="000070D7"/>
    <w:rsid w:val="0001788C"/>
    <w:rsid w:val="000336E4"/>
    <w:rsid w:val="000337EF"/>
    <w:rsid w:val="00040C3A"/>
    <w:rsid w:val="000419AD"/>
    <w:rsid w:val="000425BE"/>
    <w:rsid w:val="000433C9"/>
    <w:rsid w:val="00054191"/>
    <w:rsid w:val="000716C5"/>
    <w:rsid w:val="00075E23"/>
    <w:rsid w:val="0007614E"/>
    <w:rsid w:val="0009344A"/>
    <w:rsid w:val="00094B67"/>
    <w:rsid w:val="000A3264"/>
    <w:rsid w:val="000A392E"/>
    <w:rsid w:val="000A575F"/>
    <w:rsid w:val="000C53C1"/>
    <w:rsid w:val="000C6E72"/>
    <w:rsid w:val="000D05CB"/>
    <w:rsid w:val="000D10DB"/>
    <w:rsid w:val="000D4A38"/>
    <w:rsid w:val="000D7CF3"/>
    <w:rsid w:val="000E5EB5"/>
    <w:rsid w:val="000F14F2"/>
    <w:rsid w:val="000F35ED"/>
    <w:rsid w:val="00101204"/>
    <w:rsid w:val="0010123A"/>
    <w:rsid w:val="00107131"/>
    <w:rsid w:val="0010736F"/>
    <w:rsid w:val="00113F73"/>
    <w:rsid w:val="001163FE"/>
    <w:rsid w:val="001169EB"/>
    <w:rsid w:val="00121CC2"/>
    <w:rsid w:val="00131425"/>
    <w:rsid w:val="00133EE5"/>
    <w:rsid w:val="00167A34"/>
    <w:rsid w:val="001713E2"/>
    <w:rsid w:val="0017730E"/>
    <w:rsid w:val="001A7870"/>
    <w:rsid w:val="001B3A00"/>
    <w:rsid w:val="001C1B41"/>
    <w:rsid w:val="001D65EF"/>
    <w:rsid w:val="001E49E7"/>
    <w:rsid w:val="001E5182"/>
    <w:rsid w:val="001F1D88"/>
    <w:rsid w:val="001F7201"/>
    <w:rsid w:val="00222A35"/>
    <w:rsid w:val="00223A29"/>
    <w:rsid w:val="002250A3"/>
    <w:rsid w:val="00231DA9"/>
    <w:rsid w:val="00235217"/>
    <w:rsid w:val="00235998"/>
    <w:rsid w:val="00246D1F"/>
    <w:rsid w:val="00247403"/>
    <w:rsid w:val="00247542"/>
    <w:rsid w:val="002533B9"/>
    <w:rsid w:val="00266B61"/>
    <w:rsid w:val="0026712A"/>
    <w:rsid w:val="002704DB"/>
    <w:rsid w:val="002A0AAE"/>
    <w:rsid w:val="002A5820"/>
    <w:rsid w:val="002A7193"/>
    <w:rsid w:val="002D2B26"/>
    <w:rsid w:val="002D7EA2"/>
    <w:rsid w:val="002E187C"/>
    <w:rsid w:val="002E6020"/>
    <w:rsid w:val="0030161A"/>
    <w:rsid w:val="00302733"/>
    <w:rsid w:val="00314078"/>
    <w:rsid w:val="0031535D"/>
    <w:rsid w:val="003239B8"/>
    <w:rsid w:val="0033169F"/>
    <w:rsid w:val="00332BE6"/>
    <w:rsid w:val="00342E90"/>
    <w:rsid w:val="00344977"/>
    <w:rsid w:val="00346C95"/>
    <w:rsid w:val="00351C84"/>
    <w:rsid w:val="00356185"/>
    <w:rsid w:val="00360380"/>
    <w:rsid w:val="0037519E"/>
    <w:rsid w:val="00386CF0"/>
    <w:rsid w:val="003B09D1"/>
    <w:rsid w:val="003B70FB"/>
    <w:rsid w:val="003C4350"/>
    <w:rsid w:val="003C676B"/>
    <w:rsid w:val="003D3BC2"/>
    <w:rsid w:val="003D4D80"/>
    <w:rsid w:val="003D5755"/>
    <w:rsid w:val="003D6482"/>
    <w:rsid w:val="003E6CA1"/>
    <w:rsid w:val="00405F9C"/>
    <w:rsid w:val="004065A8"/>
    <w:rsid w:val="004165C2"/>
    <w:rsid w:val="00441ECB"/>
    <w:rsid w:val="00445193"/>
    <w:rsid w:val="00462C1B"/>
    <w:rsid w:val="00467B7E"/>
    <w:rsid w:val="00473BB4"/>
    <w:rsid w:val="00476FFF"/>
    <w:rsid w:val="00477592"/>
    <w:rsid w:val="00484ED7"/>
    <w:rsid w:val="00486F1C"/>
    <w:rsid w:val="00490243"/>
    <w:rsid w:val="0049419D"/>
    <w:rsid w:val="004A4CD8"/>
    <w:rsid w:val="004A61D2"/>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14D43"/>
    <w:rsid w:val="00525560"/>
    <w:rsid w:val="00544C49"/>
    <w:rsid w:val="005516A1"/>
    <w:rsid w:val="005559EF"/>
    <w:rsid w:val="005629DA"/>
    <w:rsid w:val="00563557"/>
    <w:rsid w:val="0057402A"/>
    <w:rsid w:val="005771D0"/>
    <w:rsid w:val="00584B46"/>
    <w:rsid w:val="0059065D"/>
    <w:rsid w:val="0059191A"/>
    <w:rsid w:val="005921FF"/>
    <w:rsid w:val="005A22D6"/>
    <w:rsid w:val="005A24ED"/>
    <w:rsid w:val="005A6D0E"/>
    <w:rsid w:val="005B52B0"/>
    <w:rsid w:val="005B6806"/>
    <w:rsid w:val="005C4225"/>
    <w:rsid w:val="005C66D5"/>
    <w:rsid w:val="005D38F9"/>
    <w:rsid w:val="005F0DAD"/>
    <w:rsid w:val="005F0F33"/>
    <w:rsid w:val="00600DEB"/>
    <w:rsid w:val="0061672B"/>
    <w:rsid w:val="00627C9F"/>
    <w:rsid w:val="006311E9"/>
    <w:rsid w:val="00632354"/>
    <w:rsid w:val="00635421"/>
    <w:rsid w:val="00642810"/>
    <w:rsid w:val="006457E8"/>
    <w:rsid w:val="00652333"/>
    <w:rsid w:val="0065704D"/>
    <w:rsid w:val="00672948"/>
    <w:rsid w:val="00673091"/>
    <w:rsid w:val="006738A5"/>
    <w:rsid w:val="00675298"/>
    <w:rsid w:val="0068009E"/>
    <w:rsid w:val="00692219"/>
    <w:rsid w:val="006A17D2"/>
    <w:rsid w:val="006A73E6"/>
    <w:rsid w:val="006B2D5C"/>
    <w:rsid w:val="006C4EB1"/>
    <w:rsid w:val="006E0166"/>
    <w:rsid w:val="006E2FFB"/>
    <w:rsid w:val="006E7B34"/>
    <w:rsid w:val="0070697F"/>
    <w:rsid w:val="0072199C"/>
    <w:rsid w:val="00722C9F"/>
    <w:rsid w:val="007253B8"/>
    <w:rsid w:val="0073741F"/>
    <w:rsid w:val="00751F91"/>
    <w:rsid w:val="007561A2"/>
    <w:rsid w:val="0076643F"/>
    <w:rsid w:val="00766F0F"/>
    <w:rsid w:val="00777F63"/>
    <w:rsid w:val="007A5817"/>
    <w:rsid w:val="007B05C4"/>
    <w:rsid w:val="007B2F72"/>
    <w:rsid w:val="007B60E9"/>
    <w:rsid w:val="007B6CC3"/>
    <w:rsid w:val="007B76D3"/>
    <w:rsid w:val="007C3334"/>
    <w:rsid w:val="007D153E"/>
    <w:rsid w:val="007D2B98"/>
    <w:rsid w:val="007E21BC"/>
    <w:rsid w:val="007E7C82"/>
    <w:rsid w:val="007F2AA1"/>
    <w:rsid w:val="007F571A"/>
    <w:rsid w:val="007F588D"/>
    <w:rsid w:val="00803F1C"/>
    <w:rsid w:val="0080600E"/>
    <w:rsid w:val="00810DDF"/>
    <w:rsid w:val="00813125"/>
    <w:rsid w:val="00814688"/>
    <w:rsid w:val="008163DB"/>
    <w:rsid w:val="00817612"/>
    <w:rsid w:val="0082410E"/>
    <w:rsid w:val="008338A4"/>
    <w:rsid w:val="00834D49"/>
    <w:rsid w:val="00835172"/>
    <w:rsid w:val="00837C45"/>
    <w:rsid w:val="00844730"/>
    <w:rsid w:val="008457C2"/>
    <w:rsid w:val="00857A82"/>
    <w:rsid w:val="00861C57"/>
    <w:rsid w:val="0086347B"/>
    <w:rsid w:val="00870BEF"/>
    <w:rsid w:val="00873836"/>
    <w:rsid w:val="00885737"/>
    <w:rsid w:val="00890650"/>
    <w:rsid w:val="00897E12"/>
    <w:rsid w:val="008A7E0F"/>
    <w:rsid w:val="008B12F5"/>
    <w:rsid w:val="008C5E2D"/>
    <w:rsid w:val="008D1EE2"/>
    <w:rsid w:val="008D768D"/>
    <w:rsid w:val="008E3759"/>
    <w:rsid w:val="008E3BFE"/>
    <w:rsid w:val="008F1912"/>
    <w:rsid w:val="0090270B"/>
    <w:rsid w:val="009041DC"/>
    <w:rsid w:val="00917B5A"/>
    <w:rsid w:val="00920A58"/>
    <w:rsid w:val="00920A8C"/>
    <w:rsid w:val="00934A2C"/>
    <w:rsid w:val="0094047A"/>
    <w:rsid w:val="0096706E"/>
    <w:rsid w:val="00974491"/>
    <w:rsid w:val="00974D1D"/>
    <w:rsid w:val="00975C4E"/>
    <w:rsid w:val="00981FBA"/>
    <w:rsid w:val="00997BC5"/>
    <w:rsid w:val="009A34E1"/>
    <w:rsid w:val="009A4F41"/>
    <w:rsid w:val="009B381B"/>
    <w:rsid w:val="009C4352"/>
    <w:rsid w:val="009D0921"/>
    <w:rsid w:val="009D1753"/>
    <w:rsid w:val="009D7611"/>
    <w:rsid w:val="009E0B61"/>
    <w:rsid w:val="009E0BBB"/>
    <w:rsid w:val="009E53DE"/>
    <w:rsid w:val="009F61C7"/>
    <w:rsid w:val="00A11212"/>
    <w:rsid w:val="00A11603"/>
    <w:rsid w:val="00A11E44"/>
    <w:rsid w:val="00A173DB"/>
    <w:rsid w:val="00A247AF"/>
    <w:rsid w:val="00A30100"/>
    <w:rsid w:val="00A328B3"/>
    <w:rsid w:val="00A4123C"/>
    <w:rsid w:val="00A4366F"/>
    <w:rsid w:val="00A50FCF"/>
    <w:rsid w:val="00A51843"/>
    <w:rsid w:val="00A528D1"/>
    <w:rsid w:val="00A610CD"/>
    <w:rsid w:val="00A67CC5"/>
    <w:rsid w:val="00A758AA"/>
    <w:rsid w:val="00AA09A2"/>
    <w:rsid w:val="00AA7193"/>
    <w:rsid w:val="00AA7996"/>
    <w:rsid w:val="00AC19CB"/>
    <w:rsid w:val="00AC63DE"/>
    <w:rsid w:val="00AD37DA"/>
    <w:rsid w:val="00AE000F"/>
    <w:rsid w:val="00AE004B"/>
    <w:rsid w:val="00AE5488"/>
    <w:rsid w:val="00AE6F91"/>
    <w:rsid w:val="00AF5571"/>
    <w:rsid w:val="00B07341"/>
    <w:rsid w:val="00B27A74"/>
    <w:rsid w:val="00B30539"/>
    <w:rsid w:val="00B314DB"/>
    <w:rsid w:val="00B361F2"/>
    <w:rsid w:val="00B3718B"/>
    <w:rsid w:val="00B3745F"/>
    <w:rsid w:val="00B4632A"/>
    <w:rsid w:val="00B47EAE"/>
    <w:rsid w:val="00B530F1"/>
    <w:rsid w:val="00B53AA8"/>
    <w:rsid w:val="00BA276C"/>
    <w:rsid w:val="00BA6BA2"/>
    <w:rsid w:val="00BB306F"/>
    <w:rsid w:val="00BC1817"/>
    <w:rsid w:val="00BD4B89"/>
    <w:rsid w:val="00BD5922"/>
    <w:rsid w:val="00BD6C28"/>
    <w:rsid w:val="00BF02CB"/>
    <w:rsid w:val="00BF6FD8"/>
    <w:rsid w:val="00C03680"/>
    <w:rsid w:val="00C054DF"/>
    <w:rsid w:val="00C21762"/>
    <w:rsid w:val="00C21FEF"/>
    <w:rsid w:val="00C23BA4"/>
    <w:rsid w:val="00C24543"/>
    <w:rsid w:val="00C256A2"/>
    <w:rsid w:val="00C25ADB"/>
    <w:rsid w:val="00C41A99"/>
    <w:rsid w:val="00C51515"/>
    <w:rsid w:val="00C5660B"/>
    <w:rsid w:val="00C66B72"/>
    <w:rsid w:val="00C70A02"/>
    <w:rsid w:val="00C77D0A"/>
    <w:rsid w:val="00C827A6"/>
    <w:rsid w:val="00C8541E"/>
    <w:rsid w:val="00C87AC4"/>
    <w:rsid w:val="00C9567A"/>
    <w:rsid w:val="00C96E1B"/>
    <w:rsid w:val="00CB212D"/>
    <w:rsid w:val="00CB2660"/>
    <w:rsid w:val="00CC5E90"/>
    <w:rsid w:val="00CD046C"/>
    <w:rsid w:val="00CE076C"/>
    <w:rsid w:val="00CE5199"/>
    <w:rsid w:val="00CE66D5"/>
    <w:rsid w:val="00CF637A"/>
    <w:rsid w:val="00D0060B"/>
    <w:rsid w:val="00D059DE"/>
    <w:rsid w:val="00D05ABD"/>
    <w:rsid w:val="00D13FCE"/>
    <w:rsid w:val="00D200F5"/>
    <w:rsid w:val="00D3025A"/>
    <w:rsid w:val="00D306D1"/>
    <w:rsid w:val="00D30800"/>
    <w:rsid w:val="00D34786"/>
    <w:rsid w:val="00D37BFC"/>
    <w:rsid w:val="00D47A8E"/>
    <w:rsid w:val="00D47F75"/>
    <w:rsid w:val="00D52D14"/>
    <w:rsid w:val="00D712D3"/>
    <w:rsid w:val="00D71422"/>
    <w:rsid w:val="00D72DC6"/>
    <w:rsid w:val="00D7558D"/>
    <w:rsid w:val="00D81D92"/>
    <w:rsid w:val="00D876F9"/>
    <w:rsid w:val="00DA7B5F"/>
    <w:rsid w:val="00DB0796"/>
    <w:rsid w:val="00DB7E7F"/>
    <w:rsid w:val="00DC11E7"/>
    <w:rsid w:val="00DC24E3"/>
    <w:rsid w:val="00DC6A6C"/>
    <w:rsid w:val="00DC7023"/>
    <w:rsid w:val="00DC769A"/>
    <w:rsid w:val="00DD3D86"/>
    <w:rsid w:val="00DD4AD2"/>
    <w:rsid w:val="00DE68C3"/>
    <w:rsid w:val="00DF1682"/>
    <w:rsid w:val="00DF1EC4"/>
    <w:rsid w:val="00E0340B"/>
    <w:rsid w:val="00E04A90"/>
    <w:rsid w:val="00E0551F"/>
    <w:rsid w:val="00E157AA"/>
    <w:rsid w:val="00E219C7"/>
    <w:rsid w:val="00E35596"/>
    <w:rsid w:val="00E35BB4"/>
    <w:rsid w:val="00E4118C"/>
    <w:rsid w:val="00E43157"/>
    <w:rsid w:val="00E43357"/>
    <w:rsid w:val="00E461CE"/>
    <w:rsid w:val="00E573E4"/>
    <w:rsid w:val="00E64C3D"/>
    <w:rsid w:val="00E65C30"/>
    <w:rsid w:val="00E720CA"/>
    <w:rsid w:val="00E84EB5"/>
    <w:rsid w:val="00E85662"/>
    <w:rsid w:val="00E8789F"/>
    <w:rsid w:val="00E97B71"/>
    <w:rsid w:val="00EA3D34"/>
    <w:rsid w:val="00EB22EB"/>
    <w:rsid w:val="00EB454D"/>
    <w:rsid w:val="00EB7ABD"/>
    <w:rsid w:val="00ED549D"/>
    <w:rsid w:val="00ED76BE"/>
    <w:rsid w:val="00EE00E9"/>
    <w:rsid w:val="00EE715B"/>
    <w:rsid w:val="00EF1AAA"/>
    <w:rsid w:val="00EF5D20"/>
    <w:rsid w:val="00EF619B"/>
    <w:rsid w:val="00F00B55"/>
    <w:rsid w:val="00F02AD1"/>
    <w:rsid w:val="00F165E1"/>
    <w:rsid w:val="00F17BE2"/>
    <w:rsid w:val="00F21674"/>
    <w:rsid w:val="00F253CC"/>
    <w:rsid w:val="00F302FB"/>
    <w:rsid w:val="00F37106"/>
    <w:rsid w:val="00F44392"/>
    <w:rsid w:val="00F44E25"/>
    <w:rsid w:val="00F519CF"/>
    <w:rsid w:val="00F532A8"/>
    <w:rsid w:val="00F56BA5"/>
    <w:rsid w:val="00F60E22"/>
    <w:rsid w:val="00F67B65"/>
    <w:rsid w:val="00F81395"/>
    <w:rsid w:val="00F81BB8"/>
    <w:rsid w:val="00F90C64"/>
    <w:rsid w:val="00F917D1"/>
    <w:rsid w:val="00F9653B"/>
    <w:rsid w:val="00FB62CF"/>
    <w:rsid w:val="00FD3C3B"/>
    <w:rsid w:val="00FE07DD"/>
    <w:rsid w:val="00FE254E"/>
    <w:rsid w:val="00FE5111"/>
    <w:rsid w:val="00FE6B45"/>
    <w:rsid w:val="00FF207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84ED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CommentTextChar">
    <w:name w:val="Comment Text Char"/>
    <w:basedOn w:val="DefaultParagraphFont"/>
    <w:link w:val="CommentText"/>
    <w:uiPriority w:val="99"/>
    <w:semiHidden/>
    <w:rsid w:val="00484ED7"/>
    <w:rPr>
      <w:bdr w:val="none" w:sz="0" w:space="0" w:color="auto"/>
      <w:lang w:val="en-US" w:eastAsia="en-US"/>
    </w:rPr>
  </w:style>
  <w:style w:type="character" w:styleId="CommentReference">
    <w:name w:val="annotation reference"/>
    <w:basedOn w:val="DefaultParagraphFont"/>
    <w:uiPriority w:val="99"/>
    <w:semiHidden/>
    <w:unhideWhenUsed/>
    <w:rsid w:val="00484ED7"/>
    <w:rPr>
      <w:sz w:val="16"/>
      <w:szCs w:val="16"/>
    </w:rPr>
  </w:style>
  <w:style w:type="paragraph" w:styleId="CommentSubject">
    <w:name w:val="annotation subject"/>
    <w:basedOn w:val="CommentText"/>
    <w:next w:val="CommentText"/>
    <w:link w:val="CommentSubjectChar"/>
    <w:uiPriority w:val="99"/>
    <w:semiHidden/>
    <w:unhideWhenUsed/>
    <w:rsid w:val="0065704D"/>
    <w:pPr>
      <w:pBdr>
        <w:top w:val="nil"/>
        <w:left w:val="nil"/>
        <w:bottom w:val="nil"/>
        <w:right w:val="nil"/>
        <w:between w:val="nil"/>
        <w:bar w:val="nil"/>
      </w:pBdr>
    </w:pPr>
    <w:rPr>
      <w:b/>
      <w:bCs/>
      <w:bdr w:val="nil"/>
    </w:rPr>
  </w:style>
  <w:style w:type="character" w:customStyle="1" w:styleId="CommentSubjectChar">
    <w:name w:val="Comment Subject Char"/>
    <w:basedOn w:val="CommentTextChar"/>
    <w:link w:val="CommentSubject"/>
    <w:uiPriority w:val="99"/>
    <w:semiHidden/>
    <w:rsid w:val="0065704D"/>
    <w:rPr>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783">
      <w:bodyDiv w:val="1"/>
      <w:marLeft w:val="0"/>
      <w:marRight w:val="0"/>
      <w:marTop w:val="0"/>
      <w:marBottom w:val="0"/>
      <w:divBdr>
        <w:top w:val="none" w:sz="0" w:space="0" w:color="auto"/>
        <w:left w:val="none" w:sz="0" w:space="0" w:color="auto"/>
        <w:bottom w:val="none" w:sz="0" w:space="0" w:color="auto"/>
        <w:right w:val="none" w:sz="0" w:space="0" w:color="auto"/>
      </w:divBdr>
    </w:div>
    <w:div w:id="122892480">
      <w:bodyDiv w:val="1"/>
      <w:marLeft w:val="0"/>
      <w:marRight w:val="0"/>
      <w:marTop w:val="0"/>
      <w:marBottom w:val="0"/>
      <w:divBdr>
        <w:top w:val="none" w:sz="0" w:space="0" w:color="auto"/>
        <w:left w:val="none" w:sz="0" w:space="0" w:color="auto"/>
        <w:bottom w:val="none" w:sz="0" w:space="0" w:color="auto"/>
        <w:right w:val="none" w:sz="0" w:space="0" w:color="auto"/>
      </w:divBdr>
    </w:div>
    <w:div w:id="393087327">
      <w:bodyDiv w:val="1"/>
      <w:marLeft w:val="0"/>
      <w:marRight w:val="0"/>
      <w:marTop w:val="0"/>
      <w:marBottom w:val="0"/>
      <w:divBdr>
        <w:top w:val="none" w:sz="0" w:space="0" w:color="auto"/>
        <w:left w:val="none" w:sz="0" w:space="0" w:color="auto"/>
        <w:bottom w:val="none" w:sz="0" w:space="0" w:color="auto"/>
        <w:right w:val="none" w:sz="0" w:space="0" w:color="auto"/>
      </w:divBdr>
    </w:div>
    <w:div w:id="400061746">
      <w:bodyDiv w:val="1"/>
      <w:marLeft w:val="0"/>
      <w:marRight w:val="0"/>
      <w:marTop w:val="0"/>
      <w:marBottom w:val="0"/>
      <w:divBdr>
        <w:top w:val="none" w:sz="0" w:space="0" w:color="auto"/>
        <w:left w:val="none" w:sz="0" w:space="0" w:color="auto"/>
        <w:bottom w:val="none" w:sz="0" w:space="0" w:color="auto"/>
        <w:right w:val="none" w:sz="0" w:space="0" w:color="auto"/>
      </w:divBdr>
    </w:div>
    <w:div w:id="5385879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833844">
      <w:bodyDiv w:val="1"/>
      <w:marLeft w:val="0"/>
      <w:marRight w:val="0"/>
      <w:marTop w:val="0"/>
      <w:marBottom w:val="0"/>
      <w:divBdr>
        <w:top w:val="none" w:sz="0" w:space="0" w:color="auto"/>
        <w:left w:val="none" w:sz="0" w:space="0" w:color="auto"/>
        <w:bottom w:val="none" w:sz="0" w:space="0" w:color="auto"/>
        <w:right w:val="none" w:sz="0" w:space="0" w:color="auto"/>
      </w:divBdr>
    </w:div>
    <w:div w:id="1603298257">
      <w:bodyDiv w:val="1"/>
      <w:marLeft w:val="0"/>
      <w:marRight w:val="0"/>
      <w:marTop w:val="0"/>
      <w:marBottom w:val="0"/>
      <w:divBdr>
        <w:top w:val="none" w:sz="0" w:space="0" w:color="auto"/>
        <w:left w:val="none" w:sz="0" w:space="0" w:color="auto"/>
        <w:bottom w:val="none" w:sz="0" w:space="0" w:color="auto"/>
        <w:right w:val="none" w:sz="0" w:space="0" w:color="auto"/>
      </w:divBdr>
    </w:div>
    <w:div w:id="165278215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537F-D10D-4DE3-90E1-80F4B06C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3220</Words>
  <Characters>16680</Characters>
  <Application>Microsoft Office Word</Application>
  <DocSecurity>0</DocSecurity>
  <Lines>287</Lines>
  <Paragraphs>74</Paragraphs>
  <ScaleCrop>false</ScaleCrop>
  <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Informme No. 351/20</dc:title>
  <dc:subject/>
  <dc:creator/>
  <cp:keywords/>
  <dc:description/>
  <cp:lastModifiedBy/>
  <cp:revision>1</cp:revision>
  <dcterms:created xsi:type="dcterms:W3CDTF">2021-01-06T18:04:00Z</dcterms:created>
  <dcterms:modified xsi:type="dcterms:W3CDTF">2021-01-06T18:05:00Z</dcterms:modified>
</cp:coreProperties>
</file>