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FA3AC" w14:textId="216B0F17" w:rsidR="00757A02" w:rsidRPr="00006B74" w:rsidRDefault="00DF421C" w:rsidP="00627C9F">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
        </w:rPr>
      </w:pPr>
      <w:r>
        <w:rPr>
          <w:noProof/>
        </w:rPr>
        <mc:AlternateContent>
          <mc:Choice Requires="wps">
            <w:drawing>
              <wp:anchor distT="0" distB="0" distL="114300" distR="114300" simplePos="0" relativeHeight="251654144" behindDoc="0" locked="0" layoutInCell="1" allowOverlap="1" wp14:anchorId="2F95EF7F" wp14:editId="619B647E">
                <wp:simplePos x="0" y="0"/>
                <wp:positionH relativeFrom="column">
                  <wp:posOffset>-415925</wp:posOffset>
                </wp:positionH>
                <wp:positionV relativeFrom="paragraph">
                  <wp:posOffset>-439420</wp:posOffset>
                </wp:positionV>
                <wp:extent cx="1543050" cy="9096375"/>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61E3181"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er7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A98er7ogIAAJ8FAAAOAAAAAAAAAAAAAAAA&#10;AC4CAABkcnMvZTJvRG9jLnhtbFBLAQItABQABgAIAAAAIQDzmg9R4gAAAAwBAAAPAAAAAAAAAAAA&#10;AAAAAPwEAABkcnMvZG93bnJldi54bWxQSwUGAAAAAAQABADzAAAACwYAAAAA&#10;" fillcolor="#4a7194" stroked="f" strokeweight="2pt">
                <v:path arrowok="t"/>
              </v:rect>
            </w:pict>
          </mc:Fallback>
        </mc:AlternateContent>
      </w:r>
      <w:r>
        <w:rPr>
          <w:noProof/>
        </w:rPr>
        <mc:AlternateContent>
          <mc:Choice Requires="wps">
            <w:drawing>
              <wp:anchor distT="0" distB="0" distL="114300" distR="114300" simplePos="0" relativeHeight="251658240" behindDoc="0" locked="0" layoutInCell="1" allowOverlap="1" wp14:anchorId="26119954" wp14:editId="66BCF62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D9E12C" w14:textId="4D5626AD" w:rsidR="00037A6F" w:rsidRDefault="00037A6F"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447A4D0E" wp14:editId="64E8AD88">
                                  <wp:extent cx="2628900" cy="50482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50482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6119954"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14:paraId="79D9E12C" w14:textId="4D5626AD" w:rsidR="00037A6F" w:rsidRDefault="00037A6F"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447A4D0E" wp14:editId="64E8AD88">
                            <wp:extent cx="2628900" cy="50482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504825"/>
                                    </a:xfrm>
                                    <a:prstGeom prst="rect">
                                      <a:avLst/>
                                    </a:prstGeom>
                                    <a:noFill/>
                                    <a:ln>
                                      <a:noFill/>
                                    </a:ln>
                                  </pic:spPr>
                                </pic:pic>
                              </a:graphicData>
                            </a:graphic>
                          </wp:inline>
                        </w:drawing>
                      </w:r>
                      <w:r>
                        <w:tab/>
                        <w:t xml:space="preserve">                              </w:t>
                      </w:r>
                    </w:p>
                  </w:txbxContent>
                </v:textbox>
              </v:shape>
            </w:pict>
          </mc:Fallback>
        </mc:AlternateContent>
      </w:r>
    </w:p>
    <w:p w14:paraId="64A6E389"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14:paraId="7173E7BE"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14:paraId="068E5039"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14:paraId="1CA85946"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14:paraId="01759F9C"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14:paraId="1878DA99" w14:textId="77777777" w:rsidR="00757A02" w:rsidRPr="00006B74" w:rsidRDefault="00757A02"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14:paraId="6F66D887" w14:textId="77777777" w:rsidR="00757A02" w:rsidRPr="00006B74" w:rsidRDefault="00757A02"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14:paraId="578D9A2E" w14:textId="77777777" w:rsidR="00757A02" w:rsidRPr="00006B74" w:rsidRDefault="00757A02"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14:paraId="6E60C4EE" w14:textId="77777777" w:rsidR="00757A02" w:rsidRPr="00006B74" w:rsidRDefault="00757A02"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14:paraId="116FBFB9" w14:textId="77777777" w:rsidR="00757A02" w:rsidRPr="00006B74" w:rsidRDefault="00757A02"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14:paraId="071AC6FF"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14:paraId="2950CD40"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14:paraId="1BDED4F6" w14:textId="6A3A3F99" w:rsidR="00757A02" w:rsidRPr="00006B74" w:rsidRDefault="00DF421C"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r>
        <w:rPr>
          <w:noProof/>
        </w:rPr>
        <mc:AlternateContent>
          <mc:Choice Requires="wps">
            <w:drawing>
              <wp:anchor distT="0" distB="0" distL="114300" distR="114300" simplePos="0" relativeHeight="251655168" behindDoc="0" locked="0" layoutInCell="1" allowOverlap="1" wp14:anchorId="0C33FC38" wp14:editId="20F4CBC6">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A3CA35" w14:textId="1CFAF00E" w:rsidR="00037A6F" w:rsidRPr="00D85CEC" w:rsidRDefault="00037A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D85CEC">
                              <w:rPr>
                                <w:rFonts w:ascii="Cambria" w:hAnsi="Cambria" w:cs="Arial"/>
                                <w:b/>
                                <w:bCs/>
                                <w:color w:val="0D0D0D"/>
                                <w:sz w:val="36"/>
                                <w:szCs w:val="22"/>
                                <w:lang w:val="es-ES_tradnl"/>
                              </w:rPr>
                              <w:t xml:space="preserve">INFORME </w:t>
                            </w:r>
                            <w:r w:rsidRPr="00D85CEC">
                              <w:rPr>
                                <w:rFonts w:ascii="Cambria" w:hAnsi="Cambria" w:cs="Arial"/>
                                <w:b/>
                                <w:bCs/>
                                <w:color w:val="0D0D0D"/>
                                <w:sz w:val="36"/>
                                <w:szCs w:val="40"/>
                                <w:lang w:val="es-ES_tradnl"/>
                              </w:rPr>
                              <w:t>No.</w:t>
                            </w:r>
                            <w:r w:rsidR="00D06050">
                              <w:rPr>
                                <w:rFonts w:ascii="Cambria" w:hAnsi="Cambria" w:cs="Arial"/>
                                <w:b/>
                                <w:bCs/>
                                <w:color w:val="0D0D0D"/>
                                <w:sz w:val="36"/>
                                <w:szCs w:val="22"/>
                                <w:lang w:val="es-ES_tradnl"/>
                              </w:rPr>
                              <w:t xml:space="preserve"> 364</w:t>
                            </w:r>
                            <w:r w:rsidRPr="00D85CEC">
                              <w:rPr>
                                <w:rFonts w:ascii="Cambria" w:hAnsi="Cambria" w:cs="Arial"/>
                                <w:b/>
                                <w:bCs/>
                                <w:color w:val="0D0D0D"/>
                                <w:sz w:val="36"/>
                                <w:szCs w:val="22"/>
                                <w:lang w:val="es-ES_tradnl"/>
                              </w:rPr>
                              <w:t>/20</w:t>
                            </w:r>
                          </w:p>
                          <w:p w14:paraId="72912393" w14:textId="77777777" w:rsidR="00037A6F" w:rsidRPr="00D85CEC" w:rsidRDefault="00037A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1575-10 </w:t>
                            </w:r>
                          </w:p>
                          <w:p w14:paraId="450EB3D1" w14:textId="77777777" w:rsidR="00037A6F" w:rsidRPr="00D85CEC" w:rsidRDefault="00037A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601524AD" w14:textId="77777777" w:rsidR="00037A6F" w:rsidRPr="00D85CEC" w:rsidRDefault="00037A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262CF331" w14:textId="77777777" w:rsidR="00037A6F" w:rsidRPr="00D85CEC" w:rsidRDefault="00037A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sidRPr="00D85CEC">
                              <w:rPr>
                                <w:rFonts w:ascii="Cambria" w:hAnsi="Cambria" w:cs="Arial"/>
                                <w:color w:val="0D0D0D"/>
                                <w:szCs w:val="22"/>
                                <w:lang w:val="es-ES_tradnl"/>
                              </w:rPr>
                              <w:t>JAVIER MUÑOZ VALDÉS Y OTROS</w:t>
                            </w:r>
                          </w:p>
                          <w:bookmarkEnd w:id="0"/>
                          <w:p w14:paraId="257A5952" w14:textId="77777777" w:rsidR="00037A6F" w:rsidRPr="00D85CEC" w:rsidRDefault="00037A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D85CEC">
                              <w:rPr>
                                <w:rFonts w:ascii="Cambria" w:hAnsi="Cambria" w:cs="Arial"/>
                                <w:color w:val="0D0D0D"/>
                                <w:szCs w:val="22"/>
                                <w:lang w:val="es-ES_tradnl"/>
                              </w:rPr>
                              <w:t>COLOMBIA</w:t>
                            </w:r>
                          </w:p>
                          <w:p w14:paraId="61C1734E" w14:textId="77777777" w:rsidR="00037A6F" w:rsidRPr="00D85CEC" w:rsidRDefault="00037A6F"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C33FC38"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Si4FyI0CAACDBQAADgAAAAAAAAAAAAAAAAAuAgAAZHJzL2Uyb0RvYy54bWxQSwEC&#10;LQAUAAYACAAAACEA9UR3F+AAAAAKAQAADwAAAAAAAAAAAAAAAADnBAAAZHJzL2Rvd25yZXYueG1s&#10;UEsFBgAAAAAEAAQA8wAAAPQFAAAAAA==&#10;" filled="f" stroked="f" strokeweight=".5pt">
                <v:path arrowok="t"/>
                <v:textbox>
                  <w:txbxContent>
                    <w:p w14:paraId="3CA3CA35" w14:textId="1CFAF00E" w:rsidR="00037A6F" w:rsidRPr="00D85CEC" w:rsidRDefault="00037A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D85CEC">
                        <w:rPr>
                          <w:rFonts w:ascii="Cambria" w:hAnsi="Cambria" w:cs="Arial"/>
                          <w:b/>
                          <w:bCs/>
                          <w:color w:val="0D0D0D"/>
                          <w:sz w:val="36"/>
                          <w:szCs w:val="22"/>
                          <w:lang w:val="es-ES_tradnl"/>
                        </w:rPr>
                        <w:t xml:space="preserve">INFORME </w:t>
                      </w:r>
                      <w:r w:rsidRPr="00D85CEC">
                        <w:rPr>
                          <w:rFonts w:ascii="Cambria" w:hAnsi="Cambria" w:cs="Arial"/>
                          <w:b/>
                          <w:bCs/>
                          <w:color w:val="0D0D0D"/>
                          <w:sz w:val="36"/>
                          <w:szCs w:val="40"/>
                          <w:lang w:val="es-ES_tradnl"/>
                        </w:rPr>
                        <w:t>No.</w:t>
                      </w:r>
                      <w:r w:rsidR="00D06050">
                        <w:rPr>
                          <w:rFonts w:ascii="Cambria" w:hAnsi="Cambria" w:cs="Arial"/>
                          <w:b/>
                          <w:bCs/>
                          <w:color w:val="0D0D0D"/>
                          <w:sz w:val="36"/>
                          <w:szCs w:val="22"/>
                          <w:lang w:val="es-ES_tradnl"/>
                        </w:rPr>
                        <w:t xml:space="preserve"> 364</w:t>
                      </w:r>
                      <w:r w:rsidRPr="00D85CEC">
                        <w:rPr>
                          <w:rFonts w:ascii="Cambria" w:hAnsi="Cambria" w:cs="Arial"/>
                          <w:b/>
                          <w:bCs/>
                          <w:color w:val="0D0D0D"/>
                          <w:sz w:val="36"/>
                          <w:szCs w:val="22"/>
                          <w:lang w:val="es-ES_tradnl"/>
                        </w:rPr>
                        <w:t>/20</w:t>
                      </w:r>
                    </w:p>
                    <w:p w14:paraId="72912393" w14:textId="77777777" w:rsidR="00037A6F" w:rsidRPr="00D85CEC" w:rsidRDefault="00037A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1575-10 </w:t>
                      </w:r>
                    </w:p>
                    <w:p w14:paraId="450EB3D1" w14:textId="77777777" w:rsidR="00037A6F" w:rsidRPr="00D85CEC" w:rsidRDefault="00037A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601524AD" w14:textId="77777777" w:rsidR="00037A6F" w:rsidRPr="00D85CEC" w:rsidRDefault="00037A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262CF331" w14:textId="77777777" w:rsidR="00037A6F" w:rsidRPr="00D85CEC" w:rsidRDefault="00037A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sidRPr="00D85CEC">
                        <w:rPr>
                          <w:rFonts w:ascii="Cambria" w:hAnsi="Cambria" w:cs="Arial"/>
                          <w:color w:val="0D0D0D"/>
                          <w:szCs w:val="22"/>
                          <w:lang w:val="es-ES_tradnl"/>
                        </w:rPr>
                        <w:t>JAVIER MUÑOZ VALDÉS Y OTROS</w:t>
                      </w:r>
                    </w:p>
                    <w:bookmarkEnd w:id="1"/>
                    <w:p w14:paraId="257A5952" w14:textId="77777777" w:rsidR="00037A6F" w:rsidRPr="00D85CEC" w:rsidRDefault="00037A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D85CEC">
                        <w:rPr>
                          <w:rFonts w:ascii="Cambria" w:hAnsi="Cambria" w:cs="Arial"/>
                          <w:color w:val="0D0D0D"/>
                          <w:szCs w:val="22"/>
                          <w:lang w:val="es-ES_tradnl"/>
                        </w:rPr>
                        <w:t>COLOMBIA</w:t>
                      </w:r>
                    </w:p>
                    <w:p w14:paraId="61C1734E" w14:textId="77777777" w:rsidR="00037A6F" w:rsidRPr="00D85CEC" w:rsidRDefault="00037A6F"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15F9582" wp14:editId="0B280E7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62C20B" w14:textId="584196D5" w:rsidR="00037A6F" w:rsidRPr="00D85CEC" w:rsidRDefault="00D06050"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OEA/Ser.L/V/II.</w:t>
                            </w:r>
                          </w:p>
                          <w:p w14:paraId="73BB2058" w14:textId="7901F0F8" w:rsidR="00037A6F" w:rsidRPr="00D85CEC" w:rsidRDefault="00D06050"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Doc. 382</w:t>
                            </w:r>
                          </w:p>
                          <w:p w14:paraId="6CD4D603" w14:textId="0BE0ECA3" w:rsidR="00037A6F" w:rsidRPr="00D85CEC" w:rsidRDefault="00D06050"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Pr>
                                <w:rFonts w:ascii="Calibri" w:hAnsi="Calibri"/>
                                <w:color w:val="FFFFFF"/>
                                <w:sz w:val="22"/>
                                <w:lang w:val="es-ES"/>
                              </w:rPr>
                              <w:t>14 diciembre 2020</w:t>
                            </w:r>
                          </w:p>
                          <w:p w14:paraId="3C232FA5" w14:textId="77777777" w:rsidR="00037A6F" w:rsidRPr="00D85CEC" w:rsidRDefault="00037A6F"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sidRPr="00D85CEC">
                              <w:rPr>
                                <w:rFonts w:ascii="Calibri" w:hAnsi="Calibri"/>
                                <w:color w:val="FFFFFF"/>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15F9582"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14:paraId="7C62C20B" w14:textId="584196D5" w:rsidR="00037A6F" w:rsidRPr="00D85CEC" w:rsidRDefault="00D06050"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OEA/Ser.L/V/II.</w:t>
                      </w:r>
                    </w:p>
                    <w:p w14:paraId="73BB2058" w14:textId="7901F0F8" w:rsidR="00037A6F" w:rsidRPr="00D85CEC" w:rsidRDefault="00D06050"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Doc. 382</w:t>
                      </w:r>
                    </w:p>
                    <w:p w14:paraId="6CD4D603" w14:textId="0BE0ECA3" w:rsidR="00037A6F" w:rsidRPr="00D85CEC" w:rsidRDefault="00D06050"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Pr>
                          <w:rFonts w:ascii="Calibri" w:hAnsi="Calibri"/>
                          <w:color w:val="FFFFFF"/>
                          <w:sz w:val="22"/>
                          <w:lang w:val="es-ES"/>
                        </w:rPr>
                        <w:t>14 diciembre 2020</w:t>
                      </w:r>
                    </w:p>
                    <w:p w14:paraId="3C232FA5" w14:textId="77777777" w:rsidR="00037A6F" w:rsidRPr="00D85CEC" w:rsidRDefault="00037A6F"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sidRPr="00D85CEC">
                        <w:rPr>
                          <w:rFonts w:ascii="Calibri" w:hAnsi="Calibri"/>
                          <w:color w:val="FFFFFF"/>
                          <w:sz w:val="22"/>
                          <w:lang w:val="es-ES"/>
                        </w:rPr>
                        <w:t>Original: español</w:t>
                      </w:r>
                    </w:p>
                  </w:txbxContent>
                </v:textbox>
              </v:shape>
            </w:pict>
          </mc:Fallback>
        </mc:AlternateContent>
      </w:r>
    </w:p>
    <w:p w14:paraId="4E9CAA7F"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14:paraId="6B45AEC3"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14:paraId="6B4E6CDE"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
        </w:rPr>
      </w:pPr>
    </w:p>
    <w:p w14:paraId="3AB36E92"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14:paraId="10A59C80"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14:paraId="3C719C96"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14:paraId="6D910845"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14:paraId="6FF740D7"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14:paraId="7B7F6905"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14:paraId="61ECDAD4"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14:paraId="5693D427"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14:paraId="003EAD8B"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14:paraId="7F946B02"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14:paraId="7BDA30CC"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14:paraId="7C8F011C"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bookmarkStart w:id="1" w:name="_GoBack"/>
      <w:bookmarkEnd w:id="1"/>
    </w:p>
    <w:p w14:paraId="152A8AE2"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14:paraId="1C1EAF62"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14:paraId="603B0DAE"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14:paraId="5488A633"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14:paraId="195CD223"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14:paraId="18F659DD"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14:paraId="3DE24243"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14:paraId="2C14C90D"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14:paraId="3471C0DB"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14:paraId="0B004FD4"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14:paraId="26032952"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14:paraId="6254F632"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14:paraId="7075B9F9"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14:paraId="6F6C6F2E" w14:textId="6928CF7F" w:rsidR="00757A02" w:rsidRPr="00006B74" w:rsidRDefault="00DF421C"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r>
        <w:rPr>
          <w:noProof/>
        </w:rPr>
        <mc:AlternateContent>
          <mc:Choice Requires="wps">
            <w:drawing>
              <wp:anchor distT="0" distB="0" distL="114300" distR="114300" simplePos="0" relativeHeight="251656192" behindDoc="0" locked="0" layoutInCell="1" allowOverlap="1" wp14:anchorId="0AF779AA" wp14:editId="52502F06">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E84F7F" w14:textId="4ACDF7A8" w:rsidR="00037A6F" w:rsidRPr="00D85CEC" w:rsidRDefault="00037A6F"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D85CEC">
                              <w:rPr>
                                <w:rFonts w:ascii="Cambria" w:hAnsi="Cambria"/>
                                <w:color w:val="0D0D0D"/>
                                <w:sz w:val="18"/>
                                <w:szCs w:val="22"/>
                                <w:lang w:val="es-ES"/>
                              </w:rPr>
                              <w:t xml:space="preserve">Aprobado </w:t>
                            </w:r>
                            <w:proofErr w:type="spellStart"/>
                            <w:r w:rsidRPr="00D85CEC">
                              <w:rPr>
                                <w:rFonts w:ascii="Cambria" w:hAnsi="Cambria"/>
                                <w:color w:val="0D0D0D"/>
                                <w:sz w:val="18"/>
                                <w:szCs w:val="22"/>
                                <w:lang w:val="es-ES"/>
                              </w:rPr>
                              <w:t>electr</w:t>
                            </w:r>
                            <w:r w:rsidRPr="00D85CEC">
                              <w:rPr>
                                <w:rFonts w:ascii="Cambria" w:hAnsi="Cambria"/>
                                <w:color w:val="0D0D0D"/>
                                <w:sz w:val="18"/>
                                <w:szCs w:val="22"/>
                                <w:lang w:val="es-ES_tradnl"/>
                              </w:rPr>
                              <w:t>ónicamente</w:t>
                            </w:r>
                            <w:proofErr w:type="spellEnd"/>
                            <w:r w:rsidRPr="00D85CEC">
                              <w:rPr>
                                <w:rFonts w:ascii="Cambria" w:hAnsi="Cambria"/>
                                <w:color w:val="0D0D0D"/>
                                <w:sz w:val="18"/>
                                <w:szCs w:val="22"/>
                                <w:lang w:val="es-ES"/>
                              </w:rPr>
                              <w:t xml:space="preserve"> por la Comisión el </w:t>
                            </w:r>
                            <w:r w:rsidR="00D06050">
                              <w:rPr>
                                <w:rFonts w:ascii="Cambria" w:hAnsi="Cambria"/>
                                <w:color w:val="0D0D0D"/>
                                <w:sz w:val="18"/>
                                <w:szCs w:val="22"/>
                                <w:lang w:val="es-ES"/>
                              </w:rPr>
                              <w:t>14</w:t>
                            </w:r>
                            <w:r w:rsidRPr="00D85CEC">
                              <w:rPr>
                                <w:rFonts w:ascii="Cambria" w:hAnsi="Cambria"/>
                                <w:color w:val="0D0D0D"/>
                                <w:sz w:val="18"/>
                                <w:szCs w:val="22"/>
                                <w:lang w:val="es-ES"/>
                              </w:rPr>
                              <w:t xml:space="preserve"> de </w:t>
                            </w:r>
                            <w:r w:rsidR="00D06050">
                              <w:rPr>
                                <w:rFonts w:ascii="Cambria" w:hAnsi="Cambria"/>
                                <w:color w:val="0D0D0D"/>
                                <w:sz w:val="18"/>
                                <w:szCs w:val="22"/>
                                <w:lang w:val="es-ES"/>
                              </w:rPr>
                              <w:t>diciembre</w:t>
                            </w:r>
                            <w:r w:rsidRPr="00D85CEC">
                              <w:rPr>
                                <w:rFonts w:ascii="Cambria" w:hAnsi="Cambria"/>
                                <w:color w:val="0D0D0D"/>
                                <w:sz w:val="18"/>
                                <w:szCs w:val="22"/>
                                <w:lang w:val="es-ES"/>
                              </w:rPr>
                              <w:t xml:space="preserve"> de 2020</w:t>
                            </w:r>
                            <w:r w:rsidR="008F52F5">
                              <w:rPr>
                                <w:rFonts w:ascii="Cambria" w:hAnsi="Cambria"/>
                                <w:color w:val="0D0D0D"/>
                                <w:sz w:val="18"/>
                                <w:szCs w:val="22"/>
                                <w:lang w:val="es-ES"/>
                              </w:rPr>
                              <w:t>.</w:t>
                            </w:r>
                          </w:p>
                          <w:p w14:paraId="2A3E8804" w14:textId="77777777" w:rsidR="00037A6F" w:rsidRPr="00D85CEC" w:rsidRDefault="00037A6F"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14:paraId="3BF4C2DE" w14:textId="77777777" w:rsidR="00037A6F" w:rsidRPr="00D85CEC" w:rsidRDefault="00037A6F"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F779AA"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14:paraId="4BE84F7F" w14:textId="4ACDF7A8" w:rsidR="00037A6F" w:rsidRPr="00D85CEC" w:rsidRDefault="00037A6F"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D85CEC">
                        <w:rPr>
                          <w:rFonts w:ascii="Cambria" w:hAnsi="Cambria"/>
                          <w:color w:val="0D0D0D"/>
                          <w:sz w:val="18"/>
                          <w:szCs w:val="22"/>
                          <w:lang w:val="es-ES"/>
                        </w:rPr>
                        <w:t xml:space="preserve">Aprobado </w:t>
                      </w:r>
                      <w:proofErr w:type="spellStart"/>
                      <w:r w:rsidRPr="00D85CEC">
                        <w:rPr>
                          <w:rFonts w:ascii="Cambria" w:hAnsi="Cambria"/>
                          <w:color w:val="0D0D0D"/>
                          <w:sz w:val="18"/>
                          <w:szCs w:val="22"/>
                          <w:lang w:val="es-ES"/>
                        </w:rPr>
                        <w:t>electr</w:t>
                      </w:r>
                      <w:r w:rsidRPr="00D85CEC">
                        <w:rPr>
                          <w:rFonts w:ascii="Cambria" w:hAnsi="Cambria"/>
                          <w:color w:val="0D0D0D"/>
                          <w:sz w:val="18"/>
                          <w:szCs w:val="22"/>
                          <w:lang w:val="es-ES_tradnl"/>
                        </w:rPr>
                        <w:t>ónicamente</w:t>
                      </w:r>
                      <w:proofErr w:type="spellEnd"/>
                      <w:r w:rsidRPr="00D85CEC">
                        <w:rPr>
                          <w:rFonts w:ascii="Cambria" w:hAnsi="Cambria"/>
                          <w:color w:val="0D0D0D"/>
                          <w:sz w:val="18"/>
                          <w:szCs w:val="22"/>
                          <w:lang w:val="es-ES"/>
                        </w:rPr>
                        <w:t xml:space="preserve"> por la Comisión el </w:t>
                      </w:r>
                      <w:r w:rsidR="00D06050">
                        <w:rPr>
                          <w:rFonts w:ascii="Cambria" w:hAnsi="Cambria"/>
                          <w:color w:val="0D0D0D"/>
                          <w:sz w:val="18"/>
                          <w:szCs w:val="22"/>
                          <w:lang w:val="es-ES"/>
                        </w:rPr>
                        <w:t>14</w:t>
                      </w:r>
                      <w:r w:rsidRPr="00D85CEC">
                        <w:rPr>
                          <w:rFonts w:ascii="Cambria" w:hAnsi="Cambria"/>
                          <w:color w:val="0D0D0D"/>
                          <w:sz w:val="18"/>
                          <w:szCs w:val="22"/>
                          <w:lang w:val="es-ES"/>
                        </w:rPr>
                        <w:t xml:space="preserve"> de </w:t>
                      </w:r>
                      <w:r w:rsidR="00D06050">
                        <w:rPr>
                          <w:rFonts w:ascii="Cambria" w:hAnsi="Cambria"/>
                          <w:color w:val="0D0D0D"/>
                          <w:sz w:val="18"/>
                          <w:szCs w:val="22"/>
                          <w:lang w:val="es-ES"/>
                        </w:rPr>
                        <w:t>diciembre</w:t>
                      </w:r>
                      <w:r w:rsidRPr="00D85CEC">
                        <w:rPr>
                          <w:rFonts w:ascii="Cambria" w:hAnsi="Cambria"/>
                          <w:color w:val="0D0D0D"/>
                          <w:sz w:val="18"/>
                          <w:szCs w:val="22"/>
                          <w:lang w:val="es-ES"/>
                        </w:rPr>
                        <w:t xml:space="preserve"> de 2020</w:t>
                      </w:r>
                      <w:r w:rsidR="008F52F5">
                        <w:rPr>
                          <w:rFonts w:ascii="Cambria" w:hAnsi="Cambria"/>
                          <w:color w:val="0D0D0D"/>
                          <w:sz w:val="18"/>
                          <w:szCs w:val="22"/>
                          <w:lang w:val="es-ES"/>
                        </w:rPr>
                        <w:t>.</w:t>
                      </w:r>
                    </w:p>
                    <w:p w14:paraId="2A3E8804" w14:textId="77777777" w:rsidR="00037A6F" w:rsidRPr="00D85CEC" w:rsidRDefault="00037A6F"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14:paraId="3BF4C2DE" w14:textId="77777777" w:rsidR="00037A6F" w:rsidRPr="00D85CEC" w:rsidRDefault="00037A6F"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mc:Fallback>
        </mc:AlternateContent>
      </w:r>
    </w:p>
    <w:p w14:paraId="2DF21CF1"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14:paraId="3C4D0C50"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14:paraId="72DE2CD4"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14:paraId="506AC411"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14:paraId="2AF08E2E" w14:textId="6E1B35E6" w:rsidR="00757A02" w:rsidRPr="00006B74" w:rsidRDefault="00DF421C"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r>
        <w:rPr>
          <w:noProof/>
        </w:rPr>
        <mc:AlternateContent>
          <mc:Choice Requires="wps">
            <w:drawing>
              <wp:anchor distT="0" distB="0" distL="114300" distR="114300" simplePos="0" relativeHeight="251659264" behindDoc="0" locked="0" layoutInCell="1" allowOverlap="1" wp14:anchorId="530335A4" wp14:editId="114062C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454167" w14:textId="6BD69C57" w:rsidR="00037A6F" w:rsidRPr="00D85CEC" w:rsidRDefault="00037A6F"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D85CEC">
                              <w:rPr>
                                <w:rFonts w:ascii="Cambria" w:hAnsi="Cambria"/>
                                <w:b/>
                                <w:color w:val="595959"/>
                                <w:sz w:val="18"/>
                                <w:szCs w:val="18"/>
                                <w:lang w:val="pt-BR"/>
                              </w:rPr>
                              <w:t>Citar como:</w:t>
                            </w:r>
                            <w:r w:rsidRPr="00D85CEC">
                              <w:rPr>
                                <w:rFonts w:ascii="Cambria" w:hAnsi="Cambria"/>
                                <w:color w:val="595959"/>
                                <w:sz w:val="18"/>
                                <w:szCs w:val="18"/>
                                <w:lang w:val="pt-BR"/>
                              </w:rPr>
                              <w:t xml:space="preserve"> CIDH, Informe No. </w:t>
                            </w:r>
                            <w:r w:rsidR="00D06050">
                              <w:rPr>
                                <w:rFonts w:ascii="Cambria" w:hAnsi="Cambria"/>
                                <w:color w:val="595959"/>
                                <w:sz w:val="18"/>
                                <w:szCs w:val="18"/>
                                <w:lang w:val="pt-BR"/>
                              </w:rPr>
                              <w:t>364</w:t>
                            </w:r>
                            <w:r w:rsidRPr="00D85CEC">
                              <w:rPr>
                                <w:rFonts w:ascii="Cambria" w:hAnsi="Cambria"/>
                                <w:color w:val="595959"/>
                                <w:sz w:val="18"/>
                                <w:szCs w:val="18"/>
                                <w:lang w:val="pt-BR"/>
                              </w:rPr>
                              <w:t xml:space="preserve">/20. </w:t>
                            </w:r>
                            <w:r w:rsidR="008F52F5">
                              <w:rPr>
                                <w:rFonts w:ascii="Cambria" w:hAnsi="Cambria"/>
                                <w:color w:val="595959"/>
                                <w:sz w:val="18"/>
                                <w:szCs w:val="18"/>
                                <w:lang w:val="pt-BR"/>
                              </w:rPr>
                              <w:t xml:space="preserve">Petici;on 1575-10. </w:t>
                            </w:r>
                            <w:r w:rsidRPr="004A3B67">
                              <w:rPr>
                                <w:rFonts w:ascii="Cambria" w:hAnsi="Cambria"/>
                                <w:color w:val="595959"/>
                                <w:sz w:val="18"/>
                                <w:szCs w:val="18"/>
                                <w:lang w:val="es-US"/>
                              </w:rPr>
                              <w:t>A</w:t>
                            </w:r>
                            <w:proofErr w:type="spellStart"/>
                            <w:r w:rsidRPr="00D85CEC">
                              <w:rPr>
                                <w:rFonts w:ascii="Cambria" w:hAnsi="Cambria"/>
                                <w:color w:val="595959"/>
                                <w:sz w:val="18"/>
                                <w:szCs w:val="18"/>
                                <w:lang w:val="es-ES_tradnl"/>
                              </w:rPr>
                              <w:t>dmisibilidad</w:t>
                            </w:r>
                            <w:proofErr w:type="spellEnd"/>
                            <w:r w:rsidRPr="00D85CEC">
                              <w:rPr>
                                <w:rFonts w:ascii="Cambria" w:hAnsi="Cambria"/>
                                <w:color w:val="595959"/>
                                <w:sz w:val="18"/>
                                <w:szCs w:val="18"/>
                                <w:lang w:val="es-ES_tradnl"/>
                              </w:rPr>
                              <w:t xml:space="preserve">. Javier Muñoz Valdés y otros. Colombia. </w:t>
                            </w:r>
                            <w:r w:rsidR="00D06050">
                              <w:rPr>
                                <w:rFonts w:ascii="Cambria" w:hAnsi="Cambria"/>
                                <w:color w:val="595959"/>
                                <w:sz w:val="18"/>
                                <w:szCs w:val="18"/>
                                <w:lang w:val="es-ES"/>
                              </w:rPr>
                              <w:t>14 de diciembre de 2020</w:t>
                            </w:r>
                            <w:r w:rsidRPr="00D85CEC">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0335A4"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14:paraId="55454167" w14:textId="6BD69C57" w:rsidR="00037A6F" w:rsidRPr="00D85CEC" w:rsidRDefault="00037A6F"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D85CEC">
                        <w:rPr>
                          <w:rFonts w:ascii="Cambria" w:hAnsi="Cambria"/>
                          <w:b/>
                          <w:color w:val="595959"/>
                          <w:sz w:val="18"/>
                          <w:szCs w:val="18"/>
                          <w:lang w:val="pt-BR"/>
                        </w:rPr>
                        <w:t>Citar como:</w:t>
                      </w:r>
                      <w:r w:rsidRPr="00D85CEC">
                        <w:rPr>
                          <w:rFonts w:ascii="Cambria" w:hAnsi="Cambria"/>
                          <w:color w:val="595959"/>
                          <w:sz w:val="18"/>
                          <w:szCs w:val="18"/>
                          <w:lang w:val="pt-BR"/>
                        </w:rPr>
                        <w:t xml:space="preserve"> CIDH, Informe No. </w:t>
                      </w:r>
                      <w:r w:rsidR="00D06050">
                        <w:rPr>
                          <w:rFonts w:ascii="Cambria" w:hAnsi="Cambria"/>
                          <w:color w:val="595959"/>
                          <w:sz w:val="18"/>
                          <w:szCs w:val="18"/>
                          <w:lang w:val="pt-BR"/>
                        </w:rPr>
                        <w:t>364</w:t>
                      </w:r>
                      <w:r w:rsidRPr="00D85CEC">
                        <w:rPr>
                          <w:rFonts w:ascii="Cambria" w:hAnsi="Cambria"/>
                          <w:color w:val="595959"/>
                          <w:sz w:val="18"/>
                          <w:szCs w:val="18"/>
                          <w:lang w:val="pt-BR"/>
                        </w:rPr>
                        <w:t xml:space="preserve">/20. </w:t>
                      </w:r>
                      <w:r w:rsidR="008F52F5">
                        <w:rPr>
                          <w:rFonts w:ascii="Cambria" w:hAnsi="Cambria"/>
                          <w:color w:val="595959"/>
                          <w:sz w:val="18"/>
                          <w:szCs w:val="18"/>
                          <w:lang w:val="pt-BR"/>
                        </w:rPr>
                        <w:t xml:space="preserve">Petici;on 1575-10. </w:t>
                      </w:r>
                      <w:r w:rsidRPr="004A3B67">
                        <w:rPr>
                          <w:rFonts w:ascii="Cambria" w:hAnsi="Cambria"/>
                          <w:color w:val="595959"/>
                          <w:sz w:val="18"/>
                          <w:szCs w:val="18"/>
                          <w:lang w:val="es-US"/>
                        </w:rPr>
                        <w:t>A</w:t>
                      </w:r>
                      <w:proofErr w:type="spellStart"/>
                      <w:r w:rsidRPr="00D85CEC">
                        <w:rPr>
                          <w:rFonts w:ascii="Cambria" w:hAnsi="Cambria"/>
                          <w:color w:val="595959"/>
                          <w:sz w:val="18"/>
                          <w:szCs w:val="18"/>
                          <w:lang w:val="es-ES_tradnl"/>
                        </w:rPr>
                        <w:t>dmisibilidad</w:t>
                      </w:r>
                      <w:proofErr w:type="spellEnd"/>
                      <w:r w:rsidRPr="00D85CEC">
                        <w:rPr>
                          <w:rFonts w:ascii="Cambria" w:hAnsi="Cambria"/>
                          <w:color w:val="595959"/>
                          <w:sz w:val="18"/>
                          <w:szCs w:val="18"/>
                          <w:lang w:val="es-ES_tradnl"/>
                        </w:rPr>
                        <w:t xml:space="preserve">. Javier Muñoz Valdés y otros. Colombia. </w:t>
                      </w:r>
                      <w:r w:rsidR="00D06050">
                        <w:rPr>
                          <w:rFonts w:ascii="Cambria" w:hAnsi="Cambria"/>
                          <w:color w:val="595959"/>
                          <w:sz w:val="18"/>
                          <w:szCs w:val="18"/>
                          <w:lang w:val="es-ES"/>
                        </w:rPr>
                        <w:t>14 de diciembre de 2020</w:t>
                      </w:r>
                      <w:r w:rsidRPr="00D85CEC">
                        <w:rPr>
                          <w:rFonts w:ascii="Cambria" w:hAnsi="Cambria"/>
                          <w:color w:val="595959"/>
                          <w:sz w:val="18"/>
                          <w:szCs w:val="18"/>
                          <w:lang w:val="es-ES"/>
                        </w:rPr>
                        <w:t>.</w:t>
                      </w:r>
                    </w:p>
                  </w:txbxContent>
                </v:textbox>
              </v:shape>
            </w:pict>
          </mc:Fallback>
        </mc:AlternateContent>
      </w:r>
    </w:p>
    <w:p w14:paraId="698B318E" w14:textId="77777777" w:rsidR="00757A02" w:rsidRPr="00006B74" w:rsidRDefault="00757A0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14:paraId="1BF9134B" w14:textId="4EF89A1C" w:rsidR="00757A02" w:rsidRPr="00006B74" w:rsidRDefault="00DF421C"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
        </w:rPr>
      </w:pPr>
      <w:r>
        <w:rPr>
          <w:noProof/>
        </w:rPr>
        <mc:AlternateContent>
          <mc:Choice Requires="wps">
            <w:drawing>
              <wp:anchor distT="0" distB="0" distL="114300" distR="114300" simplePos="0" relativeHeight="251660288" behindDoc="0" locked="0" layoutInCell="1" allowOverlap="1" wp14:anchorId="3D2DA7F9" wp14:editId="126BDC8C">
                <wp:simplePos x="0" y="0"/>
                <wp:positionH relativeFrom="column">
                  <wp:posOffset>1329690</wp:posOffset>
                </wp:positionH>
                <wp:positionV relativeFrom="paragraph">
                  <wp:posOffset>638810</wp:posOffset>
                </wp:positionV>
                <wp:extent cx="4096385" cy="567055"/>
                <wp:effectExtent l="0" t="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D8441A3" w14:textId="2BAF671D" w:rsidR="00037A6F" w:rsidRPr="00D85CEC" w:rsidRDefault="00037A6F"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14:anchorId="22EAE961" wp14:editId="05A1CFD9">
                                  <wp:extent cx="1895475" cy="49530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495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D2DA7F9"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qHhQIAABY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" stroked="f" strokeweight=".5pt">
                <v:textbox>
                  <w:txbxContent>
                    <w:p w14:paraId="3D8441A3" w14:textId="2BAF671D" w:rsidR="00037A6F" w:rsidRPr="00D85CEC" w:rsidRDefault="00037A6F"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14:anchorId="22EAE961" wp14:editId="05A1CFD9">
                            <wp:extent cx="1895475" cy="49530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5475" cy="4953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B91DBAB" wp14:editId="53B203C6">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73B037" w14:textId="77777777" w:rsidR="00037A6F" w:rsidRPr="00D85CEC" w:rsidRDefault="00037A6F"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D85CEC">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B91DBAB"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dD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" filled="f" stroked="f" strokeweight=".5pt">
                <v:path arrowok="t"/>
                <v:textbox>
                  <w:txbxContent>
                    <w:p w14:paraId="6E73B037" w14:textId="77777777" w:rsidR="00037A6F" w:rsidRPr="00D85CEC" w:rsidRDefault="00037A6F"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D85CEC">
                        <w:rPr>
                          <w:rFonts w:ascii="Calibri" w:hAnsi="Calibri"/>
                          <w:b/>
                          <w:color w:val="FFFFFF"/>
                          <w:lang w:val="pt-BR"/>
                        </w:rPr>
                        <w:t>www.cidh.org</w:t>
                      </w:r>
                    </w:p>
                  </w:txbxContent>
                </v:textbox>
              </v:shape>
            </w:pict>
          </mc:Fallback>
        </mc:AlternateContent>
      </w:r>
    </w:p>
    <w:p w14:paraId="3D65DDA4" w14:textId="77777777" w:rsidR="00757A02" w:rsidRPr="00006B74" w:rsidRDefault="00757A02"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
        </w:rPr>
        <w:sectPr w:rsidR="00757A02" w:rsidRPr="00006B74"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rtlGutter/>
          <w:docGrid w:linePitch="326"/>
        </w:sectPr>
      </w:pPr>
      <w:r w:rsidRPr="00006B74">
        <w:rPr>
          <w:rFonts w:ascii="Cambria" w:hAnsi="Cambria"/>
          <w:b/>
          <w:sz w:val="20"/>
          <w:lang w:val="es-ES"/>
        </w:rPr>
        <w:tab/>
      </w:r>
    </w:p>
    <w:p w14:paraId="07F4BBAA" w14:textId="77777777" w:rsidR="00757A02" w:rsidRPr="00006B74" w:rsidRDefault="00757A02" w:rsidP="007C402A">
      <w:pPr>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b/>
          <w:bCs/>
          <w:sz w:val="20"/>
          <w:szCs w:val="20"/>
          <w:lang w:val="es-ES"/>
        </w:rPr>
      </w:pPr>
      <w:r w:rsidRPr="00006B74">
        <w:rPr>
          <w:rFonts w:ascii="Cambria" w:hAnsi="Cambria"/>
          <w:b/>
          <w:bCs/>
          <w:sz w:val="20"/>
          <w:szCs w:val="20"/>
          <w:lang w:val="es-ES"/>
        </w:rPr>
        <w:lastRenderedPageBreak/>
        <w:t>I.</w:t>
      </w:r>
      <w:r w:rsidRPr="00006B74">
        <w:rPr>
          <w:rFonts w:ascii="Cambria" w:hAnsi="Cambria"/>
          <w:b/>
          <w:bCs/>
          <w:sz w:val="20"/>
          <w:szCs w:val="20"/>
          <w:lang w:val="es-ES"/>
        </w:rPr>
        <w:tab/>
        <w:t xml:space="preserve">DATOS DE LA PETICIÓN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6570"/>
      </w:tblGrid>
      <w:tr w:rsidR="00757A02" w:rsidRPr="005025B1" w14:paraId="718751E2" w14:textId="77777777" w:rsidTr="00D85CEC">
        <w:tc>
          <w:tcPr>
            <w:tcW w:w="2790" w:type="dxa"/>
            <w:tcBorders>
              <w:top w:val="single" w:sz="4" w:space="0" w:color="auto"/>
            </w:tcBorders>
            <w:shd w:val="clear" w:color="auto" w:fill="386294"/>
            <w:vAlign w:val="center"/>
          </w:tcPr>
          <w:p w14:paraId="52D02F7D" w14:textId="77777777" w:rsidR="00757A02" w:rsidRPr="00D85CEC" w:rsidRDefault="00757A02" w:rsidP="00D85CEC">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D85CEC">
              <w:rPr>
                <w:rFonts w:ascii="Cambria" w:hAnsi="Cambria"/>
                <w:bCs/>
                <w:color w:val="FFFFFF"/>
                <w:sz w:val="19"/>
                <w:szCs w:val="19"/>
                <w:lang w:val="es-ES"/>
              </w:rPr>
              <w:t>Parte peticionaria</w:t>
            </w:r>
          </w:p>
        </w:tc>
        <w:tc>
          <w:tcPr>
            <w:tcW w:w="6570" w:type="dxa"/>
            <w:tcBorders>
              <w:top w:val="single" w:sz="4" w:space="0" w:color="auto"/>
            </w:tcBorders>
            <w:vAlign w:val="center"/>
          </w:tcPr>
          <w:p w14:paraId="17BABA3C" w14:textId="77777777" w:rsidR="00757A02" w:rsidRPr="00D85CEC" w:rsidRDefault="00757A02" w:rsidP="00D85CEC">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D85CEC">
              <w:rPr>
                <w:rFonts w:ascii="Cambria" w:hAnsi="Cambria"/>
                <w:bCs/>
                <w:sz w:val="19"/>
                <w:szCs w:val="19"/>
                <w:lang w:val="es-ES"/>
              </w:rPr>
              <w:t>Miguel Piñeros Rey</w:t>
            </w:r>
          </w:p>
        </w:tc>
      </w:tr>
      <w:tr w:rsidR="00757A02" w:rsidRPr="00211EC5" w14:paraId="78363373" w14:textId="77777777" w:rsidTr="00D85CEC">
        <w:tc>
          <w:tcPr>
            <w:tcW w:w="2790" w:type="dxa"/>
            <w:shd w:val="clear" w:color="auto" w:fill="386294"/>
            <w:vAlign w:val="center"/>
          </w:tcPr>
          <w:p w14:paraId="6F5D2CE1" w14:textId="77777777" w:rsidR="00757A02" w:rsidRPr="00D85CEC" w:rsidRDefault="00757A02" w:rsidP="00D85CEC">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D85CEC">
              <w:rPr>
                <w:rFonts w:ascii="Cambria" w:hAnsi="Cambria"/>
                <w:bCs/>
                <w:color w:val="FFFFFF"/>
                <w:sz w:val="19"/>
                <w:szCs w:val="19"/>
                <w:lang w:val="es-ES"/>
              </w:rPr>
              <w:t>Presunta víctima</w:t>
            </w:r>
          </w:p>
        </w:tc>
        <w:tc>
          <w:tcPr>
            <w:tcW w:w="6570" w:type="dxa"/>
            <w:vAlign w:val="center"/>
          </w:tcPr>
          <w:p w14:paraId="648FB596" w14:textId="77777777" w:rsidR="00757A02" w:rsidRPr="00D85CEC" w:rsidRDefault="00757A02" w:rsidP="00D85CEC">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PA"/>
              </w:rPr>
            </w:pPr>
            <w:r w:rsidRPr="00D85CEC">
              <w:rPr>
                <w:rFonts w:ascii="Cambria" w:hAnsi="Cambria"/>
                <w:bCs/>
                <w:sz w:val="19"/>
                <w:szCs w:val="19"/>
                <w:lang w:val="es-ES"/>
              </w:rPr>
              <w:t>Javier Muñoz Valdés y otros</w:t>
            </w:r>
            <w:r w:rsidRPr="00D85CEC">
              <w:rPr>
                <w:rStyle w:val="FootnoteReference"/>
                <w:rFonts w:ascii="Cambria" w:hAnsi="Cambria"/>
                <w:bCs/>
                <w:sz w:val="19"/>
                <w:szCs w:val="19"/>
                <w:lang w:val="es-ES"/>
              </w:rPr>
              <w:footnoteReference w:id="2"/>
            </w:r>
          </w:p>
        </w:tc>
      </w:tr>
      <w:tr w:rsidR="00757A02" w:rsidRPr="00006B74" w14:paraId="2ECAFFC6" w14:textId="77777777" w:rsidTr="00D85CEC">
        <w:tc>
          <w:tcPr>
            <w:tcW w:w="2790" w:type="dxa"/>
            <w:shd w:val="clear" w:color="auto" w:fill="386294"/>
            <w:vAlign w:val="center"/>
          </w:tcPr>
          <w:p w14:paraId="5260BB90" w14:textId="77777777" w:rsidR="00757A02" w:rsidRPr="00D85CEC" w:rsidRDefault="00757A02" w:rsidP="00D85CEC">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D85CEC">
              <w:rPr>
                <w:rFonts w:ascii="Cambria" w:hAnsi="Cambria"/>
                <w:bCs/>
                <w:color w:val="FFFFFF"/>
                <w:sz w:val="19"/>
                <w:szCs w:val="19"/>
                <w:lang w:val="es-ES"/>
              </w:rPr>
              <w:t>Estado denunciado</w:t>
            </w:r>
          </w:p>
        </w:tc>
        <w:tc>
          <w:tcPr>
            <w:tcW w:w="6570" w:type="dxa"/>
            <w:vAlign w:val="center"/>
          </w:tcPr>
          <w:p w14:paraId="640855A8" w14:textId="77777777" w:rsidR="00757A02" w:rsidRPr="00D85CEC" w:rsidRDefault="00757A02" w:rsidP="00D85CEC">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D85CEC">
              <w:rPr>
                <w:rFonts w:ascii="Cambria" w:hAnsi="Cambria"/>
                <w:bCs/>
                <w:sz w:val="19"/>
                <w:szCs w:val="19"/>
                <w:lang w:val="es-ES"/>
              </w:rPr>
              <w:t>Colombia</w:t>
            </w:r>
          </w:p>
        </w:tc>
      </w:tr>
      <w:tr w:rsidR="00757A02" w:rsidRPr="00211EC5" w14:paraId="722EEBA3" w14:textId="77777777" w:rsidTr="00D85CEC">
        <w:tc>
          <w:tcPr>
            <w:tcW w:w="2790" w:type="dxa"/>
            <w:tcBorders>
              <w:bottom w:val="single" w:sz="4" w:space="0" w:color="auto"/>
            </w:tcBorders>
            <w:shd w:val="clear" w:color="auto" w:fill="386294"/>
            <w:vAlign w:val="center"/>
          </w:tcPr>
          <w:p w14:paraId="3CC31E6E" w14:textId="77777777" w:rsidR="00757A02" w:rsidRPr="00D85CEC" w:rsidRDefault="00757A02" w:rsidP="00D85CEC">
            <w:pPr>
              <w:pBdr>
                <w:top w:val="none" w:sz="0" w:space="0" w:color="auto"/>
                <w:left w:val="none" w:sz="0" w:space="0" w:color="auto"/>
                <w:bottom w:val="none" w:sz="0" w:space="0" w:color="auto"/>
                <w:right w:val="none" w:sz="0" w:space="0" w:color="auto"/>
                <w:bar w:val="none" w:sz="0" w:color="auto"/>
              </w:pBdr>
              <w:jc w:val="center"/>
              <w:rPr>
                <w:rFonts w:ascii="Cambria" w:hAnsi="Cambria"/>
                <w:bCs/>
                <w:sz w:val="19"/>
                <w:szCs w:val="19"/>
                <w:lang w:val="es-ES"/>
              </w:rPr>
            </w:pPr>
            <w:r w:rsidRPr="00D85CEC">
              <w:rPr>
                <w:rFonts w:ascii="Cambria" w:hAnsi="Cambria"/>
                <w:bCs/>
                <w:sz w:val="19"/>
                <w:szCs w:val="19"/>
                <w:lang w:val="es-ES"/>
              </w:rPr>
              <w:t>Derechos invocados</w:t>
            </w:r>
          </w:p>
        </w:tc>
        <w:tc>
          <w:tcPr>
            <w:tcW w:w="6570" w:type="dxa"/>
            <w:tcBorders>
              <w:bottom w:val="single" w:sz="4" w:space="0" w:color="auto"/>
            </w:tcBorders>
            <w:vAlign w:val="center"/>
          </w:tcPr>
          <w:p w14:paraId="24733116" w14:textId="77777777" w:rsidR="00757A02" w:rsidRPr="00D85CEC" w:rsidRDefault="00757A02" w:rsidP="00D85CEC">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PA"/>
              </w:rPr>
            </w:pPr>
            <w:r w:rsidRPr="00D85CEC">
              <w:rPr>
                <w:rFonts w:ascii="Cambria" w:hAnsi="Cambria"/>
                <w:bCs/>
                <w:sz w:val="19"/>
                <w:szCs w:val="19"/>
                <w:lang w:val="es-ES"/>
              </w:rPr>
              <w:t>Artículos 4 (vida), 5 (integridad personal), 8 (garantías judiciales), 10 (indemnización), 17 (protección a la familia), 22 (circulación y residencia) 24 (igualdad ante la ley) y 25 (protección judicial),  de la Convención Americana Sobre Derechos Humanos</w:t>
            </w:r>
            <w:r w:rsidRPr="00D85CEC">
              <w:rPr>
                <w:rStyle w:val="FootnoteReference"/>
                <w:rFonts w:ascii="Cambria" w:hAnsi="Cambria"/>
                <w:bCs/>
                <w:sz w:val="19"/>
                <w:szCs w:val="19"/>
                <w:lang w:val="es-ES"/>
              </w:rPr>
              <w:footnoteReference w:id="3"/>
            </w:r>
            <w:r w:rsidRPr="00D85CEC">
              <w:rPr>
                <w:rFonts w:ascii="Cambria" w:hAnsi="Cambria"/>
                <w:bCs/>
                <w:sz w:val="19"/>
                <w:szCs w:val="19"/>
                <w:lang w:val="es-ES"/>
              </w:rPr>
              <w:t xml:space="preserve"> en relación con su artículo 1.1. (obligación de respetar los derechos); y artículos I (vida, libertad, seguridad e integridad), II (igualdad), VIII (residencia y tránsito), XI (preservación de la salud y bienestar) y XVIII (justicia) y de la Declaración Americana de los Derechos y Deberes del Hombre</w:t>
            </w:r>
            <w:r w:rsidRPr="00D85CEC">
              <w:rPr>
                <w:rStyle w:val="FootnoteReference"/>
                <w:rFonts w:ascii="Cambria" w:hAnsi="Cambria"/>
                <w:bCs/>
                <w:sz w:val="19"/>
                <w:szCs w:val="19"/>
                <w:lang w:val="es-ES"/>
              </w:rPr>
              <w:footnoteReference w:id="4"/>
            </w:r>
          </w:p>
        </w:tc>
      </w:tr>
    </w:tbl>
    <w:p w14:paraId="0D12B378" w14:textId="77777777" w:rsidR="00757A02" w:rsidRPr="00D24AD4" w:rsidRDefault="00757A02" w:rsidP="007C402A">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20"/>
          <w:szCs w:val="20"/>
          <w:lang w:val="es-ES"/>
        </w:rPr>
      </w:pPr>
      <w:r w:rsidRPr="00D24AD4">
        <w:rPr>
          <w:rFonts w:ascii="Cambria" w:hAnsi="Cambria"/>
          <w:b/>
          <w:bCs/>
          <w:sz w:val="20"/>
          <w:szCs w:val="20"/>
          <w:lang w:val="es-ES"/>
        </w:rPr>
        <w:t>II.</w:t>
      </w:r>
      <w:r w:rsidRPr="00D24AD4">
        <w:rPr>
          <w:rFonts w:ascii="Cambria" w:hAnsi="Cambria"/>
          <w:b/>
          <w:bCs/>
          <w:sz w:val="20"/>
          <w:szCs w:val="20"/>
          <w:lang w:val="es-ES"/>
        </w:rPr>
        <w:tab/>
        <w:t>TRÁMITE ANTE LA CIDH</w:t>
      </w:r>
      <w:r w:rsidRPr="00D24AD4">
        <w:rPr>
          <w:rStyle w:val="FootnoteReference"/>
          <w:rFonts w:ascii="Cambria" w:hAnsi="Cambria"/>
          <w:b/>
          <w:sz w:val="20"/>
          <w:szCs w:val="20"/>
          <w:lang w:val="es-ES"/>
        </w:rPr>
        <w:footnoteReference w:id="5"/>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6570"/>
      </w:tblGrid>
      <w:tr w:rsidR="00757A02" w:rsidRPr="00AB2DEF" w14:paraId="59B851F3" w14:textId="77777777" w:rsidTr="00D85CEC">
        <w:tc>
          <w:tcPr>
            <w:tcW w:w="2790" w:type="dxa"/>
            <w:tcBorders>
              <w:top w:val="single" w:sz="4" w:space="0" w:color="auto"/>
            </w:tcBorders>
            <w:shd w:val="clear" w:color="auto" w:fill="386294"/>
            <w:vAlign w:val="center"/>
          </w:tcPr>
          <w:p w14:paraId="217BC1C3" w14:textId="77777777" w:rsidR="00757A02" w:rsidRPr="00D85CEC" w:rsidRDefault="00757A02" w:rsidP="00D85CEC">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D85CEC">
              <w:rPr>
                <w:rFonts w:ascii="Cambria" w:hAnsi="Cambria"/>
                <w:bCs/>
                <w:color w:val="FFFFFF"/>
                <w:sz w:val="19"/>
                <w:szCs w:val="19"/>
                <w:lang w:val="es-ES"/>
              </w:rPr>
              <w:t>Recepción de la petición</w:t>
            </w:r>
          </w:p>
        </w:tc>
        <w:tc>
          <w:tcPr>
            <w:tcW w:w="6570" w:type="dxa"/>
            <w:tcBorders>
              <w:top w:val="single" w:sz="4" w:space="0" w:color="auto"/>
            </w:tcBorders>
            <w:vAlign w:val="center"/>
          </w:tcPr>
          <w:p w14:paraId="23C50E0A" w14:textId="77777777" w:rsidR="00757A02" w:rsidRPr="00D85CEC" w:rsidRDefault="00757A02" w:rsidP="00D85CEC">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D85CEC">
              <w:rPr>
                <w:rFonts w:ascii="Cambria" w:hAnsi="Cambria"/>
                <w:bCs/>
                <w:sz w:val="19"/>
                <w:szCs w:val="19"/>
                <w:lang w:val="es-ES"/>
              </w:rPr>
              <w:t>4 de noviembre de 2010</w:t>
            </w:r>
          </w:p>
        </w:tc>
      </w:tr>
      <w:tr w:rsidR="00757A02" w:rsidRPr="00000689" w14:paraId="27258113" w14:textId="77777777" w:rsidTr="00D85CEC">
        <w:tc>
          <w:tcPr>
            <w:tcW w:w="2790" w:type="dxa"/>
            <w:shd w:val="clear" w:color="auto" w:fill="386294"/>
            <w:vAlign w:val="center"/>
          </w:tcPr>
          <w:p w14:paraId="0F2CB996" w14:textId="77777777" w:rsidR="00757A02" w:rsidRPr="00D85CEC" w:rsidRDefault="00757A02" w:rsidP="00D85CEC">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D85CEC">
              <w:rPr>
                <w:rFonts w:ascii="Cambria" w:hAnsi="Cambria"/>
                <w:bCs/>
                <w:color w:val="FFFFFF"/>
                <w:sz w:val="19"/>
                <w:szCs w:val="19"/>
                <w:lang w:val="es-ES"/>
              </w:rPr>
              <w:t>Información adicional recibida durante la etapa de estudio</w:t>
            </w:r>
          </w:p>
        </w:tc>
        <w:tc>
          <w:tcPr>
            <w:tcW w:w="6570" w:type="dxa"/>
            <w:vAlign w:val="center"/>
          </w:tcPr>
          <w:p w14:paraId="41D86EF5" w14:textId="77777777" w:rsidR="00757A02" w:rsidRPr="00D85CEC" w:rsidRDefault="00757A02" w:rsidP="00D85CEC">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D85CEC">
              <w:rPr>
                <w:rFonts w:ascii="Cambria" w:hAnsi="Cambria"/>
                <w:bCs/>
                <w:sz w:val="19"/>
                <w:szCs w:val="19"/>
                <w:lang w:val="es-ES"/>
              </w:rPr>
              <w:t>21 de marzo de 2012</w:t>
            </w:r>
          </w:p>
        </w:tc>
      </w:tr>
      <w:tr w:rsidR="00757A02" w:rsidRPr="00006B74" w14:paraId="31557E35" w14:textId="77777777" w:rsidTr="00D85CEC">
        <w:tc>
          <w:tcPr>
            <w:tcW w:w="2790" w:type="dxa"/>
            <w:shd w:val="clear" w:color="auto" w:fill="386294"/>
            <w:vAlign w:val="center"/>
          </w:tcPr>
          <w:p w14:paraId="64D58819" w14:textId="77777777" w:rsidR="00757A02" w:rsidRPr="00D85CEC" w:rsidRDefault="00757A02" w:rsidP="00D85CEC">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D85CEC">
              <w:rPr>
                <w:rFonts w:ascii="Cambria" w:hAnsi="Cambria"/>
                <w:color w:val="FFFFFF"/>
                <w:sz w:val="19"/>
                <w:szCs w:val="19"/>
                <w:lang w:val="es-ES"/>
              </w:rPr>
              <w:t>Notificación de la petición</w:t>
            </w:r>
          </w:p>
        </w:tc>
        <w:tc>
          <w:tcPr>
            <w:tcW w:w="6570" w:type="dxa"/>
            <w:vAlign w:val="center"/>
          </w:tcPr>
          <w:p w14:paraId="6ED30AE2" w14:textId="77777777" w:rsidR="00757A02" w:rsidRPr="00D85CEC" w:rsidRDefault="00757A02" w:rsidP="00D85CEC">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D85CEC">
              <w:rPr>
                <w:rFonts w:ascii="Cambria" w:hAnsi="Cambria"/>
                <w:bCs/>
                <w:sz w:val="19"/>
                <w:szCs w:val="19"/>
                <w:lang w:val="es-ES"/>
              </w:rPr>
              <w:t>16 de junio de 2016</w:t>
            </w:r>
          </w:p>
        </w:tc>
      </w:tr>
      <w:tr w:rsidR="00757A02" w:rsidRPr="00006B74" w14:paraId="134D5157" w14:textId="77777777" w:rsidTr="00D85CEC">
        <w:tc>
          <w:tcPr>
            <w:tcW w:w="2790" w:type="dxa"/>
            <w:shd w:val="clear" w:color="auto" w:fill="386294"/>
            <w:vAlign w:val="center"/>
          </w:tcPr>
          <w:p w14:paraId="37D785B4" w14:textId="77777777" w:rsidR="00757A02" w:rsidRPr="00D85CEC" w:rsidRDefault="00757A02" w:rsidP="00D85CEC">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D85CEC">
              <w:rPr>
                <w:rFonts w:ascii="Cambria" w:hAnsi="Cambria"/>
                <w:color w:val="FFFFFF"/>
                <w:sz w:val="19"/>
                <w:szCs w:val="19"/>
                <w:lang w:val="es-ES"/>
              </w:rPr>
              <w:t>Primera respuesta del Estado</w:t>
            </w:r>
          </w:p>
        </w:tc>
        <w:tc>
          <w:tcPr>
            <w:tcW w:w="6570" w:type="dxa"/>
            <w:vAlign w:val="center"/>
          </w:tcPr>
          <w:p w14:paraId="62312B0C" w14:textId="77777777" w:rsidR="00757A02" w:rsidRPr="00D85CEC" w:rsidRDefault="00757A02" w:rsidP="00D85CEC">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D85CEC">
              <w:rPr>
                <w:rFonts w:ascii="Cambria" w:hAnsi="Cambria"/>
                <w:bCs/>
                <w:sz w:val="19"/>
                <w:szCs w:val="19"/>
                <w:lang w:val="es-ES"/>
              </w:rPr>
              <w:t>1 de mayo de 2018</w:t>
            </w:r>
          </w:p>
        </w:tc>
      </w:tr>
      <w:tr w:rsidR="00757A02" w:rsidRPr="00000689" w14:paraId="18132E72" w14:textId="77777777" w:rsidTr="00D85CEC">
        <w:tc>
          <w:tcPr>
            <w:tcW w:w="2790" w:type="dxa"/>
            <w:tcBorders>
              <w:bottom w:val="single" w:sz="4" w:space="0" w:color="auto"/>
            </w:tcBorders>
            <w:shd w:val="clear" w:color="auto" w:fill="386294"/>
            <w:vAlign w:val="center"/>
          </w:tcPr>
          <w:p w14:paraId="18363240" w14:textId="77777777" w:rsidR="00757A02" w:rsidRPr="00D85CEC" w:rsidRDefault="00757A02" w:rsidP="00D85CEC">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D85CEC">
              <w:rPr>
                <w:rFonts w:ascii="Cambria" w:hAnsi="Cambria"/>
                <w:bCs/>
                <w:color w:val="FFFFFF"/>
                <w:sz w:val="19"/>
                <w:szCs w:val="19"/>
                <w:lang w:val="es-ES"/>
              </w:rPr>
              <w:t>Observaciones adicionales de la parte peticionaria</w:t>
            </w:r>
          </w:p>
        </w:tc>
        <w:tc>
          <w:tcPr>
            <w:tcW w:w="6570" w:type="dxa"/>
            <w:tcBorders>
              <w:bottom w:val="single" w:sz="4" w:space="0" w:color="auto"/>
            </w:tcBorders>
            <w:vAlign w:val="center"/>
          </w:tcPr>
          <w:p w14:paraId="72328B34" w14:textId="77777777" w:rsidR="00757A02" w:rsidRPr="00D85CEC" w:rsidRDefault="00757A02" w:rsidP="00D85CEC">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D85CEC">
              <w:rPr>
                <w:rFonts w:ascii="Cambria" w:hAnsi="Cambria"/>
                <w:bCs/>
                <w:sz w:val="19"/>
                <w:szCs w:val="19"/>
                <w:lang w:val="es-ES"/>
              </w:rPr>
              <w:t>16 de octubre de 2018</w:t>
            </w:r>
          </w:p>
        </w:tc>
      </w:tr>
    </w:tbl>
    <w:p w14:paraId="32E99C43" w14:textId="77777777" w:rsidR="00757A02" w:rsidRPr="00006B74" w:rsidRDefault="00757A02" w:rsidP="007C402A">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20"/>
          <w:szCs w:val="20"/>
          <w:lang w:val="es-ES"/>
        </w:rPr>
      </w:pPr>
      <w:r>
        <w:rPr>
          <w:rFonts w:ascii="Cambria" w:hAnsi="Cambria"/>
          <w:b/>
          <w:bCs/>
          <w:sz w:val="20"/>
          <w:szCs w:val="20"/>
          <w:lang w:val="es-ES"/>
        </w:rPr>
        <w:t xml:space="preserve"> </w:t>
      </w:r>
      <w:r w:rsidRPr="00006B74">
        <w:rPr>
          <w:rFonts w:ascii="Cambria" w:hAnsi="Cambria"/>
          <w:b/>
          <w:bCs/>
          <w:sz w:val="20"/>
          <w:szCs w:val="20"/>
          <w:lang w:val="es-ES"/>
        </w:rPr>
        <w:t xml:space="preserve">III. </w:t>
      </w:r>
      <w:r w:rsidRPr="00006B74">
        <w:rPr>
          <w:rFonts w:ascii="Cambria" w:hAnsi="Cambria"/>
          <w:b/>
          <w:bCs/>
          <w:sz w:val="20"/>
          <w:szCs w:val="20"/>
          <w:lang w:val="es-ES"/>
        </w:rPr>
        <w:tab/>
        <w:t xml:space="preserve">COMPETENCIA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59"/>
        <w:gridCol w:w="6483"/>
      </w:tblGrid>
      <w:tr w:rsidR="00757A02" w:rsidRPr="00006B74" w14:paraId="12A5A58A" w14:textId="77777777" w:rsidTr="00D85CEC">
        <w:trPr>
          <w:cantSplit/>
        </w:trPr>
        <w:tc>
          <w:tcPr>
            <w:tcW w:w="2790" w:type="dxa"/>
            <w:tcBorders>
              <w:top w:val="single" w:sz="4" w:space="0" w:color="auto"/>
            </w:tcBorders>
            <w:shd w:val="clear" w:color="auto" w:fill="386294"/>
            <w:vAlign w:val="center"/>
          </w:tcPr>
          <w:p w14:paraId="471C8FCE" w14:textId="77777777" w:rsidR="00757A02" w:rsidRPr="00D85CEC" w:rsidRDefault="00757A02" w:rsidP="00D85CEC">
            <w:pPr>
              <w:pBdr>
                <w:top w:val="none" w:sz="0" w:space="0" w:color="auto"/>
                <w:left w:val="none" w:sz="0" w:space="0" w:color="auto"/>
                <w:bottom w:val="none" w:sz="0" w:space="0" w:color="auto"/>
                <w:right w:val="none" w:sz="0" w:space="0" w:color="auto"/>
                <w:bar w:val="none" w:sz="0" w:color="auto"/>
              </w:pBdr>
              <w:jc w:val="center"/>
              <w:rPr>
                <w:rFonts w:ascii="Cambria" w:hAnsi="Cambria"/>
                <w:bCs/>
                <w:i/>
                <w:color w:val="FFFFFF"/>
                <w:sz w:val="19"/>
                <w:szCs w:val="19"/>
                <w:lang w:val="es-ES"/>
              </w:rPr>
            </w:pPr>
            <w:proofErr w:type="spellStart"/>
            <w:r w:rsidRPr="00D85CEC">
              <w:rPr>
                <w:rFonts w:ascii="Cambria" w:hAnsi="Cambria"/>
                <w:bCs/>
                <w:i/>
                <w:color w:val="FFFFFF"/>
                <w:sz w:val="19"/>
                <w:szCs w:val="19"/>
                <w:lang w:val="es-ES"/>
              </w:rPr>
              <w:t>Ratione</w:t>
            </w:r>
            <w:proofErr w:type="spellEnd"/>
            <w:r w:rsidRPr="00D85CEC">
              <w:rPr>
                <w:rFonts w:ascii="Cambria" w:hAnsi="Cambria"/>
                <w:bCs/>
                <w:i/>
                <w:color w:val="FFFFFF"/>
                <w:sz w:val="19"/>
                <w:szCs w:val="19"/>
                <w:lang w:val="es-ES"/>
              </w:rPr>
              <w:t xml:space="preserve"> </w:t>
            </w:r>
            <w:proofErr w:type="spellStart"/>
            <w:r w:rsidRPr="00D85CEC">
              <w:rPr>
                <w:rFonts w:ascii="Cambria" w:hAnsi="Cambria"/>
                <w:bCs/>
                <w:i/>
                <w:color w:val="FFFFFF"/>
                <w:sz w:val="19"/>
                <w:szCs w:val="19"/>
                <w:lang w:val="es-ES"/>
              </w:rPr>
              <w:t>personae</w:t>
            </w:r>
            <w:proofErr w:type="spellEnd"/>
          </w:p>
        </w:tc>
        <w:tc>
          <w:tcPr>
            <w:tcW w:w="6570" w:type="dxa"/>
            <w:tcBorders>
              <w:top w:val="single" w:sz="4" w:space="0" w:color="auto"/>
            </w:tcBorders>
            <w:vAlign w:val="center"/>
          </w:tcPr>
          <w:p w14:paraId="2DC5A708" w14:textId="77777777" w:rsidR="00757A02" w:rsidRPr="00D85CEC" w:rsidRDefault="00757A02" w:rsidP="00D43661">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D85CEC">
              <w:rPr>
                <w:rFonts w:ascii="Cambria" w:hAnsi="Cambria"/>
                <w:bCs/>
                <w:sz w:val="19"/>
                <w:szCs w:val="19"/>
                <w:lang w:val="es-ES"/>
              </w:rPr>
              <w:t>Sí</w:t>
            </w:r>
          </w:p>
        </w:tc>
      </w:tr>
      <w:tr w:rsidR="00757A02" w:rsidRPr="00006B74" w14:paraId="6FF3E935" w14:textId="77777777" w:rsidTr="00D85CEC">
        <w:trPr>
          <w:cantSplit/>
        </w:trPr>
        <w:tc>
          <w:tcPr>
            <w:tcW w:w="2790" w:type="dxa"/>
            <w:shd w:val="clear" w:color="auto" w:fill="386294"/>
            <w:vAlign w:val="center"/>
          </w:tcPr>
          <w:p w14:paraId="77CC6B7B" w14:textId="77777777" w:rsidR="00757A02" w:rsidRPr="00D85CEC" w:rsidRDefault="00757A02" w:rsidP="00D85CEC">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proofErr w:type="spellStart"/>
            <w:r w:rsidRPr="00D85CEC">
              <w:rPr>
                <w:rFonts w:ascii="Cambria" w:hAnsi="Cambria"/>
                <w:bCs/>
                <w:i/>
                <w:color w:val="FFFFFF"/>
                <w:sz w:val="19"/>
                <w:szCs w:val="19"/>
                <w:lang w:val="es-ES"/>
              </w:rPr>
              <w:t>Ratione</w:t>
            </w:r>
            <w:proofErr w:type="spellEnd"/>
            <w:r w:rsidRPr="00D85CEC">
              <w:rPr>
                <w:rFonts w:ascii="Cambria" w:hAnsi="Cambria"/>
                <w:bCs/>
                <w:i/>
                <w:color w:val="FFFFFF"/>
                <w:sz w:val="19"/>
                <w:szCs w:val="19"/>
                <w:lang w:val="es-ES"/>
              </w:rPr>
              <w:t xml:space="preserve"> </w:t>
            </w:r>
            <w:proofErr w:type="spellStart"/>
            <w:r w:rsidRPr="00D85CEC">
              <w:rPr>
                <w:rFonts w:ascii="Cambria" w:hAnsi="Cambria"/>
                <w:bCs/>
                <w:i/>
                <w:color w:val="FFFFFF"/>
                <w:sz w:val="19"/>
                <w:szCs w:val="19"/>
                <w:lang w:val="es-ES"/>
              </w:rPr>
              <w:t>loci</w:t>
            </w:r>
            <w:proofErr w:type="spellEnd"/>
          </w:p>
        </w:tc>
        <w:tc>
          <w:tcPr>
            <w:tcW w:w="6570" w:type="dxa"/>
            <w:vAlign w:val="center"/>
          </w:tcPr>
          <w:p w14:paraId="78445168" w14:textId="77777777" w:rsidR="00757A02" w:rsidRPr="00D85CEC" w:rsidRDefault="00757A02" w:rsidP="00D43661">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D85CEC">
              <w:rPr>
                <w:rFonts w:ascii="Cambria" w:hAnsi="Cambria"/>
                <w:bCs/>
                <w:sz w:val="19"/>
                <w:szCs w:val="19"/>
                <w:lang w:val="es-ES"/>
              </w:rPr>
              <w:t>Sí</w:t>
            </w:r>
          </w:p>
        </w:tc>
      </w:tr>
      <w:tr w:rsidR="00757A02" w:rsidRPr="00006B74" w14:paraId="6DB7AE9B" w14:textId="77777777" w:rsidTr="00D85CEC">
        <w:trPr>
          <w:cantSplit/>
        </w:trPr>
        <w:tc>
          <w:tcPr>
            <w:tcW w:w="2790" w:type="dxa"/>
            <w:shd w:val="clear" w:color="auto" w:fill="386294"/>
            <w:vAlign w:val="center"/>
          </w:tcPr>
          <w:p w14:paraId="7B467BC7" w14:textId="77777777" w:rsidR="00757A02" w:rsidRPr="00D85CEC" w:rsidRDefault="00757A02" w:rsidP="00D85CEC">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proofErr w:type="spellStart"/>
            <w:r w:rsidRPr="00D85CEC">
              <w:rPr>
                <w:rFonts w:ascii="Cambria" w:hAnsi="Cambria"/>
                <w:bCs/>
                <w:i/>
                <w:color w:val="FFFFFF"/>
                <w:sz w:val="19"/>
                <w:szCs w:val="19"/>
                <w:lang w:val="es-ES"/>
              </w:rPr>
              <w:t>Ratione</w:t>
            </w:r>
            <w:proofErr w:type="spellEnd"/>
            <w:r w:rsidRPr="00D85CEC">
              <w:rPr>
                <w:rFonts w:ascii="Cambria" w:hAnsi="Cambria"/>
                <w:bCs/>
                <w:i/>
                <w:color w:val="FFFFFF"/>
                <w:sz w:val="19"/>
                <w:szCs w:val="19"/>
                <w:lang w:val="es-ES"/>
              </w:rPr>
              <w:t xml:space="preserve"> </w:t>
            </w:r>
            <w:proofErr w:type="spellStart"/>
            <w:r w:rsidRPr="00D85CEC">
              <w:rPr>
                <w:rFonts w:ascii="Cambria" w:hAnsi="Cambria"/>
                <w:bCs/>
                <w:i/>
                <w:color w:val="FFFFFF"/>
                <w:sz w:val="19"/>
                <w:szCs w:val="19"/>
                <w:lang w:val="es-ES"/>
              </w:rPr>
              <w:t>temporis</w:t>
            </w:r>
            <w:proofErr w:type="spellEnd"/>
          </w:p>
        </w:tc>
        <w:tc>
          <w:tcPr>
            <w:tcW w:w="6570" w:type="dxa"/>
            <w:vAlign w:val="center"/>
          </w:tcPr>
          <w:p w14:paraId="5A07864A" w14:textId="77777777" w:rsidR="00757A02" w:rsidRPr="00D85CEC" w:rsidRDefault="00757A02" w:rsidP="00D43661">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D85CEC">
              <w:rPr>
                <w:rFonts w:ascii="Cambria" w:hAnsi="Cambria"/>
                <w:bCs/>
                <w:sz w:val="19"/>
                <w:szCs w:val="19"/>
                <w:lang w:val="es-ES"/>
              </w:rPr>
              <w:t>Sí</w:t>
            </w:r>
          </w:p>
        </w:tc>
      </w:tr>
      <w:tr w:rsidR="00757A02" w:rsidRPr="00006B74" w14:paraId="797880BD" w14:textId="77777777" w:rsidTr="00D85CEC">
        <w:trPr>
          <w:cantSplit/>
        </w:trPr>
        <w:tc>
          <w:tcPr>
            <w:tcW w:w="2790" w:type="dxa"/>
            <w:tcBorders>
              <w:bottom w:val="single" w:sz="4" w:space="0" w:color="auto"/>
            </w:tcBorders>
            <w:shd w:val="clear" w:color="auto" w:fill="386294"/>
            <w:vAlign w:val="center"/>
          </w:tcPr>
          <w:p w14:paraId="3AB25576" w14:textId="77777777" w:rsidR="00757A02" w:rsidRPr="00D85CEC" w:rsidRDefault="00757A02" w:rsidP="00D85CEC">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proofErr w:type="spellStart"/>
            <w:r w:rsidRPr="00D85CEC">
              <w:rPr>
                <w:rFonts w:ascii="Cambria" w:hAnsi="Cambria"/>
                <w:bCs/>
                <w:i/>
                <w:color w:val="FFFFFF"/>
                <w:sz w:val="19"/>
                <w:szCs w:val="19"/>
                <w:lang w:val="es-ES"/>
              </w:rPr>
              <w:t>Ratione</w:t>
            </w:r>
            <w:proofErr w:type="spellEnd"/>
            <w:r w:rsidRPr="00D85CEC">
              <w:rPr>
                <w:rFonts w:ascii="Cambria" w:hAnsi="Cambria"/>
                <w:bCs/>
                <w:i/>
                <w:color w:val="FFFFFF"/>
                <w:sz w:val="19"/>
                <w:szCs w:val="19"/>
                <w:lang w:val="es-ES"/>
              </w:rPr>
              <w:t xml:space="preserve"> </w:t>
            </w:r>
            <w:proofErr w:type="spellStart"/>
            <w:r w:rsidRPr="00D85CEC">
              <w:rPr>
                <w:rFonts w:ascii="Cambria" w:hAnsi="Cambria"/>
                <w:bCs/>
                <w:i/>
                <w:color w:val="FFFFFF"/>
                <w:sz w:val="19"/>
                <w:szCs w:val="19"/>
                <w:lang w:val="es-ES"/>
              </w:rPr>
              <w:t>materiae</w:t>
            </w:r>
            <w:proofErr w:type="spellEnd"/>
          </w:p>
        </w:tc>
        <w:tc>
          <w:tcPr>
            <w:tcW w:w="6570" w:type="dxa"/>
            <w:tcBorders>
              <w:bottom w:val="single" w:sz="4" w:space="0" w:color="auto"/>
            </w:tcBorders>
            <w:vAlign w:val="center"/>
          </w:tcPr>
          <w:p w14:paraId="66857219" w14:textId="77777777" w:rsidR="00757A02" w:rsidRPr="00D85CEC" w:rsidRDefault="00757A02" w:rsidP="00D85CEC">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D85CEC">
              <w:rPr>
                <w:rFonts w:ascii="Cambria" w:hAnsi="Cambria"/>
                <w:bCs/>
                <w:sz w:val="20"/>
                <w:szCs w:val="20"/>
                <w:lang w:val="es-ES"/>
              </w:rPr>
              <w:t>Sí, Convención Americana (depósito del instrumento realizado el</w:t>
            </w:r>
          </w:p>
          <w:p w14:paraId="287707F1" w14:textId="77777777" w:rsidR="00757A02" w:rsidRPr="00D85CEC" w:rsidRDefault="00757A02" w:rsidP="00D85CEC">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D85CEC">
              <w:rPr>
                <w:rFonts w:ascii="Cambria" w:hAnsi="Cambria"/>
                <w:bCs/>
                <w:sz w:val="20"/>
                <w:szCs w:val="20"/>
                <w:lang w:val="es-ES"/>
              </w:rPr>
              <w:t>31 de julio de 1973)</w:t>
            </w:r>
          </w:p>
        </w:tc>
      </w:tr>
    </w:tbl>
    <w:p w14:paraId="1EEFCAD9" w14:textId="77777777" w:rsidR="00757A02" w:rsidRPr="00006B74" w:rsidRDefault="00757A02" w:rsidP="007C402A">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20"/>
          <w:szCs w:val="20"/>
          <w:lang w:val="es-ES"/>
        </w:rPr>
      </w:pPr>
      <w:r w:rsidRPr="00006B74">
        <w:rPr>
          <w:rFonts w:ascii="Cambria" w:hAnsi="Cambria"/>
          <w:b/>
          <w:bCs/>
          <w:sz w:val="20"/>
          <w:szCs w:val="20"/>
          <w:lang w:val="es-ES"/>
        </w:rPr>
        <w:t xml:space="preserve">IV. </w:t>
      </w:r>
      <w:r w:rsidRPr="00006B74">
        <w:rPr>
          <w:rFonts w:ascii="Cambria" w:hAnsi="Cambria"/>
          <w:b/>
          <w:bCs/>
          <w:sz w:val="20"/>
          <w:szCs w:val="20"/>
          <w:lang w:val="es-ES"/>
        </w:rPr>
        <w:tab/>
        <w:t>DUPLICACIÓN</w:t>
      </w:r>
      <w:r w:rsidRPr="00006B74">
        <w:rPr>
          <w:rFonts w:ascii="Cambria" w:hAnsi="Cambria"/>
          <w:b/>
          <w:bCs/>
          <w:color w:val="FFFFFF"/>
          <w:sz w:val="20"/>
          <w:szCs w:val="20"/>
          <w:lang w:val="es-ES"/>
        </w:rPr>
        <w:t xml:space="preserve"> </w:t>
      </w:r>
      <w:r w:rsidRPr="00006B74">
        <w:rPr>
          <w:rFonts w:ascii="Cambria" w:hAnsi="Cambria"/>
          <w:b/>
          <w:bCs/>
          <w:sz w:val="20"/>
          <w:szCs w:val="20"/>
          <w:lang w:val="es-ES"/>
        </w:rPr>
        <w:t>DE PROCEDIMIENTOS Y COSA JUZGADA</w:t>
      </w:r>
      <w:r w:rsidRPr="00006B74">
        <w:rPr>
          <w:rFonts w:ascii="Cambria" w:hAnsi="Cambria"/>
          <w:b/>
          <w:bCs/>
          <w:i/>
          <w:sz w:val="20"/>
          <w:szCs w:val="20"/>
          <w:lang w:val="es-ES"/>
        </w:rPr>
        <w:t xml:space="preserve"> </w:t>
      </w:r>
      <w:r>
        <w:rPr>
          <w:rFonts w:ascii="Cambria" w:hAnsi="Cambria"/>
          <w:b/>
          <w:bCs/>
          <w:sz w:val="20"/>
          <w:szCs w:val="20"/>
          <w:lang w:val="es-ES"/>
        </w:rPr>
        <w:t>INTERNACIONAL</w:t>
      </w:r>
      <w:r w:rsidRPr="00006B74">
        <w:rPr>
          <w:rFonts w:ascii="Cambria" w:hAnsi="Cambria"/>
          <w:b/>
          <w:bCs/>
          <w:sz w:val="20"/>
          <w:szCs w:val="20"/>
          <w:lang w:val="es-ES"/>
        </w:rPr>
        <w:t xml:space="preserve">  CARACTERIZACIÓN, </w:t>
      </w:r>
      <w:r w:rsidRPr="00006B74">
        <w:rPr>
          <w:rFonts w:ascii="Cambria" w:hAnsi="Cambria"/>
          <w:b/>
          <w:sz w:val="20"/>
          <w:szCs w:val="20"/>
          <w:lang w:val="es-ES"/>
        </w:rPr>
        <w:t>AGOTAMIENTO DE LOS RECURSOS INTERNOS Y PLAZO DE PRESENTACIÓN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64"/>
        <w:gridCol w:w="6478"/>
      </w:tblGrid>
      <w:tr w:rsidR="00757A02" w:rsidRPr="003207C9" w14:paraId="14DA7C60" w14:textId="77777777" w:rsidTr="00D85CEC">
        <w:trPr>
          <w:cantSplit/>
        </w:trPr>
        <w:tc>
          <w:tcPr>
            <w:tcW w:w="2790" w:type="dxa"/>
            <w:tcBorders>
              <w:top w:val="single" w:sz="4" w:space="0" w:color="auto"/>
            </w:tcBorders>
            <w:shd w:val="clear" w:color="auto" w:fill="386294"/>
            <w:vAlign w:val="center"/>
          </w:tcPr>
          <w:p w14:paraId="7045A7CB" w14:textId="77777777" w:rsidR="00757A02" w:rsidRPr="00D85CEC" w:rsidRDefault="00757A02" w:rsidP="00D85CEC">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D85CEC">
              <w:rPr>
                <w:rFonts w:ascii="Cambria" w:hAnsi="Cambria"/>
                <w:bCs/>
                <w:color w:val="FFFFFF"/>
                <w:sz w:val="19"/>
                <w:szCs w:val="19"/>
                <w:lang w:val="es-ES"/>
              </w:rPr>
              <w:t>Duplicación y cosa juzgada internacional</w:t>
            </w:r>
          </w:p>
        </w:tc>
        <w:tc>
          <w:tcPr>
            <w:tcW w:w="6570" w:type="dxa"/>
            <w:tcBorders>
              <w:top w:val="single" w:sz="4" w:space="0" w:color="auto"/>
            </w:tcBorders>
            <w:vAlign w:val="center"/>
          </w:tcPr>
          <w:p w14:paraId="3B430318" w14:textId="77777777" w:rsidR="00757A02" w:rsidRPr="00D85CEC" w:rsidRDefault="00757A02" w:rsidP="00D85CEC">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D85CEC">
              <w:rPr>
                <w:rFonts w:ascii="Cambria" w:hAnsi="Cambria"/>
                <w:bCs/>
                <w:sz w:val="19"/>
                <w:szCs w:val="19"/>
                <w:lang w:val="es-ES"/>
              </w:rPr>
              <w:t>No</w:t>
            </w:r>
          </w:p>
        </w:tc>
      </w:tr>
      <w:tr w:rsidR="00757A02" w:rsidRPr="00211EC5" w14:paraId="4A4F7FB5" w14:textId="77777777" w:rsidTr="00D85CEC">
        <w:trPr>
          <w:cantSplit/>
        </w:trPr>
        <w:tc>
          <w:tcPr>
            <w:tcW w:w="2790" w:type="dxa"/>
            <w:tcBorders>
              <w:top w:val="single" w:sz="4" w:space="0" w:color="auto"/>
            </w:tcBorders>
            <w:shd w:val="clear" w:color="auto" w:fill="386294"/>
            <w:vAlign w:val="center"/>
          </w:tcPr>
          <w:p w14:paraId="1CE21B63" w14:textId="77777777" w:rsidR="00757A02" w:rsidRPr="00D85CEC" w:rsidRDefault="00757A02" w:rsidP="00D85CEC">
            <w:pPr>
              <w:pBdr>
                <w:top w:val="none" w:sz="0" w:space="0" w:color="auto"/>
                <w:left w:val="none" w:sz="0" w:space="0" w:color="auto"/>
                <w:bottom w:val="none" w:sz="0" w:space="0" w:color="auto"/>
                <w:right w:val="none" w:sz="0" w:space="0" w:color="auto"/>
                <w:bar w:val="none" w:sz="0" w:color="auto"/>
              </w:pBdr>
              <w:jc w:val="center"/>
              <w:rPr>
                <w:rFonts w:ascii="Cambria" w:hAnsi="Cambria"/>
                <w:bCs/>
                <w:i/>
                <w:color w:val="FFFFFF"/>
                <w:sz w:val="19"/>
                <w:szCs w:val="19"/>
                <w:lang w:val="es-ES"/>
              </w:rPr>
            </w:pPr>
            <w:r w:rsidRPr="00D85CEC">
              <w:rPr>
                <w:rFonts w:ascii="Cambria" w:hAnsi="Cambria"/>
                <w:bCs/>
                <w:color w:val="FFFFFF"/>
                <w:sz w:val="19"/>
                <w:szCs w:val="19"/>
                <w:lang w:val="es-ES"/>
              </w:rPr>
              <w:t>Derechos admitidos</w:t>
            </w:r>
          </w:p>
        </w:tc>
        <w:tc>
          <w:tcPr>
            <w:tcW w:w="6570" w:type="dxa"/>
            <w:vAlign w:val="center"/>
          </w:tcPr>
          <w:p w14:paraId="29415465" w14:textId="77777777" w:rsidR="00757A02" w:rsidRPr="00D85CEC" w:rsidRDefault="00757A02" w:rsidP="00D85CEC">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D85CEC">
              <w:rPr>
                <w:rFonts w:ascii="Cambria" w:hAnsi="Cambria"/>
                <w:bCs/>
                <w:sz w:val="19"/>
                <w:szCs w:val="19"/>
                <w:lang w:val="es-ES"/>
              </w:rPr>
              <w:t xml:space="preserve">Artículos 4 (vida), 5 (integridad personal), 8 (garantías judiciales), 17 (protección a la familia), 24 (igualdad ante la ley) y 25 (protección judicial) de la Convención Americana en relación con su artículo 1.1 (obligación de respetar los derechos), </w:t>
            </w:r>
          </w:p>
        </w:tc>
      </w:tr>
      <w:tr w:rsidR="00757A02" w:rsidRPr="00211EC5" w14:paraId="11F58C07" w14:textId="77777777" w:rsidTr="00D85CEC">
        <w:trPr>
          <w:cantSplit/>
        </w:trPr>
        <w:tc>
          <w:tcPr>
            <w:tcW w:w="2790" w:type="dxa"/>
            <w:shd w:val="clear" w:color="auto" w:fill="386294"/>
            <w:vAlign w:val="center"/>
          </w:tcPr>
          <w:p w14:paraId="66E31480" w14:textId="77777777" w:rsidR="00757A02" w:rsidRPr="00D85CEC" w:rsidRDefault="00757A02" w:rsidP="00D85CEC">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D85CEC">
              <w:rPr>
                <w:rFonts w:ascii="Cambria" w:hAnsi="Cambria"/>
                <w:bCs/>
                <w:color w:val="FFFFFF"/>
                <w:sz w:val="19"/>
                <w:szCs w:val="19"/>
                <w:lang w:val="es-ES"/>
              </w:rPr>
              <w:t>Agotamiento de recursos o procedencia de una excepción</w:t>
            </w:r>
          </w:p>
        </w:tc>
        <w:tc>
          <w:tcPr>
            <w:tcW w:w="6570" w:type="dxa"/>
            <w:vAlign w:val="center"/>
          </w:tcPr>
          <w:p w14:paraId="309652DC" w14:textId="77777777" w:rsidR="00757A02" w:rsidRPr="00D85CEC" w:rsidRDefault="00757A02" w:rsidP="00AF6123">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D85CEC">
              <w:rPr>
                <w:rFonts w:ascii="Cambria" w:hAnsi="Cambria"/>
                <w:bCs/>
                <w:sz w:val="19"/>
                <w:szCs w:val="19"/>
                <w:lang w:val="es-ES"/>
              </w:rPr>
              <w:t>Sí, en los términos de la Sección VI</w:t>
            </w:r>
          </w:p>
        </w:tc>
      </w:tr>
      <w:tr w:rsidR="00757A02" w:rsidRPr="00211EC5" w14:paraId="62C8D3D3" w14:textId="77777777" w:rsidTr="00D85CEC">
        <w:trPr>
          <w:cantSplit/>
        </w:trPr>
        <w:tc>
          <w:tcPr>
            <w:tcW w:w="2790" w:type="dxa"/>
            <w:tcBorders>
              <w:bottom w:val="single" w:sz="4" w:space="0" w:color="auto"/>
            </w:tcBorders>
            <w:shd w:val="clear" w:color="auto" w:fill="386294"/>
            <w:vAlign w:val="center"/>
          </w:tcPr>
          <w:p w14:paraId="1409B4AC" w14:textId="77777777" w:rsidR="00757A02" w:rsidRPr="00D85CEC" w:rsidRDefault="00757A02" w:rsidP="00D85CEC">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D85CEC">
              <w:rPr>
                <w:rFonts w:ascii="Cambria" w:hAnsi="Cambria"/>
                <w:bCs/>
                <w:color w:val="FFFFFF"/>
                <w:sz w:val="19"/>
                <w:szCs w:val="19"/>
                <w:lang w:val="es-ES"/>
              </w:rPr>
              <w:t>Presentación dentro de plazo</w:t>
            </w:r>
          </w:p>
        </w:tc>
        <w:tc>
          <w:tcPr>
            <w:tcW w:w="6570" w:type="dxa"/>
            <w:tcBorders>
              <w:bottom w:val="single" w:sz="4" w:space="0" w:color="auto"/>
            </w:tcBorders>
            <w:vAlign w:val="center"/>
          </w:tcPr>
          <w:p w14:paraId="5364F2F0" w14:textId="77777777" w:rsidR="00757A02" w:rsidRPr="00D85CEC" w:rsidRDefault="00757A02" w:rsidP="00AF6123">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D85CEC">
              <w:rPr>
                <w:rFonts w:ascii="Cambria" w:hAnsi="Cambria"/>
                <w:bCs/>
                <w:sz w:val="19"/>
                <w:szCs w:val="19"/>
                <w:lang w:val="es-ES"/>
              </w:rPr>
              <w:t>Sí, en los términos de la Sección VI</w:t>
            </w:r>
          </w:p>
        </w:tc>
      </w:tr>
    </w:tbl>
    <w:p w14:paraId="4D734268" w14:textId="77777777" w:rsidR="00757A02" w:rsidRPr="00006B74" w:rsidRDefault="00757A02" w:rsidP="005565AF">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sz w:val="20"/>
          <w:szCs w:val="20"/>
          <w:lang w:val="es-ES"/>
        </w:rPr>
      </w:pPr>
      <w:r w:rsidRPr="00006B74">
        <w:rPr>
          <w:rFonts w:ascii="Cambria" w:hAnsi="Cambria"/>
          <w:b/>
          <w:sz w:val="20"/>
          <w:szCs w:val="20"/>
          <w:lang w:val="es-ES"/>
        </w:rPr>
        <w:t xml:space="preserve">V. </w:t>
      </w:r>
      <w:r w:rsidRPr="00006B74">
        <w:rPr>
          <w:rFonts w:ascii="Cambria" w:hAnsi="Cambria"/>
          <w:b/>
          <w:sz w:val="20"/>
          <w:szCs w:val="20"/>
          <w:lang w:val="es-ES"/>
        </w:rPr>
        <w:tab/>
        <w:t>RESUMEN DE LOS HECHOS ALEGADOS</w:t>
      </w:r>
    </w:p>
    <w:p w14:paraId="59C77A2E" w14:textId="4CB6C1A1" w:rsidR="00757A02" w:rsidRPr="000B08BC" w:rsidRDefault="00757A02" w:rsidP="00CE1BE0">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b/>
          <w:bCs/>
          <w:sz w:val="20"/>
          <w:szCs w:val="20"/>
          <w:lang w:val="es-ES"/>
        </w:rPr>
      </w:pPr>
      <w:r>
        <w:rPr>
          <w:rFonts w:ascii="Cambria" w:hAnsi="Cambria"/>
          <w:sz w:val="20"/>
          <w:szCs w:val="20"/>
          <w:lang w:val="es-ES"/>
        </w:rPr>
        <w:t xml:space="preserve">Miguel Piñeros Rey (en adelante “el peticionario”) denuncia presuntas violaciones a los derechos humanos de Javier Muñoz Valdés, Pablo José Cuy Fonseca, Benjamín Rubio, </w:t>
      </w:r>
      <w:proofErr w:type="spellStart"/>
      <w:r>
        <w:rPr>
          <w:rFonts w:ascii="Cambria" w:hAnsi="Cambria"/>
          <w:sz w:val="20"/>
          <w:szCs w:val="20"/>
          <w:lang w:val="es-ES"/>
        </w:rPr>
        <w:t>Cleiser</w:t>
      </w:r>
      <w:proofErr w:type="spellEnd"/>
      <w:r>
        <w:rPr>
          <w:rFonts w:ascii="Cambria" w:hAnsi="Cambria"/>
          <w:sz w:val="20"/>
          <w:szCs w:val="20"/>
          <w:lang w:val="es-ES"/>
        </w:rPr>
        <w:t xml:space="preserve"> Palacios </w:t>
      </w:r>
      <w:proofErr w:type="spellStart"/>
      <w:r>
        <w:rPr>
          <w:rFonts w:ascii="Cambria" w:hAnsi="Cambria"/>
          <w:sz w:val="20"/>
          <w:szCs w:val="20"/>
          <w:lang w:val="es-ES"/>
        </w:rPr>
        <w:t>Palacios</w:t>
      </w:r>
      <w:proofErr w:type="spellEnd"/>
      <w:r>
        <w:rPr>
          <w:rFonts w:ascii="Cambria" w:hAnsi="Cambria"/>
          <w:sz w:val="20"/>
          <w:szCs w:val="20"/>
          <w:lang w:val="es-ES"/>
        </w:rPr>
        <w:t xml:space="preserve"> y </w:t>
      </w:r>
      <w:proofErr w:type="spellStart"/>
      <w:r>
        <w:rPr>
          <w:rFonts w:ascii="Cambria" w:hAnsi="Cambria"/>
          <w:sz w:val="20"/>
          <w:szCs w:val="20"/>
          <w:lang w:val="es-ES"/>
        </w:rPr>
        <w:t>Jhon</w:t>
      </w:r>
      <w:proofErr w:type="spellEnd"/>
      <w:r>
        <w:rPr>
          <w:rFonts w:ascii="Cambria" w:hAnsi="Cambria"/>
          <w:sz w:val="20"/>
          <w:szCs w:val="20"/>
          <w:lang w:val="es-ES"/>
        </w:rPr>
        <w:t xml:space="preserve"> Fredy Orrego Carmona quienes fueron integrantes del Ejército Nacional Colombiano (en adelante “los 5 militares”</w:t>
      </w:r>
      <w:r w:rsidR="004A3B67">
        <w:rPr>
          <w:rFonts w:ascii="Cambria" w:hAnsi="Cambria"/>
          <w:sz w:val="20"/>
          <w:szCs w:val="20"/>
          <w:lang w:val="es-ES"/>
        </w:rPr>
        <w:t xml:space="preserve"> o ¨presuntas víctimas¨</w:t>
      </w:r>
      <w:r>
        <w:rPr>
          <w:rFonts w:ascii="Cambria" w:hAnsi="Cambria"/>
          <w:sz w:val="20"/>
          <w:szCs w:val="20"/>
          <w:lang w:val="es-ES"/>
        </w:rPr>
        <w:t xml:space="preserve">), así como a los derechos humanos de sus familiares. Indica que los </w:t>
      </w:r>
      <w:r w:rsidR="004A3B67">
        <w:rPr>
          <w:rFonts w:ascii="Cambria" w:hAnsi="Cambria"/>
          <w:sz w:val="20"/>
          <w:szCs w:val="20"/>
          <w:lang w:val="es-ES"/>
        </w:rPr>
        <w:t>cinco</w:t>
      </w:r>
      <w:r>
        <w:rPr>
          <w:rFonts w:ascii="Cambria" w:hAnsi="Cambria"/>
          <w:sz w:val="20"/>
          <w:szCs w:val="20"/>
          <w:lang w:val="es-ES"/>
        </w:rPr>
        <w:t xml:space="preserve"> militares fallecieron en la explosión de una “casa bomba” preparada por un grupo armado ilegal y alega que esto fue una consecuencia de la negligencia y falta de cuidado de sus superiores. Sostiene que el Estado no ha cumplido con brindar reparación integral a las personas familiares de los </w:t>
      </w:r>
      <w:r w:rsidR="004A3B67">
        <w:rPr>
          <w:rFonts w:ascii="Cambria" w:hAnsi="Cambria"/>
          <w:sz w:val="20"/>
          <w:szCs w:val="20"/>
          <w:lang w:val="es-ES"/>
        </w:rPr>
        <w:t>cinco</w:t>
      </w:r>
      <w:r>
        <w:rPr>
          <w:rFonts w:ascii="Cambria" w:hAnsi="Cambria"/>
          <w:sz w:val="20"/>
          <w:szCs w:val="20"/>
          <w:lang w:val="es-ES"/>
        </w:rPr>
        <w:t xml:space="preserve"> militares pues no les ha </w:t>
      </w:r>
      <w:r>
        <w:rPr>
          <w:rFonts w:ascii="Cambria" w:hAnsi="Cambria"/>
          <w:sz w:val="20"/>
          <w:szCs w:val="20"/>
          <w:lang w:val="es-ES"/>
        </w:rPr>
        <w:lastRenderedPageBreak/>
        <w:t>indemnizado ni cumplido con identificar y sancionar a todas las personas responsables por sus muertes. También denuncia que el Estado no ha cumplido con m</w:t>
      </w:r>
      <w:r w:rsidR="0029184A">
        <w:rPr>
          <w:rFonts w:ascii="Cambria" w:hAnsi="Cambria"/>
          <w:sz w:val="20"/>
          <w:szCs w:val="20"/>
          <w:lang w:val="es-ES"/>
        </w:rPr>
        <w:t>antener a las fam</w:t>
      </w:r>
      <w:r w:rsidR="00A26011">
        <w:rPr>
          <w:rFonts w:ascii="Cambria" w:hAnsi="Cambria"/>
          <w:sz w:val="20"/>
          <w:szCs w:val="20"/>
          <w:lang w:val="es-ES"/>
        </w:rPr>
        <w:t xml:space="preserve">ilias de </w:t>
      </w:r>
      <w:r w:rsidR="004A3B67">
        <w:rPr>
          <w:rFonts w:ascii="Cambria" w:hAnsi="Cambria"/>
          <w:sz w:val="20"/>
          <w:szCs w:val="20"/>
          <w:lang w:val="es-ES"/>
        </w:rPr>
        <w:t>las presuntas víctimas</w:t>
      </w:r>
      <w:r w:rsidR="00A26011">
        <w:rPr>
          <w:rFonts w:ascii="Cambria" w:hAnsi="Cambria"/>
          <w:sz w:val="20"/>
          <w:szCs w:val="20"/>
          <w:lang w:val="es-ES"/>
        </w:rPr>
        <w:t xml:space="preserve"> </w:t>
      </w:r>
      <w:r>
        <w:rPr>
          <w:rFonts w:ascii="Cambria" w:hAnsi="Cambria"/>
          <w:sz w:val="20"/>
          <w:szCs w:val="20"/>
          <w:lang w:val="es-ES"/>
        </w:rPr>
        <w:t xml:space="preserve">informadas durante el desarrollo de las investigaciones. </w:t>
      </w:r>
    </w:p>
    <w:p w14:paraId="54A70DDA" w14:textId="501800D5" w:rsidR="00757A02" w:rsidRPr="009962F6" w:rsidRDefault="00757A02" w:rsidP="00CE1BE0">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b/>
          <w:bCs/>
          <w:sz w:val="20"/>
          <w:szCs w:val="20"/>
          <w:lang w:val="es-ES"/>
        </w:rPr>
      </w:pPr>
      <w:r>
        <w:rPr>
          <w:rFonts w:ascii="Cambria" w:hAnsi="Cambria"/>
          <w:bCs/>
          <w:sz w:val="20"/>
          <w:szCs w:val="20"/>
          <w:lang w:val="es-ES"/>
        </w:rPr>
        <w:t xml:space="preserve">El peticionario relata </w:t>
      </w:r>
      <w:r w:rsidR="00DD7E10">
        <w:rPr>
          <w:rFonts w:ascii="Cambria" w:hAnsi="Cambria"/>
          <w:bCs/>
          <w:sz w:val="20"/>
          <w:szCs w:val="20"/>
          <w:lang w:val="es-ES"/>
        </w:rPr>
        <w:t>que el 29 de enero de 2002 las presuntas víctimas</w:t>
      </w:r>
      <w:r>
        <w:rPr>
          <w:rFonts w:ascii="Cambria" w:hAnsi="Cambria"/>
          <w:bCs/>
          <w:sz w:val="20"/>
          <w:szCs w:val="20"/>
          <w:lang w:val="es-ES"/>
        </w:rPr>
        <w:t xml:space="preserve"> se encontraban desempeñando sus funciones para el Ejército Nacional Colombiano habiéndoseles ordenado formar parte de la operación conocida como “Corcel Negro”, la cual tenía como fin hacer patrullaje, seguimiento y desplazamiento táctico hacia el sector rural de la vereda “la Cumbre”. Explica que en esta área persiguieron y tuvi</w:t>
      </w:r>
      <w:r w:rsidR="0029184A">
        <w:rPr>
          <w:rFonts w:ascii="Cambria" w:hAnsi="Cambria"/>
          <w:bCs/>
          <w:sz w:val="20"/>
          <w:szCs w:val="20"/>
          <w:lang w:val="es-ES"/>
        </w:rPr>
        <w:t xml:space="preserve">eron contacto con guerrilleros </w:t>
      </w:r>
      <w:r>
        <w:rPr>
          <w:rFonts w:ascii="Cambria" w:hAnsi="Cambria"/>
          <w:bCs/>
          <w:sz w:val="20"/>
          <w:szCs w:val="20"/>
          <w:lang w:val="es-ES"/>
        </w:rPr>
        <w:t>del frente 26 del grupo armado ilegal Fuerzas Armadas de Revolu</w:t>
      </w:r>
      <w:r w:rsidR="00A26011">
        <w:rPr>
          <w:rFonts w:ascii="Cambria" w:hAnsi="Cambria"/>
          <w:bCs/>
          <w:sz w:val="20"/>
          <w:szCs w:val="20"/>
          <w:lang w:val="es-ES"/>
        </w:rPr>
        <w:t>ción Colombianas (en adelante “</w:t>
      </w:r>
      <w:r>
        <w:rPr>
          <w:rFonts w:ascii="Cambria" w:hAnsi="Cambria"/>
          <w:bCs/>
          <w:sz w:val="20"/>
          <w:szCs w:val="20"/>
          <w:lang w:val="es-ES"/>
        </w:rPr>
        <w:t xml:space="preserve">las FARC”) y se encontraron con campos minados. Señala que las compañías que desarrollaban la operación Corcel Negro encontraron una casa rural abandonada la que fue rodeada, ocupada o vigilada como parte del desarrollo de la operación militar. Indica que esta resultó ser una “casa bomba” que había sido preparada por los integrantes de las FARC quienes la hicieron detonar causando la muerte a más 30 uniformados incluyendo los </w:t>
      </w:r>
      <w:r w:rsidR="00DD7E10">
        <w:rPr>
          <w:rFonts w:ascii="Cambria" w:hAnsi="Cambria"/>
          <w:bCs/>
          <w:sz w:val="20"/>
          <w:szCs w:val="20"/>
          <w:lang w:val="es-ES"/>
        </w:rPr>
        <w:t>cinco</w:t>
      </w:r>
      <w:r>
        <w:rPr>
          <w:rFonts w:ascii="Cambria" w:hAnsi="Cambria"/>
          <w:bCs/>
          <w:sz w:val="20"/>
          <w:szCs w:val="20"/>
          <w:lang w:val="es-ES"/>
        </w:rPr>
        <w:t xml:space="preserve"> militares a quien hace referencia la petición. </w:t>
      </w:r>
    </w:p>
    <w:p w14:paraId="27CB478D" w14:textId="77777777" w:rsidR="00757A02" w:rsidRPr="006414C3" w:rsidRDefault="00757A02" w:rsidP="00CE1BE0">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b/>
          <w:bCs/>
          <w:sz w:val="20"/>
          <w:szCs w:val="20"/>
          <w:lang w:val="es-ES"/>
        </w:rPr>
      </w:pPr>
      <w:r>
        <w:rPr>
          <w:rFonts w:ascii="Cambria" w:hAnsi="Cambria"/>
          <w:bCs/>
          <w:sz w:val="20"/>
          <w:szCs w:val="20"/>
          <w:lang w:val="es-ES"/>
        </w:rPr>
        <w:t xml:space="preserve">El peticionario sostiene que las autoridades estatales son responsables por la muerte de los 5 militares. Explica que los hechos ocurrieron en el contexto del conflicto armado interno que vivía Colombia en esas fechas y en el Municipio de El Dorado, departamento del Meta, el cual se encontraba localizado muy cerca de la zona de distensión que al momento de los hechos se encontraba vigente entre el gobierno y los insurgentes. Destaca además que ya se habían encontrado explosivos en el área y que el uso de “casas bomba” era una táctica conocida de los grupos ilegales. Por estas razones, sostiene que las autoridades del Ejército incurrieron en negligencia, pues, pese a conocer los riesgos, no adoptaron las medidas de seguridad, prevención, control, táctica e inteligencia que eran necesarias para garantizar la seguridad, desplazamiento, misión y actividades de quienes participaron en la operación Corcel Negro. Resalta que la única razón por la cual los 5 militares se encontraban en el lugar de la explosión era el cumplimiento de sus funciones y que estos no tenían ninguna opción más que ejecutar la misión que les fue asignada. </w:t>
      </w:r>
    </w:p>
    <w:p w14:paraId="3C84C084" w14:textId="688160AF" w:rsidR="00757A02" w:rsidRPr="007D45DE" w:rsidRDefault="00757A02" w:rsidP="00CE1BE0">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b/>
          <w:bCs/>
          <w:sz w:val="20"/>
          <w:szCs w:val="20"/>
          <w:lang w:val="es-ES"/>
        </w:rPr>
      </w:pPr>
      <w:r>
        <w:rPr>
          <w:rFonts w:ascii="Cambria" w:hAnsi="Cambria"/>
          <w:bCs/>
          <w:sz w:val="20"/>
          <w:szCs w:val="20"/>
          <w:lang w:val="es-ES"/>
        </w:rPr>
        <w:t xml:space="preserve">Continúa relatando </w:t>
      </w:r>
      <w:r w:rsidR="00A94F21">
        <w:rPr>
          <w:rFonts w:ascii="Cambria" w:hAnsi="Cambria"/>
          <w:bCs/>
          <w:sz w:val="20"/>
          <w:szCs w:val="20"/>
          <w:lang w:val="es-ES"/>
        </w:rPr>
        <w:t xml:space="preserve">que </w:t>
      </w:r>
      <w:r>
        <w:rPr>
          <w:rFonts w:ascii="Cambria" w:hAnsi="Cambria"/>
          <w:bCs/>
          <w:sz w:val="20"/>
          <w:szCs w:val="20"/>
          <w:lang w:val="es-ES"/>
        </w:rPr>
        <w:t xml:space="preserve">la Fiscalía General de la Nación inició una investigación penal en relación con los hechos que llevaron a la muerte de los </w:t>
      </w:r>
      <w:r w:rsidR="00A94F21">
        <w:rPr>
          <w:rFonts w:ascii="Cambria" w:hAnsi="Cambria"/>
          <w:bCs/>
          <w:sz w:val="20"/>
          <w:szCs w:val="20"/>
          <w:lang w:val="es-ES"/>
        </w:rPr>
        <w:t>cinco</w:t>
      </w:r>
      <w:r>
        <w:rPr>
          <w:rFonts w:ascii="Cambria" w:hAnsi="Cambria"/>
          <w:bCs/>
          <w:sz w:val="20"/>
          <w:szCs w:val="20"/>
          <w:lang w:val="es-ES"/>
        </w:rPr>
        <w:t xml:space="preserve"> militares y sus compañeros, la que resultó en un proceso que fue voluminoso pero en el que no se profundizó en la investigación limitándola a un solo sindicado de bajo rango dentro del grupo subversivo. En su último escrito del 16 de octubre de 2018</w:t>
      </w:r>
      <w:r w:rsidR="00511D09">
        <w:rPr>
          <w:rFonts w:ascii="Cambria" w:hAnsi="Cambria"/>
          <w:bCs/>
          <w:sz w:val="20"/>
          <w:szCs w:val="20"/>
          <w:lang w:val="es-ES"/>
        </w:rPr>
        <w:t xml:space="preserve"> la parte peticionaria indicó</w:t>
      </w:r>
      <w:r>
        <w:rPr>
          <w:rFonts w:ascii="Cambria" w:hAnsi="Cambria"/>
          <w:bCs/>
          <w:sz w:val="20"/>
          <w:szCs w:val="20"/>
          <w:lang w:val="es-ES"/>
        </w:rPr>
        <w:t xml:space="preserve"> que esta investigación no había concluido y manifestó que, aunque se alegue que la investigación es compleja, los 16 años transcurridos desde que ocurrieron los hechos exceden el plazo razonable. También denuncia que el Estado no ha cumplido con informar ni notificar a las familias de los </w:t>
      </w:r>
      <w:r w:rsidR="00511D09">
        <w:rPr>
          <w:rFonts w:ascii="Cambria" w:hAnsi="Cambria"/>
          <w:bCs/>
          <w:sz w:val="20"/>
          <w:szCs w:val="20"/>
          <w:lang w:val="es-ES"/>
        </w:rPr>
        <w:t>cinco</w:t>
      </w:r>
      <w:r>
        <w:rPr>
          <w:rFonts w:ascii="Cambria" w:hAnsi="Cambria"/>
          <w:bCs/>
          <w:sz w:val="20"/>
          <w:szCs w:val="20"/>
          <w:lang w:val="es-ES"/>
        </w:rPr>
        <w:t xml:space="preserve"> militares de los </w:t>
      </w:r>
      <w:r w:rsidR="00511D09">
        <w:rPr>
          <w:rFonts w:ascii="Cambria" w:hAnsi="Cambria"/>
          <w:bCs/>
          <w:sz w:val="20"/>
          <w:szCs w:val="20"/>
          <w:lang w:val="es-ES"/>
        </w:rPr>
        <w:t xml:space="preserve">avances y resultados </w:t>
      </w:r>
      <w:r>
        <w:rPr>
          <w:rFonts w:ascii="Cambria" w:hAnsi="Cambria"/>
          <w:bCs/>
          <w:sz w:val="20"/>
          <w:szCs w:val="20"/>
          <w:lang w:val="es-ES"/>
        </w:rPr>
        <w:t>de la investigación. Explica que en la fecha en que iniciaron las investigaciones las normas de proceso penal no establecían una obligación de info</w:t>
      </w:r>
      <w:r w:rsidR="00511D09">
        <w:rPr>
          <w:rFonts w:ascii="Cambria" w:hAnsi="Cambria"/>
          <w:bCs/>
          <w:sz w:val="20"/>
          <w:szCs w:val="20"/>
          <w:lang w:val="es-ES"/>
        </w:rPr>
        <w:t>rmar a las víctimas excepto si é</w:t>
      </w:r>
      <w:r>
        <w:rPr>
          <w:rFonts w:ascii="Cambria" w:hAnsi="Cambria"/>
          <w:bCs/>
          <w:sz w:val="20"/>
          <w:szCs w:val="20"/>
          <w:lang w:val="es-ES"/>
        </w:rPr>
        <w:t>stas se constituían en parte civil de proceso</w:t>
      </w:r>
      <w:r w:rsidR="00511D09">
        <w:rPr>
          <w:rFonts w:ascii="Cambria" w:hAnsi="Cambria"/>
          <w:bCs/>
          <w:sz w:val="20"/>
          <w:szCs w:val="20"/>
          <w:lang w:val="es-ES"/>
        </w:rPr>
        <w:t>. Sin embargo, alega que a los</w:t>
      </w:r>
      <w:r>
        <w:rPr>
          <w:rFonts w:ascii="Cambria" w:hAnsi="Cambria"/>
          <w:bCs/>
          <w:sz w:val="20"/>
          <w:szCs w:val="20"/>
          <w:lang w:val="es-ES"/>
        </w:rPr>
        <w:t xml:space="preserve"> familiares de los </w:t>
      </w:r>
      <w:r w:rsidR="00511D09">
        <w:rPr>
          <w:rFonts w:ascii="Cambria" w:hAnsi="Cambria"/>
          <w:bCs/>
          <w:sz w:val="20"/>
          <w:szCs w:val="20"/>
          <w:lang w:val="es-ES"/>
        </w:rPr>
        <w:t xml:space="preserve">cinco </w:t>
      </w:r>
      <w:r>
        <w:rPr>
          <w:rFonts w:ascii="Cambria" w:hAnsi="Cambria"/>
          <w:bCs/>
          <w:sz w:val="20"/>
          <w:szCs w:val="20"/>
          <w:lang w:val="es-ES"/>
        </w:rPr>
        <w:t>militares les fue imposible, por temor a perder sus vidas, constituirse en parte civil de un proceso que se adelantaba contra integrantes de un grupo subversivo conocido por ejecutar masacres y asesinatos.  El peticionario también refiere sin dar indicaciones sobre los resultados a una investigación disciplinaria que fue adelantada dentro de la fuerza pública por medio de los mandos del Ejército Nacional.</w:t>
      </w:r>
    </w:p>
    <w:p w14:paraId="4BDA6F0E" w14:textId="1BF3F03D" w:rsidR="00757A02" w:rsidRPr="001277F8" w:rsidRDefault="00757A02" w:rsidP="00CE1BE0">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b/>
          <w:bCs/>
          <w:sz w:val="20"/>
          <w:szCs w:val="20"/>
          <w:lang w:val="es-ES"/>
        </w:rPr>
      </w:pPr>
      <w:r>
        <w:rPr>
          <w:rFonts w:ascii="Cambria" w:hAnsi="Cambria"/>
          <w:bCs/>
          <w:sz w:val="20"/>
          <w:szCs w:val="20"/>
          <w:lang w:val="es-ES"/>
        </w:rPr>
        <w:t xml:space="preserve">También indica que se presentaron dos demandas contencioso administrativas contra autoridades del Estado por razón de la muerte de los </w:t>
      </w:r>
      <w:r w:rsidR="003B5C6B">
        <w:rPr>
          <w:rFonts w:ascii="Cambria" w:hAnsi="Cambria"/>
          <w:bCs/>
          <w:sz w:val="20"/>
          <w:szCs w:val="20"/>
          <w:lang w:val="es-ES"/>
        </w:rPr>
        <w:t>cinco</w:t>
      </w:r>
      <w:r>
        <w:rPr>
          <w:rFonts w:ascii="Cambria" w:hAnsi="Cambria"/>
          <w:bCs/>
          <w:sz w:val="20"/>
          <w:szCs w:val="20"/>
          <w:lang w:val="es-ES"/>
        </w:rPr>
        <w:t xml:space="preserve"> militares. La primera demanda, presentada en relación con la muerte de </w:t>
      </w:r>
      <w:proofErr w:type="spellStart"/>
      <w:r>
        <w:rPr>
          <w:rFonts w:ascii="Cambria" w:hAnsi="Cambria"/>
          <w:sz w:val="20"/>
          <w:szCs w:val="20"/>
          <w:lang w:val="es-ES"/>
        </w:rPr>
        <w:t>Jhon</w:t>
      </w:r>
      <w:proofErr w:type="spellEnd"/>
      <w:r>
        <w:rPr>
          <w:rFonts w:ascii="Cambria" w:hAnsi="Cambria"/>
          <w:sz w:val="20"/>
          <w:szCs w:val="20"/>
          <w:lang w:val="es-ES"/>
        </w:rPr>
        <w:t xml:space="preserve"> Fredy Orrego Carmona, fue decidida en primera instancia el 4 de septiembre de 2008 por el Juzgado Sexto Contencioso Administrativo del Circuito de Villavicencio quien negó las pretensiones.  En su escrito de petición indicó que esta decisión había sido apelada ante el Tribunal Contencioso Administrativo del Meta estando pendiente hasta ese momento la decisión del recurso de apelación. </w:t>
      </w:r>
    </w:p>
    <w:p w14:paraId="15E34388" w14:textId="54CF286B" w:rsidR="00757A02" w:rsidRPr="00977D69" w:rsidRDefault="00757A02" w:rsidP="00CE1BE0">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b/>
          <w:bCs/>
          <w:sz w:val="20"/>
          <w:szCs w:val="20"/>
          <w:lang w:val="es-ES"/>
        </w:rPr>
      </w:pPr>
      <w:r>
        <w:rPr>
          <w:rFonts w:ascii="Cambria" w:hAnsi="Cambria"/>
          <w:sz w:val="20"/>
          <w:szCs w:val="20"/>
          <w:lang w:val="es-ES"/>
        </w:rPr>
        <w:t>En cuanto a la segunda demanda, interpuesta en relació</w:t>
      </w:r>
      <w:r w:rsidR="006E4516">
        <w:rPr>
          <w:rFonts w:ascii="Cambria" w:hAnsi="Cambria"/>
          <w:sz w:val="20"/>
          <w:szCs w:val="20"/>
          <w:lang w:val="es-ES"/>
        </w:rPr>
        <w:t>n con las muertes de los otros cuatro</w:t>
      </w:r>
      <w:r>
        <w:rPr>
          <w:rFonts w:ascii="Cambria" w:hAnsi="Cambria"/>
          <w:sz w:val="20"/>
          <w:szCs w:val="20"/>
          <w:lang w:val="es-ES"/>
        </w:rPr>
        <w:t xml:space="preserve"> militares, señala que esta fue decidida en primera instancia el 29 de julio de 2008 por el Tribunal Contencioso Administrativo del Meta quien negó las suplicas planteadas en la </w:t>
      </w:r>
      <w:r w:rsidR="00A26011">
        <w:rPr>
          <w:rFonts w:ascii="Cambria" w:hAnsi="Cambria"/>
          <w:sz w:val="20"/>
          <w:szCs w:val="20"/>
          <w:lang w:val="es-ES"/>
        </w:rPr>
        <w:t>demanda</w:t>
      </w:r>
      <w:r>
        <w:rPr>
          <w:rFonts w:ascii="Cambria" w:hAnsi="Cambria"/>
          <w:sz w:val="20"/>
          <w:szCs w:val="20"/>
          <w:lang w:val="es-ES"/>
        </w:rPr>
        <w:t>. Indica que esta decisión fue apelada resultando en el que el Consejo de Estado emitiera una sentencia favorable a la parte dema</w:t>
      </w:r>
      <w:r w:rsidR="00A26011">
        <w:rPr>
          <w:rFonts w:ascii="Cambria" w:hAnsi="Cambria"/>
          <w:sz w:val="20"/>
          <w:szCs w:val="20"/>
          <w:lang w:val="es-ES"/>
        </w:rPr>
        <w:t>ndante en enero de 2017. En su ú</w:t>
      </w:r>
      <w:r>
        <w:rPr>
          <w:rFonts w:ascii="Cambria" w:hAnsi="Cambria"/>
          <w:sz w:val="20"/>
          <w:szCs w:val="20"/>
          <w:lang w:val="es-ES"/>
        </w:rPr>
        <w:t>ltimo escrito de 16 de octubre de 2018 denunció que el Estado no había todavía cancelado los pagos ordenados en la sentencia del Consejo de Estado, pese a haberse excedido el término de 18 meses previstos en la ley para el cumplimiento de los pagos. También alega que la sentencia favorable, aún si se cumpliese, no representaría reparación integ</w:t>
      </w:r>
      <w:r w:rsidR="005603CE">
        <w:rPr>
          <w:rFonts w:ascii="Cambria" w:hAnsi="Cambria"/>
          <w:sz w:val="20"/>
          <w:szCs w:val="20"/>
          <w:lang w:val="es-ES"/>
        </w:rPr>
        <w:t>ral para las familias de estas cuatro</w:t>
      </w:r>
      <w:r>
        <w:rPr>
          <w:rFonts w:ascii="Cambria" w:hAnsi="Cambria"/>
          <w:sz w:val="20"/>
          <w:szCs w:val="20"/>
          <w:lang w:val="es-ES"/>
        </w:rPr>
        <w:t xml:space="preserve"> presuntas víctimas. Destaca </w:t>
      </w:r>
      <w:r>
        <w:rPr>
          <w:rFonts w:ascii="Cambria" w:hAnsi="Cambria"/>
          <w:sz w:val="20"/>
          <w:szCs w:val="20"/>
          <w:lang w:val="es-ES"/>
        </w:rPr>
        <w:lastRenderedPageBreak/>
        <w:t xml:space="preserve">que conforme a la jurisprudencia del Sistema Interamericano el concepto de reparación integral exige medidas de rehabilitación y satisfacción, garantías de no repetición y la obligación de investigar los hechos y determinar a los responsables. Manifiesta que su intención no es solicitar a la Comisión la revisión, aclaración o estudio de las sentencias de la justicia Contencioso Administrativa sino reclamar indemnización integral para todas las presuntas víctimas con fundamento en principios de Derechos Humanos. </w:t>
      </w:r>
    </w:p>
    <w:p w14:paraId="4AA26AE8" w14:textId="77777777" w:rsidR="00757A02" w:rsidRPr="00777E84" w:rsidRDefault="00757A02" w:rsidP="00CE1BE0">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b/>
          <w:bCs/>
          <w:sz w:val="20"/>
          <w:szCs w:val="20"/>
          <w:lang w:val="es-ES"/>
        </w:rPr>
      </w:pPr>
      <w:r>
        <w:rPr>
          <w:rFonts w:ascii="Cambria" w:hAnsi="Cambria"/>
          <w:sz w:val="20"/>
          <w:szCs w:val="20"/>
          <w:lang w:val="es-ES"/>
        </w:rPr>
        <w:t xml:space="preserve">El Estado, por su parte, considera que la petición debe ser inadmitida porque las presuntas víctimas no han agotado los recursos adecuados y efectivos en materia penal, porque el peticionario pretende improcedentemente que la Comisión actúe como cuarta instancia con respecto a las decisiones de la jurisdicción contencioso administrativa, y porque el peticionario invoca disposiciones de la Declaración Americana cuando el régimen jurídico aplicable a Colombia es solo el de la Convención Americana. </w:t>
      </w:r>
    </w:p>
    <w:p w14:paraId="53EC3074" w14:textId="26544143" w:rsidR="00757A02" w:rsidRPr="00727001" w:rsidRDefault="00757A02" w:rsidP="00CE1BE0">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b/>
          <w:bCs/>
          <w:sz w:val="20"/>
          <w:szCs w:val="20"/>
          <w:lang w:val="es-ES"/>
        </w:rPr>
      </w:pPr>
      <w:r>
        <w:rPr>
          <w:rFonts w:ascii="Cambria" w:hAnsi="Cambria"/>
          <w:sz w:val="20"/>
          <w:szCs w:val="20"/>
          <w:lang w:val="es-ES"/>
        </w:rPr>
        <w:t>En cuanto al proceso penal, indica que las investigaciones se han adelantado de manera diligente desde sus inicios y que el objetivo de las autoridades ha sido siempre el de esclarecer la verdad, agotando todas las líneas de investigación, respecto al actuar complejo de las estructuras criminales involucradas; en la medida que en que la complejidad de los hechos, el paso del tiempo y el escaso material probatorio existente lo permitían. En su escrito de 1 de mayo de 2018 indicó que la investigación se encontraba en etapa de instrucción habiéndose ordenado el cierre de la inve</w:t>
      </w:r>
      <w:r w:rsidR="005E484A">
        <w:rPr>
          <w:rFonts w:ascii="Cambria" w:hAnsi="Cambria"/>
          <w:sz w:val="20"/>
          <w:szCs w:val="20"/>
          <w:lang w:val="es-ES"/>
        </w:rPr>
        <w:t>stigación el 3 de marzo de 2015. Explica</w:t>
      </w:r>
      <w:r>
        <w:rPr>
          <w:rFonts w:ascii="Cambria" w:hAnsi="Cambria"/>
          <w:sz w:val="20"/>
          <w:szCs w:val="20"/>
          <w:lang w:val="es-ES"/>
        </w:rPr>
        <w:t xml:space="preserve"> que esta decisión de cierre no ha quedado ejecutoriada y no se ha podido proceder a la calificación del mérito del sumario por razón de que no se ha podido verificar la notificación de la decisión a una de las personas implicadas que fue extraditada a Estados Unidos. Destaca además que el 31 de diciembre de 2004 el Juzgado Primero Penal del Circuito Especializado de Descongestión de Villavicencio emitió condena contra un ex integrante de la FARC experto en explosivos quien (según se demostró en el proceso) fue la persona que armó el explosivo que quitó la vida a los </w:t>
      </w:r>
      <w:r w:rsidR="00673252">
        <w:rPr>
          <w:rFonts w:ascii="Cambria" w:hAnsi="Cambria"/>
          <w:sz w:val="20"/>
          <w:szCs w:val="20"/>
          <w:lang w:val="es-ES"/>
        </w:rPr>
        <w:t>cinco</w:t>
      </w:r>
      <w:r>
        <w:rPr>
          <w:rFonts w:ascii="Cambria" w:hAnsi="Cambria"/>
          <w:sz w:val="20"/>
          <w:szCs w:val="20"/>
          <w:lang w:val="es-ES"/>
        </w:rPr>
        <w:t xml:space="preserve"> militares y sus compañeros. Señala que la decisión que condenó a esta persona fue confirmada en segunda instancia el 2 de noviembre de 2006, quedando así en firme la condena contra esta persona por los delitos de homicidio con fines terrorista, lesiones personales y rebelión y con pena de 480 meses de prisión, multa de 141,15 salarios mínimos mensuales y pago de indemnización de 500 salarios mínimos mensuales a cada uno de los sucesores de los militares muertos. Sostiene que de esta forma queda evidenciada la diligencia del Estado y que dada esta diligencia y la complejidad del caso no se puede considerar que las investigaciones han excedido el plazo razonable. También destaca que las personas familiares de los </w:t>
      </w:r>
      <w:r w:rsidR="00673252">
        <w:rPr>
          <w:rFonts w:ascii="Cambria" w:hAnsi="Cambria"/>
          <w:sz w:val="20"/>
          <w:szCs w:val="20"/>
          <w:lang w:val="es-ES"/>
        </w:rPr>
        <w:t xml:space="preserve">cinco </w:t>
      </w:r>
      <w:r>
        <w:rPr>
          <w:rFonts w:ascii="Cambria" w:hAnsi="Cambria"/>
          <w:sz w:val="20"/>
          <w:szCs w:val="20"/>
          <w:lang w:val="es-ES"/>
        </w:rPr>
        <w:t xml:space="preserve">militares no han sido impedidas de participar del proceso penal y que no se ha probado la existencia de obstáculos tales que les hubieran impedido el agotamiento de este recurso. </w:t>
      </w:r>
    </w:p>
    <w:p w14:paraId="270BBABE" w14:textId="77777777" w:rsidR="00757A02" w:rsidRPr="004E1A4E" w:rsidRDefault="005E484A" w:rsidP="00CE1BE0">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b/>
          <w:bCs/>
          <w:sz w:val="20"/>
          <w:szCs w:val="20"/>
          <w:lang w:val="es-ES"/>
        </w:rPr>
      </w:pPr>
      <w:r>
        <w:rPr>
          <w:rFonts w:ascii="Cambria" w:hAnsi="Cambria"/>
          <w:bCs/>
          <w:sz w:val="20"/>
          <w:szCs w:val="20"/>
          <w:lang w:val="es-ES"/>
        </w:rPr>
        <w:t xml:space="preserve">En cuanto a la acción de reparación directa interpuesta en relación con la muerte de </w:t>
      </w:r>
      <w:proofErr w:type="spellStart"/>
      <w:r>
        <w:rPr>
          <w:rFonts w:ascii="Cambria" w:hAnsi="Cambria"/>
          <w:bCs/>
          <w:sz w:val="20"/>
          <w:szCs w:val="20"/>
          <w:lang w:val="es-ES"/>
        </w:rPr>
        <w:t>Jhon</w:t>
      </w:r>
      <w:proofErr w:type="spellEnd"/>
      <w:r>
        <w:rPr>
          <w:rFonts w:ascii="Cambria" w:hAnsi="Cambria"/>
          <w:bCs/>
          <w:sz w:val="20"/>
          <w:szCs w:val="20"/>
          <w:lang w:val="es-ES"/>
        </w:rPr>
        <w:t xml:space="preserve"> Freddy Orrego Carmona, explica que el tribunal de primera instancia desestimó la acción tras concluir que la muerte “se produjo en desarrollo de actos propios de combate con fuerzas guerrilleras, es decir, como consecuencia de la prestación ordinaria y normal del servicio”, así como que esta presunta víctima no había sido expuesto a un riesgo mayor al que debieron afrontar sus compañeros de batalla. Indica que esta decisión fue confirmada en segunda instancia el 22 de febrero de 2011 por el Tribunal Contencioso Administrativo del M</w:t>
      </w:r>
      <w:r w:rsidR="004E1A4E">
        <w:rPr>
          <w:rFonts w:ascii="Cambria" w:hAnsi="Cambria"/>
          <w:bCs/>
          <w:sz w:val="20"/>
          <w:szCs w:val="20"/>
          <w:lang w:val="es-ES"/>
        </w:rPr>
        <w:t xml:space="preserve">eta, quien concluyó que “en esta clase de enfrentamientos siempre está el factor sorpresa de [los grupos armados] y el Ejército a pesar [de] prever esquemas de operación y tácticas de guerra, está supeditado a ese factor con la insurgencia. </w:t>
      </w:r>
    </w:p>
    <w:p w14:paraId="0807D462" w14:textId="6C0BCBF3" w:rsidR="00757A02" w:rsidRPr="00920ABA" w:rsidRDefault="004E1A4E" w:rsidP="00037A6F">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b/>
          <w:bCs/>
          <w:sz w:val="20"/>
          <w:szCs w:val="20"/>
          <w:lang w:val="es-ES"/>
        </w:rPr>
      </w:pPr>
      <w:r w:rsidRPr="004E1A4E">
        <w:rPr>
          <w:rFonts w:ascii="Cambria" w:hAnsi="Cambria"/>
          <w:bCs/>
          <w:sz w:val="20"/>
          <w:szCs w:val="20"/>
          <w:lang w:val="es-ES"/>
        </w:rPr>
        <w:t xml:space="preserve">Respecto a la acción de reparación directa interpuesta con relación a las muertes de las otras </w:t>
      </w:r>
      <w:r w:rsidR="00673252">
        <w:rPr>
          <w:rFonts w:ascii="Cambria" w:hAnsi="Cambria"/>
          <w:bCs/>
          <w:sz w:val="20"/>
          <w:szCs w:val="20"/>
          <w:lang w:val="es-ES"/>
        </w:rPr>
        <w:t>cuatro</w:t>
      </w:r>
      <w:r w:rsidRPr="004E1A4E">
        <w:rPr>
          <w:rFonts w:ascii="Cambria" w:hAnsi="Cambria"/>
          <w:bCs/>
          <w:sz w:val="20"/>
          <w:szCs w:val="20"/>
          <w:lang w:val="es-ES"/>
        </w:rPr>
        <w:t xml:space="preserve"> presuntas víctimas, señala que el Tribunal de primera instancia negó las pretensiones tras concluir que “los hechos ocurrieron por el hecho exclusivo y determinante de un tercero</w:t>
      </w:r>
      <w:r>
        <w:rPr>
          <w:rFonts w:ascii="Cambria" w:hAnsi="Cambria"/>
          <w:bCs/>
          <w:sz w:val="20"/>
          <w:szCs w:val="20"/>
          <w:lang w:val="es-ES"/>
        </w:rPr>
        <w:t xml:space="preserve">”. </w:t>
      </w:r>
      <w:r w:rsidR="008F1984">
        <w:rPr>
          <w:rFonts w:ascii="Cambria" w:hAnsi="Cambria"/>
          <w:bCs/>
          <w:sz w:val="20"/>
          <w:szCs w:val="20"/>
          <w:lang w:val="es-ES"/>
        </w:rPr>
        <w:t xml:space="preserve">Relata </w:t>
      </w:r>
      <w:r>
        <w:rPr>
          <w:rFonts w:ascii="Cambria" w:hAnsi="Cambria"/>
          <w:bCs/>
          <w:sz w:val="20"/>
          <w:szCs w:val="20"/>
          <w:lang w:val="es-ES"/>
        </w:rPr>
        <w:t>que esta decisión fue revocada en segunda instancia el 25 de enero de 2017 por el Consejo de Estado quien emitió una nueva sentencia f</w:t>
      </w:r>
      <w:r w:rsidR="008F1984">
        <w:rPr>
          <w:rFonts w:ascii="Cambria" w:hAnsi="Cambria"/>
          <w:bCs/>
          <w:sz w:val="20"/>
          <w:szCs w:val="20"/>
          <w:lang w:val="es-ES"/>
        </w:rPr>
        <w:t xml:space="preserve">avorable a la parte demandante. Indica que el Consejo de Estado valoró los informes aportados por el Ejército Nacional determinando que “no hubo un análisis detallado del terreno y no se previeron las medidas de seguridad al momento de encontrar la vivienda” y que no había pruebas que permitieran “afirmar con certeza que el ingreso a la vivienda se presentó con ocasión de la figura de la flagrancia, la cual permite el ingreso a la vivienda sin una orden judicial”; puesto que “de las declaraciones de los soldados se desprende que el ingreso de la vivienda, que resultó siendo una casa bomba, se hizo por la orden de ‘ver que encontraban’; pero ninguno de ellos indica que se estuviera persiguiendo a un guerrillero o que en la casa se encontrara oculto alguno de ellos”. </w:t>
      </w:r>
      <w:r w:rsidR="00920ABA">
        <w:rPr>
          <w:rFonts w:ascii="Cambria" w:hAnsi="Cambria"/>
          <w:bCs/>
          <w:sz w:val="20"/>
          <w:szCs w:val="20"/>
          <w:lang w:val="es-ES"/>
        </w:rPr>
        <w:t xml:space="preserve">Explica que en base a esta valoración el Consejo concluyó que el Estado había incrementado la situación objetiva de riesgo de los soldados e incumplido con sus deberes de protección para con estos por razón de “i) la falta de un análisis detallado del terreno en el cual se iba a desarrollar la operación “Corcel </w:t>
      </w:r>
      <w:r w:rsidR="00920ABA">
        <w:rPr>
          <w:rFonts w:ascii="Cambria" w:hAnsi="Cambria"/>
          <w:bCs/>
          <w:sz w:val="20"/>
          <w:szCs w:val="20"/>
          <w:lang w:val="es-ES"/>
        </w:rPr>
        <w:lastRenderedPageBreak/>
        <w:t xml:space="preserve">Negro”; ii) falta de previsión de medidas de seguridad al momento de encontrar la vivienda que explotó; iii) el haber permitido la concentración de tropas alrededor de la casa. </w:t>
      </w:r>
    </w:p>
    <w:p w14:paraId="2F6B6069" w14:textId="2351C8E1" w:rsidR="001475AE" w:rsidRPr="0029184A" w:rsidRDefault="00920ABA" w:rsidP="0029184A">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b/>
          <w:bCs/>
          <w:sz w:val="20"/>
          <w:szCs w:val="20"/>
          <w:lang w:val="es-ES"/>
        </w:rPr>
      </w:pPr>
      <w:r>
        <w:rPr>
          <w:rFonts w:ascii="Cambria" w:hAnsi="Cambria"/>
          <w:bCs/>
          <w:sz w:val="20"/>
          <w:szCs w:val="20"/>
          <w:lang w:val="es-ES"/>
        </w:rPr>
        <w:t xml:space="preserve">Considera que la parte peticionaria solicita improcedentemente que la Comisión actúe como un tribunal de alzada para revisar las distintas sentencias proferidas por la jurisdicción contencioso administrativa. Sostiene que los tribunales domésticos analizaron el material probatorio allegado en el marco de cada proceso y fallaron con base en este, de conformidad con las normas nacionales e internacionales relacionadas con la materia, y respetando siempre las garantías judiciales, dentro de un plazo razonable, atendiendo a la complejidad de los casos. </w:t>
      </w:r>
      <w:r w:rsidR="001475AE">
        <w:rPr>
          <w:rFonts w:ascii="Cambria" w:hAnsi="Cambria"/>
          <w:bCs/>
          <w:sz w:val="20"/>
          <w:szCs w:val="20"/>
          <w:lang w:val="es-ES"/>
        </w:rPr>
        <w:t xml:space="preserve">Manifiesta que si la Comisión entrara a analizar la valoración de la prueba llevada a cabo por cada juez o estudiar las sentencias proferidas en cada caso estaría actuando en contra de las disposiciones convencionales y de sus propias decisiones. Destaca además que la sentencia del Consejo de Estado que declaró a la Nación responsable por las 4 muertes ordenó el pago de las indemnizaciones correspondientes por los perjuicios morales y materiales y además ordenó otro tipos de medidas destinadas a garantizar el derecho de las víctimas a una reparación integrales, tales como: la publicación de la sentencia, la realización de un acto público de reconocimiento de responsabilidad, tratamiento psicológico para los familiares de las víctimas, y la compulsa de copias a la Fiscalía General de la Nación y a la Procuraduría General de la Nación para que se investigue penal y disciplinariamente a quienes ocupaban  los altos mandos militares para la época de los hechos. </w:t>
      </w:r>
      <w:r w:rsidR="0029184A">
        <w:rPr>
          <w:rFonts w:ascii="Cambria" w:hAnsi="Cambria"/>
          <w:bCs/>
          <w:sz w:val="20"/>
          <w:szCs w:val="20"/>
          <w:lang w:val="es-ES"/>
        </w:rPr>
        <w:t xml:space="preserve">Respecto a la disimilitud entre la decisión definitiva del proceso pertinente a la muerte del señor Orrego Carmona y la del proceso pertinente a la muerte de las otras </w:t>
      </w:r>
      <w:r w:rsidR="00673252">
        <w:rPr>
          <w:rFonts w:ascii="Cambria" w:hAnsi="Cambria"/>
          <w:bCs/>
          <w:sz w:val="20"/>
          <w:szCs w:val="20"/>
          <w:lang w:val="es-ES"/>
        </w:rPr>
        <w:t>cuatro</w:t>
      </w:r>
      <w:r w:rsidR="0029184A">
        <w:rPr>
          <w:rFonts w:ascii="Cambria" w:hAnsi="Cambria"/>
          <w:bCs/>
          <w:sz w:val="20"/>
          <w:szCs w:val="20"/>
          <w:lang w:val="es-ES"/>
        </w:rPr>
        <w:t xml:space="preserve"> presuntas víctimas, indica que esta responde al ejercicio razonado de la autonomía que corresponde a los jueces nacionales en la valoración de la prueba y en la aplicación del Derecho. Por esta razón, sostiene que la disimilitud entre las decisiones no implica una vulneración de las garantías convencionales de las presuntas víctimas. </w:t>
      </w:r>
    </w:p>
    <w:p w14:paraId="455E6773" w14:textId="4BFDDBC1" w:rsidR="00757A02" w:rsidRPr="003C7487" w:rsidRDefault="002565DB" w:rsidP="002565DB">
      <w:p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b/>
          <w:bCs/>
          <w:sz w:val="20"/>
          <w:szCs w:val="20"/>
          <w:lang w:val="es-ES"/>
        </w:rPr>
      </w:pPr>
      <w:r>
        <w:rPr>
          <w:rFonts w:ascii="Cambria" w:hAnsi="Cambria"/>
          <w:b/>
          <w:bCs/>
          <w:sz w:val="20"/>
          <w:szCs w:val="20"/>
          <w:lang w:val="es-ES"/>
        </w:rPr>
        <w:tab/>
      </w:r>
      <w:r w:rsidR="00757A02" w:rsidRPr="003C7487">
        <w:rPr>
          <w:rFonts w:ascii="Cambria" w:hAnsi="Cambria"/>
          <w:b/>
          <w:bCs/>
          <w:sz w:val="20"/>
          <w:szCs w:val="20"/>
          <w:lang w:val="es-ES"/>
        </w:rPr>
        <w:t xml:space="preserve">VI. </w:t>
      </w:r>
      <w:r w:rsidR="00757A02" w:rsidRPr="003C7487">
        <w:rPr>
          <w:rFonts w:ascii="Cambria" w:hAnsi="Cambria"/>
          <w:b/>
          <w:bCs/>
          <w:sz w:val="20"/>
          <w:szCs w:val="20"/>
          <w:lang w:val="es-ES"/>
        </w:rPr>
        <w:tab/>
        <w:t>AGOTAMIENTO DE LOS RECURSOS INTERNOS Y PLAZO DE PRESENTACIÓN</w:t>
      </w:r>
    </w:p>
    <w:p w14:paraId="51B36F4F" w14:textId="22B5E7E9" w:rsidR="0029184A" w:rsidRPr="006F551A" w:rsidRDefault="00757A02" w:rsidP="0029184A">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b/>
          <w:bCs/>
          <w:sz w:val="20"/>
          <w:szCs w:val="20"/>
          <w:lang w:val="es-ES"/>
        </w:rPr>
      </w:pPr>
      <w:r>
        <w:rPr>
          <w:rFonts w:ascii="Cambria" w:hAnsi="Cambria"/>
          <w:sz w:val="20"/>
          <w:szCs w:val="20"/>
          <w:lang w:val="es-ES"/>
        </w:rPr>
        <w:t>La Comisión observa que la parte peticionaria ha indicado que la</w:t>
      </w:r>
      <w:r w:rsidR="0029184A">
        <w:rPr>
          <w:rFonts w:ascii="Cambria" w:hAnsi="Cambria"/>
          <w:sz w:val="20"/>
          <w:szCs w:val="20"/>
          <w:lang w:val="es-ES"/>
        </w:rPr>
        <w:t>s investigaciones penales relacionadas con las muertes de l</w:t>
      </w:r>
      <w:r w:rsidR="00673252">
        <w:rPr>
          <w:rFonts w:ascii="Cambria" w:hAnsi="Cambria"/>
          <w:sz w:val="20"/>
          <w:szCs w:val="20"/>
          <w:lang w:val="es-ES"/>
        </w:rPr>
        <w:t xml:space="preserve">as presuntas víctimas </w:t>
      </w:r>
      <w:r w:rsidR="0048184C">
        <w:rPr>
          <w:rFonts w:ascii="Cambria" w:hAnsi="Cambria"/>
          <w:sz w:val="20"/>
          <w:szCs w:val="20"/>
          <w:lang w:val="es-ES"/>
        </w:rPr>
        <w:t xml:space="preserve">no han concluido pese a haberse excedido el plazo razonable, que las personas familiares de </w:t>
      </w:r>
      <w:r w:rsidR="00673252">
        <w:rPr>
          <w:rFonts w:ascii="Cambria" w:hAnsi="Cambria"/>
          <w:sz w:val="20"/>
          <w:szCs w:val="20"/>
          <w:lang w:val="es-ES"/>
        </w:rPr>
        <w:t>las presuntas víctimas</w:t>
      </w:r>
      <w:r w:rsidR="0048184C">
        <w:rPr>
          <w:rFonts w:ascii="Cambria" w:hAnsi="Cambria"/>
          <w:sz w:val="20"/>
          <w:szCs w:val="20"/>
          <w:lang w:val="es-ES"/>
        </w:rPr>
        <w:t xml:space="preserve"> no han podido participar del proceso de investigación por temor a sufrir represalias por parte de un grupo armado ilegal, y que la sentencia emitida por el Consejo de Estado a favor de las personas familiares de </w:t>
      </w:r>
      <w:r w:rsidR="00673252">
        <w:rPr>
          <w:rFonts w:ascii="Cambria" w:hAnsi="Cambria"/>
          <w:sz w:val="20"/>
          <w:szCs w:val="20"/>
          <w:lang w:val="es-ES"/>
        </w:rPr>
        <w:t>cuatro</w:t>
      </w:r>
      <w:r w:rsidR="0048184C">
        <w:rPr>
          <w:rFonts w:ascii="Cambria" w:hAnsi="Cambria"/>
          <w:sz w:val="20"/>
          <w:szCs w:val="20"/>
          <w:lang w:val="es-ES"/>
        </w:rPr>
        <w:t xml:space="preserve"> de los militares no ha sido cumplida. También toma nota que el Estado ha indicado que los recursos internos no se encuentran agotados porque el proceso penal no ha concluido, estando el tiempo transcurrido justificado por razón de la complejidad del caso. </w:t>
      </w:r>
    </w:p>
    <w:p w14:paraId="6BC1FCF1" w14:textId="28F60098" w:rsidR="00757A02" w:rsidRPr="00185745" w:rsidRDefault="00E8590E" w:rsidP="006F551A">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b/>
          <w:bCs/>
          <w:sz w:val="20"/>
          <w:szCs w:val="20"/>
          <w:lang w:val="es-ES"/>
        </w:rPr>
      </w:pPr>
      <w:r>
        <w:rPr>
          <w:rFonts w:ascii="Cambria" w:hAnsi="Cambria"/>
          <w:bCs/>
          <w:sz w:val="20"/>
          <w:szCs w:val="20"/>
          <w:lang w:val="es-ES"/>
        </w:rPr>
        <w:t xml:space="preserve">La Comisión toma nota que, según lo expuesto por las partes, se habrían desarrollado dos procesos separados de reparación directa en relación con los hechos que dan objeto a la presente petición. El primero, pertinente a la muerte de </w:t>
      </w:r>
      <w:proofErr w:type="spellStart"/>
      <w:r>
        <w:rPr>
          <w:rFonts w:ascii="Cambria" w:hAnsi="Cambria"/>
          <w:bCs/>
          <w:sz w:val="20"/>
          <w:szCs w:val="20"/>
          <w:lang w:val="es-ES"/>
        </w:rPr>
        <w:t>Jhon</w:t>
      </w:r>
      <w:proofErr w:type="spellEnd"/>
      <w:r>
        <w:rPr>
          <w:rFonts w:ascii="Cambria" w:hAnsi="Cambria"/>
          <w:bCs/>
          <w:sz w:val="20"/>
          <w:szCs w:val="20"/>
          <w:lang w:val="es-ES"/>
        </w:rPr>
        <w:t xml:space="preserve"> Freddy Orrego Carmona concluyó con una sentencia de segunda instancia emitida el 22 de febrero de 2011. En cuanto al segundo, relacionad</w:t>
      </w:r>
      <w:r w:rsidR="00C260E6">
        <w:rPr>
          <w:rFonts w:ascii="Cambria" w:hAnsi="Cambria"/>
          <w:bCs/>
          <w:sz w:val="20"/>
          <w:szCs w:val="20"/>
          <w:lang w:val="es-ES"/>
        </w:rPr>
        <w:t>o con las muertes de los otros cuatro</w:t>
      </w:r>
      <w:r>
        <w:rPr>
          <w:rFonts w:ascii="Cambria" w:hAnsi="Cambria"/>
          <w:bCs/>
          <w:sz w:val="20"/>
          <w:szCs w:val="20"/>
          <w:lang w:val="es-ES"/>
        </w:rPr>
        <w:t xml:space="preserve"> militares, este concluyó con una sentencia de segunda instancia emitida en enero de 2017. El Estado no ha indicado ni surge del expediente que existan recursos adicionales no agotados que pudieran ser idóneos para recurrir estas decisiones, por lo que </w:t>
      </w:r>
      <w:r w:rsidR="00185745">
        <w:rPr>
          <w:rFonts w:ascii="Cambria" w:hAnsi="Cambria"/>
          <w:bCs/>
          <w:sz w:val="20"/>
          <w:szCs w:val="20"/>
          <w:lang w:val="es-ES"/>
        </w:rPr>
        <w:t>la Comisión</w:t>
      </w:r>
      <w:r>
        <w:rPr>
          <w:rFonts w:ascii="Cambria" w:hAnsi="Cambria"/>
          <w:bCs/>
          <w:sz w:val="20"/>
          <w:szCs w:val="20"/>
          <w:lang w:val="es-ES"/>
        </w:rPr>
        <w:t xml:space="preserve"> las estima como las decisiones definitivas de la jurisdicción contencioso administrativa. La Comisión además observa que en ambos casos las decisiones finales se habrían emitido con posterioridad a la presentación de la petición y que, según lo alegado po</w:t>
      </w:r>
      <w:r w:rsidR="00185745">
        <w:rPr>
          <w:rFonts w:ascii="Cambria" w:hAnsi="Cambria"/>
          <w:bCs/>
          <w:sz w:val="20"/>
          <w:szCs w:val="20"/>
          <w:lang w:val="es-ES"/>
        </w:rPr>
        <w:t xml:space="preserve">r la parte peticionaria, la sentencia emitida en 2017 en favor de algunas de las presuntas víctimas no habría sido todavía cumplida a cabalidad. </w:t>
      </w:r>
    </w:p>
    <w:p w14:paraId="4F65BD0D" w14:textId="7CB2FB99" w:rsidR="00185745" w:rsidRPr="00185745" w:rsidRDefault="00185745" w:rsidP="006F551A">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b/>
          <w:bCs/>
          <w:sz w:val="20"/>
          <w:szCs w:val="20"/>
          <w:lang w:val="es-ES"/>
        </w:rPr>
      </w:pPr>
      <w:r w:rsidRPr="00496FE9">
        <w:rPr>
          <w:rFonts w:ascii="Cambria" w:hAnsi="Cambria"/>
          <w:sz w:val="20"/>
          <w:szCs w:val="20"/>
          <w:lang w:val="es-ES"/>
        </w:rPr>
        <w:t>Dicho lo anterior, sin embargo, la Comisión recuerda que ya ha determinado que “</w:t>
      </w:r>
      <w:r w:rsidRPr="00496FE9">
        <w:rPr>
          <w:rFonts w:ascii="Cambria" w:hAnsi="Cambria" w:cs="Calibri"/>
          <w:sz w:val="20"/>
          <w:szCs w:val="20"/>
          <w:lang w:val="es-ES_tradnl"/>
        </w:rPr>
        <w:t>en situaciones […] que incluyen delitos contra la vida e integridad, los recursos internos que deben tomarse en cuenta a los efectos de la admisibilidad de las peticiones son los relacionados con la investigación penal y sanción de los responsables”</w:t>
      </w:r>
      <w:r w:rsidRPr="00496FE9">
        <w:rPr>
          <w:rFonts w:ascii="Cambria" w:hAnsi="Cambria" w:cs="Calibri"/>
          <w:sz w:val="20"/>
          <w:szCs w:val="20"/>
          <w:lang w:val="es-US"/>
        </w:rPr>
        <w:t xml:space="preserve"> </w:t>
      </w:r>
      <w:r w:rsidRPr="00496FE9">
        <w:rPr>
          <w:rStyle w:val="FootnoteReference"/>
          <w:rFonts w:ascii="Cambria" w:hAnsi="Cambria" w:cs="Calibri"/>
          <w:sz w:val="20"/>
          <w:szCs w:val="20"/>
        </w:rPr>
        <w:footnoteReference w:id="6"/>
      </w:r>
      <w:r w:rsidRPr="00496FE9">
        <w:rPr>
          <w:rFonts w:ascii="Cambria" w:hAnsi="Cambria" w:cs="Calibri"/>
          <w:sz w:val="20"/>
          <w:szCs w:val="20"/>
          <w:lang w:val="es-ES_tradnl"/>
        </w:rPr>
        <w:t xml:space="preserve">. En adición, </w:t>
      </w:r>
      <w:r w:rsidRPr="00496FE9">
        <w:rPr>
          <w:rFonts w:asciiTheme="majorHAnsi" w:hAnsiTheme="majorHAnsi"/>
          <w:bCs/>
          <w:sz w:val="20"/>
          <w:szCs w:val="20"/>
          <w:lang w:val="es-ES_tradnl"/>
        </w:rPr>
        <w:t>la Comisión ya se ha pronunciado en oportunidades previas respecto al caso específico a la acción de reparación directa en Colombia, indicando que la misma no constituye un recurso idóneo cuyo agotamiento sea exigible en relación a presuntas violaciones a derechos humanos de naturaleza similar a las que se alegan en la presente petición</w:t>
      </w:r>
      <w:r w:rsidRPr="00496FE9">
        <w:rPr>
          <w:rStyle w:val="FootnoteReference"/>
          <w:rFonts w:ascii="Cambria" w:hAnsi="Cambria" w:cs="Calibri"/>
          <w:sz w:val="20"/>
          <w:szCs w:val="20"/>
        </w:rPr>
        <w:footnoteReference w:id="7"/>
      </w:r>
      <w:r w:rsidRPr="00496FE9">
        <w:rPr>
          <w:rFonts w:ascii="Cambria" w:hAnsi="Cambria" w:cs="Calibri"/>
          <w:sz w:val="20"/>
          <w:szCs w:val="20"/>
          <w:lang w:val="es-ES_tradnl"/>
        </w:rPr>
        <w:t>.</w:t>
      </w:r>
      <w:r w:rsidRPr="00496FE9">
        <w:rPr>
          <w:rFonts w:asciiTheme="majorHAnsi" w:hAnsiTheme="majorHAnsi"/>
          <w:bCs/>
          <w:sz w:val="20"/>
          <w:szCs w:val="20"/>
          <w:lang w:val="es-ES_tradnl"/>
        </w:rPr>
        <w:t xml:space="preserve"> </w:t>
      </w:r>
      <w:r w:rsidRPr="00496FE9">
        <w:rPr>
          <w:rFonts w:asciiTheme="majorHAnsi" w:hAnsiTheme="majorHAnsi"/>
          <w:bCs/>
          <w:sz w:val="20"/>
          <w:szCs w:val="20"/>
          <w:lang w:val="es-ES"/>
        </w:rPr>
        <w:t xml:space="preserve">Por estas razones, para efectos de evaluar si la presente petición cumple con los requisitos de agotamiento de los recursos internos y presentación dentro de </w:t>
      </w:r>
      <w:r w:rsidRPr="00496FE9">
        <w:rPr>
          <w:rFonts w:asciiTheme="majorHAnsi" w:hAnsiTheme="majorHAnsi"/>
          <w:bCs/>
          <w:sz w:val="20"/>
          <w:szCs w:val="20"/>
          <w:lang w:val="es-ES"/>
        </w:rPr>
        <w:lastRenderedPageBreak/>
        <w:t>plazo, los recursos que la Comisión valorará serán los relacionados con la investigación y sanción de las personas que pudieran tener responsabilidad por</w:t>
      </w:r>
      <w:r w:rsidR="00C260E6">
        <w:rPr>
          <w:rFonts w:asciiTheme="majorHAnsi" w:hAnsiTheme="majorHAnsi"/>
          <w:bCs/>
          <w:sz w:val="20"/>
          <w:szCs w:val="20"/>
          <w:lang w:val="es-ES"/>
        </w:rPr>
        <w:t xml:space="preserve"> las muertes de los cinco</w:t>
      </w:r>
      <w:r>
        <w:rPr>
          <w:rFonts w:asciiTheme="majorHAnsi" w:hAnsiTheme="majorHAnsi"/>
          <w:bCs/>
          <w:sz w:val="20"/>
          <w:szCs w:val="20"/>
          <w:lang w:val="es-ES"/>
        </w:rPr>
        <w:t xml:space="preserve"> militares. </w:t>
      </w:r>
    </w:p>
    <w:p w14:paraId="5B28C5B0" w14:textId="43EF9AE9" w:rsidR="00A6434F" w:rsidRPr="00A6434F" w:rsidRDefault="00185745" w:rsidP="00185745">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b/>
          <w:bCs/>
          <w:sz w:val="20"/>
          <w:szCs w:val="20"/>
          <w:lang w:val="es-ES"/>
        </w:rPr>
      </w:pPr>
      <w:r>
        <w:rPr>
          <w:rFonts w:ascii="Cambria" w:hAnsi="Cambria"/>
          <w:bCs/>
          <w:sz w:val="20"/>
          <w:szCs w:val="20"/>
          <w:lang w:val="es-ES"/>
        </w:rPr>
        <w:t xml:space="preserve">Según lo informado por las partes, se iniciaron investigaciones penales relacionadas con la muerte de los </w:t>
      </w:r>
      <w:r w:rsidR="00C260E6">
        <w:rPr>
          <w:rFonts w:ascii="Cambria" w:hAnsi="Cambria"/>
          <w:bCs/>
          <w:sz w:val="20"/>
          <w:szCs w:val="20"/>
          <w:lang w:val="es-ES"/>
        </w:rPr>
        <w:t>cinco</w:t>
      </w:r>
      <w:r>
        <w:rPr>
          <w:rFonts w:ascii="Cambria" w:hAnsi="Cambria"/>
          <w:bCs/>
          <w:sz w:val="20"/>
          <w:szCs w:val="20"/>
          <w:lang w:val="es-ES"/>
        </w:rPr>
        <w:t xml:space="preserve"> militares y sus compañeros las que han llevado a la condena de una </w:t>
      </w:r>
      <w:r w:rsidR="0072663B">
        <w:rPr>
          <w:rFonts w:ascii="Cambria" w:hAnsi="Cambria"/>
          <w:bCs/>
          <w:sz w:val="20"/>
          <w:szCs w:val="20"/>
          <w:lang w:val="es-ES"/>
        </w:rPr>
        <w:t xml:space="preserve">persona. Sin embargo, estas investigaciones permanecerían abiertas estando pendiente la </w:t>
      </w:r>
      <w:r w:rsidR="0072663B">
        <w:rPr>
          <w:rFonts w:ascii="Cambria" w:hAnsi="Cambria"/>
          <w:sz w:val="20"/>
          <w:szCs w:val="20"/>
          <w:lang w:val="es-ES"/>
        </w:rPr>
        <w:t>calificación del mérito del sumario con respecto a otras personas que también pudieran tener responsabilidad.</w:t>
      </w:r>
      <w:r w:rsidR="00F86546">
        <w:rPr>
          <w:rFonts w:ascii="Cambria" w:hAnsi="Cambria"/>
          <w:sz w:val="20"/>
          <w:szCs w:val="20"/>
          <w:lang w:val="es-ES"/>
        </w:rPr>
        <w:t xml:space="preserve"> Adicionalmente, la parte peticionaria ha hecho referencia a investigaciones que se habrían desarrollado a lo interno de la fuerza pública y el Estado ha indicado </w:t>
      </w:r>
      <w:r w:rsidR="00C260E6">
        <w:rPr>
          <w:rFonts w:ascii="Cambria" w:hAnsi="Cambria"/>
          <w:sz w:val="20"/>
          <w:szCs w:val="20"/>
          <w:lang w:val="es-ES"/>
        </w:rPr>
        <w:t>que,</w:t>
      </w:r>
      <w:r w:rsidR="00F86546">
        <w:rPr>
          <w:rFonts w:ascii="Cambria" w:hAnsi="Cambria"/>
          <w:sz w:val="20"/>
          <w:szCs w:val="20"/>
          <w:lang w:val="es-ES"/>
        </w:rPr>
        <w:t xml:space="preserve"> en 2017, luego de que el Consejo de Estado determinara la responsabilidad administrativa </w:t>
      </w:r>
      <w:r w:rsidR="00C260E6">
        <w:rPr>
          <w:rFonts w:ascii="Cambria" w:hAnsi="Cambria"/>
          <w:sz w:val="20"/>
          <w:szCs w:val="20"/>
          <w:lang w:val="es-ES"/>
        </w:rPr>
        <w:t>del Estado por cuatro</w:t>
      </w:r>
      <w:r w:rsidR="00F86546">
        <w:rPr>
          <w:rFonts w:ascii="Cambria" w:hAnsi="Cambria"/>
          <w:sz w:val="20"/>
          <w:szCs w:val="20"/>
          <w:lang w:val="es-ES"/>
        </w:rPr>
        <w:t xml:space="preserve"> de las muertes, se compulsaron copias para que se iniciaran las investigaciones pertinentes para identificar agentes o ex agentes del Estado que pudieran tener responsabilidad por las muertes. Sin embargo, las partes no han informado de los avances que se hayan alcanzado con respecto a la identificación o sanción de estas personas.</w:t>
      </w:r>
      <w:r w:rsidR="0072663B">
        <w:rPr>
          <w:rFonts w:ascii="Cambria" w:hAnsi="Cambria"/>
          <w:sz w:val="20"/>
          <w:szCs w:val="20"/>
          <w:lang w:val="es-ES"/>
        </w:rPr>
        <w:t xml:space="preserve"> </w:t>
      </w:r>
      <w:r w:rsidR="00A6434F">
        <w:rPr>
          <w:rFonts w:ascii="Cambria" w:hAnsi="Cambria"/>
          <w:sz w:val="20"/>
          <w:szCs w:val="20"/>
          <w:lang w:val="es-ES"/>
        </w:rPr>
        <w:t>Por esta razón, la Comisión debe analizar si la excepción al requisito de agotamiento de los recursos internos prevista en el artículo 46.2(c) de la Convención Americana resulta aplicable a la presente petición. En este sentido, la Comisión recuerda que las normas de la Convención que prevén excepciones al requisito de agotamiento de los recursos internos “</w:t>
      </w:r>
      <w:r w:rsidR="00A6434F" w:rsidRPr="00FC2B4A">
        <w:rPr>
          <w:rFonts w:ascii="Cambria" w:hAnsi="Cambria" w:cs="Calibri"/>
          <w:sz w:val="20"/>
          <w:szCs w:val="20"/>
          <w:lang w:val="es-ES_tradnl"/>
        </w:rPr>
        <w:t xml:space="preserve">por su naturaleza y objeto, son normas con contenido autónomo </w:t>
      </w:r>
      <w:r w:rsidR="00A6434F" w:rsidRPr="00FC2B4A">
        <w:rPr>
          <w:rFonts w:ascii="Cambria" w:hAnsi="Cambria" w:cs="Calibri"/>
          <w:i/>
          <w:sz w:val="20"/>
          <w:szCs w:val="20"/>
          <w:lang w:val="es-ES_tradnl"/>
        </w:rPr>
        <w:t>vis à vis</w:t>
      </w:r>
      <w:r w:rsidR="00A6434F" w:rsidRPr="00FC2B4A">
        <w:rPr>
          <w:rFonts w:ascii="Cambria" w:hAnsi="Cambria" w:cs="Calibri"/>
          <w:sz w:val="20"/>
          <w:szCs w:val="20"/>
          <w:lang w:val="es-ES_tradnl"/>
        </w:rPr>
        <w:t xml:space="preserve"> las normas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w:t>
      </w:r>
      <w:r w:rsidR="00A6434F">
        <w:rPr>
          <w:rFonts w:ascii="Cambria" w:hAnsi="Cambria" w:cs="Calibri"/>
          <w:sz w:val="20"/>
          <w:szCs w:val="20"/>
          <w:lang w:val="es-ES_tradnl"/>
        </w:rPr>
        <w:t>tículos 8 y 25 de la Convención”.</w:t>
      </w:r>
    </w:p>
    <w:p w14:paraId="763B0997" w14:textId="7C15A2B2" w:rsidR="00853F61" w:rsidRPr="00853F61" w:rsidRDefault="0072663B" w:rsidP="00853F61">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b/>
          <w:bCs/>
          <w:sz w:val="20"/>
          <w:szCs w:val="20"/>
          <w:lang w:val="es-ES"/>
        </w:rPr>
      </w:pPr>
      <w:r>
        <w:rPr>
          <w:rFonts w:ascii="Cambria" w:hAnsi="Cambria"/>
          <w:sz w:val="20"/>
          <w:szCs w:val="20"/>
          <w:lang w:val="es-ES"/>
        </w:rPr>
        <w:t>Si bien el E</w:t>
      </w:r>
      <w:r w:rsidR="00A6434F">
        <w:rPr>
          <w:rFonts w:ascii="Cambria" w:hAnsi="Cambria"/>
          <w:sz w:val="20"/>
          <w:szCs w:val="20"/>
          <w:lang w:val="es-ES"/>
        </w:rPr>
        <w:t>stado ha hecho referencia a la complejidad del caso para sustentar que las investigaciones se están desarrolland</w:t>
      </w:r>
      <w:r w:rsidR="00F86546">
        <w:rPr>
          <w:rFonts w:ascii="Cambria" w:hAnsi="Cambria"/>
          <w:sz w:val="20"/>
          <w:szCs w:val="20"/>
          <w:lang w:val="es-ES"/>
        </w:rPr>
        <w:t>o dentro de plazo razonable, l</w:t>
      </w:r>
      <w:r w:rsidR="00853F61">
        <w:rPr>
          <w:rFonts w:ascii="Cambria" w:hAnsi="Cambria"/>
          <w:sz w:val="20"/>
          <w:szCs w:val="20"/>
          <w:lang w:val="es-ES"/>
        </w:rPr>
        <w:t xml:space="preserve">a Comisión considera que </w:t>
      </w:r>
      <w:r w:rsidR="003D49E4">
        <w:rPr>
          <w:rFonts w:ascii="Cambria" w:hAnsi="Cambria"/>
          <w:sz w:val="20"/>
          <w:szCs w:val="20"/>
          <w:lang w:val="es-ES"/>
        </w:rPr>
        <w:t xml:space="preserve">los 18 años transcurridos </w:t>
      </w:r>
      <w:r w:rsidR="00853F61">
        <w:rPr>
          <w:rFonts w:ascii="Cambria" w:hAnsi="Cambria"/>
          <w:sz w:val="20"/>
          <w:szCs w:val="20"/>
          <w:lang w:val="es-ES"/>
        </w:rPr>
        <w:t>desde que el Estado tuvo conocimiento de los hechos, el estado en que se encontraría el proceso</w:t>
      </w:r>
      <w:r w:rsidR="00F86546">
        <w:rPr>
          <w:rFonts w:ascii="Cambria" w:hAnsi="Cambria"/>
          <w:sz w:val="20"/>
          <w:szCs w:val="20"/>
          <w:lang w:val="es-ES"/>
        </w:rPr>
        <w:t xml:space="preserve"> penal</w:t>
      </w:r>
      <w:r w:rsidR="00853F61">
        <w:rPr>
          <w:rFonts w:ascii="Cambria" w:hAnsi="Cambria"/>
          <w:sz w:val="20"/>
          <w:szCs w:val="20"/>
          <w:lang w:val="es-ES"/>
        </w:rPr>
        <w:t xml:space="preserve">, y la falta de información sobre los avances de las investigaciones encaminadas a </w:t>
      </w:r>
      <w:r w:rsidR="00F86546">
        <w:rPr>
          <w:rFonts w:ascii="Cambria" w:hAnsi="Cambria"/>
          <w:sz w:val="20"/>
          <w:szCs w:val="20"/>
          <w:lang w:val="es-ES"/>
        </w:rPr>
        <w:t>determinar las responsabilidades de agentes o ex agentes del Estado justifica la aplicación a la presente petición de la excepción al requisito de agotamiento de los recursos internos prevista en el artículos 46.2(c) de la Convención Americana. Dado que la petición se presentó estando vigentes los agravios alegados en la petición, la Comisión también concluye que esta fue presentada dentro de plazo razonable en los términos del artículo 32.2 de su reglamento. La Comisión resalta que estas determinaciones no prejuzgan sobre el fondo y que en la etapa de fondo valorara en lo p</w:t>
      </w:r>
      <w:r w:rsidR="003D49E4">
        <w:rPr>
          <w:rFonts w:ascii="Cambria" w:hAnsi="Cambria"/>
          <w:sz w:val="20"/>
          <w:szCs w:val="20"/>
          <w:lang w:val="es-ES"/>
        </w:rPr>
        <w:t>ertinente los argumentos del Estado respecto a que las investigaciones se han visto justificadamente dilatadas por razón de la complejidad del caos.</w:t>
      </w:r>
    </w:p>
    <w:p w14:paraId="0C11A230" w14:textId="77777777" w:rsidR="00757A02" w:rsidRPr="00006B74" w:rsidRDefault="00757A02" w:rsidP="00A929AA">
      <w:pPr>
        <w:pBdr>
          <w:top w:val="none" w:sz="0" w:space="0" w:color="auto"/>
          <w:left w:val="none" w:sz="0" w:space="0" w:color="auto"/>
          <w:bottom w:val="none" w:sz="0" w:space="0" w:color="auto"/>
          <w:right w:val="none" w:sz="0" w:space="0" w:color="auto"/>
          <w:bar w:val="none" w:sz="0" w:color="auto"/>
        </w:pBdr>
        <w:suppressAutoHyphens/>
        <w:spacing w:after="120"/>
        <w:ind w:left="720"/>
        <w:jc w:val="both"/>
        <w:rPr>
          <w:rFonts w:ascii="Cambria" w:hAnsi="Cambria"/>
          <w:b/>
          <w:bCs/>
          <w:sz w:val="20"/>
          <w:szCs w:val="20"/>
          <w:lang w:val="es-ES"/>
        </w:rPr>
      </w:pPr>
      <w:r w:rsidRPr="00006B74">
        <w:rPr>
          <w:rFonts w:ascii="Cambria" w:hAnsi="Cambria"/>
          <w:b/>
          <w:bCs/>
          <w:sz w:val="20"/>
          <w:szCs w:val="20"/>
          <w:lang w:val="es-ES"/>
        </w:rPr>
        <w:t xml:space="preserve">VII. </w:t>
      </w:r>
      <w:r w:rsidRPr="00006B74">
        <w:rPr>
          <w:rFonts w:ascii="Cambria" w:hAnsi="Cambria"/>
          <w:b/>
          <w:bCs/>
          <w:sz w:val="20"/>
          <w:szCs w:val="20"/>
          <w:lang w:val="es-ES"/>
        </w:rPr>
        <w:tab/>
        <w:t>CARACTERIZACIÓN</w:t>
      </w:r>
    </w:p>
    <w:p w14:paraId="1B87D000" w14:textId="5E90AA71" w:rsidR="00757A02" w:rsidRPr="00F2521F" w:rsidRDefault="00757A02" w:rsidP="009354B0">
      <w:pPr>
        <w:pStyle w:val="ListParagraph"/>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ind w:left="0"/>
        <w:jc w:val="both"/>
        <w:rPr>
          <w:rFonts w:ascii="Times New Roman" w:hAnsi="Times New Roman" w:cs="Times New Roman"/>
          <w:color w:val="auto"/>
          <w:sz w:val="20"/>
          <w:szCs w:val="20"/>
          <w:lang w:val="es-PE"/>
        </w:rPr>
      </w:pPr>
      <w:r>
        <w:rPr>
          <w:sz w:val="20"/>
          <w:szCs w:val="20"/>
          <w:lang w:val="es-AR"/>
        </w:rPr>
        <w:t xml:space="preserve">La Comisión observa que la presente petición incluye alegaciones con respecto a que </w:t>
      </w:r>
      <w:r w:rsidR="00C260E6">
        <w:rPr>
          <w:sz w:val="20"/>
          <w:szCs w:val="20"/>
          <w:lang w:val="es-AR"/>
        </w:rPr>
        <w:t>cinco</w:t>
      </w:r>
      <w:r w:rsidR="003D49E4">
        <w:rPr>
          <w:sz w:val="20"/>
          <w:szCs w:val="20"/>
          <w:lang w:val="es-AR"/>
        </w:rPr>
        <w:t xml:space="preserve"> militares perdieron sus vidas en un atentado orquestado por un grupo armado ilegal y a consecuencia de la negligencia y falta de cuidado de sus superiores; a que el Estado no a ha cumplido con su deber de esclarecer los hechos e identificar y sancionar a las posibles personas responsables dentro de plazo razonable; a que el Estado no ha proporcionado reparación integral a las personas familiares de los </w:t>
      </w:r>
      <w:r w:rsidR="00C260E6">
        <w:rPr>
          <w:sz w:val="20"/>
          <w:szCs w:val="20"/>
          <w:lang w:val="es-AR"/>
        </w:rPr>
        <w:t>cinco</w:t>
      </w:r>
      <w:r w:rsidR="003D49E4">
        <w:rPr>
          <w:sz w:val="20"/>
          <w:szCs w:val="20"/>
          <w:lang w:val="es-AR"/>
        </w:rPr>
        <w:t xml:space="preserve"> militares pese a tener responsabilidad en sus muertes; y a que </w:t>
      </w:r>
      <w:r w:rsidR="007F0767">
        <w:rPr>
          <w:sz w:val="20"/>
          <w:szCs w:val="20"/>
          <w:lang w:val="es-AR"/>
        </w:rPr>
        <w:t xml:space="preserve">la sentencia emitida por el Consejo de Estado favorable a algunas de las presuntas víctimas no ha sido cumplida. </w:t>
      </w:r>
    </w:p>
    <w:p w14:paraId="44434B32" w14:textId="402DB951" w:rsidR="00757A02" w:rsidRPr="00D525D8" w:rsidRDefault="00757A02" w:rsidP="00786DBA">
      <w:pPr>
        <w:pStyle w:val="ListParagraph"/>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ind w:left="0"/>
        <w:jc w:val="both"/>
        <w:rPr>
          <w:rFonts w:asciiTheme="majorHAnsi" w:hAnsiTheme="majorHAnsi"/>
          <w:sz w:val="20"/>
          <w:szCs w:val="20"/>
          <w:lang w:val="es-AR"/>
        </w:rPr>
      </w:pPr>
      <w:r w:rsidRPr="00D525D8">
        <w:rPr>
          <w:rFonts w:asciiTheme="majorHAnsi" w:hAnsiTheme="majorHAnsi" w:cs="Times New Roman"/>
          <w:color w:val="auto"/>
          <w:sz w:val="20"/>
          <w:szCs w:val="20"/>
          <w:lang w:val="es-PE"/>
        </w:rPr>
        <w:t>Dada la naturaleza de las alegaciones, la Comisión considera pertinente recordar que la Corte Interamericana ha reconocido que “</w:t>
      </w:r>
      <w:r w:rsidRPr="00D525D8">
        <w:rPr>
          <w:rFonts w:asciiTheme="majorHAnsi" w:hAnsiTheme="majorHAnsi"/>
          <w:sz w:val="20"/>
          <w:szCs w:val="20"/>
          <w:lang w:val="es-PA"/>
        </w:rPr>
        <w:t>los familiares de las víctimas tienen el derecho, y los Estados la obligación, a que lo sucedido a éstas sea efectivamente investigado por las autoridades del Estado; se siga un proceso contra los presuntos responsables de estos ilícitos; en su caso, se les impongan las sanciones pertinentes, y se reparen los daños y perjuicios que dichos familiares han sufrido”</w:t>
      </w:r>
      <w:r w:rsidRPr="00D525D8">
        <w:rPr>
          <w:rStyle w:val="FootnoteReference"/>
          <w:rFonts w:asciiTheme="majorHAnsi" w:hAnsiTheme="majorHAnsi" w:cs="Cambria"/>
          <w:sz w:val="20"/>
          <w:szCs w:val="20"/>
          <w:lang w:val="es-PA"/>
        </w:rPr>
        <w:footnoteReference w:id="8"/>
      </w:r>
      <w:r w:rsidRPr="00D525D8">
        <w:rPr>
          <w:rFonts w:asciiTheme="majorHAnsi" w:hAnsiTheme="majorHAnsi"/>
          <w:sz w:val="20"/>
          <w:szCs w:val="20"/>
          <w:lang w:val="es-PA"/>
        </w:rPr>
        <w:t xml:space="preserve">. </w:t>
      </w:r>
      <w:r w:rsidR="00B3028A" w:rsidRPr="00D525D8">
        <w:rPr>
          <w:rFonts w:asciiTheme="majorHAnsi" w:hAnsiTheme="majorHAnsi"/>
          <w:sz w:val="20"/>
          <w:szCs w:val="20"/>
          <w:lang w:val="es-PA"/>
        </w:rPr>
        <w:t xml:space="preserve">De igual manera, que la Comisión ha reconocido que </w:t>
      </w:r>
      <w:r w:rsidR="00B3028A" w:rsidRPr="00D525D8">
        <w:rPr>
          <w:rFonts w:asciiTheme="majorHAnsi" w:hAnsiTheme="majorHAnsi"/>
          <w:color w:val="auto"/>
          <w:sz w:val="20"/>
          <w:szCs w:val="20"/>
          <w:lang w:val="es-ES"/>
        </w:rPr>
        <w:t>los Estados tienen “</w:t>
      </w:r>
      <w:r w:rsidR="00B3028A" w:rsidRPr="00D525D8">
        <w:rPr>
          <w:rFonts w:asciiTheme="majorHAnsi" w:hAnsiTheme="majorHAnsi" w:cs="Calibri"/>
          <w:color w:val="auto"/>
          <w:sz w:val="20"/>
          <w:szCs w:val="20"/>
          <w:lang w:val="es-ES"/>
        </w:rPr>
        <w:t>la obligación de investigar eficientemente y sancionar aquellas actuaciones que pudieran conducir, incluso por acción u omisión, a la supresión de la inviolabilidad del derecho a la vida”</w:t>
      </w:r>
      <w:r w:rsidR="00B3028A" w:rsidRPr="00D525D8">
        <w:rPr>
          <w:rStyle w:val="FootnoteReference"/>
          <w:rFonts w:asciiTheme="majorHAnsi" w:hAnsiTheme="majorHAnsi" w:cs="Calibri"/>
          <w:color w:val="auto"/>
          <w:sz w:val="20"/>
          <w:szCs w:val="20"/>
          <w:lang w:val="es-ES"/>
        </w:rPr>
        <w:footnoteReference w:id="9"/>
      </w:r>
      <w:r w:rsidR="00B3028A" w:rsidRPr="00D525D8">
        <w:rPr>
          <w:rFonts w:asciiTheme="majorHAnsi" w:hAnsiTheme="majorHAnsi" w:cs="Calibri"/>
          <w:color w:val="auto"/>
          <w:sz w:val="20"/>
          <w:szCs w:val="20"/>
          <w:lang w:val="es-ES"/>
        </w:rPr>
        <w:t>. Adicionalmente, la Co</w:t>
      </w:r>
      <w:r w:rsidR="00D525D8" w:rsidRPr="00D525D8">
        <w:rPr>
          <w:rFonts w:asciiTheme="majorHAnsi" w:hAnsiTheme="majorHAnsi" w:cs="Calibri"/>
          <w:color w:val="auto"/>
          <w:sz w:val="20"/>
          <w:szCs w:val="20"/>
          <w:lang w:val="es-ES"/>
        </w:rPr>
        <w:t xml:space="preserve">misión valora que el artículo 25.2(c) de la Convención Americana establece que los </w:t>
      </w:r>
      <w:r w:rsidR="00D525D8" w:rsidRPr="00D525D8">
        <w:rPr>
          <w:rFonts w:asciiTheme="majorHAnsi" w:hAnsiTheme="majorHAnsi" w:cs="Calibri"/>
          <w:color w:val="auto"/>
          <w:sz w:val="20"/>
          <w:szCs w:val="20"/>
          <w:lang w:val="es-ES"/>
        </w:rPr>
        <w:lastRenderedPageBreak/>
        <w:t>Estados deben “</w:t>
      </w:r>
      <w:r w:rsidR="00D525D8" w:rsidRPr="00D525D8">
        <w:rPr>
          <w:rFonts w:asciiTheme="majorHAnsi" w:hAnsiTheme="majorHAnsi" w:cs="Tahoma"/>
          <w:sz w:val="20"/>
          <w:szCs w:val="20"/>
          <w:lang w:val="es-PA"/>
        </w:rPr>
        <w:t xml:space="preserve">garantizar el cumplimiento, por las autoridades competentes, de toda decisión en que se haya estimado procedente el recurso”. </w:t>
      </w:r>
    </w:p>
    <w:p w14:paraId="64A883AB" w14:textId="171E5887" w:rsidR="00757A02" w:rsidRPr="00037A6F" w:rsidRDefault="00757A02" w:rsidP="00786DBA">
      <w:pPr>
        <w:pStyle w:val="ListParagraph"/>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ind w:left="0"/>
        <w:jc w:val="both"/>
        <w:rPr>
          <w:sz w:val="20"/>
          <w:szCs w:val="20"/>
          <w:lang w:val="es-AR"/>
        </w:rPr>
      </w:pPr>
      <w:r w:rsidRPr="00037A6F">
        <w:rPr>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w:t>
      </w:r>
      <w:r w:rsidRPr="00037A6F">
        <w:rPr>
          <w:bCs/>
          <w:sz w:val="20"/>
          <w:szCs w:val="20"/>
          <w:lang w:val="es-ES"/>
        </w:rPr>
        <w:t xml:space="preserve">artículos </w:t>
      </w:r>
      <w:r w:rsidR="00037A6F" w:rsidRPr="00037A6F">
        <w:rPr>
          <w:bCs/>
          <w:sz w:val="20"/>
          <w:szCs w:val="20"/>
          <w:lang w:val="es-ES"/>
        </w:rPr>
        <w:t>4 (vida), 5 (integridad personal), 8 (garantías judiciales), 17 (protección a la familia), 24 (igualdad ante la ley) y 25 (protección judicial) de la Convención Americana en relación con su artículo 1.1 (obligación de respetar los derechos),</w:t>
      </w:r>
    </w:p>
    <w:p w14:paraId="1D679C37" w14:textId="49C1B903" w:rsidR="00037A6F" w:rsidRPr="00037A6F" w:rsidRDefault="00037A6F" w:rsidP="00786DBA">
      <w:pPr>
        <w:pStyle w:val="ListParagraph"/>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ind w:left="0"/>
        <w:jc w:val="both"/>
        <w:rPr>
          <w:sz w:val="20"/>
          <w:szCs w:val="20"/>
          <w:lang w:val="es-AR"/>
        </w:rPr>
      </w:pPr>
      <w:r w:rsidRPr="00037A6F">
        <w:rPr>
          <w:sz w:val="20"/>
          <w:szCs w:val="20"/>
          <w:lang w:val="es-AR"/>
        </w:rPr>
        <w:t xml:space="preserve">Respecto a las alegadas violaciones a los artículos 10 (indemnización) y 22 (circulación y residencia) de la Convención Americana y al artículo XI (preservación de la salud y bienestar) de la Declaración Americana, la Comisión estima que la parte peticionaria no ha aportado ni surgen del expediente elementos o sustento suficiente para considerar </w:t>
      </w:r>
      <w:r w:rsidRPr="00037A6F">
        <w:rPr>
          <w:i/>
          <w:sz w:val="20"/>
          <w:szCs w:val="20"/>
          <w:lang w:val="es-AR"/>
        </w:rPr>
        <w:t>prima facie</w:t>
      </w:r>
      <w:r w:rsidRPr="00037A6F">
        <w:rPr>
          <w:sz w:val="20"/>
          <w:szCs w:val="20"/>
          <w:lang w:val="es-AR"/>
        </w:rPr>
        <w:t xml:space="preserve"> su posible violación. </w:t>
      </w:r>
    </w:p>
    <w:p w14:paraId="0843640A" w14:textId="22AC9369" w:rsidR="00037A6F" w:rsidRPr="00037A6F" w:rsidRDefault="00037A6F" w:rsidP="00786DBA">
      <w:pPr>
        <w:pStyle w:val="ListParagraph"/>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ind w:left="0"/>
        <w:jc w:val="both"/>
        <w:rPr>
          <w:sz w:val="20"/>
          <w:szCs w:val="20"/>
          <w:lang w:val="es-AR"/>
        </w:rPr>
      </w:pPr>
      <w:r w:rsidRPr="00037A6F">
        <w:rPr>
          <w:sz w:val="20"/>
          <w:szCs w:val="20"/>
          <w:lang w:val="es-AR"/>
        </w:rPr>
        <w:t xml:space="preserve">En cuanto a las alegadas violaciones a los artículos </w:t>
      </w:r>
      <w:r w:rsidRPr="00037A6F">
        <w:rPr>
          <w:bCs/>
          <w:sz w:val="20"/>
          <w:szCs w:val="20"/>
          <w:lang w:val="es-ES"/>
        </w:rPr>
        <w:t>I (vida, libertad, seguridad e integridad), II (igualdad), VIII (residencia y tránsito), y XVIII (justicia)</w:t>
      </w:r>
      <w:r>
        <w:rPr>
          <w:bCs/>
          <w:sz w:val="20"/>
          <w:szCs w:val="20"/>
          <w:lang w:val="es-ES"/>
        </w:rPr>
        <w:t xml:space="preserve"> de la Declaración Americana, la Comisión recuerda que ya </w:t>
      </w:r>
      <w:r w:rsidRPr="00FC2B4A">
        <w:rPr>
          <w:rFonts w:cs="Calibri"/>
          <w:sz w:val="20"/>
          <w:szCs w:val="20"/>
          <w:lang w:val="es-ES_tradnl"/>
        </w:rPr>
        <w:t>ha establecido previamente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w:t>
      </w:r>
      <w:r>
        <w:rPr>
          <w:rFonts w:cs="Calibri"/>
          <w:sz w:val="20"/>
          <w:szCs w:val="20"/>
          <w:lang w:val="es-ES_tradnl"/>
        </w:rPr>
        <w:t xml:space="preserve">. </w:t>
      </w:r>
      <w:r w:rsidR="00AD11FE">
        <w:rPr>
          <w:rFonts w:cs="Calibri"/>
          <w:sz w:val="20"/>
          <w:szCs w:val="20"/>
          <w:lang w:val="es-ES_tradnl"/>
        </w:rPr>
        <w:t>En el presente caso la Comisión considera que las alegadas violaciones a estos artículos no escapan el ámbito e protección de los artículos 4, 5, 8, 22, 24 y 25 de la Convención Americana por lo que las Comisión las examinará a la luz de estos artículos</w:t>
      </w:r>
    </w:p>
    <w:p w14:paraId="1F190413" w14:textId="10E09384" w:rsidR="00D06050" w:rsidRPr="00D06050" w:rsidRDefault="00757A02" w:rsidP="00873276">
      <w:pPr>
        <w:pStyle w:val="ListParagraph"/>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ind w:left="0"/>
        <w:jc w:val="both"/>
        <w:rPr>
          <w:b/>
          <w:bCs/>
          <w:sz w:val="20"/>
          <w:szCs w:val="20"/>
          <w:lang w:val="es-ES"/>
        </w:rPr>
      </w:pPr>
      <w:r w:rsidRPr="00D06050">
        <w:rPr>
          <w:rFonts w:cs="Calibri"/>
          <w:sz w:val="20"/>
          <w:szCs w:val="20"/>
          <w:lang w:val="es-ES_tradnl"/>
        </w:rPr>
        <w:t>Con respecto a los alegatos del Estado referidos a la llamada fórmula de “cuarta instancia”</w:t>
      </w:r>
      <w:r w:rsidRPr="00D06050">
        <w:rPr>
          <w:sz w:val="20"/>
          <w:szCs w:val="20"/>
          <w:lang w:val="es-ES_tradnl"/>
        </w:rPr>
        <w:t>,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r w:rsidRPr="007C5832">
        <w:rPr>
          <w:rStyle w:val="FootnoteReference"/>
          <w:rFonts w:cs="Calibri"/>
          <w:sz w:val="20"/>
          <w:szCs w:val="20"/>
          <w:lang w:val="es-ES_tradnl"/>
        </w:rPr>
        <w:footnoteReference w:id="10"/>
      </w:r>
    </w:p>
    <w:p w14:paraId="325B224F" w14:textId="25BB5783" w:rsidR="00757A02" w:rsidRPr="00B92D4A" w:rsidRDefault="00757A02" w:rsidP="00B92D4A">
      <w:pPr>
        <w:pStyle w:val="ListParagraph"/>
        <w:pBdr>
          <w:top w:val="none" w:sz="0" w:space="0" w:color="auto"/>
          <w:left w:val="none" w:sz="0" w:space="0" w:color="auto"/>
          <w:bottom w:val="none" w:sz="0" w:space="0" w:color="auto"/>
          <w:right w:val="none" w:sz="0" w:space="0" w:color="auto"/>
          <w:bar w:val="none" w:sz="0" w:color="auto"/>
        </w:pBdr>
        <w:suppressAutoHyphens/>
        <w:spacing w:after="240"/>
        <w:jc w:val="both"/>
        <w:rPr>
          <w:sz w:val="20"/>
          <w:szCs w:val="20"/>
          <w:lang w:val="es-AR"/>
        </w:rPr>
      </w:pPr>
      <w:r w:rsidRPr="00B92D4A">
        <w:rPr>
          <w:b/>
          <w:bCs/>
          <w:sz w:val="20"/>
          <w:szCs w:val="20"/>
          <w:lang w:val="es-ES"/>
        </w:rPr>
        <w:t xml:space="preserve">VIII. </w:t>
      </w:r>
      <w:r w:rsidRPr="00B92D4A">
        <w:rPr>
          <w:b/>
          <w:bCs/>
          <w:sz w:val="20"/>
          <w:szCs w:val="20"/>
          <w:lang w:val="es-ES"/>
        </w:rPr>
        <w:tab/>
        <w:t>DECISIÓN</w:t>
      </w:r>
    </w:p>
    <w:p w14:paraId="6D3FF050" w14:textId="106E6C17" w:rsidR="00757A02" w:rsidRDefault="00757A02" w:rsidP="00945886">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sidRPr="00006B74">
        <w:rPr>
          <w:rFonts w:ascii="Cambria" w:hAnsi="Cambria"/>
          <w:sz w:val="20"/>
          <w:szCs w:val="20"/>
          <w:lang w:val="es-ES"/>
        </w:rPr>
        <w:t xml:space="preserve">Declarar </w:t>
      </w:r>
      <w:r>
        <w:rPr>
          <w:rFonts w:ascii="Cambria" w:hAnsi="Cambria"/>
          <w:sz w:val="20"/>
          <w:szCs w:val="20"/>
          <w:lang w:val="es-ES"/>
        </w:rPr>
        <w:t>admisible la presente petición en relación con los artículos 4,</w:t>
      </w:r>
      <w:r w:rsidR="00AD11FE">
        <w:rPr>
          <w:rFonts w:ascii="Cambria" w:hAnsi="Cambria"/>
          <w:sz w:val="20"/>
          <w:szCs w:val="20"/>
          <w:lang w:val="es-ES"/>
        </w:rPr>
        <w:t xml:space="preserve"> 5, 8, 17, 24</w:t>
      </w:r>
      <w:r>
        <w:rPr>
          <w:rFonts w:ascii="Cambria" w:hAnsi="Cambria"/>
          <w:sz w:val="20"/>
          <w:szCs w:val="20"/>
          <w:lang w:val="es-ES"/>
        </w:rPr>
        <w:t xml:space="preserve"> y 25 de la Convención Americana en relación con su artículo 1.1.</w:t>
      </w:r>
    </w:p>
    <w:p w14:paraId="7735765C" w14:textId="6E6E7C8D" w:rsidR="00AD11FE" w:rsidRPr="004C3A7D" w:rsidRDefault="00AD11FE" w:rsidP="00945886">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Declarar inadmisible la presente petición en relación con los artículos 10 y 22 de la Convención Americana y el artículo XI de la Declaración Americana</w:t>
      </w:r>
    </w:p>
    <w:p w14:paraId="5D052F26" w14:textId="77777777" w:rsidR="006051F0" w:rsidRPr="006051F0" w:rsidRDefault="00757A02" w:rsidP="009E25A4">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cs="Arial"/>
          <w:noProof/>
          <w:spacing w:val="-2"/>
          <w:sz w:val="20"/>
          <w:szCs w:val="20"/>
          <w:lang w:val="es-CL"/>
        </w:rPr>
      </w:pPr>
      <w:r w:rsidRPr="006051F0">
        <w:rPr>
          <w:rFonts w:ascii="Cambria" w:hAnsi="Cambria"/>
          <w:sz w:val="20"/>
          <w:szCs w:val="20"/>
          <w:lang w:val="es-ES"/>
        </w:rPr>
        <w:t>Notificar a las partes la presente decisión;</w:t>
      </w:r>
      <w:r w:rsidR="00AD11FE" w:rsidRPr="006051F0">
        <w:rPr>
          <w:rFonts w:ascii="Cambria" w:hAnsi="Cambria"/>
          <w:sz w:val="20"/>
          <w:szCs w:val="20"/>
          <w:lang w:val="es-ES"/>
        </w:rPr>
        <w:t xml:space="preserve"> proceder con el análisis de fo</w:t>
      </w:r>
      <w:r w:rsidR="00A26011" w:rsidRPr="006051F0">
        <w:rPr>
          <w:rFonts w:ascii="Cambria" w:hAnsi="Cambria"/>
          <w:sz w:val="20"/>
          <w:szCs w:val="20"/>
          <w:lang w:val="es-ES"/>
        </w:rPr>
        <w:t>ndo</w:t>
      </w:r>
      <w:r w:rsidRPr="006051F0">
        <w:rPr>
          <w:rFonts w:ascii="Cambria" w:hAnsi="Cambria"/>
          <w:sz w:val="20"/>
          <w:szCs w:val="20"/>
          <w:lang w:val="es-ES"/>
        </w:rPr>
        <w:t xml:space="preserve"> y publicar esta decisión e incluirla en su Informe Anual a la Asamblea General de la Organización de los Estados Americanos.</w:t>
      </w:r>
    </w:p>
    <w:p w14:paraId="381E8C97" w14:textId="44E5601D" w:rsidR="006051F0" w:rsidRDefault="006051F0" w:rsidP="006051F0">
      <w:p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cs="Arial"/>
          <w:noProof/>
          <w:spacing w:val="-2"/>
          <w:sz w:val="20"/>
          <w:szCs w:val="20"/>
          <w:lang w:val="es-CL"/>
        </w:rPr>
      </w:pPr>
      <w:r>
        <w:rPr>
          <w:rFonts w:ascii="Cambria" w:hAnsi="Cambria" w:cs="Arial"/>
          <w:noProof/>
          <w:spacing w:val="-2"/>
          <w:sz w:val="20"/>
          <w:szCs w:val="20"/>
          <w:lang w:val="es-CL"/>
        </w:rPr>
        <w:tab/>
      </w:r>
      <w:r w:rsidRPr="006051F0">
        <w:rPr>
          <w:rFonts w:ascii="Cambria" w:hAnsi="Cambria" w:cs="Arial"/>
          <w:noProof/>
          <w:spacing w:val="-2"/>
          <w:sz w:val="20"/>
          <w:szCs w:val="20"/>
          <w:lang w:val="es-CL"/>
        </w:rPr>
        <w:t>Aprobado por la Comisión Interamericana de Derechos Humanos  a los 14 días del mes de diciembre de 2020.  (Firmado): Joel Hernández, Presidente; Antonia Urr</w:t>
      </w:r>
      <w:r w:rsidR="00211EC5">
        <w:rPr>
          <w:rFonts w:ascii="Cambria" w:hAnsi="Cambria" w:cs="Arial"/>
          <w:noProof/>
          <w:spacing w:val="-2"/>
          <w:sz w:val="20"/>
          <w:szCs w:val="20"/>
          <w:lang w:val="es-CL"/>
        </w:rPr>
        <w:t xml:space="preserve">ejola, Primera Vicepresidenta;  </w:t>
      </w:r>
      <w:r w:rsidRPr="006051F0">
        <w:rPr>
          <w:rFonts w:ascii="Cambria" w:hAnsi="Cambria" w:cs="Arial"/>
          <w:noProof/>
          <w:spacing w:val="-2"/>
          <w:sz w:val="20"/>
          <w:szCs w:val="20"/>
          <w:lang w:val="es-CL"/>
        </w:rPr>
        <w:t>Esmeralda E. Arosemena Bernal de Troitiño y Stuardo Ralón Orellana, Miembros de la Comisión.</w:t>
      </w:r>
      <w:r w:rsidRPr="006051F0">
        <w:rPr>
          <w:rFonts w:ascii="Cambria" w:hAnsi="Cambria" w:cs="Arial"/>
          <w:noProof/>
          <w:sz w:val="20"/>
          <w:szCs w:val="20"/>
          <w:lang w:val="es-CL"/>
        </w:rPr>
        <w:t xml:space="preserve"> </w:t>
      </w:r>
    </w:p>
    <w:p w14:paraId="4987DE7A" w14:textId="77777777" w:rsidR="006051F0" w:rsidRDefault="006051F0">
      <w:pPr>
        <w:pBdr>
          <w:top w:val="none" w:sz="0" w:space="0" w:color="auto"/>
          <w:left w:val="none" w:sz="0" w:space="0" w:color="auto"/>
          <w:bottom w:val="none" w:sz="0" w:space="0" w:color="auto"/>
          <w:right w:val="none" w:sz="0" w:space="0" w:color="auto"/>
          <w:bar w:val="none" w:sz="0" w:color="auto"/>
        </w:pBdr>
        <w:rPr>
          <w:rFonts w:ascii="Cambria" w:hAnsi="Cambria" w:cs="Arial"/>
          <w:noProof/>
          <w:spacing w:val="-2"/>
          <w:sz w:val="20"/>
          <w:szCs w:val="20"/>
          <w:lang w:val="es-CL"/>
        </w:rPr>
      </w:pPr>
      <w:r>
        <w:rPr>
          <w:rFonts w:ascii="Cambria" w:hAnsi="Cambria" w:cs="Arial"/>
          <w:noProof/>
          <w:spacing w:val="-2"/>
          <w:sz w:val="20"/>
          <w:szCs w:val="20"/>
          <w:lang w:val="es-CL"/>
        </w:rPr>
        <w:br w:type="page"/>
      </w:r>
    </w:p>
    <w:p w14:paraId="01F9A05B" w14:textId="12A2F6F4" w:rsidR="005C3863" w:rsidRPr="005C3863" w:rsidRDefault="005C3863" w:rsidP="006051F0">
      <w:pPr>
        <w:pBdr>
          <w:top w:val="none" w:sz="0" w:space="0" w:color="auto"/>
          <w:left w:val="none" w:sz="0" w:space="0" w:color="auto"/>
          <w:bottom w:val="none" w:sz="0" w:space="0" w:color="auto"/>
          <w:right w:val="none" w:sz="0" w:space="0" w:color="auto"/>
          <w:bar w:val="none" w:sz="0" w:color="auto"/>
        </w:pBdr>
        <w:suppressAutoHyphens/>
        <w:spacing w:after="120"/>
        <w:jc w:val="center"/>
        <w:rPr>
          <w:rFonts w:ascii="Cambria" w:hAnsi="Cambria"/>
          <w:b/>
          <w:u w:val="single"/>
          <w:lang w:val="es-ES"/>
        </w:rPr>
      </w:pPr>
      <w:r w:rsidRPr="005C3863">
        <w:rPr>
          <w:rFonts w:ascii="Cambria" w:hAnsi="Cambria"/>
          <w:b/>
          <w:u w:val="single"/>
          <w:lang w:val="es-ES"/>
        </w:rPr>
        <w:lastRenderedPageBreak/>
        <w:t>Lista de Presuntas Víctimas</w:t>
      </w:r>
    </w:p>
    <w:p w14:paraId="6E7499F9" w14:textId="77777777" w:rsidR="005C3863" w:rsidRPr="005C3863" w:rsidRDefault="005C3863" w:rsidP="005C3863">
      <w:pPr>
        <w:rPr>
          <w:rFonts w:asciiTheme="majorHAnsi" w:hAnsiTheme="majorHAnsi"/>
          <w:b/>
          <w:sz w:val="20"/>
          <w:szCs w:val="20"/>
          <w:lang w:val="es-PA"/>
        </w:rPr>
      </w:pPr>
      <w:r w:rsidRPr="005C3863">
        <w:rPr>
          <w:rFonts w:asciiTheme="majorHAnsi" w:hAnsiTheme="majorHAnsi"/>
          <w:b/>
          <w:sz w:val="20"/>
          <w:szCs w:val="20"/>
          <w:lang w:val="es-PA"/>
        </w:rPr>
        <w:t>Los 5 militares</w:t>
      </w:r>
    </w:p>
    <w:p w14:paraId="0A43CDD6" w14:textId="77777777" w:rsidR="005C3863" w:rsidRPr="005C3863" w:rsidRDefault="005C3863" w:rsidP="005C3863">
      <w:pPr>
        <w:pStyle w:val="ListParagraph"/>
        <w:numPr>
          <w:ilvl w:val="0"/>
          <w:numId w:val="62"/>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r w:rsidRPr="005C3863">
        <w:rPr>
          <w:rFonts w:asciiTheme="majorHAnsi" w:hAnsiTheme="majorHAnsi"/>
          <w:sz w:val="20"/>
          <w:szCs w:val="20"/>
          <w:lang w:val="es-PA"/>
        </w:rPr>
        <w:t xml:space="preserve">Javier Muñoz Valdés </w:t>
      </w:r>
    </w:p>
    <w:p w14:paraId="663C3F44" w14:textId="77777777" w:rsidR="005C3863" w:rsidRPr="005C3863" w:rsidRDefault="005C3863" w:rsidP="005C3863">
      <w:pPr>
        <w:pStyle w:val="ListParagraph"/>
        <w:numPr>
          <w:ilvl w:val="0"/>
          <w:numId w:val="62"/>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r w:rsidRPr="005C3863">
        <w:rPr>
          <w:rFonts w:asciiTheme="majorHAnsi" w:hAnsiTheme="majorHAnsi"/>
          <w:sz w:val="20"/>
          <w:szCs w:val="20"/>
          <w:lang w:val="es-PA"/>
        </w:rPr>
        <w:t>Pablo José Cuy Fonseca</w:t>
      </w:r>
    </w:p>
    <w:p w14:paraId="3053FA35" w14:textId="77777777" w:rsidR="005C3863" w:rsidRPr="005C3863" w:rsidRDefault="005C3863" w:rsidP="005C3863">
      <w:pPr>
        <w:pStyle w:val="ListParagraph"/>
        <w:numPr>
          <w:ilvl w:val="0"/>
          <w:numId w:val="62"/>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r w:rsidRPr="005C3863">
        <w:rPr>
          <w:rFonts w:asciiTheme="majorHAnsi" w:hAnsiTheme="majorHAnsi"/>
          <w:sz w:val="20"/>
          <w:szCs w:val="20"/>
          <w:lang w:val="es-PA"/>
        </w:rPr>
        <w:t>Benjamín Rubio</w:t>
      </w:r>
    </w:p>
    <w:p w14:paraId="20B28950" w14:textId="77777777" w:rsidR="005C3863" w:rsidRPr="005C3863" w:rsidRDefault="005C3863" w:rsidP="005C3863">
      <w:pPr>
        <w:pStyle w:val="ListParagraph"/>
        <w:numPr>
          <w:ilvl w:val="0"/>
          <w:numId w:val="62"/>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proofErr w:type="spellStart"/>
      <w:r w:rsidRPr="005C3863">
        <w:rPr>
          <w:rFonts w:asciiTheme="majorHAnsi" w:hAnsiTheme="majorHAnsi"/>
          <w:sz w:val="20"/>
          <w:szCs w:val="20"/>
          <w:lang w:val="es-PA"/>
        </w:rPr>
        <w:t>Cleiser</w:t>
      </w:r>
      <w:proofErr w:type="spellEnd"/>
      <w:r w:rsidRPr="005C3863">
        <w:rPr>
          <w:rFonts w:asciiTheme="majorHAnsi" w:hAnsiTheme="majorHAnsi"/>
          <w:sz w:val="20"/>
          <w:szCs w:val="20"/>
          <w:lang w:val="es-PA"/>
        </w:rPr>
        <w:t xml:space="preserve"> Palacios </w:t>
      </w:r>
      <w:proofErr w:type="spellStart"/>
      <w:r w:rsidRPr="005C3863">
        <w:rPr>
          <w:rFonts w:asciiTheme="majorHAnsi" w:hAnsiTheme="majorHAnsi"/>
          <w:sz w:val="20"/>
          <w:szCs w:val="20"/>
          <w:lang w:val="es-PA"/>
        </w:rPr>
        <w:t>Palacios</w:t>
      </w:r>
      <w:proofErr w:type="spellEnd"/>
    </w:p>
    <w:p w14:paraId="7C4A9587" w14:textId="77777777" w:rsidR="005C3863" w:rsidRPr="005C3863" w:rsidRDefault="005C3863" w:rsidP="005C3863">
      <w:pPr>
        <w:pStyle w:val="ListParagraph"/>
        <w:numPr>
          <w:ilvl w:val="0"/>
          <w:numId w:val="62"/>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proofErr w:type="spellStart"/>
      <w:r w:rsidRPr="005C3863">
        <w:rPr>
          <w:rFonts w:asciiTheme="majorHAnsi" w:hAnsiTheme="majorHAnsi"/>
          <w:sz w:val="20"/>
          <w:szCs w:val="20"/>
          <w:lang w:val="es-PA"/>
        </w:rPr>
        <w:t>Jhon</w:t>
      </w:r>
      <w:proofErr w:type="spellEnd"/>
      <w:r w:rsidRPr="005C3863">
        <w:rPr>
          <w:rFonts w:asciiTheme="majorHAnsi" w:hAnsiTheme="majorHAnsi"/>
          <w:sz w:val="20"/>
          <w:szCs w:val="20"/>
          <w:lang w:val="es-PA"/>
        </w:rPr>
        <w:t xml:space="preserve"> Fredy Orrego Carmona</w:t>
      </w:r>
    </w:p>
    <w:p w14:paraId="387A579D" w14:textId="77777777" w:rsidR="005C3863" w:rsidRPr="005C3863" w:rsidRDefault="005C3863" w:rsidP="005C3863">
      <w:pPr>
        <w:rPr>
          <w:rFonts w:asciiTheme="majorHAnsi" w:hAnsiTheme="majorHAnsi"/>
          <w:b/>
          <w:sz w:val="20"/>
          <w:szCs w:val="20"/>
          <w:lang w:val="es-PA"/>
        </w:rPr>
      </w:pPr>
      <w:r w:rsidRPr="005C3863">
        <w:rPr>
          <w:rFonts w:asciiTheme="majorHAnsi" w:hAnsiTheme="majorHAnsi"/>
          <w:b/>
          <w:sz w:val="20"/>
          <w:szCs w:val="20"/>
          <w:lang w:val="es-PA"/>
        </w:rPr>
        <w:t>Personas familiares de los 5 militares</w:t>
      </w:r>
    </w:p>
    <w:p w14:paraId="487FFDBF" w14:textId="77777777" w:rsidR="005C3863" w:rsidRPr="005C3863" w:rsidRDefault="005C3863" w:rsidP="005C3863">
      <w:pPr>
        <w:rPr>
          <w:rFonts w:asciiTheme="majorHAnsi" w:hAnsiTheme="majorHAnsi"/>
          <w:sz w:val="20"/>
          <w:szCs w:val="20"/>
          <w:u w:val="single"/>
          <w:lang w:val="es-PA"/>
        </w:rPr>
      </w:pPr>
      <w:r w:rsidRPr="005C3863">
        <w:rPr>
          <w:rFonts w:asciiTheme="majorHAnsi" w:hAnsiTheme="majorHAnsi"/>
          <w:sz w:val="20"/>
          <w:szCs w:val="20"/>
          <w:u w:val="single"/>
          <w:lang w:val="es-PA"/>
        </w:rPr>
        <w:t>Familiares de Javier Muñoz Valdés</w:t>
      </w:r>
    </w:p>
    <w:p w14:paraId="71366ED0" w14:textId="77777777" w:rsidR="005C3863" w:rsidRPr="005C3863" w:rsidRDefault="005C3863" w:rsidP="005C3863">
      <w:pPr>
        <w:pStyle w:val="ListParagraph"/>
        <w:numPr>
          <w:ilvl w:val="0"/>
          <w:numId w:val="63"/>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u w:val="single"/>
          <w:lang w:val="es-PA"/>
        </w:rPr>
      </w:pPr>
      <w:r w:rsidRPr="005C3863">
        <w:rPr>
          <w:rFonts w:asciiTheme="majorHAnsi" w:hAnsiTheme="majorHAnsi"/>
          <w:sz w:val="20"/>
          <w:szCs w:val="20"/>
          <w:lang w:val="es-PA"/>
        </w:rPr>
        <w:t>Mercedes Valdés de Muñoz (madre)</w:t>
      </w:r>
    </w:p>
    <w:p w14:paraId="50460704" w14:textId="77777777" w:rsidR="005C3863" w:rsidRPr="005C3863" w:rsidRDefault="005C3863" w:rsidP="005C3863">
      <w:pPr>
        <w:pStyle w:val="ListParagraph"/>
        <w:numPr>
          <w:ilvl w:val="0"/>
          <w:numId w:val="63"/>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u w:val="single"/>
          <w:lang w:val="es-PA"/>
        </w:rPr>
      </w:pPr>
      <w:r w:rsidRPr="005C3863">
        <w:rPr>
          <w:rFonts w:asciiTheme="majorHAnsi" w:hAnsiTheme="majorHAnsi"/>
          <w:sz w:val="20"/>
          <w:szCs w:val="20"/>
          <w:lang w:val="es-PA"/>
        </w:rPr>
        <w:t>Augusto Antonio Muñoz Valdés</w:t>
      </w:r>
    </w:p>
    <w:p w14:paraId="2987FC32" w14:textId="77777777" w:rsidR="005C3863" w:rsidRPr="005C3863" w:rsidRDefault="005C3863" w:rsidP="005C3863">
      <w:pPr>
        <w:pStyle w:val="ListParagraph"/>
        <w:numPr>
          <w:ilvl w:val="0"/>
          <w:numId w:val="63"/>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u w:val="single"/>
          <w:lang w:val="es-PA"/>
        </w:rPr>
      </w:pPr>
      <w:r w:rsidRPr="005C3863">
        <w:rPr>
          <w:rFonts w:asciiTheme="majorHAnsi" w:hAnsiTheme="majorHAnsi"/>
          <w:sz w:val="20"/>
          <w:szCs w:val="20"/>
          <w:lang w:val="es-PA"/>
        </w:rPr>
        <w:t>Blanca Inés Muñoz Valdés</w:t>
      </w:r>
    </w:p>
    <w:p w14:paraId="60E2D88A" w14:textId="77777777" w:rsidR="005C3863" w:rsidRPr="005C3863" w:rsidRDefault="005C3863" w:rsidP="005C3863">
      <w:pPr>
        <w:pStyle w:val="ListParagraph"/>
        <w:numPr>
          <w:ilvl w:val="0"/>
          <w:numId w:val="63"/>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u w:val="single"/>
          <w:lang w:val="es-PA"/>
        </w:rPr>
      </w:pPr>
      <w:r w:rsidRPr="005C3863">
        <w:rPr>
          <w:rFonts w:asciiTheme="majorHAnsi" w:hAnsiTheme="majorHAnsi"/>
          <w:sz w:val="20"/>
          <w:szCs w:val="20"/>
          <w:lang w:val="es-PA"/>
        </w:rPr>
        <w:t>Roberto Muñoz Valdés</w:t>
      </w:r>
    </w:p>
    <w:p w14:paraId="7999FFD2" w14:textId="77777777" w:rsidR="005C3863" w:rsidRPr="005C3863" w:rsidRDefault="005C3863" w:rsidP="005C3863">
      <w:pPr>
        <w:pStyle w:val="ListParagraph"/>
        <w:numPr>
          <w:ilvl w:val="0"/>
          <w:numId w:val="63"/>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u w:val="single"/>
          <w:lang w:val="es-PA"/>
        </w:rPr>
      </w:pPr>
      <w:r w:rsidRPr="005C3863">
        <w:rPr>
          <w:rFonts w:asciiTheme="majorHAnsi" w:hAnsiTheme="majorHAnsi"/>
          <w:sz w:val="20"/>
          <w:szCs w:val="20"/>
          <w:lang w:val="es-PA"/>
        </w:rPr>
        <w:t>Rafael Muñoz Valdés</w:t>
      </w:r>
    </w:p>
    <w:p w14:paraId="23F80564" w14:textId="77777777" w:rsidR="005C3863" w:rsidRPr="005C3863" w:rsidRDefault="005C3863" w:rsidP="005C3863">
      <w:pPr>
        <w:pStyle w:val="ListParagraph"/>
        <w:numPr>
          <w:ilvl w:val="0"/>
          <w:numId w:val="63"/>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u w:val="single"/>
          <w:lang w:val="es-PA"/>
        </w:rPr>
      </w:pPr>
      <w:r w:rsidRPr="005C3863">
        <w:rPr>
          <w:rFonts w:asciiTheme="majorHAnsi" w:hAnsiTheme="majorHAnsi"/>
          <w:sz w:val="20"/>
          <w:szCs w:val="20"/>
          <w:lang w:val="es-PA"/>
        </w:rPr>
        <w:t>Jaime Muñoz Valdés</w:t>
      </w:r>
    </w:p>
    <w:p w14:paraId="7CF38898" w14:textId="77777777" w:rsidR="005C3863" w:rsidRPr="005C3863" w:rsidRDefault="005C3863" w:rsidP="005C3863">
      <w:pPr>
        <w:pStyle w:val="ListParagraph"/>
        <w:numPr>
          <w:ilvl w:val="0"/>
          <w:numId w:val="63"/>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u w:val="single"/>
          <w:lang w:val="es-PA"/>
        </w:rPr>
      </w:pPr>
      <w:r w:rsidRPr="005C3863">
        <w:rPr>
          <w:rFonts w:asciiTheme="majorHAnsi" w:hAnsiTheme="majorHAnsi"/>
          <w:sz w:val="20"/>
          <w:szCs w:val="20"/>
          <w:lang w:val="es-PA"/>
        </w:rPr>
        <w:t>Fabio Muñoz Valdés</w:t>
      </w:r>
    </w:p>
    <w:p w14:paraId="25CC230F" w14:textId="77777777" w:rsidR="005C3863" w:rsidRPr="005C3863" w:rsidRDefault="005C3863" w:rsidP="005C3863">
      <w:pPr>
        <w:pStyle w:val="ListParagraph"/>
        <w:numPr>
          <w:ilvl w:val="0"/>
          <w:numId w:val="63"/>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u w:val="single"/>
          <w:lang w:val="es-PA"/>
        </w:rPr>
      </w:pPr>
      <w:r w:rsidRPr="005C3863">
        <w:rPr>
          <w:rFonts w:asciiTheme="majorHAnsi" w:hAnsiTheme="majorHAnsi"/>
          <w:sz w:val="20"/>
          <w:szCs w:val="20"/>
          <w:lang w:val="es-PA"/>
        </w:rPr>
        <w:t xml:space="preserve">María </w:t>
      </w:r>
      <w:proofErr w:type="spellStart"/>
      <w:r w:rsidRPr="005C3863">
        <w:rPr>
          <w:rFonts w:asciiTheme="majorHAnsi" w:hAnsiTheme="majorHAnsi"/>
          <w:sz w:val="20"/>
          <w:szCs w:val="20"/>
          <w:lang w:val="es-PA"/>
        </w:rPr>
        <w:t>Nury</w:t>
      </w:r>
      <w:proofErr w:type="spellEnd"/>
      <w:r w:rsidRPr="005C3863">
        <w:rPr>
          <w:rFonts w:asciiTheme="majorHAnsi" w:hAnsiTheme="majorHAnsi"/>
          <w:sz w:val="20"/>
          <w:szCs w:val="20"/>
          <w:lang w:val="es-PA"/>
        </w:rPr>
        <w:t xml:space="preserve"> Muñoz Valdés</w:t>
      </w:r>
    </w:p>
    <w:p w14:paraId="2369C966" w14:textId="77777777" w:rsidR="005C3863" w:rsidRPr="005C3863" w:rsidRDefault="005C3863" w:rsidP="005C3863">
      <w:pPr>
        <w:pStyle w:val="ListParagraph"/>
        <w:numPr>
          <w:ilvl w:val="0"/>
          <w:numId w:val="63"/>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u w:val="single"/>
          <w:lang w:val="es-PA"/>
        </w:rPr>
      </w:pPr>
      <w:r w:rsidRPr="005C3863">
        <w:rPr>
          <w:rFonts w:asciiTheme="majorHAnsi" w:hAnsiTheme="majorHAnsi"/>
          <w:sz w:val="20"/>
          <w:szCs w:val="20"/>
          <w:lang w:val="es-PA"/>
        </w:rPr>
        <w:t>Mercedes Muñoz de Males</w:t>
      </w:r>
    </w:p>
    <w:p w14:paraId="2C600474" w14:textId="77777777" w:rsidR="005C3863" w:rsidRPr="005C3863" w:rsidRDefault="005C3863" w:rsidP="005C3863">
      <w:pPr>
        <w:pStyle w:val="ListParagraph"/>
        <w:numPr>
          <w:ilvl w:val="0"/>
          <w:numId w:val="63"/>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u w:val="single"/>
          <w:lang w:val="es-PA"/>
        </w:rPr>
      </w:pPr>
      <w:r w:rsidRPr="005C3863">
        <w:rPr>
          <w:rFonts w:asciiTheme="majorHAnsi" w:hAnsiTheme="majorHAnsi"/>
          <w:sz w:val="20"/>
          <w:szCs w:val="20"/>
          <w:lang w:val="es-PA"/>
        </w:rPr>
        <w:t>José Daniel Muñoz Valdés</w:t>
      </w:r>
    </w:p>
    <w:p w14:paraId="7A97AB08" w14:textId="77777777" w:rsidR="005C3863" w:rsidRPr="005C3863" w:rsidRDefault="005C3863" w:rsidP="005C3863">
      <w:pPr>
        <w:pStyle w:val="ListParagraph"/>
        <w:numPr>
          <w:ilvl w:val="0"/>
          <w:numId w:val="63"/>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u w:val="single"/>
          <w:lang w:val="es-PA"/>
        </w:rPr>
      </w:pPr>
      <w:r w:rsidRPr="005C3863">
        <w:rPr>
          <w:rFonts w:asciiTheme="majorHAnsi" w:hAnsiTheme="majorHAnsi"/>
          <w:sz w:val="20"/>
          <w:szCs w:val="20"/>
          <w:lang w:val="es-PA"/>
        </w:rPr>
        <w:t>Graciela Muñoz Valdés</w:t>
      </w:r>
    </w:p>
    <w:p w14:paraId="27894A65" w14:textId="77777777" w:rsidR="005C3863" w:rsidRPr="005C3863" w:rsidRDefault="005C3863" w:rsidP="005C3863">
      <w:pPr>
        <w:pStyle w:val="ListParagraph"/>
        <w:numPr>
          <w:ilvl w:val="0"/>
          <w:numId w:val="63"/>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u w:val="single"/>
          <w:lang w:val="es-PA"/>
        </w:rPr>
      </w:pPr>
      <w:r w:rsidRPr="005C3863">
        <w:rPr>
          <w:rFonts w:asciiTheme="majorHAnsi" w:hAnsiTheme="majorHAnsi"/>
          <w:sz w:val="20"/>
          <w:szCs w:val="20"/>
          <w:lang w:val="es-PA"/>
        </w:rPr>
        <w:t>Leonor Muñoz Valdés</w:t>
      </w:r>
    </w:p>
    <w:p w14:paraId="58F7BB2A" w14:textId="77777777" w:rsidR="005C3863" w:rsidRPr="005C3863" w:rsidRDefault="005C3863" w:rsidP="005C3863">
      <w:pPr>
        <w:pStyle w:val="ListParagraph"/>
        <w:numPr>
          <w:ilvl w:val="0"/>
          <w:numId w:val="63"/>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u w:val="single"/>
          <w:lang w:val="es-PA"/>
        </w:rPr>
      </w:pPr>
      <w:proofErr w:type="spellStart"/>
      <w:r w:rsidRPr="005C3863">
        <w:rPr>
          <w:rFonts w:asciiTheme="majorHAnsi" w:hAnsiTheme="majorHAnsi"/>
          <w:sz w:val="20"/>
          <w:szCs w:val="20"/>
          <w:lang w:val="es-PA"/>
        </w:rPr>
        <w:t>Sigifredo</w:t>
      </w:r>
      <w:proofErr w:type="spellEnd"/>
      <w:r w:rsidRPr="005C3863">
        <w:rPr>
          <w:rFonts w:asciiTheme="majorHAnsi" w:hAnsiTheme="majorHAnsi"/>
          <w:sz w:val="20"/>
          <w:szCs w:val="20"/>
          <w:lang w:val="es-PA"/>
        </w:rPr>
        <w:t xml:space="preserve"> Muñoz Valdés</w:t>
      </w:r>
    </w:p>
    <w:p w14:paraId="32D4161F" w14:textId="77777777" w:rsidR="005C3863" w:rsidRPr="005C3863" w:rsidRDefault="005C3863" w:rsidP="005C3863">
      <w:pPr>
        <w:rPr>
          <w:rFonts w:asciiTheme="majorHAnsi" w:hAnsiTheme="majorHAnsi"/>
          <w:sz w:val="20"/>
          <w:szCs w:val="20"/>
          <w:u w:val="single"/>
          <w:lang w:val="es-PA"/>
        </w:rPr>
      </w:pPr>
      <w:r w:rsidRPr="005C3863">
        <w:rPr>
          <w:rFonts w:asciiTheme="majorHAnsi" w:hAnsiTheme="majorHAnsi"/>
          <w:sz w:val="20"/>
          <w:szCs w:val="20"/>
          <w:u w:val="single"/>
          <w:lang w:val="es-PA"/>
        </w:rPr>
        <w:t>Familiares de Pablo José Cuy Fonseca</w:t>
      </w:r>
    </w:p>
    <w:p w14:paraId="0D617144" w14:textId="77777777" w:rsidR="005C3863" w:rsidRPr="005C3863" w:rsidRDefault="005C3863" w:rsidP="005C3863">
      <w:pPr>
        <w:pStyle w:val="ListParagraph"/>
        <w:numPr>
          <w:ilvl w:val="0"/>
          <w:numId w:val="64"/>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r w:rsidRPr="005C3863">
        <w:rPr>
          <w:rFonts w:asciiTheme="majorHAnsi" w:hAnsiTheme="majorHAnsi"/>
          <w:sz w:val="20"/>
          <w:szCs w:val="20"/>
          <w:lang w:val="es-PA"/>
        </w:rPr>
        <w:t>Pablo Emilio Cuy Bernal (padre)</w:t>
      </w:r>
    </w:p>
    <w:p w14:paraId="6E42F48C" w14:textId="77777777" w:rsidR="005C3863" w:rsidRPr="005C3863" w:rsidRDefault="005C3863" w:rsidP="005C3863">
      <w:pPr>
        <w:pStyle w:val="ListParagraph"/>
        <w:numPr>
          <w:ilvl w:val="0"/>
          <w:numId w:val="64"/>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r w:rsidRPr="005C3863">
        <w:rPr>
          <w:rFonts w:asciiTheme="majorHAnsi" w:hAnsiTheme="majorHAnsi"/>
          <w:sz w:val="20"/>
          <w:szCs w:val="20"/>
          <w:lang w:val="es-PA"/>
        </w:rPr>
        <w:t xml:space="preserve">Pablo </w:t>
      </w:r>
      <w:proofErr w:type="spellStart"/>
      <w:r w:rsidRPr="005C3863">
        <w:rPr>
          <w:rFonts w:asciiTheme="majorHAnsi" w:hAnsiTheme="majorHAnsi"/>
          <w:sz w:val="20"/>
          <w:szCs w:val="20"/>
          <w:lang w:val="es-PA"/>
        </w:rPr>
        <w:t>Yadir</w:t>
      </w:r>
      <w:proofErr w:type="spellEnd"/>
      <w:r w:rsidRPr="005C3863">
        <w:rPr>
          <w:rFonts w:asciiTheme="majorHAnsi" w:hAnsiTheme="majorHAnsi"/>
          <w:sz w:val="20"/>
          <w:szCs w:val="20"/>
          <w:lang w:val="es-PA"/>
        </w:rPr>
        <w:t xml:space="preserve"> Cuy Vargas (hermano)</w:t>
      </w:r>
    </w:p>
    <w:p w14:paraId="19AC9D91" w14:textId="77777777" w:rsidR="005C3863" w:rsidRPr="005C3863" w:rsidRDefault="005C3863" w:rsidP="005C3863">
      <w:pPr>
        <w:pStyle w:val="ListParagraph"/>
        <w:numPr>
          <w:ilvl w:val="0"/>
          <w:numId w:val="64"/>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proofErr w:type="spellStart"/>
      <w:r w:rsidRPr="005C3863">
        <w:rPr>
          <w:rFonts w:asciiTheme="majorHAnsi" w:hAnsiTheme="majorHAnsi"/>
          <w:sz w:val="20"/>
          <w:szCs w:val="20"/>
          <w:lang w:val="es-PA"/>
        </w:rPr>
        <w:t>Jhoan</w:t>
      </w:r>
      <w:proofErr w:type="spellEnd"/>
      <w:r w:rsidRPr="005C3863">
        <w:rPr>
          <w:rFonts w:asciiTheme="majorHAnsi" w:hAnsiTheme="majorHAnsi"/>
          <w:sz w:val="20"/>
          <w:szCs w:val="20"/>
          <w:lang w:val="es-PA"/>
        </w:rPr>
        <w:t xml:space="preserve"> Sebastián Cuy Vargas (hermano)</w:t>
      </w:r>
    </w:p>
    <w:p w14:paraId="0E257D26" w14:textId="77777777" w:rsidR="005C3863" w:rsidRPr="005C3863" w:rsidRDefault="005C3863" w:rsidP="005C3863">
      <w:pPr>
        <w:pStyle w:val="ListParagraph"/>
        <w:numPr>
          <w:ilvl w:val="0"/>
          <w:numId w:val="64"/>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proofErr w:type="spellStart"/>
      <w:r w:rsidRPr="005C3863">
        <w:rPr>
          <w:rFonts w:asciiTheme="majorHAnsi" w:hAnsiTheme="majorHAnsi"/>
          <w:sz w:val="20"/>
          <w:szCs w:val="20"/>
          <w:lang w:val="es-PA"/>
        </w:rPr>
        <w:t>Brayan</w:t>
      </w:r>
      <w:proofErr w:type="spellEnd"/>
      <w:r w:rsidRPr="005C3863">
        <w:rPr>
          <w:rFonts w:asciiTheme="majorHAnsi" w:hAnsiTheme="majorHAnsi"/>
          <w:sz w:val="20"/>
          <w:szCs w:val="20"/>
          <w:lang w:val="es-PA"/>
        </w:rPr>
        <w:t xml:space="preserve"> David Cuy Vargas (hermano)</w:t>
      </w:r>
    </w:p>
    <w:p w14:paraId="4F3EDA7E" w14:textId="77777777" w:rsidR="005C3863" w:rsidRPr="005C3863" w:rsidRDefault="005C3863" w:rsidP="005C3863">
      <w:pPr>
        <w:pStyle w:val="ListParagraph"/>
        <w:numPr>
          <w:ilvl w:val="0"/>
          <w:numId w:val="64"/>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r w:rsidRPr="005C3863">
        <w:rPr>
          <w:rFonts w:asciiTheme="majorHAnsi" w:hAnsiTheme="majorHAnsi"/>
          <w:sz w:val="20"/>
          <w:szCs w:val="20"/>
          <w:lang w:val="es-PA"/>
        </w:rPr>
        <w:t xml:space="preserve">Ana Isabel Fonseca </w:t>
      </w:r>
      <w:proofErr w:type="spellStart"/>
      <w:r w:rsidRPr="005C3863">
        <w:rPr>
          <w:rFonts w:asciiTheme="majorHAnsi" w:hAnsiTheme="majorHAnsi"/>
          <w:sz w:val="20"/>
          <w:szCs w:val="20"/>
          <w:lang w:val="es-PA"/>
        </w:rPr>
        <w:t>Suarique</w:t>
      </w:r>
      <w:proofErr w:type="spellEnd"/>
      <w:r w:rsidRPr="005C3863">
        <w:rPr>
          <w:rFonts w:asciiTheme="majorHAnsi" w:hAnsiTheme="majorHAnsi"/>
          <w:sz w:val="20"/>
          <w:szCs w:val="20"/>
          <w:lang w:val="es-PA"/>
        </w:rPr>
        <w:t xml:space="preserve"> (madre)</w:t>
      </w:r>
    </w:p>
    <w:p w14:paraId="3950FCC0" w14:textId="77777777" w:rsidR="005C3863" w:rsidRPr="005C3863" w:rsidRDefault="005C3863" w:rsidP="005C3863">
      <w:pPr>
        <w:pStyle w:val="ListParagraph"/>
        <w:numPr>
          <w:ilvl w:val="0"/>
          <w:numId w:val="64"/>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r w:rsidRPr="005C3863">
        <w:rPr>
          <w:rFonts w:asciiTheme="majorHAnsi" w:hAnsiTheme="majorHAnsi"/>
          <w:sz w:val="20"/>
          <w:szCs w:val="20"/>
          <w:lang w:val="es-PA"/>
        </w:rPr>
        <w:t>María Odilia Fonseca (hermana)</w:t>
      </w:r>
    </w:p>
    <w:p w14:paraId="72FD1795" w14:textId="77777777" w:rsidR="005C3863" w:rsidRPr="005C3863" w:rsidRDefault="005C3863" w:rsidP="005C3863">
      <w:pPr>
        <w:pStyle w:val="ListParagraph"/>
        <w:numPr>
          <w:ilvl w:val="0"/>
          <w:numId w:val="64"/>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r w:rsidRPr="005C3863">
        <w:rPr>
          <w:rFonts w:asciiTheme="majorHAnsi" w:hAnsiTheme="majorHAnsi"/>
          <w:sz w:val="20"/>
          <w:szCs w:val="20"/>
          <w:lang w:val="es-PA"/>
        </w:rPr>
        <w:t>Fredy Alex Cuy Fonseca (hermano)</w:t>
      </w:r>
    </w:p>
    <w:p w14:paraId="727E940E" w14:textId="77777777" w:rsidR="005C3863" w:rsidRPr="005C3863" w:rsidRDefault="005C3863" w:rsidP="005C3863">
      <w:pPr>
        <w:pStyle w:val="ListParagraph"/>
        <w:numPr>
          <w:ilvl w:val="0"/>
          <w:numId w:val="64"/>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r w:rsidRPr="005C3863">
        <w:rPr>
          <w:rFonts w:asciiTheme="majorHAnsi" w:hAnsiTheme="majorHAnsi"/>
          <w:sz w:val="20"/>
          <w:szCs w:val="20"/>
          <w:lang w:val="es-PA"/>
        </w:rPr>
        <w:t>Nixon Emilio Cuy Fonseca (hermano)</w:t>
      </w:r>
    </w:p>
    <w:p w14:paraId="7D02D0B2" w14:textId="77777777" w:rsidR="005C3863" w:rsidRPr="005C3863" w:rsidRDefault="005C3863" w:rsidP="005C3863">
      <w:pPr>
        <w:pStyle w:val="ListParagraph"/>
        <w:numPr>
          <w:ilvl w:val="0"/>
          <w:numId w:val="64"/>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r w:rsidRPr="005C3863">
        <w:rPr>
          <w:rFonts w:asciiTheme="majorHAnsi" w:hAnsiTheme="majorHAnsi"/>
          <w:sz w:val="20"/>
          <w:szCs w:val="20"/>
          <w:lang w:val="es-PA"/>
        </w:rPr>
        <w:t>Ferney Danilo Cifuentes Fonseca (hermano)</w:t>
      </w:r>
    </w:p>
    <w:p w14:paraId="700D475B" w14:textId="77777777" w:rsidR="005C3863" w:rsidRPr="005C3863" w:rsidRDefault="005C3863" w:rsidP="005C3863">
      <w:pPr>
        <w:pStyle w:val="ListParagraph"/>
        <w:numPr>
          <w:ilvl w:val="0"/>
          <w:numId w:val="64"/>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r w:rsidRPr="005C3863">
        <w:rPr>
          <w:rFonts w:asciiTheme="majorHAnsi" w:hAnsiTheme="majorHAnsi"/>
          <w:sz w:val="20"/>
          <w:szCs w:val="20"/>
          <w:lang w:val="es-PA"/>
        </w:rPr>
        <w:t>Ivan librado Cifuentes Fonseca (hermano)</w:t>
      </w:r>
    </w:p>
    <w:p w14:paraId="4877504A" w14:textId="77777777" w:rsidR="005C3863" w:rsidRPr="005C3863" w:rsidRDefault="005C3863" w:rsidP="005C3863">
      <w:pPr>
        <w:pStyle w:val="ListParagraph"/>
        <w:numPr>
          <w:ilvl w:val="0"/>
          <w:numId w:val="64"/>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proofErr w:type="spellStart"/>
      <w:r w:rsidRPr="005C3863">
        <w:rPr>
          <w:rFonts w:asciiTheme="majorHAnsi" w:hAnsiTheme="majorHAnsi"/>
          <w:sz w:val="20"/>
          <w:szCs w:val="20"/>
          <w:lang w:val="es-PA"/>
        </w:rPr>
        <w:t>Yon</w:t>
      </w:r>
      <w:proofErr w:type="spellEnd"/>
      <w:r w:rsidRPr="005C3863">
        <w:rPr>
          <w:rFonts w:asciiTheme="majorHAnsi" w:hAnsiTheme="majorHAnsi"/>
          <w:sz w:val="20"/>
          <w:szCs w:val="20"/>
          <w:lang w:val="es-PA"/>
        </w:rPr>
        <w:t xml:space="preserve"> Fredy Cuy Castro (hermano)</w:t>
      </w:r>
    </w:p>
    <w:p w14:paraId="245005D2" w14:textId="77777777" w:rsidR="005C3863" w:rsidRPr="005C3863" w:rsidRDefault="005C3863" w:rsidP="005C3863">
      <w:pPr>
        <w:pStyle w:val="ListParagraph"/>
        <w:numPr>
          <w:ilvl w:val="0"/>
          <w:numId w:val="64"/>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r w:rsidRPr="005C3863">
        <w:rPr>
          <w:rFonts w:asciiTheme="majorHAnsi" w:hAnsiTheme="majorHAnsi"/>
          <w:sz w:val="20"/>
          <w:szCs w:val="20"/>
          <w:lang w:val="es-PA"/>
        </w:rPr>
        <w:t>José Fonseca (abuelo materno)</w:t>
      </w:r>
    </w:p>
    <w:p w14:paraId="2CFC0216" w14:textId="77777777" w:rsidR="005C3863" w:rsidRPr="005C3863" w:rsidRDefault="005C3863" w:rsidP="005C3863">
      <w:pPr>
        <w:rPr>
          <w:rFonts w:asciiTheme="majorHAnsi" w:hAnsiTheme="majorHAnsi"/>
          <w:sz w:val="20"/>
          <w:szCs w:val="20"/>
          <w:u w:val="single"/>
          <w:lang w:val="es-PA"/>
        </w:rPr>
      </w:pPr>
      <w:r w:rsidRPr="005C3863">
        <w:rPr>
          <w:rFonts w:asciiTheme="majorHAnsi" w:hAnsiTheme="majorHAnsi"/>
          <w:sz w:val="20"/>
          <w:szCs w:val="20"/>
          <w:u w:val="single"/>
          <w:lang w:val="es-PA"/>
        </w:rPr>
        <w:lastRenderedPageBreak/>
        <w:t>Familiares de Benjamín Rubio</w:t>
      </w:r>
    </w:p>
    <w:p w14:paraId="5AE8D3B1" w14:textId="77777777" w:rsidR="005C3863" w:rsidRPr="00D06050" w:rsidRDefault="005C3863" w:rsidP="005C3863">
      <w:pPr>
        <w:pStyle w:val="ListParagraph"/>
        <w:numPr>
          <w:ilvl w:val="0"/>
          <w:numId w:val="65"/>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u w:val="single"/>
          <w:lang w:val="pt-BR"/>
        </w:rPr>
      </w:pPr>
      <w:r w:rsidRPr="00D06050">
        <w:rPr>
          <w:rFonts w:asciiTheme="majorHAnsi" w:hAnsiTheme="majorHAnsi"/>
          <w:sz w:val="20"/>
          <w:szCs w:val="20"/>
          <w:lang w:val="pt-BR"/>
        </w:rPr>
        <w:t>Rosa Nieves Rubio Chavez (madre)</w:t>
      </w:r>
    </w:p>
    <w:p w14:paraId="310E1501" w14:textId="77777777" w:rsidR="005C3863" w:rsidRPr="005C3863" w:rsidRDefault="005C3863" w:rsidP="005C3863">
      <w:pPr>
        <w:pStyle w:val="ListParagraph"/>
        <w:numPr>
          <w:ilvl w:val="0"/>
          <w:numId w:val="65"/>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u w:val="single"/>
          <w:lang w:val="es-PA"/>
        </w:rPr>
      </w:pPr>
      <w:r w:rsidRPr="005C3863">
        <w:rPr>
          <w:rFonts w:asciiTheme="majorHAnsi" w:hAnsiTheme="majorHAnsi"/>
          <w:sz w:val="20"/>
          <w:szCs w:val="20"/>
          <w:lang w:val="es-PA"/>
        </w:rPr>
        <w:t xml:space="preserve">José </w:t>
      </w:r>
      <w:proofErr w:type="spellStart"/>
      <w:r w:rsidRPr="005C3863">
        <w:rPr>
          <w:rFonts w:asciiTheme="majorHAnsi" w:hAnsiTheme="majorHAnsi"/>
          <w:sz w:val="20"/>
          <w:szCs w:val="20"/>
          <w:lang w:val="es-PA"/>
        </w:rPr>
        <w:t>Julian</w:t>
      </w:r>
      <w:proofErr w:type="spellEnd"/>
      <w:r w:rsidRPr="005C3863">
        <w:rPr>
          <w:rFonts w:asciiTheme="majorHAnsi" w:hAnsiTheme="majorHAnsi"/>
          <w:sz w:val="20"/>
          <w:szCs w:val="20"/>
          <w:lang w:val="es-PA"/>
        </w:rPr>
        <w:t xml:space="preserve"> Cagua Rubio (hermano)</w:t>
      </w:r>
    </w:p>
    <w:p w14:paraId="044889D4" w14:textId="77777777" w:rsidR="005C3863" w:rsidRPr="005C3863" w:rsidRDefault="005C3863" w:rsidP="005C3863">
      <w:pPr>
        <w:pStyle w:val="ListParagraph"/>
        <w:numPr>
          <w:ilvl w:val="0"/>
          <w:numId w:val="65"/>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u w:val="single"/>
          <w:lang w:val="es-PA"/>
        </w:rPr>
      </w:pPr>
      <w:r w:rsidRPr="005C3863">
        <w:rPr>
          <w:rFonts w:asciiTheme="majorHAnsi" w:hAnsiTheme="majorHAnsi"/>
          <w:sz w:val="20"/>
          <w:szCs w:val="20"/>
          <w:lang w:val="es-PA"/>
        </w:rPr>
        <w:t>Anselmo Rubio (hermano)</w:t>
      </w:r>
    </w:p>
    <w:p w14:paraId="6DDC41E9" w14:textId="77777777" w:rsidR="005C3863" w:rsidRPr="005C3863" w:rsidRDefault="005C3863" w:rsidP="005C3863">
      <w:pPr>
        <w:pStyle w:val="ListParagraph"/>
        <w:numPr>
          <w:ilvl w:val="0"/>
          <w:numId w:val="65"/>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u w:val="single"/>
          <w:lang w:val="es-PA"/>
        </w:rPr>
      </w:pPr>
      <w:r w:rsidRPr="005C3863">
        <w:rPr>
          <w:rFonts w:asciiTheme="majorHAnsi" w:hAnsiTheme="majorHAnsi"/>
          <w:sz w:val="20"/>
          <w:szCs w:val="20"/>
          <w:lang w:val="es-PA"/>
        </w:rPr>
        <w:t xml:space="preserve">Norberto Rubio </w:t>
      </w:r>
      <w:proofErr w:type="spellStart"/>
      <w:r w:rsidRPr="005C3863">
        <w:rPr>
          <w:rFonts w:asciiTheme="majorHAnsi" w:hAnsiTheme="majorHAnsi"/>
          <w:sz w:val="20"/>
          <w:szCs w:val="20"/>
          <w:lang w:val="es-PA"/>
        </w:rPr>
        <w:t>Chavez</w:t>
      </w:r>
      <w:proofErr w:type="spellEnd"/>
      <w:r w:rsidRPr="005C3863">
        <w:rPr>
          <w:rFonts w:asciiTheme="majorHAnsi" w:hAnsiTheme="majorHAnsi"/>
          <w:sz w:val="20"/>
          <w:szCs w:val="20"/>
          <w:lang w:val="es-PA"/>
        </w:rPr>
        <w:t xml:space="preserve"> (hermano)</w:t>
      </w:r>
    </w:p>
    <w:p w14:paraId="35D974D1" w14:textId="77777777" w:rsidR="005C3863" w:rsidRPr="005C3863" w:rsidRDefault="005C3863" w:rsidP="005C3863">
      <w:pPr>
        <w:pStyle w:val="ListParagraph"/>
        <w:numPr>
          <w:ilvl w:val="0"/>
          <w:numId w:val="65"/>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u w:val="single"/>
          <w:lang w:val="es-PA"/>
        </w:rPr>
      </w:pPr>
      <w:r w:rsidRPr="005C3863">
        <w:rPr>
          <w:rFonts w:asciiTheme="majorHAnsi" w:hAnsiTheme="majorHAnsi"/>
          <w:sz w:val="20"/>
          <w:szCs w:val="20"/>
          <w:lang w:val="es-PA"/>
        </w:rPr>
        <w:t>Nelson Guillermo Cagua Rubio (hermano)</w:t>
      </w:r>
    </w:p>
    <w:p w14:paraId="7263426D" w14:textId="77777777" w:rsidR="005C3863" w:rsidRPr="005C3863" w:rsidRDefault="005C3863" w:rsidP="005C3863">
      <w:pPr>
        <w:pStyle w:val="ListParagraph"/>
        <w:numPr>
          <w:ilvl w:val="0"/>
          <w:numId w:val="65"/>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u w:val="single"/>
          <w:lang w:val="es-PA"/>
        </w:rPr>
      </w:pPr>
      <w:proofErr w:type="spellStart"/>
      <w:r w:rsidRPr="005C3863">
        <w:rPr>
          <w:rFonts w:asciiTheme="majorHAnsi" w:hAnsiTheme="majorHAnsi"/>
          <w:sz w:val="20"/>
          <w:szCs w:val="20"/>
          <w:lang w:val="es-PA"/>
        </w:rPr>
        <w:t>Yofre</w:t>
      </w:r>
      <w:proofErr w:type="spellEnd"/>
      <w:r w:rsidRPr="005C3863">
        <w:rPr>
          <w:rFonts w:asciiTheme="majorHAnsi" w:hAnsiTheme="majorHAnsi"/>
          <w:sz w:val="20"/>
          <w:szCs w:val="20"/>
          <w:lang w:val="es-PA"/>
        </w:rPr>
        <w:t xml:space="preserve"> Cagua Rubio (hermano)</w:t>
      </w:r>
    </w:p>
    <w:p w14:paraId="64F83AE5" w14:textId="77777777" w:rsidR="005C3863" w:rsidRPr="00D06050" w:rsidRDefault="005C3863" w:rsidP="005C3863">
      <w:pPr>
        <w:pStyle w:val="ListParagraph"/>
        <w:numPr>
          <w:ilvl w:val="0"/>
          <w:numId w:val="65"/>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u w:val="single"/>
          <w:lang w:val="pt-BR"/>
        </w:rPr>
      </w:pPr>
      <w:r w:rsidRPr="00D06050">
        <w:rPr>
          <w:rFonts w:asciiTheme="majorHAnsi" w:hAnsiTheme="majorHAnsi"/>
          <w:sz w:val="20"/>
          <w:szCs w:val="20"/>
          <w:lang w:val="pt-BR"/>
        </w:rPr>
        <w:t>Nidia Janeth Cagua Rubio (hermana)</w:t>
      </w:r>
    </w:p>
    <w:p w14:paraId="21F8413B" w14:textId="77777777" w:rsidR="005C3863" w:rsidRPr="005C3863" w:rsidRDefault="005C3863" w:rsidP="005C3863">
      <w:pPr>
        <w:rPr>
          <w:rFonts w:asciiTheme="majorHAnsi" w:hAnsiTheme="majorHAnsi"/>
          <w:sz w:val="20"/>
          <w:szCs w:val="20"/>
          <w:u w:val="single"/>
          <w:lang w:val="es-PA"/>
        </w:rPr>
      </w:pPr>
      <w:r w:rsidRPr="005C3863">
        <w:rPr>
          <w:rFonts w:asciiTheme="majorHAnsi" w:hAnsiTheme="majorHAnsi"/>
          <w:sz w:val="20"/>
          <w:szCs w:val="20"/>
          <w:u w:val="single"/>
          <w:lang w:val="es-PA"/>
        </w:rPr>
        <w:t xml:space="preserve">Familiares de </w:t>
      </w:r>
      <w:proofErr w:type="spellStart"/>
      <w:r w:rsidRPr="005C3863">
        <w:rPr>
          <w:rFonts w:asciiTheme="majorHAnsi" w:hAnsiTheme="majorHAnsi"/>
          <w:sz w:val="20"/>
          <w:szCs w:val="20"/>
          <w:u w:val="single"/>
          <w:lang w:val="es-PA"/>
        </w:rPr>
        <w:t>Cleiser</w:t>
      </w:r>
      <w:proofErr w:type="spellEnd"/>
      <w:r w:rsidRPr="005C3863">
        <w:rPr>
          <w:rFonts w:asciiTheme="majorHAnsi" w:hAnsiTheme="majorHAnsi"/>
          <w:sz w:val="20"/>
          <w:szCs w:val="20"/>
          <w:u w:val="single"/>
          <w:lang w:val="es-PA"/>
        </w:rPr>
        <w:t xml:space="preserve"> Palacios </w:t>
      </w:r>
      <w:proofErr w:type="spellStart"/>
      <w:r w:rsidRPr="005C3863">
        <w:rPr>
          <w:rFonts w:asciiTheme="majorHAnsi" w:hAnsiTheme="majorHAnsi"/>
          <w:sz w:val="20"/>
          <w:szCs w:val="20"/>
          <w:u w:val="single"/>
          <w:lang w:val="es-PA"/>
        </w:rPr>
        <w:t>Palacios</w:t>
      </w:r>
      <w:proofErr w:type="spellEnd"/>
    </w:p>
    <w:p w14:paraId="4BEB2656" w14:textId="77777777" w:rsidR="005C3863" w:rsidRPr="005C3863" w:rsidRDefault="005C3863" w:rsidP="005C3863">
      <w:pPr>
        <w:pStyle w:val="ListParagraph"/>
        <w:numPr>
          <w:ilvl w:val="0"/>
          <w:numId w:val="66"/>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proofErr w:type="spellStart"/>
      <w:r w:rsidRPr="005C3863">
        <w:rPr>
          <w:rFonts w:asciiTheme="majorHAnsi" w:hAnsiTheme="majorHAnsi"/>
          <w:sz w:val="20"/>
          <w:szCs w:val="20"/>
          <w:lang w:val="es-PA"/>
        </w:rPr>
        <w:t>Lugerio</w:t>
      </w:r>
      <w:proofErr w:type="spellEnd"/>
      <w:r w:rsidRPr="005C3863">
        <w:rPr>
          <w:rFonts w:asciiTheme="majorHAnsi" w:hAnsiTheme="majorHAnsi"/>
          <w:sz w:val="20"/>
          <w:szCs w:val="20"/>
          <w:lang w:val="es-PA"/>
        </w:rPr>
        <w:t xml:space="preserve"> Antonio Palacios </w:t>
      </w:r>
      <w:proofErr w:type="spellStart"/>
      <w:r w:rsidRPr="005C3863">
        <w:rPr>
          <w:rFonts w:asciiTheme="majorHAnsi" w:hAnsiTheme="majorHAnsi"/>
          <w:sz w:val="20"/>
          <w:szCs w:val="20"/>
          <w:lang w:val="es-PA"/>
        </w:rPr>
        <w:t>Cossio</w:t>
      </w:r>
      <w:proofErr w:type="spellEnd"/>
      <w:r w:rsidRPr="005C3863">
        <w:rPr>
          <w:rFonts w:asciiTheme="majorHAnsi" w:hAnsiTheme="majorHAnsi"/>
          <w:sz w:val="20"/>
          <w:szCs w:val="20"/>
          <w:lang w:val="es-PA"/>
        </w:rPr>
        <w:t xml:space="preserve"> (padre)</w:t>
      </w:r>
    </w:p>
    <w:p w14:paraId="172A8A09" w14:textId="77777777" w:rsidR="005C3863" w:rsidRPr="005C3863" w:rsidRDefault="005C3863" w:rsidP="005C3863">
      <w:pPr>
        <w:pStyle w:val="ListParagraph"/>
        <w:numPr>
          <w:ilvl w:val="0"/>
          <w:numId w:val="66"/>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r w:rsidRPr="005C3863">
        <w:rPr>
          <w:rFonts w:asciiTheme="majorHAnsi" w:hAnsiTheme="majorHAnsi"/>
          <w:sz w:val="20"/>
          <w:szCs w:val="20"/>
          <w:lang w:val="es-PA"/>
        </w:rPr>
        <w:t>María Rosa Palacios Palacio (madre)</w:t>
      </w:r>
    </w:p>
    <w:p w14:paraId="55FE381C" w14:textId="77777777" w:rsidR="005C3863" w:rsidRPr="005C3863" w:rsidRDefault="005C3863" w:rsidP="005C3863">
      <w:pPr>
        <w:pStyle w:val="ListParagraph"/>
        <w:numPr>
          <w:ilvl w:val="0"/>
          <w:numId w:val="66"/>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r w:rsidRPr="005C3863">
        <w:rPr>
          <w:rFonts w:asciiTheme="majorHAnsi" w:hAnsiTheme="majorHAnsi"/>
          <w:sz w:val="20"/>
          <w:szCs w:val="20"/>
          <w:lang w:val="es-PA"/>
        </w:rPr>
        <w:t xml:space="preserve">Rosa Herminia Palacios </w:t>
      </w:r>
      <w:proofErr w:type="spellStart"/>
      <w:r w:rsidRPr="005C3863">
        <w:rPr>
          <w:rFonts w:asciiTheme="majorHAnsi" w:hAnsiTheme="majorHAnsi"/>
          <w:sz w:val="20"/>
          <w:szCs w:val="20"/>
          <w:lang w:val="es-PA"/>
        </w:rPr>
        <w:t>Palacios</w:t>
      </w:r>
      <w:proofErr w:type="spellEnd"/>
      <w:r w:rsidRPr="005C3863">
        <w:rPr>
          <w:rFonts w:asciiTheme="majorHAnsi" w:hAnsiTheme="majorHAnsi"/>
          <w:sz w:val="20"/>
          <w:szCs w:val="20"/>
          <w:lang w:val="es-PA"/>
        </w:rPr>
        <w:t xml:space="preserve"> (hermana)</w:t>
      </w:r>
    </w:p>
    <w:p w14:paraId="14BB76E5" w14:textId="77777777" w:rsidR="005C3863" w:rsidRPr="005C3863" w:rsidRDefault="005C3863" w:rsidP="005C3863">
      <w:pPr>
        <w:pStyle w:val="ListParagraph"/>
        <w:numPr>
          <w:ilvl w:val="0"/>
          <w:numId w:val="66"/>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r w:rsidRPr="005C3863">
        <w:rPr>
          <w:rFonts w:asciiTheme="majorHAnsi" w:hAnsiTheme="majorHAnsi"/>
          <w:sz w:val="20"/>
          <w:szCs w:val="20"/>
          <w:lang w:val="es-PA"/>
        </w:rPr>
        <w:t xml:space="preserve">Emerson Palacios </w:t>
      </w:r>
      <w:proofErr w:type="spellStart"/>
      <w:r w:rsidRPr="005C3863">
        <w:rPr>
          <w:rFonts w:asciiTheme="majorHAnsi" w:hAnsiTheme="majorHAnsi"/>
          <w:sz w:val="20"/>
          <w:szCs w:val="20"/>
          <w:lang w:val="es-PA"/>
        </w:rPr>
        <w:t>Palacios</w:t>
      </w:r>
      <w:proofErr w:type="spellEnd"/>
      <w:r w:rsidRPr="005C3863">
        <w:rPr>
          <w:rFonts w:asciiTheme="majorHAnsi" w:hAnsiTheme="majorHAnsi"/>
          <w:sz w:val="20"/>
          <w:szCs w:val="20"/>
          <w:lang w:val="es-PA"/>
        </w:rPr>
        <w:t xml:space="preserve"> (hermano)</w:t>
      </w:r>
    </w:p>
    <w:p w14:paraId="76CCF82B" w14:textId="77777777" w:rsidR="005C3863" w:rsidRPr="005C3863" w:rsidRDefault="005C3863" w:rsidP="005C3863">
      <w:pPr>
        <w:pStyle w:val="ListParagraph"/>
        <w:numPr>
          <w:ilvl w:val="0"/>
          <w:numId w:val="66"/>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r w:rsidRPr="005C3863">
        <w:rPr>
          <w:rFonts w:asciiTheme="majorHAnsi" w:hAnsiTheme="majorHAnsi"/>
          <w:sz w:val="20"/>
          <w:szCs w:val="20"/>
          <w:lang w:val="es-PA"/>
        </w:rPr>
        <w:t xml:space="preserve">Viviana </w:t>
      </w:r>
      <w:proofErr w:type="spellStart"/>
      <w:r w:rsidRPr="005C3863">
        <w:rPr>
          <w:rFonts w:asciiTheme="majorHAnsi" w:hAnsiTheme="majorHAnsi"/>
          <w:sz w:val="20"/>
          <w:szCs w:val="20"/>
          <w:lang w:val="es-PA"/>
        </w:rPr>
        <w:t>Farley</w:t>
      </w:r>
      <w:proofErr w:type="spellEnd"/>
      <w:r w:rsidRPr="005C3863">
        <w:rPr>
          <w:rFonts w:asciiTheme="majorHAnsi" w:hAnsiTheme="majorHAnsi"/>
          <w:sz w:val="20"/>
          <w:szCs w:val="20"/>
          <w:lang w:val="es-PA"/>
        </w:rPr>
        <w:t xml:space="preserve"> Palacios </w:t>
      </w:r>
      <w:proofErr w:type="spellStart"/>
      <w:r w:rsidRPr="005C3863">
        <w:rPr>
          <w:rFonts w:asciiTheme="majorHAnsi" w:hAnsiTheme="majorHAnsi"/>
          <w:sz w:val="20"/>
          <w:szCs w:val="20"/>
          <w:lang w:val="es-PA"/>
        </w:rPr>
        <w:t>Palacios</w:t>
      </w:r>
      <w:proofErr w:type="spellEnd"/>
      <w:r w:rsidRPr="005C3863">
        <w:rPr>
          <w:rFonts w:asciiTheme="majorHAnsi" w:hAnsiTheme="majorHAnsi"/>
          <w:sz w:val="20"/>
          <w:szCs w:val="20"/>
          <w:lang w:val="es-PA"/>
        </w:rPr>
        <w:t xml:space="preserve"> (hermana)</w:t>
      </w:r>
    </w:p>
    <w:p w14:paraId="305986AD" w14:textId="77777777" w:rsidR="005C3863" w:rsidRPr="005C3863" w:rsidRDefault="005C3863" w:rsidP="005C3863">
      <w:pPr>
        <w:pStyle w:val="ListParagraph"/>
        <w:numPr>
          <w:ilvl w:val="0"/>
          <w:numId w:val="66"/>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proofErr w:type="spellStart"/>
      <w:r w:rsidRPr="005C3863">
        <w:rPr>
          <w:rFonts w:asciiTheme="majorHAnsi" w:hAnsiTheme="majorHAnsi"/>
          <w:sz w:val="20"/>
          <w:szCs w:val="20"/>
          <w:lang w:val="es-PA"/>
        </w:rPr>
        <w:t>Jarinson</w:t>
      </w:r>
      <w:proofErr w:type="spellEnd"/>
      <w:r w:rsidRPr="005C3863">
        <w:rPr>
          <w:rFonts w:asciiTheme="majorHAnsi" w:hAnsiTheme="majorHAnsi"/>
          <w:sz w:val="20"/>
          <w:szCs w:val="20"/>
          <w:lang w:val="es-PA"/>
        </w:rPr>
        <w:t xml:space="preserve"> Antonio Palacios Mena (hermano)</w:t>
      </w:r>
    </w:p>
    <w:p w14:paraId="75907AD4" w14:textId="77777777" w:rsidR="005C3863" w:rsidRPr="005C3863" w:rsidRDefault="005C3863" w:rsidP="005C3863">
      <w:pPr>
        <w:pStyle w:val="ListParagraph"/>
        <w:numPr>
          <w:ilvl w:val="0"/>
          <w:numId w:val="66"/>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r w:rsidRPr="005C3863">
        <w:rPr>
          <w:rFonts w:asciiTheme="majorHAnsi" w:hAnsiTheme="majorHAnsi"/>
          <w:sz w:val="20"/>
          <w:szCs w:val="20"/>
          <w:lang w:val="es-PA"/>
        </w:rPr>
        <w:t xml:space="preserve">José </w:t>
      </w:r>
      <w:proofErr w:type="spellStart"/>
      <w:r w:rsidRPr="005C3863">
        <w:rPr>
          <w:rFonts w:asciiTheme="majorHAnsi" w:hAnsiTheme="majorHAnsi"/>
          <w:sz w:val="20"/>
          <w:szCs w:val="20"/>
          <w:lang w:val="es-PA"/>
        </w:rPr>
        <w:t>Wilfran</w:t>
      </w:r>
      <w:proofErr w:type="spellEnd"/>
      <w:r w:rsidRPr="005C3863">
        <w:rPr>
          <w:rFonts w:asciiTheme="majorHAnsi" w:hAnsiTheme="majorHAnsi"/>
          <w:sz w:val="20"/>
          <w:szCs w:val="20"/>
          <w:lang w:val="es-PA"/>
        </w:rPr>
        <w:t xml:space="preserve"> Palacios </w:t>
      </w:r>
      <w:proofErr w:type="spellStart"/>
      <w:r w:rsidRPr="005C3863">
        <w:rPr>
          <w:rFonts w:asciiTheme="majorHAnsi" w:hAnsiTheme="majorHAnsi"/>
          <w:sz w:val="20"/>
          <w:szCs w:val="20"/>
          <w:lang w:val="es-PA"/>
        </w:rPr>
        <w:t>Palacios</w:t>
      </w:r>
      <w:proofErr w:type="spellEnd"/>
      <w:r w:rsidRPr="005C3863">
        <w:rPr>
          <w:rFonts w:asciiTheme="majorHAnsi" w:hAnsiTheme="majorHAnsi"/>
          <w:sz w:val="20"/>
          <w:szCs w:val="20"/>
          <w:lang w:val="es-PA"/>
        </w:rPr>
        <w:t xml:space="preserve"> (hermano)</w:t>
      </w:r>
    </w:p>
    <w:p w14:paraId="42C50B01" w14:textId="77777777" w:rsidR="005C3863" w:rsidRPr="005C3863" w:rsidRDefault="005C3863" w:rsidP="005C3863">
      <w:pPr>
        <w:pStyle w:val="ListParagraph"/>
        <w:numPr>
          <w:ilvl w:val="0"/>
          <w:numId w:val="66"/>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r w:rsidRPr="005C3863">
        <w:rPr>
          <w:rFonts w:asciiTheme="majorHAnsi" w:hAnsiTheme="majorHAnsi"/>
          <w:sz w:val="20"/>
          <w:szCs w:val="20"/>
          <w:lang w:val="es-PA"/>
        </w:rPr>
        <w:t xml:space="preserve">Virginia Palacios </w:t>
      </w:r>
      <w:proofErr w:type="spellStart"/>
      <w:r w:rsidRPr="005C3863">
        <w:rPr>
          <w:rFonts w:asciiTheme="majorHAnsi" w:hAnsiTheme="majorHAnsi"/>
          <w:sz w:val="20"/>
          <w:szCs w:val="20"/>
          <w:lang w:val="es-PA"/>
        </w:rPr>
        <w:t>Palacios</w:t>
      </w:r>
      <w:proofErr w:type="spellEnd"/>
      <w:r w:rsidRPr="005C3863">
        <w:rPr>
          <w:rFonts w:asciiTheme="majorHAnsi" w:hAnsiTheme="majorHAnsi"/>
          <w:sz w:val="20"/>
          <w:szCs w:val="20"/>
          <w:lang w:val="es-PA"/>
        </w:rPr>
        <w:t xml:space="preserve"> (hermana)</w:t>
      </w:r>
    </w:p>
    <w:p w14:paraId="1C440619" w14:textId="77777777" w:rsidR="005C3863" w:rsidRPr="005C3863" w:rsidRDefault="005C3863" w:rsidP="005C3863">
      <w:pPr>
        <w:pStyle w:val="ListParagraph"/>
        <w:numPr>
          <w:ilvl w:val="0"/>
          <w:numId w:val="66"/>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r w:rsidRPr="005C3863">
        <w:rPr>
          <w:rFonts w:asciiTheme="majorHAnsi" w:hAnsiTheme="majorHAnsi"/>
          <w:sz w:val="20"/>
          <w:szCs w:val="20"/>
          <w:lang w:val="es-PA"/>
        </w:rPr>
        <w:t xml:space="preserve">Antonio </w:t>
      </w:r>
      <w:proofErr w:type="spellStart"/>
      <w:r w:rsidRPr="005C3863">
        <w:rPr>
          <w:rFonts w:asciiTheme="majorHAnsi" w:hAnsiTheme="majorHAnsi"/>
          <w:sz w:val="20"/>
          <w:szCs w:val="20"/>
          <w:lang w:val="es-PA"/>
        </w:rPr>
        <w:t>Dirley</w:t>
      </w:r>
      <w:proofErr w:type="spellEnd"/>
      <w:r w:rsidRPr="005C3863">
        <w:rPr>
          <w:rFonts w:asciiTheme="majorHAnsi" w:hAnsiTheme="majorHAnsi"/>
          <w:sz w:val="20"/>
          <w:szCs w:val="20"/>
          <w:lang w:val="es-PA"/>
        </w:rPr>
        <w:t xml:space="preserve"> Palacios </w:t>
      </w:r>
      <w:proofErr w:type="spellStart"/>
      <w:r w:rsidRPr="005C3863">
        <w:rPr>
          <w:rFonts w:asciiTheme="majorHAnsi" w:hAnsiTheme="majorHAnsi"/>
          <w:sz w:val="20"/>
          <w:szCs w:val="20"/>
          <w:lang w:val="es-PA"/>
        </w:rPr>
        <w:t>Palacios</w:t>
      </w:r>
      <w:proofErr w:type="spellEnd"/>
      <w:r w:rsidRPr="005C3863">
        <w:rPr>
          <w:rFonts w:asciiTheme="majorHAnsi" w:hAnsiTheme="majorHAnsi"/>
          <w:sz w:val="20"/>
          <w:szCs w:val="20"/>
          <w:lang w:val="es-PA"/>
        </w:rPr>
        <w:t xml:space="preserve"> (hermano)</w:t>
      </w:r>
    </w:p>
    <w:p w14:paraId="78AAB3A9" w14:textId="77777777" w:rsidR="005C3863" w:rsidRPr="005C3863" w:rsidRDefault="005C3863" w:rsidP="005C3863">
      <w:pPr>
        <w:pStyle w:val="ListParagraph"/>
        <w:numPr>
          <w:ilvl w:val="0"/>
          <w:numId w:val="66"/>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r w:rsidRPr="005C3863">
        <w:rPr>
          <w:rFonts w:asciiTheme="majorHAnsi" w:hAnsiTheme="majorHAnsi"/>
          <w:sz w:val="20"/>
          <w:szCs w:val="20"/>
          <w:lang w:val="es-PA"/>
        </w:rPr>
        <w:t xml:space="preserve">María Dominga Palacios </w:t>
      </w:r>
      <w:proofErr w:type="spellStart"/>
      <w:r w:rsidRPr="005C3863">
        <w:rPr>
          <w:rFonts w:asciiTheme="majorHAnsi" w:hAnsiTheme="majorHAnsi"/>
          <w:sz w:val="20"/>
          <w:szCs w:val="20"/>
          <w:lang w:val="es-PA"/>
        </w:rPr>
        <w:t>Palacios</w:t>
      </w:r>
      <w:proofErr w:type="spellEnd"/>
      <w:r w:rsidRPr="005C3863">
        <w:rPr>
          <w:rFonts w:asciiTheme="majorHAnsi" w:hAnsiTheme="majorHAnsi"/>
          <w:sz w:val="20"/>
          <w:szCs w:val="20"/>
          <w:lang w:val="es-PA"/>
        </w:rPr>
        <w:t xml:space="preserve"> (hermana)</w:t>
      </w:r>
    </w:p>
    <w:p w14:paraId="47BB5EA5" w14:textId="77777777" w:rsidR="005C3863" w:rsidRPr="005C3863" w:rsidRDefault="005C3863" w:rsidP="005C3863">
      <w:pPr>
        <w:rPr>
          <w:rFonts w:asciiTheme="majorHAnsi" w:hAnsiTheme="majorHAnsi"/>
          <w:sz w:val="20"/>
          <w:szCs w:val="20"/>
          <w:u w:val="single"/>
          <w:lang w:val="es-PA"/>
        </w:rPr>
      </w:pPr>
      <w:r w:rsidRPr="005C3863">
        <w:rPr>
          <w:rFonts w:asciiTheme="majorHAnsi" w:hAnsiTheme="majorHAnsi"/>
          <w:sz w:val="20"/>
          <w:szCs w:val="20"/>
          <w:u w:val="single"/>
          <w:lang w:val="es-PA"/>
        </w:rPr>
        <w:t xml:space="preserve">Familiares de </w:t>
      </w:r>
      <w:proofErr w:type="spellStart"/>
      <w:r w:rsidRPr="005C3863">
        <w:rPr>
          <w:rFonts w:asciiTheme="majorHAnsi" w:hAnsiTheme="majorHAnsi"/>
          <w:sz w:val="20"/>
          <w:szCs w:val="20"/>
          <w:u w:val="single"/>
          <w:lang w:val="es-PA"/>
        </w:rPr>
        <w:t>Jhon</w:t>
      </w:r>
      <w:proofErr w:type="spellEnd"/>
      <w:r w:rsidRPr="005C3863">
        <w:rPr>
          <w:rFonts w:asciiTheme="majorHAnsi" w:hAnsiTheme="majorHAnsi"/>
          <w:sz w:val="20"/>
          <w:szCs w:val="20"/>
          <w:u w:val="single"/>
          <w:lang w:val="es-PA"/>
        </w:rPr>
        <w:t xml:space="preserve"> Fredy Orrego Carmona</w:t>
      </w:r>
    </w:p>
    <w:p w14:paraId="7A2AAA58" w14:textId="77777777" w:rsidR="005C3863" w:rsidRPr="00D06050" w:rsidRDefault="005C3863" w:rsidP="005C3863">
      <w:pPr>
        <w:pStyle w:val="ListParagraph"/>
        <w:numPr>
          <w:ilvl w:val="0"/>
          <w:numId w:val="67"/>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pt-BR"/>
        </w:rPr>
      </w:pPr>
      <w:r w:rsidRPr="00D06050">
        <w:rPr>
          <w:rFonts w:asciiTheme="majorHAnsi" w:hAnsiTheme="majorHAnsi"/>
          <w:sz w:val="20"/>
          <w:szCs w:val="20"/>
          <w:lang w:val="pt-BR"/>
        </w:rPr>
        <w:t>Iván de Jesús Orrego Ospina (padre)</w:t>
      </w:r>
    </w:p>
    <w:p w14:paraId="51D5D9F8" w14:textId="77777777" w:rsidR="005C3863" w:rsidRPr="005C3863" w:rsidRDefault="005C3863" w:rsidP="005C3863">
      <w:pPr>
        <w:pStyle w:val="ListParagraph"/>
        <w:numPr>
          <w:ilvl w:val="0"/>
          <w:numId w:val="67"/>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r w:rsidRPr="005C3863">
        <w:rPr>
          <w:rFonts w:asciiTheme="majorHAnsi" w:hAnsiTheme="majorHAnsi"/>
          <w:sz w:val="20"/>
          <w:szCs w:val="20"/>
          <w:lang w:val="es-PA"/>
        </w:rPr>
        <w:t xml:space="preserve">Gloria </w:t>
      </w:r>
      <w:proofErr w:type="spellStart"/>
      <w:r w:rsidRPr="005C3863">
        <w:rPr>
          <w:rFonts w:asciiTheme="majorHAnsi" w:hAnsiTheme="majorHAnsi"/>
          <w:sz w:val="20"/>
          <w:szCs w:val="20"/>
          <w:lang w:val="es-PA"/>
        </w:rPr>
        <w:t>Yurley</w:t>
      </w:r>
      <w:proofErr w:type="spellEnd"/>
      <w:r w:rsidRPr="005C3863">
        <w:rPr>
          <w:rFonts w:asciiTheme="majorHAnsi" w:hAnsiTheme="majorHAnsi"/>
          <w:sz w:val="20"/>
          <w:szCs w:val="20"/>
          <w:lang w:val="es-PA"/>
        </w:rPr>
        <w:t xml:space="preserve"> Orrego Carmona (hermana)</w:t>
      </w:r>
    </w:p>
    <w:p w14:paraId="1417DD6E" w14:textId="77777777" w:rsidR="005C3863" w:rsidRPr="005C3863" w:rsidRDefault="005C3863" w:rsidP="005C3863">
      <w:pPr>
        <w:pStyle w:val="ListParagraph"/>
        <w:numPr>
          <w:ilvl w:val="0"/>
          <w:numId w:val="67"/>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r w:rsidRPr="005C3863">
        <w:rPr>
          <w:rFonts w:asciiTheme="majorHAnsi" w:hAnsiTheme="majorHAnsi"/>
          <w:sz w:val="20"/>
          <w:szCs w:val="20"/>
          <w:lang w:val="es-PA"/>
        </w:rPr>
        <w:t>Javier de Jesús Orrego Carmona (hermano)</w:t>
      </w:r>
    </w:p>
    <w:p w14:paraId="729692BC" w14:textId="77777777" w:rsidR="005C3863" w:rsidRPr="00D06050" w:rsidRDefault="005C3863" w:rsidP="005C3863">
      <w:pPr>
        <w:pStyle w:val="ListParagraph"/>
        <w:numPr>
          <w:ilvl w:val="0"/>
          <w:numId w:val="67"/>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pt-BR"/>
        </w:rPr>
      </w:pPr>
      <w:r w:rsidRPr="00D06050">
        <w:rPr>
          <w:rFonts w:asciiTheme="majorHAnsi" w:hAnsiTheme="majorHAnsi"/>
          <w:sz w:val="20"/>
          <w:szCs w:val="20"/>
          <w:lang w:val="pt-BR"/>
        </w:rPr>
        <w:t>Alveiro de Jesús Orrego Carmona (hermano)</w:t>
      </w:r>
    </w:p>
    <w:p w14:paraId="158824F8" w14:textId="77777777" w:rsidR="005C3863" w:rsidRPr="00D06050" w:rsidRDefault="005C3863" w:rsidP="005C3863">
      <w:pPr>
        <w:pStyle w:val="ListParagraph"/>
        <w:numPr>
          <w:ilvl w:val="0"/>
          <w:numId w:val="67"/>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pt-BR"/>
        </w:rPr>
      </w:pPr>
      <w:r w:rsidRPr="00D06050">
        <w:rPr>
          <w:rFonts w:asciiTheme="majorHAnsi" w:hAnsiTheme="majorHAnsi"/>
          <w:sz w:val="20"/>
          <w:szCs w:val="20"/>
          <w:lang w:val="pt-BR"/>
        </w:rPr>
        <w:t>Jorge Iván Orrego Carmona (hermano)</w:t>
      </w:r>
    </w:p>
    <w:p w14:paraId="22FEFC83" w14:textId="77777777" w:rsidR="005C3863" w:rsidRPr="005C3863" w:rsidRDefault="005C3863" w:rsidP="005C3863">
      <w:pPr>
        <w:pStyle w:val="ListParagraph"/>
        <w:numPr>
          <w:ilvl w:val="0"/>
          <w:numId w:val="67"/>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r w:rsidRPr="005C3863">
        <w:rPr>
          <w:rFonts w:asciiTheme="majorHAnsi" w:hAnsiTheme="majorHAnsi"/>
          <w:sz w:val="20"/>
          <w:szCs w:val="20"/>
          <w:lang w:val="es-PA"/>
        </w:rPr>
        <w:t>Ángel Wilson Orrego Carmona (hermano)</w:t>
      </w:r>
    </w:p>
    <w:p w14:paraId="2B29ECD5" w14:textId="77777777" w:rsidR="005C3863" w:rsidRPr="00D06050" w:rsidRDefault="005C3863" w:rsidP="005C3863">
      <w:pPr>
        <w:pStyle w:val="ListParagraph"/>
        <w:numPr>
          <w:ilvl w:val="0"/>
          <w:numId w:val="67"/>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pt-BR"/>
        </w:rPr>
      </w:pPr>
      <w:r w:rsidRPr="00D06050">
        <w:rPr>
          <w:rFonts w:asciiTheme="majorHAnsi" w:hAnsiTheme="majorHAnsi"/>
          <w:sz w:val="20"/>
          <w:szCs w:val="20"/>
          <w:lang w:val="pt-BR"/>
        </w:rPr>
        <w:t>Luz Marina Orrego Carmona (hermana)</w:t>
      </w:r>
    </w:p>
    <w:p w14:paraId="026F668C" w14:textId="77777777" w:rsidR="005C3863" w:rsidRPr="005C3863" w:rsidRDefault="005C3863" w:rsidP="005C3863">
      <w:pPr>
        <w:pStyle w:val="ListParagraph"/>
        <w:numPr>
          <w:ilvl w:val="0"/>
          <w:numId w:val="67"/>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r w:rsidRPr="005C3863">
        <w:rPr>
          <w:rFonts w:asciiTheme="majorHAnsi" w:hAnsiTheme="majorHAnsi"/>
          <w:sz w:val="20"/>
          <w:szCs w:val="20"/>
          <w:lang w:val="es-PA"/>
        </w:rPr>
        <w:t>Luz Mabel Orrego Carmona (hermana)</w:t>
      </w:r>
    </w:p>
    <w:p w14:paraId="06BDC10F" w14:textId="77777777" w:rsidR="005C3863" w:rsidRPr="005C3863" w:rsidRDefault="005C3863" w:rsidP="005C3863">
      <w:pPr>
        <w:pStyle w:val="ListParagraph"/>
        <w:numPr>
          <w:ilvl w:val="0"/>
          <w:numId w:val="67"/>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r w:rsidRPr="005C3863">
        <w:rPr>
          <w:rFonts w:asciiTheme="majorHAnsi" w:hAnsiTheme="majorHAnsi"/>
          <w:sz w:val="20"/>
          <w:szCs w:val="20"/>
          <w:lang w:val="es-PA"/>
        </w:rPr>
        <w:t>Nubia del Carmen Orrego Carmona (hermana)</w:t>
      </w:r>
    </w:p>
    <w:p w14:paraId="38A418C5" w14:textId="77777777" w:rsidR="005C3863" w:rsidRPr="00D06050" w:rsidRDefault="005C3863" w:rsidP="005C3863">
      <w:pPr>
        <w:pStyle w:val="ListParagraph"/>
        <w:numPr>
          <w:ilvl w:val="0"/>
          <w:numId w:val="67"/>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pt-BR"/>
        </w:rPr>
      </w:pPr>
      <w:r w:rsidRPr="00D06050">
        <w:rPr>
          <w:rFonts w:asciiTheme="majorHAnsi" w:hAnsiTheme="majorHAnsi"/>
          <w:sz w:val="20"/>
          <w:szCs w:val="20"/>
          <w:lang w:val="pt-BR"/>
        </w:rPr>
        <w:t>Patricia Damaris Orrego Carmona (hermana)</w:t>
      </w:r>
    </w:p>
    <w:p w14:paraId="0A571082" w14:textId="77777777" w:rsidR="005C3863" w:rsidRPr="005C3863" w:rsidRDefault="005C3863" w:rsidP="005C3863">
      <w:pPr>
        <w:pStyle w:val="ListParagraph"/>
        <w:numPr>
          <w:ilvl w:val="0"/>
          <w:numId w:val="67"/>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proofErr w:type="spellStart"/>
      <w:r w:rsidRPr="005C3863">
        <w:rPr>
          <w:rFonts w:asciiTheme="majorHAnsi" w:hAnsiTheme="majorHAnsi"/>
          <w:sz w:val="20"/>
          <w:szCs w:val="20"/>
          <w:lang w:val="es-PA"/>
        </w:rPr>
        <w:t>Adiela</w:t>
      </w:r>
      <w:proofErr w:type="spellEnd"/>
      <w:r w:rsidRPr="005C3863">
        <w:rPr>
          <w:rFonts w:asciiTheme="majorHAnsi" w:hAnsiTheme="majorHAnsi"/>
          <w:sz w:val="20"/>
          <w:szCs w:val="20"/>
          <w:lang w:val="es-PA"/>
        </w:rPr>
        <w:t xml:space="preserve"> del Socorro Orrego Carmona (hermana)</w:t>
      </w:r>
    </w:p>
    <w:p w14:paraId="4920F257" w14:textId="77777777" w:rsidR="005C3863" w:rsidRPr="005C3863" w:rsidRDefault="005C3863" w:rsidP="005C3863">
      <w:pPr>
        <w:pStyle w:val="ListParagraph"/>
        <w:numPr>
          <w:ilvl w:val="0"/>
          <w:numId w:val="67"/>
        </w:numPr>
        <w:pBdr>
          <w:top w:val="none" w:sz="0" w:space="0" w:color="auto"/>
          <w:left w:val="none" w:sz="0" w:space="0" w:color="auto"/>
          <w:bottom w:val="none" w:sz="0" w:space="0" w:color="auto"/>
          <w:right w:val="none" w:sz="0" w:space="0" w:color="auto"/>
          <w:bar w:val="none" w:sz="0" w:color="auto"/>
        </w:pBdr>
        <w:spacing w:after="160" w:line="259" w:lineRule="auto"/>
        <w:contextualSpacing/>
        <w:rPr>
          <w:rFonts w:asciiTheme="majorHAnsi" w:hAnsiTheme="majorHAnsi"/>
          <w:sz w:val="20"/>
          <w:szCs w:val="20"/>
          <w:lang w:val="es-PA"/>
        </w:rPr>
      </w:pPr>
      <w:r w:rsidRPr="005C3863">
        <w:rPr>
          <w:rFonts w:asciiTheme="majorHAnsi" w:hAnsiTheme="majorHAnsi"/>
          <w:sz w:val="20"/>
          <w:szCs w:val="20"/>
          <w:lang w:val="es-PA"/>
        </w:rPr>
        <w:t xml:space="preserve">Claudia </w:t>
      </w:r>
      <w:proofErr w:type="spellStart"/>
      <w:r w:rsidRPr="005C3863">
        <w:rPr>
          <w:rFonts w:asciiTheme="majorHAnsi" w:hAnsiTheme="majorHAnsi"/>
          <w:sz w:val="20"/>
          <w:szCs w:val="20"/>
          <w:lang w:val="es-PA"/>
        </w:rPr>
        <w:t>Yasmín</w:t>
      </w:r>
      <w:proofErr w:type="spellEnd"/>
      <w:r w:rsidRPr="005C3863">
        <w:rPr>
          <w:rFonts w:asciiTheme="majorHAnsi" w:hAnsiTheme="majorHAnsi"/>
          <w:sz w:val="20"/>
          <w:szCs w:val="20"/>
          <w:lang w:val="es-PA"/>
        </w:rPr>
        <w:t xml:space="preserve"> Orrego Carmona (hermana)</w:t>
      </w:r>
    </w:p>
    <w:p w14:paraId="127B1A7E" w14:textId="77777777" w:rsidR="005C3863" w:rsidRPr="005C3863" w:rsidRDefault="005C3863" w:rsidP="005C3863">
      <w:pPr>
        <w:pBdr>
          <w:top w:val="none" w:sz="0" w:space="0" w:color="auto"/>
          <w:left w:val="none" w:sz="0" w:space="0" w:color="auto"/>
          <w:bottom w:val="none" w:sz="0" w:space="0" w:color="auto"/>
          <w:right w:val="none" w:sz="0" w:space="0" w:color="auto"/>
          <w:bar w:val="none" w:sz="0" w:color="auto"/>
        </w:pBdr>
        <w:suppressAutoHyphens/>
        <w:spacing w:after="120"/>
        <w:jc w:val="both"/>
        <w:rPr>
          <w:rFonts w:asciiTheme="majorHAnsi" w:hAnsiTheme="majorHAnsi"/>
          <w:b/>
          <w:color w:val="FF0000"/>
          <w:sz w:val="20"/>
          <w:szCs w:val="20"/>
          <w:lang w:val="es-PA"/>
        </w:rPr>
      </w:pPr>
    </w:p>
    <w:sectPr w:rsidR="005C3863" w:rsidRPr="005C3863" w:rsidSect="00934A2C">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9495A" w14:textId="77777777" w:rsidR="00CA1F38" w:rsidRDefault="00CA1F38">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5AF89266" w14:textId="77777777" w:rsidR="00CA1F38" w:rsidRDefault="00CA1F38">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33C6A" w14:textId="77777777" w:rsidR="00B04600" w:rsidRDefault="00B046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703F7" w14:textId="4449D3F7" w:rsidR="00037A6F" w:rsidRPr="00934A2C" w:rsidRDefault="00037A6F">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04600">
      <w:rPr>
        <w:noProof/>
        <w:sz w:val="16"/>
        <w:szCs w:val="22"/>
      </w:rPr>
      <w:t>3</w:t>
    </w:r>
    <w:r w:rsidRPr="00934A2C">
      <w:rPr>
        <w:sz w:val="16"/>
        <w:szCs w:val="22"/>
      </w:rPr>
      <w:fldChar w:fldCharType="end"/>
    </w:r>
  </w:p>
  <w:p w14:paraId="6C401563" w14:textId="77777777" w:rsidR="00037A6F" w:rsidRDefault="00037A6F">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56991" w14:textId="77777777" w:rsidR="00037A6F" w:rsidRPr="00934A2C" w:rsidRDefault="00037A6F">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14:paraId="69AF9519" w14:textId="77777777" w:rsidR="00037A6F" w:rsidRDefault="00037A6F">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388F0" w14:textId="77777777" w:rsidR="00CA1F38" w:rsidRPr="000F35ED" w:rsidRDefault="00CA1F38">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14:paraId="03386AD0" w14:textId="77777777" w:rsidR="00CA1F38" w:rsidRPr="000F35ED" w:rsidRDefault="00CA1F38"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14:paraId="26666144" w14:textId="77777777" w:rsidR="00CA1F38" w:rsidRPr="000F35ED" w:rsidRDefault="00CA1F38"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xml:space="preserve">[… </w:t>
      </w:r>
      <w:proofErr w:type="spellStart"/>
      <w:proofErr w:type="gramStart"/>
      <w:r>
        <w:rPr>
          <w:sz w:val="16"/>
          <w:szCs w:val="16"/>
        </w:rPr>
        <w:t>c</w:t>
      </w:r>
      <w:r w:rsidRPr="000F35ED">
        <w:rPr>
          <w:sz w:val="16"/>
          <w:szCs w:val="16"/>
        </w:rPr>
        <w:t>ontinuación</w:t>
      </w:r>
      <w:proofErr w:type="spellEnd"/>
      <w:proofErr w:type="gramEnd"/>
      <w:r>
        <w:rPr>
          <w:sz w:val="16"/>
          <w:szCs w:val="16"/>
        </w:rPr>
        <w:t>]</w:t>
      </w:r>
    </w:p>
  </w:footnote>
  <w:footnote w:type="continuationNotice" w:id="1">
    <w:p w14:paraId="7896A7AF" w14:textId="77777777" w:rsidR="00CA1F38" w:rsidRPr="000F35ED" w:rsidRDefault="00CA1F38"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[c</w:t>
      </w:r>
      <w:r w:rsidRPr="000F35ED">
        <w:rPr>
          <w:rFonts w:ascii="Cambria" w:hAnsi="Cambria"/>
          <w:sz w:val="16"/>
          <w:szCs w:val="16"/>
          <w:lang w:val="es-ES"/>
        </w:rPr>
        <w:t>ontinúa…</w:t>
      </w:r>
      <w:r>
        <w:rPr>
          <w:rFonts w:ascii="Cambria" w:hAnsi="Cambria"/>
          <w:sz w:val="16"/>
          <w:szCs w:val="16"/>
          <w:lang w:val="es-ES"/>
        </w:rPr>
        <w:t>]</w:t>
      </w:r>
    </w:p>
  </w:footnote>
  <w:footnote w:id="2">
    <w:p w14:paraId="6ADC9FAD" w14:textId="6D34F333" w:rsidR="00037A6F" w:rsidRPr="005E484A" w:rsidRDefault="00037A6F" w:rsidP="00000689">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D06050">
        <w:rPr>
          <w:rStyle w:val="FootnoteReference"/>
          <w:sz w:val="16"/>
          <w:szCs w:val="16"/>
        </w:rPr>
        <w:footnoteRef/>
      </w:r>
      <w:r w:rsidRPr="00000689">
        <w:rPr>
          <w:lang w:val="es-PA"/>
        </w:rPr>
        <w:t xml:space="preserve"> </w:t>
      </w:r>
      <w:r w:rsidR="00921814">
        <w:rPr>
          <w:rFonts w:ascii="Cambria" w:hAnsi="Cambria"/>
          <w:sz w:val="16"/>
          <w:szCs w:val="16"/>
          <w:lang w:val="es-PA"/>
        </w:rPr>
        <w:t>La petición hace referencia a cinco</w:t>
      </w:r>
      <w:r>
        <w:rPr>
          <w:rFonts w:ascii="Cambria" w:hAnsi="Cambria"/>
          <w:sz w:val="16"/>
          <w:szCs w:val="16"/>
          <w:lang w:val="es-PA"/>
        </w:rPr>
        <w:t xml:space="preserve"> presuntas víctimas de muerte y a sus familiares cuyos nombres se listan en documento anexo.</w:t>
      </w:r>
    </w:p>
  </w:footnote>
  <w:footnote w:id="3">
    <w:p w14:paraId="2CE69B12" w14:textId="77777777" w:rsidR="00037A6F" w:rsidRPr="005E484A" w:rsidRDefault="00037A6F" w:rsidP="007B3BF9">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Pr>
          <w:rStyle w:val="FootnoteReference"/>
        </w:rPr>
        <w:footnoteRef/>
      </w:r>
      <w:r w:rsidRPr="007B3BF9">
        <w:rPr>
          <w:rFonts w:ascii="Cambria" w:hAnsi="Cambria"/>
          <w:sz w:val="16"/>
          <w:szCs w:val="16"/>
          <w:lang w:val="es-PA"/>
        </w:rPr>
        <w:t xml:space="preserve"> En adelante “la Convención Americana”</w:t>
      </w:r>
    </w:p>
  </w:footnote>
  <w:footnote w:id="4">
    <w:p w14:paraId="25D7D8AF" w14:textId="77777777" w:rsidR="00037A6F" w:rsidRPr="005E484A" w:rsidRDefault="00037A6F" w:rsidP="0055761F">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Pr>
          <w:rStyle w:val="FootnoteReference"/>
        </w:rPr>
        <w:footnoteRef/>
      </w:r>
      <w:r w:rsidRPr="0055761F">
        <w:rPr>
          <w:lang w:val="es-PA"/>
        </w:rPr>
        <w:t xml:space="preserve"> </w:t>
      </w:r>
      <w:r>
        <w:rPr>
          <w:rFonts w:ascii="Cambria" w:hAnsi="Cambria"/>
          <w:sz w:val="16"/>
          <w:szCs w:val="16"/>
          <w:lang w:val="es-PA"/>
        </w:rPr>
        <w:t>En adelante “la Declaración Americana”</w:t>
      </w:r>
    </w:p>
  </w:footnote>
  <w:footnote w:id="5">
    <w:p w14:paraId="64A06E90" w14:textId="77777777" w:rsidR="00037A6F" w:rsidRPr="005E484A" w:rsidRDefault="00037A6F" w:rsidP="00226222">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567B31">
        <w:rPr>
          <w:rStyle w:val="FootnoteReference"/>
          <w:rFonts w:ascii="Cambria" w:hAnsi="Cambria"/>
          <w:sz w:val="16"/>
          <w:szCs w:val="16"/>
        </w:rPr>
        <w:footnoteRef/>
      </w:r>
      <w:r w:rsidRPr="00567B31">
        <w:rPr>
          <w:rFonts w:ascii="Cambria" w:hAnsi="Cambria"/>
          <w:sz w:val="16"/>
          <w:szCs w:val="16"/>
          <w:lang w:val="es-ES"/>
        </w:rPr>
        <w:t xml:space="preserve"> Las observaciones de cada parte fueron debidamente trasladadas a la parte contraria.</w:t>
      </w:r>
    </w:p>
  </w:footnote>
  <w:footnote w:id="6">
    <w:p w14:paraId="4589AAA5" w14:textId="1B8A3DC9" w:rsidR="00037A6F" w:rsidRPr="00D06050" w:rsidRDefault="00037A6F" w:rsidP="00D06050">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16"/>
          <w:szCs w:val="16"/>
          <w:lang w:val="es-ES"/>
        </w:rPr>
      </w:pPr>
      <w:r w:rsidRPr="00D06050">
        <w:rPr>
          <w:rStyle w:val="FootnoteReference"/>
        </w:rPr>
        <w:footnoteRef/>
      </w:r>
      <w:r w:rsidRPr="00211EC5">
        <w:rPr>
          <w:rStyle w:val="FootnoteReference"/>
          <w:lang w:val="es-US"/>
        </w:rPr>
        <w:t xml:space="preserve"> </w:t>
      </w:r>
      <w:r w:rsidRPr="00D06050">
        <w:rPr>
          <w:rFonts w:ascii="Cambria" w:hAnsi="Cambria"/>
          <w:sz w:val="16"/>
          <w:szCs w:val="16"/>
          <w:lang w:val="es-ES"/>
        </w:rPr>
        <w:t>CIDH, Informe No. 72/18, Petición 1131-08. Admisibilidad. Moisés de Jesús Hernández Pinto y familia. Guatemala. 20 de junio de 2018, párr. 10.</w:t>
      </w:r>
    </w:p>
  </w:footnote>
  <w:footnote w:id="7">
    <w:p w14:paraId="4D644B11" w14:textId="3CB669E9" w:rsidR="00037A6F" w:rsidRPr="00D06050" w:rsidRDefault="00037A6F" w:rsidP="00D06050">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D06050">
        <w:rPr>
          <w:rStyle w:val="FootnoteReference"/>
          <w:rFonts w:asciiTheme="majorHAnsi" w:hAnsiTheme="majorHAnsi"/>
          <w:sz w:val="16"/>
          <w:szCs w:val="16"/>
        </w:rPr>
        <w:footnoteRef/>
      </w:r>
      <w:r w:rsidRPr="00211EC5">
        <w:rPr>
          <w:rStyle w:val="FootnoteReference"/>
          <w:rFonts w:asciiTheme="majorHAnsi" w:hAnsiTheme="majorHAnsi"/>
          <w:sz w:val="16"/>
          <w:szCs w:val="16"/>
          <w:lang w:val="es-US"/>
        </w:rPr>
        <w:t xml:space="preserve"> </w:t>
      </w:r>
      <w:r w:rsidRPr="00D06050">
        <w:rPr>
          <w:rFonts w:ascii="Cambria" w:hAnsi="Cambria"/>
          <w:sz w:val="16"/>
          <w:szCs w:val="16"/>
          <w:lang w:val="es-ES"/>
        </w:rPr>
        <w:t>CIDH, Informe No. 40/18, Petición 607-07. Admisibilidad. Nelson Enrique Giraldo Ramírez y familia. Colombia. 4 de mayo de 2018, párr. 15.</w:t>
      </w:r>
    </w:p>
  </w:footnote>
  <w:footnote w:id="8">
    <w:p w14:paraId="79BE84F8" w14:textId="77777777" w:rsidR="00037A6F" w:rsidRPr="00AD11FE" w:rsidRDefault="00037A6F" w:rsidP="00F95068">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PA"/>
        </w:rPr>
      </w:pPr>
      <w:r w:rsidRPr="00AD11FE">
        <w:rPr>
          <w:rStyle w:val="FootnoteReference"/>
          <w:rFonts w:asciiTheme="majorHAnsi" w:hAnsiTheme="majorHAnsi"/>
          <w:sz w:val="16"/>
          <w:szCs w:val="16"/>
        </w:rPr>
        <w:footnoteRef/>
      </w:r>
      <w:r w:rsidRPr="00AD11FE">
        <w:rPr>
          <w:rFonts w:asciiTheme="majorHAnsi" w:hAnsiTheme="majorHAnsi"/>
          <w:sz w:val="16"/>
          <w:szCs w:val="16"/>
          <w:lang w:val="es-PA"/>
        </w:rPr>
        <w:t xml:space="preserve"> Corte I.D.H., Garibaldi v. Brasil, Sentencia de Excepciones Preliminares, Fondo, Reparaciones y Costas. 23 de septiembre de 2009, párr. 117. </w:t>
      </w:r>
    </w:p>
  </w:footnote>
  <w:footnote w:id="9">
    <w:p w14:paraId="2D1DF1C4" w14:textId="50A83A6B" w:rsidR="00037A6F" w:rsidRPr="00211EC5" w:rsidRDefault="00037A6F" w:rsidP="00D06050">
      <w:pPr>
        <w:pStyle w:val="FootnoteText"/>
        <w:pBdr>
          <w:top w:val="none" w:sz="0" w:space="0" w:color="auto"/>
          <w:left w:val="none" w:sz="0" w:space="0" w:color="auto"/>
          <w:bottom w:val="none" w:sz="0" w:space="0" w:color="auto"/>
          <w:right w:val="none" w:sz="0" w:space="0" w:color="auto"/>
          <w:bar w:val="none" w:sz="0" w:color="auto"/>
        </w:pBdr>
        <w:ind w:firstLine="720"/>
        <w:jc w:val="both"/>
        <w:rPr>
          <w:rStyle w:val="FootnoteReference"/>
          <w:lang w:val="es-US"/>
        </w:rPr>
      </w:pPr>
      <w:r w:rsidRPr="00AD11FE">
        <w:rPr>
          <w:rStyle w:val="FootnoteReference"/>
          <w:rFonts w:asciiTheme="majorHAnsi" w:hAnsiTheme="majorHAnsi"/>
          <w:sz w:val="16"/>
          <w:szCs w:val="16"/>
        </w:rPr>
        <w:footnoteRef/>
      </w:r>
      <w:r w:rsidRPr="00211EC5">
        <w:rPr>
          <w:rStyle w:val="FootnoteReference"/>
          <w:lang w:val="es-US"/>
        </w:rPr>
        <w:t xml:space="preserve"> </w:t>
      </w:r>
      <w:r w:rsidR="006051F0">
        <w:rPr>
          <w:rFonts w:asciiTheme="majorHAnsi" w:hAnsiTheme="majorHAnsi"/>
          <w:sz w:val="16"/>
          <w:szCs w:val="16"/>
          <w:lang w:val="es-PA"/>
        </w:rPr>
        <w:t>CI</w:t>
      </w:r>
      <w:r w:rsidRPr="00D06050">
        <w:rPr>
          <w:rFonts w:asciiTheme="majorHAnsi" w:hAnsiTheme="majorHAnsi"/>
          <w:sz w:val="16"/>
          <w:szCs w:val="16"/>
          <w:lang w:val="es-PA"/>
        </w:rPr>
        <w:t>DH, Informe No. 15/05, Petición 59-03. Admisibilidad. Carlos Escaleras Mejía. Honduras. 24 de febrero de 2005, párr. 31.</w:t>
      </w:r>
    </w:p>
  </w:footnote>
  <w:footnote w:id="10">
    <w:p w14:paraId="1D000533" w14:textId="77777777" w:rsidR="00037A6F" w:rsidRDefault="00037A6F" w:rsidP="00153012">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AD11FE">
        <w:rPr>
          <w:rStyle w:val="FootnoteReference"/>
          <w:rFonts w:asciiTheme="majorHAnsi" w:hAnsiTheme="majorHAnsi"/>
          <w:sz w:val="16"/>
          <w:szCs w:val="16"/>
        </w:rPr>
        <w:footnoteRef/>
      </w:r>
      <w:r w:rsidRPr="00211EC5">
        <w:rPr>
          <w:rStyle w:val="FootnoteReference"/>
          <w:lang w:val="es-US"/>
        </w:rPr>
        <w:t xml:space="preserve"> </w:t>
      </w:r>
      <w:r w:rsidRPr="006051F0">
        <w:rPr>
          <w:rFonts w:asciiTheme="majorHAnsi" w:hAnsiTheme="majorHAnsi"/>
          <w:sz w:val="16"/>
          <w:szCs w:val="16"/>
          <w:lang w:val="es-PA"/>
        </w:rPr>
        <w:t>CIDH, Informe No. 143/18, Petición 940-08. Admisibilidad. Luis Américo Ayala Gonzales. Perú. 4 de diciembre de 2018, párr.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1B388" w14:textId="77777777" w:rsidR="00037A6F" w:rsidRDefault="00037A6F" w:rsidP="00D43661">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14:paraId="3A615427" w14:textId="77777777" w:rsidR="00037A6F" w:rsidRDefault="00037A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7EF36" w14:textId="267F3594" w:rsidR="00037A6F" w:rsidRDefault="00037A6F" w:rsidP="00A50FCF">
    <w:pPr>
      <w:pStyle w:val="Header"/>
      <w:tabs>
        <w:tab w:val="clear" w:pos="4320"/>
        <w:tab w:val="clear" w:pos="8640"/>
      </w:tabs>
      <w:jc w:val="center"/>
      <w:rPr>
        <w:sz w:val="22"/>
        <w:szCs w:val="22"/>
      </w:rPr>
    </w:pPr>
    <w:r>
      <w:rPr>
        <w:noProof/>
        <w:sz w:val="22"/>
        <w:szCs w:val="22"/>
      </w:rPr>
      <w:drawing>
        <wp:inline distT="0" distB="0" distL="0" distR="0" wp14:anchorId="0476B8A3" wp14:editId="1CFCBA2E">
          <wp:extent cx="1952625" cy="104775"/>
          <wp:effectExtent l="0" t="0" r="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104775"/>
                  </a:xfrm>
                  <a:prstGeom prst="rect">
                    <a:avLst/>
                  </a:prstGeom>
                  <a:noFill/>
                  <a:ln>
                    <a:noFill/>
                  </a:ln>
                </pic:spPr>
              </pic:pic>
            </a:graphicData>
          </a:graphic>
        </wp:inline>
      </w:drawing>
    </w:r>
  </w:p>
  <w:p w14:paraId="18009F4B" w14:textId="77777777" w:rsidR="00037A6F" w:rsidRPr="00EC7D62" w:rsidRDefault="00CA1F38" w:rsidP="00A50FCF">
    <w:pPr>
      <w:pStyle w:val="Header"/>
      <w:tabs>
        <w:tab w:val="clear" w:pos="4320"/>
        <w:tab w:val="clear" w:pos="8640"/>
      </w:tabs>
      <w:jc w:val="center"/>
      <w:rPr>
        <w:sz w:val="22"/>
        <w:szCs w:val="22"/>
      </w:rPr>
    </w:pPr>
    <w:r>
      <w:rPr>
        <w:sz w:val="22"/>
        <w:szCs w:val="22"/>
      </w:rPr>
      <w:pict w14:anchorId="59960221">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74AA1" w14:textId="77777777" w:rsidR="00B04600" w:rsidRDefault="00B046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5" w15:restartNumberingAfterBreak="0">
    <w:nsid w:val="0E1D2261"/>
    <w:multiLevelType w:val="hybridMultilevel"/>
    <w:tmpl w:val="C3F2D3BE"/>
    <w:lvl w:ilvl="0" w:tplc="BFC2E78E">
      <w:start w:val="1"/>
      <w:numFmt w:val="decimal"/>
      <w:lvlText w:val="%1."/>
      <w:lvlJc w:val="left"/>
      <w:pPr>
        <w:tabs>
          <w:tab w:val="num" w:pos="720"/>
        </w:tabs>
        <w:ind w:firstLine="720"/>
      </w:pPr>
      <w:rPr>
        <w:rFonts w:cs="Times New Roman" w:hint="default"/>
        <w:b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3" w15:restartNumberingAfterBreak="0">
    <w:nsid w:val="217E04DE"/>
    <w:multiLevelType w:val="hybridMultilevel"/>
    <w:tmpl w:val="E2F09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1" w15:restartNumberingAfterBreak="0">
    <w:nsid w:val="2DB41317"/>
    <w:multiLevelType w:val="hybridMultilevel"/>
    <w:tmpl w:val="FDC64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BC1D58"/>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5" w15:restartNumberingAfterBreak="0">
    <w:nsid w:val="330C15B7"/>
    <w:multiLevelType w:val="hybridMultilevel"/>
    <w:tmpl w:val="1A0EE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8"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9" w15:restartNumberingAfterBreak="0">
    <w:nsid w:val="61984323"/>
    <w:multiLevelType w:val="hybridMultilevel"/>
    <w:tmpl w:val="5CBC0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4252436"/>
    <w:multiLevelType w:val="hybridMultilevel"/>
    <w:tmpl w:val="896087DE"/>
    <w:lvl w:ilvl="0" w:tplc="C34E3F2E">
      <w:start w:val="1"/>
      <w:numFmt w:val="decimal"/>
      <w:lvlText w:val="%1."/>
      <w:lvlJc w:val="left"/>
      <w:pPr>
        <w:ind w:left="1890" w:hanging="360"/>
      </w:pPr>
      <w:rPr>
        <w:rFonts w:cs="Times New Roman"/>
        <w:color w:val="00000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1" w15:restartNumberingAfterBreak="0">
    <w:nsid w:val="65483F42"/>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53" w15:restartNumberingAfterBreak="0">
    <w:nsid w:val="68E30FBE"/>
    <w:multiLevelType w:val="hybridMultilevel"/>
    <w:tmpl w:val="6CD6B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8"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3" w15:restartNumberingAfterBreak="0">
    <w:nsid w:val="7D3D5E1A"/>
    <w:multiLevelType w:val="hybridMultilevel"/>
    <w:tmpl w:val="A9082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5" w15:restartNumberingAfterBreak="0">
    <w:nsid w:val="7EC64B12"/>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4"/>
  </w:num>
  <w:num w:numId="2">
    <w:abstractNumId w:val="6"/>
  </w:num>
  <w:num w:numId="3">
    <w:abstractNumId w:val="59"/>
  </w:num>
  <w:num w:numId="4">
    <w:abstractNumId w:val="24"/>
  </w:num>
  <w:num w:numId="5">
    <w:abstractNumId w:val="52"/>
  </w:num>
  <w:num w:numId="6">
    <w:abstractNumId w:val="30"/>
  </w:num>
  <w:num w:numId="7">
    <w:abstractNumId w:val="7"/>
  </w:num>
  <w:num w:numId="8">
    <w:abstractNumId w:val="18"/>
  </w:num>
  <w:num w:numId="9">
    <w:abstractNumId w:val="44"/>
  </w:num>
  <w:num w:numId="10">
    <w:abstractNumId w:val="0"/>
  </w:num>
  <w:num w:numId="11">
    <w:abstractNumId w:val="39"/>
  </w:num>
  <w:num w:numId="12">
    <w:abstractNumId w:val="40"/>
  </w:num>
  <w:num w:numId="13">
    <w:abstractNumId w:val="46"/>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6"/>
  </w:num>
  <w:num w:numId="28">
    <w:abstractNumId w:val="27"/>
  </w:num>
  <w:num w:numId="29">
    <w:abstractNumId w:val="28"/>
  </w:num>
  <w:num w:numId="30">
    <w:abstractNumId w:val="29"/>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41"/>
  </w:num>
  <w:num w:numId="40">
    <w:abstractNumId w:val="42"/>
  </w:num>
  <w:num w:numId="41">
    <w:abstractNumId w:val="48"/>
  </w:num>
  <w:num w:numId="42">
    <w:abstractNumId w:val="54"/>
  </w:num>
  <w:num w:numId="43">
    <w:abstractNumId w:val="55"/>
  </w:num>
  <w:num w:numId="44">
    <w:abstractNumId w:val="57"/>
  </w:num>
  <w:num w:numId="45">
    <w:abstractNumId w:val="58"/>
  </w:num>
  <w:num w:numId="46">
    <w:abstractNumId w:val="60"/>
  </w:num>
  <w:num w:numId="47">
    <w:abstractNumId w:val="61"/>
  </w:num>
  <w:num w:numId="48">
    <w:abstractNumId w:val="62"/>
  </w:num>
  <w:num w:numId="49">
    <w:abstractNumId w:val="64"/>
  </w:num>
  <w:num w:numId="50">
    <w:abstractNumId w:val="66"/>
  </w:num>
  <w:num w:numId="51">
    <w:abstractNumId w:val="23"/>
  </w:num>
  <w:num w:numId="52">
    <w:abstractNumId w:val="43"/>
  </w:num>
  <w:num w:numId="53">
    <w:abstractNumId w:val="56"/>
  </w:num>
  <w:num w:numId="54">
    <w:abstractNumId w:val="47"/>
  </w:num>
  <w:num w:numId="55">
    <w:abstractNumId w:val="5"/>
  </w:num>
  <w:num w:numId="56">
    <w:abstractNumId w:val="45"/>
  </w:num>
  <w:num w:numId="57">
    <w:abstractNumId w:val="65"/>
  </w:num>
  <w:num w:numId="58">
    <w:abstractNumId w:val="22"/>
  </w:num>
  <w:num w:numId="59">
    <w:abstractNumId w:val="3"/>
  </w:num>
  <w:num w:numId="60">
    <w:abstractNumId w:val="51"/>
  </w:num>
  <w:num w:numId="61">
    <w:abstractNumId w:val="50"/>
  </w:num>
  <w:num w:numId="62">
    <w:abstractNumId w:val="21"/>
  </w:num>
  <w:num w:numId="63">
    <w:abstractNumId w:val="13"/>
  </w:num>
  <w:num w:numId="64">
    <w:abstractNumId w:val="53"/>
  </w:num>
  <w:num w:numId="65">
    <w:abstractNumId w:val="25"/>
  </w:num>
  <w:num w:numId="66">
    <w:abstractNumId w:val="63"/>
  </w:num>
  <w:num w:numId="67">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056"/>
    <w:rsid w:val="0000036F"/>
    <w:rsid w:val="00000689"/>
    <w:rsid w:val="00000CDA"/>
    <w:rsid w:val="0000249E"/>
    <w:rsid w:val="00003321"/>
    <w:rsid w:val="00004713"/>
    <w:rsid w:val="000065D0"/>
    <w:rsid w:val="00006B74"/>
    <w:rsid w:val="00006E1F"/>
    <w:rsid w:val="000070D7"/>
    <w:rsid w:val="000104F5"/>
    <w:rsid w:val="0001051F"/>
    <w:rsid w:val="00010B79"/>
    <w:rsid w:val="00015701"/>
    <w:rsid w:val="00016406"/>
    <w:rsid w:val="000173E6"/>
    <w:rsid w:val="0001788C"/>
    <w:rsid w:val="0002186F"/>
    <w:rsid w:val="000337EF"/>
    <w:rsid w:val="00034010"/>
    <w:rsid w:val="00037A6F"/>
    <w:rsid w:val="00040C3A"/>
    <w:rsid w:val="000419AD"/>
    <w:rsid w:val="0004364E"/>
    <w:rsid w:val="00044F10"/>
    <w:rsid w:val="00060649"/>
    <w:rsid w:val="00061B9F"/>
    <w:rsid w:val="00064191"/>
    <w:rsid w:val="000716C5"/>
    <w:rsid w:val="00075E23"/>
    <w:rsid w:val="00086E72"/>
    <w:rsid w:val="00087D19"/>
    <w:rsid w:val="0009006E"/>
    <w:rsid w:val="00092F44"/>
    <w:rsid w:val="0009344A"/>
    <w:rsid w:val="000A19F8"/>
    <w:rsid w:val="000A3254"/>
    <w:rsid w:val="000A392E"/>
    <w:rsid w:val="000A575F"/>
    <w:rsid w:val="000A63D0"/>
    <w:rsid w:val="000B0579"/>
    <w:rsid w:val="000B08BC"/>
    <w:rsid w:val="000B0E49"/>
    <w:rsid w:val="000B6A1B"/>
    <w:rsid w:val="000B6A31"/>
    <w:rsid w:val="000C1C69"/>
    <w:rsid w:val="000C3A31"/>
    <w:rsid w:val="000D10DB"/>
    <w:rsid w:val="000D6148"/>
    <w:rsid w:val="000E2789"/>
    <w:rsid w:val="000E5EB5"/>
    <w:rsid w:val="000F0B08"/>
    <w:rsid w:val="000F27FF"/>
    <w:rsid w:val="000F35ED"/>
    <w:rsid w:val="00107009"/>
    <w:rsid w:val="00107131"/>
    <w:rsid w:val="0010736F"/>
    <w:rsid w:val="00111A8A"/>
    <w:rsid w:val="00113F73"/>
    <w:rsid w:val="00121CC2"/>
    <w:rsid w:val="00124CFE"/>
    <w:rsid w:val="0012779F"/>
    <w:rsid w:val="001277F8"/>
    <w:rsid w:val="00131354"/>
    <w:rsid w:val="00131D8B"/>
    <w:rsid w:val="00133EE5"/>
    <w:rsid w:val="0013415B"/>
    <w:rsid w:val="00136E3D"/>
    <w:rsid w:val="00143EFE"/>
    <w:rsid w:val="001475AE"/>
    <w:rsid w:val="001479C0"/>
    <w:rsid w:val="00151F08"/>
    <w:rsid w:val="00153012"/>
    <w:rsid w:val="0015330B"/>
    <w:rsid w:val="0015647F"/>
    <w:rsid w:val="00161278"/>
    <w:rsid w:val="00167A34"/>
    <w:rsid w:val="00176BB3"/>
    <w:rsid w:val="00177EEF"/>
    <w:rsid w:val="001806A8"/>
    <w:rsid w:val="00185745"/>
    <w:rsid w:val="00186D2C"/>
    <w:rsid w:val="00187DC4"/>
    <w:rsid w:val="00187E3D"/>
    <w:rsid w:val="00190317"/>
    <w:rsid w:val="001A0935"/>
    <w:rsid w:val="001A3E48"/>
    <w:rsid w:val="001A6683"/>
    <w:rsid w:val="001A7870"/>
    <w:rsid w:val="001B1621"/>
    <w:rsid w:val="001B27B9"/>
    <w:rsid w:val="001B3A00"/>
    <w:rsid w:val="001B442A"/>
    <w:rsid w:val="001B4C00"/>
    <w:rsid w:val="001C1455"/>
    <w:rsid w:val="001C1B41"/>
    <w:rsid w:val="001C4039"/>
    <w:rsid w:val="001D65EF"/>
    <w:rsid w:val="001E1067"/>
    <w:rsid w:val="001E49E7"/>
    <w:rsid w:val="001F271B"/>
    <w:rsid w:val="001F371D"/>
    <w:rsid w:val="001F7201"/>
    <w:rsid w:val="00204931"/>
    <w:rsid w:val="0020691D"/>
    <w:rsid w:val="00211731"/>
    <w:rsid w:val="00211BDA"/>
    <w:rsid w:val="00211EC5"/>
    <w:rsid w:val="00212EF1"/>
    <w:rsid w:val="0021779A"/>
    <w:rsid w:val="002207F6"/>
    <w:rsid w:val="00223A29"/>
    <w:rsid w:val="00223BAA"/>
    <w:rsid w:val="002250A3"/>
    <w:rsid w:val="00226222"/>
    <w:rsid w:val="00231294"/>
    <w:rsid w:val="00233654"/>
    <w:rsid w:val="00235217"/>
    <w:rsid w:val="002355A9"/>
    <w:rsid w:val="00236216"/>
    <w:rsid w:val="00241813"/>
    <w:rsid w:val="002435FF"/>
    <w:rsid w:val="00246D1F"/>
    <w:rsid w:val="00247403"/>
    <w:rsid w:val="00247542"/>
    <w:rsid w:val="0025012E"/>
    <w:rsid w:val="002565DB"/>
    <w:rsid w:val="00257CF9"/>
    <w:rsid w:val="00266B61"/>
    <w:rsid w:val="0026712A"/>
    <w:rsid w:val="002704DB"/>
    <w:rsid w:val="0027320E"/>
    <w:rsid w:val="00277BDA"/>
    <w:rsid w:val="00285F17"/>
    <w:rsid w:val="0029184A"/>
    <w:rsid w:val="0029575A"/>
    <w:rsid w:val="002A0AAE"/>
    <w:rsid w:val="002A13F9"/>
    <w:rsid w:val="002A5820"/>
    <w:rsid w:val="002A6BA5"/>
    <w:rsid w:val="002C3350"/>
    <w:rsid w:val="002D2B26"/>
    <w:rsid w:val="002D7EA2"/>
    <w:rsid w:val="002E187C"/>
    <w:rsid w:val="002E6E36"/>
    <w:rsid w:val="002E7512"/>
    <w:rsid w:val="002F0CBF"/>
    <w:rsid w:val="002F3724"/>
    <w:rsid w:val="00300C13"/>
    <w:rsid w:val="00302733"/>
    <w:rsid w:val="003077BF"/>
    <w:rsid w:val="003121D5"/>
    <w:rsid w:val="00314078"/>
    <w:rsid w:val="0031535D"/>
    <w:rsid w:val="003207C9"/>
    <w:rsid w:val="003239B8"/>
    <w:rsid w:val="0033169F"/>
    <w:rsid w:val="00341105"/>
    <w:rsid w:val="0034224A"/>
    <w:rsid w:val="00343112"/>
    <w:rsid w:val="00343438"/>
    <w:rsid w:val="00344977"/>
    <w:rsid w:val="00346C05"/>
    <w:rsid w:val="00346C95"/>
    <w:rsid w:val="00351155"/>
    <w:rsid w:val="00356185"/>
    <w:rsid w:val="00360380"/>
    <w:rsid w:val="0036066B"/>
    <w:rsid w:val="00363DB6"/>
    <w:rsid w:val="00367D17"/>
    <w:rsid w:val="0037519E"/>
    <w:rsid w:val="00382395"/>
    <w:rsid w:val="003843E5"/>
    <w:rsid w:val="00386C6C"/>
    <w:rsid w:val="00386CF0"/>
    <w:rsid w:val="003942EC"/>
    <w:rsid w:val="00396562"/>
    <w:rsid w:val="0039714C"/>
    <w:rsid w:val="003A6337"/>
    <w:rsid w:val="003B4FF6"/>
    <w:rsid w:val="003B5585"/>
    <w:rsid w:val="003B5C6B"/>
    <w:rsid w:val="003B70FB"/>
    <w:rsid w:val="003C20FF"/>
    <w:rsid w:val="003C4F45"/>
    <w:rsid w:val="003C6112"/>
    <w:rsid w:val="003C676B"/>
    <w:rsid w:val="003C7487"/>
    <w:rsid w:val="003D0A55"/>
    <w:rsid w:val="003D3BC2"/>
    <w:rsid w:val="003D49E4"/>
    <w:rsid w:val="003D5200"/>
    <w:rsid w:val="003E2134"/>
    <w:rsid w:val="003E3DC8"/>
    <w:rsid w:val="003E614F"/>
    <w:rsid w:val="003E6CA1"/>
    <w:rsid w:val="00400F5E"/>
    <w:rsid w:val="004065A8"/>
    <w:rsid w:val="004153F5"/>
    <w:rsid w:val="004165C2"/>
    <w:rsid w:val="00425533"/>
    <w:rsid w:val="004304AD"/>
    <w:rsid w:val="00434A3E"/>
    <w:rsid w:val="00441ECB"/>
    <w:rsid w:val="004435A3"/>
    <w:rsid w:val="00445193"/>
    <w:rsid w:val="00447AE4"/>
    <w:rsid w:val="00447CCF"/>
    <w:rsid w:val="0045229A"/>
    <w:rsid w:val="004565BA"/>
    <w:rsid w:val="004601CF"/>
    <w:rsid w:val="00462C1B"/>
    <w:rsid w:val="00467B7E"/>
    <w:rsid w:val="0047080D"/>
    <w:rsid w:val="00473BB4"/>
    <w:rsid w:val="00476211"/>
    <w:rsid w:val="00477592"/>
    <w:rsid w:val="0048184C"/>
    <w:rsid w:val="00486F1C"/>
    <w:rsid w:val="0049419D"/>
    <w:rsid w:val="004A3B67"/>
    <w:rsid w:val="004A59CC"/>
    <w:rsid w:val="004A6A54"/>
    <w:rsid w:val="004A75A1"/>
    <w:rsid w:val="004B245C"/>
    <w:rsid w:val="004B50A0"/>
    <w:rsid w:val="004C0323"/>
    <w:rsid w:val="004C20D2"/>
    <w:rsid w:val="004C2312"/>
    <w:rsid w:val="004C3A7D"/>
    <w:rsid w:val="004C4B62"/>
    <w:rsid w:val="004C54C9"/>
    <w:rsid w:val="004C616A"/>
    <w:rsid w:val="004C731B"/>
    <w:rsid w:val="004D33D4"/>
    <w:rsid w:val="004D4ABA"/>
    <w:rsid w:val="004D4DEE"/>
    <w:rsid w:val="004D6025"/>
    <w:rsid w:val="004E19B1"/>
    <w:rsid w:val="004E1A4E"/>
    <w:rsid w:val="004E2649"/>
    <w:rsid w:val="004E5467"/>
    <w:rsid w:val="004E5987"/>
    <w:rsid w:val="004F2474"/>
    <w:rsid w:val="004F2F5D"/>
    <w:rsid w:val="00501399"/>
    <w:rsid w:val="00501652"/>
    <w:rsid w:val="005025B1"/>
    <w:rsid w:val="0050633D"/>
    <w:rsid w:val="00507BC4"/>
    <w:rsid w:val="00511D09"/>
    <w:rsid w:val="005128E4"/>
    <w:rsid w:val="005133DB"/>
    <w:rsid w:val="005141C6"/>
    <w:rsid w:val="00525560"/>
    <w:rsid w:val="00534ED4"/>
    <w:rsid w:val="005415E6"/>
    <w:rsid w:val="00544216"/>
    <w:rsid w:val="00544C49"/>
    <w:rsid w:val="005516A1"/>
    <w:rsid w:val="005565AF"/>
    <w:rsid w:val="0055761F"/>
    <w:rsid w:val="005603CE"/>
    <w:rsid w:val="00563557"/>
    <w:rsid w:val="00567B31"/>
    <w:rsid w:val="0057402A"/>
    <w:rsid w:val="00574CB7"/>
    <w:rsid w:val="005771D0"/>
    <w:rsid w:val="0059191A"/>
    <w:rsid w:val="005921FF"/>
    <w:rsid w:val="00594707"/>
    <w:rsid w:val="005A24ED"/>
    <w:rsid w:val="005A6C02"/>
    <w:rsid w:val="005A6D0E"/>
    <w:rsid w:val="005B00F5"/>
    <w:rsid w:val="005B37CC"/>
    <w:rsid w:val="005B52B0"/>
    <w:rsid w:val="005B6458"/>
    <w:rsid w:val="005B6806"/>
    <w:rsid w:val="005B6D22"/>
    <w:rsid w:val="005C261A"/>
    <w:rsid w:val="005C3863"/>
    <w:rsid w:val="005C4225"/>
    <w:rsid w:val="005C60C4"/>
    <w:rsid w:val="005C7989"/>
    <w:rsid w:val="005D13F3"/>
    <w:rsid w:val="005D4EBD"/>
    <w:rsid w:val="005D66AD"/>
    <w:rsid w:val="005E0B65"/>
    <w:rsid w:val="005E11B2"/>
    <w:rsid w:val="005E484A"/>
    <w:rsid w:val="005E4C8B"/>
    <w:rsid w:val="005F0DAD"/>
    <w:rsid w:val="005F0F33"/>
    <w:rsid w:val="005F2E60"/>
    <w:rsid w:val="00600DEB"/>
    <w:rsid w:val="00604CA5"/>
    <w:rsid w:val="006051F0"/>
    <w:rsid w:val="006062FA"/>
    <w:rsid w:val="006068B7"/>
    <w:rsid w:val="00611CED"/>
    <w:rsid w:val="006132CC"/>
    <w:rsid w:val="00615248"/>
    <w:rsid w:val="0061708C"/>
    <w:rsid w:val="00623A34"/>
    <w:rsid w:val="006274F5"/>
    <w:rsid w:val="006277DE"/>
    <w:rsid w:val="00627C9F"/>
    <w:rsid w:val="006311E9"/>
    <w:rsid w:val="00632354"/>
    <w:rsid w:val="006414C3"/>
    <w:rsid w:val="00642810"/>
    <w:rsid w:val="00647756"/>
    <w:rsid w:val="006509DA"/>
    <w:rsid w:val="00652333"/>
    <w:rsid w:val="00654344"/>
    <w:rsid w:val="0066069F"/>
    <w:rsid w:val="00662E2F"/>
    <w:rsid w:val="0066550E"/>
    <w:rsid w:val="00670BF9"/>
    <w:rsid w:val="00673252"/>
    <w:rsid w:val="00676604"/>
    <w:rsid w:val="006775AB"/>
    <w:rsid w:val="0068009E"/>
    <w:rsid w:val="006819E9"/>
    <w:rsid w:val="00686471"/>
    <w:rsid w:val="0068794B"/>
    <w:rsid w:val="0069157D"/>
    <w:rsid w:val="00691BBE"/>
    <w:rsid w:val="00692219"/>
    <w:rsid w:val="006928C1"/>
    <w:rsid w:val="0069402E"/>
    <w:rsid w:val="006A17D2"/>
    <w:rsid w:val="006A36BB"/>
    <w:rsid w:val="006A4D7E"/>
    <w:rsid w:val="006A73E6"/>
    <w:rsid w:val="006B1B8B"/>
    <w:rsid w:val="006B23DC"/>
    <w:rsid w:val="006B29DD"/>
    <w:rsid w:val="006B2D5C"/>
    <w:rsid w:val="006B2EE8"/>
    <w:rsid w:val="006B5A5F"/>
    <w:rsid w:val="006B5A72"/>
    <w:rsid w:val="006C4EB1"/>
    <w:rsid w:val="006D016F"/>
    <w:rsid w:val="006E0166"/>
    <w:rsid w:val="006E4516"/>
    <w:rsid w:val="006E4E96"/>
    <w:rsid w:val="006E772A"/>
    <w:rsid w:val="006E7B34"/>
    <w:rsid w:val="006F551A"/>
    <w:rsid w:val="006F73BE"/>
    <w:rsid w:val="007044E1"/>
    <w:rsid w:val="00706189"/>
    <w:rsid w:val="0070697F"/>
    <w:rsid w:val="0072199C"/>
    <w:rsid w:val="00722C9F"/>
    <w:rsid w:val="00722E22"/>
    <w:rsid w:val="007253B8"/>
    <w:rsid w:val="0072663B"/>
    <w:rsid w:val="00727001"/>
    <w:rsid w:val="00727B0E"/>
    <w:rsid w:val="0073036F"/>
    <w:rsid w:val="00731F35"/>
    <w:rsid w:val="00732C96"/>
    <w:rsid w:val="0073598C"/>
    <w:rsid w:val="00735A5E"/>
    <w:rsid w:val="0073741F"/>
    <w:rsid w:val="00757A02"/>
    <w:rsid w:val="00762176"/>
    <w:rsid w:val="0076643F"/>
    <w:rsid w:val="00777E84"/>
    <w:rsid w:val="00777F63"/>
    <w:rsid w:val="007852B5"/>
    <w:rsid w:val="00786DBA"/>
    <w:rsid w:val="007912C8"/>
    <w:rsid w:val="007931F4"/>
    <w:rsid w:val="00796A37"/>
    <w:rsid w:val="007A5817"/>
    <w:rsid w:val="007A5D4C"/>
    <w:rsid w:val="007B05C4"/>
    <w:rsid w:val="007B11C8"/>
    <w:rsid w:val="007B3BF9"/>
    <w:rsid w:val="007B60E9"/>
    <w:rsid w:val="007B6CC3"/>
    <w:rsid w:val="007C3334"/>
    <w:rsid w:val="007C402A"/>
    <w:rsid w:val="007C5832"/>
    <w:rsid w:val="007C5E01"/>
    <w:rsid w:val="007D2B98"/>
    <w:rsid w:val="007D45DE"/>
    <w:rsid w:val="007D7C02"/>
    <w:rsid w:val="007E21BC"/>
    <w:rsid w:val="007E58FE"/>
    <w:rsid w:val="007E7C82"/>
    <w:rsid w:val="007F0767"/>
    <w:rsid w:val="007F3ABA"/>
    <w:rsid w:val="007F3F67"/>
    <w:rsid w:val="007F4767"/>
    <w:rsid w:val="007F54FB"/>
    <w:rsid w:val="007F588D"/>
    <w:rsid w:val="00802583"/>
    <w:rsid w:val="00802748"/>
    <w:rsid w:val="00803F1C"/>
    <w:rsid w:val="0080600E"/>
    <w:rsid w:val="00807E8C"/>
    <w:rsid w:val="00816893"/>
    <w:rsid w:val="00817612"/>
    <w:rsid w:val="00822B66"/>
    <w:rsid w:val="00826756"/>
    <w:rsid w:val="00827C40"/>
    <w:rsid w:val="008338A4"/>
    <w:rsid w:val="00834D49"/>
    <w:rsid w:val="00837C45"/>
    <w:rsid w:val="008411F0"/>
    <w:rsid w:val="008439BC"/>
    <w:rsid w:val="00844730"/>
    <w:rsid w:val="008448B6"/>
    <w:rsid w:val="008457C2"/>
    <w:rsid w:val="00851BF6"/>
    <w:rsid w:val="00853F61"/>
    <w:rsid w:val="00857A82"/>
    <w:rsid w:val="008600A3"/>
    <w:rsid w:val="0086141D"/>
    <w:rsid w:val="00870492"/>
    <w:rsid w:val="00870D95"/>
    <w:rsid w:val="00871359"/>
    <w:rsid w:val="00871526"/>
    <w:rsid w:val="00873836"/>
    <w:rsid w:val="00875668"/>
    <w:rsid w:val="008802DC"/>
    <w:rsid w:val="00881E7D"/>
    <w:rsid w:val="008856AB"/>
    <w:rsid w:val="00885737"/>
    <w:rsid w:val="00890650"/>
    <w:rsid w:val="008919E9"/>
    <w:rsid w:val="00897E12"/>
    <w:rsid w:val="008A0F81"/>
    <w:rsid w:val="008A310C"/>
    <w:rsid w:val="008A392C"/>
    <w:rsid w:val="008A7E0F"/>
    <w:rsid w:val="008B098F"/>
    <w:rsid w:val="008B12F5"/>
    <w:rsid w:val="008B5932"/>
    <w:rsid w:val="008C5751"/>
    <w:rsid w:val="008C73B3"/>
    <w:rsid w:val="008D02AD"/>
    <w:rsid w:val="008D768D"/>
    <w:rsid w:val="008E0FD8"/>
    <w:rsid w:val="008E328A"/>
    <w:rsid w:val="008E3759"/>
    <w:rsid w:val="008E3BFE"/>
    <w:rsid w:val="008E7900"/>
    <w:rsid w:val="008F1912"/>
    <w:rsid w:val="008F1984"/>
    <w:rsid w:val="008F52F5"/>
    <w:rsid w:val="008F642D"/>
    <w:rsid w:val="00900FDF"/>
    <w:rsid w:val="0090270B"/>
    <w:rsid w:val="009041DC"/>
    <w:rsid w:val="009053E2"/>
    <w:rsid w:val="00910DE9"/>
    <w:rsid w:val="00911B3F"/>
    <w:rsid w:val="00913788"/>
    <w:rsid w:val="00913D12"/>
    <w:rsid w:val="00917B5A"/>
    <w:rsid w:val="00920A58"/>
    <w:rsid w:val="00920A8C"/>
    <w:rsid w:val="00920ABA"/>
    <w:rsid w:val="00920AC1"/>
    <w:rsid w:val="00921814"/>
    <w:rsid w:val="00924F65"/>
    <w:rsid w:val="00934A2C"/>
    <w:rsid w:val="00934F47"/>
    <w:rsid w:val="009354B0"/>
    <w:rsid w:val="00935F06"/>
    <w:rsid w:val="00937B3A"/>
    <w:rsid w:val="00937E17"/>
    <w:rsid w:val="00943696"/>
    <w:rsid w:val="00945886"/>
    <w:rsid w:val="00953D82"/>
    <w:rsid w:val="00954B82"/>
    <w:rsid w:val="00957000"/>
    <w:rsid w:val="00962436"/>
    <w:rsid w:val="0096706E"/>
    <w:rsid w:val="00974491"/>
    <w:rsid w:val="00975C4E"/>
    <w:rsid w:val="00977573"/>
    <w:rsid w:val="00977D69"/>
    <w:rsid w:val="00981FBA"/>
    <w:rsid w:val="00984ACE"/>
    <w:rsid w:val="00991376"/>
    <w:rsid w:val="009962F6"/>
    <w:rsid w:val="00997BC5"/>
    <w:rsid w:val="009A4F41"/>
    <w:rsid w:val="009B381B"/>
    <w:rsid w:val="009C2FC5"/>
    <w:rsid w:val="009D1753"/>
    <w:rsid w:val="009D38C6"/>
    <w:rsid w:val="009D4CF0"/>
    <w:rsid w:val="009D6502"/>
    <w:rsid w:val="009D7611"/>
    <w:rsid w:val="009D78A5"/>
    <w:rsid w:val="009E08DD"/>
    <w:rsid w:val="009E0B61"/>
    <w:rsid w:val="009E53DE"/>
    <w:rsid w:val="009E7C00"/>
    <w:rsid w:val="00A0691C"/>
    <w:rsid w:val="00A11E44"/>
    <w:rsid w:val="00A154C8"/>
    <w:rsid w:val="00A20AD4"/>
    <w:rsid w:val="00A22397"/>
    <w:rsid w:val="00A26011"/>
    <w:rsid w:val="00A32313"/>
    <w:rsid w:val="00A328B3"/>
    <w:rsid w:val="00A32B9B"/>
    <w:rsid w:val="00A42709"/>
    <w:rsid w:val="00A507C8"/>
    <w:rsid w:val="00A50FCF"/>
    <w:rsid w:val="00A528D1"/>
    <w:rsid w:val="00A563EE"/>
    <w:rsid w:val="00A610CD"/>
    <w:rsid w:val="00A625E0"/>
    <w:rsid w:val="00A6434F"/>
    <w:rsid w:val="00A74947"/>
    <w:rsid w:val="00A758AA"/>
    <w:rsid w:val="00A81CA1"/>
    <w:rsid w:val="00A87543"/>
    <w:rsid w:val="00A92093"/>
    <w:rsid w:val="00A929AA"/>
    <w:rsid w:val="00A93A60"/>
    <w:rsid w:val="00A94F21"/>
    <w:rsid w:val="00AA09A2"/>
    <w:rsid w:val="00AA19DA"/>
    <w:rsid w:val="00AA399C"/>
    <w:rsid w:val="00AA795B"/>
    <w:rsid w:val="00AA7996"/>
    <w:rsid w:val="00AB14BB"/>
    <w:rsid w:val="00AB2DEF"/>
    <w:rsid w:val="00AC19CB"/>
    <w:rsid w:val="00AD11FE"/>
    <w:rsid w:val="00AD1886"/>
    <w:rsid w:val="00AD5F88"/>
    <w:rsid w:val="00AE5488"/>
    <w:rsid w:val="00AE6F91"/>
    <w:rsid w:val="00AF0B04"/>
    <w:rsid w:val="00AF5571"/>
    <w:rsid w:val="00AF6123"/>
    <w:rsid w:val="00AF695E"/>
    <w:rsid w:val="00B04600"/>
    <w:rsid w:val="00B066A5"/>
    <w:rsid w:val="00B06B4E"/>
    <w:rsid w:val="00B07341"/>
    <w:rsid w:val="00B10160"/>
    <w:rsid w:val="00B202B5"/>
    <w:rsid w:val="00B30099"/>
    <w:rsid w:val="00B3028A"/>
    <w:rsid w:val="00B30539"/>
    <w:rsid w:val="00B314DB"/>
    <w:rsid w:val="00B361F2"/>
    <w:rsid w:val="00B36FBE"/>
    <w:rsid w:val="00B3718B"/>
    <w:rsid w:val="00B403E3"/>
    <w:rsid w:val="00B415FE"/>
    <w:rsid w:val="00B42FA4"/>
    <w:rsid w:val="00B4460D"/>
    <w:rsid w:val="00B45CC0"/>
    <w:rsid w:val="00B4632A"/>
    <w:rsid w:val="00B5067D"/>
    <w:rsid w:val="00B530F1"/>
    <w:rsid w:val="00B54338"/>
    <w:rsid w:val="00B543EC"/>
    <w:rsid w:val="00B57297"/>
    <w:rsid w:val="00B5798A"/>
    <w:rsid w:val="00B655BD"/>
    <w:rsid w:val="00B736AF"/>
    <w:rsid w:val="00B742BE"/>
    <w:rsid w:val="00B74BBE"/>
    <w:rsid w:val="00B75A9C"/>
    <w:rsid w:val="00B85E9F"/>
    <w:rsid w:val="00B87359"/>
    <w:rsid w:val="00B92D4A"/>
    <w:rsid w:val="00B97946"/>
    <w:rsid w:val="00BA1EAE"/>
    <w:rsid w:val="00BA276C"/>
    <w:rsid w:val="00BA5544"/>
    <w:rsid w:val="00BB0330"/>
    <w:rsid w:val="00BB306F"/>
    <w:rsid w:val="00BB3402"/>
    <w:rsid w:val="00BB3FBD"/>
    <w:rsid w:val="00BC0968"/>
    <w:rsid w:val="00BC6593"/>
    <w:rsid w:val="00BC6CD0"/>
    <w:rsid w:val="00BD4B89"/>
    <w:rsid w:val="00BD5922"/>
    <w:rsid w:val="00BD622A"/>
    <w:rsid w:val="00BD76D9"/>
    <w:rsid w:val="00BF02CB"/>
    <w:rsid w:val="00BF2178"/>
    <w:rsid w:val="00BF32A7"/>
    <w:rsid w:val="00BF514A"/>
    <w:rsid w:val="00BF58F0"/>
    <w:rsid w:val="00BF6FD8"/>
    <w:rsid w:val="00BF775D"/>
    <w:rsid w:val="00C00A8C"/>
    <w:rsid w:val="00C03680"/>
    <w:rsid w:val="00C054DF"/>
    <w:rsid w:val="00C05D56"/>
    <w:rsid w:val="00C06EF7"/>
    <w:rsid w:val="00C10AFC"/>
    <w:rsid w:val="00C21562"/>
    <w:rsid w:val="00C21762"/>
    <w:rsid w:val="00C21FEF"/>
    <w:rsid w:val="00C24543"/>
    <w:rsid w:val="00C256A2"/>
    <w:rsid w:val="00C260E6"/>
    <w:rsid w:val="00C308DF"/>
    <w:rsid w:val="00C35A26"/>
    <w:rsid w:val="00C4317B"/>
    <w:rsid w:val="00C44FDD"/>
    <w:rsid w:val="00C51515"/>
    <w:rsid w:val="00C5191D"/>
    <w:rsid w:val="00C52636"/>
    <w:rsid w:val="00C53619"/>
    <w:rsid w:val="00C53910"/>
    <w:rsid w:val="00C5660B"/>
    <w:rsid w:val="00C56854"/>
    <w:rsid w:val="00C5788A"/>
    <w:rsid w:val="00C66B72"/>
    <w:rsid w:val="00C70BA7"/>
    <w:rsid w:val="00C80B5A"/>
    <w:rsid w:val="00C87628"/>
    <w:rsid w:val="00C87AC4"/>
    <w:rsid w:val="00C903F9"/>
    <w:rsid w:val="00C9529A"/>
    <w:rsid w:val="00C9567A"/>
    <w:rsid w:val="00C97A5D"/>
    <w:rsid w:val="00CA1F38"/>
    <w:rsid w:val="00CA275B"/>
    <w:rsid w:val="00CA48A3"/>
    <w:rsid w:val="00CB212D"/>
    <w:rsid w:val="00CB2660"/>
    <w:rsid w:val="00CC5E90"/>
    <w:rsid w:val="00CD046C"/>
    <w:rsid w:val="00CD186A"/>
    <w:rsid w:val="00CE0020"/>
    <w:rsid w:val="00CE076C"/>
    <w:rsid w:val="00CE1BE0"/>
    <w:rsid w:val="00CE5199"/>
    <w:rsid w:val="00CE66D5"/>
    <w:rsid w:val="00CF435A"/>
    <w:rsid w:val="00CF637A"/>
    <w:rsid w:val="00D01897"/>
    <w:rsid w:val="00D059DE"/>
    <w:rsid w:val="00D05ABD"/>
    <w:rsid w:val="00D06050"/>
    <w:rsid w:val="00D07A47"/>
    <w:rsid w:val="00D115B2"/>
    <w:rsid w:val="00D13FCE"/>
    <w:rsid w:val="00D17E8C"/>
    <w:rsid w:val="00D20237"/>
    <w:rsid w:val="00D21B18"/>
    <w:rsid w:val="00D22FBE"/>
    <w:rsid w:val="00D24AD4"/>
    <w:rsid w:val="00D306D1"/>
    <w:rsid w:val="00D30800"/>
    <w:rsid w:val="00D34786"/>
    <w:rsid w:val="00D37BFC"/>
    <w:rsid w:val="00D37FB9"/>
    <w:rsid w:val="00D40BDC"/>
    <w:rsid w:val="00D42822"/>
    <w:rsid w:val="00D43661"/>
    <w:rsid w:val="00D47A8E"/>
    <w:rsid w:val="00D525D8"/>
    <w:rsid w:val="00D52D14"/>
    <w:rsid w:val="00D55256"/>
    <w:rsid w:val="00D56D93"/>
    <w:rsid w:val="00D575BC"/>
    <w:rsid w:val="00D57A30"/>
    <w:rsid w:val="00D712D3"/>
    <w:rsid w:val="00D71422"/>
    <w:rsid w:val="00D72DC6"/>
    <w:rsid w:val="00D73F5E"/>
    <w:rsid w:val="00D75264"/>
    <w:rsid w:val="00D7558D"/>
    <w:rsid w:val="00D77503"/>
    <w:rsid w:val="00D81D92"/>
    <w:rsid w:val="00D85CEC"/>
    <w:rsid w:val="00D876F9"/>
    <w:rsid w:val="00D877B6"/>
    <w:rsid w:val="00D93A90"/>
    <w:rsid w:val="00DA7B5F"/>
    <w:rsid w:val="00DB197B"/>
    <w:rsid w:val="00DC0155"/>
    <w:rsid w:val="00DC11E7"/>
    <w:rsid w:val="00DC7023"/>
    <w:rsid w:val="00DC769A"/>
    <w:rsid w:val="00DD061E"/>
    <w:rsid w:val="00DD151B"/>
    <w:rsid w:val="00DD3D86"/>
    <w:rsid w:val="00DD7E10"/>
    <w:rsid w:val="00DE12F0"/>
    <w:rsid w:val="00DE7D78"/>
    <w:rsid w:val="00DF1745"/>
    <w:rsid w:val="00DF1EC4"/>
    <w:rsid w:val="00DF2ECA"/>
    <w:rsid w:val="00DF421C"/>
    <w:rsid w:val="00DF51E9"/>
    <w:rsid w:val="00DF54A0"/>
    <w:rsid w:val="00E01943"/>
    <w:rsid w:val="00E0340B"/>
    <w:rsid w:val="00E04A90"/>
    <w:rsid w:val="00E0551F"/>
    <w:rsid w:val="00E0695F"/>
    <w:rsid w:val="00E07937"/>
    <w:rsid w:val="00E07CB1"/>
    <w:rsid w:val="00E1204C"/>
    <w:rsid w:val="00E14D45"/>
    <w:rsid w:val="00E219C7"/>
    <w:rsid w:val="00E25875"/>
    <w:rsid w:val="00E26CCA"/>
    <w:rsid w:val="00E27F56"/>
    <w:rsid w:val="00E3702D"/>
    <w:rsid w:val="00E4118C"/>
    <w:rsid w:val="00E43157"/>
    <w:rsid w:val="00E461CE"/>
    <w:rsid w:val="00E46AF9"/>
    <w:rsid w:val="00E720CA"/>
    <w:rsid w:val="00E73010"/>
    <w:rsid w:val="00E7415B"/>
    <w:rsid w:val="00E81364"/>
    <w:rsid w:val="00E84EB5"/>
    <w:rsid w:val="00E85662"/>
    <w:rsid w:val="00E8590E"/>
    <w:rsid w:val="00E85D37"/>
    <w:rsid w:val="00E86C16"/>
    <w:rsid w:val="00E8789F"/>
    <w:rsid w:val="00E90973"/>
    <w:rsid w:val="00E92747"/>
    <w:rsid w:val="00E9525D"/>
    <w:rsid w:val="00E97B71"/>
    <w:rsid w:val="00EA3D34"/>
    <w:rsid w:val="00EA4E70"/>
    <w:rsid w:val="00EA4FA6"/>
    <w:rsid w:val="00EB2F2B"/>
    <w:rsid w:val="00EB454D"/>
    <w:rsid w:val="00EC0810"/>
    <w:rsid w:val="00EC16CC"/>
    <w:rsid w:val="00EC26E9"/>
    <w:rsid w:val="00EC72AB"/>
    <w:rsid w:val="00EC7D62"/>
    <w:rsid w:val="00ED2F03"/>
    <w:rsid w:val="00ED4CBD"/>
    <w:rsid w:val="00ED549D"/>
    <w:rsid w:val="00ED76BE"/>
    <w:rsid w:val="00ED7F05"/>
    <w:rsid w:val="00EE00E9"/>
    <w:rsid w:val="00EE014D"/>
    <w:rsid w:val="00EE1764"/>
    <w:rsid w:val="00EF35AB"/>
    <w:rsid w:val="00EF4C44"/>
    <w:rsid w:val="00EF619B"/>
    <w:rsid w:val="00EF74CF"/>
    <w:rsid w:val="00F00B55"/>
    <w:rsid w:val="00F02AD1"/>
    <w:rsid w:val="00F04591"/>
    <w:rsid w:val="00F06354"/>
    <w:rsid w:val="00F11019"/>
    <w:rsid w:val="00F11FBB"/>
    <w:rsid w:val="00F1747D"/>
    <w:rsid w:val="00F251B7"/>
    <w:rsid w:val="00F2521F"/>
    <w:rsid w:val="00F253CC"/>
    <w:rsid w:val="00F31EEB"/>
    <w:rsid w:val="00F332EF"/>
    <w:rsid w:val="00F3559E"/>
    <w:rsid w:val="00F37106"/>
    <w:rsid w:val="00F371C8"/>
    <w:rsid w:val="00F519CF"/>
    <w:rsid w:val="00F51E8C"/>
    <w:rsid w:val="00F527C8"/>
    <w:rsid w:val="00F53168"/>
    <w:rsid w:val="00F547B9"/>
    <w:rsid w:val="00F56BA5"/>
    <w:rsid w:val="00F60E22"/>
    <w:rsid w:val="00F63B39"/>
    <w:rsid w:val="00F65CE0"/>
    <w:rsid w:val="00F71FEE"/>
    <w:rsid w:val="00F7325F"/>
    <w:rsid w:val="00F81395"/>
    <w:rsid w:val="00F81887"/>
    <w:rsid w:val="00F81BB8"/>
    <w:rsid w:val="00F86546"/>
    <w:rsid w:val="00F917D1"/>
    <w:rsid w:val="00F9342C"/>
    <w:rsid w:val="00F95068"/>
    <w:rsid w:val="00F9653B"/>
    <w:rsid w:val="00FA56EA"/>
    <w:rsid w:val="00FA5DB1"/>
    <w:rsid w:val="00FB62CF"/>
    <w:rsid w:val="00FC0649"/>
    <w:rsid w:val="00FC0F4A"/>
    <w:rsid w:val="00FC2B4A"/>
    <w:rsid w:val="00FC3330"/>
    <w:rsid w:val="00FC5576"/>
    <w:rsid w:val="00FC7608"/>
    <w:rsid w:val="00FD080E"/>
    <w:rsid w:val="00FD1986"/>
    <w:rsid w:val="00FD1C1D"/>
    <w:rsid w:val="00FD3C3B"/>
    <w:rsid w:val="00FD6A68"/>
    <w:rsid w:val="00FE07DD"/>
    <w:rsid w:val="00FE430E"/>
    <w:rsid w:val="00FE6B45"/>
    <w:rsid w:val="00FF27D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B1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s-PA" w:eastAsia="es-P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qFormat="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893"/>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53"/>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eastAsia="MS Gothic"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816893"/>
    <w:rPr>
      <w:rFonts w:cs="Times New Roman"/>
      <w:u w:val="single"/>
    </w:rPr>
  </w:style>
  <w:style w:type="paragraph" w:customStyle="1" w:styleId="Cabeceraypie">
    <w:name w:val="Cabecera y pie"/>
    <w:uiPriority w:val="99"/>
    <w:rsid w:val="00816893"/>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816893"/>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hAnsi="Cambria" w:cs="Cambria"/>
      <w:color w:val="000000"/>
      <w:sz w:val="24"/>
      <w:szCs w:val="24"/>
      <w:u w:color="000000"/>
      <w:lang w:val="en-US" w:eastAsia="es-ES" w:bidi="ar-SA"/>
    </w:rPr>
  </w:style>
  <w:style w:type="paragraph" w:customStyle="1" w:styleId="Cuerpo">
    <w:name w:val="Cuerpo"/>
    <w:uiPriority w:val="99"/>
    <w:rsid w:val="0081689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816893"/>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Pr>
      <w:rFonts w:cs="Times New Roman"/>
      <w:sz w:val="24"/>
      <w:szCs w:val="24"/>
      <w:lang w:val="en-US" w:eastAsia="en-US"/>
    </w:rPr>
  </w:style>
  <w:style w:type="paragraph" w:styleId="ListParagraph">
    <w:name w:val="List Paragraph"/>
    <w:basedOn w:val="Normal"/>
    <w:uiPriority w:val="34"/>
    <w:qFormat/>
    <w:rsid w:val="00816893"/>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footnote text"/>
    <w:basedOn w:val="Normal"/>
    <w:link w:val="FootnoteTextChar1"/>
    <w:uiPriority w:val="99"/>
    <w:qFormat/>
    <w:rsid w:val="00816893"/>
    <w:rPr>
      <w:rFonts w:ascii="Calibri" w:eastAsia="Times New Roman" w:hAnsi="Calibri"/>
      <w:color w:val="000000"/>
      <w:sz w:val="20"/>
      <w:szCs w:val="20"/>
      <w:u w:color="000000"/>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qFormat/>
    <w:locked/>
    <w:rPr>
      <w:rFonts w:cs="Times New Roman"/>
      <w:sz w:val="20"/>
      <w:szCs w:val="20"/>
      <w:lang w:val="en-US" w:eastAsia="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norma"/>
    <w:basedOn w:val="DefaultParagraphFont"/>
    <w:link w:val="4GChar"/>
    <w:uiPriority w:val="99"/>
    <w:qFormat/>
    <w:locked/>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semiHidden/>
    <w:rsid w:val="0031535D"/>
    <w:pPr>
      <w:spacing w:after="120"/>
    </w:pPr>
  </w:style>
  <w:style w:type="character" w:customStyle="1" w:styleId="BodyTextChar">
    <w:name w:val="Body Text Char"/>
    <w:basedOn w:val="DefaultParagraphFont"/>
    <w:link w:val="BodyText"/>
    <w:uiPriority w:val="99"/>
    <w:semiHidden/>
    <w:locked/>
    <w:rsid w:val="0031535D"/>
    <w:rPr>
      <w:rFonts w:cs="Times New Roman"/>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ink w:val="FootnoteText"/>
    <w:uiPriority w:val="99"/>
    <w:locked/>
    <w:rsid w:val="0031535D"/>
    <w:rPr>
      <w:rFonts w:ascii="Calibri" w:hAnsi="Calibri"/>
      <w:color w:val="000000"/>
      <w:u w:color="000000"/>
      <w:lang w:val="en-US"/>
    </w:rPr>
  </w:style>
  <w:style w:type="paragraph" w:customStyle="1" w:styleId="Default">
    <w:name w:val="Default"/>
    <w:link w:val="DefaultChar"/>
    <w:uiPriority w:val="99"/>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rFonts w:eastAsia="Times New Roman"/>
      <w:color w:val="000000"/>
      <w:sz w:val="24"/>
      <w:lang w:val="en-US" w:eastAsia="en-US"/>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2"/>
      <w:lang w:val="en-US" w:eastAsia="en-US"/>
    </w:rPr>
  </w:style>
  <w:style w:type="table" w:styleId="TableGrid">
    <w:name w:val="Table Grid"/>
    <w:basedOn w:val="TableNormal"/>
    <w:uiPriority w:val="99"/>
    <w:rsid w:val="003239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B6D22"/>
    <w:rPr>
      <w:rFonts w:cs="Times New Roman"/>
      <w:sz w:val="16"/>
      <w:szCs w:val="16"/>
    </w:rPr>
  </w:style>
  <w:style w:type="paragraph" w:styleId="CommentText">
    <w:name w:val="annotation text"/>
    <w:basedOn w:val="Normal"/>
    <w:link w:val="CommentTextChar"/>
    <w:uiPriority w:val="99"/>
    <w:semiHidden/>
    <w:rsid w:val="005B6D22"/>
    <w:rPr>
      <w:sz w:val="20"/>
      <w:szCs w:val="20"/>
    </w:rPr>
  </w:style>
  <w:style w:type="character" w:customStyle="1" w:styleId="CommentTextChar">
    <w:name w:val="Comment Text Char"/>
    <w:basedOn w:val="DefaultParagraphFont"/>
    <w:link w:val="CommentText"/>
    <w:uiPriority w:val="99"/>
    <w:semiHidden/>
    <w:locked/>
    <w:rsid w:val="005B6D22"/>
    <w:rPr>
      <w:rFonts w:cs="Times New Roman"/>
      <w:lang w:val="en-US" w:eastAsia="en-US"/>
    </w:rPr>
  </w:style>
  <w:style w:type="paragraph" w:styleId="CommentSubject">
    <w:name w:val="annotation subject"/>
    <w:basedOn w:val="CommentText"/>
    <w:next w:val="CommentText"/>
    <w:link w:val="CommentSubjectChar"/>
    <w:uiPriority w:val="99"/>
    <w:semiHidden/>
    <w:rsid w:val="005B6D22"/>
    <w:rPr>
      <w:b/>
      <w:bCs/>
    </w:rPr>
  </w:style>
  <w:style w:type="character" w:customStyle="1" w:styleId="CommentSubjectChar">
    <w:name w:val="Comment Subject Char"/>
    <w:basedOn w:val="CommentTextChar"/>
    <w:link w:val="CommentSubject"/>
    <w:uiPriority w:val="99"/>
    <w:semiHidden/>
    <w:locked/>
    <w:rsid w:val="005B6D22"/>
    <w:rPr>
      <w:rFonts w:cs="Times New Roman"/>
      <w:b/>
      <w:bCs/>
      <w:lang w:val="en-US" w:eastAsia="en-US"/>
    </w:rPr>
  </w:style>
  <w:style w:type="paragraph" w:styleId="Revision">
    <w:name w:val="Revision"/>
    <w:hidden/>
    <w:uiPriority w:val="99"/>
    <w:semiHidden/>
    <w:rsid w:val="005B6D22"/>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153012"/>
    <w:pPr>
      <w:pBdr>
        <w:top w:val="none" w:sz="0" w:space="0" w:color="auto"/>
        <w:left w:val="none" w:sz="0" w:space="0" w:color="auto"/>
        <w:bottom w:val="none" w:sz="0" w:space="0" w:color="auto"/>
        <w:right w:val="none" w:sz="0" w:space="0" w:color="auto"/>
        <w:bar w:val="none" w:sz="0" w:color="auto"/>
      </w:pBdr>
      <w:jc w:val="both"/>
    </w:pPr>
    <w:rPr>
      <w:sz w:val="20"/>
      <w:szCs w:val="20"/>
      <w:vertAlign w:val="superscript"/>
      <w:lang w:val="es-ES" w:eastAsia="es-ES"/>
    </w:rPr>
  </w:style>
  <w:style w:type="numbering" w:customStyle="1" w:styleId="List16">
    <w:name w:val="List 16"/>
    <w:rsid w:val="00E87FCB"/>
    <w:pPr>
      <w:numPr>
        <w:numId w:val="10"/>
      </w:numPr>
    </w:pPr>
  </w:style>
  <w:style w:type="numbering" w:customStyle="1" w:styleId="List36">
    <w:name w:val="List 36"/>
    <w:rsid w:val="00E87FCB"/>
    <w:pPr>
      <w:numPr>
        <w:numId w:val="14"/>
      </w:numPr>
    </w:pPr>
  </w:style>
  <w:style w:type="numbering" w:customStyle="1" w:styleId="List25">
    <w:name w:val="List 25"/>
    <w:rsid w:val="00E87FCB"/>
    <w:pPr>
      <w:numPr>
        <w:numId w:val="15"/>
      </w:numPr>
    </w:pPr>
  </w:style>
  <w:style w:type="numbering" w:customStyle="1" w:styleId="List1">
    <w:name w:val="List 1"/>
    <w:rsid w:val="00E87FCB"/>
    <w:pPr>
      <w:numPr>
        <w:numId w:val="1"/>
      </w:numPr>
    </w:pPr>
  </w:style>
  <w:style w:type="numbering" w:customStyle="1" w:styleId="List11">
    <w:name w:val="List 11"/>
    <w:rsid w:val="00E87FCB"/>
    <w:pPr>
      <w:numPr>
        <w:numId w:val="7"/>
      </w:numPr>
    </w:pPr>
  </w:style>
  <w:style w:type="numbering" w:customStyle="1" w:styleId="List15">
    <w:name w:val="List 15"/>
    <w:rsid w:val="00E87FCB"/>
    <w:pPr>
      <w:numPr>
        <w:numId w:val="16"/>
      </w:numPr>
    </w:pPr>
  </w:style>
  <w:style w:type="numbering" w:customStyle="1" w:styleId="List14">
    <w:name w:val="List 14"/>
    <w:rsid w:val="00E87FCB"/>
    <w:pPr>
      <w:numPr>
        <w:numId w:val="17"/>
      </w:numPr>
    </w:pPr>
  </w:style>
  <w:style w:type="numbering" w:customStyle="1" w:styleId="List23">
    <w:name w:val="List 23"/>
    <w:rsid w:val="00E87FCB"/>
    <w:pPr>
      <w:numPr>
        <w:numId w:val="18"/>
      </w:numPr>
    </w:pPr>
  </w:style>
  <w:style w:type="numbering" w:customStyle="1" w:styleId="List19">
    <w:name w:val="List 19"/>
    <w:rsid w:val="00E87FCB"/>
    <w:pPr>
      <w:numPr>
        <w:numId w:val="19"/>
      </w:numPr>
    </w:pPr>
  </w:style>
  <w:style w:type="numbering" w:customStyle="1" w:styleId="List45">
    <w:name w:val="List 45"/>
    <w:rsid w:val="00E87FCB"/>
    <w:pPr>
      <w:numPr>
        <w:numId w:val="20"/>
      </w:numPr>
    </w:pPr>
  </w:style>
  <w:style w:type="numbering" w:customStyle="1" w:styleId="List40">
    <w:name w:val="List 40"/>
    <w:rsid w:val="00E87FCB"/>
    <w:pPr>
      <w:numPr>
        <w:numId w:val="21"/>
      </w:numPr>
    </w:pPr>
  </w:style>
  <w:style w:type="numbering" w:customStyle="1" w:styleId="List9">
    <w:name w:val="List 9"/>
    <w:rsid w:val="00E87FCB"/>
    <w:pPr>
      <w:numPr>
        <w:numId w:val="22"/>
      </w:numPr>
    </w:pPr>
  </w:style>
  <w:style w:type="numbering" w:customStyle="1" w:styleId="List43">
    <w:name w:val="List 43"/>
    <w:rsid w:val="00E87FCB"/>
    <w:pPr>
      <w:numPr>
        <w:numId w:val="23"/>
      </w:numPr>
    </w:pPr>
  </w:style>
  <w:style w:type="numbering" w:customStyle="1" w:styleId="List46">
    <w:name w:val="List 46"/>
    <w:rsid w:val="00E87FCB"/>
    <w:pPr>
      <w:numPr>
        <w:numId w:val="24"/>
      </w:numPr>
    </w:pPr>
  </w:style>
  <w:style w:type="numbering" w:customStyle="1" w:styleId="List35">
    <w:name w:val="List 35"/>
    <w:rsid w:val="00E87FCB"/>
    <w:pPr>
      <w:numPr>
        <w:numId w:val="8"/>
      </w:numPr>
    </w:pPr>
  </w:style>
  <w:style w:type="numbering" w:customStyle="1" w:styleId="List17">
    <w:name w:val="List 17"/>
    <w:rsid w:val="00E87FCB"/>
    <w:pPr>
      <w:numPr>
        <w:numId w:val="25"/>
      </w:numPr>
    </w:pPr>
  </w:style>
  <w:style w:type="numbering" w:customStyle="1" w:styleId="List33">
    <w:name w:val="List 33"/>
    <w:rsid w:val="00E87FCB"/>
    <w:pPr>
      <w:numPr>
        <w:numId w:val="26"/>
      </w:numPr>
    </w:pPr>
  </w:style>
  <w:style w:type="numbering" w:customStyle="1" w:styleId="List7">
    <w:name w:val="List 7"/>
    <w:rsid w:val="00E87FCB"/>
    <w:pPr>
      <w:numPr>
        <w:numId w:val="4"/>
      </w:numPr>
    </w:pPr>
  </w:style>
  <w:style w:type="numbering" w:customStyle="1" w:styleId="List18">
    <w:name w:val="List 18"/>
    <w:rsid w:val="00E87FCB"/>
    <w:pPr>
      <w:numPr>
        <w:numId w:val="27"/>
      </w:numPr>
    </w:pPr>
  </w:style>
  <w:style w:type="numbering" w:customStyle="1" w:styleId="List22">
    <w:name w:val="List 22"/>
    <w:rsid w:val="00E87FCB"/>
    <w:pPr>
      <w:numPr>
        <w:numId w:val="28"/>
      </w:numPr>
    </w:pPr>
  </w:style>
  <w:style w:type="numbering" w:customStyle="1" w:styleId="List47">
    <w:name w:val="List 47"/>
    <w:rsid w:val="00E87FCB"/>
    <w:pPr>
      <w:numPr>
        <w:numId w:val="29"/>
      </w:numPr>
    </w:pPr>
  </w:style>
  <w:style w:type="numbering" w:customStyle="1" w:styleId="List28">
    <w:name w:val="List 28"/>
    <w:rsid w:val="00E87FCB"/>
    <w:pPr>
      <w:numPr>
        <w:numId w:val="30"/>
      </w:numPr>
    </w:pPr>
  </w:style>
  <w:style w:type="numbering" w:customStyle="1" w:styleId="List10">
    <w:name w:val="List 10"/>
    <w:rsid w:val="00E87FCB"/>
    <w:pPr>
      <w:numPr>
        <w:numId w:val="6"/>
      </w:numPr>
    </w:pPr>
  </w:style>
  <w:style w:type="numbering" w:customStyle="1" w:styleId="List0">
    <w:name w:val="List 0"/>
    <w:rsid w:val="00E87FCB"/>
    <w:pPr>
      <w:numPr>
        <w:numId w:val="31"/>
      </w:numPr>
    </w:pPr>
  </w:style>
  <w:style w:type="numbering" w:customStyle="1" w:styleId="List30">
    <w:name w:val="List 30"/>
    <w:rsid w:val="00E87FCB"/>
    <w:pPr>
      <w:numPr>
        <w:numId w:val="32"/>
      </w:numPr>
    </w:pPr>
  </w:style>
  <w:style w:type="numbering" w:customStyle="1" w:styleId="List29">
    <w:name w:val="List 29"/>
    <w:rsid w:val="00E87FCB"/>
    <w:pPr>
      <w:numPr>
        <w:numId w:val="34"/>
      </w:numPr>
    </w:pPr>
  </w:style>
  <w:style w:type="numbering" w:customStyle="1" w:styleId="List38">
    <w:name w:val="List 38"/>
    <w:rsid w:val="00E87FCB"/>
    <w:pPr>
      <w:numPr>
        <w:numId w:val="35"/>
      </w:numPr>
    </w:pPr>
  </w:style>
  <w:style w:type="numbering" w:customStyle="1" w:styleId="List12">
    <w:name w:val="List 12"/>
    <w:rsid w:val="00E87FCB"/>
    <w:pPr>
      <w:numPr>
        <w:numId w:val="36"/>
      </w:numPr>
    </w:pPr>
  </w:style>
  <w:style w:type="numbering" w:customStyle="1" w:styleId="List50">
    <w:name w:val="List 50"/>
    <w:rsid w:val="00E87FCB"/>
    <w:pPr>
      <w:numPr>
        <w:numId w:val="37"/>
      </w:numPr>
    </w:pPr>
  </w:style>
  <w:style w:type="numbering" w:customStyle="1" w:styleId="List34">
    <w:name w:val="List 34"/>
    <w:rsid w:val="00E87FCB"/>
    <w:pPr>
      <w:numPr>
        <w:numId w:val="11"/>
      </w:numPr>
    </w:pPr>
  </w:style>
  <w:style w:type="numbering" w:customStyle="1" w:styleId="List42">
    <w:name w:val="List 42"/>
    <w:rsid w:val="00E87FCB"/>
    <w:pPr>
      <w:numPr>
        <w:numId w:val="12"/>
      </w:numPr>
    </w:pPr>
  </w:style>
  <w:style w:type="numbering" w:customStyle="1" w:styleId="List49">
    <w:name w:val="List 49"/>
    <w:rsid w:val="00E87FCB"/>
    <w:pPr>
      <w:numPr>
        <w:numId w:val="39"/>
      </w:numPr>
    </w:pPr>
  </w:style>
  <w:style w:type="numbering" w:customStyle="1" w:styleId="List44">
    <w:name w:val="List 44"/>
    <w:rsid w:val="00E87FCB"/>
    <w:pPr>
      <w:numPr>
        <w:numId w:val="40"/>
      </w:numPr>
    </w:pPr>
  </w:style>
  <w:style w:type="numbering" w:customStyle="1" w:styleId="List21">
    <w:name w:val="List 21"/>
    <w:rsid w:val="00E87FCB"/>
    <w:pPr>
      <w:numPr>
        <w:numId w:val="52"/>
      </w:numPr>
    </w:pPr>
  </w:style>
  <w:style w:type="numbering" w:customStyle="1" w:styleId="List52">
    <w:name w:val="List 52"/>
    <w:rsid w:val="00E87FCB"/>
    <w:pPr>
      <w:numPr>
        <w:numId w:val="9"/>
      </w:numPr>
    </w:pPr>
  </w:style>
  <w:style w:type="numbering" w:customStyle="1" w:styleId="List24">
    <w:name w:val="List 24"/>
    <w:rsid w:val="00E87FCB"/>
    <w:pPr>
      <w:numPr>
        <w:numId w:val="13"/>
      </w:numPr>
    </w:pPr>
  </w:style>
  <w:style w:type="numbering" w:customStyle="1" w:styleId="List51">
    <w:name w:val="List 51"/>
    <w:rsid w:val="00E87FCB"/>
    <w:pPr>
      <w:numPr>
        <w:numId w:val="54"/>
      </w:numPr>
    </w:pPr>
  </w:style>
  <w:style w:type="numbering" w:customStyle="1" w:styleId="List27">
    <w:name w:val="List 27"/>
    <w:rsid w:val="00E87FCB"/>
    <w:pPr>
      <w:numPr>
        <w:numId w:val="41"/>
      </w:numPr>
    </w:pPr>
  </w:style>
  <w:style w:type="numbering" w:customStyle="1" w:styleId="List8">
    <w:name w:val="List 8"/>
    <w:rsid w:val="00E87FCB"/>
    <w:pPr>
      <w:numPr>
        <w:numId w:val="5"/>
      </w:numPr>
    </w:pPr>
  </w:style>
  <w:style w:type="numbering" w:customStyle="1" w:styleId="List13">
    <w:name w:val="List 13"/>
    <w:rsid w:val="00E87FCB"/>
    <w:pPr>
      <w:numPr>
        <w:numId w:val="42"/>
      </w:numPr>
    </w:pPr>
  </w:style>
  <w:style w:type="numbering" w:customStyle="1" w:styleId="List20">
    <w:name w:val="List 20"/>
    <w:rsid w:val="00E87FCB"/>
    <w:pPr>
      <w:numPr>
        <w:numId w:val="43"/>
      </w:numPr>
    </w:pPr>
  </w:style>
  <w:style w:type="numbering" w:customStyle="1" w:styleId="List41">
    <w:name w:val="List 41"/>
    <w:rsid w:val="00E87FCB"/>
    <w:pPr>
      <w:numPr>
        <w:numId w:val="44"/>
      </w:numPr>
    </w:pPr>
  </w:style>
  <w:style w:type="numbering" w:customStyle="1" w:styleId="List31">
    <w:name w:val="List 31"/>
    <w:rsid w:val="00E87FCB"/>
    <w:pPr>
      <w:numPr>
        <w:numId w:val="45"/>
      </w:numPr>
    </w:pPr>
  </w:style>
  <w:style w:type="numbering" w:customStyle="1" w:styleId="List6">
    <w:name w:val="List 6"/>
    <w:rsid w:val="00E87FCB"/>
    <w:pPr>
      <w:numPr>
        <w:numId w:val="3"/>
      </w:numPr>
    </w:pPr>
  </w:style>
  <w:style w:type="numbering" w:customStyle="1" w:styleId="List39">
    <w:name w:val="List 39"/>
    <w:rsid w:val="00E87FCB"/>
    <w:pPr>
      <w:numPr>
        <w:numId w:val="46"/>
      </w:numPr>
    </w:pPr>
  </w:style>
  <w:style w:type="numbering" w:customStyle="1" w:styleId="List37">
    <w:name w:val="List 37"/>
    <w:rsid w:val="00E87FCB"/>
    <w:pPr>
      <w:numPr>
        <w:numId w:val="47"/>
      </w:numPr>
    </w:pPr>
  </w:style>
  <w:style w:type="numbering" w:customStyle="1" w:styleId="List32">
    <w:name w:val="List 32"/>
    <w:rsid w:val="00E87FCB"/>
    <w:pPr>
      <w:numPr>
        <w:numId w:val="48"/>
      </w:numPr>
    </w:pPr>
  </w:style>
  <w:style w:type="numbering" w:customStyle="1" w:styleId="List26">
    <w:name w:val="List 26"/>
    <w:rsid w:val="00E87FCB"/>
    <w:pPr>
      <w:numPr>
        <w:numId w:val="49"/>
      </w:numPr>
    </w:pPr>
  </w:style>
  <w:style w:type="numbering" w:customStyle="1" w:styleId="List48">
    <w:name w:val="List 48"/>
    <w:rsid w:val="00E87FCB"/>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516673">
      <w:marLeft w:val="0"/>
      <w:marRight w:val="0"/>
      <w:marTop w:val="0"/>
      <w:marBottom w:val="0"/>
      <w:divBdr>
        <w:top w:val="none" w:sz="0" w:space="0" w:color="auto"/>
        <w:left w:val="none" w:sz="0" w:space="0" w:color="auto"/>
        <w:bottom w:val="none" w:sz="0" w:space="0" w:color="auto"/>
        <w:right w:val="none" w:sz="0" w:space="0" w:color="auto"/>
      </w:divBdr>
    </w:div>
    <w:div w:id="1740516674">
      <w:marLeft w:val="0"/>
      <w:marRight w:val="0"/>
      <w:marTop w:val="0"/>
      <w:marBottom w:val="0"/>
      <w:divBdr>
        <w:top w:val="none" w:sz="0" w:space="0" w:color="auto"/>
        <w:left w:val="none" w:sz="0" w:space="0" w:color="auto"/>
        <w:bottom w:val="none" w:sz="0" w:space="0" w:color="auto"/>
        <w:right w:val="none" w:sz="0" w:space="0" w:color="auto"/>
      </w:divBdr>
    </w:div>
    <w:div w:id="1740516675">
      <w:marLeft w:val="0"/>
      <w:marRight w:val="0"/>
      <w:marTop w:val="0"/>
      <w:marBottom w:val="0"/>
      <w:divBdr>
        <w:top w:val="none" w:sz="0" w:space="0" w:color="auto"/>
        <w:left w:val="none" w:sz="0" w:space="0" w:color="auto"/>
        <w:bottom w:val="none" w:sz="0" w:space="0" w:color="auto"/>
        <w:right w:val="none" w:sz="0" w:space="0" w:color="auto"/>
      </w:divBdr>
    </w:div>
    <w:div w:id="1740516676">
      <w:marLeft w:val="0"/>
      <w:marRight w:val="0"/>
      <w:marTop w:val="0"/>
      <w:marBottom w:val="0"/>
      <w:divBdr>
        <w:top w:val="none" w:sz="0" w:space="0" w:color="auto"/>
        <w:left w:val="none" w:sz="0" w:space="0" w:color="auto"/>
        <w:bottom w:val="none" w:sz="0" w:space="0" w:color="auto"/>
        <w:right w:val="none" w:sz="0" w:space="0" w:color="auto"/>
      </w:divBdr>
    </w:div>
    <w:div w:id="1740516677">
      <w:marLeft w:val="0"/>
      <w:marRight w:val="0"/>
      <w:marTop w:val="0"/>
      <w:marBottom w:val="0"/>
      <w:divBdr>
        <w:top w:val="none" w:sz="0" w:space="0" w:color="auto"/>
        <w:left w:val="none" w:sz="0" w:space="0" w:color="auto"/>
        <w:bottom w:val="none" w:sz="0" w:space="0" w:color="auto"/>
        <w:right w:val="none" w:sz="0" w:space="0" w:color="auto"/>
      </w:divBdr>
    </w:div>
    <w:div w:id="1740516678">
      <w:marLeft w:val="0"/>
      <w:marRight w:val="0"/>
      <w:marTop w:val="0"/>
      <w:marBottom w:val="0"/>
      <w:divBdr>
        <w:top w:val="none" w:sz="0" w:space="0" w:color="auto"/>
        <w:left w:val="none" w:sz="0" w:space="0" w:color="auto"/>
        <w:bottom w:val="none" w:sz="0" w:space="0" w:color="auto"/>
        <w:right w:val="none" w:sz="0" w:space="0" w:color="auto"/>
      </w:divBdr>
    </w:div>
    <w:div w:id="17405166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85F0E-B31F-40E3-9ACE-082FA02EF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4703</Words>
  <Characters>24551</Characters>
  <Application>Microsoft Office Word</Application>
  <DocSecurity>0</DocSecurity>
  <Lines>423</Lines>
  <Paragraphs>105</Paragraphs>
  <ScaleCrop>false</ScaleCrop>
  <Company/>
  <LinksUpToDate>false</LinksUpToDate>
  <CharactersWithSpaces>29149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364/20</dc:title>
  <dc:subject/>
  <dc:creator/>
  <cp:keywords/>
  <dc:description/>
  <cp:lastModifiedBy/>
  <cp:revision>1</cp:revision>
  <dcterms:created xsi:type="dcterms:W3CDTF">2021-01-06T20:21:00Z</dcterms:created>
  <dcterms:modified xsi:type="dcterms:W3CDTF">2021-01-06T20:21:00Z</dcterms:modified>
</cp:coreProperties>
</file>