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F50A14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D6EF7E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AA02BF">
                              <w:rPr>
                                <w:rFonts w:asciiTheme="majorHAnsi" w:hAnsiTheme="majorHAnsi" w:cs="Arial"/>
                                <w:b/>
                                <w:bCs/>
                                <w:color w:val="0D0D0D" w:themeColor="text1" w:themeTint="F2"/>
                                <w:sz w:val="36"/>
                                <w:szCs w:val="22"/>
                                <w:lang w:val="es-ES_tradnl"/>
                              </w:rPr>
                              <w:t xml:space="preserve"> 91</w:t>
                            </w:r>
                            <w:r w:rsidR="007B05C4">
                              <w:rPr>
                                <w:rFonts w:asciiTheme="majorHAnsi" w:hAnsiTheme="majorHAnsi" w:cs="Arial"/>
                                <w:b/>
                                <w:bCs/>
                                <w:color w:val="0D0D0D" w:themeColor="text1" w:themeTint="F2"/>
                                <w:sz w:val="36"/>
                                <w:szCs w:val="22"/>
                                <w:lang w:val="es-ES_tradnl"/>
                              </w:rPr>
                              <w:t>/</w:t>
                            </w:r>
                            <w:r w:rsidR="00F10909">
                              <w:rPr>
                                <w:rFonts w:asciiTheme="majorHAnsi" w:hAnsiTheme="majorHAnsi" w:cs="Arial"/>
                                <w:b/>
                                <w:bCs/>
                                <w:color w:val="0D0D0D" w:themeColor="text1" w:themeTint="F2"/>
                                <w:sz w:val="36"/>
                                <w:szCs w:val="22"/>
                                <w:lang w:val="es-ES_tradnl"/>
                              </w:rPr>
                              <w:t>20</w:t>
                            </w:r>
                          </w:p>
                          <w:p w14:paraId="09C54AB3" w14:textId="6BA9D2E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4686F">
                              <w:rPr>
                                <w:rFonts w:asciiTheme="majorHAnsi" w:hAnsiTheme="majorHAnsi" w:cs="Arial"/>
                                <w:b/>
                                <w:color w:val="0D0D0D" w:themeColor="text1" w:themeTint="F2"/>
                                <w:sz w:val="36"/>
                                <w:szCs w:val="22"/>
                                <w:lang w:val="es-ES_tradnl"/>
                              </w:rPr>
                              <w:t>227</w:t>
                            </w:r>
                            <w:r w:rsidR="00246D1F" w:rsidRPr="004E2649">
                              <w:rPr>
                                <w:rFonts w:asciiTheme="majorHAnsi" w:hAnsiTheme="majorHAnsi" w:cs="Arial"/>
                                <w:b/>
                                <w:color w:val="0D0D0D" w:themeColor="text1" w:themeTint="F2"/>
                                <w:sz w:val="36"/>
                                <w:szCs w:val="22"/>
                                <w:lang w:val="es-ES_tradnl"/>
                              </w:rPr>
                              <w:t>-</w:t>
                            </w:r>
                            <w:r w:rsidR="0074686F">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6D0CE06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104FC897" w:rsidR="005B52B0" w:rsidRPr="0010736F" w:rsidRDefault="0074686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DARIO GÓMEZ CARTAGENA Y FAMILIA</w:t>
                            </w:r>
                          </w:p>
                          <w:bookmarkEnd w:id="0"/>
                          <w:p w14:paraId="35068D0D" w14:textId="2B7DE3D0" w:rsidR="005B52B0" w:rsidRPr="0010736F" w:rsidRDefault="0074686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D6EF7E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AA02BF">
                        <w:rPr>
                          <w:rFonts w:asciiTheme="majorHAnsi" w:hAnsiTheme="majorHAnsi" w:cs="Arial"/>
                          <w:b/>
                          <w:bCs/>
                          <w:color w:val="0D0D0D" w:themeColor="text1" w:themeTint="F2"/>
                          <w:sz w:val="36"/>
                          <w:szCs w:val="22"/>
                          <w:lang w:val="es-ES_tradnl"/>
                        </w:rPr>
                        <w:t xml:space="preserve"> 91</w:t>
                      </w:r>
                      <w:r w:rsidR="007B05C4">
                        <w:rPr>
                          <w:rFonts w:asciiTheme="majorHAnsi" w:hAnsiTheme="majorHAnsi" w:cs="Arial"/>
                          <w:b/>
                          <w:bCs/>
                          <w:color w:val="0D0D0D" w:themeColor="text1" w:themeTint="F2"/>
                          <w:sz w:val="36"/>
                          <w:szCs w:val="22"/>
                          <w:lang w:val="es-ES_tradnl"/>
                        </w:rPr>
                        <w:t>/</w:t>
                      </w:r>
                      <w:r w:rsidR="00F10909">
                        <w:rPr>
                          <w:rFonts w:asciiTheme="majorHAnsi" w:hAnsiTheme="majorHAnsi" w:cs="Arial"/>
                          <w:b/>
                          <w:bCs/>
                          <w:color w:val="0D0D0D" w:themeColor="text1" w:themeTint="F2"/>
                          <w:sz w:val="36"/>
                          <w:szCs w:val="22"/>
                          <w:lang w:val="es-ES_tradnl"/>
                        </w:rPr>
                        <w:t>20</w:t>
                      </w:r>
                    </w:p>
                    <w:p w14:paraId="09C54AB3" w14:textId="6BA9D2E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4686F">
                        <w:rPr>
                          <w:rFonts w:asciiTheme="majorHAnsi" w:hAnsiTheme="majorHAnsi" w:cs="Arial"/>
                          <w:b/>
                          <w:color w:val="0D0D0D" w:themeColor="text1" w:themeTint="F2"/>
                          <w:sz w:val="36"/>
                          <w:szCs w:val="22"/>
                          <w:lang w:val="es-ES_tradnl"/>
                        </w:rPr>
                        <w:t>227</w:t>
                      </w:r>
                      <w:r w:rsidR="00246D1F" w:rsidRPr="004E2649">
                        <w:rPr>
                          <w:rFonts w:asciiTheme="majorHAnsi" w:hAnsiTheme="majorHAnsi" w:cs="Arial"/>
                          <w:b/>
                          <w:color w:val="0D0D0D" w:themeColor="text1" w:themeTint="F2"/>
                          <w:sz w:val="36"/>
                          <w:szCs w:val="22"/>
                          <w:lang w:val="es-ES_tradnl"/>
                        </w:rPr>
                        <w:t>-</w:t>
                      </w:r>
                      <w:r w:rsidR="0074686F">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6D0CE06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04FC897" w:rsidR="005B52B0" w:rsidRPr="0010736F" w:rsidRDefault="0074686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DARIO GÓMEZ CARTAGENA Y FAMILIA</w:t>
                      </w:r>
                    </w:p>
                    <w:bookmarkEnd w:id="1"/>
                    <w:p w14:paraId="35068D0D" w14:textId="2B7DE3D0" w:rsidR="005B52B0" w:rsidRPr="0010736F" w:rsidRDefault="0074686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0D9B740" w:rsidR="00627C9F" w:rsidRPr="00935F06" w:rsidRDefault="00AA02B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7D149E4"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AA02BF">
                              <w:rPr>
                                <w:rFonts w:asciiTheme="minorHAnsi" w:hAnsiTheme="minorHAnsi"/>
                                <w:color w:val="FFFFFF" w:themeColor="background1"/>
                                <w:sz w:val="22"/>
                                <w:lang w:val="pt-BR"/>
                              </w:rPr>
                              <w:t>101</w:t>
                            </w:r>
                          </w:p>
                          <w:p w14:paraId="69373ED2" w14:textId="789A0150" w:rsidR="00627C9F" w:rsidRPr="001B4C00" w:rsidRDefault="00AA02BF"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4 abril 2020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0D9B740" w:rsidR="00627C9F" w:rsidRPr="00935F06" w:rsidRDefault="00AA02B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7D149E4"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AA02BF">
                        <w:rPr>
                          <w:rFonts w:asciiTheme="minorHAnsi" w:hAnsiTheme="minorHAnsi"/>
                          <w:color w:val="FFFFFF" w:themeColor="background1"/>
                          <w:sz w:val="22"/>
                          <w:lang w:val="pt-BR"/>
                        </w:rPr>
                        <w:t>101</w:t>
                      </w:r>
                    </w:p>
                    <w:p w14:paraId="69373ED2" w14:textId="789A0150" w:rsidR="00627C9F" w:rsidRPr="001B4C00" w:rsidRDefault="00AA02BF"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4 abril 2020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681842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A02BF">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AA02BF">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A02BF">
                              <w:rPr>
                                <w:rFonts w:asciiTheme="majorHAnsi" w:hAnsiTheme="majorHAnsi"/>
                                <w:color w:val="0D0D0D" w:themeColor="text1" w:themeTint="F2"/>
                                <w:sz w:val="18"/>
                                <w:szCs w:val="22"/>
                                <w:lang w:val="es-ES"/>
                              </w:rPr>
                              <w:t>20</w:t>
                            </w:r>
                            <w:r w:rsidR="000577C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681842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A02BF">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AA02BF">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A02BF">
                        <w:rPr>
                          <w:rFonts w:asciiTheme="majorHAnsi" w:hAnsiTheme="majorHAnsi"/>
                          <w:color w:val="0D0D0D" w:themeColor="text1" w:themeTint="F2"/>
                          <w:sz w:val="18"/>
                          <w:szCs w:val="22"/>
                          <w:lang w:val="es-ES"/>
                        </w:rPr>
                        <w:t>20</w:t>
                      </w:r>
                      <w:r w:rsidR="000577C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FABBC4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06414" w:rsidRPr="00106414">
                              <w:rPr>
                                <w:rFonts w:asciiTheme="majorHAnsi" w:hAnsiTheme="majorHAnsi"/>
                                <w:color w:val="595959" w:themeColor="text1" w:themeTint="A6"/>
                                <w:sz w:val="18"/>
                                <w:szCs w:val="18"/>
                                <w:lang w:val="pt-BR"/>
                              </w:rPr>
                              <w:t>91</w:t>
                            </w:r>
                            <w:r w:rsidR="007B05C4" w:rsidRPr="00106414">
                              <w:rPr>
                                <w:rFonts w:asciiTheme="majorHAnsi" w:hAnsiTheme="majorHAnsi"/>
                                <w:color w:val="595959" w:themeColor="text1" w:themeTint="A6"/>
                                <w:sz w:val="18"/>
                                <w:szCs w:val="18"/>
                                <w:lang w:val="pt-BR"/>
                              </w:rPr>
                              <w:t>/</w:t>
                            </w:r>
                            <w:r w:rsidR="00106414" w:rsidRPr="00106414">
                              <w:rPr>
                                <w:rFonts w:asciiTheme="majorHAnsi" w:hAnsiTheme="majorHAnsi"/>
                                <w:color w:val="595959" w:themeColor="text1" w:themeTint="A6"/>
                                <w:sz w:val="18"/>
                                <w:szCs w:val="18"/>
                                <w:lang w:val="pt-BR"/>
                              </w:rPr>
                              <w:t>20</w:t>
                            </w:r>
                            <w:r w:rsidRPr="00106414">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74686F">
                              <w:rPr>
                                <w:rFonts w:asciiTheme="majorHAnsi" w:hAnsiTheme="majorHAnsi"/>
                                <w:color w:val="595959" w:themeColor="text1" w:themeTint="A6"/>
                                <w:sz w:val="18"/>
                                <w:szCs w:val="18"/>
                                <w:lang w:val="es-ES_tradnl"/>
                              </w:rPr>
                              <w:t>Dario Gómez Cartagena y familia</w:t>
                            </w:r>
                            <w:r w:rsidRPr="00890650">
                              <w:rPr>
                                <w:rFonts w:asciiTheme="majorHAnsi" w:hAnsiTheme="majorHAnsi"/>
                                <w:color w:val="595959" w:themeColor="text1" w:themeTint="A6"/>
                                <w:sz w:val="18"/>
                                <w:szCs w:val="18"/>
                                <w:lang w:val="es-ES_tradnl"/>
                              </w:rPr>
                              <w:t xml:space="preserve">. </w:t>
                            </w:r>
                            <w:r w:rsidR="0074686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AA02BF">
                              <w:rPr>
                                <w:rFonts w:asciiTheme="majorHAnsi" w:hAnsiTheme="majorHAnsi"/>
                                <w:color w:val="595959" w:themeColor="text1" w:themeTint="A6"/>
                                <w:sz w:val="18"/>
                                <w:szCs w:val="18"/>
                                <w:lang w:val="es-ES"/>
                              </w:rPr>
                              <w:t>4 de abril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FABBC4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06414" w:rsidRPr="00106414">
                        <w:rPr>
                          <w:rFonts w:asciiTheme="majorHAnsi" w:hAnsiTheme="majorHAnsi"/>
                          <w:color w:val="595959" w:themeColor="text1" w:themeTint="A6"/>
                          <w:sz w:val="18"/>
                          <w:szCs w:val="18"/>
                          <w:lang w:val="pt-BR"/>
                        </w:rPr>
                        <w:t>91</w:t>
                      </w:r>
                      <w:r w:rsidR="007B05C4" w:rsidRPr="00106414">
                        <w:rPr>
                          <w:rFonts w:asciiTheme="majorHAnsi" w:hAnsiTheme="majorHAnsi"/>
                          <w:color w:val="595959" w:themeColor="text1" w:themeTint="A6"/>
                          <w:sz w:val="18"/>
                          <w:szCs w:val="18"/>
                          <w:lang w:val="pt-BR"/>
                        </w:rPr>
                        <w:t>/</w:t>
                      </w:r>
                      <w:r w:rsidR="00106414" w:rsidRPr="00106414">
                        <w:rPr>
                          <w:rFonts w:asciiTheme="majorHAnsi" w:hAnsiTheme="majorHAnsi"/>
                          <w:color w:val="595959" w:themeColor="text1" w:themeTint="A6"/>
                          <w:sz w:val="18"/>
                          <w:szCs w:val="18"/>
                          <w:lang w:val="pt-BR"/>
                        </w:rPr>
                        <w:t>20</w:t>
                      </w:r>
                      <w:r w:rsidRPr="00106414">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74686F">
                        <w:rPr>
                          <w:rFonts w:asciiTheme="majorHAnsi" w:hAnsiTheme="majorHAnsi"/>
                          <w:color w:val="595959" w:themeColor="text1" w:themeTint="A6"/>
                          <w:sz w:val="18"/>
                          <w:szCs w:val="18"/>
                          <w:lang w:val="es-ES_tradnl"/>
                        </w:rPr>
                        <w:t>Dario</w:t>
                      </w:r>
                      <w:proofErr w:type="spellEnd"/>
                      <w:r w:rsidR="0074686F">
                        <w:rPr>
                          <w:rFonts w:asciiTheme="majorHAnsi" w:hAnsiTheme="majorHAnsi"/>
                          <w:color w:val="595959" w:themeColor="text1" w:themeTint="A6"/>
                          <w:sz w:val="18"/>
                          <w:szCs w:val="18"/>
                          <w:lang w:val="es-ES_tradnl"/>
                        </w:rPr>
                        <w:t xml:space="preserve"> Gómez Cartagena y familia</w:t>
                      </w:r>
                      <w:r w:rsidRPr="00890650">
                        <w:rPr>
                          <w:rFonts w:asciiTheme="majorHAnsi" w:hAnsiTheme="majorHAnsi"/>
                          <w:color w:val="595959" w:themeColor="text1" w:themeTint="A6"/>
                          <w:sz w:val="18"/>
                          <w:szCs w:val="18"/>
                          <w:lang w:val="es-ES_tradnl"/>
                        </w:rPr>
                        <w:t xml:space="preserve">. </w:t>
                      </w:r>
                      <w:r w:rsidR="0074686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AA02BF">
                        <w:rPr>
                          <w:rFonts w:asciiTheme="majorHAnsi" w:hAnsiTheme="majorHAnsi"/>
                          <w:color w:val="595959" w:themeColor="text1" w:themeTint="A6"/>
                          <w:sz w:val="18"/>
                          <w:szCs w:val="18"/>
                          <w:lang w:val="es-ES"/>
                        </w:rPr>
                        <w:t>4 de abril de 2020.</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0FE40855"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3E02B5D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A20713B" w:rsidR="0070697F" w:rsidRPr="00006B74" w:rsidRDefault="00AA02BF"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91C2F3F">
                <wp:simplePos x="0" y="0"/>
                <wp:positionH relativeFrom="column">
                  <wp:posOffset>1328057</wp:posOffset>
                </wp:positionH>
                <wp:positionV relativeFrom="paragraph">
                  <wp:posOffset>435792</wp:posOffset>
                </wp:positionV>
                <wp:extent cx="4136572" cy="621484"/>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4136572" cy="6214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2" type="#_x0000_t202" style="position:absolute;left:0;text-align:left;margin-left:104.55pt;margin-top:34.3pt;width:325.7pt;height:4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B4C0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2B8673C2" w:rsidR="003239B8" w:rsidRPr="00006B74" w:rsidRDefault="0074686F" w:rsidP="008D2290">
            <w:pPr>
              <w:jc w:val="both"/>
              <w:rPr>
                <w:rFonts w:ascii="Cambria" w:hAnsi="Cambria"/>
                <w:bCs/>
                <w:sz w:val="19"/>
                <w:szCs w:val="19"/>
                <w:lang w:val="es-ES"/>
              </w:rPr>
            </w:pPr>
            <w:r>
              <w:rPr>
                <w:rFonts w:ascii="Cambria" w:hAnsi="Cambria"/>
                <w:bCs/>
                <w:sz w:val="19"/>
                <w:szCs w:val="19"/>
                <w:lang w:val="es-ES"/>
              </w:rPr>
              <w:t>Roberto Fernández Paz Salas</w:t>
            </w:r>
          </w:p>
        </w:tc>
      </w:tr>
      <w:tr w:rsidR="003239B8" w:rsidRPr="001076B3"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8D2290">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32483047" w:rsidR="003239B8" w:rsidRPr="00006B74" w:rsidRDefault="003A3364" w:rsidP="005B6D22">
            <w:pPr>
              <w:jc w:val="both"/>
              <w:rPr>
                <w:rFonts w:ascii="Cambria" w:hAnsi="Cambria"/>
                <w:bCs/>
                <w:sz w:val="19"/>
                <w:szCs w:val="19"/>
                <w:lang w:val="es-ES"/>
              </w:rPr>
            </w:pPr>
            <w:r>
              <w:rPr>
                <w:rFonts w:ascii="Cambria" w:hAnsi="Cambria"/>
                <w:bCs/>
                <w:sz w:val="19"/>
                <w:szCs w:val="19"/>
                <w:lang w:val="es-ES"/>
              </w:rPr>
              <w:t>Darío</w:t>
            </w:r>
            <w:r w:rsidR="0074686F">
              <w:rPr>
                <w:rFonts w:ascii="Cambria" w:hAnsi="Cambria"/>
                <w:bCs/>
                <w:sz w:val="19"/>
                <w:szCs w:val="19"/>
                <w:lang w:val="es-ES"/>
              </w:rPr>
              <w:t xml:space="preserve"> Gómez Cartagena y familia</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29EA231D" w:rsidR="003239B8" w:rsidRPr="00006B74" w:rsidRDefault="0074686F" w:rsidP="00D75B84">
            <w:pPr>
              <w:jc w:val="both"/>
              <w:rPr>
                <w:rFonts w:ascii="Cambria" w:hAnsi="Cambria"/>
                <w:bCs/>
                <w:sz w:val="19"/>
                <w:szCs w:val="19"/>
                <w:lang w:val="es-ES"/>
              </w:rPr>
            </w:pPr>
            <w:r>
              <w:rPr>
                <w:rFonts w:ascii="Cambria" w:hAnsi="Cambria"/>
                <w:bCs/>
                <w:sz w:val="19"/>
                <w:szCs w:val="19"/>
                <w:lang w:val="es-ES"/>
              </w:rPr>
              <w:t>Colombia</w:t>
            </w:r>
          </w:p>
        </w:tc>
      </w:tr>
      <w:tr w:rsidR="00223A29" w:rsidRPr="001076B3"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01E02BCD" w:rsidR="00223A29" w:rsidRPr="00006B74" w:rsidRDefault="00C82335" w:rsidP="00C82335">
            <w:pPr>
              <w:jc w:val="both"/>
              <w:rPr>
                <w:rFonts w:ascii="Cambria" w:hAnsi="Cambria"/>
                <w:bCs/>
                <w:sz w:val="19"/>
                <w:szCs w:val="19"/>
                <w:lang w:val="es-ES"/>
              </w:rPr>
            </w:pPr>
            <w:r>
              <w:rPr>
                <w:rFonts w:ascii="Cambria" w:hAnsi="Cambria"/>
                <w:bCs/>
                <w:sz w:val="20"/>
                <w:szCs w:val="20"/>
                <w:lang w:val="es-BO"/>
              </w:rPr>
              <w:t>Artí</w:t>
            </w:r>
            <w:r w:rsidRPr="009B3A1B">
              <w:rPr>
                <w:rFonts w:ascii="Cambria" w:hAnsi="Cambria"/>
                <w:bCs/>
                <w:sz w:val="20"/>
                <w:szCs w:val="20"/>
                <w:lang w:val="es-BO"/>
              </w:rPr>
              <w:t xml:space="preserve">culos 4 (Vida), </w:t>
            </w:r>
            <w:r>
              <w:rPr>
                <w:rFonts w:ascii="Cambria" w:hAnsi="Cambria"/>
                <w:bCs/>
                <w:sz w:val="20"/>
                <w:szCs w:val="20"/>
                <w:lang w:val="es-BO"/>
              </w:rPr>
              <w:t>8 (garantías judicial</w:t>
            </w:r>
            <w:r w:rsidRPr="009B3A1B">
              <w:rPr>
                <w:rFonts w:ascii="Cambria" w:hAnsi="Cambria"/>
                <w:bCs/>
                <w:sz w:val="20"/>
                <w:szCs w:val="20"/>
                <w:lang w:val="es-BO"/>
              </w:rPr>
              <w:t>es), 25 (protección judicial) de la Convención Americana sobre Derechos Humanos</w:t>
            </w:r>
            <w:r w:rsidRPr="009B3A1B">
              <w:rPr>
                <w:rStyle w:val="FootnoteReference"/>
                <w:rFonts w:ascii="Cambria" w:hAnsi="Cambria"/>
                <w:bCs/>
                <w:sz w:val="20"/>
                <w:szCs w:val="20"/>
                <w:lang w:val="es-BO"/>
              </w:rPr>
              <w:footnoteReference w:id="2"/>
            </w:r>
            <w:r w:rsidRPr="009B3A1B">
              <w:rPr>
                <w:rFonts w:ascii="Cambria" w:hAnsi="Cambria"/>
                <w:bCs/>
                <w:sz w:val="20"/>
                <w:szCs w:val="20"/>
                <w:lang w:val="es-BO"/>
              </w:rPr>
              <w:t>, y otros tratados internacionales</w:t>
            </w:r>
            <w:r>
              <w:rPr>
                <w:rStyle w:val="FootnoteReference"/>
                <w:rFonts w:ascii="Cambria" w:hAnsi="Cambria"/>
                <w:bCs/>
                <w:sz w:val="20"/>
                <w:szCs w:val="20"/>
                <w:lang w:val="es-BO"/>
              </w:rPr>
              <w:footnoteReference w:id="3"/>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1AC5710F" w:rsidR="004C2312" w:rsidRPr="0047080D" w:rsidRDefault="0076648C" w:rsidP="002625EA">
            <w:pPr>
              <w:jc w:val="both"/>
              <w:rPr>
                <w:rFonts w:ascii="Cambria" w:hAnsi="Cambria"/>
                <w:bCs/>
                <w:sz w:val="19"/>
                <w:szCs w:val="19"/>
                <w:lang w:val="es-ES"/>
              </w:rPr>
            </w:pPr>
            <w:r>
              <w:rPr>
                <w:rFonts w:ascii="Cambria" w:hAnsi="Cambria"/>
                <w:bCs/>
                <w:sz w:val="19"/>
                <w:szCs w:val="19"/>
                <w:lang w:val="es-ES"/>
              </w:rPr>
              <w:t>3 de marzo de 2009</w:t>
            </w:r>
          </w:p>
        </w:tc>
      </w:tr>
      <w:tr w:rsidR="006E772A" w:rsidRPr="0074686F"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47080D" w:rsidRDefault="006E772A"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Información adicional </w:t>
            </w:r>
            <w:r w:rsidR="002355A9" w:rsidRPr="0047080D">
              <w:rPr>
                <w:rFonts w:ascii="Cambria" w:hAnsi="Cambria"/>
                <w:bCs/>
                <w:color w:val="FFFFFF" w:themeColor="background1"/>
                <w:sz w:val="19"/>
                <w:szCs w:val="19"/>
                <w:lang w:val="es-ES"/>
              </w:rPr>
              <w:t>recibida en la etapa de estudio</w:t>
            </w:r>
          </w:p>
        </w:tc>
        <w:tc>
          <w:tcPr>
            <w:tcW w:w="6570" w:type="dxa"/>
            <w:vAlign w:val="center"/>
          </w:tcPr>
          <w:p w14:paraId="796669C8" w14:textId="238EFD14" w:rsidR="006E772A" w:rsidRPr="0047080D" w:rsidRDefault="0076648C" w:rsidP="002625EA">
            <w:pPr>
              <w:jc w:val="both"/>
              <w:rPr>
                <w:rFonts w:ascii="Cambria" w:hAnsi="Cambria"/>
                <w:bCs/>
                <w:sz w:val="19"/>
                <w:szCs w:val="19"/>
                <w:lang w:val="es-ES"/>
              </w:rPr>
            </w:pPr>
            <w:r>
              <w:rPr>
                <w:rFonts w:ascii="Cambria" w:hAnsi="Cambria"/>
                <w:bCs/>
                <w:sz w:val="19"/>
                <w:szCs w:val="19"/>
                <w:lang w:val="es-ES"/>
              </w:rPr>
              <w:t>6 de enero de 2011</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3F8FBDAF" w:rsidR="004C2312" w:rsidRPr="0047080D" w:rsidRDefault="0076648C" w:rsidP="008D2290">
            <w:pPr>
              <w:jc w:val="both"/>
              <w:rPr>
                <w:rFonts w:ascii="Cambria" w:hAnsi="Cambria"/>
                <w:bCs/>
                <w:sz w:val="19"/>
                <w:szCs w:val="19"/>
                <w:lang w:val="es-ES"/>
              </w:rPr>
            </w:pPr>
            <w:r>
              <w:rPr>
                <w:rFonts w:ascii="Cambria" w:hAnsi="Cambria"/>
                <w:bCs/>
                <w:sz w:val="19"/>
                <w:szCs w:val="19"/>
                <w:lang w:val="es-ES"/>
              </w:rPr>
              <w:t>28 de septiembre de 2011</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086CBF1D" w:rsidR="00F06354" w:rsidRPr="0047080D" w:rsidRDefault="0076648C" w:rsidP="00F06354">
            <w:pPr>
              <w:jc w:val="both"/>
              <w:rPr>
                <w:rFonts w:ascii="Cambria" w:hAnsi="Cambria"/>
                <w:bCs/>
                <w:sz w:val="19"/>
                <w:szCs w:val="19"/>
                <w:lang w:val="es-ES"/>
              </w:rPr>
            </w:pPr>
            <w:r>
              <w:rPr>
                <w:rFonts w:ascii="Cambria" w:hAnsi="Cambria"/>
                <w:bCs/>
                <w:sz w:val="19"/>
                <w:szCs w:val="19"/>
                <w:lang w:val="es-ES"/>
              </w:rPr>
              <w:t>11 de enero de 2012</w:t>
            </w:r>
          </w:p>
        </w:tc>
      </w:tr>
      <w:tr w:rsidR="00F06354" w:rsidRPr="001076B3"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4AD01BFC" w:rsidR="00F06354" w:rsidRPr="0047080D" w:rsidRDefault="0076648C" w:rsidP="00D77503">
            <w:pPr>
              <w:jc w:val="both"/>
              <w:rPr>
                <w:rFonts w:ascii="Cambria" w:hAnsi="Cambria"/>
                <w:bCs/>
                <w:sz w:val="19"/>
                <w:szCs w:val="19"/>
                <w:lang w:val="es-ES"/>
              </w:rPr>
            </w:pPr>
            <w:r>
              <w:rPr>
                <w:rFonts w:ascii="Cambria" w:hAnsi="Cambria"/>
                <w:bCs/>
                <w:sz w:val="19"/>
                <w:szCs w:val="19"/>
                <w:lang w:val="es-ES"/>
              </w:rPr>
              <w:t>7 de febrero</w:t>
            </w:r>
            <w:r w:rsidR="00A17BCB">
              <w:rPr>
                <w:rFonts w:ascii="Cambria" w:hAnsi="Cambria"/>
                <w:bCs/>
                <w:sz w:val="19"/>
                <w:szCs w:val="19"/>
                <w:lang w:val="es-ES"/>
              </w:rPr>
              <w:t>, 21 de junio</w:t>
            </w:r>
            <w:r>
              <w:rPr>
                <w:rFonts w:ascii="Cambria" w:hAnsi="Cambria"/>
                <w:bCs/>
                <w:sz w:val="19"/>
                <w:szCs w:val="19"/>
                <w:lang w:val="es-ES"/>
              </w:rPr>
              <w:t xml:space="preserve"> de 2012</w:t>
            </w:r>
            <w:r w:rsidR="00A17BCB">
              <w:rPr>
                <w:rFonts w:ascii="Cambria" w:hAnsi="Cambria"/>
                <w:bCs/>
                <w:sz w:val="19"/>
                <w:szCs w:val="19"/>
                <w:lang w:val="es-ES"/>
              </w:rPr>
              <w:t>; 10 de abril de 2013</w:t>
            </w:r>
          </w:p>
        </w:tc>
      </w:tr>
      <w:tr w:rsidR="00F06354" w:rsidRPr="001076B3"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w:t>
            </w:r>
            <w:r w:rsidR="00D77503" w:rsidRPr="0047080D">
              <w:rPr>
                <w:rFonts w:ascii="Cambria" w:hAnsi="Cambria"/>
                <w:bCs/>
                <w:color w:val="FFFFFF" w:themeColor="background1"/>
                <w:sz w:val="19"/>
                <w:szCs w:val="19"/>
                <w:lang w:val="es-ES"/>
              </w:rPr>
              <w:t>vaciones adicionales del Estado</w:t>
            </w:r>
          </w:p>
        </w:tc>
        <w:tc>
          <w:tcPr>
            <w:tcW w:w="6570" w:type="dxa"/>
            <w:vAlign w:val="center"/>
          </w:tcPr>
          <w:p w14:paraId="3CE49AFE" w14:textId="7A3DC252" w:rsidR="00F06354" w:rsidRPr="0047080D" w:rsidRDefault="00A17BCB" w:rsidP="00F06354">
            <w:pPr>
              <w:jc w:val="both"/>
              <w:rPr>
                <w:rFonts w:ascii="Cambria" w:hAnsi="Cambria"/>
                <w:bCs/>
                <w:sz w:val="19"/>
                <w:szCs w:val="19"/>
                <w:lang w:val="es-ES"/>
              </w:rPr>
            </w:pPr>
            <w:r>
              <w:rPr>
                <w:rFonts w:ascii="Cambria" w:hAnsi="Cambria"/>
                <w:bCs/>
                <w:sz w:val="19"/>
                <w:szCs w:val="19"/>
                <w:lang w:val="es-ES"/>
              </w:rPr>
              <w:t>21 de marzo, 28 de septiembre de 2012</w:t>
            </w:r>
            <w:r w:rsidR="00587E8F">
              <w:rPr>
                <w:rFonts w:ascii="Cambria" w:hAnsi="Cambria"/>
                <w:bCs/>
                <w:sz w:val="19"/>
                <w:szCs w:val="19"/>
                <w:lang w:val="es-ES"/>
              </w:rPr>
              <w:t>; 19 de septiembre de 2014</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8D2290">
            <w:pPr>
              <w:jc w:val="center"/>
              <w:rPr>
                <w:rFonts w:ascii="Cambria" w:hAnsi="Cambria"/>
                <w:bCs/>
                <w:i/>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personae</w:t>
            </w:r>
            <w:proofErr w:type="spellEnd"/>
          </w:p>
        </w:tc>
        <w:tc>
          <w:tcPr>
            <w:tcW w:w="6570" w:type="dxa"/>
            <w:vAlign w:val="center"/>
          </w:tcPr>
          <w:p w14:paraId="7707F3E9" w14:textId="36A49805" w:rsidR="003239B8" w:rsidRPr="0047080D" w:rsidRDefault="00587E8F" w:rsidP="008D2290">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loci</w:t>
            </w:r>
            <w:proofErr w:type="spellEnd"/>
          </w:p>
        </w:tc>
        <w:tc>
          <w:tcPr>
            <w:tcW w:w="6570" w:type="dxa"/>
            <w:vAlign w:val="center"/>
          </w:tcPr>
          <w:p w14:paraId="12C931CB" w14:textId="467C747F" w:rsidR="003239B8" w:rsidRPr="0047080D" w:rsidRDefault="00587E8F"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temporis</w:t>
            </w:r>
            <w:proofErr w:type="spellEnd"/>
          </w:p>
        </w:tc>
        <w:tc>
          <w:tcPr>
            <w:tcW w:w="6570" w:type="dxa"/>
            <w:vAlign w:val="center"/>
          </w:tcPr>
          <w:p w14:paraId="6F8B059B" w14:textId="78374617" w:rsidR="003239B8" w:rsidRPr="0047080D" w:rsidRDefault="00587E8F" w:rsidP="008D2290">
            <w:pPr>
              <w:rPr>
                <w:rFonts w:ascii="Cambria" w:hAnsi="Cambria"/>
                <w:bCs/>
                <w:sz w:val="19"/>
                <w:szCs w:val="19"/>
                <w:lang w:val="es-ES"/>
              </w:rPr>
            </w:pPr>
            <w:r>
              <w:rPr>
                <w:rFonts w:ascii="Cambria" w:hAnsi="Cambria"/>
                <w:bCs/>
                <w:sz w:val="19"/>
                <w:szCs w:val="19"/>
                <w:lang w:val="es-ES"/>
              </w:rPr>
              <w:t>Sí</w:t>
            </w:r>
          </w:p>
        </w:tc>
      </w:tr>
      <w:tr w:rsidR="003239B8" w:rsidRPr="001076B3"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materia</w:t>
            </w:r>
            <w:r w:rsidR="00EE00E9" w:rsidRPr="0047080D">
              <w:rPr>
                <w:rFonts w:ascii="Cambria" w:hAnsi="Cambria"/>
                <w:bCs/>
                <w:i/>
                <w:color w:val="FFFFFF" w:themeColor="background1"/>
                <w:sz w:val="19"/>
                <w:szCs w:val="19"/>
                <w:lang w:val="es-ES"/>
              </w:rPr>
              <w:t>e</w:t>
            </w:r>
            <w:proofErr w:type="spellEnd"/>
          </w:p>
        </w:tc>
        <w:tc>
          <w:tcPr>
            <w:tcW w:w="6570" w:type="dxa"/>
            <w:vAlign w:val="center"/>
          </w:tcPr>
          <w:p w14:paraId="0C122F44" w14:textId="67E61C7F" w:rsidR="003239B8" w:rsidRPr="0047080D" w:rsidRDefault="00587E8F" w:rsidP="00C82335">
            <w:pPr>
              <w:jc w:val="both"/>
              <w:rPr>
                <w:rFonts w:ascii="Cambria" w:hAnsi="Cambria"/>
                <w:bCs/>
                <w:sz w:val="19"/>
                <w:szCs w:val="19"/>
                <w:lang w:val="es-ES"/>
              </w:rPr>
            </w:pPr>
            <w:r>
              <w:rPr>
                <w:rFonts w:ascii="Cambria" w:hAnsi="Cambria"/>
                <w:bCs/>
                <w:sz w:val="19"/>
                <w:szCs w:val="19"/>
                <w:lang w:val="es-ES"/>
              </w:rPr>
              <w:t>Sí, Convención A</w:t>
            </w:r>
            <w:r w:rsidR="00C82335">
              <w:rPr>
                <w:rFonts w:ascii="Cambria" w:hAnsi="Cambria"/>
                <w:bCs/>
                <w:sz w:val="19"/>
                <w:szCs w:val="19"/>
                <w:lang w:val="es-ES"/>
              </w:rPr>
              <w:t xml:space="preserve">mericana </w:t>
            </w:r>
            <w:r w:rsidR="00C82335">
              <w:rPr>
                <w:rFonts w:ascii="Cambria" w:hAnsi="Cambria"/>
                <w:bCs/>
                <w:sz w:val="20"/>
                <w:szCs w:val="20"/>
                <w:lang w:val="es-ES"/>
              </w:rPr>
              <w:t>(depósito de instrumento realizado el 31 de julio de 1973)</w:t>
            </w:r>
          </w:p>
        </w:tc>
      </w:tr>
    </w:tbl>
    <w:p w14:paraId="4E92C444" w14:textId="462C4E7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3A3364"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74686F"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21998A10" w:rsidR="00EE00E9" w:rsidRPr="0047080D" w:rsidRDefault="00C82335" w:rsidP="008D2290">
            <w:pPr>
              <w:jc w:val="both"/>
              <w:rPr>
                <w:rFonts w:ascii="Cambria" w:hAnsi="Cambria"/>
                <w:bCs/>
                <w:sz w:val="19"/>
                <w:szCs w:val="19"/>
                <w:lang w:val="es-ES"/>
              </w:rPr>
            </w:pPr>
            <w:r>
              <w:rPr>
                <w:rFonts w:ascii="Cambria" w:hAnsi="Cambria"/>
                <w:bCs/>
                <w:sz w:val="19"/>
                <w:szCs w:val="19"/>
                <w:lang w:val="es-ES"/>
              </w:rPr>
              <w:t>No</w:t>
            </w:r>
          </w:p>
        </w:tc>
      </w:tr>
      <w:tr w:rsidR="003239B8" w:rsidRPr="001076B3"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32854D59" w:rsidR="003239B8" w:rsidRPr="0047080D" w:rsidRDefault="00C82335" w:rsidP="001479C0">
            <w:pPr>
              <w:jc w:val="both"/>
              <w:rPr>
                <w:rFonts w:ascii="Cambria" w:hAnsi="Cambria"/>
                <w:bCs/>
                <w:sz w:val="19"/>
                <w:szCs w:val="19"/>
                <w:lang w:val="es-ES"/>
              </w:rPr>
            </w:pPr>
            <w:r w:rsidRPr="00F74F3D">
              <w:rPr>
                <w:rFonts w:ascii="Cambria" w:hAnsi="Cambria"/>
                <w:sz w:val="20"/>
                <w:szCs w:val="20"/>
                <w:lang w:val="es-ES"/>
              </w:rPr>
              <w:t>4 (vida), 5 (integridad personal), 8 (garantías judiciales) y 25 (protección judicial)</w:t>
            </w:r>
            <w:r>
              <w:rPr>
                <w:rFonts w:ascii="Cambria" w:hAnsi="Cambria"/>
                <w:sz w:val="20"/>
                <w:szCs w:val="20"/>
                <w:lang w:val="es-ES"/>
              </w:rPr>
              <w:t xml:space="preserve"> de la Convención Americana, en relación con sus artículos 1.1 y 2</w:t>
            </w:r>
          </w:p>
        </w:tc>
      </w:tr>
      <w:tr w:rsidR="003239B8" w:rsidRPr="001076B3"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7324BE2B" w:rsidR="003239B8" w:rsidRPr="0047080D" w:rsidRDefault="00C82335" w:rsidP="00BB3FBD">
            <w:pPr>
              <w:rPr>
                <w:rFonts w:ascii="Cambria" w:hAnsi="Cambria"/>
                <w:bCs/>
                <w:sz w:val="19"/>
                <w:szCs w:val="19"/>
                <w:lang w:val="es-ES"/>
              </w:rPr>
            </w:pPr>
            <w:r w:rsidRPr="002370C0">
              <w:rPr>
                <w:rFonts w:asciiTheme="majorHAnsi" w:hAnsiTheme="majorHAnsi"/>
                <w:bCs/>
                <w:color w:val="000000" w:themeColor="text1"/>
                <w:sz w:val="19"/>
                <w:szCs w:val="19"/>
                <w:lang w:val="es-BO"/>
              </w:rPr>
              <w:t>Sí, en los términos de la sección VI</w:t>
            </w:r>
          </w:p>
        </w:tc>
      </w:tr>
      <w:tr w:rsidR="003239B8" w:rsidRPr="001076B3"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8D2290">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6A653849" w:rsidR="003239B8" w:rsidRPr="0047080D" w:rsidRDefault="00C82335" w:rsidP="008D2290">
            <w:pPr>
              <w:rPr>
                <w:rFonts w:ascii="Cambria" w:hAnsi="Cambria"/>
                <w:bCs/>
                <w:sz w:val="19"/>
                <w:szCs w:val="19"/>
                <w:lang w:val="es-ES"/>
              </w:rPr>
            </w:pPr>
            <w:r w:rsidRPr="002370C0">
              <w:rPr>
                <w:rFonts w:asciiTheme="majorHAnsi" w:hAnsiTheme="majorHAnsi"/>
                <w:bCs/>
                <w:color w:val="000000" w:themeColor="text1"/>
                <w:sz w:val="19"/>
                <w:szCs w:val="19"/>
                <w:lang w:val="es-BO"/>
              </w:rPr>
              <w:t>Sí, en los términos de la sección VI</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133BAD6E" w14:textId="06C4E152" w:rsidR="00527F06" w:rsidRDefault="00C82335"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El peticionario señala que</w:t>
      </w:r>
      <w:r w:rsidR="0000658A">
        <w:rPr>
          <w:rFonts w:ascii="Cambria" w:hAnsi="Cambria"/>
          <w:sz w:val="20"/>
          <w:szCs w:val="20"/>
          <w:lang w:val="es-ES"/>
        </w:rPr>
        <w:t xml:space="preserve"> el corregimiento de </w:t>
      </w:r>
      <w:proofErr w:type="spellStart"/>
      <w:r w:rsidR="0000658A">
        <w:rPr>
          <w:rFonts w:ascii="Cambria" w:hAnsi="Cambria"/>
          <w:sz w:val="20"/>
          <w:szCs w:val="20"/>
          <w:lang w:val="es-ES"/>
        </w:rPr>
        <w:t>Nutibara</w:t>
      </w:r>
      <w:proofErr w:type="spellEnd"/>
      <w:r w:rsidR="0000658A">
        <w:rPr>
          <w:rFonts w:ascii="Cambria" w:hAnsi="Cambria"/>
          <w:sz w:val="20"/>
          <w:szCs w:val="20"/>
          <w:lang w:val="es-ES"/>
        </w:rPr>
        <w:t>, perteneciente al Municipio de Frontino</w:t>
      </w:r>
      <w:r w:rsidR="00D341D3">
        <w:rPr>
          <w:rFonts w:ascii="Cambria" w:hAnsi="Cambria"/>
          <w:sz w:val="20"/>
          <w:szCs w:val="20"/>
          <w:lang w:val="es-ES"/>
        </w:rPr>
        <w:t>,</w:t>
      </w:r>
      <w:r w:rsidR="0000658A">
        <w:rPr>
          <w:rFonts w:ascii="Cambria" w:hAnsi="Cambria"/>
          <w:sz w:val="20"/>
          <w:szCs w:val="20"/>
          <w:lang w:val="es-ES"/>
        </w:rPr>
        <w:t xml:space="preserve"> Departamento de Antioquia, fue abandonado por la fuerza p</w:t>
      </w:r>
      <w:r w:rsidR="00FA5BDA">
        <w:rPr>
          <w:rFonts w:ascii="Cambria" w:hAnsi="Cambria"/>
          <w:sz w:val="20"/>
          <w:szCs w:val="20"/>
          <w:lang w:val="es-ES"/>
        </w:rPr>
        <w:t>ública luego del</w:t>
      </w:r>
      <w:r w:rsidR="0000658A">
        <w:rPr>
          <w:rFonts w:ascii="Cambria" w:hAnsi="Cambria"/>
          <w:sz w:val="20"/>
          <w:szCs w:val="20"/>
          <w:lang w:val="es-ES"/>
        </w:rPr>
        <w:t xml:space="preserve"> ataque </w:t>
      </w:r>
      <w:r w:rsidR="00FA5BDA">
        <w:rPr>
          <w:rFonts w:ascii="Cambria" w:hAnsi="Cambria"/>
          <w:sz w:val="20"/>
          <w:szCs w:val="20"/>
          <w:lang w:val="es-ES"/>
        </w:rPr>
        <w:t xml:space="preserve">de un grupo armado al margen de la ley </w:t>
      </w:r>
      <w:r w:rsidR="000E44FF">
        <w:rPr>
          <w:rFonts w:ascii="Cambria" w:hAnsi="Cambria"/>
          <w:sz w:val="20"/>
          <w:szCs w:val="20"/>
          <w:lang w:val="es-ES"/>
        </w:rPr>
        <w:t>en diciembre de 1998</w:t>
      </w:r>
      <w:r w:rsidR="0000658A">
        <w:rPr>
          <w:rFonts w:ascii="Cambria" w:hAnsi="Cambria"/>
          <w:sz w:val="20"/>
          <w:szCs w:val="20"/>
          <w:lang w:val="es-ES"/>
        </w:rPr>
        <w:t xml:space="preserve">. Refiere que </w:t>
      </w:r>
      <w:r w:rsidR="00D341D3">
        <w:rPr>
          <w:rFonts w:ascii="Cambria" w:hAnsi="Cambria"/>
          <w:sz w:val="20"/>
          <w:szCs w:val="20"/>
          <w:lang w:val="es-ES"/>
        </w:rPr>
        <w:t>desde entonces la población quedó desprotegid</w:t>
      </w:r>
      <w:r w:rsidR="00FA5BDA">
        <w:rPr>
          <w:rFonts w:ascii="Cambria" w:hAnsi="Cambria"/>
          <w:sz w:val="20"/>
          <w:szCs w:val="20"/>
          <w:lang w:val="es-ES"/>
        </w:rPr>
        <w:t xml:space="preserve">a frente a la guerrilla y a los </w:t>
      </w:r>
      <w:r w:rsidR="00D341D3">
        <w:rPr>
          <w:rFonts w:ascii="Cambria" w:hAnsi="Cambria"/>
          <w:sz w:val="20"/>
          <w:szCs w:val="20"/>
          <w:lang w:val="es-ES"/>
        </w:rPr>
        <w:t>paramilitares.</w:t>
      </w:r>
      <w:r w:rsidR="00FA5BDA">
        <w:rPr>
          <w:rFonts w:ascii="Cambria" w:hAnsi="Cambria"/>
          <w:sz w:val="20"/>
          <w:szCs w:val="20"/>
          <w:lang w:val="es-ES"/>
        </w:rPr>
        <w:t xml:space="preserve"> Describe </w:t>
      </w:r>
      <w:r w:rsidR="003A3364">
        <w:rPr>
          <w:rFonts w:ascii="Cambria" w:hAnsi="Cambria"/>
          <w:sz w:val="20"/>
          <w:szCs w:val="20"/>
          <w:lang w:val="es-ES"/>
        </w:rPr>
        <w:t>que,</w:t>
      </w:r>
      <w:r w:rsidR="00FA5BDA">
        <w:rPr>
          <w:rFonts w:ascii="Cambria" w:hAnsi="Cambria"/>
          <w:sz w:val="20"/>
          <w:szCs w:val="20"/>
          <w:lang w:val="es-ES"/>
        </w:rPr>
        <w:t xml:space="preserve"> ante la ausencia de las autoridades,</w:t>
      </w:r>
      <w:r w:rsidR="00527F06">
        <w:rPr>
          <w:rFonts w:ascii="Cambria" w:hAnsi="Cambria"/>
          <w:sz w:val="20"/>
          <w:szCs w:val="20"/>
          <w:lang w:val="es-ES"/>
        </w:rPr>
        <w:t xml:space="preserve"> l</w:t>
      </w:r>
      <w:r w:rsidR="00C82F22">
        <w:rPr>
          <w:rFonts w:ascii="Cambria" w:hAnsi="Cambria"/>
          <w:sz w:val="20"/>
          <w:szCs w:val="20"/>
          <w:lang w:val="es-ES"/>
        </w:rPr>
        <w:t xml:space="preserve">a población </w:t>
      </w:r>
      <w:r w:rsidR="00527F06">
        <w:rPr>
          <w:rFonts w:ascii="Cambria" w:hAnsi="Cambria"/>
          <w:sz w:val="20"/>
          <w:szCs w:val="20"/>
          <w:lang w:val="es-ES"/>
        </w:rPr>
        <w:t>civil en general y</w:t>
      </w:r>
      <w:r w:rsidR="00FA5BDA">
        <w:rPr>
          <w:rFonts w:ascii="Cambria" w:hAnsi="Cambria"/>
          <w:sz w:val="20"/>
          <w:szCs w:val="20"/>
          <w:lang w:val="es-ES"/>
        </w:rPr>
        <w:t xml:space="preserve"> los comerciantes de manera part</w:t>
      </w:r>
      <w:r w:rsidR="000326C1">
        <w:rPr>
          <w:rFonts w:ascii="Cambria" w:hAnsi="Cambria"/>
          <w:sz w:val="20"/>
          <w:szCs w:val="20"/>
          <w:lang w:val="es-ES"/>
        </w:rPr>
        <w:t>icular, eran extorsionados por guerrilleros y al mismo tiempo por paramilitares qu</w:t>
      </w:r>
      <w:r w:rsidR="00527F06">
        <w:rPr>
          <w:rFonts w:ascii="Cambria" w:hAnsi="Cambria"/>
          <w:sz w:val="20"/>
          <w:szCs w:val="20"/>
          <w:lang w:val="es-ES"/>
        </w:rPr>
        <w:t xml:space="preserve">ienes </w:t>
      </w:r>
      <w:r w:rsidR="000326C1">
        <w:rPr>
          <w:rFonts w:ascii="Cambria" w:hAnsi="Cambria"/>
          <w:sz w:val="20"/>
          <w:szCs w:val="20"/>
          <w:lang w:val="es-ES"/>
        </w:rPr>
        <w:t>los amenazaban con matarlos si llegaban a pagar los tr</w:t>
      </w:r>
      <w:r w:rsidR="00527F06">
        <w:rPr>
          <w:rFonts w:ascii="Cambria" w:hAnsi="Cambria"/>
          <w:sz w:val="20"/>
          <w:szCs w:val="20"/>
          <w:lang w:val="es-ES"/>
        </w:rPr>
        <w:t xml:space="preserve">ibutos exigidos por los primeros. Aduce </w:t>
      </w:r>
      <w:r w:rsidR="003A3364">
        <w:rPr>
          <w:rFonts w:ascii="Cambria" w:hAnsi="Cambria"/>
          <w:sz w:val="20"/>
          <w:szCs w:val="20"/>
          <w:lang w:val="es-ES"/>
        </w:rPr>
        <w:t>que,</w:t>
      </w:r>
      <w:r w:rsidR="00527F06">
        <w:rPr>
          <w:rFonts w:ascii="Cambria" w:hAnsi="Cambria"/>
          <w:sz w:val="20"/>
          <w:szCs w:val="20"/>
          <w:lang w:val="es-ES"/>
        </w:rPr>
        <w:t xml:space="preserve"> </w:t>
      </w:r>
      <w:r w:rsidR="000E44FF">
        <w:rPr>
          <w:rFonts w:ascii="Cambria" w:hAnsi="Cambria"/>
          <w:sz w:val="20"/>
          <w:szCs w:val="20"/>
          <w:lang w:val="es-ES"/>
        </w:rPr>
        <w:t>ante esta situación de riesgo constante</w:t>
      </w:r>
      <w:r w:rsidR="00527F06">
        <w:rPr>
          <w:rFonts w:ascii="Cambria" w:hAnsi="Cambria"/>
          <w:sz w:val="20"/>
          <w:szCs w:val="20"/>
          <w:lang w:val="es-ES"/>
        </w:rPr>
        <w:t>, en reiteradas ocasiones solicitaron la presencia de la fuerza pública</w:t>
      </w:r>
      <w:r w:rsidR="00302A2B">
        <w:rPr>
          <w:rFonts w:ascii="Cambria" w:hAnsi="Cambria"/>
          <w:sz w:val="20"/>
          <w:szCs w:val="20"/>
          <w:lang w:val="es-ES"/>
        </w:rPr>
        <w:t>, sin recibir respuesta alguna</w:t>
      </w:r>
      <w:r w:rsidR="00527F06">
        <w:rPr>
          <w:rFonts w:ascii="Cambria" w:hAnsi="Cambria"/>
          <w:sz w:val="20"/>
          <w:szCs w:val="20"/>
          <w:lang w:val="es-ES"/>
        </w:rPr>
        <w:t xml:space="preserve">. </w:t>
      </w:r>
    </w:p>
    <w:p w14:paraId="46310EBB" w14:textId="158A1040" w:rsidR="00DE12F0" w:rsidRDefault="00527F06"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En ese contexto</w:t>
      </w:r>
      <w:r w:rsidR="00302A2B">
        <w:rPr>
          <w:rFonts w:ascii="Cambria" w:hAnsi="Cambria"/>
          <w:sz w:val="20"/>
          <w:szCs w:val="20"/>
          <w:lang w:val="es-ES"/>
        </w:rPr>
        <w:t xml:space="preserve"> de desatención estatal</w:t>
      </w:r>
      <w:r w:rsidR="007C6D01">
        <w:rPr>
          <w:rFonts w:ascii="Cambria" w:hAnsi="Cambria"/>
          <w:sz w:val="20"/>
          <w:szCs w:val="20"/>
          <w:lang w:val="es-ES"/>
        </w:rPr>
        <w:t xml:space="preserve"> y riesgo extremo en la zona</w:t>
      </w:r>
      <w:r>
        <w:rPr>
          <w:rFonts w:ascii="Cambria" w:hAnsi="Cambria"/>
          <w:sz w:val="20"/>
          <w:szCs w:val="20"/>
          <w:lang w:val="es-ES"/>
        </w:rPr>
        <w:t>, describe que el 16 de mayo de 1999</w:t>
      </w:r>
      <w:r w:rsidR="002470EF">
        <w:rPr>
          <w:rFonts w:ascii="Cambria" w:hAnsi="Cambria"/>
          <w:sz w:val="20"/>
          <w:szCs w:val="20"/>
          <w:lang w:val="es-ES"/>
        </w:rPr>
        <w:t xml:space="preserve"> un grupo de paramilitares incursionó en el pueblo y que</w:t>
      </w:r>
      <w:r>
        <w:rPr>
          <w:rFonts w:ascii="Cambria" w:hAnsi="Cambria"/>
          <w:sz w:val="20"/>
          <w:szCs w:val="20"/>
          <w:lang w:val="es-ES"/>
        </w:rPr>
        <w:t xml:space="preserve"> el señor Darío Gómez Cartagena (en adelante “la presunta víctima”)</w:t>
      </w:r>
      <w:r w:rsidR="001750B3">
        <w:rPr>
          <w:rFonts w:ascii="Cambria" w:hAnsi="Cambria"/>
          <w:sz w:val="20"/>
          <w:szCs w:val="20"/>
          <w:lang w:val="es-ES"/>
        </w:rPr>
        <w:t xml:space="preserve"> fue sacado </w:t>
      </w:r>
      <w:r w:rsidR="000E44FF">
        <w:rPr>
          <w:rFonts w:ascii="Cambria" w:hAnsi="Cambria"/>
          <w:sz w:val="20"/>
          <w:szCs w:val="20"/>
          <w:lang w:val="es-ES"/>
        </w:rPr>
        <w:t xml:space="preserve">violentamente de su negocio a la calle, </w:t>
      </w:r>
      <w:r w:rsidR="002470EF">
        <w:rPr>
          <w:rFonts w:ascii="Cambria" w:hAnsi="Cambria"/>
          <w:sz w:val="20"/>
          <w:szCs w:val="20"/>
          <w:lang w:val="es-ES"/>
        </w:rPr>
        <w:t>donde</w:t>
      </w:r>
      <w:r w:rsidR="000E44FF">
        <w:rPr>
          <w:rFonts w:ascii="Cambria" w:hAnsi="Cambria"/>
          <w:sz w:val="20"/>
          <w:szCs w:val="20"/>
          <w:lang w:val="es-ES"/>
        </w:rPr>
        <w:t xml:space="preserve"> le dispararon </w:t>
      </w:r>
      <w:r w:rsidR="00290A28">
        <w:rPr>
          <w:rFonts w:ascii="Cambria" w:hAnsi="Cambria"/>
          <w:sz w:val="20"/>
          <w:szCs w:val="20"/>
          <w:lang w:val="es-ES"/>
        </w:rPr>
        <w:t xml:space="preserve">directamente a la cabeza </w:t>
      </w:r>
      <w:r w:rsidR="000E44FF">
        <w:rPr>
          <w:rFonts w:ascii="Cambria" w:hAnsi="Cambria"/>
          <w:sz w:val="20"/>
          <w:szCs w:val="20"/>
          <w:lang w:val="es-ES"/>
        </w:rPr>
        <w:t>causándole la muerte</w:t>
      </w:r>
      <w:r w:rsidR="00290A28">
        <w:rPr>
          <w:rFonts w:ascii="Cambria" w:hAnsi="Cambria"/>
          <w:sz w:val="20"/>
          <w:szCs w:val="20"/>
          <w:lang w:val="es-ES"/>
        </w:rPr>
        <w:t xml:space="preserve"> frente a los transeúntes</w:t>
      </w:r>
      <w:r w:rsidR="000E44FF">
        <w:rPr>
          <w:rFonts w:ascii="Cambria" w:hAnsi="Cambria"/>
          <w:sz w:val="20"/>
          <w:szCs w:val="20"/>
          <w:lang w:val="es-ES"/>
        </w:rPr>
        <w:t xml:space="preserve">. </w:t>
      </w:r>
      <w:r w:rsidR="000326C1">
        <w:rPr>
          <w:rFonts w:ascii="Cambria" w:hAnsi="Cambria"/>
          <w:sz w:val="20"/>
          <w:szCs w:val="20"/>
          <w:lang w:val="es-ES"/>
        </w:rPr>
        <w:t xml:space="preserve"> </w:t>
      </w:r>
    </w:p>
    <w:p w14:paraId="2D5F1082" w14:textId="2CCF015C" w:rsidR="00523E59" w:rsidRDefault="00523E59"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lastRenderedPageBreak/>
        <w:t xml:space="preserve">Alega que </w:t>
      </w:r>
      <w:r w:rsidR="00A35D64">
        <w:rPr>
          <w:rFonts w:ascii="Cambria" w:hAnsi="Cambria"/>
          <w:sz w:val="20"/>
          <w:szCs w:val="20"/>
          <w:lang w:val="es-ES"/>
        </w:rPr>
        <w:t xml:space="preserve">la investigación de los hechos que desarrollaba la Fiscalía Seccional Delegada de Antioquia </w:t>
      </w:r>
      <w:r w:rsidR="00A35D64" w:rsidRPr="00D61FC9">
        <w:rPr>
          <w:rFonts w:ascii="Cambria" w:hAnsi="Cambria"/>
          <w:sz w:val="20"/>
          <w:szCs w:val="20"/>
          <w:lang w:val="es-ES"/>
        </w:rPr>
        <w:t>fue suspendi</w:t>
      </w:r>
      <w:r w:rsidR="003A3364" w:rsidRPr="00D61FC9">
        <w:rPr>
          <w:rFonts w:ascii="Cambria" w:hAnsi="Cambria"/>
          <w:sz w:val="20"/>
          <w:szCs w:val="20"/>
          <w:lang w:val="es-ES"/>
        </w:rPr>
        <w:t xml:space="preserve">da </w:t>
      </w:r>
      <w:r w:rsidR="00692381" w:rsidRPr="00D61FC9">
        <w:rPr>
          <w:rFonts w:ascii="Cambria" w:hAnsi="Cambria"/>
          <w:sz w:val="20"/>
          <w:szCs w:val="20"/>
          <w:lang w:val="es-ES"/>
        </w:rPr>
        <w:t>y archivada temporalmente</w:t>
      </w:r>
      <w:r w:rsidR="00692381">
        <w:rPr>
          <w:rFonts w:ascii="Cambria" w:hAnsi="Cambria"/>
          <w:sz w:val="20"/>
          <w:szCs w:val="20"/>
          <w:lang w:val="es-ES"/>
        </w:rPr>
        <w:t xml:space="preserve"> </w:t>
      </w:r>
      <w:r w:rsidR="003A3364">
        <w:rPr>
          <w:rFonts w:ascii="Cambria" w:hAnsi="Cambria"/>
          <w:sz w:val="20"/>
          <w:szCs w:val="20"/>
          <w:lang w:val="es-ES"/>
        </w:rPr>
        <w:t xml:space="preserve">el 29 de noviembre de 1999, </w:t>
      </w:r>
      <w:r w:rsidR="00A35D64">
        <w:rPr>
          <w:rFonts w:ascii="Cambria" w:hAnsi="Cambria"/>
          <w:sz w:val="20"/>
          <w:szCs w:val="20"/>
          <w:lang w:val="es-ES"/>
        </w:rPr>
        <w:t>indicando que no se había logrado la individualización e identificaci</w:t>
      </w:r>
      <w:r w:rsidR="00687EBE">
        <w:rPr>
          <w:rFonts w:ascii="Cambria" w:hAnsi="Cambria"/>
          <w:sz w:val="20"/>
          <w:szCs w:val="20"/>
          <w:lang w:val="es-ES"/>
        </w:rPr>
        <w:t xml:space="preserve">ón de los autores y que no existían nuevos elementos de juicio que permitiesen continuar </w:t>
      </w:r>
      <w:r w:rsidR="00C82F22">
        <w:rPr>
          <w:rFonts w:ascii="Cambria" w:hAnsi="Cambria"/>
          <w:sz w:val="20"/>
          <w:szCs w:val="20"/>
          <w:lang w:val="es-ES"/>
        </w:rPr>
        <w:t xml:space="preserve">el proceso </w:t>
      </w:r>
      <w:r w:rsidR="00687EBE">
        <w:rPr>
          <w:rFonts w:ascii="Cambria" w:hAnsi="Cambria"/>
          <w:sz w:val="20"/>
          <w:szCs w:val="20"/>
          <w:lang w:val="es-ES"/>
        </w:rPr>
        <w:t>o emitir una resolución de inhibitoria.</w:t>
      </w:r>
      <w:r w:rsidR="00302A2B">
        <w:rPr>
          <w:rFonts w:ascii="Cambria" w:hAnsi="Cambria"/>
          <w:sz w:val="20"/>
          <w:szCs w:val="20"/>
          <w:lang w:val="es-ES"/>
        </w:rPr>
        <w:t xml:space="preserve"> Señala que debido a lo anterior nadie fue condenado por la muerte de la presunta víctima, perpetuándose una situación de impunidad. </w:t>
      </w:r>
      <w:r w:rsidR="00687EBE">
        <w:rPr>
          <w:rFonts w:ascii="Cambria" w:hAnsi="Cambria"/>
          <w:sz w:val="20"/>
          <w:szCs w:val="20"/>
          <w:lang w:val="es-ES"/>
        </w:rPr>
        <w:t xml:space="preserve">  </w:t>
      </w:r>
      <w:r>
        <w:rPr>
          <w:rFonts w:ascii="Cambria" w:hAnsi="Cambria"/>
          <w:sz w:val="20"/>
          <w:szCs w:val="20"/>
          <w:lang w:val="es-ES"/>
        </w:rPr>
        <w:t xml:space="preserve"> </w:t>
      </w:r>
    </w:p>
    <w:p w14:paraId="24DBD9D4" w14:textId="20608466" w:rsidR="00BA6ABA" w:rsidRDefault="00BA6ABA"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Afirma que</w:t>
      </w:r>
      <w:r w:rsidR="00290A28">
        <w:rPr>
          <w:rFonts w:ascii="Cambria" w:hAnsi="Cambria"/>
          <w:sz w:val="20"/>
          <w:szCs w:val="20"/>
          <w:lang w:val="es-ES"/>
        </w:rPr>
        <w:t xml:space="preserve"> el 6 de mayo de 2001,</w:t>
      </w:r>
      <w:r>
        <w:rPr>
          <w:rFonts w:ascii="Cambria" w:hAnsi="Cambria"/>
          <w:sz w:val="20"/>
          <w:szCs w:val="20"/>
          <w:lang w:val="es-ES"/>
        </w:rPr>
        <w:t xml:space="preserve"> </w:t>
      </w:r>
      <w:r w:rsidR="009F59DD">
        <w:rPr>
          <w:rFonts w:ascii="Cambria" w:hAnsi="Cambria"/>
          <w:sz w:val="20"/>
          <w:szCs w:val="20"/>
          <w:lang w:val="es-ES"/>
        </w:rPr>
        <w:t xml:space="preserve">los familiares de la presunta víctima presentaron </w:t>
      </w:r>
      <w:r w:rsidR="00AB37A1">
        <w:rPr>
          <w:rFonts w:ascii="Cambria" w:hAnsi="Cambria"/>
          <w:sz w:val="20"/>
          <w:szCs w:val="20"/>
          <w:lang w:val="es-ES"/>
        </w:rPr>
        <w:t>una demanda de reparación directa, que fue rechazada el 5 de diciembre de 2007 por la Sala Séptima de Decisión del Tribunal Contencioso Administrativo de Antioquia</w:t>
      </w:r>
      <w:r w:rsidR="002B34C7" w:rsidRPr="00CC4316">
        <w:rPr>
          <w:rFonts w:ascii="Cambria" w:hAnsi="Cambria"/>
          <w:sz w:val="20"/>
          <w:szCs w:val="20"/>
          <w:lang w:val="es-ES"/>
        </w:rPr>
        <w:t>. Lo anterior bajo el argumento</w:t>
      </w:r>
      <w:r w:rsidR="00AB37A1" w:rsidRPr="00CC4316">
        <w:rPr>
          <w:rFonts w:ascii="Cambria" w:hAnsi="Cambria"/>
          <w:sz w:val="20"/>
          <w:szCs w:val="20"/>
          <w:lang w:val="es-ES"/>
        </w:rPr>
        <w:t xml:space="preserve"> que</w:t>
      </w:r>
      <w:r w:rsidR="002B34C7" w:rsidRPr="00CC4316">
        <w:rPr>
          <w:rFonts w:ascii="Cambria" w:hAnsi="Cambria"/>
          <w:sz w:val="20"/>
          <w:szCs w:val="20"/>
          <w:lang w:val="es-ES"/>
        </w:rPr>
        <w:t xml:space="preserve"> </w:t>
      </w:r>
      <w:r w:rsidR="007C6D01" w:rsidRPr="00CC4316">
        <w:rPr>
          <w:rFonts w:ascii="Cambria" w:hAnsi="Cambria"/>
          <w:sz w:val="20"/>
          <w:szCs w:val="20"/>
          <w:lang w:val="es-ES"/>
        </w:rPr>
        <w:t>“</w:t>
      </w:r>
      <w:r w:rsidR="002B34C7" w:rsidRPr="00CC4316">
        <w:rPr>
          <w:rFonts w:ascii="Cambria" w:hAnsi="Cambria"/>
          <w:sz w:val="20"/>
          <w:szCs w:val="20"/>
          <w:lang w:val="es-ES"/>
        </w:rPr>
        <w:t xml:space="preserve">si se reparaba en las razones por las cuales la policía se había retirado del municipio, las estrategias de la fuerza pública para cumplir su </w:t>
      </w:r>
      <w:r w:rsidR="004125EB" w:rsidRPr="00CC4316">
        <w:rPr>
          <w:rFonts w:ascii="Cambria" w:hAnsi="Cambria"/>
          <w:sz w:val="20"/>
          <w:szCs w:val="20"/>
          <w:lang w:val="es-ES"/>
        </w:rPr>
        <w:t>deber</w:t>
      </w:r>
      <w:r w:rsidR="002B34C7" w:rsidRPr="00CC4316">
        <w:rPr>
          <w:rFonts w:ascii="Cambria" w:hAnsi="Cambria"/>
          <w:sz w:val="20"/>
          <w:szCs w:val="20"/>
          <w:lang w:val="es-ES"/>
        </w:rPr>
        <w:t xml:space="preserve"> en una difícil situación y la relatividad del concepto de falla en el servicio, se concluía que</w:t>
      </w:r>
      <w:r w:rsidR="002B34C7" w:rsidRPr="002B34C7">
        <w:rPr>
          <w:rFonts w:ascii="Cambria" w:hAnsi="Cambria"/>
          <w:sz w:val="20"/>
          <w:szCs w:val="20"/>
          <w:lang w:val="es-ES"/>
        </w:rPr>
        <w:t xml:space="preserve"> las instituciones estatales demandadas no eran responsables por la muerte de la presunta víctima</w:t>
      </w:r>
      <w:r w:rsidR="007C6D01">
        <w:rPr>
          <w:rFonts w:ascii="Cambria" w:hAnsi="Cambria"/>
          <w:sz w:val="20"/>
          <w:szCs w:val="20"/>
          <w:lang w:val="es-ES"/>
        </w:rPr>
        <w:t>”</w:t>
      </w:r>
      <w:r w:rsidR="00AB37A1" w:rsidRPr="002B34C7">
        <w:rPr>
          <w:rFonts w:ascii="Cambria" w:hAnsi="Cambria"/>
          <w:sz w:val="20"/>
          <w:szCs w:val="20"/>
          <w:lang w:val="es-ES"/>
        </w:rPr>
        <w:t>.</w:t>
      </w:r>
      <w:r w:rsidR="00AB37A1">
        <w:rPr>
          <w:rFonts w:ascii="Cambria" w:hAnsi="Cambria"/>
          <w:sz w:val="20"/>
          <w:szCs w:val="20"/>
          <w:lang w:val="es-ES"/>
        </w:rPr>
        <w:t xml:space="preserve"> Refiere que contra dicha sentencia presentaron un recurso de apelación</w:t>
      </w:r>
      <w:r w:rsidR="004125EB">
        <w:rPr>
          <w:rFonts w:ascii="Cambria" w:hAnsi="Cambria"/>
          <w:sz w:val="20"/>
          <w:szCs w:val="20"/>
          <w:lang w:val="es-ES"/>
        </w:rPr>
        <w:t>,</w:t>
      </w:r>
      <w:r w:rsidR="003B4349">
        <w:rPr>
          <w:rFonts w:ascii="Cambria" w:hAnsi="Cambria"/>
          <w:sz w:val="20"/>
          <w:szCs w:val="20"/>
          <w:lang w:val="es-ES"/>
        </w:rPr>
        <w:t xml:space="preserve"> </w:t>
      </w:r>
      <w:r w:rsidR="00AB37A1">
        <w:rPr>
          <w:rFonts w:ascii="Cambria" w:hAnsi="Cambria"/>
          <w:sz w:val="20"/>
          <w:szCs w:val="20"/>
          <w:lang w:val="es-ES"/>
        </w:rPr>
        <w:t>desestimado</w:t>
      </w:r>
      <w:r w:rsidR="004125EB">
        <w:rPr>
          <w:rFonts w:ascii="Cambria" w:hAnsi="Cambria"/>
          <w:sz w:val="20"/>
          <w:szCs w:val="20"/>
          <w:lang w:val="es-ES"/>
        </w:rPr>
        <w:t xml:space="preserve"> el 30 de mayo de 2008</w:t>
      </w:r>
      <w:r w:rsidR="00AB37A1">
        <w:rPr>
          <w:rFonts w:ascii="Cambria" w:hAnsi="Cambria"/>
          <w:sz w:val="20"/>
          <w:szCs w:val="20"/>
          <w:lang w:val="es-ES"/>
        </w:rPr>
        <w:t xml:space="preserve"> por la Sección Tercera de la Sala Contencioso Administrativa del Consejo de Estado, </w:t>
      </w:r>
      <w:r w:rsidR="002B34C7">
        <w:rPr>
          <w:rFonts w:ascii="Cambria" w:hAnsi="Cambria"/>
          <w:sz w:val="20"/>
          <w:szCs w:val="20"/>
          <w:lang w:val="es-ES"/>
        </w:rPr>
        <w:t>debido a</w:t>
      </w:r>
      <w:r w:rsidR="00AB37A1">
        <w:rPr>
          <w:rFonts w:ascii="Cambria" w:hAnsi="Cambria"/>
          <w:sz w:val="20"/>
          <w:szCs w:val="20"/>
          <w:lang w:val="es-ES"/>
        </w:rPr>
        <w:t xml:space="preserve"> que la cuantía de la demanda no permitía que ésta fuera revisada por un tribunal superior. Indica que fueron notificados con tal decisión el </w:t>
      </w:r>
      <w:r w:rsidR="003B4349">
        <w:rPr>
          <w:rFonts w:ascii="Cambria" w:hAnsi="Cambria"/>
          <w:sz w:val="20"/>
          <w:szCs w:val="20"/>
          <w:lang w:val="es-ES"/>
        </w:rPr>
        <w:t xml:space="preserve">1 de octubre de 2008. </w:t>
      </w:r>
    </w:p>
    <w:p w14:paraId="6C2C02D1" w14:textId="2891C3F1" w:rsidR="002567D7" w:rsidRDefault="002567D7"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Por su parte, el Estado sostiene que </w:t>
      </w:r>
      <w:r w:rsidR="00504ED6">
        <w:rPr>
          <w:rFonts w:ascii="Cambria" w:hAnsi="Cambria"/>
          <w:sz w:val="20"/>
          <w:szCs w:val="20"/>
          <w:lang w:val="es-ES"/>
        </w:rPr>
        <w:t>la investigación penal fue desarrollada cumpliendo con todas las garant</w:t>
      </w:r>
      <w:r w:rsidR="003324F0">
        <w:rPr>
          <w:rFonts w:ascii="Cambria" w:hAnsi="Cambria"/>
          <w:sz w:val="20"/>
          <w:szCs w:val="20"/>
          <w:lang w:val="es-ES"/>
        </w:rPr>
        <w:t xml:space="preserve">ías judiciales, lo cual no implica necesariamente que exista una obligación de encontrar un responsable a toda costa, puesto que esto podría llegar al peligroso absurdo de sacrificar la inocencia de alguna persona con el único fin de cumplir con una obligación internacional. Además, en relación </w:t>
      </w:r>
      <w:r w:rsidR="002C4E30">
        <w:rPr>
          <w:rFonts w:ascii="Cambria" w:hAnsi="Cambria"/>
          <w:sz w:val="20"/>
          <w:szCs w:val="20"/>
          <w:lang w:val="es-ES"/>
        </w:rPr>
        <w:t>la demanda de reparación directa</w:t>
      </w:r>
      <w:r w:rsidR="003324F0">
        <w:rPr>
          <w:rFonts w:ascii="Cambria" w:hAnsi="Cambria"/>
          <w:sz w:val="20"/>
          <w:szCs w:val="20"/>
          <w:lang w:val="es-ES"/>
        </w:rPr>
        <w:t xml:space="preserve">, señala que a los familiares de la presunta víctima se les permitió el acceso a la justicia y el tribunal conoció el caso debidamente tomando una decisión de fondo. </w:t>
      </w:r>
      <w:r w:rsidR="002C4E30">
        <w:rPr>
          <w:rFonts w:ascii="Cambria" w:hAnsi="Cambria"/>
          <w:sz w:val="20"/>
          <w:szCs w:val="20"/>
          <w:lang w:val="es-ES"/>
        </w:rPr>
        <w:t xml:space="preserve">Así, afirma que ambos procesos fueron atendidos y resueltos cumpliendo las disposiciones legales y que el peticionario pretende usar al Sistema Interamericano como un tribunal de alzada o de cuarta instancia. </w:t>
      </w:r>
    </w:p>
    <w:p w14:paraId="7B16BB81" w14:textId="21AC11CD" w:rsidR="002C4E30" w:rsidRPr="00006B74" w:rsidRDefault="002C4E30"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Indica que la petición fue presentada fuera del plazo establecido en la Convención Americana, ya que el proceso en la jurisdicción contencioso administrativa fue </w:t>
      </w:r>
      <w:r w:rsidR="00054E7E">
        <w:rPr>
          <w:rFonts w:ascii="Cambria" w:hAnsi="Cambria"/>
          <w:sz w:val="20"/>
          <w:szCs w:val="20"/>
          <w:lang w:val="es-ES"/>
        </w:rPr>
        <w:t>decidido</w:t>
      </w:r>
      <w:r w:rsidR="00C051C0">
        <w:rPr>
          <w:rFonts w:ascii="Cambria" w:hAnsi="Cambria"/>
          <w:sz w:val="20"/>
          <w:szCs w:val="20"/>
          <w:lang w:val="es-ES"/>
        </w:rPr>
        <w:t xml:space="preserve"> el </w:t>
      </w:r>
      <w:r w:rsidR="00054E7E">
        <w:rPr>
          <w:rFonts w:ascii="Cambria" w:hAnsi="Cambria"/>
          <w:sz w:val="20"/>
          <w:szCs w:val="20"/>
          <w:lang w:val="es-ES"/>
        </w:rPr>
        <w:t>30 de mayo de 2008</w:t>
      </w:r>
      <w:r w:rsidR="00C051C0">
        <w:rPr>
          <w:rFonts w:ascii="Cambria" w:hAnsi="Cambria"/>
          <w:sz w:val="20"/>
          <w:szCs w:val="20"/>
          <w:lang w:val="es-ES"/>
        </w:rPr>
        <w:t xml:space="preserve"> y notificado el 2 de julio de 2008</w:t>
      </w:r>
      <w:r w:rsidR="00054E7E">
        <w:rPr>
          <w:rFonts w:ascii="Cambria" w:hAnsi="Cambria"/>
          <w:sz w:val="20"/>
          <w:szCs w:val="20"/>
          <w:lang w:val="es-ES"/>
        </w:rPr>
        <w:t xml:space="preserve">, y la resolución de suspensión de la investigación penal fue proferida el 29 de noviembre de 1999. </w:t>
      </w:r>
    </w:p>
    <w:p w14:paraId="3FE6F5AE" w14:textId="5838016A" w:rsidR="004C616A" w:rsidRPr="00006B74" w:rsidRDefault="004C616A"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082D7B43" w14:textId="708C44A7" w:rsidR="008C5751" w:rsidRDefault="00F06F1B" w:rsidP="00F06F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F06F1B">
        <w:rPr>
          <w:rFonts w:ascii="Cambria" w:hAnsi="Cambria"/>
          <w:sz w:val="20"/>
          <w:szCs w:val="20"/>
          <w:lang w:val="es-ES"/>
        </w:rPr>
        <w:t>El peticionario sostiene que los hechos hasta la actualidad se mantienen en impunidad, además refiere que</w:t>
      </w:r>
      <w:r w:rsidR="00EB705C">
        <w:rPr>
          <w:rFonts w:ascii="Cambria" w:hAnsi="Cambria"/>
          <w:sz w:val="20"/>
          <w:szCs w:val="20"/>
          <w:lang w:val="es-ES"/>
        </w:rPr>
        <w:t xml:space="preserve"> respecto al</w:t>
      </w:r>
      <w:r w:rsidRPr="00F06F1B">
        <w:rPr>
          <w:rFonts w:ascii="Cambria" w:hAnsi="Cambria"/>
          <w:sz w:val="20"/>
          <w:szCs w:val="20"/>
          <w:lang w:val="es-ES"/>
        </w:rPr>
        <w:t xml:space="preserve"> proceso de reparación en sede contencioso administrativa, los recursos internos se</w:t>
      </w:r>
      <w:r>
        <w:rPr>
          <w:rFonts w:ascii="Cambria" w:hAnsi="Cambria"/>
          <w:sz w:val="20"/>
          <w:szCs w:val="20"/>
          <w:lang w:val="es-ES"/>
        </w:rPr>
        <w:t xml:space="preserve"> </w:t>
      </w:r>
      <w:r w:rsidRPr="00F06F1B">
        <w:rPr>
          <w:rFonts w:ascii="Cambria" w:hAnsi="Cambria"/>
          <w:sz w:val="20"/>
          <w:szCs w:val="20"/>
          <w:lang w:val="es-ES"/>
        </w:rPr>
        <w:t xml:space="preserve">agotaron con el rechazo del recurso de apelación </w:t>
      </w:r>
      <w:r>
        <w:rPr>
          <w:rFonts w:ascii="Cambria" w:hAnsi="Cambria"/>
          <w:sz w:val="20"/>
          <w:szCs w:val="20"/>
          <w:lang w:val="es-ES"/>
        </w:rPr>
        <w:t xml:space="preserve">emitido el 30 de mayo de 2008. El Estado a su turno afirma que la petición es extemporánea. </w:t>
      </w:r>
    </w:p>
    <w:p w14:paraId="171081A2" w14:textId="04833CB6" w:rsidR="00F06F1B" w:rsidRDefault="00F06F1B" w:rsidP="00F06F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F06F1B">
        <w:rPr>
          <w:rFonts w:ascii="Cambria" w:hAnsi="Cambria"/>
          <w:sz w:val="20"/>
          <w:szCs w:val="20"/>
          <w:lang w:val="es-ES"/>
        </w:rPr>
        <w:t>La Comi</w:t>
      </w:r>
      <w:bookmarkStart w:id="1" w:name="_GoBack"/>
      <w:bookmarkEnd w:id="1"/>
      <w:r w:rsidRPr="00F06F1B">
        <w:rPr>
          <w:rFonts w:ascii="Cambria" w:hAnsi="Cambria"/>
          <w:sz w:val="20"/>
          <w:szCs w:val="20"/>
          <w:lang w:val="es-ES"/>
        </w:rPr>
        <w:t>sión reitera que, en situaciones relacionadas a posibles violaciones al derecho a la vida, los recursos internos que deben tomarse en cuenta a los efectos de la admisibilidad de la petición son los relacionados con la investigación y sanción de los responsables, que se traducen en la legislación interna en delitos perseguibles de oficio</w:t>
      </w:r>
      <w:r w:rsidR="00C03B5F">
        <w:rPr>
          <w:rStyle w:val="FootnoteReference"/>
          <w:rFonts w:ascii="Cambria" w:hAnsi="Cambria"/>
          <w:sz w:val="20"/>
          <w:szCs w:val="20"/>
          <w:lang w:val="es-ES"/>
        </w:rPr>
        <w:footnoteReference w:id="5"/>
      </w:r>
      <w:r w:rsidRPr="00F06F1B">
        <w:rPr>
          <w:rFonts w:ascii="Cambria" w:hAnsi="Cambria"/>
          <w:sz w:val="20"/>
          <w:szCs w:val="20"/>
          <w:lang w:val="es-ES"/>
        </w:rPr>
        <w:t xml:space="preserve">. En el presente caso la Comisión observa que, de acuerdo a la información proporcionada, respecto </w:t>
      </w:r>
      <w:r w:rsidR="00413E91">
        <w:rPr>
          <w:rFonts w:ascii="Cambria" w:hAnsi="Cambria"/>
          <w:sz w:val="20"/>
          <w:szCs w:val="20"/>
          <w:lang w:val="es-ES"/>
        </w:rPr>
        <w:t>a</w:t>
      </w:r>
      <w:r w:rsidRPr="00F06F1B">
        <w:rPr>
          <w:rFonts w:ascii="Cambria" w:hAnsi="Cambria"/>
          <w:sz w:val="20"/>
          <w:szCs w:val="20"/>
          <w:lang w:val="es-ES"/>
        </w:rPr>
        <w:t xml:space="preserve"> la muerte</w:t>
      </w:r>
      <w:r w:rsidR="00413E91">
        <w:rPr>
          <w:rFonts w:ascii="Cambria" w:hAnsi="Cambria"/>
          <w:sz w:val="20"/>
          <w:szCs w:val="20"/>
          <w:lang w:val="es-ES"/>
        </w:rPr>
        <w:t xml:space="preserve"> violenta</w:t>
      </w:r>
      <w:r w:rsidRPr="00F06F1B">
        <w:rPr>
          <w:rFonts w:ascii="Cambria" w:hAnsi="Cambria"/>
          <w:sz w:val="20"/>
          <w:szCs w:val="20"/>
          <w:lang w:val="es-ES"/>
        </w:rPr>
        <w:t xml:space="preserve"> de la presunta víctima</w:t>
      </w:r>
      <w:r w:rsidR="00413E91">
        <w:rPr>
          <w:rFonts w:ascii="Cambria" w:hAnsi="Cambria"/>
          <w:sz w:val="20"/>
          <w:szCs w:val="20"/>
          <w:lang w:val="es-ES"/>
        </w:rPr>
        <w:t xml:space="preserve"> </w:t>
      </w:r>
      <w:proofErr w:type="spellStart"/>
      <w:r w:rsidR="00413E91">
        <w:rPr>
          <w:rFonts w:ascii="Cambria" w:hAnsi="Cambria"/>
          <w:sz w:val="20"/>
          <w:szCs w:val="20"/>
          <w:lang w:val="es-ES"/>
        </w:rPr>
        <w:t>alegadamente</w:t>
      </w:r>
      <w:proofErr w:type="spellEnd"/>
      <w:r w:rsidR="00413E91">
        <w:rPr>
          <w:rFonts w:ascii="Cambria" w:hAnsi="Cambria"/>
          <w:sz w:val="20"/>
          <w:szCs w:val="20"/>
          <w:lang w:val="es-ES"/>
        </w:rPr>
        <w:t xml:space="preserve"> cometida por paramilitares</w:t>
      </w:r>
      <w:r w:rsidRPr="00F06F1B">
        <w:rPr>
          <w:rFonts w:ascii="Cambria" w:hAnsi="Cambria"/>
          <w:sz w:val="20"/>
          <w:szCs w:val="20"/>
          <w:lang w:val="es-ES"/>
        </w:rPr>
        <w:t>,</w:t>
      </w:r>
      <w:r w:rsidR="00413E91">
        <w:rPr>
          <w:rFonts w:ascii="Cambria" w:hAnsi="Cambria"/>
          <w:sz w:val="20"/>
          <w:szCs w:val="20"/>
          <w:lang w:val="es-ES"/>
        </w:rPr>
        <w:t xml:space="preserve"> la Fiscalía Seccional Delegada de Antioquia </w:t>
      </w:r>
      <w:r w:rsidR="00413E91" w:rsidRPr="00F06F1B">
        <w:rPr>
          <w:rFonts w:ascii="Cambria" w:hAnsi="Cambria"/>
          <w:sz w:val="20"/>
          <w:szCs w:val="20"/>
          <w:lang w:val="es-ES"/>
        </w:rPr>
        <w:t>inició una investigación penal que fue suspendida el</w:t>
      </w:r>
      <w:r w:rsidR="00413E91">
        <w:rPr>
          <w:rFonts w:ascii="Cambria" w:hAnsi="Cambria"/>
          <w:sz w:val="20"/>
          <w:szCs w:val="20"/>
          <w:lang w:val="es-ES"/>
        </w:rPr>
        <w:t xml:space="preserve"> 29 de noviembre de 1999, </w:t>
      </w:r>
      <w:r w:rsidRPr="00F06F1B">
        <w:rPr>
          <w:rFonts w:ascii="Cambria" w:hAnsi="Cambria"/>
          <w:sz w:val="20"/>
          <w:szCs w:val="20"/>
          <w:lang w:val="es-ES"/>
        </w:rPr>
        <w:t>sin que hasta la fecha se hayan establecido la responsabilidad de los autores. Pretender que los peticionarios asuman esas responsabilidades, no sólo sería incongruente con la jurisprudencia del sistema, sino que impondría también una carga desigual a quienes, en general, carecen de los medios y de la idoneidad para descargar esas responsabilidades. Con base en ello, la CIDH concluye que en el presente caso</w:t>
      </w:r>
      <w:r>
        <w:rPr>
          <w:rFonts w:ascii="Cambria" w:hAnsi="Cambria"/>
          <w:sz w:val="20"/>
          <w:szCs w:val="20"/>
          <w:lang w:val="es-ES"/>
        </w:rPr>
        <w:t xml:space="preserve"> </w:t>
      </w:r>
      <w:r w:rsidRPr="00F06F1B">
        <w:rPr>
          <w:rFonts w:ascii="Cambria" w:hAnsi="Cambria"/>
          <w:sz w:val="20"/>
          <w:szCs w:val="20"/>
          <w:lang w:val="es-ES"/>
        </w:rPr>
        <w:t>procede la excepción al agotamiento de los recursos internos prevista en el artículo 46.2.c de la Convención.</w:t>
      </w:r>
    </w:p>
    <w:p w14:paraId="1D4DD931" w14:textId="4BCC3795" w:rsidR="00413E91" w:rsidRPr="00413E91" w:rsidRDefault="00413E91" w:rsidP="00413E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413E91">
        <w:rPr>
          <w:rFonts w:ascii="Cambria" w:hAnsi="Cambria"/>
          <w:sz w:val="20"/>
          <w:szCs w:val="20"/>
          <w:lang w:val="es-ES"/>
        </w:rPr>
        <w:t xml:space="preserve">Respecto a los procesos ante la jurisdicción contencioso administrativa, la CIDH recuerda que, para los efectos de determinar la admisibilidad de un reclamo de la naturaleza del presente, no constituye la vía idónea ni resulta necesario su agotamiento, dado que no es adecuada para proporcionar una reparación integral y justicia a los familiares. Sin perjuicio de lo mencionado, si bien en el presente caso el proceso penal es el recurso idóneo para la investigación de los hechos, se observa que </w:t>
      </w:r>
      <w:r w:rsidR="004B4FEA">
        <w:rPr>
          <w:rFonts w:ascii="Cambria" w:hAnsi="Cambria"/>
          <w:sz w:val="20"/>
          <w:szCs w:val="20"/>
          <w:lang w:val="es-ES"/>
        </w:rPr>
        <w:t>el</w:t>
      </w:r>
      <w:r w:rsidRPr="00413E91">
        <w:rPr>
          <w:rFonts w:ascii="Cambria" w:hAnsi="Cambria"/>
          <w:sz w:val="20"/>
          <w:szCs w:val="20"/>
          <w:lang w:val="es-ES"/>
        </w:rPr>
        <w:t xml:space="preserve"> peticionari</w:t>
      </w:r>
      <w:r w:rsidR="004B4FEA">
        <w:rPr>
          <w:rFonts w:ascii="Cambria" w:hAnsi="Cambria"/>
          <w:sz w:val="20"/>
          <w:szCs w:val="20"/>
          <w:lang w:val="es-ES"/>
        </w:rPr>
        <w:t>o</w:t>
      </w:r>
      <w:r w:rsidRPr="00413E91">
        <w:rPr>
          <w:rFonts w:ascii="Cambria" w:hAnsi="Cambria"/>
          <w:sz w:val="20"/>
          <w:szCs w:val="20"/>
          <w:lang w:val="es-ES"/>
        </w:rPr>
        <w:t xml:space="preserve"> alega además violaciones concretas en el marco de la demanda de reparación directa. Por ello, dada la vinculación entre los dos procesos, la Comisión toma en cuenta que en la jurisdicción contencioso administrativa, los recursos internos se agotaron </w:t>
      </w:r>
      <w:r w:rsidRPr="00413E91">
        <w:rPr>
          <w:rFonts w:ascii="Cambria" w:hAnsi="Cambria"/>
          <w:sz w:val="20"/>
          <w:szCs w:val="20"/>
          <w:lang w:val="es-ES"/>
        </w:rPr>
        <w:lastRenderedPageBreak/>
        <w:t xml:space="preserve">con la decisión de </w:t>
      </w:r>
      <w:r w:rsidR="004B4FEA">
        <w:rPr>
          <w:rFonts w:ascii="Cambria" w:hAnsi="Cambria"/>
          <w:sz w:val="20"/>
          <w:szCs w:val="20"/>
          <w:lang w:val="es-ES"/>
        </w:rPr>
        <w:t xml:space="preserve">30 de mayo </w:t>
      </w:r>
      <w:r w:rsidRPr="00413E91">
        <w:rPr>
          <w:rFonts w:ascii="Cambria" w:hAnsi="Cambria"/>
          <w:sz w:val="20"/>
          <w:szCs w:val="20"/>
          <w:lang w:val="es-ES"/>
        </w:rPr>
        <w:t xml:space="preserve">de 2008 asumida por </w:t>
      </w:r>
      <w:r w:rsidR="004B4FEA">
        <w:rPr>
          <w:rFonts w:ascii="Cambria" w:hAnsi="Cambria"/>
          <w:sz w:val="20"/>
          <w:szCs w:val="20"/>
          <w:lang w:val="es-ES"/>
        </w:rPr>
        <w:t>Sección Tercera de la Sala Contencioso Administrativa del Consejo de Estado</w:t>
      </w:r>
      <w:r w:rsidR="00834C89">
        <w:rPr>
          <w:rFonts w:ascii="Cambria" w:hAnsi="Cambria"/>
          <w:sz w:val="20"/>
          <w:szCs w:val="20"/>
          <w:lang w:val="es-ES"/>
        </w:rPr>
        <w:t xml:space="preserve">, la cual rechazó la apelación </w:t>
      </w:r>
      <w:r w:rsidR="00834C89">
        <w:rPr>
          <w:rFonts w:asciiTheme="majorHAnsi" w:hAnsiTheme="majorHAnsi"/>
          <w:sz w:val="20"/>
          <w:szCs w:val="20"/>
          <w:lang w:val="es-ES"/>
        </w:rPr>
        <w:t>mediante el cual el peticionario pretendía cuestionar la imposibilidad de apelar una sentencia en razón de la cuantía. La CIDH considera que esta situación encuadra en el supuesto de excepción al agotamiento de recursos internos previsto en el artículo 46.2.a de la Convención Americana.</w:t>
      </w:r>
    </w:p>
    <w:p w14:paraId="65085CFA" w14:textId="5167C04B" w:rsidR="00413E91" w:rsidRPr="00413E91" w:rsidRDefault="00413E91" w:rsidP="00413E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413E91">
        <w:rPr>
          <w:rFonts w:ascii="Cambria" w:hAnsi="Cambria"/>
          <w:sz w:val="20"/>
          <w:szCs w:val="20"/>
          <w:lang w:val="es-ES"/>
        </w:rPr>
        <w:t>Por lo tanto, en razón a las características del caso la CIDH, considera que la petición fue presentada dentro de un plazo razonable y que debe darse por satisfecho el requisito de admisibilidad</w:t>
      </w:r>
      <w:r>
        <w:rPr>
          <w:rFonts w:ascii="Cambria" w:hAnsi="Cambria"/>
          <w:sz w:val="20"/>
          <w:szCs w:val="20"/>
          <w:lang w:val="es-ES"/>
        </w:rPr>
        <w:t xml:space="preserve"> </w:t>
      </w:r>
      <w:r w:rsidRPr="00413E91">
        <w:rPr>
          <w:rFonts w:ascii="Cambria" w:hAnsi="Cambria"/>
          <w:sz w:val="20"/>
          <w:szCs w:val="20"/>
          <w:lang w:val="es-ES"/>
        </w:rPr>
        <w:t>referente al plazo de presentación.</w:t>
      </w:r>
    </w:p>
    <w:p w14:paraId="7090A929" w14:textId="115AB145" w:rsidR="00F04591" w:rsidRPr="00006B74" w:rsidRDefault="00F04591"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664041B7" w14:textId="47C957C1" w:rsidR="00834C89" w:rsidRPr="00834C89" w:rsidRDefault="00834C89" w:rsidP="00834C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34C89">
        <w:rPr>
          <w:rFonts w:ascii="Cambria" w:hAnsi="Cambria"/>
          <w:sz w:val="20"/>
          <w:szCs w:val="20"/>
          <w:lang w:val="es-ES"/>
        </w:rPr>
        <w:t xml:space="preserve">En vista de los elementos de hecho y de derecho expuestos por las partes y la naturaleza del asunto puesto bajo su conocimiento, la Comisión considera que </w:t>
      </w:r>
      <w:r w:rsidR="009D195A">
        <w:rPr>
          <w:rFonts w:ascii="Cambria" w:hAnsi="Cambria"/>
          <w:sz w:val="20"/>
          <w:szCs w:val="20"/>
          <w:lang w:val="es-ES"/>
        </w:rPr>
        <w:t xml:space="preserve">las alegaciones de los peticionarios no resultan manifiestamente infundadas y que </w:t>
      </w:r>
      <w:r w:rsidRPr="00834C89">
        <w:rPr>
          <w:rFonts w:ascii="Cambria" w:hAnsi="Cambria"/>
          <w:sz w:val="20"/>
          <w:szCs w:val="20"/>
          <w:lang w:val="es-ES"/>
        </w:rPr>
        <w:t>en la etapa de fondo</w:t>
      </w:r>
      <w:r w:rsidR="009D195A">
        <w:rPr>
          <w:rFonts w:ascii="Cambria" w:hAnsi="Cambria"/>
          <w:sz w:val="20"/>
          <w:szCs w:val="20"/>
          <w:lang w:val="es-ES"/>
        </w:rPr>
        <w:t xml:space="preserve"> la Comisión </w:t>
      </w:r>
      <w:r w:rsidRPr="00834C89">
        <w:rPr>
          <w:rFonts w:ascii="Cambria" w:hAnsi="Cambria"/>
          <w:sz w:val="20"/>
          <w:szCs w:val="20"/>
          <w:lang w:val="es-ES"/>
        </w:rPr>
        <w:t xml:space="preserve">deberá analizar si el alegado conocimiento por parte del Estado de la situación de riesgo de la zona en la que vivía la presunta </w:t>
      </w:r>
      <w:r>
        <w:rPr>
          <w:rFonts w:ascii="Cambria" w:hAnsi="Cambria"/>
          <w:sz w:val="20"/>
          <w:szCs w:val="20"/>
          <w:lang w:val="es-ES"/>
        </w:rPr>
        <w:t>víctima y</w:t>
      </w:r>
      <w:r w:rsidRPr="00834C89">
        <w:rPr>
          <w:rFonts w:ascii="Cambria" w:hAnsi="Cambria"/>
          <w:sz w:val="20"/>
          <w:szCs w:val="20"/>
          <w:lang w:val="es-ES"/>
        </w:rPr>
        <w:t xml:space="preserve"> </w:t>
      </w:r>
      <w:r>
        <w:rPr>
          <w:rFonts w:ascii="Cambria" w:hAnsi="Cambria"/>
          <w:sz w:val="20"/>
          <w:szCs w:val="20"/>
          <w:lang w:val="es-ES"/>
        </w:rPr>
        <w:t>el retiro de la fuerza pública del lugar, la</w:t>
      </w:r>
      <w:r w:rsidRPr="00834C89">
        <w:rPr>
          <w:rFonts w:ascii="Cambria" w:hAnsi="Cambria"/>
          <w:sz w:val="20"/>
          <w:szCs w:val="20"/>
          <w:lang w:val="es-ES"/>
        </w:rPr>
        <w:t xml:space="preserve"> posterior muerte</w:t>
      </w:r>
      <w:r>
        <w:rPr>
          <w:rFonts w:ascii="Cambria" w:hAnsi="Cambria"/>
          <w:sz w:val="20"/>
          <w:szCs w:val="20"/>
          <w:lang w:val="es-ES"/>
        </w:rPr>
        <w:t xml:space="preserve"> violenta</w:t>
      </w:r>
      <w:r w:rsidRPr="00834C89">
        <w:rPr>
          <w:rFonts w:ascii="Cambria" w:hAnsi="Cambria"/>
          <w:sz w:val="20"/>
          <w:szCs w:val="20"/>
          <w:lang w:val="es-ES"/>
        </w:rPr>
        <w:t xml:space="preserve"> </w:t>
      </w:r>
      <w:r>
        <w:rPr>
          <w:rFonts w:ascii="Cambria" w:hAnsi="Cambria"/>
          <w:sz w:val="20"/>
          <w:szCs w:val="20"/>
          <w:lang w:val="es-ES"/>
        </w:rPr>
        <w:t xml:space="preserve">del señor Gómez Cartagena </w:t>
      </w:r>
      <w:proofErr w:type="spellStart"/>
      <w:r>
        <w:rPr>
          <w:rFonts w:ascii="Cambria" w:hAnsi="Cambria"/>
          <w:sz w:val="20"/>
          <w:szCs w:val="20"/>
          <w:lang w:val="es-ES"/>
        </w:rPr>
        <w:t>alegadamente</w:t>
      </w:r>
      <w:proofErr w:type="spellEnd"/>
      <w:r>
        <w:rPr>
          <w:rFonts w:ascii="Cambria" w:hAnsi="Cambria"/>
          <w:sz w:val="20"/>
          <w:szCs w:val="20"/>
          <w:lang w:val="es-ES"/>
        </w:rPr>
        <w:t xml:space="preserve"> cometida por miembros de grupos paramilitares, la </w:t>
      </w:r>
      <w:r w:rsidRPr="00834C89">
        <w:rPr>
          <w:rFonts w:ascii="Cambria" w:hAnsi="Cambria"/>
          <w:sz w:val="20"/>
          <w:szCs w:val="20"/>
          <w:lang w:val="es-ES"/>
        </w:rPr>
        <w:t>falta de protección judicial efectiva sobre estos hechos y la imposibilidad de sus familiares de recurrir una sentencia de reparación directa en razón a la mínima cuantía, podrían caracterizar posibles violaciones a los derechos consagrados en los artículos 4 (vida), 5 (integridad personal), 8 (garantías judiciales) y 25 (protección judicial) de la Convención, en perjuicio de las personas nombradas y sus familiares respectivamente, todos en conexión con los artículos 1.1 y 2 del mismo instrumento, en</w:t>
      </w:r>
      <w:r>
        <w:rPr>
          <w:rFonts w:ascii="Cambria" w:hAnsi="Cambria"/>
          <w:sz w:val="20"/>
          <w:szCs w:val="20"/>
          <w:lang w:val="es-ES"/>
        </w:rPr>
        <w:t xml:space="preserve"> </w:t>
      </w:r>
      <w:r w:rsidRPr="00834C89">
        <w:rPr>
          <w:rFonts w:ascii="Cambria" w:hAnsi="Cambria"/>
          <w:sz w:val="20"/>
          <w:szCs w:val="20"/>
          <w:lang w:val="es-ES"/>
        </w:rPr>
        <w:t>perjuicio de la presunta víctima y su familia.</w:t>
      </w:r>
    </w:p>
    <w:p w14:paraId="2BF7D493" w14:textId="74EF6876" w:rsidR="00834C89" w:rsidRPr="00834C89" w:rsidRDefault="00834C89" w:rsidP="00834C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34C89">
        <w:rPr>
          <w:rFonts w:ascii="Cambria" w:hAnsi="Cambria"/>
          <w:sz w:val="20"/>
          <w:szCs w:val="20"/>
          <w:lang w:val="es-ES"/>
        </w:rPr>
        <w:t>Por otra parte, en relación con el Pacto Internacional de Derechos Civiles y Políticos, la Comisión carece de competencia para establecer violaciones a las normas de dicho tratado, sin perjuicio de lo cual podrá tomarlo en cuenta como parte de su ejercicio interpretativo de las normas de la Convención</w:t>
      </w:r>
      <w:r>
        <w:rPr>
          <w:rFonts w:ascii="Cambria" w:hAnsi="Cambria"/>
          <w:sz w:val="20"/>
          <w:szCs w:val="20"/>
          <w:lang w:val="es-ES"/>
        </w:rPr>
        <w:t xml:space="preserve"> </w:t>
      </w:r>
      <w:r w:rsidRPr="00834C89">
        <w:rPr>
          <w:rFonts w:ascii="Cambria" w:hAnsi="Cambria"/>
          <w:sz w:val="20"/>
          <w:szCs w:val="20"/>
          <w:lang w:val="es-ES"/>
        </w:rPr>
        <w:t>Americana en la etapa de fondo del presente caso, en los términos del artículo 29 de la Convención.</w:t>
      </w:r>
    </w:p>
    <w:p w14:paraId="7B24F268" w14:textId="262BB45A" w:rsidR="00EF4B89" w:rsidRPr="00834C89" w:rsidRDefault="00834C89" w:rsidP="00834C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Cs/>
          <w:sz w:val="20"/>
          <w:szCs w:val="20"/>
          <w:lang w:val="es-ES"/>
        </w:rPr>
      </w:pPr>
      <w:r w:rsidRPr="00834C89">
        <w:rPr>
          <w:rFonts w:ascii="Cambria" w:hAnsi="Cambria"/>
          <w:sz w:val="20"/>
          <w:szCs w:val="20"/>
          <w:lang w:val="es-ES"/>
        </w:rPr>
        <w:t xml:space="preserve">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w:t>
      </w:r>
      <w:r>
        <w:rPr>
          <w:rFonts w:ascii="Cambria" w:hAnsi="Cambria"/>
          <w:sz w:val="20"/>
          <w:szCs w:val="20"/>
          <w:lang w:val="es-ES"/>
        </w:rPr>
        <w:t xml:space="preserve"> </w:t>
      </w:r>
      <w:r w:rsidRPr="00834C89">
        <w:rPr>
          <w:rFonts w:ascii="Cambria" w:hAnsi="Cambria"/>
          <w:sz w:val="20"/>
          <w:szCs w:val="20"/>
          <w:lang w:val="es-ES"/>
        </w:rPr>
        <w:t xml:space="preserve">Convención Americana. </w:t>
      </w:r>
    </w:p>
    <w:p w14:paraId="29BB41F5" w14:textId="53747365" w:rsidR="003239B8" w:rsidRPr="00006B74" w:rsidRDefault="00EC72AB" w:rsidP="00EF4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0FDE1D10" w14:textId="45DBE057" w:rsidR="003239B8" w:rsidRPr="0081548B" w:rsidRDefault="003239B8" w:rsidP="0081548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1548B">
        <w:rPr>
          <w:rFonts w:asciiTheme="majorHAnsi" w:hAnsiTheme="majorHAnsi"/>
          <w:sz w:val="20"/>
          <w:szCs w:val="20"/>
          <w:lang w:val="es-ES"/>
        </w:rPr>
        <w:t>Declarar admisible la presente petición en relación con</w:t>
      </w:r>
      <w:r w:rsidR="003A6337" w:rsidRPr="0081548B">
        <w:rPr>
          <w:rFonts w:asciiTheme="majorHAnsi" w:hAnsiTheme="majorHAnsi"/>
          <w:sz w:val="20"/>
          <w:szCs w:val="20"/>
          <w:lang w:val="es-ES"/>
        </w:rPr>
        <w:t xml:space="preserve"> los </w:t>
      </w:r>
      <w:r w:rsidR="00EF4B89" w:rsidRPr="0081548B">
        <w:rPr>
          <w:rFonts w:ascii="Cambria" w:hAnsi="Cambria"/>
          <w:bCs/>
          <w:sz w:val="20"/>
          <w:szCs w:val="20"/>
          <w:lang w:val="es-ES"/>
        </w:rPr>
        <w:t>artículos</w:t>
      </w:r>
      <w:r w:rsidR="0081548B" w:rsidRPr="0081548B">
        <w:rPr>
          <w:rFonts w:ascii="Cambria" w:hAnsi="Cambria"/>
          <w:bCs/>
          <w:sz w:val="20"/>
          <w:szCs w:val="20"/>
          <w:lang w:val="es-ES"/>
        </w:rPr>
        <w:t xml:space="preserve"> 4, 5, 8 y 25 en</w:t>
      </w:r>
      <w:r w:rsidR="0081548B">
        <w:rPr>
          <w:rFonts w:ascii="Cambria" w:hAnsi="Cambria"/>
          <w:bCs/>
          <w:sz w:val="20"/>
          <w:szCs w:val="20"/>
          <w:lang w:val="es-ES"/>
        </w:rPr>
        <w:t xml:space="preserve"> </w:t>
      </w:r>
      <w:r w:rsidR="0081548B" w:rsidRPr="0081548B">
        <w:rPr>
          <w:rFonts w:ascii="Cambria" w:hAnsi="Cambria"/>
          <w:bCs/>
          <w:sz w:val="20"/>
          <w:szCs w:val="20"/>
          <w:lang w:val="es-ES"/>
        </w:rPr>
        <w:t>concordancia con los artículos 1.1 y 2 de la Convención Americana</w:t>
      </w:r>
      <w:r w:rsidR="00A758AA" w:rsidRPr="0081548B">
        <w:rPr>
          <w:rFonts w:asciiTheme="majorHAnsi" w:hAnsiTheme="majorHAnsi"/>
          <w:sz w:val="20"/>
          <w:szCs w:val="20"/>
          <w:lang w:val="es-ES"/>
        </w:rPr>
        <w:t>;</w:t>
      </w:r>
    </w:p>
    <w:p w14:paraId="4157390F" w14:textId="409D9B1D" w:rsidR="00D93A90"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6B74">
        <w:rPr>
          <w:rFonts w:asciiTheme="majorHAnsi" w:hAnsiTheme="majorHAnsi"/>
          <w:sz w:val="20"/>
          <w:szCs w:val="20"/>
          <w:lang w:val="es-ES"/>
        </w:rPr>
        <w:t xml:space="preserve">Notificar a las partes la presente decisión; </w:t>
      </w:r>
      <w:r w:rsidRPr="00EF4B89">
        <w:rPr>
          <w:rFonts w:asciiTheme="majorHAnsi" w:hAnsiTheme="majorHAnsi"/>
          <w:sz w:val="20"/>
          <w:szCs w:val="20"/>
          <w:lang w:val="es-ES"/>
        </w:rPr>
        <w:t xml:space="preserve">continuar con el análisis del fondo de la cuestión; </w:t>
      </w:r>
      <w:r w:rsidRPr="00006B74">
        <w:rPr>
          <w:rFonts w:asciiTheme="majorHAnsi" w:hAnsiTheme="majorHAnsi"/>
          <w:sz w:val="20"/>
          <w:szCs w:val="20"/>
          <w:lang w:val="es-ES"/>
        </w:rPr>
        <w:t>y publicar esta decisión e incluirla en su Informe Anual a la Asamblea General de la Organización de los Estados Americanos.</w:t>
      </w:r>
    </w:p>
    <w:p w14:paraId="2CCC3529" w14:textId="010CAAE2" w:rsidR="00AA02BF" w:rsidRPr="00A37B82" w:rsidRDefault="00AA02BF" w:rsidP="00AA02BF">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5F55036" w14:textId="399A6F5F" w:rsidR="00AA02BF" w:rsidRDefault="00AA02BF">
      <w:pPr>
        <w:rPr>
          <w:rFonts w:ascii="Cambria" w:hAnsi="Cambria" w:cs="Arial"/>
          <w:noProof/>
          <w:sz w:val="20"/>
          <w:szCs w:val="20"/>
          <w:lang w:val="es-CL"/>
        </w:rPr>
      </w:pPr>
    </w:p>
    <w:sectPr w:rsidR="00AA02B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D401B" w14:textId="77777777" w:rsidR="007B3288" w:rsidRDefault="007B3288">
      <w:r>
        <w:separator/>
      </w:r>
    </w:p>
  </w:endnote>
  <w:endnote w:type="continuationSeparator" w:id="0">
    <w:p w14:paraId="3E1DA699" w14:textId="77777777" w:rsidR="007B3288" w:rsidRDefault="007B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A9072" w14:textId="77777777" w:rsidR="001076B3" w:rsidRDefault="001076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32C73523"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076B3">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68ED6" w14:textId="77777777" w:rsidR="007B3288" w:rsidRPr="000F35ED" w:rsidRDefault="007B328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957C28A" w14:textId="77777777" w:rsidR="007B3288" w:rsidRPr="000F35ED" w:rsidRDefault="007B3288" w:rsidP="000F35ED">
      <w:pPr>
        <w:rPr>
          <w:rFonts w:asciiTheme="majorHAnsi" w:hAnsiTheme="majorHAnsi"/>
          <w:sz w:val="16"/>
          <w:szCs w:val="16"/>
        </w:rPr>
      </w:pPr>
      <w:r w:rsidRPr="000F35ED">
        <w:rPr>
          <w:rFonts w:asciiTheme="majorHAnsi" w:hAnsiTheme="majorHAnsi"/>
          <w:sz w:val="16"/>
          <w:szCs w:val="16"/>
        </w:rPr>
        <w:separator/>
      </w:r>
    </w:p>
    <w:p w14:paraId="66CF1FA4" w14:textId="77777777" w:rsidR="007B3288" w:rsidRPr="000F35ED" w:rsidRDefault="007B328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D84BB14" w14:textId="77777777" w:rsidR="007B3288" w:rsidRPr="000F35ED" w:rsidRDefault="007B328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7DCC3F" w14:textId="77777777" w:rsidR="00C82335" w:rsidRPr="009B3A1B" w:rsidRDefault="00C82335" w:rsidP="00D75B84">
      <w:pPr>
        <w:pStyle w:val="FootnoteText"/>
        <w:ind w:firstLine="720"/>
        <w:rPr>
          <w:lang w:val="es-BO"/>
        </w:rPr>
      </w:pPr>
      <w:r w:rsidRPr="00D75B84">
        <w:rPr>
          <w:rStyle w:val="FootnoteReference"/>
          <w:rFonts w:ascii="Cambria" w:hAnsi="Cambria"/>
          <w:sz w:val="16"/>
          <w:szCs w:val="16"/>
        </w:rPr>
        <w:footnoteRef/>
      </w:r>
      <w:r w:rsidRPr="009B3A1B">
        <w:rPr>
          <w:lang w:val="es-BO"/>
        </w:rPr>
        <w:t xml:space="preserve"> </w:t>
      </w:r>
      <w:r w:rsidRPr="00B52F5E">
        <w:rPr>
          <w:rFonts w:asciiTheme="majorHAnsi" w:hAnsiTheme="majorHAnsi"/>
          <w:sz w:val="16"/>
          <w:szCs w:val="16"/>
          <w:lang w:val="es-CO"/>
        </w:rPr>
        <w:t>En adelante “Convención” o “Convención Americana”.</w:t>
      </w:r>
    </w:p>
  </w:footnote>
  <w:footnote w:id="3">
    <w:p w14:paraId="0FFD0E06" w14:textId="1DFEDB47" w:rsidR="00C82335" w:rsidRPr="00C82335" w:rsidRDefault="00C82335" w:rsidP="00D75B84">
      <w:pPr>
        <w:pStyle w:val="FootnoteText"/>
        <w:ind w:firstLine="720"/>
        <w:rPr>
          <w:lang w:val="es-BO"/>
        </w:rPr>
      </w:pPr>
      <w:r w:rsidRPr="00D75B84">
        <w:rPr>
          <w:rStyle w:val="FootnoteReference"/>
          <w:rFonts w:ascii="Cambria" w:hAnsi="Cambria"/>
          <w:sz w:val="16"/>
          <w:szCs w:val="16"/>
        </w:rPr>
        <w:footnoteRef/>
      </w:r>
      <w:r w:rsidRPr="00D75B84">
        <w:rPr>
          <w:rStyle w:val="FootnoteReference"/>
          <w:rFonts w:ascii="Cambria" w:hAnsi="Cambria"/>
          <w:sz w:val="16"/>
          <w:szCs w:val="16"/>
          <w:lang w:val="es-419"/>
        </w:rPr>
        <w:t xml:space="preserve"> </w:t>
      </w:r>
      <w:r>
        <w:rPr>
          <w:rFonts w:asciiTheme="majorHAnsi" w:hAnsiTheme="majorHAnsi"/>
          <w:sz w:val="16"/>
          <w:szCs w:val="16"/>
          <w:lang w:val="es-AR"/>
        </w:rPr>
        <w:t>El peticionario alega los artículos 6, 7 y 10.1 de</w:t>
      </w:r>
      <w:r w:rsidRPr="00B52F5E">
        <w:rPr>
          <w:rFonts w:asciiTheme="majorHAnsi" w:hAnsiTheme="majorHAnsi"/>
          <w:sz w:val="16"/>
          <w:szCs w:val="16"/>
          <w:lang w:val="es-AR"/>
        </w:rPr>
        <w:t>l Pacto inter</w:t>
      </w:r>
      <w:r>
        <w:rPr>
          <w:rFonts w:asciiTheme="majorHAnsi" w:hAnsiTheme="majorHAnsi"/>
          <w:sz w:val="16"/>
          <w:szCs w:val="16"/>
          <w:lang w:val="es-AR"/>
        </w:rPr>
        <w:t>nacional de Derechos Civiles y P</w:t>
      </w:r>
      <w:r w:rsidRPr="00B52F5E">
        <w:rPr>
          <w:rFonts w:asciiTheme="majorHAnsi" w:hAnsiTheme="majorHAnsi"/>
          <w:sz w:val="16"/>
          <w:szCs w:val="16"/>
          <w:lang w:val="es-AR"/>
        </w:rPr>
        <w:t>olíticos.</w:t>
      </w:r>
    </w:p>
  </w:footnote>
  <w:footnote w:id="4">
    <w:p w14:paraId="79F07139" w14:textId="77777777" w:rsidR="008E3BFE" w:rsidRPr="00DD061E" w:rsidRDefault="008E3BFE" w:rsidP="00D75B84">
      <w:pPr>
        <w:pStyle w:val="FootnoteText"/>
        <w:ind w:firstLine="720"/>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 w:id="5">
    <w:p w14:paraId="39BCB928" w14:textId="79201FC8" w:rsidR="00C03B5F" w:rsidRPr="00D75B84" w:rsidRDefault="00C03B5F" w:rsidP="00D75B84">
      <w:pPr>
        <w:pStyle w:val="FootnoteText"/>
        <w:ind w:firstLine="720"/>
        <w:rPr>
          <w:rFonts w:ascii="Cambria" w:hAnsi="Cambria"/>
          <w:sz w:val="16"/>
          <w:szCs w:val="16"/>
          <w:lang w:val="es-419"/>
        </w:rPr>
      </w:pPr>
      <w:r w:rsidRPr="00861E0B">
        <w:rPr>
          <w:rStyle w:val="FootnoteReference"/>
          <w:rFonts w:ascii="Cambria" w:hAnsi="Cambria"/>
          <w:color w:val="auto"/>
          <w:sz w:val="16"/>
          <w:szCs w:val="16"/>
        </w:rPr>
        <w:footnoteRef/>
      </w:r>
      <w:r w:rsidRPr="00861E0B">
        <w:rPr>
          <w:rFonts w:ascii="Cambria" w:hAnsi="Cambria"/>
          <w:color w:val="auto"/>
          <w:sz w:val="16"/>
          <w:szCs w:val="16"/>
          <w:lang w:val="es-US"/>
        </w:rPr>
        <w:t xml:space="preserve"> </w:t>
      </w:r>
      <w:r w:rsidRPr="00861E0B">
        <w:rPr>
          <w:rFonts w:ascii="Cambria" w:hAnsi="Cambria"/>
          <w:color w:val="auto"/>
          <w:sz w:val="16"/>
          <w:szCs w:val="16"/>
          <w:bdr w:val="none" w:sz="0" w:space="0" w:color="auto"/>
          <w:lang w:val="es-US" w:eastAsia="en-US"/>
        </w:rPr>
        <w:t xml:space="preserve">CIDH, Informe No. 47/10, Admisibilidad Masacre Estadero "El </w:t>
      </w:r>
      <w:proofErr w:type="spellStart"/>
      <w:r w:rsidRPr="00861E0B">
        <w:rPr>
          <w:rFonts w:ascii="Cambria" w:hAnsi="Cambria"/>
          <w:color w:val="auto"/>
          <w:sz w:val="16"/>
          <w:szCs w:val="16"/>
          <w:bdr w:val="none" w:sz="0" w:space="0" w:color="auto"/>
          <w:lang w:val="es-US" w:eastAsia="en-US"/>
        </w:rPr>
        <w:t>Aracatazzo</w:t>
      </w:r>
      <w:proofErr w:type="spellEnd"/>
      <w:r w:rsidRPr="00861E0B">
        <w:rPr>
          <w:rFonts w:ascii="Cambria" w:hAnsi="Cambria"/>
          <w:color w:val="auto"/>
          <w:sz w:val="16"/>
          <w:szCs w:val="16"/>
          <w:bdr w:val="none" w:sz="0" w:space="0" w:color="auto"/>
          <w:lang w:val="es-US" w:eastAsia="en-US"/>
        </w:rPr>
        <w:t>", Colombia, 28 de marzo de 2010, párr.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B328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0EBF0" w14:textId="77777777" w:rsidR="001076B3" w:rsidRDefault="001076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8A"/>
    <w:rsid w:val="000065D0"/>
    <w:rsid w:val="00006B74"/>
    <w:rsid w:val="00006E1F"/>
    <w:rsid w:val="000070D7"/>
    <w:rsid w:val="000104F5"/>
    <w:rsid w:val="00015701"/>
    <w:rsid w:val="0001788C"/>
    <w:rsid w:val="0002186F"/>
    <w:rsid w:val="000326C1"/>
    <w:rsid w:val="000337EF"/>
    <w:rsid w:val="00040C3A"/>
    <w:rsid w:val="000419AD"/>
    <w:rsid w:val="00054E7E"/>
    <w:rsid w:val="000577C5"/>
    <w:rsid w:val="000716C5"/>
    <w:rsid w:val="00075E23"/>
    <w:rsid w:val="0009006E"/>
    <w:rsid w:val="0009344A"/>
    <w:rsid w:val="000A19F8"/>
    <w:rsid w:val="000A3254"/>
    <w:rsid w:val="000A392E"/>
    <w:rsid w:val="000A575F"/>
    <w:rsid w:val="000A63D0"/>
    <w:rsid w:val="000B0579"/>
    <w:rsid w:val="000C1C69"/>
    <w:rsid w:val="000C3A31"/>
    <w:rsid w:val="000D10DB"/>
    <w:rsid w:val="000E2789"/>
    <w:rsid w:val="000E44FF"/>
    <w:rsid w:val="000E5EB5"/>
    <w:rsid w:val="000F35ED"/>
    <w:rsid w:val="00106414"/>
    <w:rsid w:val="00107131"/>
    <w:rsid w:val="0010736F"/>
    <w:rsid w:val="001076B3"/>
    <w:rsid w:val="00111A8A"/>
    <w:rsid w:val="00113F73"/>
    <w:rsid w:val="00121CC2"/>
    <w:rsid w:val="00131D8B"/>
    <w:rsid w:val="00133EE5"/>
    <w:rsid w:val="00136E3D"/>
    <w:rsid w:val="00143EFE"/>
    <w:rsid w:val="001479C0"/>
    <w:rsid w:val="0015330B"/>
    <w:rsid w:val="00167A34"/>
    <w:rsid w:val="001750B3"/>
    <w:rsid w:val="00176BB3"/>
    <w:rsid w:val="00177EEF"/>
    <w:rsid w:val="001A7870"/>
    <w:rsid w:val="001B3A00"/>
    <w:rsid w:val="001B4C00"/>
    <w:rsid w:val="001C1B41"/>
    <w:rsid w:val="001D65EF"/>
    <w:rsid w:val="001E34C0"/>
    <w:rsid w:val="001E49E7"/>
    <w:rsid w:val="001F271B"/>
    <w:rsid w:val="001F7201"/>
    <w:rsid w:val="00204931"/>
    <w:rsid w:val="00223A29"/>
    <w:rsid w:val="002250A3"/>
    <w:rsid w:val="00231294"/>
    <w:rsid w:val="00235217"/>
    <w:rsid w:val="002355A9"/>
    <w:rsid w:val="00246D1F"/>
    <w:rsid w:val="002470EF"/>
    <w:rsid w:val="00247403"/>
    <w:rsid w:val="00247542"/>
    <w:rsid w:val="002567D7"/>
    <w:rsid w:val="00266B61"/>
    <w:rsid w:val="0026712A"/>
    <w:rsid w:val="002704DB"/>
    <w:rsid w:val="00277BDA"/>
    <w:rsid w:val="00290A28"/>
    <w:rsid w:val="0029575A"/>
    <w:rsid w:val="002A0AAE"/>
    <w:rsid w:val="002A5820"/>
    <w:rsid w:val="002B34C7"/>
    <w:rsid w:val="002C3350"/>
    <w:rsid w:val="002C4E30"/>
    <w:rsid w:val="002D2B26"/>
    <w:rsid w:val="002D7EA2"/>
    <w:rsid w:val="002E187C"/>
    <w:rsid w:val="002E7512"/>
    <w:rsid w:val="002F3724"/>
    <w:rsid w:val="00302733"/>
    <w:rsid w:val="00302A2B"/>
    <w:rsid w:val="003121D5"/>
    <w:rsid w:val="00314078"/>
    <w:rsid w:val="0031535D"/>
    <w:rsid w:val="003239B8"/>
    <w:rsid w:val="0033169F"/>
    <w:rsid w:val="003324F0"/>
    <w:rsid w:val="0034224A"/>
    <w:rsid w:val="00343438"/>
    <w:rsid w:val="00344977"/>
    <w:rsid w:val="00346C95"/>
    <w:rsid w:val="00351155"/>
    <w:rsid w:val="00356185"/>
    <w:rsid w:val="00360380"/>
    <w:rsid w:val="0037519E"/>
    <w:rsid w:val="00386C6C"/>
    <w:rsid w:val="00386CF0"/>
    <w:rsid w:val="003942EC"/>
    <w:rsid w:val="003A3364"/>
    <w:rsid w:val="003A6337"/>
    <w:rsid w:val="003B4349"/>
    <w:rsid w:val="003B4FF6"/>
    <w:rsid w:val="003B70FB"/>
    <w:rsid w:val="003C6112"/>
    <w:rsid w:val="003C676B"/>
    <w:rsid w:val="003D0A55"/>
    <w:rsid w:val="003D3BC2"/>
    <w:rsid w:val="003E614F"/>
    <w:rsid w:val="003E6CA1"/>
    <w:rsid w:val="004065A8"/>
    <w:rsid w:val="004125EB"/>
    <w:rsid w:val="00413E91"/>
    <w:rsid w:val="004153F5"/>
    <w:rsid w:val="004165C2"/>
    <w:rsid w:val="004304AD"/>
    <w:rsid w:val="00441ECB"/>
    <w:rsid w:val="00445193"/>
    <w:rsid w:val="00447CCF"/>
    <w:rsid w:val="004565BA"/>
    <w:rsid w:val="00462C1B"/>
    <w:rsid w:val="00467B7E"/>
    <w:rsid w:val="0047080D"/>
    <w:rsid w:val="00473BB4"/>
    <w:rsid w:val="00476211"/>
    <w:rsid w:val="00477592"/>
    <w:rsid w:val="00486F1C"/>
    <w:rsid w:val="0049419D"/>
    <w:rsid w:val="004A59CC"/>
    <w:rsid w:val="004A6A54"/>
    <w:rsid w:val="004B4FEA"/>
    <w:rsid w:val="004C20D2"/>
    <w:rsid w:val="004C2312"/>
    <w:rsid w:val="004C4B62"/>
    <w:rsid w:val="004C54C9"/>
    <w:rsid w:val="004C616A"/>
    <w:rsid w:val="004D4ABA"/>
    <w:rsid w:val="004D6025"/>
    <w:rsid w:val="004E19B1"/>
    <w:rsid w:val="004E2649"/>
    <w:rsid w:val="00501399"/>
    <w:rsid w:val="00501652"/>
    <w:rsid w:val="00504ED6"/>
    <w:rsid w:val="0050633D"/>
    <w:rsid w:val="00507BC4"/>
    <w:rsid w:val="005128E4"/>
    <w:rsid w:val="005133DB"/>
    <w:rsid w:val="00523E59"/>
    <w:rsid w:val="00525560"/>
    <w:rsid w:val="00527F06"/>
    <w:rsid w:val="005415E6"/>
    <w:rsid w:val="00544216"/>
    <w:rsid w:val="00544C49"/>
    <w:rsid w:val="005516A1"/>
    <w:rsid w:val="00563557"/>
    <w:rsid w:val="0057402A"/>
    <w:rsid w:val="00574CB7"/>
    <w:rsid w:val="005771D0"/>
    <w:rsid w:val="00587E8F"/>
    <w:rsid w:val="0059191A"/>
    <w:rsid w:val="005921FF"/>
    <w:rsid w:val="00594707"/>
    <w:rsid w:val="005A24ED"/>
    <w:rsid w:val="005A6D0E"/>
    <w:rsid w:val="005B37CC"/>
    <w:rsid w:val="005B52B0"/>
    <w:rsid w:val="005B6806"/>
    <w:rsid w:val="005B6D22"/>
    <w:rsid w:val="005C261A"/>
    <w:rsid w:val="005C4225"/>
    <w:rsid w:val="005C7989"/>
    <w:rsid w:val="005D66AD"/>
    <w:rsid w:val="005E0B65"/>
    <w:rsid w:val="005E11B2"/>
    <w:rsid w:val="005F0DAD"/>
    <w:rsid w:val="005F0F33"/>
    <w:rsid w:val="00600DEB"/>
    <w:rsid w:val="006068B7"/>
    <w:rsid w:val="006277DE"/>
    <w:rsid w:val="00627C9F"/>
    <w:rsid w:val="006311E9"/>
    <w:rsid w:val="00632354"/>
    <w:rsid w:val="00642810"/>
    <w:rsid w:val="00647756"/>
    <w:rsid w:val="006509DA"/>
    <w:rsid w:val="00652333"/>
    <w:rsid w:val="006775AB"/>
    <w:rsid w:val="0068009E"/>
    <w:rsid w:val="006819E9"/>
    <w:rsid w:val="00686471"/>
    <w:rsid w:val="0068794B"/>
    <w:rsid w:val="00687EBE"/>
    <w:rsid w:val="00691BBE"/>
    <w:rsid w:val="00692219"/>
    <w:rsid w:val="00692381"/>
    <w:rsid w:val="0069402E"/>
    <w:rsid w:val="006A17D2"/>
    <w:rsid w:val="006A73E6"/>
    <w:rsid w:val="006B2D5C"/>
    <w:rsid w:val="006B2EE8"/>
    <w:rsid w:val="006C4EB1"/>
    <w:rsid w:val="006E0166"/>
    <w:rsid w:val="006E772A"/>
    <w:rsid w:val="006E7B34"/>
    <w:rsid w:val="0070697F"/>
    <w:rsid w:val="0072199C"/>
    <w:rsid w:val="00722C9F"/>
    <w:rsid w:val="007253B8"/>
    <w:rsid w:val="00727B0E"/>
    <w:rsid w:val="0073598C"/>
    <w:rsid w:val="0073741F"/>
    <w:rsid w:val="0074686F"/>
    <w:rsid w:val="0076643F"/>
    <w:rsid w:val="0076648C"/>
    <w:rsid w:val="00777F63"/>
    <w:rsid w:val="007852B5"/>
    <w:rsid w:val="00796A37"/>
    <w:rsid w:val="007A5817"/>
    <w:rsid w:val="007B05C4"/>
    <w:rsid w:val="007B3288"/>
    <w:rsid w:val="007B60E9"/>
    <w:rsid w:val="007B6CC3"/>
    <w:rsid w:val="007C3334"/>
    <w:rsid w:val="007C402A"/>
    <w:rsid w:val="007C6D01"/>
    <w:rsid w:val="007D2B98"/>
    <w:rsid w:val="007D7C02"/>
    <w:rsid w:val="007E21BC"/>
    <w:rsid w:val="007E58FE"/>
    <w:rsid w:val="007E7C82"/>
    <w:rsid w:val="007F588D"/>
    <w:rsid w:val="00802748"/>
    <w:rsid w:val="00803F1C"/>
    <w:rsid w:val="0080600E"/>
    <w:rsid w:val="0081548B"/>
    <w:rsid w:val="00817612"/>
    <w:rsid w:val="008338A4"/>
    <w:rsid w:val="00834C89"/>
    <w:rsid w:val="00834D49"/>
    <w:rsid w:val="00837C45"/>
    <w:rsid w:val="008411F0"/>
    <w:rsid w:val="008439BC"/>
    <w:rsid w:val="00844730"/>
    <w:rsid w:val="008457C2"/>
    <w:rsid w:val="00857A82"/>
    <w:rsid w:val="00861E0B"/>
    <w:rsid w:val="00871526"/>
    <w:rsid w:val="00873836"/>
    <w:rsid w:val="00875668"/>
    <w:rsid w:val="00885737"/>
    <w:rsid w:val="00890650"/>
    <w:rsid w:val="00890BE7"/>
    <w:rsid w:val="00897E12"/>
    <w:rsid w:val="008A0F81"/>
    <w:rsid w:val="008A310C"/>
    <w:rsid w:val="008A7E0F"/>
    <w:rsid w:val="008B12F5"/>
    <w:rsid w:val="008B5932"/>
    <w:rsid w:val="008C5751"/>
    <w:rsid w:val="008D768D"/>
    <w:rsid w:val="008E0FD8"/>
    <w:rsid w:val="008E328A"/>
    <w:rsid w:val="008E3759"/>
    <w:rsid w:val="008E3BFE"/>
    <w:rsid w:val="008E7900"/>
    <w:rsid w:val="008F1912"/>
    <w:rsid w:val="0090270B"/>
    <w:rsid w:val="009041DC"/>
    <w:rsid w:val="00917B5A"/>
    <w:rsid w:val="00920A58"/>
    <w:rsid w:val="00920A8C"/>
    <w:rsid w:val="009343AD"/>
    <w:rsid w:val="00934A2C"/>
    <w:rsid w:val="00935F06"/>
    <w:rsid w:val="00937B3A"/>
    <w:rsid w:val="00954B82"/>
    <w:rsid w:val="00957000"/>
    <w:rsid w:val="00962436"/>
    <w:rsid w:val="0096706E"/>
    <w:rsid w:val="00974491"/>
    <w:rsid w:val="00975C4E"/>
    <w:rsid w:val="00981FBA"/>
    <w:rsid w:val="00997BC5"/>
    <w:rsid w:val="009A4F41"/>
    <w:rsid w:val="009B381B"/>
    <w:rsid w:val="009C2FC5"/>
    <w:rsid w:val="009D1753"/>
    <w:rsid w:val="009D195A"/>
    <w:rsid w:val="009D6502"/>
    <w:rsid w:val="009D7611"/>
    <w:rsid w:val="009D78A5"/>
    <w:rsid w:val="009E08DD"/>
    <w:rsid w:val="009E0B61"/>
    <w:rsid w:val="009E53DE"/>
    <w:rsid w:val="009E7C00"/>
    <w:rsid w:val="009F59DD"/>
    <w:rsid w:val="00A0691C"/>
    <w:rsid w:val="00A11E44"/>
    <w:rsid w:val="00A154C8"/>
    <w:rsid w:val="00A15F3B"/>
    <w:rsid w:val="00A17BCB"/>
    <w:rsid w:val="00A22397"/>
    <w:rsid w:val="00A32313"/>
    <w:rsid w:val="00A328B3"/>
    <w:rsid w:val="00A35D64"/>
    <w:rsid w:val="00A50FCF"/>
    <w:rsid w:val="00A528D1"/>
    <w:rsid w:val="00A610CD"/>
    <w:rsid w:val="00A625E0"/>
    <w:rsid w:val="00A74947"/>
    <w:rsid w:val="00A758AA"/>
    <w:rsid w:val="00A92093"/>
    <w:rsid w:val="00AA02BF"/>
    <w:rsid w:val="00AA09A2"/>
    <w:rsid w:val="00AA7996"/>
    <w:rsid w:val="00AB37A1"/>
    <w:rsid w:val="00AC19CB"/>
    <w:rsid w:val="00AD1886"/>
    <w:rsid w:val="00AE5488"/>
    <w:rsid w:val="00AE6F91"/>
    <w:rsid w:val="00AF5571"/>
    <w:rsid w:val="00B06B4E"/>
    <w:rsid w:val="00B07341"/>
    <w:rsid w:val="00B202B5"/>
    <w:rsid w:val="00B248FD"/>
    <w:rsid w:val="00B30539"/>
    <w:rsid w:val="00B314DB"/>
    <w:rsid w:val="00B361F2"/>
    <w:rsid w:val="00B3718B"/>
    <w:rsid w:val="00B4632A"/>
    <w:rsid w:val="00B5067D"/>
    <w:rsid w:val="00B530F1"/>
    <w:rsid w:val="00B57297"/>
    <w:rsid w:val="00B736AF"/>
    <w:rsid w:val="00B742BE"/>
    <w:rsid w:val="00B87359"/>
    <w:rsid w:val="00B97946"/>
    <w:rsid w:val="00BA276C"/>
    <w:rsid w:val="00BA5544"/>
    <w:rsid w:val="00BA6ABA"/>
    <w:rsid w:val="00BB306F"/>
    <w:rsid w:val="00BB3FBD"/>
    <w:rsid w:val="00BC6CD0"/>
    <w:rsid w:val="00BD4B89"/>
    <w:rsid w:val="00BD5922"/>
    <w:rsid w:val="00BD76D9"/>
    <w:rsid w:val="00BF02CB"/>
    <w:rsid w:val="00BF514A"/>
    <w:rsid w:val="00BF6FD8"/>
    <w:rsid w:val="00BF775D"/>
    <w:rsid w:val="00C03680"/>
    <w:rsid w:val="00C03B5F"/>
    <w:rsid w:val="00C051C0"/>
    <w:rsid w:val="00C054DF"/>
    <w:rsid w:val="00C10AFC"/>
    <w:rsid w:val="00C21562"/>
    <w:rsid w:val="00C21762"/>
    <w:rsid w:val="00C21FEF"/>
    <w:rsid w:val="00C24543"/>
    <w:rsid w:val="00C256A2"/>
    <w:rsid w:val="00C35A26"/>
    <w:rsid w:val="00C51515"/>
    <w:rsid w:val="00C53910"/>
    <w:rsid w:val="00C5660B"/>
    <w:rsid w:val="00C56854"/>
    <w:rsid w:val="00C5788A"/>
    <w:rsid w:val="00C66B72"/>
    <w:rsid w:val="00C82335"/>
    <w:rsid w:val="00C82F22"/>
    <w:rsid w:val="00C87AC4"/>
    <w:rsid w:val="00C9567A"/>
    <w:rsid w:val="00CA48A3"/>
    <w:rsid w:val="00CB212D"/>
    <w:rsid w:val="00CB2660"/>
    <w:rsid w:val="00CC4316"/>
    <w:rsid w:val="00CC5E90"/>
    <w:rsid w:val="00CD046C"/>
    <w:rsid w:val="00CD186A"/>
    <w:rsid w:val="00CE076C"/>
    <w:rsid w:val="00CE3F4A"/>
    <w:rsid w:val="00CE5199"/>
    <w:rsid w:val="00CE66D5"/>
    <w:rsid w:val="00CF637A"/>
    <w:rsid w:val="00D059DE"/>
    <w:rsid w:val="00D05ABD"/>
    <w:rsid w:val="00D13FCE"/>
    <w:rsid w:val="00D17E8C"/>
    <w:rsid w:val="00D306D1"/>
    <w:rsid w:val="00D30800"/>
    <w:rsid w:val="00D341D3"/>
    <w:rsid w:val="00D34786"/>
    <w:rsid w:val="00D37BFC"/>
    <w:rsid w:val="00D405CF"/>
    <w:rsid w:val="00D42822"/>
    <w:rsid w:val="00D47A8E"/>
    <w:rsid w:val="00D52D14"/>
    <w:rsid w:val="00D55256"/>
    <w:rsid w:val="00D56D93"/>
    <w:rsid w:val="00D61FC9"/>
    <w:rsid w:val="00D712D3"/>
    <w:rsid w:val="00D71422"/>
    <w:rsid w:val="00D72DC6"/>
    <w:rsid w:val="00D73F5E"/>
    <w:rsid w:val="00D7558D"/>
    <w:rsid w:val="00D75B84"/>
    <w:rsid w:val="00D77503"/>
    <w:rsid w:val="00D81D92"/>
    <w:rsid w:val="00D83FBD"/>
    <w:rsid w:val="00D876F9"/>
    <w:rsid w:val="00D877B6"/>
    <w:rsid w:val="00D93A90"/>
    <w:rsid w:val="00DA655A"/>
    <w:rsid w:val="00DA7B5F"/>
    <w:rsid w:val="00DC11E7"/>
    <w:rsid w:val="00DC7023"/>
    <w:rsid w:val="00DC769A"/>
    <w:rsid w:val="00DD061E"/>
    <w:rsid w:val="00DD3D86"/>
    <w:rsid w:val="00DE12F0"/>
    <w:rsid w:val="00DE39A2"/>
    <w:rsid w:val="00DF1EC4"/>
    <w:rsid w:val="00DF27AD"/>
    <w:rsid w:val="00DF51E9"/>
    <w:rsid w:val="00E01943"/>
    <w:rsid w:val="00E0340B"/>
    <w:rsid w:val="00E04A90"/>
    <w:rsid w:val="00E0551F"/>
    <w:rsid w:val="00E219C7"/>
    <w:rsid w:val="00E26CCA"/>
    <w:rsid w:val="00E27F56"/>
    <w:rsid w:val="00E4118C"/>
    <w:rsid w:val="00E43157"/>
    <w:rsid w:val="00E461CE"/>
    <w:rsid w:val="00E720CA"/>
    <w:rsid w:val="00E72FEF"/>
    <w:rsid w:val="00E84EB5"/>
    <w:rsid w:val="00E85662"/>
    <w:rsid w:val="00E8789F"/>
    <w:rsid w:val="00E92747"/>
    <w:rsid w:val="00E97B71"/>
    <w:rsid w:val="00EA3D34"/>
    <w:rsid w:val="00EB454D"/>
    <w:rsid w:val="00EB705C"/>
    <w:rsid w:val="00EC26E9"/>
    <w:rsid w:val="00EC72AB"/>
    <w:rsid w:val="00ED2F03"/>
    <w:rsid w:val="00ED549D"/>
    <w:rsid w:val="00ED76BE"/>
    <w:rsid w:val="00ED7F05"/>
    <w:rsid w:val="00EE00E9"/>
    <w:rsid w:val="00EE014D"/>
    <w:rsid w:val="00EF35AB"/>
    <w:rsid w:val="00EF4B89"/>
    <w:rsid w:val="00EF4C44"/>
    <w:rsid w:val="00EF619B"/>
    <w:rsid w:val="00F00B55"/>
    <w:rsid w:val="00F02AD1"/>
    <w:rsid w:val="00F04591"/>
    <w:rsid w:val="00F06354"/>
    <w:rsid w:val="00F06F1B"/>
    <w:rsid w:val="00F10909"/>
    <w:rsid w:val="00F241A7"/>
    <w:rsid w:val="00F253CC"/>
    <w:rsid w:val="00F332EF"/>
    <w:rsid w:val="00F37106"/>
    <w:rsid w:val="00F519CF"/>
    <w:rsid w:val="00F53168"/>
    <w:rsid w:val="00F56BA5"/>
    <w:rsid w:val="00F60E22"/>
    <w:rsid w:val="00F63B39"/>
    <w:rsid w:val="00F81395"/>
    <w:rsid w:val="00F81887"/>
    <w:rsid w:val="00F81BB8"/>
    <w:rsid w:val="00F917D1"/>
    <w:rsid w:val="00F9342C"/>
    <w:rsid w:val="00F9653B"/>
    <w:rsid w:val="00FA56EA"/>
    <w:rsid w:val="00FA5BDA"/>
    <w:rsid w:val="00FB62CF"/>
    <w:rsid w:val="00FC0F4A"/>
    <w:rsid w:val="00FC333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D1F6-2907-4EB4-8232-4A05DFC3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1794</Words>
  <Characters>9438</Characters>
  <Application>Microsoft Office Word</Application>
  <DocSecurity>0</DocSecurity>
  <Lines>188</Lines>
  <Paragraphs>51</Paragraphs>
  <ScaleCrop>false</ScaleCrop>
  <Company/>
  <LinksUpToDate>false</LinksUpToDate>
  <CharactersWithSpaces>11181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91/20</dc:title>
  <dc:creator/>
  <cp:lastModifiedBy/>
  <cp:revision>1</cp:revision>
  <dcterms:created xsi:type="dcterms:W3CDTF">2020-06-24T15:52:00Z</dcterms:created>
  <dcterms:modified xsi:type="dcterms:W3CDTF">2020-06-24T15:53:00Z</dcterms:modified>
</cp:coreProperties>
</file>