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63C92"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D949752" wp14:editId="087DFE0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C14D53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64873931" wp14:editId="32AA0729">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218950" w14:textId="77777777" w:rsidR="00CB2660" w:rsidRDefault="00AE5488" w:rsidP="00AE5488">
                            <w:r>
                              <w:rPr>
                                <w:noProof/>
                              </w:rPr>
                              <w:drawing>
                                <wp:inline distT="0" distB="0" distL="0" distR="0" wp14:anchorId="1B94C736" wp14:editId="35AB10B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4873931"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7C218950" w14:textId="77777777" w:rsidR="00CB2660" w:rsidRDefault="00AE5488" w:rsidP="00AE5488">
                      <w:r>
                        <w:rPr>
                          <w:noProof/>
                        </w:rPr>
                        <w:drawing>
                          <wp:inline distT="0" distB="0" distL="0" distR="0" wp14:anchorId="1B94C736" wp14:editId="35AB10B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1ACE998A"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02E4F736"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4EC8F50"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42A87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2468545"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6739B4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C19E74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bookmarkStart w:id="0" w:name="_GoBack"/>
      <w:bookmarkEnd w:id="0"/>
    </w:p>
    <w:p w14:paraId="38C9CCB5"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0BF0DCD"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C814758"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9AB49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80ED27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BAD996A"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FE17B1F" wp14:editId="483D3C3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1EDFE3" w14:textId="49FCBC6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66768C">
                              <w:rPr>
                                <w:rFonts w:asciiTheme="majorHAnsi" w:hAnsiTheme="majorHAnsi" w:cs="Arial"/>
                                <w:b/>
                                <w:bCs/>
                                <w:color w:val="0D0D0D" w:themeColor="text1" w:themeTint="F2"/>
                                <w:sz w:val="36"/>
                                <w:szCs w:val="22"/>
                                <w:lang w:val="es-ES_tradnl"/>
                              </w:rPr>
                              <w:t xml:space="preserve"> 267</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14:paraId="5C7FD218"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C2EFA">
                              <w:rPr>
                                <w:rFonts w:asciiTheme="majorHAnsi" w:hAnsiTheme="majorHAnsi" w:cs="Arial"/>
                                <w:b/>
                                <w:color w:val="0D0D0D" w:themeColor="text1" w:themeTint="F2"/>
                                <w:sz w:val="36"/>
                                <w:szCs w:val="22"/>
                                <w:lang w:val="es-ES_tradnl"/>
                              </w:rPr>
                              <w:t>323-09</w:t>
                            </w:r>
                          </w:p>
                          <w:p w14:paraId="2EABB943"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0CEF1151"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A77F8F6" w14:textId="77777777" w:rsidR="005B52B0" w:rsidRPr="0010736F" w:rsidRDefault="001C2EF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w:t>
                            </w:r>
                            <w:r w:rsidR="0073043C">
                              <w:rPr>
                                <w:rFonts w:asciiTheme="majorHAnsi" w:hAnsiTheme="majorHAnsi" w:cs="Arial"/>
                                <w:color w:val="0D0D0D" w:themeColor="text1" w:themeTint="F2"/>
                                <w:szCs w:val="22"/>
                                <w:lang w:val="es-ES_tradnl"/>
                              </w:rPr>
                              <w:t>LEA</w:t>
                            </w:r>
                            <w:r>
                              <w:rPr>
                                <w:rFonts w:asciiTheme="majorHAnsi" w:hAnsiTheme="majorHAnsi" w:cs="Arial"/>
                                <w:color w:val="0D0D0D" w:themeColor="text1" w:themeTint="F2"/>
                                <w:szCs w:val="22"/>
                                <w:lang w:val="es-ES_tradnl"/>
                              </w:rPr>
                              <w:t>ZA</w:t>
                            </w:r>
                            <w:r w:rsidR="0073043C">
                              <w:rPr>
                                <w:rFonts w:asciiTheme="majorHAnsi" w:hAnsiTheme="majorHAnsi" w:cs="Arial"/>
                                <w:color w:val="0D0D0D" w:themeColor="text1" w:themeTint="F2"/>
                                <w:szCs w:val="22"/>
                                <w:lang w:val="es-ES_tradnl"/>
                              </w:rPr>
                              <w:t>R</w:t>
                            </w:r>
                            <w:r>
                              <w:rPr>
                                <w:rFonts w:asciiTheme="majorHAnsi" w:hAnsiTheme="majorHAnsi" w:cs="Arial"/>
                                <w:color w:val="0D0D0D" w:themeColor="text1" w:themeTint="F2"/>
                                <w:szCs w:val="22"/>
                                <w:lang w:val="es-ES_tradnl"/>
                              </w:rPr>
                              <w:t xml:space="preserve"> VARGAS ARDILA Y</w:t>
                            </w:r>
                            <w:r w:rsidR="00770039">
                              <w:rPr>
                                <w:rFonts w:asciiTheme="majorHAnsi" w:hAnsiTheme="majorHAnsi" w:cs="Arial"/>
                                <w:color w:val="0D0D0D" w:themeColor="text1" w:themeTint="F2"/>
                                <w:szCs w:val="22"/>
                                <w:lang w:val="es-ES_tradnl"/>
                              </w:rPr>
                              <w:t xml:space="preserve"> FAMILIARES</w:t>
                            </w:r>
                          </w:p>
                          <w:bookmarkEnd w:id="1"/>
                          <w:p w14:paraId="7796D978" w14:textId="77777777" w:rsidR="005B52B0" w:rsidRPr="0010736F" w:rsidRDefault="001C2EF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7121C43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FE17B1F"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151EDFE3" w14:textId="49FCBC6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66768C">
                        <w:rPr>
                          <w:rFonts w:asciiTheme="majorHAnsi" w:hAnsiTheme="majorHAnsi" w:cs="Arial"/>
                          <w:b/>
                          <w:bCs/>
                          <w:color w:val="0D0D0D" w:themeColor="text1" w:themeTint="F2"/>
                          <w:sz w:val="36"/>
                          <w:szCs w:val="22"/>
                          <w:lang w:val="es-ES_tradnl"/>
                        </w:rPr>
                        <w:t xml:space="preserve"> 267</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14:paraId="5C7FD218"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C2EFA">
                        <w:rPr>
                          <w:rFonts w:asciiTheme="majorHAnsi" w:hAnsiTheme="majorHAnsi" w:cs="Arial"/>
                          <w:b/>
                          <w:color w:val="0D0D0D" w:themeColor="text1" w:themeTint="F2"/>
                          <w:sz w:val="36"/>
                          <w:szCs w:val="22"/>
                          <w:lang w:val="es-ES_tradnl"/>
                        </w:rPr>
                        <w:t>323-09</w:t>
                      </w:r>
                    </w:p>
                    <w:p w14:paraId="2EABB943"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0CEF1151"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A77F8F6" w14:textId="77777777" w:rsidR="005B52B0" w:rsidRPr="0010736F" w:rsidRDefault="001C2EFA"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w:t>
                      </w:r>
                      <w:r w:rsidR="0073043C">
                        <w:rPr>
                          <w:rFonts w:asciiTheme="majorHAnsi" w:hAnsiTheme="majorHAnsi" w:cs="Arial"/>
                          <w:color w:val="0D0D0D" w:themeColor="text1" w:themeTint="F2"/>
                          <w:szCs w:val="22"/>
                          <w:lang w:val="es-ES_tradnl"/>
                        </w:rPr>
                        <w:t>LEA</w:t>
                      </w:r>
                      <w:r>
                        <w:rPr>
                          <w:rFonts w:asciiTheme="majorHAnsi" w:hAnsiTheme="majorHAnsi" w:cs="Arial"/>
                          <w:color w:val="0D0D0D" w:themeColor="text1" w:themeTint="F2"/>
                          <w:szCs w:val="22"/>
                          <w:lang w:val="es-ES_tradnl"/>
                        </w:rPr>
                        <w:t>ZA</w:t>
                      </w:r>
                      <w:r w:rsidR="0073043C">
                        <w:rPr>
                          <w:rFonts w:asciiTheme="majorHAnsi" w:hAnsiTheme="majorHAnsi" w:cs="Arial"/>
                          <w:color w:val="0D0D0D" w:themeColor="text1" w:themeTint="F2"/>
                          <w:szCs w:val="22"/>
                          <w:lang w:val="es-ES_tradnl"/>
                        </w:rPr>
                        <w:t>R</w:t>
                      </w:r>
                      <w:r>
                        <w:rPr>
                          <w:rFonts w:asciiTheme="majorHAnsi" w:hAnsiTheme="majorHAnsi" w:cs="Arial"/>
                          <w:color w:val="0D0D0D" w:themeColor="text1" w:themeTint="F2"/>
                          <w:szCs w:val="22"/>
                          <w:lang w:val="es-ES_tradnl"/>
                        </w:rPr>
                        <w:t xml:space="preserve"> VARGAS ARDILA Y</w:t>
                      </w:r>
                      <w:r w:rsidR="00770039">
                        <w:rPr>
                          <w:rFonts w:asciiTheme="majorHAnsi" w:hAnsiTheme="majorHAnsi" w:cs="Arial"/>
                          <w:color w:val="0D0D0D" w:themeColor="text1" w:themeTint="F2"/>
                          <w:szCs w:val="22"/>
                          <w:lang w:val="es-ES_tradnl"/>
                        </w:rPr>
                        <w:t xml:space="preserve"> FAMILIARES</w:t>
                      </w:r>
                    </w:p>
                    <w:bookmarkEnd w:id="1"/>
                    <w:p w14:paraId="7796D978" w14:textId="77777777" w:rsidR="005B52B0" w:rsidRPr="0010736F" w:rsidRDefault="001C2EF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7121C435"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03AD4CD" wp14:editId="1C02B4B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897B5D" w14:textId="77777777"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34E5747" w14:textId="5A1D7AB7" w:rsidR="00627C9F" w:rsidRPr="004E2649" w:rsidRDefault="0066768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283</w:t>
                            </w:r>
                          </w:p>
                          <w:p w14:paraId="4F773D59" w14:textId="27209ED4" w:rsidR="00627C9F" w:rsidRPr="00C25ADB" w:rsidRDefault="0066768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octubre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20</w:t>
                            </w:r>
                          </w:p>
                          <w:p w14:paraId="2C795128"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03AD4CD"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06897B5D" w14:textId="77777777"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34E5747" w14:textId="5A1D7AB7" w:rsidR="00627C9F" w:rsidRPr="004E2649" w:rsidRDefault="0066768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283</w:t>
                      </w:r>
                    </w:p>
                    <w:p w14:paraId="4F773D59" w14:textId="27209ED4" w:rsidR="00627C9F" w:rsidRPr="00C25ADB" w:rsidRDefault="0066768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octubre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20</w:t>
                      </w:r>
                    </w:p>
                    <w:p w14:paraId="2C795128"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2DE36474"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79194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E89ADE"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8A3E0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67B0E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9E925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04D1B3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919E04C"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0BEC3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53D558"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C6C0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B3856C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B66DAA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3DF0CE4"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EFE409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B01092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C8A8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A05A02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4DDF56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21B2B5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75B26D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EEDC56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2BB86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F1E9E9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4B6C38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78B0A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B1D7B2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50AD0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AE21B7B"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2EDC584E" wp14:editId="5634712A">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94D3C4" w14:textId="6989418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66768C">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66768C">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BD69D7">
                              <w:rPr>
                                <w:rFonts w:asciiTheme="majorHAnsi" w:hAnsiTheme="majorHAnsi"/>
                                <w:color w:val="0D0D0D" w:themeColor="text1" w:themeTint="F2"/>
                                <w:sz w:val="18"/>
                                <w:szCs w:val="22"/>
                                <w:lang w:val="es-ES"/>
                              </w:rPr>
                              <w:t>.</w:t>
                            </w:r>
                          </w:p>
                          <w:p w14:paraId="588CCB23"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2C59DBC0"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DC584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3094D3C4" w14:textId="69894185"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66768C">
                        <w:rPr>
                          <w:rFonts w:asciiTheme="majorHAnsi" w:hAnsiTheme="majorHAnsi"/>
                          <w:color w:val="0D0D0D" w:themeColor="text1" w:themeTint="F2"/>
                          <w:sz w:val="18"/>
                          <w:szCs w:val="22"/>
                          <w:lang w:val="es-ES"/>
                        </w:rPr>
                        <w:t>7</w:t>
                      </w:r>
                      <w:r w:rsidRPr="00890650">
                        <w:rPr>
                          <w:rFonts w:asciiTheme="majorHAnsi" w:hAnsiTheme="majorHAnsi"/>
                          <w:color w:val="0D0D0D" w:themeColor="text1" w:themeTint="F2"/>
                          <w:sz w:val="18"/>
                          <w:szCs w:val="22"/>
                          <w:lang w:val="es-ES"/>
                        </w:rPr>
                        <w:t xml:space="preserve"> de </w:t>
                      </w:r>
                      <w:r w:rsidR="0066768C">
                        <w:rPr>
                          <w:rFonts w:asciiTheme="majorHAnsi" w:hAnsiTheme="majorHAnsi"/>
                          <w:color w:val="0D0D0D" w:themeColor="text1" w:themeTint="F2"/>
                          <w:sz w:val="18"/>
                          <w:szCs w:val="22"/>
                          <w:lang w:val="es-ES"/>
                        </w:rPr>
                        <w:t>octubre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BD69D7">
                        <w:rPr>
                          <w:rFonts w:asciiTheme="majorHAnsi" w:hAnsiTheme="majorHAnsi"/>
                          <w:color w:val="0D0D0D" w:themeColor="text1" w:themeTint="F2"/>
                          <w:sz w:val="18"/>
                          <w:szCs w:val="22"/>
                          <w:lang w:val="es-ES"/>
                        </w:rPr>
                        <w:t>.</w:t>
                      </w:r>
                    </w:p>
                    <w:p w14:paraId="588CCB23"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2C59DBC0"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F45075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6375D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5029A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FF5B56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3DB56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34E64761" wp14:editId="014D1608">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DBCB3F" w14:textId="0A203FD5"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6768C" w:rsidRPr="0066768C">
                              <w:rPr>
                                <w:rFonts w:asciiTheme="majorHAnsi" w:hAnsiTheme="majorHAnsi"/>
                                <w:color w:val="595959" w:themeColor="text1" w:themeTint="A6"/>
                                <w:sz w:val="18"/>
                                <w:szCs w:val="18"/>
                                <w:lang w:val="pt-BR"/>
                              </w:rPr>
                              <w:t>267</w:t>
                            </w:r>
                            <w:r w:rsidR="007B05C4" w:rsidRPr="0066768C">
                              <w:rPr>
                                <w:rFonts w:asciiTheme="majorHAnsi" w:hAnsiTheme="majorHAnsi"/>
                                <w:color w:val="595959" w:themeColor="text1" w:themeTint="A6"/>
                                <w:sz w:val="18"/>
                                <w:szCs w:val="18"/>
                                <w:lang w:val="pt-BR"/>
                              </w:rPr>
                              <w:t>/</w:t>
                            </w:r>
                            <w:r w:rsidR="0066768C" w:rsidRPr="0066768C">
                              <w:rPr>
                                <w:rFonts w:asciiTheme="majorHAnsi" w:hAnsiTheme="majorHAnsi"/>
                                <w:color w:val="595959" w:themeColor="text1" w:themeTint="A6"/>
                                <w:sz w:val="18"/>
                                <w:szCs w:val="18"/>
                                <w:lang w:val="pt-BR"/>
                              </w:rPr>
                              <w:t>20</w:t>
                            </w:r>
                            <w:r w:rsidRPr="0066768C">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66768C">
                              <w:rPr>
                                <w:rFonts w:asciiTheme="majorHAnsi" w:hAnsiTheme="majorHAnsi"/>
                                <w:color w:val="595959" w:themeColor="text1" w:themeTint="A6"/>
                                <w:sz w:val="18"/>
                                <w:szCs w:val="18"/>
                                <w:lang w:val="es-ES"/>
                              </w:rPr>
                              <w:t>323</w:t>
                            </w:r>
                            <w:r w:rsidR="000433C9">
                              <w:rPr>
                                <w:rFonts w:asciiTheme="majorHAnsi" w:hAnsiTheme="majorHAnsi"/>
                                <w:color w:val="595959" w:themeColor="text1" w:themeTint="A6"/>
                                <w:sz w:val="18"/>
                                <w:szCs w:val="18"/>
                                <w:lang w:val="es-ES"/>
                              </w:rPr>
                              <w:t>-</w:t>
                            </w:r>
                            <w:r w:rsidR="0066768C">
                              <w:rPr>
                                <w:rFonts w:asciiTheme="majorHAnsi" w:hAnsiTheme="majorHAnsi"/>
                                <w:color w:val="595959" w:themeColor="text1" w:themeTint="A6"/>
                                <w:sz w:val="18"/>
                                <w:szCs w:val="18"/>
                                <w:lang w:val="es-ES"/>
                              </w:rPr>
                              <w:t>09</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66768C">
                              <w:rPr>
                                <w:rFonts w:asciiTheme="majorHAnsi" w:hAnsiTheme="majorHAnsi"/>
                                <w:color w:val="595959" w:themeColor="text1" w:themeTint="A6"/>
                                <w:sz w:val="18"/>
                                <w:szCs w:val="18"/>
                                <w:lang w:val="es-ES_tradnl"/>
                              </w:rPr>
                              <w:t>Eleazar Vargas Ardilla y familiares</w:t>
                            </w:r>
                            <w:r w:rsidRPr="00890650">
                              <w:rPr>
                                <w:rFonts w:asciiTheme="majorHAnsi" w:hAnsiTheme="majorHAnsi"/>
                                <w:color w:val="595959" w:themeColor="text1" w:themeTint="A6"/>
                                <w:sz w:val="18"/>
                                <w:szCs w:val="18"/>
                                <w:lang w:val="es-ES_tradnl"/>
                              </w:rPr>
                              <w:t xml:space="preserve">. </w:t>
                            </w:r>
                            <w:r w:rsidR="0066768C">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66768C">
                              <w:rPr>
                                <w:rFonts w:asciiTheme="majorHAnsi" w:hAnsiTheme="majorHAnsi"/>
                                <w:color w:val="595959" w:themeColor="text1" w:themeTint="A6"/>
                                <w:sz w:val="18"/>
                                <w:szCs w:val="18"/>
                                <w:lang w:val="es-ES"/>
                              </w:rPr>
                              <w:t>7 de octubre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4E6476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34DBCB3F" w14:textId="0A203FD5"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6768C" w:rsidRPr="0066768C">
                        <w:rPr>
                          <w:rFonts w:asciiTheme="majorHAnsi" w:hAnsiTheme="majorHAnsi"/>
                          <w:color w:val="595959" w:themeColor="text1" w:themeTint="A6"/>
                          <w:sz w:val="18"/>
                          <w:szCs w:val="18"/>
                          <w:lang w:val="pt-BR"/>
                        </w:rPr>
                        <w:t>267</w:t>
                      </w:r>
                      <w:r w:rsidR="007B05C4" w:rsidRPr="0066768C">
                        <w:rPr>
                          <w:rFonts w:asciiTheme="majorHAnsi" w:hAnsiTheme="majorHAnsi"/>
                          <w:color w:val="595959" w:themeColor="text1" w:themeTint="A6"/>
                          <w:sz w:val="18"/>
                          <w:szCs w:val="18"/>
                          <w:lang w:val="pt-BR"/>
                        </w:rPr>
                        <w:t>/</w:t>
                      </w:r>
                      <w:r w:rsidR="0066768C" w:rsidRPr="0066768C">
                        <w:rPr>
                          <w:rFonts w:asciiTheme="majorHAnsi" w:hAnsiTheme="majorHAnsi"/>
                          <w:color w:val="595959" w:themeColor="text1" w:themeTint="A6"/>
                          <w:sz w:val="18"/>
                          <w:szCs w:val="18"/>
                          <w:lang w:val="pt-BR"/>
                        </w:rPr>
                        <w:t>20</w:t>
                      </w:r>
                      <w:r w:rsidRPr="0066768C">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66768C">
                        <w:rPr>
                          <w:rFonts w:asciiTheme="majorHAnsi" w:hAnsiTheme="majorHAnsi"/>
                          <w:color w:val="595959" w:themeColor="text1" w:themeTint="A6"/>
                          <w:sz w:val="18"/>
                          <w:szCs w:val="18"/>
                          <w:lang w:val="es-ES"/>
                        </w:rPr>
                        <w:t>323</w:t>
                      </w:r>
                      <w:r w:rsidR="000433C9">
                        <w:rPr>
                          <w:rFonts w:asciiTheme="majorHAnsi" w:hAnsiTheme="majorHAnsi"/>
                          <w:color w:val="595959" w:themeColor="text1" w:themeTint="A6"/>
                          <w:sz w:val="18"/>
                          <w:szCs w:val="18"/>
                          <w:lang w:val="es-ES"/>
                        </w:rPr>
                        <w:t>-</w:t>
                      </w:r>
                      <w:r w:rsidR="0066768C">
                        <w:rPr>
                          <w:rFonts w:asciiTheme="majorHAnsi" w:hAnsiTheme="majorHAnsi"/>
                          <w:color w:val="595959" w:themeColor="text1" w:themeTint="A6"/>
                          <w:sz w:val="18"/>
                          <w:szCs w:val="18"/>
                          <w:lang w:val="es-ES"/>
                        </w:rPr>
                        <w:t>09</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66768C">
                        <w:rPr>
                          <w:rFonts w:asciiTheme="majorHAnsi" w:hAnsiTheme="majorHAnsi"/>
                          <w:color w:val="595959" w:themeColor="text1" w:themeTint="A6"/>
                          <w:sz w:val="18"/>
                          <w:szCs w:val="18"/>
                          <w:lang w:val="es-ES_tradnl"/>
                        </w:rPr>
                        <w:t>Eleazar Vargas Ardilla y familiares</w:t>
                      </w:r>
                      <w:r w:rsidRPr="00890650">
                        <w:rPr>
                          <w:rFonts w:asciiTheme="majorHAnsi" w:hAnsiTheme="majorHAnsi"/>
                          <w:color w:val="595959" w:themeColor="text1" w:themeTint="A6"/>
                          <w:sz w:val="18"/>
                          <w:szCs w:val="18"/>
                          <w:lang w:val="es-ES_tradnl"/>
                        </w:rPr>
                        <w:t xml:space="preserve">. </w:t>
                      </w:r>
                      <w:r w:rsidR="0066768C">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66768C">
                        <w:rPr>
                          <w:rFonts w:asciiTheme="majorHAnsi" w:hAnsiTheme="majorHAnsi"/>
                          <w:color w:val="595959" w:themeColor="text1" w:themeTint="A6"/>
                          <w:sz w:val="18"/>
                          <w:szCs w:val="18"/>
                          <w:lang w:val="es-ES"/>
                        </w:rPr>
                        <w:t>7 de octubre de 2020</w:t>
                      </w:r>
                      <w:r w:rsidRPr="007B05C4">
                        <w:rPr>
                          <w:rFonts w:asciiTheme="majorHAnsi" w:hAnsiTheme="majorHAnsi"/>
                          <w:color w:val="595959" w:themeColor="text1" w:themeTint="A6"/>
                          <w:sz w:val="18"/>
                          <w:szCs w:val="18"/>
                          <w:lang w:val="es-ES"/>
                        </w:rPr>
                        <w:t>.</w:t>
                      </w:r>
                    </w:p>
                  </w:txbxContent>
                </v:textbox>
              </v:shape>
            </w:pict>
          </mc:Fallback>
        </mc:AlternateContent>
      </w:r>
    </w:p>
    <w:p w14:paraId="2A64B05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CDF2D6"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0552D074" wp14:editId="5513B7AD">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56884A" w14:textId="77777777" w:rsidR="00D72DC6" w:rsidRPr="00D72DC6" w:rsidRDefault="00DF6054" w:rsidP="00F02AD1">
                            <w:pPr>
                              <w:rPr>
                                <w:color w:val="FFFFFF" w:themeColor="background1"/>
                                <w14:textFill>
                                  <w14:noFill/>
                                </w14:textFill>
                              </w:rPr>
                            </w:pPr>
                            <w:r>
                              <w:rPr>
                                <w:noProof/>
                                <w:color w:val="FFFFFF" w:themeColor="background1"/>
                              </w:rPr>
                              <w:drawing>
                                <wp:inline distT="0" distB="0" distL="0" distR="0" wp14:anchorId="7EAC71B3" wp14:editId="3892D597">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552D074"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7756884A" w14:textId="77777777" w:rsidR="00D72DC6" w:rsidRPr="00D72DC6" w:rsidRDefault="00DF6054" w:rsidP="00F02AD1">
                      <w:pPr>
                        <w:rPr>
                          <w:color w:val="FFFFFF" w:themeColor="background1"/>
                          <w14:textFill>
                            <w14:noFill/>
                          </w14:textFill>
                        </w:rPr>
                      </w:pPr>
                      <w:r>
                        <w:rPr>
                          <w:noProof/>
                          <w:color w:val="FFFFFF" w:themeColor="background1"/>
                        </w:rPr>
                        <w:drawing>
                          <wp:inline distT="0" distB="0" distL="0" distR="0" wp14:anchorId="7EAC71B3" wp14:editId="3892D597">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1">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07A3C66" wp14:editId="1C6BF9C3">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0F5DB6"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07A3C66"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110F5DB6"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3EE9F7E6"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0D80BA5"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2F5DA8" w14:paraId="66583F9E" w14:textId="77777777" w:rsidTr="004A6A54">
        <w:tc>
          <w:tcPr>
            <w:tcW w:w="3600" w:type="dxa"/>
            <w:tcBorders>
              <w:top w:val="single" w:sz="4" w:space="0" w:color="auto"/>
              <w:bottom w:val="single" w:sz="6" w:space="0" w:color="auto"/>
            </w:tcBorders>
            <w:shd w:val="clear" w:color="auto" w:fill="386294"/>
            <w:vAlign w:val="center"/>
          </w:tcPr>
          <w:p w14:paraId="6B4391A7"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1A37B645" w14:textId="77777777" w:rsidR="003239B8" w:rsidRPr="009831B6" w:rsidRDefault="00FF2D40" w:rsidP="0003275F">
            <w:pPr>
              <w:jc w:val="both"/>
              <w:rPr>
                <w:rFonts w:ascii="Cambria" w:hAnsi="Cambria"/>
                <w:bCs/>
                <w:sz w:val="20"/>
                <w:szCs w:val="20"/>
                <w:lang w:val="pt-BR"/>
              </w:rPr>
            </w:pPr>
            <w:r w:rsidRPr="00FF2D40">
              <w:rPr>
                <w:rFonts w:ascii="Cambria" w:hAnsi="Cambria"/>
                <w:bCs/>
                <w:sz w:val="20"/>
                <w:szCs w:val="20"/>
                <w:lang w:val="pt-BR"/>
              </w:rPr>
              <w:t>Olga Edilia Ardila Vargas, Ruby Mileida Var</w:t>
            </w:r>
            <w:r w:rsidRPr="0003275F">
              <w:rPr>
                <w:rFonts w:ascii="Cambria" w:hAnsi="Cambria"/>
                <w:bCs/>
                <w:sz w:val="20"/>
                <w:szCs w:val="20"/>
                <w:lang w:val="pt-BR"/>
              </w:rPr>
              <w:t>gas Ar</w:t>
            </w:r>
            <w:r w:rsidR="0003275F" w:rsidRPr="009831B6">
              <w:rPr>
                <w:rFonts w:ascii="Cambria" w:hAnsi="Cambria"/>
                <w:bCs/>
                <w:sz w:val="20"/>
                <w:szCs w:val="20"/>
                <w:lang w:val="pt-BR"/>
              </w:rPr>
              <w:t>d</w:t>
            </w:r>
            <w:r w:rsidRPr="0003275F">
              <w:rPr>
                <w:rFonts w:ascii="Cambria" w:hAnsi="Cambria"/>
                <w:bCs/>
                <w:sz w:val="20"/>
                <w:szCs w:val="20"/>
                <w:lang w:val="pt-BR"/>
              </w:rPr>
              <w:t>ila, Edinson</w:t>
            </w:r>
            <w:r w:rsidRPr="00FF2D40">
              <w:rPr>
                <w:rFonts w:ascii="Cambria" w:hAnsi="Cambria"/>
                <w:bCs/>
                <w:sz w:val="20"/>
                <w:szCs w:val="20"/>
                <w:lang w:val="pt-BR"/>
              </w:rPr>
              <w:t xml:space="preserve"> Vargas A</w:t>
            </w:r>
            <w:r w:rsidR="0003275F">
              <w:rPr>
                <w:rFonts w:ascii="Cambria" w:hAnsi="Cambria"/>
                <w:bCs/>
                <w:sz w:val="20"/>
                <w:szCs w:val="20"/>
                <w:lang w:val="pt-BR"/>
              </w:rPr>
              <w:t>r</w:t>
            </w:r>
            <w:r w:rsidRPr="00FF2D40">
              <w:rPr>
                <w:rFonts w:ascii="Cambria" w:hAnsi="Cambria"/>
                <w:bCs/>
                <w:sz w:val="20"/>
                <w:szCs w:val="20"/>
                <w:lang w:val="pt-BR"/>
              </w:rPr>
              <w:t>dila</w:t>
            </w:r>
            <w:r>
              <w:rPr>
                <w:rStyle w:val="FootnoteReference"/>
                <w:rFonts w:ascii="Cambria" w:hAnsi="Cambria"/>
                <w:bCs/>
                <w:sz w:val="20"/>
                <w:szCs w:val="20"/>
                <w:lang w:val="pt-BR"/>
              </w:rPr>
              <w:footnoteReference w:id="2"/>
            </w:r>
            <w:r w:rsidRPr="009831B6">
              <w:rPr>
                <w:rFonts w:ascii="Cambria" w:hAnsi="Cambria"/>
                <w:bCs/>
                <w:sz w:val="20"/>
                <w:szCs w:val="20"/>
                <w:lang w:val="pt-BR"/>
              </w:rPr>
              <w:t xml:space="preserve"> </w:t>
            </w:r>
          </w:p>
        </w:tc>
      </w:tr>
      <w:tr w:rsidR="003239B8" w:rsidRPr="002F5DA8" w14:paraId="1BF41CC5" w14:textId="77777777" w:rsidTr="004A6A54">
        <w:tc>
          <w:tcPr>
            <w:tcW w:w="3600" w:type="dxa"/>
            <w:tcBorders>
              <w:top w:val="single" w:sz="6" w:space="0" w:color="auto"/>
              <w:bottom w:val="single" w:sz="6" w:space="0" w:color="auto"/>
            </w:tcBorders>
            <w:shd w:val="clear" w:color="auto" w:fill="386294"/>
            <w:vAlign w:val="center"/>
          </w:tcPr>
          <w:p w14:paraId="628D8655" w14:textId="77777777" w:rsidR="003239B8" w:rsidRPr="000D05CB" w:rsidRDefault="00F05D2E"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6A676755" w14:textId="77777777" w:rsidR="003239B8" w:rsidRPr="000D05CB" w:rsidRDefault="003C0A41" w:rsidP="008D2290">
            <w:pPr>
              <w:jc w:val="both"/>
              <w:rPr>
                <w:rFonts w:ascii="Cambria" w:hAnsi="Cambria"/>
                <w:bCs/>
                <w:sz w:val="20"/>
                <w:szCs w:val="20"/>
                <w:lang w:val="es-ES"/>
              </w:rPr>
            </w:pPr>
            <w:r>
              <w:rPr>
                <w:rFonts w:ascii="Cambria" w:hAnsi="Cambria"/>
                <w:bCs/>
                <w:sz w:val="20"/>
                <w:szCs w:val="20"/>
                <w:lang w:val="es-ES"/>
              </w:rPr>
              <w:t>Eleazar Vargas Ardila y familiares</w:t>
            </w:r>
            <w:r w:rsidR="0073043C">
              <w:rPr>
                <w:rStyle w:val="FootnoteReference"/>
                <w:rFonts w:ascii="Cambria" w:hAnsi="Cambria"/>
                <w:bCs/>
                <w:sz w:val="20"/>
                <w:szCs w:val="20"/>
                <w:lang w:val="es-ES"/>
              </w:rPr>
              <w:footnoteReference w:id="3"/>
            </w:r>
          </w:p>
        </w:tc>
      </w:tr>
      <w:tr w:rsidR="003239B8" w14:paraId="348E1D8B" w14:textId="77777777" w:rsidTr="004A6A54">
        <w:tc>
          <w:tcPr>
            <w:tcW w:w="3600" w:type="dxa"/>
            <w:tcBorders>
              <w:top w:val="single" w:sz="6" w:space="0" w:color="auto"/>
              <w:bottom w:val="single" w:sz="6" w:space="0" w:color="auto"/>
            </w:tcBorders>
            <w:shd w:val="clear" w:color="auto" w:fill="386294"/>
            <w:vAlign w:val="center"/>
          </w:tcPr>
          <w:p w14:paraId="7F0072D3"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4F4210DF" w14:textId="77777777" w:rsidR="003239B8" w:rsidRPr="000D05CB" w:rsidRDefault="0073043C" w:rsidP="0073043C">
            <w:pPr>
              <w:jc w:val="both"/>
              <w:rPr>
                <w:rFonts w:ascii="Cambria" w:hAnsi="Cambria"/>
                <w:bCs/>
                <w:sz w:val="20"/>
                <w:szCs w:val="20"/>
              </w:rPr>
            </w:pPr>
            <w:r>
              <w:rPr>
                <w:rFonts w:ascii="Cambria" w:hAnsi="Cambria"/>
                <w:bCs/>
                <w:sz w:val="20"/>
                <w:szCs w:val="20"/>
              </w:rPr>
              <w:t>Colombia</w:t>
            </w:r>
          </w:p>
        </w:tc>
      </w:tr>
      <w:tr w:rsidR="00223A29" w:rsidRPr="002F5DA8" w14:paraId="43804B61" w14:textId="77777777" w:rsidTr="004A6A54">
        <w:tc>
          <w:tcPr>
            <w:tcW w:w="3600" w:type="dxa"/>
            <w:tcBorders>
              <w:top w:val="single" w:sz="6" w:space="0" w:color="auto"/>
              <w:bottom w:val="single" w:sz="6" w:space="0" w:color="auto"/>
            </w:tcBorders>
            <w:shd w:val="clear" w:color="auto" w:fill="386294"/>
            <w:vAlign w:val="center"/>
          </w:tcPr>
          <w:p w14:paraId="4B1031DD"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4755D95B" w14:textId="77777777" w:rsidR="00223A29" w:rsidRPr="007559DE" w:rsidRDefault="007559DE" w:rsidP="008D2290">
            <w:pPr>
              <w:jc w:val="both"/>
              <w:rPr>
                <w:rFonts w:eastAsiaTheme="minorHAnsi"/>
                <w:lang w:val="es-US"/>
              </w:rPr>
            </w:pPr>
            <w:r>
              <w:rPr>
                <w:rFonts w:ascii="Cambria" w:hAnsi="Cambria"/>
                <w:bCs/>
                <w:sz w:val="20"/>
                <w:szCs w:val="20"/>
                <w:bdr w:val="none" w:sz="0" w:space="0" w:color="auto" w:frame="1"/>
                <w:lang w:val="es-VE"/>
              </w:rPr>
              <w:t>Artículos 4 (derecho a la vida), 5 (derecho a la integridad personal), 8 (garantías judiciales</w:t>
            </w:r>
            <w:r w:rsidRPr="00880B85">
              <w:rPr>
                <w:rFonts w:ascii="Cambria" w:hAnsi="Cambria"/>
                <w:bCs/>
                <w:sz w:val="20"/>
                <w:szCs w:val="20"/>
                <w:bdr w:val="none" w:sz="0" w:space="0" w:color="auto" w:frame="1"/>
                <w:lang w:val="es-VE"/>
              </w:rPr>
              <w:t>), 11 (derecho a la dignidad y reputación), 17 (protección a la familia</w:t>
            </w:r>
            <w:r w:rsidR="003C0A41" w:rsidRPr="00880B85">
              <w:rPr>
                <w:rFonts w:ascii="Cambria" w:hAnsi="Cambria"/>
                <w:bCs/>
                <w:sz w:val="20"/>
                <w:szCs w:val="20"/>
                <w:bdr w:val="none" w:sz="0" w:space="0" w:color="auto" w:frame="1"/>
                <w:lang w:val="es-VE"/>
              </w:rPr>
              <w:t xml:space="preserve">), 21 (derecho a la propiedad), </w:t>
            </w:r>
            <w:r w:rsidRPr="00880B85">
              <w:rPr>
                <w:rFonts w:ascii="Cambria" w:hAnsi="Cambria"/>
                <w:bCs/>
                <w:sz w:val="20"/>
                <w:szCs w:val="20"/>
                <w:bdr w:val="none" w:sz="0" w:space="0" w:color="auto" w:frame="1"/>
                <w:lang w:val="es-VE"/>
              </w:rPr>
              <w:t>24 (igualdad ante la ley) y</w:t>
            </w:r>
            <w:r>
              <w:rPr>
                <w:rFonts w:ascii="Cambria" w:hAnsi="Cambria"/>
                <w:bCs/>
                <w:sz w:val="20"/>
                <w:szCs w:val="20"/>
                <w:bdr w:val="none" w:sz="0" w:space="0" w:color="auto" w:frame="1"/>
                <w:lang w:val="es-VE"/>
              </w:rPr>
              <w:t xml:space="preserve"> 25 (protección judicial) de la Convención Americana sobre Derechos Humanos</w:t>
            </w:r>
            <w:r>
              <w:rPr>
                <w:rStyle w:val="FootnoteReference"/>
                <w:rFonts w:ascii="Cambria" w:hAnsi="Cambria"/>
                <w:bCs/>
                <w:sz w:val="20"/>
                <w:szCs w:val="20"/>
                <w:bdr w:val="none" w:sz="0" w:space="0" w:color="auto" w:frame="1"/>
                <w:lang w:val="es-VE"/>
              </w:rPr>
              <w:footnoteReference w:id="4"/>
            </w:r>
            <w:r>
              <w:rPr>
                <w:rFonts w:ascii="Cambria" w:hAnsi="Cambria"/>
                <w:bCs/>
                <w:sz w:val="20"/>
                <w:szCs w:val="20"/>
                <w:bdr w:val="none" w:sz="0" w:space="0" w:color="auto" w:frame="1"/>
                <w:lang w:val="es-VE"/>
              </w:rPr>
              <w:t xml:space="preserve"> en relación con el artículo 1.1 del mismo instrumento</w:t>
            </w:r>
            <w:r w:rsidRPr="007559DE">
              <w:rPr>
                <w:rFonts w:eastAsiaTheme="minorHAnsi"/>
                <w:lang w:val="es-US"/>
              </w:rPr>
              <w:t xml:space="preserve"> </w:t>
            </w:r>
          </w:p>
        </w:tc>
      </w:tr>
    </w:tbl>
    <w:p w14:paraId="2BD8A17B"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7559DE" w14:paraId="5C21845E" w14:textId="77777777" w:rsidTr="004A6A54">
        <w:tc>
          <w:tcPr>
            <w:tcW w:w="3600" w:type="dxa"/>
            <w:tcBorders>
              <w:top w:val="single" w:sz="6" w:space="0" w:color="auto"/>
              <w:bottom w:val="single" w:sz="6" w:space="0" w:color="auto"/>
            </w:tcBorders>
            <w:shd w:val="clear" w:color="auto" w:fill="386294"/>
            <w:vAlign w:val="center"/>
          </w:tcPr>
          <w:p w14:paraId="30B7ABF9"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114D4374" w14:textId="77777777" w:rsidR="004C2312" w:rsidRPr="003239B8" w:rsidRDefault="007559DE" w:rsidP="002625EA">
            <w:pPr>
              <w:jc w:val="both"/>
              <w:rPr>
                <w:rFonts w:ascii="Cambria" w:hAnsi="Cambria"/>
                <w:bCs/>
                <w:sz w:val="20"/>
                <w:szCs w:val="20"/>
                <w:lang w:val="es-ES"/>
              </w:rPr>
            </w:pPr>
            <w:r w:rsidRPr="00702CDE">
              <w:rPr>
                <w:rFonts w:ascii="Cambria" w:hAnsi="Cambria"/>
                <w:bCs/>
                <w:sz w:val="20"/>
                <w:szCs w:val="20"/>
                <w:lang w:val="es-ES"/>
              </w:rPr>
              <w:t xml:space="preserve">20 </w:t>
            </w:r>
            <w:r>
              <w:rPr>
                <w:rFonts w:ascii="Cambria" w:hAnsi="Cambria"/>
                <w:bCs/>
                <w:sz w:val="20"/>
                <w:szCs w:val="20"/>
                <w:lang w:val="es-ES"/>
              </w:rPr>
              <w:t>de marzo de 2009</w:t>
            </w:r>
          </w:p>
        </w:tc>
      </w:tr>
      <w:tr w:rsidR="00131425" w:rsidRPr="002F5DA8" w14:paraId="43691AF7" w14:textId="77777777" w:rsidTr="004A6A54">
        <w:tc>
          <w:tcPr>
            <w:tcW w:w="3600" w:type="dxa"/>
            <w:tcBorders>
              <w:top w:val="single" w:sz="6" w:space="0" w:color="auto"/>
              <w:bottom w:val="single" w:sz="6" w:space="0" w:color="auto"/>
            </w:tcBorders>
            <w:shd w:val="clear" w:color="auto" w:fill="386294"/>
            <w:vAlign w:val="center"/>
          </w:tcPr>
          <w:p w14:paraId="0CDFF214"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06569A46" w14:textId="77777777" w:rsidR="00131425" w:rsidRPr="003239B8" w:rsidRDefault="00527567" w:rsidP="002625EA">
            <w:pPr>
              <w:jc w:val="both"/>
              <w:rPr>
                <w:rFonts w:ascii="Cambria" w:hAnsi="Cambria"/>
                <w:bCs/>
                <w:sz w:val="20"/>
                <w:szCs w:val="20"/>
                <w:lang w:val="es-ES"/>
              </w:rPr>
            </w:pPr>
            <w:r>
              <w:rPr>
                <w:rFonts w:ascii="Cambria" w:hAnsi="Cambria"/>
                <w:bCs/>
                <w:sz w:val="20"/>
                <w:szCs w:val="20"/>
                <w:lang w:val="es-ES"/>
              </w:rPr>
              <w:t>25 de mayo de 2009, 1 de abril de 2015</w:t>
            </w:r>
          </w:p>
        </w:tc>
      </w:tr>
      <w:tr w:rsidR="004C2312" w:rsidRPr="00183F7F" w14:paraId="121EF4A4" w14:textId="77777777" w:rsidTr="004A6A54">
        <w:tc>
          <w:tcPr>
            <w:tcW w:w="3600" w:type="dxa"/>
            <w:tcBorders>
              <w:top w:val="single" w:sz="6" w:space="0" w:color="auto"/>
              <w:bottom w:val="single" w:sz="6" w:space="0" w:color="auto"/>
            </w:tcBorders>
            <w:shd w:val="clear" w:color="auto" w:fill="386294"/>
            <w:vAlign w:val="center"/>
          </w:tcPr>
          <w:p w14:paraId="323C3DAA"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4C16649F" w14:textId="77777777" w:rsidR="004C2312" w:rsidRPr="003239B8" w:rsidRDefault="00527567" w:rsidP="008D2290">
            <w:pPr>
              <w:jc w:val="both"/>
              <w:rPr>
                <w:rFonts w:ascii="Cambria" w:hAnsi="Cambria"/>
                <w:bCs/>
                <w:sz w:val="20"/>
                <w:szCs w:val="20"/>
                <w:lang w:val="es-ES"/>
              </w:rPr>
            </w:pPr>
            <w:r>
              <w:rPr>
                <w:rFonts w:ascii="Cambria" w:hAnsi="Cambria"/>
                <w:bCs/>
                <w:sz w:val="20"/>
                <w:szCs w:val="20"/>
                <w:lang w:val="es-ES"/>
              </w:rPr>
              <w:t>27</w:t>
            </w:r>
            <w:r w:rsidR="004C5828">
              <w:rPr>
                <w:rFonts w:ascii="Cambria" w:hAnsi="Cambria"/>
                <w:bCs/>
                <w:sz w:val="20"/>
                <w:szCs w:val="20"/>
                <w:lang w:val="es-ES"/>
              </w:rPr>
              <w:t xml:space="preserve"> de mayo de 2015</w:t>
            </w:r>
          </w:p>
        </w:tc>
      </w:tr>
      <w:tr w:rsidR="004C2312" w:rsidRPr="004A6A54" w14:paraId="39646088" w14:textId="77777777" w:rsidTr="004A6A54">
        <w:tc>
          <w:tcPr>
            <w:tcW w:w="3600" w:type="dxa"/>
            <w:tcBorders>
              <w:top w:val="single" w:sz="6" w:space="0" w:color="auto"/>
              <w:bottom w:val="single" w:sz="6" w:space="0" w:color="auto"/>
            </w:tcBorders>
            <w:shd w:val="clear" w:color="auto" w:fill="386294"/>
            <w:vAlign w:val="center"/>
          </w:tcPr>
          <w:p w14:paraId="489BF8FE"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22ABF1B5" w14:textId="77777777" w:rsidR="004C2312" w:rsidRPr="003239B8" w:rsidRDefault="00527567" w:rsidP="008D2290">
            <w:pPr>
              <w:jc w:val="both"/>
              <w:rPr>
                <w:rFonts w:ascii="Cambria" w:hAnsi="Cambria"/>
                <w:bCs/>
                <w:sz w:val="20"/>
                <w:szCs w:val="20"/>
                <w:lang w:val="es-ES"/>
              </w:rPr>
            </w:pPr>
            <w:r>
              <w:rPr>
                <w:rFonts w:ascii="Cambria" w:hAnsi="Cambria"/>
                <w:bCs/>
                <w:sz w:val="20"/>
                <w:szCs w:val="20"/>
                <w:lang w:val="es-ES"/>
              </w:rPr>
              <w:t>22 de agosto de 2017</w:t>
            </w:r>
          </w:p>
        </w:tc>
      </w:tr>
      <w:tr w:rsidR="004C2312" w:rsidRPr="003C0A41" w14:paraId="02237591" w14:textId="77777777" w:rsidTr="004A6A54">
        <w:tc>
          <w:tcPr>
            <w:tcW w:w="3600" w:type="dxa"/>
            <w:tcBorders>
              <w:top w:val="single" w:sz="6" w:space="0" w:color="auto"/>
              <w:bottom w:val="single" w:sz="6" w:space="0" w:color="auto"/>
            </w:tcBorders>
            <w:shd w:val="clear" w:color="auto" w:fill="386294"/>
            <w:vAlign w:val="center"/>
          </w:tcPr>
          <w:p w14:paraId="5AD80896"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2CCE51C3" w14:textId="77777777" w:rsidR="004C2312" w:rsidRPr="003239B8" w:rsidRDefault="00527567" w:rsidP="008D2290">
            <w:pPr>
              <w:jc w:val="both"/>
              <w:rPr>
                <w:rFonts w:ascii="Cambria" w:hAnsi="Cambria"/>
                <w:bCs/>
                <w:sz w:val="20"/>
                <w:szCs w:val="20"/>
                <w:lang w:val="es-ES"/>
              </w:rPr>
            </w:pPr>
            <w:r>
              <w:rPr>
                <w:rFonts w:ascii="Cambria" w:hAnsi="Cambria"/>
                <w:bCs/>
                <w:sz w:val="20"/>
                <w:szCs w:val="20"/>
                <w:lang w:val="es-ES"/>
              </w:rPr>
              <w:t>31 de julio de 2017</w:t>
            </w:r>
          </w:p>
        </w:tc>
      </w:tr>
    </w:tbl>
    <w:p w14:paraId="2561F95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490F733C" w14:textId="77777777" w:rsidTr="004A6A54">
        <w:trPr>
          <w:cantSplit/>
        </w:trPr>
        <w:tc>
          <w:tcPr>
            <w:tcW w:w="3600" w:type="dxa"/>
            <w:tcBorders>
              <w:top w:val="single" w:sz="4" w:space="0" w:color="auto"/>
              <w:bottom w:val="single" w:sz="6" w:space="0" w:color="auto"/>
            </w:tcBorders>
            <w:shd w:val="clear" w:color="auto" w:fill="386294"/>
            <w:vAlign w:val="center"/>
          </w:tcPr>
          <w:p w14:paraId="3AA76B41"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43CA75A1" w14:textId="77777777" w:rsidR="003239B8" w:rsidRPr="00B3745F" w:rsidRDefault="007559DE" w:rsidP="008D2290">
            <w:pPr>
              <w:rPr>
                <w:rFonts w:ascii="Cambria" w:hAnsi="Cambria"/>
                <w:bCs/>
                <w:sz w:val="20"/>
                <w:szCs w:val="20"/>
              </w:rPr>
            </w:pPr>
            <w:r>
              <w:rPr>
                <w:rFonts w:ascii="Cambria" w:hAnsi="Cambria"/>
                <w:bCs/>
                <w:sz w:val="20"/>
                <w:szCs w:val="20"/>
              </w:rPr>
              <w:t>Sí</w:t>
            </w:r>
          </w:p>
        </w:tc>
      </w:tr>
      <w:tr w:rsidR="003239B8" w:rsidRPr="00540F17" w14:paraId="0DDE6E6C" w14:textId="77777777" w:rsidTr="004A6A54">
        <w:trPr>
          <w:cantSplit/>
        </w:trPr>
        <w:tc>
          <w:tcPr>
            <w:tcW w:w="3600" w:type="dxa"/>
            <w:tcBorders>
              <w:top w:val="single" w:sz="6" w:space="0" w:color="auto"/>
              <w:bottom w:val="single" w:sz="6" w:space="0" w:color="auto"/>
            </w:tcBorders>
            <w:shd w:val="clear" w:color="auto" w:fill="386294"/>
            <w:vAlign w:val="center"/>
          </w:tcPr>
          <w:p w14:paraId="70C4A527"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4300B9A3" w14:textId="77777777" w:rsidR="003239B8" w:rsidRPr="00B3745F" w:rsidRDefault="007559DE" w:rsidP="008D2290">
            <w:pPr>
              <w:rPr>
                <w:rFonts w:ascii="Cambria" w:hAnsi="Cambria"/>
                <w:bCs/>
                <w:sz w:val="20"/>
                <w:szCs w:val="20"/>
              </w:rPr>
            </w:pPr>
            <w:r>
              <w:rPr>
                <w:rFonts w:ascii="Cambria" w:hAnsi="Cambria"/>
                <w:bCs/>
                <w:sz w:val="20"/>
                <w:szCs w:val="20"/>
              </w:rPr>
              <w:t>Sí</w:t>
            </w:r>
          </w:p>
        </w:tc>
      </w:tr>
      <w:tr w:rsidR="003239B8" w:rsidRPr="00540F17" w14:paraId="7BB992F7" w14:textId="77777777" w:rsidTr="004A6A54">
        <w:trPr>
          <w:cantSplit/>
        </w:trPr>
        <w:tc>
          <w:tcPr>
            <w:tcW w:w="3600" w:type="dxa"/>
            <w:tcBorders>
              <w:top w:val="single" w:sz="6" w:space="0" w:color="auto"/>
              <w:bottom w:val="single" w:sz="6" w:space="0" w:color="auto"/>
            </w:tcBorders>
            <w:shd w:val="clear" w:color="auto" w:fill="386294"/>
            <w:vAlign w:val="center"/>
          </w:tcPr>
          <w:p w14:paraId="293ECE4C"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97D01C3" w14:textId="77777777" w:rsidR="003239B8" w:rsidRPr="00B3745F" w:rsidRDefault="007559DE" w:rsidP="008D2290">
            <w:pPr>
              <w:rPr>
                <w:rFonts w:ascii="Cambria" w:hAnsi="Cambria"/>
                <w:bCs/>
                <w:sz w:val="20"/>
                <w:szCs w:val="20"/>
              </w:rPr>
            </w:pPr>
            <w:r>
              <w:rPr>
                <w:rFonts w:ascii="Cambria" w:hAnsi="Cambria"/>
                <w:bCs/>
                <w:sz w:val="20"/>
                <w:szCs w:val="20"/>
              </w:rPr>
              <w:t>Sí</w:t>
            </w:r>
          </w:p>
        </w:tc>
      </w:tr>
      <w:tr w:rsidR="003239B8" w:rsidRPr="002F5DA8" w14:paraId="65E0C95F" w14:textId="77777777" w:rsidTr="004A6A54">
        <w:trPr>
          <w:cantSplit/>
        </w:trPr>
        <w:tc>
          <w:tcPr>
            <w:tcW w:w="3600" w:type="dxa"/>
            <w:tcBorders>
              <w:top w:val="single" w:sz="6" w:space="0" w:color="auto"/>
              <w:bottom w:val="single" w:sz="6" w:space="0" w:color="auto"/>
            </w:tcBorders>
            <w:shd w:val="clear" w:color="auto" w:fill="386294"/>
            <w:vAlign w:val="center"/>
          </w:tcPr>
          <w:p w14:paraId="19481AF9"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7E3F8511" w14:textId="77777777" w:rsidR="003239B8" w:rsidRPr="00B3745F" w:rsidRDefault="007559DE" w:rsidP="008D2290">
            <w:pPr>
              <w:jc w:val="both"/>
              <w:rPr>
                <w:rFonts w:ascii="Cambria" w:hAnsi="Cambria"/>
                <w:bCs/>
                <w:sz w:val="20"/>
                <w:szCs w:val="20"/>
                <w:lang w:val="es-ES"/>
              </w:rPr>
            </w:pPr>
            <w:r w:rsidRPr="007559DE">
              <w:rPr>
                <w:rFonts w:ascii="Cambria" w:hAnsi="Cambria"/>
                <w:bCs/>
                <w:sz w:val="20"/>
                <w:szCs w:val="20"/>
                <w:lang w:val="es-VE"/>
              </w:rPr>
              <w:t>Sí, Convención Americana (depósito de instrumento de ratificación realizado el 31 de julio de 1973)</w:t>
            </w:r>
          </w:p>
        </w:tc>
      </w:tr>
    </w:tbl>
    <w:p w14:paraId="7B9A2670"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73043C" w:rsidRPr="003239B8">
        <w:rPr>
          <w:rFonts w:asciiTheme="majorHAnsi" w:hAnsiTheme="majorHAnsi"/>
          <w:b/>
          <w:bCs/>
          <w:sz w:val="20"/>
          <w:szCs w:val="20"/>
          <w:lang w:val="es-ES"/>
        </w:rPr>
        <w:t>INTERNACIONAL</w:t>
      </w:r>
      <w:r w:rsidR="0073043C">
        <w:rPr>
          <w:rFonts w:asciiTheme="majorHAnsi" w:hAnsiTheme="majorHAnsi"/>
          <w:b/>
          <w:bCs/>
          <w:sz w:val="20"/>
          <w:szCs w:val="20"/>
          <w:lang w:val="es-ES"/>
        </w:rPr>
        <w:t xml:space="preserve">, </w:t>
      </w:r>
      <w:r w:rsidR="0073043C"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1C2EFA" w14:paraId="50E0321C" w14:textId="77777777" w:rsidTr="004A6A54">
        <w:trPr>
          <w:cantSplit/>
        </w:trPr>
        <w:tc>
          <w:tcPr>
            <w:tcW w:w="3600" w:type="dxa"/>
            <w:tcBorders>
              <w:top w:val="single" w:sz="4" w:space="0" w:color="auto"/>
              <w:bottom w:val="single" w:sz="6" w:space="0" w:color="auto"/>
            </w:tcBorders>
            <w:shd w:val="clear" w:color="auto" w:fill="386294"/>
            <w:vAlign w:val="center"/>
          </w:tcPr>
          <w:p w14:paraId="63C18A3A"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12E0B082" w14:textId="77777777" w:rsidR="00EE00E9" w:rsidRPr="00DC24E3" w:rsidRDefault="00527466" w:rsidP="008D2290">
            <w:pPr>
              <w:jc w:val="both"/>
              <w:rPr>
                <w:rFonts w:ascii="Cambria" w:hAnsi="Cambria"/>
                <w:bCs/>
                <w:sz w:val="20"/>
                <w:szCs w:val="20"/>
                <w:lang w:val="es-ES"/>
              </w:rPr>
            </w:pPr>
            <w:r>
              <w:rPr>
                <w:rFonts w:ascii="Cambria" w:hAnsi="Cambria"/>
                <w:bCs/>
                <w:sz w:val="20"/>
                <w:szCs w:val="20"/>
                <w:lang w:val="es-ES"/>
              </w:rPr>
              <w:t>No</w:t>
            </w:r>
          </w:p>
        </w:tc>
      </w:tr>
      <w:tr w:rsidR="003239B8" w:rsidRPr="002F5DA8" w14:paraId="171B99A3" w14:textId="77777777" w:rsidTr="004A6A54">
        <w:trPr>
          <w:cantSplit/>
        </w:trPr>
        <w:tc>
          <w:tcPr>
            <w:tcW w:w="3600" w:type="dxa"/>
            <w:tcBorders>
              <w:top w:val="single" w:sz="4" w:space="0" w:color="auto"/>
              <w:bottom w:val="single" w:sz="6" w:space="0" w:color="auto"/>
            </w:tcBorders>
            <w:shd w:val="clear" w:color="auto" w:fill="386294"/>
            <w:vAlign w:val="center"/>
          </w:tcPr>
          <w:p w14:paraId="43EF2F91"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4A00ADE2" w14:textId="4544BF3C" w:rsidR="003239B8" w:rsidRPr="009831B6" w:rsidRDefault="000C7545" w:rsidP="00A337B9">
            <w:pPr>
              <w:jc w:val="both"/>
              <w:rPr>
                <w:rFonts w:asciiTheme="majorHAnsi" w:hAnsiTheme="majorHAnsi"/>
                <w:bCs/>
                <w:sz w:val="20"/>
                <w:szCs w:val="20"/>
                <w:lang w:val="es-US"/>
              </w:rPr>
            </w:pPr>
            <w:r w:rsidRPr="009831B6">
              <w:rPr>
                <w:rFonts w:asciiTheme="majorHAnsi" w:hAnsiTheme="majorHAnsi"/>
                <w:bCs/>
                <w:sz w:val="20"/>
                <w:szCs w:val="20"/>
                <w:lang w:val="es-US"/>
              </w:rPr>
              <w:t xml:space="preserve">Artículos 4 (vida), 5 (integridad personal), 8 (garantías judiciales) </w:t>
            </w:r>
            <w:r w:rsidR="00A337B9" w:rsidRPr="009831B6">
              <w:rPr>
                <w:rFonts w:asciiTheme="majorHAnsi" w:hAnsiTheme="majorHAnsi"/>
                <w:bCs/>
                <w:sz w:val="20"/>
                <w:szCs w:val="20"/>
                <w:lang w:val="es-US"/>
              </w:rPr>
              <w:t xml:space="preserve">17 </w:t>
            </w:r>
            <w:r w:rsidR="0003275F" w:rsidRPr="009831B6">
              <w:rPr>
                <w:rFonts w:asciiTheme="majorHAnsi" w:hAnsiTheme="majorHAnsi"/>
                <w:bCs/>
                <w:sz w:val="20"/>
                <w:szCs w:val="20"/>
                <w:lang w:val="es-US"/>
              </w:rPr>
              <w:t>(</w:t>
            </w:r>
            <w:r w:rsidR="00A60DD1" w:rsidRPr="009831B6">
              <w:rPr>
                <w:rFonts w:asciiTheme="majorHAnsi" w:hAnsiTheme="majorHAnsi"/>
                <w:sz w:val="20"/>
                <w:szCs w:val="20"/>
                <w:lang w:val="es-ES"/>
              </w:rPr>
              <w:t>protección a la familia</w:t>
            </w:r>
            <w:r w:rsidR="0003275F" w:rsidRPr="009831B6">
              <w:rPr>
                <w:rFonts w:asciiTheme="majorHAnsi" w:hAnsiTheme="majorHAnsi"/>
                <w:bCs/>
                <w:sz w:val="20"/>
                <w:szCs w:val="20"/>
                <w:lang w:val="es-US"/>
              </w:rPr>
              <w:t>)</w:t>
            </w:r>
            <w:r w:rsidR="00A337B9" w:rsidRPr="009831B6">
              <w:rPr>
                <w:rFonts w:asciiTheme="majorHAnsi" w:hAnsiTheme="majorHAnsi"/>
                <w:bCs/>
                <w:sz w:val="20"/>
                <w:szCs w:val="20"/>
                <w:lang w:val="es-US"/>
              </w:rPr>
              <w:t xml:space="preserve">, 22 </w:t>
            </w:r>
            <w:r w:rsidR="0003275F" w:rsidRPr="009831B6">
              <w:rPr>
                <w:rFonts w:asciiTheme="majorHAnsi" w:hAnsiTheme="majorHAnsi"/>
                <w:bCs/>
                <w:sz w:val="20"/>
                <w:szCs w:val="20"/>
                <w:lang w:val="es-US"/>
              </w:rPr>
              <w:t>(</w:t>
            </w:r>
            <w:r w:rsidR="00A60DD1" w:rsidRPr="009831B6">
              <w:rPr>
                <w:rFonts w:asciiTheme="majorHAnsi" w:hAnsiTheme="majorHAnsi"/>
                <w:sz w:val="20"/>
                <w:szCs w:val="20"/>
                <w:lang w:val="es-ES"/>
              </w:rPr>
              <w:t>circulación y residencia</w:t>
            </w:r>
            <w:r w:rsidR="0003275F" w:rsidRPr="009831B6">
              <w:rPr>
                <w:rFonts w:asciiTheme="majorHAnsi" w:hAnsiTheme="majorHAnsi"/>
                <w:bCs/>
                <w:sz w:val="20"/>
                <w:szCs w:val="20"/>
                <w:lang w:val="es-US"/>
              </w:rPr>
              <w:t>)</w:t>
            </w:r>
            <w:r w:rsidR="00A337B9" w:rsidRPr="009831B6">
              <w:rPr>
                <w:rFonts w:asciiTheme="majorHAnsi" w:hAnsiTheme="majorHAnsi"/>
                <w:bCs/>
                <w:sz w:val="20"/>
                <w:szCs w:val="20"/>
                <w:lang w:val="es-US"/>
              </w:rPr>
              <w:t xml:space="preserve">, </w:t>
            </w:r>
            <w:r w:rsidRPr="009831B6">
              <w:rPr>
                <w:rFonts w:asciiTheme="majorHAnsi" w:hAnsiTheme="majorHAnsi"/>
                <w:bCs/>
                <w:sz w:val="20"/>
                <w:szCs w:val="20"/>
                <w:lang w:val="es-US"/>
              </w:rPr>
              <w:t>25 (protección judicial)</w:t>
            </w:r>
            <w:r w:rsidR="00A337B9" w:rsidRPr="009831B6">
              <w:rPr>
                <w:rFonts w:asciiTheme="majorHAnsi" w:hAnsiTheme="majorHAnsi"/>
                <w:bCs/>
                <w:sz w:val="20"/>
                <w:szCs w:val="20"/>
                <w:lang w:val="es-US"/>
              </w:rPr>
              <w:t xml:space="preserve"> y 26 </w:t>
            </w:r>
            <w:r w:rsidR="0003275F" w:rsidRPr="009831B6">
              <w:rPr>
                <w:rFonts w:asciiTheme="majorHAnsi" w:hAnsiTheme="majorHAnsi"/>
                <w:bCs/>
                <w:sz w:val="20"/>
                <w:szCs w:val="20"/>
                <w:lang w:val="es-US"/>
              </w:rPr>
              <w:t>(</w:t>
            </w:r>
            <w:r w:rsidR="00A60DD1" w:rsidRPr="009831B6">
              <w:rPr>
                <w:rFonts w:asciiTheme="majorHAnsi" w:hAnsiTheme="majorHAnsi"/>
                <w:sz w:val="20"/>
                <w:szCs w:val="20"/>
                <w:lang w:val="es-ES"/>
              </w:rPr>
              <w:t>derechos económicos, sociales y culturales</w:t>
            </w:r>
            <w:r w:rsidR="0003275F" w:rsidRPr="009831B6">
              <w:rPr>
                <w:rFonts w:asciiTheme="majorHAnsi" w:hAnsiTheme="majorHAnsi"/>
                <w:bCs/>
                <w:sz w:val="20"/>
                <w:szCs w:val="20"/>
                <w:lang w:val="es-US"/>
              </w:rPr>
              <w:t>)</w:t>
            </w:r>
            <w:r w:rsidRPr="009831B6">
              <w:rPr>
                <w:rFonts w:asciiTheme="majorHAnsi" w:hAnsiTheme="majorHAnsi"/>
                <w:bCs/>
                <w:sz w:val="20"/>
                <w:szCs w:val="20"/>
                <w:lang w:val="es-US"/>
              </w:rPr>
              <w:t xml:space="preserve"> de la Convención Americana en conexión con su </w:t>
            </w:r>
            <w:r w:rsidR="00F56443" w:rsidRPr="009831B6">
              <w:rPr>
                <w:rFonts w:asciiTheme="majorHAnsi" w:hAnsiTheme="majorHAnsi"/>
                <w:bCs/>
                <w:sz w:val="20"/>
                <w:szCs w:val="20"/>
                <w:lang w:val="es-US"/>
              </w:rPr>
              <w:t>artículo</w:t>
            </w:r>
            <w:r w:rsidRPr="009831B6">
              <w:rPr>
                <w:rFonts w:asciiTheme="majorHAnsi" w:hAnsiTheme="majorHAnsi"/>
                <w:bCs/>
                <w:sz w:val="20"/>
                <w:szCs w:val="20"/>
                <w:lang w:val="es-US"/>
              </w:rPr>
              <w:t xml:space="preserve"> 1.</w:t>
            </w:r>
          </w:p>
        </w:tc>
      </w:tr>
      <w:tr w:rsidR="003239B8" w:rsidRPr="002F5DA8" w14:paraId="142AAFD5" w14:textId="77777777" w:rsidTr="004A6A54">
        <w:trPr>
          <w:cantSplit/>
        </w:trPr>
        <w:tc>
          <w:tcPr>
            <w:tcW w:w="3600" w:type="dxa"/>
            <w:tcBorders>
              <w:top w:val="single" w:sz="6" w:space="0" w:color="auto"/>
              <w:bottom w:val="single" w:sz="6" w:space="0" w:color="auto"/>
            </w:tcBorders>
            <w:shd w:val="clear" w:color="auto" w:fill="386294"/>
            <w:vAlign w:val="center"/>
          </w:tcPr>
          <w:p w14:paraId="18E1B039"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2532426A" w14:textId="77777777" w:rsidR="003239B8" w:rsidRPr="00DC24E3" w:rsidRDefault="00527466" w:rsidP="008D2290">
            <w:pPr>
              <w:rPr>
                <w:rFonts w:ascii="Cambria" w:hAnsi="Cambria"/>
                <w:bCs/>
                <w:sz w:val="20"/>
                <w:szCs w:val="20"/>
                <w:lang w:val="es-ES"/>
              </w:rPr>
            </w:pPr>
            <w:r w:rsidRPr="00527466">
              <w:rPr>
                <w:rFonts w:ascii="Cambria" w:hAnsi="Cambria"/>
                <w:bCs/>
                <w:sz w:val="20"/>
                <w:szCs w:val="20"/>
                <w:lang w:val="es-VE"/>
              </w:rPr>
              <w:t>Sí, en los términos de la Sección VI</w:t>
            </w:r>
          </w:p>
        </w:tc>
      </w:tr>
      <w:tr w:rsidR="003239B8" w:rsidRPr="002F5DA8" w14:paraId="71E411B2" w14:textId="77777777" w:rsidTr="004A6A54">
        <w:trPr>
          <w:cantSplit/>
        </w:trPr>
        <w:tc>
          <w:tcPr>
            <w:tcW w:w="3600" w:type="dxa"/>
            <w:tcBorders>
              <w:top w:val="single" w:sz="6" w:space="0" w:color="auto"/>
              <w:bottom w:val="single" w:sz="6" w:space="0" w:color="auto"/>
            </w:tcBorders>
            <w:shd w:val="clear" w:color="auto" w:fill="386294"/>
            <w:vAlign w:val="center"/>
          </w:tcPr>
          <w:p w14:paraId="44A83141"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03767145" w14:textId="77777777" w:rsidR="003239B8" w:rsidRPr="00527466" w:rsidRDefault="00527466" w:rsidP="008D2290">
            <w:pPr>
              <w:rPr>
                <w:rFonts w:ascii="Cambria" w:hAnsi="Cambria"/>
                <w:bCs/>
                <w:sz w:val="20"/>
                <w:szCs w:val="20"/>
                <w:lang w:val="es-US"/>
              </w:rPr>
            </w:pPr>
            <w:r w:rsidRPr="00527466">
              <w:rPr>
                <w:rFonts w:ascii="Cambria" w:hAnsi="Cambria"/>
                <w:bCs/>
                <w:sz w:val="20"/>
                <w:szCs w:val="20"/>
                <w:lang w:val="es-VE"/>
              </w:rPr>
              <w:t>Sí, en los términos de la Sección VI</w:t>
            </w:r>
          </w:p>
        </w:tc>
      </w:tr>
    </w:tbl>
    <w:p w14:paraId="56790EB6" w14:textId="77777777" w:rsidR="0066768C" w:rsidRDefault="0066768C" w:rsidP="003239B8">
      <w:pPr>
        <w:spacing w:before="240" w:after="240"/>
        <w:ind w:firstLine="720"/>
        <w:jc w:val="both"/>
        <w:rPr>
          <w:rFonts w:asciiTheme="majorHAnsi" w:hAnsiTheme="majorHAnsi"/>
          <w:b/>
          <w:sz w:val="20"/>
          <w:szCs w:val="20"/>
          <w:lang w:val="es-UY"/>
        </w:rPr>
      </w:pPr>
    </w:p>
    <w:p w14:paraId="5587CB41" w14:textId="36F4554C"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558D648A" w14:textId="77777777" w:rsidR="008C5E2D" w:rsidRPr="002706AC" w:rsidRDefault="002706AC" w:rsidP="002706A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Pr>
          <w:sz w:val="20"/>
          <w:szCs w:val="20"/>
          <w:lang w:val="es-UY"/>
        </w:rPr>
        <w:t>La parte peticionaria alega la responsabilidad internacional del Estado de Colombia por la muerte del señor Eleazar Var</w:t>
      </w:r>
      <w:r w:rsidR="004C5828">
        <w:rPr>
          <w:sz w:val="20"/>
          <w:szCs w:val="20"/>
          <w:lang w:val="es-UY"/>
        </w:rPr>
        <w:t>gas Ardila (en adelante, “</w:t>
      </w:r>
      <w:r>
        <w:rPr>
          <w:sz w:val="20"/>
          <w:szCs w:val="20"/>
          <w:lang w:val="es-UY"/>
        </w:rPr>
        <w:t>la presunta víctima</w:t>
      </w:r>
      <w:r w:rsidR="004C5828">
        <w:rPr>
          <w:sz w:val="20"/>
          <w:szCs w:val="20"/>
          <w:lang w:val="es-UY"/>
        </w:rPr>
        <w:t>”</w:t>
      </w:r>
      <w:r>
        <w:rPr>
          <w:sz w:val="20"/>
          <w:szCs w:val="20"/>
          <w:lang w:val="es-UY"/>
        </w:rPr>
        <w:t xml:space="preserve">) </w:t>
      </w:r>
      <w:r w:rsidR="0003275F">
        <w:rPr>
          <w:sz w:val="20"/>
          <w:szCs w:val="20"/>
          <w:lang w:val="es-UY"/>
        </w:rPr>
        <w:t>a</w:t>
      </w:r>
      <w:r>
        <w:rPr>
          <w:sz w:val="20"/>
          <w:szCs w:val="20"/>
          <w:lang w:val="es-UY"/>
        </w:rPr>
        <w:t xml:space="preserve"> manos de grupos paramilitares.</w:t>
      </w:r>
      <w:r w:rsidR="005142CB">
        <w:rPr>
          <w:sz w:val="20"/>
          <w:szCs w:val="20"/>
          <w:lang w:val="es-UY"/>
        </w:rPr>
        <w:t xml:space="preserve"> </w:t>
      </w:r>
      <w:r w:rsidR="001253B4">
        <w:rPr>
          <w:sz w:val="20"/>
          <w:szCs w:val="20"/>
          <w:lang w:val="es-UY"/>
        </w:rPr>
        <w:t xml:space="preserve">Asimismo, </w:t>
      </w:r>
      <w:r w:rsidR="00183F7F">
        <w:rPr>
          <w:sz w:val="20"/>
          <w:szCs w:val="20"/>
          <w:lang w:val="es-ES"/>
        </w:rPr>
        <w:t>s</w:t>
      </w:r>
      <w:r w:rsidRPr="002706AC">
        <w:rPr>
          <w:sz w:val="20"/>
          <w:szCs w:val="20"/>
          <w:lang w:val="es-ES"/>
        </w:rPr>
        <w:t xml:space="preserve">ostiene que el Estado ha vulnerado los derechos de la presunta víctima y sus familiares al acceso a la justicia y a una reparación integral por el daño sufrido </w:t>
      </w:r>
      <w:r w:rsidR="005142CB">
        <w:rPr>
          <w:sz w:val="20"/>
          <w:szCs w:val="20"/>
          <w:lang w:val="es-ES"/>
        </w:rPr>
        <w:t xml:space="preserve">como </w:t>
      </w:r>
      <w:r w:rsidRPr="002706AC">
        <w:rPr>
          <w:sz w:val="20"/>
          <w:szCs w:val="20"/>
          <w:lang w:val="es-ES"/>
        </w:rPr>
        <w:t xml:space="preserve">consecuencia de la falta de </w:t>
      </w:r>
      <w:r w:rsidR="00183F7F" w:rsidRPr="002706AC">
        <w:rPr>
          <w:sz w:val="20"/>
          <w:szCs w:val="20"/>
          <w:lang w:val="es-ES"/>
        </w:rPr>
        <w:t>esclarecimiento de los hechos</w:t>
      </w:r>
      <w:r w:rsidR="00183F7F">
        <w:rPr>
          <w:sz w:val="20"/>
          <w:szCs w:val="20"/>
          <w:lang w:val="es-ES"/>
        </w:rPr>
        <w:t>,</w:t>
      </w:r>
      <w:r w:rsidR="00183F7F" w:rsidRPr="002706AC">
        <w:rPr>
          <w:sz w:val="20"/>
          <w:szCs w:val="20"/>
          <w:lang w:val="es-ES"/>
        </w:rPr>
        <w:t xml:space="preserve"> </w:t>
      </w:r>
      <w:r w:rsidRPr="002706AC">
        <w:rPr>
          <w:sz w:val="20"/>
          <w:szCs w:val="20"/>
          <w:lang w:val="es-ES"/>
        </w:rPr>
        <w:t xml:space="preserve">investigación y </w:t>
      </w:r>
      <w:r w:rsidR="00183F7F">
        <w:rPr>
          <w:sz w:val="20"/>
          <w:szCs w:val="20"/>
          <w:lang w:val="es-ES"/>
        </w:rPr>
        <w:t>sanción</w:t>
      </w:r>
      <w:r w:rsidRPr="002706AC">
        <w:rPr>
          <w:sz w:val="20"/>
          <w:szCs w:val="20"/>
          <w:lang w:val="es-ES"/>
        </w:rPr>
        <w:t xml:space="preserve"> a los responsables</w:t>
      </w:r>
      <w:r w:rsidR="003F5154">
        <w:rPr>
          <w:sz w:val="20"/>
          <w:szCs w:val="20"/>
          <w:lang w:val="es-AR"/>
        </w:rPr>
        <w:t>.</w:t>
      </w:r>
      <w:r w:rsidRPr="002706AC">
        <w:rPr>
          <w:sz w:val="20"/>
          <w:lang w:val="es-ES"/>
        </w:rPr>
        <w:t xml:space="preserve"> </w:t>
      </w:r>
      <w:r w:rsidRPr="002706AC">
        <w:rPr>
          <w:sz w:val="20"/>
          <w:szCs w:val="20"/>
          <w:lang w:val="es-ES"/>
        </w:rPr>
        <w:t xml:space="preserve">Manifiesta que, </w:t>
      </w:r>
      <w:r>
        <w:rPr>
          <w:sz w:val="20"/>
          <w:szCs w:val="20"/>
          <w:lang w:val="es-ES"/>
        </w:rPr>
        <w:t>como resultado de los hechos</w:t>
      </w:r>
      <w:r w:rsidR="00183F7F">
        <w:rPr>
          <w:sz w:val="20"/>
          <w:szCs w:val="20"/>
          <w:lang w:val="es-ES"/>
        </w:rPr>
        <w:t xml:space="preserve"> </w:t>
      </w:r>
      <w:r w:rsidR="003C0A41">
        <w:rPr>
          <w:sz w:val="20"/>
          <w:szCs w:val="20"/>
          <w:lang w:val="es-ES"/>
        </w:rPr>
        <w:t>y debido a amenazas posteriores recibidas</w:t>
      </w:r>
      <w:r w:rsidR="00183F7F">
        <w:rPr>
          <w:sz w:val="20"/>
          <w:szCs w:val="20"/>
          <w:lang w:val="es-ES"/>
        </w:rPr>
        <w:t>,</w:t>
      </w:r>
      <w:r>
        <w:rPr>
          <w:sz w:val="20"/>
          <w:szCs w:val="20"/>
          <w:lang w:val="es-ES"/>
        </w:rPr>
        <w:t xml:space="preserve"> </w:t>
      </w:r>
      <w:r w:rsidRPr="002706AC">
        <w:rPr>
          <w:sz w:val="20"/>
          <w:szCs w:val="20"/>
          <w:lang w:val="es-ES"/>
        </w:rPr>
        <w:t>los fam</w:t>
      </w:r>
      <w:r>
        <w:rPr>
          <w:sz w:val="20"/>
          <w:szCs w:val="20"/>
          <w:lang w:val="es-ES"/>
        </w:rPr>
        <w:t>iliares de la presunta víctima debieron</w:t>
      </w:r>
      <w:r w:rsidR="00183F7F">
        <w:rPr>
          <w:sz w:val="20"/>
          <w:szCs w:val="20"/>
          <w:lang w:val="es-ES"/>
        </w:rPr>
        <w:t xml:space="preserve"> desplazarse internamente </w:t>
      </w:r>
      <w:r w:rsidR="0003275F">
        <w:rPr>
          <w:sz w:val="20"/>
          <w:szCs w:val="20"/>
          <w:lang w:val="es-ES"/>
        </w:rPr>
        <w:t xml:space="preserve">para </w:t>
      </w:r>
      <w:r w:rsidR="00183F7F">
        <w:rPr>
          <w:sz w:val="20"/>
          <w:szCs w:val="20"/>
          <w:lang w:val="es-ES"/>
        </w:rPr>
        <w:t>busca</w:t>
      </w:r>
      <w:r w:rsidR="0003275F">
        <w:rPr>
          <w:sz w:val="20"/>
          <w:szCs w:val="20"/>
          <w:lang w:val="es-ES"/>
        </w:rPr>
        <w:t>r</w:t>
      </w:r>
      <w:r w:rsidR="00183F7F">
        <w:rPr>
          <w:sz w:val="20"/>
          <w:szCs w:val="20"/>
          <w:lang w:val="es-ES"/>
        </w:rPr>
        <w:t xml:space="preserve"> resguardo y seguridad</w:t>
      </w:r>
      <w:r w:rsidR="001253B4">
        <w:rPr>
          <w:sz w:val="20"/>
          <w:szCs w:val="20"/>
          <w:lang w:val="es-ES"/>
        </w:rPr>
        <w:t>,</w:t>
      </w:r>
      <w:r w:rsidR="00A32048">
        <w:rPr>
          <w:sz w:val="20"/>
          <w:szCs w:val="20"/>
          <w:lang w:val="es-ES"/>
        </w:rPr>
        <w:t xml:space="preserve"> lo que causó perjuicios económicos, morales y </w:t>
      </w:r>
      <w:r w:rsidRPr="002706AC">
        <w:rPr>
          <w:sz w:val="20"/>
          <w:szCs w:val="20"/>
          <w:lang w:val="es-ES"/>
        </w:rPr>
        <w:t>la desintegración familiar.</w:t>
      </w:r>
    </w:p>
    <w:p w14:paraId="2C56D980" w14:textId="77777777" w:rsidR="003B14C1" w:rsidRDefault="000B5799" w:rsidP="000B579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Pr>
          <w:sz w:val="20"/>
          <w:szCs w:val="20"/>
          <w:lang w:val="es-AR"/>
        </w:rPr>
        <w:t xml:space="preserve">Informa </w:t>
      </w:r>
      <w:r w:rsidR="0003275F">
        <w:rPr>
          <w:sz w:val="20"/>
          <w:szCs w:val="20"/>
          <w:lang w:val="es-AR"/>
        </w:rPr>
        <w:t xml:space="preserve">la parte peticionaria </w:t>
      </w:r>
      <w:r>
        <w:rPr>
          <w:sz w:val="20"/>
          <w:szCs w:val="20"/>
          <w:lang w:val="es-AR"/>
        </w:rPr>
        <w:t xml:space="preserve">que el 26 de febrero de 1994 </w:t>
      </w:r>
      <w:r w:rsidR="00E90074">
        <w:rPr>
          <w:sz w:val="20"/>
          <w:szCs w:val="20"/>
          <w:lang w:val="es-AR"/>
        </w:rPr>
        <w:t xml:space="preserve">la presunta víctima </w:t>
      </w:r>
      <w:r>
        <w:rPr>
          <w:sz w:val="20"/>
          <w:szCs w:val="20"/>
          <w:lang w:val="es-AR"/>
        </w:rPr>
        <w:t xml:space="preserve">fue ultimada con ocho disparos </w:t>
      </w:r>
      <w:r w:rsidR="00E90074">
        <w:rPr>
          <w:sz w:val="20"/>
          <w:szCs w:val="20"/>
          <w:lang w:val="es-AR"/>
        </w:rPr>
        <w:t xml:space="preserve">de pistola </w:t>
      </w:r>
      <w:r>
        <w:rPr>
          <w:sz w:val="20"/>
          <w:szCs w:val="20"/>
          <w:lang w:val="es-AR"/>
        </w:rPr>
        <w:t xml:space="preserve">frente a su esposa </w:t>
      </w:r>
      <w:r w:rsidRPr="000B5799">
        <w:rPr>
          <w:sz w:val="20"/>
          <w:szCs w:val="20"/>
          <w:lang w:val="es-US"/>
        </w:rPr>
        <w:t xml:space="preserve">Olga Edilia Ardila Vargas, </w:t>
      </w:r>
      <w:r w:rsidR="00A32048">
        <w:rPr>
          <w:sz w:val="20"/>
          <w:szCs w:val="20"/>
          <w:lang w:val="es-US"/>
        </w:rPr>
        <w:t>sus niñ</w:t>
      </w:r>
      <w:r w:rsidR="0003275F">
        <w:rPr>
          <w:sz w:val="20"/>
          <w:szCs w:val="20"/>
          <w:lang w:val="es-US"/>
        </w:rPr>
        <w:t>o</w:t>
      </w:r>
      <w:r w:rsidR="00A32048">
        <w:rPr>
          <w:sz w:val="20"/>
          <w:szCs w:val="20"/>
          <w:lang w:val="es-US"/>
        </w:rPr>
        <w:t xml:space="preserve">s Ruby Mileida Vargas </w:t>
      </w:r>
      <w:r w:rsidR="00A32048" w:rsidRPr="0003275F">
        <w:rPr>
          <w:sz w:val="20"/>
          <w:szCs w:val="20"/>
          <w:lang w:val="es-US"/>
        </w:rPr>
        <w:t>Ar</w:t>
      </w:r>
      <w:r w:rsidR="0003275F">
        <w:rPr>
          <w:sz w:val="20"/>
          <w:szCs w:val="20"/>
          <w:lang w:val="es-US"/>
        </w:rPr>
        <w:t>d</w:t>
      </w:r>
      <w:r w:rsidR="00A32048" w:rsidRPr="0003275F">
        <w:rPr>
          <w:sz w:val="20"/>
          <w:szCs w:val="20"/>
          <w:lang w:val="es-US"/>
        </w:rPr>
        <w:t>ila y</w:t>
      </w:r>
      <w:r w:rsidRPr="0003275F">
        <w:rPr>
          <w:sz w:val="20"/>
          <w:szCs w:val="20"/>
          <w:lang w:val="es-US"/>
        </w:rPr>
        <w:t xml:space="preserve"> Edinson Vargas A</w:t>
      </w:r>
      <w:r w:rsidR="0003275F">
        <w:rPr>
          <w:sz w:val="20"/>
          <w:szCs w:val="20"/>
          <w:lang w:val="es-US"/>
        </w:rPr>
        <w:t>r</w:t>
      </w:r>
      <w:r w:rsidRPr="0003275F">
        <w:rPr>
          <w:sz w:val="20"/>
          <w:szCs w:val="20"/>
          <w:lang w:val="es-US"/>
        </w:rPr>
        <w:t>dila</w:t>
      </w:r>
      <w:r w:rsidR="00E90074" w:rsidRPr="0003275F">
        <w:rPr>
          <w:sz w:val="20"/>
          <w:szCs w:val="20"/>
          <w:lang w:val="es-AR"/>
        </w:rPr>
        <w:t xml:space="preserve"> en el Restaurante Orillas del Magdalena</w:t>
      </w:r>
      <w:r w:rsidR="00191ADB" w:rsidRPr="0003275F">
        <w:rPr>
          <w:sz w:val="20"/>
          <w:szCs w:val="20"/>
          <w:lang w:val="es-AR"/>
        </w:rPr>
        <w:t xml:space="preserve"> en el Municipio de Gamarra, Departamento de</w:t>
      </w:r>
      <w:r w:rsidR="0003275F" w:rsidRPr="0003275F">
        <w:rPr>
          <w:sz w:val="20"/>
          <w:szCs w:val="20"/>
          <w:lang w:val="es-AR"/>
        </w:rPr>
        <w:t>l</w:t>
      </w:r>
      <w:r w:rsidR="00191ADB" w:rsidRPr="0003275F">
        <w:rPr>
          <w:sz w:val="20"/>
          <w:szCs w:val="20"/>
          <w:lang w:val="es-AR"/>
        </w:rPr>
        <w:t xml:space="preserve"> C</w:t>
      </w:r>
      <w:r w:rsidR="0003275F" w:rsidRPr="0003275F">
        <w:rPr>
          <w:sz w:val="20"/>
          <w:szCs w:val="20"/>
          <w:lang w:val="es-AR"/>
        </w:rPr>
        <w:t>e</w:t>
      </w:r>
      <w:r w:rsidR="00191ADB" w:rsidRPr="0003275F">
        <w:rPr>
          <w:sz w:val="20"/>
          <w:szCs w:val="20"/>
          <w:lang w:val="es-AR"/>
        </w:rPr>
        <w:t>sar</w:t>
      </w:r>
      <w:r w:rsidRPr="0003275F">
        <w:rPr>
          <w:sz w:val="20"/>
          <w:szCs w:val="20"/>
          <w:lang w:val="es-US"/>
        </w:rPr>
        <w:t>.</w:t>
      </w:r>
      <w:r w:rsidRPr="0003275F">
        <w:rPr>
          <w:sz w:val="20"/>
          <w:szCs w:val="20"/>
          <w:lang w:val="es-AR"/>
        </w:rPr>
        <w:t xml:space="preserve"> Aduce que el homicidio de la presunta </w:t>
      </w:r>
      <w:r w:rsidR="00E90074" w:rsidRPr="0003275F">
        <w:rPr>
          <w:sz w:val="20"/>
          <w:szCs w:val="20"/>
          <w:lang w:val="es-AR"/>
        </w:rPr>
        <w:t>víctima</w:t>
      </w:r>
      <w:r w:rsidRPr="0003275F">
        <w:rPr>
          <w:sz w:val="20"/>
          <w:szCs w:val="20"/>
          <w:lang w:val="es-AR"/>
        </w:rPr>
        <w:t xml:space="preserve"> fue </w:t>
      </w:r>
      <w:r w:rsidR="0003275F">
        <w:rPr>
          <w:sz w:val="20"/>
          <w:szCs w:val="20"/>
          <w:lang w:val="es-AR"/>
        </w:rPr>
        <w:t>perpetrado</w:t>
      </w:r>
      <w:r w:rsidRPr="0003275F">
        <w:rPr>
          <w:sz w:val="20"/>
          <w:szCs w:val="20"/>
          <w:lang w:val="es-AR"/>
        </w:rPr>
        <w:t xml:space="preserve"> por </w:t>
      </w:r>
      <w:r w:rsidR="00E90074" w:rsidRPr="0003275F">
        <w:rPr>
          <w:sz w:val="20"/>
          <w:szCs w:val="20"/>
          <w:lang w:val="es-AR"/>
        </w:rPr>
        <w:t>dos personas pertenecientes</w:t>
      </w:r>
      <w:r w:rsidR="00E90074">
        <w:rPr>
          <w:sz w:val="20"/>
          <w:szCs w:val="20"/>
          <w:lang w:val="es-AR"/>
        </w:rPr>
        <w:t xml:space="preserve"> a grupos paramilitares </w:t>
      </w:r>
      <w:r w:rsidR="00F537B3">
        <w:rPr>
          <w:sz w:val="20"/>
          <w:szCs w:val="20"/>
          <w:lang w:val="es-AR"/>
        </w:rPr>
        <w:t>que operaban en los municipios de Aguachica, San Martin y Gama</w:t>
      </w:r>
      <w:r w:rsidR="00DC228E">
        <w:rPr>
          <w:sz w:val="20"/>
          <w:szCs w:val="20"/>
          <w:lang w:val="es-AR"/>
        </w:rPr>
        <w:t>rra</w:t>
      </w:r>
      <w:r w:rsidR="0003275F">
        <w:rPr>
          <w:sz w:val="20"/>
          <w:szCs w:val="20"/>
          <w:lang w:val="es-AR"/>
        </w:rPr>
        <w:t>,</w:t>
      </w:r>
      <w:r w:rsidR="00DC228E">
        <w:rPr>
          <w:sz w:val="20"/>
          <w:szCs w:val="20"/>
          <w:lang w:val="es-AR"/>
        </w:rPr>
        <w:t xml:space="preserve"> todos del Departamento de</w:t>
      </w:r>
      <w:r w:rsidR="0003275F">
        <w:rPr>
          <w:sz w:val="20"/>
          <w:szCs w:val="20"/>
          <w:lang w:val="es-AR"/>
        </w:rPr>
        <w:t>l</w:t>
      </w:r>
      <w:r w:rsidR="00DC228E">
        <w:rPr>
          <w:sz w:val="20"/>
          <w:szCs w:val="20"/>
          <w:lang w:val="es-AR"/>
        </w:rPr>
        <w:t xml:space="preserve"> C</w:t>
      </w:r>
      <w:r w:rsidR="0003275F">
        <w:rPr>
          <w:sz w:val="20"/>
          <w:szCs w:val="20"/>
          <w:lang w:val="es-AR"/>
        </w:rPr>
        <w:t>e</w:t>
      </w:r>
      <w:r w:rsidR="00F537B3">
        <w:rPr>
          <w:sz w:val="20"/>
          <w:szCs w:val="20"/>
          <w:lang w:val="es-AR"/>
        </w:rPr>
        <w:t xml:space="preserve">sar </w:t>
      </w:r>
      <w:r w:rsidR="00E90074">
        <w:rPr>
          <w:sz w:val="20"/>
          <w:szCs w:val="20"/>
          <w:lang w:val="es-AR"/>
        </w:rPr>
        <w:t xml:space="preserve">con la aquiescencia de la Unidad Antiextorsión y Secuestro del </w:t>
      </w:r>
      <w:r w:rsidR="00835C0B">
        <w:rPr>
          <w:sz w:val="20"/>
          <w:szCs w:val="20"/>
          <w:lang w:val="es-AR"/>
        </w:rPr>
        <w:t>Ejército</w:t>
      </w:r>
      <w:r w:rsidR="00E90074">
        <w:rPr>
          <w:sz w:val="20"/>
          <w:szCs w:val="20"/>
          <w:lang w:val="es-AR"/>
        </w:rPr>
        <w:t xml:space="preserve"> Nacional Colombiano (UNASE) y </w:t>
      </w:r>
      <w:r w:rsidR="00F537B3">
        <w:rPr>
          <w:sz w:val="20"/>
          <w:szCs w:val="20"/>
          <w:lang w:val="es-AR"/>
        </w:rPr>
        <w:t>en coordinación con miembros de la fuerza pública</w:t>
      </w:r>
      <w:r w:rsidR="00A32048">
        <w:rPr>
          <w:sz w:val="20"/>
          <w:szCs w:val="20"/>
          <w:lang w:val="es-AR"/>
        </w:rPr>
        <w:t xml:space="preserve"> de la estación de policía del M</w:t>
      </w:r>
      <w:r w:rsidR="00F537B3">
        <w:rPr>
          <w:sz w:val="20"/>
          <w:szCs w:val="20"/>
          <w:lang w:val="es-AR"/>
        </w:rPr>
        <w:t xml:space="preserve">unicipio de Gamarra. Señala </w:t>
      </w:r>
      <w:r w:rsidR="009F3EEC">
        <w:rPr>
          <w:sz w:val="20"/>
          <w:szCs w:val="20"/>
          <w:lang w:val="es-AR"/>
        </w:rPr>
        <w:t>como</w:t>
      </w:r>
      <w:r w:rsidR="00F537B3">
        <w:rPr>
          <w:sz w:val="20"/>
          <w:szCs w:val="20"/>
          <w:lang w:val="es-AR"/>
        </w:rPr>
        <w:t xml:space="preserve"> evidencia </w:t>
      </w:r>
      <w:r w:rsidR="009F3EEC">
        <w:rPr>
          <w:sz w:val="20"/>
          <w:szCs w:val="20"/>
          <w:lang w:val="es-AR"/>
        </w:rPr>
        <w:t xml:space="preserve">de lo anterior el hecho de </w:t>
      </w:r>
      <w:r w:rsidR="00F537B3">
        <w:rPr>
          <w:sz w:val="20"/>
          <w:szCs w:val="20"/>
          <w:lang w:val="es-AR"/>
        </w:rPr>
        <w:t>que la fuerza pública no se present</w:t>
      </w:r>
      <w:r w:rsidR="00641AD5">
        <w:rPr>
          <w:sz w:val="20"/>
          <w:szCs w:val="20"/>
          <w:lang w:val="es-AR"/>
        </w:rPr>
        <w:t>ó</w:t>
      </w:r>
      <w:r w:rsidR="00F537B3">
        <w:rPr>
          <w:sz w:val="20"/>
          <w:szCs w:val="20"/>
          <w:lang w:val="es-AR"/>
        </w:rPr>
        <w:t xml:space="preserve"> de inmediato al lugar de los hechos y </w:t>
      </w:r>
      <w:r w:rsidR="009F3EEC">
        <w:rPr>
          <w:sz w:val="20"/>
          <w:szCs w:val="20"/>
          <w:lang w:val="es-AR"/>
        </w:rPr>
        <w:t xml:space="preserve">que </w:t>
      </w:r>
      <w:r w:rsidR="00F537B3">
        <w:rPr>
          <w:sz w:val="20"/>
          <w:szCs w:val="20"/>
          <w:lang w:val="es-AR"/>
        </w:rPr>
        <w:t>tampoco respond</w:t>
      </w:r>
      <w:r w:rsidR="00641AD5">
        <w:rPr>
          <w:sz w:val="20"/>
          <w:szCs w:val="20"/>
          <w:lang w:val="es-AR"/>
        </w:rPr>
        <w:t>ió</w:t>
      </w:r>
      <w:r w:rsidR="00F537B3">
        <w:rPr>
          <w:sz w:val="20"/>
          <w:szCs w:val="20"/>
          <w:lang w:val="es-AR"/>
        </w:rPr>
        <w:t xml:space="preserve"> los teléfonos </w:t>
      </w:r>
      <w:r w:rsidR="00A32048">
        <w:rPr>
          <w:sz w:val="20"/>
          <w:szCs w:val="20"/>
          <w:lang w:val="es-AR"/>
        </w:rPr>
        <w:t>en</w:t>
      </w:r>
      <w:r w:rsidR="00F537B3">
        <w:rPr>
          <w:sz w:val="20"/>
          <w:szCs w:val="20"/>
          <w:lang w:val="es-AR"/>
        </w:rPr>
        <w:t xml:space="preserve"> la estación policial</w:t>
      </w:r>
      <w:r w:rsidR="00E90074">
        <w:rPr>
          <w:sz w:val="20"/>
          <w:szCs w:val="20"/>
          <w:lang w:val="es-AR"/>
        </w:rPr>
        <w:t>.</w:t>
      </w:r>
      <w:r w:rsidR="00F537B3">
        <w:rPr>
          <w:sz w:val="20"/>
          <w:szCs w:val="20"/>
          <w:lang w:val="es-AR"/>
        </w:rPr>
        <w:t xml:space="preserve"> </w:t>
      </w:r>
    </w:p>
    <w:p w14:paraId="1AE2D566" w14:textId="77777777" w:rsidR="00177874" w:rsidRDefault="00DC228E" w:rsidP="00434BE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Pr>
          <w:sz w:val="20"/>
          <w:szCs w:val="20"/>
          <w:lang w:val="es-AR"/>
        </w:rPr>
        <w:t xml:space="preserve">El 8 de marzo de 1994 </w:t>
      </w:r>
      <w:r w:rsidR="00177874">
        <w:rPr>
          <w:sz w:val="20"/>
          <w:szCs w:val="20"/>
          <w:lang w:val="es-AR"/>
        </w:rPr>
        <w:t xml:space="preserve">la </w:t>
      </w:r>
      <w:r w:rsidR="00DA03DD">
        <w:rPr>
          <w:sz w:val="20"/>
          <w:szCs w:val="20"/>
          <w:lang w:val="es-AR"/>
        </w:rPr>
        <w:t xml:space="preserve">esposa de la presunta víctima </w:t>
      </w:r>
      <w:r w:rsidR="00177874">
        <w:rPr>
          <w:sz w:val="20"/>
          <w:szCs w:val="20"/>
          <w:lang w:val="es-AR"/>
        </w:rPr>
        <w:t>present</w:t>
      </w:r>
      <w:r>
        <w:rPr>
          <w:sz w:val="20"/>
          <w:szCs w:val="20"/>
          <w:lang w:val="es-AR"/>
        </w:rPr>
        <w:t>ó</w:t>
      </w:r>
      <w:r w:rsidR="00177874">
        <w:rPr>
          <w:sz w:val="20"/>
          <w:szCs w:val="20"/>
          <w:lang w:val="es-AR"/>
        </w:rPr>
        <w:t xml:space="preserve"> </w:t>
      </w:r>
      <w:r w:rsidR="009F3EEC">
        <w:rPr>
          <w:sz w:val="20"/>
          <w:szCs w:val="20"/>
          <w:lang w:val="es-AR"/>
        </w:rPr>
        <w:t xml:space="preserve">una </w:t>
      </w:r>
      <w:r w:rsidR="00177874">
        <w:rPr>
          <w:sz w:val="20"/>
          <w:szCs w:val="20"/>
          <w:lang w:val="es-AR"/>
        </w:rPr>
        <w:t>denuncia ante</w:t>
      </w:r>
      <w:r w:rsidR="00DA03DD">
        <w:rPr>
          <w:sz w:val="20"/>
          <w:szCs w:val="20"/>
          <w:lang w:val="es-AR"/>
        </w:rPr>
        <w:t xml:space="preserve"> la Personería Municipal de Gamarra y ante</w:t>
      </w:r>
      <w:r w:rsidR="00177874">
        <w:rPr>
          <w:sz w:val="20"/>
          <w:szCs w:val="20"/>
          <w:lang w:val="es-AR"/>
        </w:rPr>
        <w:t xml:space="preserve"> la </w:t>
      </w:r>
      <w:r w:rsidR="00BC7079">
        <w:rPr>
          <w:sz w:val="20"/>
          <w:szCs w:val="20"/>
          <w:lang w:val="es-AR"/>
        </w:rPr>
        <w:t>Fiscalía</w:t>
      </w:r>
      <w:r w:rsidR="00177874">
        <w:rPr>
          <w:sz w:val="20"/>
          <w:szCs w:val="20"/>
          <w:lang w:val="es-AR"/>
        </w:rPr>
        <w:t xml:space="preserve"> General de la </w:t>
      </w:r>
      <w:r w:rsidR="00BC7079">
        <w:rPr>
          <w:sz w:val="20"/>
          <w:szCs w:val="20"/>
          <w:lang w:val="es-AR"/>
        </w:rPr>
        <w:t>Nación</w:t>
      </w:r>
      <w:r w:rsidR="00177874">
        <w:rPr>
          <w:sz w:val="20"/>
          <w:szCs w:val="20"/>
          <w:lang w:val="es-AR"/>
        </w:rPr>
        <w:t xml:space="preserve"> Aguachica-C</w:t>
      </w:r>
      <w:r w:rsidR="009F3EEC">
        <w:rPr>
          <w:sz w:val="20"/>
          <w:szCs w:val="20"/>
          <w:lang w:val="es-AR"/>
        </w:rPr>
        <w:t>e</w:t>
      </w:r>
      <w:r w:rsidR="00177874">
        <w:rPr>
          <w:sz w:val="20"/>
          <w:szCs w:val="20"/>
          <w:lang w:val="es-AR"/>
        </w:rPr>
        <w:t xml:space="preserve">sar, sin que hasta la fecha de </w:t>
      </w:r>
      <w:r w:rsidR="00BC7079">
        <w:rPr>
          <w:sz w:val="20"/>
          <w:szCs w:val="20"/>
          <w:lang w:val="es-AR"/>
        </w:rPr>
        <w:t xml:space="preserve">presentación de la petición </w:t>
      </w:r>
      <w:r>
        <w:rPr>
          <w:sz w:val="20"/>
          <w:szCs w:val="20"/>
          <w:lang w:val="es-AR"/>
        </w:rPr>
        <w:t>se haya obtenido una</w:t>
      </w:r>
      <w:r w:rsidR="00BC7079">
        <w:rPr>
          <w:sz w:val="20"/>
          <w:szCs w:val="20"/>
          <w:lang w:val="es-AR"/>
        </w:rPr>
        <w:t xml:space="preserve"> decisión judicial. </w:t>
      </w:r>
      <w:r w:rsidR="00434BEC">
        <w:rPr>
          <w:sz w:val="20"/>
          <w:szCs w:val="20"/>
          <w:lang w:val="es-AR"/>
        </w:rPr>
        <w:t>La parte peticionaria aduce anomalías por parte de los órganos policiales, la UNASE y la Fiscalía debido a que el acta de levantamiento del cadáver de la presun</w:t>
      </w:r>
      <w:r>
        <w:rPr>
          <w:sz w:val="20"/>
          <w:szCs w:val="20"/>
          <w:lang w:val="es-AR"/>
        </w:rPr>
        <w:t>ta víctima y el estudio de necropsia</w:t>
      </w:r>
      <w:r w:rsidR="00434BEC">
        <w:rPr>
          <w:sz w:val="20"/>
          <w:szCs w:val="20"/>
          <w:lang w:val="es-AR"/>
        </w:rPr>
        <w:t xml:space="preserve"> habrían desaparecido</w:t>
      </w:r>
      <w:r w:rsidR="009F3EEC">
        <w:rPr>
          <w:sz w:val="20"/>
          <w:szCs w:val="20"/>
          <w:lang w:val="es-AR"/>
        </w:rPr>
        <w:t>,</w:t>
      </w:r>
      <w:r w:rsidR="005F7605">
        <w:rPr>
          <w:sz w:val="20"/>
          <w:szCs w:val="20"/>
          <w:lang w:val="es-AR"/>
        </w:rPr>
        <w:t xml:space="preserve"> pese </w:t>
      </w:r>
      <w:r w:rsidR="00A41313">
        <w:rPr>
          <w:sz w:val="20"/>
          <w:szCs w:val="20"/>
          <w:lang w:val="es-AR"/>
        </w:rPr>
        <w:t xml:space="preserve">a que se expidió </w:t>
      </w:r>
      <w:r w:rsidR="009F3EEC">
        <w:rPr>
          <w:sz w:val="20"/>
          <w:szCs w:val="20"/>
          <w:lang w:val="es-AR"/>
        </w:rPr>
        <w:t xml:space="preserve">un </w:t>
      </w:r>
      <w:r w:rsidR="00A41313">
        <w:rPr>
          <w:sz w:val="20"/>
          <w:szCs w:val="20"/>
          <w:lang w:val="es-AR"/>
        </w:rPr>
        <w:t>comprobante de registro de defunción de fecha 28 de  febrero de 1994</w:t>
      </w:r>
      <w:r w:rsidR="00A41313">
        <w:rPr>
          <w:rStyle w:val="FootnoteReference"/>
          <w:sz w:val="20"/>
          <w:szCs w:val="20"/>
          <w:lang w:val="es-AR"/>
        </w:rPr>
        <w:footnoteReference w:id="6"/>
      </w:r>
      <w:r w:rsidR="00434BEC">
        <w:rPr>
          <w:sz w:val="20"/>
          <w:szCs w:val="20"/>
          <w:lang w:val="es-AR"/>
        </w:rPr>
        <w:t xml:space="preserve">. </w:t>
      </w:r>
      <w:r w:rsidR="00BC7079">
        <w:rPr>
          <w:sz w:val="20"/>
          <w:szCs w:val="20"/>
          <w:lang w:val="es-AR"/>
        </w:rPr>
        <w:t xml:space="preserve">Asimismo, </w:t>
      </w:r>
      <w:r w:rsidR="009F3EEC">
        <w:rPr>
          <w:sz w:val="20"/>
          <w:szCs w:val="20"/>
          <w:lang w:val="es-AR"/>
        </w:rPr>
        <w:t xml:space="preserve">la parte peticionaria </w:t>
      </w:r>
      <w:r w:rsidR="00BC7079">
        <w:rPr>
          <w:sz w:val="20"/>
          <w:szCs w:val="20"/>
          <w:lang w:val="es-AR"/>
        </w:rPr>
        <w:t xml:space="preserve">denuncia que </w:t>
      </w:r>
      <w:r w:rsidR="005F7605">
        <w:rPr>
          <w:sz w:val="20"/>
          <w:szCs w:val="20"/>
          <w:lang w:val="es-AR"/>
        </w:rPr>
        <w:t xml:space="preserve">por quince años </w:t>
      </w:r>
      <w:r w:rsidR="00BC7079">
        <w:rPr>
          <w:sz w:val="20"/>
          <w:szCs w:val="20"/>
          <w:lang w:val="es-AR"/>
        </w:rPr>
        <w:t xml:space="preserve">no </w:t>
      </w:r>
      <w:r w:rsidR="00310D3B">
        <w:rPr>
          <w:sz w:val="20"/>
          <w:szCs w:val="20"/>
          <w:lang w:val="es-AR"/>
        </w:rPr>
        <w:t xml:space="preserve">se </w:t>
      </w:r>
      <w:r w:rsidR="00BC7079">
        <w:rPr>
          <w:sz w:val="20"/>
          <w:szCs w:val="20"/>
          <w:lang w:val="es-AR"/>
        </w:rPr>
        <w:t xml:space="preserve">le permitió el acceso al expediente a pesar de haberlo solicitado en numerosas ocasiones. </w:t>
      </w:r>
    </w:p>
    <w:p w14:paraId="0B2171FD" w14:textId="77777777" w:rsidR="002B181D" w:rsidRDefault="009F3EEC" w:rsidP="005F7605">
      <w:pPr>
        <w:pStyle w:val="ListParagraph"/>
        <w:numPr>
          <w:ilvl w:val="0"/>
          <w:numId w:val="56"/>
        </w:numPr>
        <w:ind w:left="0" w:firstLine="720"/>
        <w:jc w:val="both"/>
        <w:rPr>
          <w:sz w:val="20"/>
          <w:szCs w:val="20"/>
          <w:lang w:val="es-AR"/>
        </w:rPr>
      </w:pPr>
      <w:r>
        <w:rPr>
          <w:sz w:val="20"/>
          <w:szCs w:val="20"/>
          <w:lang w:val="es-AR"/>
        </w:rPr>
        <w:t>La parte peticionaria i</w:t>
      </w:r>
      <w:r w:rsidR="001C4FC1" w:rsidRPr="005F7605">
        <w:rPr>
          <w:sz w:val="20"/>
          <w:szCs w:val="20"/>
          <w:lang w:val="es-AR"/>
        </w:rPr>
        <w:t>nforma</w:t>
      </w:r>
      <w:r w:rsidR="00B97968">
        <w:rPr>
          <w:sz w:val="20"/>
          <w:szCs w:val="20"/>
          <w:lang w:val="es-AR"/>
        </w:rPr>
        <w:t xml:space="preserve"> que la presunta víctima era</w:t>
      </w:r>
      <w:r w:rsidR="001C4FC1" w:rsidRPr="005F7605">
        <w:rPr>
          <w:sz w:val="20"/>
          <w:szCs w:val="20"/>
          <w:lang w:val="es-AR"/>
        </w:rPr>
        <w:t xml:space="preserve"> </w:t>
      </w:r>
      <w:r w:rsidR="00237043" w:rsidRPr="005F7605">
        <w:rPr>
          <w:sz w:val="20"/>
          <w:szCs w:val="20"/>
          <w:lang w:val="es-AR"/>
        </w:rPr>
        <w:t>comerciante y ganadero</w:t>
      </w:r>
      <w:r>
        <w:rPr>
          <w:sz w:val="20"/>
          <w:szCs w:val="20"/>
          <w:lang w:val="es-AR"/>
        </w:rPr>
        <w:t>,</w:t>
      </w:r>
      <w:r w:rsidR="00237043" w:rsidRPr="005F7605">
        <w:rPr>
          <w:sz w:val="20"/>
          <w:szCs w:val="20"/>
          <w:lang w:val="es-AR"/>
        </w:rPr>
        <w:t xml:space="preserve"> </w:t>
      </w:r>
      <w:r>
        <w:rPr>
          <w:sz w:val="20"/>
          <w:szCs w:val="20"/>
          <w:lang w:val="es-AR"/>
        </w:rPr>
        <w:t xml:space="preserve">y </w:t>
      </w:r>
      <w:r w:rsidR="005F7605" w:rsidRPr="005F7605">
        <w:rPr>
          <w:sz w:val="20"/>
          <w:szCs w:val="20"/>
          <w:lang w:val="es-AR"/>
        </w:rPr>
        <w:t>dueño de</w:t>
      </w:r>
      <w:r w:rsidR="00237043" w:rsidRPr="005F7605">
        <w:rPr>
          <w:sz w:val="20"/>
          <w:szCs w:val="20"/>
          <w:lang w:val="es-AR"/>
        </w:rPr>
        <w:t xml:space="preserve"> un </w:t>
      </w:r>
      <w:r w:rsidR="001C4FC1" w:rsidRPr="005F7605">
        <w:rPr>
          <w:sz w:val="20"/>
          <w:szCs w:val="20"/>
          <w:lang w:val="es-AR"/>
        </w:rPr>
        <w:t>establecimiento</w:t>
      </w:r>
      <w:r w:rsidR="00237043" w:rsidRPr="005F7605">
        <w:rPr>
          <w:sz w:val="20"/>
          <w:szCs w:val="20"/>
          <w:lang w:val="es-AR"/>
        </w:rPr>
        <w:t xml:space="preserve"> de </w:t>
      </w:r>
      <w:r w:rsidR="001C4FC1" w:rsidRPr="005F7605">
        <w:rPr>
          <w:sz w:val="20"/>
          <w:szCs w:val="20"/>
          <w:lang w:val="es-AR"/>
        </w:rPr>
        <w:t>comercio</w:t>
      </w:r>
      <w:r w:rsidR="00237043" w:rsidRPr="005F7605">
        <w:rPr>
          <w:sz w:val="20"/>
          <w:szCs w:val="20"/>
          <w:lang w:val="es-AR"/>
        </w:rPr>
        <w:t xml:space="preserve"> de </w:t>
      </w:r>
      <w:r w:rsidR="001C4FC1" w:rsidRPr="005F7605">
        <w:rPr>
          <w:sz w:val="20"/>
          <w:szCs w:val="20"/>
          <w:lang w:val="es-AR"/>
        </w:rPr>
        <w:t>víveres</w:t>
      </w:r>
      <w:r w:rsidR="00237043" w:rsidRPr="005F7605">
        <w:rPr>
          <w:sz w:val="20"/>
          <w:szCs w:val="20"/>
          <w:lang w:val="es-AR"/>
        </w:rPr>
        <w:t>, fincas y reces, además de implementos de trabajo para el inicio de un proyecto de exportación</w:t>
      </w:r>
      <w:r>
        <w:rPr>
          <w:sz w:val="20"/>
          <w:szCs w:val="20"/>
          <w:lang w:val="es-AR"/>
        </w:rPr>
        <w:t>; asimismo, que era</w:t>
      </w:r>
      <w:r w:rsidR="00B97968">
        <w:rPr>
          <w:sz w:val="20"/>
          <w:szCs w:val="20"/>
          <w:lang w:val="es-AR"/>
        </w:rPr>
        <w:t xml:space="preserve"> </w:t>
      </w:r>
      <w:r w:rsidR="00B97968" w:rsidRPr="005F7605">
        <w:rPr>
          <w:sz w:val="20"/>
          <w:szCs w:val="20"/>
          <w:lang w:val="es-AR"/>
        </w:rPr>
        <w:t>el principal sustento</w:t>
      </w:r>
      <w:r w:rsidR="00B97968">
        <w:rPr>
          <w:sz w:val="20"/>
          <w:szCs w:val="20"/>
          <w:lang w:val="es-AR"/>
        </w:rPr>
        <w:t xml:space="preserve"> económico familiar</w:t>
      </w:r>
      <w:r w:rsidR="00237043" w:rsidRPr="005F7605">
        <w:rPr>
          <w:sz w:val="20"/>
          <w:szCs w:val="20"/>
          <w:lang w:val="es-AR"/>
        </w:rPr>
        <w:t xml:space="preserve">. </w:t>
      </w:r>
      <w:r w:rsidR="001C4FC1" w:rsidRPr="005F7605">
        <w:rPr>
          <w:sz w:val="20"/>
          <w:szCs w:val="20"/>
          <w:lang w:val="es-AR"/>
        </w:rPr>
        <w:t>Aduce que, con posterioridad al asesinato de la presunta víctima, los grupos paramilitares comenzaron a amenazar a la familia del occiso</w:t>
      </w:r>
      <w:r>
        <w:rPr>
          <w:sz w:val="20"/>
          <w:szCs w:val="20"/>
          <w:lang w:val="es-AR"/>
        </w:rPr>
        <w:t>,</w:t>
      </w:r>
      <w:r w:rsidR="00237043" w:rsidRPr="005F7605">
        <w:rPr>
          <w:sz w:val="20"/>
          <w:szCs w:val="20"/>
          <w:lang w:val="es-AR"/>
        </w:rPr>
        <w:t xml:space="preserve"> por lo que se </w:t>
      </w:r>
      <w:r>
        <w:rPr>
          <w:sz w:val="20"/>
          <w:szCs w:val="20"/>
          <w:lang w:val="es-AR"/>
        </w:rPr>
        <w:t>vieron</w:t>
      </w:r>
      <w:r w:rsidR="00237043" w:rsidRPr="005F7605">
        <w:rPr>
          <w:sz w:val="20"/>
          <w:szCs w:val="20"/>
          <w:lang w:val="es-AR"/>
        </w:rPr>
        <w:t xml:space="preserve"> obligad</w:t>
      </w:r>
      <w:r>
        <w:rPr>
          <w:sz w:val="20"/>
          <w:szCs w:val="20"/>
          <w:lang w:val="es-AR"/>
        </w:rPr>
        <w:t>os</w:t>
      </w:r>
      <w:r w:rsidR="00237043" w:rsidRPr="005F7605">
        <w:rPr>
          <w:sz w:val="20"/>
          <w:szCs w:val="20"/>
          <w:lang w:val="es-AR"/>
        </w:rPr>
        <w:t xml:space="preserve"> a desplazarse</w:t>
      </w:r>
      <w:r w:rsidR="001C4FC1" w:rsidRPr="005F7605">
        <w:rPr>
          <w:sz w:val="20"/>
          <w:szCs w:val="20"/>
          <w:lang w:val="es-AR"/>
        </w:rPr>
        <w:t xml:space="preserve"> para proteger sus vidas</w:t>
      </w:r>
      <w:r>
        <w:rPr>
          <w:sz w:val="20"/>
          <w:szCs w:val="20"/>
          <w:lang w:val="es-AR"/>
        </w:rPr>
        <w:t>;</w:t>
      </w:r>
      <w:r w:rsidR="001C4FC1" w:rsidRPr="005F7605">
        <w:rPr>
          <w:sz w:val="20"/>
          <w:szCs w:val="20"/>
          <w:lang w:val="es-AR"/>
        </w:rPr>
        <w:t xml:space="preserve"> </w:t>
      </w:r>
      <w:r>
        <w:rPr>
          <w:sz w:val="20"/>
          <w:szCs w:val="20"/>
          <w:lang w:val="es-AR"/>
        </w:rPr>
        <w:t xml:space="preserve">y que </w:t>
      </w:r>
      <w:r w:rsidR="001C4FC1" w:rsidRPr="005F7605">
        <w:rPr>
          <w:sz w:val="20"/>
          <w:szCs w:val="20"/>
          <w:lang w:val="es-AR"/>
        </w:rPr>
        <w:t>a la vez quedar</w:t>
      </w:r>
      <w:r>
        <w:rPr>
          <w:sz w:val="20"/>
          <w:szCs w:val="20"/>
          <w:lang w:val="es-AR"/>
        </w:rPr>
        <w:t>on</w:t>
      </w:r>
      <w:r w:rsidR="001C4FC1" w:rsidRPr="005F7605">
        <w:rPr>
          <w:sz w:val="20"/>
          <w:szCs w:val="20"/>
          <w:lang w:val="es-AR"/>
        </w:rPr>
        <w:t xml:space="preserve"> desamparad</w:t>
      </w:r>
      <w:r>
        <w:rPr>
          <w:sz w:val="20"/>
          <w:szCs w:val="20"/>
          <w:lang w:val="es-AR"/>
        </w:rPr>
        <w:t>os</w:t>
      </w:r>
      <w:r w:rsidR="001C4FC1" w:rsidRPr="005F7605">
        <w:rPr>
          <w:sz w:val="20"/>
          <w:szCs w:val="20"/>
          <w:lang w:val="es-AR"/>
        </w:rPr>
        <w:t xml:space="preserve"> económicamente</w:t>
      </w:r>
      <w:r>
        <w:rPr>
          <w:sz w:val="20"/>
          <w:szCs w:val="20"/>
          <w:lang w:val="es-AR"/>
        </w:rPr>
        <w:t>,</w:t>
      </w:r>
      <w:r w:rsidR="001C4FC1" w:rsidRPr="005F7605">
        <w:rPr>
          <w:sz w:val="20"/>
          <w:szCs w:val="20"/>
          <w:lang w:val="es-AR"/>
        </w:rPr>
        <w:t xml:space="preserve"> dado que </w:t>
      </w:r>
      <w:r>
        <w:rPr>
          <w:sz w:val="20"/>
          <w:szCs w:val="20"/>
          <w:lang w:val="es-AR"/>
        </w:rPr>
        <w:t>sus</w:t>
      </w:r>
      <w:r w:rsidR="001C4FC1" w:rsidRPr="005F7605">
        <w:rPr>
          <w:sz w:val="20"/>
          <w:szCs w:val="20"/>
          <w:lang w:val="es-AR"/>
        </w:rPr>
        <w:t xml:space="preserve"> bienes quedaron abandona</w:t>
      </w:r>
      <w:r>
        <w:rPr>
          <w:sz w:val="20"/>
          <w:szCs w:val="20"/>
          <w:lang w:val="es-AR"/>
        </w:rPr>
        <w:t>d</w:t>
      </w:r>
      <w:r w:rsidR="001C4FC1" w:rsidRPr="005F7605">
        <w:rPr>
          <w:sz w:val="20"/>
          <w:szCs w:val="20"/>
          <w:lang w:val="es-AR"/>
        </w:rPr>
        <w:t xml:space="preserve">os. </w:t>
      </w:r>
      <w:r w:rsidR="003E7A05" w:rsidRPr="005F7605">
        <w:rPr>
          <w:sz w:val="20"/>
          <w:szCs w:val="20"/>
          <w:lang w:val="es-AR"/>
        </w:rPr>
        <w:t>Indica</w:t>
      </w:r>
      <w:r w:rsidR="001C4FC1" w:rsidRPr="005F7605">
        <w:rPr>
          <w:sz w:val="20"/>
          <w:szCs w:val="20"/>
          <w:lang w:val="es-AR"/>
        </w:rPr>
        <w:t xml:space="preserve"> que los familiares de la presunta </w:t>
      </w:r>
      <w:r w:rsidR="003E7A05" w:rsidRPr="005F7605">
        <w:rPr>
          <w:sz w:val="20"/>
          <w:szCs w:val="20"/>
          <w:lang w:val="es-AR"/>
        </w:rPr>
        <w:t>víctima</w:t>
      </w:r>
      <w:r w:rsidR="00B97968">
        <w:rPr>
          <w:sz w:val="20"/>
          <w:szCs w:val="20"/>
          <w:lang w:val="es-AR"/>
        </w:rPr>
        <w:t xml:space="preserve"> se ubicaron </w:t>
      </w:r>
      <w:r w:rsidR="001C4FC1" w:rsidRPr="005F7605">
        <w:rPr>
          <w:sz w:val="20"/>
          <w:szCs w:val="20"/>
          <w:lang w:val="es-AR"/>
        </w:rPr>
        <w:t>hasta 1995 en el Municipio Simit</w:t>
      </w:r>
      <w:r>
        <w:rPr>
          <w:sz w:val="20"/>
          <w:szCs w:val="20"/>
          <w:lang w:val="es-AR"/>
        </w:rPr>
        <w:t>í</w:t>
      </w:r>
      <w:r w:rsidR="001C4FC1" w:rsidRPr="005F7605">
        <w:rPr>
          <w:sz w:val="20"/>
          <w:szCs w:val="20"/>
          <w:lang w:val="es-AR"/>
        </w:rPr>
        <w:t xml:space="preserve"> del Departamento de </w:t>
      </w:r>
      <w:r w:rsidR="003E7A05" w:rsidRPr="005F7605">
        <w:rPr>
          <w:sz w:val="20"/>
          <w:szCs w:val="20"/>
          <w:lang w:val="es-AR"/>
        </w:rPr>
        <w:t>Bolívar</w:t>
      </w:r>
      <w:r w:rsidR="00605378">
        <w:rPr>
          <w:sz w:val="20"/>
          <w:szCs w:val="20"/>
          <w:lang w:val="es-AR"/>
        </w:rPr>
        <w:t>,</w:t>
      </w:r>
      <w:r w:rsidR="001C4FC1" w:rsidRPr="005F7605">
        <w:rPr>
          <w:sz w:val="20"/>
          <w:szCs w:val="20"/>
          <w:lang w:val="es-AR"/>
        </w:rPr>
        <w:t xml:space="preserve"> donde la señora Olga Vargas Ardilla pas</w:t>
      </w:r>
      <w:r w:rsidR="00605378">
        <w:rPr>
          <w:sz w:val="20"/>
          <w:szCs w:val="20"/>
          <w:lang w:val="es-AR"/>
        </w:rPr>
        <w:t>ó</w:t>
      </w:r>
      <w:r w:rsidR="001C4FC1" w:rsidRPr="005F7605">
        <w:rPr>
          <w:sz w:val="20"/>
          <w:szCs w:val="20"/>
          <w:lang w:val="es-AR"/>
        </w:rPr>
        <w:t xml:space="preserve"> a ser cabeza de familia </w:t>
      </w:r>
      <w:r w:rsidR="00605378">
        <w:rPr>
          <w:sz w:val="20"/>
          <w:szCs w:val="20"/>
          <w:lang w:val="es-AR"/>
        </w:rPr>
        <w:t xml:space="preserve">y debió </w:t>
      </w:r>
      <w:r w:rsidR="001C4FC1" w:rsidRPr="005F7605">
        <w:rPr>
          <w:sz w:val="20"/>
          <w:szCs w:val="20"/>
          <w:lang w:val="es-AR"/>
        </w:rPr>
        <w:t>hac</w:t>
      </w:r>
      <w:r w:rsidR="00605378">
        <w:rPr>
          <w:sz w:val="20"/>
          <w:szCs w:val="20"/>
          <w:lang w:val="es-AR"/>
        </w:rPr>
        <w:t>er</w:t>
      </w:r>
      <w:r w:rsidR="001C4FC1" w:rsidRPr="005F7605">
        <w:rPr>
          <w:sz w:val="20"/>
          <w:szCs w:val="20"/>
          <w:lang w:val="es-AR"/>
        </w:rPr>
        <w:t xml:space="preserve"> grandes esfuerzos para sobrevivir. Sin embargo, </w:t>
      </w:r>
      <w:r w:rsidR="00B97968">
        <w:rPr>
          <w:sz w:val="20"/>
          <w:szCs w:val="20"/>
          <w:lang w:val="es-AR"/>
        </w:rPr>
        <w:t xml:space="preserve">aduce que </w:t>
      </w:r>
      <w:r w:rsidR="001C4FC1" w:rsidRPr="005F7605">
        <w:rPr>
          <w:sz w:val="20"/>
          <w:szCs w:val="20"/>
          <w:lang w:val="es-AR"/>
        </w:rPr>
        <w:t>las amenazas continuaron</w:t>
      </w:r>
      <w:r w:rsidR="00605378">
        <w:rPr>
          <w:sz w:val="20"/>
          <w:szCs w:val="20"/>
          <w:lang w:val="es-AR"/>
        </w:rPr>
        <w:t>,</w:t>
      </w:r>
      <w:r w:rsidR="001C4FC1" w:rsidRPr="005F7605">
        <w:rPr>
          <w:sz w:val="20"/>
          <w:szCs w:val="20"/>
          <w:lang w:val="es-AR"/>
        </w:rPr>
        <w:t xml:space="preserve"> por lo que tuv</w:t>
      </w:r>
      <w:r w:rsidR="00B97968">
        <w:rPr>
          <w:sz w:val="20"/>
          <w:szCs w:val="20"/>
          <w:lang w:val="es-AR"/>
        </w:rPr>
        <w:t>ier</w:t>
      </w:r>
      <w:r w:rsidR="001C4FC1" w:rsidRPr="005F7605">
        <w:rPr>
          <w:sz w:val="20"/>
          <w:szCs w:val="20"/>
          <w:lang w:val="es-AR"/>
        </w:rPr>
        <w:t>o</w:t>
      </w:r>
      <w:r w:rsidR="00B97968">
        <w:rPr>
          <w:sz w:val="20"/>
          <w:szCs w:val="20"/>
          <w:lang w:val="es-AR"/>
        </w:rPr>
        <w:t>n</w:t>
      </w:r>
      <w:r w:rsidR="001C4FC1" w:rsidRPr="005F7605">
        <w:rPr>
          <w:sz w:val="20"/>
          <w:szCs w:val="20"/>
          <w:lang w:val="es-AR"/>
        </w:rPr>
        <w:t xml:space="preserve"> que desplazarse nuevamente con sus hijos </w:t>
      </w:r>
      <w:r w:rsidR="00605378">
        <w:rPr>
          <w:sz w:val="20"/>
          <w:szCs w:val="20"/>
          <w:lang w:val="es-AR"/>
        </w:rPr>
        <w:t xml:space="preserve">al </w:t>
      </w:r>
      <w:r w:rsidR="001C4FC1" w:rsidRPr="005F7605">
        <w:rPr>
          <w:sz w:val="20"/>
          <w:szCs w:val="20"/>
          <w:lang w:val="es-AR"/>
        </w:rPr>
        <w:t xml:space="preserve">Municipio de Santa Rosa del Sur del Departamento de </w:t>
      </w:r>
      <w:r w:rsidR="003E7A05" w:rsidRPr="005F7605">
        <w:rPr>
          <w:sz w:val="20"/>
          <w:szCs w:val="20"/>
          <w:lang w:val="es-AR"/>
        </w:rPr>
        <w:t>Bolívar</w:t>
      </w:r>
      <w:r w:rsidR="001C4FC1" w:rsidRPr="005F7605">
        <w:rPr>
          <w:sz w:val="20"/>
          <w:szCs w:val="20"/>
          <w:lang w:val="es-AR"/>
        </w:rPr>
        <w:t xml:space="preserve">. </w:t>
      </w:r>
      <w:r w:rsidR="00605378">
        <w:rPr>
          <w:sz w:val="20"/>
          <w:szCs w:val="20"/>
          <w:lang w:val="es-AR"/>
        </w:rPr>
        <w:t xml:space="preserve">La parte peticionaria sostiene </w:t>
      </w:r>
      <w:r w:rsidR="001C4FC1" w:rsidRPr="005F7605">
        <w:rPr>
          <w:sz w:val="20"/>
          <w:szCs w:val="20"/>
          <w:lang w:val="es-AR"/>
        </w:rPr>
        <w:t xml:space="preserve">que bajo estas circunstancias la familia se </w:t>
      </w:r>
      <w:r w:rsidR="00B97968" w:rsidRPr="005F7605">
        <w:rPr>
          <w:sz w:val="20"/>
          <w:szCs w:val="20"/>
          <w:lang w:val="es-AR"/>
        </w:rPr>
        <w:t>devastó</w:t>
      </w:r>
      <w:r w:rsidR="001C4FC1" w:rsidRPr="005F7605">
        <w:rPr>
          <w:sz w:val="20"/>
          <w:szCs w:val="20"/>
          <w:lang w:val="es-AR"/>
        </w:rPr>
        <w:t xml:space="preserve">, </w:t>
      </w:r>
      <w:r w:rsidR="00605378">
        <w:rPr>
          <w:sz w:val="20"/>
          <w:szCs w:val="20"/>
          <w:lang w:val="es-AR"/>
        </w:rPr>
        <w:t xml:space="preserve">que </w:t>
      </w:r>
      <w:r w:rsidR="001C4FC1" w:rsidRPr="005F7605">
        <w:rPr>
          <w:sz w:val="20"/>
          <w:szCs w:val="20"/>
          <w:lang w:val="es-AR"/>
        </w:rPr>
        <w:t>los hijos de la presunta víctima se vieron imposibilitados de seguir estudios universitarios</w:t>
      </w:r>
      <w:r w:rsidR="00605378">
        <w:rPr>
          <w:sz w:val="20"/>
          <w:szCs w:val="20"/>
          <w:lang w:val="es-AR"/>
        </w:rPr>
        <w:t>,</w:t>
      </w:r>
      <w:r w:rsidR="001C4FC1" w:rsidRPr="005F7605">
        <w:rPr>
          <w:sz w:val="20"/>
          <w:szCs w:val="20"/>
          <w:lang w:val="es-AR"/>
        </w:rPr>
        <w:t xml:space="preserve"> y </w:t>
      </w:r>
      <w:r w:rsidR="00605378">
        <w:rPr>
          <w:sz w:val="20"/>
          <w:szCs w:val="20"/>
          <w:lang w:val="es-AR"/>
        </w:rPr>
        <w:t xml:space="preserve">que </w:t>
      </w:r>
      <w:r w:rsidR="001C4FC1" w:rsidRPr="005F7605">
        <w:rPr>
          <w:sz w:val="20"/>
          <w:szCs w:val="20"/>
          <w:lang w:val="es-AR"/>
        </w:rPr>
        <w:t>sufrie</w:t>
      </w:r>
      <w:r w:rsidR="0063518B">
        <w:rPr>
          <w:sz w:val="20"/>
          <w:szCs w:val="20"/>
          <w:lang w:val="es-AR"/>
        </w:rPr>
        <w:t>ron depresión por las conti</w:t>
      </w:r>
      <w:r w:rsidR="0063518B" w:rsidRPr="005F7605">
        <w:rPr>
          <w:sz w:val="20"/>
          <w:szCs w:val="20"/>
          <w:lang w:val="es-AR"/>
        </w:rPr>
        <w:t>nuas</w:t>
      </w:r>
      <w:r w:rsidR="001C4FC1" w:rsidRPr="005F7605">
        <w:rPr>
          <w:sz w:val="20"/>
          <w:szCs w:val="20"/>
          <w:lang w:val="es-AR"/>
        </w:rPr>
        <w:t xml:space="preserve"> amenazas recibidas. </w:t>
      </w:r>
      <w:r w:rsidR="0003083F" w:rsidRPr="005F7605">
        <w:rPr>
          <w:sz w:val="20"/>
          <w:szCs w:val="20"/>
          <w:lang w:val="es-AR"/>
        </w:rPr>
        <w:t>De</w:t>
      </w:r>
      <w:r w:rsidR="0063518B">
        <w:rPr>
          <w:sz w:val="20"/>
          <w:szCs w:val="20"/>
          <w:lang w:val="es-AR"/>
        </w:rPr>
        <w:t xml:space="preserve">nuncia que, </w:t>
      </w:r>
      <w:r w:rsidR="0063518B" w:rsidRPr="005F7605">
        <w:rPr>
          <w:sz w:val="20"/>
          <w:szCs w:val="20"/>
          <w:lang w:val="es-AR"/>
        </w:rPr>
        <w:t xml:space="preserve">por el </w:t>
      </w:r>
      <w:r w:rsidR="0063518B">
        <w:rPr>
          <w:sz w:val="20"/>
          <w:szCs w:val="20"/>
          <w:lang w:val="es-AR"/>
        </w:rPr>
        <w:t xml:space="preserve">mero </w:t>
      </w:r>
      <w:r w:rsidR="0063518B" w:rsidRPr="005F7605">
        <w:rPr>
          <w:sz w:val="20"/>
          <w:szCs w:val="20"/>
          <w:lang w:val="es-AR"/>
        </w:rPr>
        <w:t>hecho de ser familiares de la presunta víctima</w:t>
      </w:r>
      <w:r w:rsidR="0063518B">
        <w:rPr>
          <w:sz w:val="20"/>
          <w:szCs w:val="20"/>
          <w:lang w:val="es-AR"/>
        </w:rPr>
        <w:t>,</w:t>
      </w:r>
      <w:r w:rsidR="0063518B" w:rsidRPr="005F7605">
        <w:rPr>
          <w:sz w:val="20"/>
          <w:szCs w:val="20"/>
          <w:lang w:val="es-AR"/>
        </w:rPr>
        <w:t xml:space="preserve"> </w:t>
      </w:r>
      <w:r w:rsidR="0003083F" w:rsidRPr="005F7605">
        <w:rPr>
          <w:sz w:val="20"/>
          <w:szCs w:val="20"/>
          <w:lang w:val="es-AR"/>
        </w:rPr>
        <w:t xml:space="preserve">la madre y hermanos </w:t>
      </w:r>
      <w:r w:rsidR="005B07CD">
        <w:rPr>
          <w:sz w:val="20"/>
          <w:szCs w:val="20"/>
          <w:lang w:val="es-AR"/>
        </w:rPr>
        <w:t xml:space="preserve">de aquél </w:t>
      </w:r>
      <w:r w:rsidR="0003083F" w:rsidRPr="005F7605">
        <w:rPr>
          <w:sz w:val="20"/>
          <w:szCs w:val="20"/>
          <w:lang w:val="es-AR"/>
        </w:rPr>
        <w:t xml:space="preserve">también se </w:t>
      </w:r>
      <w:r w:rsidR="003E7A05" w:rsidRPr="005F7605">
        <w:rPr>
          <w:sz w:val="20"/>
          <w:szCs w:val="20"/>
          <w:lang w:val="es-AR"/>
        </w:rPr>
        <w:t>vieron</w:t>
      </w:r>
      <w:r w:rsidR="0003083F" w:rsidRPr="005F7605">
        <w:rPr>
          <w:sz w:val="20"/>
          <w:szCs w:val="20"/>
          <w:lang w:val="es-AR"/>
        </w:rPr>
        <w:t xml:space="preserve"> afectados</w:t>
      </w:r>
      <w:r w:rsidR="005B07CD">
        <w:rPr>
          <w:sz w:val="20"/>
          <w:szCs w:val="20"/>
          <w:lang w:val="es-AR"/>
        </w:rPr>
        <w:t>,</w:t>
      </w:r>
      <w:r w:rsidR="0003083F" w:rsidRPr="005F7605">
        <w:rPr>
          <w:sz w:val="20"/>
          <w:szCs w:val="20"/>
          <w:lang w:val="es-AR"/>
        </w:rPr>
        <w:t xml:space="preserve"> </w:t>
      </w:r>
      <w:r w:rsidR="002E765A">
        <w:rPr>
          <w:sz w:val="20"/>
          <w:szCs w:val="20"/>
          <w:lang w:val="es-AR"/>
        </w:rPr>
        <w:t xml:space="preserve">dado que fueron </w:t>
      </w:r>
      <w:r w:rsidR="0003083F" w:rsidRPr="005F7605">
        <w:rPr>
          <w:sz w:val="20"/>
          <w:szCs w:val="20"/>
          <w:lang w:val="es-AR"/>
        </w:rPr>
        <w:t xml:space="preserve">perseguidos por el mismo grupo que operaba al </w:t>
      </w:r>
      <w:r w:rsidR="003E7A05" w:rsidRPr="005F7605">
        <w:rPr>
          <w:sz w:val="20"/>
          <w:szCs w:val="20"/>
          <w:lang w:val="es-AR"/>
        </w:rPr>
        <w:t>margen</w:t>
      </w:r>
      <w:r w:rsidR="0003083F" w:rsidRPr="005F7605">
        <w:rPr>
          <w:sz w:val="20"/>
          <w:szCs w:val="20"/>
          <w:lang w:val="es-AR"/>
        </w:rPr>
        <w:t xml:space="preserve"> de la ley </w:t>
      </w:r>
      <w:r w:rsidR="002E765A">
        <w:rPr>
          <w:sz w:val="20"/>
          <w:szCs w:val="20"/>
          <w:lang w:val="es-AR"/>
        </w:rPr>
        <w:t>en la zona</w:t>
      </w:r>
      <w:r w:rsidR="0003083F" w:rsidRPr="005F7605">
        <w:rPr>
          <w:sz w:val="20"/>
          <w:szCs w:val="20"/>
          <w:lang w:val="es-AR"/>
        </w:rPr>
        <w:t>.</w:t>
      </w:r>
      <w:r w:rsidR="005F7605" w:rsidRPr="005F7605">
        <w:rPr>
          <w:sz w:val="20"/>
          <w:szCs w:val="20"/>
          <w:lang w:val="es-AR"/>
        </w:rPr>
        <w:t xml:space="preserve">  A</w:t>
      </w:r>
      <w:r w:rsidR="005B07CD">
        <w:rPr>
          <w:sz w:val="20"/>
          <w:szCs w:val="20"/>
          <w:lang w:val="es-AR"/>
        </w:rPr>
        <w:t>lega</w:t>
      </w:r>
      <w:r w:rsidR="005F7605" w:rsidRPr="005F7605">
        <w:rPr>
          <w:sz w:val="20"/>
          <w:szCs w:val="20"/>
          <w:lang w:val="es-AR"/>
        </w:rPr>
        <w:t xml:space="preserve"> que, para el momento de los hechos, las autoridades </w:t>
      </w:r>
      <w:r w:rsidR="005B07CD">
        <w:rPr>
          <w:sz w:val="20"/>
          <w:szCs w:val="20"/>
          <w:lang w:val="es-AR"/>
        </w:rPr>
        <w:t>de</w:t>
      </w:r>
      <w:r w:rsidR="005F7605" w:rsidRPr="005F7605">
        <w:rPr>
          <w:sz w:val="20"/>
          <w:szCs w:val="20"/>
          <w:lang w:val="es-AR"/>
        </w:rPr>
        <w:t xml:space="preserve"> la zona no tenían control del orden público, por lo que la sociedad civil </w:t>
      </w:r>
      <w:r w:rsidR="005B07CD">
        <w:rPr>
          <w:sz w:val="20"/>
          <w:szCs w:val="20"/>
          <w:lang w:val="es-AR"/>
        </w:rPr>
        <w:t xml:space="preserve">les tenía </w:t>
      </w:r>
      <w:r w:rsidR="005F7605" w:rsidRPr="005F7605">
        <w:rPr>
          <w:sz w:val="20"/>
          <w:szCs w:val="20"/>
          <w:lang w:val="es-AR"/>
        </w:rPr>
        <w:t>desconfianza y miedo</w:t>
      </w:r>
      <w:r w:rsidR="0063518B">
        <w:rPr>
          <w:sz w:val="20"/>
          <w:szCs w:val="20"/>
          <w:lang w:val="es-AR"/>
        </w:rPr>
        <w:t xml:space="preserve"> ante la omisión </w:t>
      </w:r>
      <w:r w:rsidR="005B07CD">
        <w:rPr>
          <w:sz w:val="20"/>
          <w:szCs w:val="20"/>
          <w:lang w:val="es-AR"/>
        </w:rPr>
        <w:t>de</w:t>
      </w:r>
      <w:r w:rsidR="005F7605" w:rsidRPr="005F7605">
        <w:rPr>
          <w:sz w:val="20"/>
          <w:szCs w:val="20"/>
          <w:lang w:val="es-AR"/>
        </w:rPr>
        <w:t xml:space="preserve"> actuar frente a hechos como el denunciado. </w:t>
      </w:r>
      <w:r w:rsidR="005B07CD">
        <w:rPr>
          <w:sz w:val="20"/>
          <w:szCs w:val="20"/>
          <w:lang w:val="es-AR"/>
        </w:rPr>
        <w:t xml:space="preserve">La parte peticionaria agrega </w:t>
      </w:r>
      <w:r w:rsidR="005F7605" w:rsidRPr="005F7605">
        <w:rPr>
          <w:sz w:val="20"/>
          <w:szCs w:val="20"/>
          <w:lang w:val="es-AR"/>
        </w:rPr>
        <w:t xml:space="preserve">que ante </w:t>
      </w:r>
      <w:r w:rsidR="005B07CD">
        <w:rPr>
          <w:sz w:val="20"/>
          <w:szCs w:val="20"/>
          <w:lang w:val="es-AR"/>
        </w:rPr>
        <w:t>las</w:t>
      </w:r>
      <w:r w:rsidR="005F7605" w:rsidRPr="005F7605">
        <w:rPr>
          <w:sz w:val="20"/>
          <w:szCs w:val="20"/>
          <w:lang w:val="es-AR"/>
        </w:rPr>
        <w:t xml:space="preserve"> amenazas y persecuciones, la única solución </w:t>
      </w:r>
      <w:r w:rsidR="005B07CD" w:rsidRPr="005F7605">
        <w:rPr>
          <w:sz w:val="20"/>
          <w:szCs w:val="20"/>
          <w:lang w:val="es-AR"/>
        </w:rPr>
        <w:t xml:space="preserve">para los civiles </w:t>
      </w:r>
      <w:r w:rsidR="005B07CD">
        <w:rPr>
          <w:sz w:val="20"/>
          <w:szCs w:val="20"/>
          <w:lang w:val="es-AR"/>
        </w:rPr>
        <w:t>era</w:t>
      </w:r>
      <w:r w:rsidR="005F7605" w:rsidRPr="005F7605">
        <w:rPr>
          <w:sz w:val="20"/>
          <w:szCs w:val="20"/>
          <w:lang w:val="es-AR"/>
        </w:rPr>
        <w:t xml:space="preserve"> el desplazamiento de un lugar</w:t>
      </w:r>
      <w:r w:rsidR="002E765A">
        <w:rPr>
          <w:sz w:val="20"/>
          <w:szCs w:val="20"/>
          <w:lang w:val="es-AR"/>
        </w:rPr>
        <w:t xml:space="preserve"> a otro para protegerse, situación que sucedió con los familiares de la presunta víctima.</w:t>
      </w:r>
    </w:p>
    <w:p w14:paraId="1D1EB8C6" w14:textId="77777777" w:rsidR="00237043" w:rsidRPr="005F7605" w:rsidRDefault="002E765A" w:rsidP="002B181D">
      <w:pPr>
        <w:pStyle w:val="ListParagraph"/>
        <w:jc w:val="both"/>
        <w:rPr>
          <w:sz w:val="20"/>
          <w:szCs w:val="20"/>
          <w:lang w:val="es-AR"/>
        </w:rPr>
      </w:pPr>
      <w:r>
        <w:rPr>
          <w:sz w:val="20"/>
          <w:szCs w:val="20"/>
          <w:lang w:val="es-AR"/>
        </w:rPr>
        <w:t xml:space="preserve"> </w:t>
      </w:r>
    </w:p>
    <w:p w14:paraId="3EA350CE" w14:textId="77777777" w:rsidR="00B93D7F" w:rsidRDefault="00B93D7F" w:rsidP="00E2622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Pr>
          <w:sz w:val="20"/>
          <w:szCs w:val="20"/>
          <w:lang w:val="es-AR"/>
        </w:rPr>
        <w:t>P</w:t>
      </w:r>
      <w:r w:rsidR="00E40929">
        <w:rPr>
          <w:sz w:val="20"/>
          <w:szCs w:val="20"/>
          <w:lang w:val="es-AR"/>
        </w:rPr>
        <w:t>or su parte</w:t>
      </w:r>
      <w:r w:rsidR="00182DE7">
        <w:rPr>
          <w:sz w:val="20"/>
          <w:szCs w:val="20"/>
          <w:lang w:val="es-AR"/>
        </w:rPr>
        <w:t>,</w:t>
      </w:r>
      <w:r w:rsidR="00E40929">
        <w:rPr>
          <w:sz w:val="20"/>
          <w:szCs w:val="20"/>
          <w:lang w:val="es-AR"/>
        </w:rPr>
        <w:t xml:space="preserve"> el Estado </w:t>
      </w:r>
      <w:r w:rsidR="00E2622B">
        <w:rPr>
          <w:sz w:val="20"/>
          <w:szCs w:val="20"/>
          <w:lang w:val="es-AR"/>
        </w:rPr>
        <w:t xml:space="preserve">solicita </w:t>
      </w:r>
      <w:r w:rsidR="005B07CD">
        <w:rPr>
          <w:sz w:val="20"/>
          <w:szCs w:val="20"/>
          <w:lang w:val="es-AR"/>
        </w:rPr>
        <w:t xml:space="preserve">que </w:t>
      </w:r>
      <w:r w:rsidR="00E2622B">
        <w:rPr>
          <w:sz w:val="20"/>
          <w:szCs w:val="20"/>
          <w:lang w:val="es-AR"/>
        </w:rPr>
        <w:t xml:space="preserve">se declare la inadmisibilidad de la presente petición debido a que los hechos objeto de la misma no caracterizan violaciones a sus obligaciones convencionales </w:t>
      </w:r>
      <w:r w:rsidR="00E2622B">
        <w:rPr>
          <w:sz w:val="20"/>
          <w:szCs w:val="20"/>
          <w:lang w:val="es-AR"/>
        </w:rPr>
        <w:lastRenderedPageBreak/>
        <w:t>potencialmente atribuibles</w:t>
      </w:r>
      <w:r w:rsidR="00835C0B">
        <w:rPr>
          <w:sz w:val="20"/>
          <w:szCs w:val="20"/>
          <w:lang w:val="es-AR"/>
        </w:rPr>
        <w:t xml:space="preserve"> a</w:t>
      </w:r>
      <w:r w:rsidR="00E2622B">
        <w:rPr>
          <w:sz w:val="20"/>
          <w:szCs w:val="20"/>
          <w:lang w:val="es-AR"/>
        </w:rPr>
        <w:t xml:space="preserve"> </w:t>
      </w:r>
      <w:r w:rsidR="00107C2F">
        <w:rPr>
          <w:sz w:val="20"/>
          <w:szCs w:val="20"/>
          <w:lang w:val="es-AR"/>
        </w:rPr>
        <w:t>éste</w:t>
      </w:r>
      <w:r w:rsidR="00E2622B">
        <w:rPr>
          <w:sz w:val="20"/>
          <w:szCs w:val="20"/>
          <w:lang w:val="es-AR"/>
        </w:rPr>
        <w:t>; y debido a que los familiares de la presunta víctima no agotaron los recursos judiciales adecuados y efectivos</w:t>
      </w:r>
      <w:r w:rsidR="00C30140">
        <w:rPr>
          <w:sz w:val="20"/>
          <w:szCs w:val="20"/>
          <w:lang w:val="es-AR"/>
        </w:rPr>
        <w:t xml:space="preserve"> en la vía penal </w:t>
      </w:r>
      <w:r w:rsidR="005B07CD">
        <w:rPr>
          <w:sz w:val="20"/>
          <w:szCs w:val="20"/>
          <w:lang w:val="es-AR"/>
        </w:rPr>
        <w:t>ni</w:t>
      </w:r>
      <w:r w:rsidR="00C30140">
        <w:rPr>
          <w:sz w:val="20"/>
          <w:szCs w:val="20"/>
          <w:lang w:val="es-AR"/>
        </w:rPr>
        <w:t xml:space="preserve"> en </w:t>
      </w:r>
      <w:r w:rsidR="002E765A">
        <w:rPr>
          <w:sz w:val="20"/>
          <w:szCs w:val="20"/>
          <w:lang w:val="es-AR"/>
        </w:rPr>
        <w:t>l</w:t>
      </w:r>
      <w:r w:rsidR="00C30140">
        <w:rPr>
          <w:sz w:val="20"/>
          <w:szCs w:val="20"/>
          <w:lang w:val="es-AR"/>
        </w:rPr>
        <w:t>a administrativa</w:t>
      </w:r>
      <w:r w:rsidR="00E2622B">
        <w:rPr>
          <w:sz w:val="20"/>
          <w:szCs w:val="20"/>
          <w:lang w:val="es-AR"/>
        </w:rPr>
        <w:t xml:space="preserve">. </w:t>
      </w:r>
    </w:p>
    <w:p w14:paraId="1A5FD69D" w14:textId="77777777" w:rsidR="00182DE7" w:rsidRDefault="005B07CD" w:rsidP="00E2622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Pr>
          <w:sz w:val="20"/>
          <w:szCs w:val="20"/>
          <w:lang w:val="es-AR"/>
        </w:rPr>
        <w:t>Asimismo</w:t>
      </w:r>
      <w:r w:rsidR="00182DE7">
        <w:rPr>
          <w:sz w:val="20"/>
          <w:szCs w:val="20"/>
          <w:lang w:val="es-AR"/>
        </w:rPr>
        <w:t>, el Estado argumenta que la parte peticionaria no p</w:t>
      </w:r>
      <w:r w:rsidR="00107C2F">
        <w:rPr>
          <w:sz w:val="20"/>
          <w:szCs w:val="20"/>
          <w:lang w:val="es-AR"/>
        </w:rPr>
        <w:t xml:space="preserve">resenta sustento </w:t>
      </w:r>
      <w:r>
        <w:rPr>
          <w:sz w:val="20"/>
          <w:szCs w:val="20"/>
          <w:lang w:val="es-AR"/>
        </w:rPr>
        <w:t>para</w:t>
      </w:r>
      <w:r w:rsidR="00182DE7">
        <w:rPr>
          <w:sz w:val="20"/>
          <w:szCs w:val="20"/>
          <w:lang w:val="es-AR"/>
        </w:rPr>
        <w:t xml:space="preserve"> demostrar el nexo causal entre los hechos específicos y la supuesta colaboración entre la policía nacional y los miembros del grupo armado al margen de la Ley. </w:t>
      </w:r>
      <w:r w:rsidR="004A151A">
        <w:rPr>
          <w:sz w:val="20"/>
          <w:szCs w:val="20"/>
          <w:lang w:val="es-AR"/>
        </w:rPr>
        <w:t xml:space="preserve">Asimismo, </w:t>
      </w:r>
      <w:r w:rsidR="00107C2F">
        <w:rPr>
          <w:sz w:val="20"/>
          <w:szCs w:val="20"/>
          <w:lang w:val="es-AR"/>
        </w:rPr>
        <w:t>objeta</w:t>
      </w:r>
      <w:r w:rsidR="004A151A">
        <w:rPr>
          <w:sz w:val="20"/>
          <w:szCs w:val="20"/>
          <w:lang w:val="es-AR"/>
        </w:rPr>
        <w:t xml:space="preserve"> que </w:t>
      </w:r>
      <w:r w:rsidR="00107C2F">
        <w:rPr>
          <w:sz w:val="20"/>
          <w:szCs w:val="20"/>
          <w:lang w:val="es-AR"/>
        </w:rPr>
        <w:t>pueda</w:t>
      </w:r>
      <w:r w:rsidR="004A151A">
        <w:rPr>
          <w:sz w:val="20"/>
          <w:szCs w:val="20"/>
          <w:lang w:val="es-AR"/>
        </w:rPr>
        <w:t xml:space="preserve"> adjudicarse al Estado responsabilidad por falta al deber de garantía </w:t>
      </w:r>
      <w:r w:rsidR="00180C18">
        <w:rPr>
          <w:sz w:val="20"/>
          <w:szCs w:val="20"/>
          <w:lang w:val="es-AR"/>
        </w:rPr>
        <w:t xml:space="preserve">en tanto no </w:t>
      </w:r>
      <w:r>
        <w:rPr>
          <w:sz w:val="20"/>
          <w:szCs w:val="20"/>
          <w:lang w:val="es-AR"/>
        </w:rPr>
        <w:t>hay</w:t>
      </w:r>
      <w:r w:rsidR="004A151A">
        <w:rPr>
          <w:sz w:val="20"/>
          <w:szCs w:val="20"/>
          <w:lang w:val="es-AR"/>
        </w:rPr>
        <w:t xml:space="preserve"> prueba de que </w:t>
      </w:r>
      <w:r w:rsidR="00107C2F">
        <w:rPr>
          <w:sz w:val="20"/>
          <w:szCs w:val="20"/>
          <w:lang w:val="es-AR"/>
        </w:rPr>
        <w:t>las autoridades tuvieran</w:t>
      </w:r>
      <w:r w:rsidR="004A151A">
        <w:rPr>
          <w:sz w:val="20"/>
          <w:szCs w:val="20"/>
          <w:lang w:val="es-AR"/>
        </w:rPr>
        <w:t xml:space="preserve"> conocimiento previo de un riesgo real e inminente que le exigiera tomar medidas de protección concretas a favor de la presunta víctima. </w:t>
      </w:r>
      <w:r w:rsidR="00182DE7">
        <w:rPr>
          <w:sz w:val="20"/>
          <w:szCs w:val="20"/>
          <w:lang w:val="es-AR"/>
        </w:rPr>
        <w:t>En tal sentido, sostiene que la muerte de la presunta víctima fue cometida exclusivamente por terceros</w:t>
      </w:r>
      <w:r>
        <w:rPr>
          <w:sz w:val="20"/>
          <w:szCs w:val="20"/>
          <w:lang w:val="es-AR"/>
        </w:rPr>
        <w:t>,</w:t>
      </w:r>
      <w:r w:rsidR="00182DE7">
        <w:rPr>
          <w:sz w:val="20"/>
          <w:szCs w:val="20"/>
          <w:lang w:val="es-AR"/>
        </w:rPr>
        <w:t xml:space="preserve"> por lo que no se puede r</w:t>
      </w:r>
      <w:r w:rsidR="00857381">
        <w:rPr>
          <w:sz w:val="20"/>
          <w:szCs w:val="20"/>
          <w:lang w:val="es-AR"/>
        </w:rPr>
        <w:t>esponsabilizar al Estado</w:t>
      </w:r>
      <w:r w:rsidR="00182DE7">
        <w:rPr>
          <w:sz w:val="20"/>
          <w:szCs w:val="20"/>
          <w:lang w:val="es-AR"/>
        </w:rPr>
        <w:t xml:space="preserve">. </w:t>
      </w:r>
    </w:p>
    <w:p w14:paraId="69B90E76" w14:textId="14416C07" w:rsidR="00E2622B" w:rsidRDefault="00857381" w:rsidP="00E2622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Pr>
          <w:sz w:val="20"/>
          <w:szCs w:val="20"/>
          <w:lang w:val="es-AR"/>
        </w:rPr>
        <w:t>A</w:t>
      </w:r>
      <w:r w:rsidR="008641A3">
        <w:rPr>
          <w:sz w:val="20"/>
          <w:szCs w:val="20"/>
          <w:lang w:val="es-AR"/>
        </w:rPr>
        <w:t>simismo</w:t>
      </w:r>
      <w:r>
        <w:rPr>
          <w:sz w:val="20"/>
          <w:szCs w:val="20"/>
          <w:lang w:val="es-AR"/>
        </w:rPr>
        <w:t>, el Estado</w:t>
      </w:r>
      <w:r w:rsidR="008641A3">
        <w:rPr>
          <w:sz w:val="20"/>
          <w:szCs w:val="20"/>
          <w:lang w:val="es-AR"/>
        </w:rPr>
        <w:t xml:space="preserve"> sostiene </w:t>
      </w:r>
      <w:r w:rsidR="00FE479F">
        <w:rPr>
          <w:sz w:val="20"/>
          <w:szCs w:val="20"/>
          <w:lang w:val="es-AR"/>
        </w:rPr>
        <w:t>que</w:t>
      </w:r>
      <w:r w:rsidRPr="00857381">
        <w:rPr>
          <w:sz w:val="20"/>
          <w:szCs w:val="20"/>
          <w:lang w:val="es-AR"/>
        </w:rPr>
        <w:t xml:space="preserve"> </w:t>
      </w:r>
      <w:r>
        <w:rPr>
          <w:sz w:val="20"/>
          <w:szCs w:val="20"/>
          <w:lang w:val="es-AR"/>
        </w:rPr>
        <w:t>el proceso penal se ha adelantado dentro de un plazo razonable y en forma diligente</w:t>
      </w:r>
      <w:r w:rsidR="00FE479F">
        <w:rPr>
          <w:sz w:val="20"/>
          <w:szCs w:val="20"/>
          <w:lang w:val="es-AR"/>
        </w:rPr>
        <w:t>,</w:t>
      </w:r>
      <w:r w:rsidR="008641A3">
        <w:rPr>
          <w:sz w:val="20"/>
          <w:szCs w:val="20"/>
          <w:lang w:val="es-AR"/>
        </w:rPr>
        <w:t xml:space="preserve"> </w:t>
      </w:r>
      <w:r w:rsidR="00FE479F">
        <w:rPr>
          <w:sz w:val="20"/>
          <w:szCs w:val="20"/>
          <w:lang w:val="es-AR"/>
        </w:rPr>
        <w:t xml:space="preserve">teniendo en cuenta la complejidad del caso, </w:t>
      </w:r>
      <w:r w:rsidR="00351384">
        <w:rPr>
          <w:sz w:val="20"/>
          <w:szCs w:val="20"/>
          <w:lang w:val="es-AR"/>
        </w:rPr>
        <w:t xml:space="preserve">por la situación de derechos humanos existente en la zona </w:t>
      </w:r>
      <w:r w:rsidR="005B07CD">
        <w:rPr>
          <w:sz w:val="20"/>
          <w:szCs w:val="20"/>
          <w:lang w:val="es-AR"/>
        </w:rPr>
        <w:t>en</w:t>
      </w:r>
      <w:r w:rsidR="00351384">
        <w:rPr>
          <w:sz w:val="20"/>
          <w:szCs w:val="20"/>
          <w:lang w:val="es-AR"/>
        </w:rPr>
        <w:t xml:space="preserve"> la época </w:t>
      </w:r>
      <w:r w:rsidR="005B07CD">
        <w:rPr>
          <w:sz w:val="20"/>
          <w:szCs w:val="20"/>
          <w:lang w:val="es-AR"/>
        </w:rPr>
        <w:t>de</w:t>
      </w:r>
      <w:r w:rsidR="00351384">
        <w:rPr>
          <w:sz w:val="20"/>
          <w:szCs w:val="20"/>
          <w:lang w:val="es-AR"/>
        </w:rPr>
        <w:t xml:space="preserve"> los hechos y </w:t>
      </w:r>
      <w:r w:rsidR="00FE479F">
        <w:rPr>
          <w:sz w:val="20"/>
          <w:szCs w:val="20"/>
          <w:lang w:val="es-AR"/>
        </w:rPr>
        <w:t>debido al modus operandi de los grupos armados al margen de la ley</w:t>
      </w:r>
      <w:r w:rsidR="005B07CD">
        <w:rPr>
          <w:sz w:val="20"/>
          <w:szCs w:val="20"/>
          <w:lang w:val="es-AR"/>
        </w:rPr>
        <w:t>,</w:t>
      </w:r>
      <w:r w:rsidR="00FE479F">
        <w:rPr>
          <w:sz w:val="20"/>
          <w:szCs w:val="20"/>
          <w:lang w:val="es-AR"/>
        </w:rPr>
        <w:t xml:space="preserve"> </w:t>
      </w:r>
      <w:r w:rsidR="00E130F7">
        <w:rPr>
          <w:sz w:val="20"/>
          <w:szCs w:val="20"/>
          <w:lang w:val="es-AR"/>
        </w:rPr>
        <w:t xml:space="preserve">cuya </w:t>
      </w:r>
      <w:r w:rsidR="00FE479F">
        <w:rPr>
          <w:sz w:val="20"/>
          <w:szCs w:val="20"/>
          <w:lang w:val="es-AR"/>
        </w:rPr>
        <w:t xml:space="preserve">práctica </w:t>
      </w:r>
      <w:r w:rsidR="00351384">
        <w:rPr>
          <w:sz w:val="20"/>
          <w:szCs w:val="20"/>
          <w:lang w:val="es-AR"/>
        </w:rPr>
        <w:t xml:space="preserve">era la </w:t>
      </w:r>
      <w:r w:rsidR="00FE479F">
        <w:rPr>
          <w:sz w:val="20"/>
          <w:szCs w:val="20"/>
          <w:lang w:val="es-AR"/>
        </w:rPr>
        <w:t>de hacer desaparec</w:t>
      </w:r>
      <w:r w:rsidR="00351384">
        <w:rPr>
          <w:sz w:val="20"/>
          <w:szCs w:val="20"/>
          <w:lang w:val="es-AR"/>
        </w:rPr>
        <w:t>er</w:t>
      </w:r>
      <w:r w:rsidR="005B07CD">
        <w:rPr>
          <w:sz w:val="20"/>
          <w:szCs w:val="20"/>
          <w:lang w:val="es-AR"/>
        </w:rPr>
        <w:t xml:space="preserve"> la</w:t>
      </w:r>
      <w:r w:rsidR="00351384">
        <w:rPr>
          <w:sz w:val="20"/>
          <w:szCs w:val="20"/>
          <w:lang w:val="es-AR"/>
        </w:rPr>
        <w:t xml:space="preserve"> evidencia</w:t>
      </w:r>
      <w:r w:rsidR="00E130F7">
        <w:rPr>
          <w:sz w:val="20"/>
          <w:szCs w:val="20"/>
          <w:lang w:val="es-AR"/>
        </w:rPr>
        <w:t>.</w:t>
      </w:r>
      <w:r w:rsidR="00FE479F">
        <w:rPr>
          <w:sz w:val="20"/>
          <w:szCs w:val="20"/>
          <w:lang w:val="es-AR"/>
        </w:rPr>
        <w:t xml:space="preserve"> </w:t>
      </w:r>
      <w:r w:rsidR="008641A3">
        <w:rPr>
          <w:sz w:val="20"/>
          <w:szCs w:val="20"/>
          <w:lang w:val="es-AR"/>
        </w:rPr>
        <w:t xml:space="preserve"> </w:t>
      </w:r>
      <w:r w:rsidR="00FE479F">
        <w:rPr>
          <w:sz w:val="20"/>
          <w:szCs w:val="20"/>
          <w:lang w:val="es-AR"/>
        </w:rPr>
        <w:t xml:space="preserve">Indica </w:t>
      </w:r>
      <w:r w:rsidR="008641A3">
        <w:rPr>
          <w:sz w:val="20"/>
          <w:szCs w:val="20"/>
          <w:lang w:val="es-AR"/>
        </w:rPr>
        <w:t xml:space="preserve">que </w:t>
      </w:r>
      <w:r w:rsidR="00FA7288">
        <w:rPr>
          <w:sz w:val="20"/>
          <w:szCs w:val="20"/>
          <w:lang w:val="es-AR"/>
        </w:rPr>
        <w:t>una vez recibid</w:t>
      </w:r>
      <w:r w:rsidR="005B07CD">
        <w:rPr>
          <w:sz w:val="20"/>
          <w:szCs w:val="20"/>
          <w:lang w:val="es-AR"/>
        </w:rPr>
        <w:t>a</w:t>
      </w:r>
      <w:r w:rsidR="00FA7288">
        <w:rPr>
          <w:sz w:val="20"/>
          <w:szCs w:val="20"/>
          <w:lang w:val="es-AR"/>
        </w:rPr>
        <w:t xml:space="preserve"> el acta de levantamiento del cadáver de la presunta víctima y </w:t>
      </w:r>
      <w:r w:rsidR="005B07CD">
        <w:rPr>
          <w:sz w:val="20"/>
          <w:szCs w:val="20"/>
          <w:lang w:val="es-AR"/>
        </w:rPr>
        <w:t xml:space="preserve">realizada </w:t>
      </w:r>
      <w:r w:rsidR="00FA7288">
        <w:rPr>
          <w:sz w:val="20"/>
          <w:szCs w:val="20"/>
          <w:lang w:val="es-AR"/>
        </w:rPr>
        <w:t>la necropsia, la Fiscalía General de la Nación inici</w:t>
      </w:r>
      <w:r w:rsidR="005B07CD">
        <w:rPr>
          <w:sz w:val="20"/>
          <w:szCs w:val="20"/>
          <w:lang w:val="es-AR"/>
        </w:rPr>
        <w:t>ó</w:t>
      </w:r>
      <w:r w:rsidR="00FA7288">
        <w:rPr>
          <w:sz w:val="20"/>
          <w:szCs w:val="20"/>
          <w:lang w:val="es-AR"/>
        </w:rPr>
        <w:t xml:space="preserve"> de manera oficiosa la investigación previa No. 1.687 </w:t>
      </w:r>
      <w:r w:rsidR="005B07CD">
        <w:rPr>
          <w:sz w:val="20"/>
          <w:szCs w:val="20"/>
          <w:lang w:val="es-AR"/>
        </w:rPr>
        <w:t xml:space="preserve">y </w:t>
      </w:r>
      <w:r w:rsidR="00FA7288">
        <w:rPr>
          <w:sz w:val="20"/>
          <w:szCs w:val="20"/>
          <w:lang w:val="es-AR"/>
        </w:rPr>
        <w:t>solicit</w:t>
      </w:r>
      <w:r w:rsidR="005B07CD">
        <w:rPr>
          <w:sz w:val="20"/>
          <w:szCs w:val="20"/>
          <w:lang w:val="es-AR"/>
        </w:rPr>
        <w:t>ó</w:t>
      </w:r>
      <w:r w:rsidR="00FA7288">
        <w:rPr>
          <w:sz w:val="20"/>
          <w:szCs w:val="20"/>
          <w:lang w:val="es-AR"/>
        </w:rPr>
        <w:t xml:space="preserve"> a las autoridades de Policía de Gamarra que </w:t>
      </w:r>
      <w:r w:rsidR="00E95030">
        <w:rPr>
          <w:sz w:val="20"/>
          <w:szCs w:val="20"/>
          <w:lang w:val="es-AR"/>
        </w:rPr>
        <w:t>hicieran</w:t>
      </w:r>
      <w:r w:rsidR="00FA7288">
        <w:rPr>
          <w:sz w:val="20"/>
          <w:szCs w:val="20"/>
          <w:lang w:val="es-AR"/>
        </w:rPr>
        <w:t xml:space="preserve"> las diligencias necesarias para establecer la identidad de los autores de la muerte de la presunta víctima</w:t>
      </w:r>
      <w:r w:rsidR="00E95030">
        <w:rPr>
          <w:sz w:val="20"/>
          <w:szCs w:val="20"/>
          <w:lang w:val="es-AR"/>
        </w:rPr>
        <w:t>. Afirma</w:t>
      </w:r>
      <w:r w:rsidR="00FA7288">
        <w:rPr>
          <w:sz w:val="20"/>
          <w:szCs w:val="20"/>
          <w:lang w:val="es-AR"/>
        </w:rPr>
        <w:t xml:space="preserve"> además </w:t>
      </w:r>
      <w:r w:rsidR="00E95030">
        <w:rPr>
          <w:sz w:val="20"/>
          <w:szCs w:val="20"/>
          <w:lang w:val="es-AR"/>
        </w:rPr>
        <w:t>que</w:t>
      </w:r>
      <w:r w:rsidR="00FA7288">
        <w:rPr>
          <w:sz w:val="20"/>
          <w:szCs w:val="20"/>
          <w:lang w:val="es-AR"/>
        </w:rPr>
        <w:t xml:space="preserve"> </w:t>
      </w:r>
      <w:r w:rsidR="00E95030">
        <w:rPr>
          <w:sz w:val="20"/>
          <w:szCs w:val="20"/>
          <w:lang w:val="es-AR"/>
        </w:rPr>
        <w:t xml:space="preserve">se </w:t>
      </w:r>
      <w:r w:rsidR="00FA7288">
        <w:rPr>
          <w:sz w:val="20"/>
          <w:szCs w:val="20"/>
          <w:lang w:val="es-AR"/>
        </w:rPr>
        <w:t>practicar</w:t>
      </w:r>
      <w:r w:rsidR="00E95030">
        <w:rPr>
          <w:sz w:val="20"/>
          <w:szCs w:val="20"/>
          <w:lang w:val="es-AR"/>
        </w:rPr>
        <w:t>on</w:t>
      </w:r>
      <w:r w:rsidR="00FA7288">
        <w:rPr>
          <w:sz w:val="20"/>
          <w:szCs w:val="20"/>
          <w:lang w:val="es-AR"/>
        </w:rPr>
        <w:t xml:space="preserve"> distintas pruebas</w:t>
      </w:r>
      <w:r w:rsidR="00E95030">
        <w:rPr>
          <w:sz w:val="20"/>
          <w:szCs w:val="20"/>
          <w:lang w:val="es-AR"/>
        </w:rPr>
        <w:t>,</w:t>
      </w:r>
      <w:r w:rsidR="00FA7288">
        <w:rPr>
          <w:sz w:val="20"/>
          <w:szCs w:val="20"/>
          <w:lang w:val="es-AR"/>
        </w:rPr>
        <w:t xml:space="preserve"> tales como la recepción de la declaración jurada de la esposa y los padres de la presunta </w:t>
      </w:r>
      <w:r w:rsidR="00B10854">
        <w:rPr>
          <w:sz w:val="20"/>
          <w:szCs w:val="20"/>
          <w:lang w:val="es-AR"/>
        </w:rPr>
        <w:t>víctima</w:t>
      </w:r>
      <w:r w:rsidR="00777038">
        <w:rPr>
          <w:sz w:val="20"/>
          <w:szCs w:val="20"/>
          <w:lang w:val="es-AR"/>
        </w:rPr>
        <w:t xml:space="preserve"> y </w:t>
      </w:r>
      <w:r w:rsidR="00E95030">
        <w:rPr>
          <w:sz w:val="20"/>
          <w:szCs w:val="20"/>
          <w:lang w:val="es-AR"/>
        </w:rPr>
        <w:t xml:space="preserve">que se </w:t>
      </w:r>
      <w:r w:rsidR="00C13D2F">
        <w:rPr>
          <w:sz w:val="20"/>
          <w:szCs w:val="20"/>
          <w:lang w:val="es-AR"/>
        </w:rPr>
        <w:t>envió</w:t>
      </w:r>
      <w:r w:rsidR="00777038">
        <w:rPr>
          <w:sz w:val="20"/>
          <w:szCs w:val="20"/>
          <w:lang w:val="es-AR"/>
        </w:rPr>
        <w:t xml:space="preserve"> a las oficinas de Medicina Legal el </w:t>
      </w:r>
      <w:r w:rsidR="00C13D2F">
        <w:rPr>
          <w:sz w:val="20"/>
          <w:szCs w:val="20"/>
          <w:lang w:val="es-AR"/>
        </w:rPr>
        <w:t>proyectil</w:t>
      </w:r>
      <w:r w:rsidR="00777038">
        <w:rPr>
          <w:sz w:val="20"/>
          <w:szCs w:val="20"/>
          <w:lang w:val="es-AR"/>
        </w:rPr>
        <w:t xml:space="preserve"> aportado al momento del levantamiento del cadáver </w:t>
      </w:r>
      <w:r w:rsidR="00C61FB0">
        <w:rPr>
          <w:sz w:val="20"/>
          <w:szCs w:val="20"/>
          <w:lang w:val="es-AR"/>
        </w:rPr>
        <w:t>p</w:t>
      </w:r>
      <w:r w:rsidR="00777038">
        <w:rPr>
          <w:sz w:val="20"/>
          <w:szCs w:val="20"/>
          <w:lang w:val="es-AR"/>
        </w:rPr>
        <w:t xml:space="preserve">ara determinar el calibre, la clase de arma a la cual </w:t>
      </w:r>
      <w:r w:rsidR="00C13D2F">
        <w:rPr>
          <w:sz w:val="20"/>
          <w:szCs w:val="20"/>
          <w:lang w:val="es-AR"/>
        </w:rPr>
        <w:t>pertenec</w:t>
      </w:r>
      <w:r w:rsidR="00E95030">
        <w:rPr>
          <w:sz w:val="20"/>
          <w:szCs w:val="20"/>
          <w:lang w:val="es-AR"/>
        </w:rPr>
        <w:t>ía,</w:t>
      </w:r>
      <w:r w:rsidR="00777038">
        <w:rPr>
          <w:sz w:val="20"/>
          <w:szCs w:val="20"/>
          <w:lang w:val="es-AR"/>
        </w:rPr>
        <w:t xml:space="preserve"> y demás información relevante relacionada con el arma, entre otras</w:t>
      </w:r>
      <w:r w:rsidR="00FA7288">
        <w:rPr>
          <w:sz w:val="20"/>
          <w:szCs w:val="20"/>
          <w:lang w:val="es-AR"/>
        </w:rPr>
        <w:t xml:space="preserve">. Informa que mediante </w:t>
      </w:r>
      <w:r w:rsidR="00E95030">
        <w:rPr>
          <w:sz w:val="20"/>
          <w:szCs w:val="20"/>
          <w:lang w:val="es-AR"/>
        </w:rPr>
        <w:t xml:space="preserve">su </w:t>
      </w:r>
      <w:r w:rsidR="00FA7288">
        <w:rPr>
          <w:sz w:val="20"/>
          <w:szCs w:val="20"/>
          <w:lang w:val="es-AR"/>
        </w:rPr>
        <w:t xml:space="preserve">resolución del 12 de septiembre de 1996 la </w:t>
      </w:r>
      <w:r w:rsidR="00B10854">
        <w:rPr>
          <w:sz w:val="20"/>
          <w:szCs w:val="20"/>
          <w:lang w:val="es-AR"/>
        </w:rPr>
        <w:t>Fiscalía</w:t>
      </w:r>
      <w:r w:rsidR="00FA7288">
        <w:rPr>
          <w:sz w:val="20"/>
          <w:szCs w:val="20"/>
          <w:lang w:val="es-AR"/>
        </w:rPr>
        <w:t xml:space="preserve"> 20 Seccional </w:t>
      </w:r>
      <w:r w:rsidR="00835C0B">
        <w:rPr>
          <w:sz w:val="20"/>
          <w:szCs w:val="20"/>
          <w:lang w:val="es-AR"/>
        </w:rPr>
        <w:t>ordenó</w:t>
      </w:r>
      <w:r w:rsidR="00FA7288">
        <w:rPr>
          <w:sz w:val="20"/>
          <w:szCs w:val="20"/>
          <w:lang w:val="es-AR"/>
        </w:rPr>
        <w:t xml:space="preserve"> la suspensión de la investigación con base en el </w:t>
      </w:r>
      <w:r w:rsidR="00B10854">
        <w:rPr>
          <w:sz w:val="20"/>
          <w:szCs w:val="20"/>
          <w:lang w:val="es-AR"/>
        </w:rPr>
        <w:t>artículo</w:t>
      </w:r>
      <w:r w:rsidR="00FA7288">
        <w:rPr>
          <w:sz w:val="20"/>
          <w:szCs w:val="20"/>
          <w:lang w:val="es-AR"/>
        </w:rPr>
        <w:t xml:space="preserve"> 326 del </w:t>
      </w:r>
      <w:r w:rsidR="00B10854">
        <w:rPr>
          <w:sz w:val="20"/>
          <w:szCs w:val="20"/>
          <w:lang w:val="es-AR"/>
        </w:rPr>
        <w:t>Código</w:t>
      </w:r>
      <w:r w:rsidR="00FA7288">
        <w:rPr>
          <w:sz w:val="20"/>
          <w:szCs w:val="20"/>
          <w:lang w:val="es-AR"/>
        </w:rPr>
        <w:t xml:space="preserve"> de Procedimiento Penal vigente</w:t>
      </w:r>
      <w:r w:rsidR="002A5BCE">
        <w:rPr>
          <w:rStyle w:val="FootnoteReference"/>
          <w:sz w:val="20"/>
          <w:szCs w:val="20"/>
          <w:lang w:val="es-AR"/>
        </w:rPr>
        <w:footnoteReference w:id="7"/>
      </w:r>
      <w:r w:rsidR="00FA7288">
        <w:rPr>
          <w:sz w:val="20"/>
          <w:szCs w:val="20"/>
          <w:lang w:val="es-AR"/>
        </w:rPr>
        <w:t xml:space="preserve">. </w:t>
      </w:r>
      <w:r w:rsidR="00B10854">
        <w:rPr>
          <w:sz w:val="20"/>
          <w:szCs w:val="20"/>
          <w:lang w:val="es-AR"/>
        </w:rPr>
        <w:t xml:space="preserve">Por otra parte, manifiesta que los hechos que dieron origen a la presente petición se encuentran en etapa de investigación y documentación en la </w:t>
      </w:r>
      <w:r w:rsidR="00E95030">
        <w:rPr>
          <w:sz w:val="20"/>
          <w:szCs w:val="20"/>
          <w:lang w:val="es-AR"/>
        </w:rPr>
        <w:t>F</w:t>
      </w:r>
      <w:r w:rsidR="00B10854">
        <w:rPr>
          <w:sz w:val="20"/>
          <w:szCs w:val="20"/>
          <w:lang w:val="es-AR"/>
        </w:rPr>
        <w:t>iscalía 34 Delegada ante el Tribunal Superior del Distrito Judicial Adscrito a la Dirección de Justicia Transiciona</w:t>
      </w:r>
      <w:r w:rsidR="00351384">
        <w:rPr>
          <w:sz w:val="20"/>
          <w:szCs w:val="20"/>
          <w:lang w:val="es-AR"/>
        </w:rPr>
        <w:t>l de la Fiscalía General de la N</w:t>
      </w:r>
      <w:r w:rsidR="00B10854">
        <w:rPr>
          <w:sz w:val="20"/>
          <w:szCs w:val="20"/>
          <w:lang w:val="es-AR"/>
        </w:rPr>
        <w:t>ación en el marco del proceso penal especial de Justicia y Paz</w:t>
      </w:r>
      <w:r w:rsidR="00E95030">
        <w:rPr>
          <w:sz w:val="20"/>
          <w:szCs w:val="20"/>
          <w:lang w:val="es-AR"/>
        </w:rPr>
        <w:t>;</w:t>
      </w:r>
      <w:r w:rsidR="00AC64DE">
        <w:rPr>
          <w:sz w:val="20"/>
          <w:szCs w:val="20"/>
          <w:lang w:val="es-AR"/>
        </w:rPr>
        <w:t xml:space="preserve"> </w:t>
      </w:r>
      <w:r w:rsidR="00E95030">
        <w:rPr>
          <w:sz w:val="20"/>
          <w:szCs w:val="20"/>
          <w:lang w:val="es-AR"/>
        </w:rPr>
        <w:t>y que con tal motivo</w:t>
      </w:r>
      <w:r w:rsidR="00AC64DE">
        <w:rPr>
          <w:sz w:val="20"/>
          <w:szCs w:val="20"/>
          <w:lang w:val="es-AR"/>
        </w:rPr>
        <w:t xml:space="preserve"> la parte peticionaria no ha esperado al agotamiento de los recursos internos antes de acudir a la Comisión</w:t>
      </w:r>
      <w:r w:rsidR="00B10854">
        <w:rPr>
          <w:sz w:val="20"/>
          <w:szCs w:val="20"/>
          <w:lang w:val="es-AR"/>
        </w:rPr>
        <w:t>.</w:t>
      </w:r>
      <w:r w:rsidR="00C13D2F">
        <w:rPr>
          <w:sz w:val="20"/>
          <w:szCs w:val="20"/>
          <w:lang w:val="es-AR"/>
        </w:rPr>
        <w:t xml:space="preserve"> Sumado a lo anterior, el Estado rechaza </w:t>
      </w:r>
      <w:r w:rsidR="00E95030">
        <w:rPr>
          <w:sz w:val="20"/>
          <w:szCs w:val="20"/>
          <w:lang w:val="es-AR"/>
        </w:rPr>
        <w:t>que</w:t>
      </w:r>
      <w:r w:rsidR="00C13D2F">
        <w:rPr>
          <w:sz w:val="20"/>
          <w:szCs w:val="20"/>
          <w:lang w:val="es-AR"/>
        </w:rPr>
        <w:t xml:space="preserve"> la parte peticionaria no </w:t>
      </w:r>
      <w:r w:rsidR="00E95030">
        <w:rPr>
          <w:sz w:val="20"/>
          <w:szCs w:val="20"/>
          <w:lang w:val="es-AR"/>
        </w:rPr>
        <w:t>tuvo</w:t>
      </w:r>
      <w:r w:rsidR="00C13D2F">
        <w:rPr>
          <w:sz w:val="20"/>
          <w:szCs w:val="20"/>
          <w:lang w:val="es-AR"/>
        </w:rPr>
        <w:t xml:space="preserve"> dio acceso al expediente </w:t>
      </w:r>
      <w:r w:rsidR="00E95030">
        <w:rPr>
          <w:sz w:val="20"/>
          <w:szCs w:val="20"/>
          <w:lang w:val="es-AR"/>
        </w:rPr>
        <w:t xml:space="preserve">e </w:t>
      </w:r>
      <w:r w:rsidR="00C13D2F">
        <w:rPr>
          <w:sz w:val="20"/>
          <w:szCs w:val="20"/>
          <w:lang w:val="es-AR"/>
        </w:rPr>
        <w:t>indica que todas las solicitudes de acceso al proceso de la esposa de la presunta víctima fueron concedidas</w:t>
      </w:r>
      <w:r w:rsidR="00351384">
        <w:rPr>
          <w:rStyle w:val="FootnoteReference"/>
          <w:sz w:val="20"/>
          <w:szCs w:val="20"/>
          <w:lang w:val="es-AR"/>
        </w:rPr>
        <w:footnoteReference w:id="8"/>
      </w:r>
      <w:r w:rsidR="00C13D2F">
        <w:rPr>
          <w:sz w:val="20"/>
          <w:szCs w:val="20"/>
          <w:lang w:val="es-AR"/>
        </w:rPr>
        <w:t xml:space="preserve">. </w:t>
      </w:r>
    </w:p>
    <w:p w14:paraId="7B6CC55E" w14:textId="77777777" w:rsidR="00B10854" w:rsidRPr="00B93D7F" w:rsidRDefault="008F1458" w:rsidP="00E2622B">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AR"/>
        </w:rPr>
      </w:pPr>
      <w:r>
        <w:rPr>
          <w:sz w:val="20"/>
          <w:szCs w:val="20"/>
          <w:lang w:val="es-AR"/>
        </w:rPr>
        <w:t>Por último, e</w:t>
      </w:r>
      <w:r w:rsidR="00B10854">
        <w:rPr>
          <w:sz w:val="20"/>
          <w:szCs w:val="20"/>
          <w:lang w:val="es-AR"/>
        </w:rPr>
        <w:t>l E</w:t>
      </w:r>
      <w:r>
        <w:rPr>
          <w:sz w:val="20"/>
          <w:szCs w:val="20"/>
          <w:lang w:val="es-AR"/>
        </w:rPr>
        <w:t>stado</w:t>
      </w:r>
      <w:r w:rsidR="00B10854">
        <w:rPr>
          <w:sz w:val="20"/>
          <w:szCs w:val="20"/>
          <w:lang w:val="es-AR"/>
        </w:rPr>
        <w:t xml:space="preserve"> argumenta que la petición no cumple con el requisito de agotamiento de los recursos internos </w:t>
      </w:r>
      <w:r w:rsidR="002A6C7F">
        <w:rPr>
          <w:sz w:val="20"/>
          <w:szCs w:val="20"/>
          <w:lang w:val="es-AR"/>
        </w:rPr>
        <w:t>en vía administrativa</w:t>
      </w:r>
      <w:r w:rsidR="00E95030">
        <w:rPr>
          <w:sz w:val="20"/>
          <w:szCs w:val="20"/>
          <w:lang w:val="es-AR"/>
        </w:rPr>
        <w:t>,</w:t>
      </w:r>
      <w:r w:rsidR="002A6C7F">
        <w:rPr>
          <w:sz w:val="20"/>
          <w:szCs w:val="20"/>
          <w:lang w:val="es-AR"/>
        </w:rPr>
        <w:t xml:space="preserve"> </w:t>
      </w:r>
      <w:r w:rsidR="00B10854">
        <w:rPr>
          <w:sz w:val="20"/>
          <w:szCs w:val="20"/>
          <w:lang w:val="es-AR"/>
        </w:rPr>
        <w:t>debido a que los familiares de la presunta víctima no interpusieron la acción de reparación directa contra el Ministerio de Defensa</w:t>
      </w:r>
      <w:r w:rsidR="002A6C7F">
        <w:rPr>
          <w:sz w:val="20"/>
          <w:szCs w:val="20"/>
          <w:lang w:val="es-AR"/>
        </w:rPr>
        <w:t xml:space="preserve">. </w:t>
      </w:r>
      <w:r w:rsidR="00F77E6E">
        <w:rPr>
          <w:sz w:val="20"/>
          <w:szCs w:val="20"/>
          <w:lang w:val="es-AR"/>
        </w:rPr>
        <w:t xml:space="preserve">Aduce que la acción de reparación directa es el recurso adecuado y efectivo para hacer reclamaciones de responsabilidad contra el Estado, cuando en el ejercicio de sus funciones </w:t>
      </w:r>
      <w:r w:rsidR="002A6C7F">
        <w:rPr>
          <w:sz w:val="20"/>
          <w:szCs w:val="20"/>
          <w:lang w:val="es-AR"/>
        </w:rPr>
        <w:t xml:space="preserve">se </w:t>
      </w:r>
      <w:r w:rsidR="00F77E6E">
        <w:rPr>
          <w:sz w:val="20"/>
          <w:szCs w:val="20"/>
          <w:lang w:val="es-AR"/>
        </w:rPr>
        <w:t>cause daño a alguna persona</w:t>
      </w:r>
      <w:r w:rsidR="00E95030">
        <w:rPr>
          <w:sz w:val="20"/>
          <w:szCs w:val="20"/>
          <w:lang w:val="es-AR"/>
        </w:rPr>
        <w:t>.</w:t>
      </w:r>
      <w:r w:rsidR="002A6C7F">
        <w:rPr>
          <w:sz w:val="20"/>
          <w:szCs w:val="20"/>
          <w:lang w:val="es-AR"/>
        </w:rPr>
        <w:t xml:space="preserve"> </w:t>
      </w:r>
      <w:r w:rsidR="00E95030">
        <w:rPr>
          <w:sz w:val="20"/>
          <w:szCs w:val="20"/>
          <w:lang w:val="es-AR"/>
        </w:rPr>
        <w:t xml:space="preserve">Afirma lo anterior </w:t>
      </w:r>
      <w:r w:rsidR="002A6C7F">
        <w:rPr>
          <w:sz w:val="20"/>
          <w:szCs w:val="20"/>
          <w:lang w:val="es-AR"/>
        </w:rPr>
        <w:t>teniendo en cuenta que la parte peticionaria refiere a una supuesta convivencia entre las fuerzas que operaban al margen de la ley y miembros de la fuerza pública</w:t>
      </w:r>
      <w:r w:rsidR="00F77E6E">
        <w:rPr>
          <w:sz w:val="20"/>
          <w:szCs w:val="20"/>
          <w:lang w:val="es-AR"/>
        </w:rPr>
        <w:t xml:space="preserve">. </w:t>
      </w:r>
      <w:r w:rsidR="007F08C8">
        <w:rPr>
          <w:sz w:val="20"/>
          <w:szCs w:val="20"/>
          <w:lang w:val="es-AR"/>
        </w:rPr>
        <w:t xml:space="preserve">Sin perjuicio de lo anterior, el Estado indica </w:t>
      </w:r>
      <w:r w:rsidR="00B37273">
        <w:rPr>
          <w:sz w:val="20"/>
          <w:szCs w:val="20"/>
          <w:lang w:val="es-AR"/>
        </w:rPr>
        <w:t>que,</w:t>
      </w:r>
      <w:r w:rsidR="007F08C8">
        <w:rPr>
          <w:sz w:val="20"/>
          <w:szCs w:val="20"/>
          <w:lang w:val="es-AR"/>
        </w:rPr>
        <w:t xml:space="preserve"> </w:t>
      </w:r>
      <w:r w:rsidR="002A6C7F">
        <w:rPr>
          <w:sz w:val="20"/>
          <w:szCs w:val="20"/>
          <w:lang w:val="es-AR"/>
        </w:rPr>
        <w:t>en el marco de la Ley 1448 de 2011 (Ley de V</w:t>
      </w:r>
      <w:r w:rsidR="00E95030">
        <w:rPr>
          <w:sz w:val="20"/>
          <w:szCs w:val="20"/>
          <w:lang w:val="es-AR"/>
        </w:rPr>
        <w:t>í</w:t>
      </w:r>
      <w:r w:rsidR="002A6C7F">
        <w:rPr>
          <w:sz w:val="20"/>
          <w:szCs w:val="20"/>
          <w:lang w:val="es-AR"/>
        </w:rPr>
        <w:t xml:space="preserve">ctimas y Restitución de Tierras), </w:t>
      </w:r>
      <w:r w:rsidR="007F08C8">
        <w:rPr>
          <w:sz w:val="20"/>
          <w:szCs w:val="20"/>
          <w:lang w:val="es-AR"/>
        </w:rPr>
        <w:t xml:space="preserve">los familiares de la presunta víctima recibieron </w:t>
      </w:r>
      <w:r w:rsidR="002A6C7F">
        <w:rPr>
          <w:sz w:val="20"/>
          <w:szCs w:val="20"/>
          <w:lang w:val="es-AR"/>
        </w:rPr>
        <w:t xml:space="preserve">como medidas de reparación sumas </w:t>
      </w:r>
      <w:r w:rsidR="00B37273">
        <w:rPr>
          <w:sz w:val="20"/>
          <w:szCs w:val="20"/>
          <w:lang w:val="es-AR"/>
        </w:rPr>
        <w:t xml:space="preserve">monetarias </w:t>
      </w:r>
      <w:r w:rsidR="002A6C7F">
        <w:rPr>
          <w:sz w:val="20"/>
          <w:szCs w:val="20"/>
          <w:lang w:val="es-AR"/>
        </w:rPr>
        <w:t>indemnizatorias y otras medidas psicosociales como resultado de los hechos</w:t>
      </w:r>
      <w:r w:rsidR="00E95030">
        <w:rPr>
          <w:sz w:val="20"/>
          <w:szCs w:val="20"/>
          <w:lang w:val="es-AR"/>
        </w:rPr>
        <w:t>,</w:t>
      </w:r>
      <w:r w:rsidR="002A6C7F">
        <w:rPr>
          <w:sz w:val="20"/>
          <w:szCs w:val="20"/>
          <w:lang w:val="es-AR"/>
        </w:rPr>
        <w:t xml:space="preserve"> y </w:t>
      </w:r>
      <w:r w:rsidR="00B37273">
        <w:rPr>
          <w:sz w:val="20"/>
          <w:szCs w:val="20"/>
          <w:lang w:val="es-AR"/>
        </w:rPr>
        <w:t xml:space="preserve">por el </w:t>
      </w:r>
      <w:r w:rsidR="00E95030">
        <w:rPr>
          <w:sz w:val="20"/>
          <w:szCs w:val="20"/>
          <w:lang w:val="es-AR"/>
        </w:rPr>
        <w:t xml:space="preserve">consecuente </w:t>
      </w:r>
      <w:r w:rsidR="00B37273">
        <w:rPr>
          <w:sz w:val="20"/>
          <w:szCs w:val="20"/>
          <w:lang w:val="es-AR"/>
        </w:rPr>
        <w:t xml:space="preserve">desplazamiento forzado. </w:t>
      </w:r>
    </w:p>
    <w:p w14:paraId="16DC94B2" w14:textId="77777777" w:rsidR="003239B8" w:rsidRPr="00E64C3D" w:rsidRDefault="003239B8" w:rsidP="003239B8">
      <w:pPr>
        <w:spacing w:before="240" w:after="240"/>
        <w:ind w:firstLine="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14:paraId="274139B9" w14:textId="77777777" w:rsidR="00A24590" w:rsidRDefault="00985B45" w:rsidP="00985B4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Pr>
          <w:sz w:val="20"/>
          <w:szCs w:val="20"/>
          <w:lang w:val="es-UY"/>
        </w:rPr>
        <w:t>E</w:t>
      </w:r>
      <w:r w:rsidR="00A24590" w:rsidRPr="00A24590">
        <w:rPr>
          <w:sz w:val="20"/>
          <w:szCs w:val="20"/>
          <w:lang w:val="es-AR"/>
        </w:rPr>
        <w:t xml:space="preserve">l Estado sostiene que, </w:t>
      </w:r>
      <w:r w:rsidR="00A24590" w:rsidRPr="00A24590">
        <w:rPr>
          <w:sz w:val="20"/>
          <w:szCs w:val="20"/>
          <w:lang w:val="es-ES"/>
        </w:rPr>
        <w:t>dada la complejidad del caso, el proceso penal se ha desarrollado dentro de un plazo razonable</w:t>
      </w:r>
      <w:r w:rsidR="009A5FA4">
        <w:rPr>
          <w:sz w:val="20"/>
          <w:szCs w:val="20"/>
          <w:lang w:val="es-ES"/>
        </w:rPr>
        <w:t>, y que se</w:t>
      </w:r>
      <w:r>
        <w:rPr>
          <w:sz w:val="20"/>
          <w:szCs w:val="20"/>
          <w:lang w:val="es-ES"/>
        </w:rPr>
        <w:t xml:space="preserve"> </w:t>
      </w:r>
      <w:r w:rsidR="009A5FA4">
        <w:rPr>
          <w:sz w:val="20"/>
          <w:szCs w:val="20"/>
          <w:lang w:val="es-ES"/>
        </w:rPr>
        <w:t>encuentra</w:t>
      </w:r>
      <w:r>
        <w:rPr>
          <w:sz w:val="20"/>
          <w:szCs w:val="20"/>
          <w:lang w:val="es-ES"/>
        </w:rPr>
        <w:t xml:space="preserve"> actualmente</w:t>
      </w:r>
      <w:r w:rsidRPr="00985B45">
        <w:rPr>
          <w:sz w:val="20"/>
          <w:szCs w:val="20"/>
          <w:lang w:val="es-ES"/>
        </w:rPr>
        <w:t xml:space="preserve"> en etapa de investigación y documentación en la </w:t>
      </w:r>
      <w:r w:rsidR="009A5FA4">
        <w:rPr>
          <w:sz w:val="20"/>
          <w:szCs w:val="20"/>
          <w:lang w:val="es-ES"/>
        </w:rPr>
        <w:t>F</w:t>
      </w:r>
      <w:r w:rsidRPr="00985B45">
        <w:rPr>
          <w:sz w:val="20"/>
          <w:szCs w:val="20"/>
          <w:lang w:val="es-ES"/>
        </w:rPr>
        <w:t>iscalía 34 Delegada ante el Tribunal Superior del Distrito Judicial Adscrito a la Dirección de Justicia Transicional de l</w:t>
      </w:r>
      <w:r>
        <w:rPr>
          <w:sz w:val="20"/>
          <w:szCs w:val="20"/>
          <w:lang w:val="es-ES"/>
        </w:rPr>
        <w:t>a Fiscalía General de la Nación. A</w:t>
      </w:r>
      <w:r w:rsidR="00A24590" w:rsidRPr="00A24590">
        <w:rPr>
          <w:sz w:val="20"/>
          <w:szCs w:val="20"/>
          <w:lang w:val="es-ES"/>
        </w:rPr>
        <w:t>dicionalmente</w:t>
      </w:r>
      <w:r w:rsidR="009A5FA4">
        <w:rPr>
          <w:sz w:val="20"/>
          <w:szCs w:val="20"/>
          <w:lang w:val="es-ES"/>
        </w:rPr>
        <w:t>,</w:t>
      </w:r>
      <w:r w:rsidR="00A24590" w:rsidRPr="00A24590">
        <w:rPr>
          <w:sz w:val="20"/>
          <w:szCs w:val="20"/>
          <w:lang w:val="es-ES"/>
        </w:rPr>
        <w:t xml:space="preserve"> aduce </w:t>
      </w:r>
      <w:r w:rsidR="009A5FA4">
        <w:rPr>
          <w:sz w:val="20"/>
          <w:szCs w:val="20"/>
          <w:lang w:val="es-ES"/>
        </w:rPr>
        <w:t xml:space="preserve">la </w:t>
      </w:r>
      <w:r w:rsidR="00A24590" w:rsidRPr="00A24590">
        <w:rPr>
          <w:sz w:val="20"/>
          <w:szCs w:val="20"/>
          <w:lang w:val="es-ES"/>
        </w:rPr>
        <w:t xml:space="preserve">falta de agotamiento de </w:t>
      </w:r>
      <w:r>
        <w:rPr>
          <w:sz w:val="20"/>
          <w:szCs w:val="20"/>
          <w:lang w:val="es-ES"/>
        </w:rPr>
        <w:t xml:space="preserve">la acción de reparación directa. En contraposición, la parte peticionaria </w:t>
      </w:r>
      <w:r w:rsidR="009A5FA4">
        <w:rPr>
          <w:sz w:val="20"/>
          <w:szCs w:val="20"/>
          <w:lang w:val="es-ES"/>
        </w:rPr>
        <w:t>alega</w:t>
      </w:r>
      <w:r w:rsidR="006466C4">
        <w:rPr>
          <w:sz w:val="20"/>
          <w:szCs w:val="20"/>
          <w:lang w:val="es-ES"/>
        </w:rPr>
        <w:t xml:space="preserve"> retardo injustificado debido </w:t>
      </w:r>
      <w:r w:rsidR="009A5FA4">
        <w:rPr>
          <w:sz w:val="20"/>
          <w:szCs w:val="20"/>
          <w:lang w:val="es-ES"/>
        </w:rPr>
        <w:t xml:space="preserve">a </w:t>
      </w:r>
      <w:r w:rsidR="006466C4">
        <w:rPr>
          <w:sz w:val="20"/>
          <w:szCs w:val="20"/>
          <w:lang w:val="es-ES"/>
        </w:rPr>
        <w:t xml:space="preserve">que hasta la </w:t>
      </w:r>
      <w:r w:rsidR="006466C4">
        <w:rPr>
          <w:sz w:val="20"/>
          <w:szCs w:val="20"/>
          <w:lang w:val="es-ES"/>
        </w:rPr>
        <w:lastRenderedPageBreak/>
        <w:t>fecha no ha sido posible el</w:t>
      </w:r>
      <w:r w:rsidR="006466C4" w:rsidRPr="002706AC">
        <w:rPr>
          <w:sz w:val="20"/>
          <w:szCs w:val="20"/>
          <w:lang w:val="es-ES"/>
        </w:rPr>
        <w:t xml:space="preserve"> esclarecimiento de los hechos</w:t>
      </w:r>
      <w:r w:rsidR="009A5FA4">
        <w:rPr>
          <w:sz w:val="20"/>
          <w:szCs w:val="20"/>
          <w:lang w:val="es-ES"/>
        </w:rPr>
        <w:t>;</w:t>
      </w:r>
      <w:r w:rsidR="006466C4" w:rsidRPr="002706AC">
        <w:rPr>
          <w:sz w:val="20"/>
          <w:szCs w:val="20"/>
          <w:lang w:val="es-ES"/>
        </w:rPr>
        <w:t xml:space="preserve"> </w:t>
      </w:r>
      <w:r w:rsidR="009A5FA4">
        <w:rPr>
          <w:sz w:val="20"/>
          <w:szCs w:val="20"/>
          <w:lang w:val="es-ES"/>
        </w:rPr>
        <w:t xml:space="preserve">no se ha realizado una </w:t>
      </w:r>
      <w:r w:rsidR="006466C4" w:rsidRPr="002706AC">
        <w:rPr>
          <w:sz w:val="20"/>
          <w:szCs w:val="20"/>
          <w:lang w:val="es-ES"/>
        </w:rPr>
        <w:t>investigación</w:t>
      </w:r>
      <w:r w:rsidR="006466C4">
        <w:rPr>
          <w:sz w:val="20"/>
          <w:szCs w:val="20"/>
          <w:lang w:val="es-ES"/>
        </w:rPr>
        <w:t xml:space="preserve"> diligente</w:t>
      </w:r>
      <w:r w:rsidR="006466C4" w:rsidRPr="002706AC">
        <w:rPr>
          <w:sz w:val="20"/>
          <w:szCs w:val="20"/>
          <w:lang w:val="es-ES"/>
        </w:rPr>
        <w:t xml:space="preserve"> </w:t>
      </w:r>
      <w:r w:rsidR="009A5FA4">
        <w:rPr>
          <w:sz w:val="20"/>
          <w:szCs w:val="20"/>
          <w:lang w:val="es-ES"/>
        </w:rPr>
        <w:t>ni</w:t>
      </w:r>
      <w:r w:rsidR="006466C4" w:rsidRPr="002706AC">
        <w:rPr>
          <w:sz w:val="20"/>
          <w:szCs w:val="20"/>
          <w:lang w:val="es-ES"/>
        </w:rPr>
        <w:t xml:space="preserve"> </w:t>
      </w:r>
      <w:r w:rsidR="006466C4">
        <w:rPr>
          <w:sz w:val="20"/>
          <w:szCs w:val="20"/>
          <w:lang w:val="es-ES"/>
        </w:rPr>
        <w:t>sanci</w:t>
      </w:r>
      <w:r w:rsidR="009A5FA4">
        <w:rPr>
          <w:sz w:val="20"/>
          <w:szCs w:val="20"/>
          <w:lang w:val="es-ES"/>
        </w:rPr>
        <w:t>onado</w:t>
      </w:r>
      <w:r w:rsidR="006466C4" w:rsidRPr="002706AC">
        <w:rPr>
          <w:sz w:val="20"/>
          <w:szCs w:val="20"/>
          <w:lang w:val="es-ES"/>
        </w:rPr>
        <w:t xml:space="preserve"> a los responsables</w:t>
      </w:r>
      <w:r w:rsidR="009A5FA4">
        <w:rPr>
          <w:sz w:val="20"/>
          <w:szCs w:val="20"/>
          <w:lang w:val="es-ES"/>
        </w:rPr>
        <w:t>;</w:t>
      </w:r>
      <w:r w:rsidR="006466C4">
        <w:rPr>
          <w:sz w:val="20"/>
          <w:szCs w:val="20"/>
          <w:lang w:val="es-ES"/>
        </w:rPr>
        <w:t xml:space="preserve"> </w:t>
      </w:r>
      <w:r w:rsidR="009A5FA4">
        <w:rPr>
          <w:sz w:val="20"/>
          <w:szCs w:val="20"/>
          <w:lang w:val="es-ES"/>
        </w:rPr>
        <w:t>y que</w:t>
      </w:r>
      <w:r w:rsidR="006466C4">
        <w:rPr>
          <w:sz w:val="20"/>
          <w:szCs w:val="20"/>
          <w:lang w:val="es-ES"/>
        </w:rPr>
        <w:t xml:space="preserve"> tampoco se ha tenido </w:t>
      </w:r>
      <w:r w:rsidR="006466C4" w:rsidRPr="002706AC">
        <w:rPr>
          <w:sz w:val="20"/>
          <w:szCs w:val="20"/>
          <w:lang w:val="es-ES"/>
        </w:rPr>
        <w:t>acceso a una reparaci</w:t>
      </w:r>
      <w:r w:rsidR="006466C4">
        <w:rPr>
          <w:sz w:val="20"/>
          <w:szCs w:val="20"/>
          <w:lang w:val="es-ES"/>
        </w:rPr>
        <w:t>ón integral por el daño sufrido</w:t>
      </w:r>
      <w:r w:rsidR="006466C4">
        <w:rPr>
          <w:sz w:val="20"/>
          <w:szCs w:val="20"/>
          <w:lang w:val="es-AR"/>
        </w:rPr>
        <w:t>.</w:t>
      </w:r>
    </w:p>
    <w:p w14:paraId="0C502582" w14:textId="77777777" w:rsidR="005B7DFF" w:rsidRPr="007342A2" w:rsidRDefault="004E55E7" w:rsidP="005B7DF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891408">
        <w:rPr>
          <w:sz w:val="20"/>
          <w:szCs w:val="20"/>
          <w:lang w:val="es"/>
        </w:rPr>
        <w:t xml:space="preserve">La CIDH ha establecido de forma sostenida que toda vez que se cometa un delito perseguible de oficio, el Estado tiene la obligación de iniciar y/o presentar una acción penal, pues </w:t>
      </w:r>
      <w:r w:rsidR="009A5FA4">
        <w:rPr>
          <w:sz w:val="20"/>
          <w:szCs w:val="20"/>
          <w:lang w:val="es"/>
        </w:rPr>
        <w:t>é</w:t>
      </w:r>
      <w:r w:rsidRPr="00891408">
        <w:rPr>
          <w:sz w:val="20"/>
          <w:szCs w:val="20"/>
          <w:lang w:val="es"/>
        </w:rPr>
        <w:t xml:space="preserve">sta constituye el medio adecuado para esclarecer los hechos, procesar a los responsables y determinar las sanciones penales correspondientes, además de facilitar otras formas de reparación pecuniaria. </w:t>
      </w:r>
      <w:r w:rsidR="009A5FA4">
        <w:rPr>
          <w:sz w:val="20"/>
          <w:szCs w:val="20"/>
          <w:lang w:val="es"/>
        </w:rPr>
        <w:t>Asimismo</w:t>
      </w:r>
      <w:r w:rsidRPr="00891408">
        <w:rPr>
          <w:sz w:val="20"/>
          <w:szCs w:val="20"/>
          <w:lang w:val="es"/>
        </w:rPr>
        <w:t>, como regla general, la investigación penal debe realizarse con prontitud para proteger los intereses de las víctimas, preservar la prueba e incluso salvaguardar los derechos de toda persona que, en el contexto de la investigación, sea considerada sospe</w:t>
      </w:r>
      <w:r w:rsidRPr="000302F7">
        <w:rPr>
          <w:color w:val="auto"/>
          <w:sz w:val="20"/>
          <w:szCs w:val="20"/>
          <w:lang w:val="es"/>
        </w:rPr>
        <w:t xml:space="preserve">chosa. </w:t>
      </w:r>
      <w:r w:rsidR="000302F7" w:rsidRPr="000302F7">
        <w:rPr>
          <w:color w:val="auto"/>
          <w:sz w:val="20"/>
          <w:szCs w:val="20"/>
          <w:lang w:val="es"/>
        </w:rPr>
        <w:t>L</w:t>
      </w:r>
      <w:r w:rsidR="000302F7" w:rsidRPr="000302F7">
        <w:rPr>
          <w:color w:val="auto"/>
          <w:sz w:val="20"/>
          <w:szCs w:val="20"/>
          <w:lang w:val="es-ES"/>
        </w:rPr>
        <w:t xml:space="preserve">a Comisión también ha establecido que las investigaciones penales deben ser conducidas e impulsadas en forma oficiosa y diligente por las autoridades de la justicia penal, y que dicha carga debe ser asumida por el Estado como un deber jurídico propio, y no como una gestión de intereses de particulares o que dependa de la iniciativa de la aportación de pruebas por parte de </w:t>
      </w:r>
      <w:r w:rsidR="009A5FA4" w:rsidRPr="000302F7">
        <w:rPr>
          <w:color w:val="auto"/>
          <w:sz w:val="20"/>
          <w:szCs w:val="20"/>
          <w:lang w:val="es-ES"/>
        </w:rPr>
        <w:t>éstos</w:t>
      </w:r>
      <w:r w:rsidR="000302F7" w:rsidRPr="000302F7">
        <w:rPr>
          <w:color w:val="auto"/>
          <w:sz w:val="20"/>
          <w:szCs w:val="20"/>
          <w:vertAlign w:val="superscript"/>
          <w:lang w:val="es-ES"/>
        </w:rPr>
        <w:footnoteReference w:id="9"/>
      </w:r>
      <w:r w:rsidR="000302F7" w:rsidRPr="000302F7">
        <w:rPr>
          <w:color w:val="auto"/>
          <w:sz w:val="20"/>
          <w:szCs w:val="20"/>
          <w:lang w:val="es-ES"/>
        </w:rPr>
        <w:t xml:space="preserve">. En atención a estas consideraciones, y </w:t>
      </w:r>
      <w:r w:rsidR="009A5FA4">
        <w:rPr>
          <w:color w:val="auto"/>
          <w:sz w:val="20"/>
          <w:szCs w:val="20"/>
          <w:lang w:val="es-ES"/>
        </w:rPr>
        <w:t xml:space="preserve">al </w:t>
      </w:r>
      <w:r w:rsidR="000302F7" w:rsidRPr="000302F7">
        <w:rPr>
          <w:color w:val="auto"/>
          <w:sz w:val="20"/>
          <w:szCs w:val="20"/>
          <w:lang w:val="es-ES"/>
        </w:rPr>
        <w:t>observa</w:t>
      </w:r>
      <w:r w:rsidR="009A5FA4">
        <w:rPr>
          <w:color w:val="auto"/>
          <w:sz w:val="20"/>
          <w:szCs w:val="20"/>
          <w:lang w:val="es-ES"/>
        </w:rPr>
        <w:t>r</w:t>
      </w:r>
      <w:r w:rsidR="000302F7" w:rsidRPr="000302F7">
        <w:rPr>
          <w:color w:val="auto"/>
          <w:sz w:val="20"/>
          <w:szCs w:val="20"/>
          <w:lang w:val="es-ES"/>
        </w:rPr>
        <w:t xml:space="preserve"> el proceso penal como un todo desde que iniciaron los hechos, la CIDH nota que han transcurrido </w:t>
      </w:r>
      <w:r w:rsidR="009A5FA4">
        <w:rPr>
          <w:color w:val="auto"/>
          <w:sz w:val="20"/>
          <w:szCs w:val="20"/>
          <w:lang w:val="es-ES"/>
        </w:rPr>
        <w:t>aproximadamente</w:t>
      </w:r>
      <w:r w:rsidR="000302F7" w:rsidRPr="000302F7">
        <w:rPr>
          <w:color w:val="auto"/>
          <w:sz w:val="20"/>
          <w:szCs w:val="20"/>
          <w:lang w:val="es-ES"/>
        </w:rPr>
        <w:t xml:space="preserve"> </w:t>
      </w:r>
      <w:r w:rsidR="009A5FA4">
        <w:rPr>
          <w:color w:val="auto"/>
          <w:sz w:val="20"/>
          <w:szCs w:val="20"/>
          <w:lang w:val="es-ES"/>
        </w:rPr>
        <w:t>26</w:t>
      </w:r>
      <w:r w:rsidR="000302F7" w:rsidRPr="000302F7">
        <w:rPr>
          <w:color w:val="auto"/>
          <w:sz w:val="20"/>
          <w:szCs w:val="20"/>
          <w:lang w:val="es-ES"/>
        </w:rPr>
        <w:t xml:space="preserve"> años desde el asesinato de la presunta víctima y sus consecuencias, y que a la fecha el proceso se encuentra en fase de investigación y documentación. Además, </w:t>
      </w:r>
      <w:r w:rsidR="000302F7">
        <w:rPr>
          <w:sz w:val="20"/>
          <w:szCs w:val="20"/>
          <w:lang w:val="es-ES"/>
        </w:rPr>
        <w:t>la Comisión considera que e</w:t>
      </w:r>
      <w:r w:rsidRPr="00891408">
        <w:rPr>
          <w:sz w:val="20"/>
          <w:szCs w:val="20"/>
          <w:lang w:val="es"/>
        </w:rPr>
        <w:t xml:space="preserve">l Estado no </w:t>
      </w:r>
      <w:r w:rsidR="000302F7">
        <w:rPr>
          <w:sz w:val="20"/>
          <w:szCs w:val="20"/>
          <w:lang w:val="es"/>
        </w:rPr>
        <w:t xml:space="preserve">ha </w:t>
      </w:r>
      <w:r w:rsidRPr="00891408">
        <w:rPr>
          <w:sz w:val="20"/>
          <w:szCs w:val="20"/>
          <w:lang w:val="es"/>
        </w:rPr>
        <w:t>aporta</w:t>
      </w:r>
      <w:r w:rsidR="000302F7">
        <w:rPr>
          <w:sz w:val="20"/>
          <w:szCs w:val="20"/>
          <w:lang w:val="es"/>
        </w:rPr>
        <w:t>do</w:t>
      </w:r>
      <w:r w:rsidRPr="00891408">
        <w:rPr>
          <w:sz w:val="20"/>
          <w:szCs w:val="20"/>
          <w:lang w:val="es"/>
        </w:rPr>
        <w:t xml:space="preserve"> pruebas que corroboren que la complejidad del asunto sea la razón por la que la investigación penal </w:t>
      </w:r>
      <w:r w:rsidR="000302F7">
        <w:rPr>
          <w:sz w:val="20"/>
          <w:szCs w:val="20"/>
          <w:lang w:val="es"/>
        </w:rPr>
        <w:t>continúe en fase investigativa</w:t>
      </w:r>
      <w:r w:rsidRPr="00891408">
        <w:rPr>
          <w:sz w:val="20"/>
          <w:szCs w:val="20"/>
          <w:lang w:val="es"/>
        </w:rPr>
        <w:t xml:space="preserve">. </w:t>
      </w:r>
      <w:r w:rsidR="00FD7E75">
        <w:rPr>
          <w:sz w:val="20"/>
          <w:szCs w:val="20"/>
          <w:lang w:val="es"/>
        </w:rPr>
        <w:t>P</w:t>
      </w:r>
      <w:r w:rsidR="000302F7">
        <w:rPr>
          <w:sz w:val="20"/>
          <w:szCs w:val="20"/>
          <w:lang w:val="es"/>
        </w:rPr>
        <w:t xml:space="preserve">ara efectos del </w:t>
      </w:r>
      <w:r w:rsidR="001E5321">
        <w:rPr>
          <w:sz w:val="20"/>
          <w:szCs w:val="20"/>
          <w:lang w:val="es"/>
        </w:rPr>
        <w:t>análisis</w:t>
      </w:r>
      <w:r w:rsidR="000302F7">
        <w:rPr>
          <w:sz w:val="20"/>
          <w:szCs w:val="20"/>
          <w:lang w:val="es"/>
        </w:rPr>
        <w:t xml:space="preserve"> de admisibilidad, </w:t>
      </w:r>
      <w:r w:rsidRPr="00891408">
        <w:rPr>
          <w:sz w:val="20"/>
          <w:szCs w:val="20"/>
          <w:lang w:val="es"/>
        </w:rPr>
        <w:t xml:space="preserve">la CIDH concluye que </w:t>
      </w:r>
      <w:r w:rsidR="00FD7E75">
        <w:rPr>
          <w:sz w:val="20"/>
          <w:szCs w:val="20"/>
          <w:lang w:val="es"/>
        </w:rPr>
        <w:t>hay</w:t>
      </w:r>
      <w:r w:rsidRPr="00891408">
        <w:rPr>
          <w:sz w:val="20"/>
          <w:szCs w:val="20"/>
          <w:lang w:val="es"/>
        </w:rPr>
        <w:t xml:space="preserve"> una demora injustificada en la investigación y que, en consecuencia, corresponde aplicar en este caso la excepción al agotamiento de los recursos internos establecida en el artículo 46(2)(c) de la Convención Americana. </w:t>
      </w:r>
    </w:p>
    <w:p w14:paraId="79BBA1A6" w14:textId="0942D118" w:rsidR="00A24590" w:rsidRPr="005B7DFF" w:rsidRDefault="00FD7E75" w:rsidP="005B7DF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Pr>
          <w:sz w:val="20"/>
          <w:szCs w:val="20"/>
          <w:lang w:val="es-ES"/>
        </w:rPr>
        <w:t xml:space="preserve">Respecto al </w:t>
      </w:r>
      <w:r w:rsidR="001E5321">
        <w:rPr>
          <w:sz w:val="20"/>
          <w:szCs w:val="20"/>
          <w:lang w:val="es-ES"/>
        </w:rPr>
        <w:t xml:space="preserve">alegato </w:t>
      </w:r>
      <w:r>
        <w:rPr>
          <w:sz w:val="20"/>
          <w:szCs w:val="20"/>
          <w:lang w:val="es-ES"/>
        </w:rPr>
        <w:t xml:space="preserve">de falta de agotamiento de </w:t>
      </w:r>
      <w:r w:rsidR="00845B7B">
        <w:rPr>
          <w:sz w:val="20"/>
          <w:szCs w:val="20"/>
          <w:lang w:val="es-ES"/>
        </w:rPr>
        <w:t xml:space="preserve">la </w:t>
      </w:r>
      <w:r w:rsidR="005B7DFF" w:rsidRPr="00A24590">
        <w:rPr>
          <w:sz w:val="20"/>
          <w:szCs w:val="20"/>
          <w:lang w:val="es-ES"/>
        </w:rPr>
        <w:t xml:space="preserve">reparación directa </w:t>
      </w:r>
      <w:r>
        <w:rPr>
          <w:sz w:val="20"/>
          <w:szCs w:val="20"/>
          <w:lang w:val="es-ES"/>
        </w:rPr>
        <w:t>en</w:t>
      </w:r>
      <w:r w:rsidR="005B7DFF" w:rsidRPr="00A24590">
        <w:rPr>
          <w:sz w:val="20"/>
          <w:szCs w:val="20"/>
          <w:lang w:val="es-ES"/>
        </w:rPr>
        <w:t xml:space="preserve"> la jurisdicción contencioso administrativa, la Comisión ha sostenido reiteradamente que dicha vía no constituye un recurso idóneo a efectos de analizar la admisibilidad</w:t>
      </w:r>
      <w:r>
        <w:rPr>
          <w:sz w:val="20"/>
          <w:szCs w:val="20"/>
          <w:lang w:val="es-ES"/>
        </w:rPr>
        <w:t>.</w:t>
      </w:r>
      <w:r w:rsidR="005B7DFF" w:rsidRPr="00A24590">
        <w:rPr>
          <w:sz w:val="20"/>
          <w:szCs w:val="20"/>
          <w:lang w:val="es-ES"/>
        </w:rPr>
        <w:t xml:space="preserve"> </w:t>
      </w:r>
      <w:r>
        <w:rPr>
          <w:sz w:val="20"/>
          <w:szCs w:val="20"/>
          <w:lang w:val="es-ES"/>
        </w:rPr>
        <w:t>T</w:t>
      </w:r>
      <w:r w:rsidR="008F178E">
        <w:rPr>
          <w:sz w:val="20"/>
          <w:szCs w:val="20"/>
          <w:lang w:val="es-ES"/>
        </w:rPr>
        <w:t xml:space="preserve">ampoco es necesario agotar </w:t>
      </w:r>
      <w:r>
        <w:rPr>
          <w:sz w:val="20"/>
          <w:szCs w:val="20"/>
          <w:lang w:val="es-ES"/>
        </w:rPr>
        <w:t xml:space="preserve">dicho recurso </w:t>
      </w:r>
      <w:r w:rsidR="008F178E">
        <w:rPr>
          <w:sz w:val="20"/>
          <w:szCs w:val="20"/>
          <w:lang w:val="es-ES"/>
        </w:rPr>
        <w:t>en</w:t>
      </w:r>
      <w:r w:rsidR="005B7DFF" w:rsidRPr="00A24590">
        <w:rPr>
          <w:sz w:val="20"/>
          <w:szCs w:val="20"/>
          <w:lang w:val="es-ES"/>
        </w:rPr>
        <w:t xml:space="preserve"> un reclamo de la naturaleza del presente, ya que no es adecuad</w:t>
      </w:r>
      <w:r>
        <w:rPr>
          <w:sz w:val="20"/>
          <w:szCs w:val="20"/>
          <w:lang w:val="es-ES"/>
        </w:rPr>
        <w:t>o</w:t>
      </w:r>
      <w:r w:rsidR="005B7DFF" w:rsidRPr="00A24590">
        <w:rPr>
          <w:sz w:val="20"/>
          <w:szCs w:val="20"/>
          <w:lang w:val="es-ES"/>
        </w:rPr>
        <w:t xml:space="preserve"> para proporcionar una reparación integral que incluye esclarecimiento y justicia a los familiares.</w:t>
      </w:r>
      <w:r w:rsidR="003A634D" w:rsidRPr="005B7DFF">
        <w:rPr>
          <w:color w:val="FF0000"/>
          <w:sz w:val="20"/>
          <w:szCs w:val="20"/>
          <w:lang w:val="es"/>
        </w:rPr>
        <w:t xml:space="preserve"> </w:t>
      </w:r>
      <w:r w:rsidR="003A634D">
        <w:rPr>
          <w:sz w:val="20"/>
          <w:szCs w:val="20"/>
          <w:lang w:val="es"/>
        </w:rPr>
        <w:t xml:space="preserve">Sin perjuicio de ello, la Comisión toma nota </w:t>
      </w:r>
      <w:r w:rsidR="00296D7B">
        <w:rPr>
          <w:sz w:val="20"/>
          <w:szCs w:val="20"/>
          <w:lang w:val="es"/>
        </w:rPr>
        <w:t>que</w:t>
      </w:r>
      <w:r w:rsidR="003A634D">
        <w:rPr>
          <w:sz w:val="20"/>
          <w:szCs w:val="20"/>
          <w:lang w:val="es"/>
        </w:rPr>
        <w:t xml:space="preserve"> el Estado habría concedido ciertas medidas de reparación a los familiares de la presunta víctima en el marco de la </w:t>
      </w:r>
      <w:r w:rsidR="003A634D">
        <w:rPr>
          <w:sz w:val="20"/>
          <w:szCs w:val="20"/>
          <w:lang w:val="es-AR"/>
        </w:rPr>
        <w:t>Ley 1448 de 2011</w:t>
      </w:r>
      <w:r w:rsidR="00455EF4">
        <w:rPr>
          <w:sz w:val="20"/>
          <w:szCs w:val="20"/>
          <w:lang w:val="es-AR"/>
        </w:rPr>
        <w:t xml:space="preserve"> y estas serán consideradas en</w:t>
      </w:r>
      <w:r w:rsidR="00F56443">
        <w:rPr>
          <w:sz w:val="20"/>
          <w:szCs w:val="20"/>
          <w:lang w:val="es-AR"/>
        </w:rPr>
        <w:t xml:space="preserve"> </w:t>
      </w:r>
      <w:r w:rsidR="00455EF4">
        <w:rPr>
          <w:sz w:val="20"/>
          <w:szCs w:val="20"/>
          <w:lang w:val="es-AR"/>
        </w:rPr>
        <w:t>la etapa de fondo</w:t>
      </w:r>
      <w:r w:rsidR="003A634D">
        <w:rPr>
          <w:sz w:val="20"/>
          <w:szCs w:val="20"/>
          <w:lang w:val="es-AR"/>
        </w:rPr>
        <w:t>.</w:t>
      </w:r>
      <w:r w:rsidR="005B7DFF">
        <w:rPr>
          <w:sz w:val="20"/>
          <w:szCs w:val="20"/>
          <w:lang w:val="es-AR"/>
        </w:rPr>
        <w:t xml:space="preserve"> </w:t>
      </w:r>
    </w:p>
    <w:p w14:paraId="2E354AB4" w14:textId="77777777" w:rsidR="004E55E7" w:rsidRPr="00D97AF0" w:rsidRDefault="00296D7B" w:rsidP="00D97AF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Pr>
          <w:sz w:val="20"/>
          <w:szCs w:val="20"/>
          <w:lang w:val="es"/>
        </w:rPr>
        <w:t>La</w:t>
      </w:r>
      <w:r w:rsidR="004E55E7" w:rsidRPr="00D97AF0">
        <w:rPr>
          <w:sz w:val="20"/>
          <w:szCs w:val="20"/>
          <w:lang w:val="es"/>
        </w:rPr>
        <w:t xml:space="preserve"> petición fue presentada el </w:t>
      </w:r>
      <w:r w:rsidR="008F178E">
        <w:rPr>
          <w:sz w:val="20"/>
          <w:szCs w:val="20"/>
          <w:lang w:val="es"/>
        </w:rPr>
        <w:t>20</w:t>
      </w:r>
      <w:r w:rsidR="004E55E7" w:rsidRPr="00D97AF0">
        <w:rPr>
          <w:sz w:val="20"/>
          <w:szCs w:val="20"/>
          <w:lang w:val="es"/>
        </w:rPr>
        <w:t xml:space="preserve"> de </w:t>
      </w:r>
      <w:r w:rsidR="008F178E">
        <w:rPr>
          <w:sz w:val="20"/>
          <w:szCs w:val="20"/>
          <w:lang w:val="es"/>
        </w:rPr>
        <w:t>marzo</w:t>
      </w:r>
      <w:r w:rsidR="004E55E7" w:rsidRPr="00D97AF0">
        <w:rPr>
          <w:sz w:val="20"/>
          <w:szCs w:val="20"/>
          <w:lang w:val="es"/>
        </w:rPr>
        <w:t xml:space="preserve"> de </w:t>
      </w:r>
      <w:r w:rsidR="008F178E">
        <w:rPr>
          <w:sz w:val="20"/>
          <w:szCs w:val="20"/>
          <w:lang w:val="es"/>
        </w:rPr>
        <w:t>2009</w:t>
      </w:r>
      <w:r w:rsidR="004E55E7" w:rsidRPr="00D97AF0">
        <w:rPr>
          <w:sz w:val="20"/>
          <w:szCs w:val="20"/>
          <w:lang w:val="es"/>
        </w:rPr>
        <w:t xml:space="preserve">, los hechos alegados habrían ocurrido a partir </w:t>
      </w:r>
      <w:r w:rsidR="008F178E">
        <w:rPr>
          <w:sz w:val="20"/>
          <w:szCs w:val="20"/>
          <w:lang w:val="es"/>
        </w:rPr>
        <w:t xml:space="preserve">del </w:t>
      </w:r>
      <w:r w:rsidR="008F178E">
        <w:rPr>
          <w:sz w:val="20"/>
          <w:szCs w:val="20"/>
          <w:lang w:val="es-AR"/>
        </w:rPr>
        <w:t>26 de febrero de 1994</w:t>
      </w:r>
      <w:r>
        <w:rPr>
          <w:sz w:val="20"/>
          <w:szCs w:val="20"/>
          <w:lang w:val="es-AR"/>
        </w:rPr>
        <w:t>,</w:t>
      </w:r>
      <w:r w:rsidR="004E55E7" w:rsidRPr="00D97AF0">
        <w:rPr>
          <w:sz w:val="20"/>
          <w:szCs w:val="20"/>
          <w:lang w:val="es"/>
        </w:rPr>
        <w:t xml:space="preserve"> y los presuntos efectos se extenderían hasta la actualidad. Por lo tanto, en vista del contexto y las características del asunto, la Comisión considera que la petición fue presentada en un plazo razonable y, por consiguiente, cumple con </w:t>
      </w:r>
      <w:r>
        <w:rPr>
          <w:sz w:val="20"/>
          <w:szCs w:val="20"/>
          <w:lang w:val="es"/>
        </w:rPr>
        <w:t>dicho</w:t>
      </w:r>
      <w:r w:rsidR="004E55E7" w:rsidRPr="00D97AF0">
        <w:rPr>
          <w:sz w:val="20"/>
          <w:szCs w:val="20"/>
          <w:lang w:val="es"/>
        </w:rPr>
        <w:t xml:space="preserve"> requisito de admisibilidad.</w:t>
      </w:r>
    </w:p>
    <w:p w14:paraId="4D7F965C" w14:textId="77777777" w:rsidR="003239B8" w:rsidRPr="00E64C3D" w:rsidRDefault="003239B8" w:rsidP="003239B8">
      <w:pPr>
        <w:pStyle w:val="ListParagraph"/>
        <w:spacing w:before="240" w:after="240"/>
        <w:jc w:val="both"/>
        <w:rPr>
          <w:rFonts w:asciiTheme="majorHAnsi" w:hAnsiTheme="majorHAnsi"/>
          <w:b/>
          <w:sz w:val="20"/>
          <w:szCs w:val="20"/>
          <w:lang w:val="es-ES"/>
        </w:rPr>
      </w:pPr>
      <w:r w:rsidRPr="00E64C3D">
        <w:rPr>
          <w:rFonts w:asciiTheme="majorHAnsi" w:hAnsiTheme="majorHAnsi"/>
          <w:b/>
          <w:bCs/>
          <w:sz w:val="20"/>
          <w:szCs w:val="20"/>
          <w:lang w:val="es-ES"/>
        </w:rPr>
        <w:t>VII.</w:t>
      </w:r>
      <w:r w:rsidRPr="00E64C3D">
        <w:rPr>
          <w:rFonts w:asciiTheme="majorHAnsi" w:hAnsiTheme="majorHAnsi"/>
          <w:b/>
          <w:bCs/>
          <w:sz w:val="20"/>
          <w:szCs w:val="20"/>
          <w:lang w:val="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bCs/>
          <w:sz w:val="20"/>
          <w:szCs w:val="20"/>
          <w:lang w:val="es-ES"/>
        </w:rPr>
        <w:t xml:space="preserve">CARACTERIZACIÓN </w:t>
      </w:r>
      <w:r w:rsidR="00C21FEF" w:rsidRPr="00E64C3D">
        <w:rPr>
          <w:rFonts w:asciiTheme="majorHAnsi" w:hAnsiTheme="majorHAnsi"/>
          <w:b/>
          <w:bCs/>
          <w:sz w:val="20"/>
          <w:szCs w:val="20"/>
          <w:lang w:val="es-UY"/>
        </w:rPr>
        <w:t>DE LOS HECHOS ALEGADOS</w:t>
      </w:r>
    </w:p>
    <w:p w14:paraId="32B81F64" w14:textId="77777777" w:rsidR="00C16BE9" w:rsidRPr="00242284" w:rsidRDefault="00C16BE9" w:rsidP="00C16BE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FF0000"/>
          <w:sz w:val="20"/>
          <w:szCs w:val="20"/>
          <w:lang w:val="es-ES"/>
        </w:rPr>
      </w:pPr>
      <w:r>
        <w:rPr>
          <w:sz w:val="20"/>
          <w:szCs w:val="20"/>
          <w:lang w:val="es-ES"/>
        </w:rPr>
        <w:t>El E</w:t>
      </w:r>
      <w:r w:rsidR="002F4D17">
        <w:rPr>
          <w:sz w:val="20"/>
          <w:szCs w:val="20"/>
          <w:lang w:val="es-ES"/>
        </w:rPr>
        <w:t>stado</w:t>
      </w:r>
      <w:r>
        <w:rPr>
          <w:sz w:val="20"/>
          <w:szCs w:val="20"/>
          <w:lang w:val="es-ES"/>
        </w:rPr>
        <w:t xml:space="preserve"> argumenta que la petición resulta infundada debido a que no se evidencia </w:t>
      </w:r>
      <w:r w:rsidR="00296D7B">
        <w:rPr>
          <w:sz w:val="20"/>
          <w:szCs w:val="20"/>
          <w:lang w:val="es-ES"/>
        </w:rPr>
        <w:t xml:space="preserve">su </w:t>
      </w:r>
      <w:r>
        <w:rPr>
          <w:sz w:val="20"/>
          <w:szCs w:val="20"/>
          <w:lang w:val="es-ES"/>
        </w:rPr>
        <w:t xml:space="preserve">responsabilidad directa, </w:t>
      </w:r>
      <w:r w:rsidR="00296D7B">
        <w:rPr>
          <w:sz w:val="20"/>
          <w:szCs w:val="20"/>
          <w:lang w:val="es-ES"/>
        </w:rPr>
        <w:t xml:space="preserve">ya </w:t>
      </w:r>
      <w:r>
        <w:rPr>
          <w:sz w:val="20"/>
          <w:szCs w:val="20"/>
          <w:lang w:val="es-ES"/>
        </w:rPr>
        <w:t xml:space="preserve">que el hecho fue </w:t>
      </w:r>
      <w:r w:rsidR="00296D7B">
        <w:rPr>
          <w:sz w:val="20"/>
          <w:szCs w:val="20"/>
          <w:lang w:val="es-ES"/>
        </w:rPr>
        <w:t>perpetrado</w:t>
      </w:r>
      <w:r>
        <w:rPr>
          <w:sz w:val="20"/>
          <w:szCs w:val="20"/>
          <w:lang w:val="es-ES"/>
        </w:rPr>
        <w:t xml:space="preserve"> exclusiva</w:t>
      </w:r>
      <w:r w:rsidR="00296D7B">
        <w:rPr>
          <w:sz w:val="20"/>
          <w:szCs w:val="20"/>
          <w:lang w:val="es-ES"/>
        </w:rPr>
        <w:t>mente por</w:t>
      </w:r>
      <w:r>
        <w:rPr>
          <w:sz w:val="20"/>
          <w:szCs w:val="20"/>
          <w:lang w:val="es-ES"/>
        </w:rPr>
        <w:t xml:space="preserve"> terceros. </w:t>
      </w:r>
      <w:r w:rsidR="00296D7B">
        <w:rPr>
          <w:sz w:val="20"/>
          <w:szCs w:val="20"/>
          <w:lang w:val="es-ES"/>
        </w:rPr>
        <w:t>A su vez,</w:t>
      </w:r>
      <w:r w:rsidR="00C50228">
        <w:rPr>
          <w:sz w:val="20"/>
          <w:szCs w:val="20"/>
          <w:lang w:val="es-ES"/>
        </w:rPr>
        <w:t xml:space="preserve"> la parte peticionaria argumenta </w:t>
      </w:r>
      <w:r w:rsidR="00455EF4">
        <w:rPr>
          <w:sz w:val="20"/>
          <w:szCs w:val="20"/>
          <w:lang w:val="es-ES"/>
        </w:rPr>
        <w:t xml:space="preserve">que el Estado es internacionalmente responsable por la muerte del Sr. Eleazar Vargas Ardila y la falta de esclarecimiento de los hechos, dado </w:t>
      </w:r>
      <w:r w:rsidR="00C50228">
        <w:rPr>
          <w:sz w:val="20"/>
          <w:szCs w:val="20"/>
          <w:lang w:val="es-ES"/>
        </w:rPr>
        <w:t xml:space="preserve">que </w:t>
      </w:r>
      <w:r w:rsidR="00953955">
        <w:rPr>
          <w:sz w:val="20"/>
          <w:szCs w:val="20"/>
          <w:lang w:val="es-ES"/>
        </w:rPr>
        <w:t xml:space="preserve">en </w:t>
      </w:r>
      <w:r w:rsidR="00C50228">
        <w:rPr>
          <w:sz w:val="20"/>
          <w:szCs w:val="20"/>
          <w:lang w:val="es-ES"/>
        </w:rPr>
        <w:t xml:space="preserve">la zona </w:t>
      </w:r>
      <w:r w:rsidR="00953955">
        <w:rPr>
          <w:sz w:val="20"/>
          <w:szCs w:val="20"/>
          <w:lang w:val="es-ES"/>
        </w:rPr>
        <w:t>donde se</w:t>
      </w:r>
      <w:r w:rsidR="00C50228">
        <w:rPr>
          <w:sz w:val="20"/>
          <w:szCs w:val="20"/>
          <w:lang w:val="es-ES"/>
        </w:rPr>
        <w:t xml:space="preserve"> dieron los hechos </w:t>
      </w:r>
      <w:r w:rsidR="00296D7B">
        <w:rPr>
          <w:sz w:val="20"/>
          <w:szCs w:val="20"/>
          <w:lang w:val="es-ES"/>
        </w:rPr>
        <w:t xml:space="preserve">había </w:t>
      </w:r>
      <w:r w:rsidR="00C50228">
        <w:rPr>
          <w:sz w:val="20"/>
          <w:szCs w:val="20"/>
          <w:lang w:val="es-ES"/>
        </w:rPr>
        <w:t xml:space="preserve">descontrol de la fuerza pública y </w:t>
      </w:r>
      <w:r w:rsidR="005D1204">
        <w:rPr>
          <w:sz w:val="20"/>
          <w:szCs w:val="20"/>
          <w:lang w:val="es-ES"/>
        </w:rPr>
        <w:t>que</w:t>
      </w:r>
      <w:r w:rsidR="00296D7B">
        <w:rPr>
          <w:sz w:val="20"/>
          <w:szCs w:val="20"/>
          <w:lang w:val="es-ES"/>
        </w:rPr>
        <w:t>,</w:t>
      </w:r>
      <w:r w:rsidR="005D1204">
        <w:rPr>
          <w:sz w:val="20"/>
          <w:szCs w:val="20"/>
          <w:lang w:val="es-ES"/>
        </w:rPr>
        <w:t xml:space="preserve"> por acción u </w:t>
      </w:r>
      <w:r w:rsidR="00C50228">
        <w:rPr>
          <w:sz w:val="20"/>
          <w:szCs w:val="20"/>
          <w:lang w:val="es-ES"/>
        </w:rPr>
        <w:t xml:space="preserve">omisión </w:t>
      </w:r>
      <w:r w:rsidR="005D1204">
        <w:rPr>
          <w:sz w:val="20"/>
          <w:szCs w:val="20"/>
          <w:lang w:val="es-ES"/>
        </w:rPr>
        <w:t xml:space="preserve">de </w:t>
      </w:r>
      <w:r w:rsidR="00296D7B">
        <w:rPr>
          <w:sz w:val="20"/>
          <w:szCs w:val="20"/>
          <w:lang w:val="es-ES"/>
        </w:rPr>
        <w:t>sus</w:t>
      </w:r>
      <w:r w:rsidR="005D1204">
        <w:rPr>
          <w:sz w:val="20"/>
          <w:szCs w:val="20"/>
          <w:lang w:val="es-ES"/>
        </w:rPr>
        <w:t xml:space="preserve"> entes de seguridad</w:t>
      </w:r>
      <w:r w:rsidR="00296D7B">
        <w:rPr>
          <w:sz w:val="20"/>
          <w:szCs w:val="20"/>
          <w:lang w:val="es-ES"/>
        </w:rPr>
        <w:t>,</w:t>
      </w:r>
      <w:r w:rsidR="005D1204">
        <w:rPr>
          <w:sz w:val="20"/>
          <w:szCs w:val="20"/>
          <w:lang w:val="es-ES"/>
        </w:rPr>
        <w:t xml:space="preserve"> </w:t>
      </w:r>
      <w:r w:rsidR="00953955">
        <w:rPr>
          <w:sz w:val="20"/>
          <w:szCs w:val="20"/>
          <w:lang w:val="es-ES"/>
        </w:rPr>
        <w:t xml:space="preserve">el Estado es responsable por la muerte de la presunta víctima y sus consecuencias. </w:t>
      </w:r>
      <w:r w:rsidR="00296D7B">
        <w:rPr>
          <w:sz w:val="20"/>
          <w:szCs w:val="20"/>
          <w:lang w:val="es-ES"/>
        </w:rPr>
        <w:t>S</w:t>
      </w:r>
      <w:r w:rsidR="00953955">
        <w:rPr>
          <w:sz w:val="20"/>
          <w:szCs w:val="20"/>
          <w:lang w:val="es-ES"/>
        </w:rPr>
        <w:t xml:space="preserve">ostiene </w:t>
      </w:r>
      <w:r w:rsidR="00296D7B">
        <w:rPr>
          <w:sz w:val="20"/>
          <w:szCs w:val="20"/>
          <w:lang w:val="es-ES"/>
        </w:rPr>
        <w:t xml:space="preserve">asimismo </w:t>
      </w:r>
      <w:r w:rsidR="00953955">
        <w:rPr>
          <w:sz w:val="20"/>
          <w:szCs w:val="20"/>
          <w:lang w:val="es-ES"/>
        </w:rPr>
        <w:t>que el Estado no realiz</w:t>
      </w:r>
      <w:r w:rsidR="00296D7B">
        <w:rPr>
          <w:sz w:val="20"/>
          <w:szCs w:val="20"/>
          <w:lang w:val="es-ES"/>
        </w:rPr>
        <w:t>ó</w:t>
      </w:r>
      <w:r w:rsidR="00953955">
        <w:rPr>
          <w:sz w:val="20"/>
          <w:szCs w:val="20"/>
          <w:lang w:val="es-ES"/>
        </w:rPr>
        <w:t xml:space="preserve"> una </w:t>
      </w:r>
      <w:r w:rsidR="005D1204">
        <w:rPr>
          <w:sz w:val="20"/>
          <w:szCs w:val="20"/>
          <w:lang w:val="es-ES"/>
        </w:rPr>
        <w:t>investigación diligente</w:t>
      </w:r>
      <w:r w:rsidR="00953955">
        <w:rPr>
          <w:sz w:val="20"/>
          <w:szCs w:val="20"/>
          <w:lang w:val="es-ES"/>
        </w:rPr>
        <w:t xml:space="preserve">, </w:t>
      </w:r>
      <w:r w:rsidR="00455EF4">
        <w:rPr>
          <w:sz w:val="20"/>
          <w:szCs w:val="20"/>
          <w:lang w:val="es-ES"/>
        </w:rPr>
        <w:t xml:space="preserve">y </w:t>
      </w:r>
      <w:r w:rsidR="00296D7B">
        <w:rPr>
          <w:sz w:val="20"/>
          <w:szCs w:val="20"/>
          <w:lang w:val="es-ES"/>
        </w:rPr>
        <w:t xml:space="preserve">que no </w:t>
      </w:r>
      <w:r w:rsidR="00953955">
        <w:rPr>
          <w:sz w:val="20"/>
          <w:szCs w:val="20"/>
          <w:lang w:val="es-ES"/>
        </w:rPr>
        <w:t>esclareci</w:t>
      </w:r>
      <w:r w:rsidR="00296D7B">
        <w:rPr>
          <w:sz w:val="20"/>
          <w:szCs w:val="20"/>
          <w:lang w:val="es-ES"/>
        </w:rPr>
        <w:t>ó</w:t>
      </w:r>
      <w:r w:rsidR="00953955">
        <w:rPr>
          <w:sz w:val="20"/>
          <w:szCs w:val="20"/>
          <w:lang w:val="es-ES"/>
        </w:rPr>
        <w:t xml:space="preserve"> los hechos </w:t>
      </w:r>
      <w:r w:rsidR="00296D7B">
        <w:rPr>
          <w:sz w:val="20"/>
          <w:szCs w:val="20"/>
          <w:lang w:val="es-ES"/>
        </w:rPr>
        <w:t>ni</w:t>
      </w:r>
      <w:r w:rsidR="00953955">
        <w:rPr>
          <w:sz w:val="20"/>
          <w:szCs w:val="20"/>
          <w:lang w:val="es-ES"/>
        </w:rPr>
        <w:t xml:space="preserve"> sanci</w:t>
      </w:r>
      <w:r w:rsidR="00296D7B">
        <w:rPr>
          <w:sz w:val="20"/>
          <w:szCs w:val="20"/>
          <w:lang w:val="es-ES"/>
        </w:rPr>
        <w:t>onó</w:t>
      </w:r>
      <w:r w:rsidR="00953955">
        <w:rPr>
          <w:sz w:val="20"/>
          <w:szCs w:val="20"/>
          <w:lang w:val="es-ES"/>
        </w:rPr>
        <w:t xml:space="preserve"> a sus responsables</w:t>
      </w:r>
      <w:r w:rsidR="00C50228">
        <w:rPr>
          <w:sz w:val="20"/>
          <w:szCs w:val="20"/>
          <w:lang w:val="es-ES"/>
        </w:rPr>
        <w:t xml:space="preserve">. </w:t>
      </w:r>
      <w:r w:rsidRPr="005D1204">
        <w:rPr>
          <w:color w:val="auto"/>
          <w:sz w:val="20"/>
          <w:szCs w:val="20"/>
          <w:lang w:val="es-ES"/>
        </w:rPr>
        <w:t>Ante alega</w:t>
      </w:r>
      <w:r w:rsidR="00296D7B">
        <w:rPr>
          <w:color w:val="auto"/>
          <w:sz w:val="20"/>
          <w:szCs w:val="20"/>
          <w:lang w:val="es-ES"/>
        </w:rPr>
        <w:t>tos</w:t>
      </w:r>
      <w:r w:rsidRPr="005D1204">
        <w:rPr>
          <w:color w:val="auto"/>
          <w:sz w:val="20"/>
          <w:szCs w:val="20"/>
          <w:lang w:val="es-ES"/>
        </w:rPr>
        <w:t xml:space="preserve"> de esta naturaleza</w:t>
      </w:r>
      <w:r w:rsidR="00296D7B">
        <w:rPr>
          <w:color w:val="auto"/>
          <w:sz w:val="20"/>
          <w:szCs w:val="20"/>
          <w:lang w:val="es-ES"/>
        </w:rPr>
        <w:t>,</w:t>
      </w:r>
      <w:r w:rsidRPr="005D1204">
        <w:rPr>
          <w:color w:val="auto"/>
          <w:sz w:val="20"/>
          <w:szCs w:val="20"/>
          <w:lang w:val="es-ES"/>
        </w:rPr>
        <w:t xml:space="preserve"> </w:t>
      </w:r>
      <w:r w:rsidR="005D1204" w:rsidRPr="005D1204">
        <w:rPr>
          <w:color w:val="auto"/>
          <w:sz w:val="20"/>
          <w:szCs w:val="20"/>
          <w:lang w:val="es-ES"/>
        </w:rPr>
        <w:t xml:space="preserve">los órganos del sistema </w:t>
      </w:r>
      <w:r w:rsidRPr="005D1204">
        <w:rPr>
          <w:color w:val="auto"/>
          <w:sz w:val="20"/>
          <w:szCs w:val="20"/>
          <w:lang w:val="es-ES"/>
        </w:rPr>
        <w:t>ha</w:t>
      </w:r>
      <w:r w:rsidR="005D1204" w:rsidRPr="005D1204">
        <w:rPr>
          <w:color w:val="auto"/>
          <w:sz w:val="20"/>
          <w:szCs w:val="20"/>
          <w:lang w:val="es-ES"/>
        </w:rPr>
        <w:t xml:space="preserve">n determinado que </w:t>
      </w:r>
      <w:r w:rsidRPr="005D1204">
        <w:rPr>
          <w:color w:val="auto"/>
          <w:sz w:val="20"/>
          <w:szCs w:val="20"/>
          <w:lang w:val="es-ES"/>
        </w:rPr>
        <w:t xml:space="preserve">un hecho ilícito violatorio de los derechos humanos que inicialmente no resulte imputable directamente a un Estado, por ejemplo, por ser obra de un particular o por no haberse identificado al autor de la trasgresión, puede acarrear la responsabilidad internacional de </w:t>
      </w:r>
      <w:r w:rsidR="00296D7B">
        <w:rPr>
          <w:color w:val="auto"/>
          <w:sz w:val="20"/>
          <w:szCs w:val="20"/>
          <w:lang w:val="es-ES"/>
        </w:rPr>
        <w:t>aquél</w:t>
      </w:r>
      <w:r w:rsidRPr="005D1204">
        <w:rPr>
          <w:color w:val="auto"/>
          <w:sz w:val="20"/>
          <w:szCs w:val="20"/>
          <w:lang w:val="es-ES"/>
        </w:rPr>
        <w:t xml:space="preserve"> no por ese hecho en sí mismo, sino por falta de la debida diligencia para prevenir la violación o para tratarla en los término</w:t>
      </w:r>
      <w:r w:rsidR="005D1204" w:rsidRPr="005D1204">
        <w:rPr>
          <w:color w:val="auto"/>
          <w:sz w:val="20"/>
          <w:szCs w:val="20"/>
          <w:lang w:val="es-ES"/>
        </w:rPr>
        <w:t>s requeridos por la Convención</w:t>
      </w:r>
      <w:r w:rsidRPr="005D1204">
        <w:rPr>
          <w:color w:val="auto"/>
          <w:sz w:val="20"/>
          <w:szCs w:val="20"/>
          <w:lang w:val="es-ES"/>
        </w:rPr>
        <w:t>.</w:t>
      </w:r>
      <w:r w:rsidR="00455EF4">
        <w:rPr>
          <w:color w:val="auto"/>
          <w:sz w:val="20"/>
          <w:szCs w:val="20"/>
          <w:lang w:val="es-ES"/>
        </w:rPr>
        <w:t xml:space="preserve"> </w:t>
      </w:r>
      <w:r w:rsidR="00455EF4" w:rsidRPr="00C16BE9">
        <w:rPr>
          <w:sz w:val="20"/>
          <w:szCs w:val="20"/>
          <w:lang w:val="es-ES"/>
        </w:rPr>
        <w:t xml:space="preserve">Asimismo, la parte peticionaria alega que, como resultado de los hechos y debido a amenazas posteriores recibidas, los familiares de la presunta víctima debieron desplazarse </w:t>
      </w:r>
      <w:r w:rsidR="00455EF4" w:rsidRPr="00C16BE9">
        <w:rPr>
          <w:sz w:val="20"/>
          <w:szCs w:val="20"/>
          <w:lang w:val="es-ES"/>
        </w:rPr>
        <w:lastRenderedPageBreak/>
        <w:t xml:space="preserve">internamente </w:t>
      </w:r>
      <w:r w:rsidR="00455EF4">
        <w:rPr>
          <w:sz w:val="20"/>
          <w:szCs w:val="20"/>
          <w:lang w:val="es-ES"/>
        </w:rPr>
        <w:t xml:space="preserve">para </w:t>
      </w:r>
      <w:r w:rsidR="00455EF4" w:rsidRPr="00C16BE9">
        <w:rPr>
          <w:sz w:val="20"/>
          <w:szCs w:val="20"/>
          <w:lang w:val="es-ES"/>
        </w:rPr>
        <w:t>busca</w:t>
      </w:r>
      <w:r w:rsidR="00455EF4">
        <w:rPr>
          <w:sz w:val="20"/>
          <w:szCs w:val="20"/>
          <w:lang w:val="es-ES"/>
        </w:rPr>
        <w:t>r</w:t>
      </w:r>
      <w:r w:rsidR="00455EF4" w:rsidRPr="00C16BE9">
        <w:rPr>
          <w:sz w:val="20"/>
          <w:szCs w:val="20"/>
          <w:lang w:val="es-ES"/>
        </w:rPr>
        <w:t xml:space="preserve"> resguardo y seguridad</w:t>
      </w:r>
      <w:r w:rsidR="00455EF4">
        <w:rPr>
          <w:sz w:val="20"/>
          <w:szCs w:val="20"/>
          <w:lang w:val="es-ES"/>
        </w:rPr>
        <w:t>,</w:t>
      </w:r>
      <w:r w:rsidR="00455EF4" w:rsidRPr="00C16BE9">
        <w:rPr>
          <w:sz w:val="20"/>
          <w:szCs w:val="20"/>
          <w:lang w:val="es-ES"/>
        </w:rPr>
        <w:t xml:space="preserve"> lo que </w:t>
      </w:r>
      <w:r w:rsidR="00455EF4">
        <w:rPr>
          <w:sz w:val="20"/>
          <w:szCs w:val="20"/>
          <w:lang w:val="es-ES"/>
        </w:rPr>
        <w:t xml:space="preserve">les </w:t>
      </w:r>
      <w:r w:rsidR="00455EF4" w:rsidRPr="00C16BE9">
        <w:rPr>
          <w:sz w:val="20"/>
          <w:szCs w:val="20"/>
          <w:lang w:val="es-ES"/>
        </w:rPr>
        <w:t>causó perjuicios económicos, morales y la desintegración familiar.</w:t>
      </w:r>
    </w:p>
    <w:p w14:paraId="5C98FC3E" w14:textId="07442B1B" w:rsidR="005842F3" w:rsidRDefault="00A24590" w:rsidP="00323FD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C16BE9">
        <w:rPr>
          <w:sz w:val="20"/>
          <w:szCs w:val="20"/>
          <w:lang w:val="es-ES"/>
        </w:rPr>
        <w:t xml:space="preserve">En vista de los elementos de hecho y de derecho expuestos por las partes y la naturaleza del asunto puesto bajo su conocimiento, la Comisión estima que </w:t>
      </w:r>
      <w:r w:rsidR="00A60DD1">
        <w:rPr>
          <w:sz w:val="20"/>
          <w:szCs w:val="20"/>
          <w:lang w:val="es-ES"/>
        </w:rPr>
        <w:t>los alegatos</w:t>
      </w:r>
      <w:r w:rsidRPr="00C16BE9">
        <w:rPr>
          <w:sz w:val="20"/>
          <w:szCs w:val="20"/>
          <w:lang w:val="es-ES"/>
        </w:rPr>
        <w:t xml:space="preserve"> de la parte peticionaria no resultan manifiestamente infundadas y requieren un estudio de fondo pues los hechos alegados</w:t>
      </w:r>
      <w:r w:rsidR="00A60DD1">
        <w:rPr>
          <w:sz w:val="20"/>
          <w:szCs w:val="20"/>
          <w:lang w:val="es-ES"/>
        </w:rPr>
        <w:t>,</w:t>
      </w:r>
      <w:r w:rsidRPr="00C16BE9">
        <w:rPr>
          <w:sz w:val="20"/>
          <w:szCs w:val="20"/>
          <w:lang w:val="es-ES"/>
        </w:rPr>
        <w:t xml:space="preserve"> </w:t>
      </w:r>
      <w:r w:rsidR="00C16BE9" w:rsidRPr="00C16BE9">
        <w:rPr>
          <w:sz w:val="20"/>
          <w:szCs w:val="20"/>
          <w:lang w:val="es-ES"/>
        </w:rPr>
        <w:t xml:space="preserve">de corroborarse como ciertos, podrían caracterizar posibles violaciones </w:t>
      </w:r>
      <w:r w:rsidR="00A60DD1">
        <w:rPr>
          <w:sz w:val="20"/>
          <w:szCs w:val="20"/>
          <w:lang w:val="es-ES"/>
        </w:rPr>
        <w:t>de</w:t>
      </w:r>
      <w:r w:rsidR="00C16BE9" w:rsidRPr="00C16BE9">
        <w:rPr>
          <w:sz w:val="20"/>
          <w:szCs w:val="20"/>
          <w:lang w:val="es-ES"/>
        </w:rPr>
        <w:t xml:space="preserve"> los derechos protegidos en los artículos 4 (vida), 5 (integridad personal), 8 (garantías judiciales), </w:t>
      </w:r>
      <w:r w:rsidR="00323FDD" w:rsidRPr="00323FDD">
        <w:rPr>
          <w:sz w:val="20"/>
          <w:szCs w:val="20"/>
          <w:lang w:val="es-ES"/>
        </w:rPr>
        <w:t xml:space="preserve">11 (dignidad y reputación), 17 (protección a la familia), </w:t>
      </w:r>
      <w:r w:rsidR="00323FDD">
        <w:rPr>
          <w:sz w:val="20"/>
          <w:szCs w:val="20"/>
          <w:lang w:val="es-ES"/>
        </w:rPr>
        <w:t xml:space="preserve">y </w:t>
      </w:r>
      <w:r w:rsidR="00C16BE9" w:rsidRPr="00C16BE9">
        <w:rPr>
          <w:sz w:val="20"/>
          <w:szCs w:val="20"/>
          <w:lang w:val="es-ES"/>
        </w:rPr>
        <w:t>25 (protección judicial) de la Convención Americana, en relación con sus artículos 1.1 y 2, respecto de las presuntas víctimas y sus familiares</w:t>
      </w:r>
      <w:r w:rsidR="00C16BE9">
        <w:rPr>
          <w:sz w:val="20"/>
          <w:szCs w:val="20"/>
          <w:lang w:val="es-ES"/>
        </w:rPr>
        <w:t>.</w:t>
      </w:r>
      <w:r w:rsidR="00323FDD">
        <w:rPr>
          <w:sz w:val="20"/>
          <w:szCs w:val="20"/>
          <w:lang w:val="es-ES"/>
        </w:rPr>
        <w:t xml:space="preserve"> </w:t>
      </w:r>
    </w:p>
    <w:p w14:paraId="7411CA36" w14:textId="22E2B910" w:rsidR="00323FDD" w:rsidRDefault="00455EF4" w:rsidP="00323FD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Pr>
          <w:sz w:val="20"/>
          <w:szCs w:val="20"/>
          <w:lang w:val="es-ES"/>
        </w:rPr>
        <w:t>La</w:t>
      </w:r>
      <w:r w:rsidR="00323FDD" w:rsidRPr="00323FDD">
        <w:rPr>
          <w:sz w:val="20"/>
          <w:szCs w:val="20"/>
          <w:lang w:val="es-ES"/>
        </w:rPr>
        <w:t xml:space="preserve"> Comisión </w:t>
      </w:r>
      <w:r w:rsidR="00A60DD1">
        <w:rPr>
          <w:sz w:val="20"/>
          <w:szCs w:val="20"/>
          <w:lang w:val="es-ES"/>
        </w:rPr>
        <w:t xml:space="preserve">toma </w:t>
      </w:r>
      <w:r w:rsidR="00323FDD" w:rsidRPr="00323FDD">
        <w:rPr>
          <w:sz w:val="20"/>
          <w:szCs w:val="20"/>
          <w:lang w:val="es-ES"/>
        </w:rPr>
        <w:t xml:space="preserve">en cuenta la naturaleza múltiple, compleja y continua del desplazamiento de personas, en particular aquella relacionada a las afectaciones directas que de ella se derivan sobre los derechos a la libre circulación y residencia, vivienda e integridad personal así como del desarraigo que en términos </w:t>
      </w:r>
      <w:r w:rsidR="00323FDD">
        <w:rPr>
          <w:sz w:val="20"/>
          <w:szCs w:val="20"/>
          <w:lang w:val="es-ES"/>
        </w:rPr>
        <w:t xml:space="preserve">económicos, </w:t>
      </w:r>
      <w:r w:rsidR="00323FDD" w:rsidRPr="00323FDD">
        <w:rPr>
          <w:sz w:val="20"/>
          <w:szCs w:val="20"/>
          <w:lang w:val="es-ES"/>
        </w:rPr>
        <w:t xml:space="preserve">sociales y culturales se puede presentar, </w:t>
      </w:r>
      <w:r w:rsidR="00A60DD1">
        <w:rPr>
          <w:sz w:val="20"/>
          <w:szCs w:val="20"/>
          <w:lang w:val="es-ES"/>
        </w:rPr>
        <w:t xml:space="preserve">y con base en ello considera que </w:t>
      </w:r>
      <w:r w:rsidR="00323FDD" w:rsidRPr="00323FDD">
        <w:rPr>
          <w:sz w:val="20"/>
          <w:szCs w:val="20"/>
          <w:lang w:val="es-ES"/>
        </w:rPr>
        <w:t>los alegatos relativos a est</w:t>
      </w:r>
      <w:r>
        <w:rPr>
          <w:sz w:val="20"/>
          <w:szCs w:val="20"/>
          <w:lang w:val="es-ES"/>
        </w:rPr>
        <w:t>os hechos que habrían sufrido los familiares del Sr. Vargas,</w:t>
      </w:r>
      <w:r w:rsidR="00323FDD" w:rsidRPr="00323FDD">
        <w:rPr>
          <w:sz w:val="20"/>
          <w:szCs w:val="20"/>
          <w:lang w:val="es-ES"/>
        </w:rPr>
        <w:t xml:space="preserve"> podrían caracterizar </w:t>
      </w:r>
      <w:r>
        <w:rPr>
          <w:sz w:val="20"/>
          <w:szCs w:val="20"/>
          <w:lang w:val="es-ES"/>
        </w:rPr>
        <w:t xml:space="preserve">adicionalmente  </w:t>
      </w:r>
      <w:r w:rsidR="00323FDD" w:rsidRPr="00323FDD">
        <w:rPr>
          <w:sz w:val="20"/>
          <w:szCs w:val="20"/>
          <w:lang w:val="es-ES"/>
        </w:rPr>
        <w:t>posibles violaciones de los artículos 5 (derecho a la integridad personal), 22 (circulación y residencia)  y 26 (derechos económicos, sociales y culturales)  de la Convención Americana</w:t>
      </w:r>
      <w:r>
        <w:rPr>
          <w:sz w:val="20"/>
          <w:szCs w:val="20"/>
          <w:lang w:val="es-ES"/>
        </w:rPr>
        <w:t>.</w:t>
      </w:r>
      <w:r w:rsidR="00323FDD" w:rsidRPr="00323FDD">
        <w:rPr>
          <w:sz w:val="20"/>
          <w:szCs w:val="20"/>
          <w:lang w:val="es-ES"/>
        </w:rPr>
        <w:t xml:space="preserve">. </w:t>
      </w:r>
    </w:p>
    <w:p w14:paraId="698764D6" w14:textId="77777777" w:rsidR="00776C35" w:rsidRPr="00776C35" w:rsidRDefault="00776C35" w:rsidP="00776C35">
      <w:pPr>
        <w:pStyle w:val="ListParagraph"/>
        <w:numPr>
          <w:ilvl w:val="0"/>
          <w:numId w:val="56"/>
        </w:numPr>
        <w:spacing w:after="240"/>
        <w:ind w:left="0" w:firstLine="720"/>
        <w:jc w:val="both"/>
        <w:rPr>
          <w:sz w:val="20"/>
          <w:szCs w:val="20"/>
          <w:lang w:val="es-ES"/>
        </w:rPr>
      </w:pPr>
      <w:r w:rsidRPr="00776C35">
        <w:rPr>
          <w:sz w:val="20"/>
          <w:szCs w:val="20"/>
          <w:lang w:val="es-ES"/>
        </w:rPr>
        <w:t>En cuanto al reclamo</w:t>
      </w:r>
      <w:r>
        <w:rPr>
          <w:sz w:val="20"/>
          <w:szCs w:val="20"/>
          <w:lang w:val="es-ES"/>
        </w:rPr>
        <w:t xml:space="preserve"> sobre la presunta violación de</w:t>
      </w:r>
      <w:r w:rsidRPr="00776C35">
        <w:rPr>
          <w:sz w:val="20"/>
          <w:szCs w:val="20"/>
          <w:lang w:val="es-ES"/>
        </w:rPr>
        <w:t>l artí</w:t>
      </w:r>
      <w:r>
        <w:rPr>
          <w:sz w:val="20"/>
          <w:szCs w:val="20"/>
          <w:lang w:val="es-ES"/>
        </w:rPr>
        <w:t>culo 24</w:t>
      </w:r>
      <w:r w:rsidRPr="00776C35">
        <w:rPr>
          <w:sz w:val="20"/>
          <w:szCs w:val="20"/>
          <w:lang w:val="es-ES"/>
        </w:rPr>
        <w:t xml:space="preserve"> (</w:t>
      </w:r>
      <w:r>
        <w:rPr>
          <w:sz w:val="20"/>
          <w:szCs w:val="20"/>
          <w:lang w:val="es-ES"/>
        </w:rPr>
        <w:t>igualdad ante la ley</w:t>
      </w:r>
      <w:r w:rsidRPr="00776C35">
        <w:rPr>
          <w:sz w:val="20"/>
          <w:szCs w:val="20"/>
          <w:lang w:val="es-ES"/>
        </w:rPr>
        <w:t xml:space="preserve">), de la Convención Americana, la Comisión observa que el peticionario no ha ofrecido alegatos o sustento suficiente que permita considerar </w:t>
      </w:r>
      <w:r w:rsidRPr="008E25E2">
        <w:rPr>
          <w:i/>
          <w:sz w:val="20"/>
          <w:szCs w:val="20"/>
          <w:lang w:val="es-ES"/>
        </w:rPr>
        <w:t>prima facie</w:t>
      </w:r>
      <w:r w:rsidRPr="00776C35">
        <w:rPr>
          <w:sz w:val="20"/>
          <w:szCs w:val="20"/>
          <w:lang w:val="es-ES"/>
        </w:rPr>
        <w:t xml:space="preserve"> su posible violación.</w:t>
      </w:r>
    </w:p>
    <w:p w14:paraId="0A346340"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16D04B3F" w14:textId="77777777" w:rsidR="003239B8" w:rsidRPr="000419AD" w:rsidRDefault="003239B8"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Declarar admisible la presente petición en relación con</w:t>
      </w:r>
      <w:r w:rsidR="00903838">
        <w:rPr>
          <w:rFonts w:asciiTheme="majorHAnsi" w:hAnsiTheme="majorHAnsi"/>
          <w:sz w:val="20"/>
          <w:szCs w:val="20"/>
          <w:lang w:val="es-ES"/>
        </w:rPr>
        <w:t xml:space="preserve"> los artículos</w:t>
      </w:r>
      <w:r w:rsidRPr="003239B8">
        <w:rPr>
          <w:rFonts w:asciiTheme="majorHAnsi" w:hAnsiTheme="majorHAnsi"/>
          <w:sz w:val="20"/>
          <w:szCs w:val="20"/>
          <w:lang w:val="es-ES"/>
        </w:rPr>
        <w:t xml:space="preserve"> </w:t>
      </w:r>
      <w:r w:rsidR="0028623A">
        <w:rPr>
          <w:rFonts w:asciiTheme="majorHAnsi" w:hAnsiTheme="majorHAnsi"/>
          <w:sz w:val="20"/>
          <w:szCs w:val="20"/>
          <w:lang w:val="es-ES"/>
        </w:rPr>
        <w:t>4, 5, 8, 11, 17, 22, 25 y 26 de la Convención Americana en relación con su artículo 1.1</w:t>
      </w:r>
      <w:r w:rsidR="00A758AA">
        <w:rPr>
          <w:rFonts w:asciiTheme="majorHAnsi" w:hAnsiTheme="majorHAnsi"/>
          <w:sz w:val="20"/>
          <w:szCs w:val="20"/>
          <w:lang w:val="es-ES"/>
        </w:rPr>
        <w:t>;</w:t>
      </w:r>
    </w:p>
    <w:p w14:paraId="4FE35DD1" w14:textId="77777777" w:rsidR="000419AD" w:rsidRDefault="000419AD" w:rsidP="0028623A">
      <w:pPr>
        <w:pStyle w:val="ListParagraph"/>
        <w:numPr>
          <w:ilvl w:val="0"/>
          <w:numId w:val="55"/>
        </w:numPr>
        <w:jc w:val="both"/>
        <w:rPr>
          <w:rFonts w:eastAsia="Arial Unicode MS" w:cs="Times New Roman"/>
          <w:color w:val="auto"/>
          <w:sz w:val="20"/>
          <w:szCs w:val="20"/>
          <w:lang w:val="es-ES" w:eastAsia="en-US"/>
        </w:rPr>
      </w:pPr>
      <w:r w:rsidRPr="000419AD">
        <w:rPr>
          <w:rFonts w:eastAsia="Arial Unicode MS" w:cs="Times New Roman"/>
          <w:color w:val="auto"/>
          <w:sz w:val="20"/>
          <w:szCs w:val="20"/>
          <w:lang w:val="es-ES" w:eastAsia="en-US"/>
        </w:rPr>
        <w:t xml:space="preserve">Declarar </w:t>
      </w:r>
      <w:r w:rsidRPr="0028623A">
        <w:rPr>
          <w:rFonts w:eastAsia="Arial Unicode MS" w:cs="Times New Roman"/>
          <w:color w:val="auto"/>
          <w:sz w:val="20"/>
          <w:szCs w:val="20"/>
          <w:lang w:val="es-ES" w:eastAsia="en-US"/>
        </w:rPr>
        <w:t xml:space="preserve">inadmisible la </w:t>
      </w:r>
      <w:r w:rsidRPr="000419AD">
        <w:rPr>
          <w:rFonts w:eastAsia="Arial Unicode MS" w:cs="Times New Roman"/>
          <w:color w:val="auto"/>
          <w:sz w:val="20"/>
          <w:szCs w:val="20"/>
          <w:lang w:val="es-ES" w:eastAsia="en-US"/>
        </w:rPr>
        <w:t xml:space="preserve">presente petición en relación con </w:t>
      </w:r>
      <w:r w:rsidR="0028623A">
        <w:rPr>
          <w:rFonts w:eastAsia="Arial Unicode MS" w:cs="Times New Roman"/>
          <w:color w:val="auto"/>
          <w:sz w:val="20"/>
          <w:szCs w:val="20"/>
          <w:lang w:val="es-ES" w:eastAsia="en-US"/>
        </w:rPr>
        <w:t>el artículo 24 de la Convención Americana</w:t>
      </w:r>
      <w:r w:rsidR="00A758AA">
        <w:rPr>
          <w:rFonts w:eastAsia="Arial Unicode MS" w:cs="Times New Roman"/>
          <w:color w:val="auto"/>
          <w:sz w:val="20"/>
          <w:szCs w:val="20"/>
          <w:lang w:val="es-ES" w:eastAsia="en-US"/>
        </w:rPr>
        <w:t>;</w:t>
      </w:r>
      <w:r w:rsidR="004A6A54">
        <w:rPr>
          <w:rFonts w:eastAsia="Arial Unicode MS" w:cs="Times New Roman"/>
          <w:color w:val="auto"/>
          <w:sz w:val="20"/>
          <w:szCs w:val="20"/>
          <w:lang w:val="es-ES" w:eastAsia="en-US"/>
        </w:rPr>
        <w:t xml:space="preserve"> y</w:t>
      </w:r>
    </w:p>
    <w:p w14:paraId="60930207" w14:textId="77777777" w:rsidR="000419AD" w:rsidRPr="000419AD" w:rsidRDefault="000419AD" w:rsidP="000419AD">
      <w:pPr>
        <w:pStyle w:val="ListParagraph"/>
        <w:rPr>
          <w:rFonts w:eastAsia="Arial Unicode MS" w:cs="Times New Roman"/>
          <w:color w:val="auto"/>
          <w:sz w:val="20"/>
          <w:szCs w:val="20"/>
          <w:lang w:val="es-ES" w:eastAsia="en-US"/>
        </w:rPr>
      </w:pPr>
    </w:p>
    <w:p w14:paraId="02C19DFD" w14:textId="2E5B210D"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2C59471E" w14:textId="1A11D62A" w:rsidR="0066768C" w:rsidRPr="00A37B82" w:rsidRDefault="0066768C" w:rsidP="0066768C">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7</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octubre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Joel Hernández, Presidente; Antonia Urrejola,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66768C"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FE767" w14:textId="77777777" w:rsidR="00F05D2E" w:rsidRDefault="00F05D2E">
      <w:r>
        <w:separator/>
      </w:r>
    </w:p>
  </w:endnote>
  <w:endnote w:type="continuationSeparator" w:id="0">
    <w:p w14:paraId="5E2AE471" w14:textId="77777777" w:rsidR="00F05D2E" w:rsidRDefault="00F05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43FC8" w14:textId="77777777" w:rsidR="002F5DA8" w:rsidRDefault="002F5D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BE7B47" w14:textId="781AAB7D"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F5DA8">
          <w:rPr>
            <w:noProof/>
            <w:sz w:val="16"/>
            <w:szCs w:val="22"/>
          </w:rPr>
          <w:t>1</w:t>
        </w:r>
        <w:r w:rsidRPr="00934A2C">
          <w:rPr>
            <w:noProof/>
            <w:sz w:val="16"/>
            <w:szCs w:val="22"/>
          </w:rPr>
          <w:fldChar w:fldCharType="end"/>
        </w:r>
      </w:p>
    </w:sdtContent>
  </w:sdt>
  <w:p w14:paraId="0B8C1AA7"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1EC4F" w14:textId="77777777" w:rsidR="0070697F" w:rsidRPr="00934A2C" w:rsidRDefault="0070697F">
    <w:pPr>
      <w:pStyle w:val="Footer"/>
      <w:jc w:val="center"/>
      <w:rPr>
        <w:sz w:val="16"/>
        <w:szCs w:val="22"/>
      </w:rPr>
    </w:pPr>
  </w:p>
  <w:p w14:paraId="5CC37A19"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9EDBF" w14:textId="77777777" w:rsidR="00F05D2E" w:rsidRPr="000F35ED" w:rsidRDefault="00F05D2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D5CAFDC" w14:textId="77777777" w:rsidR="00F05D2E" w:rsidRPr="000F35ED" w:rsidRDefault="00F05D2E" w:rsidP="000F35ED">
      <w:pPr>
        <w:rPr>
          <w:rFonts w:asciiTheme="majorHAnsi" w:hAnsiTheme="majorHAnsi"/>
          <w:sz w:val="16"/>
          <w:szCs w:val="16"/>
        </w:rPr>
      </w:pPr>
      <w:r w:rsidRPr="000F35ED">
        <w:rPr>
          <w:rFonts w:asciiTheme="majorHAnsi" w:hAnsiTheme="majorHAnsi"/>
          <w:sz w:val="16"/>
          <w:szCs w:val="16"/>
        </w:rPr>
        <w:separator/>
      </w:r>
    </w:p>
    <w:p w14:paraId="67D38C9F" w14:textId="77777777" w:rsidR="00F05D2E" w:rsidRPr="000F35ED" w:rsidRDefault="00F05D2E"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13068EB0" w14:textId="77777777" w:rsidR="00F05D2E" w:rsidRPr="000F35ED" w:rsidRDefault="00F05D2E"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64769DC0" w14:textId="77777777" w:rsidR="00FF2D40" w:rsidRPr="007F3CE3" w:rsidRDefault="00FF2D40" w:rsidP="00A123E2">
      <w:pPr>
        <w:pStyle w:val="FootnoteText"/>
        <w:ind w:firstLine="720"/>
        <w:rPr>
          <w:rFonts w:asciiTheme="majorHAnsi" w:hAnsiTheme="majorHAnsi"/>
          <w:sz w:val="16"/>
          <w:szCs w:val="16"/>
          <w:lang w:val="es-US"/>
        </w:rPr>
      </w:pPr>
      <w:r w:rsidRPr="007F3CE3">
        <w:rPr>
          <w:rStyle w:val="FootnoteReference"/>
          <w:rFonts w:asciiTheme="majorHAnsi" w:hAnsiTheme="majorHAnsi"/>
          <w:sz w:val="16"/>
          <w:szCs w:val="16"/>
        </w:rPr>
        <w:footnoteRef/>
      </w:r>
      <w:r w:rsidRPr="007F3CE3">
        <w:rPr>
          <w:rFonts w:asciiTheme="majorHAnsi" w:hAnsiTheme="majorHAnsi"/>
          <w:sz w:val="16"/>
          <w:szCs w:val="16"/>
          <w:lang w:val="es-US"/>
        </w:rPr>
        <w:t xml:space="preserve"> </w:t>
      </w:r>
      <w:r w:rsidR="00F065CB" w:rsidRPr="007F3CE3">
        <w:rPr>
          <w:rFonts w:asciiTheme="majorHAnsi" w:hAnsiTheme="majorHAnsi"/>
          <w:sz w:val="16"/>
          <w:szCs w:val="16"/>
          <w:lang w:val="es-US"/>
        </w:rPr>
        <w:t xml:space="preserve">La petición fue inicialmente presentada por el abogado </w:t>
      </w:r>
      <w:r w:rsidRPr="007F3CE3">
        <w:rPr>
          <w:rFonts w:asciiTheme="majorHAnsi" w:hAnsiTheme="majorHAnsi"/>
          <w:bCs/>
          <w:sz w:val="16"/>
          <w:szCs w:val="16"/>
          <w:lang w:val="es-US"/>
        </w:rPr>
        <w:t xml:space="preserve">Fernando </w:t>
      </w:r>
      <w:proofErr w:type="spellStart"/>
      <w:r w:rsidRPr="007F3CE3">
        <w:rPr>
          <w:rFonts w:asciiTheme="majorHAnsi" w:hAnsiTheme="majorHAnsi"/>
          <w:bCs/>
          <w:sz w:val="16"/>
          <w:szCs w:val="16"/>
          <w:lang w:val="es-US"/>
        </w:rPr>
        <w:t>Jaimes</w:t>
      </w:r>
      <w:proofErr w:type="spellEnd"/>
      <w:r w:rsidRPr="007F3CE3">
        <w:rPr>
          <w:rFonts w:asciiTheme="majorHAnsi" w:hAnsiTheme="majorHAnsi"/>
          <w:bCs/>
          <w:sz w:val="16"/>
          <w:szCs w:val="16"/>
          <w:lang w:val="es-US"/>
        </w:rPr>
        <w:t xml:space="preserve"> </w:t>
      </w:r>
      <w:proofErr w:type="spellStart"/>
      <w:r w:rsidRPr="007F3CE3">
        <w:rPr>
          <w:rFonts w:asciiTheme="majorHAnsi" w:hAnsiTheme="majorHAnsi"/>
          <w:bCs/>
          <w:sz w:val="16"/>
          <w:szCs w:val="16"/>
          <w:lang w:val="es-US"/>
        </w:rPr>
        <w:t>Jaimes</w:t>
      </w:r>
      <w:proofErr w:type="spellEnd"/>
      <w:r w:rsidR="00F065CB" w:rsidRPr="007F3CE3">
        <w:rPr>
          <w:rFonts w:asciiTheme="majorHAnsi" w:hAnsiTheme="majorHAnsi"/>
          <w:bCs/>
          <w:sz w:val="16"/>
          <w:szCs w:val="16"/>
          <w:lang w:val="es-US"/>
        </w:rPr>
        <w:t xml:space="preserve">. El </w:t>
      </w:r>
      <w:r w:rsidR="009831B6">
        <w:rPr>
          <w:rFonts w:asciiTheme="majorHAnsi" w:hAnsiTheme="majorHAnsi"/>
          <w:bCs/>
          <w:sz w:val="16"/>
          <w:szCs w:val="16"/>
          <w:lang w:val="es-US"/>
        </w:rPr>
        <w:t>31 de julio de 2017</w:t>
      </w:r>
      <w:r w:rsidR="0003275F" w:rsidRPr="007F3CE3">
        <w:rPr>
          <w:rFonts w:asciiTheme="majorHAnsi" w:hAnsiTheme="majorHAnsi"/>
          <w:bCs/>
          <w:sz w:val="16"/>
          <w:szCs w:val="16"/>
          <w:lang w:val="es-US"/>
        </w:rPr>
        <w:t xml:space="preserve"> </w:t>
      </w:r>
      <w:r w:rsidR="00F065CB" w:rsidRPr="007F3CE3">
        <w:rPr>
          <w:rFonts w:asciiTheme="majorHAnsi" w:hAnsiTheme="majorHAnsi"/>
          <w:bCs/>
          <w:sz w:val="16"/>
          <w:szCs w:val="16"/>
          <w:lang w:val="es-US"/>
        </w:rPr>
        <w:t xml:space="preserve">las presuntas </w:t>
      </w:r>
      <w:r w:rsidR="00492C44" w:rsidRPr="007F3CE3">
        <w:rPr>
          <w:rFonts w:asciiTheme="majorHAnsi" w:hAnsiTheme="majorHAnsi"/>
          <w:bCs/>
          <w:sz w:val="16"/>
          <w:szCs w:val="16"/>
          <w:lang w:val="es-US"/>
        </w:rPr>
        <w:t>víctimas</w:t>
      </w:r>
      <w:r w:rsidR="00F065CB" w:rsidRPr="007F3CE3">
        <w:rPr>
          <w:rFonts w:asciiTheme="majorHAnsi" w:hAnsiTheme="majorHAnsi"/>
          <w:bCs/>
          <w:sz w:val="16"/>
          <w:szCs w:val="16"/>
          <w:lang w:val="es-US"/>
        </w:rPr>
        <w:t xml:space="preserve"> informaron </w:t>
      </w:r>
      <w:r w:rsidR="00492C44" w:rsidRPr="007F3CE3">
        <w:rPr>
          <w:rFonts w:asciiTheme="majorHAnsi" w:hAnsiTheme="majorHAnsi"/>
          <w:bCs/>
          <w:sz w:val="16"/>
          <w:szCs w:val="16"/>
          <w:lang w:val="es-US"/>
        </w:rPr>
        <w:t xml:space="preserve">que </w:t>
      </w:r>
      <w:r w:rsidR="008406A0" w:rsidRPr="007F3CE3">
        <w:rPr>
          <w:rFonts w:asciiTheme="majorHAnsi" w:hAnsiTheme="majorHAnsi"/>
          <w:bCs/>
          <w:sz w:val="16"/>
          <w:szCs w:val="16"/>
          <w:lang w:val="es-US"/>
        </w:rPr>
        <w:t xml:space="preserve">el nombrado abogado </w:t>
      </w:r>
      <w:r w:rsidR="00492C44" w:rsidRPr="007F3CE3">
        <w:rPr>
          <w:rFonts w:asciiTheme="majorHAnsi" w:hAnsiTheme="majorHAnsi"/>
          <w:bCs/>
          <w:sz w:val="16"/>
          <w:szCs w:val="16"/>
          <w:lang w:val="es-US"/>
        </w:rPr>
        <w:t xml:space="preserve">ya no obra como </w:t>
      </w:r>
      <w:r w:rsidR="008406A0" w:rsidRPr="007F3CE3">
        <w:rPr>
          <w:rFonts w:asciiTheme="majorHAnsi" w:hAnsiTheme="majorHAnsi"/>
          <w:bCs/>
          <w:sz w:val="16"/>
          <w:szCs w:val="16"/>
          <w:lang w:val="es-US"/>
        </w:rPr>
        <w:t>representante para efectos de la presente petición</w:t>
      </w:r>
      <w:r w:rsidR="00492C44" w:rsidRPr="007F3CE3">
        <w:rPr>
          <w:rFonts w:asciiTheme="majorHAnsi" w:hAnsiTheme="majorHAnsi"/>
          <w:bCs/>
          <w:sz w:val="16"/>
          <w:szCs w:val="16"/>
          <w:lang w:val="es-US"/>
        </w:rPr>
        <w:t xml:space="preserve">. </w:t>
      </w:r>
      <w:r w:rsidRPr="007F3CE3">
        <w:rPr>
          <w:rFonts w:asciiTheme="majorHAnsi" w:hAnsiTheme="majorHAnsi"/>
          <w:bCs/>
          <w:sz w:val="16"/>
          <w:szCs w:val="16"/>
          <w:lang w:val="es-US"/>
        </w:rPr>
        <w:t xml:space="preserve"> </w:t>
      </w:r>
    </w:p>
  </w:footnote>
  <w:footnote w:id="3">
    <w:p w14:paraId="358ECDAE" w14:textId="77777777" w:rsidR="0073043C" w:rsidRPr="007F3CE3" w:rsidRDefault="0073043C" w:rsidP="00940708">
      <w:pPr>
        <w:pStyle w:val="FootnoteText"/>
        <w:ind w:firstLine="720"/>
        <w:rPr>
          <w:rFonts w:asciiTheme="majorHAnsi" w:hAnsiTheme="majorHAnsi"/>
          <w:sz w:val="16"/>
          <w:szCs w:val="16"/>
          <w:lang w:val="es-US"/>
        </w:rPr>
      </w:pPr>
      <w:r w:rsidRPr="007F3CE3">
        <w:rPr>
          <w:rStyle w:val="FootnoteReference"/>
          <w:rFonts w:asciiTheme="majorHAnsi" w:hAnsiTheme="majorHAnsi"/>
          <w:sz w:val="16"/>
          <w:szCs w:val="16"/>
        </w:rPr>
        <w:footnoteRef/>
      </w:r>
      <w:r w:rsidRPr="007F3CE3">
        <w:rPr>
          <w:rFonts w:asciiTheme="majorHAnsi" w:hAnsiTheme="majorHAnsi"/>
          <w:sz w:val="16"/>
          <w:szCs w:val="16"/>
          <w:lang w:val="es-US"/>
        </w:rPr>
        <w:t xml:space="preserve"> Olga </w:t>
      </w:r>
      <w:proofErr w:type="spellStart"/>
      <w:r w:rsidRPr="007F3CE3">
        <w:rPr>
          <w:rFonts w:asciiTheme="majorHAnsi" w:hAnsiTheme="majorHAnsi"/>
          <w:sz w:val="16"/>
          <w:szCs w:val="16"/>
          <w:lang w:val="es-US"/>
        </w:rPr>
        <w:t>Edilia</w:t>
      </w:r>
      <w:proofErr w:type="spellEnd"/>
      <w:r w:rsidRPr="007F3CE3">
        <w:rPr>
          <w:rFonts w:asciiTheme="majorHAnsi" w:hAnsiTheme="majorHAnsi"/>
          <w:sz w:val="16"/>
          <w:szCs w:val="16"/>
          <w:lang w:val="es-US"/>
        </w:rPr>
        <w:t xml:space="preserve"> Ardila Vargas, Ruby </w:t>
      </w:r>
      <w:proofErr w:type="spellStart"/>
      <w:r w:rsidRPr="007F3CE3">
        <w:rPr>
          <w:rFonts w:asciiTheme="majorHAnsi" w:hAnsiTheme="majorHAnsi"/>
          <w:sz w:val="16"/>
          <w:szCs w:val="16"/>
          <w:lang w:val="es-US"/>
        </w:rPr>
        <w:t>M</w:t>
      </w:r>
      <w:r w:rsidR="00B37273" w:rsidRPr="007F3CE3">
        <w:rPr>
          <w:rFonts w:asciiTheme="majorHAnsi" w:hAnsiTheme="majorHAnsi"/>
          <w:sz w:val="16"/>
          <w:szCs w:val="16"/>
          <w:lang w:val="es-US"/>
        </w:rPr>
        <w:t>ileida</w:t>
      </w:r>
      <w:proofErr w:type="spellEnd"/>
      <w:r w:rsidR="00B37273" w:rsidRPr="007F3CE3">
        <w:rPr>
          <w:rFonts w:asciiTheme="majorHAnsi" w:hAnsiTheme="majorHAnsi"/>
          <w:sz w:val="16"/>
          <w:szCs w:val="16"/>
          <w:lang w:val="es-US"/>
        </w:rPr>
        <w:t xml:space="preserve"> Vargas A</w:t>
      </w:r>
      <w:r w:rsidRPr="007F3CE3">
        <w:rPr>
          <w:rFonts w:asciiTheme="majorHAnsi" w:hAnsiTheme="majorHAnsi"/>
          <w:sz w:val="16"/>
          <w:szCs w:val="16"/>
          <w:lang w:val="es-US"/>
        </w:rPr>
        <w:t>r</w:t>
      </w:r>
      <w:r w:rsidR="00B37273" w:rsidRPr="007F3CE3">
        <w:rPr>
          <w:rFonts w:asciiTheme="majorHAnsi" w:hAnsiTheme="majorHAnsi"/>
          <w:sz w:val="16"/>
          <w:szCs w:val="16"/>
          <w:lang w:val="es-US"/>
        </w:rPr>
        <w:t>d</w:t>
      </w:r>
      <w:r w:rsidRPr="007F3CE3">
        <w:rPr>
          <w:rFonts w:asciiTheme="majorHAnsi" w:hAnsiTheme="majorHAnsi"/>
          <w:sz w:val="16"/>
          <w:szCs w:val="16"/>
          <w:lang w:val="es-US"/>
        </w:rPr>
        <w:t xml:space="preserve">ila, </w:t>
      </w:r>
      <w:proofErr w:type="spellStart"/>
      <w:r w:rsidRPr="007F3CE3">
        <w:rPr>
          <w:rFonts w:asciiTheme="majorHAnsi" w:hAnsiTheme="majorHAnsi"/>
          <w:sz w:val="16"/>
          <w:szCs w:val="16"/>
          <w:lang w:val="es-US"/>
        </w:rPr>
        <w:t>Edinson</w:t>
      </w:r>
      <w:proofErr w:type="spellEnd"/>
      <w:r w:rsidRPr="007F3CE3">
        <w:rPr>
          <w:rFonts w:asciiTheme="majorHAnsi" w:hAnsiTheme="majorHAnsi"/>
          <w:sz w:val="16"/>
          <w:szCs w:val="16"/>
          <w:lang w:val="es-US"/>
        </w:rPr>
        <w:t xml:space="preserve"> V</w:t>
      </w:r>
      <w:r w:rsidR="00B37273" w:rsidRPr="007F3CE3">
        <w:rPr>
          <w:rFonts w:asciiTheme="majorHAnsi" w:hAnsiTheme="majorHAnsi"/>
          <w:sz w:val="16"/>
          <w:szCs w:val="16"/>
          <w:lang w:val="es-US"/>
        </w:rPr>
        <w:t>argas Ar</w:t>
      </w:r>
      <w:r w:rsidRPr="007F3CE3">
        <w:rPr>
          <w:rFonts w:asciiTheme="majorHAnsi" w:hAnsiTheme="majorHAnsi"/>
          <w:sz w:val="16"/>
          <w:szCs w:val="16"/>
          <w:lang w:val="es-US"/>
        </w:rPr>
        <w:t>dila, Ana Rosa Ardila Ariza, Carlos Gustav</w:t>
      </w:r>
      <w:r w:rsidR="00A60DD1">
        <w:rPr>
          <w:rFonts w:asciiTheme="majorHAnsi" w:hAnsiTheme="majorHAnsi"/>
          <w:sz w:val="16"/>
          <w:szCs w:val="16"/>
          <w:lang w:val="es-US"/>
        </w:rPr>
        <w:t>o</w:t>
      </w:r>
      <w:r w:rsidRPr="007F3CE3">
        <w:rPr>
          <w:rFonts w:asciiTheme="majorHAnsi" w:hAnsiTheme="majorHAnsi"/>
          <w:sz w:val="16"/>
          <w:szCs w:val="16"/>
          <w:lang w:val="es-US"/>
        </w:rPr>
        <w:t xml:space="preserve"> Vargas Ardila, Jose Danilo Vargas Ardila, </w:t>
      </w:r>
      <w:r w:rsidR="00B37273" w:rsidRPr="007F3CE3">
        <w:rPr>
          <w:rFonts w:asciiTheme="majorHAnsi" w:hAnsiTheme="majorHAnsi"/>
          <w:sz w:val="16"/>
          <w:szCs w:val="16"/>
          <w:lang w:val="es-US"/>
        </w:rPr>
        <w:t>Jesús</w:t>
      </w:r>
      <w:r w:rsidRPr="007F3CE3">
        <w:rPr>
          <w:rFonts w:asciiTheme="majorHAnsi" w:hAnsiTheme="majorHAnsi"/>
          <w:sz w:val="16"/>
          <w:szCs w:val="16"/>
          <w:lang w:val="es-US"/>
        </w:rPr>
        <w:t xml:space="preserve"> Emiro Vargas Ardila y Javier Arnoldo Vargas Ardila.</w:t>
      </w:r>
    </w:p>
  </w:footnote>
  <w:footnote w:id="4">
    <w:p w14:paraId="42755A83" w14:textId="77777777" w:rsidR="007559DE" w:rsidRPr="007F3CE3" w:rsidRDefault="007559DE" w:rsidP="007559DE">
      <w:pPr>
        <w:pStyle w:val="FootnoteText"/>
        <w:ind w:firstLine="720"/>
        <w:rPr>
          <w:rFonts w:asciiTheme="majorHAnsi" w:hAnsiTheme="majorHAnsi"/>
          <w:lang w:val="es-VE"/>
        </w:rPr>
      </w:pPr>
      <w:r w:rsidRPr="007F3CE3">
        <w:rPr>
          <w:rStyle w:val="FootnoteReference"/>
          <w:rFonts w:asciiTheme="majorHAnsi" w:hAnsiTheme="majorHAnsi"/>
          <w:sz w:val="16"/>
          <w:szCs w:val="16"/>
        </w:rPr>
        <w:footnoteRef/>
      </w:r>
      <w:r w:rsidRPr="007F3CE3">
        <w:rPr>
          <w:rFonts w:asciiTheme="majorHAnsi" w:hAnsiTheme="majorHAnsi"/>
          <w:sz w:val="16"/>
          <w:szCs w:val="16"/>
          <w:lang w:val="es-VE"/>
        </w:rPr>
        <w:t xml:space="preserve"> En adelante la “Convención Americana” o la “Convención”.</w:t>
      </w:r>
    </w:p>
  </w:footnote>
  <w:footnote w:id="5">
    <w:p w14:paraId="2B1E2650" w14:textId="77777777" w:rsidR="008E3BFE" w:rsidRPr="009A5FA4" w:rsidRDefault="008E3BFE" w:rsidP="00306F33">
      <w:pPr>
        <w:pStyle w:val="FootnoteText"/>
        <w:ind w:firstLine="720"/>
        <w:jc w:val="both"/>
        <w:rPr>
          <w:rFonts w:asciiTheme="majorHAnsi" w:hAnsiTheme="majorHAnsi"/>
          <w:sz w:val="16"/>
          <w:szCs w:val="16"/>
          <w:lang w:val="es-ES"/>
        </w:rPr>
      </w:pPr>
      <w:r w:rsidRPr="009A5FA4">
        <w:rPr>
          <w:rStyle w:val="FootnoteReference"/>
          <w:rFonts w:asciiTheme="majorHAnsi" w:hAnsiTheme="majorHAnsi"/>
          <w:sz w:val="16"/>
          <w:szCs w:val="16"/>
        </w:rPr>
        <w:footnoteRef/>
      </w:r>
      <w:r w:rsidRPr="009A5FA4">
        <w:rPr>
          <w:rFonts w:asciiTheme="majorHAnsi" w:hAnsiTheme="majorHAnsi"/>
          <w:sz w:val="16"/>
          <w:szCs w:val="16"/>
          <w:lang w:val="es-ES"/>
        </w:rPr>
        <w:t xml:space="preserve"> Las observaciones de cada parte fueron debidamente trasladadas a la parte contraria.</w:t>
      </w:r>
    </w:p>
  </w:footnote>
  <w:footnote w:id="6">
    <w:p w14:paraId="3EB092EB" w14:textId="77777777" w:rsidR="00A41313" w:rsidRPr="007F3CE3" w:rsidRDefault="00A41313" w:rsidP="003978D9">
      <w:pPr>
        <w:pStyle w:val="FootnoteText"/>
        <w:ind w:firstLine="720"/>
        <w:jc w:val="both"/>
        <w:rPr>
          <w:rFonts w:asciiTheme="majorHAnsi" w:hAnsiTheme="majorHAnsi"/>
          <w:sz w:val="16"/>
          <w:szCs w:val="16"/>
          <w:lang w:val="es-US"/>
        </w:rPr>
      </w:pPr>
      <w:r w:rsidRPr="007F3CE3">
        <w:rPr>
          <w:rStyle w:val="FootnoteReference"/>
          <w:rFonts w:asciiTheme="majorHAnsi" w:hAnsiTheme="majorHAnsi"/>
          <w:sz w:val="16"/>
          <w:szCs w:val="16"/>
        </w:rPr>
        <w:footnoteRef/>
      </w:r>
      <w:r w:rsidRPr="007F3CE3">
        <w:rPr>
          <w:rFonts w:asciiTheme="majorHAnsi" w:hAnsiTheme="majorHAnsi"/>
          <w:sz w:val="16"/>
          <w:szCs w:val="16"/>
          <w:lang w:val="es-US"/>
        </w:rPr>
        <w:t xml:space="preserve"> Consta en el expediente de la CIDH copia de comunicación de la Inspección Central de Policía del Departamento del Cesar del 21 de diciembre de 2006 en la qu</w:t>
      </w:r>
      <w:r w:rsidR="007376A7" w:rsidRPr="007F3CE3">
        <w:rPr>
          <w:rFonts w:asciiTheme="majorHAnsi" w:hAnsiTheme="majorHAnsi"/>
          <w:sz w:val="16"/>
          <w:szCs w:val="16"/>
          <w:lang w:val="es-US"/>
        </w:rPr>
        <w:t>e</w:t>
      </w:r>
      <w:r w:rsidRPr="007F3CE3">
        <w:rPr>
          <w:rFonts w:asciiTheme="majorHAnsi" w:hAnsiTheme="majorHAnsi"/>
          <w:sz w:val="16"/>
          <w:szCs w:val="16"/>
          <w:lang w:val="es-US"/>
        </w:rPr>
        <w:t xml:space="preserve"> se indica que en los archivos de la </w:t>
      </w:r>
      <w:r w:rsidR="007376A7" w:rsidRPr="007F3CE3">
        <w:rPr>
          <w:rFonts w:asciiTheme="majorHAnsi" w:hAnsiTheme="majorHAnsi"/>
          <w:sz w:val="16"/>
          <w:szCs w:val="16"/>
          <w:lang w:val="es-US"/>
        </w:rPr>
        <w:t>institución</w:t>
      </w:r>
      <w:r w:rsidRPr="007F3CE3">
        <w:rPr>
          <w:rFonts w:asciiTheme="majorHAnsi" w:hAnsiTheme="majorHAnsi"/>
          <w:sz w:val="16"/>
          <w:szCs w:val="16"/>
          <w:lang w:val="es-US"/>
        </w:rPr>
        <w:t xml:space="preserve"> no reposan acta de levantamiento de la necropsia de Eleazar Vargas Ardila. </w:t>
      </w:r>
    </w:p>
  </w:footnote>
  <w:footnote w:id="7">
    <w:p w14:paraId="170122A1" w14:textId="77777777" w:rsidR="002A5BCE" w:rsidRPr="007F3CE3" w:rsidRDefault="002A5BCE" w:rsidP="002A5BCE">
      <w:pPr>
        <w:pStyle w:val="FootnoteText"/>
        <w:ind w:firstLine="720"/>
        <w:jc w:val="both"/>
        <w:rPr>
          <w:rFonts w:asciiTheme="majorHAnsi" w:hAnsiTheme="majorHAnsi"/>
          <w:sz w:val="16"/>
          <w:szCs w:val="16"/>
          <w:lang w:val="es-US"/>
        </w:rPr>
      </w:pPr>
      <w:r w:rsidRPr="007F3CE3">
        <w:rPr>
          <w:rStyle w:val="FootnoteReference"/>
          <w:rFonts w:asciiTheme="majorHAnsi" w:hAnsiTheme="majorHAnsi"/>
          <w:sz w:val="16"/>
          <w:szCs w:val="16"/>
        </w:rPr>
        <w:footnoteRef/>
      </w:r>
      <w:r w:rsidRPr="007F3CE3">
        <w:rPr>
          <w:rFonts w:asciiTheme="majorHAnsi" w:hAnsiTheme="majorHAnsi"/>
          <w:sz w:val="16"/>
          <w:szCs w:val="16"/>
          <w:lang w:val="es-US"/>
        </w:rPr>
        <w:t xml:space="preserve"> Conforme indica el Estado en su comunicación </w:t>
      </w:r>
      <w:r w:rsidR="007F3CE3">
        <w:rPr>
          <w:rFonts w:asciiTheme="majorHAnsi" w:hAnsiTheme="majorHAnsi"/>
          <w:sz w:val="16"/>
          <w:szCs w:val="16"/>
          <w:lang w:val="es-US"/>
        </w:rPr>
        <w:t xml:space="preserve">con fecha </w:t>
      </w:r>
      <w:r w:rsidRPr="007F3CE3">
        <w:rPr>
          <w:rFonts w:asciiTheme="majorHAnsi" w:hAnsiTheme="majorHAnsi"/>
          <w:sz w:val="16"/>
          <w:szCs w:val="16"/>
          <w:lang w:val="es-US"/>
        </w:rPr>
        <w:t xml:space="preserve">17 de agosto de 2017 el Articulo 326 del Código de Procedimiento Penal vigente al momento de los hechos establecía que: </w:t>
      </w:r>
      <w:r w:rsidRPr="007F3CE3">
        <w:rPr>
          <w:rFonts w:asciiTheme="majorHAnsi" w:hAnsiTheme="majorHAnsi"/>
          <w:i/>
          <w:sz w:val="16"/>
          <w:szCs w:val="16"/>
          <w:lang w:val="es-US"/>
        </w:rPr>
        <w:t>el jefe de la unidad de fiscalía podrá suspender la investigación previa si trascurridos los ciento ochenta días no existe mérito para dictar resolución de apertura de instrucción o resolución inhibitoria con autorización del fiscal</w:t>
      </w:r>
      <w:r w:rsidRPr="007F3CE3">
        <w:rPr>
          <w:rFonts w:asciiTheme="majorHAnsi" w:hAnsiTheme="majorHAnsi"/>
          <w:sz w:val="16"/>
          <w:szCs w:val="16"/>
          <w:lang w:val="es-US"/>
        </w:rPr>
        <w:t xml:space="preserve">.  </w:t>
      </w:r>
    </w:p>
  </w:footnote>
  <w:footnote w:id="8">
    <w:p w14:paraId="219A4B7D" w14:textId="77777777" w:rsidR="00351384" w:rsidRPr="007F3CE3" w:rsidRDefault="00351384" w:rsidP="007F3CE3">
      <w:pPr>
        <w:pStyle w:val="FootnoteText"/>
        <w:ind w:firstLine="720"/>
        <w:jc w:val="both"/>
        <w:rPr>
          <w:rFonts w:asciiTheme="majorHAnsi" w:hAnsiTheme="majorHAnsi"/>
          <w:sz w:val="16"/>
          <w:szCs w:val="16"/>
          <w:lang w:val="es-US"/>
        </w:rPr>
      </w:pPr>
      <w:r w:rsidRPr="007F3CE3">
        <w:rPr>
          <w:rStyle w:val="FootnoteReference"/>
          <w:rFonts w:asciiTheme="majorHAnsi" w:hAnsiTheme="majorHAnsi"/>
          <w:sz w:val="16"/>
          <w:szCs w:val="16"/>
        </w:rPr>
        <w:footnoteRef/>
      </w:r>
      <w:r w:rsidRPr="007F3CE3">
        <w:rPr>
          <w:rFonts w:asciiTheme="majorHAnsi" w:hAnsiTheme="majorHAnsi"/>
          <w:sz w:val="16"/>
          <w:szCs w:val="16"/>
          <w:lang w:val="es-US"/>
        </w:rPr>
        <w:t>El Estado no present</w:t>
      </w:r>
      <w:r w:rsidR="009A5FA4" w:rsidRPr="007F3CE3">
        <w:rPr>
          <w:rFonts w:asciiTheme="majorHAnsi" w:hAnsiTheme="majorHAnsi"/>
          <w:sz w:val="16"/>
          <w:szCs w:val="16"/>
          <w:lang w:val="es-US"/>
        </w:rPr>
        <w:t>ó</w:t>
      </w:r>
      <w:r w:rsidRPr="007F3CE3">
        <w:rPr>
          <w:rFonts w:asciiTheme="majorHAnsi" w:hAnsiTheme="majorHAnsi"/>
          <w:sz w:val="16"/>
          <w:szCs w:val="16"/>
          <w:lang w:val="es-US"/>
        </w:rPr>
        <w:t xml:space="preserve"> a la Comisión copias de </w:t>
      </w:r>
      <w:r w:rsidR="009A5FA4">
        <w:rPr>
          <w:rFonts w:asciiTheme="majorHAnsi" w:hAnsiTheme="majorHAnsi"/>
          <w:sz w:val="16"/>
          <w:szCs w:val="16"/>
          <w:lang w:val="es-US"/>
        </w:rPr>
        <w:t xml:space="preserve">las </w:t>
      </w:r>
      <w:r w:rsidRPr="007F3CE3">
        <w:rPr>
          <w:rFonts w:asciiTheme="majorHAnsi" w:hAnsiTheme="majorHAnsi"/>
          <w:sz w:val="16"/>
          <w:szCs w:val="16"/>
          <w:lang w:val="es-US"/>
        </w:rPr>
        <w:t>certificaciones</w:t>
      </w:r>
      <w:r w:rsidR="001B091D" w:rsidRPr="007F3CE3">
        <w:rPr>
          <w:rFonts w:asciiTheme="majorHAnsi" w:hAnsiTheme="majorHAnsi"/>
          <w:sz w:val="16"/>
          <w:szCs w:val="16"/>
          <w:lang w:val="es-US"/>
        </w:rPr>
        <w:t xml:space="preserve">, </w:t>
      </w:r>
      <w:r w:rsidRPr="007F3CE3">
        <w:rPr>
          <w:rFonts w:asciiTheme="majorHAnsi" w:hAnsiTheme="majorHAnsi"/>
          <w:sz w:val="16"/>
          <w:szCs w:val="16"/>
          <w:lang w:val="es-US"/>
        </w:rPr>
        <w:t>resultados de balística</w:t>
      </w:r>
      <w:r w:rsidR="001B091D" w:rsidRPr="007F3CE3">
        <w:rPr>
          <w:rFonts w:asciiTheme="majorHAnsi" w:hAnsiTheme="majorHAnsi"/>
          <w:sz w:val="16"/>
          <w:szCs w:val="16"/>
          <w:lang w:val="es-US"/>
        </w:rPr>
        <w:t xml:space="preserve"> u otros documentos enunciados en el párrafo 7</w:t>
      </w:r>
      <w:r w:rsidR="009A5FA4">
        <w:rPr>
          <w:rFonts w:asciiTheme="majorHAnsi" w:hAnsiTheme="majorHAnsi"/>
          <w:sz w:val="16"/>
          <w:szCs w:val="16"/>
          <w:lang w:val="es-US"/>
        </w:rPr>
        <w:t xml:space="preserve"> del presente informe</w:t>
      </w:r>
      <w:r w:rsidRPr="007F3CE3">
        <w:rPr>
          <w:rFonts w:asciiTheme="majorHAnsi" w:hAnsiTheme="majorHAnsi"/>
          <w:sz w:val="16"/>
          <w:szCs w:val="16"/>
          <w:lang w:val="es-US"/>
        </w:rPr>
        <w:t>.</w:t>
      </w:r>
    </w:p>
  </w:footnote>
  <w:footnote w:id="9">
    <w:p w14:paraId="374EBB73" w14:textId="77777777" w:rsidR="000302F7" w:rsidRPr="009A5FA4" w:rsidRDefault="000302F7" w:rsidP="000302F7">
      <w:pPr>
        <w:pStyle w:val="FootnoteText"/>
        <w:ind w:firstLine="720"/>
        <w:jc w:val="both"/>
        <w:rPr>
          <w:rFonts w:asciiTheme="majorHAnsi" w:hAnsiTheme="majorHAnsi" w:cstheme="minorHAnsi"/>
          <w:sz w:val="16"/>
          <w:szCs w:val="16"/>
          <w:lang w:val="es-US"/>
        </w:rPr>
      </w:pPr>
      <w:r w:rsidRPr="009A5FA4">
        <w:rPr>
          <w:rStyle w:val="FootnoteReference"/>
          <w:rFonts w:asciiTheme="majorHAnsi" w:hAnsiTheme="majorHAnsi" w:cstheme="minorHAnsi"/>
          <w:sz w:val="16"/>
          <w:szCs w:val="16"/>
        </w:rPr>
        <w:footnoteRef/>
      </w:r>
      <w:r w:rsidRPr="009A5FA4">
        <w:rPr>
          <w:rFonts w:asciiTheme="majorHAnsi" w:hAnsiTheme="majorHAnsi" w:cstheme="minorHAnsi"/>
          <w:sz w:val="16"/>
          <w:szCs w:val="16"/>
          <w:lang w:val="es-US"/>
        </w:rPr>
        <w:t xml:space="preserve"> CIDH, Informe No. 159/17, Petición 712-08, Admisibilidad, Sebastián </w:t>
      </w:r>
      <w:proofErr w:type="spellStart"/>
      <w:r w:rsidRPr="009A5FA4">
        <w:rPr>
          <w:rFonts w:asciiTheme="majorHAnsi" w:hAnsiTheme="majorHAnsi" w:cstheme="minorHAnsi"/>
          <w:sz w:val="16"/>
          <w:szCs w:val="16"/>
          <w:lang w:val="es-US"/>
        </w:rPr>
        <w:t>Larroza</w:t>
      </w:r>
      <w:proofErr w:type="spellEnd"/>
      <w:r w:rsidRPr="009A5FA4">
        <w:rPr>
          <w:rFonts w:asciiTheme="majorHAnsi" w:hAnsiTheme="majorHAnsi" w:cstheme="minorHAnsi"/>
          <w:sz w:val="16"/>
          <w:szCs w:val="16"/>
          <w:lang w:val="es-US"/>
        </w:rPr>
        <w:t xml:space="preserve"> Velázquez y familia, Paraguay, 30 de noviembre de 2017, párr. 14; CIDH, Informe No. 108/19, Petición 81-09, Admisibilidad, </w:t>
      </w:r>
      <w:proofErr w:type="spellStart"/>
      <w:r w:rsidRPr="009A5FA4">
        <w:rPr>
          <w:rFonts w:asciiTheme="majorHAnsi" w:hAnsiTheme="majorHAnsi" w:cstheme="minorHAnsi"/>
          <w:sz w:val="16"/>
          <w:szCs w:val="16"/>
          <w:lang w:val="es-US"/>
        </w:rPr>
        <w:t>Anael</w:t>
      </w:r>
      <w:proofErr w:type="spellEnd"/>
      <w:r w:rsidRPr="009A5FA4">
        <w:rPr>
          <w:rFonts w:asciiTheme="majorHAnsi" w:hAnsiTheme="majorHAnsi" w:cstheme="minorHAnsi"/>
          <w:sz w:val="16"/>
          <w:szCs w:val="16"/>
          <w:lang w:val="es-US"/>
        </w:rPr>
        <w:t xml:space="preserve"> Fidel </w:t>
      </w:r>
      <w:proofErr w:type="spellStart"/>
      <w:r w:rsidRPr="009A5FA4">
        <w:rPr>
          <w:rFonts w:asciiTheme="majorHAnsi" w:hAnsiTheme="majorHAnsi" w:cstheme="minorHAnsi"/>
          <w:sz w:val="16"/>
          <w:szCs w:val="16"/>
          <w:lang w:val="es-US"/>
        </w:rPr>
        <w:t>Sanjuanelo</w:t>
      </w:r>
      <w:proofErr w:type="spellEnd"/>
      <w:r w:rsidRPr="009A5FA4">
        <w:rPr>
          <w:rFonts w:asciiTheme="majorHAnsi" w:hAnsiTheme="majorHAnsi" w:cstheme="minorHAnsi"/>
          <w:sz w:val="16"/>
          <w:szCs w:val="16"/>
          <w:lang w:val="es-US"/>
        </w:rPr>
        <w:t xml:space="preserve"> Polo y familia, Colombia, 28 de julio de 2019, párr. 17-19.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169BE"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4927E88"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0A2A9"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157CDF00" wp14:editId="7283B72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675D1CF6" w14:textId="77777777" w:rsidR="00040C3A" w:rsidRPr="00EC7D62" w:rsidRDefault="00F05D2E" w:rsidP="00A50FCF">
    <w:pPr>
      <w:pStyle w:val="Header"/>
      <w:tabs>
        <w:tab w:val="clear" w:pos="4320"/>
        <w:tab w:val="clear" w:pos="8640"/>
      </w:tabs>
      <w:jc w:val="center"/>
      <w:rPr>
        <w:sz w:val="22"/>
        <w:szCs w:val="22"/>
      </w:rPr>
    </w:pPr>
    <w:r>
      <w:rPr>
        <w:sz w:val="22"/>
        <w:szCs w:val="22"/>
      </w:rPr>
      <w:pict w14:anchorId="421616D4">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4566A" w14:textId="77777777" w:rsidR="002F5DA8" w:rsidRDefault="002F5D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34C8462A"/>
    <w:lvl w:ilvl="0" w:tplc="4C5CB61C">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65944276"/>
    <w:lvl w:ilvl="0" w:tplc="14EE4A2C">
      <w:start w:val="1"/>
      <w:numFmt w:val="decimal"/>
      <w:lvlText w:val="%1."/>
      <w:lvlJc w:val="left"/>
      <w:pPr>
        <w:ind w:left="1440" w:hanging="360"/>
      </w:pPr>
      <w:rPr>
        <w:rFonts w:ascii="Cambria" w:eastAsia="Cambria" w:hAnsi="Cambria" w:cs="Cambria"/>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3"/>
  </w:num>
  <w:num w:numId="4">
    <w:abstractNumId w:val="20"/>
  </w:num>
  <w:num w:numId="5">
    <w:abstractNumId w:val="47"/>
  </w:num>
  <w:num w:numId="6">
    <w:abstractNumId w:val="27"/>
  </w:num>
  <w:num w:numId="7">
    <w:abstractNumId w:val="6"/>
  </w:num>
  <w:num w:numId="8">
    <w:abstractNumId w:val="16"/>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5"/>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19"/>
  </w:num>
  <w:num w:numId="52">
    <w:abstractNumId w:val="41"/>
  </w:num>
  <w:num w:numId="53">
    <w:abstractNumId w:val="50"/>
  </w:num>
  <w:num w:numId="54">
    <w:abstractNumId w:val="45"/>
  </w:num>
  <w:num w:numId="55">
    <w:abstractNumId w:val="43"/>
  </w:num>
  <w:num w:numId="56">
    <w:abstractNumId w:val="26"/>
  </w:num>
  <w:num w:numId="57">
    <w:abstractNumId w:val="24"/>
  </w:num>
  <w:num w:numId="58">
    <w:abstractNumId w:val="36"/>
  </w:num>
  <w:num w:numId="59">
    <w:abstractNumId w:val="4"/>
  </w:num>
  <w:num w:numId="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20B00"/>
    <w:rsid w:val="000302F7"/>
    <w:rsid w:val="0003083F"/>
    <w:rsid w:val="0003275F"/>
    <w:rsid w:val="000337EF"/>
    <w:rsid w:val="00040C3A"/>
    <w:rsid w:val="000419AD"/>
    <w:rsid w:val="000433C9"/>
    <w:rsid w:val="0005223F"/>
    <w:rsid w:val="00053692"/>
    <w:rsid w:val="00071174"/>
    <w:rsid w:val="000716C5"/>
    <w:rsid w:val="00075E23"/>
    <w:rsid w:val="0009344A"/>
    <w:rsid w:val="000A392E"/>
    <w:rsid w:val="000A575F"/>
    <w:rsid w:val="000B5799"/>
    <w:rsid w:val="000C7545"/>
    <w:rsid w:val="000D05CB"/>
    <w:rsid w:val="000D10DB"/>
    <w:rsid w:val="000D4663"/>
    <w:rsid w:val="000E5EB5"/>
    <w:rsid w:val="000F13A7"/>
    <w:rsid w:val="000F35ED"/>
    <w:rsid w:val="0010332F"/>
    <w:rsid w:val="00107131"/>
    <w:rsid w:val="0010736F"/>
    <w:rsid w:val="00107C2F"/>
    <w:rsid w:val="00113F73"/>
    <w:rsid w:val="00121CC2"/>
    <w:rsid w:val="001253B4"/>
    <w:rsid w:val="00130C0C"/>
    <w:rsid w:val="00131425"/>
    <w:rsid w:val="00133EE5"/>
    <w:rsid w:val="0014176F"/>
    <w:rsid w:val="00167A34"/>
    <w:rsid w:val="0017225E"/>
    <w:rsid w:val="00177874"/>
    <w:rsid w:val="00180C18"/>
    <w:rsid w:val="00182DE7"/>
    <w:rsid w:val="00183F7F"/>
    <w:rsid w:val="00191ADB"/>
    <w:rsid w:val="001A520D"/>
    <w:rsid w:val="001A7870"/>
    <w:rsid w:val="001B091D"/>
    <w:rsid w:val="001B3A00"/>
    <w:rsid w:val="001C1B41"/>
    <w:rsid w:val="001C2EFA"/>
    <w:rsid w:val="001C4FC1"/>
    <w:rsid w:val="001C5037"/>
    <w:rsid w:val="001D65EF"/>
    <w:rsid w:val="001E49E7"/>
    <w:rsid w:val="001E5321"/>
    <w:rsid w:val="001F7201"/>
    <w:rsid w:val="00223A29"/>
    <w:rsid w:val="002250A3"/>
    <w:rsid w:val="00234D68"/>
    <w:rsid w:val="00235217"/>
    <w:rsid w:val="00237043"/>
    <w:rsid w:val="00242284"/>
    <w:rsid w:val="00246D1F"/>
    <w:rsid w:val="00247403"/>
    <w:rsid w:val="00247542"/>
    <w:rsid w:val="00255D9A"/>
    <w:rsid w:val="00266B61"/>
    <w:rsid w:val="0026712A"/>
    <w:rsid w:val="002704DB"/>
    <w:rsid w:val="002706AC"/>
    <w:rsid w:val="00284875"/>
    <w:rsid w:val="0028623A"/>
    <w:rsid w:val="00296D7B"/>
    <w:rsid w:val="002A0AAE"/>
    <w:rsid w:val="002A5820"/>
    <w:rsid w:val="002A5BCE"/>
    <w:rsid w:val="002A6C7F"/>
    <w:rsid w:val="002B181D"/>
    <w:rsid w:val="002C1212"/>
    <w:rsid w:val="002D2B26"/>
    <w:rsid w:val="002D7EA2"/>
    <w:rsid w:val="002E187C"/>
    <w:rsid w:val="002E765A"/>
    <w:rsid w:val="002F4D17"/>
    <w:rsid w:val="002F5DA8"/>
    <w:rsid w:val="00302733"/>
    <w:rsid w:val="00305835"/>
    <w:rsid w:val="00306F33"/>
    <w:rsid w:val="00310D3B"/>
    <w:rsid w:val="00314078"/>
    <w:rsid w:val="0031535D"/>
    <w:rsid w:val="003239B8"/>
    <w:rsid w:val="00323FDD"/>
    <w:rsid w:val="0033169F"/>
    <w:rsid w:val="00344977"/>
    <w:rsid w:val="00346C95"/>
    <w:rsid w:val="00351384"/>
    <w:rsid w:val="00356185"/>
    <w:rsid w:val="00360380"/>
    <w:rsid w:val="0037519E"/>
    <w:rsid w:val="00386CF0"/>
    <w:rsid w:val="003978D9"/>
    <w:rsid w:val="003A634D"/>
    <w:rsid w:val="003B14C1"/>
    <w:rsid w:val="003B70FB"/>
    <w:rsid w:val="003C0A41"/>
    <w:rsid w:val="003C676B"/>
    <w:rsid w:val="003D3BC2"/>
    <w:rsid w:val="003E4295"/>
    <w:rsid w:val="003E6CA1"/>
    <w:rsid w:val="003E7A05"/>
    <w:rsid w:val="003F5154"/>
    <w:rsid w:val="00405F9C"/>
    <w:rsid w:val="004065A8"/>
    <w:rsid w:val="004078E1"/>
    <w:rsid w:val="004165C2"/>
    <w:rsid w:val="004279D6"/>
    <w:rsid w:val="00434BEC"/>
    <w:rsid w:val="00441ECB"/>
    <w:rsid w:val="00445193"/>
    <w:rsid w:val="00446256"/>
    <w:rsid w:val="00455EF4"/>
    <w:rsid w:val="00462C1B"/>
    <w:rsid w:val="00467B7E"/>
    <w:rsid w:val="00473BB4"/>
    <w:rsid w:val="00477592"/>
    <w:rsid w:val="00483C10"/>
    <w:rsid w:val="00486F1C"/>
    <w:rsid w:val="00490A34"/>
    <w:rsid w:val="00492C44"/>
    <w:rsid w:val="0049419D"/>
    <w:rsid w:val="004A151A"/>
    <w:rsid w:val="004A6A54"/>
    <w:rsid w:val="004B0EF9"/>
    <w:rsid w:val="004B421C"/>
    <w:rsid w:val="004B4862"/>
    <w:rsid w:val="004C08A5"/>
    <w:rsid w:val="004C20D2"/>
    <w:rsid w:val="004C2312"/>
    <w:rsid w:val="004C4B62"/>
    <w:rsid w:val="004C54C9"/>
    <w:rsid w:val="004C5828"/>
    <w:rsid w:val="004D4ABA"/>
    <w:rsid w:val="004D6025"/>
    <w:rsid w:val="004E2649"/>
    <w:rsid w:val="004E55E7"/>
    <w:rsid w:val="004F4A1A"/>
    <w:rsid w:val="004F626F"/>
    <w:rsid w:val="00501399"/>
    <w:rsid w:val="00504487"/>
    <w:rsid w:val="005047ED"/>
    <w:rsid w:val="0050633D"/>
    <w:rsid w:val="00507BC4"/>
    <w:rsid w:val="005128E4"/>
    <w:rsid w:val="005133DB"/>
    <w:rsid w:val="005142CB"/>
    <w:rsid w:val="00514504"/>
    <w:rsid w:val="00521E1F"/>
    <w:rsid w:val="005228CB"/>
    <w:rsid w:val="00525560"/>
    <w:rsid w:val="00527466"/>
    <w:rsid w:val="00527567"/>
    <w:rsid w:val="00542DCF"/>
    <w:rsid w:val="00544C49"/>
    <w:rsid w:val="00547D21"/>
    <w:rsid w:val="005516A1"/>
    <w:rsid w:val="005559EF"/>
    <w:rsid w:val="00563557"/>
    <w:rsid w:val="0057402A"/>
    <w:rsid w:val="005771D0"/>
    <w:rsid w:val="005842F3"/>
    <w:rsid w:val="0059011A"/>
    <w:rsid w:val="0059191A"/>
    <w:rsid w:val="005921FF"/>
    <w:rsid w:val="005A24ED"/>
    <w:rsid w:val="005A6D0E"/>
    <w:rsid w:val="005B07CD"/>
    <w:rsid w:val="005B52B0"/>
    <w:rsid w:val="005B6806"/>
    <w:rsid w:val="005B7DFF"/>
    <w:rsid w:val="005C4225"/>
    <w:rsid w:val="005D1204"/>
    <w:rsid w:val="005F0DAD"/>
    <w:rsid w:val="005F0F33"/>
    <w:rsid w:val="005F7605"/>
    <w:rsid w:val="00600DEB"/>
    <w:rsid w:val="00605378"/>
    <w:rsid w:val="00627C9F"/>
    <w:rsid w:val="006311E9"/>
    <w:rsid w:val="00632354"/>
    <w:rsid w:val="006333D4"/>
    <w:rsid w:val="0063518B"/>
    <w:rsid w:val="00635421"/>
    <w:rsid w:val="00641AD5"/>
    <w:rsid w:val="00642810"/>
    <w:rsid w:val="006466C4"/>
    <w:rsid w:val="00652333"/>
    <w:rsid w:val="0065773F"/>
    <w:rsid w:val="0066768C"/>
    <w:rsid w:val="00671CBD"/>
    <w:rsid w:val="0068009E"/>
    <w:rsid w:val="00684738"/>
    <w:rsid w:val="00692219"/>
    <w:rsid w:val="00696CF9"/>
    <w:rsid w:val="006A17D2"/>
    <w:rsid w:val="006A73E6"/>
    <w:rsid w:val="006B2D5C"/>
    <w:rsid w:val="006C0ECF"/>
    <w:rsid w:val="006C4EB1"/>
    <w:rsid w:val="006E0166"/>
    <w:rsid w:val="006E2FFB"/>
    <w:rsid w:val="006E7B34"/>
    <w:rsid w:val="006F7BED"/>
    <w:rsid w:val="00702CDE"/>
    <w:rsid w:val="0070697F"/>
    <w:rsid w:val="007103C4"/>
    <w:rsid w:val="00714D9E"/>
    <w:rsid w:val="0072199C"/>
    <w:rsid w:val="00722C9F"/>
    <w:rsid w:val="007253B8"/>
    <w:rsid w:val="0073043C"/>
    <w:rsid w:val="007342A2"/>
    <w:rsid w:val="0073741F"/>
    <w:rsid w:val="007376A7"/>
    <w:rsid w:val="007559DE"/>
    <w:rsid w:val="0076643F"/>
    <w:rsid w:val="00770039"/>
    <w:rsid w:val="00776C35"/>
    <w:rsid w:val="00777038"/>
    <w:rsid w:val="00777F63"/>
    <w:rsid w:val="007A5817"/>
    <w:rsid w:val="007B05C4"/>
    <w:rsid w:val="007B60E9"/>
    <w:rsid w:val="007B6CC3"/>
    <w:rsid w:val="007B76D3"/>
    <w:rsid w:val="007C3334"/>
    <w:rsid w:val="007D2B98"/>
    <w:rsid w:val="007E21BC"/>
    <w:rsid w:val="007E7C82"/>
    <w:rsid w:val="007F08C8"/>
    <w:rsid w:val="007F2AA1"/>
    <w:rsid w:val="007F3CE3"/>
    <w:rsid w:val="007F588D"/>
    <w:rsid w:val="00803F1C"/>
    <w:rsid w:val="0080600E"/>
    <w:rsid w:val="00814688"/>
    <w:rsid w:val="00817612"/>
    <w:rsid w:val="008338A4"/>
    <w:rsid w:val="00834D49"/>
    <w:rsid w:val="00835C0B"/>
    <w:rsid w:val="00837C45"/>
    <w:rsid w:val="008406A0"/>
    <w:rsid w:val="00844730"/>
    <w:rsid w:val="008457C2"/>
    <w:rsid w:val="00845B7B"/>
    <w:rsid w:val="00857381"/>
    <w:rsid w:val="00857A82"/>
    <w:rsid w:val="008641A3"/>
    <w:rsid w:val="00873836"/>
    <w:rsid w:val="00880B85"/>
    <w:rsid w:val="00885737"/>
    <w:rsid w:val="00890650"/>
    <w:rsid w:val="008944DC"/>
    <w:rsid w:val="00897E12"/>
    <w:rsid w:val="008A7E0F"/>
    <w:rsid w:val="008B12F5"/>
    <w:rsid w:val="008C5E2D"/>
    <w:rsid w:val="008D768D"/>
    <w:rsid w:val="008E25E2"/>
    <w:rsid w:val="008E3759"/>
    <w:rsid w:val="008E3BFE"/>
    <w:rsid w:val="008F1458"/>
    <w:rsid w:val="008F178E"/>
    <w:rsid w:val="008F1912"/>
    <w:rsid w:val="0090270B"/>
    <w:rsid w:val="00903838"/>
    <w:rsid w:val="009041DC"/>
    <w:rsid w:val="00917B5A"/>
    <w:rsid w:val="00920A58"/>
    <w:rsid w:val="00920A8C"/>
    <w:rsid w:val="00934A2C"/>
    <w:rsid w:val="00940708"/>
    <w:rsid w:val="00941D78"/>
    <w:rsid w:val="00953955"/>
    <w:rsid w:val="0096706E"/>
    <w:rsid w:val="00974491"/>
    <w:rsid w:val="00975C4E"/>
    <w:rsid w:val="00981FBA"/>
    <w:rsid w:val="009831B6"/>
    <w:rsid w:val="00985B45"/>
    <w:rsid w:val="00994C87"/>
    <w:rsid w:val="00997BC5"/>
    <w:rsid w:val="009A4F41"/>
    <w:rsid w:val="009A5FA4"/>
    <w:rsid w:val="009B381B"/>
    <w:rsid w:val="009D1753"/>
    <w:rsid w:val="009D7611"/>
    <w:rsid w:val="009E0948"/>
    <w:rsid w:val="009E0B61"/>
    <w:rsid w:val="009E53DE"/>
    <w:rsid w:val="009F3EEC"/>
    <w:rsid w:val="00A03E6F"/>
    <w:rsid w:val="00A11212"/>
    <w:rsid w:val="00A11E44"/>
    <w:rsid w:val="00A123E2"/>
    <w:rsid w:val="00A143EB"/>
    <w:rsid w:val="00A24590"/>
    <w:rsid w:val="00A30100"/>
    <w:rsid w:val="00A32048"/>
    <w:rsid w:val="00A328B3"/>
    <w:rsid w:val="00A337B9"/>
    <w:rsid w:val="00A41313"/>
    <w:rsid w:val="00A50FCF"/>
    <w:rsid w:val="00A528D1"/>
    <w:rsid w:val="00A60DD1"/>
    <w:rsid w:val="00A610CD"/>
    <w:rsid w:val="00A758AA"/>
    <w:rsid w:val="00A9554D"/>
    <w:rsid w:val="00AA09A2"/>
    <w:rsid w:val="00AA4679"/>
    <w:rsid w:val="00AA7996"/>
    <w:rsid w:val="00AC19CB"/>
    <w:rsid w:val="00AC64DE"/>
    <w:rsid w:val="00AE5488"/>
    <w:rsid w:val="00AE6F91"/>
    <w:rsid w:val="00AF5571"/>
    <w:rsid w:val="00B07341"/>
    <w:rsid w:val="00B10854"/>
    <w:rsid w:val="00B24C36"/>
    <w:rsid w:val="00B30539"/>
    <w:rsid w:val="00B314DB"/>
    <w:rsid w:val="00B3480E"/>
    <w:rsid w:val="00B34F68"/>
    <w:rsid w:val="00B361F2"/>
    <w:rsid w:val="00B3718B"/>
    <w:rsid w:val="00B37273"/>
    <w:rsid w:val="00B3745F"/>
    <w:rsid w:val="00B4632A"/>
    <w:rsid w:val="00B530F1"/>
    <w:rsid w:val="00B70620"/>
    <w:rsid w:val="00B93D7F"/>
    <w:rsid w:val="00B97968"/>
    <w:rsid w:val="00BA276C"/>
    <w:rsid w:val="00BB019D"/>
    <w:rsid w:val="00BB306F"/>
    <w:rsid w:val="00BC7079"/>
    <w:rsid w:val="00BD0FF5"/>
    <w:rsid w:val="00BD4B89"/>
    <w:rsid w:val="00BD5922"/>
    <w:rsid w:val="00BD69D7"/>
    <w:rsid w:val="00BE0CAF"/>
    <w:rsid w:val="00BF02CB"/>
    <w:rsid w:val="00BF0977"/>
    <w:rsid w:val="00BF6FD8"/>
    <w:rsid w:val="00C03680"/>
    <w:rsid w:val="00C054DF"/>
    <w:rsid w:val="00C11C9C"/>
    <w:rsid w:val="00C13D2F"/>
    <w:rsid w:val="00C16BE9"/>
    <w:rsid w:val="00C21578"/>
    <w:rsid w:val="00C21762"/>
    <w:rsid w:val="00C21FEF"/>
    <w:rsid w:val="00C23BA4"/>
    <w:rsid w:val="00C24543"/>
    <w:rsid w:val="00C256A2"/>
    <w:rsid w:val="00C25ADB"/>
    <w:rsid w:val="00C30140"/>
    <w:rsid w:val="00C50228"/>
    <w:rsid w:val="00C51515"/>
    <w:rsid w:val="00C5660B"/>
    <w:rsid w:val="00C61FB0"/>
    <w:rsid w:val="00C66B72"/>
    <w:rsid w:val="00C740A5"/>
    <w:rsid w:val="00C87AC4"/>
    <w:rsid w:val="00C9567A"/>
    <w:rsid w:val="00CA6E85"/>
    <w:rsid w:val="00CB212D"/>
    <w:rsid w:val="00CB2660"/>
    <w:rsid w:val="00CC5E90"/>
    <w:rsid w:val="00CD046C"/>
    <w:rsid w:val="00CD1CBB"/>
    <w:rsid w:val="00CE076C"/>
    <w:rsid w:val="00CE5199"/>
    <w:rsid w:val="00CE66D5"/>
    <w:rsid w:val="00CF37EC"/>
    <w:rsid w:val="00CF514E"/>
    <w:rsid w:val="00CF637A"/>
    <w:rsid w:val="00D059DE"/>
    <w:rsid w:val="00D05ABD"/>
    <w:rsid w:val="00D13FCE"/>
    <w:rsid w:val="00D306D1"/>
    <w:rsid w:val="00D30800"/>
    <w:rsid w:val="00D34786"/>
    <w:rsid w:val="00D37BFC"/>
    <w:rsid w:val="00D47A8E"/>
    <w:rsid w:val="00D52D14"/>
    <w:rsid w:val="00D712D3"/>
    <w:rsid w:val="00D71422"/>
    <w:rsid w:val="00D71BC9"/>
    <w:rsid w:val="00D72DC6"/>
    <w:rsid w:val="00D7338F"/>
    <w:rsid w:val="00D73BB1"/>
    <w:rsid w:val="00D7558D"/>
    <w:rsid w:val="00D81D92"/>
    <w:rsid w:val="00D876F9"/>
    <w:rsid w:val="00D97AF0"/>
    <w:rsid w:val="00DA03DD"/>
    <w:rsid w:val="00DA7B5F"/>
    <w:rsid w:val="00DB2CBD"/>
    <w:rsid w:val="00DC11E7"/>
    <w:rsid w:val="00DC228E"/>
    <w:rsid w:val="00DC24E3"/>
    <w:rsid w:val="00DC7023"/>
    <w:rsid w:val="00DC769A"/>
    <w:rsid w:val="00DD3D86"/>
    <w:rsid w:val="00DD45E1"/>
    <w:rsid w:val="00DD4AD2"/>
    <w:rsid w:val="00DE2862"/>
    <w:rsid w:val="00DF1EC4"/>
    <w:rsid w:val="00DF32A9"/>
    <w:rsid w:val="00DF6054"/>
    <w:rsid w:val="00E0340B"/>
    <w:rsid w:val="00E04A90"/>
    <w:rsid w:val="00E0551F"/>
    <w:rsid w:val="00E130F7"/>
    <w:rsid w:val="00E219C7"/>
    <w:rsid w:val="00E2622B"/>
    <w:rsid w:val="00E40929"/>
    <w:rsid w:val="00E4118C"/>
    <w:rsid w:val="00E43157"/>
    <w:rsid w:val="00E461CE"/>
    <w:rsid w:val="00E573E4"/>
    <w:rsid w:val="00E64C3D"/>
    <w:rsid w:val="00E67D18"/>
    <w:rsid w:val="00E720CA"/>
    <w:rsid w:val="00E733E7"/>
    <w:rsid w:val="00E84EB5"/>
    <w:rsid w:val="00E85662"/>
    <w:rsid w:val="00E8789F"/>
    <w:rsid w:val="00E90074"/>
    <w:rsid w:val="00E95030"/>
    <w:rsid w:val="00E97B71"/>
    <w:rsid w:val="00EA3D34"/>
    <w:rsid w:val="00EB454D"/>
    <w:rsid w:val="00EB727D"/>
    <w:rsid w:val="00ED549D"/>
    <w:rsid w:val="00ED5E10"/>
    <w:rsid w:val="00ED76BE"/>
    <w:rsid w:val="00EE00E9"/>
    <w:rsid w:val="00EF1AAA"/>
    <w:rsid w:val="00EF619B"/>
    <w:rsid w:val="00F00B55"/>
    <w:rsid w:val="00F02AD1"/>
    <w:rsid w:val="00F05D2E"/>
    <w:rsid w:val="00F065CB"/>
    <w:rsid w:val="00F253CC"/>
    <w:rsid w:val="00F37106"/>
    <w:rsid w:val="00F44E25"/>
    <w:rsid w:val="00F50918"/>
    <w:rsid w:val="00F519CF"/>
    <w:rsid w:val="00F537B3"/>
    <w:rsid w:val="00F56443"/>
    <w:rsid w:val="00F56BA5"/>
    <w:rsid w:val="00F60E22"/>
    <w:rsid w:val="00F77E6E"/>
    <w:rsid w:val="00F81395"/>
    <w:rsid w:val="00F81BB8"/>
    <w:rsid w:val="00F90C64"/>
    <w:rsid w:val="00F917D1"/>
    <w:rsid w:val="00F9653B"/>
    <w:rsid w:val="00FA7288"/>
    <w:rsid w:val="00FB1EC8"/>
    <w:rsid w:val="00FB62CF"/>
    <w:rsid w:val="00FC6EA5"/>
    <w:rsid w:val="00FD3C3B"/>
    <w:rsid w:val="00FD75FD"/>
    <w:rsid w:val="00FD7E75"/>
    <w:rsid w:val="00FE07DD"/>
    <w:rsid w:val="00FE479F"/>
    <w:rsid w:val="00FE6B45"/>
    <w:rsid w:val="00FF2D40"/>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AB4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5EF4"/>
    <w:rPr>
      <w:sz w:val="16"/>
      <w:szCs w:val="16"/>
    </w:rPr>
  </w:style>
  <w:style w:type="paragraph" w:styleId="CommentText">
    <w:name w:val="annotation text"/>
    <w:basedOn w:val="Normal"/>
    <w:link w:val="CommentTextChar"/>
    <w:uiPriority w:val="99"/>
    <w:semiHidden/>
    <w:unhideWhenUsed/>
    <w:rsid w:val="00455EF4"/>
    <w:rPr>
      <w:sz w:val="20"/>
      <w:szCs w:val="20"/>
    </w:rPr>
  </w:style>
  <w:style w:type="character" w:customStyle="1" w:styleId="CommentTextChar">
    <w:name w:val="Comment Text Char"/>
    <w:basedOn w:val="DefaultParagraphFont"/>
    <w:link w:val="CommentText"/>
    <w:uiPriority w:val="99"/>
    <w:semiHidden/>
    <w:rsid w:val="00455EF4"/>
    <w:rPr>
      <w:lang w:val="en-US" w:eastAsia="en-US"/>
    </w:rPr>
  </w:style>
  <w:style w:type="paragraph" w:styleId="CommentSubject">
    <w:name w:val="annotation subject"/>
    <w:basedOn w:val="CommentText"/>
    <w:next w:val="CommentText"/>
    <w:link w:val="CommentSubjectChar"/>
    <w:uiPriority w:val="99"/>
    <w:semiHidden/>
    <w:unhideWhenUsed/>
    <w:rsid w:val="00455EF4"/>
    <w:rPr>
      <w:b/>
      <w:bCs/>
    </w:rPr>
  </w:style>
  <w:style w:type="character" w:customStyle="1" w:styleId="CommentSubjectChar">
    <w:name w:val="Comment Subject Char"/>
    <w:basedOn w:val="CommentTextChar"/>
    <w:link w:val="CommentSubject"/>
    <w:uiPriority w:val="99"/>
    <w:semiHidden/>
    <w:rsid w:val="00455EF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762918">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7035691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55C22"/>
    <w:rsid w:val="00120040"/>
    <w:rsid w:val="00200821"/>
    <w:rsid w:val="0025141E"/>
    <w:rsid w:val="0025245B"/>
    <w:rsid w:val="002A3923"/>
    <w:rsid w:val="003804DF"/>
    <w:rsid w:val="003874F5"/>
    <w:rsid w:val="00394049"/>
    <w:rsid w:val="003B0C71"/>
    <w:rsid w:val="003F433D"/>
    <w:rsid w:val="00493EB9"/>
    <w:rsid w:val="004B5BBB"/>
    <w:rsid w:val="004F2DF8"/>
    <w:rsid w:val="00517E2A"/>
    <w:rsid w:val="00532E1C"/>
    <w:rsid w:val="00601C7B"/>
    <w:rsid w:val="0060485A"/>
    <w:rsid w:val="006F24A1"/>
    <w:rsid w:val="008569B8"/>
    <w:rsid w:val="009A261B"/>
    <w:rsid w:val="00AA2E17"/>
    <w:rsid w:val="00AC15A4"/>
    <w:rsid w:val="00B0336C"/>
    <w:rsid w:val="00C96307"/>
    <w:rsid w:val="00D241E9"/>
    <w:rsid w:val="00D7750D"/>
    <w:rsid w:val="00DA4B6C"/>
    <w:rsid w:val="00F00D2F"/>
    <w:rsid w:val="00F128DF"/>
    <w:rsid w:val="00F53B50"/>
    <w:rsid w:val="00F96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B3DA0-F5C5-4515-B0D0-CBF26D582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2789</Words>
  <Characters>15371</Characters>
  <Application>Microsoft Office Word</Application>
  <DocSecurity>0</DocSecurity>
  <Lines>229</Lines>
  <Paragraphs>35</Paragraphs>
  <ScaleCrop>false</ScaleCrop>
  <Company/>
  <LinksUpToDate>false</LinksUpToDate>
  <CharactersWithSpaces>18125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267/20</dc:title>
  <dc:creator/>
  <cp:lastModifiedBy/>
  <cp:revision>1</cp:revision>
  <dcterms:created xsi:type="dcterms:W3CDTF">2021-01-06T15:25:00Z</dcterms:created>
  <dcterms:modified xsi:type="dcterms:W3CDTF">2021-01-06T15:25:00Z</dcterms:modified>
</cp:coreProperties>
</file>