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39C06" w14:textId="77777777"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0BF1FA3" wp14:editId="1F2DA75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1A62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579FA31" wp14:editId="2380031E">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E7E5DE" w14:textId="77777777" w:rsidR="00CB2660" w:rsidRDefault="00AE5488" w:rsidP="00AE5488">
                            <w:r>
                              <w:rPr>
                                <w:noProof/>
                              </w:rPr>
                              <w:drawing>
                                <wp:inline distT="0" distB="0" distL="0" distR="0" wp14:anchorId="0B00855C" wp14:editId="2E08E31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9FA31"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2BE7E5DE" w14:textId="77777777" w:rsidR="00CB2660" w:rsidRDefault="00AE5488" w:rsidP="00AE5488">
                      <w:r>
                        <w:rPr>
                          <w:noProof/>
                        </w:rPr>
                        <w:drawing>
                          <wp:inline distT="0" distB="0" distL="0" distR="0" wp14:anchorId="0B00855C" wp14:editId="2E08E31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28858592"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5620164"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3BDC1A8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F214D8"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316629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CD1C0B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15DB9968"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498EBB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998C45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B23D04"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DB876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4E5BF0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DD3B4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1045D29" wp14:editId="1F76976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BD865" w14:textId="28D2173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DC14AF">
                              <w:rPr>
                                <w:rFonts w:asciiTheme="majorHAnsi" w:hAnsiTheme="majorHAnsi" w:cs="Arial"/>
                                <w:b/>
                                <w:bCs/>
                                <w:color w:val="0D0D0D" w:themeColor="text1" w:themeTint="F2"/>
                                <w:sz w:val="36"/>
                                <w:szCs w:val="22"/>
                                <w:lang w:val="es-ES_tradnl"/>
                              </w:rPr>
                              <w:t xml:space="preserve"> 240</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33897BBA"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D4EAA">
                              <w:rPr>
                                <w:rFonts w:asciiTheme="majorHAnsi" w:hAnsiTheme="majorHAnsi" w:cs="Arial"/>
                                <w:b/>
                                <w:color w:val="0D0D0D" w:themeColor="text1" w:themeTint="F2"/>
                                <w:sz w:val="36"/>
                                <w:szCs w:val="22"/>
                                <w:lang w:val="es-ES_tradnl"/>
                              </w:rPr>
                              <w:t>399</w:t>
                            </w:r>
                            <w:r w:rsidR="00246D1F" w:rsidRPr="004E2649">
                              <w:rPr>
                                <w:rFonts w:asciiTheme="majorHAnsi" w:hAnsiTheme="majorHAnsi" w:cs="Arial"/>
                                <w:b/>
                                <w:color w:val="0D0D0D" w:themeColor="text1" w:themeTint="F2"/>
                                <w:sz w:val="36"/>
                                <w:szCs w:val="22"/>
                                <w:lang w:val="es-ES_tradnl"/>
                              </w:rPr>
                              <w:t>-</w:t>
                            </w:r>
                            <w:r w:rsidR="005D4EAA">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3C5C4AAA"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BA92929" w14:textId="77777777" w:rsidR="002D69E1" w:rsidRDefault="002D69E1" w:rsidP="00997BC5">
                            <w:pPr>
                              <w:spacing w:line="276" w:lineRule="auto"/>
                              <w:rPr>
                                <w:rFonts w:asciiTheme="majorHAnsi" w:hAnsiTheme="majorHAnsi" w:cs="Arial"/>
                                <w:color w:val="0D0D0D" w:themeColor="text1" w:themeTint="F2"/>
                                <w:szCs w:val="22"/>
                                <w:lang w:val="es-ES_tradnl"/>
                              </w:rPr>
                            </w:pPr>
                            <w:bookmarkStart w:id="1" w:name="_ftnref1"/>
                          </w:p>
                          <w:p w14:paraId="639CD5B8" w14:textId="77777777" w:rsidR="005B52B0" w:rsidRPr="0010736F" w:rsidRDefault="002D69E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OVER JOSE QUILA Y OTROS (MASACRE DE LA REJOYA)</w:t>
                            </w:r>
                          </w:p>
                          <w:bookmarkEnd w:id="1"/>
                          <w:p w14:paraId="12BFED28" w14:textId="77777777" w:rsidR="005B52B0" w:rsidRPr="00AE5488" w:rsidRDefault="002D69E1"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45D2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595BD865" w14:textId="28D2173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DC14AF">
                        <w:rPr>
                          <w:rFonts w:asciiTheme="majorHAnsi" w:hAnsiTheme="majorHAnsi" w:cs="Arial"/>
                          <w:b/>
                          <w:bCs/>
                          <w:color w:val="0D0D0D" w:themeColor="text1" w:themeTint="F2"/>
                          <w:sz w:val="36"/>
                          <w:szCs w:val="22"/>
                          <w:lang w:val="es-ES_tradnl"/>
                        </w:rPr>
                        <w:t xml:space="preserve"> 240</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33897BBA"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D4EAA">
                        <w:rPr>
                          <w:rFonts w:asciiTheme="majorHAnsi" w:hAnsiTheme="majorHAnsi" w:cs="Arial"/>
                          <w:b/>
                          <w:color w:val="0D0D0D" w:themeColor="text1" w:themeTint="F2"/>
                          <w:sz w:val="36"/>
                          <w:szCs w:val="22"/>
                          <w:lang w:val="es-ES_tradnl"/>
                        </w:rPr>
                        <w:t>399</w:t>
                      </w:r>
                      <w:r w:rsidR="00246D1F" w:rsidRPr="004E2649">
                        <w:rPr>
                          <w:rFonts w:asciiTheme="majorHAnsi" w:hAnsiTheme="majorHAnsi" w:cs="Arial"/>
                          <w:b/>
                          <w:color w:val="0D0D0D" w:themeColor="text1" w:themeTint="F2"/>
                          <w:sz w:val="36"/>
                          <w:szCs w:val="22"/>
                          <w:lang w:val="es-ES_tradnl"/>
                        </w:rPr>
                        <w:t>-</w:t>
                      </w:r>
                      <w:r w:rsidR="005D4EAA">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3C5C4AAA"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BA92929" w14:textId="77777777" w:rsidR="002D69E1" w:rsidRDefault="002D69E1" w:rsidP="00997BC5">
                      <w:pPr>
                        <w:spacing w:line="276" w:lineRule="auto"/>
                        <w:rPr>
                          <w:rFonts w:asciiTheme="majorHAnsi" w:hAnsiTheme="majorHAnsi" w:cs="Arial"/>
                          <w:color w:val="0D0D0D" w:themeColor="text1" w:themeTint="F2"/>
                          <w:szCs w:val="22"/>
                          <w:lang w:val="es-ES_tradnl"/>
                        </w:rPr>
                      </w:pPr>
                      <w:bookmarkStart w:id="2" w:name="_ftnref1"/>
                    </w:p>
                    <w:p w14:paraId="639CD5B8" w14:textId="77777777" w:rsidR="005B52B0" w:rsidRPr="0010736F" w:rsidRDefault="002D69E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OVER JOSE QUILA Y OTROS (MASACRE DE LA REJOYA)</w:t>
                      </w:r>
                    </w:p>
                    <w:bookmarkEnd w:id="2"/>
                    <w:p w14:paraId="12BFED28" w14:textId="77777777" w:rsidR="005B52B0" w:rsidRPr="00AE5488" w:rsidRDefault="002D69E1"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39B3C63" wp14:editId="15686B8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5DF85A" w14:textId="19086453" w:rsidR="00627C9F" w:rsidRPr="00DC14AF" w:rsidRDefault="00DC14AF" w:rsidP="007A5817">
                            <w:pPr>
                              <w:spacing w:line="276" w:lineRule="auto"/>
                              <w:jc w:val="right"/>
                              <w:rPr>
                                <w:rFonts w:asciiTheme="minorHAnsi" w:hAnsiTheme="minorHAnsi"/>
                                <w:color w:val="FFFFFF" w:themeColor="background1"/>
                                <w:sz w:val="22"/>
                                <w:lang w:val="es-419"/>
                              </w:rPr>
                            </w:pPr>
                            <w:r w:rsidRPr="00DC14AF">
                              <w:rPr>
                                <w:rFonts w:asciiTheme="minorHAnsi" w:hAnsiTheme="minorHAnsi"/>
                                <w:color w:val="FFFFFF" w:themeColor="background1"/>
                                <w:sz w:val="22"/>
                                <w:lang w:val="es-419"/>
                              </w:rPr>
                              <w:t>OEA/</w:t>
                            </w:r>
                            <w:proofErr w:type="spellStart"/>
                            <w:r w:rsidRPr="00DC14AF">
                              <w:rPr>
                                <w:rFonts w:asciiTheme="minorHAnsi" w:hAnsiTheme="minorHAnsi"/>
                                <w:color w:val="FFFFFF" w:themeColor="background1"/>
                                <w:sz w:val="22"/>
                                <w:lang w:val="es-419"/>
                              </w:rPr>
                              <w:t>Ser.L</w:t>
                            </w:r>
                            <w:proofErr w:type="spellEnd"/>
                            <w:r w:rsidRPr="00DC14AF">
                              <w:rPr>
                                <w:rFonts w:asciiTheme="minorHAnsi" w:hAnsiTheme="minorHAnsi"/>
                                <w:color w:val="FFFFFF" w:themeColor="background1"/>
                                <w:sz w:val="22"/>
                                <w:lang w:val="es-419"/>
                              </w:rPr>
                              <w:t>/V/II.</w:t>
                            </w:r>
                          </w:p>
                          <w:p w14:paraId="310D8D2E" w14:textId="4445A305" w:rsidR="00627C9F" w:rsidRPr="00DC14AF" w:rsidRDefault="00627C9F" w:rsidP="007A5817">
                            <w:pPr>
                              <w:spacing w:line="276" w:lineRule="auto"/>
                              <w:jc w:val="right"/>
                              <w:rPr>
                                <w:rFonts w:asciiTheme="minorHAnsi" w:hAnsiTheme="minorHAnsi"/>
                                <w:color w:val="FFFFFF" w:themeColor="background1"/>
                                <w:sz w:val="22"/>
                                <w:lang w:val="es-419"/>
                              </w:rPr>
                            </w:pPr>
                            <w:r w:rsidRPr="00DC14AF">
                              <w:rPr>
                                <w:rFonts w:asciiTheme="minorHAnsi" w:hAnsiTheme="minorHAnsi"/>
                                <w:color w:val="FFFFFF" w:themeColor="background1"/>
                                <w:sz w:val="22"/>
                                <w:lang w:val="es-419"/>
                              </w:rPr>
                              <w:t xml:space="preserve">Doc. </w:t>
                            </w:r>
                            <w:r w:rsidR="00DC14AF" w:rsidRPr="00DC14AF">
                              <w:rPr>
                                <w:rFonts w:asciiTheme="minorHAnsi" w:hAnsiTheme="minorHAnsi"/>
                                <w:color w:val="FFFFFF" w:themeColor="background1"/>
                                <w:sz w:val="22"/>
                                <w:lang w:val="es-419"/>
                              </w:rPr>
                              <w:t>256</w:t>
                            </w:r>
                          </w:p>
                          <w:p w14:paraId="6FEDFA8B" w14:textId="35C64528" w:rsidR="00627C9F" w:rsidRPr="00C25ADB" w:rsidRDefault="00DC14A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septiembre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20</w:t>
                            </w:r>
                          </w:p>
                          <w:p w14:paraId="17B1A8B9"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B3C63"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755DF85A" w14:textId="19086453" w:rsidR="00627C9F" w:rsidRPr="00DC14AF" w:rsidRDefault="00DC14AF" w:rsidP="007A5817">
                      <w:pPr>
                        <w:spacing w:line="276" w:lineRule="auto"/>
                        <w:jc w:val="right"/>
                        <w:rPr>
                          <w:rFonts w:asciiTheme="minorHAnsi" w:hAnsiTheme="minorHAnsi"/>
                          <w:color w:val="FFFFFF" w:themeColor="background1"/>
                          <w:sz w:val="22"/>
                          <w:lang w:val="es-419"/>
                        </w:rPr>
                      </w:pPr>
                      <w:r w:rsidRPr="00DC14AF">
                        <w:rPr>
                          <w:rFonts w:asciiTheme="minorHAnsi" w:hAnsiTheme="minorHAnsi"/>
                          <w:color w:val="FFFFFF" w:themeColor="background1"/>
                          <w:sz w:val="22"/>
                          <w:lang w:val="es-419"/>
                        </w:rPr>
                        <w:t>OEA/</w:t>
                      </w:r>
                      <w:proofErr w:type="spellStart"/>
                      <w:r w:rsidRPr="00DC14AF">
                        <w:rPr>
                          <w:rFonts w:asciiTheme="minorHAnsi" w:hAnsiTheme="minorHAnsi"/>
                          <w:color w:val="FFFFFF" w:themeColor="background1"/>
                          <w:sz w:val="22"/>
                          <w:lang w:val="es-419"/>
                        </w:rPr>
                        <w:t>Ser.L</w:t>
                      </w:r>
                      <w:proofErr w:type="spellEnd"/>
                      <w:r w:rsidRPr="00DC14AF">
                        <w:rPr>
                          <w:rFonts w:asciiTheme="minorHAnsi" w:hAnsiTheme="minorHAnsi"/>
                          <w:color w:val="FFFFFF" w:themeColor="background1"/>
                          <w:sz w:val="22"/>
                          <w:lang w:val="es-419"/>
                        </w:rPr>
                        <w:t>/V/II.</w:t>
                      </w:r>
                    </w:p>
                    <w:p w14:paraId="310D8D2E" w14:textId="4445A305" w:rsidR="00627C9F" w:rsidRPr="00DC14AF" w:rsidRDefault="00627C9F" w:rsidP="007A5817">
                      <w:pPr>
                        <w:spacing w:line="276" w:lineRule="auto"/>
                        <w:jc w:val="right"/>
                        <w:rPr>
                          <w:rFonts w:asciiTheme="minorHAnsi" w:hAnsiTheme="minorHAnsi"/>
                          <w:color w:val="FFFFFF" w:themeColor="background1"/>
                          <w:sz w:val="22"/>
                          <w:lang w:val="es-419"/>
                        </w:rPr>
                      </w:pPr>
                      <w:r w:rsidRPr="00DC14AF">
                        <w:rPr>
                          <w:rFonts w:asciiTheme="minorHAnsi" w:hAnsiTheme="minorHAnsi"/>
                          <w:color w:val="FFFFFF" w:themeColor="background1"/>
                          <w:sz w:val="22"/>
                          <w:lang w:val="es-419"/>
                        </w:rPr>
                        <w:t xml:space="preserve">Doc. </w:t>
                      </w:r>
                      <w:r w:rsidR="00DC14AF" w:rsidRPr="00DC14AF">
                        <w:rPr>
                          <w:rFonts w:asciiTheme="minorHAnsi" w:hAnsiTheme="minorHAnsi"/>
                          <w:color w:val="FFFFFF" w:themeColor="background1"/>
                          <w:sz w:val="22"/>
                          <w:lang w:val="es-419"/>
                        </w:rPr>
                        <w:t>256</w:t>
                      </w:r>
                    </w:p>
                    <w:p w14:paraId="6FEDFA8B" w14:textId="35C64528" w:rsidR="00627C9F" w:rsidRPr="00C25ADB" w:rsidRDefault="00DC14A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septiembre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20</w:t>
                      </w:r>
                    </w:p>
                    <w:p w14:paraId="17B1A8B9"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E37787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165CF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1F9CF8A"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79BD0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99BA7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793B2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82E5DA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5CC58B0"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B73438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FF2B25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CAF9548"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6FECC69"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7F4CF8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5C96F4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BBE50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F2905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3C178D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044C47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30E6B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0FAEC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B1006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694FC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8264F6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C0C82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ECC7B8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5ABDC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3DFBF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DF81D2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82522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1F12BA2" wp14:editId="7C23E065">
                <wp:simplePos x="0" y="0"/>
                <wp:positionH relativeFrom="column">
                  <wp:posOffset>1371600</wp:posOffset>
                </wp:positionH>
                <wp:positionV relativeFrom="paragraph">
                  <wp:posOffset>53340</wp:posOffset>
                </wp:positionV>
                <wp:extent cx="4933950" cy="664845"/>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9E5B" w14:textId="6A6E284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C14AF">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de </w:t>
                            </w:r>
                            <w:r w:rsidR="00DC14AF">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810BB6">
                              <w:rPr>
                                <w:rFonts w:asciiTheme="majorHAnsi" w:hAnsiTheme="majorHAnsi"/>
                                <w:color w:val="0D0D0D" w:themeColor="text1" w:themeTint="F2"/>
                                <w:sz w:val="18"/>
                                <w:szCs w:val="22"/>
                                <w:lang w:val="es-ES"/>
                              </w:rPr>
                              <w:t>.</w:t>
                            </w:r>
                          </w:p>
                          <w:p w14:paraId="23DEC334"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33F379EF"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12BA2" id="Text Box 7" o:spid="_x0000_s1029" type="#_x0000_t202" style="position:absolute;left:0;text-align:left;margin-left:108pt;margin-top:4.2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" filled="f" stroked="f" strokeweight=".5pt">
                <v:textbox>
                  <w:txbxContent>
                    <w:p w14:paraId="16039E5B" w14:textId="6A6E284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C14AF">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de </w:t>
                      </w:r>
                      <w:r w:rsidR="00DC14AF">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810BB6">
                        <w:rPr>
                          <w:rFonts w:asciiTheme="majorHAnsi" w:hAnsiTheme="majorHAnsi"/>
                          <w:color w:val="0D0D0D" w:themeColor="text1" w:themeTint="F2"/>
                          <w:sz w:val="18"/>
                          <w:szCs w:val="22"/>
                          <w:lang w:val="es-ES"/>
                        </w:rPr>
                        <w:t>.</w:t>
                      </w:r>
                    </w:p>
                    <w:p w14:paraId="23DEC334"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33F379EF"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2C959F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0EC74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8FF3C7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2BE927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06DBA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764727D" wp14:editId="3388D930">
                <wp:simplePos x="0" y="0"/>
                <wp:positionH relativeFrom="column">
                  <wp:posOffset>1333500</wp:posOffset>
                </wp:positionH>
                <wp:positionV relativeFrom="paragraph">
                  <wp:posOffset>5715</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44D453" w14:textId="5EC3123A"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C14AF" w:rsidRPr="00DC14AF">
                              <w:rPr>
                                <w:rFonts w:asciiTheme="majorHAnsi" w:hAnsiTheme="majorHAnsi"/>
                                <w:color w:val="595959" w:themeColor="text1" w:themeTint="A6"/>
                                <w:sz w:val="18"/>
                                <w:szCs w:val="18"/>
                                <w:lang w:val="pt-BR"/>
                              </w:rPr>
                              <w:t>240</w:t>
                            </w:r>
                            <w:r w:rsidR="007B05C4" w:rsidRPr="00DC14AF">
                              <w:rPr>
                                <w:rFonts w:asciiTheme="majorHAnsi" w:hAnsiTheme="majorHAnsi"/>
                                <w:color w:val="595959" w:themeColor="text1" w:themeTint="A6"/>
                                <w:sz w:val="18"/>
                                <w:szCs w:val="18"/>
                                <w:lang w:val="pt-BR"/>
                              </w:rPr>
                              <w:t>/</w:t>
                            </w:r>
                            <w:r w:rsidR="00DC14AF" w:rsidRPr="00DC14AF">
                              <w:rPr>
                                <w:rFonts w:asciiTheme="majorHAnsi" w:hAnsiTheme="majorHAnsi"/>
                                <w:color w:val="595959" w:themeColor="text1" w:themeTint="A6"/>
                                <w:sz w:val="18"/>
                                <w:szCs w:val="18"/>
                                <w:lang w:val="pt-BR"/>
                              </w:rPr>
                              <w:t>20</w:t>
                            </w:r>
                            <w:r w:rsidRPr="00DC14AF">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2D69E1">
                              <w:rPr>
                                <w:rFonts w:asciiTheme="majorHAnsi" w:hAnsiTheme="majorHAnsi"/>
                                <w:color w:val="595959" w:themeColor="text1" w:themeTint="A6"/>
                                <w:sz w:val="18"/>
                                <w:szCs w:val="18"/>
                                <w:lang w:val="es-ES"/>
                              </w:rPr>
                              <w:t>399</w:t>
                            </w:r>
                            <w:r w:rsidR="000433C9">
                              <w:rPr>
                                <w:rFonts w:asciiTheme="majorHAnsi" w:hAnsiTheme="majorHAnsi"/>
                                <w:color w:val="595959" w:themeColor="text1" w:themeTint="A6"/>
                                <w:sz w:val="18"/>
                                <w:szCs w:val="18"/>
                                <w:lang w:val="es-ES"/>
                              </w:rPr>
                              <w:t>-</w:t>
                            </w:r>
                            <w:r w:rsidR="002D69E1">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w:t>
                            </w:r>
                            <w:r w:rsidR="002D69E1">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 xml:space="preserve">Admisibilidad. </w:t>
                            </w:r>
                            <w:proofErr w:type="spellStart"/>
                            <w:r w:rsidR="002D69E1">
                              <w:rPr>
                                <w:rFonts w:asciiTheme="majorHAnsi" w:hAnsiTheme="majorHAnsi"/>
                                <w:color w:val="595959" w:themeColor="text1" w:themeTint="A6"/>
                                <w:sz w:val="18"/>
                                <w:szCs w:val="18"/>
                                <w:lang w:val="es-ES_tradnl"/>
                              </w:rPr>
                              <w:t>Over</w:t>
                            </w:r>
                            <w:proofErr w:type="spellEnd"/>
                            <w:r w:rsidR="002D69E1">
                              <w:rPr>
                                <w:rFonts w:asciiTheme="majorHAnsi" w:hAnsiTheme="majorHAnsi"/>
                                <w:color w:val="595959" w:themeColor="text1" w:themeTint="A6"/>
                                <w:sz w:val="18"/>
                                <w:szCs w:val="18"/>
                                <w:lang w:val="es-ES_tradnl"/>
                              </w:rPr>
                              <w:t xml:space="preserve"> Jose Quila y otros (Masacre de la </w:t>
                            </w:r>
                            <w:proofErr w:type="spellStart"/>
                            <w:r w:rsidR="002D69E1">
                              <w:rPr>
                                <w:rFonts w:asciiTheme="majorHAnsi" w:hAnsiTheme="majorHAnsi"/>
                                <w:color w:val="595959" w:themeColor="text1" w:themeTint="A6"/>
                                <w:sz w:val="18"/>
                                <w:szCs w:val="18"/>
                                <w:lang w:val="es-ES_tradnl"/>
                              </w:rPr>
                              <w:t>Rejoya</w:t>
                            </w:r>
                            <w:proofErr w:type="spellEnd"/>
                            <w:r w:rsidR="002D69E1">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2D69E1">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DC14AF">
                              <w:rPr>
                                <w:rFonts w:asciiTheme="majorHAnsi" w:hAnsiTheme="majorHAnsi"/>
                                <w:color w:val="595959" w:themeColor="text1" w:themeTint="A6"/>
                                <w:sz w:val="18"/>
                                <w:szCs w:val="18"/>
                                <w:lang w:val="es-ES"/>
                              </w:rPr>
                              <w:t>6 de septiembre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4727D" id="Text Box 10" o:spid="_x0000_s1030" type="#_x0000_t202" style="position:absolute;left:0;text-align:left;margin-left:105pt;margin-top:.45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" filled="f" stroked="f" strokeweight=".5pt">
                <v:textbox>
                  <w:txbxContent>
                    <w:p w14:paraId="0344D453" w14:textId="5EC3123A"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C14AF" w:rsidRPr="00DC14AF">
                        <w:rPr>
                          <w:rFonts w:asciiTheme="majorHAnsi" w:hAnsiTheme="majorHAnsi"/>
                          <w:color w:val="595959" w:themeColor="text1" w:themeTint="A6"/>
                          <w:sz w:val="18"/>
                          <w:szCs w:val="18"/>
                          <w:lang w:val="pt-BR"/>
                        </w:rPr>
                        <w:t>240</w:t>
                      </w:r>
                      <w:r w:rsidR="007B05C4" w:rsidRPr="00DC14AF">
                        <w:rPr>
                          <w:rFonts w:asciiTheme="majorHAnsi" w:hAnsiTheme="majorHAnsi"/>
                          <w:color w:val="595959" w:themeColor="text1" w:themeTint="A6"/>
                          <w:sz w:val="18"/>
                          <w:szCs w:val="18"/>
                          <w:lang w:val="pt-BR"/>
                        </w:rPr>
                        <w:t>/</w:t>
                      </w:r>
                      <w:r w:rsidR="00DC14AF" w:rsidRPr="00DC14AF">
                        <w:rPr>
                          <w:rFonts w:asciiTheme="majorHAnsi" w:hAnsiTheme="majorHAnsi"/>
                          <w:color w:val="595959" w:themeColor="text1" w:themeTint="A6"/>
                          <w:sz w:val="18"/>
                          <w:szCs w:val="18"/>
                          <w:lang w:val="pt-BR"/>
                        </w:rPr>
                        <w:t>20</w:t>
                      </w:r>
                      <w:r w:rsidRPr="00DC14AF">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2D69E1">
                        <w:rPr>
                          <w:rFonts w:asciiTheme="majorHAnsi" w:hAnsiTheme="majorHAnsi"/>
                          <w:color w:val="595959" w:themeColor="text1" w:themeTint="A6"/>
                          <w:sz w:val="18"/>
                          <w:szCs w:val="18"/>
                          <w:lang w:val="es-ES"/>
                        </w:rPr>
                        <w:t>399</w:t>
                      </w:r>
                      <w:r w:rsidR="000433C9">
                        <w:rPr>
                          <w:rFonts w:asciiTheme="majorHAnsi" w:hAnsiTheme="majorHAnsi"/>
                          <w:color w:val="595959" w:themeColor="text1" w:themeTint="A6"/>
                          <w:sz w:val="18"/>
                          <w:szCs w:val="18"/>
                          <w:lang w:val="es-ES"/>
                        </w:rPr>
                        <w:t>-</w:t>
                      </w:r>
                      <w:r w:rsidR="002D69E1">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w:t>
                      </w:r>
                      <w:r w:rsidR="002D69E1">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 xml:space="preserve">Admisibilidad. </w:t>
                      </w:r>
                      <w:proofErr w:type="spellStart"/>
                      <w:r w:rsidR="002D69E1">
                        <w:rPr>
                          <w:rFonts w:asciiTheme="majorHAnsi" w:hAnsiTheme="majorHAnsi"/>
                          <w:color w:val="595959" w:themeColor="text1" w:themeTint="A6"/>
                          <w:sz w:val="18"/>
                          <w:szCs w:val="18"/>
                          <w:lang w:val="es-ES_tradnl"/>
                        </w:rPr>
                        <w:t>Over</w:t>
                      </w:r>
                      <w:proofErr w:type="spellEnd"/>
                      <w:r w:rsidR="002D69E1">
                        <w:rPr>
                          <w:rFonts w:asciiTheme="majorHAnsi" w:hAnsiTheme="majorHAnsi"/>
                          <w:color w:val="595959" w:themeColor="text1" w:themeTint="A6"/>
                          <w:sz w:val="18"/>
                          <w:szCs w:val="18"/>
                          <w:lang w:val="es-ES_tradnl"/>
                        </w:rPr>
                        <w:t xml:space="preserve"> Jose Quila y otros (Masacre de la </w:t>
                      </w:r>
                      <w:proofErr w:type="spellStart"/>
                      <w:r w:rsidR="002D69E1">
                        <w:rPr>
                          <w:rFonts w:asciiTheme="majorHAnsi" w:hAnsiTheme="majorHAnsi"/>
                          <w:color w:val="595959" w:themeColor="text1" w:themeTint="A6"/>
                          <w:sz w:val="18"/>
                          <w:szCs w:val="18"/>
                          <w:lang w:val="es-ES_tradnl"/>
                        </w:rPr>
                        <w:t>Rejoya</w:t>
                      </w:r>
                      <w:proofErr w:type="spellEnd"/>
                      <w:r w:rsidR="002D69E1">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2D69E1">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DC14AF">
                        <w:rPr>
                          <w:rFonts w:asciiTheme="majorHAnsi" w:hAnsiTheme="majorHAnsi"/>
                          <w:color w:val="595959" w:themeColor="text1" w:themeTint="A6"/>
                          <w:sz w:val="18"/>
                          <w:szCs w:val="18"/>
                          <w:lang w:val="es-ES"/>
                        </w:rPr>
                        <w:t>6 de septiembre de 2020</w:t>
                      </w:r>
                      <w:r w:rsidRPr="007B05C4">
                        <w:rPr>
                          <w:rFonts w:asciiTheme="majorHAnsi" w:hAnsiTheme="majorHAnsi"/>
                          <w:color w:val="595959" w:themeColor="text1" w:themeTint="A6"/>
                          <w:sz w:val="18"/>
                          <w:szCs w:val="18"/>
                          <w:lang w:val="es-ES"/>
                        </w:rPr>
                        <w:t>.</w:t>
                      </w:r>
                    </w:p>
                  </w:txbxContent>
                </v:textbox>
              </v:shape>
            </w:pict>
          </mc:Fallback>
        </mc:AlternateContent>
      </w:r>
    </w:p>
    <w:p w14:paraId="162503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50B3A00"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2400CD9F" wp14:editId="4DDD15A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B05E83" w14:textId="11BE10FF" w:rsidR="00D72DC6" w:rsidRPr="00D72DC6" w:rsidRDefault="0099076B" w:rsidP="00F02AD1">
                            <w:pPr>
                              <w:rPr>
                                <w:color w:val="FFFFFF" w:themeColor="background1"/>
                                <w14:textFill>
                                  <w14:noFill/>
                                </w14:textFill>
                              </w:rPr>
                            </w:pPr>
                            <w:r>
                              <w:rPr>
                                <w:noProof/>
                                <w:color w:val="FFFFFF" w:themeColor="background1"/>
                              </w:rPr>
                              <w:drawing>
                                <wp:inline distT="0" distB="0" distL="0" distR="0" wp14:anchorId="439EBED5" wp14:editId="3C0BD40F">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0CD9F"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3EB05E83" w14:textId="11BE10FF" w:rsidR="00D72DC6" w:rsidRPr="00D72DC6" w:rsidRDefault="0099076B" w:rsidP="00F02AD1">
                      <w:pPr>
                        <w:rPr>
                          <w:color w:val="FFFFFF" w:themeColor="background1"/>
                          <w14:textFill>
                            <w14:noFill/>
                          </w14:textFill>
                        </w:rPr>
                      </w:pPr>
                      <w:r>
                        <w:rPr>
                          <w:noProof/>
                          <w:color w:val="FFFFFF" w:themeColor="background1"/>
                        </w:rPr>
                        <w:drawing>
                          <wp:inline distT="0" distB="0" distL="0" distR="0" wp14:anchorId="439EBED5" wp14:editId="3C0BD40F">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359510D9" wp14:editId="32B4128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95417"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510D9"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58C95417"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ABCDB48"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7A35255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6CFA6DAD" w14:textId="77777777" w:rsidTr="004A6A54">
        <w:tc>
          <w:tcPr>
            <w:tcW w:w="3600" w:type="dxa"/>
            <w:tcBorders>
              <w:top w:val="single" w:sz="4" w:space="0" w:color="auto"/>
              <w:bottom w:val="single" w:sz="6" w:space="0" w:color="auto"/>
            </w:tcBorders>
            <w:shd w:val="clear" w:color="auto" w:fill="386294"/>
            <w:vAlign w:val="center"/>
          </w:tcPr>
          <w:p w14:paraId="63E709D8"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17191FD" w14:textId="77777777" w:rsidR="003239B8" w:rsidRPr="000D05CB" w:rsidRDefault="002D69E1" w:rsidP="008D2290">
            <w:pPr>
              <w:jc w:val="both"/>
              <w:rPr>
                <w:rFonts w:ascii="Cambria" w:hAnsi="Cambria"/>
                <w:bCs/>
                <w:sz w:val="20"/>
                <w:szCs w:val="20"/>
              </w:rPr>
            </w:pPr>
            <w:r>
              <w:rPr>
                <w:rFonts w:ascii="Cambria" w:hAnsi="Cambria"/>
                <w:bCs/>
                <w:sz w:val="20"/>
                <w:szCs w:val="20"/>
              </w:rPr>
              <w:t xml:space="preserve">Corporación Justicia y </w:t>
            </w:r>
            <w:r w:rsidRPr="00A71E56">
              <w:rPr>
                <w:rFonts w:ascii="Cambria" w:hAnsi="Cambria"/>
                <w:bCs/>
                <w:sz w:val="20"/>
                <w:szCs w:val="20"/>
                <w:lang w:val="es-ES"/>
              </w:rPr>
              <w:t>Dignidad</w:t>
            </w:r>
          </w:p>
        </w:tc>
      </w:tr>
      <w:tr w:rsidR="003239B8" w:rsidRPr="0081245C" w14:paraId="063176E9" w14:textId="77777777" w:rsidTr="004A6A54">
        <w:tc>
          <w:tcPr>
            <w:tcW w:w="3600" w:type="dxa"/>
            <w:tcBorders>
              <w:top w:val="single" w:sz="6" w:space="0" w:color="auto"/>
              <w:bottom w:val="single" w:sz="6" w:space="0" w:color="auto"/>
            </w:tcBorders>
            <w:shd w:val="clear" w:color="auto" w:fill="386294"/>
            <w:vAlign w:val="center"/>
          </w:tcPr>
          <w:p w14:paraId="5E4E6CB9" w14:textId="77777777" w:rsidR="003239B8" w:rsidRPr="000D05CB" w:rsidRDefault="00637A0A"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01ADDE30" w14:textId="77777777" w:rsidR="003239B8" w:rsidRPr="000D05CB" w:rsidRDefault="002D69E1" w:rsidP="008D2290">
            <w:pPr>
              <w:jc w:val="both"/>
              <w:rPr>
                <w:rFonts w:ascii="Cambria" w:hAnsi="Cambria"/>
                <w:bCs/>
                <w:sz w:val="20"/>
                <w:szCs w:val="20"/>
                <w:lang w:val="es-ES"/>
              </w:rPr>
            </w:pPr>
            <w:r w:rsidRPr="002D69E1">
              <w:rPr>
                <w:rFonts w:ascii="Cambria" w:hAnsi="Cambria"/>
                <w:bCs/>
                <w:sz w:val="20"/>
                <w:szCs w:val="20"/>
                <w:lang w:val="es-ES_tradnl"/>
              </w:rPr>
              <w:t>O</w:t>
            </w:r>
            <w:r w:rsidR="009D4DB3">
              <w:rPr>
                <w:rFonts w:ascii="Cambria" w:hAnsi="Cambria"/>
                <w:bCs/>
                <w:sz w:val="20"/>
                <w:szCs w:val="20"/>
                <w:lang w:val="es-ES_tradnl"/>
              </w:rPr>
              <w:t>ver José</w:t>
            </w:r>
            <w:r>
              <w:rPr>
                <w:rFonts w:ascii="Cambria" w:hAnsi="Cambria"/>
                <w:bCs/>
                <w:sz w:val="20"/>
                <w:szCs w:val="20"/>
                <w:lang w:val="es-ES_tradnl"/>
              </w:rPr>
              <w:t xml:space="preserve"> Quila y otros</w:t>
            </w:r>
            <w:r w:rsidR="009F702E">
              <w:rPr>
                <w:rStyle w:val="FootnoteReference"/>
                <w:rFonts w:ascii="Cambria" w:hAnsi="Cambria"/>
                <w:bCs/>
                <w:sz w:val="20"/>
                <w:szCs w:val="20"/>
                <w:lang w:val="es-ES_tradnl"/>
              </w:rPr>
              <w:footnoteReference w:id="2"/>
            </w:r>
          </w:p>
        </w:tc>
      </w:tr>
      <w:tr w:rsidR="003239B8" w14:paraId="3364385B" w14:textId="77777777" w:rsidTr="004A6A54">
        <w:tc>
          <w:tcPr>
            <w:tcW w:w="3600" w:type="dxa"/>
            <w:tcBorders>
              <w:top w:val="single" w:sz="6" w:space="0" w:color="auto"/>
              <w:bottom w:val="single" w:sz="6" w:space="0" w:color="auto"/>
            </w:tcBorders>
            <w:shd w:val="clear" w:color="auto" w:fill="386294"/>
            <w:vAlign w:val="center"/>
          </w:tcPr>
          <w:p w14:paraId="32AB8737"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796F06C9" w14:textId="77777777" w:rsidR="003239B8" w:rsidRPr="000D05CB" w:rsidRDefault="002D69E1" w:rsidP="008D2290">
            <w:pPr>
              <w:jc w:val="both"/>
              <w:rPr>
                <w:rFonts w:ascii="Cambria" w:hAnsi="Cambria"/>
                <w:bCs/>
                <w:sz w:val="20"/>
                <w:szCs w:val="20"/>
              </w:rPr>
            </w:pPr>
            <w:r>
              <w:rPr>
                <w:rFonts w:ascii="Cambria" w:hAnsi="Cambria"/>
                <w:bCs/>
                <w:sz w:val="20"/>
                <w:szCs w:val="20"/>
              </w:rPr>
              <w:t>Colombia</w:t>
            </w:r>
          </w:p>
        </w:tc>
      </w:tr>
      <w:tr w:rsidR="00223A29" w:rsidRPr="0081245C" w14:paraId="5456A414" w14:textId="77777777" w:rsidTr="004A6A54">
        <w:tc>
          <w:tcPr>
            <w:tcW w:w="3600" w:type="dxa"/>
            <w:tcBorders>
              <w:top w:val="single" w:sz="6" w:space="0" w:color="auto"/>
              <w:bottom w:val="single" w:sz="6" w:space="0" w:color="auto"/>
            </w:tcBorders>
            <w:shd w:val="clear" w:color="auto" w:fill="386294"/>
            <w:vAlign w:val="center"/>
          </w:tcPr>
          <w:p w14:paraId="26D2C983"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7F8960E1" w14:textId="77777777" w:rsidR="00223A29" w:rsidRPr="002D69E1" w:rsidRDefault="002D69E1" w:rsidP="008D2290">
            <w:pPr>
              <w:jc w:val="both"/>
              <w:rPr>
                <w:rFonts w:ascii="Cambria" w:hAnsi="Cambria"/>
                <w:bCs/>
                <w:sz w:val="20"/>
                <w:szCs w:val="20"/>
                <w:lang w:val="es-ES"/>
              </w:rPr>
            </w:pPr>
            <w:r w:rsidRPr="00D90C0E">
              <w:rPr>
                <w:rFonts w:ascii="Cambria" w:hAnsi="Cambria"/>
                <w:sz w:val="20"/>
                <w:szCs w:val="20"/>
                <w:lang w:val="es-ES"/>
              </w:rPr>
              <w:t>Artículos 4 (vida), 5 (integridad personal), 8 (garantías judiciales) y 25 (protección judicial) de la Convención Americana sobre Derechos Humanos</w:t>
            </w:r>
            <w:r w:rsidRPr="00D90C0E">
              <w:rPr>
                <w:rStyle w:val="FootnoteReference"/>
                <w:rFonts w:ascii="Cambria" w:hAnsi="Cambria"/>
                <w:sz w:val="20"/>
                <w:szCs w:val="20"/>
                <w:lang w:val="es-ES"/>
              </w:rPr>
              <w:footnoteReference w:id="3"/>
            </w:r>
            <w:r w:rsidRPr="00D90C0E">
              <w:rPr>
                <w:rFonts w:ascii="Cambria" w:hAnsi="Cambria"/>
                <w:sz w:val="20"/>
                <w:szCs w:val="20"/>
                <w:lang w:val="es-ES"/>
              </w:rPr>
              <w:t>, en relación con su artículo 1.1 (obligación de respetar los derechos)</w:t>
            </w:r>
          </w:p>
        </w:tc>
      </w:tr>
    </w:tbl>
    <w:p w14:paraId="1AE17559"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15DCEB6F" w14:textId="77777777" w:rsidTr="004A6A54">
        <w:tc>
          <w:tcPr>
            <w:tcW w:w="3600" w:type="dxa"/>
            <w:tcBorders>
              <w:top w:val="single" w:sz="6" w:space="0" w:color="auto"/>
              <w:bottom w:val="single" w:sz="6" w:space="0" w:color="auto"/>
            </w:tcBorders>
            <w:shd w:val="clear" w:color="auto" w:fill="386294"/>
            <w:vAlign w:val="center"/>
          </w:tcPr>
          <w:p w14:paraId="565FA841"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2EC6A60C" w14:textId="77777777" w:rsidR="004C2312" w:rsidRPr="003239B8" w:rsidRDefault="002D69E1" w:rsidP="002625EA">
            <w:pPr>
              <w:jc w:val="both"/>
              <w:rPr>
                <w:rFonts w:ascii="Cambria" w:hAnsi="Cambria"/>
                <w:bCs/>
                <w:sz w:val="20"/>
                <w:szCs w:val="20"/>
                <w:lang w:val="es-ES"/>
              </w:rPr>
            </w:pPr>
            <w:r>
              <w:rPr>
                <w:rFonts w:ascii="Cambria" w:hAnsi="Cambria"/>
                <w:bCs/>
                <w:sz w:val="20"/>
                <w:szCs w:val="20"/>
                <w:lang w:val="es-ES"/>
              </w:rPr>
              <w:t>29 de marzo de 2011</w:t>
            </w:r>
          </w:p>
        </w:tc>
      </w:tr>
      <w:tr w:rsidR="004C2312" w:rsidRPr="002D69E1" w14:paraId="0A6E30E0" w14:textId="77777777" w:rsidTr="004A6A54">
        <w:tc>
          <w:tcPr>
            <w:tcW w:w="3600" w:type="dxa"/>
            <w:tcBorders>
              <w:top w:val="single" w:sz="6" w:space="0" w:color="auto"/>
              <w:bottom w:val="single" w:sz="6" w:space="0" w:color="auto"/>
            </w:tcBorders>
            <w:shd w:val="clear" w:color="auto" w:fill="386294"/>
            <w:vAlign w:val="center"/>
          </w:tcPr>
          <w:p w14:paraId="5740C954"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6B788AB5" w14:textId="77777777" w:rsidR="004C2312" w:rsidRPr="003239B8" w:rsidRDefault="00677F96" w:rsidP="008D2290">
            <w:pPr>
              <w:jc w:val="both"/>
              <w:rPr>
                <w:rFonts w:ascii="Cambria" w:hAnsi="Cambria"/>
                <w:bCs/>
                <w:sz w:val="20"/>
                <w:szCs w:val="20"/>
                <w:lang w:val="es-ES"/>
              </w:rPr>
            </w:pPr>
            <w:r>
              <w:rPr>
                <w:rFonts w:ascii="Cambria" w:hAnsi="Cambria"/>
                <w:bCs/>
                <w:sz w:val="20"/>
                <w:szCs w:val="20"/>
                <w:lang w:val="es-ES"/>
              </w:rPr>
              <w:t>21 diciembre de 2017</w:t>
            </w:r>
          </w:p>
        </w:tc>
      </w:tr>
      <w:tr w:rsidR="004C2312" w:rsidRPr="004A6A54" w14:paraId="0519E90D" w14:textId="77777777" w:rsidTr="004A6A54">
        <w:tc>
          <w:tcPr>
            <w:tcW w:w="3600" w:type="dxa"/>
            <w:tcBorders>
              <w:top w:val="single" w:sz="6" w:space="0" w:color="auto"/>
              <w:bottom w:val="single" w:sz="6" w:space="0" w:color="auto"/>
            </w:tcBorders>
            <w:shd w:val="clear" w:color="auto" w:fill="386294"/>
            <w:vAlign w:val="center"/>
          </w:tcPr>
          <w:p w14:paraId="4055C33D"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352FC80A" w14:textId="77777777" w:rsidR="004C2312" w:rsidRPr="003239B8" w:rsidRDefault="00677F96" w:rsidP="008D2290">
            <w:pPr>
              <w:jc w:val="both"/>
              <w:rPr>
                <w:rFonts w:ascii="Cambria" w:hAnsi="Cambria"/>
                <w:bCs/>
                <w:sz w:val="20"/>
                <w:szCs w:val="20"/>
                <w:lang w:val="es-ES"/>
              </w:rPr>
            </w:pPr>
            <w:r>
              <w:rPr>
                <w:rFonts w:ascii="Cambria" w:hAnsi="Cambria"/>
                <w:bCs/>
                <w:sz w:val="20"/>
                <w:szCs w:val="20"/>
                <w:lang w:val="es-ES"/>
              </w:rPr>
              <w:t>2 de octubre de 2019</w:t>
            </w:r>
          </w:p>
        </w:tc>
      </w:tr>
    </w:tbl>
    <w:p w14:paraId="4E0E3ACA"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40F17" w14:paraId="13F4EF32" w14:textId="77777777" w:rsidTr="004A6A54">
        <w:trPr>
          <w:cantSplit/>
        </w:trPr>
        <w:tc>
          <w:tcPr>
            <w:tcW w:w="3600" w:type="dxa"/>
            <w:tcBorders>
              <w:top w:val="single" w:sz="4" w:space="0" w:color="auto"/>
              <w:bottom w:val="single" w:sz="6" w:space="0" w:color="auto"/>
            </w:tcBorders>
            <w:shd w:val="clear" w:color="auto" w:fill="386294"/>
            <w:vAlign w:val="center"/>
          </w:tcPr>
          <w:p w14:paraId="12F23186"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062A8DC" w14:textId="77777777" w:rsidR="003239B8" w:rsidRPr="00B3745F" w:rsidRDefault="00677F96" w:rsidP="008D2290">
            <w:pPr>
              <w:rPr>
                <w:rFonts w:ascii="Cambria" w:hAnsi="Cambria"/>
                <w:bCs/>
                <w:sz w:val="20"/>
                <w:szCs w:val="20"/>
              </w:rPr>
            </w:pPr>
            <w:r>
              <w:rPr>
                <w:rFonts w:ascii="Cambria" w:hAnsi="Cambria"/>
                <w:bCs/>
                <w:sz w:val="20"/>
                <w:szCs w:val="20"/>
              </w:rPr>
              <w:t>Sí</w:t>
            </w:r>
          </w:p>
        </w:tc>
      </w:tr>
      <w:tr w:rsidR="003239B8" w:rsidRPr="00540F17" w14:paraId="4156D84A" w14:textId="77777777" w:rsidTr="004A6A54">
        <w:trPr>
          <w:cantSplit/>
        </w:trPr>
        <w:tc>
          <w:tcPr>
            <w:tcW w:w="3600" w:type="dxa"/>
            <w:tcBorders>
              <w:top w:val="single" w:sz="6" w:space="0" w:color="auto"/>
              <w:bottom w:val="single" w:sz="6" w:space="0" w:color="auto"/>
            </w:tcBorders>
            <w:shd w:val="clear" w:color="auto" w:fill="386294"/>
            <w:vAlign w:val="center"/>
          </w:tcPr>
          <w:p w14:paraId="3688FA9A"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4002AA94" w14:textId="77777777" w:rsidR="003239B8" w:rsidRPr="00B3745F" w:rsidRDefault="00677F96" w:rsidP="008D2290">
            <w:pPr>
              <w:rPr>
                <w:rFonts w:ascii="Cambria" w:hAnsi="Cambria"/>
                <w:bCs/>
                <w:sz w:val="20"/>
                <w:szCs w:val="20"/>
              </w:rPr>
            </w:pPr>
            <w:r>
              <w:rPr>
                <w:rFonts w:ascii="Cambria" w:hAnsi="Cambria"/>
                <w:bCs/>
                <w:sz w:val="20"/>
                <w:szCs w:val="20"/>
              </w:rPr>
              <w:t>Sí</w:t>
            </w:r>
          </w:p>
        </w:tc>
      </w:tr>
      <w:tr w:rsidR="003239B8" w:rsidRPr="00540F17" w14:paraId="5F8EAB5E" w14:textId="77777777" w:rsidTr="004A6A54">
        <w:trPr>
          <w:cantSplit/>
        </w:trPr>
        <w:tc>
          <w:tcPr>
            <w:tcW w:w="3600" w:type="dxa"/>
            <w:tcBorders>
              <w:top w:val="single" w:sz="6" w:space="0" w:color="auto"/>
              <w:bottom w:val="single" w:sz="6" w:space="0" w:color="auto"/>
            </w:tcBorders>
            <w:shd w:val="clear" w:color="auto" w:fill="386294"/>
            <w:vAlign w:val="center"/>
          </w:tcPr>
          <w:p w14:paraId="3BB477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155E5925" w14:textId="77777777" w:rsidR="003239B8" w:rsidRPr="00B3745F" w:rsidRDefault="00677F96" w:rsidP="008D2290">
            <w:pPr>
              <w:rPr>
                <w:rFonts w:ascii="Cambria" w:hAnsi="Cambria"/>
                <w:bCs/>
                <w:sz w:val="20"/>
                <w:szCs w:val="20"/>
              </w:rPr>
            </w:pPr>
            <w:r>
              <w:rPr>
                <w:rFonts w:ascii="Cambria" w:hAnsi="Cambria"/>
                <w:bCs/>
                <w:sz w:val="20"/>
                <w:szCs w:val="20"/>
              </w:rPr>
              <w:t xml:space="preserve">Sí </w:t>
            </w:r>
          </w:p>
        </w:tc>
      </w:tr>
      <w:tr w:rsidR="003239B8" w:rsidRPr="0081245C" w14:paraId="0E84C6CF" w14:textId="77777777" w:rsidTr="004A6A54">
        <w:trPr>
          <w:cantSplit/>
        </w:trPr>
        <w:tc>
          <w:tcPr>
            <w:tcW w:w="3600" w:type="dxa"/>
            <w:tcBorders>
              <w:top w:val="single" w:sz="6" w:space="0" w:color="auto"/>
              <w:bottom w:val="single" w:sz="6" w:space="0" w:color="auto"/>
            </w:tcBorders>
            <w:shd w:val="clear" w:color="auto" w:fill="386294"/>
            <w:vAlign w:val="center"/>
          </w:tcPr>
          <w:p w14:paraId="7F51278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6767A729" w14:textId="77777777" w:rsidR="003239B8" w:rsidRPr="00B3745F" w:rsidRDefault="00677F96" w:rsidP="008D2290">
            <w:pPr>
              <w:jc w:val="both"/>
              <w:rPr>
                <w:rFonts w:ascii="Cambria" w:hAnsi="Cambria"/>
                <w:bCs/>
                <w:sz w:val="20"/>
                <w:szCs w:val="20"/>
                <w:lang w:val="es-ES"/>
              </w:rPr>
            </w:pPr>
            <w:r>
              <w:rPr>
                <w:rFonts w:ascii="Cambria" w:hAnsi="Cambria"/>
                <w:bCs/>
                <w:sz w:val="20"/>
                <w:szCs w:val="20"/>
                <w:lang w:val="es-ES"/>
              </w:rPr>
              <w:t xml:space="preserve">Sí, </w:t>
            </w:r>
            <w:r w:rsidRPr="00D90C0E">
              <w:rPr>
                <w:rFonts w:ascii="Cambria" w:hAnsi="Cambria"/>
                <w:bCs/>
                <w:sz w:val="20"/>
                <w:szCs w:val="20"/>
                <w:lang w:val="es-ES"/>
              </w:rPr>
              <w:t xml:space="preserve">Convención Americana (depósito del instrumento de ratificación realizado el </w:t>
            </w:r>
            <w:r>
              <w:rPr>
                <w:rFonts w:ascii="Cambria" w:hAnsi="Cambria"/>
                <w:bCs/>
                <w:sz w:val="20"/>
                <w:szCs w:val="20"/>
                <w:lang w:val="es-ES"/>
              </w:rPr>
              <w:t>31 de julio de 1973)</w:t>
            </w:r>
          </w:p>
        </w:tc>
      </w:tr>
    </w:tbl>
    <w:p w14:paraId="16CBB0CB"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046AA0" w14:paraId="1C33F05B" w14:textId="77777777" w:rsidTr="00EB07BE">
        <w:trPr>
          <w:cantSplit/>
        </w:trPr>
        <w:tc>
          <w:tcPr>
            <w:tcW w:w="3566" w:type="dxa"/>
            <w:tcBorders>
              <w:top w:val="single" w:sz="4" w:space="0" w:color="auto"/>
              <w:bottom w:val="single" w:sz="6" w:space="0" w:color="auto"/>
            </w:tcBorders>
            <w:shd w:val="clear" w:color="auto" w:fill="386294"/>
            <w:vAlign w:val="center"/>
          </w:tcPr>
          <w:p w14:paraId="1F4A1B10"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676" w:type="dxa"/>
            <w:vAlign w:val="center"/>
          </w:tcPr>
          <w:p w14:paraId="78FCFAF1" w14:textId="77777777" w:rsidR="00EE00E9" w:rsidRPr="00DC24E3" w:rsidRDefault="00046AA0" w:rsidP="008D2290">
            <w:pPr>
              <w:jc w:val="both"/>
              <w:rPr>
                <w:rFonts w:ascii="Cambria" w:hAnsi="Cambria"/>
                <w:bCs/>
                <w:sz w:val="20"/>
                <w:szCs w:val="20"/>
                <w:lang w:val="es-ES"/>
              </w:rPr>
            </w:pPr>
            <w:r>
              <w:rPr>
                <w:rFonts w:ascii="Cambria" w:hAnsi="Cambria"/>
                <w:bCs/>
                <w:sz w:val="20"/>
                <w:szCs w:val="20"/>
                <w:lang w:val="es-ES"/>
              </w:rPr>
              <w:t>No</w:t>
            </w:r>
          </w:p>
        </w:tc>
      </w:tr>
      <w:tr w:rsidR="00EB07BE" w:rsidRPr="0081245C" w14:paraId="273B9DE2" w14:textId="77777777" w:rsidTr="00EB07BE">
        <w:trPr>
          <w:cantSplit/>
        </w:trPr>
        <w:tc>
          <w:tcPr>
            <w:tcW w:w="3566" w:type="dxa"/>
            <w:tcBorders>
              <w:top w:val="single" w:sz="4" w:space="0" w:color="auto"/>
              <w:bottom w:val="single" w:sz="6" w:space="0" w:color="auto"/>
            </w:tcBorders>
            <w:shd w:val="clear" w:color="auto" w:fill="386294"/>
            <w:vAlign w:val="center"/>
          </w:tcPr>
          <w:p w14:paraId="0F988FD4" w14:textId="77777777" w:rsidR="00EB07BE" w:rsidRPr="00DC24E3" w:rsidRDefault="00EB07BE" w:rsidP="00EB07BE">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676" w:type="dxa"/>
            <w:vAlign w:val="center"/>
          </w:tcPr>
          <w:p w14:paraId="6AD27767" w14:textId="77777777" w:rsidR="00EB07BE" w:rsidRPr="00EB07BE" w:rsidRDefault="00EB07BE" w:rsidP="00EB07BE">
            <w:pPr>
              <w:jc w:val="both"/>
              <w:rPr>
                <w:rFonts w:ascii="Cambria" w:hAnsi="Cambria"/>
                <w:bCs/>
                <w:sz w:val="20"/>
                <w:szCs w:val="20"/>
                <w:lang w:val="es-ES"/>
              </w:rPr>
            </w:pPr>
            <w:r w:rsidRPr="00D90C0E">
              <w:rPr>
                <w:rFonts w:ascii="Cambria" w:hAnsi="Cambria"/>
                <w:sz w:val="20"/>
                <w:szCs w:val="20"/>
                <w:lang w:val="es-ES"/>
              </w:rPr>
              <w:t>Artículos 4 (vida), 5 (integridad personal), 8 (garantías judiciales)</w:t>
            </w:r>
            <w:r>
              <w:rPr>
                <w:rFonts w:ascii="Cambria" w:hAnsi="Cambria"/>
                <w:sz w:val="20"/>
                <w:szCs w:val="20"/>
                <w:lang w:val="es-ES"/>
              </w:rPr>
              <w:t>, 13 (libertad de expresión), 22 (derecho de circulación y residencia)</w:t>
            </w:r>
            <w:r w:rsidRPr="00D90C0E">
              <w:rPr>
                <w:rFonts w:ascii="Cambria" w:hAnsi="Cambria"/>
                <w:sz w:val="20"/>
                <w:szCs w:val="20"/>
                <w:lang w:val="es-ES"/>
              </w:rPr>
              <w:t xml:space="preserve"> y 25 (protección judicial) de la Convención Americana, en relación con su artículo 1.1 (obligación de respetar los derechos)</w:t>
            </w:r>
          </w:p>
        </w:tc>
      </w:tr>
      <w:tr w:rsidR="00EB07BE" w:rsidRPr="0081245C" w14:paraId="0A49F021" w14:textId="77777777" w:rsidTr="00EB07BE">
        <w:trPr>
          <w:cantSplit/>
        </w:trPr>
        <w:tc>
          <w:tcPr>
            <w:tcW w:w="3566" w:type="dxa"/>
            <w:tcBorders>
              <w:top w:val="single" w:sz="6" w:space="0" w:color="auto"/>
              <w:bottom w:val="single" w:sz="6" w:space="0" w:color="auto"/>
            </w:tcBorders>
            <w:shd w:val="clear" w:color="auto" w:fill="386294"/>
            <w:vAlign w:val="center"/>
          </w:tcPr>
          <w:p w14:paraId="3524BD7F" w14:textId="77777777" w:rsidR="00EB07BE" w:rsidRPr="00DC24E3" w:rsidRDefault="00EB07BE" w:rsidP="00EB07BE">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 o procedencia de una excepción:</w:t>
            </w:r>
          </w:p>
        </w:tc>
        <w:tc>
          <w:tcPr>
            <w:tcW w:w="5676" w:type="dxa"/>
            <w:vAlign w:val="center"/>
          </w:tcPr>
          <w:p w14:paraId="5D86752C" w14:textId="77777777" w:rsidR="00EB07BE" w:rsidRPr="00F908F2" w:rsidRDefault="00EB07BE" w:rsidP="00EB07BE">
            <w:pPr>
              <w:rPr>
                <w:rFonts w:ascii="Cambria" w:hAnsi="Cambria"/>
                <w:bCs/>
                <w:sz w:val="20"/>
                <w:szCs w:val="20"/>
                <w:lang w:val="es-US"/>
              </w:rPr>
            </w:pPr>
            <w:r w:rsidRPr="00F908F2">
              <w:rPr>
                <w:rFonts w:ascii="Cambria" w:hAnsi="Cambria"/>
                <w:bCs/>
                <w:sz w:val="20"/>
                <w:szCs w:val="20"/>
                <w:lang w:val="es-US"/>
              </w:rPr>
              <w:t>Sí, en los términos de la sección VI</w:t>
            </w:r>
          </w:p>
        </w:tc>
      </w:tr>
      <w:tr w:rsidR="00EB07BE" w:rsidRPr="0081245C" w14:paraId="60818A6C" w14:textId="77777777" w:rsidTr="00EB07BE">
        <w:trPr>
          <w:cantSplit/>
        </w:trPr>
        <w:tc>
          <w:tcPr>
            <w:tcW w:w="3566" w:type="dxa"/>
            <w:tcBorders>
              <w:top w:val="single" w:sz="6" w:space="0" w:color="auto"/>
              <w:bottom w:val="single" w:sz="6" w:space="0" w:color="auto"/>
            </w:tcBorders>
            <w:shd w:val="clear" w:color="auto" w:fill="386294"/>
            <w:vAlign w:val="center"/>
          </w:tcPr>
          <w:p w14:paraId="518DDEFB" w14:textId="77777777" w:rsidR="00EB07BE" w:rsidRPr="00DC24E3" w:rsidRDefault="00EB07BE" w:rsidP="00EB07BE">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676" w:type="dxa"/>
            <w:vAlign w:val="center"/>
          </w:tcPr>
          <w:p w14:paraId="4AB0177A" w14:textId="77777777" w:rsidR="00EB07BE" w:rsidRPr="00F908F2" w:rsidRDefault="00EB07BE" w:rsidP="00EB07BE">
            <w:pPr>
              <w:rPr>
                <w:rFonts w:ascii="Cambria" w:hAnsi="Cambria"/>
                <w:bCs/>
                <w:sz w:val="20"/>
                <w:szCs w:val="20"/>
                <w:lang w:val="es-US"/>
              </w:rPr>
            </w:pPr>
            <w:r w:rsidRPr="00F908F2">
              <w:rPr>
                <w:rFonts w:ascii="Cambria" w:hAnsi="Cambria"/>
                <w:bCs/>
                <w:sz w:val="20"/>
                <w:szCs w:val="20"/>
                <w:lang w:val="es-US"/>
              </w:rPr>
              <w:t>Sí, en los términos de la sección VI</w:t>
            </w:r>
          </w:p>
        </w:tc>
      </w:tr>
    </w:tbl>
    <w:p w14:paraId="64A828AC" w14:textId="77777777" w:rsidR="003239B8" w:rsidRPr="00132A3A" w:rsidRDefault="00223A29" w:rsidP="003239B8">
      <w:pPr>
        <w:spacing w:before="240" w:after="240"/>
        <w:ind w:firstLine="720"/>
        <w:jc w:val="both"/>
        <w:rPr>
          <w:rFonts w:asciiTheme="majorHAnsi" w:hAnsiTheme="majorHAnsi"/>
          <w:b/>
          <w:sz w:val="20"/>
          <w:szCs w:val="20"/>
          <w:lang w:val="es-ES"/>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sidRPr="00132A3A">
        <w:rPr>
          <w:rFonts w:asciiTheme="majorHAnsi" w:hAnsiTheme="majorHAnsi"/>
          <w:b/>
          <w:sz w:val="20"/>
          <w:szCs w:val="20"/>
          <w:lang w:val="es-ES"/>
        </w:rPr>
        <w:t xml:space="preserve">HECHOS ALEGADOS </w:t>
      </w:r>
    </w:p>
    <w:p w14:paraId="222D4DB7" w14:textId="77777777" w:rsidR="00E927C6" w:rsidRPr="00132A3A" w:rsidRDefault="00046AA0" w:rsidP="00E927C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32A3A">
        <w:rPr>
          <w:rFonts w:ascii="Cambria" w:hAnsi="Cambria"/>
          <w:sz w:val="20"/>
          <w:szCs w:val="20"/>
          <w:lang w:val="es-ES"/>
        </w:rPr>
        <w:t xml:space="preserve">La parte peticionaria denuncia que el 15 de enero de 2001 en la vereda de la Rejoya </w:t>
      </w:r>
      <w:r w:rsidR="00EC2B9C" w:rsidRPr="00132A3A">
        <w:rPr>
          <w:rFonts w:ascii="Cambria" w:hAnsi="Cambria"/>
          <w:sz w:val="20"/>
          <w:szCs w:val="20"/>
          <w:lang w:val="es-ES"/>
        </w:rPr>
        <w:t>un conjunto de paramilitares interceptó</w:t>
      </w:r>
      <w:r w:rsidR="00E84305" w:rsidRPr="00132A3A">
        <w:rPr>
          <w:rFonts w:ascii="Cambria" w:hAnsi="Cambria"/>
          <w:sz w:val="20"/>
          <w:szCs w:val="20"/>
          <w:lang w:val="es-ES"/>
        </w:rPr>
        <w:t xml:space="preserve"> un “bus escalera” y </w:t>
      </w:r>
      <w:r w:rsidRPr="00132A3A">
        <w:rPr>
          <w:rFonts w:ascii="Cambria" w:hAnsi="Cambria"/>
          <w:sz w:val="20"/>
          <w:szCs w:val="20"/>
          <w:lang w:val="es-ES"/>
        </w:rPr>
        <w:t xml:space="preserve">asesinaron </w:t>
      </w:r>
      <w:r w:rsidR="00E84305" w:rsidRPr="00132A3A">
        <w:rPr>
          <w:rFonts w:ascii="Cambria" w:hAnsi="Cambria"/>
          <w:sz w:val="20"/>
          <w:szCs w:val="20"/>
          <w:lang w:val="es-ES"/>
        </w:rPr>
        <w:t xml:space="preserve">a nueve de sus pasajeros, quienes eran campesinos del municipio de Cajibio, </w:t>
      </w:r>
      <w:r w:rsidR="00367B08" w:rsidRPr="00132A3A">
        <w:rPr>
          <w:rFonts w:ascii="Cambria" w:hAnsi="Cambria"/>
          <w:sz w:val="20"/>
          <w:szCs w:val="20"/>
          <w:lang w:val="es-ES"/>
        </w:rPr>
        <w:t xml:space="preserve">a un </w:t>
      </w:r>
      <w:r w:rsidR="00EC2B9C" w:rsidRPr="00132A3A">
        <w:rPr>
          <w:rFonts w:ascii="Cambria" w:hAnsi="Cambria"/>
          <w:sz w:val="20"/>
          <w:szCs w:val="20"/>
          <w:lang w:val="es-ES"/>
        </w:rPr>
        <w:t>policía</w:t>
      </w:r>
      <w:r w:rsidR="00367B08" w:rsidRPr="00132A3A">
        <w:rPr>
          <w:rFonts w:ascii="Cambria" w:hAnsi="Cambria"/>
          <w:sz w:val="20"/>
          <w:szCs w:val="20"/>
          <w:lang w:val="es-ES"/>
        </w:rPr>
        <w:t xml:space="preserve"> que pasaba por la zona </w:t>
      </w:r>
      <w:r w:rsidR="00E84305" w:rsidRPr="00132A3A">
        <w:rPr>
          <w:rFonts w:ascii="Cambria" w:hAnsi="Cambria"/>
          <w:sz w:val="20"/>
          <w:szCs w:val="20"/>
          <w:lang w:val="es-ES"/>
        </w:rPr>
        <w:t>y dejaron gravemente herido al chofer. Alega que</w:t>
      </w:r>
      <w:r w:rsidR="00F908F2" w:rsidRPr="00132A3A">
        <w:rPr>
          <w:rFonts w:ascii="Cambria" w:hAnsi="Cambria"/>
          <w:sz w:val="20"/>
          <w:szCs w:val="20"/>
          <w:lang w:val="es-ES"/>
        </w:rPr>
        <w:t xml:space="preserve"> a pesar que el e</w:t>
      </w:r>
      <w:r w:rsidR="003603FF" w:rsidRPr="00132A3A">
        <w:rPr>
          <w:rFonts w:ascii="Cambria" w:hAnsi="Cambria"/>
          <w:sz w:val="20"/>
          <w:szCs w:val="20"/>
          <w:lang w:val="es-ES"/>
        </w:rPr>
        <w:t xml:space="preserve">jército </w:t>
      </w:r>
      <w:r w:rsidR="00FD35CB" w:rsidRPr="00132A3A">
        <w:rPr>
          <w:rFonts w:ascii="Cambria" w:hAnsi="Cambria"/>
          <w:sz w:val="20"/>
          <w:szCs w:val="20"/>
          <w:lang w:val="es-ES"/>
        </w:rPr>
        <w:t xml:space="preserve">e integrantes de diversos bloques paramilitares </w:t>
      </w:r>
      <w:r w:rsidR="003603FF" w:rsidRPr="00132A3A">
        <w:rPr>
          <w:rFonts w:ascii="Cambria" w:hAnsi="Cambria"/>
          <w:sz w:val="20"/>
          <w:szCs w:val="20"/>
          <w:lang w:val="es-ES"/>
        </w:rPr>
        <w:t xml:space="preserve">participaron en la comisión de tales delitos, las autoridades no investigaron diligentemente </w:t>
      </w:r>
      <w:r w:rsidR="005406D0" w:rsidRPr="00132A3A">
        <w:rPr>
          <w:rFonts w:ascii="Cambria" w:hAnsi="Cambria"/>
          <w:sz w:val="20"/>
          <w:szCs w:val="20"/>
          <w:lang w:val="es-ES"/>
        </w:rPr>
        <w:t>tal masacre</w:t>
      </w:r>
      <w:r w:rsidR="003603FF" w:rsidRPr="00132A3A">
        <w:rPr>
          <w:rFonts w:ascii="Cambria" w:hAnsi="Cambria"/>
          <w:sz w:val="20"/>
          <w:szCs w:val="20"/>
          <w:lang w:val="es-ES"/>
        </w:rPr>
        <w:t xml:space="preserve"> a fin de esclarecer adecuadamente lo sucedido y sancionar a todos los responsables. </w:t>
      </w:r>
    </w:p>
    <w:p w14:paraId="3F0B294A" w14:textId="77777777" w:rsidR="004B1ACA" w:rsidRPr="00132A3A" w:rsidRDefault="00F832C8" w:rsidP="00E8430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32A3A">
        <w:rPr>
          <w:rFonts w:ascii="Cambria" w:hAnsi="Cambria"/>
          <w:sz w:val="20"/>
          <w:szCs w:val="20"/>
          <w:lang w:val="es-ES"/>
        </w:rPr>
        <w:t xml:space="preserve">A modo de contexto, explica que en noviembre de 1999 cerca 50,000 personas de diferentes sectores sociales y organizaciones de bases campesinas </w:t>
      </w:r>
      <w:r w:rsidR="00183636" w:rsidRPr="00132A3A">
        <w:rPr>
          <w:rFonts w:ascii="Cambria" w:hAnsi="Cambria"/>
          <w:sz w:val="20"/>
          <w:szCs w:val="20"/>
          <w:lang w:val="es-ES"/>
        </w:rPr>
        <w:t>bloquearon</w:t>
      </w:r>
      <w:r w:rsidRPr="00132A3A">
        <w:rPr>
          <w:rFonts w:ascii="Cambria" w:hAnsi="Cambria"/>
          <w:sz w:val="20"/>
          <w:szCs w:val="20"/>
          <w:lang w:val="es-ES"/>
        </w:rPr>
        <w:t xml:space="preserve"> </w:t>
      </w:r>
      <w:r w:rsidR="00754BA0" w:rsidRPr="00132A3A">
        <w:rPr>
          <w:rFonts w:ascii="Cambria" w:hAnsi="Cambria"/>
          <w:sz w:val="20"/>
          <w:szCs w:val="20"/>
          <w:lang w:val="es-ES"/>
        </w:rPr>
        <w:t xml:space="preserve">durante </w:t>
      </w:r>
      <w:r w:rsidR="00183636" w:rsidRPr="00132A3A">
        <w:rPr>
          <w:rFonts w:ascii="Cambria" w:hAnsi="Cambria"/>
          <w:sz w:val="20"/>
          <w:szCs w:val="20"/>
          <w:lang w:val="es-ES"/>
        </w:rPr>
        <w:t>veintiséis</w:t>
      </w:r>
      <w:r w:rsidR="00754BA0" w:rsidRPr="00132A3A">
        <w:rPr>
          <w:rFonts w:ascii="Cambria" w:hAnsi="Cambria"/>
          <w:sz w:val="20"/>
          <w:szCs w:val="20"/>
          <w:lang w:val="es-ES"/>
        </w:rPr>
        <w:t xml:space="preserve"> días </w:t>
      </w:r>
      <w:r w:rsidRPr="00132A3A">
        <w:rPr>
          <w:rFonts w:ascii="Cambria" w:hAnsi="Cambria"/>
          <w:sz w:val="20"/>
          <w:szCs w:val="20"/>
          <w:lang w:val="es-ES"/>
        </w:rPr>
        <w:t xml:space="preserve">una carretera en </w:t>
      </w:r>
      <w:r w:rsidRPr="00132A3A">
        <w:rPr>
          <w:rFonts w:ascii="Cambria" w:hAnsi="Cambria"/>
          <w:sz w:val="20"/>
          <w:szCs w:val="20"/>
          <w:lang w:val="es-ES"/>
        </w:rPr>
        <w:lastRenderedPageBreak/>
        <w:t>el Municipio de Cajibío</w:t>
      </w:r>
      <w:r w:rsidR="005D376B" w:rsidRPr="00132A3A">
        <w:rPr>
          <w:rFonts w:ascii="Cambria" w:hAnsi="Cambria"/>
          <w:sz w:val="20"/>
          <w:szCs w:val="20"/>
          <w:lang w:val="es-ES"/>
        </w:rPr>
        <w:t xml:space="preserve"> del departamento del Cauca</w:t>
      </w:r>
      <w:r w:rsidRPr="00132A3A">
        <w:rPr>
          <w:rFonts w:ascii="Cambria" w:hAnsi="Cambria"/>
          <w:sz w:val="20"/>
          <w:szCs w:val="20"/>
          <w:lang w:val="es-ES"/>
        </w:rPr>
        <w:t>, exigiendo al Estado la destinación de recursos económicos para atender un conjunto de necesidades básicas</w:t>
      </w:r>
      <w:r w:rsidR="00771B59" w:rsidRPr="00132A3A">
        <w:rPr>
          <w:rFonts w:ascii="Cambria" w:hAnsi="Cambria"/>
          <w:sz w:val="20"/>
          <w:szCs w:val="20"/>
          <w:lang w:val="es-ES"/>
        </w:rPr>
        <w:t xml:space="preserve"> de los habitantes del sur occidente colombiano</w:t>
      </w:r>
      <w:r w:rsidRPr="00132A3A">
        <w:rPr>
          <w:rFonts w:ascii="Cambria" w:hAnsi="Cambria"/>
          <w:sz w:val="20"/>
          <w:szCs w:val="20"/>
          <w:lang w:val="es-ES"/>
        </w:rPr>
        <w:t>. Precisa que la zona donde se realizó la protesta permitió que cerca de 12,000 cajibianos se unieran a la manifestación</w:t>
      </w:r>
      <w:r w:rsidR="004B1ACA" w:rsidRPr="00132A3A">
        <w:rPr>
          <w:rFonts w:ascii="Cambria" w:hAnsi="Cambria"/>
          <w:sz w:val="20"/>
          <w:szCs w:val="20"/>
          <w:lang w:val="es-ES"/>
        </w:rPr>
        <w:t>, representando cerca de</w:t>
      </w:r>
      <w:r w:rsidR="008E005C">
        <w:rPr>
          <w:rFonts w:ascii="Cambria" w:hAnsi="Cambria"/>
          <w:sz w:val="20"/>
          <w:szCs w:val="20"/>
          <w:lang w:val="es-ES"/>
        </w:rPr>
        <w:t>l</w:t>
      </w:r>
      <w:r w:rsidR="004B1ACA" w:rsidRPr="00132A3A">
        <w:rPr>
          <w:rFonts w:ascii="Cambria" w:hAnsi="Cambria"/>
          <w:sz w:val="20"/>
          <w:szCs w:val="20"/>
          <w:lang w:val="es-ES"/>
        </w:rPr>
        <w:t xml:space="preserve"> 20% d</w:t>
      </w:r>
      <w:r w:rsidR="00A25552" w:rsidRPr="00132A3A">
        <w:rPr>
          <w:rFonts w:ascii="Cambria" w:hAnsi="Cambria"/>
          <w:sz w:val="20"/>
          <w:szCs w:val="20"/>
          <w:lang w:val="es-ES"/>
        </w:rPr>
        <w:t>e las personas protestantes.</w:t>
      </w:r>
      <w:r w:rsidR="00470B08" w:rsidRPr="00132A3A">
        <w:rPr>
          <w:rFonts w:ascii="Cambria" w:hAnsi="Cambria"/>
          <w:sz w:val="20"/>
          <w:szCs w:val="20"/>
          <w:lang w:val="es-ES"/>
        </w:rPr>
        <w:t xml:space="preserve"> Sostiene que tal movilización generó que el Estado </w:t>
      </w:r>
      <w:r w:rsidR="00810BB6" w:rsidRPr="00132A3A">
        <w:rPr>
          <w:rFonts w:ascii="Cambria" w:hAnsi="Cambria"/>
          <w:sz w:val="20"/>
          <w:szCs w:val="20"/>
          <w:lang w:val="es-ES"/>
        </w:rPr>
        <w:t>acordar</w:t>
      </w:r>
      <w:r w:rsidR="00810BB6">
        <w:rPr>
          <w:rFonts w:ascii="Cambria" w:hAnsi="Cambria"/>
          <w:sz w:val="20"/>
          <w:szCs w:val="20"/>
          <w:lang w:val="es-ES"/>
        </w:rPr>
        <w:t>á</w:t>
      </w:r>
      <w:r w:rsidR="00470B08" w:rsidRPr="00132A3A">
        <w:rPr>
          <w:rFonts w:ascii="Cambria" w:hAnsi="Cambria"/>
          <w:sz w:val="20"/>
          <w:szCs w:val="20"/>
          <w:lang w:val="es-ES"/>
        </w:rPr>
        <w:t xml:space="preserve"> desembolsar 112,000 millones de pesos en la región sur del occidente del país, de los cuales 13,000 millones serían destinados a programas sociales para el municipio de Cajibio.</w:t>
      </w:r>
    </w:p>
    <w:p w14:paraId="2A3BE47C" w14:textId="77777777" w:rsidR="00F832C8" w:rsidRPr="00132A3A" w:rsidRDefault="00470B08" w:rsidP="004B1AC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32A3A">
        <w:rPr>
          <w:rFonts w:ascii="Cambria" w:hAnsi="Cambria"/>
          <w:sz w:val="20"/>
          <w:szCs w:val="20"/>
          <w:lang w:val="es-ES"/>
        </w:rPr>
        <w:t xml:space="preserve">Sin embargo, alude que </w:t>
      </w:r>
      <w:r w:rsidR="00422471" w:rsidRPr="00132A3A">
        <w:rPr>
          <w:rFonts w:ascii="Cambria" w:hAnsi="Cambria"/>
          <w:sz w:val="20"/>
          <w:szCs w:val="20"/>
          <w:lang w:val="es-ES"/>
        </w:rPr>
        <w:t xml:space="preserve">a partir del año 2000 </w:t>
      </w:r>
      <w:r w:rsidR="00F832C8" w:rsidRPr="00132A3A">
        <w:rPr>
          <w:rFonts w:ascii="Cambria" w:hAnsi="Cambria"/>
          <w:sz w:val="20"/>
          <w:szCs w:val="20"/>
          <w:lang w:val="es-ES"/>
        </w:rPr>
        <w:t xml:space="preserve">tal acción colectiva </w:t>
      </w:r>
      <w:r w:rsidR="00D939F2" w:rsidRPr="00132A3A">
        <w:rPr>
          <w:rFonts w:ascii="Cambria" w:hAnsi="Cambria"/>
          <w:sz w:val="20"/>
          <w:szCs w:val="20"/>
          <w:lang w:val="es-ES"/>
        </w:rPr>
        <w:t>fue reprimida</w:t>
      </w:r>
      <w:r w:rsidR="00F832C8" w:rsidRPr="00132A3A">
        <w:rPr>
          <w:rFonts w:ascii="Cambria" w:hAnsi="Cambria"/>
          <w:sz w:val="20"/>
          <w:szCs w:val="20"/>
          <w:lang w:val="es-ES"/>
        </w:rPr>
        <w:t xml:space="preserve"> </w:t>
      </w:r>
      <w:r w:rsidR="00D939F2" w:rsidRPr="00132A3A">
        <w:rPr>
          <w:rFonts w:ascii="Cambria" w:hAnsi="Cambria"/>
          <w:sz w:val="20"/>
          <w:szCs w:val="20"/>
          <w:lang w:val="es-ES"/>
        </w:rPr>
        <w:t xml:space="preserve">por </w:t>
      </w:r>
      <w:r w:rsidR="00F832C8" w:rsidRPr="00132A3A">
        <w:rPr>
          <w:rFonts w:ascii="Cambria" w:hAnsi="Cambria"/>
          <w:sz w:val="20"/>
          <w:szCs w:val="20"/>
          <w:lang w:val="es-ES"/>
        </w:rPr>
        <w:t xml:space="preserve">agentes estatales y paramilitares </w:t>
      </w:r>
      <w:r w:rsidRPr="00132A3A">
        <w:rPr>
          <w:rFonts w:ascii="Cambria" w:hAnsi="Cambria"/>
          <w:sz w:val="20"/>
          <w:szCs w:val="20"/>
          <w:lang w:val="es-ES"/>
        </w:rPr>
        <w:t>mediante violaciones sistemáticas de</w:t>
      </w:r>
      <w:r w:rsidR="00F832C8" w:rsidRPr="00132A3A">
        <w:rPr>
          <w:rFonts w:ascii="Cambria" w:hAnsi="Cambria"/>
          <w:sz w:val="20"/>
          <w:szCs w:val="20"/>
          <w:lang w:val="es-ES"/>
        </w:rPr>
        <w:t xml:space="preserve"> derechos humanos</w:t>
      </w:r>
      <w:r w:rsidRPr="00132A3A">
        <w:rPr>
          <w:rFonts w:ascii="Cambria" w:hAnsi="Cambria"/>
          <w:sz w:val="20"/>
          <w:szCs w:val="20"/>
          <w:lang w:val="es-ES"/>
        </w:rPr>
        <w:t xml:space="preserve"> contra</w:t>
      </w:r>
      <w:r w:rsidR="00F832C8" w:rsidRPr="00132A3A">
        <w:rPr>
          <w:rFonts w:ascii="Cambria" w:hAnsi="Cambria"/>
          <w:sz w:val="20"/>
          <w:szCs w:val="20"/>
          <w:lang w:val="es-ES"/>
        </w:rPr>
        <w:t xml:space="preserve"> las personas habitantes del municipio de Cajibio.</w:t>
      </w:r>
      <w:r w:rsidR="00773FD0" w:rsidRPr="00132A3A">
        <w:rPr>
          <w:rFonts w:ascii="Cambria" w:hAnsi="Cambria"/>
          <w:sz w:val="20"/>
          <w:szCs w:val="20"/>
          <w:lang w:val="es-ES"/>
        </w:rPr>
        <w:t xml:space="preserve"> Alega que distintas fuentes han documentado que la tercera Briga</w:t>
      </w:r>
      <w:r w:rsidR="00132A3A" w:rsidRPr="00132A3A">
        <w:rPr>
          <w:rFonts w:ascii="Cambria" w:hAnsi="Cambria"/>
          <w:sz w:val="20"/>
          <w:szCs w:val="20"/>
          <w:lang w:val="es-ES"/>
        </w:rPr>
        <w:t>da del Ejército de Colombia cola</w:t>
      </w:r>
      <w:r w:rsidR="00773FD0" w:rsidRPr="00132A3A">
        <w:rPr>
          <w:rFonts w:ascii="Cambria" w:hAnsi="Cambria"/>
          <w:sz w:val="20"/>
          <w:szCs w:val="20"/>
          <w:lang w:val="es-ES"/>
        </w:rPr>
        <w:t>boró en el establecimiento del “Bloque Calima”</w:t>
      </w:r>
      <w:r w:rsidR="00A25552" w:rsidRPr="00132A3A">
        <w:rPr>
          <w:rFonts w:ascii="Cambria" w:hAnsi="Cambria"/>
          <w:sz w:val="20"/>
          <w:szCs w:val="20"/>
          <w:lang w:val="es-ES"/>
        </w:rPr>
        <w:t xml:space="preserve"> de las A</w:t>
      </w:r>
      <w:r w:rsidR="00FD35CB" w:rsidRPr="00132A3A">
        <w:rPr>
          <w:rFonts w:ascii="Cambria" w:hAnsi="Cambria"/>
          <w:sz w:val="20"/>
          <w:szCs w:val="20"/>
          <w:lang w:val="es-ES"/>
        </w:rPr>
        <w:t xml:space="preserve">utodefensas Unidas de Colombia (en adelante, </w:t>
      </w:r>
      <w:r w:rsidR="005E2393" w:rsidRPr="00132A3A">
        <w:rPr>
          <w:rFonts w:ascii="Cambria" w:hAnsi="Cambria"/>
          <w:sz w:val="20"/>
          <w:szCs w:val="20"/>
          <w:lang w:val="es-ES"/>
        </w:rPr>
        <w:t>“</w:t>
      </w:r>
      <w:r w:rsidR="00FD35CB" w:rsidRPr="00132A3A">
        <w:rPr>
          <w:rFonts w:ascii="Cambria" w:hAnsi="Cambria"/>
          <w:sz w:val="20"/>
          <w:szCs w:val="20"/>
          <w:lang w:val="es-ES"/>
        </w:rPr>
        <w:t>AUC</w:t>
      </w:r>
      <w:r w:rsidR="005E2393" w:rsidRPr="00132A3A">
        <w:rPr>
          <w:rFonts w:ascii="Cambria" w:hAnsi="Cambria"/>
          <w:sz w:val="20"/>
          <w:szCs w:val="20"/>
          <w:lang w:val="es-ES"/>
        </w:rPr>
        <w:t>”</w:t>
      </w:r>
      <w:r w:rsidR="00FD35CB" w:rsidRPr="00132A3A">
        <w:rPr>
          <w:rFonts w:ascii="Cambria" w:hAnsi="Cambria"/>
          <w:sz w:val="20"/>
          <w:szCs w:val="20"/>
          <w:lang w:val="es-ES"/>
        </w:rPr>
        <w:t xml:space="preserve">) en </w:t>
      </w:r>
      <w:r w:rsidR="005D376B" w:rsidRPr="00132A3A">
        <w:rPr>
          <w:rFonts w:ascii="Cambria" w:hAnsi="Cambria"/>
          <w:sz w:val="20"/>
          <w:szCs w:val="20"/>
          <w:lang w:val="es-ES"/>
        </w:rPr>
        <w:t>el Valle del Cauca y su desplazamiento al Cauca</w:t>
      </w:r>
      <w:r w:rsidR="00A25552" w:rsidRPr="00132A3A">
        <w:rPr>
          <w:rFonts w:ascii="Cambria" w:hAnsi="Cambria"/>
          <w:sz w:val="20"/>
          <w:szCs w:val="20"/>
          <w:lang w:val="es-ES"/>
        </w:rPr>
        <w:t>. Añade que integrantes del bloque paramilitar “</w:t>
      </w:r>
      <w:r w:rsidR="00622AB9" w:rsidRPr="00132A3A">
        <w:rPr>
          <w:rFonts w:ascii="Cambria" w:hAnsi="Cambria"/>
          <w:sz w:val="20"/>
          <w:szCs w:val="20"/>
          <w:lang w:val="es-ES"/>
        </w:rPr>
        <w:t>Mártires</w:t>
      </w:r>
      <w:r w:rsidR="00A25552" w:rsidRPr="00132A3A">
        <w:rPr>
          <w:rFonts w:ascii="Cambria" w:hAnsi="Cambria"/>
          <w:sz w:val="20"/>
          <w:szCs w:val="20"/>
          <w:lang w:val="es-ES"/>
        </w:rPr>
        <w:t xml:space="preserve"> de Ortega</w:t>
      </w:r>
      <w:r w:rsidR="00754BA0" w:rsidRPr="00132A3A">
        <w:rPr>
          <w:rFonts w:ascii="Cambria" w:hAnsi="Cambria"/>
          <w:sz w:val="20"/>
          <w:szCs w:val="20"/>
          <w:lang w:val="es-ES"/>
        </w:rPr>
        <w:t>”</w:t>
      </w:r>
      <w:r w:rsidR="00A25552" w:rsidRPr="00132A3A">
        <w:rPr>
          <w:rFonts w:ascii="Cambria" w:hAnsi="Cambria"/>
          <w:sz w:val="20"/>
          <w:szCs w:val="20"/>
          <w:lang w:val="es-ES"/>
        </w:rPr>
        <w:t xml:space="preserve"> también participaron en la planeación y ejecución de las operaci</w:t>
      </w:r>
      <w:r w:rsidR="005D376B" w:rsidRPr="00132A3A">
        <w:rPr>
          <w:rFonts w:ascii="Cambria" w:hAnsi="Cambria"/>
          <w:sz w:val="20"/>
          <w:szCs w:val="20"/>
          <w:lang w:val="es-ES"/>
        </w:rPr>
        <w:t>ones</w:t>
      </w:r>
      <w:r w:rsidR="00A25552" w:rsidRPr="00132A3A">
        <w:rPr>
          <w:rFonts w:ascii="Cambria" w:hAnsi="Cambria"/>
          <w:sz w:val="20"/>
          <w:szCs w:val="20"/>
          <w:lang w:val="es-ES"/>
        </w:rPr>
        <w:t xml:space="preserve"> realizadas por tal grupo</w:t>
      </w:r>
      <w:r w:rsidR="005D376B" w:rsidRPr="00132A3A">
        <w:rPr>
          <w:rFonts w:ascii="Cambria" w:hAnsi="Cambria"/>
          <w:sz w:val="20"/>
          <w:szCs w:val="20"/>
          <w:lang w:val="es-ES"/>
        </w:rPr>
        <w:t xml:space="preserve"> en este último departamento</w:t>
      </w:r>
      <w:r w:rsidR="00A25552" w:rsidRPr="00132A3A">
        <w:rPr>
          <w:rFonts w:ascii="Cambria" w:hAnsi="Cambria"/>
          <w:sz w:val="20"/>
          <w:szCs w:val="20"/>
          <w:lang w:val="es-ES"/>
        </w:rPr>
        <w:t>.</w:t>
      </w:r>
    </w:p>
    <w:p w14:paraId="56B93267" w14:textId="77777777" w:rsidR="005406D0" w:rsidRPr="00132A3A" w:rsidRDefault="00A25552" w:rsidP="00FD35C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32A3A">
        <w:rPr>
          <w:rFonts w:ascii="Cambria" w:hAnsi="Cambria"/>
          <w:sz w:val="20"/>
          <w:szCs w:val="20"/>
          <w:lang w:val="es-ES"/>
        </w:rPr>
        <w:t>Arguye que el accionar de los citados bloques paramilitares</w:t>
      </w:r>
      <w:r w:rsidR="00754BA0" w:rsidRPr="00132A3A">
        <w:rPr>
          <w:rFonts w:ascii="Cambria" w:hAnsi="Cambria"/>
          <w:sz w:val="20"/>
          <w:szCs w:val="20"/>
          <w:lang w:val="es-ES"/>
        </w:rPr>
        <w:t xml:space="preserve"> </w:t>
      </w:r>
      <w:r w:rsidRPr="00132A3A">
        <w:rPr>
          <w:rFonts w:ascii="Cambria" w:hAnsi="Cambria"/>
          <w:sz w:val="20"/>
          <w:szCs w:val="20"/>
          <w:lang w:val="es-ES"/>
        </w:rPr>
        <w:t xml:space="preserve">y del Ejército </w:t>
      </w:r>
      <w:r w:rsidR="005406D0" w:rsidRPr="00132A3A">
        <w:rPr>
          <w:rFonts w:ascii="Cambria" w:hAnsi="Cambria"/>
          <w:sz w:val="20"/>
          <w:szCs w:val="20"/>
          <w:lang w:val="es-ES"/>
        </w:rPr>
        <w:t>tuvo como resultado, entre otras masacres</w:t>
      </w:r>
      <w:r w:rsidR="005406D0" w:rsidRPr="00132A3A">
        <w:rPr>
          <w:rStyle w:val="FootnoteReference"/>
          <w:rFonts w:ascii="Cambria" w:hAnsi="Cambria"/>
          <w:sz w:val="20"/>
          <w:szCs w:val="20"/>
          <w:lang w:val="es-ES"/>
        </w:rPr>
        <w:footnoteReference w:id="5"/>
      </w:r>
      <w:r w:rsidR="005406D0" w:rsidRPr="00132A3A">
        <w:rPr>
          <w:rFonts w:ascii="Cambria" w:hAnsi="Cambria"/>
          <w:sz w:val="20"/>
          <w:szCs w:val="20"/>
          <w:lang w:val="es-ES"/>
        </w:rPr>
        <w:t>, los referidos sucesos del 15 de enero</w:t>
      </w:r>
      <w:r w:rsidR="00754BA0" w:rsidRPr="00132A3A">
        <w:rPr>
          <w:rFonts w:ascii="Cambria" w:hAnsi="Cambria"/>
          <w:sz w:val="20"/>
          <w:szCs w:val="20"/>
          <w:lang w:val="es-ES"/>
        </w:rPr>
        <w:t xml:space="preserve"> de</w:t>
      </w:r>
      <w:r w:rsidR="005406D0" w:rsidRPr="00132A3A">
        <w:rPr>
          <w:rFonts w:ascii="Cambria" w:hAnsi="Cambria"/>
          <w:sz w:val="20"/>
          <w:szCs w:val="20"/>
          <w:lang w:val="es-ES"/>
        </w:rPr>
        <w:t xml:space="preserve"> 2001 en la vereda de la Rejoya. </w:t>
      </w:r>
      <w:r w:rsidR="00367B08" w:rsidRPr="00132A3A">
        <w:rPr>
          <w:rFonts w:ascii="Cambria" w:hAnsi="Cambria"/>
          <w:sz w:val="20"/>
          <w:szCs w:val="20"/>
          <w:lang w:val="es-ES"/>
        </w:rPr>
        <w:t xml:space="preserve">Especifica </w:t>
      </w:r>
      <w:r w:rsidR="00132A3A" w:rsidRPr="00132A3A">
        <w:rPr>
          <w:rFonts w:ascii="Cambria" w:hAnsi="Cambria"/>
          <w:sz w:val="20"/>
          <w:szCs w:val="20"/>
          <w:lang w:val="es-ES"/>
        </w:rPr>
        <w:t>que,</w:t>
      </w:r>
      <w:r w:rsidR="00367B08" w:rsidRPr="00132A3A">
        <w:rPr>
          <w:rFonts w:ascii="Cambria" w:hAnsi="Cambria"/>
          <w:sz w:val="20"/>
          <w:szCs w:val="20"/>
          <w:lang w:val="es-ES"/>
        </w:rPr>
        <w:t xml:space="preserve"> tras </w:t>
      </w:r>
      <w:r w:rsidR="00FD35CB" w:rsidRPr="00132A3A">
        <w:rPr>
          <w:rFonts w:ascii="Cambria" w:hAnsi="Cambria"/>
          <w:sz w:val="20"/>
          <w:szCs w:val="20"/>
          <w:lang w:val="es-ES"/>
        </w:rPr>
        <w:t xml:space="preserve">realizar los asesinatos, los paramilitares </w:t>
      </w:r>
      <w:r w:rsidR="00132A3A" w:rsidRPr="00132A3A">
        <w:rPr>
          <w:rFonts w:ascii="Cambria" w:hAnsi="Cambria"/>
          <w:sz w:val="20"/>
          <w:szCs w:val="20"/>
          <w:lang w:val="es-ES"/>
        </w:rPr>
        <w:t>amenazaron</w:t>
      </w:r>
      <w:r w:rsidR="00FD35CB" w:rsidRPr="00132A3A">
        <w:rPr>
          <w:rFonts w:ascii="Cambria" w:hAnsi="Cambria"/>
          <w:sz w:val="20"/>
          <w:szCs w:val="20"/>
          <w:lang w:val="es-ES"/>
        </w:rPr>
        <w:t xml:space="preserve"> a los </w:t>
      </w:r>
      <w:r w:rsidR="00132A3A" w:rsidRPr="00132A3A">
        <w:rPr>
          <w:rFonts w:ascii="Cambria" w:hAnsi="Cambria"/>
          <w:sz w:val="20"/>
          <w:szCs w:val="20"/>
          <w:lang w:val="es-ES"/>
        </w:rPr>
        <w:t>sobrevivientes</w:t>
      </w:r>
      <w:r w:rsidR="00FD35CB" w:rsidRPr="00132A3A">
        <w:rPr>
          <w:rFonts w:ascii="Cambria" w:hAnsi="Cambria"/>
          <w:sz w:val="20"/>
          <w:szCs w:val="20"/>
          <w:lang w:val="es-ES"/>
        </w:rPr>
        <w:t>, orden</w:t>
      </w:r>
      <w:r w:rsidR="007A0C23" w:rsidRPr="00132A3A">
        <w:rPr>
          <w:rFonts w:ascii="Cambria" w:hAnsi="Cambria"/>
          <w:sz w:val="20"/>
          <w:szCs w:val="20"/>
          <w:lang w:val="es-ES"/>
        </w:rPr>
        <w:t>á</w:t>
      </w:r>
      <w:r w:rsidR="00FD35CB" w:rsidRPr="00132A3A">
        <w:rPr>
          <w:rFonts w:ascii="Cambria" w:hAnsi="Cambria"/>
          <w:sz w:val="20"/>
          <w:szCs w:val="20"/>
          <w:lang w:val="es-ES"/>
        </w:rPr>
        <w:t>ndoles que se vayan de la zona. Argumenta que t</w:t>
      </w:r>
      <w:r w:rsidR="00367B08" w:rsidRPr="00132A3A">
        <w:rPr>
          <w:rFonts w:ascii="Cambria" w:hAnsi="Cambria"/>
          <w:sz w:val="20"/>
          <w:szCs w:val="20"/>
          <w:lang w:val="es-ES"/>
        </w:rPr>
        <w:t xml:space="preserve">al situación generó que </w:t>
      </w:r>
      <w:r w:rsidR="005406D0" w:rsidRPr="00132A3A">
        <w:rPr>
          <w:rFonts w:ascii="Cambria" w:hAnsi="Cambria"/>
          <w:sz w:val="20"/>
          <w:szCs w:val="20"/>
          <w:lang w:val="es-ES"/>
        </w:rPr>
        <w:t xml:space="preserve">cerca de 300 familias </w:t>
      </w:r>
      <w:r w:rsidR="00367B08" w:rsidRPr="00132A3A">
        <w:rPr>
          <w:rFonts w:ascii="Cambria" w:hAnsi="Cambria"/>
          <w:sz w:val="20"/>
          <w:szCs w:val="20"/>
          <w:lang w:val="es-ES"/>
        </w:rPr>
        <w:t>se desplazaran</w:t>
      </w:r>
      <w:r w:rsidR="005406D0" w:rsidRPr="00132A3A">
        <w:rPr>
          <w:rFonts w:ascii="Cambria" w:hAnsi="Cambria"/>
          <w:sz w:val="20"/>
          <w:szCs w:val="20"/>
          <w:lang w:val="es-ES"/>
        </w:rPr>
        <w:t xml:space="preserve"> forzosamente hacia las ciudades de Cali y Popayán, y los municipios de Santander de Quilchao y Pendamó en el departamento del Cauca</w:t>
      </w:r>
      <w:r w:rsidR="00FD35CB" w:rsidRPr="00132A3A">
        <w:rPr>
          <w:rFonts w:ascii="Cambria" w:hAnsi="Cambria"/>
          <w:sz w:val="20"/>
          <w:szCs w:val="20"/>
          <w:lang w:val="es-ES"/>
        </w:rPr>
        <w:t xml:space="preserve">, provocando </w:t>
      </w:r>
      <w:r w:rsidR="005406D0" w:rsidRPr="00132A3A">
        <w:rPr>
          <w:rFonts w:ascii="Cambria" w:hAnsi="Cambria"/>
          <w:sz w:val="20"/>
          <w:szCs w:val="20"/>
          <w:lang w:val="es-ES"/>
        </w:rPr>
        <w:t>que el tejido social del municipio de Cajibio se des</w:t>
      </w:r>
      <w:r w:rsidR="00FD35CB" w:rsidRPr="00132A3A">
        <w:rPr>
          <w:rFonts w:ascii="Cambria" w:hAnsi="Cambria"/>
          <w:sz w:val="20"/>
          <w:szCs w:val="20"/>
          <w:lang w:val="es-ES"/>
        </w:rPr>
        <w:t>estructure. Agrega que muchos líderes sociales d</w:t>
      </w:r>
      <w:r w:rsidR="00422471" w:rsidRPr="00132A3A">
        <w:rPr>
          <w:rFonts w:ascii="Cambria" w:hAnsi="Cambria"/>
          <w:sz w:val="20"/>
          <w:szCs w:val="20"/>
          <w:lang w:val="es-ES"/>
        </w:rPr>
        <w:t>ejaron</w:t>
      </w:r>
      <w:r w:rsidR="00FD35CB" w:rsidRPr="00132A3A">
        <w:rPr>
          <w:rFonts w:ascii="Cambria" w:hAnsi="Cambria"/>
          <w:sz w:val="20"/>
          <w:szCs w:val="20"/>
          <w:lang w:val="es-ES"/>
        </w:rPr>
        <w:t xml:space="preserve"> sus actividades comunitarias </w:t>
      </w:r>
      <w:r w:rsidR="00422471" w:rsidRPr="00132A3A">
        <w:rPr>
          <w:rFonts w:ascii="Cambria" w:hAnsi="Cambria"/>
          <w:sz w:val="20"/>
          <w:szCs w:val="20"/>
          <w:lang w:val="es-ES"/>
        </w:rPr>
        <w:t>por temor a posibles represalias, ocasionando que el acuerdo logrado en favor de los habitantes del municipio de Cajibio tras las manifestaciones de 1999</w:t>
      </w:r>
      <w:r w:rsidR="00810BB6">
        <w:rPr>
          <w:rFonts w:ascii="Cambria" w:hAnsi="Cambria"/>
          <w:sz w:val="20"/>
          <w:szCs w:val="20"/>
          <w:lang w:val="es-ES"/>
        </w:rPr>
        <w:t>,</w:t>
      </w:r>
      <w:r w:rsidR="00422471" w:rsidRPr="00132A3A">
        <w:rPr>
          <w:rFonts w:ascii="Cambria" w:hAnsi="Cambria"/>
          <w:sz w:val="20"/>
          <w:szCs w:val="20"/>
          <w:lang w:val="es-ES"/>
        </w:rPr>
        <w:t xml:space="preserve"> sea incumplido y desconocido por el Estado. </w:t>
      </w:r>
    </w:p>
    <w:p w14:paraId="19CF6C97" w14:textId="77777777" w:rsidR="005D2300" w:rsidRPr="00132A3A" w:rsidRDefault="00DC14B2" w:rsidP="005D230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32A3A">
        <w:rPr>
          <w:rFonts w:ascii="Cambria" w:hAnsi="Cambria"/>
          <w:sz w:val="20"/>
          <w:szCs w:val="20"/>
          <w:lang w:val="es-ES"/>
        </w:rPr>
        <w:t xml:space="preserve">Señala que el 20 de enero de 2001 el periódico “El Liberal” de la ciudad de Popayán informó que un líder paramilitar de las AUC se atribuyó los hechos ocurridos en la vereda de la Rejoya, mediante una carta </w:t>
      </w:r>
      <w:r w:rsidR="00132A3A" w:rsidRPr="00132A3A">
        <w:rPr>
          <w:rFonts w:ascii="Cambria" w:hAnsi="Cambria"/>
          <w:sz w:val="20"/>
          <w:szCs w:val="20"/>
          <w:lang w:val="es-ES"/>
        </w:rPr>
        <w:t>dirigida</w:t>
      </w:r>
      <w:r w:rsidRPr="00132A3A">
        <w:rPr>
          <w:rFonts w:ascii="Cambria" w:hAnsi="Cambria"/>
          <w:sz w:val="20"/>
          <w:szCs w:val="20"/>
          <w:lang w:val="es-ES"/>
        </w:rPr>
        <w:t xml:space="preserve"> al Defensor del Pueblo de Popayán. Indica que el 2 de febrero de 2001 la Fiscalía </w:t>
      </w:r>
      <w:r w:rsidR="00261AB8" w:rsidRPr="00132A3A">
        <w:rPr>
          <w:rFonts w:ascii="Cambria" w:hAnsi="Cambria"/>
          <w:sz w:val="20"/>
          <w:szCs w:val="20"/>
          <w:lang w:val="es-ES"/>
        </w:rPr>
        <w:t>inició</w:t>
      </w:r>
      <w:r w:rsidRPr="00132A3A">
        <w:rPr>
          <w:rFonts w:ascii="Cambria" w:hAnsi="Cambria"/>
          <w:sz w:val="20"/>
          <w:szCs w:val="20"/>
          <w:lang w:val="es-ES"/>
        </w:rPr>
        <w:t xml:space="preserve"> </w:t>
      </w:r>
      <w:r w:rsidR="00261AB8" w:rsidRPr="00132A3A">
        <w:rPr>
          <w:rFonts w:ascii="Cambria" w:hAnsi="Cambria"/>
          <w:sz w:val="20"/>
          <w:szCs w:val="20"/>
          <w:lang w:val="es-ES"/>
        </w:rPr>
        <w:t xml:space="preserve">una </w:t>
      </w:r>
      <w:r w:rsidRPr="00132A3A">
        <w:rPr>
          <w:rFonts w:ascii="Cambria" w:hAnsi="Cambria"/>
          <w:sz w:val="20"/>
          <w:szCs w:val="20"/>
          <w:lang w:val="es-ES"/>
        </w:rPr>
        <w:t xml:space="preserve">investigación previa y en el transcurso del proceso se vinculó a siete paramilitares del “Bloque Calima”, </w:t>
      </w:r>
      <w:r w:rsidR="00132A3A" w:rsidRPr="00132A3A">
        <w:rPr>
          <w:rFonts w:ascii="Cambria" w:hAnsi="Cambria"/>
          <w:sz w:val="20"/>
          <w:szCs w:val="20"/>
          <w:lang w:val="es-ES"/>
        </w:rPr>
        <w:t>quienes</w:t>
      </w:r>
      <w:r w:rsidRPr="00132A3A">
        <w:rPr>
          <w:rFonts w:ascii="Cambria" w:hAnsi="Cambria"/>
          <w:sz w:val="20"/>
          <w:szCs w:val="20"/>
          <w:lang w:val="es-ES"/>
        </w:rPr>
        <w:t xml:space="preserve"> confesaron su participación </w:t>
      </w:r>
      <w:r w:rsidR="00A03BCB" w:rsidRPr="00132A3A">
        <w:rPr>
          <w:rFonts w:ascii="Cambria" w:hAnsi="Cambria"/>
          <w:sz w:val="20"/>
          <w:szCs w:val="20"/>
          <w:lang w:val="es-ES"/>
        </w:rPr>
        <w:t xml:space="preserve">en los hechos denunciados. Producto de ello, 10 de abril de 2010 el Juzgado Segundo Penal Especializado del Circuito de Popayán condenó a las citadas personas a </w:t>
      </w:r>
      <w:r w:rsidR="006A2D42" w:rsidRPr="00132A3A">
        <w:rPr>
          <w:rFonts w:ascii="Cambria" w:hAnsi="Cambria"/>
          <w:sz w:val="20"/>
          <w:szCs w:val="20"/>
          <w:lang w:val="es-ES"/>
        </w:rPr>
        <w:t>diecinueve</w:t>
      </w:r>
      <w:r w:rsidR="00A03BCB" w:rsidRPr="00132A3A">
        <w:rPr>
          <w:rFonts w:ascii="Cambria" w:hAnsi="Cambria"/>
          <w:sz w:val="20"/>
          <w:szCs w:val="20"/>
          <w:lang w:val="es-ES"/>
        </w:rPr>
        <w:t xml:space="preserve"> años de pena privativa de libertad</w:t>
      </w:r>
      <w:r w:rsidR="00771B59" w:rsidRPr="00132A3A">
        <w:rPr>
          <w:rFonts w:ascii="Cambria" w:hAnsi="Cambria"/>
          <w:sz w:val="20"/>
          <w:szCs w:val="20"/>
          <w:lang w:val="es-ES"/>
        </w:rPr>
        <w:t xml:space="preserve"> por el delito de homicidio agravado</w:t>
      </w:r>
      <w:r w:rsidR="00A03BCB" w:rsidRPr="00132A3A">
        <w:rPr>
          <w:rFonts w:ascii="Cambria" w:hAnsi="Cambria"/>
          <w:sz w:val="20"/>
          <w:szCs w:val="20"/>
          <w:lang w:val="es-ES"/>
        </w:rPr>
        <w:t>, pero sin disponer reparaciones por concepto de daños materiales y morales.</w:t>
      </w:r>
    </w:p>
    <w:p w14:paraId="4585A829" w14:textId="77777777" w:rsidR="00771B59" w:rsidRPr="00132A3A" w:rsidRDefault="00A03BCB" w:rsidP="00A03BC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32A3A">
        <w:rPr>
          <w:rFonts w:ascii="Cambria" w:hAnsi="Cambria"/>
          <w:sz w:val="20"/>
          <w:szCs w:val="20"/>
          <w:lang w:val="es-ES"/>
        </w:rPr>
        <w:t xml:space="preserve">La parte peticionaria denuncia que la citada decisión no fue notificada a la parte civil, provocando que la misma quede ejecutoriada, sin brindar la oportunidad a los familiares de las víctimas de recurrir la decisión a fin de cuestionar la falta de medidas de reparación. </w:t>
      </w:r>
      <w:r w:rsidR="00771B59" w:rsidRPr="00132A3A">
        <w:rPr>
          <w:rFonts w:ascii="Cambria" w:hAnsi="Cambria"/>
          <w:sz w:val="20"/>
          <w:szCs w:val="20"/>
          <w:lang w:val="es-ES"/>
        </w:rPr>
        <w:t>Agrega que</w:t>
      </w:r>
      <w:r w:rsidR="00261AB8" w:rsidRPr="00132A3A">
        <w:rPr>
          <w:rFonts w:ascii="Cambria" w:hAnsi="Cambria"/>
          <w:sz w:val="20"/>
          <w:szCs w:val="20"/>
          <w:lang w:val="es-ES"/>
        </w:rPr>
        <w:t xml:space="preserve">, </w:t>
      </w:r>
      <w:r w:rsidR="00771B59" w:rsidRPr="00132A3A">
        <w:rPr>
          <w:rFonts w:ascii="Cambria" w:hAnsi="Cambria"/>
          <w:sz w:val="20"/>
          <w:szCs w:val="20"/>
          <w:lang w:val="es-ES"/>
        </w:rPr>
        <w:t>paralelamente</w:t>
      </w:r>
      <w:r w:rsidR="00261AB8" w:rsidRPr="00132A3A">
        <w:rPr>
          <w:rFonts w:ascii="Cambria" w:hAnsi="Cambria"/>
          <w:sz w:val="20"/>
          <w:szCs w:val="20"/>
          <w:lang w:val="es-ES"/>
        </w:rPr>
        <w:t xml:space="preserve">, </w:t>
      </w:r>
      <w:r w:rsidR="00107623" w:rsidRPr="00132A3A">
        <w:rPr>
          <w:rFonts w:ascii="Cambria" w:hAnsi="Cambria"/>
          <w:sz w:val="20"/>
          <w:szCs w:val="20"/>
          <w:lang w:val="es-ES"/>
        </w:rPr>
        <w:t>algunas de</w:t>
      </w:r>
      <w:r w:rsidR="00771B59" w:rsidRPr="00132A3A">
        <w:rPr>
          <w:rFonts w:ascii="Cambria" w:hAnsi="Cambria"/>
          <w:sz w:val="20"/>
          <w:szCs w:val="20"/>
          <w:lang w:val="es-ES"/>
        </w:rPr>
        <w:t xml:space="preserve"> dichas familias interpusieron </w:t>
      </w:r>
      <w:r w:rsidR="00107623" w:rsidRPr="00132A3A">
        <w:rPr>
          <w:rFonts w:ascii="Cambria" w:hAnsi="Cambria"/>
          <w:sz w:val="20"/>
          <w:szCs w:val="20"/>
          <w:lang w:val="es-ES"/>
        </w:rPr>
        <w:t xml:space="preserve">dos demandas de </w:t>
      </w:r>
      <w:r w:rsidR="00771B59" w:rsidRPr="00132A3A">
        <w:rPr>
          <w:rFonts w:ascii="Cambria" w:hAnsi="Cambria"/>
          <w:sz w:val="20"/>
          <w:szCs w:val="20"/>
          <w:lang w:val="es-ES"/>
        </w:rPr>
        <w:t xml:space="preserve">reparación directa a fin </w:t>
      </w:r>
      <w:r w:rsidR="00810BB6">
        <w:rPr>
          <w:rFonts w:ascii="Cambria" w:hAnsi="Cambria"/>
          <w:sz w:val="20"/>
          <w:szCs w:val="20"/>
          <w:lang w:val="es-ES"/>
        </w:rPr>
        <w:t xml:space="preserve">de </w:t>
      </w:r>
      <w:r w:rsidR="00771B59" w:rsidRPr="00132A3A">
        <w:rPr>
          <w:rFonts w:ascii="Cambria" w:hAnsi="Cambria"/>
          <w:sz w:val="20"/>
          <w:szCs w:val="20"/>
          <w:lang w:val="es-ES"/>
        </w:rPr>
        <w:t>obtener una indemnización por lo ocurrido</w:t>
      </w:r>
      <w:r w:rsidR="00107623" w:rsidRPr="00132A3A">
        <w:rPr>
          <w:rFonts w:ascii="Cambria" w:hAnsi="Cambria"/>
          <w:sz w:val="20"/>
          <w:szCs w:val="20"/>
          <w:lang w:val="es-ES"/>
        </w:rPr>
        <w:t>, pero que mediante sentencias del 27 de febrero de 2007</w:t>
      </w:r>
      <w:r w:rsidR="00771B59" w:rsidRPr="00132A3A">
        <w:rPr>
          <w:rFonts w:ascii="Cambria" w:hAnsi="Cambria"/>
          <w:sz w:val="20"/>
          <w:szCs w:val="20"/>
          <w:lang w:val="es-ES"/>
        </w:rPr>
        <w:t xml:space="preserve"> </w:t>
      </w:r>
      <w:r w:rsidR="00107623" w:rsidRPr="00132A3A">
        <w:rPr>
          <w:rFonts w:ascii="Cambria" w:hAnsi="Cambria"/>
          <w:sz w:val="20"/>
          <w:szCs w:val="20"/>
          <w:lang w:val="es-ES"/>
        </w:rPr>
        <w:t xml:space="preserve">y 2 de septiembre de 2008 el Tribunal Contencioso Administrativo del </w:t>
      </w:r>
      <w:r w:rsidR="00261AB8" w:rsidRPr="00132A3A">
        <w:rPr>
          <w:rFonts w:ascii="Cambria" w:hAnsi="Cambria"/>
          <w:sz w:val="20"/>
          <w:szCs w:val="20"/>
          <w:lang w:val="es-ES"/>
        </w:rPr>
        <w:t>Cauca</w:t>
      </w:r>
      <w:r w:rsidR="00107623" w:rsidRPr="00132A3A">
        <w:rPr>
          <w:rFonts w:ascii="Cambria" w:hAnsi="Cambria"/>
          <w:sz w:val="20"/>
          <w:szCs w:val="20"/>
          <w:lang w:val="es-ES"/>
        </w:rPr>
        <w:t xml:space="preserve"> rechazó tales recursos, dejando a las demandantes sin posibilidad de ser reparadas. </w:t>
      </w:r>
    </w:p>
    <w:p w14:paraId="3390F56D" w14:textId="7BA28560" w:rsidR="003603FF" w:rsidRPr="00132A3A" w:rsidRDefault="00A03BCB" w:rsidP="00A03BC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32A3A">
        <w:rPr>
          <w:rFonts w:ascii="Cambria" w:hAnsi="Cambria"/>
          <w:sz w:val="20"/>
          <w:szCs w:val="20"/>
          <w:lang w:val="es-ES"/>
        </w:rPr>
        <w:t xml:space="preserve">Por otro lado, </w:t>
      </w:r>
      <w:r w:rsidR="00771B59" w:rsidRPr="00132A3A">
        <w:rPr>
          <w:rFonts w:ascii="Cambria" w:hAnsi="Cambria"/>
          <w:sz w:val="20"/>
          <w:szCs w:val="20"/>
          <w:lang w:val="es-ES"/>
        </w:rPr>
        <w:t>enfatiza que durante las investigaciones</w:t>
      </w:r>
      <w:r w:rsidRPr="00132A3A">
        <w:rPr>
          <w:rFonts w:ascii="Cambria" w:hAnsi="Cambria"/>
          <w:sz w:val="20"/>
          <w:szCs w:val="20"/>
          <w:lang w:val="es-ES"/>
        </w:rPr>
        <w:t xml:space="preserve"> </w:t>
      </w:r>
      <w:r w:rsidR="00191824" w:rsidRPr="00132A3A">
        <w:rPr>
          <w:rFonts w:ascii="Cambria" w:hAnsi="Cambria"/>
          <w:sz w:val="20"/>
          <w:szCs w:val="20"/>
          <w:lang w:val="es-ES"/>
        </w:rPr>
        <w:t>los procesados y diferentes testigos aluden que en los sucesos de la Rejoya participaron paramilitares del bloque “Martirés de Ortega” de las AUC, integrantes del Ejército, un funcionario del Grupo de Acción Unificada por la Libertad Personal, entre otr</w:t>
      </w:r>
      <w:r w:rsidR="00261AB8" w:rsidRPr="00132A3A">
        <w:rPr>
          <w:rFonts w:ascii="Cambria" w:hAnsi="Cambria"/>
          <w:sz w:val="20"/>
          <w:szCs w:val="20"/>
          <w:lang w:val="es-ES"/>
        </w:rPr>
        <w:t>as personas</w:t>
      </w:r>
      <w:r w:rsidR="00191824" w:rsidRPr="00132A3A">
        <w:rPr>
          <w:rFonts w:ascii="Cambria" w:hAnsi="Cambria"/>
          <w:sz w:val="20"/>
          <w:szCs w:val="20"/>
          <w:lang w:val="es-ES"/>
        </w:rPr>
        <w:t xml:space="preserve">. </w:t>
      </w:r>
      <w:r w:rsidR="00132A3A" w:rsidRPr="00132A3A">
        <w:rPr>
          <w:rFonts w:ascii="Cambria" w:hAnsi="Cambria"/>
          <w:sz w:val="20"/>
          <w:szCs w:val="20"/>
          <w:lang w:val="es-ES"/>
        </w:rPr>
        <w:t>Arguye</w:t>
      </w:r>
      <w:r w:rsidR="00261AB8" w:rsidRPr="00132A3A">
        <w:rPr>
          <w:rFonts w:ascii="Cambria" w:hAnsi="Cambria"/>
          <w:sz w:val="20"/>
          <w:szCs w:val="20"/>
          <w:lang w:val="es-ES"/>
        </w:rPr>
        <w:t xml:space="preserve"> que, a pesar de ello,</w:t>
      </w:r>
      <w:r w:rsidR="00191824" w:rsidRPr="00132A3A">
        <w:rPr>
          <w:rFonts w:ascii="Cambria" w:hAnsi="Cambria"/>
          <w:sz w:val="20"/>
          <w:szCs w:val="20"/>
          <w:lang w:val="es-ES"/>
        </w:rPr>
        <w:t xml:space="preserve"> las investigaciones a nivel penal no han sido encaminadas correctamente a fin </w:t>
      </w:r>
      <w:r w:rsidR="000B1FA7">
        <w:rPr>
          <w:rFonts w:ascii="Cambria" w:hAnsi="Cambria"/>
          <w:sz w:val="20"/>
          <w:szCs w:val="20"/>
          <w:lang w:val="es-ES"/>
        </w:rPr>
        <w:t xml:space="preserve">de </w:t>
      </w:r>
      <w:r w:rsidR="00191824" w:rsidRPr="00132A3A">
        <w:rPr>
          <w:rFonts w:ascii="Cambria" w:hAnsi="Cambria"/>
          <w:sz w:val="20"/>
          <w:szCs w:val="20"/>
          <w:lang w:val="es-ES"/>
        </w:rPr>
        <w:t>sancionar a todos los particulares y funcionarios públicos que participaron en la masacre de la Rejoya</w:t>
      </w:r>
      <w:r w:rsidR="00D939F2" w:rsidRPr="00132A3A">
        <w:rPr>
          <w:rFonts w:ascii="Cambria" w:hAnsi="Cambria"/>
          <w:sz w:val="20"/>
          <w:szCs w:val="20"/>
          <w:lang w:val="es-ES"/>
        </w:rPr>
        <w:t>, generando que a la fecha solo exista una condena aislada que no satisface los derechos a la verdad y justicia</w:t>
      </w:r>
      <w:r w:rsidR="00191824" w:rsidRPr="00132A3A">
        <w:rPr>
          <w:rFonts w:ascii="Cambria" w:hAnsi="Cambria"/>
          <w:sz w:val="20"/>
          <w:szCs w:val="20"/>
          <w:lang w:val="es-ES"/>
        </w:rPr>
        <w:t xml:space="preserve">. </w:t>
      </w:r>
      <w:r w:rsidR="00D939F2" w:rsidRPr="00132A3A">
        <w:rPr>
          <w:rFonts w:ascii="Cambria" w:hAnsi="Cambria"/>
          <w:sz w:val="20"/>
          <w:szCs w:val="20"/>
          <w:lang w:val="es-ES"/>
        </w:rPr>
        <w:t xml:space="preserve">Finalmente, alega que desde el inicio de las citadas diligencias no se crearon condiciones de seguridad para que los familiares de las víctimas y testigos puedan participar adecuadamente, afectando su derecho de acceso a la justicia. </w:t>
      </w:r>
    </w:p>
    <w:p w14:paraId="5B2429D7" w14:textId="24E3A671" w:rsidR="00CA7F77" w:rsidRPr="00132A3A" w:rsidRDefault="00107623" w:rsidP="008422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32A3A">
        <w:rPr>
          <w:rFonts w:ascii="Cambria" w:hAnsi="Cambria"/>
          <w:sz w:val="20"/>
          <w:szCs w:val="20"/>
          <w:lang w:val="es-ES"/>
        </w:rPr>
        <w:lastRenderedPageBreak/>
        <w:t xml:space="preserve">El Estado, por su parte, </w:t>
      </w:r>
      <w:r w:rsidR="00D13BFB" w:rsidRPr="00132A3A">
        <w:rPr>
          <w:rFonts w:ascii="Cambria" w:hAnsi="Cambria"/>
          <w:sz w:val="20"/>
          <w:szCs w:val="20"/>
          <w:lang w:val="es-ES"/>
        </w:rPr>
        <w:t>argumenta que la petición es inadmisible pues fue presentada de forma extemporánea, incumpliendo el requisito previsto en el artículo 46</w:t>
      </w:r>
      <w:r w:rsidR="00040B3E" w:rsidRPr="00132A3A">
        <w:rPr>
          <w:rFonts w:ascii="Cambria" w:hAnsi="Cambria"/>
          <w:sz w:val="20"/>
          <w:szCs w:val="20"/>
          <w:lang w:val="es-ES"/>
        </w:rPr>
        <w:t>.1.b</w:t>
      </w:r>
      <w:r w:rsidR="00D13BFB" w:rsidRPr="00132A3A">
        <w:rPr>
          <w:rFonts w:ascii="Cambria" w:hAnsi="Cambria"/>
          <w:sz w:val="20"/>
          <w:szCs w:val="20"/>
          <w:lang w:val="es-ES"/>
        </w:rPr>
        <w:t xml:space="preserve"> de la Convención</w:t>
      </w:r>
      <w:r w:rsidR="00CA7F77" w:rsidRPr="00132A3A">
        <w:rPr>
          <w:rFonts w:ascii="Cambria" w:hAnsi="Cambria"/>
          <w:sz w:val="20"/>
          <w:szCs w:val="20"/>
          <w:lang w:val="es-ES"/>
        </w:rPr>
        <w:t xml:space="preserve"> Americana</w:t>
      </w:r>
      <w:r w:rsidR="00D13BFB" w:rsidRPr="00132A3A">
        <w:rPr>
          <w:rFonts w:ascii="Cambria" w:hAnsi="Cambria"/>
          <w:sz w:val="20"/>
          <w:szCs w:val="20"/>
          <w:lang w:val="es-ES"/>
        </w:rPr>
        <w:t xml:space="preserve">. Sostiene </w:t>
      </w:r>
      <w:r w:rsidR="00CA7F77" w:rsidRPr="00132A3A">
        <w:rPr>
          <w:rFonts w:ascii="Cambria" w:hAnsi="Cambria"/>
          <w:sz w:val="20"/>
          <w:szCs w:val="20"/>
          <w:lang w:val="es-ES"/>
        </w:rPr>
        <w:t xml:space="preserve">que </w:t>
      </w:r>
      <w:r w:rsidR="0084222F" w:rsidRPr="00132A3A">
        <w:rPr>
          <w:rFonts w:ascii="Cambria" w:hAnsi="Cambria"/>
          <w:sz w:val="20"/>
          <w:szCs w:val="20"/>
          <w:lang w:val="es-ES"/>
        </w:rPr>
        <w:t xml:space="preserve">la petición fue presentada </w:t>
      </w:r>
      <w:r w:rsidR="00EB5457" w:rsidRPr="00132A3A">
        <w:rPr>
          <w:rFonts w:ascii="Cambria" w:hAnsi="Cambria"/>
          <w:sz w:val="20"/>
          <w:szCs w:val="20"/>
          <w:lang w:val="es-ES"/>
        </w:rPr>
        <w:t>once</w:t>
      </w:r>
      <w:r w:rsidR="0084222F" w:rsidRPr="00132A3A">
        <w:rPr>
          <w:rFonts w:ascii="Cambria" w:hAnsi="Cambria"/>
          <w:sz w:val="20"/>
          <w:szCs w:val="20"/>
          <w:lang w:val="es-ES"/>
        </w:rPr>
        <w:t xml:space="preserve"> meses después de la última decisión en el ordenamiento interno, toda vez que </w:t>
      </w:r>
      <w:r w:rsidR="00CA7F77" w:rsidRPr="00132A3A">
        <w:rPr>
          <w:rFonts w:ascii="Cambria" w:hAnsi="Cambria"/>
          <w:sz w:val="20"/>
          <w:szCs w:val="20"/>
          <w:lang w:val="es-ES"/>
        </w:rPr>
        <w:t>la notificación de la sentencia condenatoria emitida contra los paramilitares del “Bloque Calima” fue notificada mediante edicto el 16 de abril de 2010</w:t>
      </w:r>
      <w:r w:rsidR="0084222F" w:rsidRPr="00132A3A">
        <w:rPr>
          <w:rFonts w:ascii="Cambria" w:hAnsi="Cambria"/>
          <w:sz w:val="20"/>
          <w:szCs w:val="20"/>
          <w:lang w:val="es-ES"/>
        </w:rPr>
        <w:t>. Arguye que la parte peticionaria</w:t>
      </w:r>
      <w:r w:rsidR="000B1FA7">
        <w:rPr>
          <w:rFonts w:ascii="Cambria" w:hAnsi="Cambria"/>
          <w:sz w:val="20"/>
          <w:szCs w:val="20"/>
          <w:lang w:val="es-ES"/>
        </w:rPr>
        <w:t>,</w:t>
      </w:r>
      <w:r w:rsidR="0084222F" w:rsidRPr="00132A3A">
        <w:rPr>
          <w:rFonts w:ascii="Cambria" w:hAnsi="Cambria"/>
          <w:sz w:val="20"/>
          <w:szCs w:val="20"/>
          <w:lang w:val="es-ES"/>
        </w:rPr>
        <w:t xml:space="preserve"> no ha presentado argumentos que demuestren que su demora en presentar la petición se encuentra justificada o es razonable. </w:t>
      </w:r>
    </w:p>
    <w:p w14:paraId="156615BE" w14:textId="4C750C8D" w:rsidR="00CA7F77" w:rsidRPr="00132A3A" w:rsidRDefault="00CA7F77" w:rsidP="003C61F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32A3A">
        <w:rPr>
          <w:rFonts w:ascii="Cambria" w:hAnsi="Cambria"/>
          <w:sz w:val="20"/>
          <w:szCs w:val="20"/>
          <w:lang w:val="es-ES"/>
        </w:rPr>
        <w:t>Ad</w:t>
      </w:r>
      <w:r w:rsidR="0084222F" w:rsidRPr="00132A3A">
        <w:rPr>
          <w:rFonts w:ascii="Cambria" w:hAnsi="Cambria"/>
          <w:sz w:val="20"/>
          <w:szCs w:val="20"/>
          <w:lang w:val="es-ES"/>
        </w:rPr>
        <w:t xml:space="preserve">icionalmente, </w:t>
      </w:r>
      <w:r w:rsidR="0084222F" w:rsidRPr="00132A3A">
        <w:rPr>
          <w:rFonts w:ascii="Cambria" w:eastAsia="Times New Roman" w:hAnsi="Cambria"/>
          <w:sz w:val="20"/>
          <w:szCs w:val="20"/>
          <w:bdr w:val="none" w:sz="0" w:space="0" w:color="auto"/>
          <w:lang w:val="es-ES"/>
        </w:rPr>
        <w:t xml:space="preserve">argumenta que los hechos expuestos en la petición no caracterizan violaciones a los derechos humanos. Explica que </w:t>
      </w:r>
      <w:r w:rsidR="00261AB8" w:rsidRPr="00132A3A">
        <w:rPr>
          <w:rFonts w:ascii="Cambria" w:eastAsia="Times New Roman" w:hAnsi="Cambria"/>
          <w:sz w:val="20"/>
          <w:szCs w:val="20"/>
          <w:bdr w:val="none" w:sz="0" w:space="0" w:color="auto"/>
          <w:lang w:val="es-ES"/>
        </w:rPr>
        <w:t>se ha cumplido</w:t>
      </w:r>
      <w:r w:rsidR="0084222F" w:rsidRPr="00132A3A">
        <w:rPr>
          <w:rFonts w:ascii="Cambria" w:eastAsia="Times New Roman" w:hAnsi="Cambria"/>
          <w:sz w:val="20"/>
          <w:szCs w:val="20"/>
          <w:bdr w:val="none" w:sz="0" w:space="0" w:color="auto"/>
          <w:lang w:val="es-ES"/>
        </w:rPr>
        <w:t xml:space="preserve"> con </w:t>
      </w:r>
      <w:r w:rsidR="00261AB8" w:rsidRPr="00132A3A">
        <w:rPr>
          <w:rFonts w:ascii="Cambria" w:eastAsia="Times New Roman" w:hAnsi="Cambria"/>
          <w:sz w:val="20"/>
          <w:szCs w:val="20"/>
          <w:bdr w:val="none" w:sz="0" w:space="0" w:color="auto"/>
          <w:lang w:val="es-ES"/>
        </w:rPr>
        <w:t>la</w:t>
      </w:r>
      <w:r w:rsidR="0084222F" w:rsidRPr="00132A3A">
        <w:rPr>
          <w:rFonts w:ascii="Cambria" w:eastAsia="Times New Roman" w:hAnsi="Cambria"/>
          <w:sz w:val="20"/>
          <w:szCs w:val="20"/>
          <w:bdr w:val="none" w:sz="0" w:space="0" w:color="auto"/>
          <w:lang w:val="es-ES"/>
        </w:rPr>
        <w:t xml:space="preserve"> obligación de investigar</w:t>
      </w:r>
      <w:r w:rsidR="00D450B6" w:rsidRPr="00132A3A">
        <w:rPr>
          <w:rFonts w:ascii="Cambria" w:eastAsia="Times New Roman" w:hAnsi="Cambria"/>
          <w:sz w:val="20"/>
          <w:szCs w:val="20"/>
          <w:bdr w:val="none" w:sz="0" w:space="0" w:color="auto"/>
          <w:lang w:val="es-ES"/>
        </w:rPr>
        <w:t xml:space="preserve"> de forma oportuna y</w:t>
      </w:r>
      <w:r w:rsidR="0084222F" w:rsidRPr="00132A3A">
        <w:rPr>
          <w:rFonts w:ascii="Cambria" w:eastAsia="Times New Roman" w:hAnsi="Cambria"/>
          <w:sz w:val="20"/>
          <w:szCs w:val="20"/>
          <w:bdr w:val="none" w:sz="0" w:space="0" w:color="auto"/>
          <w:lang w:val="es-ES"/>
        </w:rPr>
        <w:t xml:space="preserve"> diligente los hechos</w:t>
      </w:r>
      <w:r w:rsidR="00202059" w:rsidRPr="00132A3A">
        <w:rPr>
          <w:rFonts w:ascii="Cambria" w:eastAsia="Times New Roman" w:hAnsi="Cambria"/>
          <w:sz w:val="20"/>
          <w:szCs w:val="20"/>
          <w:bdr w:val="none" w:sz="0" w:space="0" w:color="auto"/>
          <w:lang w:val="es-ES"/>
        </w:rPr>
        <w:t xml:space="preserve">, logrando esclarecer la verdad y sancionar </w:t>
      </w:r>
      <w:r w:rsidR="00D450B6" w:rsidRPr="00132A3A">
        <w:rPr>
          <w:rFonts w:ascii="Cambria" w:eastAsia="Times New Roman" w:hAnsi="Cambria"/>
          <w:sz w:val="20"/>
          <w:szCs w:val="20"/>
          <w:bdr w:val="none" w:sz="0" w:space="0" w:color="auto"/>
          <w:lang w:val="es-ES"/>
        </w:rPr>
        <w:t>a siete paramilitares</w:t>
      </w:r>
      <w:r w:rsidR="00261AB8" w:rsidRPr="00132A3A">
        <w:rPr>
          <w:rFonts w:ascii="Cambria" w:eastAsia="Times New Roman" w:hAnsi="Cambria"/>
          <w:sz w:val="20"/>
          <w:szCs w:val="20"/>
          <w:bdr w:val="none" w:sz="0" w:space="0" w:color="auto"/>
          <w:lang w:val="es-ES"/>
        </w:rPr>
        <w:t>. En ese sentido, a</w:t>
      </w:r>
      <w:r w:rsidR="00D450B6" w:rsidRPr="00132A3A">
        <w:rPr>
          <w:rFonts w:ascii="Cambria" w:eastAsia="Times New Roman" w:hAnsi="Cambria"/>
          <w:sz w:val="20"/>
          <w:szCs w:val="20"/>
          <w:bdr w:val="none" w:sz="0" w:space="0" w:color="auto"/>
          <w:lang w:val="es-ES"/>
        </w:rPr>
        <w:t xml:space="preserve">rguye que la sola ausencia de judicialización de todos los presuntos responsables no demuestra, por sí sola, que el Estado haya incumplido su obligación de investigar adecuadamente lo sucedido. Por otra parte, sostiene que la decisión del </w:t>
      </w:r>
      <w:r w:rsidR="00D450B6" w:rsidRPr="00132A3A">
        <w:rPr>
          <w:rFonts w:ascii="Cambria" w:hAnsi="Cambria"/>
          <w:sz w:val="20"/>
          <w:szCs w:val="20"/>
          <w:lang w:val="es-ES"/>
        </w:rPr>
        <w:t>Juzgado Segundo Penal Especializado del Circuito de Popayán de no otorgar reparaciones</w:t>
      </w:r>
      <w:r w:rsidR="000B1FA7">
        <w:rPr>
          <w:rFonts w:ascii="Cambria" w:hAnsi="Cambria"/>
          <w:sz w:val="20"/>
          <w:szCs w:val="20"/>
          <w:lang w:val="es-ES"/>
        </w:rPr>
        <w:t>,</w:t>
      </w:r>
      <w:r w:rsidR="00D450B6" w:rsidRPr="00132A3A">
        <w:rPr>
          <w:rFonts w:ascii="Cambria" w:hAnsi="Cambria"/>
          <w:sz w:val="20"/>
          <w:szCs w:val="20"/>
          <w:lang w:val="es-ES"/>
        </w:rPr>
        <w:t xml:space="preserve"> se realizó en base al material probatorio aportado, por lo que no le corresponde a la CIDH reemplazar e</w:t>
      </w:r>
      <w:r w:rsidR="003C61FA" w:rsidRPr="00132A3A">
        <w:rPr>
          <w:rFonts w:ascii="Cambria" w:hAnsi="Cambria"/>
          <w:sz w:val="20"/>
          <w:szCs w:val="20"/>
          <w:lang w:val="es-ES"/>
        </w:rPr>
        <w:t xml:space="preserve">n tal función de valoración </w:t>
      </w:r>
      <w:r w:rsidR="00261AB8" w:rsidRPr="00132A3A">
        <w:rPr>
          <w:rFonts w:ascii="Cambria" w:hAnsi="Cambria"/>
          <w:sz w:val="20"/>
          <w:szCs w:val="20"/>
          <w:lang w:val="es-ES"/>
        </w:rPr>
        <w:t>a los órganos internos</w:t>
      </w:r>
      <w:r w:rsidR="003C61FA" w:rsidRPr="00132A3A">
        <w:rPr>
          <w:rFonts w:ascii="Cambria" w:hAnsi="Cambria"/>
          <w:sz w:val="20"/>
          <w:szCs w:val="20"/>
          <w:lang w:val="es-ES"/>
        </w:rPr>
        <w:t>. Precisa que, conforme a la legislación interna, tal decisión fue notificada mediante edicto el 16 de abril de 2010</w:t>
      </w:r>
      <w:r w:rsidR="005D2300" w:rsidRPr="00132A3A">
        <w:rPr>
          <w:rFonts w:ascii="Cambria" w:hAnsi="Cambria"/>
          <w:sz w:val="20"/>
          <w:szCs w:val="20"/>
          <w:lang w:val="es-ES"/>
        </w:rPr>
        <w:t>, por lo que</w:t>
      </w:r>
      <w:r w:rsidR="003C61FA" w:rsidRPr="00132A3A">
        <w:rPr>
          <w:rFonts w:ascii="Cambria" w:hAnsi="Cambria"/>
          <w:sz w:val="20"/>
          <w:szCs w:val="20"/>
          <w:lang w:val="es-ES"/>
        </w:rPr>
        <w:t xml:space="preserve"> no se impidió a las presuntas víctimas la posibilidad de apelar la decisión</w:t>
      </w:r>
      <w:r w:rsidR="005D2300" w:rsidRPr="00132A3A">
        <w:rPr>
          <w:rFonts w:ascii="Cambria" w:hAnsi="Cambria"/>
          <w:sz w:val="20"/>
          <w:szCs w:val="20"/>
          <w:lang w:val="es-ES"/>
        </w:rPr>
        <w:t xml:space="preserve">. </w:t>
      </w:r>
      <w:r w:rsidR="003C61FA" w:rsidRPr="00132A3A">
        <w:rPr>
          <w:rFonts w:ascii="Cambria" w:hAnsi="Cambria"/>
          <w:sz w:val="20"/>
          <w:szCs w:val="20"/>
          <w:lang w:val="es-ES"/>
        </w:rPr>
        <w:t xml:space="preserve">Finalmente, </w:t>
      </w:r>
      <w:r w:rsidR="005D2300" w:rsidRPr="00132A3A">
        <w:rPr>
          <w:rFonts w:ascii="Cambria" w:hAnsi="Cambria"/>
          <w:sz w:val="20"/>
          <w:szCs w:val="20"/>
          <w:lang w:val="es-ES"/>
        </w:rPr>
        <w:t xml:space="preserve">especifica que </w:t>
      </w:r>
      <w:r w:rsidR="003C61FA" w:rsidRPr="00132A3A">
        <w:rPr>
          <w:rFonts w:ascii="Cambria" w:hAnsi="Cambria"/>
          <w:sz w:val="20"/>
          <w:szCs w:val="20"/>
          <w:lang w:val="es-ES"/>
        </w:rPr>
        <w:t>el Tribunal Contencioso Administrativo del Cauca desestimó las acciones de reparación directa interpuestas por algunos familiares de las presuntas víctimas mediante sentencias adecuad</w:t>
      </w:r>
      <w:r w:rsidR="005D2300" w:rsidRPr="00132A3A">
        <w:rPr>
          <w:rFonts w:ascii="Cambria" w:hAnsi="Cambria"/>
          <w:sz w:val="20"/>
          <w:szCs w:val="20"/>
          <w:lang w:val="es-ES"/>
        </w:rPr>
        <w:t>a</w:t>
      </w:r>
      <w:r w:rsidR="003C61FA" w:rsidRPr="00132A3A">
        <w:rPr>
          <w:rFonts w:ascii="Cambria" w:hAnsi="Cambria"/>
          <w:sz w:val="20"/>
          <w:szCs w:val="20"/>
          <w:lang w:val="es-ES"/>
        </w:rPr>
        <w:t xml:space="preserve">mente motivadas que demuestran la ausencia de responsabilidad del Estado, debido a la imposibilidad de poder prevenir los hechos denunciados. </w:t>
      </w:r>
      <w:r w:rsidR="0084222F" w:rsidRPr="00132A3A">
        <w:rPr>
          <w:rFonts w:ascii="Cambria" w:hAnsi="Cambria"/>
          <w:sz w:val="20"/>
          <w:szCs w:val="20"/>
          <w:lang w:val="es-ES"/>
        </w:rPr>
        <w:t>En razón a ello, solicita que la petición sea declarada inadmisible con fundamento en el artículo 47</w:t>
      </w:r>
      <w:r w:rsidR="00EB5457" w:rsidRPr="00132A3A">
        <w:rPr>
          <w:rFonts w:ascii="Cambria" w:hAnsi="Cambria"/>
          <w:sz w:val="20"/>
          <w:szCs w:val="20"/>
          <w:lang w:val="es-ES"/>
        </w:rPr>
        <w:t>.</w:t>
      </w:r>
      <w:r w:rsidR="0084222F" w:rsidRPr="00132A3A">
        <w:rPr>
          <w:rFonts w:ascii="Cambria" w:hAnsi="Cambria"/>
          <w:sz w:val="20"/>
          <w:szCs w:val="20"/>
          <w:lang w:val="es-ES"/>
        </w:rPr>
        <w:t>b) de la Convención Americana toda vez que considera que la pretensión del peticionario es que la Comisión actúe como un tribunal de alzada, en contradicción de su naturaleza complementaria.</w:t>
      </w:r>
    </w:p>
    <w:p w14:paraId="085CDE70" w14:textId="77777777" w:rsidR="00107623" w:rsidRPr="00132A3A" w:rsidRDefault="00CA7F77" w:rsidP="00EB07B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lang w:val="es-ES"/>
        </w:rPr>
      </w:pPr>
      <w:r w:rsidRPr="00132A3A">
        <w:rPr>
          <w:rFonts w:ascii="Cambria" w:hAnsi="Cambria"/>
          <w:sz w:val="20"/>
          <w:szCs w:val="20"/>
          <w:lang w:val="es-ES"/>
        </w:rPr>
        <w:t xml:space="preserve">Por último, </w:t>
      </w:r>
      <w:r w:rsidR="005D2300" w:rsidRPr="00132A3A">
        <w:rPr>
          <w:rFonts w:ascii="Cambria" w:hAnsi="Cambria"/>
          <w:sz w:val="20"/>
          <w:szCs w:val="20"/>
          <w:lang w:val="es-ES"/>
        </w:rPr>
        <w:t xml:space="preserve">el Estado alega que existe una falta de agotamiento de los recursos internos en el caso de los familiares de </w:t>
      </w:r>
      <w:r w:rsidR="00EB07BE" w:rsidRPr="00132A3A">
        <w:rPr>
          <w:rFonts w:ascii="Cambria" w:hAnsi="Cambria"/>
          <w:sz w:val="20"/>
          <w:szCs w:val="20"/>
          <w:lang w:val="es-ES"/>
        </w:rPr>
        <w:t>las presuntas víctimas</w:t>
      </w:r>
      <w:r w:rsidR="005D2300" w:rsidRPr="00132A3A">
        <w:rPr>
          <w:rFonts w:ascii="Cambria" w:hAnsi="Cambria"/>
          <w:sz w:val="20"/>
          <w:szCs w:val="20"/>
          <w:lang w:val="es-ES"/>
        </w:rPr>
        <w:t xml:space="preserve"> </w:t>
      </w:r>
      <w:r w:rsidR="00132A3A" w:rsidRPr="00132A3A">
        <w:rPr>
          <w:rFonts w:ascii="Cambria" w:hAnsi="Cambria"/>
          <w:sz w:val="20"/>
          <w:szCs w:val="20"/>
          <w:lang w:val="es-ES"/>
        </w:rPr>
        <w:t>Rubén</w:t>
      </w:r>
      <w:r w:rsidR="00EB07BE" w:rsidRPr="00132A3A">
        <w:rPr>
          <w:rFonts w:ascii="Cambria" w:hAnsi="Cambria"/>
          <w:sz w:val="20"/>
          <w:szCs w:val="20"/>
          <w:lang w:val="es-ES"/>
        </w:rPr>
        <w:t xml:space="preserve"> </w:t>
      </w:r>
      <w:r w:rsidR="00132A3A" w:rsidRPr="00132A3A">
        <w:rPr>
          <w:rFonts w:ascii="Cambria" w:hAnsi="Cambria"/>
          <w:sz w:val="20"/>
          <w:szCs w:val="20"/>
          <w:lang w:val="es-ES"/>
        </w:rPr>
        <w:t>Darío</w:t>
      </w:r>
      <w:r w:rsidR="00EB07BE" w:rsidRPr="00132A3A">
        <w:rPr>
          <w:rFonts w:ascii="Cambria" w:hAnsi="Cambria"/>
          <w:sz w:val="20"/>
          <w:szCs w:val="20"/>
          <w:lang w:val="es-ES"/>
        </w:rPr>
        <w:t xml:space="preserve"> </w:t>
      </w:r>
      <w:r w:rsidR="00132A3A" w:rsidRPr="00132A3A">
        <w:rPr>
          <w:rFonts w:ascii="Cambria" w:hAnsi="Cambria"/>
          <w:sz w:val="20"/>
          <w:szCs w:val="20"/>
          <w:lang w:val="es-ES"/>
        </w:rPr>
        <w:t>Sánchez</w:t>
      </w:r>
      <w:r w:rsidR="00EB07BE" w:rsidRPr="00132A3A">
        <w:rPr>
          <w:rFonts w:ascii="Cambria" w:hAnsi="Cambria"/>
          <w:sz w:val="20"/>
          <w:szCs w:val="20"/>
          <w:lang w:val="es-ES"/>
        </w:rPr>
        <w:t xml:space="preserve"> Urmendez, Florencio Flórez Mesa y José Luis Campo Imbachi</w:t>
      </w:r>
      <w:r w:rsidR="005D2300" w:rsidRPr="00132A3A">
        <w:rPr>
          <w:rFonts w:ascii="Cambria" w:hAnsi="Cambria"/>
          <w:sz w:val="20"/>
          <w:szCs w:val="20"/>
          <w:lang w:val="es-ES"/>
        </w:rPr>
        <w:t>, toda vez que no presentaron una acción de reparación directa.</w:t>
      </w:r>
      <w:r w:rsidR="00EB07BE" w:rsidRPr="00132A3A">
        <w:rPr>
          <w:rFonts w:ascii="Cambria" w:hAnsi="Cambria"/>
          <w:sz w:val="20"/>
          <w:szCs w:val="20"/>
          <w:lang w:val="es-ES"/>
        </w:rPr>
        <w:t xml:space="preserve"> Considera que tal recurso es adecuado y efectivo para establecer la responsabilidad estatal frente a posibles violaciones a la Convención Americana, por lo que resulta necesario que el mismo sea utilizado antes de presentar una petición a la CIDH. </w:t>
      </w:r>
    </w:p>
    <w:p w14:paraId="6DCE1BF1" w14:textId="77777777" w:rsidR="003239B8" w:rsidRPr="00132A3A" w:rsidRDefault="003239B8" w:rsidP="003239B8">
      <w:pPr>
        <w:spacing w:before="240" w:after="240"/>
        <w:ind w:firstLine="720"/>
        <w:jc w:val="both"/>
        <w:rPr>
          <w:rFonts w:ascii="Cambria" w:hAnsi="Cambria"/>
          <w:sz w:val="20"/>
          <w:szCs w:val="20"/>
          <w:lang w:val="es-ES"/>
        </w:rPr>
      </w:pPr>
      <w:r w:rsidRPr="00132A3A">
        <w:rPr>
          <w:rFonts w:asciiTheme="majorHAnsi" w:eastAsia="Cambria" w:hAnsiTheme="majorHAnsi" w:cs="Cambria"/>
          <w:b/>
          <w:bCs/>
          <w:color w:val="000000"/>
          <w:sz w:val="20"/>
          <w:szCs w:val="20"/>
          <w:u w:color="000000"/>
          <w:lang w:val="es-ES" w:eastAsia="es-ES"/>
        </w:rPr>
        <w:t>VI.</w:t>
      </w:r>
      <w:r w:rsidRPr="00132A3A">
        <w:rPr>
          <w:rFonts w:asciiTheme="majorHAnsi" w:eastAsia="Cambria" w:hAnsiTheme="majorHAnsi" w:cs="Cambria"/>
          <w:b/>
          <w:bCs/>
          <w:color w:val="000000"/>
          <w:sz w:val="20"/>
          <w:szCs w:val="20"/>
          <w:u w:color="000000"/>
          <w:lang w:val="es-ES" w:eastAsia="es-ES"/>
        </w:rPr>
        <w:tab/>
      </w:r>
      <w:r w:rsidR="004A6A54" w:rsidRPr="00132A3A">
        <w:rPr>
          <w:rFonts w:asciiTheme="majorHAnsi" w:hAnsiTheme="majorHAnsi"/>
          <w:b/>
          <w:bCs/>
          <w:sz w:val="20"/>
          <w:szCs w:val="20"/>
          <w:lang w:val="es-ES"/>
        </w:rPr>
        <w:t xml:space="preserve">ANÁLISIS DE </w:t>
      </w:r>
      <w:r w:rsidR="00C21FEF" w:rsidRPr="00132A3A">
        <w:rPr>
          <w:rFonts w:asciiTheme="majorHAnsi" w:hAnsiTheme="majorHAnsi"/>
          <w:b/>
          <w:sz w:val="20"/>
          <w:szCs w:val="20"/>
          <w:lang w:val="es-ES"/>
        </w:rPr>
        <w:t>AGOTAMIENTO DE LOS RECURSOS INTERNOS Y PLAZO DE PRESENTACIÓN</w:t>
      </w:r>
      <w:r w:rsidR="00C21FEF" w:rsidRPr="00132A3A">
        <w:rPr>
          <w:rFonts w:asciiTheme="majorHAnsi" w:eastAsia="Cambria" w:hAnsiTheme="majorHAnsi" w:cs="Cambria"/>
          <w:b/>
          <w:bCs/>
          <w:color w:val="000000"/>
          <w:sz w:val="20"/>
          <w:szCs w:val="20"/>
          <w:u w:color="000000"/>
          <w:lang w:val="es-ES" w:eastAsia="es-ES"/>
        </w:rPr>
        <w:t xml:space="preserve"> </w:t>
      </w:r>
    </w:p>
    <w:p w14:paraId="1712E1AB" w14:textId="77777777" w:rsidR="002C1D5B" w:rsidRPr="00132A3A" w:rsidRDefault="000A6AEA" w:rsidP="000A6AE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32A3A">
        <w:rPr>
          <w:rFonts w:ascii="Cambria" w:eastAsia="Times New Roman" w:hAnsi="Cambria"/>
          <w:sz w:val="20"/>
          <w:szCs w:val="20"/>
          <w:bdr w:val="none" w:sz="0" w:space="0" w:color="auto"/>
          <w:lang w:val="es-ES"/>
        </w:rPr>
        <w:t>L</w:t>
      </w:r>
      <w:r w:rsidR="00E326F6" w:rsidRPr="00132A3A">
        <w:rPr>
          <w:rFonts w:ascii="Cambria" w:eastAsia="Times New Roman" w:hAnsi="Cambria"/>
          <w:sz w:val="20"/>
          <w:szCs w:val="20"/>
          <w:bdr w:val="none" w:sz="0" w:space="0" w:color="auto"/>
          <w:lang w:val="es-ES"/>
        </w:rPr>
        <w:t xml:space="preserve">a </w:t>
      </w:r>
      <w:r w:rsidRPr="00132A3A">
        <w:rPr>
          <w:rFonts w:ascii="Cambria" w:eastAsia="Times New Roman" w:hAnsi="Cambria"/>
          <w:sz w:val="20"/>
          <w:szCs w:val="20"/>
          <w:bdr w:val="none" w:sz="0" w:space="0" w:color="auto"/>
          <w:lang w:val="es-ES"/>
        </w:rPr>
        <w:t xml:space="preserve">parte peticionaria manifiesta que los procesos penales desarrollados por los hechos excedieron el plazo razonable y que hasta el momento no han sido sancionados todos los responsables. En razón a ello, solicita que se aplique la excepción prevista en el artículo 46.2.c de la Convención Americana. Por su parte, el Estado indica que </w:t>
      </w:r>
      <w:r w:rsidR="002C1D5B" w:rsidRPr="00132A3A">
        <w:rPr>
          <w:rFonts w:ascii="Cambria" w:eastAsia="Times New Roman" w:hAnsi="Cambria"/>
          <w:sz w:val="20"/>
          <w:szCs w:val="20"/>
          <w:bdr w:val="none" w:sz="0" w:space="0" w:color="auto"/>
          <w:lang w:val="es-ES"/>
        </w:rPr>
        <w:t xml:space="preserve">la petición fue presentada de forma extemporánea y que en el caso de los familiares de </w:t>
      </w:r>
      <w:r w:rsidR="00132A3A" w:rsidRPr="00132A3A">
        <w:rPr>
          <w:rFonts w:ascii="Cambria" w:hAnsi="Cambria"/>
          <w:sz w:val="20"/>
          <w:szCs w:val="20"/>
          <w:lang w:val="es-ES"/>
        </w:rPr>
        <w:t>Rubén</w:t>
      </w:r>
      <w:r w:rsidR="002C1D5B" w:rsidRPr="00132A3A">
        <w:rPr>
          <w:rFonts w:ascii="Cambria" w:hAnsi="Cambria"/>
          <w:sz w:val="20"/>
          <w:szCs w:val="20"/>
          <w:lang w:val="es-ES"/>
        </w:rPr>
        <w:t xml:space="preserve"> </w:t>
      </w:r>
      <w:r w:rsidR="00132A3A" w:rsidRPr="00132A3A">
        <w:rPr>
          <w:rFonts w:ascii="Cambria" w:hAnsi="Cambria"/>
          <w:sz w:val="20"/>
          <w:szCs w:val="20"/>
          <w:lang w:val="es-ES"/>
        </w:rPr>
        <w:t>Darío</w:t>
      </w:r>
      <w:r w:rsidR="002C1D5B" w:rsidRPr="00132A3A">
        <w:rPr>
          <w:rFonts w:ascii="Cambria" w:hAnsi="Cambria"/>
          <w:sz w:val="20"/>
          <w:szCs w:val="20"/>
          <w:lang w:val="es-ES"/>
        </w:rPr>
        <w:t xml:space="preserve"> </w:t>
      </w:r>
      <w:r w:rsidR="00132A3A" w:rsidRPr="00132A3A">
        <w:rPr>
          <w:rFonts w:ascii="Cambria" w:hAnsi="Cambria"/>
          <w:sz w:val="20"/>
          <w:szCs w:val="20"/>
          <w:lang w:val="es-ES"/>
        </w:rPr>
        <w:t>Sánchez</w:t>
      </w:r>
      <w:r w:rsidR="002C1D5B" w:rsidRPr="00132A3A">
        <w:rPr>
          <w:rFonts w:ascii="Cambria" w:hAnsi="Cambria"/>
          <w:sz w:val="20"/>
          <w:szCs w:val="20"/>
          <w:lang w:val="es-ES"/>
        </w:rPr>
        <w:t xml:space="preserve"> Urmendez, Florencio Flórez Mesa y José Luis Campo Imbachi no se han agotado los recursos internos, pues no se ha interpuesto una acción de reparación directa. </w:t>
      </w:r>
    </w:p>
    <w:p w14:paraId="4A680D00" w14:textId="0E6984FF" w:rsidR="003E42EB" w:rsidRPr="00132A3A" w:rsidRDefault="00840DFD" w:rsidP="003E42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32A3A">
        <w:rPr>
          <w:rFonts w:ascii="Cambria" w:eastAsia="Times New Roman" w:hAnsi="Cambria"/>
          <w:sz w:val="20"/>
          <w:szCs w:val="20"/>
          <w:bdr w:val="none" w:sz="0" w:space="0" w:color="auto"/>
          <w:lang w:val="es-ES"/>
        </w:rPr>
        <w:t>A este respecto, l</w:t>
      </w:r>
      <w:r w:rsidR="003E42EB" w:rsidRPr="00132A3A">
        <w:rPr>
          <w:rFonts w:ascii="Cambria" w:eastAsia="Times New Roman" w:hAnsi="Cambria"/>
          <w:sz w:val="20"/>
          <w:szCs w:val="20"/>
          <w:bdr w:val="none" w:sz="0" w:space="0" w:color="auto"/>
          <w:lang w:val="es-ES"/>
        </w:rPr>
        <w:t>a Comisión observa que, en situaciones como la planteada que incluyen delitos contra la vida e integridad, los recursos internos que deben tomarse en cuenta a los efectos de la admisibilidad de las peticiones son los relacionados con la investigación y sanción de los responsables, además de posibilitar otros modos de reparación de tipo pecuniario</w:t>
      </w:r>
      <w:r w:rsidR="003E42EB" w:rsidRPr="00132A3A">
        <w:rPr>
          <w:rStyle w:val="FootnoteReference"/>
          <w:rFonts w:ascii="Cambria" w:eastAsia="Times New Roman" w:hAnsi="Cambria"/>
          <w:sz w:val="20"/>
          <w:szCs w:val="20"/>
          <w:bdr w:val="none" w:sz="0" w:space="0" w:color="auto"/>
          <w:lang w:val="es-ES"/>
        </w:rPr>
        <w:footnoteReference w:id="6"/>
      </w:r>
      <w:r w:rsidR="003E42EB" w:rsidRPr="00132A3A">
        <w:rPr>
          <w:rFonts w:ascii="Cambria" w:eastAsia="Times New Roman" w:hAnsi="Cambria"/>
          <w:sz w:val="20"/>
          <w:szCs w:val="20"/>
          <w:bdr w:val="none" w:sz="0" w:space="0" w:color="auto"/>
          <w:lang w:val="es-ES"/>
        </w:rPr>
        <w:t xml:space="preserve">. En este caso, la Comisión observa que, </w:t>
      </w:r>
      <w:r w:rsidR="000B1FA7" w:rsidRPr="00132A3A">
        <w:rPr>
          <w:rFonts w:ascii="Cambria" w:eastAsia="Times New Roman" w:hAnsi="Cambria"/>
          <w:sz w:val="20"/>
          <w:szCs w:val="20"/>
          <w:bdr w:val="none" w:sz="0" w:space="0" w:color="auto"/>
          <w:lang w:val="es-ES"/>
        </w:rPr>
        <w:t>a</w:t>
      </w:r>
      <w:r w:rsidR="000B1FA7">
        <w:rPr>
          <w:rFonts w:ascii="Cambria" w:eastAsia="Times New Roman" w:hAnsi="Cambria"/>
          <w:sz w:val="20"/>
          <w:szCs w:val="20"/>
          <w:bdr w:val="none" w:sz="0" w:space="0" w:color="auto"/>
          <w:lang w:val="es-ES"/>
        </w:rPr>
        <w:t>ú</w:t>
      </w:r>
      <w:r w:rsidR="000B1FA7" w:rsidRPr="00132A3A">
        <w:rPr>
          <w:rFonts w:ascii="Cambria" w:eastAsia="Times New Roman" w:hAnsi="Cambria"/>
          <w:sz w:val="20"/>
          <w:szCs w:val="20"/>
          <w:bdr w:val="none" w:sz="0" w:space="0" w:color="auto"/>
          <w:lang w:val="es-ES"/>
        </w:rPr>
        <w:t>n</w:t>
      </w:r>
      <w:r w:rsidR="003E42EB" w:rsidRPr="00132A3A">
        <w:rPr>
          <w:rFonts w:ascii="Cambria" w:eastAsia="Times New Roman" w:hAnsi="Cambria"/>
          <w:sz w:val="20"/>
          <w:szCs w:val="20"/>
          <w:bdr w:val="none" w:sz="0" w:space="0" w:color="auto"/>
          <w:lang w:val="es-ES"/>
        </w:rPr>
        <w:t xml:space="preserve"> cuando han existido condenas definitivas, según la información presentada, habiendo trascurrido más de </w:t>
      </w:r>
      <w:r w:rsidR="00426DA1" w:rsidRPr="00132A3A">
        <w:rPr>
          <w:rFonts w:ascii="Cambria" w:eastAsia="Times New Roman" w:hAnsi="Cambria"/>
          <w:sz w:val="20"/>
          <w:szCs w:val="20"/>
          <w:bdr w:val="none" w:sz="0" w:space="0" w:color="auto"/>
          <w:lang w:val="es-ES"/>
        </w:rPr>
        <w:t>diecinueve</w:t>
      </w:r>
      <w:r w:rsidR="003E42EB" w:rsidRPr="00132A3A">
        <w:rPr>
          <w:rFonts w:ascii="Cambria" w:eastAsia="Times New Roman" w:hAnsi="Cambria"/>
          <w:sz w:val="20"/>
          <w:szCs w:val="20"/>
          <w:bdr w:val="none" w:sz="0" w:space="0" w:color="auto"/>
          <w:lang w:val="es-ES"/>
        </w:rPr>
        <w:t xml:space="preserve"> años desde la fecha de los hechos, no se habría investigado ni sancionado a todos los presuntos responsables. Atendido lo anterior, la CIDH concluye</w:t>
      </w:r>
      <w:r w:rsidR="00426DA1" w:rsidRPr="00132A3A">
        <w:rPr>
          <w:rFonts w:ascii="Cambria" w:eastAsia="Times New Roman" w:hAnsi="Cambria"/>
          <w:sz w:val="20"/>
          <w:szCs w:val="20"/>
          <w:bdr w:val="none" w:sz="0" w:space="0" w:color="auto"/>
          <w:lang w:val="es-ES"/>
        </w:rPr>
        <w:t xml:space="preserve">, como lo ha hecho en otros precedentes </w:t>
      </w:r>
      <w:r w:rsidR="004C29D7" w:rsidRPr="00132A3A">
        <w:rPr>
          <w:rFonts w:ascii="Cambria" w:eastAsia="Times New Roman" w:hAnsi="Cambria"/>
          <w:sz w:val="20"/>
          <w:szCs w:val="20"/>
          <w:bdr w:val="none" w:sz="0" w:space="0" w:color="auto"/>
          <w:lang w:val="es-ES"/>
        </w:rPr>
        <w:t xml:space="preserve">en los que se ha </w:t>
      </w:r>
      <w:r w:rsidR="004C29D7" w:rsidRPr="00132A3A">
        <w:rPr>
          <w:rFonts w:ascii="Cambria" w:eastAsia="Times New Roman" w:hAnsi="Cambria"/>
          <w:sz w:val="20"/>
          <w:szCs w:val="20"/>
          <w:bdr w:val="none" w:sz="0" w:space="0" w:color="auto"/>
          <w:lang w:val="es-ES"/>
        </w:rPr>
        <w:lastRenderedPageBreak/>
        <w:t>alegado impunidad parcial</w:t>
      </w:r>
      <w:r w:rsidR="00426DA1" w:rsidRPr="00132A3A">
        <w:rPr>
          <w:rStyle w:val="FootnoteReference"/>
          <w:rFonts w:ascii="Cambria" w:eastAsia="Times New Roman" w:hAnsi="Cambria"/>
          <w:sz w:val="20"/>
          <w:szCs w:val="20"/>
          <w:bdr w:val="none" w:sz="0" w:space="0" w:color="auto"/>
          <w:lang w:val="es-ES"/>
        </w:rPr>
        <w:footnoteReference w:id="7"/>
      </w:r>
      <w:r w:rsidR="00426DA1" w:rsidRPr="00132A3A">
        <w:rPr>
          <w:rFonts w:ascii="Cambria" w:eastAsia="Times New Roman" w:hAnsi="Cambria"/>
          <w:sz w:val="20"/>
          <w:szCs w:val="20"/>
          <w:bdr w:val="none" w:sz="0" w:space="0" w:color="auto"/>
          <w:lang w:val="es-ES"/>
        </w:rPr>
        <w:t>,</w:t>
      </w:r>
      <w:r w:rsidR="003E42EB" w:rsidRPr="00132A3A">
        <w:rPr>
          <w:rFonts w:ascii="Cambria" w:eastAsia="Times New Roman" w:hAnsi="Cambria"/>
          <w:sz w:val="20"/>
          <w:szCs w:val="20"/>
          <w:bdr w:val="none" w:sz="0" w:space="0" w:color="auto"/>
          <w:lang w:val="es-ES"/>
        </w:rPr>
        <w:t xml:space="preserve"> que en el presente caso aplica la excepción al agotamiento de los recursos internos prevista en el artículo 46.2.c de la Convención Americana.</w:t>
      </w:r>
    </w:p>
    <w:p w14:paraId="14C79577" w14:textId="77777777" w:rsidR="00CC1056" w:rsidRPr="00132A3A" w:rsidRDefault="00031CB2" w:rsidP="00CC10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32A3A">
        <w:rPr>
          <w:rFonts w:ascii="Cambria" w:eastAsia="Times New Roman" w:hAnsi="Cambria"/>
          <w:sz w:val="20"/>
          <w:szCs w:val="20"/>
          <w:bdr w:val="none" w:sz="0" w:space="0" w:color="auto"/>
          <w:lang w:val="es-ES"/>
        </w:rPr>
        <w:t>La CIDH recuerda que, a efectos de determinar la admisibilidad de un reclamo de la naturaleza del presente, la acción de reparación no constituye la vía idónea ni resulta necesario su agotamiento, dado que no es adecuada para proporcionar una reparación integral y justicia a los familiares. Adicionalmente, la C</w:t>
      </w:r>
      <w:r w:rsidR="00A71E56" w:rsidRPr="00132A3A">
        <w:rPr>
          <w:rFonts w:ascii="Cambria" w:eastAsia="Times New Roman" w:hAnsi="Cambria"/>
          <w:sz w:val="20"/>
          <w:szCs w:val="20"/>
          <w:bdr w:val="none" w:sz="0" w:space="0" w:color="auto"/>
          <w:lang w:val="es-ES"/>
        </w:rPr>
        <w:t>omisión</w:t>
      </w:r>
      <w:r w:rsidRPr="00132A3A">
        <w:rPr>
          <w:rFonts w:ascii="Cambria" w:eastAsia="Times New Roman" w:hAnsi="Cambria"/>
          <w:sz w:val="20"/>
          <w:szCs w:val="20"/>
          <w:bdr w:val="none" w:sz="0" w:space="0" w:color="auto"/>
          <w:lang w:val="es-ES"/>
        </w:rPr>
        <w:t xml:space="preserve"> ha sostenido que la determinación de una reparación por la vía administrativa o judicial, además de no ser excluyente, no exime al Estado de sus obligaciones relacionadas con el componente de justicia por las violaciones causadas</w:t>
      </w:r>
      <w:r w:rsidRPr="00132A3A">
        <w:rPr>
          <w:rStyle w:val="FootnoteReference"/>
          <w:rFonts w:ascii="Cambria" w:eastAsia="Times New Roman" w:hAnsi="Cambria"/>
          <w:sz w:val="20"/>
          <w:szCs w:val="20"/>
          <w:bdr w:val="none" w:sz="0" w:space="0" w:color="auto"/>
          <w:lang w:val="es-ES"/>
        </w:rPr>
        <w:footnoteReference w:id="8"/>
      </w:r>
      <w:r w:rsidRPr="00132A3A">
        <w:rPr>
          <w:rFonts w:ascii="Cambria" w:eastAsia="Times New Roman" w:hAnsi="Cambria"/>
          <w:sz w:val="20"/>
          <w:szCs w:val="20"/>
          <w:bdr w:val="none" w:sz="0" w:space="0" w:color="auto"/>
          <w:lang w:val="es-ES"/>
        </w:rPr>
        <w:t>.</w:t>
      </w:r>
    </w:p>
    <w:p w14:paraId="47BDAF40" w14:textId="5A47C3EF" w:rsidR="00CC1056" w:rsidRPr="008E005C" w:rsidRDefault="00CC1056" w:rsidP="008E005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eastAsia="Times New Roman" w:hAnsi="Cambria"/>
          <w:sz w:val="20"/>
          <w:szCs w:val="20"/>
          <w:bdr w:val="none" w:sz="0" w:space="0" w:color="auto"/>
          <w:lang w:val="es-ES"/>
        </w:rPr>
      </w:pPr>
      <w:r w:rsidRPr="00132A3A">
        <w:rPr>
          <w:rFonts w:ascii="Cambria" w:eastAsia="Times New Roman" w:hAnsi="Cambria"/>
          <w:sz w:val="20"/>
          <w:szCs w:val="20"/>
          <w:bdr w:val="none" w:sz="0" w:space="0" w:color="auto"/>
          <w:lang w:val="es-ES"/>
        </w:rPr>
        <w:t>En cuanto al plazo de presentación, la C</w:t>
      </w:r>
      <w:r w:rsidR="00A71E56" w:rsidRPr="00132A3A">
        <w:rPr>
          <w:rFonts w:ascii="Cambria" w:eastAsia="Times New Roman" w:hAnsi="Cambria"/>
          <w:sz w:val="20"/>
          <w:szCs w:val="20"/>
          <w:bdr w:val="none" w:sz="0" w:space="0" w:color="auto"/>
          <w:lang w:val="es-ES"/>
        </w:rPr>
        <w:t xml:space="preserve">IDH </w:t>
      </w:r>
      <w:r w:rsidR="00E326F6" w:rsidRPr="00132A3A">
        <w:rPr>
          <w:rFonts w:ascii="Cambria" w:eastAsia="Times New Roman" w:hAnsi="Cambria"/>
          <w:sz w:val="20"/>
          <w:szCs w:val="20"/>
          <w:bdr w:val="none" w:sz="0" w:space="0" w:color="auto"/>
          <w:lang w:val="es-ES"/>
        </w:rPr>
        <w:t xml:space="preserve">observa </w:t>
      </w:r>
      <w:r w:rsidR="008E005C">
        <w:rPr>
          <w:rFonts w:ascii="Cambria" w:eastAsia="Times New Roman" w:hAnsi="Cambria"/>
          <w:sz w:val="20"/>
          <w:szCs w:val="20"/>
          <w:bdr w:val="none" w:sz="0" w:space="0" w:color="auto"/>
          <w:lang w:val="es-ES"/>
        </w:rPr>
        <w:t xml:space="preserve">que, </w:t>
      </w:r>
      <w:r w:rsidR="008E005C" w:rsidRPr="00132A3A">
        <w:rPr>
          <w:rFonts w:ascii="Cambria" w:eastAsia="Times New Roman" w:hAnsi="Cambria"/>
          <w:sz w:val="20"/>
          <w:szCs w:val="20"/>
          <w:bdr w:val="none" w:sz="0" w:space="0" w:color="auto"/>
          <w:lang w:val="es-ES"/>
        </w:rPr>
        <w:t xml:space="preserve">si bien los presuntos hechos materia del reclamo datan del 15 de enero de 2001 y la petición fue recibida el </w:t>
      </w:r>
      <w:r w:rsidR="008E005C" w:rsidRPr="00132A3A">
        <w:rPr>
          <w:rFonts w:ascii="Cambria" w:hAnsi="Cambria"/>
          <w:bCs/>
          <w:sz w:val="20"/>
          <w:szCs w:val="20"/>
          <w:lang w:val="es-ES"/>
        </w:rPr>
        <w:t>29 de marzo de 2011</w:t>
      </w:r>
      <w:r w:rsidR="008E005C" w:rsidRPr="00132A3A">
        <w:rPr>
          <w:rFonts w:ascii="Cambria" w:eastAsia="Times New Roman" w:hAnsi="Cambria"/>
          <w:sz w:val="20"/>
          <w:szCs w:val="20"/>
          <w:bdr w:val="none" w:sz="0" w:space="0" w:color="auto"/>
          <w:lang w:val="es-ES"/>
        </w:rPr>
        <w:t>, algunos de los efectos de los hechos alegados se extenderían hasta el presente, como la ausencia de determinación y sanción de los responsables, y la falta de reparación de las víctimas.</w:t>
      </w:r>
      <w:r w:rsidR="008E005C">
        <w:rPr>
          <w:rFonts w:ascii="Cambria" w:eastAsia="Times New Roman" w:hAnsi="Cambria"/>
          <w:sz w:val="20"/>
          <w:szCs w:val="20"/>
          <w:bdr w:val="none" w:sz="0" w:space="0" w:color="auto"/>
          <w:lang w:val="es-ES"/>
        </w:rPr>
        <w:t xml:space="preserve"> </w:t>
      </w:r>
      <w:r w:rsidR="00E326F6" w:rsidRPr="008E005C">
        <w:rPr>
          <w:rFonts w:ascii="Cambria" w:eastAsia="Times New Roman" w:hAnsi="Cambria"/>
          <w:sz w:val="20"/>
          <w:szCs w:val="20"/>
          <w:bdr w:val="none" w:sz="0" w:space="0" w:color="auto"/>
          <w:lang w:val="es-ES"/>
        </w:rPr>
        <w:t>Por</w:t>
      </w:r>
      <w:r w:rsidR="008E005C">
        <w:rPr>
          <w:rFonts w:ascii="Cambria" w:eastAsia="Times New Roman" w:hAnsi="Cambria"/>
          <w:sz w:val="20"/>
          <w:szCs w:val="20"/>
          <w:bdr w:val="none" w:sz="0" w:space="0" w:color="auto"/>
          <w:lang w:val="es-ES"/>
        </w:rPr>
        <w:t xml:space="preserve"> lo tanto, la CIDH concluye </w:t>
      </w:r>
      <w:r w:rsidRPr="008E005C">
        <w:rPr>
          <w:rFonts w:ascii="Cambria" w:eastAsia="Times New Roman" w:hAnsi="Cambria"/>
          <w:sz w:val="20"/>
          <w:szCs w:val="20"/>
          <w:bdr w:val="none" w:sz="0" w:space="0" w:color="auto"/>
          <w:lang w:val="es-ES"/>
        </w:rPr>
        <w:t xml:space="preserve">que, habiéndose reconocido la excepción prevista en el artículo 46.2.c de la Convención, </w:t>
      </w:r>
      <w:r w:rsidR="00590210" w:rsidRPr="008E005C">
        <w:rPr>
          <w:rFonts w:ascii="Cambria" w:eastAsia="Times New Roman" w:hAnsi="Cambria"/>
          <w:sz w:val="20"/>
          <w:szCs w:val="20"/>
          <w:bdr w:val="none" w:sz="0" w:space="0" w:color="auto"/>
          <w:lang w:val="es-ES"/>
        </w:rPr>
        <w:t xml:space="preserve">en vista del contexto y las características del presente caso </w:t>
      </w:r>
      <w:r w:rsidRPr="008E005C">
        <w:rPr>
          <w:rFonts w:ascii="Cambria" w:eastAsia="Times New Roman" w:hAnsi="Cambria"/>
          <w:sz w:val="20"/>
          <w:szCs w:val="20"/>
          <w:bdr w:val="none" w:sz="0" w:space="0" w:color="auto"/>
          <w:lang w:val="es-ES"/>
        </w:rPr>
        <w:t>la petición se ha presentado dentro de un plazo razonable con fundamento en el artículo 32.2 de su Reglam</w:t>
      </w:r>
      <w:r w:rsidR="00276073">
        <w:rPr>
          <w:rFonts w:ascii="Cambria" w:eastAsia="Times New Roman" w:hAnsi="Cambria"/>
          <w:sz w:val="20"/>
          <w:szCs w:val="20"/>
          <w:bdr w:val="none" w:sz="0" w:space="0" w:color="auto"/>
          <w:lang w:val="es-ES"/>
        </w:rPr>
        <w:t>ento.</w:t>
      </w:r>
    </w:p>
    <w:p w14:paraId="52F90CDB" w14:textId="77777777" w:rsidR="003239B8" w:rsidRPr="00132A3A" w:rsidRDefault="003239B8" w:rsidP="003239B8">
      <w:pPr>
        <w:pStyle w:val="ListParagraph"/>
        <w:spacing w:before="240" w:after="240"/>
        <w:jc w:val="both"/>
        <w:rPr>
          <w:rFonts w:asciiTheme="majorHAnsi" w:hAnsiTheme="majorHAnsi"/>
          <w:b/>
          <w:sz w:val="20"/>
          <w:szCs w:val="20"/>
          <w:lang w:val="es-ES"/>
        </w:rPr>
      </w:pPr>
      <w:r w:rsidRPr="00132A3A">
        <w:rPr>
          <w:rFonts w:asciiTheme="majorHAnsi" w:hAnsiTheme="majorHAnsi"/>
          <w:b/>
          <w:bCs/>
          <w:sz w:val="20"/>
          <w:szCs w:val="20"/>
          <w:lang w:val="es-ES"/>
        </w:rPr>
        <w:t>VII.</w:t>
      </w:r>
      <w:r w:rsidRPr="00132A3A">
        <w:rPr>
          <w:rFonts w:asciiTheme="majorHAnsi" w:hAnsiTheme="majorHAnsi"/>
          <w:b/>
          <w:bCs/>
          <w:sz w:val="20"/>
          <w:szCs w:val="20"/>
          <w:lang w:val="es-ES"/>
        </w:rPr>
        <w:tab/>
      </w:r>
      <w:r w:rsidR="004A6A54" w:rsidRPr="00132A3A">
        <w:rPr>
          <w:rFonts w:asciiTheme="majorHAnsi" w:hAnsiTheme="majorHAnsi"/>
          <w:b/>
          <w:bCs/>
          <w:sz w:val="20"/>
          <w:szCs w:val="20"/>
          <w:lang w:val="es-ES"/>
        </w:rPr>
        <w:t xml:space="preserve">ANÁLISIS DE </w:t>
      </w:r>
      <w:r w:rsidR="00C21FEF" w:rsidRPr="00132A3A">
        <w:rPr>
          <w:rFonts w:asciiTheme="majorHAnsi" w:hAnsiTheme="majorHAnsi"/>
          <w:b/>
          <w:bCs/>
          <w:sz w:val="20"/>
          <w:szCs w:val="20"/>
          <w:lang w:val="es-ES"/>
        </w:rPr>
        <w:t>CARACTERIZACIÓN DE LOS HECHOS ALEGADOS</w:t>
      </w:r>
    </w:p>
    <w:p w14:paraId="376F08E6" w14:textId="1E96D58A" w:rsidR="00590210" w:rsidRPr="008D136E" w:rsidRDefault="00590210" w:rsidP="00304A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Times New Roman" w:hAnsiTheme="majorHAnsi"/>
          <w:sz w:val="20"/>
          <w:szCs w:val="20"/>
          <w:bdr w:val="none" w:sz="0" w:space="0" w:color="auto"/>
          <w:lang w:val="es-ES"/>
        </w:rPr>
      </w:pPr>
      <w:r w:rsidRPr="008D136E">
        <w:rPr>
          <w:rFonts w:asciiTheme="majorHAnsi" w:eastAsia="Times New Roman" w:hAnsiTheme="majorHAnsi"/>
          <w:sz w:val="20"/>
          <w:szCs w:val="20"/>
          <w:bdr w:val="none" w:sz="0" w:space="0" w:color="auto"/>
          <w:lang w:val="es-ES"/>
        </w:rPr>
        <w:t xml:space="preserve">En vista de los elementos de hecho y de derecho presentados, la CIDH considera que de ser probada la falta de diligencia en la investigación y sanción de todos los responsables por el asesinato y lesiones contra las presuntas víctimas, y la </w:t>
      </w:r>
      <w:r w:rsidR="00304AD6" w:rsidRPr="008D136E">
        <w:rPr>
          <w:rFonts w:asciiTheme="majorHAnsi" w:eastAsia="Times New Roman" w:hAnsiTheme="majorHAnsi"/>
          <w:sz w:val="20"/>
          <w:szCs w:val="20"/>
          <w:bdr w:val="none" w:sz="0" w:space="0" w:color="auto"/>
          <w:lang w:val="es-ES"/>
        </w:rPr>
        <w:t xml:space="preserve">consecuente </w:t>
      </w:r>
      <w:r w:rsidRPr="008D136E">
        <w:rPr>
          <w:rFonts w:asciiTheme="majorHAnsi" w:eastAsia="Times New Roman" w:hAnsiTheme="majorHAnsi"/>
          <w:sz w:val="20"/>
          <w:szCs w:val="20"/>
          <w:bdr w:val="none" w:sz="0" w:space="0" w:color="auto"/>
          <w:lang w:val="es-ES"/>
        </w:rPr>
        <w:t xml:space="preserve">situación de desplazamiento </w:t>
      </w:r>
      <w:r w:rsidR="00EC2B9C" w:rsidRPr="008D136E">
        <w:rPr>
          <w:rFonts w:asciiTheme="majorHAnsi" w:eastAsia="Times New Roman" w:hAnsiTheme="majorHAnsi"/>
          <w:sz w:val="20"/>
          <w:szCs w:val="20"/>
          <w:bdr w:val="none" w:sz="0" w:space="0" w:color="auto"/>
          <w:lang w:val="es-ES"/>
        </w:rPr>
        <w:t xml:space="preserve">interno </w:t>
      </w:r>
      <w:r w:rsidRPr="008D136E">
        <w:rPr>
          <w:rFonts w:asciiTheme="majorHAnsi" w:eastAsia="Times New Roman" w:hAnsiTheme="majorHAnsi"/>
          <w:sz w:val="20"/>
          <w:szCs w:val="20"/>
          <w:bdr w:val="none" w:sz="0" w:space="0" w:color="auto"/>
          <w:lang w:val="es-ES"/>
        </w:rPr>
        <w:t xml:space="preserve">y </w:t>
      </w:r>
      <w:r w:rsidR="00304AD6" w:rsidRPr="008D136E">
        <w:rPr>
          <w:rFonts w:asciiTheme="majorHAnsi" w:eastAsia="Times New Roman" w:hAnsiTheme="majorHAnsi"/>
          <w:sz w:val="20"/>
          <w:szCs w:val="20"/>
          <w:bdr w:val="none" w:sz="0" w:space="0" w:color="auto"/>
          <w:lang w:val="es-ES"/>
        </w:rPr>
        <w:t xml:space="preserve">represión de actividades comunitarias de manifestación de sus familiares, </w:t>
      </w:r>
      <w:r w:rsidRPr="008D136E">
        <w:rPr>
          <w:rFonts w:asciiTheme="majorHAnsi" w:eastAsia="Times New Roman" w:hAnsiTheme="majorHAnsi"/>
          <w:sz w:val="20"/>
          <w:szCs w:val="20"/>
          <w:bdr w:val="none" w:sz="0" w:space="0" w:color="auto"/>
          <w:lang w:val="es-ES"/>
        </w:rPr>
        <w:t>podrían caracterizar violaciones de los derechos protegidos en los artículos 4 (vida)</w:t>
      </w:r>
      <w:r w:rsidR="00304AD6" w:rsidRPr="008D136E">
        <w:rPr>
          <w:rFonts w:asciiTheme="majorHAnsi" w:eastAsia="Times New Roman" w:hAnsiTheme="majorHAnsi"/>
          <w:sz w:val="20"/>
          <w:szCs w:val="20"/>
          <w:bdr w:val="none" w:sz="0" w:space="0" w:color="auto"/>
          <w:lang w:val="es-ES"/>
        </w:rPr>
        <w:t xml:space="preserve">, </w:t>
      </w:r>
      <w:r w:rsidRPr="008D136E">
        <w:rPr>
          <w:rFonts w:asciiTheme="majorHAnsi" w:eastAsia="Times New Roman" w:hAnsiTheme="majorHAnsi"/>
          <w:sz w:val="20"/>
          <w:szCs w:val="20"/>
          <w:bdr w:val="none" w:sz="0" w:space="0" w:color="auto"/>
          <w:lang w:val="es-ES"/>
        </w:rPr>
        <w:t>5 (integridad personal)</w:t>
      </w:r>
      <w:r w:rsidR="00304AD6" w:rsidRPr="008D136E">
        <w:rPr>
          <w:rFonts w:asciiTheme="majorHAnsi" w:eastAsia="Times New Roman" w:hAnsiTheme="majorHAnsi"/>
          <w:sz w:val="20"/>
          <w:szCs w:val="20"/>
          <w:bdr w:val="none" w:sz="0" w:space="0" w:color="auto"/>
          <w:lang w:val="es-ES"/>
        </w:rPr>
        <w:t xml:space="preserve">, </w:t>
      </w:r>
      <w:r w:rsidR="00304AD6" w:rsidRPr="008D136E">
        <w:rPr>
          <w:rFonts w:asciiTheme="majorHAnsi" w:hAnsiTheme="majorHAnsi"/>
          <w:sz w:val="20"/>
          <w:szCs w:val="20"/>
          <w:lang w:val="es-ES"/>
        </w:rPr>
        <w:t>8 (garantías judiciales), 13 (libertad de expresión), 22 (derecho de circulación y residencia) y 25 (protección judicial)</w:t>
      </w:r>
      <w:r w:rsidR="00276073">
        <w:rPr>
          <w:rFonts w:asciiTheme="majorHAnsi" w:hAnsiTheme="majorHAnsi"/>
          <w:sz w:val="20"/>
          <w:szCs w:val="20"/>
          <w:lang w:val="es-ES"/>
        </w:rPr>
        <w:t xml:space="preserve"> de la Convención Americana.</w:t>
      </w:r>
    </w:p>
    <w:p w14:paraId="39B52324" w14:textId="77777777" w:rsidR="008D136E" w:rsidRPr="008D136E" w:rsidRDefault="00A82C2B" w:rsidP="008D13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Times New Roman" w:hAnsiTheme="majorHAnsi"/>
          <w:sz w:val="20"/>
          <w:szCs w:val="20"/>
          <w:bdr w:val="none" w:sz="0" w:space="0" w:color="auto"/>
          <w:lang w:val="es-ES"/>
        </w:rPr>
      </w:pPr>
      <w:r w:rsidRPr="008D136E">
        <w:rPr>
          <w:rFonts w:asciiTheme="majorHAnsi" w:eastAsia="Times New Roman" w:hAnsiTheme="majorHAnsi"/>
          <w:sz w:val="20"/>
          <w:szCs w:val="20"/>
          <w:bdr w:val="none" w:sz="0" w:space="0" w:color="auto"/>
          <w:lang w:val="es-ES"/>
        </w:rPr>
        <w:t>Respecto a los alegatos del Estado sobre</w:t>
      </w:r>
      <w:r w:rsidR="008D136E" w:rsidRPr="008D136E">
        <w:rPr>
          <w:rFonts w:asciiTheme="majorHAnsi" w:eastAsia="Times New Roman" w:hAnsiTheme="majorHAnsi"/>
          <w:sz w:val="20"/>
          <w:szCs w:val="20"/>
          <w:bdr w:val="none" w:sz="0" w:space="0" w:color="auto"/>
          <w:lang w:val="es-ES"/>
        </w:rPr>
        <w:t xml:space="preserve"> lo que denomina como “fórmula de la cuarta instancia”, </w:t>
      </w:r>
      <w:r w:rsidR="008D136E" w:rsidRPr="008D136E">
        <w:rPr>
          <w:rFonts w:asciiTheme="majorHAnsi" w:hAnsiTheme="majorHAnsi"/>
          <w:sz w:val="20"/>
          <w:szCs w:val="20"/>
          <w:lang w:val="es-ES"/>
        </w:rPr>
        <w:t xml:space="preserve">la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En este sentido, la CIDH al admitir una petición no pretende suplantar la competencia de las autoridades judiciales domésticas. Sino que </w:t>
      </w:r>
      <w:r w:rsidR="008D136E" w:rsidRPr="008D136E">
        <w:rPr>
          <w:rFonts w:asciiTheme="majorHAnsi" w:hAnsiTheme="majorHAnsi"/>
          <w:sz w:val="20"/>
          <w:szCs w:val="20"/>
          <w:lang w:val="es-ES_tradnl"/>
        </w:rPr>
        <w:t>dentro del marco de su mandato sí es competente para declarar admisible una petición y fallar sobre el fondo cuando ésta se refiere a procesos internos que podrían ser violatorios de derechos garantizados por la Convención Americana.</w:t>
      </w:r>
    </w:p>
    <w:p w14:paraId="7511EFC5" w14:textId="77777777" w:rsidR="003239B8" w:rsidRPr="00132A3A" w:rsidRDefault="003239B8" w:rsidP="003239B8">
      <w:pPr>
        <w:pStyle w:val="ListParagraph"/>
        <w:spacing w:before="240" w:after="240"/>
        <w:jc w:val="both"/>
        <w:rPr>
          <w:rFonts w:asciiTheme="majorHAnsi" w:hAnsiTheme="majorHAnsi"/>
          <w:b/>
          <w:bCs/>
          <w:sz w:val="20"/>
          <w:szCs w:val="20"/>
          <w:lang w:val="es-ES"/>
        </w:rPr>
      </w:pPr>
      <w:r w:rsidRPr="00132A3A">
        <w:rPr>
          <w:rFonts w:asciiTheme="majorHAnsi" w:hAnsiTheme="majorHAnsi"/>
          <w:b/>
          <w:bCs/>
          <w:sz w:val="20"/>
          <w:szCs w:val="20"/>
          <w:lang w:val="es-ES"/>
        </w:rPr>
        <w:t xml:space="preserve">VIII. </w:t>
      </w:r>
      <w:r w:rsidRPr="00132A3A">
        <w:rPr>
          <w:rFonts w:asciiTheme="majorHAnsi" w:hAnsiTheme="majorHAnsi"/>
          <w:b/>
          <w:bCs/>
          <w:sz w:val="20"/>
          <w:szCs w:val="20"/>
          <w:lang w:val="es-ES"/>
        </w:rPr>
        <w:tab/>
        <w:t>DECISIÓN</w:t>
      </w:r>
    </w:p>
    <w:p w14:paraId="4C2854A6" w14:textId="77777777" w:rsidR="000419AD" w:rsidRPr="00132A3A"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32A3A">
        <w:rPr>
          <w:rFonts w:asciiTheme="majorHAnsi" w:hAnsiTheme="majorHAnsi"/>
          <w:sz w:val="20"/>
          <w:szCs w:val="20"/>
          <w:lang w:val="es-ES"/>
        </w:rPr>
        <w:t xml:space="preserve">Declarar admisible la presente petición en relación con </w:t>
      </w:r>
      <w:r w:rsidR="00EB07BE" w:rsidRPr="00132A3A">
        <w:rPr>
          <w:rFonts w:asciiTheme="majorHAnsi" w:hAnsiTheme="majorHAnsi"/>
          <w:sz w:val="20"/>
          <w:szCs w:val="20"/>
          <w:lang w:val="es-ES"/>
        </w:rPr>
        <w:t xml:space="preserve">los </w:t>
      </w:r>
      <w:r w:rsidR="00EB07BE" w:rsidRPr="00132A3A">
        <w:rPr>
          <w:rFonts w:ascii="Cambria" w:hAnsi="Cambria"/>
          <w:sz w:val="20"/>
          <w:szCs w:val="20"/>
          <w:lang w:val="es-ES"/>
        </w:rPr>
        <w:t xml:space="preserve">artículos 4, 5, 8, 13, 22 y 25 de la Convención Americana en concordancia con su artículo 1.1 </w:t>
      </w:r>
    </w:p>
    <w:p w14:paraId="4244365A" w14:textId="47914928"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32A3A">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3A81BE04" w14:textId="7A816D4B" w:rsidR="00DC14AF" w:rsidRPr="00A37B82" w:rsidRDefault="00DC14AF" w:rsidP="00DC14AF">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lastRenderedPageBreak/>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5D80EB9E" w14:textId="77777777" w:rsidR="0099076B" w:rsidRDefault="0099076B" w:rsidP="00304AD6">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lang w:val="es-ES"/>
        </w:rPr>
        <w:sectPr w:rsidR="0099076B" w:rsidSect="00934A2C">
          <w:type w:val="oddPage"/>
          <w:pgSz w:w="12240" w:h="15840"/>
          <w:pgMar w:top="1440" w:right="1440" w:bottom="1440" w:left="1440" w:header="720" w:footer="720" w:gutter="0"/>
          <w:pgNumType w:start="1"/>
          <w:cols w:space="720"/>
          <w:docGrid w:linePitch="326"/>
        </w:sectPr>
      </w:pPr>
    </w:p>
    <w:p w14:paraId="4CD46F87" w14:textId="3B5C42F1" w:rsidR="00304AD6" w:rsidRPr="00132A3A" w:rsidRDefault="00304AD6" w:rsidP="00304AD6">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lang w:val="es-ES"/>
        </w:rPr>
      </w:pPr>
      <w:r w:rsidRPr="00132A3A">
        <w:rPr>
          <w:rFonts w:eastAsia="Times New Roman"/>
          <w:b/>
          <w:bCs/>
          <w:sz w:val="20"/>
          <w:szCs w:val="20"/>
          <w:bdr w:val="none" w:sz="0" w:space="0" w:color="auto"/>
          <w:lang w:val="es-ES"/>
        </w:rPr>
        <w:lastRenderedPageBreak/>
        <w:t>Anexo 1</w:t>
      </w:r>
    </w:p>
    <w:p w14:paraId="0CC77AFE" w14:textId="25F67287" w:rsidR="00304AD6" w:rsidRDefault="00304AD6" w:rsidP="00304AD6">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lang w:val="es-ES"/>
        </w:rPr>
      </w:pPr>
      <w:r w:rsidRPr="00132A3A">
        <w:rPr>
          <w:rFonts w:eastAsia="Times New Roman"/>
          <w:b/>
          <w:bCs/>
          <w:sz w:val="20"/>
          <w:szCs w:val="20"/>
          <w:bdr w:val="none" w:sz="0" w:space="0" w:color="auto"/>
          <w:lang w:val="es-ES"/>
        </w:rPr>
        <w:t>Listado de presunta</w:t>
      </w:r>
      <w:r w:rsidR="00622AB9">
        <w:rPr>
          <w:rFonts w:eastAsia="Times New Roman"/>
          <w:b/>
          <w:bCs/>
          <w:sz w:val="20"/>
          <w:szCs w:val="20"/>
          <w:bdr w:val="none" w:sz="0" w:space="0" w:color="auto"/>
          <w:lang w:val="es-ES"/>
        </w:rPr>
        <w:t>s</w:t>
      </w:r>
      <w:r w:rsidRPr="00132A3A">
        <w:rPr>
          <w:rFonts w:eastAsia="Times New Roman"/>
          <w:b/>
          <w:bCs/>
          <w:sz w:val="20"/>
          <w:szCs w:val="20"/>
          <w:bdr w:val="none" w:sz="0" w:space="0" w:color="auto"/>
          <w:lang w:val="es-ES"/>
        </w:rPr>
        <w:t xml:space="preserve"> víctimas</w:t>
      </w:r>
    </w:p>
    <w:p w14:paraId="7A947A3C" w14:textId="77777777" w:rsidR="00574193" w:rsidRPr="00132A3A" w:rsidRDefault="00574193" w:rsidP="00304AD6">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lang w:val="es-ES"/>
        </w:rPr>
      </w:pPr>
    </w:p>
    <w:p w14:paraId="5BC619CB" w14:textId="77777777" w:rsidR="00AB4D80" w:rsidRPr="00132A3A" w:rsidRDefault="00AB4D80" w:rsidP="00AB4D8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b/>
          <w:bCs/>
          <w:sz w:val="20"/>
          <w:szCs w:val="20"/>
          <w:lang w:val="es-ES"/>
        </w:rPr>
      </w:pPr>
      <w:r w:rsidRPr="00132A3A">
        <w:rPr>
          <w:b/>
          <w:bCs/>
          <w:sz w:val="20"/>
          <w:szCs w:val="20"/>
          <w:lang w:val="es-ES"/>
        </w:rPr>
        <w:t>Over Jose Quila</w:t>
      </w:r>
      <w:r w:rsidR="00AF6FC4" w:rsidRPr="00132A3A">
        <w:rPr>
          <w:b/>
          <w:bCs/>
          <w:sz w:val="20"/>
          <w:szCs w:val="20"/>
          <w:lang w:val="es-ES"/>
        </w:rPr>
        <w:t xml:space="preserve"> (lesionado)</w:t>
      </w:r>
    </w:p>
    <w:p w14:paraId="59D87170" w14:textId="77777777" w:rsidR="00AF6FC4" w:rsidRPr="00132A3A" w:rsidRDefault="00AF6FC4" w:rsidP="00AF6FC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b/>
          <w:bCs/>
          <w:sz w:val="20"/>
          <w:szCs w:val="20"/>
          <w:lang w:val="es-ES"/>
        </w:rPr>
      </w:pPr>
    </w:p>
    <w:p w14:paraId="5F84B6B8" w14:textId="77777777" w:rsidR="00AF6FC4" w:rsidRPr="00132A3A" w:rsidRDefault="00AB4D80" w:rsidP="00AF6FC4">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b/>
          <w:bCs/>
          <w:sz w:val="20"/>
          <w:szCs w:val="20"/>
          <w:lang w:val="es-ES"/>
        </w:rPr>
      </w:pPr>
      <w:r w:rsidRPr="00132A3A">
        <w:rPr>
          <w:b/>
          <w:bCs/>
          <w:sz w:val="20"/>
          <w:szCs w:val="20"/>
          <w:lang w:val="es-ES"/>
        </w:rPr>
        <w:t>Carlos Adolfo Chantre Peña</w:t>
      </w:r>
      <w:r w:rsidR="00AF6FC4" w:rsidRPr="00132A3A">
        <w:rPr>
          <w:b/>
          <w:bCs/>
          <w:sz w:val="20"/>
          <w:szCs w:val="20"/>
          <w:lang w:val="es-ES"/>
        </w:rPr>
        <w:t xml:space="preserve"> (fallecido)</w:t>
      </w:r>
    </w:p>
    <w:p w14:paraId="0162934E" w14:textId="77777777" w:rsidR="00AF6FC4" w:rsidRPr="00132A3A" w:rsidRDefault="00AF6FC4" w:rsidP="00AF6FC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Familiares:</w:t>
      </w:r>
    </w:p>
    <w:p w14:paraId="3DB9BE60" w14:textId="77777777" w:rsidR="00AF6FC4" w:rsidRPr="00132A3A" w:rsidRDefault="00AF6FC4" w:rsidP="00AF6FC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1. Bertha Irene Peña Galvis (madre)</w:t>
      </w:r>
    </w:p>
    <w:p w14:paraId="19C934B5" w14:textId="77777777" w:rsidR="00AF6FC4" w:rsidRPr="00132A3A" w:rsidRDefault="00AF6FC4" w:rsidP="00AF6FC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2. Carlos Adolfo Chantre (padre)</w:t>
      </w:r>
    </w:p>
    <w:p w14:paraId="56F7BBCD" w14:textId="77777777" w:rsidR="00AF6FC4" w:rsidRPr="00132A3A" w:rsidRDefault="00AF6FC4" w:rsidP="00AF6FC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3. Maria del Socorro Chantre (hermana)</w:t>
      </w:r>
    </w:p>
    <w:p w14:paraId="78EC7C37" w14:textId="77777777" w:rsidR="00AF6FC4" w:rsidRPr="00132A3A" w:rsidRDefault="00AF6FC4" w:rsidP="00AF6FC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4. Fabio Chantre Peña (hermano)</w:t>
      </w:r>
    </w:p>
    <w:p w14:paraId="23663488" w14:textId="77777777" w:rsidR="00AF6FC4" w:rsidRPr="00132A3A" w:rsidRDefault="00AF6FC4" w:rsidP="00AF6FC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5. Maria Consuelo Chantre Peña (hermana)</w:t>
      </w:r>
    </w:p>
    <w:p w14:paraId="22FA0446" w14:textId="77777777" w:rsidR="00AF6FC4" w:rsidRPr="00132A3A" w:rsidRDefault="00AF6FC4" w:rsidP="00AF6FC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6. Nelsi Amparo Chantre Peña (hermana)</w:t>
      </w:r>
    </w:p>
    <w:p w14:paraId="6C82B41D" w14:textId="77777777" w:rsidR="00AF6FC4" w:rsidRPr="00132A3A" w:rsidRDefault="00AF6FC4" w:rsidP="00AF6FC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7. Soraida Mamian (esposa)</w:t>
      </w:r>
    </w:p>
    <w:p w14:paraId="6D44AFB3" w14:textId="77777777" w:rsidR="00AF6FC4" w:rsidRPr="00132A3A" w:rsidRDefault="00AF6FC4" w:rsidP="00AF6FC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8. Edith Natalia Chantre Mamian (hija)</w:t>
      </w:r>
    </w:p>
    <w:p w14:paraId="7F1546E8" w14:textId="77777777" w:rsidR="00AF6FC4" w:rsidRPr="00132A3A" w:rsidRDefault="00AF6FC4" w:rsidP="00AF6FC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9. Jerson Felipe Chantre Mamian (hijo)</w:t>
      </w:r>
    </w:p>
    <w:p w14:paraId="6E4E2D3C" w14:textId="77777777" w:rsidR="00AF6FC4" w:rsidRPr="00132A3A" w:rsidRDefault="00AF6FC4" w:rsidP="00AF6FC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p>
    <w:p w14:paraId="482A59D9" w14:textId="228B60CC" w:rsidR="00AB4D80" w:rsidRPr="00132A3A" w:rsidRDefault="00AB4D80" w:rsidP="00AB4D8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b/>
          <w:bCs/>
          <w:sz w:val="20"/>
          <w:szCs w:val="20"/>
          <w:lang w:val="es-ES"/>
        </w:rPr>
      </w:pPr>
      <w:r w:rsidRPr="00132A3A">
        <w:rPr>
          <w:b/>
          <w:bCs/>
          <w:sz w:val="20"/>
          <w:szCs w:val="20"/>
          <w:lang w:val="es-ES"/>
        </w:rPr>
        <w:t>Ruben Dario Sanchez Urmendez</w:t>
      </w:r>
      <w:r w:rsidR="00050477">
        <w:rPr>
          <w:b/>
          <w:bCs/>
          <w:sz w:val="20"/>
          <w:szCs w:val="20"/>
          <w:lang w:val="es-ES"/>
        </w:rPr>
        <w:t xml:space="preserve"> (fallecido)</w:t>
      </w:r>
    </w:p>
    <w:p w14:paraId="1BC5A7D6" w14:textId="77777777" w:rsidR="00AF6FC4" w:rsidRPr="00132A3A" w:rsidRDefault="00AF6FC4" w:rsidP="00AF6FC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Familiares</w:t>
      </w:r>
    </w:p>
    <w:p w14:paraId="08C47398" w14:textId="77777777" w:rsidR="00AF6FC4" w:rsidRPr="00132A3A" w:rsidRDefault="00AF6FC4" w:rsidP="00AF6FC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10) Bertha Urmendez Campo (madre)</w:t>
      </w:r>
    </w:p>
    <w:p w14:paraId="73934031" w14:textId="77777777" w:rsidR="00AF6FC4" w:rsidRPr="00132A3A" w:rsidRDefault="00AF6FC4" w:rsidP="00AF6FC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11) Juna Isidro Sanchez (padre)</w:t>
      </w:r>
    </w:p>
    <w:p w14:paraId="73129DEB" w14:textId="77777777" w:rsidR="00AF6FC4" w:rsidRPr="00132A3A" w:rsidRDefault="00AF6FC4" w:rsidP="00AF6FC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12) Juan Andres Sanchez (hermano)</w:t>
      </w:r>
    </w:p>
    <w:p w14:paraId="2C4145F8" w14:textId="77777777" w:rsidR="00AF6FC4" w:rsidRPr="00132A3A" w:rsidRDefault="00AF6FC4" w:rsidP="00AF6FC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13) Diana Yaneth Sanchez (hermana)</w:t>
      </w:r>
    </w:p>
    <w:p w14:paraId="5F260FD6" w14:textId="77777777" w:rsidR="00AF6FC4" w:rsidRPr="00132A3A" w:rsidRDefault="00AF6FC4" w:rsidP="00AF6FC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14) Luz Minde Sanchez (hermana)</w:t>
      </w:r>
    </w:p>
    <w:p w14:paraId="523A6F4A" w14:textId="77777777" w:rsidR="00AF6FC4" w:rsidRPr="00132A3A" w:rsidRDefault="00AF6FC4" w:rsidP="00AF6FC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15) John Edison Sanchez (hermano)</w:t>
      </w:r>
    </w:p>
    <w:p w14:paraId="26CC4EF7" w14:textId="77777777" w:rsidR="00AF6FC4" w:rsidRPr="00132A3A" w:rsidRDefault="00AF6FC4" w:rsidP="00AF6FC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16) Leidy Patricia Sanchez (hermana)</w:t>
      </w:r>
    </w:p>
    <w:p w14:paraId="06FE0E7C" w14:textId="77777777" w:rsidR="00AF6FC4" w:rsidRPr="00132A3A" w:rsidRDefault="00AF6FC4" w:rsidP="00AF6FC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17) Duber Breiner Sanchez (hermano)</w:t>
      </w:r>
    </w:p>
    <w:p w14:paraId="5B7E59BA" w14:textId="77777777" w:rsidR="00AF6FC4" w:rsidRPr="00132A3A" w:rsidRDefault="00AF6FC4" w:rsidP="00AF6FC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18) Lucy Zoraida Sanchez (hermana)</w:t>
      </w:r>
    </w:p>
    <w:p w14:paraId="194514A2" w14:textId="77777777" w:rsidR="00AF6FC4" w:rsidRPr="00132A3A" w:rsidRDefault="00AF6FC4" w:rsidP="00AF6FC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19) Elizabeth Sanchez (hermana)</w:t>
      </w:r>
    </w:p>
    <w:p w14:paraId="0A353916" w14:textId="77777777" w:rsidR="00AF6FC4" w:rsidRPr="00132A3A" w:rsidRDefault="00AF6FC4" w:rsidP="00AF6FC4">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b/>
          <w:bCs/>
          <w:sz w:val="20"/>
          <w:szCs w:val="20"/>
          <w:lang w:val="es-ES"/>
        </w:rPr>
      </w:pPr>
    </w:p>
    <w:p w14:paraId="36DBB73E" w14:textId="77777777" w:rsidR="00AB4D80" w:rsidRPr="00132A3A" w:rsidRDefault="00AB4D80" w:rsidP="00AB4D8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b/>
          <w:bCs/>
          <w:sz w:val="20"/>
          <w:szCs w:val="20"/>
          <w:lang w:val="es-ES"/>
        </w:rPr>
      </w:pPr>
      <w:r w:rsidRPr="00132A3A">
        <w:rPr>
          <w:b/>
          <w:bCs/>
          <w:sz w:val="20"/>
          <w:szCs w:val="20"/>
          <w:lang w:val="es-ES"/>
        </w:rPr>
        <w:t>Hug</w:t>
      </w:r>
      <w:r w:rsidR="00AF6FC4" w:rsidRPr="00132A3A">
        <w:rPr>
          <w:b/>
          <w:bCs/>
          <w:sz w:val="20"/>
          <w:szCs w:val="20"/>
          <w:lang w:val="es-ES"/>
        </w:rPr>
        <w:t>o</w:t>
      </w:r>
      <w:r w:rsidRPr="00132A3A">
        <w:rPr>
          <w:b/>
          <w:bCs/>
          <w:sz w:val="20"/>
          <w:szCs w:val="20"/>
          <w:lang w:val="es-ES"/>
        </w:rPr>
        <w:t xml:space="preserve"> Idrobo Ledesma</w:t>
      </w:r>
      <w:r w:rsidR="00AF6FC4" w:rsidRPr="00132A3A">
        <w:rPr>
          <w:b/>
          <w:bCs/>
          <w:sz w:val="20"/>
          <w:szCs w:val="20"/>
          <w:lang w:val="es-ES"/>
        </w:rPr>
        <w:t xml:space="preserve"> (fallecido)</w:t>
      </w:r>
    </w:p>
    <w:p w14:paraId="26118C7C" w14:textId="77777777" w:rsidR="00AF6FC4" w:rsidRPr="00132A3A" w:rsidRDefault="00AF6FC4" w:rsidP="00AF6FC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Familiares</w:t>
      </w:r>
    </w:p>
    <w:p w14:paraId="0A47250D" w14:textId="77777777" w:rsidR="00AF6FC4" w:rsidRPr="00132A3A" w:rsidRDefault="00AF6FC4" w:rsidP="00AF6FC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20) Maria Deyane Chate (esposa)</w:t>
      </w:r>
    </w:p>
    <w:p w14:paraId="66651972" w14:textId="77777777" w:rsidR="00AF6FC4" w:rsidRPr="00132A3A" w:rsidRDefault="00AF6FC4" w:rsidP="00AF6FC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21) Victor Hugo Idrobo Chate (hijo)</w:t>
      </w:r>
    </w:p>
    <w:p w14:paraId="4F8E0D52" w14:textId="77777777" w:rsidR="00AF6FC4" w:rsidRPr="00132A3A" w:rsidRDefault="00AF6FC4" w:rsidP="00C0430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22) Jose Yeison Chate (hijo)</w:t>
      </w:r>
    </w:p>
    <w:p w14:paraId="17A1D3A4" w14:textId="77777777" w:rsidR="00AF6FC4" w:rsidRPr="00132A3A" w:rsidRDefault="00AF6FC4" w:rsidP="00AF6FC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p>
    <w:p w14:paraId="3640EDAE" w14:textId="77777777" w:rsidR="00AB4D80" w:rsidRPr="00132A3A" w:rsidRDefault="00AB4D80" w:rsidP="00AB4D8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b/>
          <w:bCs/>
          <w:sz w:val="20"/>
          <w:szCs w:val="20"/>
          <w:lang w:val="es-ES"/>
        </w:rPr>
      </w:pPr>
      <w:r w:rsidRPr="00132A3A">
        <w:rPr>
          <w:b/>
          <w:bCs/>
          <w:sz w:val="20"/>
          <w:szCs w:val="20"/>
          <w:lang w:val="es-ES"/>
        </w:rPr>
        <w:t>Absalon Troyano</w:t>
      </w:r>
      <w:r w:rsidR="00C0430D" w:rsidRPr="00132A3A">
        <w:rPr>
          <w:b/>
          <w:bCs/>
          <w:sz w:val="20"/>
          <w:szCs w:val="20"/>
          <w:lang w:val="es-ES"/>
        </w:rPr>
        <w:t xml:space="preserve"> (fallecido)</w:t>
      </w:r>
    </w:p>
    <w:p w14:paraId="73EB0167" w14:textId="77777777" w:rsidR="00C0430D" w:rsidRPr="00132A3A" w:rsidRDefault="00C0430D" w:rsidP="00C0430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Familiares</w:t>
      </w:r>
    </w:p>
    <w:p w14:paraId="19A1BA6A" w14:textId="77777777" w:rsidR="00C0430D" w:rsidRPr="00132A3A" w:rsidRDefault="00C0430D" w:rsidP="00C0430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23) Maria Neli Victoria Ante (madre)</w:t>
      </w:r>
    </w:p>
    <w:p w14:paraId="6C7940DB" w14:textId="77777777" w:rsidR="00C0430D" w:rsidRPr="00132A3A" w:rsidRDefault="00C0430D" w:rsidP="00C0430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24) Marceliano Troyano Ordoñez (padre)</w:t>
      </w:r>
    </w:p>
    <w:p w14:paraId="02BA1549" w14:textId="77777777" w:rsidR="00C0430D" w:rsidRPr="00132A3A" w:rsidRDefault="00C0430D" w:rsidP="00C0430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25) Diana Marcela Victoria Troyano (hermana)</w:t>
      </w:r>
    </w:p>
    <w:p w14:paraId="37CF5196" w14:textId="77777777" w:rsidR="00C0430D" w:rsidRPr="00132A3A" w:rsidRDefault="00C0430D" w:rsidP="00C0430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26) Luis Carlos Troyano (hermano)</w:t>
      </w:r>
    </w:p>
    <w:p w14:paraId="2779A696" w14:textId="77777777" w:rsidR="00C0430D" w:rsidRPr="00132A3A" w:rsidRDefault="00C0430D" w:rsidP="00C0430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27) Delmira Troyano Gomez (hermana)</w:t>
      </w:r>
    </w:p>
    <w:p w14:paraId="00F890BA" w14:textId="77777777" w:rsidR="00C0430D" w:rsidRPr="00132A3A" w:rsidRDefault="00C0430D" w:rsidP="00C0430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28) Marcelo Troyano Gomez (hermano)</w:t>
      </w:r>
    </w:p>
    <w:p w14:paraId="5AD4E6F1" w14:textId="77777777" w:rsidR="00C0430D" w:rsidRPr="00132A3A" w:rsidRDefault="00C0430D" w:rsidP="00C0430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29) Gilberto Troyano Gomez (hermano)</w:t>
      </w:r>
    </w:p>
    <w:p w14:paraId="34AC8E4F" w14:textId="77777777" w:rsidR="00C0430D" w:rsidRPr="00132A3A" w:rsidRDefault="00C0430D" w:rsidP="00C0430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30) Alirio Troyano Gomez (hermano)</w:t>
      </w:r>
    </w:p>
    <w:p w14:paraId="5ADC3B13" w14:textId="77777777" w:rsidR="00C0430D" w:rsidRPr="00132A3A" w:rsidRDefault="00C0430D" w:rsidP="00C0430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31) Humberto Troyano Gomez (hermano)</w:t>
      </w:r>
    </w:p>
    <w:p w14:paraId="4DD32197" w14:textId="77777777" w:rsidR="00C0430D" w:rsidRPr="00132A3A" w:rsidRDefault="00C0430D" w:rsidP="00C0430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32) Hernando Troyano Gomez (hermano)</w:t>
      </w:r>
    </w:p>
    <w:p w14:paraId="37BC87F4" w14:textId="77777777" w:rsidR="00C0430D" w:rsidRPr="00132A3A" w:rsidRDefault="00C0430D" w:rsidP="00C0430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33) Ramiro Troyano Gomez (hermano)</w:t>
      </w:r>
    </w:p>
    <w:p w14:paraId="56B87D45" w14:textId="77777777" w:rsidR="00C0430D" w:rsidRPr="00132A3A" w:rsidRDefault="00C0430D" w:rsidP="00C0430D">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b/>
          <w:bCs/>
          <w:sz w:val="20"/>
          <w:szCs w:val="20"/>
          <w:lang w:val="es-ES"/>
        </w:rPr>
      </w:pPr>
    </w:p>
    <w:p w14:paraId="7EAAB3E7" w14:textId="77777777" w:rsidR="00AB4D80" w:rsidRPr="00132A3A" w:rsidRDefault="00AB4D80" w:rsidP="00AB4D8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b/>
          <w:bCs/>
          <w:sz w:val="20"/>
          <w:szCs w:val="20"/>
          <w:lang w:val="es-ES"/>
        </w:rPr>
      </w:pPr>
      <w:r w:rsidRPr="00132A3A">
        <w:rPr>
          <w:b/>
          <w:bCs/>
          <w:sz w:val="20"/>
          <w:szCs w:val="20"/>
          <w:lang w:val="es-ES"/>
        </w:rPr>
        <w:t>Florencio Flórez Mesa</w:t>
      </w:r>
      <w:r w:rsidR="00C0430D" w:rsidRPr="00132A3A">
        <w:rPr>
          <w:b/>
          <w:bCs/>
          <w:sz w:val="20"/>
          <w:szCs w:val="20"/>
          <w:lang w:val="es-ES"/>
        </w:rPr>
        <w:t xml:space="preserve"> (fallecido)</w:t>
      </w:r>
    </w:p>
    <w:p w14:paraId="75C49E13" w14:textId="77777777" w:rsidR="00C0430D" w:rsidRPr="00132A3A" w:rsidRDefault="00C0430D" w:rsidP="00C0430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Familiares</w:t>
      </w:r>
    </w:p>
    <w:p w14:paraId="12F1342B" w14:textId="77777777" w:rsidR="00C0430D" w:rsidRPr="00132A3A" w:rsidRDefault="00C0430D" w:rsidP="00C0430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34) Elizabeth Fernandez (esposa)</w:t>
      </w:r>
    </w:p>
    <w:p w14:paraId="4A6B1370" w14:textId="77777777" w:rsidR="00C0430D" w:rsidRPr="00132A3A" w:rsidRDefault="00C0430D" w:rsidP="00C0430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35) Yeison Duban Flores Fernandez (hijo)</w:t>
      </w:r>
    </w:p>
    <w:p w14:paraId="08D583E9" w14:textId="77777777" w:rsidR="00C0430D" w:rsidRPr="00132A3A" w:rsidRDefault="00C0430D" w:rsidP="00C0430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36) Cesar Augusto Florez Fernandez (hijo)</w:t>
      </w:r>
    </w:p>
    <w:p w14:paraId="02323B6B" w14:textId="77777777" w:rsidR="00C0430D" w:rsidRPr="00132A3A" w:rsidRDefault="00C0430D" w:rsidP="00C0430D">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b/>
          <w:bCs/>
          <w:sz w:val="20"/>
          <w:szCs w:val="20"/>
          <w:lang w:val="es-ES"/>
        </w:rPr>
      </w:pPr>
    </w:p>
    <w:p w14:paraId="5C1E2D12" w14:textId="77777777" w:rsidR="00AB4D80" w:rsidRPr="00132A3A" w:rsidRDefault="00AB4D80" w:rsidP="00AB4D8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b/>
          <w:bCs/>
          <w:sz w:val="20"/>
          <w:szCs w:val="20"/>
          <w:lang w:val="es-ES"/>
        </w:rPr>
      </w:pPr>
      <w:r w:rsidRPr="00132A3A">
        <w:rPr>
          <w:b/>
          <w:bCs/>
          <w:sz w:val="20"/>
          <w:szCs w:val="20"/>
          <w:lang w:val="es-ES"/>
        </w:rPr>
        <w:t>José Luis Campo Imbachi</w:t>
      </w:r>
      <w:r w:rsidR="00C0430D" w:rsidRPr="00132A3A">
        <w:rPr>
          <w:b/>
          <w:bCs/>
          <w:sz w:val="20"/>
          <w:szCs w:val="20"/>
          <w:lang w:val="es-ES"/>
        </w:rPr>
        <w:t xml:space="preserve"> (fallecido)</w:t>
      </w:r>
    </w:p>
    <w:p w14:paraId="0CB3E409" w14:textId="77777777" w:rsidR="00C0430D" w:rsidRPr="008E005C" w:rsidRDefault="00C0430D" w:rsidP="00C0430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pt-BR"/>
        </w:rPr>
      </w:pPr>
      <w:r w:rsidRPr="008E005C">
        <w:rPr>
          <w:rFonts w:asciiTheme="majorHAnsi" w:hAnsiTheme="majorHAnsi"/>
          <w:sz w:val="20"/>
          <w:szCs w:val="20"/>
          <w:lang w:val="pt-BR"/>
        </w:rPr>
        <w:t>Familiares</w:t>
      </w:r>
      <w:r w:rsidRPr="008E005C">
        <w:rPr>
          <w:rFonts w:asciiTheme="majorHAnsi" w:hAnsiTheme="majorHAnsi"/>
          <w:sz w:val="20"/>
          <w:szCs w:val="20"/>
          <w:lang w:val="pt-BR"/>
        </w:rPr>
        <w:br/>
        <w:t>37) Jose Gildardo Campo Belancazar (padre)</w:t>
      </w:r>
    </w:p>
    <w:p w14:paraId="6C3FE53D" w14:textId="77777777" w:rsidR="00C0430D" w:rsidRPr="008E005C" w:rsidRDefault="00C0430D" w:rsidP="00C0430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pt-BR"/>
        </w:rPr>
      </w:pPr>
      <w:r w:rsidRPr="008E005C">
        <w:rPr>
          <w:rFonts w:asciiTheme="majorHAnsi" w:hAnsiTheme="majorHAnsi"/>
          <w:sz w:val="20"/>
          <w:szCs w:val="20"/>
          <w:lang w:val="pt-BR"/>
        </w:rPr>
        <w:t>38) Maria Ilia Ibachi Sanchez (madre)</w:t>
      </w:r>
    </w:p>
    <w:p w14:paraId="6A4A494C" w14:textId="77777777" w:rsidR="00C0430D" w:rsidRPr="00132A3A" w:rsidRDefault="00C0430D" w:rsidP="00C0430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39) Ana Milena Campo Imbachi (hermana)</w:t>
      </w:r>
    </w:p>
    <w:p w14:paraId="3EEAD76E" w14:textId="77777777" w:rsidR="00C0430D" w:rsidRPr="00132A3A" w:rsidRDefault="00C0430D" w:rsidP="00C0430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40) Jhon Edison Campo Imbachi (hermano)</w:t>
      </w:r>
    </w:p>
    <w:p w14:paraId="5257633D" w14:textId="77777777" w:rsidR="00C0430D" w:rsidRPr="00132A3A" w:rsidRDefault="00C0430D" w:rsidP="00C0430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41) Edison Rene Quina Campo (sobrino)</w:t>
      </w:r>
    </w:p>
    <w:p w14:paraId="7D86F18D" w14:textId="77777777" w:rsidR="00C0430D" w:rsidRPr="00132A3A" w:rsidRDefault="00C0430D" w:rsidP="00C0430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p>
    <w:p w14:paraId="3CED989F" w14:textId="77777777" w:rsidR="00AB4D80" w:rsidRPr="00132A3A" w:rsidRDefault="00AB4D80" w:rsidP="00AB4D8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b/>
          <w:bCs/>
          <w:sz w:val="20"/>
          <w:szCs w:val="20"/>
          <w:lang w:val="es-ES"/>
        </w:rPr>
      </w:pPr>
      <w:r w:rsidRPr="00132A3A">
        <w:rPr>
          <w:b/>
          <w:bCs/>
          <w:sz w:val="20"/>
          <w:szCs w:val="20"/>
          <w:lang w:val="es-ES"/>
        </w:rPr>
        <w:t>Juan Carlos Velasco Orozco</w:t>
      </w:r>
      <w:r w:rsidR="00C0430D" w:rsidRPr="00132A3A">
        <w:rPr>
          <w:b/>
          <w:bCs/>
          <w:sz w:val="20"/>
          <w:szCs w:val="20"/>
          <w:lang w:val="es-ES"/>
        </w:rPr>
        <w:t xml:space="preserve"> (fallecido)</w:t>
      </w:r>
    </w:p>
    <w:p w14:paraId="0204E2E8" w14:textId="77777777" w:rsidR="00C0430D" w:rsidRPr="00132A3A" w:rsidRDefault="00C0430D" w:rsidP="00C0430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Familiares</w:t>
      </w:r>
    </w:p>
    <w:p w14:paraId="10819B47" w14:textId="77777777" w:rsidR="00646FA9" w:rsidRPr="00132A3A" w:rsidRDefault="00646FA9" w:rsidP="00C0430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42) Maria Irene Orozco (madre)</w:t>
      </w:r>
    </w:p>
    <w:p w14:paraId="572EA0BA" w14:textId="77777777" w:rsidR="00646FA9" w:rsidRPr="00132A3A" w:rsidRDefault="00646FA9" w:rsidP="00C0430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43) Juan Bautista Velasco Zuñiga (padre)</w:t>
      </w:r>
    </w:p>
    <w:p w14:paraId="32D8D750" w14:textId="77777777" w:rsidR="00646FA9" w:rsidRPr="00132A3A" w:rsidRDefault="00646FA9" w:rsidP="00C0430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44) William Velasco Orozco (hermano)</w:t>
      </w:r>
    </w:p>
    <w:p w14:paraId="43C8E670" w14:textId="77777777" w:rsidR="00C0430D" w:rsidRPr="00132A3A" w:rsidRDefault="00C0430D" w:rsidP="00C0430D">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b/>
          <w:bCs/>
          <w:sz w:val="20"/>
          <w:szCs w:val="20"/>
          <w:lang w:val="es-ES"/>
        </w:rPr>
      </w:pPr>
    </w:p>
    <w:p w14:paraId="0D3D3061" w14:textId="77777777" w:rsidR="00AB4D80" w:rsidRPr="00132A3A" w:rsidRDefault="00AB4D80" w:rsidP="00AB4D8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b/>
          <w:bCs/>
          <w:sz w:val="20"/>
          <w:szCs w:val="20"/>
          <w:lang w:val="es-ES"/>
        </w:rPr>
      </w:pPr>
      <w:r w:rsidRPr="00132A3A">
        <w:rPr>
          <w:b/>
          <w:bCs/>
          <w:sz w:val="20"/>
          <w:szCs w:val="20"/>
          <w:lang w:val="es-ES"/>
        </w:rPr>
        <w:t>Jose Oveider Mosquera Mosquera</w:t>
      </w:r>
      <w:r w:rsidR="00646FA9" w:rsidRPr="00132A3A">
        <w:rPr>
          <w:b/>
          <w:bCs/>
          <w:sz w:val="20"/>
          <w:szCs w:val="20"/>
          <w:lang w:val="es-ES"/>
        </w:rPr>
        <w:t xml:space="preserve"> (fallecido)</w:t>
      </w:r>
    </w:p>
    <w:p w14:paraId="7F75BCF8" w14:textId="77777777" w:rsidR="00646FA9" w:rsidRPr="00132A3A" w:rsidRDefault="00646FA9" w:rsidP="00646FA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Familiares</w:t>
      </w:r>
    </w:p>
    <w:p w14:paraId="62DF7E16" w14:textId="77777777" w:rsidR="00646FA9" w:rsidRPr="00132A3A" w:rsidRDefault="00646FA9" w:rsidP="00646FA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 xml:space="preserve">45) </w:t>
      </w:r>
      <w:r w:rsidR="00FC6A0A" w:rsidRPr="00132A3A">
        <w:rPr>
          <w:rFonts w:asciiTheme="majorHAnsi" w:hAnsiTheme="majorHAnsi"/>
          <w:sz w:val="20"/>
          <w:szCs w:val="20"/>
          <w:lang w:val="es-ES"/>
        </w:rPr>
        <w:t>Julian Mosquera Rodriguez (padre)</w:t>
      </w:r>
    </w:p>
    <w:p w14:paraId="32F505E8" w14:textId="77777777" w:rsidR="00FC6A0A" w:rsidRPr="00132A3A" w:rsidRDefault="00FC6A0A" w:rsidP="00646FA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46) Maria Eni Mosquera (madre)</w:t>
      </w:r>
    </w:p>
    <w:p w14:paraId="7CF06F0B" w14:textId="77777777" w:rsidR="00FC6A0A" w:rsidRPr="00132A3A" w:rsidRDefault="00FC6A0A" w:rsidP="00646FA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47) Jose Ledemir Mosquera (hermano)</w:t>
      </w:r>
    </w:p>
    <w:p w14:paraId="2EE0EA10" w14:textId="77777777" w:rsidR="00FC6A0A" w:rsidRPr="00132A3A" w:rsidRDefault="00FC6A0A" w:rsidP="00646FA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48) Jose Orlidio Mosquera (hermano)</w:t>
      </w:r>
    </w:p>
    <w:p w14:paraId="05804567" w14:textId="77777777" w:rsidR="00FC6A0A" w:rsidRPr="00132A3A" w:rsidRDefault="00FC6A0A" w:rsidP="00646FA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49) Jose Lider Mosquera (hermano)</w:t>
      </w:r>
    </w:p>
    <w:p w14:paraId="24F32EE0" w14:textId="77777777" w:rsidR="00FC6A0A" w:rsidRPr="00132A3A" w:rsidRDefault="00FC6A0A" w:rsidP="00646FA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50) Maria Nelli Mosquera (hermana)</w:t>
      </w:r>
    </w:p>
    <w:p w14:paraId="205A1288" w14:textId="77777777" w:rsidR="00FC6A0A" w:rsidRPr="00132A3A" w:rsidRDefault="00FC6A0A" w:rsidP="00646FA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r w:rsidRPr="00132A3A">
        <w:rPr>
          <w:rFonts w:asciiTheme="majorHAnsi" w:hAnsiTheme="majorHAnsi"/>
          <w:sz w:val="20"/>
          <w:szCs w:val="20"/>
          <w:lang w:val="es-ES"/>
        </w:rPr>
        <w:t>51) Leidy Viviana Mosquera (hija)</w:t>
      </w:r>
    </w:p>
    <w:p w14:paraId="3A85A600" w14:textId="77777777" w:rsidR="00FC6A0A" w:rsidRPr="00132A3A" w:rsidRDefault="00FC6A0A" w:rsidP="00646FA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p>
    <w:p w14:paraId="343E297D" w14:textId="77777777" w:rsidR="00FC6A0A" w:rsidRPr="00132A3A" w:rsidRDefault="00AB4D80" w:rsidP="00FC6A0A">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b/>
          <w:bCs/>
          <w:sz w:val="20"/>
          <w:szCs w:val="20"/>
          <w:lang w:val="es-ES"/>
        </w:rPr>
      </w:pPr>
      <w:r w:rsidRPr="00132A3A">
        <w:rPr>
          <w:b/>
          <w:bCs/>
          <w:sz w:val="20"/>
          <w:szCs w:val="20"/>
          <w:lang w:val="es-ES"/>
        </w:rPr>
        <w:t>Wilmer Camayo Montenegro</w:t>
      </w:r>
      <w:r w:rsidR="00FC6A0A" w:rsidRPr="00132A3A">
        <w:rPr>
          <w:b/>
          <w:bCs/>
          <w:sz w:val="20"/>
          <w:szCs w:val="20"/>
          <w:lang w:val="es-ES"/>
        </w:rPr>
        <w:t xml:space="preserve"> (fallecido)</w:t>
      </w:r>
    </w:p>
    <w:p w14:paraId="4FCA71EE" w14:textId="77777777" w:rsidR="00FC6A0A" w:rsidRPr="00132A3A" w:rsidRDefault="00FC6A0A" w:rsidP="00FC6A0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hAnsiTheme="majorHAnsi"/>
          <w:sz w:val="20"/>
          <w:szCs w:val="20"/>
          <w:lang w:val="es-ES"/>
        </w:rPr>
      </w:pPr>
    </w:p>
    <w:p w14:paraId="2481A947" w14:textId="77777777" w:rsidR="003239B8" w:rsidRPr="00132A3A" w:rsidRDefault="003239B8" w:rsidP="003239B8">
      <w:pPr>
        <w:pStyle w:val="ListParagraph"/>
        <w:suppressAutoHyphens/>
        <w:spacing w:before="240" w:after="240"/>
        <w:jc w:val="both"/>
        <w:rPr>
          <w:rFonts w:asciiTheme="majorHAnsi" w:hAnsiTheme="majorHAnsi"/>
          <w:sz w:val="20"/>
          <w:szCs w:val="20"/>
          <w:lang w:val="es-ES"/>
        </w:rPr>
      </w:pPr>
    </w:p>
    <w:p w14:paraId="1D47DF43" w14:textId="77777777" w:rsidR="008D768D" w:rsidRPr="00132A3A" w:rsidRDefault="008D768D" w:rsidP="001D65EF">
      <w:pPr>
        <w:tabs>
          <w:tab w:val="center" w:pos="5400"/>
        </w:tabs>
        <w:suppressAutoHyphens/>
        <w:spacing w:line="276" w:lineRule="auto"/>
        <w:rPr>
          <w:rFonts w:asciiTheme="majorHAnsi" w:hAnsiTheme="majorHAnsi"/>
          <w:sz w:val="20"/>
          <w:szCs w:val="20"/>
          <w:lang w:val="es-ES"/>
        </w:rPr>
      </w:pPr>
    </w:p>
    <w:p w14:paraId="694CD857" w14:textId="77777777" w:rsidR="008D768D" w:rsidRPr="00132A3A" w:rsidRDefault="008D768D" w:rsidP="001D65EF">
      <w:pPr>
        <w:tabs>
          <w:tab w:val="center" w:pos="5400"/>
        </w:tabs>
        <w:suppressAutoHyphens/>
        <w:spacing w:line="276" w:lineRule="auto"/>
        <w:rPr>
          <w:rFonts w:asciiTheme="majorHAnsi" w:hAnsiTheme="majorHAnsi"/>
          <w:sz w:val="20"/>
          <w:szCs w:val="20"/>
          <w:lang w:val="es-ES"/>
        </w:rPr>
      </w:pPr>
    </w:p>
    <w:p w14:paraId="44147AFD" w14:textId="77777777" w:rsidR="00722C9F" w:rsidRPr="00132A3A" w:rsidRDefault="00722C9F" w:rsidP="00974491">
      <w:pPr>
        <w:rPr>
          <w:rFonts w:ascii="Cambria" w:hAnsi="Cambria" w:cs="Calibri"/>
          <w:sz w:val="20"/>
          <w:szCs w:val="20"/>
          <w:lang w:val="es-ES"/>
        </w:rPr>
      </w:pPr>
    </w:p>
    <w:sectPr w:rsidR="00722C9F" w:rsidRPr="00132A3A" w:rsidSect="0099076B">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735B7" w14:textId="77777777" w:rsidR="00637A0A" w:rsidRDefault="00637A0A">
      <w:r>
        <w:separator/>
      </w:r>
    </w:p>
  </w:endnote>
  <w:endnote w:type="continuationSeparator" w:id="0">
    <w:p w14:paraId="602E0128" w14:textId="77777777" w:rsidR="00637A0A" w:rsidRDefault="00637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4459D" w14:textId="77777777" w:rsidR="00747058" w:rsidRDefault="007470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0076A3FE" w14:textId="056C0A5C"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47058">
          <w:rPr>
            <w:noProof/>
            <w:sz w:val="16"/>
            <w:szCs w:val="22"/>
          </w:rPr>
          <w:t>3</w:t>
        </w:r>
        <w:r w:rsidRPr="00934A2C">
          <w:rPr>
            <w:noProof/>
            <w:sz w:val="16"/>
            <w:szCs w:val="22"/>
          </w:rPr>
          <w:fldChar w:fldCharType="end"/>
        </w:r>
      </w:p>
    </w:sdtContent>
  </w:sdt>
  <w:p w14:paraId="627DF2F4"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33476" w14:textId="77777777" w:rsidR="0070697F" w:rsidRPr="00934A2C" w:rsidRDefault="0070697F">
    <w:pPr>
      <w:pStyle w:val="Footer"/>
      <w:jc w:val="center"/>
      <w:rPr>
        <w:sz w:val="16"/>
        <w:szCs w:val="22"/>
      </w:rPr>
    </w:pPr>
  </w:p>
  <w:p w14:paraId="0580587B"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A0A51" w14:textId="77777777" w:rsidR="00637A0A" w:rsidRPr="000F35ED" w:rsidRDefault="00637A0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8CCFB4A" w14:textId="77777777" w:rsidR="00637A0A" w:rsidRPr="000F35ED" w:rsidRDefault="00637A0A" w:rsidP="000F35ED">
      <w:pPr>
        <w:rPr>
          <w:rFonts w:asciiTheme="majorHAnsi" w:hAnsiTheme="majorHAnsi"/>
          <w:sz w:val="16"/>
          <w:szCs w:val="16"/>
        </w:rPr>
      </w:pPr>
      <w:r w:rsidRPr="000F35ED">
        <w:rPr>
          <w:rFonts w:asciiTheme="majorHAnsi" w:hAnsiTheme="majorHAnsi"/>
          <w:sz w:val="16"/>
          <w:szCs w:val="16"/>
        </w:rPr>
        <w:separator/>
      </w:r>
    </w:p>
    <w:p w14:paraId="7AD110BC" w14:textId="77777777" w:rsidR="00637A0A" w:rsidRPr="000F35ED" w:rsidRDefault="00637A0A"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49765025" w14:textId="77777777" w:rsidR="00637A0A" w:rsidRPr="000F35ED" w:rsidRDefault="00637A0A"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73D70C37" w14:textId="77777777" w:rsidR="00304AD6" w:rsidRPr="00426DA1" w:rsidRDefault="009F702E" w:rsidP="00426DA1">
      <w:pPr>
        <w:pStyle w:val="FootnoteText"/>
        <w:ind w:firstLine="720"/>
        <w:jc w:val="both"/>
        <w:rPr>
          <w:rFonts w:asciiTheme="majorHAnsi" w:hAnsiTheme="majorHAnsi"/>
          <w:sz w:val="16"/>
          <w:szCs w:val="16"/>
          <w:lang w:val="es-ES"/>
        </w:rPr>
      </w:pPr>
      <w:r w:rsidRPr="00426DA1">
        <w:rPr>
          <w:rStyle w:val="FootnoteReference"/>
          <w:rFonts w:asciiTheme="majorHAnsi" w:hAnsiTheme="majorHAnsi"/>
          <w:sz w:val="16"/>
          <w:szCs w:val="16"/>
        </w:rPr>
        <w:footnoteRef/>
      </w:r>
      <w:r w:rsidRPr="00426DA1">
        <w:rPr>
          <w:rFonts w:asciiTheme="majorHAnsi" w:hAnsiTheme="majorHAnsi"/>
          <w:sz w:val="16"/>
          <w:szCs w:val="16"/>
          <w:lang w:val="es-ES"/>
        </w:rPr>
        <w:t xml:space="preserve"> La petición </w:t>
      </w:r>
      <w:r w:rsidR="00AF6FC4" w:rsidRPr="00426DA1">
        <w:rPr>
          <w:rFonts w:asciiTheme="majorHAnsi" w:hAnsiTheme="majorHAnsi"/>
          <w:sz w:val="16"/>
          <w:szCs w:val="16"/>
          <w:lang w:val="es-ES"/>
        </w:rPr>
        <w:t xml:space="preserve">se refiere </w:t>
      </w:r>
      <w:r w:rsidR="0010158C" w:rsidRPr="00426DA1">
        <w:rPr>
          <w:rFonts w:asciiTheme="majorHAnsi" w:hAnsiTheme="majorHAnsi"/>
          <w:sz w:val="16"/>
          <w:szCs w:val="16"/>
          <w:lang w:val="es-ES"/>
        </w:rPr>
        <w:t>nueve personas fallecidas, una</w:t>
      </w:r>
      <w:r w:rsidR="00FC6A0A" w:rsidRPr="00426DA1">
        <w:rPr>
          <w:rFonts w:asciiTheme="majorHAnsi" w:hAnsiTheme="majorHAnsi"/>
          <w:sz w:val="16"/>
          <w:szCs w:val="16"/>
          <w:lang w:val="es-ES"/>
        </w:rPr>
        <w:t xml:space="preserve"> persona lesionada y </w:t>
      </w:r>
      <w:r w:rsidR="0010158C" w:rsidRPr="00426DA1">
        <w:rPr>
          <w:rFonts w:asciiTheme="majorHAnsi" w:hAnsiTheme="majorHAnsi"/>
          <w:sz w:val="16"/>
          <w:szCs w:val="16"/>
          <w:lang w:val="es-ES"/>
        </w:rPr>
        <w:t>cincuenta y un</w:t>
      </w:r>
      <w:r w:rsidR="00FC6A0A" w:rsidRPr="00426DA1">
        <w:rPr>
          <w:rFonts w:asciiTheme="majorHAnsi" w:hAnsiTheme="majorHAnsi"/>
          <w:sz w:val="16"/>
          <w:szCs w:val="16"/>
          <w:lang w:val="es-ES"/>
        </w:rPr>
        <w:t xml:space="preserve"> familiares de las presuntas víctimas</w:t>
      </w:r>
      <w:r w:rsidR="00AB4D80" w:rsidRPr="00426DA1">
        <w:rPr>
          <w:rFonts w:asciiTheme="majorHAnsi" w:hAnsiTheme="majorHAnsi"/>
          <w:sz w:val="16"/>
          <w:szCs w:val="16"/>
          <w:lang w:val="es-ES"/>
        </w:rPr>
        <w:t>, individualizadas en documento anexo.</w:t>
      </w:r>
    </w:p>
  </w:footnote>
  <w:footnote w:id="3">
    <w:p w14:paraId="1BFC9205" w14:textId="77777777" w:rsidR="002D69E1" w:rsidRPr="00426DA1" w:rsidRDefault="002D69E1" w:rsidP="00426DA1">
      <w:pPr>
        <w:pStyle w:val="FootnoteText"/>
        <w:ind w:firstLine="720"/>
        <w:jc w:val="both"/>
        <w:rPr>
          <w:rFonts w:asciiTheme="majorHAnsi" w:hAnsiTheme="majorHAnsi"/>
          <w:sz w:val="16"/>
          <w:szCs w:val="16"/>
          <w:lang w:val="es-ES"/>
        </w:rPr>
      </w:pPr>
      <w:r w:rsidRPr="00426DA1">
        <w:rPr>
          <w:rStyle w:val="FootnoteReference"/>
          <w:rFonts w:asciiTheme="majorHAnsi" w:hAnsiTheme="majorHAnsi"/>
          <w:sz w:val="16"/>
          <w:szCs w:val="16"/>
        </w:rPr>
        <w:footnoteRef/>
      </w:r>
      <w:r w:rsidRPr="00426DA1">
        <w:rPr>
          <w:rFonts w:asciiTheme="majorHAnsi" w:hAnsiTheme="majorHAnsi"/>
          <w:sz w:val="16"/>
          <w:szCs w:val="16"/>
          <w:lang w:val="es-ES"/>
        </w:rPr>
        <w:t xml:space="preserve"> En adelante “la Convención Americana” o “la Convención”. </w:t>
      </w:r>
    </w:p>
  </w:footnote>
  <w:footnote w:id="4">
    <w:p w14:paraId="437A7CFE" w14:textId="77777777" w:rsidR="008E3BFE" w:rsidRPr="00426DA1" w:rsidRDefault="008E3BFE" w:rsidP="00426DA1">
      <w:pPr>
        <w:pStyle w:val="FootnoteText"/>
        <w:ind w:firstLine="720"/>
        <w:jc w:val="both"/>
        <w:rPr>
          <w:rFonts w:asciiTheme="majorHAnsi" w:hAnsiTheme="majorHAnsi"/>
          <w:sz w:val="16"/>
          <w:szCs w:val="16"/>
          <w:lang w:val="es-ES"/>
        </w:rPr>
      </w:pPr>
      <w:r w:rsidRPr="00426DA1">
        <w:rPr>
          <w:rStyle w:val="FootnoteReference"/>
          <w:rFonts w:asciiTheme="majorHAnsi" w:hAnsiTheme="majorHAnsi"/>
          <w:sz w:val="16"/>
          <w:szCs w:val="16"/>
        </w:rPr>
        <w:footnoteRef/>
      </w:r>
      <w:r w:rsidRPr="00426DA1">
        <w:rPr>
          <w:rFonts w:asciiTheme="majorHAnsi" w:hAnsiTheme="majorHAnsi"/>
          <w:sz w:val="16"/>
          <w:szCs w:val="16"/>
          <w:lang w:val="es-ES"/>
        </w:rPr>
        <w:t xml:space="preserve"> Las observaciones de cada parte fueron debidamente trasladadas a la parte contraria.</w:t>
      </w:r>
    </w:p>
  </w:footnote>
  <w:footnote w:id="5">
    <w:p w14:paraId="4D19F86F" w14:textId="77777777" w:rsidR="005406D0" w:rsidRPr="00426DA1" w:rsidRDefault="005406D0" w:rsidP="00426DA1">
      <w:pPr>
        <w:pStyle w:val="FootnoteText"/>
        <w:ind w:firstLine="720"/>
        <w:rPr>
          <w:rFonts w:asciiTheme="majorHAnsi" w:hAnsiTheme="majorHAnsi"/>
          <w:sz w:val="16"/>
          <w:szCs w:val="16"/>
          <w:lang w:val="es-ES"/>
        </w:rPr>
      </w:pPr>
      <w:r w:rsidRPr="00426DA1">
        <w:rPr>
          <w:rStyle w:val="FootnoteReference"/>
          <w:rFonts w:asciiTheme="majorHAnsi" w:hAnsiTheme="majorHAnsi"/>
          <w:sz w:val="16"/>
          <w:szCs w:val="16"/>
        </w:rPr>
        <w:footnoteRef/>
      </w:r>
      <w:r w:rsidRPr="00426DA1">
        <w:rPr>
          <w:rFonts w:asciiTheme="majorHAnsi" w:hAnsiTheme="majorHAnsi"/>
          <w:sz w:val="16"/>
          <w:szCs w:val="16"/>
          <w:lang w:val="es-ES"/>
        </w:rPr>
        <w:t xml:space="preserve"> </w:t>
      </w:r>
      <w:r w:rsidR="00202059" w:rsidRPr="00426DA1">
        <w:rPr>
          <w:rFonts w:asciiTheme="majorHAnsi" w:hAnsiTheme="majorHAnsi"/>
          <w:sz w:val="16"/>
          <w:szCs w:val="16"/>
          <w:lang w:val="es-ES"/>
        </w:rPr>
        <w:t xml:space="preserve">La parte peticionaria hace referencia a las masacres de </w:t>
      </w:r>
      <w:r w:rsidR="00A71E56" w:rsidRPr="00426DA1">
        <w:rPr>
          <w:rFonts w:asciiTheme="majorHAnsi" w:hAnsiTheme="majorHAnsi"/>
          <w:sz w:val="16"/>
          <w:szCs w:val="16"/>
          <w:lang w:val="es-ES"/>
        </w:rPr>
        <w:t xml:space="preserve">la Pedregosa y el Carmelo. </w:t>
      </w:r>
    </w:p>
  </w:footnote>
  <w:footnote w:id="6">
    <w:p w14:paraId="785CA432" w14:textId="77777777" w:rsidR="003E42EB" w:rsidRPr="00426DA1" w:rsidRDefault="003E42EB" w:rsidP="00426DA1">
      <w:pPr>
        <w:pStyle w:val="FootnoteText"/>
        <w:ind w:firstLine="720"/>
        <w:rPr>
          <w:rFonts w:asciiTheme="majorHAnsi" w:hAnsiTheme="majorHAnsi"/>
          <w:sz w:val="16"/>
          <w:szCs w:val="16"/>
          <w:lang w:val="es-US"/>
        </w:rPr>
      </w:pPr>
      <w:r w:rsidRPr="00426DA1">
        <w:rPr>
          <w:rStyle w:val="FootnoteReference"/>
          <w:rFonts w:asciiTheme="majorHAnsi" w:hAnsiTheme="majorHAnsi"/>
          <w:sz w:val="16"/>
          <w:szCs w:val="16"/>
        </w:rPr>
        <w:footnoteRef/>
      </w:r>
      <w:r w:rsidRPr="00426DA1">
        <w:rPr>
          <w:rFonts w:asciiTheme="majorHAnsi" w:hAnsiTheme="majorHAnsi"/>
          <w:sz w:val="16"/>
          <w:szCs w:val="16"/>
          <w:lang w:val="es-ES"/>
        </w:rPr>
        <w:t xml:space="preserve"> </w:t>
      </w:r>
      <w:r w:rsidRPr="00426DA1">
        <w:rPr>
          <w:rFonts w:asciiTheme="majorHAnsi" w:hAnsiTheme="majorHAnsi"/>
          <w:sz w:val="16"/>
          <w:szCs w:val="16"/>
          <w:lang w:val="es-US"/>
        </w:rPr>
        <w:t>CIDH, Informe No.</w:t>
      </w:r>
      <w:r w:rsidR="00031CB2" w:rsidRPr="00426DA1">
        <w:rPr>
          <w:rFonts w:asciiTheme="majorHAnsi" w:hAnsiTheme="majorHAnsi"/>
          <w:sz w:val="16"/>
          <w:szCs w:val="16"/>
          <w:lang w:val="es-ES"/>
        </w:rPr>
        <w:t>97</w:t>
      </w:r>
      <w:r w:rsidRPr="00426DA1">
        <w:rPr>
          <w:rFonts w:asciiTheme="majorHAnsi" w:hAnsiTheme="majorHAnsi"/>
          <w:sz w:val="16"/>
          <w:szCs w:val="16"/>
          <w:lang w:val="es-US"/>
        </w:rPr>
        <w:t>/1</w:t>
      </w:r>
      <w:r w:rsidR="00031CB2" w:rsidRPr="00426DA1">
        <w:rPr>
          <w:rFonts w:asciiTheme="majorHAnsi" w:hAnsiTheme="majorHAnsi"/>
          <w:sz w:val="16"/>
          <w:szCs w:val="16"/>
          <w:lang w:val="es-ES"/>
        </w:rPr>
        <w:t>8</w:t>
      </w:r>
      <w:r w:rsidRPr="00426DA1">
        <w:rPr>
          <w:rFonts w:asciiTheme="majorHAnsi" w:hAnsiTheme="majorHAnsi"/>
          <w:sz w:val="16"/>
          <w:szCs w:val="16"/>
          <w:lang w:val="es-US"/>
        </w:rPr>
        <w:t xml:space="preserve">, Petición </w:t>
      </w:r>
      <w:r w:rsidR="00031CB2" w:rsidRPr="00426DA1">
        <w:rPr>
          <w:rFonts w:asciiTheme="majorHAnsi" w:hAnsiTheme="majorHAnsi"/>
          <w:sz w:val="16"/>
          <w:szCs w:val="16"/>
          <w:lang w:val="es-ES"/>
        </w:rPr>
        <w:t>1071</w:t>
      </w:r>
      <w:r w:rsidRPr="00426DA1">
        <w:rPr>
          <w:rFonts w:asciiTheme="majorHAnsi" w:hAnsiTheme="majorHAnsi"/>
          <w:sz w:val="16"/>
          <w:szCs w:val="16"/>
          <w:lang w:val="es-US"/>
        </w:rPr>
        <w:t>/</w:t>
      </w:r>
      <w:r w:rsidR="00031CB2" w:rsidRPr="00426DA1">
        <w:rPr>
          <w:rFonts w:asciiTheme="majorHAnsi" w:hAnsiTheme="majorHAnsi"/>
          <w:sz w:val="16"/>
          <w:szCs w:val="16"/>
          <w:lang w:val="es-ES"/>
        </w:rPr>
        <w:t>07</w:t>
      </w:r>
      <w:r w:rsidRPr="00426DA1">
        <w:rPr>
          <w:rFonts w:asciiTheme="majorHAnsi" w:hAnsiTheme="majorHAnsi"/>
          <w:sz w:val="16"/>
          <w:szCs w:val="16"/>
          <w:lang w:val="es-US"/>
        </w:rPr>
        <w:t xml:space="preserve">, Admisibilidad. </w:t>
      </w:r>
      <w:proofErr w:type="spellStart"/>
      <w:r w:rsidR="00271569" w:rsidRPr="00426DA1">
        <w:rPr>
          <w:rFonts w:asciiTheme="majorHAnsi" w:hAnsiTheme="majorHAnsi"/>
          <w:sz w:val="16"/>
          <w:szCs w:val="16"/>
          <w:lang w:val="es-ES"/>
        </w:rPr>
        <w:t>Naudin</w:t>
      </w:r>
      <w:proofErr w:type="spellEnd"/>
      <w:r w:rsidR="00271569" w:rsidRPr="00426DA1">
        <w:rPr>
          <w:rFonts w:asciiTheme="majorHAnsi" w:hAnsiTheme="majorHAnsi"/>
          <w:sz w:val="16"/>
          <w:szCs w:val="16"/>
          <w:lang w:val="es-ES"/>
        </w:rPr>
        <w:t xml:space="preserve"> José Fajardo Martínez y otros (Masacre Finca Los </w:t>
      </w:r>
      <w:proofErr w:type="spellStart"/>
      <w:r w:rsidR="00271569" w:rsidRPr="00426DA1">
        <w:rPr>
          <w:rFonts w:asciiTheme="majorHAnsi" w:hAnsiTheme="majorHAnsi"/>
          <w:sz w:val="16"/>
          <w:szCs w:val="16"/>
          <w:lang w:val="es-ES"/>
        </w:rPr>
        <w:t>Kativos</w:t>
      </w:r>
      <w:proofErr w:type="spellEnd"/>
      <w:r w:rsidR="00271569" w:rsidRPr="00426DA1">
        <w:rPr>
          <w:rFonts w:asciiTheme="majorHAnsi" w:hAnsiTheme="majorHAnsi"/>
          <w:sz w:val="16"/>
          <w:szCs w:val="16"/>
          <w:lang w:val="es-ES"/>
        </w:rPr>
        <w:t>)</w:t>
      </w:r>
      <w:r w:rsidRPr="00426DA1">
        <w:rPr>
          <w:rFonts w:asciiTheme="majorHAnsi" w:hAnsiTheme="majorHAnsi"/>
          <w:sz w:val="16"/>
          <w:szCs w:val="16"/>
          <w:lang w:val="es-US"/>
        </w:rPr>
        <w:t xml:space="preserve">, Colombia, </w:t>
      </w:r>
      <w:r w:rsidR="00271569" w:rsidRPr="00426DA1">
        <w:rPr>
          <w:rFonts w:asciiTheme="majorHAnsi" w:hAnsiTheme="majorHAnsi"/>
          <w:sz w:val="16"/>
          <w:szCs w:val="16"/>
          <w:lang w:val="es-ES"/>
        </w:rPr>
        <w:t>6</w:t>
      </w:r>
      <w:r w:rsidRPr="00426DA1">
        <w:rPr>
          <w:rFonts w:asciiTheme="majorHAnsi" w:hAnsiTheme="majorHAnsi"/>
          <w:sz w:val="16"/>
          <w:szCs w:val="16"/>
          <w:lang w:val="es-US"/>
        </w:rPr>
        <w:t xml:space="preserve"> de </w:t>
      </w:r>
      <w:r w:rsidR="00271569" w:rsidRPr="00426DA1">
        <w:rPr>
          <w:rFonts w:asciiTheme="majorHAnsi" w:hAnsiTheme="majorHAnsi"/>
          <w:sz w:val="16"/>
          <w:szCs w:val="16"/>
          <w:lang w:val="es-ES"/>
        </w:rPr>
        <w:t>septiembre</w:t>
      </w:r>
      <w:r w:rsidRPr="00426DA1">
        <w:rPr>
          <w:rFonts w:asciiTheme="majorHAnsi" w:hAnsiTheme="majorHAnsi"/>
          <w:sz w:val="16"/>
          <w:szCs w:val="16"/>
          <w:lang w:val="es-US"/>
        </w:rPr>
        <w:t xml:space="preserve"> de 201</w:t>
      </w:r>
      <w:r w:rsidR="00271569" w:rsidRPr="00426DA1">
        <w:rPr>
          <w:rFonts w:asciiTheme="majorHAnsi" w:hAnsiTheme="majorHAnsi"/>
          <w:sz w:val="16"/>
          <w:szCs w:val="16"/>
          <w:lang w:val="es-ES"/>
        </w:rPr>
        <w:t>8</w:t>
      </w:r>
      <w:r w:rsidR="00426DA1" w:rsidRPr="00426DA1">
        <w:rPr>
          <w:rFonts w:asciiTheme="majorHAnsi" w:hAnsiTheme="majorHAnsi"/>
          <w:sz w:val="16"/>
          <w:szCs w:val="16"/>
          <w:lang w:val="es-US"/>
        </w:rPr>
        <w:t>, párr. 9.</w:t>
      </w:r>
    </w:p>
  </w:footnote>
  <w:footnote w:id="7">
    <w:p w14:paraId="15140542" w14:textId="77777777" w:rsidR="00426DA1" w:rsidRPr="00426DA1" w:rsidRDefault="00426DA1" w:rsidP="008E005C">
      <w:pPr>
        <w:pStyle w:val="FootnoteText"/>
        <w:ind w:firstLine="720"/>
        <w:jc w:val="both"/>
        <w:rPr>
          <w:rFonts w:asciiTheme="majorHAnsi" w:hAnsiTheme="majorHAnsi"/>
          <w:sz w:val="16"/>
          <w:szCs w:val="16"/>
          <w:lang w:val="es-US"/>
        </w:rPr>
      </w:pPr>
      <w:r w:rsidRPr="008E005C">
        <w:rPr>
          <w:rStyle w:val="FootnoteReference"/>
          <w:rFonts w:asciiTheme="majorHAnsi" w:hAnsiTheme="majorHAnsi"/>
          <w:sz w:val="16"/>
          <w:szCs w:val="16"/>
        </w:rPr>
        <w:footnoteRef/>
      </w:r>
      <w:r w:rsidRPr="008E005C">
        <w:rPr>
          <w:rFonts w:asciiTheme="majorHAnsi" w:hAnsiTheme="majorHAnsi"/>
          <w:sz w:val="16"/>
          <w:szCs w:val="16"/>
          <w:lang w:val="es-US"/>
        </w:rPr>
        <w:t xml:space="preserve"> A este respec</w:t>
      </w:r>
      <w:r w:rsidR="00E326F6" w:rsidRPr="008E005C">
        <w:rPr>
          <w:rFonts w:asciiTheme="majorHAnsi" w:hAnsiTheme="majorHAnsi"/>
          <w:sz w:val="16"/>
          <w:szCs w:val="16"/>
          <w:lang w:val="es-US"/>
        </w:rPr>
        <w:t>t</w:t>
      </w:r>
      <w:r w:rsidRPr="008E005C">
        <w:rPr>
          <w:rFonts w:asciiTheme="majorHAnsi" w:hAnsiTheme="majorHAnsi"/>
          <w:sz w:val="16"/>
          <w:szCs w:val="16"/>
          <w:lang w:val="es-US"/>
        </w:rPr>
        <w:t xml:space="preserve">o, </w:t>
      </w:r>
      <w:r w:rsidR="00E326F6" w:rsidRPr="008E005C">
        <w:rPr>
          <w:rFonts w:asciiTheme="majorHAnsi" w:hAnsiTheme="majorHAnsi"/>
          <w:sz w:val="16"/>
          <w:szCs w:val="16"/>
          <w:lang w:val="es-US"/>
        </w:rPr>
        <w:t>véase,</w:t>
      </w:r>
      <w:r w:rsidR="008E005C">
        <w:rPr>
          <w:rFonts w:asciiTheme="majorHAnsi" w:hAnsiTheme="majorHAnsi"/>
          <w:sz w:val="16"/>
          <w:szCs w:val="16"/>
          <w:lang w:val="es-US"/>
        </w:rPr>
        <w:t xml:space="preserve"> por ejemplo:</w:t>
      </w:r>
      <w:r w:rsidR="008E005C" w:rsidRPr="008E005C">
        <w:rPr>
          <w:rFonts w:asciiTheme="majorHAnsi" w:hAnsiTheme="majorHAnsi"/>
          <w:sz w:val="16"/>
          <w:szCs w:val="16"/>
          <w:lang w:val="es-US"/>
        </w:rPr>
        <w:t xml:space="preserve"> </w:t>
      </w:r>
      <w:r w:rsidR="008E005C" w:rsidRPr="00426DA1">
        <w:rPr>
          <w:rFonts w:asciiTheme="majorHAnsi" w:hAnsiTheme="majorHAnsi"/>
          <w:sz w:val="16"/>
          <w:szCs w:val="16"/>
          <w:lang w:val="es-US"/>
        </w:rPr>
        <w:t>CIDH, Informe No.</w:t>
      </w:r>
      <w:r w:rsidR="008E005C" w:rsidRPr="00426DA1">
        <w:rPr>
          <w:rFonts w:asciiTheme="majorHAnsi" w:hAnsiTheme="majorHAnsi"/>
          <w:sz w:val="16"/>
          <w:szCs w:val="16"/>
          <w:lang w:val="es-ES"/>
        </w:rPr>
        <w:t xml:space="preserve"> 12</w:t>
      </w:r>
      <w:r w:rsidR="008E005C" w:rsidRPr="00426DA1">
        <w:rPr>
          <w:rFonts w:asciiTheme="majorHAnsi" w:hAnsiTheme="majorHAnsi"/>
          <w:sz w:val="16"/>
          <w:szCs w:val="16"/>
          <w:lang w:val="es-US"/>
        </w:rPr>
        <w:t>9/1</w:t>
      </w:r>
      <w:r w:rsidR="008E005C" w:rsidRPr="00426DA1">
        <w:rPr>
          <w:rFonts w:asciiTheme="majorHAnsi" w:hAnsiTheme="majorHAnsi"/>
          <w:sz w:val="16"/>
          <w:szCs w:val="16"/>
          <w:lang w:val="es-ES"/>
        </w:rPr>
        <w:t>8</w:t>
      </w:r>
      <w:r w:rsidR="008E005C" w:rsidRPr="00426DA1">
        <w:rPr>
          <w:rFonts w:asciiTheme="majorHAnsi" w:hAnsiTheme="majorHAnsi"/>
          <w:sz w:val="16"/>
          <w:szCs w:val="16"/>
          <w:lang w:val="es-US"/>
        </w:rPr>
        <w:t xml:space="preserve">, Petición </w:t>
      </w:r>
      <w:r w:rsidR="008E005C" w:rsidRPr="00426DA1">
        <w:rPr>
          <w:rFonts w:asciiTheme="majorHAnsi" w:hAnsiTheme="majorHAnsi"/>
          <w:sz w:val="16"/>
          <w:szCs w:val="16"/>
          <w:lang w:val="es-ES"/>
        </w:rPr>
        <w:t>1256</w:t>
      </w:r>
      <w:r w:rsidR="008E005C" w:rsidRPr="00426DA1">
        <w:rPr>
          <w:rFonts w:asciiTheme="majorHAnsi" w:hAnsiTheme="majorHAnsi"/>
          <w:sz w:val="16"/>
          <w:szCs w:val="16"/>
          <w:lang w:val="es-US"/>
        </w:rPr>
        <w:t>/</w:t>
      </w:r>
      <w:r w:rsidR="008E005C" w:rsidRPr="00426DA1">
        <w:rPr>
          <w:rFonts w:asciiTheme="majorHAnsi" w:hAnsiTheme="majorHAnsi"/>
          <w:sz w:val="16"/>
          <w:szCs w:val="16"/>
          <w:lang w:val="es-ES"/>
        </w:rPr>
        <w:t>07</w:t>
      </w:r>
      <w:r w:rsidR="008E005C" w:rsidRPr="00426DA1">
        <w:rPr>
          <w:rFonts w:asciiTheme="majorHAnsi" w:hAnsiTheme="majorHAnsi"/>
          <w:sz w:val="16"/>
          <w:szCs w:val="16"/>
          <w:lang w:val="es-US"/>
        </w:rPr>
        <w:t>, Admisibilidad.</w:t>
      </w:r>
      <w:r w:rsidR="008E005C" w:rsidRPr="00426DA1">
        <w:rPr>
          <w:rFonts w:asciiTheme="majorHAnsi" w:hAnsiTheme="majorHAnsi"/>
          <w:sz w:val="16"/>
          <w:szCs w:val="16"/>
          <w:lang w:val="es-ES"/>
        </w:rPr>
        <w:t xml:space="preserve"> Cornelio Antonio Isaza Arango y otros (Masacre de los Aserraderos de El Retiro)</w:t>
      </w:r>
      <w:r w:rsidR="008E005C" w:rsidRPr="00426DA1">
        <w:rPr>
          <w:rFonts w:asciiTheme="majorHAnsi" w:hAnsiTheme="majorHAnsi"/>
          <w:sz w:val="16"/>
          <w:szCs w:val="16"/>
          <w:lang w:val="es-US"/>
        </w:rPr>
        <w:t xml:space="preserve">, Colombia, </w:t>
      </w:r>
      <w:r w:rsidR="008E005C" w:rsidRPr="00426DA1">
        <w:rPr>
          <w:rFonts w:asciiTheme="majorHAnsi" w:hAnsiTheme="majorHAnsi"/>
          <w:sz w:val="16"/>
          <w:szCs w:val="16"/>
          <w:lang w:val="es-ES"/>
        </w:rPr>
        <w:t>20</w:t>
      </w:r>
      <w:r w:rsidR="008E005C" w:rsidRPr="00426DA1">
        <w:rPr>
          <w:rFonts w:asciiTheme="majorHAnsi" w:hAnsiTheme="majorHAnsi"/>
          <w:sz w:val="16"/>
          <w:szCs w:val="16"/>
          <w:lang w:val="es-US"/>
        </w:rPr>
        <w:t xml:space="preserve"> de </w:t>
      </w:r>
      <w:r w:rsidR="008E005C" w:rsidRPr="00426DA1">
        <w:rPr>
          <w:rFonts w:asciiTheme="majorHAnsi" w:hAnsiTheme="majorHAnsi"/>
          <w:sz w:val="16"/>
          <w:szCs w:val="16"/>
          <w:lang w:val="es-ES"/>
        </w:rPr>
        <w:t>noviembre</w:t>
      </w:r>
      <w:r w:rsidR="008E005C" w:rsidRPr="00426DA1">
        <w:rPr>
          <w:rFonts w:asciiTheme="majorHAnsi" w:hAnsiTheme="majorHAnsi"/>
          <w:sz w:val="16"/>
          <w:szCs w:val="16"/>
          <w:lang w:val="es-US"/>
        </w:rPr>
        <w:t xml:space="preserve"> de 201</w:t>
      </w:r>
      <w:r w:rsidR="008E005C" w:rsidRPr="00426DA1">
        <w:rPr>
          <w:rFonts w:asciiTheme="majorHAnsi" w:hAnsiTheme="majorHAnsi"/>
          <w:sz w:val="16"/>
          <w:szCs w:val="16"/>
          <w:lang w:val="es-ES"/>
        </w:rPr>
        <w:t>8</w:t>
      </w:r>
      <w:r w:rsidR="008E005C">
        <w:rPr>
          <w:rFonts w:asciiTheme="majorHAnsi" w:hAnsiTheme="majorHAnsi"/>
          <w:sz w:val="16"/>
          <w:szCs w:val="16"/>
          <w:lang w:val="es-ES"/>
        </w:rPr>
        <w:t xml:space="preserve">; e </w:t>
      </w:r>
      <w:r w:rsidR="008E005C" w:rsidRPr="00426DA1">
        <w:rPr>
          <w:rFonts w:asciiTheme="majorHAnsi" w:hAnsiTheme="majorHAnsi"/>
          <w:sz w:val="16"/>
          <w:szCs w:val="16"/>
          <w:lang w:val="es-US"/>
        </w:rPr>
        <w:t>Informe No.</w:t>
      </w:r>
      <w:r w:rsidR="008E005C">
        <w:rPr>
          <w:rFonts w:asciiTheme="majorHAnsi" w:hAnsiTheme="majorHAnsi"/>
          <w:sz w:val="16"/>
          <w:szCs w:val="16"/>
          <w:lang w:val="es-ES"/>
        </w:rPr>
        <w:t xml:space="preserve"> 104</w:t>
      </w:r>
      <w:r w:rsidR="008E005C" w:rsidRPr="00426DA1">
        <w:rPr>
          <w:rFonts w:asciiTheme="majorHAnsi" w:hAnsiTheme="majorHAnsi"/>
          <w:sz w:val="16"/>
          <w:szCs w:val="16"/>
          <w:lang w:val="es-US"/>
        </w:rPr>
        <w:t>/1</w:t>
      </w:r>
      <w:r w:rsidR="008E005C" w:rsidRPr="00426DA1">
        <w:rPr>
          <w:rFonts w:asciiTheme="majorHAnsi" w:hAnsiTheme="majorHAnsi"/>
          <w:sz w:val="16"/>
          <w:szCs w:val="16"/>
          <w:lang w:val="es-ES"/>
        </w:rPr>
        <w:t>8</w:t>
      </w:r>
      <w:r w:rsidR="008E005C" w:rsidRPr="00426DA1">
        <w:rPr>
          <w:rFonts w:asciiTheme="majorHAnsi" w:hAnsiTheme="majorHAnsi"/>
          <w:sz w:val="16"/>
          <w:szCs w:val="16"/>
          <w:lang w:val="es-US"/>
        </w:rPr>
        <w:t xml:space="preserve">, Petición </w:t>
      </w:r>
      <w:r w:rsidR="008E005C">
        <w:rPr>
          <w:rFonts w:asciiTheme="majorHAnsi" w:hAnsiTheme="majorHAnsi"/>
          <w:sz w:val="16"/>
          <w:szCs w:val="16"/>
          <w:lang w:val="es-ES"/>
        </w:rPr>
        <w:t>221</w:t>
      </w:r>
      <w:r w:rsidR="008E005C" w:rsidRPr="00426DA1">
        <w:rPr>
          <w:rFonts w:asciiTheme="majorHAnsi" w:hAnsiTheme="majorHAnsi"/>
          <w:sz w:val="16"/>
          <w:szCs w:val="16"/>
          <w:lang w:val="es-US"/>
        </w:rPr>
        <w:t>/</w:t>
      </w:r>
      <w:r w:rsidR="008E005C">
        <w:rPr>
          <w:rFonts w:asciiTheme="majorHAnsi" w:hAnsiTheme="majorHAnsi"/>
          <w:sz w:val="16"/>
          <w:szCs w:val="16"/>
          <w:lang w:val="es-ES"/>
        </w:rPr>
        <w:t>08</w:t>
      </w:r>
      <w:r w:rsidR="008E005C" w:rsidRPr="00426DA1">
        <w:rPr>
          <w:rFonts w:asciiTheme="majorHAnsi" w:hAnsiTheme="majorHAnsi"/>
          <w:sz w:val="16"/>
          <w:szCs w:val="16"/>
          <w:lang w:val="es-US"/>
        </w:rPr>
        <w:t>, Admisibilidad.</w:t>
      </w:r>
      <w:r w:rsidR="008E005C">
        <w:rPr>
          <w:rFonts w:asciiTheme="majorHAnsi" w:hAnsiTheme="majorHAnsi"/>
          <w:sz w:val="16"/>
          <w:szCs w:val="16"/>
          <w:lang w:val="es-US"/>
        </w:rPr>
        <w:t xml:space="preserve"> Delis Palacio </w:t>
      </w:r>
      <w:proofErr w:type="spellStart"/>
      <w:r w:rsidR="008E005C">
        <w:rPr>
          <w:rFonts w:asciiTheme="majorHAnsi" w:hAnsiTheme="majorHAnsi"/>
          <w:sz w:val="16"/>
          <w:szCs w:val="16"/>
          <w:lang w:val="es-US"/>
        </w:rPr>
        <w:t>Herr</w:t>
      </w:r>
      <w:r w:rsidR="008E005C">
        <w:rPr>
          <w:rFonts w:asciiTheme="majorHAnsi" w:hAnsiTheme="majorHAnsi"/>
          <w:sz w:val="16"/>
          <w:szCs w:val="16"/>
          <w:lang w:val="es-ES"/>
        </w:rPr>
        <w:t>ón</w:t>
      </w:r>
      <w:proofErr w:type="spellEnd"/>
      <w:r w:rsidR="008E005C">
        <w:rPr>
          <w:rFonts w:asciiTheme="majorHAnsi" w:hAnsiTheme="majorHAnsi"/>
          <w:sz w:val="16"/>
          <w:szCs w:val="16"/>
          <w:lang w:val="es-ES"/>
        </w:rPr>
        <w:t xml:space="preserve"> y otros (Masacre de </w:t>
      </w:r>
      <w:proofErr w:type="spellStart"/>
      <w:r w:rsidR="008E005C">
        <w:rPr>
          <w:rFonts w:asciiTheme="majorHAnsi" w:hAnsiTheme="majorHAnsi"/>
          <w:sz w:val="16"/>
          <w:szCs w:val="16"/>
          <w:lang w:val="es-ES"/>
        </w:rPr>
        <w:t>Bojayá</w:t>
      </w:r>
      <w:proofErr w:type="spellEnd"/>
      <w:r w:rsidR="008E005C">
        <w:rPr>
          <w:rFonts w:asciiTheme="majorHAnsi" w:hAnsiTheme="majorHAnsi"/>
          <w:sz w:val="16"/>
          <w:szCs w:val="16"/>
          <w:lang w:val="es-ES"/>
        </w:rPr>
        <w:t>)</w:t>
      </w:r>
      <w:r w:rsidR="008E005C" w:rsidRPr="00426DA1">
        <w:rPr>
          <w:rFonts w:asciiTheme="majorHAnsi" w:hAnsiTheme="majorHAnsi"/>
          <w:sz w:val="16"/>
          <w:szCs w:val="16"/>
          <w:lang w:val="es-US"/>
        </w:rPr>
        <w:t xml:space="preserve">, Colombia, </w:t>
      </w:r>
      <w:r w:rsidR="008E005C" w:rsidRPr="00426DA1">
        <w:rPr>
          <w:rFonts w:asciiTheme="majorHAnsi" w:hAnsiTheme="majorHAnsi"/>
          <w:sz w:val="16"/>
          <w:szCs w:val="16"/>
          <w:lang w:val="es-ES"/>
        </w:rPr>
        <w:t>20</w:t>
      </w:r>
      <w:r w:rsidR="008E005C" w:rsidRPr="00426DA1">
        <w:rPr>
          <w:rFonts w:asciiTheme="majorHAnsi" w:hAnsiTheme="majorHAnsi"/>
          <w:sz w:val="16"/>
          <w:szCs w:val="16"/>
          <w:lang w:val="es-US"/>
        </w:rPr>
        <w:t xml:space="preserve"> de </w:t>
      </w:r>
      <w:r w:rsidR="008E005C">
        <w:rPr>
          <w:rFonts w:asciiTheme="majorHAnsi" w:hAnsiTheme="majorHAnsi"/>
          <w:sz w:val="16"/>
          <w:szCs w:val="16"/>
          <w:lang w:val="es-ES"/>
        </w:rPr>
        <w:t xml:space="preserve">septiembre </w:t>
      </w:r>
      <w:r w:rsidR="008E005C" w:rsidRPr="00426DA1">
        <w:rPr>
          <w:rFonts w:asciiTheme="majorHAnsi" w:hAnsiTheme="majorHAnsi"/>
          <w:sz w:val="16"/>
          <w:szCs w:val="16"/>
          <w:lang w:val="es-US"/>
        </w:rPr>
        <w:t>de 201</w:t>
      </w:r>
      <w:r w:rsidR="008E005C" w:rsidRPr="00426DA1">
        <w:rPr>
          <w:rFonts w:asciiTheme="majorHAnsi" w:hAnsiTheme="majorHAnsi"/>
          <w:sz w:val="16"/>
          <w:szCs w:val="16"/>
          <w:lang w:val="es-ES"/>
        </w:rPr>
        <w:t>8</w:t>
      </w:r>
      <w:r w:rsidR="008E005C">
        <w:rPr>
          <w:rFonts w:asciiTheme="majorHAnsi" w:hAnsiTheme="majorHAnsi"/>
          <w:sz w:val="16"/>
          <w:szCs w:val="16"/>
          <w:lang w:val="es-ES"/>
        </w:rPr>
        <w:t>.</w:t>
      </w:r>
    </w:p>
  </w:footnote>
  <w:footnote w:id="8">
    <w:p w14:paraId="3C1A6874" w14:textId="77777777" w:rsidR="00031CB2" w:rsidRPr="00426DA1" w:rsidRDefault="00031CB2" w:rsidP="00426DA1">
      <w:pPr>
        <w:pStyle w:val="FootnoteText"/>
        <w:ind w:firstLine="720"/>
        <w:rPr>
          <w:rFonts w:asciiTheme="majorHAnsi" w:hAnsiTheme="majorHAnsi"/>
          <w:sz w:val="16"/>
          <w:szCs w:val="16"/>
        </w:rPr>
      </w:pPr>
      <w:r w:rsidRPr="00426DA1">
        <w:rPr>
          <w:rStyle w:val="FootnoteReference"/>
          <w:rFonts w:asciiTheme="majorHAnsi" w:hAnsiTheme="majorHAnsi"/>
          <w:sz w:val="16"/>
          <w:szCs w:val="16"/>
        </w:rPr>
        <w:footnoteRef/>
      </w:r>
      <w:r w:rsidRPr="00426DA1">
        <w:rPr>
          <w:rFonts w:asciiTheme="majorHAnsi" w:hAnsiTheme="majorHAnsi"/>
          <w:sz w:val="16"/>
          <w:szCs w:val="16"/>
          <w:lang w:val="es-ES"/>
        </w:rPr>
        <w:t xml:space="preserve"> </w:t>
      </w:r>
      <w:r w:rsidRPr="00426DA1">
        <w:rPr>
          <w:rFonts w:asciiTheme="majorHAnsi" w:hAnsiTheme="majorHAnsi"/>
          <w:sz w:val="16"/>
          <w:szCs w:val="16"/>
          <w:lang w:val="es-US"/>
        </w:rPr>
        <w:t>CIDH, Informe No.</w:t>
      </w:r>
      <w:r w:rsidRPr="00426DA1">
        <w:rPr>
          <w:rFonts w:asciiTheme="majorHAnsi" w:hAnsiTheme="majorHAnsi"/>
          <w:sz w:val="16"/>
          <w:szCs w:val="16"/>
          <w:lang w:val="es-ES"/>
        </w:rPr>
        <w:t xml:space="preserve"> 12</w:t>
      </w:r>
      <w:r w:rsidRPr="00426DA1">
        <w:rPr>
          <w:rFonts w:asciiTheme="majorHAnsi" w:hAnsiTheme="majorHAnsi"/>
          <w:sz w:val="16"/>
          <w:szCs w:val="16"/>
          <w:lang w:val="es-US"/>
        </w:rPr>
        <w:t>9/1</w:t>
      </w:r>
      <w:r w:rsidRPr="00426DA1">
        <w:rPr>
          <w:rFonts w:asciiTheme="majorHAnsi" w:hAnsiTheme="majorHAnsi"/>
          <w:sz w:val="16"/>
          <w:szCs w:val="16"/>
          <w:lang w:val="es-ES"/>
        </w:rPr>
        <w:t>8</w:t>
      </w:r>
      <w:r w:rsidRPr="00426DA1">
        <w:rPr>
          <w:rFonts w:asciiTheme="majorHAnsi" w:hAnsiTheme="majorHAnsi"/>
          <w:sz w:val="16"/>
          <w:szCs w:val="16"/>
          <w:lang w:val="es-US"/>
        </w:rPr>
        <w:t xml:space="preserve">, Petición </w:t>
      </w:r>
      <w:r w:rsidRPr="00426DA1">
        <w:rPr>
          <w:rFonts w:asciiTheme="majorHAnsi" w:hAnsiTheme="majorHAnsi"/>
          <w:sz w:val="16"/>
          <w:szCs w:val="16"/>
          <w:lang w:val="es-ES"/>
        </w:rPr>
        <w:t>1256</w:t>
      </w:r>
      <w:r w:rsidRPr="00426DA1">
        <w:rPr>
          <w:rFonts w:asciiTheme="majorHAnsi" w:hAnsiTheme="majorHAnsi"/>
          <w:sz w:val="16"/>
          <w:szCs w:val="16"/>
          <w:lang w:val="es-US"/>
        </w:rPr>
        <w:t>/</w:t>
      </w:r>
      <w:r w:rsidRPr="00426DA1">
        <w:rPr>
          <w:rFonts w:asciiTheme="majorHAnsi" w:hAnsiTheme="majorHAnsi"/>
          <w:sz w:val="16"/>
          <w:szCs w:val="16"/>
          <w:lang w:val="es-ES"/>
        </w:rPr>
        <w:t>07</w:t>
      </w:r>
      <w:r w:rsidRPr="00426DA1">
        <w:rPr>
          <w:rFonts w:asciiTheme="majorHAnsi" w:hAnsiTheme="majorHAnsi"/>
          <w:sz w:val="16"/>
          <w:szCs w:val="16"/>
          <w:lang w:val="es-US"/>
        </w:rPr>
        <w:t>, Admisibilidad.</w:t>
      </w:r>
      <w:r w:rsidRPr="00426DA1">
        <w:rPr>
          <w:rFonts w:asciiTheme="majorHAnsi" w:hAnsiTheme="majorHAnsi"/>
          <w:sz w:val="16"/>
          <w:szCs w:val="16"/>
          <w:lang w:val="es-ES"/>
        </w:rPr>
        <w:t xml:space="preserve"> Cornelio Antonio Isaza Arango y otros (Masacre de los Aserraderos de El Retiro)</w:t>
      </w:r>
      <w:r w:rsidRPr="00426DA1">
        <w:rPr>
          <w:rFonts w:asciiTheme="majorHAnsi" w:hAnsiTheme="majorHAnsi"/>
          <w:sz w:val="16"/>
          <w:szCs w:val="16"/>
          <w:lang w:val="es-US"/>
        </w:rPr>
        <w:t xml:space="preserve">, Colombia, </w:t>
      </w:r>
      <w:r w:rsidRPr="00426DA1">
        <w:rPr>
          <w:rFonts w:asciiTheme="majorHAnsi" w:hAnsiTheme="majorHAnsi"/>
          <w:sz w:val="16"/>
          <w:szCs w:val="16"/>
          <w:lang w:val="es-ES"/>
        </w:rPr>
        <w:t>20</w:t>
      </w:r>
      <w:r w:rsidRPr="00426DA1">
        <w:rPr>
          <w:rFonts w:asciiTheme="majorHAnsi" w:hAnsiTheme="majorHAnsi"/>
          <w:sz w:val="16"/>
          <w:szCs w:val="16"/>
          <w:lang w:val="es-US"/>
        </w:rPr>
        <w:t xml:space="preserve"> de </w:t>
      </w:r>
      <w:r w:rsidRPr="00426DA1">
        <w:rPr>
          <w:rFonts w:asciiTheme="majorHAnsi" w:hAnsiTheme="majorHAnsi"/>
          <w:sz w:val="16"/>
          <w:szCs w:val="16"/>
          <w:lang w:val="es-ES"/>
        </w:rPr>
        <w:t>noviembre</w:t>
      </w:r>
      <w:r w:rsidRPr="00426DA1">
        <w:rPr>
          <w:rFonts w:asciiTheme="majorHAnsi" w:hAnsiTheme="majorHAnsi"/>
          <w:sz w:val="16"/>
          <w:szCs w:val="16"/>
          <w:lang w:val="es-US"/>
        </w:rPr>
        <w:t xml:space="preserve"> de 201</w:t>
      </w:r>
      <w:r w:rsidRPr="00426DA1">
        <w:rPr>
          <w:rFonts w:asciiTheme="majorHAnsi" w:hAnsiTheme="majorHAnsi"/>
          <w:sz w:val="16"/>
          <w:szCs w:val="16"/>
          <w:lang w:val="es-ES"/>
        </w:rPr>
        <w:t>8</w:t>
      </w:r>
      <w:r w:rsidRPr="00426DA1">
        <w:rPr>
          <w:rFonts w:asciiTheme="majorHAnsi" w:hAnsiTheme="majorHAnsi"/>
          <w:sz w:val="16"/>
          <w:szCs w:val="16"/>
          <w:lang w:val="es-US"/>
        </w:rPr>
        <w:t xml:space="preserve">, párr. </w:t>
      </w:r>
      <w:r w:rsidRPr="00426DA1">
        <w:rPr>
          <w:rFonts w:asciiTheme="majorHAnsi" w:hAnsiTheme="majorHAnsi"/>
          <w:sz w:val="16"/>
          <w:szCs w:val="16"/>
          <w:lang w:val="es-ES"/>
        </w:rPr>
        <w:t>10</w:t>
      </w:r>
      <w:r w:rsidRPr="00426DA1">
        <w:rPr>
          <w:rFonts w:asciiTheme="majorHAnsi" w:hAnsiTheme="majorHAnsi"/>
          <w:sz w:val="16"/>
          <w:szCs w:val="16"/>
        </w:rPr>
        <w:t>.</w:t>
      </w:r>
    </w:p>
    <w:p w14:paraId="5C25FBD0" w14:textId="77777777" w:rsidR="00031CB2" w:rsidRPr="00426DA1" w:rsidRDefault="00031CB2" w:rsidP="00426DA1">
      <w:pPr>
        <w:pStyle w:val="FootnoteText"/>
        <w:rPr>
          <w:rFonts w:asciiTheme="majorHAnsi" w:hAnsiTheme="majorHAnsi"/>
          <w:sz w:val="16"/>
          <w:szCs w:val="16"/>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DD71E"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4227A42"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4F1C1"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14F2C63" wp14:editId="3566BBD7">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4FB67EE" w14:textId="77777777" w:rsidR="00040C3A" w:rsidRPr="00EC7D62" w:rsidRDefault="00637A0A" w:rsidP="00A50FCF">
    <w:pPr>
      <w:pStyle w:val="Header"/>
      <w:tabs>
        <w:tab w:val="clear" w:pos="4320"/>
        <w:tab w:val="clear" w:pos="8640"/>
      </w:tabs>
      <w:jc w:val="center"/>
      <w:rPr>
        <w:sz w:val="22"/>
        <w:szCs w:val="22"/>
      </w:rPr>
    </w:pPr>
    <w:r>
      <w:rPr>
        <w:noProof/>
        <w:sz w:val="22"/>
        <w:szCs w:val="22"/>
        <w:bdr w:val="nil"/>
      </w:rPr>
      <w:pict w14:anchorId="4140F3D5">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5C236" w14:textId="77777777" w:rsidR="00747058" w:rsidRDefault="007470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C30744E"/>
    <w:multiLevelType w:val="hybridMultilevel"/>
    <w:tmpl w:val="2C1A3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4"/>
  </w:num>
  <w:num w:numId="96">
    <w:abstractNumId w:val="57"/>
  </w:num>
  <w:num w:numId="97">
    <w:abstractNumId w:val="54"/>
  </w:num>
  <w:num w:numId="98">
    <w:abstractNumId w:val="48"/>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6"/>
  </w:num>
  <w:num w:numId="110">
    <w:abstractNumId w:val="4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788C"/>
    <w:rsid w:val="00031CB2"/>
    <w:rsid w:val="000337EF"/>
    <w:rsid w:val="00040B3E"/>
    <w:rsid w:val="00040C3A"/>
    <w:rsid w:val="000419AD"/>
    <w:rsid w:val="000433C9"/>
    <w:rsid w:val="00046AA0"/>
    <w:rsid w:val="00050477"/>
    <w:rsid w:val="00062AE9"/>
    <w:rsid w:val="000716C5"/>
    <w:rsid w:val="00075E23"/>
    <w:rsid w:val="0009344A"/>
    <w:rsid w:val="000A392E"/>
    <w:rsid w:val="000A575F"/>
    <w:rsid w:val="000A6AEA"/>
    <w:rsid w:val="000B1FA7"/>
    <w:rsid w:val="000D05CB"/>
    <w:rsid w:val="000D10DB"/>
    <w:rsid w:val="000E5EB5"/>
    <w:rsid w:val="000F35ED"/>
    <w:rsid w:val="0010158C"/>
    <w:rsid w:val="00107131"/>
    <w:rsid w:val="0010736F"/>
    <w:rsid w:val="00107623"/>
    <w:rsid w:val="00113F73"/>
    <w:rsid w:val="00121CC2"/>
    <w:rsid w:val="00131425"/>
    <w:rsid w:val="00132A3A"/>
    <w:rsid w:val="00133EE5"/>
    <w:rsid w:val="00167A34"/>
    <w:rsid w:val="00183636"/>
    <w:rsid w:val="00191824"/>
    <w:rsid w:val="001A4562"/>
    <w:rsid w:val="001A7870"/>
    <w:rsid w:val="001B3A00"/>
    <w:rsid w:val="001C1B41"/>
    <w:rsid w:val="001D65EF"/>
    <w:rsid w:val="001E49E7"/>
    <w:rsid w:val="001F7201"/>
    <w:rsid w:val="00202059"/>
    <w:rsid w:val="00223A29"/>
    <w:rsid w:val="002250A3"/>
    <w:rsid w:val="00235217"/>
    <w:rsid w:val="00246D1F"/>
    <w:rsid w:val="00247403"/>
    <w:rsid w:val="00247542"/>
    <w:rsid w:val="00261AB8"/>
    <w:rsid w:val="00266B61"/>
    <w:rsid w:val="0026712A"/>
    <w:rsid w:val="002704DB"/>
    <w:rsid w:val="00271569"/>
    <w:rsid w:val="00276073"/>
    <w:rsid w:val="002A0AAE"/>
    <w:rsid w:val="002A0B30"/>
    <w:rsid w:val="002A5820"/>
    <w:rsid w:val="002C1D5B"/>
    <w:rsid w:val="002D2B26"/>
    <w:rsid w:val="002D379D"/>
    <w:rsid w:val="002D69E1"/>
    <w:rsid w:val="002D7EA2"/>
    <w:rsid w:val="002E187C"/>
    <w:rsid w:val="00302733"/>
    <w:rsid w:val="00304AD6"/>
    <w:rsid w:val="00314078"/>
    <w:rsid w:val="0031535D"/>
    <w:rsid w:val="003239B8"/>
    <w:rsid w:val="0033009C"/>
    <w:rsid w:val="0033169F"/>
    <w:rsid w:val="00344977"/>
    <w:rsid w:val="00346C95"/>
    <w:rsid w:val="00356185"/>
    <w:rsid w:val="00360380"/>
    <w:rsid w:val="003603FF"/>
    <w:rsid w:val="00367B08"/>
    <w:rsid w:val="0037519E"/>
    <w:rsid w:val="00386CF0"/>
    <w:rsid w:val="003B70FB"/>
    <w:rsid w:val="003C61FA"/>
    <w:rsid w:val="003C676B"/>
    <w:rsid w:val="003D3BC2"/>
    <w:rsid w:val="003E42EB"/>
    <w:rsid w:val="003E6CA1"/>
    <w:rsid w:val="00405F9C"/>
    <w:rsid w:val="004065A8"/>
    <w:rsid w:val="004165C2"/>
    <w:rsid w:val="00422471"/>
    <w:rsid w:val="00426DA1"/>
    <w:rsid w:val="00441ECB"/>
    <w:rsid w:val="00445193"/>
    <w:rsid w:val="00462C1B"/>
    <w:rsid w:val="00467B7E"/>
    <w:rsid w:val="00470B08"/>
    <w:rsid w:val="00473BB4"/>
    <w:rsid w:val="00477592"/>
    <w:rsid w:val="00486F1C"/>
    <w:rsid w:val="0049419D"/>
    <w:rsid w:val="004A6A54"/>
    <w:rsid w:val="004B1ACA"/>
    <w:rsid w:val="004C20D2"/>
    <w:rsid w:val="004C2312"/>
    <w:rsid w:val="004C29D7"/>
    <w:rsid w:val="004C4B62"/>
    <w:rsid w:val="004C54C9"/>
    <w:rsid w:val="004D4ABA"/>
    <w:rsid w:val="004D6025"/>
    <w:rsid w:val="004E1440"/>
    <w:rsid w:val="004E2649"/>
    <w:rsid w:val="004F626F"/>
    <w:rsid w:val="00501399"/>
    <w:rsid w:val="0050633D"/>
    <w:rsid w:val="00507BC4"/>
    <w:rsid w:val="005128E4"/>
    <w:rsid w:val="005133DB"/>
    <w:rsid w:val="00514504"/>
    <w:rsid w:val="00525560"/>
    <w:rsid w:val="005406D0"/>
    <w:rsid w:val="00544C49"/>
    <w:rsid w:val="005474B3"/>
    <w:rsid w:val="005516A1"/>
    <w:rsid w:val="005559EF"/>
    <w:rsid w:val="00563557"/>
    <w:rsid w:val="0057402A"/>
    <w:rsid w:val="00574193"/>
    <w:rsid w:val="005771D0"/>
    <w:rsid w:val="00590210"/>
    <w:rsid w:val="0059191A"/>
    <w:rsid w:val="005921FF"/>
    <w:rsid w:val="005A24ED"/>
    <w:rsid w:val="005A6D0E"/>
    <w:rsid w:val="005B52B0"/>
    <w:rsid w:val="005B6806"/>
    <w:rsid w:val="005C4225"/>
    <w:rsid w:val="005D2300"/>
    <w:rsid w:val="005D376B"/>
    <w:rsid w:val="005D38F9"/>
    <w:rsid w:val="005D4EAA"/>
    <w:rsid w:val="005E2393"/>
    <w:rsid w:val="005F0DAD"/>
    <w:rsid w:val="005F0F33"/>
    <w:rsid w:val="00600DEB"/>
    <w:rsid w:val="00622AB9"/>
    <w:rsid w:val="00627C9F"/>
    <w:rsid w:val="006311E9"/>
    <w:rsid w:val="006312AF"/>
    <w:rsid w:val="00632354"/>
    <w:rsid w:val="00635421"/>
    <w:rsid w:val="00637A0A"/>
    <w:rsid w:val="00642810"/>
    <w:rsid w:val="00646FA9"/>
    <w:rsid w:val="00652333"/>
    <w:rsid w:val="00677F96"/>
    <w:rsid w:val="0068009E"/>
    <w:rsid w:val="00692219"/>
    <w:rsid w:val="00695864"/>
    <w:rsid w:val="006A17D2"/>
    <w:rsid w:val="006A2D42"/>
    <w:rsid w:val="006A73E6"/>
    <w:rsid w:val="006B2D5C"/>
    <w:rsid w:val="006B49E3"/>
    <w:rsid w:val="006C4EB1"/>
    <w:rsid w:val="006D61F1"/>
    <w:rsid w:val="006E0166"/>
    <w:rsid w:val="006E2FFB"/>
    <w:rsid w:val="006E7B34"/>
    <w:rsid w:val="00704702"/>
    <w:rsid w:val="0070697F"/>
    <w:rsid w:val="0072199C"/>
    <w:rsid w:val="00722C9F"/>
    <w:rsid w:val="007253B8"/>
    <w:rsid w:val="0073741F"/>
    <w:rsid w:val="007457E9"/>
    <w:rsid w:val="00747058"/>
    <w:rsid w:val="00754BA0"/>
    <w:rsid w:val="0076643F"/>
    <w:rsid w:val="00771B59"/>
    <w:rsid w:val="00773FD0"/>
    <w:rsid w:val="00777F63"/>
    <w:rsid w:val="007A0C23"/>
    <w:rsid w:val="007A5817"/>
    <w:rsid w:val="007B05C4"/>
    <w:rsid w:val="007B60E9"/>
    <w:rsid w:val="007B6CC3"/>
    <w:rsid w:val="007B76D3"/>
    <w:rsid w:val="007C3334"/>
    <w:rsid w:val="007D2B98"/>
    <w:rsid w:val="007E21BC"/>
    <w:rsid w:val="007E7C82"/>
    <w:rsid w:val="007F2AA1"/>
    <w:rsid w:val="007F588D"/>
    <w:rsid w:val="00803F1C"/>
    <w:rsid w:val="0080600E"/>
    <w:rsid w:val="00810BB6"/>
    <w:rsid w:val="0081245C"/>
    <w:rsid w:val="00814688"/>
    <w:rsid w:val="00817612"/>
    <w:rsid w:val="008338A4"/>
    <w:rsid w:val="00834D49"/>
    <w:rsid w:val="00837C45"/>
    <w:rsid w:val="00840DFD"/>
    <w:rsid w:val="0084222F"/>
    <w:rsid w:val="00844730"/>
    <w:rsid w:val="008457C2"/>
    <w:rsid w:val="00857A82"/>
    <w:rsid w:val="00873836"/>
    <w:rsid w:val="00885737"/>
    <w:rsid w:val="00890650"/>
    <w:rsid w:val="00897E12"/>
    <w:rsid w:val="008A7E0F"/>
    <w:rsid w:val="008B12F5"/>
    <w:rsid w:val="008B3302"/>
    <w:rsid w:val="008C5E2D"/>
    <w:rsid w:val="008D136E"/>
    <w:rsid w:val="008D768D"/>
    <w:rsid w:val="008E005C"/>
    <w:rsid w:val="008E3759"/>
    <w:rsid w:val="008E3BFE"/>
    <w:rsid w:val="008F1912"/>
    <w:rsid w:val="0090270B"/>
    <w:rsid w:val="009041DC"/>
    <w:rsid w:val="00904B09"/>
    <w:rsid w:val="00907F98"/>
    <w:rsid w:val="00917B5A"/>
    <w:rsid w:val="00920A58"/>
    <w:rsid w:val="00920A8C"/>
    <w:rsid w:val="00934A2C"/>
    <w:rsid w:val="0096706E"/>
    <w:rsid w:val="00974491"/>
    <w:rsid w:val="00975C4E"/>
    <w:rsid w:val="00981FBA"/>
    <w:rsid w:val="0099076B"/>
    <w:rsid w:val="00997BC5"/>
    <w:rsid w:val="009A4F41"/>
    <w:rsid w:val="009B381B"/>
    <w:rsid w:val="009D1753"/>
    <w:rsid w:val="009D4DB3"/>
    <w:rsid w:val="009D7611"/>
    <w:rsid w:val="009E0B61"/>
    <w:rsid w:val="009E53DE"/>
    <w:rsid w:val="009E6A60"/>
    <w:rsid w:val="009F702E"/>
    <w:rsid w:val="00A03BCB"/>
    <w:rsid w:val="00A11212"/>
    <w:rsid w:val="00A11E44"/>
    <w:rsid w:val="00A25552"/>
    <w:rsid w:val="00A2736A"/>
    <w:rsid w:val="00A30100"/>
    <w:rsid w:val="00A328B3"/>
    <w:rsid w:val="00A50FCF"/>
    <w:rsid w:val="00A528D1"/>
    <w:rsid w:val="00A57DE6"/>
    <w:rsid w:val="00A610CD"/>
    <w:rsid w:val="00A71E56"/>
    <w:rsid w:val="00A758AA"/>
    <w:rsid w:val="00A82C2B"/>
    <w:rsid w:val="00A85F4D"/>
    <w:rsid w:val="00AA09A2"/>
    <w:rsid w:val="00AA7996"/>
    <w:rsid w:val="00AB4D80"/>
    <w:rsid w:val="00AC19CB"/>
    <w:rsid w:val="00AE5488"/>
    <w:rsid w:val="00AE6F91"/>
    <w:rsid w:val="00AF5571"/>
    <w:rsid w:val="00AF6FC4"/>
    <w:rsid w:val="00B07341"/>
    <w:rsid w:val="00B30539"/>
    <w:rsid w:val="00B314DB"/>
    <w:rsid w:val="00B361F2"/>
    <w:rsid w:val="00B36F7B"/>
    <w:rsid w:val="00B3718B"/>
    <w:rsid w:val="00B3745F"/>
    <w:rsid w:val="00B4632A"/>
    <w:rsid w:val="00B46928"/>
    <w:rsid w:val="00B530F1"/>
    <w:rsid w:val="00BA276C"/>
    <w:rsid w:val="00BB306F"/>
    <w:rsid w:val="00BD05DA"/>
    <w:rsid w:val="00BD4B89"/>
    <w:rsid w:val="00BD5922"/>
    <w:rsid w:val="00BD75BF"/>
    <w:rsid w:val="00BF02CB"/>
    <w:rsid w:val="00BF1DD0"/>
    <w:rsid w:val="00BF6FD8"/>
    <w:rsid w:val="00C03680"/>
    <w:rsid w:val="00C0430D"/>
    <w:rsid w:val="00C054DF"/>
    <w:rsid w:val="00C21762"/>
    <w:rsid w:val="00C21FEF"/>
    <w:rsid w:val="00C23BA4"/>
    <w:rsid w:val="00C24543"/>
    <w:rsid w:val="00C256A2"/>
    <w:rsid w:val="00C25ADB"/>
    <w:rsid w:val="00C42CAA"/>
    <w:rsid w:val="00C51515"/>
    <w:rsid w:val="00C5660B"/>
    <w:rsid w:val="00C66B72"/>
    <w:rsid w:val="00C87AC4"/>
    <w:rsid w:val="00C9567A"/>
    <w:rsid w:val="00C95B4B"/>
    <w:rsid w:val="00CA7F77"/>
    <w:rsid w:val="00CB212D"/>
    <w:rsid w:val="00CB2660"/>
    <w:rsid w:val="00CC1056"/>
    <w:rsid w:val="00CC5E90"/>
    <w:rsid w:val="00CD046C"/>
    <w:rsid w:val="00CE076C"/>
    <w:rsid w:val="00CE5199"/>
    <w:rsid w:val="00CE66D5"/>
    <w:rsid w:val="00CF637A"/>
    <w:rsid w:val="00D059DE"/>
    <w:rsid w:val="00D05ABD"/>
    <w:rsid w:val="00D13BFB"/>
    <w:rsid w:val="00D13FCE"/>
    <w:rsid w:val="00D306D1"/>
    <w:rsid w:val="00D30800"/>
    <w:rsid w:val="00D34786"/>
    <w:rsid w:val="00D37BFC"/>
    <w:rsid w:val="00D450B6"/>
    <w:rsid w:val="00D47A8E"/>
    <w:rsid w:val="00D52D14"/>
    <w:rsid w:val="00D712D3"/>
    <w:rsid w:val="00D71422"/>
    <w:rsid w:val="00D72DC6"/>
    <w:rsid w:val="00D7558D"/>
    <w:rsid w:val="00D81D92"/>
    <w:rsid w:val="00D876F9"/>
    <w:rsid w:val="00D939F2"/>
    <w:rsid w:val="00DA7B5F"/>
    <w:rsid w:val="00DC11E7"/>
    <w:rsid w:val="00DC14AF"/>
    <w:rsid w:val="00DC14B2"/>
    <w:rsid w:val="00DC24E3"/>
    <w:rsid w:val="00DC7023"/>
    <w:rsid w:val="00DC769A"/>
    <w:rsid w:val="00DD3D86"/>
    <w:rsid w:val="00DD4AD2"/>
    <w:rsid w:val="00DF1EC4"/>
    <w:rsid w:val="00E0340B"/>
    <w:rsid w:val="00E04A90"/>
    <w:rsid w:val="00E0551F"/>
    <w:rsid w:val="00E219C7"/>
    <w:rsid w:val="00E326F6"/>
    <w:rsid w:val="00E4118C"/>
    <w:rsid w:val="00E43157"/>
    <w:rsid w:val="00E461CE"/>
    <w:rsid w:val="00E573E4"/>
    <w:rsid w:val="00E64C3D"/>
    <w:rsid w:val="00E720CA"/>
    <w:rsid w:val="00E84305"/>
    <w:rsid w:val="00E84B58"/>
    <w:rsid w:val="00E84EB5"/>
    <w:rsid w:val="00E85662"/>
    <w:rsid w:val="00E8789F"/>
    <w:rsid w:val="00E927C6"/>
    <w:rsid w:val="00E97B71"/>
    <w:rsid w:val="00EA3D34"/>
    <w:rsid w:val="00EB07BE"/>
    <w:rsid w:val="00EB454D"/>
    <w:rsid w:val="00EB5457"/>
    <w:rsid w:val="00EC2B9C"/>
    <w:rsid w:val="00ED549D"/>
    <w:rsid w:val="00ED76BE"/>
    <w:rsid w:val="00EE00E9"/>
    <w:rsid w:val="00EF1AAA"/>
    <w:rsid w:val="00EF5AD2"/>
    <w:rsid w:val="00EF619B"/>
    <w:rsid w:val="00F00B55"/>
    <w:rsid w:val="00F02AD1"/>
    <w:rsid w:val="00F253CC"/>
    <w:rsid w:val="00F37106"/>
    <w:rsid w:val="00F44E25"/>
    <w:rsid w:val="00F519CF"/>
    <w:rsid w:val="00F56BA5"/>
    <w:rsid w:val="00F60E22"/>
    <w:rsid w:val="00F81395"/>
    <w:rsid w:val="00F81BB8"/>
    <w:rsid w:val="00F832C8"/>
    <w:rsid w:val="00F908F2"/>
    <w:rsid w:val="00F90C64"/>
    <w:rsid w:val="00F917D1"/>
    <w:rsid w:val="00F9653B"/>
    <w:rsid w:val="00FB62CF"/>
    <w:rsid w:val="00FC6A0A"/>
    <w:rsid w:val="00FD35CB"/>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EA0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457569">
      <w:bodyDiv w:val="1"/>
      <w:marLeft w:val="0"/>
      <w:marRight w:val="0"/>
      <w:marTop w:val="0"/>
      <w:marBottom w:val="0"/>
      <w:divBdr>
        <w:top w:val="none" w:sz="0" w:space="0" w:color="auto"/>
        <w:left w:val="none" w:sz="0" w:space="0" w:color="auto"/>
        <w:bottom w:val="none" w:sz="0" w:space="0" w:color="auto"/>
        <w:right w:val="none" w:sz="0" w:space="0" w:color="auto"/>
      </w:divBdr>
    </w:div>
    <w:div w:id="493640784">
      <w:bodyDiv w:val="1"/>
      <w:marLeft w:val="0"/>
      <w:marRight w:val="0"/>
      <w:marTop w:val="0"/>
      <w:marBottom w:val="0"/>
      <w:divBdr>
        <w:top w:val="none" w:sz="0" w:space="0" w:color="auto"/>
        <w:left w:val="none" w:sz="0" w:space="0" w:color="auto"/>
        <w:bottom w:val="none" w:sz="0" w:space="0" w:color="auto"/>
        <w:right w:val="none" w:sz="0" w:space="0" w:color="auto"/>
      </w:divBdr>
    </w:div>
    <w:div w:id="734552616">
      <w:bodyDiv w:val="1"/>
      <w:marLeft w:val="0"/>
      <w:marRight w:val="0"/>
      <w:marTop w:val="0"/>
      <w:marBottom w:val="0"/>
      <w:divBdr>
        <w:top w:val="none" w:sz="0" w:space="0" w:color="auto"/>
        <w:left w:val="none" w:sz="0" w:space="0" w:color="auto"/>
        <w:bottom w:val="none" w:sz="0" w:space="0" w:color="auto"/>
        <w:right w:val="none" w:sz="0" w:space="0" w:color="auto"/>
      </w:divBdr>
    </w:div>
    <w:div w:id="742989923">
      <w:bodyDiv w:val="1"/>
      <w:marLeft w:val="0"/>
      <w:marRight w:val="0"/>
      <w:marTop w:val="0"/>
      <w:marBottom w:val="0"/>
      <w:divBdr>
        <w:top w:val="none" w:sz="0" w:space="0" w:color="auto"/>
        <w:left w:val="none" w:sz="0" w:space="0" w:color="auto"/>
        <w:bottom w:val="none" w:sz="0" w:space="0" w:color="auto"/>
        <w:right w:val="none" w:sz="0" w:space="0" w:color="auto"/>
      </w:divBdr>
    </w:div>
    <w:div w:id="910971263">
      <w:bodyDiv w:val="1"/>
      <w:marLeft w:val="0"/>
      <w:marRight w:val="0"/>
      <w:marTop w:val="0"/>
      <w:marBottom w:val="0"/>
      <w:divBdr>
        <w:top w:val="none" w:sz="0" w:space="0" w:color="auto"/>
        <w:left w:val="none" w:sz="0" w:space="0" w:color="auto"/>
        <w:bottom w:val="none" w:sz="0" w:space="0" w:color="auto"/>
        <w:right w:val="none" w:sz="0" w:space="0" w:color="auto"/>
      </w:divBdr>
    </w:div>
    <w:div w:id="985822932">
      <w:bodyDiv w:val="1"/>
      <w:marLeft w:val="0"/>
      <w:marRight w:val="0"/>
      <w:marTop w:val="0"/>
      <w:marBottom w:val="0"/>
      <w:divBdr>
        <w:top w:val="none" w:sz="0" w:space="0" w:color="auto"/>
        <w:left w:val="none" w:sz="0" w:space="0" w:color="auto"/>
        <w:bottom w:val="none" w:sz="0" w:space="0" w:color="auto"/>
        <w:right w:val="none" w:sz="0" w:space="0" w:color="auto"/>
      </w:divBdr>
    </w:div>
    <w:div w:id="1063335056">
      <w:bodyDiv w:val="1"/>
      <w:marLeft w:val="0"/>
      <w:marRight w:val="0"/>
      <w:marTop w:val="0"/>
      <w:marBottom w:val="0"/>
      <w:divBdr>
        <w:top w:val="none" w:sz="0" w:space="0" w:color="auto"/>
        <w:left w:val="none" w:sz="0" w:space="0" w:color="auto"/>
        <w:bottom w:val="none" w:sz="0" w:space="0" w:color="auto"/>
        <w:right w:val="none" w:sz="0" w:space="0" w:color="auto"/>
      </w:divBdr>
    </w:div>
    <w:div w:id="1175192977">
      <w:bodyDiv w:val="1"/>
      <w:marLeft w:val="0"/>
      <w:marRight w:val="0"/>
      <w:marTop w:val="0"/>
      <w:marBottom w:val="0"/>
      <w:divBdr>
        <w:top w:val="none" w:sz="0" w:space="0" w:color="auto"/>
        <w:left w:val="none" w:sz="0" w:space="0" w:color="auto"/>
        <w:bottom w:val="none" w:sz="0" w:space="0" w:color="auto"/>
        <w:right w:val="none" w:sz="0" w:space="0" w:color="auto"/>
      </w:divBdr>
    </w:div>
    <w:div w:id="1194416798">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41278028">
      <w:bodyDiv w:val="1"/>
      <w:marLeft w:val="0"/>
      <w:marRight w:val="0"/>
      <w:marTop w:val="0"/>
      <w:marBottom w:val="0"/>
      <w:divBdr>
        <w:top w:val="none" w:sz="0" w:space="0" w:color="auto"/>
        <w:left w:val="none" w:sz="0" w:space="0" w:color="auto"/>
        <w:bottom w:val="none" w:sz="0" w:space="0" w:color="auto"/>
        <w:right w:val="none" w:sz="0" w:space="0" w:color="auto"/>
      </w:divBdr>
    </w:div>
    <w:div w:id="1345668674">
      <w:bodyDiv w:val="1"/>
      <w:marLeft w:val="0"/>
      <w:marRight w:val="0"/>
      <w:marTop w:val="0"/>
      <w:marBottom w:val="0"/>
      <w:divBdr>
        <w:top w:val="none" w:sz="0" w:space="0" w:color="auto"/>
        <w:left w:val="none" w:sz="0" w:space="0" w:color="auto"/>
        <w:bottom w:val="none" w:sz="0" w:space="0" w:color="auto"/>
        <w:right w:val="none" w:sz="0" w:space="0" w:color="auto"/>
      </w:divBdr>
    </w:div>
    <w:div w:id="1376924410">
      <w:bodyDiv w:val="1"/>
      <w:marLeft w:val="0"/>
      <w:marRight w:val="0"/>
      <w:marTop w:val="0"/>
      <w:marBottom w:val="0"/>
      <w:divBdr>
        <w:top w:val="none" w:sz="0" w:space="0" w:color="auto"/>
        <w:left w:val="none" w:sz="0" w:space="0" w:color="auto"/>
        <w:bottom w:val="none" w:sz="0" w:space="0" w:color="auto"/>
        <w:right w:val="none" w:sz="0" w:space="0" w:color="auto"/>
      </w:divBdr>
    </w:div>
    <w:div w:id="1437556189">
      <w:bodyDiv w:val="1"/>
      <w:marLeft w:val="0"/>
      <w:marRight w:val="0"/>
      <w:marTop w:val="0"/>
      <w:marBottom w:val="0"/>
      <w:divBdr>
        <w:top w:val="none" w:sz="0" w:space="0" w:color="auto"/>
        <w:left w:val="none" w:sz="0" w:space="0" w:color="auto"/>
        <w:bottom w:val="none" w:sz="0" w:space="0" w:color="auto"/>
        <w:right w:val="none" w:sz="0" w:space="0" w:color="auto"/>
      </w:divBdr>
    </w:div>
    <w:div w:id="171646543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5096527">
      <w:bodyDiv w:val="1"/>
      <w:marLeft w:val="0"/>
      <w:marRight w:val="0"/>
      <w:marTop w:val="0"/>
      <w:marBottom w:val="0"/>
      <w:divBdr>
        <w:top w:val="none" w:sz="0" w:space="0" w:color="auto"/>
        <w:left w:val="none" w:sz="0" w:space="0" w:color="auto"/>
        <w:bottom w:val="none" w:sz="0" w:space="0" w:color="auto"/>
        <w:right w:val="none" w:sz="0" w:space="0" w:color="auto"/>
      </w:divBdr>
    </w:div>
    <w:div w:id="1988165647">
      <w:bodyDiv w:val="1"/>
      <w:marLeft w:val="0"/>
      <w:marRight w:val="0"/>
      <w:marTop w:val="0"/>
      <w:marBottom w:val="0"/>
      <w:divBdr>
        <w:top w:val="none" w:sz="0" w:space="0" w:color="auto"/>
        <w:left w:val="none" w:sz="0" w:space="0" w:color="auto"/>
        <w:bottom w:val="none" w:sz="0" w:space="0" w:color="auto"/>
        <w:right w:val="none" w:sz="0" w:space="0" w:color="auto"/>
      </w:divBdr>
    </w:div>
    <w:div w:id="2024434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47BC8"/>
    <w:rsid w:val="00067F87"/>
    <w:rsid w:val="001E537C"/>
    <w:rsid w:val="00200821"/>
    <w:rsid w:val="00203F7C"/>
    <w:rsid w:val="0025245B"/>
    <w:rsid w:val="002A3923"/>
    <w:rsid w:val="002A62F9"/>
    <w:rsid w:val="00394049"/>
    <w:rsid w:val="004323EC"/>
    <w:rsid w:val="004B5BBB"/>
    <w:rsid w:val="004F2DF8"/>
    <w:rsid w:val="006F24A1"/>
    <w:rsid w:val="00740462"/>
    <w:rsid w:val="00754FC0"/>
    <w:rsid w:val="0093449B"/>
    <w:rsid w:val="009A1991"/>
    <w:rsid w:val="009A261B"/>
    <w:rsid w:val="00A831B6"/>
    <w:rsid w:val="00AA2E17"/>
    <w:rsid w:val="00AC15A4"/>
    <w:rsid w:val="00B0336C"/>
    <w:rsid w:val="00D241E9"/>
    <w:rsid w:val="00D40FB7"/>
    <w:rsid w:val="00D7750D"/>
    <w:rsid w:val="00F00D2F"/>
    <w:rsid w:val="00F128DF"/>
    <w:rsid w:val="00FF4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E368E-37E7-46DF-A32E-C34FD8809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2764</Words>
  <Characters>14515</Characters>
  <Application>Microsoft Office Word</Application>
  <DocSecurity>0</DocSecurity>
  <Lines>234</Lines>
  <Paragraphs>50</Paragraphs>
  <ScaleCrop>false</ScaleCrop>
  <Company/>
  <LinksUpToDate>false</LinksUpToDate>
  <CharactersWithSpaces>17229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240/20</dc:title>
  <dc:creator/>
  <cp:lastModifiedBy/>
  <cp:revision>1</cp:revision>
  <dcterms:created xsi:type="dcterms:W3CDTF">2020-10-20T15:05:00Z</dcterms:created>
  <dcterms:modified xsi:type="dcterms:W3CDTF">2020-10-20T15:05:00Z</dcterms:modified>
</cp:coreProperties>
</file>