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60E1D23" w14:textId="77777777" w:rsidR="00E10040" w:rsidRPr="00446569" w:rsidRDefault="00E10040" w:rsidP="00E10040">
      <w:pPr>
        <w:jc w:val="both"/>
        <w:rPr>
          <w:rFonts w:ascii="Cambria" w:hAnsi="Cambria" w:cs="Univers"/>
          <w:b/>
          <w:bCs/>
          <w:sz w:val="22"/>
          <w:szCs w:val="22"/>
          <w:lang w:val="es-VE"/>
        </w:rPr>
      </w:pPr>
      <w:r w:rsidRPr="00446569">
        <w:rPr>
          <w:rFonts w:ascii="Cambria" w:hAnsi="Cambria"/>
          <w:noProof/>
          <w:sz w:val="22"/>
          <w:szCs w:val="22"/>
        </w:rPr>
        <mc:AlternateContent>
          <mc:Choice Requires="wps">
            <w:drawing>
              <wp:anchor distT="0" distB="0" distL="114300" distR="114300" simplePos="0" relativeHeight="251659264" behindDoc="0" locked="0" layoutInCell="1" allowOverlap="1" wp14:anchorId="54B79C7D" wp14:editId="22FB493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B014002"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" fillcolor="#4a7194" stroked="f" strokeweight="1pt"/>
            </w:pict>
          </mc:Fallback>
        </mc:AlternateContent>
      </w:r>
      <w:r w:rsidRPr="00446569">
        <w:rPr>
          <w:rFonts w:ascii="Cambria" w:hAnsi="Cambria"/>
          <w:noProof/>
          <w:sz w:val="22"/>
          <w:szCs w:val="22"/>
        </w:rPr>
        <mc:AlternateContent>
          <mc:Choice Requires="wps">
            <w:drawing>
              <wp:anchor distT="0" distB="0" distL="114300" distR="114300" simplePos="0" relativeHeight="251663360" behindDoc="0" locked="0" layoutInCell="1" allowOverlap="1" wp14:anchorId="1D33B837" wp14:editId="642EE08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00BA6" w14:textId="6AADB6FE" w:rsidR="002E0E96" w:rsidRDefault="002E0E96"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D33B83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B700BA6" w14:textId="6AADB6FE" w:rsidR="002E0E96" w:rsidRDefault="002E0E96"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446569">
        <w:rPr>
          <w:rFonts w:ascii="Cambria" w:hAnsi="Cambria" w:cs="Univers"/>
          <w:b/>
          <w:bCs/>
          <w:sz w:val="22"/>
          <w:szCs w:val="22"/>
          <w:lang w:val="es-VE"/>
        </w:rPr>
        <w:t xml:space="preserve"> </w:t>
      </w:r>
    </w:p>
    <w:p w14:paraId="568095CA" w14:textId="77777777" w:rsidR="00E10040" w:rsidRPr="00446569" w:rsidRDefault="00E10040" w:rsidP="00E10040">
      <w:pPr>
        <w:tabs>
          <w:tab w:val="center" w:pos="5400"/>
        </w:tabs>
        <w:suppressAutoHyphens/>
        <w:jc w:val="both"/>
        <w:rPr>
          <w:rFonts w:ascii="Cambria" w:hAnsi="Cambria"/>
          <w:sz w:val="22"/>
          <w:szCs w:val="22"/>
          <w:lang w:val="es-VE"/>
        </w:rPr>
      </w:pPr>
    </w:p>
    <w:p w14:paraId="1DFF4A90" w14:textId="77777777" w:rsidR="00E10040" w:rsidRPr="00446569" w:rsidRDefault="00E10040" w:rsidP="00E10040">
      <w:pPr>
        <w:tabs>
          <w:tab w:val="center" w:pos="5400"/>
        </w:tabs>
        <w:suppressAutoHyphens/>
        <w:jc w:val="both"/>
        <w:rPr>
          <w:rFonts w:ascii="Cambria" w:hAnsi="Cambria"/>
          <w:sz w:val="22"/>
          <w:szCs w:val="22"/>
          <w:lang w:val="es-VE"/>
        </w:rPr>
      </w:pPr>
    </w:p>
    <w:p w14:paraId="65DC4A88" w14:textId="77777777" w:rsidR="00E10040" w:rsidRPr="00446569" w:rsidRDefault="00E10040" w:rsidP="00E10040">
      <w:pPr>
        <w:tabs>
          <w:tab w:val="center" w:pos="5400"/>
        </w:tabs>
        <w:suppressAutoHyphens/>
        <w:rPr>
          <w:rFonts w:ascii="Cambria" w:hAnsi="Cambria"/>
          <w:sz w:val="22"/>
          <w:szCs w:val="22"/>
          <w:lang w:val="es-VE"/>
        </w:rPr>
      </w:pPr>
    </w:p>
    <w:p w14:paraId="4F24238A" w14:textId="77777777" w:rsidR="00E10040" w:rsidRPr="00446569" w:rsidRDefault="00E10040" w:rsidP="00E10040">
      <w:pPr>
        <w:tabs>
          <w:tab w:val="center" w:pos="5400"/>
        </w:tabs>
        <w:suppressAutoHyphens/>
        <w:rPr>
          <w:rFonts w:ascii="Cambria" w:hAnsi="Cambria"/>
          <w:sz w:val="22"/>
          <w:szCs w:val="22"/>
          <w:lang w:val="es-VE"/>
        </w:rPr>
      </w:pPr>
    </w:p>
    <w:p w14:paraId="387440B2" w14:textId="77777777" w:rsidR="00E10040" w:rsidRPr="00446569" w:rsidRDefault="00E10040" w:rsidP="00E10040">
      <w:pPr>
        <w:tabs>
          <w:tab w:val="center" w:pos="5400"/>
        </w:tabs>
        <w:suppressAutoHyphens/>
        <w:rPr>
          <w:rFonts w:ascii="Cambria" w:hAnsi="Cambria"/>
          <w:sz w:val="22"/>
          <w:szCs w:val="22"/>
          <w:lang w:val="es-VE"/>
        </w:rPr>
      </w:pPr>
    </w:p>
    <w:p w14:paraId="5EE2C527" w14:textId="77777777" w:rsidR="00E10040" w:rsidRPr="00446569" w:rsidRDefault="00E10040" w:rsidP="00E10040">
      <w:pPr>
        <w:tabs>
          <w:tab w:val="center" w:pos="5400"/>
        </w:tabs>
        <w:suppressAutoHyphens/>
        <w:jc w:val="center"/>
        <w:rPr>
          <w:rFonts w:ascii="Cambria" w:hAnsi="Cambria"/>
          <w:sz w:val="22"/>
          <w:szCs w:val="22"/>
          <w:lang w:val="es-VE"/>
        </w:rPr>
      </w:pPr>
    </w:p>
    <w:p w14:paraId="3CB256DD" w14:textId="77777777" w:rsidR="00E10040" w:rsidRPr="00446569" w:rsidRDefault="00E10040" w:rsidP="00E10040">
      <w:pPr>
        <w:tabs>
          <w:tab w:val="center" w:pos="5400"/>
        </w:tabs>
        <w:suppressAutoHyphens/>
        <w:jc w:val="center"/>
        <w:rPr>
          <w:rFonts w:ascii="Cambria" w:hAnsi="Cambria"/>
          <w:sz w:val="22"/>
          <w:szCs w:val="22"/>
          <w:lang w:val="es-VE"/>
        </w:rPr>
      </w:pPr>
    </w:p>
    <w:p w14:paraId="20BB3321" w14:textId="77777777" w:rsidR="00E10040" w:rsidRPr="00446569" w:rsidRDefault="00E10040" w:rsidP="00E10040">
      <w:pPr>
        <w:tabs>
          <w:tab w:val="center" w:pos="5400"/>
        </w:tabs>
        <w:suppressAutoHyphens/>
        <w:jc w:val="center"/>
        <w:rPr>
          <w:rFonts w:ascii="Cambria" w:hAnsi="Cambria"/>
          <w:sz w:val="22"/>
          <w:szCs w:val="22"/>
          <w:lang w:val="es-VE"/>
        </w:rPr>
      </w:pPr>
    </w:p>
    <w:p w14:paraId="48A54078" w14:textId="77777777" w:rsidR="00E10040" w:rsidRPr="00446569" w:rsidRDefault="00E10040" w:rsidP="00E10040">
      <w:pPr>
        <w:tabs>
          <w:tab w:val="center" w:pos="5400"/>
        </w:tabs>
        <w:suppressAutoHyphens/>
        <w:jc w:val="center"/>
        <w:rPr>
          <w:rFonts w:ascii="Cambria" w:hAnsi="Cambria"/>
          <w:sz w:val="22"/>
          <w:szCs w:val="22"/>
          <w:lang w:val="es-VE"/>
        </w:rPr>
      </w:pPr>
    </w:p>
    <w:p w14:paraId="06A72060" w14:textId="77777777" w:rsidR="00E10040" w:rsidRPr="00446569" w:rsidRDefault="00E10040" w:rsidP="00E10040">
      <w:pPr>
        <w:tabs>
          <w:tab w:val="center" w:pos="5400"/>
        </w:tabs>
        <w:suppressAutoHyphens/>
        <w:jc w:val="center"/>
        <w:rPr>
          <w:rFonts w:ascii="Cambria" w:hAnsi="Cambria"/>
          <w:sz w:val="22"/>
          <w:szCs w:val="22"/>
          <w:lang w:val="es-VE"/>
        </w:rPr>
      </w:pPr>
    </w:p>
    <w:p w14:paraId="5491C21D" w14:textId="77777777" w:rsidR="00E10040" w:rsidRPr="00446569" w:rsidRDefault="00E10040" w:rsidP="00E10040">
      <w:pPr>
        <w:tabs>
          <w:tab w:val="center" w:pos="5400"/>
        </w:tabs>
        <w:suppressAutoHyphens/>
        <w:jc w:val="center"/>
        <w:rPr>
          <w:rFonts w:ascii="Cambria" w:hAnsi="Cambria"/>
          <w:sz w:val="22"/>
          <w:szCs w:val="22"/>
          <w:lang w:val="es-VE"/>
        </w:rPr>
      </w:pPr>
    </w:p>
    <w:p w14:paraId="76D0B80F" w14:textId="77777777" w:rsidR="00E10040" w:rsidRPr="00446569" w:rsidRDefault="00E10040" w:rsidP="00E10040">
      <w:pPr>
        <w:tabs>
          <w:tab w:val="center" w:pos="5400"/>
        </w:tabs>
        <w:suppressAutoHyphens/>
        <w:jc w:val="center"/>
        <w:rPr>
          <w:rFonts w:ascii="Cambria" w:hAnsi="Cambria"/>
          <w:sz w:val="22"/>
          <w:szCs w:val="22"/>
          <w:lang w:val="es-VE"/>
        </w:rPr>
      </w:pPr>
    </w:p>
    <w:p w14:paraId="40321C5F" w14:textId="77777777" w:rsidR="00E10040" w:rsidRPr="00446569" w:rsidRDefault="00E10040" w:rsidP="00E10040">
      <w:pPr>
        <w:tabs>
          <w:tab w:val="center" w:pos="5400"/>
        </w:tabs>
        <w:suppressAutoHyphens/>
        <w:jc w:val="center"/>
        <w:rPr>
          <w:rFonts w:ascii="Cambria" w:hAnsi="Cambria"/>
          <w:sz w:val="22"/>
          <w:szCs w:val="22"/>
          <w:lang w:val="es-VE"/>
        </w:rPr>
      </w:pPr>
      <w:r w:rsidRPr="00446569">
        <w:rPr>
          <w:rFonts w:ascii="Cambria" w:hAnsi="Cambria"/>
          <w:noProof/>
          <w:sz w:val="22"/>
          <w:szCs w:val="22"/>
        </w:rPr>
        <mc:AlternateContent>
          <mc:Choice Requires="wps">
            <w:drawing>
              <wp:anchor distT="0" distB="0" distL="114300" distR="114300" simplePos="0" relativeHeight="251660288" behindDoc="0" locked="0" layoutInCell="1" allowOverlap="1" wp14:anchorId="7568B757" wp14:editId="4D4E811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ED22C" w14:textId="38E3936D" w:rsidR="002E0E96" w:rsidRPr="00E10040" w:rsidRDefault="002E0E96"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00841E8E">
                              <w:rPr>
                                <w:rFonts w:ascii="Cambria" w:hAnsi="Cambria" w:cs="Arial"/>
                                <w:b/>
                                <w:bCs/>
                                <w:color w:val="0D0D0D" w:themeColor="text1" w:themeTint="F2"/>
                                <w:sz w:val="36"/>
                                <w:szCs w:val="22"/>
                                <w:lang w:val="es-ES_tradnl"/>
                              </w:rPr>
                              <w:t xml:space="preserve"> 279</w:t>
                            </w:r>
                            <w:r w:rsidRPr="00E10040">
                              <w:rPr>
                                <w:rFonts w:ascii="Cambria" w:hAnsi="Cambria" w:cs="Arial"/>
                                <w:b/>
                                <w:bCs/>
                                <w:color w:val="0D0D0D" w:themeColor="text1" w:themeTint="F2"/>
                                <w:sz w:val="36"/>
                                <w:szCs w:val="22"/>
                                <w:lang w:val="es-ES_tradnl"/>
                              </w:rPr>
                              <w:t>/20</w:t>
                            </w:r>
                          </w:p>
                          <w:p w14:paraId="67D1B048" w14:textId="0AACFBDC" w:rsidR="002E0E96" w:rsidRPr="00E10040" w:rsidRDefault="002E0E96"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Pr>
                                <w:rFonts w:ascii="Cambria" w:hAnsi="Cambria" w:cs="Arial"/>
                                <w:b/>
                                <w:color w:val="0D0D0D" w:themeColor="text1" w:themeTint="F2"/>
                                <w:sz w:val="36"/>
                                <w:szCs w:val="22"/>
                                <w:lang w:val="es-ES_tradnl"/>
                              </w:rPr>
                              <w:t>404</w:t>
                            </w:r>
                            <w:r w:rsidRPr="00E10040">
                              <w:rPr>
                                <w:rFonts w:ascii="Cambria" w:hAnsi="Cambria" w:cs="Arial"/>
                                <w:b/>
                                <w:color w:val="0D0D0D" w:themeColor="text1" w:themeTint="F2"/>
                                <w:sz w:val="36"/>
                                <w:szCs w:val="22"/>
                                <w:lang w:val="es-ES_tradnl"/>
                              </w:rPr>
                              <w:t>-</w:t>
                            </w:r>
                            <w:r>
                              <w:rPr>
                                <w:rFonts w:ascii="Cambria" w:hAnsi="Cambria" w:cs="Arial"/>
                                <w:b/>
                                <w:color w:val="0D0D0D" w:themeColor="text1" w:themeTint="F2"/>
                                <w:sz w:val="36"/>
                                <w:szCs w:val="22"/>
                                <w:lang w:val="es-ES_tradnl"/>
                              </w:rPr>
                              <w:t>09</w:t>
                            </w:r>
                            <w:r w:rsidRPr="00E10040">
                              <w:rPr>
                                <w:rFonts w:ascii="Cambria" w:hAnsi="Cambria" w:cs="Arial"/>
                                <w:b/>
                                <w:color w:val="0D0D0D" w:themeColor="text1" w:themeTint="F2"/>
                                <w:sz w:val="36"/>
                                <w:szCs w:val="22"/>
                                <w:lang w:val="es-ES_tradnl"/>
                              </w:rPr>
                              <w:t xml:space="preserve"> </w:t>
                            </w:r>
                          </w:p>
                          <w:p w14:paraId="7264B33D" w14:textId="2946CF76" w:rsidR="002E0E96" w:rsidRPr="00E10040" w:rsidRDefault="002E0E96"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 xml:space="preserve">INFORME DE ADMISIBILIDAD </w:t>
                            </w:r>
                          </w:p>
                          <w:p w14:paraId="1C3D1962" w14:textId="77777777" w:rsidR="002E0E96" w:rsidRPr="00E10040" w:rsidRDefault="002E0E96" w:rsidP="00E10040">
                            <w:pPr>
                              <w:spacing w:line="276" w:lineRule="auto"/>
                              <w:rPr>
                                <w:rFonts w:ascii="Cambria" w:hAnsi="Cambria" w:cs="Arial"/>
                                <w:color w:val="0D0D0D" w:themeColor="text1" w:themeTint="F2"/>
                                <w:szCs w:val="22"/>
                                <w:lang w:val="es-ES_tradnl"/>
                              </w:rPr>
                            </w:pPr>
                            <w:bookmarkStart w:id="1" w:name="_ftnref1"/>
                          </w:p>
                          <w:p w14:paraId="6F037F91" w14:textId="3EBFCE44" w:rsidR="002E0E96" w:rsidRPr="00E10040" w:rsidRDefault="002E0E96"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PEDRO JOS</w:t>
                            </w:r>
                            <w:r>
                              <w:rPr>
                                <w:rFonts w:ascii="Cambria" w:hAnsi="Cambria" w:cs="Arial"/>
                                <w:color w:val="0D0D0D" w:themeColor="text1" w:themeTint="F2"/>
                                <w:szCs w:val="22"/>
                                <w:lang w:val="es-VE"/>
                              </w:rPr>
                              <w:t>É ADARVE JIMÉNEZ</w:t>
                            </w:r>
                          </w:p>
                          <w:bookmarkEnd w:id="1"/>
                          <w:p w14:paraId="7441DC01" w14:textId="592DD9A9" w:rsidR="002E0E96" w:rsidRPr="00E10040" w:rsidRDefault="002E0E96"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COLOMBIA</w:t>
                            </w:r>
                          </w:p>
                          <w:p w14:paraId="1DA1F5CC" w14:textId="77777777" w:rsidR="002E0E96" w:rsidRPr="00E10040" w:rsidRDefault="002E0E96" w:rsidP="00E10040">
                            <w:pPr>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568B757"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1FED22C" w14:textId="38E3936D" w:rsidR="002E0E96" w:rsidRPr="00E10040" w:rsidRDefault="002E0E96"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00841E8E">
                        <w:rPr>
                          <w:rFonts w:ascii="Cambria" w:hAnsi="Cambria" w:cs="Arial"/>
                          <w:b/>
                          <w:bCs/>
                          <w:color w:val="0D0D0D" w:themeColor="text1" w:themeTint="F2"/>
                          <w:sz w:val="36"/>
                          <w:szCs w:val="22"/>
                          <w:lang w:val="es-ES_tradnl"/>
                        </w:rPr>
                        <w:t xml:space="preserve"> 279</w:t>
                      </w:r>
                      <w:r w:rsidRPr="00E10040">
                        <w:rPr>
                          <w:rFonts w:ascii="Cambria" w:hAnsi="Cambria" w:cs="Arial"/>
                          <w:b/>
                          <w:bCs/>
                          <w:color w:val="0D0D0D" w:themeColor="text1" w:themeTint="F2"/>
                          <w:sz w:val="36"/>
                          <w:szCs w:val="22"/>
                          <w:lang w:val="es-ES_tradnl"/>
                        </w:rPr>
                        <w:t>/20</w:t>
                      </w:r>
                    </w:p>
                    <w:p w14:paraId="67D1B048" w14:textId="0AACFBDC" w:rsidR="002E0E96" w:rsidRPr="00E10040" w:rsidRDefault="002E0E96"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Pr>
                          <w:rFonts w:ascii="Cambria" w:hAnsi="Cambria" w:cs="Arial"/>
                          <w:b/>
                          <w:color w:val="0D0D0D" w:themeColor="text1" w:themeTint="F2"/>
                          <w:sz w:val="36"/>
                          <w:szCs w:val="22"/>
                          <w:lang w:val="es-ES_tradnl"/>
                        </w:rPr>
                        <w:t>404</w:t>
                      </w:r>
                      <w:r w:rsidRPr="00E10040">
                        <w:rPr>
                          <w:rFonts w:ascii="Cambria" w:hAnsi="Cambria" w:cs="Arial"/>
                          <w:b/>
                          <w:color w:val="0D0D0D" w:themeColor="text1" w:themeTint="F2"/>
                          <w:sz w:val="36"/>
                          <w:szCs w:val="22"/>
                          <w:lang w:val="es-ES_tradnl"/>
                        </w:rPr>
                        <w:t>-</w:t>
                      </w:r>
                      <w:r>
                        <w:rPr>
                          <w:rFonts w:ascii="Cambria" w:hAnsi="Cambria" w:cs="Arial"/>
                          <w:b/>
                          <w:color w:val="0D0D0D" w:themeColor="text1" w:themeTint="F2"/>
                          <w:sz w:val="36"/>
                          <w:szCs w:val="22"/>
                          <w:lang w:val="es-ES_tradnl"/>
                        </w:rPr>
                        <w:t>09</w:t>
                      </w:r>
                      <w:r w:rsidRPr="00E10040">
                        <w:rPr>
                          <w:rFonts w:ascii="Cambria" w:hAnsi="Cambria" w:cs="Arial"/>
                          <w:b/>
                          <w:color w:val="0D0D0D" w:themeColor="text1" w:themeTint="F2"/>
                          <w:sz w:val="36"/>
                          <w:szCs w:val="22"/>
                          <w:lang w:val="es-ES_tradnl"/>
                        </w:rPr>
                        <w:t xml:space="preserve"> </w:t>
                      </w:r>
                    </w:p>
                    <w:p w14:paraId="7264B33D" w14:textId="2946CF76" w:rsidR="002E0E96" w:rsidRPr="00E10040" w:rsidRDefault="002E0E96"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 xml:space="preserve">INFORME DE ADMISIBILIDAD </w:t>
                      </w:r>
                    </w:p>
                    <w:p w14:paraId="1C3D1962" w14:textId="77777777" w:rsidR="002E0E96" w:rsidRPr="00E10040" w:rsidRDefault="002E0E96" w:rsidP="00E10040">
                      <w:pPr>
                        <w:spacing w:line="276" w:lineRule="auto"/>
                        <w:rPr>
                          <w:rFonts w:ascii="Cambria" w:hAnsi="Cambria" w:cs="Arial"/>
                          <w:color w:val="0D0D0D" w:themeColor="text1" w:themeTint="F2"/>
                          <w:szCs w:val="22"/>
                          <w:lang w:val="es-ES_tradnl"/>
                        </w:rPr>
                      </w:pPr>
                      <w:bookmarkStart w:id="1" w:name="_ftnref1"/>
                    </w:p>
                    <w:p w14:paraId="6F037F91" w14:textId="3EBFCE44" w:rsidR="002E0E96" w:rsidRPr="00E10040" w:rsidRDefault="002E0E96"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PEDRO JOS</w:t>
                      </w:r>
                      <w:r>
                        <w:rPr>
                          <w:rFonts w:ascii="Cambria" w:hAnsi="Cambria" w:cs="Arial"/>
                          <w:color w:val="0D0D0D" w:themeColor="text1" w:themeTint="F2"/>
                          <w:szCs w:val="22"/>
                          <w:lang w:val="es-VE"/>
                        </w:rPr>
                        <w:t>É ADARVE JIMÉNEZ</w:t>
                      </w:r>
                    </w:p>
                    <w:bookmarkEnd w:id="1"/>
                    <w:p w14:paraId="7441DC01" w14:textId="592DD9A9" w:rsidR="002E0E96" w:rsidRPr="00E10040" w:rsidRDefault="002E0E96"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COLOMBIA</w:t>
                      </w:r>
                    </w:p>
                    <w:p w14:paraId="1DA1F5CC" w14:textId="77777777" w:rsidR="002E0E96" w:rsidRPr="00E10040" w:rsidRDefault="002E0E96" w:rsidP="00E10040">
                      <w:pPr>
                        <w:rPr>
                          <w:rFonts w:ascii="Cambria" w:hAnsi="Cambria"/>
                          <w:color w:val="0D0D0D" w:themeColor="text1" w:themeTint="F2"/>
                          <w:lang w:val="es-ES_tradnl"/>
                        </w:rPr>
                      </w:pPr>
                    </w:p>
                  </w:txbxContent>
                </v:textbox>
              </v:shape>
            </w:pict>
          </mc:Fallback>
        </mc:AlternateContent>
      </w:r>
      <w:r w:rsidRPr="00446569">
        <w:rPr>
          <w:rFonts w:ascii="Cambria" w:hAnsi="Cambria"/>
          <w:noProof/>
          <w:sz w:val="22"/>
          <w:szCs w:val="22"/>
        </w:rPr>
        <mc:AlternateContent>
          <mc:Choice Requires="wps">
            <w:drawing>
              <wp:anchor distT="0" distB="0" distL="114300" distR="114300" simplePos="0" relativeHeight="251662336" behindDoc="0" locked="0" layoutInCell="1" allowOverlap="1" wp14:anchorId="57BA1169" wp14:editId="183AD7B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D3795" w14:textId="77777777" w:rsidR="002E0E96" w:rsidRPr="004E2649" w:rsidRDefault="002E0E96" w:rsidP="00E1004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E29FC77" w14:textId="102DF7F4" w:rsidR="002E0E96" w:rsidRPr="004E2649" w:rsidRDefault="00841E8E" w:rsidP="00E1004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296</w:t>
                            </w:r>
                          </w:p>
                          <w:p w14:paraId="4BC71096" w14:textId="54BE4275" w:rsidR="002E0E96" w:rsidRPr="00C25ADB" w:rsidRDefault="00841E8E"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octubre</w:t>
                            </w:r>
                            <w:r w:rsidR="002E0E96" w:rsidRPr="00C25ADB">
                              <w:rPr>
                                <w:rFonts w:asciiTheme="minorHAnsi" w:hAnsiTheme="minorHAnsi"/>
                                <w:color w:val="FFFFFF" w:themeColor="background1"/>
                                <w:sz w:val="22"/>
                                <w:lang w:val="es-PA"/>
                              </w:rPr>
                              <w:t xml:space="preserve"> 2020</w:t>
                            </w:r>
                          </w:p>
                          <w:p w14:paraId="2ED41C8A" w14:textId="77777777" w:rsidR="002E0E96" w:rsidRPr="00C25ADB" w:rsidRDefault="002E0E96"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7BA1169"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75D3795" w14:textId="77777777" w:rsidR="002E0E96" w:rsidRPr="004E2649" w:rsidRDefault="002E0E96" w:rsidP="00E1004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E29FC77" w14:textId="102DF7F4" w:rsidR="002E0E96" w:rsidRPr="004E2649" w:rsidRDefault="00841E8E" w:rsidP="00E1004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296</w:t>
                      </w:r>
                    </w:p>
                    <w:p w14:paraId="4BC71096" w14:textId="54BE4275" w:rsidR="002E0E96" w:rsidRPr="00C25ADB" w:rsidRDefault="00841E8E"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octubre</w:t>
                      </w:r>
                      <w:r w:rsidR="002E0E96" w:rsidRPr="00C25ADB">
                        <w:rPr>
                          <w:rFonts w:asciiTheme="minorHAnsi" w:hAnsiTheme="minorHAnsi"/>
                          <w:color w:val="FFFFFF" w:themeColor="background1"/>
                          <w:sz w:val="22"/>
                          <w:lang w:val="es-PA"/>
                        </w:rPr>
                        <w:t xml:space="preserve"> 2020</w:t>
                      </w:r>
                    </w:p>
                    <w:p w14:paraId="2ED41C8A" w14:textId="77777777" w:rsidR="002E0E96" w:rsidRPr="00C25ADB" w:rsidRDefault="002E0E96"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D774B57" w14:textId="77777777" w:rsidR="00E10040" w:rsidRPr="00446569" w:rsidRDefault="00E10040" w:rsidP="00E10040">
      <w:pPr>
        <w:tabs>
          <w:tab w:val="center" w:pos="5400"/>
        </w:tabs>
        <w:suppressAutoHyphens/>
        <w:jc w:val="center"/>
        <w:rPr>
          <w:rFonts w:ascii="Cambria" w:hAnsi="Cambria"/>
          <w:sz w:val="22"/>
          <w:szCs w:val="22"/>
          <w:lang w:val="es-VE"/>
        </w:rPr>
      </w:pPr>
    </w:p>
    <w:p w14:paraId="449238D9" w14:textId="77777777" w:rsidR="00E10040" w:rsidRPr="00446569" w:rsidRDefault="00E10040" w:rsidP="00E10040">
      <w:pPr>
        <w:tabs>
          <w:tab w:val="center" w:pos="5400"/>
        </w:tabs>
        <w:suppressAutoHyphens/>
        <w:jc w:val="center"/>
        <w:rPr>
          <w:rFonts w:ascii="Cambria" w:hAnsi="Cambria"/>
          <w:sz w:val="22"/>
          <w:szCs w:val="22"/>
          <w:lang w:val="es-VE"/>
        </w:rPr>
      </w:pPr>
    </w:p>
    <w:p w14:paraId="389BBA6B" w14:textId="77777777" w:rsidR="00E10040" w:rsidRPr="00446569" w:rsidRDefault="00E10040" w:rsidP="00E10040">
      <w:pPr>
        <w:tabs>
          <w:tab w:val="center" w:pos="5400"/>
        </w:tabs>
        <w:suppressAutoHyphens/>
        <w:jc w:val="center"/>
        <w:rPr>
          <w:rFonts w:ascii="Cambria" w:hAnsi="Cambria" w:cs="Arial"/>
          <w:sz w:val="22"/>
          <w:szCs w:val="22"/>
          <w:lang w:val="es-VE"/>
        </w:rPr>
      </w:pPr>
    </w:p>
    <w:p w14:paraId="494B6FB1" w14:textId="77777777" w:rsidR="00E10040" w:rsidRPr="00446569" w:rsidRDefault="00E10040" w:rsidP="00E10040">
      <w:pPr>
        <w:tabs>
          <w:tab w:val="center" w:pos="5400"/>
        </w:tabs>
        <w:suppressAutoHyphens/>
        <w:jc w:val="center"/>
        <w:rPr>
          <w:rFonts w:ascii="Cambria" w:hAnsi="Cambria"/>
          <w:sz w:val="22"/>
          <w:szCs w:val="22"/>
          <w:lang w:val="es-VE"/>
        </w:rPr>
      </w:pPr>
    </w:p>
    <w:p w14:paraId="6E08A474" w14:textId="77777777" w:rsidR="00E10040" w:rsidRPr="00446569" w:rsidRDefault="00E10040" w:rsidP="00E10040">
      <w:pPr>
        <w:tabs>
          <w:tab w:val="center" w:pos="5400"/>
        </w:tabs>
        <w:suppressAutoHyphens/>
        <w:jc w:val="center"/>
        <w:rPr>
          <w:rFonts w:ascii="Cambria" w:hAnsi="Cambria"/>
          <w:sz w:val="22"/>
          <w:szCs w:val="22"/>
          <w:lang w:val="es-VE"/>
        </w:rPr>
      </w:pPr>
    </w:p>
    <w:p w14:paraId="5C99D719" w14:textId="77777777" w:rsidR="00E10040" w:rsidRPr="00446569" w:rsidRDefault="00E10040" w:rsidP="00E10040">
      <w:pPr>
        <w:tabs>
          <w:tab w:val="center" w:pos="5400"/>
        </w:tabs>
        <w:suppressAutoHyphens/>
        <w:jc w:val="center"/>
        <w:rPr>
          <w:rFonts w:ascii="Cambria" w:hAnsi="Cambria"/>
          <w:sz w:val="22"/>
          <w:szCs w:val="22"/>
          <w:lang w:val="es-VE"/>
        </w:rPr>
      </w:pPr>
    </w:p>
    <w:p w14:paraId="14DDB5B9" w14:textId="77777777" w:rsidR="00E10040" w:rsidRPr="00446569" w:rsidRDefault="00E10040" w:rsidP="00E10040">
      <w:pPr>
        <w:tabs>
          <w:tab w:val="center" w:pos="5400"/>
        </w:tabs>
        <w:suppressAutoHyphens/>
        <w:jc w:val="center"/>
        <w:rPr>
          <w:rFonts w:ascii="Cambria" w:hAnsi="Cambria"/>
          <w:sz w:val="22"/>
          <w:szCs w:val="22"/>
          <w:lang w:val="es-VE"/>
        </w:rPr>
      </w:pPr>
    </w:p>
    <w:p w14:paraId="1891334E" w14:textId="77777777" w:rsidR="00E10040" w:rsidRPr="00446569" w:rsidRDefault="00E10040" w:rsidP="00E10040">
      <w:pPr>
        <w:tabs>
          <w:tab w:val="center" w:pos="5400"/>
        </w:tabs>
        <w:suppressAutoHyphens/>
        <w:jc w:val="center"/>
        <w:rPr>
          <w:rFonts w:ascii="Cambria" w:hAnsi="Cambria"/>
          <w:sz w:val="22"/>
          <w:szCs w:val="22"/>
          <w:lang w:val="es-VE"/>
        </w:rPr>
      </w:pPr>
    </w:p>
    <w:p w14:paraId="1569FA8D" w14:textId="77777777" w:rsidR="00E10040" w:rsidRPr="00446569" w:rsidRDefault="00E10040" w:rsidP="00E10040">
      <w:pPr>
        <w:tabs>
          <w:tab w:val="center" w:pos="5400"/>
        </w:tabs>
        <w:suppressAutoHyphens/>
        <w:jc w:val="center"/>
        <w:rPr>
          <w:rFonts w:ascii="Cambria" w:hAnsi="Cambria"/>
          <w:sz w:val="22"/>
          <w:szCs w:val="22"/>
          <w:lang w:val="es-VE"/>
        </w:rPr>
      </w:pPr>
    </w:p>
    <w:p w14:paraId="1DBDA414" w14:textId="77777777" w:rsidR="00E10040" w:rsidRPr="00446569" w:rsidRDefault="00E10040" w:rsidP="00E10040">
      <w:pPr>
        <w:tabs>
          <w:tab w:val="center" w:pos="5400"/>
        </w:tabs>
        <w:suppressAutoHyphens/>
        <w:jc w:val="center"/>
        <w:rPr>
          <w:rFonts w:ascii="Cambria" w:hAnsi="Cambria"/>
          <w:sz w:val="22"/>
          <w:szCs w:val="22"/>
          <w:lang w:val="es-VE"/>
        </w:rPr>
      </w:pPr>
    </w:p>
    <w:p w14:paraId="0F4C573B" w14:textId="77777777" w:rsidR="00E10040" w:rsidRPr="00446569" w:rsidRDefault="00E10040" w:rsidP="00E10040">
      <w:pPr>
        <w:tabs>
          <w:tab w:val="center" w:pos="5400"/>
        </w:tabs>
        <w:suppressAutoHyphens/>
        <w:jc w:val="center"/>
        <w:rPr>
          <w:rFonts w:ascii="Cambria" w:hAnsi="Cambria"/>
          <w:sz w:val="22"/>
          <w:szCs w:val="22"/>
          <w:lang w:val="es-VE"/>
        </w:rPr>
      </w:pPr>
    </w:p>
    <w:p w14:paraId="7EBB1C3D" w14:textId="77777777" w:rsidR="00E10040" w:rsidRPr="00446569" w:rsidRDefault="00E10040" w:rsidP="00E10040">
      <w:pPr>
        <w:tabs>
          <w:tab w:val="center" w:pos="5400"/>
        </w:tabs>
        <w:suppressAutoHyphens/>
        <w:jc w:val="center"/>
        <w:rPr>
          <w:rFonts w:ascii="Cambria" w:hAnsi="Cambria"/>
          <w:sz w:val="22"/>
          <w:szCs w:val="22"/>
          <w:lang w:val="es-VE"/>
        </w:rPr>
      </w:pPr>
    </w:p>
    <w:p w14:paraId="6B375DFF" w14:textId="77777777" w:rsidR="00E10040" w:rsidRPr="00446569" w:rsidRDefault="00E10040" w:rsidP="00E10040">
      <w:pPr>
        <w:tabs>
          <w:tab w:val="center" w:pos="5400"/>
        </w:tabs>
        <w:suppressAutoHyphens/>
        <w:jc w:val="center"/>
        <w:rPr>
          <w:rFonts w:ascii="Cambria" w:hAnsi="Cambria"/>
          <w:sz w:val="22"/>
          <w:szCs w:val="22"/>
          <w:lang w:val="es-VE"/>
        </w:rPr>
      </w:pPr>
    </w:p>
    <w:p w14:paraId="461DF9FF" w14:textId="77777777" w:rsidR="00E10040" w:rsidRPr="00446569" w:rsidRDefault="00E10040" w:rsidP="00E10040">
      <w:pPr>
        <w:tabs>
          <w:tab w:val="center" w:pos="5400"/>
        </w:tabs>
        <w:suppressAutoHyphens/>
        <w:jc w:val="center"/>
        <w:rPr>
          <w:rFonts w:ascii="Cambria" w:hAnsi="Cambria"/>
          <w:sz w:val="22"/>
          <w:szCs w:val="22"/>
          <w:lang w:val="es-VE"/>
        </w:rPr>
      </w:pPr>
    </w:p>
    <w:p w14:paraId="070C76F2" w14:textId="77777777" w:rsidR="00E10040" w:rsidRPr="00446569" w:rsidRDefault="00E10040" w:rsidP="00E10040">
      <w:pPr>
        <w:tabs>
          <w:tab w:val="center" w:pos="5400"/>
        </w:tabs>
        <w:suppressAutoHyphens/>
        <w:jc w:val="center"/>
        <w:rPr>
          <w:rFonts w:ascii="Cambria" w:hAnsi="Cambria"/>
          <w:sz w:val="18"/>
          <w:szCs w:val="22"/>
          <w:lang w:val="es-VE"/>
        </w:rPr>
      </w:pPr>
    </w:p>
    <w:p w14:paraId="043BC416" w14:textId="77777777" w:rsidR="00E10040" w:rsidRPr="00446569" w:rsidRDefault="00E10040" w:rsidP="00E10040">
      <w:pPr>
        <w:tabs>
          <w:tab w:val="center" w:pos="5400"/>
        </w:tabs>
        <w:suppressAutoHyphens/>
        <w:jc w:val="center"/>
        <w:rPr>
          <w:rFonts w:ascii="Cambria" w:hAnsi="Cambria"/>
          <w:sz w:val="18"/>
          <w:szCs w:val="22"/>
          <w:lang w:val="es-VE"/>
        </w:rPr>
      </w:pPr>
    </w:p>
    <w:p w14:paraId="03DE2CE1" w14:textId="77777777" w:rsidR="00E10040" w:rsidRPr="00446569" w:rsidRDefault="00E10040" w:rsidP="00E10040">
      <w:pPr>
        <w:tabs>
          <w:tab w:val="center" w:pos="5400"/>
        </w:tabs>
        <w:suppressAutoHyphens/>
        <w:jc w:val="center"/>
        <w:rPr>
          <w:rFonts w:ascii="Cambria" w:hAnsi="Cambria"/>
          <w:sz w:val="18"/>
          <w:szCs w:val="22"/>
          <w:lang w:val="es-VE"/>
        </w:rPr>
      </w:pPr>
    </w:p>
    <w:p w14:paraId="7D6C5FA5" w14:textId="77777777" w:rsidR="00E10040" w:rsidRPr="00446569" w:rsidRDefault="00E10040" w:rsidP="00E10040">
      <w:pPr>
        <w:tabs>
          <w:tab w:val="center" w:pos="5400"/>
        </w:tabs>
        <w:suppressAutoHyphens/>
        <w:jc w:val="center"/>
        <w:rPr>
          <w:rFonts w:ascii="Cambria" w:hAnsi="Cambria"/>
          <w:sz w:val="18"/>
          <w:szCs w:val="22"/>
          <w:lang w:val="es-VE"/>
        </w:rPr>
      </w:pPr>
    </w:p>
    <w:p w14:paraId="419E27B7" w14:textId="77777777" w:rsidR="00E10040" w:rsidRPr="00446569" w:rsidRDefault="00E10040" w:rsidP="00E10040">
      <w:pPr>
        <w:tabs>
          <w:tab w:val="center" w:pos="5400"/>
        </w:tabs>
        <w:suppressAutoHyphens/>
        <w:jc w:val="center"/>
        <w:rPr>
          <w:rFonts w:ascii="Cambria" w:hAnsi="Cambria"/>
          <w:sz w:val="18"/>
          <w:szCs w:val="22"/>
          <w:lang w:val="es-VE"/>
        </w:rPr>
      </w:pPr>
    </w:p>
    <w:p w14:paraId="6B666B2C" w14:textId="77777777" w:rsidR="00E10040" w:rsidRPr="00446569" w:rsidRDefault="00E10040" w:rsidP="00E10040">
      <w:pPr>
        <w:tabs>
          <w:tab w:val="center" w:pos="5400"/>
        </w:tabs>
        <w:suppressAutoHyphens/>
        <w:jc w:val="center"/>
        <w:rPr>
          <w:rFonts w:ascii="Cambria" w:hAnsi="Cambria"/>
          <w:sz w:val="18"/>
          <w:szCs w:val="22"/>
          <w:lang w:val="es-VE"/>
        </w:rPr>
      </w:pPr>
    </w:p>
    <w:p w14:paraId="532A7311" w14:textId="77777777" w:rsidR="00E10040" w:rsidRPr="00446569" w:rsidRDefault="00E10040" w:rsidP="00E10040">
      <w:pPr>
        <w:tabs>
          <w:tab w:val="center" w:pos="5400"/>
        </w:tabs>
        <w:suppressAutoHyphens/>
        <w:jc w:val="center"/>
        <w:rPr>
          <w:rFonts w:ascii="Cambria" w:hAnsi="Cambria"/>
          <w:sz w:val="18"/>
          <w:szCs w:val="22"/>
          <w:lang w:val="es-VE"/>
        </w:rPr>
      </w:pPr>
    </w:p>
    <w:p w14:paraId="1E8D253A" w14:textId="77777777" w:rsidR="00E10040" w:rsidRPr="00446569" w:rsidRDefault="00E10040" w:rsidP="00E10040">
      <w:pPr>
        <w:tabs>
          <w:tab w:val="center" w:pos="5400"/>
        </w:tabs>
        <w:suppressAutoHyphens/>
        <w:jc w:val="center"/>
        <w:rPr>
          <w:rFonts w:ascii="Cambria" w:hAnsi="Cambria"/>
          <w:sz w:val="18"/>
          <w:szCs w:val="22"/>
          <w:lang w:val="es-VE"/>
        </w:rPr>
      </w:pPr>
    </w:p>
    <w:p w14:paraId="27D9D194" w14:textId="77777777" w:rsidR="00E10040" w:rsidRPr="00446569" w:rsidRDefault="00E10040" w:rsidP="00E10040">
      <w:pPr>
        <w:tabs>
          <w:tab w:val="center" w:pos="5400"/>
        </w:tabs>
        <w:suppressAutoHyphens/>
        <w:jc w:val="center"/>
        <w:rPr>
          <w:rFonts w:ascii="Cambria" w:hAnsi="Cambria"/>
          <w:sz w:val="18"/>
          <w:szCs w:val="22"/>
          <w:lang w:val="es-VE"/>
        </w:rPr>
      </w:pPr>
    </w:p>
    <w:p w14:paraId="6A49D462" w14:textId="77777777" w:rsidR="00E10040" w:rsidRPr="00446569" w:rsidRDefault="00E10040" w:rsidP="00E10040">
      <w:pPr>
        <w:tabs>
          <w:tab w:val="center" w:pos="5400"/>
        </w:tabs>
        <w:suppressAutoHyphens/>
        <w:jc w:val="center"/>
        <w:rPr>
          <w:rFonts w:ascii="Cambria" w:hAnsi="Cambria"/>
          <w:sz w:val="18"/>
          <w:szCs w:val="22"/>
          <w:lang w:val="es-VE"/>
        </w:rPr>
      </w:pPr>
    </w:p>
    <w:p w14:paraId="2D65A798" w14:textId="77777777" w:rsidR="00E10040" w:rsidRPr="00446569" w:rsidRDefault="00E10040" w:rsidP="00E10040">
      <w:pPr>
        <w:tabs>
          <w:tab w:val="center" w:pos="5400"/>
        </w:tabs>
        <w:suppressAutoHyphens/>
        <w:jc w:val="center"/>
        <w:rPr>
          <w:rFonts w:ascii="Cambria" w:hAnsi="Cambria"/>
          <w:sz w:val="18"/>
          <w:szCs w:val="22"/>
          <w:lang w:val="es-VE"/>
        </w:rPr>
      </w:pPr>
    </w:p>
    <w:p w14:paraId="2FDB2C97" w14:textId="77777777" w:rsidR="00E10040" w:rsidRPr="00446569" w:rsidRDefault="00E10040" w:rsidP="00E10040">
      <w:pPr>
        <w:tabs>
          <w:tab w:val="center" w:pos="5400"/>
        </w:tabs>
        <w:suppressAutoHyphens/>
        <w:jc w:val="center"/>
        <w:rPr>
          <w:rFonts w:ascii="Cambria" w:hAnsi="Cambria"/>
          <w:sz w:val="18"/>
          <w:szCs w:val="22"/>
          <w:lang w:val="es-VE"/>
        </w:rPr>
      </w:pPr>
    </w:p>
    <w:p w14:paraId="064A6371" w14:textId="77777777" w:rsidR="00E10040" w:rsidRPr="00446569" w:rsidRDefault="00E10040" w:rsidP="00E10040">
      <w:pPr>
        <w:tabs>
          <w:tab w:val="center" w:pos="5400"/>
        </w:tabs>
        <w:suppressAutoHyphens/>
        <w:jc w:val="center"/>
        <w:rPr>
          <w:rFonts w:ascii="Cambria" w:hAnsi="Cambria"/>
          <w:sz w:val="18"/>
          <w:szCs w:val="22"/>
          <w:lang w:val="es-VE"/>
        </w:rPr>
      </w:pPr>
    </w:p>
    <w:p w14:paraId="6ED59D92" w14:textId="77777777" w:rsidR="00E10040" w:rsidRPr="00446569" w:rsidRDefault="00E10040" w:rsidP="00E10040">
      <w:pPr>
        <w:tabs>
          <w:tab w:val="center" w:pos="5400"/>
        </w:tabs>
        <w:suppressAutoHyphens/>
        <w:jc w:val="center"/>
        <w:rPr>
          <w:rFonts w:ascii="Cambria" w:hAnsi="Cambria"/>
          <w:sz w:val="18"/>
          <w:szCs w:val="22"/>
          <w:lang w:val="es-VE"/>
        </w:rPr>
      </w:pPr>
    </w:p>
    <w:p w14:paraId="140ADABC" w14:textId="77777777" w:rsidR="00E10040" w:rsidRPr="00446569" w:rsidRDefault="00E10040" w:rsidP="00E10040">
      <w:pPr>
        <w:tabs>
          <w:tab w:val="center" w:pos="5400"/>
        </w:tabs>
        <w:suppressAutoHyphens/>
        <w:jc w:val="center"/>
        <w:rPr>
          <w:rFonts w:ascii="Cambria" w:hAnsi="Cambria"/>
          <w:sz w:val="18"/>
          <w:szCs w:val="22"/>
          <w:lang w:val="es-VE"/>
        </w:rPr>
      </w:pPr>
      <w:r w:rsidRPr="00446569">
        <w:rPr>
          <w:rFonts w:ascii="Cambria" w:hAnsi="Cambria"/>
          <w:noProof/>
          <w:sz w:val="22"/>
          <w:szCs w:val="22"/>
        </w:rPr>
        <mc:AlternateContent>
          <mc:Choice Requires="wps">
            <w:drawing>
              <wp:anchor distT="0" distB="0" distL="114300" distR="114300" simplePos="0" relativeHeight="251661312" behindDoc="0" locked="0" layoutInCell="1" allowOverlap="1" wp14:anchorId="24734B66" wp14:editId="7620447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2C42D" w14:textId="7478B81B" w:rsidR="002E0E96" w:rsidRPr="00E10040" w:rsidRDefault="002E0E96"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sidR="00841E8E">
                              <w:rPr>
                                <w:rFonts w:ascii="Cambria" w:hAnsi="Cambria"/>
                                <w:color w:val="0D0D0D" w:themeColor="text1" w:themeTint="F2"/>
                                <w:sz w:val="18"/>
                                <w:szCs w:val="22"/>
                                <w:lang w:val="es-ES"/>
                              </w:rPr>
                              <w:t>13</w:t>
                            </w:r>
                            <w:r w:rsidRPr="00E10040">
                              <w:rPr>
                                <w:rFonts w:ascii="Cambria" w:hAnsi="Cambria"/>
                                <w:color w:val="0D0D0D" w:themeColor="text1" w:themeTint="F2"/>
                                <w:sz w:val="18"/>
                                <w:szCs w:val="22"/>
                                <w:lang w:val="es-ES"/>
                              </w:rPr>
                              <w:t xml:space="preserve"> de </w:t>
                            </w:r>
                            <w:r w:rsidR="00841E8E">
                              <w:rPr>
                                <w:rFonts w:ascii="Cambria" w:hAnsi="Cambria"/>
                                <w:color w:val="0D0D0D" w:themeColor="text1" w:themeTint="F2"/>
                                <w:sz w:val="18"/>
                                <w:szCs w:val="22"/>
                                <w:lang w:val="es-ES"/>
                              </w:rPr>
                              <w:t>octubre</w:t>
                            </w:r>
                            <w:r w:rsidRPr="00E10040">
                              <w:rPr>
                                <w:rFonts w:ascii="Cambria" w:hAnsi="Cambria"/>
                                <w:color w:val="0D0D0D" w:themeColor="text1" w:themeTint="F2"/>
                                <w:sz w:val="18"/>
                                <w:szCs w:val="22"/>
                                <w:lang w:val="es-ES"/>
                              </w:rPr>
                              <w:t xml:space="preserve"> de 2020</w:t>
                            </w:r>
                            <w:r w:rsidR="00691470">
                              <w:rPr>
                                <w:rFonts w:ascii="Cambria" w:hAnsi="Cambria"/>
                                <w:color w:val="0D0D0D" w:themeColor="text1" w:themeTint="F2"/>
                                <w:sz w:val="18"/>
                                <w:szCs w:val="22"/>
                                <w:lang w:val="es-ES"/>
                              </w:rPr>
                              <w:t>.</w:t>
                            </w:r>
                          </w:p>
                          <w:p w14:paraId="31ECACB8" w14:textId="77777777" w:rsidR="002E0E96" w:rsidRPr="00E10040" w:rsidRDefault="002E0E96"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2E0E96" w:rsidRPr="00E10040" w:rsidRDefault="002E0E96" w:rsidP="00E10040">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34B66"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3C2C42D" w14:textId="7478B81B" w:rsidR="002E0E96" w:rsidRPr="00E10040" w:rsidRDefault="002E0E96"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sidR="00841E8E">
                        <w:rPr>
                          <w:rFonts w:ascii="Cambria" w:hAnsi="Cambria"/>
                          <w:color w:val="0D0D0D" w:themeColor="text1" w:themeTint="F2"/>
                          <w:sz w:val="18"/>
                          <w:szCs w:val="22"/>
                          <w:lang w:val="es-ES"/>
                        </w:rPr>
                        <w:t>13</w:t>
                      </w:r>
                      <w:r w:rsidRPr="00E10040">
                        <w:rPr>
                          <w:rFonts w:ascii="Cambria" w:hAnsi="Cambria"/>
                          <w:color w:val="0D0D0D" w:themeColor="text1" w:themeTint="F2"/>
                          <w:sz w:val="18"/>
                          <w:szCs w:val="22"/>
                          <w:lang w:val="es-ES"/>
                        </w:rPr>
                        <w:t xml:space="preserve"> de </w:t>
                      </w:r>
                      <w:r w:rsidR="00841E8E">
                        <w:rPr>
                          <w:rFonts w:ascii="Cambria" w:hAnsi="Cambria"/>
                          <w:color w:val="0D0D0D" w:themeColor="text1" w:themeTint="F2"/>
                          <w:sz w:val="18"/>
                          <w:szCs w:val="22"/>
                          <w:lang w:val="es-ES"/>
                        </w:rPr>
                        <w:t>octubre</w:t>
                      </w:r>
                      <w:r w:rsidRPr="00E10040">
                        <w:rPr>
                          <w:rFonts w:ascii="Cambria" w:hAnsi="Cambria"/>
                          <w:color w:val="0D0D0D" w:themeColor="text1" w:themeTint="F2"/>
                          <w:sz w:val="18"/>
                          <w:szCs w:val="22"/>
                          <w:lang w:val="es-ES"/>
                        </w:rPr>
                        <w:t xml:space="preserve"> de 2020</w:t>
                      </w:r>
                      <w:r w:rsidR="00691470">
                        <w:rPr>
                          <w:rFonts w:ascii="Cambria" w:hAnsi="Cambria"/>
                          <w:color w:val="0D0D0D" w:themeColor="text1" w:themeTint="F2"/>
                          <w:sz w:val="18"/>
                          <w:szCs w:val="22"/>
                          <w:lang w:val="es-ES"/>
                        </w:rPr>
                        <w:t>.</w:t>
                      </w:r>
                    </w:p>
                    <w:p w14:paraId="31ECACB8" w14:textId="77777777" w:rsidR="002E0E96" w:rsidRPr="00E10040" w:rsidRDefault="002E0E96"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2E0E96" w:rsidRPr="00E10040" w:rsidRDefault="002E0E96" w:rsidP="00E10040">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7F7618F6" w14:textId="77777777" w:rsidR="00E10040" w:rsidRPr="00446569" w:rsidRDefault="00E10040" w:rsidP="00E10040">
      <w:pPr>
        <w:tabs>
          <w:tab w:val="center" w:pos="5400"/>
        </w:tabs>
        <w:suppressAutoHyphens/>
        <w:jc w:val="center"/>
        <w:rPr>
          <w:rFonts w:ascii="Cambria" w:hAnsi="Cambria"/>
          <w:sz w:val="18"/>
          <w:szCs w:val="22"/>
          <w:lang w:val="es-VE"/>
        </w:rPr>
      </w:pPr>
    </w:p>
    <w:p w14:paraId="70A89E2F" w14:textId="77777777" w:rsidR="00E10040" w:rsidRPr="00446569" w:rsidRDefault="00E10040" w:rsidP="00E10040">
      <w:pPr>
        <w:tabs>
          <w:tab w:val="center" w:pos="5400"/>
        </w:tabs>
        <w:suppressAutoHyphens/>
        <w:jc w:val="center"/>
        <w:rPr>
          <w:rFonts w:ascii="Cambria" w:hAnsi="Cambria"/>
          <w:sz w:val="18"/>
          <w:szCs w:val="22"/>
          <w:lang w:val="es-VE"/>
        </w:rPr>
      </w:pPr>
    </w:p>
    <w:p w14:paraId="0FC964FE" w14:textId="77777777" w:rsidR="00E10040" w:rsidRPr="00446569" w:rsidRDefault="00E10040" w:rsidP="00E10040">
      <w:pPr>
        <w:tabs>
          <w:tab w:val="center" w:pos="5400"/>
        </w:tabs>
        <w:suppressAutoHyphens/>
        <w:jc w:val="center"/>
        <w:rPr>
          <w:rFonts w:ascii="Cambria" w:hAnsi="Cambria"/>
          <w:sz w:val="18"/>
          <w:szCs w:val="22"/>
          <w:lang w:val="es-VE"/>
        </w:rPr>
      </w:pPr>
    </w:p>
    <w:p w14:paraId="3C3417C0" w14:textId="77777777" w:rsidR="00E10040" w:rsidRPr="00446569" w:rsidRDefault="00E10040" w:rsidP="00E10040">
      <w:pPr>
        <w:tabs>
          <w:tab w:val="center" w:pos="5400"/>
        </w:tabs>
        <w:suppressAutoHyphens/>
        <w:jc w:val="center"/>
        <w:rPr>
          <w:rFonts w:ascii="Cambria" w:hAnsi="Cambria"/>
          <w:sz w:val="18"/>
          <w:szCs w:val="22"/>
          <w:lang w:val="es-VE"/>
        </w:rPr>
      </w:pPr>
    </w:p>
    <w:p w14:paraId="357FF26C" w14:textId="77777777" w:rsidR="00E10040" w:rsidRPr="00446569" w:rsidRDefault="00E10040" w:rsidP="00E10040">
      <w:pPr>
        <w:tabs>
          <w:tab w:val="center" w:pos="5400"/>
        </w:tabs>
        <w:suppressAutoHyphens/>
        <w:jc w:val="center"/>
        <w:rPr>
          <w:rFonts w:ascii="Cambria" w:hAnsi="Cambria"/>
          <w:sz w:val="18"/>
          <w:szCs w:val="22"/>
          <w:lang w:val="es-VE"/>
        </w:rPr>
      </w:pPr>
      <w:r w:rsidRPr="00446569">
        <w:rPr>
          <w:rFonts w:ascii="Cambria" w:hAnsi="Cambria"/>
          <w:noProof/>
          <w:sz w:val="18"/>
          <w:szCs w:val="22"/>
        </w:rPr>
        <mc:AlternateContent>
          <mc:Choice Requires="wps">
            <w:drawing>
              <wp:anchor distT="0" distB="0" distL="114300" distR="114300" simplePos="0" relativeHeight="251664384" behindDoc="0" locked="0" layoutInCell="1" allowOverlap="1" wp14:anchorId="4EEEB2B0" wp14:editId="74821235">
                <wp:simplePos x="0" y="0"/>
                <wp:positionH relativeFrom="column">
                  <wp:posOffset>1333499</wp:posOffset>
                </wp:positionH>
                <wp:positionV relativeFrom="paragraph">
                  <wp:posOffset>3901</wp:posOffset>
                </wp:positionV>
                <wp:extent cx="5159829"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159829"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F235F" w14:textId="18AA7621" w:rsidR="002E0E96" w:rsidRPr="00E10040" w:rsidRDefault="002E0E96"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Informe No. </w:t>
                            </w:r>
                            <w:r w:rsidR="00841E8E" w:rsidRPr="00841E8E">
                              <w:rPr>
                                <w:rFonts w:ascii="Cambria" w:hAnsi="Cambria"/>
                                <w:color w:val="595959" w:themeColor="text1" w:themeTint="A6"/>
                                <w:sz w:val="18"/>
                                <w:szCs w:val="18"/>
                                <w:lang w:val="pt-BR"/>
                              </w:rPr>
                              <w:t>279</w:t>
                            </w:r>
                            <w:r w:rsidRPr="00841E8E">
                              <w:rPr>
                                <w:rFonts w:ascii="Cambria" w:hAnsi="Cambria"/>
                                <w:color w:val="595959" w:themeColor="text1" w:themeTint="A6"/>
                                <w:sz w:val="18"/>
                                <w:szCs w:val="18"/>
                                <w:lang w:val="pt-BR"/>
                              </w:rPr>
                              <w:t xml:space="preserve">/20. </w:t>
                            </w:r>
                            <w:proofErr w:type="spellStart"/>
                            <w:r w:rsidRPr="00E10040">
                              <w:rPr>
                                <w:rFonts w:ascii="Cambria" w:hAnsi="Cambria"/>
                                <w:color w:val="595959" w:themeColor="text1" w:themeTint="A6"/>
                                <w:sz w:val="18"/>
                                <w:szCs w:val="18"/>
                                <w:lang w:val="es-ES_tradnl"/>
                              </w:rPr>
                              <w:t>Petici</w:t>
                            </w:r>
                            <w:r w:rsidRPr="00E10040">
                              <w:rPr>
                                <w:rFonts w:ascii="Cambria" w:hAnsi="Cambria"/>
                                <w:color w:val="595959" w:themeColor="text1" w:themeTint="A6"/>
                                <w:sz w:val="18"/>
                                <w:szCs w:val="18"/>
                                <w:lang w:val="es-ES"/>
                              </w:rPr>
                              <w:t>ón</w:t>
                            </w:r>
                            <w:proofErr w:type="spellEnd"/>
                            <w:r w:rsidRPr="00E10040">
                              <w:rPr>
                                <w:rFonts w:ascii="Cambria" w:hAnsi="Cambria"/>
                                <w:color w:val="595959" w:themeColor="text1" w:themeTint="A6"/>
                                <w:sz w:val="18"/>
                                <w:szCs w:val="18"/>
                                <w:lang w:val="es-ES"/>
                              </w:rPr>
                              <w:t xml:space="preserve"> </w:t>
                            </w:r>
                            <w:r>
                              <w:rPr>
                                <w:rFonts w:ascii="Cambria" w:hAnsi="Cambria"/>
                                <w:color w:val="595959" w:themeColor="text1" w:themeTint="A6"/>
                                <w:sz w:val="18"/>
                                <w:szCs w:val="18"/>
                                <w:lang w:val="es-ES"/>
                              </w:rPr>
                              <w:t>404-09</w:t>
                            </w:r>
                            <w:r w:rsidRPr="00E10040">
                              <w:rPr>
                                <w:rFonts w:ascii="Cambria" w:hAnsi="Cambria"/>
                                <w:color w:val="595959" w:themeColor="text1" w:themeTint="A6"/>
                                <w:sz w:val="18"/>
                                <w:szCs w:val="18"/>
                                <w:lang w:val="es-ES"/>
                              </w:rPr>
                              <w:t xml:space="preserve">. </w:t>
                            </w:r>
                            <w:r w:rsidRPr="00E10040">
                              <w:rPr>
                                <w:rFonts w:ascii="Cambria" w:hAnsi="Cambria"/>
                                <w:color w:val="595959" w:themeColor="text1" w:themeTint="A6"/>
                                <w:sz w:val="18"/>
                                <w:szCs w:val="18"/>
                                <w:lang w:val="es-ES_tradnl"/>
                              </w:rPr>
                              <w:t xml:space="preserve">Admisibilidad. </w:t>
                            </w:r>
                            <w:r>
                              <w:rPr>
                                <w:rFonts w:ascii="Cambria" w:hAnsi="Cambria"/>
                                <w:color w:val="595959" w:themeColor="text1" w:themeTint="A6"/>
                                <w:sz w:val="18"/>
                                <w:szCs w:val="18"/>
                                <w:lang w:val="es-ES_tradnl"/>
                              </w:rPr>
                              <w:t>Pedro José Adarve Jiménez</w:t>
                            </w:r>
                            <w:r w:rsidR="00841E8E">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ES_tradnl"/>
                              </w:rPr>
                              <w:t>Colombia</w:t>
                            </w:r>
                            <w:r w:rsidRPr="00E10040">
                              <w:rPr>
                                <w:rFonts w:ascii="Cambria" w:hAnsi="Cambria"/>
                                <w:color w:val="595959" w:themeColor="text1" w:themeTint="A6"/>
                                <w:sz w:val="18"/>
                                <w:szCs w:val="18"/>
                                <w:lang w:val="es-ES_tradnl"/>
                              </w:rPr>
                              <w:t xml:space="preserve">. </w:t>
                            </w:r>
                            <w:r w:rsidR="00841E8E">
                              <w:rPr>
                                <w:rFonts w:ascii="Cambria" w:hAnsi="Cambria"/>
                                <w:color w:val="595959" w:themeColor="text1" w:themeTint="A6"/>
                                <w:sz w:val="18"/>
                                <w:szCs w:val="18"/>
                                <w:lang w:val="es-ES"/>
                              </w:rPr>
                              <w:t>13 de octubre de 2020</w:t>
                            </w:r>
                            <w:r w:rsidRPr="00E10040">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EEEB2B0" id="Text Box 10" o:spid="_x0000_s1030" type="#_x0000_t202" style="position:absolute;left:0;text-align:left;margin-left:105pt;margin-top:.3pt;width:406.3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" filled="f" stroked="f" strokeweight=".5pt">
                <v:textbox>
                  <w:txbxContent>
                    <w:p w14:paraId="71AF235F" w14:textId="18AA7621" w:rsidR="002E0E96" w:rsidRPr="00E10040" w:rsidRDefault="002E0E96"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Informe No. </w:t>
                      </w:r>
                      <w:r w:rsidR="00841E8E" w:rsidRPr="00841E8E">
                        <w:rPr>
                          <w:rFonts w:ascii="Cambria" w:hAnsi="Cambria"/>
                          <w:color w:val="595959" w:themeColor="text1" w:themeTint="A6"/>
                          <w:sz w:val="18"/>
                          <w:szCs w:val="18"/>
                          <w:lang w:val="pt-BR"/>
                        </w:rPr>
                        <w:t>279</w:t>
                      </w:r>
                      <w:r w:rsidRPr="00841E8E">
                        <w:rPr>
                          <w:rFonts w:ascii="Cambria" w:hAnsi="Cambria"/>
                          <w:color w:val="595959" w:themeColor="text1" w:themeTint="A6"/>
                          <w:sz w:val="18"/>
                          <w:szCs w:val="18"/>
                          <w:lang w:val="pt-BR"/>
                        </w:rPr>
                        <w:t xml:space="preserve">/20. </w:t>
                      </w:r>
                      <w:r w:rsidRPr="00E10040">
                        <w:rPr>
                          <w:rFonts w:ascii="Cambria" w:hAnsi="Cambria"/>
                          <w:color w:val="595959" w:themeColor="text1" w:themeTint="A6"/>
                          <w:sz w:val="18"/>
                          <w:szCs w:val="18"/>
                          <w:lang w:val="es-ES_tradnl"/>
                        </w:rPr>
                        <w:t>Petici</w:t>
                      </w:r>
                      <w:r w:rsidRPr="00E10040">
                        <w:rPr>
                          <w:rFonts w:ascii="Cambria" w:hAnsi="Cambria"/>
                          <w:color w:val="595959" w:themeColor="text1" w:themeTint="A6"/>
                          <w:sz w:val="18"/>
                          <w:szCs w:val="18"/>
                          <w:lang w:val="es-ES"/>
                        </w:rPr>
                        <w:t xml:space="preserve">ón </w:t>
                      </w:r>
                      <w:r>
                        <w:rPr>
                          <w:rFonts w:ascii="Cambria" w:hAnsi="Cambria"/>
                          <w:color w:val="595959" w:themeColor="text1" w:themeTint="A6"/>
                          <w:sz w:val="18"/>
                          <w:szCs w:val="18"/>
                          <w:lang w:val="es-ES"/>
                        </w:rPr>
                        <w:t>404-09</w:t>
                      </w:r>
                      <w:r w:rsidRPr="00E10040">
                        <w:rPr>
                          <w:rFonts w:ascii="Cambria" w:hAnsi="Cambria"/>
                          <w:color w:val="595959" w:themeColor="text1" w:themeTint="A6"/>
                          <w:sz w:val="18"/>
                          <w:szCs w:val="18"/>
                          <w:lang w:val="es-ES"/>
                        </w:rPr>
                        <w:t xml:space="preserve">. </w:t>
                      </w:r>
                      <w:r w:rsidRPr="00E10040">
                        <w:rPr>
                          <w:rFonts w:ascii="Cambria" w:hAnsi="Cambria"/>
                          <w:color w:val="595959" w:themeColor="text1" w:themeTint="A6"/>
                          <w:sz w:val="18"/>
                          <w:szCs w:val="18"/>
                          <w:lang w:val="es-ES_tradnl"/>
                        </w:rPr>
                        <w:t xml:space="preserve">Admisibilidad. </w:t>
                      </w:r>
                      <w:r>
                        <w:rPr>
                          <w:rFonts w:ascii="Cambria" w:hAnsi="Cambria"/>
                          <w:color w:val="595959" w:themeColor="text1" w:themeTint="A6"/>
                          <w:sz w:val="18"/>
                          <w:szCs w:val="18"/>
                          <w:lang w:val="es-ES_tradnl"/>
                        </w:rPr>
                        <w:t>Pedro José Adarve Jiménez</w:t>
                      </w:r>
                      <w:r w:rsidR="00841E8E">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ES_tradnl"/>
                        </w:rPr>
                        <w:t>Colombia</w:t>
                      </w:r>
                      <w:r w:rsidRPr="00E10040">
                        <w:rPr>
                          <w:rFonts w:ascii="Cambria" w:hAnsi="Cambria"/>
                          <w:color w:val="595959" w:themeColor="text1" w:themeTint="A6"/>
                          <w:sz w:val="18"/>
                          <w:szCs w:val="18"/>
                          <w:lang w:val="es-ES_tradnl"/>
                        </w:rPr>
                        <w:t xml:space="preserve">. </w:t>
                      </w:r>
                      <w:r w:rsidR="00841E8E">
                        <w:rPr>
                          <w:rFonts w:ascii="Cambria" w:hAnsi="Cambria"/>
                          <w:color w:val="595959" w:themeColor="text1" w:themeTint="A6"/>
                          <w:sz w:val="18"/>
                          <w:szCs w:val="18"/>
                          <w:lang w:val="es-ES"/>
                        </w:rPr>
                        <w:t>13 de octubre de 2020</w:t>
                      </w:r>
                      <w:r w:rsidRPr="00E10040">
                        <w:rPr>
                          <w:rFonts w:ascii="Cambria" w:hAnsi="Cambria"/>
                          <w:color w:val="595959" w:themeColor="text1" w:themeTint="A6"/>
                          <w:sz w:val="18"/>
                          <w:szCs w:val="18"/>
                          <w:lang w:val="es-ES"/>
                        </w:rPr>
                        <w:t>.</w:t>
                      </w:r>
                    </w:p>
                  </w:txbxContent>
                </v:textbox>
              </v:shape>
            </w:pict>
          </mc:Fallback>
        </mc:AlternateContent>
      </w:r>
    </w:p>
    <w:p w14:paraId="0883F2A1" w14:textId="77777777" w:rsidR="00E10040" w:rsidRPr="00446569" w:rsidRDefault="00E10040" w:rsidP="00E10040">
      <w:pPr>
        <w:tabs>
          <w:tab w:val="center" w:pos="5400"/>
        </w:tabs>
        <w:suppressAutoHyphens/>
        <w:jc w:val="center"/>
        <w:rPr>
          <w:rFonts w:ascii="Cambria" w:hAnsi="Cambria"/>
          <w:sz w:val="18"/>
          <w:szCs w:val="22"/>
          <w:lang w:val="es-VE"/>
        </w:rPr>
      </w:pPr>
    </w:p>
    <w:p w14:paraId="48FFB25A" w14:textId="77777777" w:rsidR="00E10040" w:rsidRPr="00446569" w:rsidRDefault="00E10040" w:rsidP="00E10040">
      <w:pPr>
        <w:tabs>
          <w:tab w:val="center" w:pos="5400"/>
        </w:tabs>
        <w:suppressAutoHyphens/>
        <w:jc w:val="center"/>
        <w:rPr>
          <w:rFonts w:ascii="Cambria" w:hAnsi="Cambria"/>
          <w:b/>
          <w:sz w:val="20"/>
          <w:lang w:val="es-VE"/>
        </w:rPr>
      </w:pPr>
      <w:r w:rsidRPr="00446569">
        <w:rPr>
          <w:rFonts w:ascii="Cambria" w:hAnsi="Cambria"/>
          <w:noProof/>
          <w:sz w:val="18"/>
          <w:szCs w:val="22"/>
        </w:rPr>
        <mc:AlternateContent>
          <mc:Choice Requires="wps">
            <w:drawing>
              <wp:anchor distT="0" distB="0" distL="114300" distR="114300" simplePos="0" relativeHeight="251665408" behindDoc="0" locked="0" layoutInCell="1" allowOverlap="1" wp14:anchorId="4CE4CD41" wp14:editId="00A3278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278D0" w14:textId="77777777" w:rsidR="002E0E96" w:rsidRPr="00D72DC6" w:rsidRDefault="002E0E96"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CE4CD41"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C6278D0" w14:textId="77777777" w:rsidR="002E0E96" w:rsidRPr="00D72DC6" w:rsidRDefault="002E0E96"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446569">
        <w:rPr>
          <w:rFonts w:ascii="Cambria" w:hAnsi="Cambria"/>
          <w:noProof/>
          <w:sz w:val="22"/>
          <w:szCs w:val="22"/>
        </w:rPr>
        <mc:AlternateContent>
          <mc:Choice Requires="wps">
            <w:drawing>
              <wp:anchor distT="0" distB="0" distL="114300" distR="114300" simplePos="0" relativeHeight="251666432" behindDoc="0" locked="0" layoutInCell="1" allowOverlap="1" wp14:anchorId="0E305BFC" wp14:editId="7045824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FE7CF" w14:textId="77777777" w:rsidR="002E0E96" w:rsidRPr="004B7EB6" w:rsidRDefault="002E0E96"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E305BFC"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40FE7CF" w14:textId="77777777" w:rsidR="002E0E96" w:rsidRPr="004B7EB6" w:rsidRDefault="002E0E96"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69F273" w14:textId="77777777" w:rsidR="00E10040" w:rsidRPr="00446569" w:rsidRDefault="00E10040" w:rsidP="00E10040">
      <w:pPr>
        <w:tabs>
          <w:tab w:val="center" w:pos="5400"/>
        </w:tabs>
        <w:suppressAutoHyphens/>
        <w:jc w:val="center"/>
        <w:rPr>
          <w:rFonts w:ascii="Cambria" w:hAnsi="Cambria"/>
          <w:b/>
          <w:sz w:val="20"/>
          <w:lang w:val="es-VE"/>
        </w:rPr>
        <w:sectPr w:rsidR="00E10040" w:rsidRPr="00446569" w:rsidSect="00E1004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26"/>
        </w:sectPr>
      </w:pPr>
      <w:r w:rsidRPr="00446569">
        <w:rPr>
          <w:rFonts w:ascii="Cambria" w:hAnsi="Cambria"/>
          <w:b/>
          <w:sz w:val="20"/>
          <w:lang w:val="es-VE"/>
        </w:rPr>
        <w:tab/>
      </w:r>
    </w:p>
    <w:p w14:paraId="3F86F1C1" w14:textId="77777777" w:rsidR="00E10040" w:rsidRPr="00446569" w:rsidRDefault="00E10040" w:rsidP="00E10040">
      <w:pPr>
        <w:spacing w:after="240"/>
        <w:ind w:firstLine="720"/>
        <w:jc w:val="both"/>
        <w:rPr>
          <w:rFonts w:ascii="Cambria" w:hAnsi="Cambria"/>
          <w:b/>
          <w:bCs/>
          <w:sz w:val="20"/>
          <w:szCs w:val="20"/>
          <w:lang w:val="es-VE"/>
        </w:rPr>
      </w:pPr>
      <w:r w:rsidRPr="00446569">
        <w:rPr>
          <w:rFonts w:ascii="Cambria" w:hAnsi="Cambria"/>
          <w:b/>
          <w:bCs/>
          <w:sz w:val="20"/>
          <w:szCs w:val="20"/>
          <w:lang w:val="es-VE"/>
        </w:rPr>
        <w:lastRenderedPageBreak/>
        <w:t>I.</w:t>
      </w:r>
      <w:r w:rsidRPr="00446569">
        <w:rPr>
          <w:rFonts w:ascii="Cambria" w:hAnsi="Cambria"/>
          <w:b/>
          <w:bCs/>
          <w:sz w:val="20"/>
          <w:szCs w:val="20"/>
          <w:lang w:val="es-VE"/>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446569" w14:paraId="4097B42D" w14:textId="77777777" w:rsidTr="004A1F4C">
        <w:tc>
          <w:tcPr>
            <w:tcW w:w="3600" w:type="dxa"/>
            <w:tcBorders>
              <w:top w:val="single" w:sz="4" w:space="0" w:color="auto"/>
              <w:bottom w:val="single" w:sz="6" w:space="0" w:color="auto"/>
            </w:tcBorders>
            <w:shd w:val="clear" w:color="auto" w:fill="386294"/>
            <w:vAlign w:val="center"/>
          </w:tcPr>
          <w:p w14:paraId="36F559FF" w14:textId="77777777" w:rsidR="00E10040" w:rsidRPr="00446569" w:rsidRDefault="00E10040" w:rsidP="004A1F4C">
            <w:pPr>
              <w:jc w:val="center"/>
              <w:rPr>
                <w:rFonts w:ascii="Cambria" w:hAnsi="Cambria"/>
                <w:b/>
                <w:bCs/>
                <w:color w:val="FFFFFF" w:themeColor="background1"/>
                <w:sz w:val="20"/>
                <w:szCs w:val="20"/>
                <w:lang w:val="es-VE"/>
              </w:rPr>
            </w:pPr>
            <w:r w:rsidRPr="00446569">
              <w:rPr>
                <w:rFonts w:ascii="Cambria" w:hAnsi="Cambria"/>
                <w:b/>
                <w:bCs/>
                <w:color w:val="FFFFFF" w:themeColor="background1"/>
                <w:sz w:val="20"/>
                <w:szCs w:val="20"/>
                <w:lang w:val="es-VE"/>
              </w:rPr>
              <w:t>Parte peticionaria:</w:t>
            </w:r>
          </w:p>
        </w:tc>
        <w:tc>
          <w:tcPr>
            <w:tcW w:w="5760" w:type="dxa"/>
            <w:vAlign w:val="center"/>
          </w:tcPr>
          <w:p w14:paraId="7D8A6027" w14:textId="2B24283D" w:rsidR="00E10040" w:rsidRPr="00446569" w:rsidRDefault="00A91940" w:rsidP="004A1F4C">
            <w:pPr>
              <w:jc w:val="both"/>
              <w:rPr>
                <w:rFonts w:ascii="Cambria" w:hAnsi="Cambria"/>
                <w:bCs/>
                <w:sz w:val="20"/>
                <w:szCs w:val="20"/>
                <w:lang w:val="es-VE"/>
              </w:rPr>
            </w:pPr>
            <w:r w:rsidRPr="00446569">
              <w:rPr>
                <w:rFonts w:ascii="Cambria" w:hAnsi="Cambria"/>
                <w:bCs/>
                <w:sz w:val="20"/>
                <w:szCs w:val="20"/>
                <w:lang w:val="es-VE"/>
              </w:rPr>
              <w:t>Indemnizaciones Paz Abogados</w:t>
            </w:r>
          </w:p>
        </w:tc>
      </w:tr>
      <w:tr w:rsidR="00E10040" w:rsidRPr="0002627E" w14:paraId="410FEBFE" w14:textId="77777777" w:rsidTr="004A1F4C">
        <w:tc>
          <w:tcPr>
            <w:tcW w:w="3600" w:type="dxa"/>
            <w:tcBorders>
              <w:top w:val="single" w:sz="6" w:space="0" w:color="auto"/>
              <w:bottom w:val="single" w:sz="6" w:space="0" w:color="auto"/>
            </w:tcBorders>
            <w:shd w:val="clear" w:color="auto" w:fill="386294"/>
            <w:vAlign w:val="center"/>
          </w:tcPr>
          <w:p w14:paraId="16E7ED81" w14:textId="77777777" w:rsidR="00E10040" w:rsidRPr="00446569" w:rsidRDefault="00637DA0" w:rsidP="004A1F4C">
            <w:pPr>
              <w:jc w:val="center"/>
              <w:rPr>
                <w:rFonts w:ascii="Cambria" w:hAnsi="Cambria"/>
                <w:b/>
                <w:bCs/>
                <w:color w:val="FFFFFF" w:themeColor="background1"/>
                <w:sz w:val="20"/>
                <w:szCs w:val="20"/>
                <w:lang w:val="es-VE"/>
              </w:rPr>
            </w:pPr>
            <w:sdt>
              <w:sdtPr>
                <w:rPr>
                  <w:rFonts w:ascii="Cambria" w:hAnsi="Cambria"/>
                  <w:b/>
                  <w:bCs/>
                  <w:color w:val="FFFFFF" w:themeColor="background1"/>
                  <w:sz w:val="20"/>
                  <w:szCs w:val="20"/>
                  <w:lang w:val="es-VE"/>
                </w:rPr>
                <w:alias w:val="Elegir una opción"/>
                <w:tag w:val="Elegir una opción"/>
                <w:id w:val="931095713"/>
                <w:placeholder>
                  <w:docPart w:val="B1F7210B3D4E41239B988D6EEDA77230"/>
                </w:placeholder>
                <w:dropDownList>
                  <w:listItem w:value="Choose an item."/>
                  <w:listItem w:displayText="Presunta víctima" w:value="Presunta víctima"/>
                  <w:listItem w:displayText="Presuntas víctimas" w:value="Presuntas víctimas"/>
                </w:dropDownList>
              </w:sdtPr>
              <w:sdtEndPr/>
              <w:sdtContent>
                <w:r w:rsidR="00E10040" w:rsidRPr="00446569">
                  <w:rPr>
                    <w:rFonts w:ascii="Cambria" w:hAnsi="Cambria"/>
                    <w:b/>
                    <w:bCs/>
                    <w:color w:val="FFFFFF" w:themeColor="background1"/>
                    <w:sz w:val="20"/>
                    <w:szCs w:val="20"/>
                    <w:lang w:val="es-VE"/>
                  </w:rPr>
                  <w:t>Presunta víctima</w:t>
                </w:r>
              </w:sdtContent>
            </w:sdt>
            <w:r w:rsidR="00E10040" w:rsidRPr="00446569">
              <w:rPr>
                <w:rFonts w:ascii="Cambria" w:hAnsi="Cambria"/>
                <w:b/>
                <w:bCs/>
                <w:color w:val="FFFFFF" w:themeColor="background1"/>
                <w:sz w:val="20"/>
                <w:szCs w:val="20"/>
                <w:lang w:val="es-VE"/>
              </w:rPr>
              <w:t>:</w:t>
            </w:r>
          </w:p>
        </w:tc>
        <w:tc>
          <w:tcPr>
            <w:tcW w:w="5760" w:type="dxa"/>
            <w:vAlign w:val="center"/>
          </w:tcPr>
          <w:p w14:paraId="5A8F2875" w14:textId="539B6388" w:rsidR="00E10040" w:rsidRPr="00446569" w:rsidRDefault="001E1E7A" w:rsidP="004A1F4C">
            <w:pPr>
              <w:jc w:val="both"/>
              <w:rPr>
                <w:rFonts w:ascii="Cambria" w:hAnsi="Cambria"/>
                <w:bCs/>
                <w:sz w:val="20"/>
                <w:szCs w:val="20"/>
                <w:lang w:val="es-VE"/>
              </w:rPr>
            </w:pPr>
            <w:r w:rsidRPr="00446569">
              <w:rPr>
                <w:rFonts w:ascii="Cambria" w:hAnsi="Cambria"/>
                <w:bCs/>
                <w:sz w:val="20"/>
                <w:szCs w:val="20"/>
                <w:lang w:val="es-VE"/>
              </w:rPr>
              <w:t>Pedro José Adarve Jim</w:t>
            </w:r>
            <w:r w:rsidR="002E0E96" w:rsidRPr="00446569">
              <w:rPr>
                <w:rFonts w:ascii="Cambria" w:hAnsi="Cambria"/>
                <w:bCs/>
                <w:sz w:val="20"/>
                <w:szCs w:val="20"/>
                <w:lang w:val="es-VE"/>
              </w:rPr>
              <w:t>é</w:t>
            </w:r>
            <w:r w:rsidRPr="00446569">
              <w:rPr>
                <w:rFonts w:ascii="Cambria" w:hAnsi="Cambria"/>
                <w:bCs/>
                <w:sz w:val="20"/>
                <w:szCs w:val="20"/>
                <w:lang w:val="es-VE"/>
              </w:rPr>
              <w:t>nez y familia</w:t>
            </w:r>
            <w:r w:rsidRPr="00446569">
              <w:rPr>
                <w:rStyle w:val="FootnoteReference"/>
                <w:rFonts w:ascii="Cambria" w:hAnsi="Cambria"/>
                <w:bCs/>
                <w:sz w:val="20"/>
                <w:szCs w:val="20"/>
                <w:lang w:val="es-VE"/>
              </w:rPr>
              <w:footnoteReference w:id="1"/>
            </w:r>
          </w:p>
        </w:tc>
      </w:tr>
      <w:tr w:rsidR="00E10040" w:rsidRPr="00446569" w14:paraId="19A873C8" w14:textId="77777777" w:rsidTr="004A1F4C">
        <w:tc>
          <w:tcPr>
            <w:tcW w:w="3600" w:type="dxa"/>
            <w:tcBorders>
              <w:top w:val="single" w:sz="6" w:space="0" w:color="auto"/>
              <w:bottom w:val="single" w:sz="6" w:space="0" w:color="auto"/>
            </w:tcBorders>
            <w:shd w:val="clear" w:color="auto" w:fill="386294"/>
            <w:vAlign w:val="center"/>
          </w:tcPr>
          <w:p w14:paraId="1ADD40CC" w14:textId="77777777" w:rsidR="00E10040" w:rsidRPr="00446569" w:rsidRDefault="00E10040" w:rsidP="004A1F4C">
            <w:pPr>
              <w:jc w:val="center"/>
              <w:rPr>
                <w:rFonts w:ascii="Cambria" w:hAnsi="Cambria"/>
                <w:b/>
                <w:bCs/>
                <w:color w:val="FFFFFF" w:themeColor="background1"/>
                <w:sz w:val="20"/>
                <w:szCs w:val="20"/>
                <w:lang w:val="es-VE"/>
              </w:rPr>
            </w:pPr>
            <w:r w:rsidRPr="00446569">
              <w:rPr>
                <w:rFonts w:ascii="Cambria" w:hAnsi="Cambria"/>
                <w:b/>
                <w:bCs/>
                <w:color w:val="FFFFFF" w:themeColor="background1"/>
                <w:sz w:val="20"/>
                <w:szCs w:val="20"/>
                <w:lang w:val="es-VE"/>
              </w:rPr>
              <w:t>Estado denunciado:</w:t>
            </w:r>
          </w:p>
        </w:tc>
        <w:tc>
          <w:tcPr>
            <w:tcW w:w="5760" w:type="dxa"/>
            <w:vAlign w:val="center"/>
          </w:tcPr>
          <w:p w14:paraId="350B9D90" w14:textId="2B13EF9D" w:rsidR="00E10040" w:rsidRPr="00446569" w:rsidRDefault="001E1E7A" w:rsidP="004A1F4C">
            <w:pPr>
              <w:jc w:val="both"/>
              <w:rPr>
                <w:rFonts w:ascii="Cambria" w:hAnsi="Cambria"/>
                <w:bCs/>
                <w:sz w:val="20"/>
                <w:szCs w:val="20"/>
                <w:lang w:val="es-VE"/>
              </w:rPr>
            </w:pPr>
            <w:r w:rsidRPr="00446569">
              <w:rPr>
                <w:rFonts w:ascii="Cambria" w:hAnsi="Cambria"/>
                <w:bCs/>
                <w:sz w:val="20"/>
                <w:szCs w:val="20"/>
                <w:lang w:val="es-VE"/>
              </w:rPr>
              <w:t>Colombia</w:t>
            </w:r>
          </w:p>
        </w:tc>
      </w:tr>
      <w:tr w:rsidR="00E10040" w:rsidRPr="0002627E" w14:paraId="6848EE3C" w14:textId="77777777" w:rsidTr="004A1F4C">
        <w:tc>
          <w:tcPr>
            <w:tcW w:w="3600" w:type="dxa"/>
            <w:tcBorders>
              <w:top w:val="single" w:sz="6" w:space="0" w:color="auto"/>
              <w:bottom w:val="single" w:sz="6" w:space="0" w:color="auto"/>
            </w:tcBorders>
            <w:shd w:val="clear" w:color="auto" w:fill="386294"/>
            <w:vAlign w:val="center"/>
          </w:tcPr>
          <w:p w14:paraId="6E6E8AA8" w14:textId="77777777" w:rsidR="00E10040" w:rsidRPr="00446569" w:rsidRDefault="00E10040" w:rsidP="004A1F4C">
            <w:pPr>
              <w:jc w:val="center"/>
              <w:rPr>
                <w:rFonts w:ascii="Cambria" w:hAnsi="Cambria"/>
                <w:b/>
                <w:bCs/>
                <w:color w:val="FFFFFF" w:themeColor="background1"/>
                <w:sz w:val="20"/>
                <w:szCs w:val="20"/>
                <w:lang w:val="es-VE"/>
              </w:rPr>
            </w:pPr>
            <w:r w:rsidRPr="00446569">
              <w:rPr>
                <w:rFonts w:ascii="Cambria" w:hAnsi="Cambria"/>
                <w:b/>
                <w:bCs/>
                <w:color w:val="FFFFFF" w:themeColor="background1"/>
                <w:sz w:val="20"/>
                <w:szCs w:val="20"/>
                <w:lang w:val="es-VE"/>
              </w:rPr>
              <w:t>Derechos invocados:</w:t>
            </w:r>
          </w:p>
        </w:tc>
        <w:tc>
          <w:tcPr>
            <w:tcW w:w="5760" w:type="dxa"/>
            <w:vAlign w:val="center"/>
          </w:tcPr>
          <w:p w14:paraId="21CA486B" w14:textId="67ED2DB4" w:rsidR="00E10040" w:rsidRPr="00446569" w:rsidRDefault="00A91940" w:rsidP="004A1F4C">
            <w:pPr>
              <w:jc w:val="both"/>
              <w:rPr>
                <w:rFonts w:ascii="Cambria" w:hAnsi="Cambria"/>
                <w:bCs/>
                <w:sz w:val="20"/>
                <w:szCs w:val="20"/>
                <w:lang w:val="es-VE"/>
              </w:rPr>
            </w:pPr>
            <w:r w:rsidRPr="00446569">
              <w:rPr>
                <w:rFonts w:ascii="Cambria" w:hAnsi="Cambria"/>
                <w:bCs/>
                <w:sz w:val="20"/>
                <w:szCs w:val="20"/>
                <w:lang w:val="es-VE"/>
              </w:rPr>
              <w:t xml:space="preserve">Artículos </w:t>
            </w:r>
            <w:r w:rsidR="005627AD" w:rsidRPr="00446569">
              <w:rPr>
                <w:rFonts w:ascii="Cambria" w:hAnsi="Cambria"/>
                <w:bCs/>
                <w:sz w:val="20"/>
                <w:szCs w:val="20"/>
                <w:lang w:val="es-VE"/>
              </w:rPr>
              <w:t>4 (derecho a la vida), 5 (derecho a la integridad personal)</w:t>
            </w:r>
            <w:r w:rsidR="00053ECF" w:rsidRPr="00446569">
              <w:rPr>
                <w:rFonts w:ascii="Cambria" w:hAnsi="Cambria"/>
                <w:bCs/>
                <w:sz w:val="20"/>
                <w:szCs w:val="20"/>
                <w:lang w:val="es-VE"/>
              </w:rPr>
              <w:t>, 8 (garantías judiciales) y 25 (protección judicial) de la Convención Americana sobre Derechos Humanos</w:t>
            </w:r>
            <w:r w:rsidRPr="00446569">
              <w:rPr>
                <w:rStyle w:val="FootnoteReference"/>
                <w:rFonts w:ascii="Cambria" w:hAnsi="Cambria"/>
                <w:bCs/>
                <w:sz w:val="20"/>
                <w:szCs w:val="20"/>
                <w:lang w:val="es-VE"/>
              </w:rPr>
              <w:footnoteReference w:id="2"/>
            </w:r>
            <w:r w:rsidR="00053ECF" w:rsidRPr="00446569">
              <w:rPr>
                <w:rFonts w:ascii="Cambria" w:hAnsi="Cambria"/>
                <w:bCs/>
                <w:sz w:val="20"/>
                <w:szCs w:val="20"/>
                <w:lang w:val="es-VE"/>
              </w:rPr>
              <w:t>; y</w:t>
            </w:r>
            <w:r w:rsidR="00296059" w:rsidRPr="00446569">
              <w:rPr>
                <w:rFonts w:ascii="Cambria" w:hAnsi="Cambria"/>
                <w:bCs/>
                <w:sz w:val="20"/>
                <w:szCs w:val="20"/>
                <w:lang w:val="es-VE"/>
              </w:rPr>
              <w:t xml:space="preserve"> otros instrumentos internacionales</w:t>
            </w:r>
            <w:r w:rsidR="00296059" w:rsidRPr="00446569">
              <w:rPr>
                <w:rStyle w:val="FootnoteReference"/>
                <w:rFonts w:ascii="Cambria" w:hAnsi="Cambria"/>
                <w:bCs/>
                <w:sz w:val="20"/>
                <w:szCs w:val="20"/>
                <w:lang w:val="es-VE"/>
              </w:rPr>
              <w:footnoteReference w:id="3"/>
            </w:r>
          </w:p>
        </w:tc>
      </w:tr>
    </w:tbl>
    <w:p w14:paraId="50E86AEF" w14:textId="77777777" w:rsidR="00E10040" w:rsidRPr="00446569" w:rsidRDefault="00E10040" w:rsidP="00E10040">
      <w:pPr>
        <w:spacing w:before="240" w:after="240"/>
        <w:ind w:firstLine="720"/>
        <w:jc w:val="both"/>
        <w:rPr>
          <w:rFonts w:ascii="Cambria" w:hAnsi="Cambria"/>
          <w:b/>
          <w:bCs/>
          <w:sz w:val="20"/>
          <w:szCs w:val="20"/>
          <w:lang w:val="es-VE"/>
        </w:rPr>
      </w:pPr>
      <w:r w:rsidRPr="00446569">
        <w:rPr>
          <w:rFonts w:ascii="Cambria" w:hAnsi="Cambria"/>
          <w:b/>
          <w:bCs/>
          <w:sz w:val="20"/>
          <w:szCs w:val="20"/>
          <w:lang w:val="es-VE"/>
        </w:rPr>
        <w:t>II.</w:t>
      </w:r>
      <w:r w:rsidRPr="00446569">
        <w:rPr>
          <w:rFonts w:ascii="Cambria" w:hAnsi="Cambria"/>
          <w:b/>
          <w:bCs/>
          <w:sz w:val="20"/>
          <w:szCs w:val="20"/>
          <w:lang w:val="es-VE"/>
        </w:rPr>
        <w:tab/>
        <w:t>TRÁMITE ANTE LA CIDH</w:t>
      </w:r>
      <w:r w:rsidRPr="00446569">
        <w:rPr>
          <w:rStyle w:val="FootnoteReference"/>
          <w:rFonts w:ascii="Cambria" w:hAnsi="Cambria"/>
          <w:b/>
          <w:sz w:val="20"/>
          <w:szCs w:val="20"/>
          <w:lang w:val="es-VE"/>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446569" w14:paraId="12459712" w14:textId="77777777" w:rsidTr="004A1F4C">
        <w:tc>
          <w:tcPr>
            <w:tcW w:w="3600" w:type="dxa"/>
            <w:tcBorders>
              <w:top w:val="single" w:sz="6" w:space="0" w:color="auto"/>
              <w:bottom w:val="single" w:sz="6" w:space="0" w:color="auto"/>
            </w:tcBorders>
            <w:shd w:val="clear" w:color="auto" w:fill="386294"/>
            <w:vAlign w:val="center"/>
          </w:tcPr>
          <w:p w14:paraId="7F5B2551" w14:textId="77777777" w:rsidR="00E10040" w:rsidRPr="00446569" w:rsidRDefault="00E10040" w:rsidP="004A1F4C">
            <w:pPr>
              <w:jc w:val="center"/>
              <w:rPr>
                <w:rFonts w:ascii="Cambria" w:hAnsi="Cambria"/>
                <w:b/>
                <w:bCs/>
                <w:color w:val="FFFFFF" w:themeColor="background1"/>
                <w:sz w:val="20"/>
                <w:szCs w:val="20"/>
                <w:lang w:val="es-VE"/>
              </w:rPr>
            </w:pPr>
            <w:r w:rsidRPr="00446569">
              <w:rPr>
                <w:rFonts w:ascii="Cambria" w:hAnsi="Cambria"/>
                <w:b/>
                <w:bCs/>
                <w:color w:val="FFFFFF" w:themeColor="background1"/>
                <w:sz w:val="20"/>
                <w:szCs w:val="20"/>
                <w:lang w:val="es-VE"/>
              </w:rPr>
              <w:t>Presentación de la petición:</w:t>
            </w:r>
          </w:p>
        </w:tc>
        <w:tc>
          <w:tcPr>
            <w:tcW w:w="5760" w:type="dxa"/>
            <w:vAlign w:val="center"/>
          </w:tcPr>
          <w:p w14:paraId="66B3941A" w14:textId="1C8D17FD" w:rsidR="00E10040" w:rsidRPr="00446569" w:rsidRDefault="001E1E7A" w:rsidP="004A1F4C">
            <w:pPr>
              <w:jc w:val="both"/>
              <w:rPr>
                <w:rFonts w:ascii="Cambria" w:hAnsi="Cambria"/>
                <w:bCs/>
                <w:sz w:val="20"/>
                <w:szCs w:val="20"/>
                <w:lang w:val="es-VE"/>
              </w:rPr>
            </w:pPr>
            <w:r w:rsidRPr="00446569">
              <w:rPr>
                <w:rFonts w:ascii="Cambria" w:hAnsi="Cambria"/>
                <w:bCs/>
                <w:sz w:val="20"/>
                <w:szCs w:val="20"/>
                <w:lang w:val="es-VE"/>
              </w:rPr>
              <w:t>2</w:t>
            </w:r>
            <w:r w:rsidR="00A91940" w:rsidRPr="00446569">
              <w:rPr>
                <w:rFonts w:ascii="Cambria" w:hAnsi="Cambria"/>
                <w:bCs/>
                <w:sz w:val="20"/>
                <w:szCs w:val="20"/>
                <w:lang w:val="es-VE"/>
              </w:rPr>
              <w:t>5</w:t>
            </w:r>
            <w:r w:rsidRPr="00446569">
              <w:rPr>
                <w:rFonts w:ascii="Cambria" w:hAnsi="Cambria"/>
                <w:bCs/>
                <w:sz w:val="20"/>
                <w:szCs w:val="20"/>
                <w:lang w:val="es-VE"/>
              </w:rPr>
              <w:t xml:space="preserve"> de marzo de 2009</w:t>
            </w:r>
          </w:p>
        </w:tc>
      </w:tr>
      <w:tr w:rsidR="00E10040" w:rsidRPr="00446569" w14:paraId="07F7898F" w14:textId="77777777" w:rsidTr="004A1F4C">
        <w:tc>
          <w:tcPr>
            <w:tcW w:w="3600" w:type="dxa"/>
            <w:tcBorders>
              <w:top w:val="single" w:sz="6" w:space="0" w:color="auto"/>
              <w:bottom w:val="single" w:sz="6" w:space="0" w:color="auto"/>
            </w:tcBorders>
            <w:shd w:val="clear" w:color="auto" w:fill="386294"/>
            <w:vAlign w:val="center"/>
          </w:tcPr>
          <w:p w14:paraId="12C1370D" w14:textId="77777777" w:rsidR="00E10040" w:rsidRPr="00446569" w:rsidRDefault="00E10040" w:rsidP="004A1F4C">
            <w:pPr>
              <w:jc w:val="center"/>
              <w:rPr>
                <w:rFonts w:ascii="Cambria" w:hAnsi="Cambria"/>
                <w:b/>
                <w:bCs/>
                <w:color w:val="FFFFFF" w:themeColor="background1"/>
                <w:sz w:val="20"/>
                <w:szCs w:val="20"/>
                <w:lang w:val="es-VE"/>
              </w:rPr>
            </w:pPr>
            <w:r w:rsidRPr="00446569">
              <w:rPr>
                <w:rFonts w:ascii="Cambria" w:hAnsi="Cambria"/>
                <w:b/>
                <w:bCs/>
                <w:color w:val="FFFFFF" w:themeColor="background1"/>
                <w:sz w:val="20"/>
                <w:szCs w:val="20"/>
                <w:lang w:val="es-VE"/>
              </w:rPr>
              <w:t>Información adicional recibida durante la etapa de estudio:</w:t>
            </w:r>
          </w:p>
        </w:tc>
        <w:tc>
          <w:tcPr>
            <w:tcW w:w="5760" w:type="dxa"/>
            <w:vAlign w:val="center"/>
          </w:tcPr>
          <w:p w14:paraId="1969B954" w14:textId="03D77E63" w:rsidR="00E10040" w:rsidRPr="00446569" w:rsidRDefault="00A91940" w:rsidP="004A1F4C">
            <w:pPr>
              <w:jc w:val="both"/>
              <w:rPr>
                <w:rFonts w:ascii="Cambria" w:hAnsi="Cambria"/>
                <w:bCs/>
                <w:sz w:val="20"/>
                <w:szCs w:val="20"/>
                <w:lang w:val="es-VE"/>
              </w:rPr>
            </w:pPr>
            <w:r w:rsidRPr="00446569">
              <w:rPr>
                <w:rFonts w:ascii="Cambria" w:hAnsi="Cambria"/>
                <w:bCs/>
                <w:sz w:val="20"/>
                <w:szCs w:val="20"/>
                <w:lang w:val="es-VE"/>
              </w:rPr>
              <w:t>1 de abril de 2011</w:t>
            </w:r>
          </w:p>
        </w:tc>
      </w:tr>
      <w:tr w:rsidR="00E10040" w:rsidRPr="00446569" w14:paraId="3D9B5327" w14:textId="77777777" w:rsidTr="004A1F4C">
        <w:tc>
          <w:tcPr>
            <w:tcW w:w="3600" w:type="dxa"/>
            <w:tcBorders>
              <w:top w:val="single" w:sz="6" w:space="0" w:color="auto"/>
              <w:bottom w:val="single" w:sz="6" w:space="0" w:color="auto"/>
            </w:tcBorders>
            <w:shd w:val="clear" w:color="auto" w:fill="386294"/>
            <w:vAlign w:val="center"/>
          </w:tcPr>
          <w:p w14:paraId="3E64F5B6" w14:textId="77777777" w:rsidR="00E10040" w:rsidRPr="00446569" w:rsidRDefault="00E10040" w:rsidP="004A1F4C">
            <w:pPr>
              <w:jc w:val="center"/>
              <w:rPr>
                <w:rFonts w:ascii="Cambria" w:hAnsi="Cambria"/>
                <w:b/>
                <w:bCs/>
                <w:color w:val="FFFFFF" w:themeColor="background1"/>
                <w:sz w:val="20"/>
                <w:szCs w:val="20"/>
                <w:lang w:val="es-VE"/>
              </w:rPr>
            </w:pPr>
            <w:r w:rsidRPr="00446569">
              <w:rPr>
                <w:rFonts w:ascii="Cambria" w:hAnsi="Cambria"/>
                <w:b/>
                <w:color w:val="FFFFFF" w:themeColor="background1"/>
                <w:sz w:val="20"/>
                <w:szCs w:val="20"/>
                <w:lang w:val="es-VE"/>
              </w:rPr>
              <w:t>Notificación de la petición al Estado:</w:t>
            </w:r>
          </w:p>
        </w:tc>
        <w:tc>
          <w:tcPr>
            <w:tcW w:w="5760" w:type="dxa"/>
            <w:vAlign w:val="center"/>
          </w:tcPr>
          <w:p w14:paraId="42331AE3" w14:textId="30EE5318" w:rsidR="00E10040" w:rsidRPr="00446569" w:rsidRDefault="00A91940" w:rsidP="004A1F4C">
            <w:pPr>
              <w:jc w:val="both"/>
              <w:rPr>
                <w:rFonts w:ascii="Cambria" w:hAnsi="Cambria"/>
                <w:bCs/>
                <w:sz w:val="20"/>
                <w:szCs w:val="20"/>
                <w:lang w:val="es-VE"/>
              </w:rPr>
            </w:pPr>
            <w:r w:rsidRPr="00446569">
              <w:rPr>
                <w:rFonts w:ascii="Cambria" w:hAnsi="Cambria"/>
                <w:bCs/>
                <w:sz w:val="20"/>
                <w:szCs w:val="20"/>
                <w:lang w:val="es-VE"/>
              </w:rPr>
              <w:t>7 de mayo de 2014</w:t>
            </w:r>
          </w:p>
        </w:tc>
      </w:tr>
      <w:tr w:rsidR="00E10040" w:rsidRPr="00446569" w14:paraId="3690A4D4" w14:textId="77777777" w:rsidTr="004A1F4C">
        <w:tc>
          <w:tcPr>
            <w:tcW w:w="3600" w:type="dxa"/>
            <w:tcBorders>
              <w:top w:val="single" w:sz="6" w:space="0" w:color="auto"/>
              <w:bottom w:val="single" w:sz="6" w:space="0" w:color="auto"/>
            </w:tcBorders>
            <w:shd w:val="clear" w:color="auto" w:fill="386294"/>
            <w:vAlign w:val="center"/>
          </w:tcPr>
          <w:p w14:paraId="0AD1CD19" w14:textId="77777777" w:rsidR="00E10040" w:rsidRPr="00446569" w:rsidRDefault="00E10040" w:rsidP="004A1F4C">
            <w:pPr>
              <w:jc w:val="center"/>
              <w:rPr>
                <w:rFonts w:ascii="Cambria" w:hAnsi="Cambria"/>
                <w:b/>
                <w:bCs/>
                <w:color w:val="FFFFFF" w:themeColor="background1"/>
                <w:sz w:val="20"/>
                <w:szCs w:val="20"/>
                <w:lang w:val="es-VE"/>
              </w:rPr>
            </w:pPr>
            <w:r w:rsidRPr="00446569">
              <w:rPr>
                <w:rFonts w:ascii="Cambria" w:hAnsi="Cambria"/>
                <w:b/>
                <w:color w:val="FFFFFF" w:themeColor="background1"/>
                <w:sz w:val="20"/>
                <w:szCs w:val="20"/>
                <w:lang w:val="es-VE"/>
              </w:rPr>
              <w:t>Primera respuesta del Estado:</w:t>
            </w:r>
          </w:p>
        </w:tc>
        <w:tc>
          <w:tcPr>
            <w:tcW w:w="5760" w:type="dxa"/>
            <w:vAlign w:val="center"/>
          </w:tcPr>
          <w:p w14:paraId="2DB5E7F6" w14:textId="1A89515F" w:rsidR="00E10040" w:rsidRPr="00446569" w:rsidRDefault="00A91940" w:rsidP="004A1F4C">
            <w:pPr>
              <w:jc w:val="both"/>
              <w:rPr>
                <w:rFonts w:ascii="Cambria" w:hAnsi="Cambria"/>
                <w:bCs/>
                <w:sz w:val="20"/>
                <w:szCs w:val="20"/>
                <w:lang w:val="es-VE"/>
              </w:rPr>
            </w:pPr>
            <w:r w:rsidRPr="00446569">
              <w:rPr>
                <w:rFonts w:ascii="Cambria" w:hAnsi="Cambria"/>
                <w:bCs/>
                <w:sz w:val="20"/>
                <w:szCs w:val="20"/>
                <w:lang w:val="es-VE"/>
              </w:rPr>
              <w:t>5 de abril de 2017</w:t>
            </w:r>
            <w:r w:rsidRPr="00446569">
              <w:rPr>
                <w:rStyle w:val="FootnoteReference"/>
                <w:rFonts w:ascii="Cambria" w:hAnsi="Cambria"/>
                <w:bCs/>
                <w:sz w:val="20"/>
                <w:szCs w:val="20"/>
                <w:lang w:val="es-VE"/>
              </w:rPr>
              <w:footnoteReference w:id="5"/>
            </w:r>
          </w:p>
        </w:tc>
      </w:tr>
      <w:tr w:rsidR="00E10040" w:rsidRPr="0002627E" w14:paraId="06D7C5BC" w14:textId="77777777" w:rsidTr="004A1F4C">
        <w:tc>
          <w:tcPr>
            <w:tcW w:w="3600" w:type="dxa"/>
            <w:tcBorders>
              <w:top w:val="single" w:sz="6" w:space="0" w:color="auto"/>
              <w:bottom w:val="single" w:sz="6" w:space="0" w:color="auto"/>
            </w:tcBorders>
            <w:shd w:val="clear" w:color="auto" w:fill="386294"/>
            <w:vAlign w:val="center"/>
          </w:tcPr>
          <w:p w14:paraId="66103866" w14:textId="77777777" w:rsidR="00E10040" w:rsidRPr="00446569" w:rsidRDefault="00E10040" w:rsidP="004A1F4C">
            <w:pPr>
              <w:jc w:val="center"/>
              <w:rPr>
                <w:rFonts w:ascii="Cambria" w:hAnsi="Cambria"/>
                <w:b/>
                <w:bCs/>
                <w:color w:val="FFFFFF" w:themeColor="background1"/>
                <w:sz w:val="20"/>
                <w:szCs w:val="20"/>
                <w:lang w:val="es-VE"/>
              </w:rPr>
            </w:pPr>
            <w:r w:rsidRPr="00446569">
              <w:rPr>
                <w:rFonts w:ascii="Cambria" w:hAnsi="Cambria"/>
                <w:b/>
                <w:bCs/>
                <w:color w:val="FFFFFF" w:themeColor="background1"/>
                <w:sz w:val="20"/>
                <w:szCs w:val="20"/>
                <w:lang w:val="es-VE"/>
              </w:rPr>
              <w:t>Observaciones adicionales de la parte peticionaria:</w:t>
            </w:r>
          </w:p>
        </w:tc>
        <w:tc>
          <w:tcPr>
            <w:tcW w:w="5760" w:type="dxa"/>
            <w:vAlign w:val="center"/>
          </w:tcPr>
          <w:p w14:paraId="175083AA" w14:textId="48B5FDAB" w:rsidR="00E10040" w:rsidRPr="00446569" w:rsidRDefault="00A91940" w:rsidP="004A1F4C">
            <w:pPr>
              <w:jc w:val="both"/>
              <w:rPr>
                <w:rFonts w:ascii="Cambria" w:hAnsi="Cambria"/>
                <w:bCs/>
                <w:sz w:val="20"/>
                <w:szCs w:val="20"/>
                <w:lang w:val="es-VE"/>
              </w:rPr>
            </w:pPr>
            <w:r w:rsidRPr="00446569">
              <w:rPr>
                <w:rFonts w:ascii="Cambria" w:hAnsi="Cambria"/>
                <w:bCs/>
                <w:sz w:val="20"/>
                <w:szCs w:val="20"/>
                <w:lang w:val="es-VE"/>
              </w:rPr>
              <w:t>2 de septiembre de 2019 y 16 de marzo de 2020</w:t>
            </w:r>
          </w:p>
        </w:tc>
      </w:tr>
    </w:tbl>
    <w:p w14:paraId="7FB5D483" w14:textId="77777777" w:rsidR="00E10040" w:rsidRPr="00446569" w:rsidRDefault="00E10040" w:rsidP="00E10040">
      <w:pPr>
        <w:spacing w:before="240" w:after="240"/>
        <w:ind w:firstLine="720"/>
        <w:jc w:val="both"/>
        <w:rPr>
          <w:rFonts w:ascii="Cambria" w:hAnsi="Cambria"/>
          <w:b/>
          <w:bCs/>
          <w:sz w:val="20"/>
          <w:szCs w:val="20"/>
          <w:lang w:val="es-VE"/>
        </w:rPr>
      </w:pPr>
      <w:r w:rsidRPr="00446569">
        <w:rPr>
          <w:rFonts w:ascii="Cambria" w:hAnsi="Cambria"/>
          <w:b/>
          <w:bCs/>
          <w:sz w:val="20"/>
          <w:szCs w:val="20"/>
          <w:lang w:val="es-VE"/>
        </w:rPr>
        <w:t xml:space="preserve">III. </w:t>
      </w:r>
      <w:r w:rsidRPr="00446569">
        <w:rPr>
          <w:rFonts w:ascii="Cambria" w:hAnsi="Cambria"/>
          <w:b/>
          <w:bCs/>
          <w:sz w:val="20"/>
          <w:szCs w:val="20"/>
          <w:lang w:val="es-VE"/>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10040" w:rsidRPr="00446569" w14:paraId="07EA4CAC" w14:textId="77777777" w:rsidTr="004A1F4C">
        <w:trPr>
          <w:cantSplit/>
        </w:trPr>
        <w:tc>
          <w:tcPr>
            <w:tcW w:w="3600" w:type="dxa"/>
            <w:tcBorders>
              <w:top w:val="single" w:sz="4" w:space="0" w:color="auto"/>
              <w:bottom w:val="single" w:sz="6" w:space="0" w:color="auto"/>
            </w:tcBorders>
            <w:shd w:val="clear" w:color="auto" w:fill="386294"/>
            <w:vAlign w:val="center"/>
          </w:tcPr>
          <w:p w14:paraId="7DA6AF28" w14:textId="77777777" w:rsidR="00E10040" w:rsidRPr="00446569" w:rsidRDefault="00E10040" w:rsidP="004A1F4C">
            <w:pPr>
              <w:jc w:val="center"/>
              <w:rPr>
                <w:rFonts w:ascii="Cambria" w:hAnsi="Cambria"/>
                <w:b/>
                <w:bCs/>
                <w:i/>
                <w:color w:val="FFFFFF" w:themeColor="background1"/>
                <w:sz w:val="20"/>
                <w:szCs w:val="20"/>
                <w:lang w:val="es-VE"/>
              </w:rPr>
            </w:pPr>
            <w:r w:rsidRPr="00446569">
              <w:rPr>
                <w:rFonts w:ascii="Cambria" w:hAnsi="Cambria"/>
                <w:b/>
                <w:bCs/>
                <w:color w:val="FFFFFF" w:themeColor="background1"/>
                <w:sz w:val="20"/>
                <w:szCs w:val="20"/>
                <w:lang w:val="es-VE"/>
              </w:rPr>
              <w:t>Competencia</w:t>
            </w:r>
            <w:r w:rsidRPr="00446569">
              <w:rPr>
                <w:rFonts w:ascii="Cambria" w:hAnsi="Cambria"/>
                <w:b/>
                <w:bCs/>
                <w:i/>
                <w:color w:val="FFFFFF" w:themeColor="background1"/>
                <w:sz w:val="20"/>
                <w:szCs w:val="20"/>
                <w:lang w:val="es-VE"/>
              </w:rPr>
              <w:t xml:space="preserve"> Ratione personae:</w:t>
            </w:r>
          </w:p>
        </w:tc>
        <w:tc>
          <w:tcPr>
            <w:tcW w:w="5760" w:type="dxa"/>
            <w:vAlign w:val="center"/>
          </w:tcPr>
          <w:p w14:paraId="7E9A7E40" w14:textId="0C685004" w:rsidR="00E10040" w:rsidRPr="00446569" w:rsidRDefault="00A91940" w:rsidP="004A1F4C">
            <w:pPr>
              <w:rPr>
                <w:rFonts w:ascii="Cambria" w:hAnsi="Cambria"/>
                <w:bCs/>
                <w:sz w:val="20"/>
                <w:szCs w:val="20"/>
                <w:lang w:val="es-VE"/>
              </w:rPr>
            </w:pPr>
            <w:r w:rsidRPr="00446569">
              <w:rPr>
                <w:rFonts w:ascii="Cambria" w:hAnsi="Cambria"/>
                <w:bCs/>
                <w:sz w:val="20"/>
                <w:szCs w:val="20"/>
                <w:lang w:val="es-VE"/>
              </w:rPr>
              <w:t>Sí</w:t>
            </w:r>
          </w:p>
        </w:tc>
      </w:tr>
      <w:tr w:rsidR="00E10040" w:rsidRPr="00446569" w14:paraId="18DFEB57" w14:textId="77777777" w:rsidTr="004A1F4C">
        <w:trPr>
          <w:cantSplit/>
        </w:trPr>
        <w:tc>
          <w:tcPr>
            <w:tcW w:w="3600" w:type="dxa"/>
            <w:tcBorders>
              <w:top w:val="single" w:sz="6" w:space="0" w:color="auto"/>
              <w:bottom w:val="single" w:sz="6" w:space="0" w:color="auto"/>
            </w:tcBorders>
            <w:shd w:val="clear" w:color="auto" w:fill="386294"/>
            <w:vAlign w:val="center"/>
          </w:tcPr>
          <w:p w14:paraId="428C19DB" w14:textId="77777777" w:rsidR="00E10040" w:rsidRPr="00446569" w:rsidRDefault="00E10040" w:rsidP="004A1F4C">
            <w:pPr>
              <w:jc w:val="center"/>
              <w:rPr>
                <w:rFonts w:ascii="Cambria" w:hAnsi="Cambria"/>
                <w:b/>
                <w:bCs/>
                <w:color w:val="FFFFFF" w:themeColor="background1"/>
                <w:sz w:val="20"/>
                <w:szCs w:val="20"/>
                <w:lang w:val="es-VE"/>
              </w:rPr>
            </w:pPr>
            <w:r w:rsidRPr="00446569">
              <w:rPr>
                <w:rFonts w:ascii="Cambria" w:hAnsi="Cambria"/>
                <w:b/>
                <w:bCs/>
                <w:color w:val="FFFFFF" w:themeColor="background1"/>
                <w:sz w:val="20"/>
                <w:szCs w:val="20"/>
                <w:lang w:val="es-VE"/>
              </w:rPr>
              <w:t>Competencia</w:t>
            </w:r>
            <w:r w:rsidRPr="00446569">
              <w:rPr>
                <w:rFonts w:ascii="Cambria" w:hAnsi="Cambria"/>
                <w:b/>
                <w:bCs/>
                <w:i/>
                <w:color w:val="FFFFFF" w:themeColor="background1"/>
                <w:sz w:val="20"/>
                <w:szCs w:val="20"/>
                <w:lang w:val="es-VE"/>
              </w:rPr>
              <w:t xml:space="preserve"> Ratione loci</w:t>
            </w:r>
            <w:r w:rsidRPr="00446569">
              <w:rPr>
                <w:rFonts w:ascii="Cambria" w:hAnsi="Cambria"/>
                <w:b/>
                <w:bCs/>
                <w:color w:val="FFFFFF" w:themeColor="background1"/>
                <w:sz w:val="20"/>
                <w:szCs w:val="20"/>
                <w:lang w:val="es-VE"/>
              </w:rPr>
              <w:t>:</w:t>
            </w:r>
          </w:p>
        </w:tc>
        <w:tc>
          <w:tcPr>
            <w:tcW w:w="5760" w:type="dxa"/>
            <w:vAlign w:val="center"/>
          </w:tcPr>
          <w:p w14:paraId="13C8C951" w14:textId="597A85AD" w:rsidR="00E10040" w:rsidRPr="00446569" w:rsidRDefault="00A91940" w:rsidP="004A1F4C">
            <w:pPr>
              <w:rPr>
                <w:rFonts w:ascii="Cambria" w:hAnsi="Cambria"/>
                <w:bCs/>
                <w:sz w:val="20"/>
                <w:szCs w:val="20"/>
                <w:lang w:val="es-VE"/>
              </w:rPr>
            </w:pPr>
            <w:r w:rsidRPr="00446569">
              <w:rPr>
                <w:rFonts w:ascii="Cambria" w:hAnsi="Cambria"/>
                <w:bCs/>
                <w:sz w:val="20"/>
                <w:szCs w:val="20"/>
                <w:lang w:val="es-VE"/>
              </w:rPr>
              <w:t>Sí</w:t>
            </w:r>
          </w:p>
        </w:tc>
      </w:tr>
      <w:tr w:rsidR="00E10040" w:rsidRPr="00446569" w14:paraId="712688E1" w14:textId="77777777" w:rsidTr="004A1F4C">
        <w:trPr>
          <w:cantSplit/>
        </w:trPr>
        <w:tc>
          <w:tcPr>
            <w:tcW w:w="3600" w:type="dxa"/>
            <w:tcBorders>
              <w:top w:val="single" w:sz="6" w:space="0" w:color="auto"/>
              <w:bottom w:val="single" w:sz="6" w:space="0" w:color="auto"/>
            </w:tcBorders>
            <w:shd w:val="clear" w:color="auto" w:fill="386294"/>
            <w:vAlign w:val="center"/>
          </w:tcPr>
          <w:p w14:paraId="615423F2" w14:textId="77777777" w:rsidR="00E10040" w:rsidRPr="00446569" w:rsidRDefault="00E10040" w:rsidP="004A1F4C">
            <w:pPr>
              <w:jc w:val="center"/>
              <w:rPr>
                <w:rFonts w:ascii="Cambria" w:hAnsi="Cambria"/>
                <w:b/>
                <w:bCs/>
                <w:color w:val="FFFFFF" w:themeColor="background1"/>
                <w:sz w:val="20"/>
                <w:szCs w:val="20"/>
                <w:lang w:val="es-VE"/>
              </w:rPr>
            </w:pPr>
            <w:r w:rsidRPr="00446569">
              <w:rPr>
                <w:rFonts w:ascii="Cambria" w:hAnsi="Cambria"/>
                <w:b/>
                <w:bCs/>
                <w:color w:val="FFFFFF" w:themeColor="background1"/>
                <w:sz w:val="20"/>
                <w:szCs w:val="20"/>
                <w:lang w:val="es-VE"/>
              </w:rPr>
              <w:t>Competencia</w:t>
            </w:r>
            <w:r w:rsidRPr="00446569">
              <w:rPr>
                <w:rFonts w:ascii="Cambria" w:hAnsi="Cambria"/>
                <w:b/>
                <w:bCs/>
                <w:i/>
                <w:color w:val="FFFFFF" w:themeColor="background1"/>
                <w:sz w:val="20"/>
                <w:szCs w:val="20"/>
                <w:lang w:val="es-VE"/>
              </w:rPr>
              <w:t xml:space="preserve"> Ratione temporis</w:t>
            </w:r>
            <w:r w:rsidRPr="00446569">
              <w:rPr>
                <w:rFonts w:ascii="Cambria" w:hAnsi="Cambria"/>
                <w:b/>
                <w:bCs/>
                <w:color w:val="FFFFFF" w:themeColor="background1"/>
                <w:sz w:val="20"/>
                <w:szCs w:val="20"/>
                <w:lang w:val="es-VE"/>
              </w:rPr>
              <w:t>:</w:t>
            </w:r>
          </w:p>
        </w:tc>
        <w:tc>
          <w:tcPr>
            <w:tcW w:w="5760" w:type="dxa"/>
            <w:vAlign w:val="center"/>
          </w:tcPr>
          <w:p w14:paraId="73F3F5B8" w14:textId="75091477" w:rsidR="00E10040" w:rsidRPr="00446569" w:rsidRDefault="00A91940" w:rsidP="004A1F4C">
            <w:pPr>
              <w:rPr>
                <w:rFonts w:ascii="Cambria" w:hAnsi="Cambria"/>
                <w:bCs/>
                <w:sz w:val="20"/>
                <w:szCs w:val="20"/>
                <w:lang w:val="es-VE"/>
              </w:rPr>
            </w:pPr>
            <w:r w:rsidRPr="00446569">
              <w:rPr>
                <w:rFonts w:ascii="Cambria" w:hAnsi="Cambria"/>
                <w:bCs/>
                <w:sz w:val="20"/>
                <w:szCs w:val="20"/>
                <w:lang w:val="es-VE"/>
              </w:rPr>
              <w:t>Sí</w:t>
            </w:r>
          </w:p>
        </w:tc>
      </w:tr>
      <w:tr w:rsidR="00E10040" w:rsidRPr="0002627E" w14:paraId="36A0855A" w14:textId="77777777" w:rsidTr="004A1F4C">
        <w:trPr>
          <w:cantSplit/>
        </w:trPr>
        <w:tc>
          <w:tcPr>
            <w:tcW w:w="3600" w:type="dxa"/>
            <w:tcBorders>
              <w:top w:val="single" w:sz="6" w:space="0" w:color="auto"/>
              <w:bottom w:val="single" w:sz="6" w:space="0" w:color="auto"/>
            </w:tcBorders>
            <w:shd w:val="clear" w:color="auto" w:fill="386294"/>
            <w:vAlign w:val="center"/>
          </w:tcPr>
          <w:p w14:paraId="6E5E1573" w14:textId="77777777" w:rsidR="00E10040" w:rsidRPr="00446569" w:rsidRDefault="00E10040" w:rsidP="004A1F4C">
            <w:pPr>
              <w:jc w:val="center"/>
              <w:rPr>
                <w:rFonts w:ascii="Cambria" w:hAnsi="Cambria"/>
                <w:b/>
                <w:bCs/>
                <w:color w:val="FFFFFF" w:themeColor="background1"/>
                <w:sz w:val="20"/>
                <w:szCs w:val="20"/>
                <w:lang w:val="es-VE"/>
              </w:rPr>
            </w:pPr>
            <w:r w:rsidRPr="00446569">
              <w:rPr>
                <w:rFonts w:ascii="Cambria" w:hAnsi="Cambria"/>
                <w:b/>
                <w:bCs/>
                <w:color w:val="FFFFFF" w:themeColor="background1"/>
                <w:sz w:val="20"/>
                <w:szCs w:val="20"/>
                <w:lang w:val="es-VE"/>
              </w:rPr>
              <w:t>Competencia</w:t>
            </w:r>
            <w:r w:rsidRPr="00446569">
              <w:rPr>
                <w:rFonts w:ascii="Cambria" w:hAnsi="Cambria"/>
                <w:b/>
                <w:bCs/>
                <w:i/>
                <w:color w:val="FFFFFF" w:themeColor="background1"/>
                <w:sz w:val="20"/>
                <w:szCs w:val="20"/>
                <w:lang w:val="es-VE"/>
              </w:rPr>
              <w:t xml:space="preserve"> Ratione materiae</w:t>
            </w:r>
            <w:r w:rsidRPr="00446569">
              <w:rPr>
                <w:rFonts w:ascii="Cambria" w:hAnsi="Cambria"/>
                <w:b/>
                <w:bCs/>
                <w:color w:val="FFFFFF" w:themeColor="background1"/>
                <w:sz w:val="20"/>
                <w:szCs w:val="20"/>
                <w:lang w:val="es-VE"/>
              </w:rPr>
              <w:t>:</w:t>
            </w:r>
          </w:p>
        </w:tc>
        <w:tc>
          <w:tcPr>
            <w:tcW w:w="5760" w:type="dxa"/>
            <w:vAlign w:val="center"/>
          </w:tcPr>
          <w:p w14:paraId="2A69C468" w14:textId="15F1CBDC" w:rsidR="00E10040" w:rsidRPr="00446569" w:rsidRDefault="00A91940" w:rsidP="004A1F4C">
            <w:pPr>
              <w:jc w:val="both"/>
              <w:rPr>
                <w:rFonts w:ascii="Cambria" w:hAnsi="Cambria"/>
                <w:bCs/>
                <w:sz w:val="20"/>
                <w:szCs w:val="20"/>
                <w:lang w:val="es-VE"/>
              </w:rPr>
            </w:pPr>
            <w:r w:rsidRPr="00446569">
              <w:rPr>
                <w:rFonts w:ascii="Cambria" w:hAnsi="Cambria"/>
                <w:bCs/>
                <w:sz w:val="20"/>
                <w:szCs w:val="20"/>
                <w:lang w:val="es-VE"/>
              </w:rPr>
              <w:t>Sí, Convención Americana (depósito de instrumento de ratificación realizado el 31 de julio de 1973)</w:t>
            </w:r>
          </w:p>
        </w:tc>
      </w:tr>
    </w:tbl>
    <w:p w14:paraId="472890AE" w14:textId="5A3EFB12" w:rsidR="00E10040" w:rsidRPr="00446569" w:rsidRDefault="00E10040" w:rsidP="00E10040">
      <w:pPr>
        <w:spacing w:before="240" w:after="240"/>
        <w:ind w:firstLine="720"/>
        <w:jc w:val="both"/>
        <w:rPr>
          <w:rFonts w:ascii="Cambria" w:hAnsi="Cambria"/>
          <w:b/>
          <w:bCs/>
          <w:sz w:val="20"/>
          <w:szCs w:val="20"/>
          <w:lang w:val="es-VE"/>
        </w:rPr>
      </w:pPr>
      <w:r w:rsidRPr="00446569">
        <w:rPr>
          <w:rFonts w:ascii="Cambria" w:hAnsi="Cambria"/>
          <w:b/>
          <w:bCs/>
          <w:sz w:val="20"/>
          <w:szCs w:val="20"/>
          <w:lang w:val="es-VE"/>
        </w:rPr>
        <w:t xml:space="preserve">IV. </w:t>
      </w:r>
      <w:r w:rsidRPr="00446569">
        <w:rPr>
          <w:rFonts w:ascii="Cambria" w:hAnsi="Cambria"/>
          <w:b/>
          <w:bCs/>
          <w:sz w:val="20"/>
          <w:szCs w:val="20"/>
          <w:lang w:val="es-VE"/>
        </w:rPr>
        <w:tab/>
        <w:t>DUPLICACIÓN</w:t>
      </w:r>
      <w:r w:rsidRPr="00446569">
        <w:rPr>
          <w:rFonts w:ascii="Cambria" w:hAnsi="Cambria"/>
          <w:b/>
          <w:bCs/>
          <w:color w:val="FFFFFF" w:themeColor="background1"/>
          <w:sz w:val="20"/>
          <w:szCs w:val="20"/>
          <w:lang w:val="es-VE"/>
        </w:rPr>
        <w:t xml:space="preserve"> </w:t>
      </w:r>
      <w:r w:rsidRPr="00446569">
        <w:rPr>
          <w:rFonts w:ascii="Cambria" w:hAnsi="Cambria"/>
          <w:b/>
          <w:bCs/>
          <w:sz w:val="20"/>
          <w:szCs w:val="20"/>
          <w:lang w:val="es-VE"/>
        </w:rPr>
        <w:t>DE PROCEDIMIENTOS Y COSA JUZGADA</w:t>
      </w:r>
      <w:r w:rsidRPr="00446569">
        <w:rPr>
          <w:rFonts w:ascii="Cambria" w:hAnsi="Cambria"/>
          <w:b/>
          <w:bCs/>
          <w:i/>
          <w:sz w:val="20"/>
          <w:szCs w:val="20"/>
          <w:lang w:val="es-VE"/>
        </w:rPr>
        <w:t xml:space="preserve"> </w:t>
      </w:r>
      <w:r w:rsidRPr="00446569">
        <w:rPr>
          <w:rFonts w:ascii="Cambria" w:hAnsi="Cambria"/>
          <w:b/>
          <w:bCs/>
          <w:sz w:val="20"/>
          <w:szCs w:val="20"/>
          <w:lang w:val="es-VE"/>
        </w:rPr>
        <w:t xml:space="preserve">INTERNACIONAL CARACTERIZACIÓN, </w:t>
      </w:r>
      <w:r w:rsidRPr="00446569">
        <w:rPr>
          <w:rFonts w:ascii="Cambria" w:hAnsi="Cambria"/>
          <w:b/>
          <w:sz w:val="20"/>
          <w:szCs w:val="20"/>
          <w:lang w:val="es-VE"/>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10040" w:rsidRPr="00446569" w14:paraId="10DAFB6F" w14:textId="77777777" w:rsidTr="004A1F4C">
        <w:trPr>
          <w:cantSplit/>
        </w:trPr>
        <w:tc>
          <w:tcPr>
            <w:tcW w:w="3600" w:type="dxa"/>
            <w:tcBorders>
              <w:top w:val="single" w:sz="4" w:space="0" w:color="auto"/>
              <w:bottom w:val="single" w:sz="6" w:space="0" w:color="auto"/>
            </w:tcBorders>
            <w:shd w:val="clear" w:color="auto" w:fill="386294"/>
            <w:vAlign w:val="center"/>
          </w:tcPr>
          <w:p w14:paraId="7A434BE2" w14:textId="77777777" w:rsidR="00E10040" w:rsidRPr="00446569" w:rsidRDefault="00E10040" w:rsidP="004A1F4C">
            <w:pPr>
              <w:jc w:val="center"/>
              <w:rPr>
                <w:rFonts w:ascii="Cambria" w:hAnsi="Cambria"/>
                <w:b/>
                <w:bCs/>
                <w:color w:val="FFFFFF" w:themeColor="background1"/>
                <w:sz w:val="20"/>
                <w:szCs w:val="20"/>
                <w:lang w:val="es-VE"/>
              </w:rPr>
            </w:pPr>
            <w:r w:rsidRPr="00446569">
              <w:rPr>
                <w:rFonts w:ascii="Cambria" w:hAnsi="Cambria"/>
                <w:b/>
                <w:bCs/>
                <w:color w:val="FFFFFF" w:themeColor="background1"/>
                <w:sz w:val="20"/>
                <w:szCs w:val="20"/>
                <w:lang w:val="es-VE"/>
              </w:rPr>
              <w:t>Duplicación de procedimientos y cosa juzgada internacional:</w:t>
            </w:r>
          </w:p>
        </w:tc>
        <w:tc>
          <w:tcPr>
            <w:tcW w:w="5760" w:type="dxa"/>
            <w:vAlign w:val="center"/>
          </w:tcPr>
          <w:p w14:paraId="02C313CB" w14:textId="73DE0775" w:rsidR="00E10040" w:rsidRPr="00446569" w:rsidRDefault="00A91940" w:rsidP="004A1F4C">
            <w:pPr>
              <w:jc w:val="both"/>
              <w:rPr>
                <w:rFonts w:ascii="Cambria" w:hAnsi="Cambria"/>
                <w:bCs/>
                <w:sz w:val="20"/>
                <w:szCs w:val="20"/>
                <w:lang w:val="es-VE"/>
              </w:rPr>
            </w:pPr>
            <w:r w:rsidRPr="00446569">
              <w:rPr>
                <w:rFonts w:ascii="Cambria" w:hAnsi="Cambria"/>
                <w:bCs/>
                <w:sz w:val="20"/>
                <w:szCs w:val="20"/>
                <w:lang w:val="es-VE"/>
              </w:rPr>
              <w:t>No</w:t>
            </w:r>
          </w:p>
        </w:tc>
      </w:tr>
      <w:tr w:rsidR="00E10040" w:rsidRPr="0002627E" w14:paraId="3CD13DD0" w14:textId="77777777" w:rsidTr="004A1F4C">
        <w:trPr>
          <w:cantSplit/>
        </w:trPr>
        <w:tc>
          <w:tcPr>
            <w:tcW w:w="3600" w:type="dxa"/>
            <w:tcBorders>
              <w:top w:val="single" w:sz="4" w:space="0" w:color="auto"/>
              <w:bottom w:val="single" w:sz="6" w:space="0" w:color="auto"/>
            </w:tcBorders>
            <w:shd w:val="clear" w:color="auto" w:fill="386294"/>
            <w:vAlign w:val="center"/>
          </w:tcPr>
          <w:p w14:paraId="3BEC9D01" w14:textId="77777777" w:rsidR="00E10040" w:rsidRPr="00446569" w:rsidRDefault="00E10040" w:rsidP="004A1F4C">
            <w:pPr>
              <w:jc w:val="center"/>
              <w:rPr>
                <w:rFonts w:ascii="Cambria" w:hAnsi="Cambria"/>
                <w:b/>
                <w:bCs/>
                <w:i/>
                <w:color w:val="FFFFFF" w:themeColor="background1"/>
                <w:sz w:val="20"/>
                <w:szCs w:val="20"/>
                <w:lang w:val="es-VE"/>
              </w:rPr>
            </w:pPr>
            <w:r w:rsidRPr="00446569">
              <w:rPr>
                <w:rFonts w:ascii="Cambria" w:hAnsi="Cambria"/>
                <w:b/>
                <w:bCs/>
                <w:color w:val="FFFFFF" w:themeColor="background1"/>
                <w:sz w:val="20"/>
                <w:szCs w:val="20"/>
                <w:lang w:val="es-VE"/>
              </w:rPr>
              <w:t>Derechos declarados admisibles</w:t>
            </w:r>
            <w:r w:rsidRPr="00446569">
              <w:rPr>
                <w:rFonts w:ascii="Cambria" w:hAnsi="Cambria"/>
                <w:b/>
                <w:bCs/>
                <w:i/>
                <w:color w:val="FFFFFF" w:themeColor="background1"/>
                <w:sz w:val="20"/>
                <w:szCs w:val="20"/>
                <w:lang w:val="es-VE"/>
              </w:rPr>
              <w:t>:</w:t>
            </w:r>
          </w:p>
        </w:tc>
        <w:tc>
          <w:tcPr>
            <w:tcW w:w="5760" w:type="dxa"/>
            <w:vAlign w:val="center"/>
          </w:tcPr>
          <w:p w14:paraId="7F500B5F" w14:textId="2CCC2A9B" w:rsidR="00E10040" w:rsidRPr="00446569" w:rsidRDefault="00053ECF" w:rsidP="004A1F4C">
            <w:pPr>
              <w:jc w:val="both"/>
              <w:rPr>
                <w:rFonts w:ascii="Cambria" w:hAnsi="Cambria"/>
                <w:bCs/>
                <w:sz w:val="20"/>
                <w:szCs w:val="20"/>
                <w:lang w:val="es-VE"/>
              </w:rPr>
            </w:pPr>
            <w:r w:rsidRPr="00446569">
              <w:rPr>
                <w:rFonts w:ascii="Cambria" w:hAnsi="Cambria"/>
                <w:bCs/>
                <w:sz w:val="20"/>
                <w:szCs w:val="20"/>
                <w:lang w:val="es-VE"/>
              </w:rPr>
              <w:t>Artículos 4 (derecho a la vida), 5 (derecho a la integridad personal), 8 (garantías judiciales) y 25 (protección judicial) de la Convención Americana en relac</w:t>
            </w:r>
            <w:r w:rsidRPr="00912A6F">
              <w:rPr>
                <w:rFonts w:ascii="Cambria" w:hAnsi="Cambria"/>
                <w:bCs/>
                <w:sz w:val="20"/>
                <w:szCs w:val="20"/>
                <w:lang w:val="es-VE"/>
              </w:rPr>
              <w:t xml:space="preserve">ión con </w:t>
            </w:r>
            <w:r w:rsidR="008A5730" w:rsidRPr="00912A6F">
              <w:rPr>
                <w:rFonts w:ascii="Cambria" w:hAnsi="Cambria"/>
                <w:bCs/>
                <w:sz w:val="20"/>
                <w:szCs w:val="20"/>
                <w:lang w:val="es-VE"/>
              </w:rPr>
              <w:t>los</w:t>
            </w:r>
            <w:r w:rsidRPr="00912A6F">
              <w:rPr>
                <w:rFonts w:ascii="Cambria" w:hAnsi="Cambria"/>
                <w:bCs/>
                <w:sz w:val="20"/>
                <w:szCs w:val="20"/>
                <w:lang w:val="es-VE"/>
              </w:rPr>
              <w:t xml:space="preserve"> artículo</w:t>
            </w:r>
            <w:r w:rsidR="008A5730" w:rsidRPr="00912A6F">
              <w:rPr>
                <w:rFonts w:ascii="Cambria" w:hAnsi="Cambria"/>
                <w:bCs/>
                <w:sz w:val="20"/>
                <w:szCs w:val="20"/>
                <w:lang w:val="es-VE"/>
              </w:rPr>
              <w:t>s</w:t>
            </w:r>
            <w:r w:rsidRPr="00912A6F">
              <w:rPr>
                <w:rFonts w:ascii="Cambria" w:hAnsi="Cambria"/>
                <w:bCs/>
                <w:sz w:val="20"/>
                <w:szCs w:val="20"/>
                <w:lang w:val="es-VE"/>
              </w:rPr>
              <w:t xml:space="preserve"> 1.1</w:t>
            </w:r>
            <w:r w:rsidR="008A5730" w:rsidRPr="00912A6F">
              <w:rPr>
                <w:rFonts w:ascii="Cambria" w:hAnsi="Cambria"/>
                <w:bCs/>
                <w:sz w:val="20"/>
                <w:szCs w:val="20"/>
                <w:lang w:val="es-VE"/>
              </w:rPr>
              <w:t xml:space="preserve"> y 2</w:t>
            </w:r>
            <w:r w:rsidRPr="00912A6F">
              <w:rPr>
                <w:rFonts w:ascii="Cambria" w:hAnsi="Cambria"/>
                <w:bCs/>
                <w:sz w:val="20"/>
                <w:szCs w:val="20"/>
                <w:lang w:val="es-VE"/>
              </w:rPr>
              <w:t xml:space="preserve"> del mismo instrumento</w:t>
            </w:r>
          </w:p>
        </w:tc>
      </w:tr>
      <w:tr w:rsidR="00E10040" w:rsidRPr="0002627E" w14:paraId="135E8DBF" w14:textId="77777777" w:rsidTr="004A1F4C">
        <w:trPr>
          <w:cantSplit/>
        </w:trPr>
        <w:tc>
          <w:tcPr>
            <w:tcW w:w="3600" w:type="dxa"/>
            <w:tcBorders>
              <w:top w:val="single" w:sz="6" w:space="0" w:color="auto"/>
              <w:bottom w:val="single" w:sz="6" w:space="0" w:color="auto"/>
            </w:tcBorders>
            <w:shd w:val="clear" w:color="auto" w:fill="386294"/>
            <w:vAlign w:val="center"/>
          </w:tcPr>
          <w:p w14:paraId="423D299B" w14:textId="77777777" w:rsidR="00E10040" w:rsidRPr="00446569" w:rsidRDefault="00E10040" w:rsidP="004A1F4C">
            <w:pPr>
              <w:jc w:val="center"/>
              <w:rPr>
                <w:rFonts w:ascii="Cambria" w:hAnsi="Cambria"/>
                <w:b/>
                <w:bCs/>
                <w:color w:val="FFFFFF" w:themeColor="background1"/>
                <w:sz w:val="20"/>
                <w:szCs w:val="20"/>
                <w:lang w:val="es-VE"/>
              </w:rPr>
            </w:pPr>
            <w:r w:rsidRPr="00446569">
              <w:rPr>
                <w:rFonts w:ascii="Cambria" w:hAnsi="Cambria"/>
                <w:b/>
                <w:bCs/>
                <w:color w:val="FFFFFF" w:themeColor="background1"/>
                <w:sz w:val="20"/>
                <w:szCs w:val="20"/>
                <w:lang w:val="es-VE"/>
              </w:rPr>
              <w:t>Agotamiento de recursos internos o procedencia de una excepción:</w:t>
            </w:r>
          </w:p>
        </w:tc>
        <w:tc>
          <w:tcPr>
            <w:tcW w:w="5760" w:type="dxa"/>
            <w:vAlign w:val="center"/>
          </w:tcPr>
          <w:p w14:paraId="3F71FF5E" w14:textId="46ECE88B" w:rsidR="00E10040" w:rsidRPr="00446569" w:rsidRDefault="00A91940" w:rsidP="004A1F4C">
            <w:pPr>
              <w:rPr>
                <w:rFonts w:ascii="Cambria" w:hAnsi="Cambria"/>
                <w:bCs/>
                <w:sz w:val="20"/>
                <w:szCs w:val="20"/>
                <w:lang w:val="es-VE"/>
              </w:rPr>
            </w:pPr>
            <w:r w:rsidRPr="00446569">
              <w:rPr>
                <w:rFonts w:ascii="Cambria" w:hAnsi="Cambria"/>
                <w:bCs/>
                <w:sz w:val="20"/>
                <w:szCs w:val="20"/>
                <w:lang w:val="es-VE"/>
              </w:rPr>
              <w:t>Sí, en los términos de la Sección VI</w:t>
            </w:r>
          </w:p>
        </w:tc>
      </w:tr>
      <w:tr w:rsidR="00E10040" w:rsidRPr="0002627E" w14:paraId="3584D459" w14:textId="77777777" w:rsidTr="004A1F4C">
        <w:trPr>
          <w:cantSplit/>
        </w:trPr>
        <w:tc>
          <w:tcPr>
            <w:tcW w:w="3600" w:type="dxa"/>
            <w:tcBorders>
              <w:top w:val="single" w:sz="6" w:space="0" w:color="auto"/>
              <w:bottom w:val="single" w:sz="6" w:space="0" w:color="auto"/>
            </w:tcBorders>
            <w:shd w:val="clear" w:color="auto" w:fill="386294"/>
            <w:vAlign w:val="center"/>
          </w:tcPr>
          <w:p w14:paraId="2D708EA3" w14:textId="77777777" w:rsidR="00E10040" w:rsidRPr="00446569" w:rsidRDefault="00E10040" w:rsidP="004A1F4C">
            <w:pPr>
              <w:jc w:val="center"/>
              <w:rPr>
                <w:rFonts w:ascii="Cambria" w:hAnsi="Cambria"/>
                <w:b/>
                <w:bCs/>
                <w:color w:val="FFFFFF" w:themeColor="background1"/>
                <w:sz w:val="20"/>
                <w:szCs w:val="20"/>
                <w:lang w:val="es-VE"/>
              </w:rPr>
            </w:pPr>
            <w:r w:rsidRPr="00446569">
              <w:rPr>
                <w:rFonts w:ascii="Cambria" w:hAnsi="Cambria"/>
                <w:b/>
                <w:bCs/>
                <w:color w:val="FFFFFF" w:themeColor="background1"/>
                <w:sz w:val="20"/>
                <w:szCs w:val="20"/>
                <w:lang w:val="es-VE"/>
              </w:rPr>
              <w:t>Presentación dentro de plazo:</w:t>
            </w:r>
          </w:p>
        </w:tc>
        <w:tc>
          <w:tcPr>
            <w:tcW w:w="5760" w:type="dxa"/>
            <w:vAlign w:val="center"/>
          </w:tcPr>
          <w:p w14:paraId="521CCA2C" w14:textId="5E2576BC" w:rsidR="00E10040" w:rsidRPr="00446569" w:rsidRDefault="00A91940" w:rsidP="004A1F4C">
            <w:pPr>
              <w:rPr>
                <w:rFonts w:ascii="Cambria" w:hAnsi="Cambria"/>
                <w:bCs/>
                <w:sz w:val="20"/>
                <w:szCs w:val="20"/>
                <w:lang w:val="es-VE"/>
              </w:rPr>
            </w:pPr>
            <w:r w:rsidRPr="00446569">
              <w:rPr>
                <w:rFonts w:ascii="Cambria" w:hAnsi="Cambria"/>
                <w:bCs/>
                <w:sz w:val="20"/>
                <w:szCs w:val="20"/>
                <w:lang w:val="es-VE"/>
              </w:rPr>
              <w:t>Sí, en los términos de la Sección VI</w:t>
            </w:r>
          </w:p>
        </w:tc>
      </w:tr>
    </w:tbl>
    <w:p w14:paraId="43D3366B" w14:textId="77777777" w:rsidR="00E10040" w:rsidRPr="00446569" w:rsidRDefault="00E10040" w:rsidP="00E10040">
      <w:pPr>
        <w:spacing w:before="240" w:after="240"/>
        <w:ind w:firstLine="720"/>
        <w:jc w:val="both"/>
        <w:rPr>
          <w:rFonts w:ascii="Cambria" w:hAnsi="Cambria"/>
          <w:b/>
          <w:sz w:val="20"/>
          <w:szCs w:val="20"/>
          <w:lang w:val="es-VE"/>
        </w:rPr>
      </w:pPr>
      <w:r w:rsidRPr="00446569">
        <w:rPr>
          <w:rFonts w:ascii="Cambria" w:hAnsi="Cambria"/>
          <w:b/>
          <w:sz w:val="20"/>
          <w:szCs w:val="20"/>
          <w:lang w:val="es-VE"/>
        </w:rPr>
        <w:t xml:space="preserve">V. </w:t>
      </w:r>
      <w:r w:rsidRPr="00446569">
        <w:rPr>
          <w:rFonts w:ascii="Cambria" w:hAnsi="Cambria"/>
          <w:b/>
          <w:sz w:val="20"/>
          <w:szCs w:val="20"/>
          <w:lang w:val="es-VE"/>
        </w:rPr>
        <w:tab/>
        <w:t xml:space="preserve">HECHOS ALEGADOS </w:t>
      </w:r>
    </w:p>
    <w:p w14:paraId="18DB89C7" w14:textId="3E28ABA6" w:rsidR="00E10040" w:rsidRPr="00446569" w:rsidRDefault="00FF04CE" w:rsidP="00E100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VE"/>
        </w:rPr>
      </w:pPr>
      <w:r w:rsidRPr="00446569">
        <w:rPr>
          <w:sz w:val="20"/>
          <w:szCs w:val="20"/>
          <w:lang w:val="es-VE"/>
        </w:rPr>
        <w:t>La presente petición reclama la responsabilidad internacional del Estado de Colombia en relación al homicidio de Pedro José Adarve Jiménez</w:t>
      </w:r>
      <w:r w:rsidR="009A7340" w:rsidRPr="00446569">
        <w:rPr>
          <w:sz w:val="20"/>
          <w:szCs w:val="20"/>
          <w:lang w:val="es-VE"/>
        </w:rPr>
        <w:t xml:space="preserve"> </w:t>
      </w:r>
      <w:r w:rsidRPr="00446569">
        <w:rPr>
          <w:sz w:val="20"/>
          <w:szCs w:val="20"/>
          <w:lang w:val="es-VE"/>
        </w:rPr>
        <w:t>en manos de mie</w:t>
      </w:r>
      <w:r w:rsidR="004A1F4C" w:rsidRPr="00446569">
        <w:rPr>
          <w:sz w:val="20"/>
          <w:szCs w:val="20"/>
          <w:lang w:val="es-VE"/>
        </w:rPr>
        <w:t xml:space="preserve">mbros de la Policía Nacional </w:t>
      </w:r>
      <w:r w:rsidR="00636C4C" w:rsidRPr="00446569">
        <w:rPr>
          <w:sz w:val="20"/>
          <w:szCs w:val="20"/>
          <w:lang w:val="es-VE"/>
        </w:rPr>
        <w:t xml:space="preserve">el 6 de noviembre de 2001 </w:t>
      </w:r>
      <w:r w:rsidR="004A1F4C" w:rsidRPr="00446569">
        <w:rPr>
          <w:sz w:val="20"/>
          <w:szCs w:val="20"/>
          <w:lang w:val="es-VE"/>
        </w:rPr>
        <w:t xml:space="preserve">en la ciudad de Medellín. Al respecto, la parte peticionaria sostiene que este hecho violento ha quedado en total impunidad y no ha sido posible la indemnización de perjuicios a favor de los familiares de </w:t>
      </w:r>
      <w:r w:rsidR="004A1F4C" w:rsidRPr="00446569">
        <w:rPr>
          <w:sz w:val="20"/>
          <w:szCs w:val="20"/>
          <w:lang w:val="es-VE"/>
        </w:rPr>
        <w:lastRenderedPageBreak/>
        <w:t xml:space="preserve">la presunta víctima pese haber agotado los recursos internos. </w:t>
      </w:r>
      <w:r w:rsidR="009A7340" w:rsidRPr="00446569">
        <w:rPr>
          <w:sz w:val="20"/>
          <w:szCs w:val="20"/>
          <w:lang w:val="es-VE"/>
        </w:rPr>
        <w:t xml:space="preserve">Asimismo, describe que la presunta víctima era un hombre con una discapacidad mental quien, debido a amenazas sufridas por miembros de las Autodefensas en la vereda de San José de la Gloria, se había desplazado recientemente </w:t>
      </w:r>
      <w:r w:rsidR="00636C4C" w:rsidRPr="00446569">
        <w:rPr>
          <w:sz w:val="20"/>
          <w:szCs w:val="20"/>
          <w:lang w:val="es-VE"/>
        </w:rPr>
        <w:t>a vivir con</w:t>
      </w:r>
      <w:r w:rsidR="009A7340" w:rsidRPr="00446569">
        <w:rPr>
          <w:sz w:val="20"/>
          <w:szCs w:val="20"/>
          <w:lang w:val="es-VE"/>
        </w:rPr>
        <w:t xml:space="preserve"> su familia a</w:t>
      </w:r>
      <w:r w:rsidR="00E51689" w:rsidRPr="00446569">
        <w:rPr>
          <w:sz w:val="20"/>
          <w:szCs w:val="20"/>
          <w:lang w:val="es-VE"/>
        </w:rPr>
        <w:t>l Barrio El Salado en</w:t>
      </w:r>
      <w:r w:rsidR="009A7340" w:rsidRPr="00446569">
        <w:rPr>
          <w:sz w:val="20"/>
          <w:szCs w:val="20"/>
          <w:lang w:val="es-VE"/>
        </w:rPr>
        <w:t xml:space="preserve"> la Comuna 13 de Medellín. </w:t>
      </w:r>
    </w:p>
    <w:p w14:paraId="4F871273" w14:textId="4FB97A2A" w:rsidR="00636C4C" w:rsidRPr="00446569" w:rsidRDefault="00636C4C" w:rsidP="00E100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VE"/>
        </w:rPr>
      </w:pPr>
      <w:r w:rsidRPr="00446569">
        <w:rPr>
          <w:sz w:val="20"/>
          <w:szCs w:val="20"/>
          <w:lang w:val="es-VE"/>
        </w:rPr>
        <w:t>La parte peticionaria a</w:t>
      </w:r>
      <w:r w:rsidR="00296059" w:rsidRPr="00446569">
        <w:rPr>
          <w:sz w:val="20"/>
          <w:szCs w:val="20"/>
          <w:lang w:val="es-VE"/>
        </w:rPr>
        <w:t xml:space="preserve">lega </w:t>
      </w:r>
      <w:r w:rsidR="000F34ED" w:rsidRPr="00446569">
        <w:rPr>
          <w:sz w:val="20"/>
          <w:szCs w:val="20"/>
          <w:lang w:val="es-VE"/>
        </w:rPr>
        <w:t>que,</w:t>
      </w:r>
      <w:r w:rsidR="00296059" w:rsidRPr="00446569">
        <w:rPr>
          <w:sz w:val="20"/>
          <w:szCs w:val="20"/>
          <w:lang w:val="es-VE"/>
        </w:rPr>
        <w:t xml:space="preserve"> </w:t>
      </w:r>
      <w:r w:rsidR="009C1DF9" w:rsidRPr="00446569">
        <w:rPr>
          <w:sz w:val="20"/>
          <w:szCs w:val="20"/>
          <w:lang w:val="es-VE"/>
        </w:rPr>
        <w:t>en la mañana d</w:t>
      </w:r>
      <w:r w:rsidR="00296059" w:rsidRPr="00446569">
        <w:rPr>
          <w:sz w:val="20"/>
          <w:szCs w:val="20"/>
          <w:lang w:val="es-VE"/>
        </w:rPr>
        <w:t xml:space="preserve">el 6 de noviembre de 2001, la presunta víctima </w:t>
      </w:r>
      <w:r w:rsidRPr="00446569">
        <w:rPr>
          <w:sz w:val="20"/>
          <w:szCs w:val="20"/>
          <w:lang w:val="es-VE"/>
        </w:rPr>
        <w:t>e</w:t>
      </w:r>
      <w:r w:rsidR="00296059" w:rsidRPr="00446569">
        <w:rPr>
          <w:sz w:val="20"/>
          <w:szCs w:val="20"/>
          <w:lang w:val="es-VE"/>
        </w:rPr>
        <w:t xml:space="preserve">staba </w:t>
      </w:r>
      <w:r w:rsidRPr="00446569">
        <w:rPr>
          <w:sz w:val="20"/>
          <w:szCs w:val="20"/>
          <w:lang w:val="es-VE"/>
        </w:rPr>
        <w:t xml:space="preserve">haciendo sus necesidades fisiológicas </w:t>
      </w:r>
      <w:r w:rsidR="00296059" w:rsidRPr="00446569">
        <w:rPr>
          <w:sz w:val="20"/>
          <w:szCs w:val="20"/>
          <w:lang w:val="es-VE"/>
        </w:rPr>
        <w:t xml:space="preserve">en </w:t>
      </w:r>
      <w:r w:rsidR="009C1DF9" w:rsidRPr="00446569">
        <w:rPr>
          <w:sz w:val="20"/>
          <w:szCs w:val="20"/>
          <w:lang w:val="es-VE"/>
        </w:rPr>
        <w:t xml:space="preserve">un prado pequeño </w:t>
      </w:r>
      <w:r w:rsidR="00296059" w:rsidRPr="00446569">
        <w:rPr>
          <w:sz w:val="20"/>
          <w:szCs w:val="20"/>
          <w:lang w:val="es-VE"/>
        </w:rPr>
        <w:t>cerca de su vivienda</w:t>
      </w:r>
      <w:r w:rsidRPr="00446569">
        <w:rPr>
          <w:sz w:val="20"/>
          <w:szCs w:val="20"/>
          <w:lang w:val="es-VE"/>
        </w:rPr>
        <w:t xml:space="preserve"> cuando </w:t>
      </w:r>
      <w:r w:rsidR="00C11E05" w:rsidRPr="00446569">
        <w:rPr>
          <w:sz w:val="20"/>
          <w:szCs w:val="20"/>
          <w:lang w:val="es-VE"/>
        </w:rPr>
        <w:t>un “miliciano” tratando de huir de miembros de la Policía Nacional dejó caer el arma a sus pies</w:t>
      </w:r>
      <w:r w:rsidR="004909C8" w:rsidRPr="00446569">
        <w:rPr>
          <w:sz w:val="20"/>
          <w:szCs w:val="20"/>
          <w:lang w:val="es-VE"/>
        </w:rPr>
        <w:t>.</w:t>
      </w:r>
      <w:r w:rsidR="00C11E05" w:rsidRPr="00446569">
        <w:rPr>
          <w:sz w:val="20"/>
          <w:szCs w:val="20"/>
          <w:lang w:val="es-VE"/>
        </w:rPr>
        <w:t xml:space="preserve"> Sostiene que inmediatamente después los agentes gritaron alto a la presunta víctima quien</w:t>
      </w:r>
      <w:r w:rsidR="004909C8" w:rsidRPr="00446569">
        <w:rPr>
          <w:sz w:val="20"/>
          <w:szCs w:val="20"/>
          <w:lang w:val="es-VE"/>
        </w:rPr>
        <w:t xml:space="preserve"> asustado</w:t>
      </w:r>
      <w:r w:rsidR="00C11E05" w:rsidRPr="00446569">
        <w:rPr>
          <w:sz w:val="20"/>
          <w:szCs w:val="20"/>
          <w:lang w:val="es-VE"/>
        </w:rPr>
        <w:t xml:space="preserve"> trató de huir </w:t>
      </w:r>
      <w:r w:rsidR="004909C8" w:rsidRPr="00446569">
        <w:rPr>
          <w:sz w:val="20"/>
          <w:szCs w:val="20"/>
          <w:lang w:val="es-VE"/>
        </w:rPr>
        <w:t>por lo que éstos dispararon indiscriminadamente hiriéndolo letalmente en la espalda. Al respecto, agrega que uno de los hermanos de la presunta víctima, quien presenció los hechos desde su vivienda, interpeló a los miembros de la Policía por haber disparado, no obstante</w:t>
      </w:r>
      <w:r w:rsidR="007F3CFD" w:rsidRPr="00446569">
        <w:rPr>
          <w:sz w:val="20"/>
          <w:szCs w:val="20"/>
          <w:lang w:val="es-VE"/>
        </w:rPr>
        <w:t>,</w:t>
      </w:r>
      <w:r w:rsidR="004909C8" w:rsidRPr="00446569">
        <w:rPr>
          <w:sz w:val="20"/>
          <w:szCs w:val="20"/>
          <w:lang w:val="es-VE"/>
        </w:rPr>
        <w:t xml:space="preserve"> los agentes respondieron con amenazas y disparando sin herirlo. </w:t>
      </w:r>
    </w:p>
    <w:p w14:paraId="39416824" w14:textId="50DBF2FE" w:rsidR="00E10040" w:rsidRPr="00446569" w:rsidRDefault="008A5730" w:rsidP="00E100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VE"/>
        </w:rPr>
      </w:pPr>
      <w:r>
        <w:rPr>
          <w:sz w:val="20"/>
          <w:szCs w:val="20"/>
          <w:lang w:val="es-VE"/>
        </w:rPr>
        <w:t xml:space="preserve">Presenta información relativa a </w:t>
      </w:r>
      <w:r w:rsidR="0012145F" w:rsidRPr="00446569">
        <w:rPr>
          <w:sz w:val="20"/>
          <w:szCs w:val="20"/>
          <w:lang w:val="es-VE"/>
        </w:rPr>
        <w:t xml:space="preserve">que los agentes trasladaron </w:t>
      </w:r>
      <w:r w:rsidR="00F77527">
        <w:rPr>
          <w:sz w:val="20"/>
          <w:szCs w:val="20"/>
          <w:lang w:val="es-VE"/>
        </w:rPr>
        <w:t xml:space="preserve">presuntamente </w:t>
      </w:r>
      <w:r w:rsidR="0012145F" w:rsidRPr="00446569">
        <w:rPr>
          <w:sz w:val="20"/>
          <w:szCs w:val="20"/>
          <w:lang w:val="es-VE"/>
        </w:rPr>
        <w:t xml:space="preserve">por razones de seguridad el cuerpo de la presunta víctima </w:t>
      </w:r>
      <w:r w:rsidR="00FC30C2" w:rsidRPr="00446569">
        <w:rPr>
          <w:sz w:val="20"/>
          <w:szCs w:val="20"/>
          <w:lang w:val="es-VE"/>
        </w:rPr>
        <w:t>a la terminal de Belencito Coraz</w:t>
      </w:r>
      <w:r w:rsidR="0012145F" w:rsidRPr="00446569">
        <w:rPr>
          <w:sz w:val="20"/>
          <w:szCs w:val="20"/>
          <w:lang w:val="es-VE"/>
        </w:rPr>
        <w:t>ó</w:t>
      </w:r>
      <w:r w:rsidR="00FC30C2" w:rsidRPr="00446569">
        <w:rPr>
          <w:sz w:val="20"/>
          <w:szCs w:val="20"/>
          <w:lang w:val="es-VE"/>
        </w:rPr>
        <w:t xml:space="preserve">n a esperar a la </w:t>
      </w:r>
      <w:r w:rsidR="0012145F" w:rsidRPr="00446569">
        <w:rPr>
          <w:sz w:val="20"/>
          <w:szCs w:val="20"/>
          <w:lang w:val="es-VE"/>
        </w:rPr>
        <w:t>F</w:t>
      </w:r>
      <w:r w:rsidR="00FC30C2" w:rsidRPr="00446569">
        <w:rPr>
          <w:sz w:val="20"/>
          <w:szCs w:val="20"/>
          <w:lang w:val="es-VE"/>
        </w:rPr>
        <w:t>iscalía</w:t>
      </w:r>
      <w:r w:rsidR="0012145F" w:rsidRPr="00446569">
        <w:rPr>
          <w:sz w:val="20"/>
          <w:szCs w:val="20"/>
          <w:lang w:val="es-VE"/>
        </w:rPr>
        <w:t xml:space="preserve"> de la Unidad Intermedia de San Javier. </w:t>
      </w:r>
      <w:r w:rsidR="004909C8" w:rsidRPr="00446569">
        <w:rPr>
          <w:sz w:val="20"/>
          <w:szCs w:val="20"/>
          <w:lang w:val="es-VE"/>
        </w:rPr>
        <w:t>S</w:t>
      </w:r>
      <w:r w:rsidR="005627AD" w:rsidRPr="00446569">
        <w:rPr>
          <w:sz w:val="20"/>
          <w:szCs w:val="20"/>
          <w:lang w:val="es-VE"/>
        </w:rPr>
        <w:t xml:space="preserve">ostiene que </w:t>
      </w:r>
      <w:r w:rsidR="0012145F" w:rsidRPr="00446569">
        <w:rPr>
          <w:sz w:val="20"/>
          <w:szCs w:val="20"/>
          <w:lang w:val="es-VE"/>
        </w:rPr>
        <w:t>l</w:t>
      </w:r>
      <w:r w:rsidR="003F2FC4" w:rsidRPr="00446569">
        <w:rPr>
          <w:sz w:val="20"/>
          <w:szCs w:val="20"/>
          <w:lang w:val="es-VE"/>
        </w:rPr>
        <w:t xml:space="preserve">a </w:t>
      </w:r>
      <w:r>
        <w:rPr>
          <w:sz w:val="20"/>
          <w:szCs w:val="20"/>
          <w:lang w:val="es-VE"/>
        </w:rPr>
        <w:t>F</w:t>
      </w:r>
      <w:r w:rsidR="003F2FC4" w:rsidRPr="00446569">
        <w:rPr>
          <w:sz w:val="20"/>
          <w:szCs w:val="20"/>
          <w:lang w:val="es-VE"/>
        </w:rPr>
        <w:t>iscalía realiz</w:t>
      </w:r>
      <w:r w:rsidR="0012145F" w:rsidRPr="00446569">
        <w:rPr>
          <w:sz w:val="20"/>
          <w:szCs w:val="20"/>
          <w:lang w:val="es-VE"/>
        </w:rPr>
        <w:t>ó</w:t>
      </w:r>
      <w:r w:rsidR="003F2FC4" w:rsidRPr="00446569">
        <w:rPr>
          <w:sz w:val="20"/>
          <w:szCs w:val="20"/>
          <w:lang w:val="es-VE"/>
        </w:rPr>
        <w:t xml:space="preserve"> el levantamiento del </w:t>
      </w:r>
      <w:r w:rsidR="00FC30C2" w:rsidRPr="00446569">
        <w:rPr>
          <w:sz w:val="20"/>
          <w:szCs w:val="20"/>
          <w:lang w:val="es-VE"/>
        </w:rPr>
        <w:t>cadáver</w:t>
      </w:r>
      <w:r w:rsidR="0012145F" w:rsidRPr="00446569">
        <w:rPr>
          <w:sz w:val="20"/>
          <w:szCs w:val="20"/>
          <w:lang w:val="es-VE"/>
        </w:rPr>
        <w:t xml:space="preserve"> y posteriormente se practicó acta de necropsia No. 01-4015 la cual constató herida en el pulmón, corazón e hígado por proyectil de arma de fuego que entró por la espalda</w:t>
      </w:r>
      <w:r w:rsidR="00FC30C2" w:rsidRPr="00446569">
        <w:rPr>
          <w:sz w:val="20"/>
          <w:szCs w:val="20"/>
          <w:lang w:val="es-VE"/>
        </w:rPr>
        <w:t xml:space="preserve">. </w:t>
      </w:r>
      <w:r w:rsidR="0012145F" w:rsidRPr="00446569">
        <w:rPr>
          <w:sz w:val="20"/>
          <w:szCs w:val="20"/>
          <w:lang w:val="es-VE"/>
        </w:rPr>
        <w:t xml:space="preserve">Asimismo, alega que el hermano de la presunta víctima que presenció los hechos rindió declaraciones ante la Fiscalía indicando que, posterior a la muerte, </w:t>
      </w:r>
      <w:r w:rsidR="00FC30C2" w:rsidRPr="00446569">
        <w:rPr>
          <w:sz w:val="20"/>
          <w:szCs w:val="20"/>
          <w:lang w:val="es-VE"/>
        </w:rPr>
        <w:t>vi</w:t>
      </w:r>
      <w:r w:rsidR="0012145F" w:rsidRPr="00446569">
        <w:rPr>
          <w:sz w:val="20"/>
          <w:szCs w:val="20"/>
          <w:lang w:val="es-VE"/>
        </w:rPr>
        <w:t>o</w:t>
      </w:r>
      <w:r w:rsidR="00FC30C2" w:rsidRPr="00446569">
        <w:rPr>
          <w:sz w:val="20"/>
          <w:szCs w:val="20"/>
          <w:lang w:val="es-VE"/>
        </w:rPr>
        <w:t xml:space="preserve"> co</w:t>
      </w:r>
      <w:r w:rsidR="0012145F" w:rsidRPr="00446569">
        <w:rPr>
          <w:sz w:val="20"/>
          <w:szCs w:val="20"/>
          <w:lang w:val="es-VE"/>
        </w:rPr>
        <w:t>m</w:t>
      </w:r>
      <w:r w:rsidR="00FC30C2" w:rsidRPr="00446569">
        <w:rPr>
          <w:sz w:val="20"/>
          <w:szCs w:val="20"/>
          <w:lang w:val="es-VE"/>
        </w:rPr>
        <w:t xml:space="preserve">o </w:t>
      </w:r>
      <w:r w:rsidR="0012145F" w:rsidRPr="00446569">
        <w:rPr>
          <w:sz w:val="20"/>
          <w:szCs w:val="20"/>
          <w:lang w:val="es-VE"/>
        </w:rPr>
        <w:t>un agente de la P</w:t>
      </w:r>
      <w:r w:rsidR="00FC30C2" w:rsidRPr="00446569">
        <w:rPr>
          <w:sz w:val="20"/>
          <w:szCs w:val="20"/>
          <w:lang w:val="es-VE"/>
        </w:rPr>
        <w:t xml:space="preserve">olicía plantó </w:t>
      </w:r>
      <w:r w:rsidR="0012145F" w:rsidRPr="00446569">
        <w:rPr>
          <w:sz w:val="20"/>
          <w:szCs w:val="20"/>
          <w:lang w:val="es-VE"/>
        </w:rPr>
        <w:t xml:space="preserve">una granada al lado del cuerpo. </w:t>
      </w:r>
    </w:p>
    <w:p w14:paraId="5C17B9A6" w14:textId="2756C485" w:rsidR="001034FB" w:rsidRPr="00446569" w:rsidRDefault="0012145F" w:rsidP="00E100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VE"/>
        </w:rPr>
      </w:pPr>
      <w:r w:rsidRPr="00446569">
        <w:rPr>
          <w:sz w:val="20"/>
          <w:szCs w:val="20"/>
          <w:lang w:val="es-VE"/>
        </w:rPr>
        <w:t>En dicha línea, la parte peticionaria argumenta que el Juzgado 154 de Instrucción M</w:t>
      </w:r>
      <w:r w:rsidR="00F77527">
        <w:rPr>
          <w:sz w:val="20"/>
          <w:szCs w:val="20"/>
          <w:lang w:val="es-VE"/>
        </w:rPr>
        <w:t>ilitar</w:t>
      </w:r>
      <w:r w:rsidR="00E51689" w:rsidRPr="00446569">
        <w:rPr>
          <w:sz w:val="20"/>
          <w:szCs w:val="20"/>
          <w:lang w:val="es-VE"/>
        </w:rPr>
        <w:t xml:space="preserve"> inici</w:t>
      </w:r>
      <w:r w:rsidRPr="00446569">
        <w:rPr>
          <w:sz w:val="20"/>
          <w:szCs w:val="20"/>
          <w:lang w:val="es-VE"/>
        </w:rPr>
        <w:t>ó</w:t>
      </w:r>
      <w:r w:rsidR="00E51689" w:rsidRPr="00446569">
        <w:rPr>
          <w:sz w:val="20"/>
          <w:szCs w:val="20"/>
          <w:lang w:val="es-VE"/>
        </w:rPr>
        <w:t xml:space="preserve"> la investigación </w:t>
      </w:r>
      <w:r w:rsidRPr="00446569">
        <w:rPr>
          <w:sz w:val="20"/>
          <w:szCs w:val="20"/>
          <w:lang w:val="es-VE"/>
        </w:rPr>
        <w:t>penal en tanto los hechos habían ocurrido en el marco de un operativo policial</w:t>
      </w:r>
      <w:r w:rsidR="00B33453" w:rsidRPr="00446569">
        <w:rPr>
          <w:sz w:val="20"/>
          <w:szCs w:val="20"/>
          <w:lang w:val="es-VE"/>
        </w:rPr>
        <w:t xml:space="preserve">. Indica que esta autoridad decidió abstenerse </w:t>
      </w:r>
      <w:r w:rsidR="003F2FC4" w:rsidRPr="00446569">
        <w:rPr>
          <w:sz w:val="20"/>
          <w:szCs w:val="20"/>
          <w:lang w:val="es-VE"/>
        </w:rPr>
        <w:t>de dictar medida de aseguramie</w:t>
      </w:r>
      <w:r w:rsidR="000F34ED">
        <w:rPr>
          <w:sz w:val="20"/>
          <w:szCs w:val="20"/>
          <w:lang w:val="es-VE"/>
        </w:rPr>
        <w:t>n</w:t>
      </w:r>
      <w:r w:rsidR="003F2FC4" w:rsidRPr="00446569">
        <w:rPr>
          <w:sz w:val="20"/>
          <w:szCs w:val="20"/>
          <w:lang w:val="es-VE"/>
        </w:rPr>
        <w:t>to cont</w:t>
      </w:r>
      <w:r w:rsidR="000F34ED">
        <w:rPr>
          <w:sz w:val="20"/>
          <w:szCs w:val="20"/>
          <w:lang w:val="es-VE"/>
        </w:rPr>
        <w:t>r</w:t>
      </w:r>
      <w:r w:rsidR="003F2FC4" w:rsidRPr="00446569">
        <w:rPr>
          <w:sz w:val="20"/>
          <w:szCs w:val="20"/>
          <w:lang w:val="es-VE"/>
        </w:rPr>
        <w:t>a los polic</w:t>
      </w:r>
      <w:r w:rsidR="00B33453" w:rsidRPr="00446569">
        <w:rPr>
          <w:sz w:val="20"/>
          <w:szCs w:val="20"/>
          <w:lang w:val="es-VE"/>
        </w:rPr>
        <w:t>í</w:t>
      </w:r>
      <w:r w:rsidR="003F2FC4" w:rsidRPr="00446569">
        <w:rPr>
          <w:sz w:val="20"/>
          <w:szCs w:val="20"/>
          <w:lang w:val="es-VE"/>
        </w:rPr>
        <w:t xml:space="preserve">as </w:t>
      </w:r>
      <w:r w:rsidR="00B33453" w:rsidRPr="00446569">
        <w:rPr>
          <w:sz w:val="20"/>
          <w:szCs w:val="20"/>
          <w:lang w:val="es-VE"/>
        </w:rPr>
        <w:t xml:space="preserve">involucrados en el operativo </w:t>
      </w:r>
      <w:r w:rsidR="003F2FC4" w:rsidRPr="00446569">
        <w:rPr>
          <w:sz w:val="20"/>
          <w:szCs w:val="20"/>
          <w:lang w:val="es-VE"/>
        </w:rPr>
        <w:t xml:space="preserve">en tanto la investigación concluyó que </w:t>
      </w:r>
      <w:r w:rsidR="00B33453" w:rsidRPr="00446569">
        <w:rPr>
          <w:sz w:val="20"/>
          <w:szCs w:val="20"/>
          <w:lang w:val="es-VE"/>
        </w:rPr>
        <w:t xml:space="preserve">el disparo que ocasionó la muerte de la presunta víctima </w:t>
      </w:r>
      <w:r w:rsidR="003F2FC4" w:rsidRPr="00446569">
        <w:rPr>
          <w:sz w:val="20"/>
          <w:szCs w:val="20"/>
          <w:lang w:val="es-VE"/>
        </w:rPr>
        <w:t xml:space="preserve">no pudo </w:t>
      </w:r>
      <w:r w:rsidR="00B33453" w:rsidRPr="00446569">
        <w:rPr>
          <w:sz w:val="20"/>
          <w:szCs w:val="20"/>
          <w:lang w:val="es-VE"/>
        </w:rPr>
        <w:t xml:space="preserve">provenir de los agentes de </w:t>
      </w:r>
      <w:r w:rsidR="003F2FC4" w:rsidRPr="00446569">
        <w:rPr>
          <w:sz w:val="20"/>
          <w:szCs w:val="20"/>
          <w:lang w:val="es-VE"/>
        </w:rPr>
        <w:t xml:space="preserve">policía. </w:t>
      </w:r>
      <w:r w:rsidR="00B33453" w:rsidRPr="00446569">
        <w:rPr>
          <w:sz w:val="20"/>
          <w:szCs w:val="20"/>
          <w:lang w:val="es-VE"/>
        </w:rPr>
        <w:t xml:space="preserve">Al respecto, </w:t>
      </w:r>
      <w:r w:rsidR="008A5730">
        <w:rPr>
          <w:sz w:val="20"/>
          <w:szCs w:val="20"/>
          <w:lang w:val="es-VE"/>
        </w:rPr>
        <w:t>informa</w:t>
      </w:r>
      <w:r w:rsidR="00B33453" w:rsidRPr="00446569">
        <w:rPr>
          <w:sz w:val="20"/>
          <w:szCs w:val="20"/>
          <w:lang w:val="es-VE"/>
        </w:rPr>
        <w:t xml:space="preserve"> que el mencionado Juzgado argumentó su decisión en tanto i. l</w:t>
      </w:r>
      <w:r w:rsidR="003F2FC4" w:rsidRPr="00446569">
        <w:rPr>
          <w:sz w:val="20"/>
          <w:szCs w:val="20"/>
          <w:lang w:val="es-VE"/>
        </w:rPr>
        <w:t xml:space="preserve">a bala tuvo orificio de salida </w:t>
      </w:r>
      <w:r w:rsidR="007F3CFD" w:rsidRPr="00446569">
        <w:rPr>
          <w:sz w:val="20"/>
          <w:szCs w:val="20"/>
          <w:lang w:val="es-VE"/>
        </w:rPr>
        <w:t xml:space="preserve">del cadáver </w:t>
      </w:r>
      <w:r w:rsidR="003F2FC4" w:rsidRPr="00446569">
        <w:rPr>
          <w:sz w:val="20"/>
          <w:szCs w:val="20"/>
          <w:lang w:val="es-VE"/>
        </w:rPr>
        <w:t xml:space="preserve">por lo </w:t>
      </w:r>
      <w:r w:rsidR="007F3CFD" w:rsidRPr="00446569">
        <w:rPr>
          <w:sz w:val="20"/>
          <w:szCs w:val="20"/>
          <w:lang w:val="es-VE"/>
        </w:rPr>
        <w:t>que</w:t>
      </w:r>
      <w:r w:rsidR="003F2FC4" w:rsidRPr="00446569">
        <w:rPr>
          <w:sz w:val="20"/>
          <w:szCs w:val="20"/>
          <w:lang w:val="es-VE"/>
        </w:rPr>
        <w:t xml:space="preserve"> no fue posible identificar</w:t>
      </w:r>
      <w:r w:rsidR="007F3CFD" w:rsidRPr="00446569">
        <w:rPr>
          <w:sz w:val="20"/>
          <w:szCs w:val="20"/>
          <w:lang w:val="es-VE"/>
        </w:rPr>
        <w:t xml:space="preserve"> la naturaleza</w:t>
      </w:r>
      <w:r w:rsidR="003F2FC4" w:rsidRPr="00446569">
        <w:rPr>
          <w:sz w:val="20"/>
          <w:szCs w:val="20"/>
          <w:lang w:val="es-VE"/>
        </w:rPr>
        <w:t xml:space="preserve"> de</w:t>
      </w:r>
      <w:r w:rsidR="007F3CFD" w:rsidRPr="00446569">
        <w:rPr>
          <w:sz w:val="20"/>
          <w:szCs w:val="20"/>
          <w:lang w:val="es-VE"/>
        </w:rPr>
        <w:t>l</w:t>
      </w:r>
      <w:r w:rsidR="003F2FC4" w:rsidRPr="00446569">
        <w:rPr>
          <w:sz w:val="20"/>
          <w:szCs w:val="20"/>
          <w:lang w:val="es-VE"/>
        </w:rPr>
        <w:t xml:space="preserve"> proyectil</w:t>
      </w:r>
      <w:r w:rsidR="007F3CFD" w:rsidRPr="00446569">
        <w:rPr>
          <w:sz w:val="20"/>
          <w:szCs w:val="20"/>
          <w:lang w:val="es-VE"/>
        </w:rPr>
        <w:t>; y ii. l</w:t>
      </w:r>
      <w:r w:rsidR="003F2FC4" w:rsidRPr="00446569">
        <w:rPr>
          <w:sz w:val="20"/>
          <w:szCs w:val="20"/>
          <w:lang w:val="es-VE"/>
        </w:rPr>
        <w:t>as declaraciones de</w:t>
      </w:r>
      <w:r w:rsidR="007F3CFD" w:rsidRPr="00446569">
        <w:rPr>
          <w:sz w:val="20"/>
          <w:szCs w:val="20"/>
          <w:lang w:val="es-VE"/>
        </w:rPr>
        <w:t xml:space="preserve"> </w:t>
      </w:r>
      <w:r w:rsidR="003F2FC4" w:rsidRPr="00446569">
        <w:rPr>
          <w:sz w:val="20"/>
          <w:szCs w:val="20"/>
          <w:lang w:val="es-VE"/>
        </w:rPr>
        <w:t>los</w:t>
      </w:r>
      <w:r w:rsidR="007F3CFD" w:rsidRPr="00446569">
        <w:rPr>
          <w:sz w:val="20"/>
          <w:szCs w:val="20"/>
          <w:lang w:val="es-VE"/>
        </w:rPr>
        <w:t xml:space="preserve"> policías,</w:t>
      </w:r>
      <w:r w:rsidR="003F2FC4" w:rsidRPr="00446569">
        <w:rPr>
          <w:sz w:val="20"/>
          <w:szCs w:val="20"/>
          <w:lang w:val="es-VE"/>
        </w:rPr>
        <w:t xml:space="preserve"> realizadas ante el Juzgado </w:t>
      </w:r>
      <w:r w:rsidR="007F3CFD" w:rsidRPr="00446569">
        <w:rPr>
          <w:sz w:val="20"/>
          <w:szCs w:val="20"/>
          <w:lang w:val="es-VE"/>
        </w:rPr>
        <w:t>I</w:t>
      </w:r>
      <w:r w:rsidR="003F2FC4" w:rsidRPr="00446569">
        <w:rPr>
          <w:sz w:val="20"/>
          <w:szCs w:val="20"/>
          <w:lang w:val="es-VE"/>
        </w:rPr>
        <w:t xml:space="preserve">nstrucción </w:t>
      </w:r>
      <w:r w:rsidR="007F3CFD" w:rsidRPr="00446569">
        <w:rPr>
          <w:sz w:val="20"/>
          <w:szCs w:val="20"/>
          <w:lang w:val="es-VE"/>
        </w:rPr>
        <w:t>M</w:t>
      </w:r>
      <w:r w:rsidR="003F2FC4" w:rsidRPr="00446569">
        <w:rPr>
          <w:sz w:val="20"/>
          <w:szCs w:val="20"/>
          <w:lang w:val="es-VE"/>
        </w:rPr>
        <w:t>ilitar</w:t>
      </w:r>
      <w:r w:rsidR="007F3CFD" w:rsidRPr="00446569">
        <w:rPr>
          <w:sz w:val="20"/>
          <w:szCs w:val="20"/>
          <w:lang w:val="es-VE"/>
        </w:rPr>
        <w:t>, todas</w:t>
      </w:r>
      <w:r w:rsidR="003F2FC4" w:rsidRPr="00446569">
        <w:rPr>
          <w:sz w:val="20"/>
          <w:szCs w:val="20"/>
          <w:lang w:val="es-VE"/>
        </w:rPr>
        <w:t xml:space="preserve"> refieren que hubo un enfrentamiento con grupos al margen de la ley y que luego se percataron de </w:t>
      </w:r>
      <w:r w:rsidR="007F3CFD" w:rsidRPr="00446569">
        <w:rPr>
          <w:sz w:val="20"/>
          <w:szCs w:val="20"/>
          <w:lang w:val="es-VE"/>
        </w:rPr>
        <w:t>la existencia del</w:t>
      </w:r>
      <w:r w:rsidR="003F2FC4" w:rsidRPr="00446569">
        <w:rPr>
          <w:sz w:val="20"/>
          <w:szCs w:val="20"/>
          <w:lang w:val="es-VE"/>
        </w:rPr>
        <w:t xml:space="preserve"> cadáver.</w:t>
      </w:r>
    </w:p>
    <w:p w14:paraId="7740354C" w14:textId="7748004C" w:rsidR="00D5777F" w:rsidRPr="00446569" w:rsidRDefault="007F3CFD" w:rsidP="00E100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VE"/>
        </w:rPr>
      </w:pPr>
      <w:r w:rsidRPr="00446569">
        <w:rPr>
          <w:sz w:val="20"/>
          <w:szCs w:val="20"/>
          <w:lang w:val="es-VE"/>
        </w:rPr>
        <w:t>A</w:t>
      </w:r>
      <w:r w:rsidR="00E8261F" w:rsidRPr="00446569">
        <w:rPr>
          <w:sz w:val="20"/>
          <w:szCs w:val="20"/>
          <w:lang w:val="es-VE"/>
        </w:rPr>
        <w:t>rgumenta que el 6 de noviembre de 2003 la parte peticionaria interpuso acción de reparación directa ante el Tribunal Contencioso Administrativo de Antioquia</w:t>
      </w:r>
      <w:r w:rsidR="009C1DF9" w:rsidRPr="00446569">
        <w:rPr>
          <w:sz w:val="20"/>
          <w:szCs w:val="20"/>
          <w:lang w:val="es-VE"/>
        </w:rPr>
        <w:t xml:space="preserve"> alegando perjuicios morales y materiales </w:t>
      </w:r>
      <w:r w:rsidR="005627AD" w:rsidRPr="00446569">
        <w:rPr>
          <w:sz w:val="20"/>
          <w:szCs w:val="20"/>
          <w:lang w:val="es-VE"/>
        </w:rPr>
        <w:t>por la falla en el servicio</w:t>
      </w:r>
      <w:r w:rsidR="002F6191" w:rsidRPr="00446569">
        <w:rPr>
          <w:sz w:val="20"/>
          <w:szCs w:val="20"/>
          <w:lang w:val="es-VE"/>
        </w:rPr>
        <w:t>. Alega que la misma</w:t>
      </w:r>
      <w:r w:rsidR="00E8261F" w:rsidRPr="00446569">
        <w:rPr>
          <w:sz w:val="20"/>
          <w:szCs w:val="20"/>
          <w:lang w:val="es-VE"/>
        </w:rPr>
        <w:t xml:space="preserve"> fue rechazada por el Juzgado Quince Administrativo de Medellín mediante sentencia del 4 de octubre de 2006</w:t>
      </w:r>
      <w:r w:rsidR="002F6191" w:rsidRPr="00446569">
        <w:rPr>
          <w:sz w:val="20"/>
          <w:szCs w:val="20"/>
          <w:lang w:val="es-VE"/>
        </w:rPr>
        <w:t xml:space="preserve"> </w:t>
      </w:r>
      <w:r w:rsidR="00D5777F" w:rsidRPr="00446569">
        <w:rPr>
          <w:sz w:val="20"/>
          <w:szCs w:val="20"/>
          <w:lang w:val="es-VE"/>
        </w:rPr>
        <w:t xml:space="preserve">al considerar que </w:t>
      </w:r>
      <w:r w:rsidR="003F2FC4" w:rsidRPr="00446569">
        <w:rPr>
          <w:sz w:val="20"/>
          <w:szCs w:val="20"/>
          <w:lang w:val="es-VE"/>
        </w:rPr>
        <w:t xml:space="preserve">los testigos presentados por la parte demandante no era testigos directos y </w:t>
      </w:r>
      <w:r w:rsidR="00D5777F" w:rsidRPr="00446569">
        <w:rPr>
          <w:sz w:val="20"/>
          <w:szCs w:val="20"/>
          <w:lang w:val="es-VE"/>
        </w:rPr>
        <w:t>que,</w:t>
      </w:r>
      <w:r w:rsidR="003F2FC4" w:rsidRPr="00446569">
        <w:rPr>
          <w:sz w:val="20"/>
          <w:szCs w:val="20"/>
          <w:lang w:val="es-VE"/>
        </w:rPr>
        <w:t xml:space="preserve"> </w:t>
      </w:r>
      <w:r w:rsidR="00D5777F" w:rsidRPr="00446569">
        <w:rPr>
          <w:sz w:val="20"/>
          <w:szCs w:val="20"/>
          <w:lang w:val="es-VE"/>
        </w:rPr>
        <w:t xml:space="preserve">en vista de </w:t>
      </w:r>
      <w:r w:rsidR="003F2FC4" w:rsidRPr="00446569">
        <w:rPr>
          <w:sz w:val="20"/>
          <w:szCs w:val="20"/>
          <w:lang w:val="es-VE"/>
        </w:rPr>
        <w:t xml:space="preserve">las declaraciones </w:t>
      </w:r>
      <w:r w:rsidR="00D5777F" w:rsidRPr="00446569">
        <w:rPr>
          <w:sz w:val="20"/>
          <w:szCs w:val="20"/>
          <w:lang w:val="es-VE"/>
        </w:rPr>
        <w:t xml:space="preserve">de </w:t>
      </w:r>
      <w:r w:rsidR="003F2FC4" w:rsidRPr="00446569">
        <w:rPr>
          <w:sz w:val="20"/>
          <w:szCs w:val="20"/>
          <w:lang w:val="es-VE"/>
        </w:rPr>
        <w:t xml:space="preserve">los policías nacionales ante la </w:t>
      </w:r>
      <w:r w:rsidR="00D5777F" w:rsidRPr="00446569">
        <w:rPr>
          <w:sz w:val="20"/>
          <w:szCs w:val="20"/>
          <w:lang w:val="es-VE"/>
        </w:rPr>
        <w:t>jurisdicción</w:t>
      </w:r>
      <w:r w:rsidR="003F2FC4" w:rsidRPr="00446569">
        <w:rPr>
          <w:sz w:val="20"/>
          <w:szCs w:val="20"/>
          <w:lang w:val="es-VE"/>
        </w:rPr>
        <w:t xml:space="preserve"> militar</w:t>
      </w:r>
      <w:r w:rsidR="00D5777F" w:rsidRPr="00446569">
        <w:rPr>
          <w:sz w:val="20"/>
          <w:szCs w:val="20"/>
          <w:lang w:val="es-VE"/>
        </w:rPr>
        <w:t>,</w:t>
      </w:r>
      <w:r w:rsidR="003F2FC4" w:rsidRPr="00446569">
        <w:rPr>
          <w:sz w:val="20"/>
          <w:szCs w:val="20"/>
          <w:lang w:val="es-VE"/>
        </w:rPr>
        <w:t xml:space="preserve"> </w:t>
      </w:r>
      <w:r w:rsidR="00D5777F" w:rsidRPr="00446569">
        <w:rPr>
          <w:sz w:val="20"/>
          <w:szCs w:val="20"/>
          <w:lang w:val="es-VE"/>
        </w:rPr>
        <w:t xml:space="preserve">resultaba improbable </w:t>
      </w:r>
      <w:r w:rsidR="003F2FC4" w:rsidRPr="00446569">
        <w:rPr>
          <w:sz w:val="20"/>
          <w:szCs w:val="20"/>
          <w:lang w:val="es-VE"/>
        </w:rPr>
        <w:t xml:space="preserve">que el disparo </w:t>
      </w:r>
      <w:r w:rsidR="00D5777F" w:rsidRPr="00446569">
        <w:rPr>
          <w:sz w:val="20"/>
          <w:szCs w:val="20"/>
          <w:lang w:val="es-VE"/>
        </w:rPr>
        <w:t xml:space="preserve">hubiese provenido </w:t>
      </w:r>
      <w:r w:rsidR="003F2FC4" w:rsidRPr="00446569">
        <w:rPr>
          <w:sz w:val="20"/>
          <w:szCs w:val="20"/>
          <w:lang w:val="es-VE"/>
        </w:rPr>
        <w:t>de parte de</w:t>
      </w:r>
      <w:r w:rsidR="00D5777F" w:rsidRPr="00446569">
        <w:rPr>
          <w:sz w:val="20"/>
          <w:szCs w:val="20"/>
          <w:lang w:val="es-VE"/>
        </w:rPr>
        <w:t xml:space="preserve"> </w:t>
      </w:r>
      <w:r w:rsidR="003F2FC4" w:rsidRPr="00446569">
        <w:rPr>
          <w:sz w:val="20"/>
          <w:szCs w:val="20"/>
          <w:lang w:val="es-VE"/>
        </w:rPr>
        <w:t>la policía</w:t>
      </w:r>
      <w:r w:rsidR="00D5777F" w:rsidRPr="00446569">
        <w:rPr>
          <w:sz w:val="20"/>
          <w:szCs w:val="20"/>
          <w:lang w:val="es-VE"/>
        </w:rPr>
        <w:t xml:space="preserve">. Indica que la autoridad judicial </w:t>
      </w:r>
      <w:r w:rsidR="003F2FC4" w:rsidRPr="00446569">
        <w:rPr>
          <w:sz w:val="20"/>
          <w:szCs w:val="20"/>
          <w:lang w:val="es-VE"/>
        </w:rPr>
        <w:t>cuestion</w:t>
      </w:r>
      <w:r w:rsidR="00D5777F" w:rsidRPr="00446569">
        <w:rPr>
          <w:sz w:val="20"/>
          <w:szCs w:val="20"/>
          <w:lang w:val="es-VE"/>
        </w:rPr>
        <w:t>ó</w:t>
      </w:r>
      <w:r w:rsidR="003F2FC4" w:rsidRPr="00446569">
        <w:rPr>
          <w:sz w:val="20"/>
          <w:szCs w:val="20"/>
          <w:lang w:val="es-VE"/>
        </w:rPr>
        <w:t xml:space="preserve"> </w:t>
      </w:r>
      <w:r w:rsidR="00D5777F" w:rsidRPr="00446569">
        <w:rPr>
          <w:sz w:val="20"/>
          <w:szCs w:val="20"/>
          <w:lang w:val="es-VE"/>
        </w:rPr>
        <w:t xml:space="preserve">la presencia de </w:t>
      </w:r>
      <w:r w:rsidR="003F2FC4" w:rsidRPr="00446569">
        <w:rPr>
          <w:sz w:val="20"/>
          <w:szCs w:val="20"/>
          <w:lang w:val="es-VE"/>
        </w:rPr>
        <w:t xml:space="preserve">la presunta </w:t>
      </w:r>
      <w:r w:rsidR="00D5777F" w:rsidRPr="00446569">
        <w:rPr>
          <w:sz w:val="20"/>
          <w:szCs w:val="20"/>
          <w:lang w:val="es-VE"/>
        </w:rPr>
        <w:t>víctima</w:t>
      </w:r>
      <w:r w:rsidR="003F2FC4" w:rsidRPr="00446569">
        <w:rPr>
          <w:sz w:val="20"/>
          <w:szCs w:val="20"/>
          <w:lang w:val="es-VE"/>
        </w:rPr>
        <w:t xml:space="preserve"> en medio de un cruce de disparos cuando la </w:t>
      </w:r>
      <w:r w:rsidR="00F77527" w:rsidRPr="00446569">
        <w:rPr>
          <w:sz w:val="20"/>
          <w:szCs w:val="20"/>
          <w:lang w:val="es-VE"/>
        </w:rPr>
        <w:t>situac</w:t>
      </w:r>
      <w:r w:rsidR="00F77527">
        <w:rPr>
          <w:sz w:val="20"/>
          <w:szCs w:val="20"/>
          <w:lang w:val="es-VE"/>
        </w:rPr>
        <w:t>i</w:t>
      </w:r>
      <w:r w:rsidR="00F77527" w:rsidRPr="00446569">
        <w:rPr>
          <w:sz w:val="20"/>
          <w:szCs w:val="20"/>
          <w:lang w:val="es-VE"/>
        </w:rPr>
        <w:t>ón</w:t>
      </w:r>
      <w:r w:rsidR="003F2FC4" w:rsidRPr="00446569">
        <w:rPr>
          <w:sz w:val="20"/>
          <w:szCs w:val="20"/>
          <w:lang w:val="es-VE"/>
        </w:rPr>
        <w:t xml:space="preserve"> de orden p</w:t>
      </w:r>
      <w:r w:rsidR="00D5777F" w:rsidRPr="00446569">
        <w:rPr>
          <w:sz w:val="20"/>
          <w:szCs w:val="20"/>
          <w:lang w:val="es-VE"/>
        </w:rPr>
        <w:t>ú</w:t>
      </w:r>
      <w:r w:rsidR="003F2FC4" w:rsidRPr="00446569">
        <w:rPr>
          <w:sz w:val="20"/>
          <w:szCs w:val="20"/>
          <w:lang w:val="es-VE"/>
        </w:rPr>
        <w:t>blico en dicha área era extremadamente delicada</w:t>
      </w:r>
      <w:r w:rsidR="00D5777F" w:rsidRPr="00446569">
        <w:rPr>
          <w:sz w:val="20"/>
          <w:szCs w:val="20"/>
          <w:lang w:val="es-VE"/>
        </w:rPr>
        <w:t xml:space="preserve"> agregando </w:t>
      </w:r>
      <w:r w:rsidR="003F2FC4" w:rsidRPr="00446569">
        <w:rPr>
          <w:sz w:val="20"/>
          <w:szCs w:val="20"/>
          <w:lang w:val="es-VE"/>
        </w:rPr>
        <w:t>que por su discapacidad no ha</w:t>
      </w:r>
      <w:r w:rsidR="00D5777F" w:rsidRPr="00446569">
        <w:rPr>
          <w:sz w:val="20"/>
          <w:szCs w:val="20"/>
          <w:lang w:val="es-VE"/>
        </w:rPr>
        <w:t xml:space="preserve">bía </w:t>
      </w:r>
      <w:r w:rsidR="003F2FC4" w:rsidRPr="00446569">
        <w:rPr>
          <w:sz w:val="20"/>
          <w:szCs w:val="20"/>
          <w:lang w:val="es-VE"/>
        </w:rPr>
        <w:t xml:space="preserve">podido reaccionar y </w:t>
      </w:r>
      <w:r w:rsidR="00D5777F" w:rsidRPr="00446569">
        <w:rPr>
          <w:sz w:val="20"/>
          <w:szCs w:val="20"/>
          <w:lang w:val="es-VE"/>
        </w:rPr>
        <w:t xml:space="preserve">quedó </w:t>
      </w:r>
      <w:r w:rsidR="003F2FC4" w:rsidRPr="00446569">
        <w:rPr>
          <w:sz w:val="20"/>
          <w:szCs w:val="20"/>
          <w:lang w:val="es-VE"/>
        </w:rPr>
        <w:t xml:space="preserve">atrapado en el cruce. </w:t>
      </w:r>
    </w:p>
    <w:p w14:paraId="64A853C3" w14:textId="34545AE1" w:rsidR="00CD5E51" w:rsidRPr="00446569" w:rsidRDefault="00EF0A24" w:rsidP="00E100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VE"/>
        </w:rPr>
      </w:pPr>
      <w:r w:rsidRPr="00446569">
        <w:rPr>
          <w:sz w:val="20"/>
          <w:szCs w:val="20"/>
          <w:lang w:val="es-VE"/>
        </w:rPr>
        <w:t>En este mismo respecto, a</w:t>
      </w:r>
      <w:r w:rsidR="00E8261F" w:rsidRPr="00446569">
        <w:rPr>
          <w:sz w:val="20"/>
          <w:szCs w:val="20"/>
          <w:lang w:val="es-VE"/>
        </w:rPr>
        <w:t xml:space="preserve">lega que el 11 de agosto de 2008 presentó una acción de tutela ante el Consejo de Estado </w:t>
      </w:r>
      <w:r w:rsidR="003F2FC4" w:rsidRPr="00446569">
        <w:rPr>
          <w:sz w:val="20"/>
          <w:szCs w:val="20"/>
          <w:lang w:val="es-VE"/>
        </w:rPr>
        <w:t xml:space="preserve">alegando </w:t>
      </w:r>
      <w:r w:rsidRPr="00446569">
        <w:rPr>
          <w:sz w:val="20"/>
          <w:szCs w:val="20"/>
          <w:lang w:val="es-VE"/>
        </w:rPr>
        <w:t>la violación a</w:t>
      </w:r>
      <w:r w:rsidR="003F2FC4" w:rsidRPr="00446569">
        <w:rPr>
          <w:sz w:val="20"/>
          <w:szCs w:val="20"/>
          <w:lang w:val="es-VE"/>
        </w:rPr>
        <w:t>l derecho al debido proceso y al acceso a la justicia</w:t>
      </w:r>
      <w:r w:rsidR="00CE5A08" w:rsidRPr="00446569">
        <w:rPr>
          <w:sz w:val="20"/>
          <w:szCs w:val="20"/>
          <w:lang w:val="es-VE"/>
        </w:rPr>
        <w:t xml:space="preserve"> </w:t>
      </w:r>
      <w:r w:rsidRPr="00446569">
        <w:rPr>
          <w:sz w:val="20"/>
          <w:szCs w:val="20"/>
          <w:lang w:val="es-VE"/>
        </w:rPr>
        <w:t xml:space="preserve">en virtud de </w:t>
      </w:r>
      <w:r w:rsidR="00CE5A08" w:rsidRPr="00446569">
        <w:rPr>
          <w:sz w:val="20"/>
          <w:szCs w:val="20"/>
          <w:lang w:val="es-VE"/>
        </w:rPr>
        <w:t xml:space="preserve">la falta de debida notificación de las actuaciones procesales </w:t>
      </w:r>
      <w:r w:rsidRPr="00446569">
        <w:rPr>
          <w:sz w:val="20"/>
          <w:szCs w:val="20"/>
          <w:lang w:val="es-VE"/>
        </w:rPr>
        <w:t xml:space="preserve">por parte del Tribunal Contencioso Administrativo de Antioquía, </w:t>
      </w:r>
      <w:r w:rsidR="00CE5A08" w:rsidRPr="00446569">
        <w:rPr>
          <w:sz w:val="20"/>
          <w:szCs w:val="20"/>
          <w:lang w:val="es-VE"/>
        </w:rPr>
        <w:t xml:space="preserve">específicamente de la remisión del expediente </w:t>
      </w:r>
      <w:r w:rsidRPr="00446569">
        <w:rPr>
          <w:sz w:val="20"/>
          <w:szCs w:val="20"/>
          <w:lang w:val="es-VE"/>
        </w:rPr>
        <w:t xml:space="preserve">relativo a la acción de reparación directa </w:t>
      </w:r>
      <w:r w:rsidR="00CE5A08" w:rsidRPr="00446569">
        <w:rPr>
          <w:sz w:val="20"/>
          <w:szCs w:val="20"/>
          <w:lang w:val="es-VE"/>
        </w:rPr>
        <w:t>por cambio de despacho por razones</w:t>
      </w:r>
      <w:r w:rsidRPr="00446569">
        <w:rPr>
          <w:sz w:val="20"/>
          <w:szCs w:val="20"/>
          <w:lang w:val="es-VE"/>
        </w:rPr>
        <w:t xml:space="preserve"> </w:t>
      </w:r>
      <w:r w:rsidR="00CE5A08" w:rsidRPr="00446569">
        <w:rPr>
          <w:sz w:val="20"/>
          <w:szCs w:val="20"/>
          <w:lang w:val="es-VE"/>
        </w:rPr>
        <w:t>de competencia</w:t>
      </w:r>
      <w:r w:rsidRPr="00446569">
        <w:rPr>
          <w:sz w:val="20"/>
          <w:szCs w:val="20"/>
          <w:lang w:val="es-VE"/>
        </w:rPr>
        <w:t>.</w:t>
      </w:r>
      <w:r w:rsidR="00CD5E51" w:rsidRPr="00446569">
        <w:rPr>
          <w:sz w:val="20"/>
          <w:szCs w:val="20"/>
          <w:lang w:val="es-VE"/>
        </w:rPr>
        <w:t xml:space="preserve"> Argumenta que a pesar que el sistema electrónico de </w:t>
      </w:r>
      <w:r w:rsidR="00A50618" w:rsidRPr="00446569">
        <w:rPr>
          <w:sz w:val="20"/>
          <w:szCs w:val="20"/>
          <w:lang w:val="es-VE"/>
        </w:rPr>
        <w:t xml:space="preserve">gestión judicial mostraba </w:t>
      </w:r>
      <w:r w:rsidR="00CD5E51" w:rsidRPr="00446569">
        <w:rPr>
          <w:sz w:val="20"/>
          <w:szCs w:val="20"/>
          <w:lang w:val="es-VE"/>
        </w:rPr>
        <w:t>que</w:t>
      </w:r>
      <w:r w:rsidR="00A50618" w:rsidRPr="00446569">
        <w:rPr>
          <w:sz w:val="20"/>
          <w:szCs w:val="20"/>
          <w:lang w:val="es-VE"/>
        </w:rPr>
        <w:t xml:space="preserve"> en el proceso</w:t>
      </w:r>
      <w:r w:rsidR="00CD5E51" w:rsidRPr="00446569">
        <w:rPr>
          <w:sz w:val="20"/>
          <w:szCs w:val="20"/>
          <w:lang w:val="es-VE"/>
        </w:rPr>
        <w:t xml:space="preserve"> estaba pendiente la recepción del expediente penal militar, el Tribunal Administrativo remitió el expediente el 24 de julio de 2006 al Juzgado Quince Administrativo, y fue recibido por éste el 15 de agosto de 2006 para luego dictar sentencia el 4 de octubre de 2006. Al</w:t>
      </w:r>
      <w:r w:rsidR="00A50618" w:rsidRPr="00446569">
        <w:rPr>
          <w:sz w:val="20"/>
          <w:szCs w:val="20"/>
          <w:lang w:val="es-VE"/>
        </w:rPr>
        <w:t xml:space="preserve"> respecto, alega que</w:t>
      </w:r>
      <w:r w:rsidR="00CD5E51" w:rsidRPr="00446569">
        <w:rPr>
          <w:sz w:val="20"/>
          <w:szCs w:val="20"/>
          <w:lang w:val="es-VE"/>
        </w:rPr>
        <w:t xml:space="preserve"> </w:t>
      </w:r>
      <w:r w:rsidR="00A50618" w:rsidRPr="00446569">
        <w:rPr>
          <w:sz w:val="20"/>
          <w:szCs w:val="20"/>
          <w:lang w:val="es-VE"/>
        </w:rPr>
        <w:t xml:space="preserve">al </w:t>
      </w:r>
      <w:r w:rsidR="00CD5E51" w:rsidRPr="00446569">
        <w:rPr>
          <w:sz w:val="20"/>
          <w:szCs w:val="20"/>
          <w:lang w:val="es-VE"/>
        </w:rPr>
        <w:t>no notifica</w:t>
      </w:r>
      <w:r w:rsidR="00A50618" w:rsidRPr="00446569">
        <w:rPr>
          <w:sz w:val="20"/>
          <w:szCs w:val="20"/>
          <w:lang w:val="es-VE"/>
        </w:rPr>
        <w:t xml:space="preserve">r </w:t>
      </w:r>
      <w:r w:rsidR="00CD5E51" w:rsidRPr="00446569">
        <w:rPr>
          <w:sz w:val="20"/>
          <w:szCs w:val="20"/>
          <w:lang w:val="es-VE"/>
        </w:rPr>
        <w:t>en debida forma ni incorporar en tiempo</w:t>
      </w:r>
      <w:r w:rsidR="00A50618" w:rsidRPr="00446569">
        <w:rPr>
          <w:sz w:val="20"/>
          <w:szCs w:val="20"/>
          <w:lang w:val="es-VE"/>
        </w:rPr>
        <w:t xml:space="preserve"> la mencionada remisión </w:t>
      </w:r>
      <w:r w:rsidR="00CD5E51" w:rsidRPr="00446569">
        <w:rPr>
          <w:sz w:val="20"/>
          <w:szCs w:val="20"/>
          <w:lang w:val="es-VE"/>
        </w:rPr>
        <w:t xml:space="preserve">en el software de gestión judicial </w:t>
      </w:r>
      <w:r w:rsidR="00A50618" w:rsidRPr="00446569">
        <w:rPr>
          <w:sz w:val="20"/>
          <w:szCs w:val="20"/>
          <w:lang w:val="es-VE"/>
        </w:rPr>
        <w:t xml:space="preserve">se les sesgó la oportunidad de </w:t>
      </w:r>
      <w:r w:rsidR="00CD5E51" w:rsidRPr="00446569">
        <w:rPr>
          <w:sz w:val="20"/>
          <w:szCs w:val="20"/>
          <w:lang w:val="es-VE"/>
        </w:rPr>
        <w:t>cono</w:t>
      </w:r>
      <w:r w:rsidR="00A50618" w:rsidRPr="00446569">
        <w:rPr>
          <w:sz w:val="20"/>
          <w:szCs w:val="20"/>
          <w:lang w:val="es-VE"/>
        </w:rPr>
        <w:t>c</w:t>
      </w:r>
      <w:r w:rsidR="00CD5E51" w:rsidRPr="00446569">
        <w:rPr>
          <w:sz w:val="20"/>
          <w:szCs w:val="20"/>
          <w:lang w:val="es-VE"/>
        </w:rPr>
        <w:t>er en tiempo la sentencia de instancia y presentar el recurso de apelación</w:t>
      </w:r>
      <w:r w:rsidR="00A50618" w:rsidRPr="00446569">
        <w:rPr>
          <w:sz w:val="20"/>
          <w:szCs w:val="20"/>
          <w:lang w:val="es-VE"/>
        </w:rPr>
        <w:t xml:space="preserve">. </w:t>
      </w:r>
      <w:r w:rsidRPr="00446569">
        <w:rPr>
          <w:sz w:val="20"/>
          <w:szCs w:val="20"/>
          <w:lang w:val="es-VE"/>
        </w:rPr>
        <w:t xml:space="preserve">Sostiene que la acción de tutela </w:t>
      </w:r>
      <w:r w:rsidR="00E8261F" w:rsidRPr="00446569">
        <w:rPr>
          <w:sz w:val="20"/>
          <w:szCs w:val="20"/>
          <w:lang w:val="es-VE"/>
        </w:rPr>
        <w:t xml:space="preserve">fue rechazada mediante sentencia emitida el 11 de septiembre de 2008 </w:t>
      </w:r>
      <w:r w:rsidRPr="00446569">
        <w:rPr>
          <w:sz w:val="20"/>
          <w:szCs w:val="20"/>
          <w:lang w:val="es-VE"/>
        </w:rPr>
        <w:t xml:space="preserve">de </w:t>
      </w:r>
      <w:r w:rsidR="00E8261F" w:rsidRPr="00446569">
        <w:rPr>
          <w:sz w:val="20"/>
          <w:szCs w:val="20"/>
          <w:lang w:val="es-VE"/>
        </w:rPr>
        <w:t>la Sección Segunda del Consejo de Estado</w:t>
      </w:r>
      <w:r w:rsidRPr="00446569">
        <w:rPr>
          <w:sz w:val="20"/>
          <w:szCs w:val="20"/>
          <w:lang w:val="es-VE"/>
        </w:rPr>
        <w:t xml:space="preserve"> bajo la argumentación que</w:t>
      </w:r>
      <w:r w:rsidR="00E8261F" w:rsidRPr="00446569">
        <w:rPr>
          <w:sz w:val="20"/>
          <w:szCs w:val="20"/>
          <w:lang w:val="es-VE"/>
        </w:rPr>
        <w:t xml:space="preserve"> </w:t>
      </w:r>
      <w:r w:rsidR="00AB0BC0" w:rsidRPr="00446569">
        <w:rPr>
          <w:sz w:val="20"/>
          <w:szCs w:val="20"/>
          <w:lang w:val="es-VE"/>
        </w:rPr>
        <w:t xml:space="preserve">el tribunal acusado dio estricta </w:t>
      </w:r>
      <w:r w:rsidR="00446569" w:rsidRPr="00446569">
        <w:rPr>
          <w:sz w:val="20"/>
          <w:szCs w:val="20"/>
          <w:lang w:val="es-VE"/>
        </w:rPr>
        <w:t>aplicación</w:t>
      </w:r>
      <w:r w:rsidR="00AB0BC0" w:rsidRPr="00446569">
        <w:rPr>
          <w:sz w:val="20"/>
          <w:szCs w:val="20"/>
          <w:lang w:val="es-VE"/>
        </w:rPr>
        <w:t xml:space="preserve"> a la normativa en el tr</w:t>
      </w:r>
      <w:r w:rsidR="00446569" w:rsidRPr="00446569">
        <w:rPr>
          <w:sz w:val="20"/>
          <w:szCs w:val="20"/>
          <w:lang w:val="es-VE"/>
        </w:rPr>
        <w:t>á</w:t>
      </w:r>
      <w:r w:rsidR="00AB0BC0" w:rsidRPr="00446569">
        <w:rPr>
          <w:sz w:val="20"/>
          <w:szCs w:val="20"/>
          <w:lang w:val="es-VE"/>
        </w:rPr>
        <w:t>mite de remisión de expedientes a los juzgados administrativos de Med</w:t>
      </w:r>
      <w:r w:rsidRPr="00446569">
        <w:rPr>
          <w:sz w:val="20"/>
          <w:szCs w:val="20"/>
          <w:lang w:val="es-VE"/>
        </w:rPr>
        <w:t>e</w:t>
      </w:r>
      <w:r w:rsidR="00AB0BC0" w:rsidRPr="00446569">
        <w:rPr>
          <w:sz w:val="20"/>
          <w:szCs w:val="20"/>
          <w:lang w:val="es-VE"/>
        </w:rPr>
        <w:t>ll</w:t>
      </w:r>
      <w:r w:rsidRPr="00446569">
        <w:rPr>
          <w:sz w:val="20"/>
          <w:szCs w:val="20"/>
          <w:lang w:val="es-VE"/>
        </w:rPr>
        <w:t>í</w:t>
      </w:r>
      <w:r w:rsidR="00AB0BC0" w:rsidRPr="00446569">
        <w:rPr>
          <w:sz w:val="20"/>
          <w:szCs w:val="20"/>
          <w:lang w:val="es-VE"/>
        </w:rPr>
        <w:t xml:space="preserve">n y Turbo y publicó en la forma debida la remisión del expediente del presente caso sin que haya sido violatorio a los derechos en tanto esta remisión no </w:t>
      </w:r>
      <w:r w:rsidR="00446569" w:rsidRPr="00446569">
        <w:rPr>
          <w:sz w:val="20"/>
          <w:szCs w:val="20"/>
          <w:lang w:val="es-VE"/>
        </w:rPr>
        <w:t>tenía</w:t>
      </w:r>
      <w:r w:rsidR="00AB0BC0" w:rsidRPr="00446569">
        <w:rPr>
          <w:sz w:val="20"/>
          <w:szCs w:val="20"/>
          <w:lang w:val="es-VE"/>
        </w:rPr>
        <w:t xml:space="preserve"> que serles notificada personalmente ni por telegrama</w:t>
      </w:r>
      <w:r w:rsidRPr="00446569">
        <w:rPr>
          <w:sz w:val="20"/>
          <w:szCs w:val="20"/>
          <w:lang w:val="es-VE"/>
        </w:rPr>
        <w:t xml:space="preserve"> y l</w:t>
      </w:r>
      <w:r w:rsidR="00AB0BC0" w:rsidRPr="00446569">
        <w:rPr>
          <w:sz w:val="20"/>
          <w:szCs w:val="20"/>
          <w:lang w:val="es-VE"/>
        </w:rPr>
        <w:t xml:space="preserve">os </w:t>
      </w:r>
      <w:r w:rsidRPr="00446569">
        <w:rPr>
          <w:sz w:val="20"/>
          <w:szCs w:val="20"/>
          <w:lang w:val="es-VE"/>
        </w:rPr>
        <w:t xml:space="preserve">mismos </w:t>
      </w:r>
      <w:r w:rsidR="00AB0BC0" w:rsidRPr="00446569">
        <w:rPr>
          <w:sz w:val="20"/>
          <w:szCs w:val="20"/>
          <w:lang w:val="es-VE"/>
        </w:rPr>
        <w:lastRenderedPageBreak/>
        <w:t xml:space="preserve">demandantes manifiestan que del 31 de marzo de 2004 al 13 de marzo de 2008 no hicieron </w:t>
      </w:r>
      <w:r w:rsidRPr="00446569">
        <w:rPr>
          <w:sz w:val="20"/>
          <w:szCs w:val="20"/>
          <w:lang w:val="es-VE"/>
        </w:rPr>
        <w:t xml:space="preserve">solicitud </w:t>
      </w:r>
      <w:r w:rsidR="00AB0BC0" w:rsidRPr="00446569">
        <w:rPr>
          <w:sz w:val="20"/>
          <w:szCs w:val="20"/>
          <w:lang w:val="es-VE"/>
        </w:rPr>
        <w:t>alguna por escrito relacionada con el tr</w:t>
      </w:r>
      <w:r w:rsidRPr="00446569">
        <w:rPr>
          <w:sz w:val="20"/>
          <w:szCs w:val="20"/>
          <w:lang w:val="es-VE"/>
        </w:rPr>
        <w:t>á</w:t>
      </w:r>
      <w:r w:rsidR="00AB0BC0" w:rsidRPr="00446569">
        <w:rPr>
          <w:sz w:val="20"/>
          <w:szCs w:val="20"/>
          <w:lang w:val="es-VE"/>
        </w:rPr>
        <w:t xml:space="preserve">mite. </w:t>
      </w:r>
      <w:r w:rsidRPr="00446569">
        <w:rPr>
          <w:sz w:val="20"/>
          <w:szCs w:val="20"/>
          <w:lang w:val="es-VE"/>
        </w:rPr>
        <w:t xml:space="preserve">Asimismo, el Consejo de Estado indicó que </w:t>
      </w:r>
      <w:r w:rsidR="00AB0BC0" w:rsidRPr="00446569">
        <w:rPr>
          <w:sz w:val="20"/>
          <w:szCs w:val="20"/>
          <w:lang w:val="es-VE"/>
        </w:rPr>
        <w:t xml:space="preserve">la falta de registro del software </w:t>
      </w:r>
      <w:r w:rsidRPr="00446569">
        <w:rPr>
          <w:sz w:val="20"/>
          <w:szCs w:val="20"/>
          <w:lang w:val="es-VE"/>
        </w:rPr>
        <w:t xml:space="preserve">es un </w:t>
      </w:r>
      <w:r w:rsidR="00AB0BC0" w:rsidRPr="00446569">
        <w:rPr>
          <w:sz w:val="20"/>
          <w:szCs w:val="20"/>
          <w:lang w:val="es-VE"/>
        </w:rPr>
        <w:t xml:space="preserve">sistema solo destinado para facilitar el manejo de los </w:t>
      </w:r>
      <w:r w:rsidR="00446569" w:rsidRPr="00446569">
        <w:rPr>
          <w:sz w:val="20"/>
          <w:szCs w:val="20"/>
          <w:lang w:val="es-VE"/>
        </w:rPr>
        <w:t>expedientes,</w:t>
      </w:r>
      <w:r w:rsidR="00AB0BC0" w:rsidRPr="00446569">
        <w:rPr>
          <w:sz w:val="20"/>
          <w:szCs w:val="20"/>
          <w:lang w:val="es-VE"/>
        </w:rPr>
        <w:t xml:space="preserve"> pero de </w:t>
      </w:r>
      <w:r w:rsidR="00446569" w:rsidRPr="00446569">
        <w:rPr>
          <w:sz w:val="20"/>
          <w:szCs w:val="20"/>
          <w:lang w:val="es-VE"/>
        </w:rPr>
        <w:t>ningún</w:t>
      </w:r>
      <w:r w:rsidR="00AB0BC0" w:rsidRPr="00446569">
        <w:rPr>
          <w:sz w:val="20"/>
          <w:szCs w:val="20"/>
          <w:lang w:val="es-VE"/>
        </w:rPr>
        <w:t xml:space="preserve"> modo puede considerarse que reemplaz</w:t>
      </w:r>
      <w:r w:rsidRPr="00446569">
        <w:rPr>
          <w:sz w:val="20"/>
          <w:szCs w:val="20"/>
          <w:lang w:val="es-VE"/>
        </w:rPr>
        <w:t>a</w:t>
      </w:r>
      <w:r w:rsidR="00AB0BC0" w:rsidRPr="00446569">
        <w:rPr>
          <w:sz w:val="20"/>
          <w:szCs w:val="20"/>
          <w:lang w:val="es-VE"/>
        </w:rPr>
        <w:t xml:space="preserve"> las formas de publicación establecidas en las normas legales. </w:t>
      </w:r>
      <w:r w:rsidR="00CD5E51" w:rsidRPr="00446569">
        <w:rPr>
          <w:sz w:val="20"/>
          <w:szCs w:val="20"/>
          <w:lang w:val="es-VE"/>
        </w:rPr>
        <w:t>Argumenta que el 9 de octubre del 2008 fue remitido el expediente a la Corte Constitucional para una eventual revisión.</w:t>
      </w:r>
    </w:p>
    <w:p w14:paraId="76077DA9" w14:textId="33C4682E" w:rsidR="001034FB" w:rsidRPr="00446569" w:rsidRDefault="0012145F" w:rsidP="00E100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VE"/>
        </w:rPr>
      </w:pPr>
      <w:r w:rsidRPr="00446569">
        <w:rPr>
          <w:sz w:val="20"/>
          <w:szCs w:val="20"/>
          <w:lang w:val="es-VE"/>
        </w:rPr>
        <w:t>Finalmente, sostiene que</w:t>
      </w:r>
      <w:r w:rsidR="001034FB" w:rsidRPr="00446569">
        <w:rPr>
          <w:sz w:val="20"/>
          <w:szCs w:val="20"/>
          <w:lang w:val="es-VE"/>
        </w:rPr>
        <w:tab/>
        <w:t>el 29 de junio de 2006</w:t>
      </w:r>
      <w:r w:rsidRPr="00446569">
        <w:rPr>
          <w:sz w:val="20"/>
          <w:szCs w:val="20"/>
          <w:lang w:val="es-VE"/>
        </w:rPr>
        <w:t>,</w:t>
      </w:r>
      <w:r w:rsidR="001034FB" w:rsidRPr="00446569">
        <w:rPr>
          <w:sz w:val="20"/>
          <w:szCs w:val="20"/>
          <w:lang w:val="es-VE"/>
        </w:rPr>
        <w:t xml:space="preserve"> la madre </w:t>
      </w:r>
      <w:r w:rsidRPr="00446569">
        <w:rPr>
          <w:sz w:val="20"/>
          <w:szCs w:val="20"/>
          <w:lang w:val="es-VE"/>
        </w:rPr>
        <w:t xml:space="preserve">de la presunta víctima solicitó </w:t>
      </w:r>
      <w:r w:rsidR="00FC26C0" w:rsidRPr="00446569">
        <w:rPr>
          <w:sz w:val="20"/>
          <w:szCs w:val="20"/>
          <w:lang w:val="es-VE"/>
        </w:rPr>
        <w:t xml:space="preserve">a la Oficina de Asuntos Disciplinarios de la Policía Metropolitana, </w:t>
      </w:r>
      <w:r w:rsidRPr="00446569">
        <w:rPr>
          <w:sz w:val="20"/>
          <w:szCs w:val="20"/>
          <w:lang w:val="es-VE"/>
        </w:rPr>
        <w:t xml:space="preserve">en el marco de </w:t>
      </w:r>
      <w:r w:rsidR="00FC26C0" w:rsidRPr="00446569">
        <w:rPr>
          <w:sz w:val="20"/>
          <w:szCs w:val="20"/>
          <w:lang w:val="es-VE"/>
        </w:rPr>
        <w:t xml:space="preserve">derecho de petición, la apertura una investigación disciplinaria contra distintos policías identificados. Al respecto, destaca que </w:t>
      </w:r>
      <w:r w:rsidR="001034FB" w:rsidRPr="00446569">
        <w:rPr>
          <w:sz w:val="20"/>
          <w:szCs w:val="20"/>
          <w:lang w:val="es-VE"/>
        </w:rPr>
        <w:t>el Grupo de Control Disciplinario</w:t>
      </w:r>
      <w:r w:rsidR="00B33453" w:rsidRPr="00446569">
        <w:rPr>
          <w:sz w:val="20"/>
          <w:szCs w:val="20"/>
          <w:lang w:val="es-VE"/>
        </w:rPr>
        <w:t xml:space="preserve"> </w:t>
      </w:r>
      <w:r w:rsidR="00FC26C0" w:rsidRPr="00446569">
        <w:rPr>
          <w:sz w:val="20"/>
          <w:szCs w:val="20"/>
          <w:lang w:val="es-VE"/>
        </w:rPr>
        <w:t>I</w:t>
      </w:r>
      <w:r w:rsidR="001034FB" w:rsidRPr="00446569">
        <w:rPr>
          <w:sz w:val="20"/>
          <w:szCs w:val="20"/>
          <w:lang w:val="es-VE"/>
        </w:rPr>
        <w:t xml:space="preserve">nterno </w:t>
      </w:r>
      <w:r w:rsidR="00B33453" w:rsidRPr="00446569">
        <w:rPr>
          <w:sz w:val="20"/>
          <w:szCs w:val="20"/>
          <w:lang w:val="es-VE"/>
        </w:rPr>
        <w:t>concluyó mediante oficio No 2179 del 14 de agosto de 2006 que después</w:t>
      </w:r>
      <w:r w:rsidR="001034FB" w:rsidRPr="00446569">
        <w:rPr>
          <w:sz w:val="20"/>
          <w:szCs w:val="20"/>
          <w:lang w:val="es-VE"/>
        </w:rPr>
        <w:t xml:space="preserve"> </w:t>
      </w:r>
      <w:r w:rsidR="00B33453" w:rsidRPr="00446569">
        <w:rPr>
          <w:sz w:val="20"/>
          <w:szCs w:val="20"/>
          <w:lang w:val="es-VE"/>
        </w:rPr>
        <w:t xml:space="preserve">de </w:t>
      </w:r>
      <w:r w:rsidR="001034FB" w:rsidRPr="00446569">
        <w:rPr>
          <w:sz w:val="20"/>
          <w:szCs w:val="20"/>
          <w:lang w:val="es-VE"/>
        </w:rPr>
        <w:t>reunir el material probatori</w:t>
      </w:r>
      <w:r w:rsidR="00B33453" w:rsidRPr="00446569">
        <w:rPr>
          <w:sz w:val="20"/>
          <w:szCs w:val="20"/>
          <w:lang w:val="es-VE"/>
        </w:rPr>
        <w:t>o, no había</w:t>
      </w:r>
      <w:r w:rsidR="001034FB" w:rsidRPr="00446569">
        <w:rPr>
          <w:sz w:val="20"/>
          <w:szCs w:val="20"/>
          <w:lang w:val="es-VE"/>
        </w:rPr>
        <w:t xml:space="preserve"> m</w:t>
      </w:r>
      <w:r w:rsidR="00B33453" w:rsidRPr="00446569">
        <w:rPr>
          <w:sz w:val="20"/>
          <w:szCs w:val="20"/>
          <w:lang w:val="es-VE"/>
        </w:rPr>
        <w:t>é</w:t>
      </w:r>
      <w:r w:rsidR="001034FB" w:rsidRPr="00446569">
        <w:rPr>
          <w:sz w:val="20"/>
          <w:szCs w:val="20"/>
          <w:lang w:val="es-VE"/>
        </w:rPr>
        <w:t>rito para iniciar acción disciplinaria</w:t>
      </w:r>
      <w:r w:rsidR="00B33453" w:rsidRPr="00446569">
        <w:rPr>
          <w:sz w:val="20"/>
          <w:szCs w:val="20"/>
          <w:lang w:val="es-VE"/>
        </w:rPr>
        <w:t xml:space="preserve">. </w:t>
      </w:r>
    </w:p>
    <w:p w14:paraId="0342C603" w14:textId="6E8D2537" w:rsidR="00E51689" w:rsidRPr="00446569" w:rsidRDefault="00E51689" w:rsidP="00A62AF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VE"/>
        </w:rPr>
      </w:pPr>
      <w:r w:rsidRPr="00446569">
        <w:rPr>
          <w:sz w:val="20"/>
          <w:szCs w:val="20"/>
          <w:lang w:val="es-VE"/>
        </w:rPr>
        <w:t xml:space="preserve">Por su parte, el Estado </w:t>
      </w:r>
      <w:r w:rsidR="00042F86" w:rsidRPr="00446569">
        <w:rPr>
          <w:sz w:val="20"/>
          <w:szCs w:val="20"/>
          <w:lang w:val="es-VE"/>
        </w:rPr>
        <w:t>a</w:t>
      </w:r>
      <w:r w:rsidR="00603C33" w:rsidRPr="00446569">
        <w:rPr>
          <w:sz w:val="20"/>
          <w:szCs w:val="20"/>
          <w:lang w:val="es-VE"/>
        </w:rPr>
        <w:t>rgumenta que</w:t>
      </w:r>
      <w:r w:rsidR="00A62AF4" w:rsidRPr="00446569">
        <w:rPr>
          <w:sz w:val="20"/>
          <w:szCs w:val="20"/>
          <w:lang w:val="es-VE"/>
        </w:rPr>
        <w:t>,</w:t>
      </w:r>
      <w:r w:rsidR="00603C33" w:rsidRPr="00446569">
        <w:rPr>
          <w:sz w:val="20"/>
          <w:szCs w:val="20"/>
          <w:lang w:val="es-VE"/>
        </w:rPr>
        <w:t xml:space="preserve"> en vista de los procesos judiciales adelantados </w:t>
      </w:r>
      <w:r w:rsidR="00042F86" w:rsidRPr="00446569">
        <w:rPr>
          <w:sz w:val="20"/>
          <w:szCs w:val="20"/>
          <w:lang w:val="es-VE"/>
        </w:rPr>
        <w:t>a</w:t>
      </w:r>
      <w:r w:rsidR="00603C33" w:rsidRPr="00446569">
        <w:rPr>
          <w:sz w:val="20"/>
          <w:szCs w:val="20"/>
          <w:lang w:val="es-VE"/>
        </w:rPr>
        <w:t xml:space="preserve"> nivel interno respecto a los hechos denunciados, la presunta víctima acude ante el Sistema Interamericano con el propósito de activar una cuarta instancia internacional. Sostiene que los procesos judiciales se ajusta</w:t>
      </w:r>
      <w:r w:rsidR="00042F86" w:rsidRPr="00446569">
        <w:rPr>
          <w:sz w:val="20"/>
          <w:szCs w:val="20"/>
          <w:lang w:val="es-VE"/>
        </w:rPr>
        <w:t>ro</w:t>
      </w:r>
      <w:r w:rsidR="00603C33" w:rsidRPr="00446569">
        <w:rPr>
          <w:sz w:val="20"/>
          <w:szCs w:val="20"/>
          <w:lang w:val="es-VE"/>
        </w:rPr>
        <w:t>n a las disposiciones legales internas y a las normas del debido proceso y</w:t>
      </w:r>
      <w:r w:rsidR="00042F86" w:rsidRPr="00446569">
        <w:rPr>
          <w:sz w:val="20"/>
          <w:szCs w:val="20"/>
          <w:lang w:val="es-VE"/>
        </w:rPr>
        <w:t>, en particular,</w:t>
      </w:r>
      <w:r w:rsidR="00603C33" w:rsidRPr="00446569">
        <w:rPr>
          <w:sz w:val="20"/>
          <w:szCs w:val="20"/>
          <w:lang w:val="es-VE"/>
        </w:rPr>
        <w:t xml:space="preserve"> las decisiones judiciales han sido proferidas conforme a las debidas garantías judiciales por lo que no le corresponde a la Comisión revisar las mismas. </w:t>
      </w:r>
      <w:r w:rsidR="00A62AF4" w:rsidRPr="00446569">
        <w:rPr>
          <w:sz w:val="20"/>
          <w:szCs w:val="20"/>
          <w:lang w:val="es-VE"/>
        </w:rPr>
        <w:t xml:space="preserve">Asimismo, sostiene que los supuestos facticos deben delimitarse conforme a los hechos que fueron debidamente probados en los procesos judiciales adelantados a nivel interno. </w:t>
      </w:r>
    </w:p>
    <w:p w14:paraId="7C18D7B0" w14:textId="2E6BF8A8" w:rsidR="00E10040" w:rsidRPr="00446569" w:rsidRDefault="00042F86" w:rsidP="00E100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VE"/>
        </w:rPr>
      </w:pPr>
      <w:r w:rsidRPr="00446569">
        <w:rPr>
          <w:sz w:val="20"/>
          <w:szCs w:val="20"/>
          <w:lang w:val="es-VE"/>
        </w:rPr>
        <w:t>En particular, s</w:t>
      </w:r>
      <w:r w:rsidR="006D5D33" w:rsidRPr="00446569">
        <w:rPr>
          <w:sz w:val="20"/>
          <w:szCs w:val="20"/>
          <w:lang w:val="es-VE"/>
        </w:rPr>
        <w:t>ostiene que la jurisdicción militar asumió la competencia sobre el presunto delito de homicidio en tanto los involucrados eran miembros activos de la Policía Nacional que se hallaban en la prestación de su servicio institucional.</w:t>
      </w:r>
      <w:r w:rsidR="00C22368" w:rsidRPr="00446569">
        <w:rPr>
          <w:sz w:val="20"/>
          <w:szCs w:val="20"/>
          <w:lang w:val="es-VE"/>
        </w:rPr>
        <w:t xml:space="preserve"> Indica que e</w:t>
      </w:r>
      <w:r w:rsidR="006D5D33" w:rsidRPr="00446569">
        <w:rPr>
          <w:sz w:val="20"/>
          <w:szCs w:val="20"/>
          <w:lang w:val="es-VE"/>
        </w:rPr>
        <w:t>l expediente fue remitido a la Fiscalía 143 Penal Militar quedando</w:t>
      </w:r>
      <w:r w:rsidR="00C22368" w:rsidRPr="00446569">
        <w:rPr>
          <w:sz w:val="20"/>
          <w:szCs w:val="20"/>
          <w:lang w:val="es-VE"/>
        </w:rPr>
        <w:t xml:space="preserve"> ésta</w:t>
      </w:r>
      <w:r w:rsidR="006D5D33" w:rsidRPr="00446569">
        <w:rPr>
          <w:sz w:val="20"/>
          <w:szCs w:val="20"/>
          <w:lang w:val="es-VE"/>
        </w:rPr>
        <w:t xml:space="preserve"> a cargo de la investigación por configurarse el término de la comisión a cargo del Juzgado 154 Penal Militar. Dicha Fiscalía vinculó a distintos miembros de la Policía Nacional bajo el cargo de homicidio y realizó, en el marco de la investigación, la correspondiente inspección judicial, el protocolo de necropsia y distintos </w:t>
      </w:r>
      <w:r w:rsidR="00F92B59" w:rsidRPr="00446569">
        <w:rPr>
          <w:sz w:val="20"/>
          <w:szCs w:val="20"/>
          <w:lang w:val="es-VE"/>
        </w:rPr>
        <w:t>t</w:t>
      </w:r>
      <w:r w:rsidR="006D5D33" w:rsidRPr="00446569">
        <w:rPr>
          <w:sz w:val="20"/>
          <w:szCs w:val="20"/>
          <w:lang w:val="es-VE"/>
        </w:rPr>
        <w:t xml:space="preserve">estimonios. En dicha línea, afirma </w:t>
      </w:r>
      <w:r w:rsidR="00C80EC2" w:rsidRPr="00446569">
        <w:rPr>
          <w:sz w:val="20"/>
          <w:szCs w:val="20"/>
          <w:lang w:val="es-VE"/>
        </w:rPr>
        <w:t>que,</w:t>
      </w:r>
      <w:r w:rsidR="006D5D33" w:rsidRPr="00446569">
        <w:rPr>
          <w:sz w:val="20"/>
          <w:szCs w:val="20"/>
          <w:lang w:val="es-VE"/>
        </w:rPr>
        <w:t xml:space="preserve"> </w:t>
      </w:r>
      <w:r w:rsidR="00053ECF" w:rsidRPr="00446569">
        <w:rPr>
          <w:sz w:val="20"/>
          <w:szCs w:val="20"/>
          <w:lang w:val="es-VE"/>
        </w:rPr>
        <w:t xml:space="preserve">con base en el acervo probatorio, </w:t>
      </w:r>
      <w:r w:rsidR="00C22368" w:rsidRPr="00446569">
        <w:rPr>
          <w:sz w:val="20"/>
          <w:szCs w:val="20"/>
          <w:lang w:val="es-VE"/>
        </w:rPr>
        <w:t xml:space="preserve">esta autoridad consideró que </w:t>
      </w:r>
      <w:r w:rsidR="006D5D33" w:rsidRPr="00446569">
        <w:rPr>
          <w:sz w:val="20"/>
          <w:szCs w:val="20"/>
          <w:lang w:val="es-VE"/>
        </w:rPr>
        <w:t xml:space="preserve">los miembros de la </w:t>
      </w:r>
      <w:r w:rsidR="00C22368" w:rsidRPr="00446569">
        <w:rPr>
          <w:sz w:val="20"/>
          <w:szCs w:val="20"/>
          <w:lang w:val="es-VE"/>
        </w:rPr>
        <w:t>Policía</w:t>
      </w:r>
      <w:r w:rsidR="006D5D33" w:rsidRPr="00446569">
        <w:rPr>
          <w:sz w:val="20"/>
          <w:szCs w:val="20"/>
          <w:lang w:val="es-VE"/>
        </w:rPr>
        <w:t xml:space="preserve"> se encontraban ejerciendo su deber cuando fueron atacados </w:t>
      </w:r>
      <w:r w:rsidR="00F92B59" w:rsidRPr="00446569">
        <w:rPr>
          <w:sz w:val="20"/>
          <w:szCs w:val="20"/>
          <w:lang w:val="es-VE"/>
        </w:rPr>
        <w:t>por delincuentes por lo cual accionaron sus armas de dotación oficial. Alega que el Fiscal encontró que</w:t>
      </w:r>
      <w:r w:rsidR="00C22368" w:rsidRPr="00446569">
        <w:rPr>
          <w:sz w:val="20"/>
          <w:szCs w:val="20"/>
          <w:lang w:val="es-VE"/>
        </w:rPr>
        <w:t xml:space="preserve"> i.</w:t>
      </w:r>
      <w:r w:rsidR="00F92B59" w:rsidRPr="00446569">
        <w:rPr>
          <w:sz w:val="20"/>
          <w:szCs w:val="20"/>
          <w:lang w:val="es-VE"/>
        </w:rPr>
        <w:t xml:space="preserve"> contrario a lo indicado por el hermano de la presunta víctima, cerca del sitio donde ocurrieron los hechos no hay edificaciones solo vegetación</w:t>
      </w:r>
      <w:r w:rsidR="00C22368" w:rsidRPr="00446569">
        <w:rPr>
          <w:sz w:val="20"/>
          <w:szCs w:val="20"/>
          <w:lang w:val="es-VE"/>
        </w:rPr>
        <w:t xml:space="preserve">; ii. le resultaba </w:t>
      </w:r>
      <w:r w:rsidR="00F92B59" w:rsidRPr="00446569">
        <w:rPr>
          <w:sz w:val="20"/>
          <w:szCs w:val="20"/>
          <w:lang w:val="es-VE"/>
        </w:rPr>
        <w:t>curioso que el hermano de la presunta víctima no actuó de manera inmediata cuando vio que este se encontraba en peligro</w:t>
      </w:r>
      <w:r w:rsidR="00C22368" w:rsidRPr="00446569">
        <w:rPr>
          <w:sz w:val="20"/>
          <w:szCs w:val="20"/>
          <w:lang w:val="es-VE"/>
        </w:rPr>
        <w:t xml:space="preserve">; y iii. </w:t>
      </w:r>
      <w:r w:rsidR="00F92B59" w:rsidRPr="00446569">
        <w:rPr>
          <w:sz w:val="20"/>
          <w:szCs w:val="20"/>
          <w:lang w:val="es-VE"/>
        </w:rPr>
        <w:t xml:space="preserve">a pesar de haber presenciado los hechos y que lo usual es que los testigos estén atentos a las citaciones del ente investigador, la familia de la presunta víctima no residía en la zona y tampoco eran conocidas. Indica que el Fiscal concluyó que la presunta víctima pertenecía al grupo de delincuentes que se enfrentaba a otro grupo y cuando vieron a los miembros de la Policía Nacional les atacaron queriendo utilizar la granada para agredir a los uniformados. En este sentido la autoridad fiscal decretó el cese de </w:t>
      </w:r>
      <w:r w:rsidR="00C22368" w:rsidRPr="00446569">
        <w:rPr>
          <w:sz w:val="20"/>
          <w:szCs w:val="20"/>
          <w:lang w:val="es-VE"/>
        </w:rPr>
        <w:t>procedimiento</w:t>
      </w:r>
      <w:r w:rsidR="00F92B59" w:rsidRPr="00446569">
        <w:rPr>
          <w:sz w:val="20"/>
          <w:szCs w:val="20"/>
          <w:lang w:val="es-VE"/>
        </w:rPr>
        <w:t xml:space="preserve"> a favor de los vinculado</w:t>
      </w:r>
      <w:r w:rsidR="003300AD" w:rsidRPr="00446569">
        <w:rPr>
          <w:sz w:val="20"/>
          <w:szCs w:val="20"/>
          <w:lang w:val="es-VE"/>
        </w:rPr>
        <w:t xml:space="preserve">s y dicha decisión fue remitida al Tribunal Superior Militar para surtir grado jurisdiccional de consulta quien avaló la decisión, dando por terminación definitiva el proceso adelantado. Indica que contra la misma no se ejercieron recursos ordinarios. </w:t>
      </w:r>
    </w:p>
    <w:p w14:paraId="2CF7D005" w14:textId="3F548E89" w:rsidR="001D09A8" w:rsidRPr="00446569" w:rsidRDefault="003300AD" w:rsidP="00E100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VE"/>
        </w:rPr>
      </w:pPr>
      <w:r w:rsidRPr="00446569">
        <w:rPr>
          <w:sz w:val="20"/>
          <w:szCs w:val="20"/>
          <w:lang w:val="es-VE"/>
        </w:rPr>
        <w:t>En relación a la investigación disciplinaria</w:t>
      </w:r>
      <w:r w:rsidR="001D09A8" w:rsidRPr="00446569">
        <w:rPr>
          <w:sz w:val="20"/>
          <w:szCs w:val="20"/>
          <w:lang w:val="es-VE"/>
        </w:rPr>
        <w:t xml:space="preserve">, argumenta que la investigación iniciada por el Grupo de Control Disciplinario Interno de la Policía Metropolitana del Valle de Aburrá se encuentra cerrada con archivo por cuanto la autoridad decidió abstenerse de dictar cualquier medida en contra de los uniformados en tanto no existe prueba fehaciente para atribuirles responsabilidad disciplinaria. Por otro lado, sostiene en relación al proceso contencioso administrativo, que el Juzgado Quince Administrativo </w:t>
      </w:r>
      <w:r w:rsidR="008C16D5" w:rsidRPr="00446569">
        <w:rPr>
          <w:sz w:val="20"/>
          <w:szCs w:val="20"/>
          <w:lang w:val="es-VE"/>
        </w:rPr>
        <w:t xml:space="preserve">decidió desestimar las pretensiones de la parte peticionaria mediante sentencia del 4 de octubre de 2006 argumentando que los testimonios recopilados en el proceso se contradecían entre sí y la prueba documental del proceso adelantado por la justicia penal militar. </w:t>
      </w:r>
      <w:r w:rsidR="00C22368" w:rsidRPr="00446569">
        <w:rPr>
          <w:sz w:val="20"/>
          <w:szCs w:val="20"/>
          <w:lang w:val="es-VE"/>
        </w:rPr>
        <w:t>En este sentido, aduce que dicho tribunal consideró t</w:t>
      </w:r>
      <w:r w:rsidR="008C16D5" w:rsidRPr="00446569">
        <w:rPr>
          <w:sz w:val="20"/>
          <w:szCs w:val="20"/>
          <w:lang w:val="es-VE"/>
        </w:rPr>
        <w:t xml:space="preserve">eniendo en cuenta las declaraciones de los miembros de la </w:t>
      </w:r>
      <w:r w:rsidR="00C22368" w:rsidRPr="00446569">
        <w:rPr>
          <w:sz w:val="20"/>
          <w:szCs w:val="20"/>
          <w:lang w:val="es-VE"/>
        </w:rPr>
        <w:t>Policía, que</w:t>
      </w:r>
      <w:r w:rsidR="008C16D5" w:rsidRPr="00446569">
        <w:rPr>
          <w:sz w:val="20"/>
          <w:szCs w:val="20"/>
          <w:lang w:val="es-VE"/>
        </w:rPr>
        <w:t xml:space="preserve"> no se demostró </w:t>
      </w:r>
      <w:r w:rsidR="00C22368" w:rsidRPr="00446569">
        <w:rPr>
          <w:sz w:val="20"/>
          <w:szCs w:val="20"/>
          <w:lang w:val="es-VE"/>
        </w:rPr>
        <w:t xml:space="preserve">la responsabilidad estatal en tanto no se probó que un </w:t>
      </w:r>
      <w:r w:rsidR="008C16D5" w:rsidRPr="00446569">
        <w:rPr>
          <w:sz w:val="20"/>
          <w:szCs w:val="20"/>
          <w:lang w:val="es-VE"/>
        </w:rPr>
        <w:t xml:space="preserve">disparo de los </w:t>
      </w:r>
      <w:r w:rsidR="00C22368" w:rsidRPr="00446569">
        <w:rPr>
          <w:sz w:val="20"/>
          <w:szCs w:val="20"/>
          <w:lang w:val="es-VE"/>
        </w:rPr>
        <w:t xml:space="preserve">agentes </w:t>
      </w:r>
      <w:r w:rsidR="008C16D5" w:rsidRPr="00446569">
        <w:rPr>
          <w:sz w:val="20"/>
          <w:szCs w:val="20"/>
          <w:lang w:val="es-VE"/>
        </w:rPr>
        <w:t>hubiera causado la muerte de la presunta víctima</w:t>
      </w:r>
      <w:r w:rsidR="000C602C" w:rsidRPr="00446569">
        <w:rPr>
          <w:sz w:val="20"/>
          <w:szCs w:val="20"/>
          <w:lang w:val="es-VE"/>
        </w:rPr>
        <w:t xml:space="preserve">. </w:t>
      </w:r>
      <w:r w:rsidR="00C22368" w:rsidRPr="00446569">
        <w:rPr>
          <w:sz w:val="20"/>
          <w:szCs w:val="20"/>
          <w:lang w:val="es-VE"/>
        </w:rPr>
        <w:t>Así, i</w:t>
      </w:r>
      <w:r w:rsidR="000C602C" w:rsidRPr="00446569">
        <w:rPr>
          <w:sz w:val="20"/>
          <w:szCs w:val="20"/>
          <w:lang w:val="es-VE"/>
        </w:rPr>
        <w:t xml:space="preserve">ndica que al no haber sido interpuesto un recurso de apelación, la sentencia quedó ejecutoriada el 12 de octubre de 2006. </w:t>
      </w:r>
    </w:p>
    <w:p w14:paraId="530E2DD2" w14:textId="0ED9362C" w:rsidR="00A62AF4" w:rsidRPr="00446569" w:rsidRDefault="00A62AF4" w:rsidP="00E100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VE"/>
        </w:rPr>
      </w:pPr>
      <w:r w:rsidRPr="00446569">
        <w:rPr>
          <w:sz w:val="20"/>
          <w:szCs w:val="20"/>
          <w:lang w:val="es-VE"/>
        </w:rPr>
        <w:t>Asimismo,</w:t>
      </w:r>
      <w:r w:rsidR="00666A2C" w:rsidRPr="00446569">
        <w:rPr>
          <w:sz w:val="20"/>
          <w:szCs w:val="20"/>
          <w:lang w:val="es-VE"/>
        </w:rPr>
        <w:t xml:space="preserve"> </w:t>
      </w:r>
      <w:r w:rsidRPr="00446569">
        <w:rPr>
          <w:sz w:val="20"/>
          <w:szCs w:val="20"/>
          <w:lang w:val="es-VE"/>
        </w:rPr>
        <w:t xml:space="preserve">en cuanto a la acción de tutela, </w:t>
      </w:r>
      <w:r w:rsidR="00666A2C" w:rsidRPr="00446569">
        <w:rPr>
          <w:sz w:val="20"/>
          <w:szCs w:val="20"/>
          <w:lang w:val="es-VE"/>
        </w:rPr>
        <w:t xml:space="preserve">argumenta que el Consejo de Estado analizó el informe rendido por el Tribunal Administrativo de Antioquia respecto el procedimiento rendido con el fin de </w:t>
      </w:r>
      <w:r w:rsidR="00666A2C" w:rsidRPr="00446569">
        <w:rPr>
          <w:sz w:val="20"/>
          <w:szCs w:val="20"/>
          <w:lang w:val="es-VE"/>
        </w:rPr>
        <w:lastRenderedPageBreak/>
        <w:t>remitir el proceso de acción directa por la muerte de la presunta víctima a los juzgados administrativos del Circuito de Medellín y Turbo</w:t>
      </w:r>
      <w:r w:rsidRPr="00446569">
        <w:rPr>
          <w:sz w:val="20"/>
          <w:szCs w:val="20"/>
          <w:lang w:val="es-VE"/>
        </w:rPr>
        <w:t>. En dicho marco, la autoridad</w:t>
      </w:r>
      <w:r w:rsidR="00666A2C" w:rsidRPr="00446569">
        <w:rPr>
          <w:sz w:val="20"/>
          <w:szCs w:val="20"/>
          <w:lang w:val="es-VE"/>
        </w:rPr>
        <w:t xml:space="preserve"> </w:t>
      </w:r>
      <w:r w:rsidRPr="00446569">
        <w:rPr>
          <w:sz w:val="20"/>
          <w:szCs w:val="20"/>
          <w:lang w:val="es-VE"/>
        </w:rPr>
        <w:t>v</w:t>
      </w:r>
      <w:r w:rsidR="00666A2C" w:rsidRPr="00446569">
        <w:rPr>
          <w:sz w:val="20"/>
          <w:szCs w:val="20"/>
          <w:lang w:val="es-VE"/>
        </w:rPr>
        <w:t>erificó que el Tribunal Administrativo expidió 3 copias con el listado de expedientes que serían remitidos; una copia fue anexada al paquete de expedientes que la Dirección Seccional de Administración Judicial debería confrontar con los respectivos procesos; otra copia fue enviada al Consejo Seccional de la Judicatura de Antioquia; y la tercera copia reposaría en el archivo de cada despacho publicándose también una lista a disposición de los interesados en la Secretaría General del Tribunal. Alega que el expediente del presente caso fue repartido al Juzgado Quince Administrativo el 14 de agosto de 2006 y recibido por este el día siguiente</w:t>
      </w:r>
      <w:r w:rsidRPr="00446569">
        <w:rPr>
          <w:sz w:val="20"/>
          <w:szCs w:val="20"/>
          <w:lang w:val="es-VE"/>
        </w:rPr>
        <w:t xml:space="preserve"> por lo cual e</w:t>
      </w:r>
      <w:r w:rsidR="00107F00" w:rsidRPr="00446569">
        <w:rPr>
          <w:sz w:val="20"/>
          <w:szCs w:val="20"/>
          <w:lang w:val="es-VE"/>
        </w:rPr>
        <w:t>l</w:t>
      </w:r>
      <w:r w:rsidR="00666A2C" w:rsidRPr="00446569">
        <w:rPr>
          <w:sz w:val="20"/>
          <w:szCs w:val="20"/>
          <w:lang w:val="es-VE"/>
        </w:rPr>
        <w:t xml:space="preserve"> Consejo de Estado consideró que se obró en estricto cumplimiento del Acuerdo No. PSAA06-3409 de 2006 de la Sala Administrativa del Consejo Superior de la Judicatura</w:t>
      </w:r>
      <w:r w:rsidR="00107F00" w:rsidRPr="00446569">
        <w:rPr>
          <w:sz w:val="20"/>
          <w:szCs w:val="20"/>
          <w:lang w:val="es-VE"/>
        </w:rPr>
        <w:t xml:space="preserve"> y encontró que no fueron vulnerados los derechos fundamentales al debido proceso, acceso a la administración de justicia y buena fe por cuanto los interesados debían hacer seguimiento constante a la evolución de su proceso. Sostiene que en virtud del mencionado acuerdo los Tribunales Administrativos no debían efectuar notificaciones personales o por telegrama a las presuntas víctimas en cada uno de los procesos que se trasladarían. </w:t>
      </w:r>
      <w:r w:rsidRPr="00446569">
        <w:rPr>
          <w:sz w:val="20"/>
          <w:szCs w:val="20"/>
          <w:lang w:val="es-VE"/>
        </w:rPr>
        <w:t xml:space="preserve">Indica </w:t>
      </w:r>
      <w:r w:rsidR="00107F00" w:rsidRPr="00446569">
        <w:rPr>
          <w:sz w:val="20"/>
          <w:szCs w:val="20"/>
          <w:lang w:val="es-VE"/>
        </w:rPr>
        <w:t xml:space="preserve">que la Sala de Selección No. 11 de la Corte Constitucional, en uso de su facultad discrecional de revisar sentencias de tutela, excluyó el expediente mediante auto de 18 de noviembre de 2008. </w:t>
      </w:r>
      <w:r w:rsidRPr="00446569">
        <w:rPr>
          <w:sz w:val="20"/>
          <w:szCs w:val="20"/>
          <w:lang w:val="es-VE"/>
        </w:rPr>
        <w:t xml:space="preserve">En dicha línea, </w:t>
      </w:r>
      <w:r w:rsidR="00107F00" w:rsidRPr="00446569">
        <w:rPr>
          <w:sz w:val="20"/>
          <w:szCs w:val="20"/>
          <w:lang w:val="es-VE"/>
        </w:rPr>
        <w:t>el Estado sostiene que se agotaron los recursos de la jurisdicción interna por medio de los cuales los familiares buscaban la protección de sus derechos fundamentales al debido proceso, buena fe y acceso a la justicia</w:t>
      </w:r>
      <w:r w:rsidR="00053ECF" w:rsidRPr="00446569">
        <w:rPr>
          <w:sz w:val="20"/>
          <w:szCs w:val="20"/>
          <w:lang w:val="es-VE"/>
        </w:rPr>
        <w:t xml:space="preserve"> en relación a la supuesta falta de notificación sobre la remisión de su expediente contencioso administrativo</w:t>
      </w:r>
      <w:r w:rsidR="00107F00" w:rsidRPr="00446569">
        <w:rPr>
          <w:sz w:val="20"/>
          <w:szCs w:val="20"/>
          <w:lang w:val="es-VE"/>
        </w:rPr>
        <w:t xml:space="preserve">. </w:t>
      </w:r>
    </w:p>
    <w:p w14:paraId="3DFFEF9B" w14:textId="5504AF0E" w:rsidR="00A62AF4" w:rsidRPr="00446569" w:rsidRDefault="00A62AF4" w:rsidP="00E100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VE"/>
        </w:rPr>
      </w:pPr>
      <w:r w:rsidRPr="00446569">
        <w:rPr>
          <w:sz w:val="20"/>
          <w:szCs w:val="20"/>
          <w:lang w:val="es-VE"/>
        </w:rPr>
        <w:t>Por último, sostiene que la Comisión no es competente en razón de la materia para conocer de presuntas violaciones del Pacto Internacional de Derechos Civiles y Políticos en razón a la competencia.</w:t>
      </w:r>
    </w:p>
    <w:p w14:paraId="601768EE" w14:textId="77777777" w:rsidR="00E10040" w:rsidRPr="00446569" w:rsidRDefault="00E10040" w:rsidP="00E10040">
      <w:pPr>
        <w:spacing w:before="240" w:after="240"/>
        <w:ind w:firstLine="720"/>
        <w:jc w:val="both"/>
        <w:rPr>
          <w:rFonts w:ascii="Cambria" w:hAnsi="Cambria"/>
          <w:sz w:val="20"/>
          <w:szCs w:val="20"/>
          <w:lang w:val="es-VE"/>
        </w:rPr>
      </w:pPr>
      <w:r w:rsidRPr="00446569">
        <w:rPr>
          <w:rFonts w:ascii="Cambria" w:eastAsia="Cambria" w:hAnsi="Cambria" w:cs="Cambria"/>
          <w:b/>
          <w:bCs/>
          <w:color w:val="000000"/>
          <w:sz w:val="20"/>
          <w:szCs w:val="20"/>
          <w:u w:color="000000"/>
          <w:lang w:val="es-VE" w:eastAsia="es-ES"/>
        </w:rPr>
        <w:t>VI.</w:t>
      </w:r>
      <w:r w:rsidRPr="00446569">
        <w:rPr>
          <w:rFonts w:ascii="Cambria" w:eastAsia="Cambria" w:hAnsi="Cambria" w:cs="Cambria"/>
          <w:b/>
          <w:bCs/>
          <w:color w:val="000000"/>
          <w:sz w:val="20"/>
          <w:szCs w:val="20"/>
          <w:u w:color="000000"/>
          <w:lang w:val="es-VE" w:eastAsia="es-ES"/>
        </w:rPr>
        <w:tab/>
      </w:r>
      <w:r w:rsidRPr="00446569">
        <w:rPr>
          <w:rFonts w:ascii="Cambria" w:hAnsi="Cambria"/>
          <w:b/>
          <w:bCs/>
          <w:sz w:val="20"/>
          <w:szCs w:val="20"/>
          <w:lang w:val="es-VE"/>
        </w:rPr>
        <w:t xml:space="preserve">ANÁLISIS DE </w:t>
      </w:r>
      <w:r w:rsidRPr="00446569">
        <w:rPr>
          <w:rFonts w:ascii="Cambria" w:hAnsi="Cambria"/>
          <w:b/>
          <w:sz w:val="20"/>
          <w:szCs w:val="20"/>
          <w:lang w:val="es-VE"/>
        </w:rPr>
        <w:t>AGOTAMIENTO DE LOS RECURSOS INTERNOS Y PLAZO DE PRESENTACIÓN</w:t>
      </w:r>
      <w:r w:rsidRPr="00446569">
        <w:rPr>
          <w:rFonts w:ascii="Cambria" w:eastAsia="Cambria" w:hAnsi="Cambria" w:cs="Cambria"/>
          <w:b/>
          <w:bCs/>
          <w:color w:val="000000"/>
          <w:sz w:val="20"/>
          <w:szCs w:val="20"/>
          <w:u w:color="000000"/>
          <w:lang w:val="es-VE" w:eastAsia="es-ES"/>
        </w:rPr>
        <w:t xml:space="preserve"> </w:t>
      </w:r>
    </w:p>
    <w:p w14:paraId="645683FB" w14:textId="04B6AA59" w:rsidR="00630455" w:rsidRPr="00446569" w:rsidRDefault="00E10040" w:rsidP="0063045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VE"/>
        </w:rPr>
      </w:pPr>
      <w:r w:rsidRPr="00446569">
        <w:rPr>
          <w:sz w:val="20"/>
          <w:szCs w:val="20"/>
          <w:lang w:val="es-VE"/>
        </w:rPr>
        <w:t xml:space="preserve"> </w:t>
      </w:r>
      <w:r w:rsidR="00630455" w:rsidRPr="00446569">
        <w:rPr>
          <w:sz w:val="20"/>
          <w:szCs w:val="20"/>
          <w:lang w:val="es-VE"/>
        </w:rPr>
        <w:t xml:space="preserve">En el presente caso, la parte peticionaria alega que agotó todos los recursos internos sin embargo los hechos de violencia siguen en impunidad. Al respecto, hace referencia igualmente a la interposición de la acción de reparación el 6 de noviembre de 2003 ante el Tribunal Contencioso Administrativo de Antioquia la cual fue resuelta mediante sentencia del 4 de octubre de 2006 emitida por el Juzgado Quince Administrativo de Medellín; y de la acción de tutela ante el Consejo de Estado el 11 de agosto de 2008 la cual igualmente fue resuelta por sentencia emitida el 11 de septiembre de 2008 de la Sección Segunda del Consejo de Estado. Por su parte, el Estado argumenta que no fueron interpuestos recursos en contra de la decisión del </w:t>
      </w:r>
      <w:r w:rsidR="006A2E96" w:rsidRPr="00446569">
        <w:rPr>
          <w:sz w:val="20"/>
          <w:szCs w:val="20"/>
          <w:lang w:val="es-VE"/>
        </w:rPr>
        <w:t>Tribunal Superior Militar ni en contra de la sentencia del Juzgado Quince Administrativo emitida el 4 de octubre de 2006. Asimismo, alega que se agotaron los recursos de la jurisdicción interna por medio de los cuales los familiares buscaban la protección de sus derechos fundamentales al debido proceso, buena fe y acceso a la justicia.</w:t>
      </w:r>
    </w:p>
    <w:p w14:paraId="19FE95F7" w14:textId="0B477197" w:rsidR="006762F7" w:rsidRPr="00446569" w:rsidRDefault="006A2E96" w:rsidP="00A50618">
      <w:pPr>
        <w:pStyle w:val="ListParagraph"/>
        <w:numPr>
          <w:ilvl w:val="0"/>
          <w:numId w:val="5"/>
        </w:numPr>
        <w:ind w:left="0" w:firstLine="720"/>
        <w:contextualSpacing/>
        <w:jc w:val="both"/>
        <w:rPr>
          <w:rFonts w:cs="Calibri"/>
          <w:sz w:val="20"/>
          <w:szCs w:val="20"/>
          <w:lang w:val="es-VE"/>
        </w:rPr>
      </w:pPr>
      <w:r w:rsidRPr="00446569">
        <w:rPr>
          <w:rFonts w:cs="Calibri"/>
          <w:sz w:val="20"/>
          <w:szCs w:val="20"/>
          <w:lang w:val="es-VE"/>
        </w:rPr>
        <w:t>La Comisión reitera que, e</w:t>
      </w:r>
      <w:r w:rsidR="006742B8" w:rsidRPr="00446569">
        <w:rPr>
          <w:rFonts w:cs="Calibri"/>
          <w:sz w:val="20"/>
          <w:szCs w:val="20"/>
          <w:lang w:val="es-VE"/>
        </w:rPr>
        <w:t>n situaciones relacionadas a posibles violaciones al derecho a la vida</w:t>
      </w:r>
      <w:r w:rsidRPr="00446569">
        <w:rPr>
          <w:rFonts w:cs="Calibri"/>
          <w:sz w:val="20"/>
          <w:szCs w:val="20"/>
          <w:lang w:val="es-VE"/>
        </w:rPr>
        <w:t>,</w:t>
      </w:r>
      <w:r w:rsidR="006742B8" w:rsidRPr="00446569">
        <w:rPr>
          <w:rFonts w:cs="Calibri"/>
          <w:sz w:val="20"/>
          <w:szCs w:val="20"/>
          <w:lang w:val="es-VE"/>
        </w:rPr>
        <w:t xml:space="preserve"> los recursos internos que deben tomarse en cuenta a los efectos de la admisibilidad de la petición son los relacionados con la investigación y sanción de los responsables, que se traducen en la legislación interna en delitos perseguibles de oficio. En el presente caso la Comisión observa que, de acuerdo a la información proporcionada, respecto de los alegados hechos que causaron la muerte de la presunta</w:t>
      </w:r>
      <w:r w:rsidRPr="00446569">
        <w:rPr>
          <w:rFonts w:cs="Calibri"/>
          <w:sz w:val="20"/>
          <w:szCs w:val="20"/>
          <w:lang w:val="es-VE"/>
        </w:rPr>
        <w:t xml:space="preserve"> </w:t>
      </w:r>
      <w:r w:rsidR="006742B8" w:rsidRPr="00446569">
        <w:rPr>
          <w:rFonts w:cs="Calibri"/>
          <w:sz w:val="20"/>
          <w:szCs w:val="20"/>
          <w:lang w:val="es-VE"/>
        </w:rPr>
        <w:t>víctima se inició una investigación penal</w:t>
      </w:r>
      <w:r w:rsidRPr="00446569">
        <w:rPr>
          <w:rFonts w:cs="Calibri"/>
          <w:sz w:val="20"/>
          <w:szCs w:val="20"/>
          <w:lang w:val="es-VE"/>
        </w:rPr>
        <w:t xml:space="preserve"> inmediatamente a cargo de </w:t>
      </w:r>
      <w:r w:rsidRPr="00446569">
        <w:rPr>
          <w:sz w:val="20"/>
          <w:szCs w:val="20"/>
          <w:lang w:val="es-VE"/>
        </w:rPr>
        <w:t>la Fiscalía 143 Penal Militar</w:t>
      </w:r>
      <w:r w:rsidR="006742B8" w:rsidRPr="00446569">
        <w:rPr>
          <w:rFonts w:cs="Calibri"/>
          <w:sz w:val="20"/>
          <w:szCs w:val="20"/>
          <w:lang w:val="es-VE"/>
        </w:rPr>
        <w:t xml:space="preserve">, la cual </w:t>
      </w:r>
      <w:r w:rsidRPr="00446569">
        <w:rPr>
          <w:rFonts w:cs="Calibri"/>
          <w:sz w:val="20"/>
          <w:szCs w:val="20"/>
          <w:lang w:val="es-VE"/>
        </w:rPr>
        <w:t xml:space="preserve">concluyó con </w:t>
      </w:r>
      <w:r w:rsidRPr="00446569">
        <w:rPr>
          <w:sz w:val="20"/>
          <w:szCs w:val="20"/>
          <w:lang w:val="es-VE"/>
        </w:rPr>
        <w:t>la decisión de cesar e</w:t>
      </w:r>
      <w:r w:rsidR="008A5730">
        <w:rPr>
          <w:sz w:val="20"/>
          <w:szCs w:val="20"/>
          <w:lang w:val="es-VE"/>
        </w:rPr>
        <w:t>l</w:t>
      </w:r>
      <w:r w:rsidRPr="00446569">
        <w:rPr>
          <w:sz w:val="20"/>
          <w:szCs w:val="20"/>
          <w:lang w:val="es-VE"/>
        </w:rPr>
        <w:t xml:space="preserve"> procedimiento a favor de los vinculados. Al respecto, la Comisión recalca que l</w:t>
      </w:r>
      <w:r w:rsidR="006762F7" w:rsidRPr="00446569">
        <w:rPr>
          <w:rFonts w:cs="Calibri"/>
          <w:sz w:val="20"/>
          <w:szCs w:val="20"/>
          <w:lang w:val="es-VE"/>
        </w:rPr>
        <w:t xml:space="preserve">a jurisdicción militar no constituye un foro apropiado y por lo tanto no brinda un recurso adecuado para investigar, juzgar y sancionar las alegadas violaciones a los derechos humanos consagrados en la Convención Americana, presuntamente cometidas por miembros de la Fuerza Pública o con su colaboración o aquiescencia. </w:t>
      </w:r>
      <w:r w:rsidR="002E0E96" w:rsidRPr="00446569">
        <w:rPr>
          <w:sz w:val="20"/>
          <w:szCs w:val="20"/>
          <w:lang w:val="es-VE"/>
        </w:rPr>
        <w:t xml:space="preserve">Asimismo, la Comisión toma nota que el Estado no presenta información sobre la existencia de una investigación penal en jurisdicción ordinaria en relación a los hechos violentos. </w:t>
      </w:r>
      <w:r w:rsidR="006762F7" w:rsidRPr="00446569">
        <w:rPr>
          <w:rFonts w:cs="Calibri"/>
          <w:sz w:val="20"/>
          <w:szCs w:val="20"/>
          <w:lang w:val="es-VE"/>
        </w:rPr>
        <w:t xml:space="preserve">Por tanto, considera que en el presente caso, al haberse desarrollado y archivado las investigaciones por </w:t>
      </w:r>
      <w:r w:rsidRPr="00446569">
        <w:rPr>
          <w:rFonts w:cs="Calibri"/>
          <w:sz w:val="20"/>
          <w:szCs w:val="20"/>
          <w:lang w:val="es-VE"/>
        </w:rPr>
        <w:t xml:space="preserve">el alegado homicidio </w:t>
      </w:r>
      <w:r w:rsidR="006762F7" w:rsidRPr="00446569">
        <w:rPr>
          <w:rFonts w:cs="Calibri"/>
          <w:sz w:val="20"/>
          <w:szCs w:val="20"/>
          <w:lang w:val="es-VE"/>
        </w:rPr>
        <w:t>en la justicia penal militar, se configura la excepción establecida en el artículo 46.2.b) de la Convención</w:t>
      </w:r>
      <w:r w:rsidR="006762F7" w:rsidRPr="00446569">
        <w:rPr>
          <w:rStyle w:val="FootnoteReference"/>
          <w:rFonts w:cs="Calibri"/>
          <w:sz w:val="20"/>
          <w:szCs w:val="20"/>
          <w:lang w:val="es-VE"/>
        </w:rPr>
        <w:footnoteReference w:id="6"/>
      </w:r>
      <w:r w:rsidR="006762F7" w:rsidRPr="00446569">
        <w:rPr>
          <w:rFonts w:cs="Calibri"/>
          <w:sz w:val="20"/>
          <w:szCs w:val="20"/>
          <w:lang w:val="es-VE"/>
        </w:rPr>
        <w:t>.</w:t>
      </w:r>
    </w:p>
    <w:p w14:paraId="371DDFE0" w14:textId="77777777" w:rsidR="00E0583C" w:rsidRPr="00446569" w:rsidRDefault="00E0583C" w:rsidP="00E0583C">
      <w:pPr>
        <w:contextualSpacing/>
        <w:jc w:val="both"/>
        <w:rPr>
          <w:rFonts w:cs="Calibri"/>
          <w:sz w:val="20"/>
          <w:szCs w:val="20"/>
          <w:lang w:val="es-VE"/>
        </w:rPr>
      </w:pPr>
    </w:p>
    <w:p w14:paraId="2949B51A" w14:textId="4524D85F" w:rsidR="006742B8" w:rsidRPr="00446569" w:rsidRDefault="00E0583C" w:rsidP="00E0583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VE"/>
        </w:rPr>
      </w:pPr>
      <w:r w:rsidRPr="00446569">
        <w:rPr>
          <w:rFonts w:cs="Calibri"/>
          <w:sz w:val="20"/>
          <w:szCs w:val="20"/>
          <w:lang w:val="es-VE"/>
        </w:rPr>
        <w:lastRenderedPageBreak/>
        <w:t>Asimismo, e</w:t>
      </w:r>
      <w:r w:rsidR="00F96924" w:rsidRPr="00446569">
        <w:rPr>
          <w:rFonts w:cs="Calibri"/>
          <w:sz w:val="20"/>
          <w:szCs w:val="20"/>
          <w:lang w:val="es-VE"/>
        </w:rPr>
        <w:t>n relación con el proceso de reparación directa iniciado en la jurisdicción contencioso administrativa por l</w:t>
      </w:r>
      <w:r w:rsidRPr="00446569">
        <w:rPr>
          <w:rFonts w:cs="Calibri"/>
          <w:sz w:val="20"/>
          <w:szCs w:val="20"/>
          <w:lang w:val="es-VE"/>
        </w:rPr>
        <w:t>a parte peticionaria</w:t>
      </w:r>
      <w:r w:rsidR="00F96924" w:rsidRPr="00446569">
        <w:rPr>
          <w:rFonts w:cs="Calibri"/>
          <w:sz w:val="20"/>
          <w:szCs w:val="20"/>
          <w:lang w:val="es-VE"/>
        </w:rPr>
        <w:t xml:space="preserve">, la Comisión </w:t>
      </w:r>
      <w:r w:rsidRPr="00446569">
        <w:rPr>
          <w:rFonts w:cs="Calibri"/>
          <w:sz w:val="20"/>
          <w:szCs w:val="20"/>
          <w:lang w:val="es-VE"/>
        </w:rPr>
        <w:t xml:space="preserve">reitera </w:t>
      </w:r>
      <w:r w:rsidR="00F96924" w:rsidRPr="00446569">
        <w:rPr>
          <w:rFonts w:cs="Calibri"/>
          <w:sz w:val="20"/>
          <w:szCs w:val="20"/>
          <w:lang w:val="es-VE"/>
        </w:rPr>
        <w:t>que dicha vía no constituye un recurso idóneo a efectos de analizar la admisibilidad de un reclamo de la naturaleza del presente, ya que la misma no es adecuada para proporcionar una reparación integral y justicia a los familiares</w:t>
      </w:r>
      <w:r w:rsidRPr="00446569">
        <w:rPr>
          <w:rStyle w:val="FootnoteReference"/>
          <w:rFonts w:cs="Calibri"/>
          <w:sz w:val="20"/>
          <w:szCs w:val="20"/>
          <w:lang w:val="es-VE"/>
        </w:rPr>
        <w:footnoteReference w:id="7"/>
      </w:r>
      <w:r w:rsidR="00F96924" w:rsidRPr="00446569">
        <w:rPr>
          <w:rFonts w:cs="Calibri"/>
          <w:sz w:val="20"/>
          <w:szCs w:val="20"/>
          <w:lang w:val="es-VE"/>
        </w:rPr>
        <w:t xml:space="preserve">. Sin perjuicio de lo mencionado, en el presente caso se observa que </w:t>
      </w:r>
      <w:r w:rsidRPr="00446569">
        <w:rPr>
          <w:rFonts w:cs="Calibri"/>
          <w:sz w:val="20"/>
          <w:szCs w:val="20"/>
          <w:lang w:val="es-VE"/>
        </w:rPr>
        <w:t>la parte peticionaria</w:t>
      </w:r>
      <w:r w:rsidR="00FC2D98">
        <w:rPr>
          <w:rFonts w:cs="Calibri"/>
          <w:sz w:val="20"/>
          <w:szCs w:val="20"/>
          <w:lang w:val="es-VE"/>
        </w:rPr>
        <w:t xml:space="preserve"> alega</w:t>
      </w:r>
      <w:r w:rsidR="00F96924" w:rsidRPr="00446569">
        <w:rPr>
          <w:rFonts w:cs="Calibri"/>
          <w:sz w:val="20"/>
          <w:szCs w:val="20"/>
          <w:lang w:val="es-VE"/>
        </w:rPr>
        <w:t xml:space="preserve"> además violaciones concretas en el marco de la demanda de reparación directa. Por ello, dada la vinculación entre los dos procesos, la CIDH toma en cuenta que</w:t>
      </w:r>
      <w:r w:rsidRPr="00446569">
        <w:rPr>
          <w:rFonts w:cs="Calibri"/>
          <w:sz w:val="20"/>
          <w:szCs w:val="20"/>
          <w:lang w:val="es-VE"/>
        </w:rPr>
        <w:t xml:space="preserve"> el Estado reconoce que fueron agotados los recursos disponibles</w:t>
      </w:r>
      <w:r w:rsidR="00F96924" w:rsidRPr="00446569">
        <w:rPr>
          <w:rFonts w:cs="Calibri"/>
          <w:sz w:val="20"/>
          <w:szCs w:val="20"/>
          <w:lang w:val="es-VE"/>
        </w:rPr>
        <w:t xml:space="preserve"> en la jurisdicción contenciosa administrativa, </w:t>
      </w:r>
      <w:r w:rsidRPr="00446569">
        <w:rPr>
          <w:rFonts w:cs="Calibri"/>
          <w:sz w:val="20"/>
          <w:szCs w:val="20"/>
          <w:lang w:val="es-VE"/>
        </w:rPr>
        <w:t xml:space="preserve">y además observa que </w:t>
      </w:r>
      <w:r w:rsidR="00F96924" w:rsidRPr="00446569">
        <w:rPr>
          <w:rFonts w:cs="Calibri"/>
          <w:sz w:val="20"/>
          <w:szCs w:val="20"/>
          <w:lang w:val="es-VE"/>
        </w:rPr>
        <w:t xml:space="preserve">los recursos internos se agotaron con la decisión </w:t>
      </w:r>
      <w:r w:rsidRPr="00446569">
        <w:rPr>
          <w:rFonts w:cs="Calibri"/>
          <w:sz w:val="20"/>
          <w:szCs w:val="20"/>
          <w:lang w:val="es-VE"/>
        </w:rPr>
        <w:t xml:space="preserve">de </w:t>
      </w:r>
      <w:r w:rsidRPr="00446569">
        <w:rPr>
          <w:sz w:val="20"/>
          <w:szCs w:val="20"/>
          <w:lang w:val="es-VE"/>
        </w:rPr>
        <w:t>la acción de tutela emitida el 11 de septiembre de 2008 por el Consejo de Estado.</w:t>
      </w:r>
    </w:p>
    <w:p w14:paraId="1E82CD5D" w14:textId="06C349A3" w:rsidR="00E0583C" w:rsidRPr="00446569" w:rsidRDefault="002E0E96" w:rsidP="00E0583C">
      <w:pPr>
        <w:pStyle w:val="ListParagraph"/>
        <w:numPr>
          <w:ilvl w:val="0"/>
          <w:numId w:val="5"/>
        </w:numPr>
        <w:ind w:left="0" w:firstLine="720"/>
        <w:jc w:val="both"/>
        <w:rPr>
          <w:rFonts w:eastAsia="Calibri"/>
          <w:sz w:val="20"/>
          <w:szCs w:val="20"/>
          <w:bdr w:val="none" w:sz="0" w:space="0" w:color="auto"/>
          <w:lang w:val="es-VE"/>
        </w:rPr>
      </w:pPr>
      <w:r w:rsidRPr="00446569">
        <w:rPr>
          <w:sz w:val="20"/>
          <w:szCs w:val="20"/>
          <w:lang w:val="es-VE"/>
        </w:rPr>
        <w:t>L</w:t>
      </w:r>
      <w:r w:rsidR="00E0583C" w:rsidRPr="00446569">
        <w:rPr>
          <w:sz w:val="20"/>
          <w:szCs w:val="20"/>
          <w:lang w:val="es-VE"/>
        </w:rPr>
        <w:t>a Comisión observa que la petición fue recibida el 25 de marzo de 2009 y que los hechos materia del reclamo habrían ocurrido el 6 de noviembre de 2001, y los efectos de la alegada denegación de justicia se extenderían hasta el presente. Por lo tanto, en vista de las características del presente caso, la Comisión considera que la petición fue presentada dentro de un plazo razonable y que debe darse por satisfecho el requisito de admisibilidad referente al plazo de presentación.</w:t>
      </w:r>
    </w:p>
    <w:p w14:paraId="11E4A42B" w14:textId="77777777" w:rsidR="00E10040" w:rsidRPr="00446569" w:rsidRDefault="00E10040" w:rsidP="00927251">
      <w:pPr>
        <w:pStyle w:val="ListParagraph"/>
        <w:spacing w:before="240" w:after="240"/>
        <w:ind w:left="0" w:firstLine="720"/>
        <w:jc w:val="both"/>
        <w:rPr>
          <w:b/>
          <w:sz w:val="20"/>
          <w:szCs w:val="20"/>
          <w:lang w:val="es-VE"/>
        </w:rPr>
      </w:pPr>
      <w:r w:rsidRPr="00446569">
        <w:rPr>
          <w:b/>
          <w:bCs/>
          <w:sz w:val="20"/>
          <w:szCs w:val="20"/>
          <w:lang w:val="es-VE"/>
        </w:rPr>
        <w:t>VII.</w:t>
      </w:r>
      <w:r w:rsidRPr="00446569">
        <w:rPr>
          <w:b/>
          <w:bCs/>
          <w:sz w:val="20"/>
          <w:szCs w:val="20"/>
          <w:lang w:val="es-VE"/>
        </w:rPr>
        <w:tab/>
        <w:t>ANÁLISIS DE CARACTERIZACIÓN DE LOS HECHOS ALEGADOS</w:t>
      </w:r>
    </w:p>
    <w:p w14:paraId="5EEBE783" w14:textId="712715A1" w:rsidR="002E0E96" w:rsidRPr="00446569" w:rsidRDefault="002E0E96" w:rsidP="002E0E9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bdr w:val="none" w:sz="0" w:space="0" w:color="auto"/>
          <w:lang w:val="es-VE"/>
        </w:rPr>
      </w:pPr>
      <w:r w:rsidRPr="00446569">
        <w:rPr>
          <w:sz w:val="20"/>
          <w:szCs w:val="20"/>
          <w:lang w:val="es-VE"/>
        </w:rPr>
        <w:t xml:space="preserve">La Comisión observa que la presente petición incluye alegaciones con respecto a la muerte violenta de </w:t>
      </w:r>
      <w:r w:rsidRPr="00446569">
        <w:rPr>
          <w:bCs/>
          <w:sz w:val="20"/>
          <w:szCs w:val="20"/>
          <w:lang w:val="es-VE"/>
        </w:rPr>
        <w:t>Pedro José Adarve Jiménez</w:t>
      </w:r>
      <w:r w:rsidRPr="00446569">
        <w:rPr>
          <w:sz w:val="20"/>
          <w:szCs w:val="20"/>
          <w:lang w:val="es-VE"/>
        </w:rPr>
        <w:t xml:space="preserve">; y la falta de protección judicial efectiva, investigación de tales hechos y sanción de los responsables, así como la falta de reparación adecuada de los familiares de la presunta víctima y la falta de debida notificación del envío del expediente al Juzgado Quince Administrativo. </w:t>
      </w:r>
    </w:p>
    <w:p w14:paraId="1B1D70EC" w14:textId="19158ED2" w:rsidR="002E0E96" w:rsidRPr="00446569" w:rsidRDefault="002E0E96" w:rsidP="002E0E9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contextualSpacing/>
        <w:jc w:val="both"/>
        <w:rPr>
          <w:rFonts w:cs="Times New Roman"/>
          <w:sz w:val="20"/>
          <w:szCs w:val="20"/>
          <w:lang w:val="es-VE"/>
        </w:rPr>
      </w:pPr>
      <w:r w:rsidRPr="00446569">
        <w:rPr>
          <w:sz w:val="20"/>
          <w:szCs w:val="20"/>
          <w:lang w:val="es-VE"/>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Pr="00446569">
        <w:rPr>
          <w:bCs/>
          <w:sz w:val="20"/>
          <w:szCs w:val="20"/>
          <w:lang w:val="es-VE"/>
        </w:rPr>
        <w:t xml:space="preserve">4 (derecho a la vida), 5 (derecho a la integridad personal), </w:t>
      </w:r>
      <w:r w:rsidRPr="00912A6F">
        <w:rPr>
          <w:bCs/>
          <w:color w:val="auto"/>
          <w:sz w:val="20"/>
          <w:szCs w:val="20"/>
          <w:lang w:val="es-VE"/>
        </w:rPr>
        <w:t xml:space="preserve">8 (garantías judiciales) y 25 (protección judicial) de la Convención Americana en relación con </w:t>
      </w:r>
      <w:r w:rsidR="008A5730" w:rsidRPr="00912A6F">
        <w:rPr>
          <w:bCs/>
          <w:color w:val="auto"/>
          <w:sz w:val="20"/>
          <w:szCs w:val="20"/>
          <w:lang w:val="es-VE"/>
        </w:rPr>
        <w:t xml:space="preserve">los </w:t>
      </w:r>
      <w:r w:rsidRPr="00912A6F">
        <w:rPr>
          <w:bCs/>
          <w:color w:val="auto"/>
          <w:sz w:val="20"/>
          <w:szCs w:val="20"/>
          <w:lang w:val="es-VE"/>
        </w:rPr>
        <w:t>artículo</w:t>
      </w:r>
      <w:r w:rsidR="008A5730" w:rsidRPr="00912A6F">
        <w:rPr>
          <w:bCs/>
          <w:color w:val="auto"/>
          <w:sz w:val="20"/>
          <w:szCs w:val="20"/>
          <w:lang w:val="es-VE"/>
        </w:rPr>
        <w:t>s</w:t>
      </w:r>
      <w:r w:rsidRPr="00912A6F">
        <w:rPr>
          <w:bCs/>
          <w:color w:val="auto"/>
          <w:sz w:val="20"/>
          <w:szCs w:val="20"/>
          <w:lang w:val="es-VE"/>
        </w:rPr>
        <w:t xml:space="preserve"> 1.1 </w:t>
      </w:r>
      <w:r w:rsidR="008A5730" w:rsidRPr="00912A6F">
        <w:rPr>
          <w:bCs/>
          <w:color w:val="auto"/>
          <w:sz w:val="20"/>
          <w:szCs w:val="20"/>
          <w:lang w:val="es-VE"/>
        </w:rPr>
        <w:t xml:space="preserve">y 2 </w:t>
      </w:r>
      <w:r w:rsidRPr="00912A6F">
        <w:rPr>
          <w:bCs/>
          <w:color w:val="auto"/>
          <w:sz w:val="20"/>
          <w:szCs w:val="20"/>
          <w:lang w:val="es-VE"/>
        </w:rPr>
        <w:t xml:space="preserve">del mismo instrumento. </w:t>
      </w:r>
      <w:r w:rsidRPr="00912A6F">
        <w:rPr>
          <w:rFonts w:cs="Calibri"/>
          <w:color w:val="auto"/>
          <w:sz w:val="20"/>
          <w:szCs w:val="20"/>
          <w:lang w:val="es-VE"/>
        </w:rPr>
        <w:t xml:space="preserve">La </w:t>
      </w:r>
      <w:r w:rsidRPr="00446569">
        <w:rPr>
          <w:rFonts w:cs="Calibri"/>
          <w:sz w:val="20"/>
          <w:szCs w:val="20"/>
          <w:lang w:val="es-VE"/>
        </w:rPr>
        <w:t>CIDH considerará en la etapa de fondo si los hechos alegados en cuanto a una presunta omisión de notificar a la parte peticionaria sobre el traslado del expediente constituirían una violación al derecho a la protección judicial de las presuntas víctimas bajo el artículo 25 de la Convención.</w:t>
      </w:r>
    </w:p>
    <w:p w14:paraId="421B2126" w14:textId="77777777" w:rsidR="002E0E96" w:rsidRPr="00446569" w:rsidRDefault="002E0E96" w:rsidP="002E0E96">
      <w:pPr>
        <w:pStyle w:val="ListParagraph"/>
        <w:contextualSpacing/>
        <w:jc w:val="both"/>
        <w:rPr>
          <w:rFonts w:cs="Calibri"/>
          <w:sz w:val="20"/>
          <w:szCs w:val="20"/>
          <w:lang w:val="es-VE"/>
        </w:rPr>
      </w:pPr>
    </w:p>
    <w:p w14:paraId="31368048" w14:textId="65E29FD8" w:rsidR="00E0583C" w:rsidRPr="00446569" w:rsidRDefault="00E0583C" w:rsidP="00E0583C">
      <w:pPr>
        <w:pStyle w:val="ListParagraph"/>
        <w:numPr>
          <w:ilvl w:val="0"/>
          <w:numId w:val="5"/>
        </w:numPr>
        <w:ind w:left="0" w:firstLine="720"/>
        <w:contextualSpacing/>
        <w:jc w:val="both"/>
        <w:rPr>
          <w:rFonts w:cs="Calibri"/>
          <w:sz w:val="20"/>
          <w:szCs w:val="20"/>
          <w:lang w:val="es-VE"/>
        </w:rPr>
      </w:pPr>
      <w:r w:rsidRPr="00446569">
        <w:rPr>
          <w:rFonts w:cs="Calibri"/>
          <w:sz w:val="20"/>
          <w:szCs w:val="20"/>
          <w:lang w:val="es-VE"/>
        </w:rPr>
        <w:t>En relación con el Pacto Internacional de Derechos Civiles y Políticos, la Comisión carece de competencia para establecer violaciones a las normas de dicho tratado, sin perjuicio de lo cual podrá tomarlo en cuenta como parte de su ejercicio interpretativo de las normas de la Convención Americana en la etapa de fondo del presente caso, en los términos del artículo 29 de la Convención”</w:t>
      </w:r>
      <w:r w:rsidRPr="00446569">
        <w:rPr>
          <w:rStyle w:val="FootnoteReference"/>
          <w:rFonts w:cs="Calibri"/>
          <w:sz w:val="20"/>
          <w:szCs w:val="20"/>
          <w:lang w:val="es-VE"/>
        </w:rPr>
        <w:footnoteReference w:id="8"/>
      </w:r>
      <w:r w:rsidRPr="00446569">
        <w:rPr>
          <w:rFonts w:cs="Calibri"/>
          <w:sz w:val="20"/>
          <w:szCs w:val="20"/>
          <w:lang w:val="es-VE"/>
        </w:rPr>
        <w:t>.</w:t>
      </w:r>
    </w:p>
    <w:p w14:paraId="2697DB32" w14:textId="77777777" w:rsidR="00927251" w:rsidRPr="00446569" w:rsidRDefault="00927251" w:rsidP="00927251">
      <w:pPr>
        <w:ind w:firstLine="720"/>
        <w:contextualSpacing/>
        <w:jc w:val="both"/>
        <w:rPr>
          <w:rFonts w:ascii="Cambria" w:hAnsi="Cambria" w:cs="Calibri"/>
          <w:sz w:val="20"/>
          <w:szCs w:val="20"/>
          <w:lang w:val="es-VE"/>
        </w:rPr>
      </w:pPr>
    </w:p>
    <w:p w14:paraId="29070A17" w14:textId="21066247" w:rsidR="00113829" w:rsidRPr="00446569" w:rsidRDefault="00E0583C" w:rsidP="0092725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VE"/>
        </w:rPr>
      </w:pPr>
      <w:r w:rsidRPr="00446569">
        <w:rPr>
          <w:rFonts w:ascii="Cambria" w:hAnsi="Cambria"/>
          <w:color w:val="000000"/>
          <w:sz w:val="20"/>
          <w:szCs w:val="20"/>
          <w:lang w:val="es-VE"/>
        </w:rPr>
        <w:t>Por último, c</w:t>
      </w:r>
      <w:r w:rsidR="00113829" w:rsidRPr="00446569">
        <w:rPr>
          <w:rFonts w:ascii="Cambria" w:hAnsi="Cambria"/>
          <w:color w:val="000000"/>
          <w:sz w:val="20"/>
          <w:szCs w:val="20"/>
          <w:lang w:val="es-VE"/>
        </w:rPr>
        <w:t xml:space="preserve">on respecto a los alegatos del Estado referidos a la llamada fórmula de “cuarta instancia”,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w:t>
      </w:r>
    </w:p>
    <w:p w14:paraId="6E7A11C7" w14:textId="77777777" w:rsidR="001156A3" w:rsidRDefault="001156A3" w:rsidP="00E10040">
      <w:pPr>
        <w:pStyle w:val="ListParagraph"/>
        <w:spacing w:before="240" w:after="240"/>
        <w:jc w:val="both"/>
        <w:rPr>
          <w:b/>
          <w:bCs/>
          <w:sz w:val="20"/>
          <w:szCs w:val="20"/>
          <w:lang w:val="es-VE"/>
        </w:rPr>
      </w:pPr>
    </w:p>
    <w:p w14:paraId="38303FD9" w14:textId="0B058989" w:rsidR="00E10040" w:rsidRPr="00446569" w:rsidRDefault="00E10040" w:rsidP="00E10040">
      <w:pPr>
        <w:pStyle w:val="ListParagraph"/>
        <w:spacing w:before="240" w:after="240"/>
        <w:jc w:val="both"/>
        <w:rPr>
          <w:b/>
          <w:bCs/>
          <w:sz w:val="20"/>
          <w:szCs w:val="20"/>
          <w:lang w:val="es-VE"/>
        </w:rPr>
      </w:pPr>
      <w:r w:rsidRPr="00446569">
        <w:rPr>
          <w:b/>
          <w:bCs/>
          <w:sz w:val="20"/>
          <w:szCs w:val="20"/>
          <w:lang w:val="es-VE"/>
        </w:rPr>
        <w:lastRenderedPageBreak/>
        <w:t xml:space="preserve">VIII. </w:t>
      </w:r>
      <w:r w:rsidRPr="00446569">
        <w:rPr>
          <w:b/>
          <w:bCs/>
          <w:sz w:val="20"/>
          <w:szCs w:val="20"/>
          <w:lang w:val="es-VE"/>
        </w:rPr>
        <w:tab/>
        <w:t>DECISIÓN</w:t>
      </w:r>
    </w:p>
    <w:p w14:paraId="009A9A1F" w14:textId="4A9378D7" w:rsidR="00E10040" w:rsidRPr="00446569" w:rsidRDefault="00E10040" w:rsidP="00E1004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sidRPr="00446569">
        <w:rPr>
          <w:rFonts w:ascii="Cambria" w:hAnsi="Cambria"/>
          <w:sz w:val="20"/>
          <w:szCs w:val="20"/>
          <w:lang w:val="es-VE"/>
        </w:rPr>
        <w:t xml:space="preserve">Declarar admisible la presente petición en relación con </w:t>
      </w:r>
      <w:r w:rsidR="002E0E96" w:rsidRPr="00446569">
        <w:rPr>
          <w:rFonts w:ascii="Cambria" w:hAnsi="Cambria"/>
          <w:sz w:val="20"/>
          <w:szCs w:val="20"/>
          <w:lang w:val="es-VE"/>
        </w:rPr>
        <w:t xml:space="preserve">los artículos </w:t>
      </w:r>
      <w:r w:rsidR="002E0E96" w:rsidRPr="00446569">
        <w:rPr>
          <w:rFonts w:ascii="Cambria" w:hAnsi="Cambria"/>
          <w:bCs/>
          <w:sz w:val="20"/>
          <w:szCs w:val="20"/>
          <w:lang w:val="es-VE"/>
        </w:rPr>
        <w:t xml:space="preserve">4, 5, 8 y 25 de la Convención Americana en relación </w:t>
      </w:r>
      <w:r w:rsidR="002E0E96" w:rsidRPr="00912A6F">
        <w:rPr>
          <w:rFonts w:ascii="Cambria" w:hAnsi="Cambria"/>
          <w:bCs/>
          <w:sz w:val="20"/>
          <w:szCs w:val="20"/>
          <w:lang w:val="es-VE"/>
        </w:rPr>
        <w:t xml:space="preserve">con </w:t>
      </w:r>
      <w:r w:rsidR="008A5730" w:rsidRPr="00912A6F">
        <w:rPr>
          <w:rFonts w:ascii="Cambria" w:hAnsi="Cambria"/>
          <w:bCs/>
          <w:sz w:val="20"/>
          <w:szCs w:val="20"/>
          <w:lang w:val="es-VE"/>
        </w:rPr>
        <w:t>los</w:t>
      </w:r>
      <w:r w:rsidR="002E0E96" w:rsidRPr="00912A6F">
        <w:rPr>
          <w:rFonts w:ascii="Cambria" w:hAnsi="Cambria"/>
          <w:bCs/>
          <w:sz w:val="20"/>
          <w:szCs w:val="20"/>
          <w:lang w:val="es-VE"/>
        </w:rPr>
        <w:t xml:space="preserve"> artículo</w:t>
      </w:r>
      <w:r w:rsidR="008A5730" w:rsidRPr="00912A6F">
        <w:rPr>
          <w:rFonts w:ascii="Cambria" w:hAnsi="Cambria"/>
          <w:bCs/>
          <w:sz w:val="20"/>
          <w:szCs w:val="20"/>
          <w:lang w:val="es-VE"/>
        </w:rPr>
        <w:t>s</w:t>
      </w:r>
      <w:r w:rsidR="002E0E96" w:rsidRPr="00912A6F">
        <w:rPr>
          <w:rFonts w:ascii="Cambria" w:hAnsi="Cambria"/>
          <w:bCs/>
          <w:sz w:val="20"/>
          <w:szCs w:val="20"/>
          <w:lang w:val="es-VE"/>
        </w:rPr>
        <w:t xml:space="preserve"> 1.1 </w:t>
      </w:r>
      <w:r w:rsidR="008A5730" w:rsidRPr="00912A6F">
        <w:rPr>
          <w:rFonts w:ascii="Cambria" w:hAnsi="Cambria"/>
          <w:bCs/>
          <w:sz w:val="20"/>
          <w:szCs w:val="20"/>
          <w:lang w:val="es-VE"/>
        </w:rPr>
        <w:t xml:space="preserve">y 2 </w:t>
      </w:r>
      <w:r w:rsidR="002E0E96" w:rsidRPr="00912A6F">
        <w:rPr>
          <w:rFonts w:ascii="Cambria" w:hAnsi="Cambria"/>
          <w:bCs/>
          <w:sz w:val="20"/>
          <w:szCs w:val="20"/>
          <w:lang w:val="es-VE"/>
        </w:rPr>
        <w:t xml:space="preserve">del </w:t>
      </w:r>
      <w:r w:rsidR="002E0E96" w:rsidRPr="00446569">
        <w:rPr>
          <w:rFonts w:ascii="Cambria" w:hAnsi="Cambria"/>
          <w:bCs/>
          <w:sz w:val="20"/>
          <w:szCs w:val="20"/>
          <w:lang w:val="es-VE"/>
        </w:rPr>
        <w:t>mismo instrumento</w:t>
      </w:r>
      <w:r w:rsidRPr="00446569">
        <w:rPr>
          <w:rFonts w:ascii="Cambria" w:hAnsi="Cambria"/>
          <w:sz w:val="20"/>
          <w:szCs w:val="20"/>
          <w:lang w:val="es-VE"/>
        </w:rPr>
        <w:t>; y</w:t>
      </w:r>
    </w:p>
    <w:p w14:paraId="0894EF93" w14:textId="4B184158" w:rsidR="00E10040" w:rsidRDefault="00E10040" w:rsidP="00E1004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sidRPr="00446569">
        <w:rPr>
          <w:rFonts w:ascii="Cambria" w:hAnsi="Cambria"/>
          <w:sz w:val="20"/>
          <w:szCs w:val="20"/>
          <w:lang w:val="es-VE"/>
        </w:rPr>
        <w:t>Notificar a las partes la presente decisión; continuar con el análisis del fondo de la cuestión; y publicar esta decisión e incluirla en su Informe Anual a la Asamblea General de la Organización de los Estados Americanos.</w:t>
      </w:r>
    </w:p>
    <w:p w14:paraId="7AAA832E" w14:textId="7118D466" w:rsidR="001F3E29" w:rsidRPr="001F3E29" w:rsidRDefault="001F3E29" w:rsidP="001F3E29">
      <w:pPr>
        <w:ind w:firstLine="720"/>
        <w:jc w:val="both"/>
        <w:rPr>
          <w:rFonts w:ascii="Cambria" w:hAnsi="Cambria" w:cs="Arial"/>
          <w:noProof/>
          <w:sz w:val="20"/>
          <w:szCs w:val="20"/>
          <w:lang w:val="es-CL"/>
        </w:rPr>
      </w:pPr>
      <w:r w:rsidRPr="001F3E29">
        <w:rPr>
          <w:rFonts w:ascii="Cambria" w:hAnsi="Cambria" w:cs="Arial"/>
          <w:noProof/>
          <w:sz w:val="20"/>
          <w:szCs w:val="20"/>
          <w:lang w:val="es-CL"/>
        </w:rPr>
        <w:t>Aprobado por la Comisión Interamerica</w:t>
      </w:r>
      <w:r w:rsidR="00F2013F">
        <w:rPr>
          <w:rFonts w:ascii="Cambria" w:hAnsi="Cambria" w:cs="Arial"/>
          <w:noProof/>
          <w:sz w:val="20"/>
          <w:szCs w:val="20"/>
          <w:lang w:val="es-CL"/>
        </w:rPr>
        <w:t>na de Derechos Humanos  a los 13</w:t>
      </w:r>
      <w:r w:rsidRPr="001F3E29">
        <w:rPr>
          <w:rFonts w:ascii="Cambria" w:hAnsi="Cambria" w:cs="Arial"/>
          <w:noProof/>
          <w:sz w:val="20"/>
          <w:szCs w:val="20"/>
          <w:lang w:val="es-CL"/>
        </w:rPr>
        <w:t xml:space="preserve"> días del mes de octubre de 2020.  (Firmado): Joel Hernández, Presidente; Flávia Piovesan, Segunda Vicepresidenta; Esmeralda E. Arosemena Bernal de Troitiño y Stuardo Ralón Orellana, Miembros de la Comisión. </w:t>
      </w:r>
    </w:p>
    <w:sectPr w:rsidR="001F3E29" w:rsidRPr="001F3E29" w:rsidSect="004A1F4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1058AD" w16cid:durableId="22B32BD4"/>
  <w16cid:commentId w16cid:paraId="00862533" w16cid:durableId="22B32B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6F355" w14:textId="77777777" w:rsidR="00637DA0" w:rsidRDefault="00637DA0" w:rsidP="00E10040">
      <w:r>
        <w:separator/>
      </w:r>
    </w:p>
  </w:endnote>
  <w:endnote w:type="continuationSeparator" w:id="0">
    <w:p w14:paraId="39224D2F" w14:textId="77777777" w:rsidR="00637DA0" w:rsidRDefault="00637DA0" w:rsidP="00E1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4F902" w14:textId="77777777" w:rsidR="0002627E" w:rsidRDefault="000262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45EDF4A5" w14:textId="0417AE33" w:rsidR="002E0E96" w:rsidRPr="00934A2C" w:rsidRDefault="002E0E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2627E">
          <w:rPr>
            <w:noProof/>
            <w:sz w:val="16"/>
            <w:szCs w:val="22"/>
          </w:rPr>
          <w:t>1</w:t>
        </w:r>
        <w:r w:rsidRPr="00934A2C">
          <w:rPr>
            <w:noProof/>
            <w:sz w:val="16"/>
            <w:szCs w:val="22"/>
          </w:rPr>
          <w:fldChar w:fldCharType="end"/>
        </w:r>
      </w:p>
    </w:sdtContent>
  </w:sdt>
  <w:p w14:paraId="54CF4771" w14:textId="77777777" w:rsidR="002E0E96" w:rsidRDefault="002E0E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A740D" w14:textId="77777777" w:rsidR="002E0E96" w:rsidRPr="00934A2C" w:rsidRDefault="002E0E96">
    <w:pPr>
      <w:pStyle w:val="Footer"/>
      <w:jc w:val="center"/>
      <w:rPr>
        <w:sz w:val="16"/>
        <w:szCs w:val="22"/>
      </w:rPr>
    </w:pPr>
  </w:p>
  <w:p w14:paraId="6CF30CE2" w14:textId="77777777" w:rsidR="002E0E96" w:rsidRDefault="002E0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B167D" w14:textId="77777777" w:rsidR="00637DA0" w:rsidRDefault="00637DA0" w:rsidP="00E10040">
      <w:r>
        <w:separator/>
      </w:r>
    </w:p>
  </w:footnote>
  <w:footnote w:type="continuationSeparator" w:id="0">
    <w:p w14:paraId="1F67155B" w14:textId="77777777" w:rsidR="00637DA0" w:rsidRDefault="00637DA0" w:rsidP="00E10040">
      <w:r>
        <w:continuationSeparator/>
      </w:r>
    </w:p>
  </w:footnote>
  <w:footnote w:id="1">
    <w:p w14:paraId="55039325" w14:textId="54414CE4" w:rsidR="002E0E96" w:rsidRPr="001E1E7A" w:rsidRDefault="002E0E96" w:rsidP="001E1E7A">
      <w:pPr>
        <w:pStyle w:val="FootnoteText"/>
        <w:ind w:firstLine="720"/>
        <w:jc w:val="both"/>
        <w:rPr>
          <w:rFonts w:ascii="Cambria" w:hAnsi="Cambria"/>
          <w:lang w:val="es-VE"/>
        </w:rPr>
      </w:pPr>
      <w:r w:rsidRPr="001E1E7A">
        <w:rPr>
          <w:rStyle w:val="FootnoteReference"/>
          <w:rFonts w:ascii="Cambria" w:hAnsi="Cambria"/>
          <w:sz w:val="16"/>
          <w:szCs w:val="16"/>
        </w:rPr>
        <w:footnoteRef/>
      </w:r>
      <w:r w:rsidRPr="001E1E7A">
        <w:rPr>
          <w:rFonts w:ascii="Cambria" w:hAnsi="Cambria"/>
          <w:sz w:val="16"/>
          <w:szCs w:val="16"/>
          <w:lang w:val="es-VE"/>
        </w:rPr>
        <w:t xml:space="preserve"> </w:t>
      </w:r>
      <w:r>
        <w:rPr>
          <w:rFonts w:ascii="Cambria" w:hAnsi="Cambria"/>
          <w:sz w:val="16"/>
          <w:szCs w:val="16"/>
          <w:lang w:val="es-VE"/>
        </w:rPr>
        <w:t xml:space="preserve">La presente petición identifica también como presuntas víctimas a </w:t>
      </w:r>
      <w:r w:rsidRPr="001E1E7A">
        <w:rPr>
          <w:rFonts w:ascii="Cambria" w:hAnsi="Cambria"/>
          <w:sz w:val="16"/>
          <w:szCs w:val="16"/>
          <w:lang w:val="es-VE"/>
        </w:rPr>
        <w:t>María Liria Jiménez de Adarve, Luis Eduardo Adarve Misas, Doris Elena, María del Rosario, Jaime Enrique y Martha Ligia, todos Adarve Jiménez.</w:t>
      </w:r>
    </w:p>
  </w:footnote>
  <w:footnote w:id="2">
    <w:p w14:paraId="0EBBFA2D" w14:textId="3D285EF1" w:rsidR="002E0E96" w:rsidRPr="00376636" w:rsidRDefault="002E0E96" w:rsidP="00376636">
      <w:pPr>
        <w:pStyle w:val="FootnoteText"/>
        <w:ind w:firstLine="720"/>
        <w:rPr>
          <w:rFonts w:ascii="Cambria" w:hAnsi="Cambria"/>
          <w:lang w:val="es-VE"/>
        </w:rPr>
      </w:pPr>
      <w:r w:rsidRPr="00376636">
        <w:rPr>
          <w:rStyle w:val="FootnoteReference"/>
          <w:rFonts w:ascii="Cambria" w:hAnsi="Cambria"/>
          <w:sz w:val="16"/>
          <w:szCs w:val="16"/>
        </w:rPr>
        <w:footnoteRef/>
      </w:r>
      <w:r w:rsidRPr="00376636">
        <w:rPr>
          <w:rFonts w:ascii="Cambria" w:hAnsi="Cambria"/>
          <w:sz w:val="16"/>
          <w:szCs w:val="16"/>
          <w:lang w:val="es-VE"/>
        </w:rPr>
        <w:t xml:space="preserve"> En adelante la “Convención” o la “Convención Americana”. </w:t>
      </w:r>
    </w:p>
  </w:footnote>
  <w:footnote w:id="3">
    <w:p w14:paraId="4BE0AFFC" w14:textId="78D8E989" w:rsidR="002E0E96" w:rsidRPr="00296059" w:rsidRDefault="002E0E96" w:rsidP="00296059">
      <w:pPr>
        <w:pStyle w:val="FootnoteText"/>
        <w:ind w:firstLine="720"/>
        <w:rPr>
          <w:rFonts w:ascii="Cambria" w:hAnsi="Cambria"/>
          <w:lang w:val="es-VE"/>
        </w:rPr>
      </w:pPr>
      <w:r w:rsidRPr="00296059">
        <w:rPr>
          <w:rStyle w:val="FootnoteReference"/>
          <w:rFonts w:ascii="Cambria" w:hAnsi="Cambria"/>
          <w:sz w:val="16"/>
          <w:szCs w:val="16"/>
        </w:rPr>
        <w:footnoteRef/>
      </w:r>
      <w:r w:rsidRPr="00296059">
        <w:rPr>
          <w:rFonts w:ascii="Cambria" w:hAnsi="Cambria"/>
          <w:sz w:val="16"/>
          <w:szCs w:val="16"/>
          <w:lang w:val="es-VE"/>
        </w:rPr>
        <w:t xml:space="preserve"> Artículo 6, 7 y 10.1 del Pacto Internacional de Derechos Civiles y Políticos. </w:t>
      </w:r>
    </w:p>
  </w:footnote>
  <w:footnote w:id="4">
    <w:p w14:paraId="64CFC33C" w14:textId="77777777" w:rsidR="002E0E96" w:rsidRPr="00E10040" w:rsidRDefault="002E0E96" w:rsidP="00E10040">
      <w:pPr>
        <w:pStyle w:val="FootnoteText"/>
        <w:ind w:firstLine="720"/>
        <w:jc w:val="both"/>
        <w:rPr>
          <w:rFonts w:ascii="Cambria" w:hAnsi="Cambria"/>
          <w:sz w:val="16"/>
          <w:szCs w:val="16"/>
          <w:lang w:val="es-ES"/>
        </w:rPr>
      </w:pPr>
      <w:r w:rsidRPr="00E10040">
        <w:rPr>
          <w:rStyle w:val="FootnoteReference"/>
          <w:rFonts w:ascii="Cambria" w:hAnsi="Cambria"/>
          <w:sz w:val="16"/>
          <w:szCs w:val="16"/>
        </w:rPr>
        <w:footnoteRef/>
      </w:r>
      <w:r w:rsidRPr="00E10040">
        <w:rPr>
          <w:rFonts w:ascii="Cambria" w:hAnsi="Cambria"/>
          <w:sz w:val="16"/>
          <w:szCs w:val="16"/>
          <w:lang w:val="es-ES"/>
        </w:rPr>
        <w:t xml:space="preserve"> Las observaciones de cada parte fueron debidamente trasladadas a la parte contraria.</w:t>
      </w:r>
    </w:p>
  </w:footnote>
  <w:footnote w:id="5">
    <w:p w14:paraId="21036A54" w14:textId="308B3A83" w:rsidR="002E0E96" w:rsidRPr="00A91940" w:rsidRDefault="002E0E96" w:rsidP="00A91940">
      <w:pPr>
        <w:pStyle w:val="FootnoteText"/>
        <w:ind w:firstLine="720"/>
        <w:rPr>
          <w:rFonts w:ascii="Cambria" w:hAnsi="Cambria"/>
          <w:lang w:val="es-VE"/>
        </w:rPr>
      </w:pPr>
      <w:r w:rsidRPr="00A91940">
        <w:rPr>
          <w:rStyle w:val="FootnoteReference"/>
          <w:rFonts w:ascii="Cambria" w:hAnsi="Cambria"/>
          <w:sz w:val="16"/>
          <w:szCs w:val="16"/>
        </w:rPr>
        <w:footnoteRef/>
      </w:r>
      <w:r w:rsidRPr="00A91940">
        <w:rPr>
          <w:rFonts w:ascii="Cambria" w:hAnsi="Cambria"/>
          <w:sz w:val="16"/>
          <w:szCs w:val="16"/>
          <w:lang w:val="es-VE"/>
        </w:rPr>
        <w:t xml:space="preserve"> El Estado sostiene que remitió su respuesta el 12 de septiembre de 2014 sin embargo la Comisión no tiene constancia de la recepción de dicha comunicación. </w:t>
      </w:r>
    </w:p>
  </w:footnote>
  <w:footnote w:id="6">
    <w:p w14:paraId="650CDC9B" w14:textId="702A336B" w:rsidR="002E0E96" w:rsidRPr="00F96CD8" w:rsidRDefault="002E0E96" w:rsidP="00E0583C">
      <w:pPr>
        <w:pStyle w:val="FootnoteText"/>
        <w:ind w:firstLine="720"/>
        <w:jc w:val="both"/>
        <w:rPr>
          <w:rFonts w:ascii="Cambria" w:hAnsi="Cambria"/>
          <w:sz w:val="16"/>
          <w:szCs w:val="16"/>
          <w:lang w:val="es-ES"/>
        </w:rPr>
      </w:pPr>
      <w:r w:rsidRPr="00F96CD8">
        <w:rPr>
          <w:rStyle w:val="FootnoteReference"/>
          <w:rFonts w:ascii="Cambria" w:hAnsi="Cambria"/>
          <w:sz w:val="16"/>
          <w:szCs w:val="16"/>
        </w:rPr>
        <w:footnoteRef/>
      </w:r>
      <w:r w:rsidRPr="00F96CD8">
        <w:rPr>
          <w:rFonts w:ascii="Cambria" w:hAnsi="Cambria"/>
          <w:sz w:val="16"/>
          <w:szCs w:val="16"/>
          <w:lang w:val="es-ES"/>
        </w:rPr>
        <w:t xml:space="preserve"> CIDH, Informe No. 154/17, Petición 239-07. Admisibilidad. Nicanor Alfonso Terreros Londoño y familia. Colombia. 30 de noviembre de 2017, párr. 10.</w:t>
      </w:r>
    </w:p>
  </w:footnote>
  <w:footnote w:id="7">
    <w:p w14:paraId="5D17CE50" w14:textId="021A657A" w:rsidR="002E0E96" w:rsidRPr="00F96CD8" w:rsidRDefault="002E0E96" w:rsidP="00E0583C">
      <w:pPr>
        <w:pStyle w:val="FootnoteText"/>
        <w:ind w:firstLine="720"/>
        <w:jc w:val="both"/>
        <w:rPr>
          <w:rFonts w:ascii="Cambria" w:hAnsi="Cambria"/>
          <w:sz w:val="16"/>
          <w:szCs w:val="16"/>
          <w:lang w:val="es-ES"/>
        </w:rPr>
      </w:pPr>
      <w:r w:rsidRPr="00F96CD8">
        <w:rPr>
          <w:rStyle w:val="FootnoteReference"/>
          <w:rFonts w:ascii="Cambria" w:hAnsi="Cambria"/>
          <w:sz w:val="16"/>
          <w:szCs w:val="16"/>
        </w:rPr>
        <w:footnoteRef/>
      </w:r>
      <w:r w:rsidRPr="00F96CD8">
        <w:rPr>
          <w:rFonts w:ascii="Cambria" w:hAnsi="Cambria"/>
          <w:sz w:val="16"/>
          <w:szCs w:val="16"/>
          <w:lang w:val="es-ES"/>
        </w:rPr>
        <w:t xml:space="preserve"> CIDH, Informe No. 39/18, Petición 196-07. Admisibilidad. José Ricardo Parra Hurtado, Félix Alberto Páez Suárez y familias. Colombia. 4 de mayo de 2018, párr. 13.</w:t>
      </w:r>
    </w:p>
  </w:footnote>
  <w:footnote w:id="8">
    <w:p w14:paraId="12E4129D" w14:textId="77777777" w:rsidR="002E0E96" w:rsidRPr="00F96CD8" w:rsidRDefault="002E0E96" w:rsidP="00E0583C">
      <w:pPr>
        <w:pStyle w:val="FootnoteText"/>
        <w:ind w:firstLine="720"/>
        <w:jc w:val="both"/>
        <w:rPr>
          <w:rFonts w:ascii="Cambria" w:hAnsi="Cambria"/>
          <w:sz w:val="16"/>
          <w:szCs w:val="16"/>
          <w:lang w:val="es-ES"/>
        </w:rPr>
      </w:pPr>
      <w:r w:rsidRPr="00E0583C">
        <w:rPr>
          <w:rStyle w:val="FootnoteReference"/>
          <w:rFonts w:ascii="Cambria" w:hAnsi="Cambria"/>
          <w:sz w:val="16"/>
          <w:szCs w:val="16"/>
          <w:lang w:val="es-VE"/>
        </w:rPr>
        <w:footnoteRef/>
      </w:r>
      <w:r w:rsidRPr="00E0583C">
        <w:rPr>
          <w:rFonts w:ascii="Cambria" w:hAnsi="Cambria"/>
          <w:sz w:val="16"/>
          <w:szCs w:val="16"/>
          <w:lang w:val="es-VE"/>
        </w:rPr>
        <w:t xml:space="preserve"> CIDH, Informe No. 132/18. Petición 1225-12. Admisibilidad. Octavio Romero y Gabriel </w:t>
      </w:r>
      <w:proofErr w:type="spellStart"/>
      <w:r w:rsidRPr="00E0583C">
        <w:rPr>
          <w:rFonts w:ascii="Cambria" w:hAnsi="Cambria"/>
          <w:sz w:val="16"/>
          <w:szCs w:val="16"/>
          <w:lang w:val="es-VE"/>
        </w:rPr>
        <w:t>Gersbach</w:t>
      </w:r>
      <w:proofErr w:type="spellEnd"/>
      <w:r w:rsidRPr="00E0583C">
        <w:rPr>
          <w:rFonts w:ascii="Cambria" w:hAnsi="Cambria"/>
          <w:sz w:val="16"/>
          <w:szCs w:val="16"/>
          <w:lang w:val="es-VE"/>
        </w:rPr>
        <w:t>. Argentina. 20 de noviembre de 2018, párr.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E5F38" w14:textId="77777777" w:rsidR="002E0E96" w:rsidRDefault="002E0E96" w:rsidP="004A1F4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57AA7C" w14:textId="77777777" w:rsidR="002E0E96" w:rsidRDefault="002E0E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498E8" w14:textId="77777777" w:rsidR="002E0E96" w:rsidRDefault="002E0E96" w:rsidP="004A1F4C">
    <w:pPr>
      <w:pStyle w:val="Header"/>
      <w:tabs>
        <w:tab w:val="clear" w:pos="4320"/>
        <w:tab w:val="clear" w:pos="8640"/>
      </w:tabs>
      <w:jc w:val="center"/>
      <w:rPr>
        <w:sz w:val="22"/>
        <w:szCs w:val="22"/>
      </w:rPr>
    </w:pPr>
    <w:r>
      <w:rPr>
        <w:noProof/>
        <w:sz w:val="22"/>
        <w:szCs w:val="22"/>
      </w:rPr>
      <w:drawing>
        <wp:inline distT="0" distB="0" distL="0" distR="0" wp14:anchorId="5B98F88D" wp14:editId="168424D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3ACC3B" w14:textId="77777777" w:rsidR="002E0E96" w:rsidRPr="00EC7D62" w:rsidRDefault="00637DA0" w:rsidP="004A1F4C">
    <w:pPr>
      <w:pStyle w:val="Header"/>
      <w:tabs>
        <w:tab w:val="clear" w:pos="4320"/>
        <w:tab w:val="clear" w:pos="8640"/>
      </w:tabs>
      <w:jc w:val="center"/>
      <w:rPr>
        <w:sz w:val="22"/>
        <w:szCs w:val="22"/>
      </w:rPr>
    </w:pPr>
    <w:r>
      <w:rPr>
        <w:sz w:val="22"/>
        <w:szCs w:val="22"/>
      </w:rPr>
      <w:pict w14:anchorId="1181CDB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A4D54" w14:textId="77777777" w:rsidR="0002627E" w:rsidRDefault="000262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3AB"/>
    <w:multiLevelType w:val="hybridMultilevel"/>
    <w:tmpl w:val="AA249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1D2261"/>
    <w:multiLevelType w:val="hybridMultilevel"/>
    <w:tmpl w:val="0BE6CA60"/>
    <w:lvl w:ilvl="0" w:tplc="A9FEF18C">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2F73A51"/>
    <w:multiLevelType w:val="hybridMultilevel"/>
    <w:tmpl w:val="A8EAADFE"/>
    <w:lvl w:ilvl="0" w:tplc="7F4E5174">
      <w:start w:val="1"/>
      <w:numFmt w:val="decimal"/>
      <w:lvlText w:val="%1."/>
      <w:lvlJc w:val="left"/>
      <w:pPr>
        <w:tabs>
          <w:tab w:val="num" w:pos="720"/>
        </w:tabs>
        <w:ind w:left="0" w:firstLine="720"/>
      </w:pPr>
      <w:rPr>
        <w:rFonts w:hint="default"/>
        <w:b w:val="0"/>
        <w:i w:val="0"/>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4F2C62"/>
    <w:multiLevelType w:val="hybridMultilevel"/>
    <w:tmpl w:val="BA748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CF75AD"/>
    <w:multiLevelType w:val="hybridMultilevel"/>
    <w:tmpl w:val="0B480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6"/>
  </w:num>
  <w:num w:numId="5">
    <w:abstractNumId w:val="8"/>
  </w:num>
  <w:num w:numId="6">
    <w:abstractNumId w:val="0"/>
  </w:num>
  <w:num w:numId="7">
    <w:abstractNumId w:val="5"/>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40"/>
    <w:rsid w:val="0002627E"/>
    <w:rsid w:val="00042F86"/>
    <w:rsid w:val="00053ECF"/>
    <w:rsid w:val="000C602C"/>
    <w:rsid w:val="000F34ED"/>
    <w:rsid w:val="001034FB"/>
    <w:rsid w:val="00107F00"/>
    <w:rsid w:val="00113829"/>
    <w:rsid w:val="001156A3"/>
    <w:rsid w:val="0012145F"/>
    <w:rsid w:val="001D09A8"/>
    <w:rsid w:val="001E1E7A"/>
    <w:rsid w:val="001F3E29"/>
    <w:rsid w:val="00226C25"/>
    <w:rsid w:val="00296059"/>
    <w:rsid w:val="002C6615"/>
    <w:rsid w:val="002E0E96"/>
    <w:rsid w:val="002F6191"/>
    <w:rsid w:val="003300AD"/>
    <w:rsid w:val="003559FC"/>
    <w:rsid w:val="00376636"/>
    <w:rsid w:val="003A42CA"/>
    <w:rsid w:val="003B492A"/>
    <w:rsid w:val="003F2FC4"/>
    <w:rsid w:val="00446569"/>
    <w:rsid w:val="004909C8"/>
    <w:rsid w:val="004A1F4C"/>
    <w:rsid w:val="005627AD"/>
    <w:rsid w:val="00603C33"/>
    <w:rsid w:val="00630455"/>
    <w:rsid w:val="00636C4C"/>
    <w:rsid w:val="00637DA0"/>
    <w:rsid w:val="00666A2C"/>
    <w:rsid w:val="006742B8"/>
    <w:rsid w:val="006762F7"/>
    <w:rsid w:val="00691470"/>
    <w:rsid w:val="006A2E96"/>
    <w:rsid w:val="006A5F0F"/>
    <w:rsid w:val="006D5D33"/>
    <w:rsid w:val="007B6D25"/>
    <w:rsid w:val="007C2B6F"/>
    <w:rsid w:val="007F3CFD"/>
    <w:rsid w:val="00841E8E"/>
    <w:rsid w:val="00844AF5"/>
    <w:rsid w:val="008532C2"/>
    <w:rsid w:val="008A5730"/>
    <w:rsid w:val="008C16D5"/>
    <w:rsid w:val="008F4AE1"/>
    <w:rsid w:val="00912A6F"/>
    <w:rsid w:val="00927251"/>
    <w:rsid w:val="0093696B"/>
    <w:rsid w:val="009476AF"/>
    <w:rsid w:val="009A7340"/>
    <w:rsid w:val="009C1DF9"/>
    <w:rsid w:val="00A50618"/>
    <w:rsid w:val="00A62AF4"/>
    <w:rsid w:val="00A91940"/>
    <w:rsid w:val="00AB0BC0"/>
    <w:rsid w:val="00B33453"/>
    <w:rsid w:val="00BD1B82"/>
    <w:rsid w:val="00BF27EC"/>
    <w:rsid w:val="00C11E05"/>
    <w:rsid w:val="00C22368"/>
    <w:rsid w:val="00C80EC2"/>
    <w:rsid w:val="00CD5E51"/>
    <w:rsid w:val="00CE5A08"/>
    <w:rsid w:val="00D5777F"/>
    <w:rsid w:val="00E0583C"/>
    <w:rsid w:val="00E10040"/>
    <w:rsid w:val="00E51689"/>
    <w:rsid w:val="00E8261F"/>
    <w:rsid w:val="00EF0A24"/>
    <w:rsid w:val="00F2013F"/>
    <w:rsid w:val="00F77527"/>
    <w:rsid w:val="00F92B59"/>
    <w:rsid w:val="00F96924"/>
    <w:rsid w:val="00FA4FCE"/>
    <w:rsid w:val="00FB5FE6"/>
    <w:rsid w:val="00FC26C0"/>
    <w:rsid w:val="00FC2D98"/>
    <w:rsid w:val="00FC30C2"/>
    <w:rsid w:val="00FF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CD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E1004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E10040"/>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E1004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sid w:val="00E1004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uiPriority w:val="99"/>
    <w:rsid w:val="00E10040"/>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E1004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10040"/>
    <w:rPr>
      <w:rFonts w:ascii="Univers" w:eastAsia="Times New Roman" w:hAnsi="Univers" w:cs="Univers"/>
      <w:sz w:val="24"/>
      <w:szCs w:val="24"/>
    </w:rPr>
  </w:style>
  <w:style w:type="character" w:styleId="PageNumber">
    <w:name w:val="page number"/>
    <w:basedOn w:val="DefaultParagraphFont"/>
    <w:rsid w:val="00E1004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E10040"/>
    <w:rPr>
      <w:vertAlign w:val="superscript"/>
    </w:rPr>
  </w:style>
  <w:style w:type="table" w:styleId="TableGrid">
    <w:name w:val="Table Grid"/>
    <w:basedOn w:val="TableNormal"/>
    <w:uiPriority w:val="59"/>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7527"/>
    <w:rPr>
      <w:sz w:val="16"/>
      <w:szCs w:val="16"/>
    </w:rPr>
  </w:style>
  <w:style w:type="paragraph" w:styleId="CommentText">
    <w:name w:val="annotation text"/>
    <w:basedOn w:val="Normal"/>
    <w:link w:val="CommentTextChar"/>
    <w:uiPriority w:val="99"/>
    <w:semiHidden/>
    <w:unhideWhenUsed/>
    <w:rsid w:val="00F77527"/>
    <w:rPr>
      <w:sz w:val="20"/>
      <w:szCs w:val="20"/>
    </w:rPr>
  </w:style>
  <w:style w:type="character" w:customStyle="1" w:styleId="CommentTextChar">
    <w:name w:val="Comment Text Char"/>
    <w:basedOn w:val="DefaultParagraphFont"/>
    <w:link w:val="CommentText"/>
    <w:uiPriority w:val="99"/>
    <w:semiHidden/>
    <w:rsid w:val="00F77527"/>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F77527"/>
    <w:rPr>
      <w:b/>
      <w:bCs/>
    </w:rPr>
  </w:style>
  <w:style w:type="character" w:customStyle="1" w:styleId="CommentSubjectChar">
    <w:name w:val="Comment Subject Char"/>
    <w:basedOn w:val="CommentTextChar"/>
    <w:link w:val="CommentSubject"/>
    <w:uiPriority w:val="99"/>
    <w:semiHidden/>
    <w:rsid w:val="00F77527"/>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F775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527"/>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9519">
      <w:bodyDiv w:val="1"/>
      <w:marLeft w:val="0"/>
      <w:marRight w:val="0"/>
      <w:marTop w:val="0"/>
      <w:marBottom w:val="0"/>
      <w:divBdr>
        <w:top w:val="none" w:sz="0" w:space="0" w:color="auto"/>
        <w:left w:val="none" w:sz="0" w:space="0" w:color="auto"/>
        <w:bottom w:val="none" w:sz="0" w:space="0" w:color="auto"/>
        <w:right w:val="none" w:sz="0" w:space="0" w:color="auto"/>
      </w:divBdr>
    </w:div>
    <w:div w:id="1013150707">
      <w:bodyDiv w:val="1"/>
      <w:marLeft w:val="0"/>
      <w:marRight w:val="0"/>
      <w:marTop w:val="0"/>
      <w:marBottom w:val="0"/>
      <w:divBdr>
        <w:top w:val="none" w:sz="0" w:space="0" w:color="auto"/>
        <w:left w:val="none" w:sz="0" w:space="0" w:color="auto"/>
        <w:bottom w:val="none" w:sz="0" w:space="0" w:color="auto"/>
        <w:right w:val="none" w:sz="0" w:space="0" w:color="auto"/>
      </w:divBdr>
    </w:div>
    <w:div w:id="1397168513">
      <w:bodyDiv w:val="1"/>
      <w:marLeft w:val="0"/>
      <w:marRight w:val="0"/>
      <w:marTop w:val="0"/>
      <w:marBottom w:val="0"/>
      <w:divBdr>
        <w:top w:val="none" w:sz="0" w:space="0" w:color="auto"/>
        <w:left w:val="none" w:sz="0" w:space="0" w:color="auto"/>
        <w:bottom w:val="none" w:sz="0" w:space="0" w:color="auto"/>
        <w:right w:val="none" w:sz="0" w:space="0" w:color="auto"/>
      </w:divBdr>
    </w:div>
    <w:div w:id="1768698441">
      <w:bodyDiv w:val="1"/>
      <w:marLeft w:val="0"/>
      <w:marRight w:val="0"/>
      <w:marTop w:val="0"/>
      <w:marBottom w:val="0"/>
      <w:divBdr>
        <w:top w:val="none" w:sz="0" w:space="0" w:color="auto"/>
        <w:left w:val="none" w:sz="0" w:space="0" w:color="auto"/>
        <w:bottom w:val="none" w:sz="0" w:space="0" w:color="auto"/>
        <w:right w:val="none" w:sz="0" w:space="0" w:color="auto"/>
      </w:divBdr>
    </w:div>
    <w:div w:id="177343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0.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F7210B3D4E41239B988D6EEDA77230"/>
        <w:category>
          <w:name w:val="General"/>
          <w:gallery w:val="placeholder"/>
        </w:category>
        <w:types>
          <w:type w:val="bbPlcHdr"/>
        </w:types>
        <w:behaviors>
          <w:behavior w:val="content"/>
        </w:behaviors>
        <w:guid w:val="{2BFEE353-7818-4598-93EE-752C1E627A35}"/>
      </w:docPartPr>
      <w:docPartBody>
        <w:p w:rsidR="00924CFE" w:rsidRDefault="00BB0A2A" w:rsidP="00BB0A2A">
          <w:pPr>
            <w:pStyle w:val="B1F7210B3D4E41239B988D6EEDA7723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A2A"/>
    <w:rsid w:val="00043A39"/>
    <w:rsid w:val="00151A8B"/>
    <w:rsid w:val="00527F8E"/>
    <w:rsid w:val="005C020F"/>
    <w:rsid w:val="00821F5F"/>
    <w:rsid w:val="00917F8B"/>
    <w:rsid w:val="00924CFE"/>
    <w:rsid w:val="00A4441D"/>
    <w:rsid w:val="00BB0A2A"/>
    <w:rsid w:val="00F31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A2A"/>
    <w:rPr>
      <w:color w:val="808080"/>
    </w:rPr>
  </w:style>
  <w:style w:type="paragraph" w:customStyle="1" w:styleId="B1F7210B3D4E41239B988D6EEDA77230">
    <w:name w:val="B1F7210B3D4E41239B988D6EEDA77230"/>
    <w:rsid w:val="00BB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3536</Words>
  <Characters>18569</Characters>
  <Application>Microsoft Office Word</Application>
  <DocSecurity>0</DocSecurity>
  <Lines>337</Lines>
  <Paragraphs>89</Paragraphs>
  <ScaleCrop>false</ScaleCrop>
  <Company/>
  <LinksUpToDate>false</LinksUpToDate>
  <CharactersWithSpaces>22016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279/20</dc:title>
  <dc:subject/>
  <dc:creator/>
  <cp:keywords/>
  <dc:description/>
  <cp:lastModifiedBy/>
  <cp:revision>1</cp:revision>
  <dcterms:created xsi:type="dcterms:W3CDTF">2021-01-06T15:28:00Z</dcterms:created>
  <dcterms:modified xsi:type="dcterms:W3CDTF">2021-01-06T15:28:00Z</dcterms:modified>
</cp:coreProperties>
</file>