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496FE9" w:rsidRDefault="00D306D1" w:rsidP="00627C9F">
      <w:pPr>
        <w:jc w:val="both"/>
        <w:rPr>
          <w:rFonts w:asciiTheme="majorHAnsi" w:hAnsiTheme="majorHAnsi" w:cs="Univers"/>
          <w:b/>
          <w:bCs/>
          <w:sz w:val="22"/>
          <w:szCs w:val="22"/>
          <w:lang w:val="es-ES"/>
        </w:rPr>
      </w:pPr>
      <w:r w:rsidRPr="00496FE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FB4BFE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A12E8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96FE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B5680D" w:rsidRDefault="00B5680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B5680D" w:rsidRDefault="00B5680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496FE9"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496FE9"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496FE9" w:rsidRDefault="005128E4" w:rsidP="00040C3A">
      <w:pPr>
        <w:tabs>
          <w:tab w:val="center" w:pos="5400"/>
        </w:tabs>
        <w:suppressAutoHyphens/>
        <w:rPr>
          <w:rFonts w:asciiTheme="majorHAnsi" w:hAnsiTheme="majorHAnsi"/>
          <w:sz w:val="22"/>
          <w:szCs w:val="22"/>
          <w:lang w:val="es-ES"/>
        </w:rPr>
      </w:pPr>
    </w:p>
    <w:p w14:paraId="12A36B24" w14:textId="77777777" w:rsidR="005128E4" w:rsidRPr="00496FE9" w:rsidRDefault="005128E4" w:rsidP="00040C3A">
      <w:pPr>
        <w:tabs>
          <w:tab w:val="center" w:pos="5400"/>
        </w:tabs>
        <w:suppressAutoHyphens/>
        <w:rPr>
          <w:rFonts w:asciiTheme="majorHAnsi" w:hAnsiTheme="majorHAnsi"/>
          <w:sz w:val="22"/>
          <w:szCs w:val="22"/>
          <w:lang w:val="es-ES"/>
        </w:rPr>
      </w:pPr>
    </w:p>
    <w:p w14:paraId="2252093D" w14:textId="77777777" w:rsidR="005128E4" w:rsidRPr="00496FE9" w:rsidRDefault="005128E4" w:rsidP="00040C3A">
      <w:pPr>
        <w:tabs>
          <w:tab w:val="center" w:pos="5400"/>
        </w:tabs>
        <w:suppressAutoHyphens/>
        <w:rPr>
          <w:rFonts w:asciiTheme="majorHAnsi" w:hAnsiTheme="majorHAnsi"/>
          <w:sz w:val="22"/>
          <w:szCs w:val="22"/>
          <w:lang w:val="es-ES"/>
        </w:rPr>
      </w:pPr>
    </w:p>
    <w:p w14:paraId="403935BD" w14:textId="77777777" w:rsidR="00040C3A" w:rsidRPr="00496FE9"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496FE9"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496FE9"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496FE9"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496FE9"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496FE9" w:rsidRDefault="003D3BC2" w:rsidP="00040C3A">
      <w:pPr>
        <w:tabs>
          <w:tab w:val="center" w:pos="5400"/>
        </w:tabs>
        <w:suppressAutoHyphens/>
        <w:jc w:val="center"/>
        <w:rPr>
          <w:rFonts w:asciiTheme="majorHAnsi" w:hAnsiTheme="majorHAnsi"/>
          <w:sz w:val="22"/>
          <w:szCs w:val="22"/>
          <w:lang w:val="es-ES"/>
        </w:rPr>
      </w:pPr>
      <w:r w:rsidRPr="00496FE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F7C8FF0">
                <wp:simplePos x="0" y="0"/>
                <wp:positionH relativeFrom="margin">
                  <wp:align>right</wp:align>
                </wp:positionH>
                <wp:positionV relativeFrom="paragraph">
                  <wp:posOffset>107859</wp:posOffset>
                </wp:positionV>
                <wp:extent cx="4588329"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88329"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AAE556A" w:rsidR="00B5680D" w:rsidRPr="004E2649" w:rsidRDefault="00B5680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16DD1">
                              <w:rPr>
                                <w:rFonts w:asciiTheme="majorHAnsi" w:hAnsiTheme="majorHAnsi" w:cs="Arial"/>
                                <w:b/>
                                <w:bCs/>
                                <w:color w:val="0D0D0D" w:themeColor="text1" w:themeTint="F2"/>
                                <w:sz w:val="36"/>
                                <w:szCs w:val="22"/>
                                <w:lang w:val="es-ES_tradnl"/>
                              </w:rPr>
                              <w:t xml:space="preserve"> 345</w:t>
                            </w:r>
                            <w:r>
                              <w:rPr>
                                <w:rFonts w:asciiTheme="majorHAnsi" w:hAnsiTheme="majorHAnsi" w:cs="Arial"/>
                                <w:b/>
                                <w:bCs/>
                                <w:color w:val="0D0D0D" w:themeColor="text1" w:themeTint="F2"/>
                                <w:sz w:val="36"/>
                                <w:szCs w:val="22"/>
                                <w:lang w:val="es-ES_tradnl"/>
                              </w:rPr>
                              <w:t>/20</w:t>
                            </w:r>
                          </w:p>
                          <w:p w14:paraId="09C54AB3" w14:textId="6FEF539C" w:rsidR="00B5680D" w:rsidRDefault="00B5680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404-10</w:t>
                            </w:r>
                            <w:r w:rsidRPr="004E2649">
                              <w:rPr>
                                <w:rFonts w:asciiTheme="majorHAnsi" w:hAnsiTheme="majorHAnsi" w:cs="Arial"/>
                                <w:b/>
                                <w:color w:val="0D0D0D" w:themeColor="text1" w:themeTint="F2"/>
                                <w:sz w:val="36"/>
                                <w:szCs w:val="22"/>
                                <w:lang w:val="es-ES_tradnl"/>
                              </w:rPr>
                              <w:t xml:space="preserve"> </w:t>
                            </w:r>
                          </w:p>
                          <w:p w14:paraId="70CF6833" w14:textId="41A2DC09" w:rsidR="00B5680D" w:rsidRPr="0010736F" w:rsidRDefault="00B5680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5680D" w:rsidRPr="0010736F" w:rsidRDefault="00B5680D"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B9082C2" w:rsidR="00B5680D" w:rsidRPr="004E5467" w:rsidRDefault="00B5680D"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POBLADORES DE LAS VEREDAS DE LA ISLA, LA DIANA Y EL EDÉN (DEPARTAMENTO DEL CAUCA)</w:t>
                            </w:r>
                          </w:p>
                          <w:bookmarkEnd w:id="1"/>
                          <w:p w14:paraId="35068D0D" w14:textId="144CF9C9" w:rsidR="00B5680D" w:rsidRPr="0010736F" w:rsidRDefault="00B5680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B5680D" w:rsidRPr="00AE5488" w:rsidRDefault="00B5680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310.1pt;margin-top:8.5pt;width:361.3pt;height:171.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" filled="f" stroked="f" strokeweight=".5pt">
                <v:textbox>
                  <w:txbxContent>
                    <w:p w14:paraId="4D9FE29C" w14:textId="7AAE556A" w:rsidR="00B5680D" w:rsidRPr="004E2649" w:rsidRDefault="00B5680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16DD1">
                        <w:rPr>
                          <w:rFonts w:asciiTheme="majorHAnsi" w:hAnsiTheme="majorHAnsi" w:cs="Arial"/>
                          <w:b/>
                          <w:bCs/>
                          <w:color w:val="0D0D0D" w:themeColor="text1" w:themeTint="F2"/>
                          <w:sz w:val="36"/>
                          <w:szCs w:val="22"/>
                          <w:lang w:val="es-ES_tradnl"/>
                        </w:rPr>
                        <w:t xml:space="preserve"> 345</w:t>
                      </w:r>
                      <w:r>
                        <w:rPr>
                          <w:rFonts w:asciiTheme="majorHAnsi" w:hAnsiTheme="majorHAnsi" w:cs="Arial"/>
                          <w:b/>
                          <w:bCs/>
                          <w:color w:val="0D0D0D" w:themeColor="text1" w:themeTint="F2"/>
                          <w:sz w:val="36"/>
                          <w:szCs w:val="22"/>
                          <w:lang w:val="es-ES_tradnl"/>
                        </w:rPr>
                        <w:t>/20</w:t>
                      </w:r>
                    </w:p>
                    <w:p w14:paraId="09C54AB3" w14:textId="6FEF539C" w:rsidR="00B5680D" w:rsidRDefault="00B5680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404-10</w:t>
                      </w:r>
                      <w:r w:rsidRPr="004E2649">
                        <w:rPr>
                          <w:rFonts w:asciiTheme="majorHAnsi" w:hAnsiTheme="majorHAnsi" w:cs="Arial"/>
                          <w:b/>
                          <w:color w:val="0D0D0D" w:themeColor="text1" w:themeTint="F2"/>
                          <w:sz w:val="36"/>
                          <w:szCs w:val="22"/>
                          <w:lang w:val="es-ES_tradnl"/>
                        </w:rPr>
                        <w:t xml:space="preserve"> </w:t>
                      </w:r>
                    </w:p>
                    <w:p w14:paraId="70CF6833" w14:textId="41A2DC09" w:rsidR="00B5680D" w:rsidRPr="0010736F" w:rsidRDefault="00B5680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5680D" w:rsidRPr="0010736F" w:rsidRDefault="00B5680D"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B9082C2" w:rsidR="00B5680D" w:rsidRPr="004E5467" w:rsidRDefault="00B5680D"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POBLADORES DE LAS VEREDAS DE LA ISLA, LA DIANA Y EL EDÉN (DEPARTAMENTO DEL CAUCA)</w:t>
                      </w:r>
                    </w:p>
                    <w:bookmarkEnd w:id="1"/>
                    <w:p w14:paraId="35068D0D" w14:textId="144CF9C9" w:rsidR="00B5680D" w:rsidRPr="0010736F" w:rsidRDefault="00B5680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B5680D" w:rsidRPr="00AE5488" w:rsidRDefault="00B5680D" w:rsidP="007A5817">
                      <w:pPr>
                        <w:rPr>
                          <w:color w:val="0D0D0D" w:themeColor="text1" w:themeTint="F2"/>
                          <w:lang w:val="es-ES_tradnl"/>
                        </w:rPr>
                      </w:pPr>
                    </w:p>
                  </w:txbxContent>
                </v:textbox>
                <w10:wrap anchorx="margin"/>
              </v:shape>
            </w:pict>
          </mc:Fallback>
        </mc:AlternateContent>
      </w:r>
      <w:r w:rsidR="004E2649" w:rsidRPr="00496FE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12236F5" w:rsidR="00B5680D" w:rsidRPr="00EC141C" w:rsidRDefault="00616DD1" w:rsidP="007A5817">
                            <w:pPr>
                              <w:spacing w:line="276" w:lineRule="auto"/>
                              <w:jc w:val="right"/>
                              <w:rPr>
                                <w:rFonts w:asciiTheme="minorHAnsi" w:hAnsiTheme="minorHAnsi"/>
                                <w:color w:val="FFFFFF" w:themeColor="background1"/>
                                <w:sz w:val="22"/>
                                <w:lang w:val="pt-BR"/>
                              </w:rPr>
                            </w:pPr>
                            <w:r w:rsidRPr="00EC141C">
                              <w:rPr>
                                <w:rFonts w:asciiTheme="minorHAnsi" w:hAnsiTheme="minorHAnsi"/>
                                <w:color w:val="FFFFFF" w:themeColor="background1"/>
                                <w:sz w:val="22"/>
                                <w:lang w:val="pt-BR"/>
                              </w:rPr>
                              <w:t>OEA/Ser.L/V/II.</w:t>
                            </w:r>
                          </w:p>
                          <w:p w14:paraId="6A41611B" w14:textId="442CC8CD" w:rsidR="00B5680D" w:rsidRPr="00EC141C" w:rsidRDefault="00616DD1" w:rsidP="007A5817">
                            <w:pPr>
                              <w:spacing w:line="276" w:lineRule="auto"/>
                              <w:jc w:val="right"/>
                              <w:rPr>
                                <w:rFonts w:asciiTheme="minorHAnsi" w:hAnsiTheme="minorHAnsi"/>
                                <w:color w:val="FFFFFF" w:themeColor="background1"/>
                                <w:sz w:val="22"/>
                                <w:lang w:val="pt-BR"/>
                              </w:rPr>
                            </w:pPr>
                            <w:r w:rsidRPr="00EC141C">
                              <w:rPr>
                                <w:rFonts w:asciiTheme="minorHAnsi" w:hAnsiTheme="minorHAnsi"/>
                                <w:color w:val="FFFFFF" w:themeColor="background1"/>
                                <w:sz w:val="22"/>
                                <w:lang w:val="pt-BR"/>
                              </w:rPr>
                              <w:t>Doc. 363</w:t>
                            </w:r>
                          </w:p>
                          <w:p w14:paraId="69373ED2" w14:textId="4CD86965" w:rsidR="00B5680D" w:rsidRPr="001B4C00" w:rsidRDefault="00616DD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 2020</w:t>
                            </w:r>
                          </w:p>
                          <w:p w14:paraId="0771DB5B" w14:textId="77777777" w:rsidR="00B5680D" w:rsidRPr="001B4C00" w:rsidRDefault="00B5680D"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12236F5" w:rsidR="00B5680D" w:rsidRPr="00EC141C" w:rsidRDefault="00616DD1" w:rsidP="007A5817">
                      <w:pPr>
                        <w:spacing w:line="276" w:lineRule="auto"/>
                        <w:jc w:val="right"/>
                        <w:rPr>
                          <w:rFonts w:asciiTheme="minorHAnsi" w:hAnsiTheme="minorHAnsi"/>
                          <w:color w:val="FFFFFF" w:themeColor="background1"/>
                          <w:sz w:val="22"/>
                          <w:lang w:val="pt-BR"/>
                        </w:rPr>
                      </w:pPr>
                      <w:r w:rsidRPr="00EC141C">
                        <w:rPr>
                          <w:rFonts w:asciiTheme="minorHAnsi" w:hAnsiTheme="minorHAnsi"/>
                          <w:color w:val="FFFFFF" w:themeColor="background1"/>
                          <w:sz w:val="22"/>
                          <w:lang w:val="pt-BR"/>
                        </w:rPr>
                        <w:t>OEA/Ser.L/V/II.</w:t>
                      </w:r>
                    </w:p>
                    <w:p w14:paraId="6A41611B" w14:textId="442CC8CD" w:rsidR="00B5680D" w:rsidRPr="00EC141C" w:rsidRDefault="00616DD1" w:rsidP="007A5817">
                      <w:pPr>
                        <w:spacing w:line="276" w:lineRule="auto"/>
                        <w:jc w:val="right"/>
                        <w:rPr>
                          <w:rFonts w:asciiTheme="minorHAnsi" w:hAnsiTheme="minorHAnsi"/>
                          <w:color w:val="FFFFFF" w:themeColor="background1"/>
                          <w:sz w:val="22"/>
                          <w:lang w:val="pt-BR"/>
                        </w:rPr>
                      </w:pPr>
                      <w:r w:rsidRPr="00EC141C">
                        <w:rPr>
                          <w:rFonts w:asciiTheme="minorHAnsi" w:hAnsiTheme="minorHAnsi"/>
                          <w:color w:val="FFFFFF" w:themeColor="background1"/>
                          <w:sz w:val="22"/>
                          <w:lang w:val="pt-BR"/>
                        </w:rPr>
                        <w:t>Doc. 363</w:t>
                      </w:r>
                    </w:p>
                    <w:p w14:paraId="69373ED2" w14:textId="4CD86965" w:rsidR="00B5680D" w:rsidRPr="001B4C00" w:rsidRDefault="00616DD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 2020</w:t>
                      </w:r>
                    </w:p>
                    <w:p w14:paraId="0771DB5B" w14:textId="77777777" w:rsidR="00B5680D" w:rsidRPr="001B4C00" w:rsidRDefault="00B5680D"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496FE9"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496FE9"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496FE9"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496FE9"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496FE9"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496FE9"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496FE9" w:rsidRDefault="0090270B" w:rsidP="00040C3A">
      <w:pPr>
        <w:tabs>
          <w:tab w:val="center" w:pos="5400"/>
        </w:tabs>
        <w:suppressAutoHyphens/>
        <w:jc w:val="center"/>
        <w:rPr>
          <w:rFonts w:asciiTheme="majorHAnsi" w:hAnsiTheme="majorHAnsi"/>
          <w:sz w:val="18"/>
          <w:szCs w:val="22"/>
          <w:lang w:val="es-ES"/>
        </w:rPr>
      </w:pPr>
      <w:r w:rsidRPr="00496FE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EE83514" w:rsidR="00B5680D" w:rsidRPr="00890650" w:rsidRDefault="00B5680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16DD1">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616DD1">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2020</w:t>
                            </w:r>
                            <w:r w:rsidR="007A1A9A">
                              <w:rPr>
                                <w:rFonts w:asciiTheme="majorHAnsi" w:hAnsiTheme="majorHAnsi"/>
                                <w:color w:val="0D0D0D" w:themeColor="text1" w:themeTint="F2"/>
                                <w:sz w:val="18"/>
                                <w:szCs w:val="22"/>
                                <w:lang w:val="es-ES"/>
                              </w:rPr>
                              <w:t>.</w:t>
                            </w:r>
                          </w:p>
                          <w:p w14:paraId="4BDF3581" w14:textId="77777777" w:rsidR="00B5680D" w:rsidRPr="007A5817" w:rsidRDefault="00B5680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5680D" w:rsidRPr="00167A34" w:rsidRDefault="00B5680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EE83514" w:rsidR="00B5680D" w:rsidRPr="00890650" w:rsidRDefault="00B5680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16DD1">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616DD1">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2020</w:t>
                      </w:r>
                      <w:r w:rsidR="007A1A9A">
                        <w:rPr>
                          <w:rFonts w:asciiTheme="majorHAnsi" w:hAnsiTheme="majorHAnsi"/>
                          <w:color w:val="0D0D0D" w:themeColor="text1" w:themeTint="F2"/>
                          <w:sz w:val="18"/>
                          <w:szCs w:val="22"/>
                          <w:lang w:val="es-ES"/>
                        </w:rPr>
                        <w:t>.</w:t>
                      </w:r>
                    </w:p>
                    <w:p w14:paraId="4BDF3581" w14:textId="77777777" w:rsidR="00B5680D" w:rsidRPr="007A5817" w:rsidRDefault="00B5680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5680D" w:rsidRPr="00167A34" w:rsidRDefault="00B5680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496FE9" w:rsidRDefault="0090270B" w:rsidP="00040C3A">
      <w:pPr>
        <w:tabs>
          <w:tab w:val="center" w:pos="5400"/>
        </w:tabs>
        <w:suppressAutoHyphens/>
        <w:jc w:val="center"/>
        <w:rPr>
          <w:rFonts w:asciiTheme="majorHAnsi" w:hAnsiTheme="majorHAnsi"/>
          <w:sz w:val="18"/>
          <w:szCs w:val="22"/>
          <w:lang w:val="es-ES"/>
        </w:rPr>
      </w:pPr>
      <w:r w:rsidRPr="00496FE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9C100E8" w:rsidR="00B5680D" w:rsidRPr="007B05C4" w:rsidRDefault="00B5680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16DD1">
                              <w:rPr>
                                <w:rFonts w:asciiTheme="majorHAnsi" w:hAnsiTheme="majorHAnsi"/>
                                <w:color w:val="595959" w:themeColor="text1" w:themeTint="A6"/>
                                <w:sz w:val="18"/>
                                <w:szCs w:val="18"/>
                                <w:lang w:val="pt-BR"/>
                              </w:rPr>
                              <w:t>345</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w:t>
                            </w:r>
                            <w:r w:rsidR="00616DD1">
                              <w:rPr>
                                <w:rFonts w:asciiTheme="majorHAnsi" w:hAnsiTheme="majorHAnsi"/>
                                <w:color w:val="595959" w:themeColor="text1" w:themeTint="A6"/>
                                <w:sz w:val="18"/>
                                <w:szCs w:val="18"/>
                                <w:lang w:val="es-ES_tradnl"/>
                              </w:rPr>
                              <w:t xml:space="preserve"> P</w:t>
                            </w:r>
                            <w:r w:rsidR="007A1A9A">
                              <w:rPr>
                                <w:rFonts w:asciiTheme="majorHAnsi" w:hAnsiTheme="majorHAnsi"/>
                                <w:color w:val="595959" w:themeColor="text1" w:themeTint="A6"/>
                                <w:sz w:val="18"/>
                                <w:szCs w:val="18"/>
                                <w:lang w:val="es-ES_tradnl"/>
                              </w:rPr>
                              <w:t xml:space="preserve">etición </w:t>
                            </w:r>
                            <w:r w:rsidR="00616DD1">
                              <w:rPr>
                                <w:rFonts w:asciiTheme="majorHAnsi" w:hAnsiTheme="majorHAnsi"/>
                                <w:color w:val="595959" w:themeColor="text1" w:themeTint="A6"/>
                                <w:sz w:val="18"/>
                                <w:szCs w:val="18"/>
                                <w:lang w:val="es-ES_tradnl"/>
                              </w:rPr>
                              <w:t>404-10.</w:t>
                            </w:r>
                            <w:r>
                              <w:rPr>
                                <w:rFonts w:asciiTheme="majorHAnsi" w:hAnsiTheme="majorHAnsi"/>
                                <w:color w:val="595959" w:themeColor="text1" w:themeTint="A6"/>
                                <w:sz w:val="18"/>
                                <w:szCs w:val="18"/>
                                <w:lang w:val="es-ES_tradnl"/>
                              </w:rPr>
                              <w:t xml:space="preserve"> </w:t>
                            </w:r>
                            <w:r w:rsidR="007A1A9A" w:rsidRPr="007E411C">
                              <w:rPr>
                                <w:rFonts w:asciiTheme="majorHAnsi" w:hAnsiTheme="majorHAnsi"/>
                                <w:color w:val="595959" w:themeColor="text1" w:themeTint="A6"/>
                                <w:sz w:val="18"/>
                                <w:szCs w:val="18"/>
                                <w:lang w:val="es-US"/>
                              </w:rPr>
                              <w:t>A</w:t>
                            </w:r>
                            <w:proofErr w:type="spellStart"/>
                            <w:r w:rsidR="007A1A9A">
                              <w:rPr>
                                <w:rFonts w:asciiTheme="majorHAnsi" w:hAnsiTheme="majorHAnsi"/>
                                <w:color w:val="595959" w:themeColor="text1" w:themeTint="A6"/>
                                <w:sz w:val="18"/>
                                <w:szCs w:val="18"/>
                                <w:lang w:val="es-ES_tradnl"/>
                              </w:rPr>
                              <w:t>dmisibilidad</w:t>
                            </w:r>
                            <w:proofErr w:type="spellEnd"/>
                            <w:r w:rsidR="007A1A9A">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Pobladores de las Veredas de la Isla, la Diana y el Edén (Departamento del Cauca). Colombia</w:t>
                            </w:r>
                            <w:r w:rsidRPr="00890650">
                              <w:rPr>
                                <w:rFonts w:asciiTheme="majorHAnsi" w:hAnsiTheme="majorHAnsi"/>
                                <w:color w:val="595959" w:themeColor="text1" w:themeTint="A6"/>
                                <w:sz w:val="18"/>
                                <w:szCs w:val="18"/>
                                <w:lang w:val="es-ES_tradnl"/>
                              </w:rPr>
                              <w:t xml:space="preserve">. </w:t>
                            </w:r>
                            <w:r w:rsidR="00616DD1">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9C100E8" w:rsidR="00B5680D" w:rsidRPr="007B05C4" w:rsidRDefault="00B5680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16DD1">
                        <w:rPr>
                          <w:rFonts w:asciiTheme="majorHAnsi" w:hAnsiTheme="majorHAnsi"/>
                          <w:color w:val="595959" w:themeColor="text1" w:themeTint="A6"/>
                          <w:sz w:val="18"/>
                          <w:szCs w:val="18"/>
                          <w:lang w:val="pt-BR"/>
                        </w:rPr>
                        <w:t>345</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w:t>
                      </w:r>
                      <w:r w:rsidR="00616DD1">
                        <w:rPr>
                          <w:rFonts w:asciiTheme="majorHAnsi" w:hAnsiTheme="majorHAnsi"/>
                          <w:color w:val="595959" w:themeColor="text1" w:themeTint="A6"/>
                          <w:sz w:val="18"/>
                          <w:szCs w:val="18"/>
                          <w:lang w:val="es-ES_tradnl"/>
                        </w:rPr>
                        <w:t xml:space="preserve"> P</w:t>
                      </w:r>
                      <w:r w:rsidR="007A1A9A">
                        <w:rPr>
                          <w:rFonts w:asciiTheme="majorHAnsi" w:hAnsiTheme="majorHAnsi"/>
                          <w:color w:val="595959" w:themeColor="text1" w:themeTint="A6"/>
                          <w:sz w:val="18"/>
                          <w:szCs w:val="18"/>
                          <w:lang w:val="es-ES_tradnl"/>
                        </w:rPr>
                        <w:t xml:space="preserve">etición </w:t>
                      </w:r>
                      <w:r w:rsidR="00616DD1">
                        <w:rPr>
                          <w:rFonts w:asciiTheme="majorHAnsi" w:hAnsiTheme="majorHAnsi"/>
                          <w:color w:val="595959" w:themeColor="text1" w:themeTint="A6"/>
                          <w:sz w:val="18"/>
                          <w:szCs w:val="18"/>
                          <w:lang w:val="es-ES_tradnl"/>
                        </w:rPr>
                        <w:t>404-10.</w:t>
                      </w:r>
                      <w:r>
                        <w:rPr>
                          <w:rFonts w:asciiTheme="majorHAnsi" w:hAnsiTheme="majorHAnsi"/>
                          <w:color w:val="595959" w:themeColor="text1" w:themeTint="A6"/>
                          <w:sz w:val="18"/>
                          <w:szCs w:val="18"/>
                          <w:lang w:val="es-ES_tradnl"/>
                        </w:rPr>
                        <w:t xml:space="preserve"> </w:t>
                      </w:r>
                      <w:r w:rsidR="007A1A9A" w:rsidRPr="007E411C">
                        <w:rPr>
                          <w:rFonts w:asciiTheme="majorHAnsi" w:hAnsiTheme="majorHAnsi"/>
                          <w:color w:val="595959" w:themeColor="text1" w:themeTint="A6"/>
                          <w:sz w:val="18"/>
                          <w:szCs w:val="18"/>
                          <w:lang w:val="es-US"/>
                        </w:rPr>
                        <w:t>A</w:t>
                      </w:r>
                      <w:proofErr w:type="spellStart"/>
                      <w:r w:rsidR="007A1A9A">
                        <w:rPr>
                          <w:rFonts w:asciiTheme="majorHAnsi" w:hAnsiTheme="majorHAnsi"/>
                          <w:color w:val="595959" w:themeColor="text1" w:themeTint="A6"/>
                          <w:sz w:val="18"/>
                          <w:szCs w:val="18"/>
                          <w:lang w:val="es-ES_tradnl"/>
                        </w:rPr>
                        <w:t>dmisibilidad</w:t>
                      </w:r>
                      <w:proofErr w:type="spellEnd"/>
                      <w:r w:rsidR="007A1A9A">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Pobladores de las Veredas de la Isla, la Diana y el Edén (Departamento del Cauca). Colombia</w:t>
                      </w:r>
                      <w:r w:rsidRPr="00890650">
                        <w:rPr>
                          <w:rFonts w:asciiTheme="majorHAnsi" w:hAnsiTheme="majorHAnsi"/>
                          <w:color w:val="595959" w:themeColor="text1" w:themeTint="A6"/>
                          <w:sz w:val="18"/>
                          <w:szCs w:val="18"/>
                          <w:lang w:val="es-ES_tradnl"/>
                        </w:rPr>
                        <w:t xml:space="preserve">. </w:t>
                      </w:r>
                      <w:r w:rsidR="00616DD1">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496FE9"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496FE9" w:rsidRDefault="00D306D1" w:rsidP="005516A1">
      <w:pPr>
        <w:tabs>
          <w:tab w:val="center" w:pos="5400"/>
        </w:tabs>
        <w:suppressAutoHyphens/>
        <w:jc w:val="center"/>
        <w:rPr>
          <w:rFonts w:asciiTheme="majorHAnsi" w:hAnsiTheme="majorHAnsi"/>
          <w:b/>
          <w:sz w:val="20"/>
          <w:lang w:val="es-ES"/>
        </w:rPr>
      </w:pPr>
      <w:r w:rsidRPr="00496FE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B5680D" w:rsidRPr="00D72DC6" w:rsidRDefault="00B5680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301BC18">
                                  <wp:extent cx="1756103" cy="451757"/>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69775" cy="4552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B5680D" w:rsidRPr="00D72DC6" w:rsidRDefault="00B5680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301BC18">
                            <wp:extent cx="1756103" cy="451757"/>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69775" cy="455274"/>
                                    </a:xfrm>
                                    <a:prstGeom prst="rect">
                                      <a:avLst/>
                                    </a:prstGeom>
                                    <a:noFill/>
                                    <a:ln>
                                      <a:noFill/>
                                    </a:ln>
                                  </pic:spPr>
                                </pic:pic>
                              </a:graphicData>
                            </a:graphic>
                          </wp:inline>
                        </w:drawing>
                      </w:r>
                    </w:p>
                  </w:txbxContent>
                </v:textbox>
              </v:shape>
            </w:pict>
          </mc:Fallback>
        </mc:AlternateContent>
      </w:r>
      <w:r w:rsidRPr="00496FE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B5680D" w:rsidRPr="004B7EB6" w:rsidRDefault="00B5680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B5680D" w:rsidRPr="004B7EB6" w:rsidRDefault="00B5680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496FE9" w:rsidRDefault="004A6A54" w:rsidP="005516A1">
      <w:pPr>
        <w:tabs>
          <w:tab w:val="center" w:pos="5400"/>
        </w:tabs>
        <w:suppressAutoHyphens/>
        <w:jc w:val="center"/>
        <w:rPr>
          <w:rFonts w:asciiTheme="majorHAnsi" w:hAnsiTheme="majorHAnsi"/>
          <w:b/>
          <w:sz w:val="20"/>
          <w:lang w:val="es-ES"/>
        </w:rPr>
        <w:sectPr w:rsidR="0070697F" w:rsidRPr="00496FE9"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496FE9">
        <w:rPr>
          <w:rFonts w:asciiTheme="majorHAnsi" w:hAnsiTheme="majorHAnsi"/>
          <w:b/>
          <w:sz w:val="20"/>
          <w:lang w:val="es-ES"/>
        </w:rPr>
        <w:tab/>
      </w:r>
    </w:p>
    <w:p w14:paraId="376DDC8B" w14:textId="77777777" w:rsidR="003239B8" w:rsidRPr="00496FE9" w:rsidRDefault="003239B8" w:rsidP="007C402A">
      <w:pPr>
        <w:spacing w:after="120"/>
        <w:ind w:firstLine="720"/>
        <w:jc w:val="both"/>
        <w:rPr>
          <w:rFonts w:asciiTheme="majorHAnsi" w:hAnsiTheme="majorHAnsi"/>
          <w:b/>
          <w:bCs/>
          <w:sz w:val="20"/>
          <w:szCs w:val="20"/>
          <w:lang w:val="es-ES"/>
        </w:rPr>
      </w:pPr>
      <w:r w:rsidRPr="00496FE9">
        <w:rPr>
          <w:rFonts w:asciiTheme="majorHAnsi" w:hAnsiTheme="majorHAnsi"/>
          <w:b/>
          <w:bCs/>
          <w:sz w:val="20"/>
          <w:szCs w:val="20"/>
          <w:lang w:val="es-ES"/>
        </w:rPr>
        <w:lastRenderedPageBreak/>
        <w:t>I.</w:t>
      </w:r>
      <w:r w:rsidRPr="00496FE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96FE9" w:rsidRPr="007A1A9A" w14:paraId="5A79D1F7" w14:textId="77777777" w:rsidTr="000B7DFB">
        <w:tc>
          <w:tcPr>
            <w:tcW w:w="2790" w:type="dxa"/>
            <w:tcBorders>
              <w:top w:val="single" w:sz="4" w:space="0" w:color="auto"/>
              <w:bottom w:val="single" w:sz="6" w:space="0" w:color="auto"/>
            </w:tcBorders>
            <w:shd w:val="clear" w:color="auto" w:fill="4A7194"/>
            <w:vAlign w:val="center"/>
          </w:tcPr>
          <w:p w14:paraId="0CB2A43B" w14:textId="6FB89BFC" w:rsidR="003239B8" w:rsidRPr="00EC141C" w:rsidRDefault="00D77503" w:rsidP="00D43661">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Parte peticionaria</w:t>
            </w:r>
          </w:p>
        </w:tc>
        <w:tc>
          <w:tcPr>
            <w:tcW w:w="6570" w:type="dxa"/>
            <w:vAlign w:val="center"/>
          </w:tcPr>
          <w:p w14:paraId="3C5315D8" w14:textId="16D5B78D" w:rsidR="003239B8" w:rsidRPr="00496FE9" w:rsidRDefault="00DC0D76" w:rsidP="00D43661">
            <w:pPr>
              <w:jc w:val="both"/>
              <w:rPr>
                <w:rFonts w:ascii="Cambria" w:hAnsi="Cambria"/>
                <w:bCs/>
                <w:sz w:val="19"/>
                <w:szCs w:val="19"/>
                <w:lang w:val="es-ES"/>
              </w:rPr>
            </w:pPr>
            <w:r w:rsidRPr="00496FE9">
              <w:rPr>
                <w:rFonts w:ascii="Cambria" w:hAnsi="Cambria"/>
                <w:bCs/>
                <w:sz w:val="19"/>
                <w:szCs w:val="19"/>
                <w:lang w:val="es-ES"/>
              </w:rPr>
              <w:t>Carlos Julián Bermeo Casas</w:t>
            </w:r>
            <w:r w:rsidR="001F11C7" w:rsidRPr="00496FE9">
              <w:rPr>
                <w:rFonts w:ascii="Cambria" w:hAnsi="Cambria"/>
                <w:bCs/>
                <w:sz w:val="19"/>
                <w:szCs w:val="19"/>
                <w:lang w:val="es-ES"/>
              </w:rPr>
              <w:t xml:space="preserve"> y Estafany Becoche Pechene</w:t>
            </w:r>
            <w:r w:rsidR="001F11C7" w:rsidRPr="00496FE9">
              <w:rPr>
                <w:rStyle w:val="FootnoteReference"/>
                <w:rFonts w:ascii="Cambria" w:hAnsi="Cambria"/>
                <w:bCs/>
                <w:sz w:val="19"/>
                <w:szCs w:val="19"/>
                <w:lang w:val="es-ES"/>
              </w:rPr>
              <w:footnoteReference w:id="2"/>
            </w:r>
          </w:p>
        </w:tc>
      </w:tr>
      <w:tr w:rsidR="00496FE9" w:rsidRPr="007A1A9A" w14:paraId="593A7E45" w14:textId="77777777" w:rsidTr="000B7DFB">
        <w:tc>
          <w:tcPr>
            <w:tcW w:w="2790" w:type="dxa"/>
            <w:tcBorders>
              <w:top w:val="single" w:sz="6" w:space="0" w:color="auto"/>
              <w:bottom w:val="single" w:sz="6" w:space="0" w:color="auto"/>
            </w:tcBorders>
            <w:shd w:val="clear" w:color="auto" w:fill="4A7194"/>
            <w:vAlign w:val="center"/>
          </w:tcPr>
          <w:p w14:paraId="0E78CA0C" w14:textId="6191E4A1" w:rsidR="003239B8" w:rsidRPr="00EC141C" w:rsidRDefault="002355A9" w:rsidP="00D43661">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Presunta víctima</w:t>
            </w:r>
          </w:p>
        </w:tc>
        <w:tc>
          <w:tcPr>
            <w:tcW w:w="6570" w:type="dxa"/>
            <w:vAlign w:val="center"/>
          </w:tcPr>
          <w:p w14:paraId="4AEBF59E" w14:textId="7A29263D" w:rsidR="003239B8" w:rsidRPr="00496FE9" w:rsidRDefault="00DC0D76" w:rsidP="00226222">
            <w:pPr>
              <w:jc w:val="both"/>
              <w:rPr>
                <w:rFonts w:ascii="Cambria" w:hAnsi="Cambria"/>
                <w:bCs/>
                <w:sz w:val="19"/>
                <w:szCs w:val="19"/>
                <w:lang w:val="es-PA"/>
              </w:rPr>
            </w:pPr>
            <w:r w:rsidRPr="00496FE9">
              <w:rPr>
                <w:rFonts w:ascii="Cambria" w:hAnsi="Cambria"/>
                <w:bCs/>
                <w:sz w:val="19"/>
                <w:szCs w:val="19"/>
                <w:lang w:val="es-ES"/>
              </w:rPr>
              <w:t>Pobladores de las Veredas de la Isla, la Dia</w:t>
            </w:r>
            <w:r w:rsidR="00616DD1">
              <w:rPr>
                <w:rFonts w:ascii="Cambria" w:hAnsi="Cambria"/>
                <w:bCs/>
                <w:sz w:val="19"/>
                <w:szCs w:val="19"/>
                <w:lang w:val="es-ES"/>
              </w:rPr>
              <w:t>na y el Edén (Departamento del C</w:t>
            </w:r>
            <w:r w:rsidRPr="00496FE9">
              <w:rPr>
                <w:rFonts w:ascii="Cambria" w:hAnsi="Cambria"/>
                <w:bCs/>
                <w:sz w:val="19"/>
                <w:szCs w:val="19"/>
                <w:lang w:val="es-ES"/>
              </w:rPr>
              <w:t>auca)</w:t>
            </w:r>
            <w:r w:rsidRPr="00496FE9">
              <w:rPr>
                <w:rStyle w:val="FootnoteReference"/>
                <w:rFonts w:ascii="Cambria" w:hAnsi="Cambria"/>
                <w:bCs/>
                <w:sz w:val="19"/>
                <w:szCs w:val="19"/>
                <w:lang w:val="es-ES"/>
              </w:rPr>
              <w:footnoteReference w:id="3"/>
            </w:r>
          </w:p>
        </w:tc>
      </w:tr>
      <w:tr w:rsidR="00496FE9" w:rsidRPr="00496FE9" w14:paraId="3E62E1D3" w14:textId="77777777" w:rsidTr="000B7DFB">
        <w:tc>
          <w:tcPr>
            <w:tcW w:w="2790" w:type="dxa"/>
            <w:tcBorders>
              <w:top w:val="single" w:sz="6" w:space="0" w:color="auto"/>
              <w:bottom w:val="single" w:sz="6" w:space="0" w:color="auto"/>
            </w:tcBorders>
            <w:shd w:val="clear" w:color="auto" w:fill="4A7194"/>
            <w:vAlign w:val="center"/>
          </w:tcPr>
          <w:p w14:paraId="340B0F09" w14:textId="16C11299" w:rsidR="003239B8" w:rsidRPr="00EC141C" w:rsidRDefault="00D77503" w:rsidP="00D43661">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Estado denunciado</w:t>
            </w:r>
          </w:p>
        </w:tc>
        <w:tc>
          <w:tcPr>
            <w:tcW w:w="6570" w:type="dxa"/>
            <w:vAlign w:val="center"/>
          </w:tcPr>
          <w:p w14:paraId="274C8A50" w14:textId="71844B0E" w:rsidR="003239B8" w:rsidRPr="00496FE9" w:rsidRDefault="00F11FBB" w:rsidP="00425533">
            <w:pPr>
              <w:jc w:val="both"/>
              <w:rPr>
                <w:rFonts w:ascii="Cambria" w:hAnsi="Cambria"/>
                <w:bCs/>
                <w:sz w:val="19"/>
                <w:szCs w:val="19"/>
                <w:lang w:val="es-ES"/>
              </w:rPr>
            </w:pPr>
            <w:r w:rsidRPr="00496FE9">
              <w:rPr>
                <w:rFonts w:ascii="Cambria" w:hAnsi="Cambria"/>
                <w:bCs/>
                <w:sz w:val="19"/>
                <w:szCs w:val="19"/>
                <w:lang w:val="es-ES"/>
              </w:rPr>
              <w:t>Colombia</w:t>
            </w:r>
          </w:p>
        </w:tc>
      </w:tr>
      <w:tr w:rsidR="00496FE9" w:rsidRPr="007A1A9A" w14:paraId="632511BC" w14:textId="77777777" w:rsidTr="000B7DFB">
        <w:tc>
          <w:tcPr>
            <w:tcW w:w="2790" w:type="dxa"/>
            <w:tcBorders>
              <w:top w:val="single" w:sz="6" w:space="0" w:color="auto"/>
              <w:bottom w:val="single" w:sz="6" w:space="0" w:color="auto"/>
            </w:tcBorders>
            <w:shd w:val="clear" w:color="auto" w:fill="4A7194"/>
            <w:vAlign w:val="center"/>
          </w:tcPr>
          <w:p w14:paraId="727E2F6B" w14:textId="1D86EADA" w:rsidR="00223A29" w:rsidRPr="00EC141C" w:rsidRDefault="001B3A00" w:rsidP="00E4118C">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 xml:space="preserve">Derechos </w:t>
            </w:r>
            <w:r w:rsidR="00E4118C" w:rsidRPr="00EC141C">
              <w:rPr>
                <w:rFonts w:ascii="Cambria" w:hAnsi="Cambria"/>
                <w:b/>
                <w:bCs/>
                <w:color w:val="FFFFFF" w:themeColor="background1"/>
                <w:sz w:val="19"/>
                <w:szCs w:val="19"/>
                <w:lang w:val="es-ES"/>
              </w:rPr>
              <w:t>invocados</w:t>
            </w:r>
          </w:p>
        </w:tc>
        <w:tc>
          <w:tcPr>
            <w:tcW w:w="6570" w:type="dxa"/>
            <w:vAlign w:val="center"/>
          </w:tcPr>
          <w:p w14:paraId="6DEE1EEB" w14:textId="0DA6E186" w:rsidR="00223A29" w:rsidRPr="00496FE9" w:rsidRDefault="007B3BF9" w:rsidP="005D4EBD">
            <w:pPr>
              <w:jc w:val="both"/>
              <w:rPr>
                <w:rFonts w:ascii="Cambria" w:hAnsi="Cambria"/>
                <w:bCs/>
                <w:sz w:val="19"/>
                <w:szCs w:val="19"/>
                <w:lang w:val="es-ES"/>
              </w:rPr>
            </w:pPr>
            <w:r w:rsidRPr="00496FE9">
              <w:rPr>
                <w:rFonts w:ascii="Cambria" w:hAnsi="Cambria"/>
                <w:bCs/>
                <w:sz w:val="19"/>
                <w:szCs w:val="19"/>
                <w:lang w:val="es-ES"/>
              </w:rPr>
              <w:t>Artículos 4 (vida),</w:t>
            </w:r>
            <w:r w:rsidR="00DC0D76" w:rsidRPr="00496FE9">
              <w:rPr>
                <w:rFonts w:ascii="Cambria" w:hAnsi="Cambria"/>
                <w:bCs/>
                <w:sz w:val="19"/>
                <w:szCs w:val="19"/>
                <w:lang w:val="es-ES"/>
              </w:rPr>
              <w:t xml:space="preserve"> 5 (integridad personal), 6 (prohibición de esclavitud y servidumbre), 7 (libertad personal), 8 (garantías judiciales), 9 (principio de legalidad y de retroactividad), 10 (indemnización)</w:t>
            </w:r>
            <w:r w:rsidR="00D46A92" w:rsidRPr="00496FE9">
              <w:rPr>
                <w:rFonts w:ascii="Cambria" w:hAnsi="Cambria"/>
                <w:bCs/>
                <w:sz w:val="19"/>
                <w:szCs w:val="19"/>
                <w:lang w:val="es-ES"/>
              </w:rPr>
              <w:t xml:space="preserve">, 11 (honra y dignidad), </w:t>
            </w:r>
            <w:r w:rsidRPr="00496FE9">
              <w:rPr>
                <w:rFonts w:ascii="Cambria" w:hAnsi="Cambria"/>
                <w:bCs/>
                <w:sz w:val="19"/>
                <w:szCs w:val="19"/>
                <w:lang w:val="es-ES"/>
              </w:rPr>
              <w:t xml:space="preserve"> 17 (protección a la familia)</w:t>
            </w:r>
            <w:r w:rsidR="00D46A92" w:rsidRPr="00496FE9">
              <w:rPr>
                <w:rFonts w:ascii="Cambria" w:hAnsi="Cambria"/>
                <w:bCs/>
                <w:sz w:val="19"/>
                <w:szCs w:val="19"/>
                <w:lang w:val="es-ES"/>
              </w:rPr>
              <w:t>, 19 (derechos del niño)</w:t>
            </w:r>
            <w:r w:rsidR="00D21C09" w:rsidRPr="00496FE9">
              <w:rPr>
                <w:rFonts w:ascii="Cambria" w:hAnsi="Cambria"/>
                <w:bCs/>
                <w:sz w:val="19"/>
                <w:szCs w:val="19"/>
                <w:lang w:val="es-ES"/>
              </w:rPr>
              <w:t xml:space="preserve">, </w:t>
            </w:r>
            <w:r w:rsidRPr="00496FE9">
              <w:rPr>
                <w:rFonts w:ascii="Cambria" w:hAnsi="Cambria"/>
                <w:bCs/>
                <w:sz w:val="19"/>
                <w:szCs w:val="19"/>
                <w:lang w:val="es-ES"/>
              </w:rPr>
              <w:t>21 (propiedad privada)</w:t>
            </w:r>
            <w:r w:rsidR="00DC0D76" w:rsidRPr="00496FE9">
              <w:rPr>
                <w:rFonts w:ascii="Cambria" w:hAnsi="Cambria"/>
                <w:bCs/>
                <w:sz w:val="19"/>
                <w:szCs w:val="19"/>
                <w:lang w:val="es-ES"/>
              </w:rPr>
              <w:t>, 22 (circulación y residencia),</w:t>
            </w:r>
            <w:r w:rsidR="00D46A92" w:rsidRPr="00496FE9">
              <w:rPr>
                <w:rFonts w:ascii="Cambria" w:hAnsi="Cambria"/>
                <w:bCs/>
                <w:sz w:val="19"/>
                <w:szCs w:val="19"/>
                <w:lang w:val="es-ES"/>
              </w:rPr>
              <w:t xml:space="preserve"> 24 (igualdad ante la ley) y 25 (protección judicial) </w:t>
            </w:r>
            <w:r w:rsidR="00DC0D76" w:rsidRPr="00496FE9">
              <w:rPr>
                <w:rFonts w:ascii="Cambria" w:hAnsi="Cambria"/>
                <w:bCs/>
                <w:sz w:val="19"/>
                <w:szCs w:val="19"/>
                <w:lang w:val="es-ES"/>
              </w:rPr>
              <w:t xml:space="preserve"> </w:t>
            </w:r>
            <w:r w:rsidRPr="00496FE9">
              <w:rPr>
                <w:rFonts w:ascii="Cambria" w:hAnsi="Cambria"/>
                <w:bCs/>
                <w:sz w:val="19"/>
                <w:szCs w:val="19"/>
                <w:lang w:val="es-ES"/>
              </w:rPr>
              <w:t xml:space="preserve"> de la Convención Americana Sobre Derechos Humanos</w:t>
            </w:r>
            <w:r w:rsidRPr="00496FE9">
              <w:rPr>
                <w:rStyle w:val="FootnoteReference"/>
                <w:rFonts w:ascii="Cambria" w:hAnsi="Cambria"/>
                <w:bCs/>
                <w:sz w:val="19"/>
                <w:szCs w:val="19"/>
                <w:lang w:val="es-ES"/>
              </w:rPr>
              <w:footnoteReference w:id="4"/>
            </w:r>
          </w:p>
        </w:tc>
      </w:tr>
    </w:tbl>
    <w:p w14:paraId="20263696" w14:textId="77777777" w:rsidR="003239B8" w:rsidRPr="00496FE9" w:rsidRDefault="003239B8" w:rsidP="007C402A">
      <w:pPr>
        <w:spacing w:before="120" w:after="120"/>
        <w:ind w:firstLine="720"/>
        <w:jc w:val="both"/>
        <w:rPr>
          <w:rFonts w:asciiTheme="majorHAnsi" w:hAnsiTheme="majorHAnsi"/>
          <w:b/>
          <w:bCs/>
          <w:sz w:val="20"/>
          <w:szCs w:val="20"/>
          <w:lang w:val="es-ES"/>
        </w:rPr>
      </w:pPr>
      <w:r w:rsidRPr="00496FE9">
        <w:rPr>
          <w:rFonts w:asciiTheme="majorHAnsi" w:hAnsiTheme="majorHAnsi"/>
          <w:b/>
          <w:bCs/>
          <w:sz w:val="20"/>
          <w:szCs w:val="20"/>
          <w:lang w:val="es-ES"/>
        </w:rPr>
        <w:t>II.</w:t>
      </w:r>
      <w:r w:rsidRPr="00496FE9">
        <w:rPr>
          <w:rFonts w:asciiTheme="majorHAnsi" w:hAnsiTheme="majorHAnsi"/>
          <w:b/>
          <w:bCs/>
          <w:sz w:val="20"/>
          <w:szCs w:val="20"/>
          <w:lang w:val="es-ES"/>
        </w:rPr>
        <w:tab/>
        <w:t>TRÁMITE ANTE LA CIDH</w:t>
      </w:r>
      <w:r w:rsidR="008E3BFE" w:rsidRPr="00496FE9">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96FE9" w:rsidRPr="00496FE9" w14:paraId="306EFCB0" w14:textId="77777777" w:rsidTr="000B7DFB">
        <w:tc>
          <w:tcPr>
            <w:tcW w:w="2790" w:type="dxa"/>
            <w:tcBorders>
              <w:top w:val="single" w:sz="6" w:space="0" w:color="auto"/>
              <w:bottom w:val="single" w:sz="6" w:space="0" w:color="auto"/>
            </w:tcBorders>
            <w:shd w:val="clear" w:color="auto" w:fill="4A7194"/>
            <w:vAlign w:val="center"/>
          </w:tcPr>
          <w:p w14:paraId="7508D16F" w14:textId="2A4C7FC3" w:rsidR="004C2312" w:rsidRPr="00EC141C" w:rsidRDefault="000C1C69" w:rsidP="004A6A54">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Recepción</w:t>
            </w:r>
            <w:r w:rsidR="00D77503" w:rsidRPr="00EC141C">
              <w:rPr>
                <w:rFonts w:ascii="Cambria" w:hAnsi="Cambria"/>
                <w:b/>
                <w:bCs/>
                <w:color w:val="FFFFFF" w:themeColor="background1"/>
                <w:sz w:val="19"/>
                <w:szCs w:val="19"/>
                <w:lang w:val="es-ES"/>
              </w:rPr>
              <w:t xml:space="preserve"> de la petición</w:t>
            </w:r>
          </w:p>
        </w:tc>
        <w:tc>
          <w:tcPr>
            <w:tcW w:w="6570" w:type="dxa"/>
            <w:vAlign w:val="center"/>
          </w:tcPr>
          <w:p w14:paraId="6E579153" w14:textId="3A1738C6" w:rsidR="004C2312" w:rsidRPr="00496FE9" w:rsidRDefault="00D46A92" w:rsidP="00D43661">
            <w:pPr>
              <w:jc w:val="both"/>
              <w:rPr>
                <w:rFonts w:ascii="Cambria" w:hAnsi="Cambria"/>
                <w:bCs/>
                <w:sz w:val="19"/>
                <w:szCs w:val="19"/>
                <w:lang w:val="es-ES"/>
              </w:rPr>
            </w:pPr>
            <w:r w:rsidRPr="00496FE9">
              <w:rPr>
                <w:rFonts w:ascii="Cambria" w:hAnsi="Cambria"/>
                <w:bCs/>
                <w:sz w:val="19"/>
                <w:szCs w:val="19"/>
                <w:lang w:val="es-ES"/>
              </w:rPr>
              <w:t>19 de marzo de 2010</w:t>
            </w:r>
          </w:p>
        </w:tc>
      </w:tr>
      <w:tr w:rsidR="00496FE9" w:rsidRPr="007A1A9A" w14:paraId="3C818DDF" w14:textId="77777777" w:rsidTr="000B7DFB">
        <w:tc>
          <w:tcPr>
            <w:tcW w:w="2790" w:type="dxa"/>
            <w:tcBorders>
              <w:top w:val="single" w:sz="6" w:space="0" w:color="auto"/>
              <w:bottom w:val="single" w:sz="6" w:space="0" w:color="auto"/>
            </w:tcBorders>
            <w:shd w:val="clear" w:color="auto" w:fill="4A7194"/>
            <w:vAlign w:val="center"/>
          </w:tcPr>
          <w:p w14:paraId="1BB2986B" w14:textId="01A5DC86" w:rsidR="00D46A92" w:rsidRPr="00EC141C" w:rsidRDefault="00D46A92" w:rsidP="004A6A54">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Información adicional recibida durante la etapa de estudio</w:t>
            </w:r>
          </w:p>
        </w:tc>
        <w:tc>
          <w:tcPr>
            <w:tcW w:w="6570" w:type="dxa"/>
            <w:vAlign w:val="center"/>
          </w:tcPr>
          <w:p w14:paraId="2D8E05CE" w14:textId="2C7D0AD3" w:rsidR="00D46A92" w:rsidRPr="00496FE9" w:rsidRDefault="00D46A92" w:rsidP="00D43661">
            <w:pPr>
              <w:jc w:val="both"/>
              <w:rPr>
                <w:rFonts w:ascii="Cambria" w:hAnsi="Cambria"/>
                <w:bCs/>
                <w:sz w:val="19"/>
                <w:szCs w:val="19"/>
                <w:lang w:val="es-ES"/>
              </w:rPr>
            </w:pPr>
            <w:r w:rsidRPr="00496FE9">
              <w:rPr>
                <w:rFonts w:ascii="Cambria" w:hAnsi="Cambria"/>
                <w:bCs/>
                <w:sz w:val="19"/>
                <w:szCs w:val="19"/>
                <w:lang w:val="es-ES"/>
              </w:rPr>
              <w:t>21 de junio de 2011 y 30 de diciembre de 2013</w:t>
            </w:r>
          </w:p>
        </w:tc>
      </w:tr>
      <w:tr w:rsidR="00496FE9" w:rsidRPr="00496FE9" w14:paraId="1BDCD5C6" w14:textId="77777777" w:rsidTr="000B7DFB">
        <w:tc>
          <w:tcPr>
            <w:tcW w:w="2790" w:type="dxa"/>
            <w:tcBorders>
              <w:top w:val="single" w:sz="6" w:space="0" w:color="auto"/>
              <w:bottom w:val="single" w:sz="6" w:space="0" w:color="auto"/>
            </w:tcBorders>
            <w:shd w:val="clear" w:color="auto" w:fill="4A7194"/>
            <w:vAlign w:val="center"/>
          </w:tcPr>
          <w:p w14:paraId="7A18664F" w14:textId="53CE1B14" w:rsidR="004C2312" w:rsidRPr="00EC141C" w:rsidRDefault="004A6A54" w:rsidP="000C1C69">
            <w:pPr>
              <w:jc w:val="center"/>
              <w:rPr>
                <w:rFonts w:ascii="Cambria" w:hAnsi="Cambria"/>
                <w:b/>
                <w:bCs/>
                <w:color w:val="FFFFFF" w:themeColor="background1"/>
                <w:sz w:val="19"/>
                <w:szCs w:val="19"/>
                <w:lang w:val="es-ES"/>
              </w:rPr>
            </w:pPr>
            <w:r w:rsidRPr="00EC141C">
              <w:rPr>
                <w:rFonts w:ascii="Cambria" w:hAnsi="Cambria"/>
                <w:b/>
                <w:color w:val="FFFFFF" w:themeColor="background1"/>
                <w:sz w:val="19"/>
                <w:szCs w:val="19"/>
                <w:lang w:val="es-ES"/>
              </w:rPr>
              <w:t>N</w:t>
            </w:r>
            <w:r w:rsidR="004C2312" w:rsidRPr="00EC141C">
              <w:rPr>
                <w:rFonts w:ascii="Cambria" w:hAnsi="Cambria"/>
                <w:b/>
                <w:color w:val="FFFFFF" w:themeColor="background1"/>
                <w:sz w:val="19"/>
                <w:szCs w:val="19"/>
                <w:lang w:val="es-ES"/>
              </w:rPr>
              <w:t>otificación de la petición</w:t>
            </w:r>
          </w:p>
        </w:tc>
        <w:tc>
          <w:tcPr>
            <w:tcW w:w="6570" w:type="dxa"/>
            <w:vAlign w:val="center"/>
          </w:tcPr>
          <w:p w14:paraId="1519DA6A" w14:textId="7C526FA2" w:rsidR="004C2312" w:rsidRPr="00496FE9" w:rsidRDefault="007B3BF9" w:rsidP="00D43661">
            <w:pPr>
              <w:jc w:val="both"/>
              <w:rPr>
                <w:rFonts w:ascii="Cambria" w:hAnsi="Cambria"/>
                <w:bCs/>
                <w:sz w:val="19"/>
                <w:szCs w:val="19"/>
                <w:lang w:val="es-ES"/>
              </w:rPr>
            </w:pPr>
            <w:r w:rsidRPr="00496FE9">
              <w:rPr>
                <w:rFonts w:ascii="Cambria" w:hAnsi="Cambria"/>
                <w:bCs/>
                <w:sz w:val="19"/>
                <w:szCs w:val="19"/>
                <w:lang w:val="es-ES"/>
              </w:rPr>
              <w:t>19 de abril de 2016</w:t>
            </w:r>
          </w:p>
        </w:tc>
      </w:tr>
      <w:tr w:rsidR="00496FE9" w:rsidRPr="00496FE9" w14:paraId="6147A8D5" w14:textId="77777777" w:rsidTr="000B7DFB">
        <w:tc>
          <w:tcPr>
            <w:tcW w:w="2790" w:type="dxa"/>
            <w:tcBorders>
              <w:top w:val="single" w:sz="6" w:space="0" w:color="auto"/>
              <w:bottom w:val="single" w:sz="6" w:space="0" w:color="auto"/>
            </w:tcBorders>
            <w:shd w:val="clear" w:color="auto" w:fill="4A7194"/>
            <w:vAlign w:val="center"/>
          </w:tcPr>
          <w:p w14:paraId="0201C86D" w14:textId="678B514E" w:rsidR="00F06354" w:rsidRPr="00EC141C" w:rsidRDefault="00D77503" w:rsidP="00F06354">
            <w:pPr>
              <w:jc w:val="center"/>
              <w:rPr>
                <w:rFonts w:ascii="Cambria" w:hAnsi="Cambria"/>
                <w:b/>
                <w:bCs/>
                <w:color w:val="FFFFFF" w:themeColor="background1"/>
                <w:sz w:val="19"/>
                <w:szCs w:val="19"/>
                <w:lang w:val="es-ES"/>
              </w:rPr>
            </w:pPr>
            <w:r w:rsidRPr="00EC141C">
              <w:rPr>
                <w:rFonts w:ascii="Cambria" w:hAnsi="Cambria"/>
                <w:b/>
                <w:color w:val="FFFFFF" w:themeColor="background1"/>
                <w:sz w:val="19"/>
                <w:szCs w:val="19"/>
                <w:lang w:val="es-ES"/>
              </w:rPr>
              <w:t>Primera respuesta del Estado</w:t>
            </w:r>
          </w:p>
        </w:tc>
        <w:tc>
          <w:tcPr>
            <w:tcW w:w="6570" w:type="dxa"/>
            <w:vAlign w:val="center"/>
          </w:tcPr>
          <w:p w14:paraId="1972B99E" w14:textId="650BD741" w:rsidR="00F06354" w:rsidRPr="00496FE9" w:rsidRDefault="001F11C7" w:rsidP="00F06354">
            <w:pPr>
              <w:jc w:val="both"/>
              <w:rPr>
                <w:rFonts w:ascii="Cambria" w:hAnsi="Cambria"/>
                <w:bCs/>
                <w:sz w:val="19"/>
                <w:szCs w:val="19"/>
                <w:lang w:val="es-ES"/>
              </w:rPr>
            </w:pPr>
            <w:r w:rsidRPr="00496FE9">
              <w:rPr>
                <w:rFonts w:ascii="Cambria" w:hAnsi="Cambria"/>
                <w:bCs/>
                <w:sz w:val="19"/>
                <w:szCs w:val="19"/>
                <w:lang w:val="es-ES"/>
              </w:rPr>
              <w:t>23 de septiembre de 2016</w:t>
            </w:r>
          </w:p>
        </w:tc>
      </w:tr>
      <w:tr w:rsidR="00496FE9" w:rsidRPr="00496FE9" w14:paraId="322668B6" w14:textId="77777777" w:rsidTr="000B7DFB">
        <w:tc>
          <w:tcPr>
            <w:tcW w:w="2790" w:type="dxa"/>
            <w:tcBorders>
              <w:top w:val="single" w:sz="6" w:space="0" w:color="auto"/>
              <w:bottom w:val="single" w:sz="6" w:space="0" w:color="auto"/>
            </w:tcBorders>
            <w:shd w:val="clear" w:color="auto" w:fill="4A7194"/>
            <w:vAlign w:val="center"/>
          </w:tcPr>
          <w:p w14:paraId="1524DA55" w14:textId="2EFC7BC3" w:rsidR="00F06354" w:rsidRPr="00EC141C" w:rsidRDefault="00F06354" w:rsidP="00F06354">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Observaciones adicionales de</w:t>
            </w:r>
            <w:r w:rsidR="00D77503" w:rsidRPr="00EC141C">
              <w:rPr>
                <w:rFonts w:ascii="Cambria" w:hAnsi="Cambria"/>
                <w:b/>
                <w:bCs/>
                <w:color w:val="FFFFFF" w:themeColor="background1"/>
                <w:sz w:val="19"/>
                <w:szCs w:val="19"/>
                <w:lang w:val="es-ES"/>
              </w:rPr>
              <w:t xml:space="preserve"> la parte peticionaria</w:t>
            </w:r>
          </w:p>
        </w:tc>
        <w:tc>
          <w:tcPr>
            <w:tcW w:w="6570" w:type="dxa"/>
            <w:vAlign w:val="center"/>
          </w:tcPr>
          <w:p w14:paraId="41D8B862" w14:textId="08016EB7" w:rsidR="00F06354" w:rsidRPr="00496FE9" w:rsidRDefault="001F11C7" w:rsidP="00BC0968">
            <w:pPr>
              <w:jc w:val="both"/>
              <w:rPr>
                <w:rFonts w:ascii="Cambria" w:hAnsi="Cambria"/>
                <w:bCs/>
                <w:sz w:val="19"/>
                <w:szCs w:val="19"/>
                <w:lang w:val="es-ES"/>
              </w:rPr>
            </w:pPr>
            <w:r w:rsidRPr="00496FE9">
              <w:rPr>
                <w:rFonts w:ascii="Cambria" w:hAnsi="Cambria"/>
                <w:bCs/>
                <w:sz w:val="19"/>
                <w:szCs w:val="19"/>
                <w:lang w:val="es-ES"/>
              </w:rPr>
              <w:t>25 de octubre de 2019</w:t>
            </w:r>
          </w:p>
        </w:tc>
      </w:tr>
    </w:tbl>
    <w:p w14:paraId="21DAA666" w14:textId="5065046E" w:rsidR="003239B8" w:rsidRPr="00496FE9" w:rsidRDefault="003239B8" w:rsidP="007C402A">
      <w:pPr>
        <w:spacing w:before="120" w:after="120"/>
        <w:ind w:firstLine="720"/>
        <w:jc w:val="both"/>
        <w:rPr>
          <w:rFonts w:asciiTheme="majorHAnsi" w:hAnsiTheme="majorHAnsi"/>
          <w:b/>
          <w:bCs/>
          <w:sz w:val="20"/>
          <w:szCs w:val="20"/>
          <w:lang w:val="es-ES"/>
        </w:rPr>
      </w:pPr>
      <w:r w:rsidRPr="00496FE9">
        <w:rPr>
          <w:rFonts w:asciiTheme="majorHAnsi" w:hAnsiTheme="majorHAnsi"/>
          <w:b/>
          <w:bCs/>
          <w:sz w:val="20"/>
          <w:szCs w:val="20"/>
          <w:lang w:val="es-ES"/>
        </w:rPr>
        <w:t xml:space="preserve">III. </w:t>
      </w:r>
      <w:r w:rsidRPr="00496FE9">
        <w:rPr>
          <w:rFonts w:asciiTheme="majorHAnsi" w:hAnsiTheme="majorHAnsi"/>
          <w:b/>
          <w:bCs/>
          <w:sz w:val="20"/>
          <w:szCs w:val="20"/>
          <w:lang w:val="es-ES"/>
        </w:rPr>
        <w:tab/>
        <w:t>COMPETENCIA</w:t>
      </w:r>
      <w:r w:rsidR="00EE00E9" w:rsidRPr="00496F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496FE9" w:rsidRPr="00496FE9" w14:paraId="072532AD" w14:textId="77777777" w:rsidTr="000B7DFB">
        <w:trPr>
          <w:cantSplit/>
        </w:trPr>
        <w:tc>
          <w:tcPr>
            <w:tcW w:w="2790" w:type="dxa"/>
            <w:tcBorders>
              <w:top w:val="single" w:sz="4" w:space="0" w:color="auto"/>
              <w:bottom w:val="single" w:sz="6" w:space="0" w:color="auto"/>
            </w:tcBorders>
            <w:shd w:val="clear" w:color="auto" w:fill="4A7194"/>
            <w:vAlign w:val="center"/>
          </w:tcPr>
          <w:p w14:paraId="5C2E4B34" w14:textId="7281AAF8" w:rsidR="003239B8" w:rsidRPr="00EC141C" w:rsidRDefault="00D77503" w:rsidP="00D43661">
            <w:pPr>
              <w:jc w:val="center"/>
              <w:rPr>
                <w:rFonts w:ascii="Cambria" w:hAnsi="Cambria"/>
                <w:b/>
                <w:bCs/>
                <w:i/>
                <w:color w:val="FFFFFF" w:themeColor="background1"/>
                <w:sz w:val="19"/>
                <w:szCs w:val="19"/>
                <w:lang w:val="es-ES"/>
              </w:rPr>
            </w:pPr>
            <w:r w:rsidRPr="00EC141C">
              <w:rPr>
                <w:rFonts w:ascii="Cambria" w:hAnsi="Cambria"/>
                <w:b/>
                <w:bCs/>
                <w:i/>
                <w:color w:val="FFFFFF" w:themeColor="background1"/>
                <w:sz w:val="19"/>
                <w:szCs w:val="19"/>
                <w:lang w:val="es-ES"/>
              </w:rPr>
              <w:t>Ratione personae</w:t>
            </w:r>
          </w:p>
        </w:tc>
        <w:tc>
          <w:tcPr>
            <w:tcW w:w="6570" w:type="dxa"/>
            <w:vAlign w:val="center"/>
          </w:tcPr>
          <w:p w14:paraId="7707F3E9" w14:textId="30DD0FA8" w:rsidR="003239B8" w:rsidRPr="00496FE9" w:rsidRDefault="00161278" w:rsidP="00D43661">
            <w:pPr>
              <w:rPr>
                <w:rFonts w:ascii="Cambria" w:hAnsi="Cambria"/>
                <w:bCs/>
                <w:sz w:val="19"/>
                <w:szCs w:val="19"/>
                <w:lang w:val="es-ES"/>
              </w:rPr>
            </w:pPr>
            <w:r w:rsidRPr="00496FE9">
              <w:rPr>
                <w:rFonts w:ascii="Cambria" w:hAnsi="Cambria"/>
                <w:bCs/>
                <w:sz w:val="19"/>
                <w:szCs w:val="19"/>
                <w:lang w:val="es-ES"/>
              </w:rPr>
              <w:t>Sí</w:t>
            </w:r>
          </w:p>
        </w:tc>
      </w:tr>
      <w:tr w:rsidR="00496FE9" w:rsidRPr="00496FE9" w14:paraId="4B8802DA" w14:textId="77777777" w:rsidTr="000B7DFB">
        <w:trPr>
          <w:cantSplit/>
        </w:trPr>
        <w:tc>
          <w:tcPr>
            <w:tcW w:w="2790" w:type="dxa"/>
            <w:tcBorders>
              <w:top w:val="single" w:sz="6" w:space="0" w:color="auto"/>
              <w:bottom w:val="single" w:sz="6" w:space="0" w:color="auto"/>
            </w:tcBorders>
            <w:shd w:val="clear" w:color="auto" w:fill="4A7194"/>
            <w:vAlign w:val="center"/>
          </w:tcPr>
          <w:p w14:paraId="3915C23B" w14:textId="629F623D" w:rsidR="003239B8" w:rsidRPr="00EC141C" w:rsidRDefault="003239B8" w:rsidP="00D77503">
            <w:pPr>
              <w:jc w:val="center"/>
              <w:rPr>
                <w:rFonts w:ascii="Cambria" w:hAnsi="Cambria"/>
                <w:b/>
                <w:bCs/>
                <w:color w:val="FFFFFF" w:themeColor="background1"/>
                <w:sz w:val="19"/>
                <w:szCs w:val="19"/>
                <w:lang w:val="es-ES"/>
              </w:rPr>
            </w:pPr>
            <w:r w:rsidRPr="00EC141C">
              <w:rPr>
                <w:rFonts w:ascii="Cambria" w:hAnsi="Cambria"/>
                <w:b/>
                <w:bCs/>
                <w:i/>
                <w:color w:val="FFFFFF" w:themeColor="background1"/>
                <w:sz w:val="19"/>
                <w:szCs w:val="19"/>
                <w:lang w:val="es-ES"/>
              </w:rPr>
              <w:t>Ratione loci</w:t>
            </w:r>
          </w:p>
        </w:tc>
        <w:tc>
          <w:tcPr>
            <w:tcW w:w="6570" w:type="dxa"/>
            <w:vAlign w:val="center"/>
          </w:tcPr>
          <w:p w14:paraId="12C931CB" w14:textId="07637622" w:rsidR="003239B8" w:rsidRPr="00496FE9" w:rsidRDefault="00161278" w:rsidP="00D43661">
            <w:pPr>
              <w:rPr>
                <w:rFonts w:ascii="Cambria" w:hAnsi="Cambria"/>
                <w:bCs/>
                <w:sz w:val="19"/>
                <w:szCs w:val="19"/>
                <w:lang w:val="es-ES"/>
              </w:rPr>
            </w:pPr>
            <w:r w:rsidRPr="00496FE9">
              <w:rPr>
                <w:rFonts w:ascii="Cambria" w:hAnsi="Cambria"/>
                <w:bCs/>
                <w:sz w:val="19"/>
                <w:szCs w:val="19"/>
                <w:lang w:val="es-ES"/>
              </w:rPr>
              <w:t>Sí</w:t>
            </w:r>
          </w:p>
        </w:tc>
      </w:tr>
      <w:tr w:rsidR="00496FE9" w:rsidRPr="00496FE9" w14:paraId="4362FDF3" w14:textId="77777777" w:rsidTr="000B7DFB">
        <w:trPr>
          <w:cantSplit/>
        </w:trPr>
        <w:tc>
          <w:tcPr>
            <w:tcW w:w="2790" w:type="dxa"/>
            <w:tcBorders>
              <w:top w:val="single" w:sz="6" w:space="0" w:color="auto"/>
              <w:bottom w:val="single" w:sz="6" w:space="0" w:color="auto"/>
            </w:tcBorders>
            <w:shd w:val="clear" w:color="auto" w:fill="4A7194"/>
            <w:vAlign w:val="center"/>
          </w:tcPr>
          <w:p w14:paraId="3BE23153" w14:textId="1788B5D3" w:rsidR="003239B8" w:rsidRPr="00EC141C" w:rsidRDefault="003239B8" w:rsidP="00D43661">
            <w:pPr>
              <w:jc w:val="center"/>
              <w:rPr>
                <w:rFonts w:ascii="Cambria" w:hAnsi="Cambria"/>
                <w:b/>
                <w:bCs/>
                <w:color w:val="FFFFFF" w:themeColor="background1"/>
                <w:sz w:val="19"/>
                <w:szCs w:val="19"/>
                <w:lang w:val="es-ES"/>
              </w:rPr>
            </w:pPr>
            <w:r w:rsidRPr="00EC141C">
              <w:rPr>
                <w:rFonts w:ascii="Cambria" w:hAnsi="Cambria"/>
                <w:b/>
                <w:bCs/>
                <w:i/>
                <w:color w:val="FFFFFF" w:themeColor="background1"/>
                <w:sz w:val="19"/>
                <w:szCs w:val="19"/>
                <w:lang w:val="es-ES"/>
              </w:rPr>
              <w:t>Ratione temporis</w:t>
            </w:r>
          </w:p>
        </w:tc>
        <w:tc>
          <w:tcPr>
            <w:tcW w:w="6570" w:type="dxa"/>
            <w:vAlign w:val="center"/>
          </w:tcPr>
          <w:p w14:paraId="6F8B059B" w14:textId="63ACCA21" w:rsidR="003239B8" w:rsidRPr="00496FE9" w:rsidRDefault="00161278" w:rsidP="00D43661">
            <w:pPr>
              <w:rPr>
                <w:rFonts w:ascii="Cambria" w:hAnsi="Cambria"/>
                <w:bCs/>
                <w:sz w:val="19"/>
                <w:szCs w:val="19"/>
                <w:lang w:val="es-ES"/>
              </w:rPr>
            </w:pPr>
            <w:r w:rsidRPr="00496FE9">
              <w:rPr>
                <w:rFonts w:ascii="Cambria" w:hAnsi="Cambria"/>
                <w:bCs/>
                <w:sz w:val="19"/>
                <w:szCs w:val="19"/>
                <w:lang w:val="es-ES"/>
              </w:rPr>
              <w:t>Sí</w:t>
            </w:r>
          </w:p>
        </w:tc>
      </w:tr>
      <w:tr w:rsidR="00496FE9" w:rsidRPr="00496FE9" w14:paraId="30ABEC3E" w14:textId="77777777" w:rsidTr="000B7DFB">
        <w:trPr>
          <w:cantSplit/>
        </w:trPr>
        <w:tc>
          <w:tcPr>
            <w:tcW w:w="2790" w:type="dxa"/>
            <w:tcBorders>
              <w:top w:val="single" w:sz="6" w:space="0" w:color="auto"/>
              <w:bottom w:val="single" w:sz="6" w:space="0" w:color="auto"/>
            </w:tcBorders>
            <w:shd w:val="clear" w:color="auto" w:fill="4A7194"/>
            <w:vAlign w:val="center"/>
          </w:tcPr>
          <w:p w14:paraId="47B529D2" w14:textId="72B41633" w:rsidR="003239B8" w:rsidRPr="00EC141C" w:rsidRDefault="003239B8" w:rsidP="00D43661">
            <w:pPr>
              <w:jc w:val="center"/>
              <w:rPr>
                <w:rFonts w:ascii="Cambria" w:hAnsi="Cambria"/>
                <w:b/>
                <w:bCs/>
                <w:color w:val="FFFFFF" w:themeColor="background1"/>
                <w:sz w:val="19"/>
                <w:szCs w:val="19"/>
                <w:lang w:val="es-ES"/>
              </w:rPr>
            </w:pPr>
            <w:r w:rsidRPr="00EC141C">
              <w:rPr>
                <w:rFonts w:ascii="Cambria" w:hAnsi="Cambria"/>
                <w:b/>
                <w:bCs/>
                <w:i/>
                <w:color w:val="FFFFFF" w:themeColor="background1"/>
                <w:sz w:val="19"/>
                <w:szCs w:val="19"/>
                <w:lang w:val="es-ES"/>
              </w:rPr>
              <w:t>Ratione materia</w:t>
            </w:r>
            <w:r w:rsidR="00EE00E9" w:rsidRPr="00EC141C">
              <w:rPr>
                <w:rFonts w:ascii="Cambria" w:hAnsi="Cambria"/>
                <w:b/>
                <w:bCs/>
                <w:i/>
                <w:color w:val="FFFFFF" w:themeColor="background1"/>
                <w:sz w:val="19"/>
                <w:szCs w:val="19"/>
                <w:lang w:val="es-ES"/>
              </w:rPr>
              <w:t>e</w:t>
            </w:r>
          </w:p>
        </w:tc>
        <w:tc>
          <w:tcPr>
            <w:tcW w:w="6570" w:type="dxa"/>
            <w:vAlign w:val="center"/>
          </w:tcPr>
          <w:p w14:paraId="63A62A88" w14:textId="77777777" w:rsidR="00911B3F" w:rsidRPr="00496FE9" w:rsidRDefault="00911B3F" w:rsidP="00911B3F">
            <w:pPr>
              <w:jc w:val="both"/>
              <w:rPr>
                <w:rFonts w:asciiTheme="majorHAnsi" w:hAnsiTheme="majorHAnsi"/>
                <w:bCs/>
                <w:sz w:val="20"/>
                <w:szCs w:val="20"/>
                <w:lang w:val="es-ES"/>
              </w:rPr>
            </w:pPr>
            <w:r w:rsidRPr="00496FE9">
              <w:rPr>
                <w:rFonts w:asciiTheme="majorHAnsi" w:hAnsiTheme="majorHAnsi"/>
                <w:bCs/>
                <w:sz w:val="20"/>
                <w:szCs w:val="20"/>
                <w:lang w:val="es-ES"/>
              </w:rPr>
              <w:t>Sí, Convención Americana (depósito del instrumento realizado el</w:t>
            </w:r>
          </w:p>
          <w:p w14:paraId="0C122F44" w14:textId="78BA88B5" w:rsidR="003239B8" w:rsidRPr="00496FE9" w:rsidRDefault="00911B3F" w:rsidP="00911B3F">
            <w:pPr>
              <w:jc w:val="both"/>
              <w:rPr>
                <w:rFonts w:ascii="Cambria" w:hAnsi="Cambria"/>
                <w:bCs/>
                <w:sz w:val="19"/>
                <w:szCs w:val="19"/>
                <w:lang w:val="es-ES"/>
              </w:rPr>
            </w:pPr>
            <w:r w:rsidRPr="00496FE9">
              <w:rPr>
                <w:rFonts w:asciiTheme="majorHAnsi" w:hAnsiTheme="majorHAnsi"/>
                <w:bCs/>
                <w:sz w:val="20"/>
                <w:szCs w:val="20"/>
                <w:lang w:val="es-ES"/>
              </w:rPr>
              <w:t>31 de julio de 1973)</w:t>
            </w:r>
          </w:p>
        </w:tc>
      </w:tr>
    </w:tbl>
    <w:p w14:paraId="4E92C444" w14:textId="7D97AE5A" w:rsidR="003239B8" w:rsidRPr="00496FE9" w:rsidRDefault="003239B8" w:rsidP="007C402A">
      <w:pPr>
        <w:spacing w:before="120" w:after="120"/>
        <w:ind w:firstLine="720"/>
        <w:jc w:val="both"/>
        <w:rPr>
          <w:rFonts w:asciiTheme="majorHAnsi" w:hAnsiTheme="majorHAnsi"/>
          <w:b/>
          <w:bCs/>
          <w:sz w:val="20"/>
          <w:szCs w:val="20"/>
          <w:lang w:val="es-ES"/>
        </w:rPr>
      </w:pPr>
      <w:r w:rsidRPr="00496FE9">
        <w:rPr>
          <w:rFonts w:asciiTheme="majorHAnsi" w:hAnsiTheme="majorHAnsi"/>
          <w:b/>
          <w:bCs/>
          <w:sz w:val="20"/>
          <w:szCs w:val="20"/>
          <w:lang w:val="es-ES"/>
        </w:rPr>
        <w:t xml:space="preserve">IV. </w:t>
      </w:r>
      <w:r w:rsidRPr="00496FE9">
        <w:rPr>
          <w:rFonts w:asciiTheme="majorHAnsi" w:hAnsiTheme="majorHAnsi"/>
          <w:b/>
          <w:bCs/>
          <w:sz w:val="20"/>
          <w:szCs w:val="20"/>
          <w:lang w:val="es-ES"/>
        </w:rPr>
        <w:tab/>
      </w:r>
      <w:r w:rsidR="00EE00E9" w:rsidRPr="00496FE9">
        <w:rPr>
          <w:rFonts w:asciiTheme="majorHAnsi" w:hAnsiTheme="majorHAnsi"/>
          <w:b/>
          <w:bCs/>
          <w:sz w:val="20"/>
          <w:szCs w:val="20"/>
          <w:lang w:val="es-ES"/>
        </w:rPr>
        <w:t>DUPLICACIÓN DE PROCEDIMIENTOS Y COSA JUZGADA</w:t>
      </w:r>
      <w:r w:rsidR="00EE00E9" w:rsidRPr="00496FE9">
        <w:rPr>
          <w:rFonts w:asciiTheme="majorHAnsi" w:hAnsiTheme="majorHAnsi"/>
          <w:b/>
          <w:bCs/>
          <w:i/>
          <w:sz w:val="20"/>
          <w:szCs w:val="20"/>
          <w:lang w:val="es-ES"/>
        </w:rPr>
        <w:t xml:space="preserve"> </w:t>
      </w:r>
      <w:r w:rsidR="00911B3F" w:rsidRPr="00496FE9">
        <w:rPr>
          <w:rFonts w:asciiTheme="majorHAnsi" w:hAnsiTheme="majorHAnsi"/>
          <w:b/>
          <w:bCs/>
          <w:sz w:val="20"/>
          <w:szCs w:val="20"/>
          <w:lang w:val="es-ES"/>
        </w:rPr>
        <w:t>INTERNACIONAL</w:t>
      </w:r>
      <w:r w:rsidR="00EE00E9" w:rsidRPr="00496FE9">
        <w:rPr>
          <w:rFonts w:asciiTheme="majorHAnsi" w:hAnsiTheme="majorHAnsi"/>
          <w:b/>
          <w:bCs/>
          <w:sz w:val="20"/>
          <w:szCs w:val="20"/>
          <w:lang w:val="es-ES"/>
        </w:rPr>
        <w:t xml:space="preserve"> </w:t>
      </w:r>
      <w:r w:rsidRPr="00496FE9">
        <w:rPr>
          <w:rFonts w:asciiTheme="majorHAnsi" w:hAnsiTheme="majorHAnsi"/>
          <w:b/>
          <w:bCs/>
          <w:sz w:val="20"/>
          <w:szCs w:val="20"/>
          <w:lang w:val="es-ES"/>
        </w:rPr>
        <w:t xml:space="preserve"> CARACTERIZACIÓN, </w:t>
      </w:r>
      <w:r w:rsidRPr="00496FE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857"/>
        <w:gridCol w:w="6385"/>
      </w:tblGrid>
      <w:tr w:rsidR="00496FE9" w:rsidRPr="00496FE9" w14:paraId="1231C988" w14:textId="77777777" w:rsidTr="00EC141C">
        <w:trPr>
          <w:cantSplit/>
        </w:trPr>
        <w:tc>
          <w:tcPr>
            <w:tcW w:w="2857" w:type="dxa"/>
            <w:tcBorders>
              <w:top w:val="single" w:sz="4" w:space="0" w:color="auto"/>
              <w:bottom w:val="single" w:sz="6" w:space="0" w:color="auto"/>
            </w:tcBorders>
            <w:shd w:val="clear" w:color="auto" w:fill="4A7194"/>
            <w:vAlign w:val="center"/>
          </w:tcPr>
          <w:p w14:paraId="6F8031F4" w14:textId="03D8D2D1" w:rsidR="00EE00E9" w:rsidRPr="00EC141C" w:rsidRDefault="00EE00E9" w:rsidP="00954B82">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 xml:space="preserve">Duplicación </w:t>
            </w:r>
            <w:r w:rsidR="00D77503" w:rsidRPr="00EC141C">
              <w:rPr>
                <w:rFonts w:ascii="Cambria" w:hAnsi="Cambria"/>
                <w:b/>
                <w:bCs/>
                <w:color w:val="FFFFFF" w:themeColor="background1"/>
                <w:sz w:val="19"/>
                <w:szCs w:val="19"/>
                <w:lang w:val="es-ES"/>
              </w:rPr>
              <w:t>y cosa juzgada internacional</w:t>
            </w:r>
          </w:p>
        </w:tc>
        <w:tc>
          <w:tcPr>
            <w:tcW w:w="6385" w:type="dxa"/>
            <w:vAlign w:val="center"/>
          </w:tcPr>
          <w:p w14:paraId="240941E6" w14:textId="135A8243" w:rsidR="00EE00E9" w:rsidRPr="00496FE9" w:rsidRDefault="00BB3402" w:rsidP="00D43661">
            <w:pPr>
              <w:jc w:val="both"/>
              <w:rPr>
                <w:rFonts w:ascii="Cambria" w:hAnsi="Cambria"/>
                <w:bCs/>
                <w:sz w:val="19"/>
                <w:szCs w:val="19"/>
                <w:lang w:val="es-ES"/>
              </w:rPr>
            </w:pPr>
            <w:r w:rsidRPr="00496FE9">
              <w:rPr>
                <w:rFonts w:ascii="Cambria" w:hAnsi="Cambria"/>
                <w:bCs/>
                <w:sz w:val="19"/>
                <w:szCs w:val="19"/>
                <w:lang w:val="es-ES"/>
              </w:rPr>
              <w:t>No</w:t>
            </w:r>
          </w:p>
        </w:tc>
      </w:tr>
      <w:tr w:rsidR="00496FE9" w:rsidRPr="007A1A9A" w14:paraId="15FAA7D1" w14:textId="77777777" w:rsidTr="00EC141C">
        <w:trPr>
          <w:cantSplit/>
        </w:trPr>
        <w:tc>
          <w:tcPr>
            <w:tcW w:w="2857" w:type="dxa"/>
            <w:tcBorders>
              <w:top w:val="single" w:sz="4" w:space="0" w:color="auto"/>
              <w:bottom w:val="single" w:sz="6" w:space="0" w:color="auto"/>
            </w:tcBorders>
            <w:shd w:val="clear" w:color="auto" w:fill="4A7194"/>
            <w:vAlign w:val="center"/>
          </w:tcPr>
          <w:p w14:paraId="1B0D29FF" w14:textId="4FE01870" w:rsidR="003239B8" w:rsidRPr="00EC141C" w:rsidRDefault="003239B8" w:rsidP="00954B82">
            <w:pPr>
              <w:jc w:val="center"/>
              <w:rPr>
                <w:rFonts w:ascii="Cambria" w:hAnsi="Cambria"/>
                <w:b/>
                <w:bCs/>
                <w:i/>
                <w:color w:val="FFFFFF" w:themeColor="background1"/>
                <w:sz w:val="19"/>
                <w:szCs w:val="19"/>
                <w:lang w:val="es-ES"/>
              </w:rPr>
            </w:pPr>
            <w:r w:rsidRPr="00EC141C">
              <w:rPr>
                <w:rFonts w:ascii="Cambria" w:hAnsi="Cambria"/>
                <w:b/>
                <w:bCs/>
                <w:color w:val="FFFFFF" w:themeColor="background1"/>
                <w:sz w:val="19"/>
                <w:szCs w:val="19"/>
                <w:lang w:val="es-ES"/>
              </w:rPr>
              <w:t>Derechos admi</w:t>
            </w:r>
            <w:r w:rsidR="00954B82" w:rsidRPr="00EC141C">
              <w:rPr>
                <w:rFonts w:ascii="Cambria" w:hAnsi="Cambria"/>
                <w:b/>
                <w:bCs/>
                <w:color w:val="FFFFFF" w:themeColor="background1"/>
                <w:sz w:val="19"/>
                <w:szCs w:val="19"/>
                <w:lang w:val="es-ES"/>
              </w:rPr>
              <w:t>tidos</w:t>
            </w:r>
          </w:p>
        </w:tc>
        <w:tc>
          <w:tcPr>
            <w:tcW w:w="6385" w:type="dxa"/>
            <w:vAlign w:val="center"/>
          </w:tcPr>
          <w:p w14:paraId="6310C8F7" w14:textId="58E3EA09" w:rsidR="003239B8" w:rsidRPr="00496FE9" w:rsidRDefault="00B92D4A" w:rsidP="001B1621">
            <w:pPr>
              <w:jc w:val="both"/>
              <w:rPr>
                <w:rFonts w:ascii="Cambria" w:hAnsi="Cambria"/>
                <w:bCs/>
                <w:sz w:val="19"/>
                <w:szCs w:val="19"/>
                <w:lang w:val="es-ES"/>
              </w:rPr>
            </w:pPr>
            <w:r w:rsidRPr="00496FE9">
              <w:rPr>
                <w:rFonts w:ascii="Cambria" w:hAnsi="Cambria"/>
                <w:bCs/>
                <w:sz w:val="19"/>
                <w:szCs w:val="19"/>
                <w:lang w:val="es-ES"/>
              </w:rPr>
              <w:t>Artículos</w:t>
            </w:r>
            <w:r w:rsidR="00AF6123" w:rsidRPr="00496FE9">
              <w:rPr>
                <w:rFonts w:ascii="Cambria" w:hAnsi="Cambria"/>
                <w:bCs/>
                <w:sz w:val="19"/>
                <w:szCs w:val="19"/>
                <w:lang w:val="es-ES"/>
              </w:rPr>
              <w:t xml:space="preserve"> 4 (vida),</w:t>
            </w:r>
            <w:r w:rsidR="001F11C7" w:rsidRPr="00496FE9">
              <w:rPr>
                <w:rFonts w:ascii="Cambria" w:hAnsi="Cambria"/>
                <w:bCs/>
                <w:sz w:val="19"/>
                <w:szCs w:val="19"/>
                <w:lang w:val="es-ES"/>
              </w:rPr>
              <w:t xml:space="preserve"> 5 (integridad personal), 6</w:t>
            </w:r>
            <w:r w:rsidR="000F76C1" w:rsidRPr="00496FE9">
              <w:rPr>
                <w:rFonts w:ascii="Cambria" w:hAnsi="Cambria"/>
                <w:bCs/>
                <w:sz w:val="19"/>
                <w:szCs w:val="19"/>
                <w:lang w:val="es-ES"/>
              </w:rPr>
              <w:t xml:space="preserve"> (prohibición de la esclavitud y</w:t>
            </w:r>
            <w:r w:rsidR="001F11C7" w:rsidRPr="00496FE9">
              <w:rPr>
                <w:rFonts w:ascii="Cambria" w:hAnsi="Cambria"/>
                <w:bCs/>
                <w:sz w:val="19"/>
                <w:szCs w:val="19"/>
                <w:lang w:val="es-ES"/>
              </w:rPr>
              <w:t xml:space="preserve"> servidumbre)</w:t>
            </w:r>
            <w:r w:rsidR="000F76C1" w:rsidRPr="00496FE9">
              <w:rPr>
                <w:rFonts w:ascii="Cambria" w:hAnsi="Cambria"/>
                <w:bCs/>
                <w:sz w:val="19"/>
                <w:szCs w:val="19"/>
                <w:lang w:val="es-ES"/>
              </w:rPr>
              <w:t>, 7 (libertad personal),</w:t>
            </w:r>
            <w:r w:rsidR="001F11C7" w:rsidRPr="00496FE9">
              <w:rPr>
                <w:rFonts w:ascii="Cambria" w:hAnsi="Cambria"/>
                <w:bCs/>
                <w:sz w:val="19"/>
                <w:szCs w:val="19"/>
                <w:lang w:val="es-ES"/>
              </w:rPr>
              <w:t xml:space="preserve"> </w:t>
            </w:r>
            <w:r w:rsidRPr="00496FE9">
              <w:rPr>
                <w:rFonts w:ascii="Cambria" w:hAnsi="Cambria"/>
                <w:bCs/>
                <w:sz w:val="19"/>
                <w:szCs w:val="19"/>
                <w:lang w:val="es-ES"/>
              </w:rPr>
              <w:t>8 (garantías judiciales)</w:t>
            </w:r>
            <w:r w:rsidR="00AF6123" w:rsidRPr="00496FE9">
              <w:rPr>
                <w:rFonts w:ascii="Cambria" w:hAnsi="Cambria"/>
                <w:bCs/>
                <w:sz w:val="19"/>
                <w:szCs w:val="19"/>
                <w:lang w:val="es-ES"/>
              </w:rPr>
              <w:t>,</w:t>
            </w:r>
            <w:r w:rsidR="001B1621" w:rsidRPr="00496FE9">
              <w:rPr>
                <w:rFonts w:ascii="Cambria" w:hAnsi="Cambria"/>
                <w:bCs/>
                <w:sz w:val="19"/>
                <w:szCs w:val="19"/>
                <w:lang w:val="es-ES"/>
              </w:rPr>
              <w:t xml:space="preserve"> </w:t>
            </w:r>
            <w:r w:rsidR="00AD7DC0" w:rsidRPr="00496FE9">
              <w:rPr>
                <w:rFonts w:ascii="Cambria" w:hAnsi="Cambria"/>
                <w:bCs/>
                <w:sz w:val="19"/>
                <w:szCs w:val="19"/>
                <w:lang w:val="es-ES"/>
              </w:rPr>
              <w:t xml:space="preserve">11 (honra y dignidad),  </w:t>
            </w:r>
            <w:r w:rsidR="00AF6123" w:rsidRPr="00496FE9">
              <w:rPr>
                <w:rFonts w:ascii="Cambria" w:hAnsi="Cambria"/>
                <w:bCs/>
                <w:sz w:val="19"/>
                <w:szCs w:val="19"/>
                <w:lang w:val="es-ES"/>
              </w:rPr>
              <w:t>17 (protección a la familia),</w:t>
            </w:r>
            <w:r w:rsidR="00D21C09" w:rsidRPr="00496FE9">
              <w:rPr>
                <w:rFonts w:ascii="Cambria" w:hAnsi="Cambria"/>
                <w:bCs/>
                <w:sz w:val="19"/>
                <w:szCs w:val="19"/>
                <w:lang w:val="es-ES"/>
              </w:rPr>
              <w:t xml:space="preserve"> 19 (derechos del niño),</w:t>
            </w:r>
            <w:r w:rsidR="00AF6123" w:rsidRPr="00496FE9">
              <w:rPr>
                <w:rFonts w:ascii="Cambria" w:hAnsi="Cambria"/>
                <w:bCs/>
                <w:sz w:val="19"/>
                <w:szCs w:val="19"/>
                <w:lang w:val="es-ES"/>
              </w:rPr>
              <w:t xml:space="preserve"> 21 (propiedad privada)</w:t>
            </w:r>
            <w:r w:rsidR="00D21C09" w:rsidRPr="00496FE9">
              <w:rPr>
                <w:rFonts w:ascii="Cambria" w:hAnsi="Cambria"/>
                <w:bCs/>
                <w:sz w:val="19"/>
                <w:szCs w:val="19"/>
                <w:lang w:val="es-ES"/>
              </w:rPr>
              <w:t>, 22 (circulación y residencia), 24 (igualdad ante la ley),</w:t>
            </w:r>
            <w:r w:rsidRPr="00496FE9">
              <w:rPr>
                <w:rFonts w:ascii="Cambria" w:hAnsi="Cambria"/>
                <w:bCs/>
                <w:sz w:val="19"/>
                <w:szCs w:val="19"/>
                <w:lang w:val="es-ES"/>
              </w:rPr>
              <w:t xml:space="preserve"> 25 (protección judicial) </w:t>
            </w:r>
            <w:r w:rsidR="00D21C09" w:rsidRPr="00496FE9">
              <w:rPr>
                <w:rFonts w:ascii="Cambria" w:hAnsi="Cambria"/>
                <w:bCs/>
                <w:sz w:val="19"/>
                <w:szCs w:val="19"/>
                <w:lang w:val="es-ES"/>
              </w:rPr>
              <w:t xml:space="preserve">y 26 (derechos económicos, sociales y culturales) </w:t>
            </w:r>
            <w:r w:rsidRPr="00496FE9">
              <w:rPr>
                <w:rFonts w:ascii="Cambria" w:hAnsi="Cambria"/>
                <w:bCs/>
                <w:sz w:val="19"/>
                <w:szCs w:val="19"/>
                <w:lang w:val="es-ES"/>
              </w:rPr>
              <w:t>de la Convenci</w:t>
            </w:r>
            <w:r w:rsidR="00AF6123" w:rsidRPr="00496FE9">
              <w:rPr>
                <w:rFonts w:ascii="Cambria" w:hAnsi="Cambria"/>
                <w:bCs/>
                <w:sz w:val="19"/>
                <w:szCs w:val="19"/>
                <w:lang w:val="es-ES"/>
              </w:rPr>
              <w:t>ón Americana en relación con su</w:t>
            </w:r>
            <w:r w:rsidR="00EC0810" w:rsidRPr="00496FE9">
              <w:rPr>
                <w:rFonts w:ascii="Cambria" w:hAnsi="Cambria"/>
                <w:bCs/>
                <w:sz w:val="19"/>
                <w:szCs w:val="19"/>
                <w:lang w:val="es-ES"/>
              </w:rPr>
              <w:t xml:space="preserve"> artículo</w:t>
            </w:r>
            <w:r w:rsidRPr="00496FE9">
              <w:rPr>
                <w:rFonts w:ascii="Cambria" w:hAnsi="Cambria"/>
                <w:bCs/>
                <w:sz w:val="19"/>
                <w:szCs w:val="19"/>
                <w:lang w:val="es-ES"/>
              </w:rPr>
              <w:t xml:space="preserve"> 1.1 (obligación de respetar los derechos), </w:t>
            </w:r>
          </w:p>
        </w:tc>
      </w:tr>
      <w:tr w:rsidR="00496FE9" w:rsidRPr="007A1A9A" w14:paraId="4EFD141E" w14:textId="77777777" w:rsidTr="00EC141C">
        <w:trPr>
          <w:cantSplit/>
        </w:trPr>
        <w:tc>
          <w:tcPr>
            <w:tcW w:w="2857" w:type="dxa"/>
            <w:tcBorders>
              <w:top w:val="single" w:sz="6" w:space="0" w:color="auto"/>
              <w:bottom w:val="single" w:sz="6" w:space="0" w:color="auto"/>
            </w:tcBorders>
            <w:shd w:val="clear" w:color="auto" w:fill="4A7194"/>
            <w:vAlign w:val="center"/>
          </w:tcPr>
          <w:p w14:paraId="4C04A89C" w14:textId="058482B9" w:rsidR="003239B8" w:rsidRPr="00EC141C" w:rsidRDefault="003239B8" w:rsidP="006775AB">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Agotamiento de</w:t>
            </w:r>
            <w:r w:rsidR="0069402E" w:rsidRPr="00EC141C">
              <w:rPr>
                <w:rFonts w:ascii="Cambria" w:hAnsi="Cambria"/>
                <w:b/>
                <w:bCs/>
                <w:color w:val="FFFFFF" w:themeColor="background1"/>
                <w:sz w:val="19"/>
                <w:szCs w:val="19"/>
                <w:lang w:val="es-ES"/>
              </w:rPr>
              <w:t xml:space="preserve"> </w:t>
            </w:r>
            <w:r w:rsidRPr="00EC141C">
              <w:rPr>
                <w:rFonts w:ascii="Cambria" w:hAnsi="Cambria"/>
                <w:b/>
                <w:bCs/>
                <w:color w:val="FFFFFF" w:themeColor="background1"/>
                <w:sz w:val="19"/>
                <w:szCs w:val="19"/>
                <w:lang w:val="es-ES"/>
              </w:rPr>
              <w:t xml:space="preserve">recursos </w:t>
            </w:r>
            <w:r w:rsidR="00D77503" w:rsidRPr="00EC141C">
              <w:rPr>
                <w:rFonts w:ascii="Cambria" w:hAnsi="Cambria"/>
                <w:b/>
                <w:bCs/>
                <w:color w:val="FFFFFF" w:themeColor="background1"/>
                <w:sz w:val="19"/>
                <w:szCs w:val="19"/>
                <w:lang w:val="es-ES"/>
              </w:rPr>
              <w:t>o procedencia de una excepción</w:t>
            </w:r>
          </w:p>
        </w:tc>
        <w:tc>
          <w:tcPr>
            <w:tcW w:w="6385" w:type="dxa"/>
            <w:vAlign w:val="center"/>
          </w:tcPr>
          <w:p w14:paraId="69C53E8A" w14:textId="2405397D" w:rsidR="003239B8" w:rsidRPr="00496FE9" w:rsidRDefault="00911B3F" w:rsidP="00AF6123">
            <w:pPr>
              <w:rPr>
                <w:rFonts w:ascii="Cambria" w:hAnsi="Cambria"/>
                <w:bCs/>
                <w:sz w:val="19"/>
                <w:szCs w:val="19"/>
                <w:lang w:val="es-ES"/>
              </w:rPr>
            </w:pPr>
            <w:r w:rsidRPr="00496FE9">
              <w:rPr>
                <w:rFonts w:ascii="Cambria" w:hAnsi="Cambria"/>
                <w:bCs/>
                <w:sz w:val="19"/>
                <w:szCs w:val="19"/>
                <w:lang w:val="es-ES"/>
              </w:rPr>
              <w:t xml:space="preserve">Sí, </w:t>
            </w:r>
            <w:r w:rsidR="00AF6123" w:rsidRPr="00496FE9">
              <w:rPr>
                <w:rFonts w:ascii="Cambria" w:hAnsi="Cambria"/>
                <w:bCs/>
                <w:sz w:val="19"/>
                <w:szCs w:val="19"/>
                <w:lang w:val="es-ES"/>
              </w:rPr>
              <w:t>en los términos de la Sección VI</w:t>
            </w:r>
          </w:p>
        </w:tc>
      </w:tr>
      <w:tr w:rsidR="00496FE9" w:rsidRPr="007A1A9A" w14:paraId="52B5BA17" w14:textId="77777777" w:rsidTr="00EC141C">
        <w:trPr>
          <w:cantSplit/>
        </w:trPr>
        <w:tc>
          <w:tcPr>
            <w:tcW w:w="2857" w:type="dxa"/>
            <w:tcBorders>
              <w:top w:val="single" w:sz="6" w:space="0" w:color="auto"/>
              <w:bottom w:val="single" w:sz="6" w:space="0" w:color="auto"/>
            </w:tcBorders>
            <w:shd w:val="clear" w:color="auto" w:fill="4A7194"/>
            <w:vAlign w:val="center"/>
          </w:tcPr>
          <w:p w14:paraId="5DF99086" w14:textId="392A0ECF" w:rsidR="003239B8" w:rsidRPr="00EC141C" w:rsidRDefault="00D77503" w:rsidP="00D43661">
            <w:pPr>
              <w:jc w:val="center"/>
              <w:rPr>
                <w:rFonts w:ascii="Cambria" w:hAnsi="Cambria"/>
                <w:b/>
                <w:bCs/>
                <w:color w:val="FFFFFF" w:themeColor="background1"/>
                <w:sz w:val="19"/>
                <w:szCs w:val="19"/>
                <w:lang w:val="es-ES"/>
              </w:rPr>
            </w:pPr>
            <w:r w:rsidRPr="00EC141C">
              <w:rPr>
                <w:rFonts w:ascii="Cambria" w:hAnsi="Cambria"/>
                <w:b/>
                <w:bCs/>
                <w:color w:val="FFFFFF" w:themeColor="background1"/>
                <w:sz w:val="19"/>
                <w:szCs w:val="19"/>
                <w:lang w:val="es-ES"/>
              </w:rPr>
              <w:t>Presentación dentro de plazo</w:t>
            </w:r>
          </w:p>
        </w:tc>
        <w:tc>
          <w:tcPr>
            <w:tcW w:w="6385" w:type="dxa"/>
            <w:vAlign w:val="center"/>
          </w:tcPr>
          <w:p w14:paraId="4A2A4569" w14:textId="65D9D1CD" w:rsidR="003239B8" w:rsidRPr="00496FE9" w:rsidRDefault="00DF1745" w:rsidP="00AF6123">
            <w:pPr>
              <w:rPr>
                <w:rFonts w:ascii="Cambria" w:hAnsi="Cambria"/>
                <w:bCs/>
                <w:sz w:val="19"/>
                <w:szCs w:val="19"/>
                <w:lang w:val="es-ES"/>
              </w:rPr>
            </w:pPr>
            <w:r w:rsidRPr="00496FE9">
              <w:rPr>
                <w:rFonts w:ascii="Cambria" w:hAnsi="Cambria"/>
                <w:bCs/>
                <w:sz w:val="19"/>
                <w:szCs w:val="19"/>
                <w:lang w:val="es-ES"/>
              </w:rPr>
              <w:t xml:space="preserve">Sí, </w:t>
            </w:r>
            <w:r w:rsidR="00AF6123" w:rsidRPr="00496FE9">
              <w:rPr>
                <w:rFonts w:ascii="Cambria" w:hAnsi="Cambria"/>
                <w:bCs/>
                <w:sz w:val="19"/>
                <w:szCs w:val="19"/>
                <w:lang w:val="es-ES"/>
              </w:rPr>
              <w:t>en los términos de la Sección VI</w:t>
            </w:r>
          </w:p>
        </w:tc>
      </w:tr>
    </w:tbl>
    <w:p w14:paraId="4AB8F040" w14:textId="30CB4E8F" w:rsidR="00EC141C" w:rsidRDefault="00EC141C" w:rsidP="00175CDF">
      <w:pPr>
        <w:spacing w:before="120" w:after="120"/>
        <w:ind w:firstLine="720"/>
        <w:jc w:val="both"/>
        <w:rPr>
          <w:rFonts w:asciiTheme="majorHAnsi" w:hAnsiTheme="majorHAnsi"/>
          <w:b/>
          <w:sz w:val="20"/>
          <w:szCs w:val="20"/>
          <w:lang w:val="es-ES"/>
        </w:rPr>
      </w:pPr>
    </w:p>
    <w:p w14:paraId="02919B2B" w14:textId="77777777" w:rsidR="00EC141C" w:rsidRDefault="00EC141C" w:rsidP="00175CDF">
      <w:pPr>
        <w:spacing w:before="120" w:after="120"/>
        <w:ind w:firstLine="720"/>
        <w:jc w:val="both"/>
        <w:rPr>
          <w:rFonts w:asciiTheme="majorHAnsi" w:hAnsiTheme="majorHAnsi"/>
          <w:b/>
          <w:sz w:val="20"/>
          <w:szCs w:val="20"/>
          <w:lang w:val="es-ES"/>
        </w:rPr>
      </w:pPr>
    </w:p>
    <w:p w14:paraId="662B1E98" w14:textId="77777777" w:rsidR="00EC141C" w:rsidRDefault="00EC141C" w:rsidP="00175CDF">
      <w:pPr>
        <w:spacing w:before="120" w:after="120"/>
        <w:ind w:firstLine="720"/>
        <w:jc w:val="both"/>
        <w:rPr>
          <w:rFonts w:asciiTheme="majorHAnsi" w:hAnsiTheme="majorHAnsi"/>
          <w:b/>
          <w:sz w:val="20"/>
          <w:szCs w:val="20"/>
          <w:lang w:val="es-ES"/>
        </w:rPr>
      </w:pPr>
    </w:p>
    <w:p w14:paraId="18E6423B" w14:textId="10CB6695" w:rsidR="003239B8" w:rsidRPr="00496FE9" w:rsidRDefault="00223A29" w:rsidP="00175CDF">
      <w:pPr>
        <w:spacing w:before="120" w:after="120"/>
        <w:ind w:firstLine="720"/>
        <w:jc w:val="both"/>
        <w:rPr>
          <w:rFonts w:asciiTheme="majorHAnsi" w:hAnsiTheme="majorHAnsi"/>
          <w:b/>
          <w:sz w:val="20"/>
          <w:szCs w:val="20"/>
          <w:lang w:val="es-ES"/>
        </w:rPr>
      </w:pPr>
      <w:r w:rsidRPr="00496FE9">
        <w:rPr>
          <w:rFonts w:asciiTheme="majorHAnsi" w:hAnsiTheme="majorHAnsi"/>
          <w:b/>
          <w:sz w:val="20"/>
          <w:szCs w:val="20"/>
          <w:lang w:val="es-ES"/>
        </w:rPr>
        <w:lastRenderedPageBreak/>
        <w:t xml:space="preserve">V. </w:t>
      </w:r>
      <w:r w:rsidRPr="00496FE9">
        <w:rPr>
          <w:rFonts w:asciiTheme="majorHAnsi" w:hAnsiTheme="majorHAnsi"/>
          <w:b/>
          <w:sz w:val="20"/>
          <w:szCs w:val="20"/>
          <w:lang w:val="es-ES"/>
        </w:rPr>
        <w:tab/>
      </w:r>
      <w:r w:rsidR="0034224A" w:rsidRPr="00496FE9">
        <w:rPr>
          <w:rFonts w:asciiTheme="majorHAnsi" w:hAnsiTheme="majorHAnsi"/>
          <w:b/>
          <w:sz w:val="20"/>
          <w:szCs w:val="20"/>
          <w:lang w:val="es-ES"/>
        </w:rPr>
        <w:t>RESUMEN DE LOS HECHOS ALEGADOS</w:t>
      </w:r>
    </w:p>
    <w:p w14:paraId="686B3557" w14:textId="55035461" w:rsidR="007044E1" w:rsidRPr="00496FE9" w:rsidRDefault="00D21C09" w:rsidP="00175CDF">
      <w:pPr>
        <w:numPr>
          <w:ilvl w:val="0"/>
          <w:numId w:val="55"/>
        </w:numPr>
        <w:suppressAutoHyphens/>
        <w:spacing w:after="120"/>
        <w:jc w:val="both"/>
        <w:rPr>
          <w:rFonts w:asciiTheme="majorHAnsi" w:hAnsiTheme="majorHAnsi"/>
          <w:b/>
          <w:bCs/>
          <w:sz w:val="20"/>
          <w:szCs w:val="20"/>
          <w:lang w:val="es-ES"/>
        </w:rPr>
      </w:pPr>
      <w:r w:rsidRPr="00496FE9">
        <w:rPr>
          <w:rFonts w:ascii="Cambria" w:hAnsi="Cambria"/>
          <w:sz w:val="20"/>
          <w:szCs w:val="20"/>
          <w:lang w:val="es-ES"/>
        </w:rPr>
        <w:t xml:space="preserve">Carlos Julián Berneo Casas y Estefany Becoche Pechene (en adelante “la parte peticionaria) denuncian presuntas violaciones a los derechos humanos de 88 personas pobladoras de las veredas de la Isla, la Diana y el Edén del departamento del Cauca, alegando que el Estado no les brindó protección efectiva contra actos de grupos armados ilegales, pese a que una amenaza cierta e inminente había sido oportunamente comunicada a las autoridades estatales. Sostienen que la inacción del Estado permitió que varias de las personas pobladoras fueran asesinadas por los grupos armados ilegales, y que otras </w:t>
      </w:r>
      <w:r w:rsidR="00EF686F" w:rsidRPr="00496FE9">
        <w:rPr>
          <w:rFonts w:ascii="Cambria" w:hAnsi="Cambria"/>
          <w:sz w:val="20"/>
          <w:szCs w:val="20"/>
          <w:lang w:val="es-ES"/>
        </w:rPr>
        <w:t xml:space="preserve">sufrieran lesiones, daños a sus bienes y desplazamiento forzado. También denuncia </w:t>
      </w:r>
      <w:r w:rsidR="007E411C" w:rsidRPr="00496FE9">
        <w:rPr>
          <w:rFonts w:ascii="Cambria" w:hAnsi="Cambria"/>
          <w:sz w:val="20"/>
          <w:szCs w:val="20"/>
          <w:lang w:val="es-ES"/>
        </w:rPr>
        <w:t>que,</w:t>
      </w:r>
      <w:r w:rsidR="00EF686F" w:rsidRPr="00496FE9">
        <w:rPr>
          <w:rFonts w:ascii="Cambria" w:hAnsi="Cambria"/>
          <w:sz w:val="20"/>
          <w:szCs w:val="20"/>
          <w:lang w:val="es-ES"/>
        </w:rPr>
        <w:t xml:space="preserve"> aunque el Estado ha reconocido judicialmente su responsabilidad administrativa por algunas de las muertes no ha brindado reparación integral a las personas afectadas. </w:t>
      </w:r>
    </w:p>
    <w:p w14:paraId="23A05729" w14:textId="3F8406ED" w:rsidR="00717E65" w:rsidRPr="00496FE9" w:rsidRDefault="00390E12" w:rsidP="00175CDF">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 xml:space="preserve">La parte peticionaria relata que a mediados de agosto del 2000 se presentaron al corregimiento de Ortega, municipio de Cajibío, Departamento del Cauca un grupo numeroso de personas que decían permanecer a los grupos armados ilegales autodenominados ELN y FARC. Explica que estas personas permanecieron allí 8 días mientras recorrían las veredas de la Isla, la Diana y el Edén </w:t>
      </w:r>
      <w:r w:rsidR="00DC39C3" w:rsidRPr="00496FE9">
        <w:rPr>
          <w:rFonts w:asciiTheme="majorHAnsi" w:hAnsiTheme="majorHAnsi"/>
          <w:bCs/>
          <w:sz w:val="20"/>
          <w:szCs w:val="20"/>
          <w:lang w:val="es-ES"/>
        </w:rPr>
        <w:t xml:space="preserve">indicándole a las personas residentes </w:t>
      </w:r>
      <w:r w:rsidR="007E411C" w:rsidRPr="00496FE9">
        <w:rPr>
          <w:rFonts w:asciiTheme="majorHAnsi" w:hAnsiTheme="majorHAnsi"/>
          <w:bCs/>
          <w:sz w:val="20"/>
          <w:szCs w:val="20"/>
          <w:lang w:val="es-ES"/>
        </w:rPr>
        <w:t xml:space="preserve">de </w:t>
      </w:r>
      <w:r w:rsidR="00DC39C3" w:rsidRPr="00496FE9">
        <w:rPr>
          <w:rFonts w:asciiTheme="majorHAnsi" w:hAnsiTheme="majorHAnsi"/>
          <w:bCs/>
          <w:sz w:val="20"/>
          <w:szCs w:val="20"/>
          <w:lang w:val="es-ES"/>
        </w:rPr>
        <w:t>estas áreas que debían asistir a una reunión obligatoria en la que se discutiría el enlistamiento de las personas mayores de 8 años a las filas de los grupos ilegales. Indica que la reunión se celeb</w:t>
      </w:r>
      <w:r w:rsidR="007E411C" w:rsidRPr="00496FE9">
        <w:rPr>
          <w:rFonts w:asciiTheme="majorHAnsi" w:hAnsiTheme="majorHAnsi"/>
          <w:bCs/>
          <w:sz w:val="20"/>
          <w:szCs w:val="20"/>
          <w:lang w:val="es-ES"/>
        </w:rPr>
        <w:t>ró pero solo participaron alguno</w:t>
      </w:r>
      <w:r w:rsidR="00DC39C3" w:rsidRPr="00496FE9">
        <w:rPr>
          <w:rFonts w:asciiTheme="majorHAnsi" w:hAnsiTheme="majorHAnsi"/>
          <w:bCs/>
          <w:sz w:val="20"/>
          <w:szCs w:val="20"/>
          <w:lang w:val="es-ES"/>
        </w:rPr>
        <w:t>s poc</w:t>
      </w:r>
      <w:r w:rsidR="007E411C" w:rsidRPr="00496FE9">
        <w:rPr>
          <w:rFonts w:asciiTheme="majorHAnsi" w:hAnsiTheme="majorHAnsi"/>
          <w:bCs/>
          <w:sz w:val="20"/>
          <w:szCs w:val="20"/>
          <w:lang w:val="es-ES"/>
        </w:rPr>
        <w:t>o</w:t>
      </w:r>
      <w:r w:rsidR="00DC39C3" w:rsidRPr="00496FE9">
        <w:rPr>
          <w:rFonts w:asciiTheme="majorHAnsi" w:hAnsiTheme="majorHAnsi"/>
          <w:bCs/>
          <w:sz w:val="20"/>
          <w:szCs w:val="20"/>
          <w:lang w:val="es-ES"/>
        </w:rPr>
        <w:t>s p</w:t>
      </w:r>
      <w:r w:rsidR="007E411C" w:rsidRPr="00496FE9">
        <w:rPr>
          <w:rFonts w:asciiTheme="majorHAnsi" w:hAnsiTheme="majorHAnsi"/>
          <w:bCs/>
          <w:sz w:val="20"/>
          <w:szCs w:val="20"/>
          <w:lang w:val="es-ES"/>
        </w:rPr>
        <w:t>obladores</w:t>
      </w:r>
      <w:r w:rsidR="00DC39C3" w:rsidRPr="00496FE9">
        <w:rPr>
          <w:rFonts w:asciiTheme="majorHAnsi" w:hAnsiTheme="majorHAnsi"/>
          <w:bCs/>
          <w:sz w:val="20"/>
          <w:szCs w:val="20"/>
          <w:lang w:val="es-ES"/>
        </w:rPr>
        <w:t xml:space="preserve"> qu</w:t>
      </w:r>
      <w:r w:rsidR="007E411C" w:rsidRPr="00496FE9">
        <w:rPr>
          <w:rFonts w:asciiTheme="majorHAnsi" w:hAnsiTheme="majorHAnsi"/>
          <w:bCs/>
          <w:sz w:val="20"/>
          <w:szCs w:val="20"/>
          <w:lang w:val="es-ES"/>
        </w:rPr>
        <w:t>i</w:t>
      </w:r>
      <w:r w:rsidR="00DC39C3" w:rsidRPr="00496FE9">
        <w:rPr>
          <w:rFonts w:asciiTheme="majorHAnsi" w:hAnsiTheme="majorHAnsi"/>
          <w:bCs/>
          <w:sz w:val="20"/>
          <w:szCs w:val="20"/>
          <w:lang w:val="es-ES"/>
        </w:rPr>
        <w:t>e</w:t>
      </w:r>
      <w:r w:rsidR="007E411C" w:rsidRPr="00496FE9">
        <w:rPr>
          <w:rFonts w:asciiTheme="majorHAnsi" w:hAnsiTheme="majorHAnsi"/>
          <w:bCs/>
          <w:sz w:val="20"/>
          <w:szCs w:val="20"/>
          <w:lang w:val="es-ES"/>
        </w:rPr>
        <w:t>nes</w:t>
      </w:r>
      <w:r w:rsidR="00DC39C3" w:rsidRPr="00496FE9">
        <w:rPr>
          <w:rFonts w:asciiTheme="majorHAnsi" w:hAnsiTheme="majorHAnsi"/>
          <w:bCs/>
          <w:sz w:val="20"/>
          <w:szCs w:val="20"/>
          <w:lang w:val="es-ES"/>
        </w:rPr>
        <w:t xml:space="preserve"> fueron llevad</w:t>
      </w:r>
      <w:r w:rsidR="007E411C" w:rsidRPr="00496FE9">
        <w:rPr>
          <w:rFonts w:asciiTheme="majorHAnsi" w:hAnsiTheme="majorHAnsi"/>
          <w:bCs/>
          <w:sz w:val="20"/>
          <w:szCs w:val="20"/>
          <w:lang w:val="es-ES"/>
        </w:rPr>
        <w:t>o</w:t>
      </w:r>
      <w:r w:rsidR="00DC39C3" w:rsidRPr="00496FE9">
        <w:rPr>
          <w:rFonts w:asciiTheme="majorHAnsi" w:hAnsiTheme="majorHAnsi"/>
          <w:bCs/>
          <w:sz w:val="20"/>
          <w:szCs w:val="20"/>
          <w:lang w:val="es-ES"/>
        </w:rPr>
        <w:t>s contra su voluntad</w:t>
      </w:r>
      <w:r w:rsidR="007E411C" w:rsidRPr="00496FE9">
        <w:rPr>
          <w:rFonts w:asciiTheme="majorHAnsi" w:hAnsiTheme="majorHAnsi"/>
          <w:bCs/>
          <w:sz w:val="20"/>
          <w:szCs w:val="20"/>
          <w:lang w:val="es-ES"/>
        </w:rPr>
        <w:t xml:space="preserve"> con los grupos armados ilegales. Aduce que </w:t>
      </w:r>
      <w:r w:rsidR="00DC39C3" w:rsidRPr="00496FE9">
        <w:rPr>
          <w:rFonts w:asciiTheme="majorHAnsi" w:hAnsiTheme="majorHAnsi"/>
          <w:bCs/>
          <w:sz w:val="20"/>
          <w:szCs w:val="20"/>
          <w:lang w:val="es-ES"/>
        </w:rPr>
        <w:t xml:space="preserve">los organizadores </w:t>
      </w:r>
      <w:r w:rsidR="007E411C" w:rsidRPr="00496FE9">
        <w:rPr>
          <w:rFonts w:asciiTheme="majorHAnsi" w:hAnsiTheme="majorHAnsi"/>
          <w:bCs/>
          <w:sz w:val="20"/>
          <w:szCs w:val="20"/>
          <w:lang w:val="es-ES"/>
        </w:rPr>
        <w:t xml:space="preserve">de la reunión </w:t>
      </w:r>
      <w:r w:rsidR="00DC39C3" w:rsidRPr="00496FE9">
        <w:rPr>
          <w:rFonts w:asciiTheme="majorHAnsi" w:hAnsiTheme="majorHAnsi"/>
          <w:bCs/>
          <w:sz w:val="20"/>
          <w:szCs w:val="20"/>
          <w:lang w:val="es-ES"/>
        </w:rPr>
        <w:t>indicaron que regresarían el 14 de septiem</w:t>
      </w:r>
      <w:r w:rsidR="00274AB7" w:rsidRPr="00496FE9">
        <w:rPr>
          <w:rFonts w:asciiTheme="majorHAnsi" w:hAnsiTheme="majorHAnsi"/>
          <w:bCs/>
          <w:sz w:val="20"/>
          <w:szCs w:val="20"/>
          <w:lang w:val="es-ES"/>
        </w:rPr>
        <w:t>bre para buscar a seis personas</w:t>
      </w:r>
      <w:r w:rsidR="007E411C" w:rsidRPr="00496FE9">
        <w:rPr>
          <w:rFonts w:asciiTheme="majorHAnsi" w:hAnsiTheme="majorHAnsi"/>
          <w:bCs/>
          <w:sz w:val="20"/>
          <w:szCs w:val="20"/>
          <w:lang w:val="es-ES"/>
        </w:rPr>
        <w:t xml:space="preserve"> </w:t>
      </w:r>
      <w:r w:rsidR="00DC39C3" w:rsidRPr="00496FE9">
        <w:rPr>
          <w:rFonts w:asciiTheme="majorHAnsi" w:hAnsiTheme="majorHAnsi"/>
          <w:bCs/>
          <w:sz w:val="20"/>
          <w:szCs w:val="20"/>
          <w:lang w:val="es-ES"/>
        </w:rPr>
        <w:t>que “necesitaban”</w:t>
      </w:r>
      <w:r w:rsidR="00274AB7" w:rsidRPr="00496FE9">
        <w:rPr>
          <w:rFonts w:asciiTheme="majorHAnsi" w:hAnsiTheme="majorHAnsi"/>
          <w:bCs/>
          <w:sz w:val="20"/>
          <w:szCs w:val="20"/>
          <w:lang w:val="es-ES"/>
        </w:rPr>
        <w:t xml:space="preserve"> para “ajusticiarlas”. </w:t>
      </w:r>
      <w:r w:rsidR="00DC39C3" w:rsidRPr="00496FE9">
        <w:rPr>
          <w:rStyle w:val="FootnoteReference"/>
          <w:rFonts w:asciiTheme="majorHAnsi" w:hAnsiTheme="majorHAnsi"/>
          <w:bCs/>
          <w:sz w:val="20"/>
          <w:szCs w:val="20"/>
          <w:lang w:val="es-ES"/>
        </w:rPr>
        <w:footnoteReference w:id="6"/>
      </w:r>
      <w:r w:rsidR="00DC39C3" w:rsidRPr="00496FE9">
        <w:rPr>
          <w:rFonts w:asciiTheme="majorHAnsi" w:hAnsiTheme="majorHAnsi"/>
          <w:bCs/>
          <w:sz w:val="20"/>
          <w:szCs w:val="20"/>
          <w:lang w:val="es-ES"/>
        </w:rPr>
        <w:t>.</w:t>
      </w:r>
      <w:r w:rsidR="00717E65" w:rsidRPr="00496FE9">
        <w:rPr>
          <w:rFonts w:asciiTheme="majorHAnsi" w:hAnsiTheme="majorHAnsi"/>
          <w:bCs/>
          <w:sz w:val="20"/>
          <w:szCs w:val="20"/>
          <w:lang w:val="es-ES"/>
        </w:rPr>
        <w:t xml:space="preserve"> Señala que ante esta situación las personas pobladoras de las veredas designaron a un grupo de personas para que informara</w:t>
      </w:r>
      <w:r w:rsidR="007E411C" w:rsidRPr="00496FE9">
        <w:rPr>
          <w:rFonts w:asciiTheme="majorHAnsi" w:hAnsiTheme="majorHAnsi"/>
          <w:bCs/>
          <w:sz w:val="20"/>
          <w:szCs w:val="20"/>
          <w:lang w:val="es-ES"/>
        </w:rPr>
        <w:t>n</w:t>
      </w:r>
      <w:r w:rsidR="00717E65" w:rsidRPr="00496FE9">
        <w:rPr>
          <w:rFonts w:asciiTheme="majorHAnsi" w:hAnsiTheme="majorHAnsi"/>
          <w:bCs/>
          <w:sz w:val="20"/>
          <w:szCs w:val="20"/>
          <w:lang w:val="es-ES"/>
        </w:rPr>
        <w:t xml:space="preserve"> </w:t>
      </w:r>
      <w:r w:rsidR="007E411C" w:rsidRPr="00496FE9">
        <w:rPr>
          <w:rFonts w:asciiTheme="majorHAnsi" w:hAnsiTheme="majorHAnsi"/>
          <w:bCs/>
          <w:sz w:val="20"/>
          <w:szCs w:val="20"/>
          <w:lang w:val="es-ES"/>
        </w:rPr>
        <w:t xml:space="preserve">sobre ésta </w:t>
      </w:r>
      <w:r w:rsidR="00717E65" w:rsidRPr="00496FE9">
        <w:rPr>
          <w:rFonts w:asciiTheme="majorHAnsi" w:hAnsiTheme="majorHAnsi"/>
          <w:bCs/>
          <w:sz w:val="20"/>
          <w:szCs w:val="20"/>
          <w:lang w:val="es-ES"/>
        </w:rPr>
        <w:t xml:space="preserve">grave situación a las autoridades públicas locales y departamentales y también ante los medios de comunicación. </w:t>
      </w:r>
    </w:p>
    <w:p w14:paraId="1C975EC7" w14:textId="5516EE5E" w:rsidR="00717E65" w:rsidRPr="00496FE9" w:rsidRDefault="00717E65" w:rsidP="00175CDF">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 xml:space="preserve">Continúa relatando que el 28 de agosto del 2000 las personas designadas por los pobladores viajaron a Popayán donde se reunieron con un coronel quien los remitió a la Tercera Brigada del Batallón Pichincha con sede en la ciudad de Cali y les proporcionó viáticos para que se trasladaran a esa ciudad.  Indica que en Cali fueron atendidos por un General a quien </w:t>
      </w:r>
      <w:r w:rsidR="007E411C" w:rsidRPr="00496FE9">
        <w:rPr>
          <w:rFonts w:asciiTheme="majorHAnsi" w:hAnsiTheme="majorHAnsi"/>
          <w:bCs/>
          <w:sz w:val="20"/>
          <w:szCs w:val="20"/>
          <w:lang w:val="es-ES"/>
        </w:rPr>
        <w:t xml:space="preserve">le </w:t>
      </w:r>
      <w:r w:rsidRPr="00496FE9">
        <w:rPr>
          <w:rFonts w:asciiTheme="majorHAnsi" w:hAnsiTheme="majorHAnsi"/>
          <w:bCs/>
          <w:sz w:val="20"/>
          <w:szCs w:val="20"/>
          <w:lang w:val="es-ES"/>
        </w:rPr>
        <w:t xml:space="preserve">informaron </w:t>
      </w:r>
      <w:r w:rsidR="007E411C" w:rsidRPr="00496FE9">
        <w:rPr>
          <w:rFonts w:asciiTheme="majorHAnsi" w:hAnsiTheme="majorHAnsi"/>
          <w:bCs/>
          <w:sz w:val="20"/>
          <w:szCs w:val="20"/>
          <w:lang w:val="es-ES"/>
        </w:rPr>
        <w:t>los hechos sucedidos</w:t>
      </w:r>
      <w:r w:rsidR="00CD03A0" w:rsidRPr="00496FE9">
        <w:rPr>
          <w:rFonts w:asciiTheme="majorHAnsi" w:hAnsiTheme="majorHAnsi"/>
          <w:bCs/>
          <w:sz w:val="20"/>
          <w:szCs w:val="20"/>
          <w:lang w:val="es-ES"/>
        </w:rPr>
        <w:t xml:space="preserve">, así como de la amenaza directa que estos </w:t>
      </w:r>
      <w:r w:rsidR="00E9200C" w:rsidRPr="00496FE9">
        <w:rPr>
          <w:rFonts w:asciiTheme="majorHAnsi" w:hAnsiTheme="majorHAnsi"/>
          <w:bCs/>
          <w:sz w:val="20"/>
          <w:szCs w:val="20"/>
          <w:lang w:val="es-ES"/>
        </w:rPr>
        <w:t xml:space="preserve">grupos ilegales </w:t>
      </w:r>
      <w:r w:rsidR="00CD03A0" w:rsidRPr="00496FE9">
        <w:rPr>
          <w:rFonts w:asciiTheme="majorHAnsi" w:hAnsiTheme="majorHAnsi"/>
          <w:bCs/>
          <w:sz w:val="20"/>
          <w:szCs w:val="20"/>
          <w:lang w:val="es-ES"/>
        </w:rPr>
        <w:t xml:space="preserve">habían realizado contra las 6 personas que “necesitaban” ajusticiar por motivos ideológicos. Señala </w:t>
      </w:r>
      <w:r w:rsidR="00E9200C" w:rsidRPr="00496FE9">
        <w:rPr>
          <w:rFonts w:asciiTheme="majorHAnsi" w:hAnsiTheme="majorHAnsi"/>
          <w:bCs/>
          <w:sz w:val="20"/>
          <w:szCs w:val="20"/>
          <w:lang w:val="es-ES"/>
        </w:rPr>
        <w:t>que,</w:t>
      </w:r>
      <w:r w:rsidR="00CD03A0" w:rsidRPr="00496FE9">
        <w:rPr>
          <w:rFonts w:asciiTheme="majorHAnsi" w:hAnsiTheme="majorHAnsi"/>
          <w:bCs/>
          <w:sz w:val="20"/>
          <w:szCs w:val="20"/>
          <w:lang w:val="es-ES"/>
        </w:rPr>
        <w:t xml:space="preserve"> </w:t>
      </w:r>
      <w:r w:rsidR="00E9200C" w:rsidRPr="00496FE9">
        <w:rPr>
          <w:rFonts w:asciiTheme="majorHAnsi" w:hAnsiTheme="majorHAnsi"/>
          <w:bCs/>
          <w:sz w:val="20"/>
          <w:szCs w:val="20"/>
          <w:lang w:val="es-ES"/>
        </w:rPr>
        <w:t xml:space="preserve">en dicha oportunidad, </w:t>
      </w:r>
      <w:r w:rsidR="00CD03A0" w:rsidRPr="00496FE9">
        <w:rPr>
          <w:rFonts w:asciiTheme="majorHAnsi" w:hAnsiTheme="majorHAnsi"/>
          <w:bCs/>
          <w:sz w:val="20"/>
          <w:szCs w:val="20"/>
          <w:lang w:val="es-ES"/>
        </w:rPr>
        <w:t xml:space="preserve">el General les informó que ya había solicitado el apoyo del Ministerio de Defensa y les entregó dos celulares para que se comunicaran en caso de ocurrir cualquier irregularidad. Agrega que las personas designadas también enviaron una carta informando de la situación al Gobernador del Departamento del Cauca, de la cual no recibieron respuesta. </w:t>
      </w:r>
    </w:p>
    <w:p w14:paraId="7497C241" w14:textId="39E29A45" w:rsidR="00CD03A0" w:rsidRPr="00496FE9" w:rsidRDefault="00CD03A0" w:rsidP="00175CDF">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Señala que el 14 de septiembre de 2000 los grupos armados ilegales efectivamente se presentaron a la vereda del Edén y dieron muerte a cinco personas</w:t>
      </w:r>
      <w:r w:rsidRPr="00496FE9">
        <w:rPr>
          <w:rStyle w:val="FootnoteReference"/>
          <w:rFonts w:asciiTheme="majorHAnsi" w:hAnsiTheme="majorHAnsi"/>
          <w:bCs/>
          <w:sz w:val="20"/>
          <w:szCs w:val="20"/>
          <w:lang w:val="es-ES"/>
        </w:rPr>
        <w:footnoteReference w:id="7"/>
      </w:r>
      <w:r w:rsidRPr="00496FE9">
        <w:rPr>
          <w:rFonts w:asciiTheme="majorHAnsi" w:hAnsiTheme="majorHAnsi"/>
          <w:bCs/>
          <w:sz w:val="20"/>
          <w:szCs w:val="20"/>
          <w:lang w:val="es-ES"/>
        </w:rPr>
        <w:t xml:space="preserve"> y causaron lesiones a varias otras</w:t>
      </w:r>
      <w:r w:rsidRPr="00496FE9">
        <w:rPr>
          <w:rStyle w:val="FootnoteReference"/>
          <w:rFonts w:asciiTheme="majorHAnsi" w:hAnsiTheme="majorHAnsi"/>
          <w:bCs/>
          <w:sz w:val="20"/>
          <w:szCs w:val="20"/>
          <w:lang w:val="es-ES"/>
        </w:rPr>
        <w:footnoteReference w:id="8"/>
      </w:r>
      <w:r w:rsidR="00377636" w:rsidRPr="00496FE9">
        <w:rPr>
          <w:rFonts w:asciiTheme="majorHAnsi" w:hAnsiTheme="majorHAnsi"/>
          <w:bCs/>
          <w:sz w:val="20"/>
          <w:szCs w:val="20"/>
          <w:lang w:val="es-ES"/>
        </w:rPr>
        <w:t xml:space="preserve">. Resalta que la ayuda solicitada al Estado no llegó ese día forzando a las personas residentes a resistir a los grupos ilegales por su propia cuenta. Agrega que tras los eventos del 14 de septiembre los grupos ilegales reiteraron que estaban reclutando a las personas mayores de 8 años y advirtieron que regresarían en un plazo no mayor de 15 días. Indica que durante </w:t>
      </w:r>
      <w:r w:rsidR="00285FC7" w:rsidRPr="00496FE9">
        <w:rPr>
          <w:rFonts w:asciiTheme="majorHAnsi" w:hAnsiTheme="majorHAnsi"/>
          <w:bCs/>
          <w:sz w:val="20"/>
          <w:szCs w:val="20"/>
          <w:lang w:val="es-ES"/>
        </w:rPr>
        <w:t>los 15</w:t>
      </w:r>
      <w:r w:rsidR="00377636" w:rsidRPr="00496FE9">
        <w:rPr>
          <w:rFonts w:asciiTheme="majorHAnsi" w:hAnsiTheme="majorHAnsi"/>
          <w:bCs/>
          <w:sz w:val="20"/>
          <w:szCs w:val="20"/>
          <w:lang w:val="es-ES"/>
        </w:rPr>
        <w:t xml:space="preserve"> días</w:t>
      </w:r>
      <w:r w:rsidR="00285FC7" w:rsidRPr="00496FE9">
        <w:rPr>
          <w:rFonts w:asciiTheme="majorHAnsi" w:hAnsiTheme="majorHAnsi"/>
          <w:bCs/>
          <w:sz w:val="20"/>
          <w:szCs w:val="20"/>
          <w:lang w:val="es-ES"/>
        </w:rPr>
        <w:t xml:space="preserve"> subsiguientes a estos eventos</w:t>
      </w:r>
      <w:r w:rsidR="00377636" w:rsidRPr="00496FE9">
        <w:rPr>
          <w:rFonts w:asciiTheme="majorHAnsi" w:hAnsiTheme="majorHAnsi"/>
          <w:bCs/>
          <w:sz w:val="20"/>
          <w:szCs w:val="20"/>
          <w:lang w:val="es-ES"/>
        </w:rPr>
        <w:t xml:space="preserve"> las personas que habitaban el área vivieron en un estado de zozobra, tratando de seguir con sus labores cotidianas con temor y con la esperanza de que el Estado las protegiera de los grupos ilegales. </w:t>
      </w:r>
      <w:r w:rsidR="00285FC7" w:rsidRPr="00496FE9">
        <w:rPr>
          <w:rFonts w:asciiTheme="majorHAnsi" w:hAnsiTheme="majorHAnsi"/>
          <w:bCs/>
          <w:sz w:val="20"/>
          <w:szCs w:val="20"/>
          <w:lang w:val="es-ES"/>
        </w:rPr>
        <w:t>Explica que las personas pobladoras tuvieron noticia que el 7 de octubre de 2000 ocurriría un nuevo ataque por parte de los grupos ilegales por lo que nuevamente c</w:t>
      </w:r>
      <w:r w:rsidR="0043799F" w:rsidRPr="00496FE9">
        <w:rPr>
          <w:rFonts w:asciiTheme="majorHAnsi" w:hAnsiTheme="majorHAnsi"/>
          <w:bCs/>
          <w:sz w:val="20"/>
          <w:szCs w:val="20"/>
          <w:lang w:val="es-ES"/>
        </w:rPr>
        <w:t>omisionaron a unas personas para</w:t>
      </w:r>
      <w:r w:rsidR="00285FC7" w:rsidRPr="00496FE9">
        <w:rPr>
          <w:rFonts w:asciiTheme="majorHAnsi" w:hAnsiTheme="majorHAnsi"/>
          <w:bCs/>
          <w:sz w:val="20"/>
          <w:szCs w:val="20"/>
          <w:lang w:val="es-ES"/>
        </w:rPr>
        <w:t xml:space="preserve"> que comunicaran la situación a las autoridades estatales y los medios de comunicación. Indica que las personas seleccionadas se contactaron nuevamente con mandos militares en Cauca y Cali quienes les comunicaron que ya había pedido refuerzos a nivel estatal y garantizaron que en esta ocasión si tendrían su apoyo. Añade que nuevamente contactaron a la gobernación y que no obtuvieron respuesta, pese a que la situación hab</w:t>
      </w:r>
      <w:r w:rsidR="008E2E79" w:rsidRPr="00496FE9">
        <w:rPr>
          <w:rFonts w:asciiTheme="majorHAnsi" w:hAnsiTheme="majorHAnsi"/>
          <w:bCs/>
          <w:sz w:val="20"/>
          <w:szCs w:val="20"/>
          <w:lang w:val="es-ES"/>
        </w:rPr>
        <w:t xml:space="preserve">ía estado recibiendo amplia cobertura por parte de los medios. </w:t>
      </w:r>
    </w:p>
    <w:p w14:paraId="0F022CED" w14:textId="734AB437" w:rsidR="008E2E79" w:rsidRPr="00496FE9" w:rsidRDefault="008E2E79" w:rsidP="00175CDF">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 xml:space="preserve">Indica que el 7 de octubre los grupos ilegales nuevamente atacaron a las poblaciones de la Isla, la Diana y el Edén que se encontraban totalmente desprotegidas. Destaca que los pobladores intentaron pedir auxilio mediante los celulares que les habían proporcionado pero que lo único que recibieron fue instrucciones sobre </w:t>
      </w:r>
      <w:r w:rsidR="00E17C0A" w:rsidRPr="00496FE9">
        <w:rPr>
          <w:rFonts w:asciiTheme="majorHAnsi" w:hAnsiTheme="majorHAnsi"/>
          <w:bCs/>
          <w:sz w:val="20"/>
          <w:szCs w:val="20"/>
          <w:lang w:val="es-ES"/>
        </w:rPr>
        <w:t>cómo</w:t>
      </w:r>
      <w:r w:rsidRPr="00496FE9">
        <w:rPr>
          <w:rFonts w:asciiTheme="majorHAnsi" w:hAnsiTheme="majorHAnsi"/>
          <w:bCs/>
          <w:sz w:val="20"/>
          <w:szCs w:val="20"/>
          <w:lang w:val="es-ES"/>
        </w:rPr>
        <w:t xml:space="preserve"> distribuirse y enfrentar a los insurgentes mientras llegaba el auxilio. También señala </w:t>
      </w:r>
      <w:r w:rsidR="00E17C0A" w:rsidRPr="00496FE9">
        <w:rPr>
          <w:rFonts w:asciiTheme="majorHAnsi" w:hAnsiTheme="majorHAnsi"/>
          <w:bCs/>
          <w:sz w:val="20"/>
          <w:szCs w:val="20"/>
          <w:lang w:val="es-ES"/>
        </w:rPr>
        <w:t xml:space="preserve">que </w:t>
      </w:r>
      <w:r w:rsidRPr="00496FE9">
        <w:rPr>
          <w:rFonts w:asciiTheme="majorHAnsi" w:hAnsiTheme="majorHAnsi"/>
          <w:bCs/>
          <w:sz w:val="20"/>
          <w:szCs w:val="20"/>
          <w:lang w:val="es-ES"/>
        </w:rPr>
        <w:lastRenderedPageBreak/>
        <w:t>solicitaron la ayuda de algunas</w:t>
      </w:r>
      <w:r w:rsidR="009452A9" w:rsidRPr="00496FE9">
        <w:rPr>
          <w:rFonts w:asciiTheme="majorHAnsi" w:hAnsiTheme="majorHAnsi"/>
          <w:bCs/>
          <w:sz w:val="20"/>
          <w:szCs w:val="20"/>
          <w:lang w:val="es-ES"/>
        </w:rPr>
        <w:t xml:space="preserve"> personas oriundas del área </w:t>
      </w:r>
      <w:r w:rsidR="00E17C0A" w:rsidRPr="00496FE9">
        <w:rPr>
          <w:rFonts w:asciiTheme="majorHAnsi" w:hAnsiTheme="majorHAnsi"/>
          <w:bCs/>
          <w:sz w:val="20"/>
          <w:szCs w:val="20"/>
          <w:lang w:val="es-ES"/>
        </w:rPr>
        <w:t>de</w:t>
      </w:r>
      <w:r w:rsidR="009452A9" w:rsidRPr="00496FE9">
        <w:rPr>
          <w:rFonts w:asciiTheme="majorHAnsi" w:hAnsiTheme="majorHAnsi"/>
          <w:bCs/>
          <w:sz w:val="20"/>
          <w:szCs w:val="20"/>
          <w:lang w:val="es-ES"/>
        </w:rPr>
        <w:t xml:space="preserve"> Popayán para que contactaran directamente a las fuerzas militares, y que estas les indicaron que no podían desplazarse inmediatamente pero que estaban coordinando para conseguir los helicópteros. Manifiesta que mientras las fuerzas militares </w:t>
      </w:r>
      <w:r w:rsidR="00E17C0A" w:rsidRPr="00496FE9">
        <w:rPr>
          <w:rFonts w:asciiTheme="majorHAnsi" w:hAnsiTheme="majorHAnsi"/>
          <w:bCs/>
          <w:sz w:val="20"/>
          <w:szCs w:val="20"/>
          <w:lang w:val="es-ES"/>
        </w:rPr>
        <w:t xml:space="preserve">se </w:t>
      </w:r>
      <w:r w:rsidR="009452A9" w:rsidRPr="00496FE9">
        <w:rPr>
          <w:rFonts w:asciiTheme="majorHAnsi" w:hAnsiTheme="majorHAnsi"/>
          <w:bCs/>
          <w:sz w:val="20"/>
          <w:szCs w:val="20"/>
          <w:lang w:val="es-ES"/>
        </w:rPr>
        <w:t>coordinaban murieron varias personas pertenecientes a la población civil del área</w:t>
      </w:r>
      <w:r w:rsidR="009452A9" w:rsidRPr="00496FE9">
        <w:rPr>
          <w:rStyle w:val="FootnoteReference"/>
          <w:rFonts w:asciiTheme="majorHAnsi" w:hAnsiTheme="majorHAnsi"/>
          <w:bCs/>
          <w:sz w:val="20"/>
          <w:szCs w:val="20"/>
          <w:lang w:val="es-ES"/>
        </w:rPr>
        <w:footnoteReference w:id="9"/>
      </w:r>
      <w:r w:rsidR="00E17C0A" w:rsidRPr="00496FE9">
        <w:rPr>
          <w:rFonts w:asciiTheme="majorHAnsi" w:hAnsiTheme="majorHAnsi"/>
          <w:bCs/>
          <w:sz w:val="20"/>
          <w:szCs w:val="20"/>
          <w:lang w:val="es-ES"/>
        </w:rPr>
        <w:t xml:space="preserve">, </w:t>
      </w:r>
      <w:r w:rsidR="009452A9" w:rsidRPr="00496FE9">
        <w:rPr>
          <w:rFonts w:asciiTheme="majorHAnsi" w:hAnsiTheme="majorHAnsi"/>
          <w:bCs/>
          <w:sz w:val="20"/>
          <w:szCs w:val="20"/>
          <w:lang w:val="es-ES"/>
        </w:rPr>
        <w:t xml:space="preserve">otras fueron </w:t>
      </w:r>
      <w:r w:rsidR="00E17C0A" w:rsidRPr="00496FE9">
        <w:rPr>
          <w:rFonts w:asciiTheme="majorHAnsi" w:hAnsiTheme="majorHAnsi"/>
          <w:bCs/>
          <w:sz w:val="20"/>
          <w:szCs w:val="20"/>
          <w:lang w:val="es-ES"/>
        </w:rPr>
        <w:t xml:space="preserve">lesionadas y sus </w:t>
      </w:r>
      <w:r w:rsidR="00AC0C79" w:rsidRPr="00496FE9">
        <w:rPr>
          <w:rFonts w:asciiTheme="majorHAnsi" w:hAnsiTheme="majorHAnsi"/>
          <w:bCs/>
          <w:sz w:val="20"/>
          <w:szCs w:val="20"/>
          <w:lang w:val="es-ES"/>
        </w:rPr>
        <w:t>propiedades</w:t>
      </w:r>
      <w:r w:rsidR="00E17C0A" w:rsidRPr="00496FE9">
        <w:rPr>
          <w:rFonts w:asciiTheme="majorHAnsi" w:hAnsiTheme="majorHAnsi"/>
          <w:bCs/>
          <w:sz w:val="20"/>
          <w:szCs w:val="20"/>
          <w:lang w:val="es-ES"/>
        </w:rPr>
        <w:t xml:space="preserve"> dañadas. Además, sopesaba sobre ellos </w:t>
      </w:r>
      <w:r w:rsidR="009452A9" w:rsidRPr="00496FE9">
        <w:rPr>
          <w:rFonts w:asciiTheme="majorHAnsi" w:hAnsiTheme="majorHAnsi"/>
          <w:bCs/>
          <w:sz w:val="20"/>
          <w:szCs w:val="20"/>
          <w:lang w:val="es-ES"/>
        </w:rPr>
        <w:t xml:space="preserve">la amenaza inminente de que sus hijos menores de edad les fueran arrebatados por </w:t>
      </w:r>
      <w:r w:rsidR="00E17C0A" w:rsidRPr="00496FE9">
        <w:rPr>
          <w:rFonts w:asciiTheme="majorHAnsi" w:hAnsiTheme="majorHAnsi"/>
          <w:bCs/>
          <w:sz w:val="20"/>
          <w:szCs w:val="20"/>
          <w:lang w:val="es-ES"/>
        </w:rPr>
        <w:t>los grupos</w:t>
      </w:r>
      <w:r w:rsidR="009452A9" w:rsidRPr="00496FE9">
        <w:rPr>
          <w:rFonts w:asciiTheme="majorHAnsi" w:hAnsiTheme="majorHAnsi"/>
          <w:bCs/>
          <w:sz w:val="20"/>
          <w:szCs w:val="20"/>
          <w:lang w:val="es-ES"/>
        </w:rPr>
        <w:t xml:space="preserve"> guerrilleras. Resalta que las fuerzas militares del Estado no se hicieron presentes sino hasta el día siguiente, 8 de octubre del 2000, cuando los guerrilleros ya se habían marchado y solo quedaban los muertos y la destrucción</w:t>
      </w:r>
      <w:r w:rsidR="00111961" w:rsidRPr="00496FE9">
        <w:rPr>
          <w:rFonts w:asciiTheme="majorHAnsi" w:hAnsiTheme="majorHAnsi"/>
          <w:bCs/>
          <w:sz w:val="20"/>
          <w:szCs w:val="20"/>
          <w:lang w:val="es-ES"/>
        </w:rPr>
        <w:t xml:space="preserve"> de sus casas</w:t>
      </w:r>
      <w:r w:rsidR="009452A9" w:rsidRPr="00496FE9">
        <w:rPr>
          <w:rFonts w:asciiTheme="majorHAnsi" w:hAnsiTheme="majorHAnsi"/>
          <w:bCs/>
          <w:sz w:val="20"/>
          <w:szCs w:val="20"/>
          <w:lang w:val="es-ES"/>
        </w:rPr>
        <w:t>. Señala que el temor a nuevos ataques por parte de los grupos ilegales y el abandono total por parte del Estado forzó a las personas que h</w:t>
      </w:r>
      <w:r w:rsidR="00AC0C79" w:rsidRPr="00496FE9">
        <w:rPr>
          <w:rFonts w:asciiTheme="majorHAnsi" w:hAnsiTheme="majorHAnsi"/>
          <w:bCs/>
          <w:sz w:val="20"/>
          <w:szCs w:val="20"/>
          <w:lang w:val="es-ES"/>
        </w:rPr>
        <w:t xml:space="preserve">abitaban el área </w:t>
      </w:r>
      <w:r w:rsidR="00111961" w:rsidRPr="00496FE9">
        <w:rPr>
          <w:rFonts w:asciiTheme="majorHAnsi" w:hAnsiTheme="majorHAnsi"/>
          <w:bCs/>
          <w:sz w:val="20"/>
          <w:szCs w:val="20"/>
          <w:lang w:val="es-ES"/>
        </w:rPr>
        <w:t xml:space="preserve">a </w:t>
      </w:r>
      <w:r w:rsidR="00AC0C79" w:rsidRPr="00496FE9">
        <w:rPr>
          <w:rFonts w:asciiTheme="majorHAnsi" w:hAnsiTheme="majorHAnsi"/>
          <w:bCs/>
          <w:sz w:val="20"/>
          <w:szCs w:val="20"/>
          <w:lang w:val="es-ES"/>
        </w:rPr>
        <w:t>desplazarse a otros puntos del</w:t>
      </w:r>
      <w:r w:rsidR="009452A9" w:rsidRPr="00496FE9">
        <w:rPr>
          <w:rFonts w:asciiTheme="majorHAnsi" w:hAnsiTheme="majorHAnsi"/>
          <w:bCs/>
          <w:sz w:val="20"/>
          <w:szCs w:val="20"/>
          <w:lang w:val="es-ES"/>
        </w:rPr>
        <w:t xml:space="preserve"> país abandonando sus propiedades. </w:t>
      </w:r>
    </w:p>
    <w:p w14:paraId="3150DCDF" w14:textId="60061167" w:rsidR="009452A9" w:rsidRPr="00496FE9" w:rsidRDefault="00AC0C79" w:rsidP="00175CDF">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 xml:space="preserve">Señala que en relación a los hechos del 14 de septiembre del 2000 se presentaron </w:t>
      </w:r>
      <w:r w:rsidR="00D337B7" w:rsidRPr="00496FE9">
        <w:rPr>
          <w:rFonts w:asciiTheme="majorHAnsi" w:hAnsiTheme="majorHAnsi"/>
          <w:bCs/>
          <w:sz w:val="20"/>
          <w:szCs w:val="20"/>
          <w:lang w:val="es-ES"/>
        </w:rPr>
        <w:t>demandas de reparación directa</w:t>
      </w:r>
      <w:r w:rsidRPr="00496FE9">
        <w:rPr>
          <w:rFonts w:asciiTheme="majorHAnsi" w:hAnsiTheme="majorHAnsi"/>
          <w:bCs/>
          <w:sz w:val="20"/>
          <w:szCs w:val="20"/>
          <w:lang w:val="es-ES"/>
        </w:rPr>
        <w:t xml:space="preserve"> contra el </w:t>
      </w:r>
      <w:r w:rsidR="00D337B7" w:rsidRPr="00496FE9">
        <w:rPr>
          <w:rFonts w:asciiTheme="majorHAnsi" w:hAnsiTheme="majorHAnsi"/>
          <w:bCs/>
          <w:sz w:val="20"/>
          <w:szCs w:val="20"/>
          <w:lang w:val="es-ES"/>
        </w:rPr>
        <w:t>Estado</w:t>
      </w:r>
      <w:r w:rsidRPr="00496FE9">
        <w:rPr>
          <w:rFonts w:asciiTheme="majorHAnsi" w:hAnsiTheme="majorHAnsi"/>
          <w:bCs/>
          <w:sz w:val="20"/>
          <w:szCs w:val="20"/>
          <w:lang w:val="es-ES"/>
        </w:rPr>
        <w:t xml:space="preserve">, </w:t>
      </w:r>
      <w:r w:rsidR="00111961" w:rsidRPr="00496FE9">
        <w:rPr>
          <w:rFonts w:asciiTheme="majorHAnsi" w:hAnsiTheme="majorHAnsi"/>
          <w:bCs/>
          <w:sz w:val="20"/>
          <w:szCs w:val="20"/>
          <w:lang w:val="es-ES"/>
        </w:rPr>
        <w:t>siendo algunas</w:t>
      </w:r>
      <w:r w:rsidRPr="00496FE9">
        <w:rPr>
          <w:rFonts w:asciiTheme="majorHAnsi" w:hAnsiTheme="majorHAnsi"/>
          <w:bCs/>
          <w:sz w:val="20"/>
          <w:szCs w:val="20"/>
          <w:lang w:val="es-ES"/>
        </w:rPr>
        <w:t xml:space="preserve"> </w:t>
      </w:r>
      <w:r w:rsidR="00D337B7" w:rsidRPr="00496FE9">
        <w:rPr>
          <w:rFonts w:asciiTheme="majorHAnsi" w:hAnsiTheme="majorHAnsi"/>
          <w:bCs/>
          <w:sz w:val="20"/>
          <w:szCs w:val="20"/>
          <w:lang w:val="es-ES"/>
        </w:rPr>
        <w:t>admitidas y acumuladas por el Tribunal Contencioso Administrativo del Cauca</w:t>
      </w:r>
      <w:r w:rsidR="00D337B7" w:rsidRPr="00496FE9">
        <w:rPr>
          <w:rStyle w:val="FootnoteReference"/>
          <w:rFonts w:asciiTheme="majorHAnsi" w:hAnsiTheme="majorHAnsi"/>
          <w:bCs/>
          <w:sz w:val="20"/>
          <w:szCs w:val="20"/>
          <w:lang w:val="es-ES"/>
        </w:rPr>
        <w:footnoteReference w:id="10"/>
      </w:r>
      <w:r w:rsidRPr="00496FE9">
        <w:rPr>
          <w:rFonts w:asciiTheme="majorHAnsi" w:hAnsiTheme="majorHAnsi"/>
          <w:bCs/>
          <w:sz w:val="20"/>
          <w:szCs w:val="20"/>
          <w:lang w:val="es-ES"/>
        </w:rPr>
        <w:t>.</w:t>
      </w:r>
      <w:r w:rsidR="00D337B7" w:rsidRPr="00496FE9">
        <w:rPr>
          <w:rFonts w:asciiTheme="majorHAnsi" w:hAnsiTheme="majorHAnsi"/>
          <w:bCs/>
          <w:sz w:val="20"/>
          <w:szCs w:val="20"/>
          <w:lang w:val="es-ES"/>
        </w:rPr>
        <w:t xml:space="preserve"> Señala que este grupo de demandas entró al periodo de etapa probatoria el 7 de septiembre de 2004, y el 3 de marzo de 2006 entró al despacho de la magistrada a cargo. Explica que, pese a ello, no fue sino hasta 28 de mayo de 2009 que el Tribunal emitió su fallo, </w:t>
      </w:r>
      <w:r w:rsidR="00111961" w:rsidRPr="00496FE9">
        <w:rPr>
          <w:rFonts w:asciiTheme="majorHAnsi" w:hAnsiTheme="majorHAnsi"/>
          <w:bCs/>
          <w:sz w:val="20"/>
          <w:szCs w:val="20"/>
          <w:lang w:val="es-ES"/>
        </w:rPr>
        <w:t>con</w:t>
      </w:r>
      <w:r w:rsidR="00D337B7" w:rsidRPr="00496FE9">
        <w:rPr>
          <w:rFonts w:asciiTheme="majorHAnsi" w:hAnsiTheme="majorHAnsi"/>
          <w:bCs/>
          <w:sz w:val="20"/>
          <w:szCs w:val="20"/>
          <w:lang w:val="es-ES"/>
        </w:rPr>
        <w:t xml:space="preserve"> una adición a este </w:t>
      </w:r>
      <w:r w:rsidR="00111961" w:rsidRPr="00496FE9">
        <w:rPr>
          <w:rFonts w:asciiTheme="majorHAnsi" w:hAnsiTheme="majorHAnsi"/>
          <w:bCs/>
          <w:sz w:val="20"/>
          <w:szCs w:val="20"/>
          <w:lang w:val="es-ES"/>
        </w:rPr>
        <w:t>d</w:t>
      </w:r>
      <w:r w:rsidR="00D337B7" w:rsidRPr="00496FE9">
        <w:rPr>
          <w:rFonts w:asciiTheme="majorHAnsi" w:hAnsiTheme="majorHAnsi"/>
          <w:bCs/>
          <w:sz w:val="20"/>
          <w:szCs w:val="20"/>
          <w:lang w:val="es-ES"/>
        </w:rPr>
        <w:t xml:space="preserve">el 2 de junio de 2009. </w:t>
      </w:r>
      <w:r w:rsidR="006C07E0" w:rsidRPr="00496FE9">
        <w:rPr>
          <w:rFonts w:asciiTheme="majorHAnsi" w:hAnsiTheme="majorHAnsi"/>
          <w:bCs/>
          <w:sz w:val="20"/>
          <w:szCs w:val="20"/>
          <w:lang w:val="es-ES"/>
        </w:rPr>
        <w:t>Explica que el fallo declaró al Estado administrativamente responsable por las muertes de Miguel Angel Chate, Marco Antonio Pechené y Anselmo Pechené y le ordenó pagar a sus familiares indemnizaciones equivalentes a 50 salarios mínimos en unos casos y a 100 salarios mínimos en otros</w:t>
      </w:r>
      <w:r w:rsidR="00111961" w:rsidRPr="00496FE9">
        <w:rPr>
          <w:rFonts w:asciiTheme="majorHAnsi" w:hAnsiTheme="majorHAnsi"/>
          <w:bCs/>
          <w:sz w:val="20"/>
          <w:szCs w:val="20"/>
          <w:lang w:val="es-ES"/>
        </w:rPr>
        <w:t xml:space="preserve"> en concepto de perjuicios morales</w:t>
      </w:r>
      <w:r w:rsidR="006C07E0" w:rsidRPr="00496FE9">
        <w:rPr>
          <w:rFonts w:asciiTheme="majorHAnsi" w:hAnsiTheme="majorHAnsi"/>
          <w:bCs/>
          <w:sz w:val="20"/>
          <w:szCs w:val="20"/>
          <w:lang w:val="es-ES"/>
        </w:rPr>
        <w:t>. Indica que esta decisión se encontraba ejecutoriada al momento de la presentación de la petición</w:t>
      </w:r>
      <w:r w:rsidR="001110FB" w:rsidRPr="00496FE9">
        <w:rPr>
          <w:rFonts w:asciiTheme="majorHAnsi" w:hAnsiTheme="majorHAnsi"/>
          <w:bCs/>
          <w:sz w:val="20"/>
          <w:szCs w:val="20"/>
          <w:lang w:val="es-ES"/>
        </w:rPr>
        <w:t xml:space="preserve"> pero que </w:t>
      </w:r>
      <w:r w:rsidR="00112F93" w:rsidRPr="00496FE9">
        <w:rPr>
          <w:rFonts w:asciiTheme="majorHAnsi" w:hAnsiTheme="majorHAnsi"/>
          <w:bCs/>
          <w:sz w:val="20"/>
          <w:szCs w:val="20"/>
          <w:lang w:val="es-ES"/>
        </w:rPr>
        <w:t xml:space="preserve">los pagos </w:t>
      </w:r>
      <w:r w:rsidR="001110FB" w:rsidRPr="00496FE9">
        <w:rPr>
          <w:rFonts w:asciiTheme="majorHAnsi" w:hAnsiTheme="majorHAnsi"/>
          <w:bCs/>
          <w:sz w:val="20"/>
          <w:szCs w:val="20"/>
          <w:lang w:val="es-ES"/>
        </w:rPr>
        <w:t xml:space="preserve">no se habían hecho efectivos. Explica </w:t>
      </w:r>
      <w:r w:rsidR="006C07E0" w:rsidRPr="00496FE9">
        <w:rPr>
          <w:rFonts w:asciiTheme="majorHAnsi" w:hAnsiTheme="majorHAnsi"/>
          <w:bCs/>
          <w:sz w:val="20"/>
          <w:szCs w:val="20"/>
          <w:lang w:val="es-ES"/>
        </w:rPr>
        <w:t>que</w:t>
      </w:r>
      <w:r w:rsidR="00274AB7" w:rsidRPr="00496FE9">
        <w:rPr>
          <w:rFonts w:asciiTheme="majorHAnsi" w:hAnsiTheme="majorHAnsi"/>
          <w:bCs/>
          <w:sz w:val="20"/>
          <w:szCs w:val="20"/>
          <w:lang w:val="es-ES"/>
        </w:rPr>
        <w:t xml:space="preserve"> la parte demandante</w:t>
      </w:r>
      <w:r w:rsidR="006C07E0" w:rsidRPr="00496FE9">
        <w:rPr>
          <w:rFonts w:asciiTheme="majorHAnsi" w:hAnsiTheme="majorHAnsi"/>
          <w:bCs/>
          <w:sz w:val="20"/>
          <w:szCs w:val="20"/>
          <w:lang w:val="es-ES"/>
        </w:rPr>
        <w:t xml:space="preserve"> presentó un recurso de apelación contra ella que fue rechazado por considerarse que la demanda no alcanzaba la cuantía mínima requerida para la procedencia de la apelación.  Indica que también se presentaron demandas de reparación directa contra el Estado en relación con los hechos ocurridos el 7 de octubre de 2000 las que fueron admitidas, acumuladas y finalmente remitidas al Juzgado Sexto Administrativo del Circuito de Popayán</w:t>
      </w:r>
      <w:r w:rsidR="006C07E0" w:rsidRPr="00496FE9">
        <w:rPr>
          <w:rStyle w:val="FootnoteReference"/>
          <w:rFonts w:asciiTheme="majorHAnsi" w:hAnsiTheme="majorHAnsi"/>
          <w:bCs/>
          <w:sz w:val="20"/>
          <w:szCs w:val="20"/>
          <w:lang w:val="es-ES"/>
        </w:rPr>
        <w:footnoteReference w:id="11"/>
      </w:r>
      <w:r w:rsidR="006C07E0" w:rsidRPr="00496FE9">
        <w:rPr>
          <w:rFonts w:asciiTheme="majorHAnsi" w:hAnsiTheme="majorHAnsi"/>
          <w:bCs/>
          <w:sz w:val="20"/>
          <w:szCs w:val="20"/>
          <w:lang w:val="es-ES"/>
        </w:rPr>
        <w:t>.</w:t>
      </w:r>
      <w:r w:rsidR="00E51156" w:rsidRPr="00496FE9">
        <w:rPr>
          <w:rFonts w:asciiTheme="majorHAnsi" w:hAnsiTheme="majorHAnsi"/>
          <w:bCs/>
          <w:sz w:val="20"/>
          <w:szCs w:val="20"/>
          <w:lang w:val="es-ES"/>
        </w:rPr>
        <w:t xml:space="preserve"> Explica que este segundo grupo de demandas entró a etapa probatoria el 25 de septiembre de 2007 y al despacho de la jueza a cargo el 2 de octubre de 2008, </w:t>
      </w:r>
      <w:r w:rsidR="00AE73BC" w:rsidRPr="00496FE9">
        <w:rPr>
          <w:rFonts w:asciiTheme="majorHAnsi" w:hAnsiTheme="majorHAnsi"/>
          <w:bCs/>
          <w:sz w:val="20"/>
          <w:szCs w:val="20"/>
          <w:lang w:val="es-ES"/>
        </w:rPr>
        <w:t xml:space="preserve">siendo que la </w:t>
      </w:r>
      <w:r w:rsidR="00E51156" w:rsidRPr="00496FE9">
        <w:rPr>
          <w:rFonts w:asciiTheme="majorHAnsi" w:hAnsiTheme="majorHAnsi"/>
          <w:bCs/>
          <w:sz w:val="20"/>
          <w:szCs w:val="20"/>
          <w:lang w:val="es-ES"/>
        </w:rPr>
        <w:t xml:space="preserve">sentencia </w:t>
      </w:r>
      <w:r w:rsidR="00AE73BC" w:rsidRPr="00496FE9">
        <w:rPr>
          <w:rFonts w:asciiTheme="majorHAnsi" w:hAnsiTheme="majorHAnsi"/>
          <w:bCs/>
          <w:sz w:val="20"/>
          <w:szCs w:val="20"/>
          <w:lang w:val="es-ES"/>
        </w:rPr>
        <w:t xml:space="preserve">emitió recién </w:t>
      </w:r>
      <w:r w:rsidR="00E51156" w:rsidRPr="00496FE9">
        <w:rPr>
          <w:rFonts w:asciiTheme="majorHAnsi" w:hAnsiTheme="majorHAnsi"/>
          <w:bCs/>
          <w:sz w:val="20"/>
          <w:szCs w:val="20"/>
          <w:lang w:val="es-ES"/>
        </w:rPr>
        <w:t xml:space="preserve">el 20 de octubre de 2009. Explica que en esta segunda sentencia se declaró al Estado administrativamente </w:t>
      </w:r>
      <w:r w:rsidR="00AE73BC" w:rsidRPr="00496FE9">
        <w:rPr>
          <w:rFonts w:asciiTheme="majorHAnsi" w:hAnsiTheme="majorHAnsi"/>
          <w:bCs/>
          <w:sz w:val="20"/>
          <w:szCs w:val="20"/>
          <w:lang w:val="es-ES"/>
        </w:rPr>
        <w:t xml:space="preserve">responsable por las muertes de </w:t>
      </w:r>
      <w:r w:rsidR="00E51156" w:rsidRPr="00496FE9">
        <w:rPr>
          <w:rFonts w:asciiTheme="majorHAnsi" w:hAnsiTheme="majorHAnsi"/>
          <w:bCs/>
          <w:sz w:val="20"/>
          <w:szCs w:val="20"/>
          <w:lang w:val="es-ES"/>
        </w:rPr>
        <w:t xml:space="preserve">José Henner Becoche, Alvaro Guachetá Pechené, Victor Ariel Chate Flor, Manuel Jesús Guachetá Pechené, Miguel Angel Montenegro Ordóñez, Neftalí Guachetá Zambrano, Deiby Anderson Guachetá Pechené, Juan Alberto Yandi Guachetá y Lino Enger Becoche Sánchez; ordenándose también el pago a las personas demandantes de indemnizaciones de entre 50 y 100 salarios mínimos en concepto de perjuicios morales. </w:t>
      </w:r>
    </w:p>
    <w:p w14:paraId="15A7BC58" w14:textId="58D1E1D4" w:rsidR="00870D95" w:rsidRPr="00496FE9" w:rsidRDefault="00E51156" w:rsidP="00175CDF">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Considera que, aunque el Estado reconoció su responsabilidad y otorgó algunas indemnizaciones mediante las sentencias referidas, este no ha reparado integralmente el daño causado a las presuntas víctimas</w:t>
      </w:r>
      <w:r w:rsidR="003F40B5" w:rsidRPr="00496FE9">
        <w:rPr>
          <w:rFonts w:asciiTheme="majorHAnsi" w:hAnsiTheme="majorHAnsi"/>
          <w:bCs/>
          <w:sz w:val="20"/>
          <w:szCs w:val="20"/>
          <w:lang w:val="es-ES"/>
        </w:rPr>
        <w:t xml:space="preserve"> y sus familiares</w:t>
      </w:r>
      <w:r w:rsidRPr="00496FE9">
        <w:rPr>
          <w:rFonts w:asciiTheme="majorHAnsi" w:hAnsiTheme="majorHAnsi"/>
          <w:bCs/>
          <w:sz w:val="20"/>
          <w:szCs w:val="20"/>
          <w:lang w:val="es-ES"/>
        </w:rPr>
        <w:t>. Esto, por razón de que los tribunales</w:t>
      </w:r>
      <w:r w:rsidR="00095CFE" w:rsidRPr="00496FE9">
        <w:rPr>
          <w:rFonts w:asciiTheme="majorHAnsi" w:hAnsiTheme="majorHAnsi"/>
          <w:bCs/>
          <w:sz w:val="20"/>
          <w:szCs w:val="20"/>
          <w:lang w:val="es-ES"/>
        </w:rPr>
        <w:t xml:space="preserve"> otorgaron indemnizaciones irrisorias en concepto de perjuicios morales,</w:t>
      </w:r>
      <w:r w:rsidRPr="00496FE9">
        <w:rPr>
          <w:rFonts w:asciiTheme="majorHAnsi" w:hAnsiTheme="majorHAnsi"/>
          <w:bCs/>
          <w:sz w:val="20"/>
          <w:szCs w:val="20"/>
          <w:lang w:val="es-ES"/>
        </w:rPr>
        <w:t xml:space="preserve"> </w:t>
      </w:r>
      <w:r w:rsidR="00095CFE" w:rsidRPr="00496FE9">
        <w:rPr>
          <w:rFonts w:asciiTheme="majorHAnsi" w:hAnsiTheme="majorHAnsi"/>
          <w:bCs/>
          <w:sz w:val="20"/>
          <w:szCs w:val="20"/>
          <w:lang w:val="es-ES"/>
        </w:rPr>
        <w:t xml:space="preserve">rehusándose a reconocer los perjuicios materiales causados a las personas demandantes en sus modalidades de daño emergente y lucro cesante, así como tampoco el perjuicio denominado “vida relación”. Destaca que durante los procesos se aportó prueba fehaciente de los perjuicios materiales sufridos por las personas demandantes </w:t>
      </w:r>
      <w:r w:rsidR="003F40B5" w:rsidRPr="00496FE9">
        <w:rPr>
          <w:rFonts w:asciiTheme="majorHAnsi" w:hAnsiTheme="majorHAnsi"/>
          <w:bCs/>
          <w:sz w:val="20"/>
          <w:szCs w:val="20"/>
          <w:lang w:val="es-ES"/>
        </w:rPr>
        <w:t xml:space="preserve">en </w:t>
      </w:r>
      <w:r w:rsidR="00095CFE" w:rsidRPr="00496FE9">
        <w:rPr>
          <w:rFonts w:asciiTheme="majorHAnsi" w:hAnsiTheme="majorHAnsi"/>
          <w:bCs/>
          <w:sz w:val="20"/>
          <w:szCs w:val="20"/>
          <w:lang w:val="es-ES"/>
        </w:rPr>
        <w:t xml:space="preserve">razón de la quema de sus casas y siembras, la pérdida de animales domésticos, ropa y enceres, así como los gastos de transporte y arrendamiento en que debieron incurrir por </w:t>
      </w:r>
      <w:r w:rsidR="00AE7D49" w:rsidRPr="00496FE9">
        <w:rPr>
          <w:rFonts w:asciiTheme="majorHAnsi" w:hAnsiTheme="majorHAnsi"/>
          <w:bCs/>
          <w:sz w:val="20"/>
          <w:szCs w:val="20"/>
          <w:lang w:val="es-ES"/>
        </w:rPr>
        <w:t xml:space="preserve">su desplazamiento forzado. </w:t>
      </w:r>
      <w:r w:rsidR="00095CFE" w:rsidRPr="00496FE9">
        <w:rPr>
          <w:rFonts w:asciiTheme="majorHAnsi" w:hAnsiTheme="majorHAnsi"/>
          <w:bCs/>
          <w:sz w:val="20"/>
          <w:szCs w:val="20"/>
          <w:lang w:val="es-ES"/>
        </w:rPr>
        <w:t>También denuncia que hubo un retardo injustificado en la</w:t>
      </w:r>
      <w:r w:rsidR="003F40B5" w:rsidRPr="00496FE9">
        <w:rPr>
          <w:rFonts w:asciiTheme="majorHAnsi" w:hAnsiTheme="majorHAnsi"/>
          <w:bCs/>
          <w:sz w:val="20"/>
          <w:szCs w:val="20"/>
          <w:lang w:val="es-ES"/>
        </w:rPr>
        <w:t>s resolucio</w:t>
      </w:r>
      <w:r w:rsidR="00095CFE" w:rsidRPr="00496FE9">
        <w:rPr>
          <w:rFonts w:asciiTheme="majorHAnsi" w:hAnsiTheme="majorHAnsi"/>
          <w:bCs/>
          <w:sz w:val="20"/>
          <w:szCs w:val="20"/>
          <w:lang w:val="es-ES"/>
        </w:rPr>
        <w:t>n</w:t>
      </w:r>
      <w:r w:rsidR="003F40B5" w:rsidRPr="00496FE9">
        <w:rPr>
          <w:rFonts w:asciiTheme="majorHAnsi" w:hAnsiTheme="majorHAnsi"/>
          <w:bCs/>
          <w:sz w:val="20"/>
          <w:szCs w:val="20"/>
          <w:lang w:val="es-ES"/>
        </w:rPr>
        <w:t>es</w:t>
      </w:r>
      <w:r w:rsidR="00095CFE" w:rsidRPr="00496FE9">
        <w:rPr>
          <w:rFonts w:asciiTheme="majorHAnsi" w:hAnsiTheme="majorHAnsi"/>
          <w:bCs/>
          <w:sz w:val="20"/>
          <w:szCs w:val="20"/>
          <w:lang w:val="es-ES"/>
        </w:rPr>
        <w:t xml:space="preserve"> de las demandas de reparación directa y que el Estado no ha cumplido </w:t>
      </w:r>
      <w:r w:rsidR="00403D52" w:rsidRPr="00496FE9">
        <w:rPr>
          <w:rFonts w:asciiTheme="majorHAnsi" w:hAnsiTheme="majorHAnsi"/>
          <w:bCs/>
          <w:sz w:val="20"/>
          <w:szCs w:val="20"/>
          <w:lang w:val="es-ES"/>
        </w:rPr>
        <w:t xml:space="preserve">en tiempo razonable </w:t>
      </w:r>
      <w:r w:rsidR="00095CFE" w:rsidRPr="00496FE9">
        <w:rPr>
          <w:rFonts w:asciiTheme="majorHAnsi" w:hAnsiTheme="majorHAnsi"/>
          <w:bCs/>
          <w:sz w:val="20"/>
          <w:szCs w:val="20"/>
          <w:lang w:val="es-ES"/>
        </w:rPr>
        <w:t xml:space="preserve">con la judicialización </w:t>
      </w:r>
      <w:r w:rsidR="00403D52" w:rsidRPr="00496FE9">
        <w:rPr>
          <w:rFonts w:asciiTheme="majorHAnsi" w:hAnsiTheme="majorHAnsi"/>
          <w:bCs/>
          <w:sz w:val="20"/>
          <w:szCs w:val="20"/>
          <w:lang w:val="es-ES"/>
        </w:rPr>
        <w:t>y</w:t>
      </w:r>
      <w:r w:rsidR="003F40B5" w:rsidRPr="00496FE9">
        <w:rPr>
          <w:rFonts w:asciiTheme="majorHAnsi" w:hAnsiTheme="majorHAnsi"/>
          <w:bCs/>
          <w:sz w:val="20"/>
          <w:szCs w:val="20"/>
          <w:lang w:val="es-ES"/>
        </w:rPr>
        <w:t xml:space="preserve"> </w:t>
      </w:r>
      <w:r w:rsidR="00095CFE" w:rsidRPr="00496FE9">
        <w:rPr>
          <w:rFonts w:asciiTheme="majorHAnsi" w:hAnsiTheme="majorHAnsi"/>
          <w:bCs/>
          <w:sz w:val="20"/>
          <w:szCs w:val="20"/>
          <w:lang w:val="es-ES"/>
        </w:rPr>
        <w:t>condena de los responsables</w:t>
      </w:r>
      <w:r w:rsidR="00316131" w:rsidRPr="00496FE9">
        <w:rPr>
          <w:rFonts w:asciiTheme="majorHAnsi" w:hAnsiTheme="majorHAnsi"/>
          <w:bCs/>
          <w:sz w:val="20"/>
          <w:szCs w:val="20"/>
          <w:lang w:val="es-ES"/>
        </w:rPr>
        <w:t xml:space="preserve">. </w:t>
      </w:r>
    </w:p>
    <w:p w14:paraId="1B6F5C19" w14:textId="4B65C5CB" w:rsidR="00175CDF" w:rsidRPr="00496FE9" w:rsidRDefault="00175CDF" w:rsidP="00175CDF">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 xml:space="preserve">El Estado, por su parte, manifiesta que la petición debe ser inadmitida porque la parte peticionaria pretende improcedentemente que la Comisión actúe como una cuarta instancia en contravención </w:t>
      </w:r>
      <w:r w:rsidRPr="00496FE9">
        <w:rPr>
          <w:rFonts w:asciiTheme="majorHAnsi" w:hAnsiTheme="majorHAnsi"/>
          <w:bCs/>
          <w:sz w:val="20"/>
          <w:szCs w:val="20"/>
          <w:lang w:val="es-ES"/>
        </w:rPr>
        <w:lastRenderedPageBreak/>
        <w:t>a su naturaleza subsidiaria, porque los hechos expuestos en la petición no caracterizan violaciones a los derechos previstos en la Convención Americana, y porque los recursos de la jurisdicción interna no se encuentran agotad</w:t>
      </w:r>
      <w:r w:rsidR="00133CB8" w:rsidRPr="00496FE9">
        <w:rPr>
          <w:rFonts w:asciiTheme="majorHAnsi" w:hAnsiTheme="majorHAnsi"/>
          <w:bCs/>
          <w:sz w:val="20"/>
          <w:szCs w:val="20"/>
          <w:lang w:val="es-ES"/>
        </w:rPr>
        <w:t xml:space="preserve">os. Detalla que las demandas de </w:t>
      </w:r>
      <w:r w:rsidRPr="00496FE9">
        <w:rPr>
          <w:rFonts w:asciiTheme="majorHAnsi" w:hAnsiTheme="majorHAnsi"/>
          <w:bCs/>
          <w:sz w:val="20"/>
          <w:szCs w:val="20"/>
          <w:lang w:val="es-ES"/>
        </w:rPr>
        <w:t>reparación directa a la que hace referencia la parte peticionaria fueron interpuestas el 13 de septiembre y 7 de octubre de 2002 y que estas conllevaron a</w:t>
      </w:r>
      <w:r w:rsidR="00EB3D55" w:rsidRPr="00496FE9">
        <w:rPr>
          <w:rFonts w:asciiTheme="majorHAnsi" w:hAnsiTheme="majorHAnsi"/>
          <w:bCs/>
          <w:sz w:val="20"/>
          <w:szCs w:val="20"/>
          <w:lang w:val="es-ES"/>
        </w:rPr>
        <w:t xml:space="preserve"> que los tribunales competentes concluyeron que el Estado había incurrido en responsabilidad administrativa por la muerte de varias personas durante los eventos de septiembre y octubre del 2000. Explica que en ambos casos los tribunales solo reconocieron perjuicios inmateriales a las personas demandantes porque estas no acreditaron los perjuicios materiales ni tampoco el perjuicio a la vida de relación. </w:t>
      </w:r>
    </w:p>
    <w:p w14:paraId="7C6CAEA2" w14:textId="16D3E6E4" w:rsidR="00EB3D55" w:rsidRPr="00496FE9" w:rsidRDefault="00EB3D55" w:rsidP="00175CDF">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Respecto a la sentencia de 20 de octubre de 2009 que resolvió las acciones de reparación directa relacionados con los hechos de octubre del 2000, relata que esta fue apelada por la Nación y que el 22 de junio de 2010 se aceptó la adhesión de las personas demandantes a esa apelaci</w:t>
      </w:r>
      <w:r w:rsidR="00EC5D71" w:rsidRPr="00496FE9">
        <w:rPr>
          <w:rFonts w:asciiTheme="majorHAnsi" w:hAnsiTheme="majorHAnsi"/>
          <w:bCs/>
          <w:sz w:val="20"/>
          <w:szCs w:val="20"/>
          <w:lang w:val="es-ES"/>
        </w:rPr>
        <w:t>ón. Indica que en esta apelación las personas demandantes solicitaron que se les reconociera los perjuicios materiales y el daño a la vida de relación</w:t>
      </w:r>
      <w:r w:rsidRPr="00496FE9">
        <w:rPr>
          <w:rFonts w:asciiTheme="majorHAnsi" w:hAnsiTheme="majorHAnsi"/>
          <w:bCs/>
          <w:sz w:val="20"/>
          <w:szCs w:val="20"/>
          <w:lang w:val="es-ES"/>
        </w:rPr>
        <w:t xml:space="preserve"> </w:t>
      </w:r>
      <w:r w:rsidR="00EC5D71" w:rsidRPr="00496FE9">
        <w:rPr>
          <w:rFonts w:asciiTheme="majorHAnsi" w:hAnsiTheme="majorHAnsi"/>
          <w:bCs/>
          <w:sz w:val="20"/>
          <w:szCs w:val="20"/>
          <w:lang w:val="es-ES"/>
        </w:rPr>
        <w:t xml:space="preserve">que no habían sido reconocidos en la sentencia de primera instancia y que se reconocieran perjuicios a favor de algunas personas cuya consanguineidad con las víctimas no había sido demostrada en la primera instancia. Explica que el 21 de junio de 2012 la decisión de primera instancia fue confirmada por el Tribunal administrativo del Cauca, quien rechazó las solicitudes de la parte demandante indicando que el juzgado a quo se había fundado en lo efectivamente allegado al proceso y que “la parte demandante no desplegó actividad probatoria alguna en la etapa procesal oportuna para dar certeza sobre esos perjuicios”. Agrega que la decisión de segunda instancia quedó ejecutoriada el 6 de septiembre de 2012 y que el 14 de junio de 2013 </w:t>
      </w:r>
      <w:r w:rsidR="002D7750" w:rsidRPr="00496FE9">
        <w:rPr>
          <w:rFonts w:asciiTheme="majorHAnsi" w:hAnsiTheme="majorHAnsi"/>
          <w:bCs/>
          <w:sz w:val="20"/>
          <w:szCs w:val="20"/>
          <w:lang w:val="es-ES"/>
        </w:rPr>
        <w:t>el Ministerio de Defensa Nacional liquidó y ordenó el pago de los perjuicios declarados por la jurisdicción contencioso administrativa.</w:t>
      </w:r>
    </w:p>
    <w:p w14:paraId="73CBB5C7" w14:textId="5CFEFEA6" w:rsidR="00B421E1" w:rsidRPr="00496FE9" w:rsidRDefault="002D7750" w:rsidP="00B421E1">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Manifiesta que las decisiones emitidas por la jurisdicción contencioso administrativa con relación a las demandas interpuestas por las presuntas víctimas cuentan con una presunción de legalidad y que el mero hecho de que</w:t>
      </w:r>
      <w:r w:rsidR="00BB472F" w:rsidRPr="00496FE9">
        <w:rPr>
          <w:rFonts w:asciiTheme="majorHAnsi" w:hAnsiTheme="majorHAnsi"/>
          <w:bCs/>
          <w:sz w:val="20"/>
          <w:szCs w:val="20"/>
          <w:lang w:val="es-ES"/>
        </w:rPr>
        <w:t xml:space="preserve"> la parte peticionaria considere estas equívocas no faculta al Sistema Interamericano para conocer el asunto. Considera que la parte peticionaria desea someter ante el sistema una problemática que ya fue examinada y decidida por la jurisdicción doméstica sin explicar porque las decisiones de los tribunales domésticas serían violatorias de la Convención Americana. En cuanto a la alegada violación al artículo 6 de la Convención Americana, alega que el Estado no puede ser responsabilizado por las presiones que ejerzan grupos ilegales sobre las personas cuando ya ha reconocido su incumplimiento de su deber constitucional de proteger la vida y seguridad de sus habitantes y ha indemnizado a las personas afectadas consecuentemente. Resalta que la Fuerza Pública Colombiana combate las acciones delictivas que amenazan bienes e intereses jurídicos de la población y que las presuntas víctimas tuvieron acceso a la administración de justicia sin que ningún grupo ilegal cercenara sus libertades, quedando así demostrado que no estuvieron sometidas a esclavitud ni a servidumbre. Res</w:t>
      </w:r>
      <w:r w:rsidR="00B120C4" w:rsidRPr="00496FE9">
        <w:rPr>
          <w:rFonts w:asciiTheme="majorHAnsi" w:hAnsiTheme="majorHAnsi"/>
          <w:bCs/>
          <w:sz w:val="20"/>
          <w:szCs w:val="20"/>
          <w:lang w:val="es-ES"/>
        </w:rPr>
        <w:t>pecto a las alegadas violaciones a los artículos 8, 9, 10, 24 y 25 de l</w:t>
      </w:r>
      <w:r w:rsidR="002F7DE7" w:rsidRPr="00496FE9">
        <w:rPr>
          <w:rFonts w:asciiTheme="majorHAnsi" w:hAnsiTheme="majorHAnsi"/>
          <w:bCs/>
          <w:sz w:val="20"/>
          <w:szCs w:val="20"/>
          <w:lang w:val="es-ES"/>
        </w:rPr>
        <w:t xml:space="preserve">a Convención Americana, señala </w:t>
      </w:r>
      <w:r w:rsidR="00B120C4" w:rsidRPr="00496FE9">
        <w:rPr>
          <w:rFonts w:asciiTheme="majorHAnsi" w:hAnsiTheme="majorHAnsi"/>
          <w:bCs/>
          <w:sz w:val="20"/>
          <w:szCs w:val="20"/>
          <w:lang w:val="es-ES"/>
        </w:rPr>
        <w:t xml:space="preserve">que el principio del debido proceso impidió a los tribunales reconocer a las presuntas víctimas los alegados perjuicios materiales y a la vida de relación porque estos no fueron oportuna y debidamente demostrados. Añade que los montos que se reconocieron en concepto de perjuicios inmateriales fueron fijados siguiendo los lineamientos jurisprudenciales aplicables según los cuales esta cuantía debía ser fijada por el juez de conocimiento utilizando su prudente juicio y teniendo en consideración las circunstancias particulares de cada caso y que sugieren indemnizaciones equivalentes a 100 salarios mínimos mensuales “en los eventos en los cuales el daño presente su mayor grado de intensidad, lo cual ocurre respecto de los padres que pierden un hijo”. Resalta que la parte peticionaria pretende improcedentemente someter su inconformidad con los montos ante un ordenamiento </w:t>
      </w:r>
      <w:r w:rsidR="00B421E1" w:rsidRPr="00496FE9">
        <w:rPr>
          <w:rFonts w:asciiTheme="majorHAnsi" w:hAnsiTheme="majorHAnsi"/>
          <w:bCs/>
          <w:sz w:val="20"/>
          <w:szCs w:val="20"/>
          <w:lang w:val="es-ES"/>
        </w:rPr>
        <w:t>complementario y subsidiario como lo es el Sistema Interamericano.</w:t>
      </w:r>
    </w:p>
    <w:p w14:paraId="00AB0796" w14:textId="5879417A" w:rsidR="00175CDF" w:rsidRPr="00496FE9" w:rsidRDefault="00B421E1" w:rsidP="005019EF">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t xml:space="preserve">También indica que el Estado, en cumplimiento de sus obligaciones, ha instaurado un proceso penal dirigido a determinar la responsabilidad criminal de los autores y participes de las incursiones guerrilleras realizadas en el corregimiento de Ortega en septiembre y octubre del 2002. Explica que las investigaciones pertinentes han resultado altamente complejas por razón de la ausencia de medios probatorios pertinentes y útiles y porque la población del corregimiento no ha prestado colaboración por miedo a sufrir represalias por parte de los grupos ilegales. </w:t>
      </w:r>
      <w:r w:rsidR="00B574CE" w:rsidRPr="00496FE9">
        <w:rPr>
          <w:rFonts w:asciiTheme="majorHAnsi" w:hAnsiTheme="majorHAnsi"/>
          <w:bCs/>
          <w:sz w:val="20"/>
          <w:szCs w:val="20"/>
          <w:lang w:val="es-ES"/>
        </w:rPr>
        <w:t xml:space="preserve">Destaca que pese a las dificultades la Fiscalía General de la Nación </w:t>
      </w:r>
      <w:r w:rsidR="005019EF" w:rsidRPr="00496FE9">
        <w:rPr>
          <w:rFonts w:asciiTheme="majorHAnsi" w:hAnsiTheme="majorHAnsi"/>
          <w:bCs/>
          <w:sz w:val="20"/>
          <w:szCs w:val="20"/>
          <w:lang w:val="es-ES"/>
        </w:rPr>
        <w:t xml:space="preserve">ha avanzado en el desarrollo de las tareas investigativas y continúa indagando la responsabilidad criminal por la aparente comisión de los delitos de terrorismo, rebelión, homicidio agravado, lesiones personales, daño en bien ajeno e incendio. También resalta que se han escuchado a campesinos de la región en diligencias de declaración, se han adelantado diligencias de inspección judicial a un batallón, se han registrado 12 víctimas y </w:t>
      </w:r>
      <w:r w:rsidR="005019EF" w:rsidRPr="00496FE9">
        <w:rPr>
          <w:rFonts w:asciiTheme="majorHAnsi" w:hAnsiTheme="majorHAnsi"/>
          <w:bCs/>
          <w:sz w:val="20"/>
          <w:szCs w:val="20"/>
          <w:lang w:val="es-ES"/>
        </w:rPr>
        <w:lastRenderedPageBreak/>
        <w:t>se ha vinculado y/o acusado a 4 miembros de las FARC. Considera que la petición no cumple los requisitos del artículo 46 de la Convención Americana dado que el recurso penal pertinente continúa pendiente de agotamiento. Indica que el plazo razonable para el desarrollo de este proceso penal debe valorarse desde la complejidad que reviste el asunto, principalmente desde los obstáculos probatorias que han dificultado la individualización e identificación de los autores y partícipes en los hechos, así como los inconvenientes que</w:t>
      </w:r>
      <w:r w:rsidR="00606364" w:rsidRPr="00496FE9">
        <w:rPr>
          <w:rFonts w:asciiTheme="majorHAnsi" w:hAnsiTheme="majorHAnsi"/>
          <w:bCs/>
          <w:sz w:val="20"/>
          <w:szCs w:val="20"/>
          <w:lang w:val="es-ES"/>
        </w:rPr>
        <w:t xml:space="preserve"> se enfrentan </w:t>
      </w:r>
      <w:r w:rsidR="005019EF" w:rsidRPr="00496FE9">
        <w:rPr>
          <w:rFonts w:asciiTheme="majorHAnsi" w:hAnsiTheme="majorHAnsi"/>
          <w:bCs/>
          <w:sz w:val="20"/>
          <w:szCs w:val="20"/>
          <w:lang w:val="es-ES"/>
        </w:rPr>
        <w:t xml:space="preserve">para </w:t>
      </w:r>
      <w:r w:rsidR="00606364" w:rsidRPr="00496FE9">
        <w:rPr>
          <w:rFonts w:asciiTheme="majorHAnsi" w:hAnsiTheme="majorHAnsi"/>
          <w:bCs/>
          <w:sz w:val="20"/>
          <w:szCs w:val="20"/>
          <w:lang w:val="es-ES"/>
        </w:rPr>
        <w:t xml:space="preserve">la </w:t>
      </w:r>
      <w:r w:rsidR="005019EF" w:rsidRPr="00496FE9">
        <w:rPr>
          <w:rFonts w:asciiTheme="majorHAnsi" w:hAnsiTheme="majorHAnsi"/>
          <w:bCs/>
          <w:sz w:val="20"/>
          <w:szCs w:val="20"/>
          <w:lang w:val="es-ES"/>
        </w:rPr>
        <w:t>reconstrucción pormenorizada</w:t>
      </w:r>
      <w:r w:rsidR="00606364" w:rsidRPr="00496FE9">
        <w:rPr>
          <w:rFonts w:asciiTheme="majorHAnsi" w:hAnsiTheme="majorHAnsi"/>
          <w:bCs/>
          <w:sz w:val="20"/>
          <w:szCs w:val="20"/>
          <w:lang w:val="es-ES"/>
        </w:rPr>
        <w:t xml:space="preserve"> de los hechos debido a</w:t>
      </w:r>
      <w:r w:rsidR="005019EF" w:rsidRPr="00496FE9">
        <w:rPr>
          <w:rFonts w:asciiTheme="majorHAnsi" w:hAnsiTheme="majorHAnsi"/>
          <w:bCs/>
          <w:sz w:val="20"/>
          <w:szCs w:val="20"/>
          <w:lang w:val="es-ES"/>
        </w:rPr>
        <w:t xml:space="preserve">l paso del tiempo y el consiguiente olvido de las circunstancias. </w:t>
      </w:r>
    </w:p>
    <w:p w14:paraId="3FE6F5AE" w14:textId="771F2187" w:rsidR="004C616A" w:rsidRPr="00496FE9" w:rsidRDefault="004C616A" w:rsidP="00403D52">
      <w:pPr>
        <w:suppressAutoHyphens/>
        <w:spacing w:after="120"/>
        <w:ind w:firstLine="720"/>
        <w:jc w:val="both"/>
        <w:rPr>
          <w:rFonts w:asciiTheme="majorHAnsi" w:hAnsiTheme="majorHAnsi"/>
          <w:b/>
          <w:bCs/>
          <w:sz w:val="20"/>
          <w:szCs w:val="20"/>
          <w:lang w:val="es-ES"/>
        </w:rPr>
      </w:pPr>
      <w:r w:rsidRPr="00496FE9">
        <w:rPr>
          <w:rFonts w:asciiTheme="majorHAnsi" w:hAnsiTheme="majorHAnsi"/>
          <w:b/>
          <w:bCs/>
          <w:sz w:val="20"/>
          <w:szCs w:val="20"/>
          <w:lang w:val="es-ES"/>
        </w:rPr>
        <w:t xml:space="preserve">VI. </w:t>
      </w:r>
      <w:r w:rsidRPr="00496FE9">
        <w:rPr>
          <w:rFonts w:asciiTheme="majorHAnsi" w:hAnsiTheme="majorHAnsi"/>
          <w:b/>
          <w:bCs/>
          <w:sz w:val="20"/>
          <w:szCs w:val="20"/>
          <w:lang w:val="es-ES"/>
        </w:rPr>
        <w:tab/>
        <w:t>AGOTAMIENTO DE LOS RECURSOS INTERNOS Y PLAZO DE PRESENTACIÓN</w:t>
      </w:r>
    </w:p>
    <w:p w14:paraId="471898C9" w14:textId="18034CE0" w:rsidR="005019EF" w:rsidRPr="00496FE9" w:rsidRDefault="00004713" w:rsidP="005019EF">
      <w:pPr>
        <w:numPr>
          <w:ilvl w:val="0"/>
          <w:numId w:val="55"/>
        </w:numPr>
        <w:suppressAutoHyphens/>
        <w:spacing w:after="120"/>
        <w:jc w:val="both"/>
        <w:rPr>
          <w:rFonts w:asciiTheme="majorHAnsi" w:hAnsiTheme="majorHAnsi"/>
          <w:b/>
          <w:bCs/>
          <w:sz w:val="20"/>
          <w:szCs w:val="20"/>
          <w:lang w:val="es-ES"/>
        </w:rPr>
      </w:pPr>
      <w:r w:rsidRPr="00496FE9">
        <w:rPr>
          <w:rFonts w:ascii="Cambria" w:hAnsi="Cambria"/>
          <w:sz w:val="20"/>
          <w:szCs w:val="20"/>
          <w:lang w:val="es-ES"/>
        </w:rPr>
        <w:t xml:space="preserve">La Comisión </w:t>
      </w:r>
      <w:r w:rsidR="00064191" w:rsidRPr="00496FE9">
        <w:rPr>
          <w:rFonts w:ascii="Cambria" w:hAnsi="Cambria"/>
          <w:sz w:val="20"/>
          <w:szCs w:val="20"/>
          <w:lang w:val="es-ES"/>
        </w:rPr>
        <w:t>observa</w:t>
      </w:r>
      <w:r w:rsidRPr="00496FE9">
        <w:rPr>
          <w:rFonts w:ascii="Cambria" w:hAnsi="Cambria"/>
          <w:sz w:val="20"/>
          <w:szCs w:val="20"/>
          <w:lang w:val="es-ES"/>
        </w:rPr>
        <w:t xml:space="preserve"> que </w:t>
      </w:r>
      <w:r w:rsidR="00A929AA" w:rsidRPr="00496FE9">
        <w:rPr>
          <w:rFonts w:ascii="Cambria" w:hAnsi="Cambria"/>
          <w:sz w:val="20"/>
          <w:szCs w:val="20"/>
          <w:lang w:val="es-ES"/>
        </w:rPr>
        <w:t xml:space="preserve">la </w:t>
      </w:r>
      <w:r w:rsidR="00285F17" w:rsidRPr="00496FE9">
        <w:rPr>
          <w:rFonts w:ascii="Cambria" w:hAnsi="Cambria"/>
          <w:sz w:val="20"/>
          <w:szCs w:val="20"/>
          <w:lang w:val="es-ES"/>
        </w:rPr>
        <w:t>part</w:t>
      </w:r>
      <w:r w:rsidR="00CE1BE0" w:rsidRPr="00496FE9">
        <w:rPr>
          <w:rFonts w:ascii="Cambria" w:hAnsi="Cambria"/>
          <w:sz w:val="20"/>
          <w:szCs w:val="20"/>
          <w:lang w:val="es-ES"/>
        </w:rPr>
        <w:t xml:space="preserve">e peticionaria </w:t>
      </w:r>
      <w:r w:rsidR="00CC2409" w:rsidRPr="00496FE9">
        <w:rPr>
          <w:rFonts w:ascii="Cambria" w:hAnsi="Cambria"/>
          <w:sz w:val="20"/>
          <w:szCs w:val="20"/>
          <w:lang w:val="es-ES"/>
        </w:rPr>
        <w:t>ha indicado que el E</w:t>
      </w:r>
      <w:r w:rsidR="00403D52" w:rsidRPr="00496FE9">
        <w:rPr>
          <w:rFonts w:ascii="Cambria" w:hAnsi="Cambria"/>
          <w:sz w:val="20"/>
          <w:szCs w:val="20"/>
          <w:lang w:val="es-ES"/>
        </w:rPr>
        <w:t xml:space="preserve">stado no ha cumplido en tiempo razonable con su obligación de sancionar a las personas responsables </w:t>
      </w:r>
      <w:r w:rsidR="00403E71" w:rsidRPr="00496FE9">
        <w:rPr>
          <w:rFonts w:ascii="Cambria" w:hAnsi="Cambria"/>
          <w:sz w:val="20"/>
          <w:szCs w:val="20"/>
          <w:lang w:val="es-ES"/>
        </w:rPr>
        <w:t xml:space="preserve">por las afrentas a la vida, integridad personal y propiedad </w:t>
      </w:r>
      <w:r w:rsidR="00CC2409" w:rsidRPr="00496FE9">
        <w:rPr>
          <w:rFonts w:ascii="Cambria" w:hAnsi="Cambria"/>
          <w:sz w:val="20"/>
          <w:szCs w:val="20"/>
          <w:lang w:val="es-ES"/>
        </w:rPr>
        <w:t xml:space="preserve">sufridas por </w:t>
      </w:r>
      <w:r w:rsidR="00403E71" w:rsidRPr="00496FE9">
        <w:rPr>
          <w:rFonts w:ascii="Cambria" w:hAnsi="Cambria"/>
          <w:sz w:val="20"/>
          <w:szCs w:val="20"/>
          <w:lang w:val="es-ES"/>
        </w:rPr>
        <w:t>las presuntas víctimas. De igual manera toma nota que el Estado ha indicado que los recursos internos no se encuentran agotados porque el proceso penal pertinente continúa en curso y que no se puede tachar la duración del proceso de irrazonable dada su complejidad.</w:t>
      </w:r>
    </w:p>
    <w:p w14:paraId="5F094450" w14:textId="67178397" w:rsidR="001C7910" w:rsidRPr="00496FE9" w:rsidRDefault="00F5508D" w:rsidP="00334FB0">
      <w:pPr>
        <w:numPr>
          <w:ilvl w:val="0"/>
          <w:numId w:val="55"/>
        </w:numPr>
        <w:suppressAutoHyphens/>
        <w:spacing w:after="120"/>
        <w:jc w:val="both"/>
        <w:rPr>
          <w:rFonts w:asciiTheme="majorHAnsi" w:hAnsiTheme="majorHAnsi"/>
          <w:b/>
          <w:bCs/>
          <w:sz w:val="20"/>
          <w:szCs w:val="20"/>
          <w:lang w:val="es-ES"/>
        </w:rPr>
      </w:pPr>
      <w:r w:rsidRPr="00496FE9">
        <w:rPr>
          <w:rFonts w:ascii="Cambria" w:hAnsi="Cambria"/>
          <w:sz w:val="20"/>
          <w:szCs w:val="20"/>
          <w:lang w:val="es-ES"/>
        </w:rPr>
        <w:t xml:space="preserve">La Comisión toma nota que la parte peticionaria ha indicado que las presuntas víctimas interpusieron acciones de reparación directa con la finalidad de obtener reparación por parte del Estado por los hechos ocurridos en septiembre y octubre del 2000, y que la petición reclama que las indemnizaciones otorgadas a las presuntas víctimas en el marco de estos procesos no satisfacen el requisito de reparación integral. </w:t>
      </w:r>
      <w:r w:rsidR="001C7910" w:rsidRPr="00496FE9">
        <w:rPr>
          <w:rFonts w:ascii="Cambria" w:hAnsi="Cambria" w:cs="Calibri"/>
          <w:sz w:val="20"/>
          <w:szCs w:val="20"/>
          <w:lang w:val="es-ES_tradnl"/>
        </w:rPr>
        <w:t xml:space="preserve">la Comisión observa que surge del expediente que las autoridades competentes domésticas han emitido sus decisiones definitivas sobre las acciones de reparación directa pertinentes. El Estado no ha indicado ni surge del expediente la existencia de recursos adicionales no agotados que pudieran ser idóneos para que esta reclamación sea atendida a nivel doméstico. Por otra parte, respecto a las acciones de reparación directa relacionadas con los eventos de octubre del 2000, la Comisión observa que la decisión definitiva de segunda instancia, según lo informado por el </w:t>
      </w:r>
      <w:r w:rsidR="003E0DC1" w:rsidRPr="00496FE9">
        <w:rPr>
          <w:rFonts w:ascii="Cambria" w:hAnsi="Cambria" w:cs="Calibri"/>
          <w:sz w:val="20"/>
          <w:szCs w:val="20"/>
          <w:lang w:val="es-ES_tradnl"/>
        </w:rPr>
        <w:t>E</w:t>
      </w:r>
      <w:r w:rsidR="001C7910" w:rsidRPr="00496FE9">
        <w:rPr>
          <w:rFonts w:ascii="Cambria" w:hAnsi="Cambria" w:cs="Calibri"/>
          <w:sz w:val="20"/>
          <w:szCs w:val="20"/>
          <w:lang w:val="es-ES_tradnl"/>
        </w:rPr>
        <w:t xml:space="preserve">stado, quedó ejecutoriada el 6 de septiembre de 2012 mientras que la petición se presentó el 19 de marzo de 2010. En lo relativo a las acciones de reparación directa relacionadas con los hechos de septiembre del 2000, la Comisión observa que la decisión de primera instancia se habría emitido el 28 de mayo de 2009 profiriéndose posteriormente una adición el 2 de junio de 2009, luego de lo que las partes habrían apelado siendo rechazado su recurso por razones de cuantía. Las partes no han informado a la Comisión de la fecha en que se decidió definitivamente el recurso de apelación. </w:t>
      </w:r>
      <w:r w:rsidR="003E0DC1" w:rsidRPr="00496FE9">
        <w:rPr>
          <w:rFonts w:ascii="Cambria" w:hAnsi="Cambria" w:cs="Calibri"/>
          <w:sz w:val="20"/>
          <w:szCs w:val="20"/>
          <w:lang w:val="es-ES_tradnl"/>
        </w:rPr>
        <w:t>L</w:t>
      </w:r>
      <w:r w:rsidR="001C7910" w:rsidRPr="00496FE9">
        <w:rPr>
          <w:rFonts w:ascii="Cambria" w:hAnsi="Cambria" w:cs="Calibri"/>
          <w:sz w:val="20"/>
          <w:szCs w:val="20"/>
          <w:lang w:val="es-ES_tradnl"/>
        </w:rPr>
        <w:t xml:space="preserve">a Comisión </w:t>
      </w:r>
      <w:r w:rsidR="003E0DC1" w:rsidRPr="00496FE9">
        <w:rPr>
          <w:rFonts w:ascii="Cambria" w:hAnsi="Cambria" w:cs="Calibri"/>
          <w:sz w:val="20"/>
          <w:szCs w:val="20"/>
          <w:lang w:val="es-ES_tradnl"/>
        </w:rPr>
        <w:t xml:space="preserve">también </w:t>
      </w:r>
      <w:r w:rsidR="001C7910" w:rsidRPr="00496FE9">
        <w:rPr>
          <w:rFonts w:ascii="Cambria" w:hAnsi="Cambria" w:cs="Calibri"/>
          <w:sz w:val="20"/>
          <w:szCs w:val="20"/>
          <w:lang w:val="es-ES_tradnl"/>
        </w:rPr>
        <w:t>valora que el Estado no ha presentado observaciones con respecto a si la petición cumple con el requisito de presentación dentro de plazo ni controvertido lo señalado por la parte peticionaria en el sentido de que en el momento de la presentación de la petición no se había hecho efectivo el pago de las indemnizac</w:t>
      </w:r>
      <w:r w:rsidR="003E0DC1" w:rsidRPr="00496FE9">
        <w:rPr>
          <w:rFonts w:ascii="Cambria" w:hAnsi="Cambria" w:cs="Calibri"/>
          <w:sz w:val="20"/>
          <w:szCs w:val="20"/>
          <w:lang w:val="es-ES_tradnl"/>
        </w:rPr>
        <w:t>iones otorgadas en la sentencia</w:t>
      </w:r>
      <w:r w:rsidR="001C7910" w:rsidRPr="00496FE9">
        <w:rPr>
          <w:rFonts w:ascii="Cambria" w:hAnsi="Cambria" w:cs="Calibri"/>
          <w:sz w:val="20"/>
          <w:szCs w:val="20"/>
          <w:lang w:val="es-ES_tradnl"/>
        </w:rPr>
        <w:t xml:space="preserve">. </w:t>
      </w:r>
    </w:p>
    <w:p w14:paraId="1C3215EB" w14:textId="66C58E46" w:rsidR="00F5508D" w:rsidRPr="00496FE9" w:rsidRDefault="003E0DC1" w:rsidP="00334FB0">
      <w:pPr>
        <w:numPr>
          <w:ilvl w:val="0"/>
          <w:numId w:val="55"/>
        </w:numPr>
        <w:suppressAutoHyphens/>
        <w:spacing w:after="120"/>
        <w:jc w:val="both"/>
        <w:rPr>
          <w:rFonts w:asciiTheme="majorHAnsi" w:hAnsiTheme="majorHAnsi"/>
          <w:b/>
          <w:bCs/>
          <w:sz w:val="20"/>
          <w:szCs w:val="20"/>
          <w:lang w:val="es-ES"/>
        </w:rPr>
      </w:pPr>
      <w:r w:rsidRPr="00496FE9">
        <w:rPr>
          <w:rFonts w:ascii="Cambria" w:hAnsi="Cambria"/>
          <w:sz w:val="20"/>
          <w:szCs w:val="20"/>
          <w:lang w:val="es-ES"/>
        </w:rPr>
        <w:t>Dicho lo anterior, s</w:t>
      </w:r>
      <w:r w:rsidR="00F5508D" w:rsidRPr="00496FE9">
        <w:rPr>
          <w:rFonts w:ascii="Cambria" w:hAnsi="Cambria"/>
          <w:sz w:val="20"/>
          <w:szCs w:val="20"/>
          <w:lang w:val="es-ES"/>
        </w:rPr>
        <w:t>in embargo, l</w:t>
      </w:r>
      <w:r w:rsidR="00403E71" w:rsidRPr="00496FE9">
        <w:rPr>
          <w:rFonts w:ascii="Cambria" w:hAnsi="Cambria"/>
          <w:sz w:val="20"/>
          <w:szCs w:val="20"/>
          <w:lang w:val="es-ES"/>
        </w:rPr>
        <w:t>a Comisión recuerda que ya ha determinado que “</w:t>
      </w:r>
      <w:r w:rsidR="00403E71" w:rsidRPr="00496FE9">
        <w:rPr>
          <w:rFonts w:ascii="Cambria" w:hAnsi="Cambria" w:cs="Calibri"/>
          <w:sz w:val="20"/>
          <w:szCs w:val="20"/>
          <w:lang w:val="es-ES_tradnl"/>
        </w:rPr>
        <w:t>en situaciones […] que incluyen delitos contra la vida e integridad, los recursos internos que deben tomarse en cuenta a los efectos de la admisibilidad de las peticiones son los relacionados con la investigación penal y sanción de los responsables”</w:t>
      </w:r>
      <w:r w:rsidR="00403E71" w:rsidRPr="00496FE9">
        <w:rPr>
          <w:rFonts w:ascii="Cambria" w:hAnsi="Cambria" w:cs="Calibri"/>
          <w:sz w:val="20"/>
          <w:szCs w:val="20"/>
          <w:lang w:val="es-US"/>
        </w:rPr>
        <w:t xml:space="preserve"> </w:t>
      </w:r>
      <w:r w:rsidR="00403E71" w:rsidRPr="00496FE9">
        <w:rPr>
          <w:rStyle w:val="FootnoteReference"/>
          <w:rFonts w:ascii="Cambria" w:hAnsi="Cambria" w:cs="Calibri"/>
          <w:sz w:val="20"/>
          <w:szCs w:val="20"/>
        </w:rPr>
        <w:footnoteReference w:id="12"/>
      </w:r>
      <w:r w:rsidR="00CC2409" w:rsidRPr="00496FE9">
        <w:rPr>
          <w:rFonts w:ascii="Cambria" w:hAnsi="Cambria" w:cs="Calibri"/>
          <w:sz w:val="20"/>
          <w:szCs w:val="20"/>
          <w:lang w:val="es-ES_tradnl"/>
        </w:rPr>
        <w:t>.</w:t>
      </w:r>
      <w:r w:rsidR="00F5508D" w:rsidRPr="00496FE9">
        <w:rPr>
          <w:rFonts w:ascii="Cambria" w:hAnsi="Cambria" w:cs="Calibri"/>
          <w:sz w:val="20"/>
          <w:szCs w:val="20"/>
          <w:lang w:val="es-ES_tradnl"/>
        </w:rPr>
        <w:t xml:space="preserve"> En adición, </w:t>
      </w:r>
      <w:r w:rsidR="00467547" w:rsidRPr="00496FE9">
        <w:rPr>
          <w:rFonts w:asciiTheme="majorHAnsi" w:hAnsiTheme="majorHAnsi"/>
          <w:bCs/>
          <w:sz w:val="20"/>
          <w:szCs w:val="20"/>
          <w:lang w:val="es-ES_tradnl"/>
        </w:rPr>
        <w:t>la Comisión ya se ha pronunciado en oportunidades previas respecto al caso específico a la acción de reparación directa en Colombia, indicando que</w:t>
      </w:r>
      <w:r w:rsidR="00C60E7E" w:rsidRPr="00496FE9">
        <w:rPr>
          <w:rFonts w:asciiTheme="majorHAnsi" w:hAnsiTheme="majorHAnsi"/>
          <w:bCs/>
          <w:sz w:val="20"/>
          <w:szCs w:val="20"/>
          <w:lang w:val="es-ES_tradnl"/>
        </w:rPr>
        <w:t xml:space="preserve"> la misma no constituye un recurso idóneo cuyo agotamiento sea exigible en relación a presuntas violaciones a derechos humanos de naturaleza similar a las que se alegan en la presente petición</w:t>
      </w:r>
      <w:r w:rsidR="00F451DB" w:rsidRPr="00496FE9">
        <w:rPr>
          <w:rStyle w:val="FootnoteReference"/>
          <w:rFonts w:ascii="Cambria" w:hAnsi="Cambria" w:cs="Calibri"/>
          <w:sz w:val="20"/>
          <w:szCs w:val="20"/>
        </w:rPr>
        <w:footnoteReference w:id="13"/>
      </w:r>
      <w:r w:rsidR="00F451DB" w:rsidRPr="00496FE9">
        <w:rPr>
          <w:rFonts w:ascii="Cambria" w:hAnsi="Cambria" w:cs="Calibri"/>
          <w:sz w:val="20"/>
          <w:szCs w:val="20"/>
          <w:lang w:val="es-ES_tradnl"/>
        </w:rPr>
        <w:t>.</w:t>
      </w:r>
      <w:r w:rsidR="00467547" w:rsidRPr="00496FE9">
        <w:rPr>
          <w:rFonts w:asciiTheme="majorHAnsi" w:hAnsiTheme="majorHAnsi"/>
          <w:bCs/>
          <w:sz w:val="20"/>
          <w:szCs w:val="20"/>
          <w:lang w:val="es-ES_tradnl"/>
        </w:rPr>
        <w:t xml:space="preserve"> </w:t>
      </w:r>
      <w:r w:rsidR="00F451DB" w:rsidRPr="00496FE9">
        <w:rPr>
          <w:rFonts w:asciiTheme="majorHAnsi" w:hAnsiTheme="majorHAnsi"/>
          <w:bCs/>
          <w:sz w:val="20"/>
          <w:szCs w:val="20"/>
          <w:lang w:val="es-ES"/>
        </w:rPr>
        <w:t>Por estas razones, para efectos de evaluar si la presente petición cumple con los requisitos de agotamiento de los recursos internos y presentación dentro de plazo</w:t>
      </w:r>
      <w:r w:rsidR="00C14DD9" w:rsidRPr="00496FE9">
        <w:rPr>
          <w:rFonts w:asciiTheme="majorHAnsi" w:hAnsiTheme="majorHAnsi"/>
          <w:bCs/>
          <w:sz w:val="20"/>
          <w:szCs w:val="20"/>
          <w:lang w:val="es-ES"/>
        </w:rPr>
        <w:t xml:space="preserve">, los recursos que </w:t>
      </w:r>
      <w:r w:rsidR="00F451DB" w:rsidRPr="00496FE9">
        <w:rPr>
          <w:rFonts w:asciiTheme="majorHAnsi" w:hAnsiTheme="majorHAnsi"/>
          <w:bCs/>
          <w:sz w:val="20"/>
          <w:szCs w:val="20"/>
          <w:lang w:val="es-ES"/>
        </w:rPr>
        <w:t>la Comisión valorar</w:t>
      </w:r>
      <w:r w:rsidR="00C14DD9" w:rsidRPr="00496FE9">
        <w:rPr>
          <w:rFonts w:asciiTheme="majorHAnsi" w:hAnsiTheme="majorHAnsi"/>
          <w:bCs/>
          <w:sz w:val="20"/>
          <w:szCs w:val="20"/>
          <w:lang w:val="es-ES"/>
        </w:rPr>
        <w:t>á serán los</w:t>
      </w:r>
      <w:r w:rsidR="00F451DB" w:rsidRPr="00496FE9">
        <w:rPr>
          <w:rFonts w:asciiTheme="majorHAnsi" w:hAnsiTheme="majorHAnsi"/>
          <w:bCs/>
          <w:sz w:val="20"/>
          <w:szCs w:val="20"/>
          <w:lang w:val="es-ES"/>
        </w:rPr>
        <w:t xml:space="preserve"> relacionados con la investigación y sanción de las personas que pudieran tener responsabilidad por los hechos que se alega ocurrieron e</w:t>
      </w:r>
      <w:r w:rsidR="00C14DD9" w:rsidRPr="00496FE9">
        <w:rPr>
          <w:rFonts w:asciiTheme="majorHAnsi" w:hAnsiTheme="majorHAnsi"/>
          <w:bCs/>
          <w:sz w:val="20"/>
          <w:szCs w:val="20"/>
          <w:lang w:val="es-ES"/>
        </w:rPr>
        <w:t xml:space="preserve">n septiembre y octubre del 2000. En este sentido, la Comisión </w:t>
      </w:r>
      <w:r w:rsidR="008428BE" w:rsidRPr="00496FE9">
        <w:rPr>
          <w:rFonts w:asciiTheme="majorHAnsi" w:hAnsiTheme="majorHAnsi"/>
          <w:bCs/>
          <w:sz w:val="20"/>
          <w:szCs w:val="20"/>
          <w:lang w:val="es-ES"/>
        </w:rPr>
        <w:t>observa</w:t>
      </w:r>
      <w:r w:rsidR="00C14DD9" w:rsidRPr="00496FE9">
        <w:rPr>
          <w:rFonts w:asciiTheme="majorHAnsi" w:hAnsiTheme="majorHAnsi"/>
          <w:bCs/>
          <w:sz w:val="20"/>
          <w:szCs w:val="20"/>
          <w:lang w:val="es-ES"/>
        </w:rPr>
        <w:t xml:space="preserve"> que según las últimas comunicaciones de las partes el proceso penal relacionado con los hechos en cuestión permanecería </w:t>
      </w:r>
      <w:r w:rsidR="008428BE" w:rsidRPr="00496FE9">
        <w:rPr>
          <w:rFonts w:asciiTheme="majorHAnsi" w:hAnsiTheme="majorHAnsi"/>
          <w:bCs/>
          <w:sz w:val="20"/>
          <w:szCs w:val="20"/>
          <w:lang w:val="es-ES"/>
        </w:rPr>
        <w:t xml:space="preserve">en curso, habiendo transcurrido casi 20 años desde que ocurrieron los hechos denunciando y habiendo tenido el Estado conocimiento de los hechos, según lo alegado por la parte peticionaria y no controvertido por el Estado, desde el momento en que estos estaban ocurriendo. </w:t>
      </w:r>
    </w:p>
    <w:p w14:paraId="425D9638" w14:textId="77777777" w:rsidR="00780E49" w:rsidRPr="00496FE9" w:rsidRDefault="008428BE" w:rsidP="00334FB0">
      <w:pPr>
        <w:numPr>
          <w:ilvl w:val="0"/>
          <w:numId w:val="55"/>
        </w:numPr>
        <w:suppressAutoHyphens/>
        <w:spacing w:after="120"/>
        <w:jc w:val="both"/>
        <w:rPr>
          <w:rFonts w:asciiTheme="majorHAnsi" w:hAnsiTheme="majorHAnsi"/>
          <w:b/>
          <w:bCs/>
          <w:sz w:val="20"/>
          <w:szCs w:val="20"/>
          <w:lang w:val="es-ES"/>
        </w:rPr>
      </w:pPr>
      <w:r w:rsidRPr="00496FE9">
        <w:rPr>
          <w:rFonts w:asciiTheme="majorHAnsi" w:hAnsiTheme="majorHAnsi"/>
          <w:bCs/>
          <w:sz w:val="20"/>
          <w:szCs w:val="20"/>
          <w:lang w:val="es-ES"/>
        </w:rPr>
        <w:lastRenderedPageBreak/>
        <w:t xml:space="preserve">Dado que el proceso penal pertinente no ha concluido, la Comisión debe analizar si la presente petición se encuentra dentro del supuesto de excepción al agotamiento de los recursos internos previsto en el artículo 46.2(c) de la Convención Americana. Para estos efectos, la Comisión recuerda </w:t>
      </w:r>
      <w:r w:rsidR="00C56C7A" w:rsidRPr="00496FE9">
        <w:rPr>
          <w:rFonts w:asciiTheme="majorHAnsi" w:hAnsiTheme="majorHAnsi"/>
          <w:bCs/>
          <w:sz w:val="20"/>
          <w:szCs w:val="20"/>
          <w:lang w:val="es-ES"/>
        </w:rPr>
        <w:t>que ya determinado que las disposiciones de la Convención Americana que establecen excepciones a la regla de agotamiento de los recursos internos “</w:t>
      </w:r>
      <w:r w:rsidR="00C56C7A" w:rsidRPr="00496FE9">
        <w:rPr>
          <w:rFonts w:ascii="Cambria" w:hAnsi="Cambria" w:cs="Calibri"/>
          <w:sz w:val="20"/>
          <w:szCs w:val="20"/>
          <w:lang w:val="es-ES_tradnl"/>
        </w:rPr>
        <w:t xml:space="preserve">por su naturaleza y objeto, son normas con contenido autónomo </w:t>
      </w:r>
      <w:r w:rsidR="00C56C7A" w:rsidRPr="00496FE9">
        <w:rPr>
          <w:rFonts w:ascii="Cambria" w:hAnsi="Cambria" w:cs="Calibri"/>
          <w:i/>
          <w:sz w:val="20"/>
          <w:szCs w:val="20"/>
          <w:lang w:val="es-ES_tradnl"/>
        </w:rPr>
        <w:t>vis à vis</w:t>
      </w:r>
      <w:r w:rsidR="00C56C7A" w:rsidRPr="00496FE9">
        <w:rPr>
          <w:rFonts w:ascii="Cambria" w:hAnsi="Cambria" w:cs="Calibri"/>
          <w:sz w:val="20"/>
          <w:szCs w:val="20"/>
          <w:lang w:val="es-ES_tradnl"/>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sidR="00C56C7A" w:rsidRPr="00496FE9">
        <w:rPr>
          <w:rStyle w:val="FootnoteReference"/>
          <w:rFonts w:ascii="Cambria" w:hAnsi="Cambria" w:cs="Calibri"/>
          <w:sz w:val="20"/>
          <w:szCs w:val="20"/>
        </w:rPr>
        <w:footnoteReference w:id="14"/>
      </w:r>
      <w:r w:rsidR="00C56C7A" w:rsidRPr="00496FE9">
        <w:rPr>
          <w:rFonts w:ascii="Cambria" w:hAnsi="Cambria" w:cs="Calibri"/>
          <w:sz w:val="20"/>
          <w:szCs w:val="20"/>
          <w:lang w:val="es-ES_tradnl"/>
        </w:rPr>
        <w:t>.</w:t>
      </w:r>
      <w:r w:rsidR="00B41460" w:rsidRPr="00496FE9">
        <w:rPr>
          <w:rFonts w:ascii="Cambria" w:hAnsi="Cambria" w:cs="Calibri"/>
          <w:sz w:val="20"/>
          <w:szCs w:val="20"/>
          <w:lang w:val="es-ES_tradnl"/>
        </w:rPr>
        <w:t xml:space="preserve"> </w:t>
      </w:r>
    </w:p>
    <w:p w14:paraId="27F8E117" w14:textId="7943B9C9" w:rsidR="008428BE" w:rsidRPr="00496FE9" w:rsidRDefault="00B41460" w:rsidP="00334FB0">
      <w:pPr>
        <w:numPr>
          <w:ilvl w:val="0"/>
          <w:numId w:val="55"/>
        </w:numPr>
        <w:suppressAutoHyphens/>
        <w:spacing w:after="120"/>
        <w:jc w:val="both"/>
        <w:rPr>
          <w:rFonts w:asciiTheme="majorHAnsi" w:hAnsiTheme="majorHAnsi"/>
          <w:b/>
          <w:bCs/>
          <w:sz w:val="20"/>
          <w:szCs w:val="20"/>
          <w:lang w:val="es-ES"/>
        </w:rPr>
      </w:pPr>
      <w:r w:rsidRPr="00496FE9">
        <w:rPr>
          <w:rFonts w:ascii="Cambria" w:hAnsi="Cambria" w:cs="Calibri"/>
          <w:sz w:val="20"/>
          <w:szCs w:val="20"/>
          <w:lang w:val="es-ES_tradnl"/>
        </w:rPr>
        <w:t>En el presente caso, la Comisión toma nota de lo alegado por el Estado en el sentido de que la complejidad del asunto sería la razón por la que el proceso no ha podido ser</w:t>
      </w:r>
      <w:r w:rsidR="004E792B">
        <w:rPr>
          <w:rFonts w:ascii="Cambria" w:hAnsi="Cambria" w:cs="Calibri"/>
          <w:sz w:val="20"/>
          <w:szCs w:val="20"/>
          <w:lang w:val="es-ES_tradnl"/>
        </w:rPr>
        <w:t xml:space="preserve"> concluido de forma más temprana</w:t>
      </w:r>
      <w:r w:rsidRPr="00496FE9">
        <w:rPr>
          <w:rFonts w:ascii="Cambria" w:hAnsi="Cambria" w:cs="Calibri"/>
          <w:sz w:val="20"/>
          <w:szCs w:val="20"/>
          <w:lang w:val="es-ES_tradnl"/>
        </w:rPr>
        <w:t xml:space="preserve">. Sin embargo, la Comisión también valora que, según lo informado por el Estado y pese al tiempo transcurrido, solo se habrían vinculado a la investigación como presuntos responsables a cuatro personas quienes supuestamente pertenecerían a un grupo armado ilegal sin que se haya producido ninguna condena. Adicionalmente la Comisión valora que, aunque </w:t>
      </w:r>
      <w:r w:rsidR="00104500" w:rsidRPr="00496FE9">
        <w:rPr>
          <w:rFonts w:ascii="Cambria" w:hAnsi="Cambria" w:cs="Calibri"/>
          <w:sz w:val="20"/>
          <w:szCs w:val="20"/>
          <w:lang w:val="es-ES_tradnl"/>
        </w:rPr>
        <w:t xml:space="preserve">judicialmente se ha reconocido la responsabilidad administrativa del Estado en la muerte de 13 personas, no se ha vinculado a la investigación penal a ningún agente o ex agente estatal. </w:t>
      </w:r>
      <w:r w:rsidR="00780E49" w:rsidRPr="00496FE9">
        <w:rPr>
          <w:rFonts w:ascii="Cambria" w:hAnsi="Cambria" w:cs="Calibri"/>
          <w:sz w:val="20"/>
          <w:szCs w:val="20"/>
          <w:lang w:val="es-ES_tradnl"/>
        </w:rPr>
        <w:t>Si bien el Estado ha hecho referencia a que se realizó una inspección judicial a un batallón, no ha aportado información sobre que se hayan realizado diligencias judiciales o administrativas adicionales encaminadas a identificar y sancionar a agentes o ex agentes del Estado que pudieran tener responsabilidad por los hechos alegados en la petición. Por otra parte y dado que el Estado ha hecho referencia al paso del tiempo como una de las causas que dificultarían el avance de las investigaciones, la Comisión recuerda que ya ha manifestado que “como regla general, una investigación penal debe realizarse prontamente para proteger los intereses de las víctimas, preservar la prueba e incluso salvaguardar los derechos de toda persona que en el contexto de la investigación sea considerada sospechosa”</w:t>
      </w:r>
      <w:r w:rsidR="0008748A" w:rsidRPr="00496FE9">
        <w:rPr>
          <w:rFonts w:ascii="Cambria" w:hAnsi="Cambria" w:cs="Calibri"/>
          <w:sz w:val="20"/>
          <w:szCs w:val="20"/>
          <w:lang w:val="es-US"/>
        </w:rPr>
        <w:t xml:space="preserve"> </w:t>
      </w:r>
      <w:r w:rsidR="0008748A" w:rsidRPr="00496FE9">
        <w:rPr>
          <w:rStyle w:val="FootnoteReference"/>
          <w:rFonts w:ascii="Cambria" w:hAnsi="Cambria" w:cs="Calibri"/>
          <w:sz w:val="20"/>
          <w:szCs w:val="20"/>
        </w:rPr>
        <w:footnoteReference w:id="15"/>
      </w:r>
      <w:r w:rsidR="0008748A" w:rsidRPr="00496FE9">
        <w:rPr>
          <w:rFonts w:ascii="Cambria" w:hAnsi="Cambria" w:cs="Calibri"/>
          <w:sz w:val="20"/>
          <w:szCs w:val="20"/>
          <w:lang w:val="es-ES_tradnl"/>
        </w:rPr>
        <w:t>.</w:t>
      </w:r>
      <w:r w:rsidR="00780E49" w:rsidRPr="00496FE9">
        <w:rPr>
          <w:rFonts w:ascii="Cambria" w:hAnsi="Cambria" w:cs="Calibri"/>
          <w:sz w:val="20"/>
          <w:szCs w:val="20"/>
          <w:lang w:val="es-ES_tradnl"/>
        </w:rPr>
        <w:t xml:space="preserve"> </w:t>
      </w:r>
    </w:p>
    <w:p w14:paraId="5AF6248E" w14:textId="42220DEB" w:rsidR="006274F5" w:rsidRPr="00496FE9" w:rsidRDefault="00780E49" w:rsidP="003E0DC1">
      <w:pPr>
        <w:numPr>
          <w:ilvl w:val="0"/>
          <w:numId w:val="55"/>
        </w:numPr>
        <w:suppressAutoHyphens/>
        <w:spacing w:after="120"/>
        <w:jc w:val="both"/>
        <w:rPr>
          <w:rFonts w:asciiTheme="majorHAnsi" w:hAnsiTheme="majorHAnsi"/>
          <w:b/>
          <w:bCs/>
          <w:sz w:val="20"/>
          <w:szCs w:val="20"/>
          <w:lang w:val="es-ES"/>
        </w:rPr>
      </w:pPr>
      <w:r w:rsidRPr="00496FE9">
        <w:rPr>
          <w:rFonts w:ascii="Cambria" w:hAnsi="Cambria" w:cs="Calibri"/>
          <w:sz w:val="20"/>
          <w:szCs w:val="20"/>
          <w:lang w:val="es-ES_tradnl"/>
        </w:rPr>
        <w:t>Por las razones, expuestas, la Comisi</w:t>
      </w:r>
      <w:r w:rsidR="006B7694" w:rsidRPr="00496FE9">
        <w:rPr>
          <w:rFonts w:ascii="Cambria" w:hAnsi="Cambria" w:cs="Calibri"/>
          <w:sz w:val="20"/>
          <w:szCs w:val="20"/>
          <w:lang w:val="es-ES_tradnl"/>
        </w:rPr>
        <w:t xml:space="preserve">ón concluye, que la excepción al requisito de agotamiento de los recursos internos prevista en el artículo 46.2(c) de la Convención Americana resulta aplicable a la presente petición. </w:t>
      </w:r>
      <w:r w:rsidR="006B7694" w:rsidRPr="00496FE9">
        <w:rPr>
          <w:rFonts w:asciiTheme="majorHAnsi" w:hAnsiTheme="majorHAnsi"/>
          <w:bCs/>
          <w:sz w:val="20"/>
          <w:szCs w:val="20"/>
          <w:lang w:val="es-ES"/>
        </w:rPr>
        <w:t>Dado que los efectos de la alegada falta de verdad y justicia se extenderían hasta la fecha, la Comisión también concluye que la presente petición fue presentada dentro de plazo razonable en los términos del artículo 32.2 de su reglamento. La Comisión resalta que esta determinación no prejuzga sobre el fondo y que los argumentos presentados por el Estado respecto a las causas que han impedido que el proceso penal concluya de forma más temprana serán</w:t>
      </w:r>
      <w:r w:rsidR="006B7694" w:rsidRPr="00496FE9">
        <w:rPr>
          <w:rFonts w:ascii="Cambria" w:hAnsi="Cambria" w:cs="Calibri"/>
          <w:sz w:val="20"/>
          <w:szCs w:val="20"/>
          <w:lang w:val="es-ES_tradnl"/>
        </w:rPr>
        <w:t xml:space="preserve"> analizados, en lo pertinente, en el informe que adopte la Comisión sobre el fondo de la controversia</w:t>
      </w:r>
      <w:r w:rsidR="00815C77" w:rsidRPr="00496FE9">
        <w:rPr>
          <w:rFonts w:ascii="Cambria" w:hAnsi="Cambria" w:cs="Calibri"/>
          <w:sz w:val="20"/>
          <w:szCs w:val="20"/>
          <w:lang w:val="es-ES_tradnl"/>
        </w:rPr>
        <w:t>.</w:t>
      </w:r>
    </w:p>
    <w:p w14:paraId="7090A929" w14:textId="6638D73D" w:rsidR="00F04591" w:rsidRPr="00496FE9" w:rsidRDefault="00F04591" w:rsidP="00A929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496FE9">
        <w:rPr>
          <w:rFonts w:asciiTheme="majorHAnsi" w:hAnsiTheme="majorHAnsi"/>
          <w:b/>
          <w:bCs/>
          <w:sz w:val="20"/>
          <w:szCs w:val="20"/>
          <w:lang w:val="es-ES"/>
        </w:rPr>
        <w:t>V</w:t>
      </w:r>
      <w:r w:rsidR="000E2789" w:rsidRPr="00496FE9">
        <w:rPr>
          <w:rFonts w:asciiTheme="majorHAnsi" w:hAnsiTheme="majorHAnsi"/>
          <w:b/>
          <w:bCs/>
          <w:sz w:val="20"/>
          <w:szCs w:val="20"/>
          <w:lang w:val="es-ES"/>
        </w:rPr>
        <w:t>I</w:t>
      </w:r>
      <w:r w:rsidRPr="00496FE9">
        <w:rPr>
          <w:rFonts w:asciiTheme="majorHAnsi" w:hAnsiTheme="majorHAnsi"/>
          <w:b/>
          <w:bCs/>
          <w:sz w:val="20"/>
          <w:szCs w:val="20"/>
          <w:lang w:val="es-ES"/>
        </w:rPr>
        <w:t xml:space="preserve">I. </w:t>
      </w:r>
      <w:r w:rsidRPr="00496FE9">
        <w:rPr>
          <w:rFonts w:asciiTheme="majorHAnsi" w:hAnsiTheme="majorHAnsi"/>
          <w:b/>
          <w:bCs/>
          <w:sz w:val="20"/>
          <w:szCs w:val="20"/>
          <w:lang w:val="es-ES"/>
        </w:rPr>
        <w:tab/>
        <w:t>CARACTERIZACIÓN</w:t>
      </w:r>
    </w:p>
    <w:p w14:paraId="69EA2046" w14:textId="0F78ABF8" w:rsidR="00EC0810" w:rsidRPr="00496FE9" w:rsidRDefault="00E46AF9" w:rsidP="00805CB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MX"/>
        </w:rPr>
      </w:pPr>
      <w:r w:rsidRPr="00496FE9">
        <w:rPr>
          <w:color w:val="auto"/>
          <w:sz w:val="20"/>
          <w:szCs w:val="20"/>
          <w:lang w:val="es-AR"/>
        </w:rPr>
        <w:t xml:space="preserve">La Comisión observa que la presente petición incluye alegaciones </w:t>
      </w:r>
      <w:r w:rsidR="009354B0" w:rsidRPr="00496FE9">
        <w:rPr>
          <w:color w:val="auto"/>
          <w:sz w:val="20"/>
          <w:szCs w:val="20"/>
          <w:lang w:val="es-AR"/>
        </w:rPr>
        <w:t xml:space="preserve">con </w:t>
      </w:r>
      <w:r w:rsidR="009354B0" w:rsidRPr="00F54DA6">
        <w:rPr>
          <w:color w:val="auto"/>
          <w:sz w:val="20"/>
          <w:szCs w:val="20"/>
          <w:lang w:val="es-AR"/>
        </w:rPr>
        <w:t xml:space="preserve">respecto a </w:t>
      </w:r>
      <w:r w:rsidR="00805CB0" w:rsidRPr="00F54DA6">
        <w:rPr>
          <w:color w:val="auto"/>
          <w:sz w:val="20"/>
          <w:szCs w:val="20"/>
          <w:lang w:val="es-AR"/>
        </w:rPr>
        <w:t>que las presuntas víctimas</w:t>
      </w:r>
      <w:r w:rsidR="000939EF" w:rsidRPr="00F54DA6">
        <w:rPr>
          <w:color w:val="auto"/>
          <w:sz w:val="20"/>
          <w:szCs w:val="20"/>
          <w:lang w:val="es-AR"/>
        </w:rPr>
        <w:t xml:space="preserve"> fueron amenazadas por un grupo armado ilegal quien intentó reclutarlas de forma forzadas para sus filas y a que el Estado no actuó para protegerlas pese a que comunicaron oportunamente estas amenazas; a que las presuntas víctimas</w:t>
      </w:r>
      <w:r w:rsidR="00805CB0" w:rsidRPr="00F54DA6">
        <w:rPr>
          <w:color w:val="auto"/>
          <w:sz w:val="20"/>
          <w:szCs w:val="20"/>
          <w:lang w:val="es-AR"/>
        </w:rPr>
        <w:t xml:space="preserve"> sufrieron violaciones a sus derechos </w:t>
      </w:r>
      <w:r w:rsidR="000939EF" w:rsidRPr="00F54DA6">
        <w:rPr>
          <w:color w:val="auto"/>
          <w:sz w:val="20"/>
          <w:szCs w:val="20"/>
          <w:lang w:val="es-AR"/>
        </w:rPr>
        <w:t>humanos a manos de los grupos ilegales, como consecuencia de resistirse al reclutamiento</w:t>
      </w:r>
      <w:r w:rsidR="0032049F" w:rsidRPr="00F54DA6">
        <w:rPr>
          <w:color w:val="auto"/>
          <w:sz w:val="20"/>
          <w:szCs w:val="20"/>
          <w:lang w:val="es-AR"/>
        </w:rPr>
        <w:t xml:space="preserve"> y </w:t>
      </w:r>
      <w:r w:rsidR="000939EF" w:rsidRPr="00F54DA6">
        <w:rPr>
          <w:color w:val="auto"/>
          <w:sz w:val="20"/>
          <w:szCs w:val="20"/>
          <w:lang w:val="es-AR"/>
        </w:rPr>
        <w:t>por</w:t>
      </w:r>
      <w:r w:rsidR="0032049F" w:rsidRPr="00F54DA6">
        <w:rPr>
          <w:color w:val="auto"/>
          <w:sz w:val="20"/>
          <w:szCs w:val="20"/>
          <w:lang w:val="es-AR"/>
        </w:rPr>
        <w:t xml:space="preserve">que el Estado no les brindó protección pese a </w:t>
      </w:r>
      <w:r w:rsidR="000939EF" w:rsidRPr="00F54DA6">
        <w:rPr>
          <w:color w:val="auto"/>
          <w:sz w:val="20"/>
          <w:szCs w:val="20"/>
          <w:lang w:val="es-AR"/>
        </w:rPr>
        <w:t>tener conocimiento de la</w:t>
      </w:r>
      <w:r w:rsidR="0032049F" w:rsidRPr="00F54DA6">
        <w:rPr>
          <w:color w:val="auto"/>
          <w:sz w:val="20"/>
          <w:szCs w:val="20"/>
          <w:lang w:val="es-AR"/>
        </w:rPr>
        <w:t xml:space="preserve"> amenaza inminente; a que el Estado no ha cumplido diligentemente con su obligación de investigar y sancionar las presuntas violacio</w:t>
      </w:r>
      <w:r w:rsidR="0032049F" w:rsidRPr="00496FE9">
        <w:rPr>
          <w:color w:val="auto"/>
          <w:sz w:val="20"/>
          <w:szCs w:val="20"/>
          <w:lang w:val="es-AR"/>
        </w:rPr>
        <w:t xml:space="preserve">nes a los derechos de las presuntas víctimas; a que el Estado no ha brindado reparación integral a las presuntas víctimas pese a haber reconocido su responsabilidad administrativa por algunas de las violaciones alegadas; y a que a un grupo de las presuntas víctimas se les negó el acceso a una segunda instancia para la revisión de la decisión indemnizatoria en base a un criterio de cuantía. </w:t>
      </w:r>
    </w:p>
    <w:p w14:paraId="2B765EB8" w14:textId="5E7F6861" w:rsidR="0032049F" w:rsidRPr="00496FE9" w:rsidRDefault="0032049F" w:rsidP="00805CB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MX"/>
        </w:rPr>
      </w:pPr>
      <w:r w:rsidRPr="00496FE9">
        <w:rPr>
          <w:color w:val="auto"/>
          <w:sz w:val="20"/>
          <w:szCs w:val="20"/>
          <w:lang w:val="es-AR"/>
        </w:rPr>
        <w:t xml:space="preserve">Dada la naturaleza de las alegaciones la Comisión considera pertinente recordar que </w:t>
      </w:r>
      <w:r w:rsidR="008A3500" w:rsidRPr="00496FE9">
        <w:rPr>
          <w:color w:val="auto"/>
          <w:sz w:val="20"/>
          <w:szCs w:val="20"/>
          <w:lang w:val="es-AR"/>
        </w:rPr>
        <w:t>la Corte I</w:t>
      </w:r>
      <w:r w:rsidR="00B5680D" w:rsidRPr="00496FE9">
        <w:rPr>
          <w:color w:val="auto"/>
          <w:sz w:val="20"/>
          <w:szCs w:val="20"/>
          <w:lang w:val="es-AR"/>
        </w:rPr>
        <w:t>nteramericana ha establecido que los criterios para evaluar el surgimiento de la responsabilidad del Estado por faltar al deber de prevenir violaciones a los derechos humanos son verificar que existía una situación de riesgo real e inmediato para individuos o grupos de individuos determinados, que las autoridades conocieran o debieran tener conocimiento de ese riesgo y que, pese a ello, las autoridades no hayan adoptado “</w:t>
      </w:r>
      <w:r w:rsidR="00B5680D" w:rsidRPr="00496FE9">
        <w:rPr>
          <w:color w:val="auto"/>
          <w:sz w:val="20"/>
          <w:szCs w:val="20"/>
          <w:lang w:val="es-PA"/>
        </w:rPr>
        <w:t xml:space="preserve">las medidas </w:t>
      </w:r>
      <w:r w:rsidR="00B5680D" w:rsidRPr="00496FE9">
        <w:rPr>
          <w:color w:val="auto"/>
          <w:sz w:val="20"/>
          <w:szCs w:val="20"/>
          <w:lang w:val="es-PA"/>
        </w:rPr>
        <w:lastRenderedPageBreak/>
        <w:t>necesarias dentro del ámbito de sus atribuciones que, juzgadas razonablemente, podían esperarse para prevenir o evitar ese riesgo”</w:t>
      </w:r>
      <w:r w:rsidR="00B5680D" w:rsidRPr="00496FE9">
        <w:rPr>
          <w:rStyle w:val="FootnoteReference"/>
          <w:color w:val="auto"/>
          <w:sz w:val="20"/>
          <w:szCs w:val="20"/>
          <w:lang w:val="es-PA"/>
        </w:rPr>
        <w:footnoteReference w:id="16"/>
      </w:r>
      <w:r w:rsidR="00B5680D" w:rsidRPr="00496FE9">
        <w:rPr>
          <w:color w:val="auto"/>
          <w:sz w:val="20"/>
          <w:szCs w:val="20"/>
          <w:lang w:val="es-PA"/>
        </w:rPr>
        <w:t>.</w:t>
      </w:r>
      <w:r w:rsidR="001A2CD0" w:rsidRPr="00496FE9">
        <w:rPr>
          <w:color w:val="auto"/>
          <w:sz w:val="20"/>
          <w:szCs w:val="20"/>
          <w:lang w:val="es-PA"/>
        </w:rPr>
        <w:t xml:space="preserve"> </w:t>
      </w:r>
      <w:r w:rsidR="008A3500" w:rsidRPr="00496FE9">
        <w:rPr>
          <w:color w:val="auto"/>
          <w:sz w:val="20"/>
          <w:szCs w:val="20"/>
          <w:lang w:val="es-ES"/>
        </w:rPr>
        <w:t>La Comisión también ha reconocido que los Estados tienen “</w:t>
      </w:r>
      <w:r w:rsidR="008A3500" w:rsidRPr="00496FE9">
        <w:rPr>
          <w:rFonts w:cs="Calibri"/>
          <w:color w:val="auto"/>
          <w:sz w:val="20"/>
          <w:szCs w:val="20"/>
          <w:lang w:val="es-ES"/>
        </w:rPr>
        <w:t>la obligación de investigar eficientemente y sancionar aquellas actuaciones que pudieran conducir, incluso por acción u omisión, a la supresión de la inviolabilidad del derecho a la vida”</w:t>
      </w:r>
      <w:r w:rsidR="008A3500" w:rsidRPr="00496FE9">
        <w:rPr>
          <w:rStyle w:val="FootnoteReference"/>
          <w:rFonts w:cs="Calibri"/>
          <w:color w:val="auto"/>
          <w:sz w:val="20"/>
          <w:szCs w:val="20"/>
          <w:lang w:val="es-ES"/>
        </w:rPr>
        <w:footnoteReference w:id="17"/>
      </w:r>
      <w:r w:rsidR="008A3500" w:rsidRPr="00496FE9">
        <w:rPr>
          <w:rFonts w:cs="Calibri"/>
          <w:color w:val="auto"/>
          <w:sz w:val="20"/>
          <w:szCs w:val="20"/>
          <w:lang w:val="es-ES"/>
        </w:rPr>
        <w:t>.</w:t>
      </w:r>
      <w:r w:rsidR="002A18F2" w:rsidRPr="00496FE9">
        <w:rPr>
          <w:rFonts w:cs="Calibri"/>
          <w:color w:val="auto"/>
          <w:sz w:val="20"/>
          <w:szCs w:val="20"/>
          <w:lang w:val="es-ES"/>
        </w:rPr>
        <w:t xml:space="preserve"> La </w:t>
      </w:r>
      <w:r w:rsidR="0008748A" w:rsidRPr="00496FE9">
        <w:rPr>
          <w:rFonts w:cs="Calibri"/>
          <w:color w:val="auto"/>
          <w:sz w:val="20"/>
          <w:szCs w:val="20"/>
          <w:lang w:val="es-ES"/>
        </w:rPr>
        <w:t xml:space="preserve">Comisión también valora que la </w:t>
      </w:r>
      <w:r w:rsidR="002A18F2" w:rsidRPr="00496FE9">
        <w:rPr>
          <w:rFonts w:cs="Calibri"/>
          <w:color w:val="auto"/>
          <w:sz w:val="20"/>
          <w:szCs w:val="20"/>
          <w:lang w:val="es-ES"/>
        </w:rPr>
        <w:t xml:space="preserve">Corte Interamericana de derechos humanos </w:t>
      </w:r>
      <w:r w:rsidR="0008748A" w:rsidRPr="00496FE9">
        <w:rPr>
          <w:rFonts w:cs="Calibri"/>
          <w:color w:val="auto"/>
          <w:sz w:val="20"/>
          <w:szCs w:val="20"/>
          <w:lang w:val="es-ES"/>
        </w:rPr>
        <w:t>h</w:t>
      </w:r>
      <w:r w:rsidR="002A18F2" w:rsidRPr="00496FE9">
        <w:rPr>
          <w:rFonts w:cs="Calibri"/>
          <w:color w:val="auto"/>
          <w:sz w:val="20"/>
          <w:szCs w:val="20"/>
          <w:lang w:val="es-ES"/>
        </w:rPr>
        <w:t>a determinado que el desplazamiento forzado de personas</w:t>
      </w:r>
      <w:r w:rsidR="002A18F2" w:rsidRPr="00496FE9">
        <w:rPr>
          <w:rStyle w:val="FootnoteReference"/>
          <w:rFonts w:cs="Calibri"/>
          <w:color w:val="auto"/>
          <w:sz w:val="20"/>
          <w:szCs w:val="20"/>
          <w:lang w:val="es-ES"/>
        </w:rPr>
        <w:footnoteReference w:id="18"/>
      </w:r>
      <w:r w:rsidR="002A18F2" w:rsidRPr="00496FE9">
        <w:rPr>
          <w:rFonts w:cs="Calibri"/>
          <w:color w:val="auto"/>
          <w:sz w:val="20"/>
          <w:szCs w:val="20"/>
          <w:lang w:val="es-ES"/>
        </w:rPr>
        <w:t xml:space="preserve"> y la destrucción de sus viviendas</w:t>
      </w:r>
      <w:r w:rsidR="002A18F2" w:rsidRPr="00496FE9">
        <w:rPr>
          <w:rStyle w:val="FootnoteReference"/>
          <w:rFonts w:cs="Calibri"/>
          <w:color w:val="auto"/>
          <w:sz w:val="20"/>
          <w:szCs w:val="20"/>
          <w:lang w:val="es-ES"/>
        </w:rPr>
        <w:footnoteReference w:id="19"/>
      </w:r>
      <w:r w:rsidR="008A3500" w:rsidRPr="00496FE9">
        <w:rPr>
          <w:rFonts w:cs="Calibri"/>
          <w:color w:val="auto"/>
          <w:sz w:val="20"/>
          <w:szCs w:val="20"/>
          <w:lang w:val="es-ES"/>
        </w:rPr>
        <w:t xml:space="preserve"> </w:t>
      </w:r>
      <w:r w:rsidR="0008748A" w:rsidRPr="00496FE9">
        <w:rPr>
          <w:rFonts w:cs="Calibri"/>
          <w:color w:val="auto"/>
          <w:sz w:val="20"/>
          <w:szCs w:val="20"/>
          <w:lang w:val="es-ES"/>
        </w:rPr>
        <w:t>vulneran</w:t>
      </w:r>
      <w:r w:rsidR="002A18F2" w:rsidRPr="00496FE9">
        <w:rPr>
          <w:rFonts w:cs="Calibri"/>
          <w:color w:val="auto"/>
          <w:sz w:val="20"/>
          <w:szCs w:val="20"/>
          <w:lang w:val="es-ES"/>
        </w:rPr>
        <w:t xml:space="preserve"> al derecho a la protección de la familia previsto en el artículo 17 de la Convención Americana</w:t>
      </w:r>
      <w:r w:rsidR="000F76C1" w:rsidRPr="00496FE9">
        <w:rPr>
          <w:rFonts w:cs="Calibri"/>
          <w:color w:val="auto"/>
          <w:sz w:val="20"/>
          <w:szCs w:val="20"/>
          <w:lang w:val="es-ES"/>
        </w:rPr>
        <w:t>; así como que el artículo 38 de la Convención de los derechos del niño establece que los Estados deben adoptar “</w:t>
      </w:r>
      <w:r w:rsidR="000F76C1" w:rsidRPr="00496FE9">
        <w:rPr>
          <w:rFonts w:asciiTheme="majorHAnsi" w:hAnsiTheme="majorHAnsi"/>
          <w:color w:val="auto"/>
          <w:sz w:val="20"/>
          <w:szCs w:val="20"/>
          <w:shd w:val="clear" w:color="auto" w:fill="FFFFFF"/>
          <w:lang w:val="es-PA"/>
        </w:rPr>
        <w:t>todas las medidas posibles para asegurar que las personas que aún no hayan cumplido los 15 años de edad no participen directamente en las hostilidades”</w:t>
      </w:r>
      <w:r w:rsidR="002A18F2" w:rsidRPr="00496FE9">
        <w:rPr>
          <w:rFonts w:asciiTheme="majorHAnsi" w:hAnsiTheme="majorHAnsi" w:cs="Calibri"/>
          <w:color w:val="auto"/>
          <w:sz w:val="20"/>
          <w:szCs w:val="20"/>
          <w:lang w:val="es-ES"/>
        </w:rPr>
        <w:t xml:space="preserve">. </w:t>
      </w:r>
      <w:r w:rsidR="001A2CD0" w:rsidRPr="00496FE9">
        <w:rPr>
          <w:rFonts w:asciiTheme="majorHAnsi" w:hAnsiTheme="majorHAnsi"/>
          <w:color w:val="auto"/>
          <w:sz w:val="20"/>
          <w:szCs w:val="20"/>
          <w:lang w:val="es-PA"/>
        </w:rPr>
        <w:t>En</w:t>
      </w:r>
      <w:r w:rsidR="001A2CD0" w:rsidRPr="00496FE9">
        <w:rPr>
          <w:color w:val="auto"/>
          <w:sz w:val="20"/>
          <w:szCs w:val="20"/>
          <w:lang w:val="es-PA"/>
        </w:rPr>
        <w:t xml:space="preserve"> adición y atendiendo a lo alegado por el Estado en el sentido de que las presuntas víctimas ya han recibido indemnización por los hechos denunciados, la Comisión recuerda </w:t>
      </w:r>
      <w:r w:rsidR="008A3500" w:rsidRPr="00496FE9">
        <w:rPr>
          <w:color w:val="auto"/>
          <w:sz w:val="20"/>
          <w:szCs w:val="20"/>
          <w:lang w:val="es-PA"/>
        </w:rPr>
        <w:t xml:space="preserve">que </w:t>
      </w:r>
      <w:r w:rsidR="001A2CD0" w:rsidRPr="00496FE9">
        <w:rPr>
          <w:color w:val="auto"/>
          <w:sz w:val="20"/>
          <w:szCs w:val="20"/>
          <w:lang w:val="es-ES"/>
        </w:rPr>
        <w:t xml:space="preserve">ya ha determinado con anterioridad que un reconocimiento de responsabilidad por parte del Estado y la adopción por parte de </w:t>
      </w:r>
      <w:r w:rsidR="00644E58" w:rsidRPr="00496FE9">
        <w:rPr>
          <w:color w:val="auto"/>
          <w:sz w:val="20"/>
          <w:szCs w:val="20"/>
          <w:lang w:val="es-ES"/>
        </w:rPr>
        <w:t>e</w:t>
      </w:r>
      <w:r w:rsidR="001A2CD0" w:rsidRPr="00496FE9">
        <w:rPr>
          <w:color w:val="auto"/>
          <w:sz w:val="20"/>
          <w:szCs w:val="20"/>
          <w:lang w:val="es-ES"/>
        </w:rPr>
        <w:t>ste de medidas de reparación no constituye impedimento para la admisión de una petición, sin perjuicio de que las indemnizaciones otorgadas por el Estado sean valoradas en el análisis de fondo</w:t>
      </w:r>
      <w:r w:rsidR="001A2CD0" w:rsidRPr="00496FE9">
        <w:rPr>
          <w:rStyle w:val="FootnoteReference"/>
          <w:color w:val="auto"/>
          <w:sz w:val="20"/>
          <w:szCs w:val="20"/>
          <w:lang w:val="es-ES"/>
        </w:rPr>
        <w:footnoteReference w:id="20"/>
      </w:r>
      <w:r w:rsidR="001A2CD0" w:rsidRPr="00496FE9">
        <w:rPr>
          <w:color w:val="auto"/>
          <w:sz w:val="20"/>
          <w:szCs w:val="20"/>
          <w:lang w:val="es-ES"/>
        </w:rPr>
        <w:t xml:space="preserve">.  </w:t>
      </w:r>
      <w:r w:rsidR="00644E58" w:rsidRPr="00496FE9">
        <w:rPr>
          <w:rFonts w:cs="Calibri"/>
          <w:color w:val="auto"/>
          <w:sz w:val="20"/>
          <w:szCs w:val="20"/>
          <w:lang w:val="es-ES"/>
        </w:rPr>
        <w:t xml:space="preserve">La Comisión también recuerda que ya ha determinado que la imposibilidad de recurrir una sentencia que decide indemnizaciones por violaciones al derecho a la vida en base a criterios de cuantía puede, </w:t>
      </w:r>
      <w:r w:rsidR="00644E58" w:rsidRPr="00496FE9">
        <w:rPr>
          <w:rFonts w:cs="Calibri"/>
          <w:i/>
          <w:color w:val="auto"/>
          <w:sz w:val="20"/>
          <w:szCs w:val="20"/>
          <w:lang w:val="es-ES"/>
        </w:rPr>
        <w:t>prima facie</w:t>
      </w:r>
      <w:r w:rsidR="00644E58" w:rsidRPr="00496FE9">
        <w:rPr>
          <w:rFonts w:cs="Calibri"/>
          <w:color w:val="auto"/>
          <w:sz w:val="20"/>
          <w:szCs w:val="20"/>
          <w:lang w:val="es-ES"/>
        </w:rPr>
        <w:t>, caracterizar violaciones a la Convención Americana</w:t>
      </w:r>
      <w:r w:rsidR="00644E58" w:rsidRPr="00496FE9">
        <w:rPr>
          <w:rStyle w:val="FootnoteReference"/>
          <w:rFonts w:cs="Calibri"/>
          <w:color w:val="auto"/>
          <w:sz w:val="20"/>
          <w:szCs w:val="20"/>
          <w:lang w:val="es-ES"/>
        </w:rPr>
        <w:footnoteReference w:id="21"/>
      </w:r>
      <w:r w:rsidR="00644E58" w:rsidRPr="00496FE9">
        <w:rPr>
          <w:rFonts w:cs="Calibri"/>
          <w:color w:val="auto"/>
          <w:sz w:val="20"/>
          <w:szCs w:val="20"/>
          <w:lang w:val="es-ES"/>
        </w:rPr>
        <w:t>.</w:t>
      </w:r>
      <w:r w:rsidR="002A18F2" w:rsidRPr="00496FE9">
        <w:rPr>
          <w:rFonts w:cs="Calibri"/>
          <w:color w:val="auto"/>
          <w:sz w:val="20"/>
          <w:szCs w:val="20"/>
          <w:lang w:val="es-ES"/>
        </w:rPr>
        <w:t xml:space="preserve"> </w:t>
      </w:r>
    </w:p>
    <w:p w14:paraId="0C8D42BF" w14:textId="2EBD65B2" w:rsidR="000F76C1" w:rsidRPr="00303315" w:rsidRDefault="00761FB9" w:rsidP="000F76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MX"/>
        </w:rPr>
      </w:pPr>
      <w:r w:rsidRPr="00496FE9">
        <w:rPr>
          <w:rFonts w:asciiTheme="majorHAnsi" w:hAnsiTheme="majorHAnsi"/>
          <w:color w:val="auto"/>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496FE9">
        <w:rPr>
          <w:bCs/>
          <w:color w:val="auto"/>
          <w:sz w:val="19"/>
          <w:szCs w:val="19"/>
          <w:lang w:val="es-ES"/>
        </w:rPr>
        <w:t>artículos 4 (vida), 5 (integridad personal), 6 (prohibición de la esclavitud y servidumbre).</w:t>
      </w:r>
      <w:r w:rsidR="000F76C1" w:rsidRPr="00496FE9">
        <w:rPr>
          <w:bCs/>
          <w:color w:val="auto"/>
          <w:sz w:val="19"/>
          <w:szCs w:val="19"/>
          <w:lang w:val="es-ES"/>
        </w:rPr>
        <w:t xml:space="preserve"> 7 (libertad personal), </w:t>
      </w:r>
      <w:r w:rsidRPr="00496FE9">
        <w:rPr>
          <w:bCs/>
          <w:color w:val="auto"/>
          <w:sz w:val="19"/>
          <w:szCs w:val="19"/>
          <w:lang w:val="es-ES"/>
        </w:rPr>
        <w:t xml:space="preserve">8 (garantías judiciales), </w:t>
      </w:r>
      <w:r w:rsidR="00B83834" w:rsidRPr="00496FE9">
        <w:rPr>
          <w:bCs/>
          <w:sz w:val="19"/>
          <w:szCs w:val="19"/>
          <w:lang w:val="es-ES"/>
        </w:rPr>
        <w:t xml:space="preserve">11 (honra y dignidad),  </w:t>
      </w:r>
      <w:r w:rsidRPr="00496FE9">
        <w:rPr>
          <w:bCs/>
          <w:color w:val="auto"/>
          <w:sz w:val="19"/>
          <w:szCs w:val="19"/>
          <w:lang w:val="es-ES"/>
        </w:rPr>
        <w:t>17 (protección a la familia), 19 (derechos del niño), 21 (propiedad priv</w:t>
      </w:r>
      <w:r w:rsidR="00303315">
        <w:rPr>
          <w:bCs/>
          <w:color w:val="auto"/>
          <w:sz w:val="19"/>
          <w:szCs w:val="19"/>
          <w:lang w:val="es-ES"/>
        </w:rPr>
        <w:t xml:space="preserve">ada), 24 (igualdad ante la ley) </w:t>
      </w:r>
      <w:r w:rsidR="000F76C1" w:rsidRPr="00496FE9">
        <w:rPr>
          <w:bCs/>
          <w:color w:val="auto"/>
          <w:sz w:val="19"/>
          <w:szCs w:val="19"/>
          <w:lang w:val="es-ES"/>
        </w:rPr>
        <w:t>y</w:t>
      </w:r>
      <w:r w:rsidRPr="00496FE9">
        <w:rPr>
          <w:bCs/>
          <w:color w:val="auto"/>
          <w:sz w:val="19"/>
          <w:szCs w:val="19"/>
          <w:lang w:val="es-ES"/>
        </w:rPr>
        <w:t xml:space="preserve"> 25 (protección judicial) de la Convención Americana en relación con su artículo 1.1 (obligación de respetar los derechos), La Comisión toma nota de y examinara en la etapa de fondo lo alegado por el Estado en el sentido de que los tribunales no pudieron otorgar las indemnizaciones solicitadas por las presuntas víctimas porque estas no acreditaron los daños en el momento procesal oportuno, así como los argumentos relacionados con las causas que harían la investigación penal relacionada con este caso especialmente compleja.</w:t>
      </w:r>
    </w:p>
    <w:p w14:paraId="70C504A6" w14:textId="5D5E567D" w:rsidR="00303315" w:rsidRPr="00303315" w:rsidRDefault="00303315" w:rsidP="003033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
        </w:rPr>
      </w:pPr>
      <w:r w:rsidRPr="00E94F5A">
        <w:rPr>
          <w:rFonts w:ascii="Cambria" w:hAnsi="Cambria"/>
          <w:sz w:val="20"/>
          <w:szCs w:val="20"/>
          <w:lang w:val="es-VE"/>
        </w:rPr>
        <w:t>La Comisión considera igualmente que teniendo en cuenta la naturaleza múltiple, compleja y continua del desplazamiento de personas, en particular aquella relacionada a las afectaciones directas que de ella se derivan sobre los derechos a la libre circulación y residencia, vivienda e integridad personal así como del desarraigo que en términos sociales y culturales se puede presentar, los alegatos relativos a este fenómeno podrían caracterizar posibles violaciones de los artículos 5 (derecho a la integridad personal), 22 (circulación y residencia)  y 26 (derechos económicos, sociales y culturales)  de la Convención Americana de manera conjunta e interconectada.</w:t>
      </w:r>
    </w:p>
    <w:p w14:paraId="58586B40" w14:textId="4FD2FA6C" w:rsidR="00761FB9" w:rsidRPr="00496FE9" w:rsidRDefault="00761FB9" w:rsidP="00761FB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MX"/>
        </w:rPr>
      </w:pPr>
      <w:r w:rsidRPr="00496FE9">
        <w:rPr>
          <w:bCs/>
          <w:color w:val="auto"/>
          <w:sz w:val="19"/>
          <w:szCs w:val="19"/>
          <w:lang w:val="es-MX"/>
        </w:rPr>
        <w:t>En cuanto a las alegadas violaciones a los artículos 9 (principio</w:t>
      </w:r>
      <w:r w:rsidR="000F76C1" w:rsidRPr="00496FE9">
        <w:rPr>
          <w:bCs/>
          <w:color w:val="auto"/>
          <w:sz w:val="19"/>
          <w:szCs w:val="19"/>
          <w:lang w:val="es-MX"/>
        </w:rPr>
        <w:t xml:space="preserve"> de legalidad y retroactividad) y</w:t>
      </w:r>
      <w:r w:rsidRPr="00496FE9">
        <w:rPr>
          <w:bCs/>
          <w:color w:val="auto"/>
          <w:sz w:val="19"/>
          <w:szCs w:val="19"/>
          <w:lang w:val="es-MX"/>
        </w:rPr>
        <w:t xml:space="preserve"> 10 (indemnización) de la Convención Americana, la Comisión estima que la parte peticionaria no ha aportado ni surgen del expediente elementos o sustento suficiente para considerar, </w:t>
      </w:r>
      <w:r w:rsidRPr="00496FE9">
        <w:rPr>
          <w:bCs/>
          <w:i/>
          <w:color w:val="auto"/>
          <w:sz w:val="19"/>
          <w:szCs w:val="19"/>
          <w:lang w:val="es-MX"/>
        </w:rPr>
        <w:t>prima facie</w:t>
      </w:r>
      <w:r w:rsidRPr="00496FE9">
        <w:rPr>
          <w:bCs/>
          <w:color w:val="auto"/>
          <w:sz w:val="19"/>
          <w:szCs w:val="19"/>
          <w:lang w:val="es-MX"/>
        </w:rPr>
        <w:t>, su posible violación</w:t>
      </w:r>
    </w:p>
    <w:p w14:paraId="5DA31EE5" w14:textId="6D011021" w:rsidR="00761FB9" w:rsidRPr="00496FE9" w:rsidRDefault="00761FB9" w:rsidP="00761FB9">
      <w:pPr>
        <w:pStyle w:val="ListParagraph"/>
        <w:numPr>
          <w:ilvl w:val="0"/>
          <w:numId w:val="55"/>
        </w:numPr>
        <w:jc w:val="both"/>
        <w:rPr>
          <w:rFonts w:asciiTheme="majorHAnsi" w:hAnsiTheme="majorHAnsi"/>
          <w:color w:val="auto"/>
          <w:sz w:val="20"/>
          <w:szCs w:val="20"/>
          <w:lang w:val="es-MX"/>
        </w:rPr>
      </w:pPr>
      <w:r w:rsidRPr="00496FE9">
        <w:rPr>
          <w:rFonts w:cs="Calibri"/>
          <w:color w:val="auto"/>
          <w:sz w:val="20"/>
          <w:szCs w:val="20"/>
          <w:lang w:val="es-ES_tradnl"/>
        </w:rPr>
        <w:t>Con respecto a los alegatos del Estado referidos a la llamada fórmula de “cuarta instancia”</w:t>
      </w:r>
      <w:r w:rsidRPr="00496FE9">
        <w:rPr>
          <w:color w:val="auto"/>
          <w:sz w:val="20"/>
          <w:szCs w:val="20"/>
          <w:lang w:val="es-ES_tradnl"/>
        </w:rPr>
        <w:t xml:space="preserve">,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w:t>
      </w:r>
      <w:r w:rsidRPr="00496FE9">
        <w:rPr>
          <w:color w:val="auto"/>
          <w:sz w:val="20"/>
          <w:szCs w:val="20"/>
          <w:lang w:val="es-ES_tradnl"/>
        </w:rPr>
        <w:lastRenderedPageBreak/>
        <w:t>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496FE9">
        <w:rPr>
          <w:rStyle w:val="FootnoteReference"/>
          <w:rFonts w:cs="Calibri"/>
          <w:color w:val="auto"/>
          <w:sz w:val="20"/>
          <w:szCs w:val="20"/>
          <w:lang w:val="es-ES_tradnl"/>
        </w:rPr>
        <w:footnoteReference w:id="22"/>
      </w:r>
    </w:p>
    <w:p w14:paraId="6925CADA" w14:textId="77777777" w:rsidR="00153012" w:rsidRPr="00496FE9" w:rsidRDefault="00153012" w:rsidP="00153012">
      <w:pPr>
        <w:pStyle w:val="ListParagraph"/>
        <w:jc w:val="both"/>
        <w:rPr>
          <w:rFonts w:asciiTheme="majorHAnsi" w:hAnsiTheme="majorHAnsi"/>
          <w:color w:val="auto"/>
          <w:sz w:val="20"/>
          <w:szCs w:val="20"/>
          <w:lang w:val="es-MX"/>
        </w:rPr>
      </w:pPr>
    </w:p>
    <w:p w14:paraId="29BB41F5" w14:textId="45F3FA1F" w:rsidR="003239B8" w:rsidRPr="00496FE9" w:rsidRDefault="00EC72AB" w:rsidP="00B92D4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AR"/>
        </w:rPr>
      </w:pPr>
      <w:r w:rsidRPr="00496FE9">
        <w:rPr>
          <w:rFonts w:asciiTheme="majorHAnsi" w:hAnsiTheme="majorHAnsi"/>
          <w:b/>
          <w:bCs/>
          <w:color w:val="auto"/>
          <w:sz w:val="20"/>
          <w:szCs w:val="20"/>
          <w:lang w:val="es-ES"/>
        </w:rPr>
        <w:t>VI</w:t>
      </w:r>
      <w:r w:rsidR="00F04591" w:rsidRPr="00496FE9">
        <w:rPr>
          <w:rFonts w:asciiTheme="majorHAnsi" w:hAnsiTheme="majorHAnsi"/>
          <w:b/>
          <w:bCs/>
          <w:color w:val="auto"/>
          <w:sz w:val="20"/>
          <w:szCs w:val="20"/>
          <w:lang w:val="es-ES"/>
        </w:rPr>
        <w:t>II</w:t>
      </w:r>
      <w:r w:rsidR="003239B8" w:rsidRPr="00496FE9">
        <w:rPr>
          <w:rFonts w:asciiTheme="majorHAnsi" w:hAnsiTheme="majorHAnsi"/>
          <w:b/>
          <w:bCs/>
          <w:color w:val="auto"/>
          <w:sz w:val="20"/>
          <w:szCs w:val="20"/>
          <w:lang w:val="es-ES"/>
        </w:rPr>
        <w:t xml:space="preserve">. </w:t>
      </w:r>
      <w:r w:rsidR="003239B8" w:rsidRPr="00496FE9">
        <w:rPr>
          <w:rFonts w:asciiTheme="majorHAnsi" w:hAnsiTheme="majorHAnsi"/>
          <w:b/>
          <w:bCs/>
          <w:color w:val="auto"/>
          <w:sz w:val="20"/>
          <w:szCs w:val="20"/>
          <w:lang w:val="es-ES"/>
        </w:rPr>
        <w:tab/>
        <w:t>DECISIÓN</w:t>
      </w:r>
    </w:p>
    <w:p w14:paraId="164EF7A0" w14:textId="03FDACFB" w:rsidR="003E2134" w:rsidRPr="00496FE9" w:rsidRDefault="003239B8"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96FE9">
        <w:rPr>
          <w:rFonts w:asciiTheme="majorHAnsi" w:hAnsiTheme="majorHAnsi"/>
          <w:sz w:val="20"/>
          <w:szCs w:val="20"/>
          <w:lang w:val="es-ES"/>
        </w:rPr>
        <w:t xml:space="preserve">Declarar </w:t>
      </w:r>
      <w:r w:rsidR="00FA5DB1" w:rsidRPr="00496FE9">
        <w:rPr>
          <w:rFonts w:asciiTheme="majorHAnsi" w:hAnsiTheme="majorHAnsi"/>
          <w:sz w:val="20"/>
          <w:szCs w:val="20"/>
          <w:lang w:val="es-ES"/>
        </w:rPr>
        <w:t xml:space="preserve">admisible la presente petición </w:t>
      </w:r>
      <w:r w:rsidR="004C3A7D" w:rsidRPr="00496FE9">
        <w:rPr>
          <w:rFonts w:asciiTheme="majorHAnsi" w:hAnsiTheme="majorHAnsi"/>
          <w:sz w:val="20"/>
          <w:szCs w:val="20"/>
          <w:lang w:val="es-ES"/>
        </w:rPr>
        <w:t xml:space="preserve">en relación con los artículos </w:t>
      </w:r>
      <w:r w:rsidR="00EC0810" w:rsidRPr="00496FE9">
        <w:rPr>
          <w:rFonts w:asciiTheme="majorHAnsi" w:hAnsiTheme="majorHAnsi"/>
          <w:sz w:val="20"/>
          <w:szCs w:val="20"/>
          <w:lang w:val="es-ES"/>
        </w:rPr>
        <w:t xml:space="preserve">4, </w:t>
      </w:r>
      <w:r w:rsidR="00761FB9" w:rsidRPr="00496FE9">
        <w:rPr>
          <w:rFonts w:asciiTheme="majorHAnsi" w:hAnsiTheme="majorHAnsi"/>
          <w:sz w:val="20"/>
          <w:szCs w:val="20"/>
          <w:lang w:val="es-ES"/>
        </w:rPr>
        <w:t xml:space="preserve">5, 6, </w:t>
      </w:r>
      <w:r w:rsidR="000F76C1" w:rsidRPr="00496FE9">
        <w:rPr>
          <w:rFonts w:asciiTheme="majorHAnsi" w:hAnsiTheme="majorHAnsi"/>
          <w:sz w:val="20"/>
          <w:szCs w:val="20"/>
          <w:lang w:val="es-ES"/>
        </w:rPr>
        <w:t xml:space="preserve">7, </w:t>
      </w:r>
      <w:r w:rsidR="00761FB9" w:rsidRPr="00496FE9">
        <w:rPr>
          <w:rFonts w:asciiTheme="majorHAnsi" w:hAnsiTheme="majorHAnsi"/>
          <w:sz w:val="20"/>
          <w:szCs w:val="20"/>
          <w:lang w:val="es-ES"/>
        </w:rPr>
        <w:t xml:space="preserve">8, </w:t>
      </w:r>
      <w:r w:rsidR="00A10480">
        <w:rPr>
          <w:rFonts w:asciiTheme="majorHAnsi" w:hAnsiTheme="majorHAnsi"/>
          <w:sz w:val="20"/>
          <w:szCs w:val="20"/>
          <w:lang w:val="es-ES"/>
        </w:rPr>
        <w:t xml:space="preserve">11, </w:t>
      </w:r>
      <w:r w:rsidR="00761FB9" w:rsidRPr="00496FE9">
        <w:rPr>
          <w:rFonts w:asciiTheme="majorHAnsi" w:hAnsiTheme="majorHAnsi"/>
          <w:sz w:val="20"/>
          <w:szCs w:val="20"/>
          <w:lang w:val="es-ES"/>
        </w:rPr>
        <w:t>17, 19, 21, 22, 24, 25 y 26 de la Convención Americana en relación con su artículo 1.1.</w:t>
      </w:r>
    </w:p>
    <w:p w14:paraId="7DDB01A1" w14:textId="6BE542C7" w:rsidR="00761FB9" w:rsidRPr="00496FE9" w:rsidRDefault="00761FB9"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96FE9">
        <w:rPr>
          <w:rFonts w:asciiTheme="majorHAnsi" w:hAnsiTheme="majorHAnsi"/>
          <w:sz w:val="20"/>
          <w:szCs w:val="20"/>
          <w:lang w:val="es-ES"/>
        </w:rPr>
        <w:t xml:space="preserve">Declarar inadmisible la presente petición </w:t>
      </w:r>
      <w:r w:rsidR="000F76C1" w:rsidRPr="00496FE9">
        <w:rPr>
          <w:rFonts w:asciiTheme="majorHAnsi" w:hAnsiTheme="majorHAnsi"/>
          <w:sz w:val="20"/>
          <w:szCs w:val="20"/>
          <w:lang w:val="es-ES"/>
        </w:rPr>
        <w:t>en relación con los artículos 9</w:t>
      </w:r>
      <w:r w:rsidRPr="00496FE9">
        <w:rPr>
          <w:rFonts w:asciiTheme="majorHAnsi" w:hAnsiTheme="majorHAnsi"/>
          <w:sz w:val="20"/>
          <w:szCs w:val="20"/>
          <w:lang w:val="es-ES"/>
        </w:rPr>
        <w:t xml:space="preserve"> y 10 de la Convención Americana</w:t>
      </w:r>
      <w:r w:rsidR="00C35BE3" w:rsidRPr="00496FE9">
        <w:rPr>
          <w:rFonts w:asciiTheme="majorHAnsi" w:hAnsiTheme="majorHAnsi"/>
          <w:sz w:val="20"/>
          <w:szCs w:val="20"/>
          <w:lang w:val="es-ES"/>
        </w:rPr>
        <w:t>.</w:t>
      </w:r>
    </w:p>
    <w:p w14:paraId="4157390F" w14:textId="126384E6"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96FE9">
        <w:rPr>
          <w:rFonts w:asciiTheme="majorHAnsi" w:hAnsiTheme="majorHAnsi"/>
          <w:sz w:val="20"/>
          <w:szCs w:val="20"/>
          <w:lang w:val="es-ES"/>
        </w:rPr>
        <w:t>Notificar a las partes la presente de</w:t>
      </w:r>
      <w:r w:rsidR="00FA5DB1" w:rsidRPr="00496FE9">
        <w:rPr>
          <w:rFonts w:asciiTheme="majorHAnsi" w:hAnsiTheme="majorHAnsi"/>
          <w:sz w:val="20"/>
          <w:szCs w:val="20"/>
          <w:lang w:val="es-ES"/>
        </w:rPr>
        <w:t xml:space="preserve">cisión; </w:t>
      </w:r>
      <w:r w:rsidR="00761FB9" w:rsidRPr="00496FE9">
        <w:rPr>
          <w:rFonts w:asciiTheme="majorHAnsi" w:hAnsiTheme="majorHAnsi"/>
          <w:sz w:val="20"/>
          <w:szCs w:val="20"/>
          <w:lang w:val="es-ES"/>
        </w:rPr>
        <w:t xml:space="preserve">proceder con el análisis de fondo </w:t>
      </w:r>
      <w:r w:rsidRPr="00496FE9">
        <w:rPr>
          <w:rFonts w:asciiTheme="majorHAnsi" w:hAnsiTheme="majorHAnsi"/>
          <w:sz w:val="20"/>
          <w:szCs w:val="20"/>
          <w:lang w:val="es-ES"/>
        </w:rPr>
        <w:t>y publicar esta decisión e incluirla en su Informe Anual a la Asamblea General de la Organización de los Estados Americanos.</w:t>
      </w:r>
    </w:p>
    <w:p w14:paraId="57272E6B" w14:textId="77777777" w:rsidR="00616DD1" w:rsidRPr="00A37B82" w:rsidRDefault="00616DD1" w:rsidP="00616DD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CA6AC43" w14:textId="77777777" w:rsidR="007A1A9A" w:rsidRDefault="007A1A9A">
      <w:pPr>
        <w:rPr>
          <w:rFonts w:asciiTheme="majorHAnsi" w:hAnsiTheme="majorHAnsi"/>
          <w:b/>
          <w:sz w:val="20"/>
          <w:szCs w:val="20"/>
          <w:lang w:val="es-ES"/>
        </w:rPr>
      </w:pPr>
      <w:r>
        <w:rPr>
          <w:rFonts w:asciiTheme="majorHAnsi" w:hAnsiTheme="majorHAnsi"/>
          <w:b/>
          <w:sz w:val="20"/>
          <w:szCs w:val="20"/>
          <w:lang w:val="es-ES"/>
        </w:rPr>
        <w:br w:type="page"/>
      </w:r>
    </w:p>
    <w:p w14:paraId="44FFBA90" w14:textId="1ED71754" w:rsidR="003725BC" w:rsidRDefault="003725BC" w:rsidP="00DC75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sz w:val="20"/>
          <w:szCs w:val="20"/>
          <w:lang w:val="es-ES"/>
        </w:rPr>
      </w:pPr>
      <w:r>
        <w:rPr>
          <w:rFonts w:asciiTheme="majorHAnsi" w:hAnsiTheme="majorHAnsi"/>
          <w:b/>
          <w:sz w:val="20"/>
          <w:szCs w:val="20"/>
          <w:lang w:val="es-ES"/>
        </w:rPr>
        <w:lastRenderedPageBreak/>
        <w:t>Anexo</w:t>
      </w:r>
    </w:p>
    <w:p w14:paraId="17B762CE" w14:textId="77777777" w:rsidR="00DC75D0" w:rsidRPr="003838F6" w:rsidRDefault="00DC75D0" w:rsidP="00DC75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sz w:val="20"/>
          <w:szCs w:val="20"/>
          <w:lang w:val="es-ES"/>
        </w:rPr>
      </w:pPr>
    </w:p>
    <w:p w14:paraId="21A50C5E" w14:textId="77777777" w:rsidR="003725BC" w:rsidRDefault="003725BC" w:rsidP="003725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u w:val="single"/>
          <w:lang w:val="es-ES"/>
        </w:rPr>
      </w:pPr>
      <w:r w:rsidRPr="003838F6">
        <w:rPr>
          <w:rFonts w:asciiTheme="majorHAnsi" w:hAnsiTheme="majorHAnsi"/>
          <w:sz w:val="20"/>
          <w:szCs w:val="20"/>
          <w:u w:val="single"/>
          <w:lang w:val="es-ES"/>
        </w:rPr>
        <w:t>Lista de Presuntas Víctimas</w:t>
      </w:r>
    </w:p>
    <w:p w14:paraId="53D834C2" w14:textId="77777777" w:rsidR="003725BC" w:rsidRPr="00DC75D0" w:rsidRDefault="003725BC" w:rsidP="003725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u w:val="single"/>
          <w:lang w:val="es-ES"/>
        </w:rPr>
      </w:pPr>
    </w:p>
    <w:p w14:paraId="286CE2AD"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Lidia Becoche</w:t>
      </w:r>
    </w:p>
    <w:p w14:paraId="7440C569" w14:textId="77777777" w:rsidR="003725BC" w:rsidRPr="00DC75D0" w:rsidRDefault="003725BC" w:rsidP="007A1A9A">
      <w:pPr>
        <w:pStyle w:val="ListParagraph"/>
        <w:ind w:left="0"/>
        <w:rPr>
          <w:sz w:val="20"/>
          <w:szCs w:val="20"/>
          <w:lang w:val="es-PA"/>
        </w:rPr>
      </w:pPr>
    </w:p>
    <w:p w14:paraId="73E240AE"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Gersain Becoche</w:t>
      </w:r>
    </w:p>
    <w:p w14:paraId="49D85702" w14:textId="77777777" w:rsidR="003725BC" w:rsidRPr="00DC75D0" w:rsidRDefault="003725BC" w:rsidP="007A1A9A">
      <w:pPr>
        <w:pStyle w:val="ListParagraph"/>
        <w:ind w:left="0"/>
        <w:rPr>
          <w:sz w:val="20"/>
          <w:szCs w:val="20"/>
          <w:lang w:val="es-PA"/>
        </w:rPr>
      </w:pPr>
    </w:p>
    <w:p w14:paraId="0B8ED50D"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Doris Campo Fajardo</w:t>
      </w:r>
    </w:p>
    <w:p w14:paraId="019007BA" w14:textId="77777777" w:rsidR="003725BC" w:rsidRPr="00DC75D0" w:rsidRDefault="003725BC" w:rsidP="007A1A9A">
      <w:pPr>
        <w:pStyle w:val="ListParagraph"/>
        <w:ind w:left="0"/>
        <w:rPr>
          <w:sz w:val="20"/>
          <w:szCs w:val="20"/>
          <w:lang w:val="es-PA"/>
        </w:rPr>
      </w:pPr>
    </w:p>
    <w:p w14:paraId="0D85204C"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Edith Guachetá Pechené </w:t>
      </w:r>
    </w:p>
    <w:p w14:paraId="4734C027" w14:textId="77777777" w:rsidR="003725BC" w:rsidRPr="00DC75D0" w:rsidRDefault="003725BC" w:rsidP="007A1A9A">
      <w:pPr>
        <w:pStyle w:val="ListParagraph"/>
        <w:ind w:left="0"/>
        <w:rPr>
          <w:sz w:val="20"/>
          <w:szCs w:val="20"/>
          <w:lang w:val="es-PA"/>
        </w:rPr>
      </w:pPr>
    </w:p>
    <w:p w14:paraId="4DBC7484"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Eider Herney Guachetá Pechené</w:t>
      </w:r>
    </w:p>
    <w:p w14:paraId="51CED41A" w14:textId="77777777" w:rsidR="003725BC" w:rsidRPr="00DC75D0" w:rsidRDefault="003725BC" w:rsidP="007A1A9A">
      <w:pPr>
        <w:pStyle w:val="ListParagraph"/>
        <w:ind w:left="0"/>
        <w:rPr>
          <w:sz w:val="20"/>
          <w:szCs w:val="20"/>
          <w:lang w:val="es-PA"/>
        </w:rPr>
      </w:pPr>
    </w:p>
    <w:p w14:paraId="06ABD5B8"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Francy Elena Guachetá Pechené</w:t>
      </w:r>
    </w:p>
    <w:p w14:paraId="0932B962" w14:textId="77777777" w:rsidR="003725BC" w:rsidRPr="00DC75D0" w:rsidRDefault="003725BC" w:rsidP="007A1A9A">
      <w:pPr>
        <w:pStyle w:val="ListParagraph"/>
        <w:ind w:left="0"/>
        <w:rPr>
          <w:sz w:val="20"/>
          <w:szCs w:val="20"/>
          <w:lang w:val="es-PA"/>
        </w:rPr>
      </w:pPr>
    </w:p>
    <w:p w14:paraId="79FE874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Hernando Chate Camayo</w:t>
      </w:r>
    </w:p>
    <w:p w14:paraId="349925E8" w14:textId="77777777" w:rsidR="003725BC" w:rsidRPr="00DC75D0" w:rsidRDefault="003725BC" w:rsidP="007A1A9A">
      <w:pPr>
        <w:pStyle w:val="ListParagraph"/>
        <w:ind w:left="0"/>
        <w:rPr>
          <w:sz w:val="20"/>
          <w:szCs w:val="20"/>
          <w:lang w:val="es-PA"/>
        </w:rPr>
      </w:pPr>
    </w:p>
    <w:p w14:paraId="72501137"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Flor Elvira Montenegro</w:t>
      </w:r>
    </w:p>
    <w:p w14:paraId="04B16651" w14:textId="77777777" w:rsidR="003725BC" w:rsidRPr="00DC75D0" w:rsidRDefault="003725BC" w:rsidP="007A1A9A">
      <w:pPr>
        <w:pStyle w:val="ListParagraph"/>
        <w:ind w:left="0"/>
        <w:rPr>
          <w:sz w:val="20"/>
          <w:szCs w:val="20"/>
          <w:lang w:val="es-PA"/>
        </w:rPr>
      </w:pPr>
    </w:p>
    <w:p w14:paraId="24AEE44E"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Lucía Flor Galarza de Chate</w:t>
      </w:r>
    </w:p>
    <w:p w14:paraId="6479449F" w14:textId="77777777" w:rsidR="003725BC" w:rsidRPr="00DC75D0" w:rsidRDefault="003725BC" w:rsidP="007A1A9A">
      <w:pPr>
        <w:pStyle w:val="ListParagraph"/>
        <w:ind w:left="0"/>
        <w:rPr>
          <w:sz w:val="20"/>
          <w:szCs w:val="20"/>
          <w:lang w:val="es-PA"/>
        </w:rPr>
      </w:pPr>
    </w:p>
    <w:p w14:paraId="1B4A821F"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Anibal Chate Flor</w:t>
      </w:r>
    </w:p>
    <w:p w14:paraId="146EAA7E" w14:textId="77777777" w:rsidR="003725BC" w:rsidRPr="00DC75D0" w:rsidRDefault="003725BC" w:rsidP="007A1A9A">
      <w:pPr>
        <w:pStyle w:val="ListParagraph"/>
        <w:ind w:left="0"/>
        <w:rPr>
          <w:sz w:val="20"/>
          <w:szCs w:val="20"/>
          <w:lang w:val="es-PA"/>
        </w:rPr>
      </w:pPr>
    </w:p>
    <w:p w14:paraId="748F6555"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Denis Chate Flor</w:t>
      </w:r>
    </w:p>
    <w:p w14:paraId="3C2F6B9C" w14:textId="77777777" w:rsidR="003725BC" w:rsidRPr="00DC75D0" w:rsidRDefault="003725BC" w:rsidP="007A1A9A">
      <w:pPr>
        <w:pStyle w:val="ListParagraph"/>
        <w:ind w:left="0"/>
        <w:rPr>
          <w:sz w:val="20"/>
          <w:szCs w:val="20"/>
          <w:lang w:val="es-PA"/>
        </w:rPr>
      </w:pPr>
    </w:p>
    <w:p w14:paraId="024011B9"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Tulia María Flor</w:t>
      </w:r>
    </w:p>
    <w:p w14:paraId="6EF495B6" w14:textId="77777777" w:rsidR="003725BC" w:rsidRPr="00DC75D0" w:rsidRDefault="003725BC" w:rsidP="007A1A9A">
      <w:pPr>
        <w:pStyle w:val="ListParagraph"/>
        <w:ind w:left="0"/>
        <w:rPr>
          <w:sz w:val="20"/>
          <w:szCs w:val="20"/>
          <w:lang w:val="es-PA"/>
        </w:rPr>
      </w:pPr>
    </w:p>
    <w:p w14:paraId="3820471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Fabiola Chate Flor</w:t>
      </w:r>
    </w:p>
    <w:p w14:paraId="49549513" w14:textId="77777777" w:rsidR="003725BC" w:rsidRPr="00DC75D0" w:rsidRDefault="003725BC" w:rsidP="007A1A9A">
      <w:pPr>
        <w:pStyle w:val="ListParagraph"/>
        <w:ind w:left="0"/>
        <w:rPr>
          <w:sz w:val="20"/>
          <w:szCs w:val="20"/>
          <w:lang w:val="es-PA"/>
        </w:rPr>
      </w:pPr>
    </w:p>
    <w:p w14:paraId="4CE7D191"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Diana Patricia Chate Flor</w:t>
      </w:r>
    </w:p>
    <w:p w14:paraId="745F9571" w14:textId="77777777" w:rsidR="003725BC" w:rsidRPr="00DC75D0" w:rsidRDefault="003725BC" w:rsidP="007A1A9A">
      <w:pPr>
        <w:pStyle w:val="ListParagraph"/>
        <w:ind w:left="0"/>
        <w:rPr>
          <w:sz w:val="20"/>
          <w:szCs w:val="20"/>
          <w:lang w:val="es-PA"/>
        </w:rPr>
      </w:pPr>
    </w:p>
    <w:p w14:paraId="11F5143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Gabriel Chate Flor</w:t>
      </w:r>
    </w:p>
    <w:p w14:paraId="0215B86F" w14:textId="77777777" w:rsidR="003725BC" w:rsidRPr="00DC75D0" w:rsidRDefault="003725BC" w:rsidP="007A1A9A">
      <w:pPr>
        <w:pStyle w:val="ListParagraph"/>
        <w:ind w:left="0"/>
        <w:rPr>
          <w:sz w:val="20"/>
          <w:szCs w:val="20"/>
          <w:lang w:val="es-PA"/>
        </w:rPr>
      </w:pPr>
    </w:p>
    <w:p w14:paraId="1651391E"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Omar Chate Flor</w:t>
      </w:r>
    </w:p>
    <w:p w14:paraId="4508EF9E" w14:textId="77777777" w:rsidR="003725BC" w:rsidRPr="00DC75D0" w:rsidRDefault="003725BC" w:rsidP="007A1A9A">
      <w:pPr>
        <w:pStyle w:val="ListParagraph"/>
        <w:ind w:left="0"/>
        <w:rPr>
          <w:sz w:val="20"/>
          <w:szCs w:val="20"/>
          <w:lang w:val="es-PA"/>
        </w:rPr>
      </w:pPr>
    </w:p>
    <w:p w14:paraId="02DD6854"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Limo Genaro Chate Flor</w:t>
      </w:r>
    </w:p>
    <w:p w14:paraId="02F80F86" w14:textId="77777777" w:rsidR="003725BC" w:rsidRPr="00DC75D0" w:rsidRDefault="003725BC" w:rsidP="007A1A9A">
      <w:pPr>
        <w:pStyle w:val="ListParagraph"/>
        <w:ind w:left="0"/>
        <w:rPr>
          <w:sz w:val="20"/>
          <w:szCs w:val="20"/>
          <w:lang w:val="es-PA"/>
        </w:rPr>
      </w:pPr>
    </w:p>
    <w:p w14:paraId="01783338"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Carlos Olmes Guachetá</w:t>
      </w:r>
    </w:p>
    <w:p w14:paraId="7B51A3E8" w14:textId="77777777" w:rsidR="003725BC" w:rsidRPr="00DC75D0" w:rsidRDefault="003725BC" w:rsidP="007A1A9A">
      <w:pPr>
        <w:pStyle w:val="ListParagraph"/>
        <w:ind w:left="0"/>
        <w:rPr>
          <w:sz w:val="20"/>
          <w:szCs w:val="20"/>
          <w:lang w:val="es-PA"/>
        </w:rPr>
      </w:pPr>
    </w:p>
    <w:p w14:paraId="0609F92E"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Guillermo Guachetá León</w:t>
      </w:r>
    </w:p>
    <w:p w14:paraId="47A90F49" w14:textId="77777777" w:rsidR="003725BC" w:rsidRPr="00DC75D0" w:rsidRDefault="003725BC" w:rsidP="007A1A9A">
      <w:pPr>
        <w:pStyle w:val="ListParagraph"/>
        <w:ind w:left="0"/>
        <w:rPr>
          <w:sz w:val="20"/>
          <w:szCs w:val="20"/>
          <w:lang w:val="es-PA"/>
        </w:rPr>
      </w:pPr>
    </w:p>
    <w:p w14:paraId="3BBC387D"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Lady Guachetá Leon</w:t>
      </w:r>
    </w:p>
    <w:p w14:paraId="3ECFEC80" w14:textId="77777777" w:rsidR="003725BC" w:rsidRPr="00DC75D0" w:rsidRDefault="003725BC" w:rsidP="007A1A9A">
      <w:pPr>
        <w:pStyle w:val="ListParagraph"/>
        <w:ind w:left="0"/>
        <w:rPr>
          <w:sz w:val="20"/>
          <w:szCs w:val="20"/>
          <w:lang w:val="es-PA"/>
        </w:rPr>
      </w:pPr>
    </w:p>
    <w:p w14:paraId="49B0C337"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Ezequiel Guachetá Zambrano</w:t>
      </w:r>
    </w:p>
    <w:p w14:paraId="1D3DF138" w14:textId="77777777" w:rsidR="003725BC" w:rsidRPr="00DC75D0" w:rsidRDefault="003725BC" w:rsidP="007A1A9A">
      <w:pPr>
        <w:pStyle w:val="ListParagraph"/>
        <w:ind w:left="0"/>
        <w:rPr>
          <w:sz w:val="20"/>
          <w:szCs w:val="20"/>
          <w:lang w:val="es-PA"/>
        </w:rPr>
      </w:pPr>
    </w:p>
    <w:p w14:paraId="6C5BBBD2"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Manuel Aummer Guachetá Zambrano</w:t>
      </w:r>
    </w:p>
    <w:p w14:paraId="16415643" w14:textId="77777777" w:rsidR="003725BC" w:rsidRPr="00DC75D0" w:rsidRDefault="003725BC" w:rsidP="007A1A9A">
      <w:pPr>
        <w:pStyle w:val="ListParagraph"/>
        <w:ind w:left="0"/>
        <w:rPr>
          <w:sz w:val="20"/>
          <w:szCs w:val="20"/>
          <w:lang w:val="es-PA"/>
        </w:rPr>
      </w:pPr>
    </w:p>
    <w:p w14:paraId="6396FC43"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Rosa Elvia Guachetá Guachetá </w:t>
      </w:r>
    </w:p>
    <w:p w14:paraId="325891D3" w14:textId="77777777" w:rsidR="003725BC" w:rsidRPr="00DC75D0" w:rsidRDefault="003725BC" w:rsidP="007A1A9A">
      <w:pPr>
        <w:pStyle w:val="ListParagraph"/>
        <w:ind w:left="0"/>
        <w:rPr>
          <w:sz w:val="20"/>
          <w:szCs w:val="20"/>
          <w:lang w:val="es-PA"/>
        </w:rPr>
      </w:pPr>
    </w:p>
    <w:p w14:paraId="0ADF0C52"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Epifanio Montenegro B.</w:t>
      </w:r>
    </w:p>
    <w:p w14:paraId="29E84FE7" w14:textId="77777777" w:rsidR="003725BC" w:rsidRPr="00DC75D0" w:rsidRDefault="003725BC" w:rsidP="007A1A9A">
      <w:pPr>
        <w:pStyle w:val="ListParagraph"/>
        <w:ind w:left="0"/>
        <w:rPr>
          <w:sz w:val="20"/>
          <w:szCs w:val="20"/>
          <w:lang w:val="es-PA"/>
        </w:rPr>
      </w:pPr>
    </w:p>
    <w:p w14:paraId="504E078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Marta Luceli Montenegro Guachetá</w:t>
      </w:r>
    </w:p>
    <w:p w14:paraId="5C8422EE" w14:textId="77777777" w:rsidR="003725BC" w:rsidRPr="00DC75D0" w:rsidRDefault="003725BC" w:rsidP="007A1A9A">
      <w:pPr>
        <w:pStyle w:val="ListParagraph"/>
        <w:ind w:left="0"/>
        <w:rPr>
          <w:sz w:val="20"/>
          <w:szCs w:val="20"/>
          <w:lang w:val="es-PA"/>
        </w:rPr>
      </w:pPr>
    </w:p>
    <w:p w14:paraId="543CF095"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Lined Montenegro Guachetá</w:t>
      </w:r>
    </w:p>
    <w:p w14:paraId="40E66217" w14:textId="77777777" w:rsidR="003725BC" w:rsidRPr="00DC75D0" w:rsidRDefault="003725BC" w:rsidP="007A1A9A">
      <w:pPr>
        <w:pStyle w:val="ListParagraph"/>
        <w:ind w:left="0"/>
        <w:rPr>
          <w:sz w:val="20"/>
          <w:szCs w:val="20"/>
          <w:lang w:val="es-PA"/>
        </w:rPr>
      </w:pPr>
    </w:p>
    <w:p w14:paraId="614DDDA7"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Jimy Gilberto Montenegro Guachetá</w:t>
      </w:r>
    </w:p>
    <w:p w14:paraId="033D2C95" w14:textId="77777777" w:rsidR="003725BC" w:rsidRPr="00DC75D0" w:rsidRDefault="003725BC" w:rsidP="007A1A9A">
      <w:pPr>
        <w:pStyle w:val="ListParagraph"/>
        <w:ind w:left="0"/>
        <w:rPr>
          <w:sz w:val="20"/>
          <w:szCs w:val="20"/>
          <w:lang w:val="es-PA"/>
        </w:rPr>
      </w:pPr>
    </w:p>
    <w:p w14:paraId="5CE40C98"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Elizabeth Montenegro Guachetá</w:t>
      </w:r>
    </w:p>
    <w:p w14:paraId="33C41377" w14:textId="77777777" w:rsidR="003725BC" w:rsidRPr="00DC75D0" w:rsidRDefault="003725BC" w:rsidP="007A1A9A">
      <w:pPr>
        <w:pStyle w:val="ListParagraph"/>
        <w:ind w:left="0"/>
        <w:rPr>
          <w:sz w:val="20"/>
          <w:szCs w:val="20"/>
          <w:lang w:val="es-PA"/>
        </w:rPr>
      </w:pPr>
    </w:p>
    <w:p w14:paraId="042B8A76"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Dener Monetenegro Guachetá</w:t>
      </w:r>
    </w:p>
    <w:p w14:paraId="156B7642" w14:textId="77777777" w:rsidR="003725BC" w:rsidRPr="00DC75D0" w:rsidRDefault="003725BC" w:rsidP="007A1A9A">
      <w:pPr>
        <w:pStyle w:val="ListParagraph"/>
        <w:ind w:left="0"/>
        <w:rPr>
          <w:sz w:val="20"/>
          <w:szCs w:val="20"/>
          <w:lang w:val="es-PA"/>
        </w:rPr>
      </w:pPr>
    </w:p>
    <w:p w14:paraId="56A48DF4"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Manuel Jesús Guachetá </w:t>
      </w:r>
    </w:p>
    <w:p w14:paraId="01E6AA87" w14:textId="77777777" w:rsidR="003725BC" w:rsidRPr="00DC75D0" w:rsidRDefault="003725BC" w:rsidP="007A1A9A">
      <w:pPr>
        <w:pStyle w:val="ListParagraph"/>
        <w:ind w:left="0"/>
        <w:rPr>
          <w:sz w:val="20"/>
          <w:szCs w:val="20"/>
          <w:lang w:val="es-PA"/>
        </w:rPr>
      </w:pPr>
    </w:p>
    <w:p w14:paraId="0928AB34"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Celmira Guachetá G.</w:t>
      </w:r>
    </w:p>
    <w:p w14:paraId="783C992B" w14:textId="77777777" w:rsidR="003725BC" w:rsidRPr="00DC75D0" w:rsidRDefault="003725BC" w:rsidP="007A1A9A">
      <w:pPr>
        <w:pStyle w:val="ListParagraph"/>
        <w:ind w:left="0"/>
        <w:rPr>
          <w:sz w:val="20"/>
          <w:szCs w:val="20"/>
          <w:lang w:val="es-PA"/>
        </w:rPr>
      </w:pPr>
    </w:p>
    <w:p w14:paraId="47CD0F0E"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Jesús Abel Montenegro Ordoñez</w:t>
      </w:r>
    </w:p>
    <w:p w14:paraId="20C7742A" w14:textId="77777777" w:rsidR="003725BC" w:rsidRPr="00DC75D0" w:rsidRDefault="003725BC" w:rsidP="007A1A9A">
      <w:pPr>
        <w:pStyle w:val="ListParagraph"/>
        <w:ind w:left="0"/>
        <w:rPr>
          <w:sz w:val="20"/>
          <w:szCs w:val="20"/>
          <w:lang w:val="es-PA"/>
        </w:rPr>
      </w:pPr>
    </w:p>
    <w:p w14:paraId="1EC02E33"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Adelfa Libia Montenegro Ordoñez</w:t>
      </w:r>
    </w:p>
    <w:p w14:paraId="4DB9242E" w14:textId="77777777" w:rsidR="003725BC" w:rsidRPr="00DC75D0" w:rsidRDefault="003725BC" w:rsidP="007A1A9A">
      <w:pPr>
        <w:pStyle w:val="ListParagraph"/>
        <w:ind w:left="0"/>
        <w:rPr>
          <w:sz w:val="20"/>
          <w:szCs w:val="20"/>
          <w:lang w:val="es-PA"/>
        </w:rPr>
      </w:pPr>
    </w:p>
    <w:p w14:paraId="52ADE7C1"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Luis Arcesio Montenegro Ordoñez </w:t>
      </w:r>
    </w:p>
    <w:p w14:paraId="74A0B84B" w14:textId="77777777" w:rsidR="003725BC" w:rsidRPr="00DC75D0" w:rsidRDefault="003725BC" w:rsidP="007A1A9A">
      <w:pPr>
        <w:pStyle w:val="ListParagraph"/>
        <w:ind w:left="0"/>
        <w:rPr>
          <w:sz w:val="20"/>
          <w:szCs w:val="20"/>
          <w:lang w:val="es-PA"/>
        </w:rPr>
      </w:pPr>
    </w:p>
    <w:p w14:paraId="54CB05A3"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Gloria Belsi Guachetá Cometa</w:t>
      </w:r>
    </w:p>
    <w:p w14:paraId="0BA429BE" w14:textId="77777777" w:rsidR="003725BC" w:rsidRPr="00DC75D0" w:rsidRDefault="003725BC" w:rsidP="007A1A9A">
      <w:pPr>
        <w:pStyle w:val="ListParagraph"/>
        <w:ind w:left="0"/>
        <w:rPr>
          <w:sz w:val="20"/>
          <w:szCs w:val="20"/>
          <w:lang w:val="es-PA"/>
        </w:rPr>
      </w:pPr>
    </w:p>
    <w:p w14:paraId="33E2043D"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Ovidio Guachetá Cometa</w:t>
      </w:r>
    </w:p>
    <w:p w14:paraId="00C96411" w14:textId="77777777" w:rsidR="003725BC" w:rsidRPr="00DC75D0" w:rsidRDefault="003725BC" w:rsidP="007A1A9A">
      <w:pPr>
        <w:pStyle w:val="ListParagraph"/>
        <w:ind w:left="0"/>
        <w:rPr>
          <w:sz w:val="20"/>
          <w:szCs w:val="20"/>
          <w:lang w:val="es-PA"/>
        </w:rPr>
      </w:pPr>
    </w:p>
    <w:p w14:paraId="491093B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Bigail Guachetá Cometa</w:t>
      </w:r>
    </w:p>
    <w:p w14:paraId="1C001F37" w14:textId="77777777" w:rsidR="003725BC" w:rsidRPr="00DC75D0" w:rsidRDefault="003725BC" w:rsidP="007A1A9A">
      <w:pPr>
        <w:pStyle w:val="ListParagraph"/>
        <w:ind w:left="0"/>
        <w:rPr>
          <w:sz w:val="20"/>
          <w:szCs w:val="20"/>
          <w:lang w:val="es-PA"/>
        </w:rPr>
      </w:pPr>
    </w:p>
    <w:p w14:paraId="4BBA3B59"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Adelmo Guachetá</w:t>
      </w:r>
    </w:p>
    <w:p w14:paraId="4283B247" w14:textId="77777777" w:rsidR="003725BC" w:rsidRPr="00DC75D0" w:rsidRDefault="003725BC" w:rsidP="007A1A9A">
      <w:pPr>
        <w:pStyle w:val="ListParagraph"/>
        <w:ind w:left="0"/>
        <w:rPr>
          <w:sz w:val="20"/>
          <w:szCs w:val="20"/>
          <w:lang w:val="es-PA"/>
        </w:rPr>
      </w:pPr>
    </w:p>
    <w:p w14:paraId="515B2BAD"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Jair Guachetá</w:t>
      </w:r>
    </w:p>
    <w:p w14:paraId="31A77C8A" w14:textId="77777777" w:rsidR="003725BC" w:rsidRPr="00DC75D0" w:rsidRDefault="003725BC" w:rsidP="007A1A9A">
      <w:pPr>
        <w:pStyle w:val="ListParagraph"/>
        <w:ind w:left="0"/>
        <w:rPr>
          <w:sz w:val="20"/>
          <w:szCs w:val="20"/>
          <w:lang w:val="es-PA"/>
        </w:rPr>
      </w:pPr>
    </w:p>
    <w:p w14:paraId="01619B2B"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Fanery Guachetá Cometa</w:t>
      </w:r>
    </w:p>
    <w:p w14:paraId="188A7CB7" w14:textId="77777777" w:rsidR="003725BC" w:rsidRPr="00DC75D0" w:rsidRDefault="003725BC" w:rsidP="007A1A9A">
      <w:pPr>
        <w:pStyle w:val="ListParagraph"/>
        <w:ind w:left="0"/>
        <w:rPr>
          <w:sz w:val="20"/>
          <w:szCs w:val="20"/>
          <w:lang w:val="es-PA"/>
        </w:rPr>
      </w:pPr>
    </w:p>
    <w:p w14:paraId="13DF45E3"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Luis Denis Guachetá Cometa</w:t>
      </w:r>
    </w:p>
    <w:p w14:paraId="7788C66D" w14:textId="77777777" w:rsidR="003725BC" w:rsidRPr="00DC75D0" w:rsidRDefault="003725BC" w:rsidP="007A1A9A">
      <w:pPr>
        <w:pStyle w:val="ListParagraph"/>
        <w:ind w:left="0"/>
        <w:rPr>
          <w:sz w:val="20"/>
          <w:szCs w:val="20"/>
          <w:lang w:val="es-PA"/>
        </w:rPr>
      </w:pPr>
    </w:p>
    <w:p w14:paraId="55314B8E"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Ludibeth Guachetá Cometa</w:t>
      </w:r>
    </w:p>
    <w:p w14:paraId="5F2C63DF" w14:textId="77777777" w:rsidR="003725BC" w:rsidRPr="00DC75D0" w:rsidRDefault="003725BC" w:rsidP="007A1A9A">
      <w:pPr>
        <w:pStyle w:val="ListParagraph"/>
        <w:ind w:left="0"/>
        <w:rPr>
          <w:sz w:val="20"/>
          <w:szCs w:val="20"/>
          <w:lang w:val="es-PA"/>
        </w:rPr>
      </w:pPr>
    </w:p>
    <w:p w14:paraId="45004152"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Leonor Cometa Pechené</w:t>
      </w:r>
    </w:p>
    <w:p w14:paraId="35D6C26D" w14:textId="77777777" w:rsidR="003725BC" w:rsidRPr="00DC75D0" w:rsidRDefault="003725BC" w:rsidP="007A1A9A">
      <w:pPr>
        <w:pStyle w:val="ListParagraph"/>
        <w:ind w:left="0"/>
        <w:rPr>
          <w:sz w:val="20"/>
          <w:szCs w:val="20"/>
          <w:lang w:val="es-PA"/>
        </w:rPr>
      </w:pPr>
    </w:p>
    <w:p w14:paraId="0AEDAF0F"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Maximina Yandi Guachetá</w:t>
      </w:r>
    </w:p>
    <w:p w14:paraId="5B6195A9" w14:textId="77777777" w:rsidR="003725BC" w:rsidRPr="00DC75D0" w:rsidRDefault="003725BC" w:rsidP="007A1A9A">
      <w:pPr>
        <w:pStyle w:val="ListParagraph"/>
        <w:ind w:left="0"/>
        <w:rPr>
          <w:sz w:val="20"/>
          <w:szCs w:val="20"/>
          <w:lang w:val="es-PA"/>
        </w:rPr>
      </w:pPr>
    </w:p>
    <w:p w14:paraId="49B74B9C"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Nely Yandi</w:t>
      </w:r>
    </w:p>
    <w:p w14:paraId="17DC89FF" w14:textId="77777777" w:rsidR="003725BC" w:rsidRPr="00DC75D0" w:rsidRDefault="003725BC" w:rsidP="007A1A9A">
      <w:pPr>
        <w:pStyle w:val="ListParagraph"/>
        <w:ind w:left="0"/>
        <w:rPr>
          <w:sz w:val="20"/>
          <w:szCs w:val="20"/>
          <w:lang w:val="es-PA"/>
        </w:rPr>
      </w:pPr>
    </w:p>
    <w:p w14:paraId="02A6CBD0"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Rover Ney Fajardo Yandi</w:t>
      </w:r>
    </w:p>
    <w:p w14:paraId="53E5ABAD" w14:textId="77777777" w:rsidR="003725BC" w:rsidRPr="00DC75D0" w:rsidRDefault="003725BC" w:rsidP="007A1A9A">
      <w:pPr>
        <w:pStyle w:val="ListParagraph"/>
        <w:ind w:left="0"/>
        <w:rPr>
          <w:sz w:val="20"/>
          <w:szCs w:val="20"/>
          <w:lang w:val="es-PA"/>
        </w:rPr>
      </w:pPr>
    </w:p>
    <w:p w14:paraId="2CF7DFC5"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Alma Lucero Yandi</w:t>
      </w:r>
    </w:p>
    <w:p w14:paraId="3C5063D4" w14:textId="77777777" w:rsidR="003725BC" w:rsidRPr="00DC75D0" w:rsidRDefault="003725BC" w:rsidP="007A1A9A">
      <w:pPr>
        <w:pStyle w:val="ListParagraph"/>
        <w:ind w:left="0"/>
        <w:rPr>
          <w:sz w:val="20"/>
          <w:szCs w:val="20"/>
          <w:lang w:val="es-PA"/>
        </w:rPr>
      </w:pPr>
    </w:p>
    <w:p w14:paraId="73129EFE"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Mayeli Almafi Becoche Campo</w:t>
      </w:r>
    </w:p>
    <w:p w14:paraId="2C6A7474" w14:textId="77777777" w:rsidR="003725BC" w:rsidRPr="00DC75D0" w:rsidRDefault="003725BC" w:rsidP="007A1A9A">
      <w:pPr>
        <w:pStyle w:val="ListParagraph"/>
        <w:ind w:left="0"/>
        <w:rPr>
          <w:sz w:val="20"/>
          <w:szCs w:val="20"/>
          <w:lang w:val="es-PA"/>
        </w:rPr>
      </w:pPr>
    </w:p>
    <w:p w14:paraId="0B025B7D"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Yeimi Maryuri Becoche Campo</w:t>
      </w:r>
    </w:p>
    <w:p w14:paraId="747C799D" w14:textId="77777777" w:rsidR="003725BC" w:rsidRPr="00DC75D0" w:rsidRDefault="003725BC" w:rsidP="007A1A9A">
      <w:pPr>
        <w:pStyle w:val="ListParagraph"/>
        <w:ind w:left="0"/>
        <w:rPr>
          <w:sz w:val="20"/>
          <w:szCs w:val="20"/>
          <w:lang w:val="es-PA"/>
        </w:rPr>
      </w:pPr>
    </w:p>
    <w:p w14:paraId="66526682"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Yani Faisuri Becoche Campo</w:t>
      </w:r>
    </w:p>
    <w:p w14:paraId="0233676A" w14:textId="77777777" w:rsidR="003725BC" w:rsidRPr="00DC75D0" w:rsidRDefault="003725BC" w:rsidP="007A1A9A">
      <w:pPr>
        <w:pStyle w:val="ListParagraph"/>
        <w:ind w:left="0"/>
        <w:rPr>
          <w:sz w:val="20"/>
          <w:szCs w:val="20"/>
          <w:lang w:val="es-PA"/>
        </w:rPr>
      </w:pPr>
    </w:p>
    <w:p w14:paraId="09130D5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Eduar Lino Becoche Sánchez</w:t>
      </w:r>
    </w:p>
    <w:p w14:paraId="3AF3DFE2" w14:textId="77777777" w:rsidR="003725BC" w:rsidRPr="00DC75D0" w:rsidRDefault="003725BC" w:rsidP="007A1A9A">
      <w:pPr>
        <w:pStyle w:val="ListParagraph"/>
        <w:ind w:left="0"/>
        <w:rPr>
          <w:sz w:val="20"/>
          <w:szCs w:val="20"/>
          <w:lang w:val="es-PA"/>
        </w:rPr>
      </w:pPr>
    </w:p>
    <w:p w14:paraId="38E0B5B0"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Luz Neli Campo Sánchez</w:t>
      </w:r>
    </w:p>
    <w:p w14:paraId="1FA6EE44" w14:textId="77777777" w:rsidR="003725BC" w:rsidRPr="00DC75D0" w:rsidRDefault="003725BC" w:rsidP="007A1A9A">
      <w:pPr>
        <w:pStyle w:val="ListParagraph"/>
        <w:ind w:left="0"/>
        <w:rPr>
          <w:sz w:val="20"/>
          <w:szCs w:val="20"/>
          <w:lang w:val="es-PA"/>
        </w:rPr>
      </w:pPr>
    </w:p>
    <w:p w14:paraId="620F6B8F"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lastRenderedPageBreak/>
        <w:t>Felix Rolando Becoche Campo</w:t>
      </w:r>
    </w:p>
    <w:p w14:paraId="049E4A62" w14:textId="77777777" w:rsidR="003725BC" w:rsidRPr="00DC75D0" w:rsidRDefault="003725BC" w:rsidP="007A1A9A">
      <w:pPr>
        <w:pStyle w:val="ListParagraph"/>
        <w:ind w:left="0"/>
        <w:rPr>
          <w:sz w:val="20"/>
          <w:szCs w:val="20"/>
          <w:lang w:val="es-PA"/>
        </w:rPr>
      </w:pPr>
    </w:p>
    <w:p w14:paraId="479847A0"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Diego Delinton Becoche Campo</w:t>
      </w:r>
    </w:p>
    <w:p w14:paraId="38009D8B" w14:textId="77777777" w:rsidR="003725BC" w:rsidRPr="00DC75D0" w:rsidRDefault="003725BC" w:rsidP="007A1A9A">
      <w:pPr>
        <w:pStyle w:val="ListParagraph"/>
        <w:ind w:left="0"/>
        <w:rPr>
          <w:sz w:val="20"/>
          <w:szCs w:val="20"/>
          <w:lang w:val="es-PA"/>
        </w:rPr>
      </w:pPr>
    </w:p>
    <w:p w14:paraId="0AA89DDD"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Eno Eli Becoche Campo</w:t>
      </w:r>
    </w:p>
    <w:p w14:paraId="01BCDBE4" w14:textId="77777777" w:rsidR="003725BC" w:rsidRPr="00DC75D0" w:rsidRDefault="003725BC" w:rsidP="007A1A9A">
      <w:pPr>
        <w:pStyle w:val="ListParagraph"/>
        <w:ind w:left="0"/>
        <w:rPr>
          <w:sz w:val="20"/>
          <w:szCs w:val="20"/>
          <w:lang w:val="es-PA"/>
        </w:rPr>
      </w:pPr>
    </w:p>
    <w:p w14:paraId="454C5A92"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Rigo Neri Becoche Sánchez</w:t>
      </w:r>
    </w:p>
    <w:p w14:paraId="1D3B7B58" w14:textId="77777777" w:rsidR="003725BC" w:rsidRPr="00DC75D0" w:rsidRDefault="003725BC" w:rsidP="007A1A9A">
      <w:pPr>
        <w:pStyle w:val="ListParagraph"/>
        <w:ind w:left="0"/>
        <w:rPr>
          <w:sz w:val="20"/>
          <w:szCs w:val="20"/>
          <w:lang w:val="es-PA"/>
        </w:rPr>
      </w:pPr>
    </w:p>
    <w:p w14:paraId="0DF7A375"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Marcos Hermes Becoche Pechene</w:t>
      </w:r>
    </w:p>
    <w:p w14:paraId="704673BA" w14:textId="77777777" w:rsidR="003725BC" w:rsidRPr="00DC75D0" w:rsidRDefault="003725BC" w:rsidP="007A1A9A">
      <w:pPr>
        <w:pStyle w:val="ListParagraph"/>
        <w:ind w:left="0"/>
        <w:rPr>
          <w:sz w:val="20"/>
          <w:szCs w:val="20"/>
          <w:lang w:val="es-PA"/>
        </w:rPr>
      </w:pPr>
    </w:p>
    <w:p w14:paraId="59D29790"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Dagoberto Becoche Sánchez</w:t>
      </w:r>
    </w:p>
    <w:p w14:paraId="7F0D45DA" w14:textId="77777777" w:rsidR="003725BC" w:rsidRPr="00DC75D0" w:rsidRDefault="003725BC" w:rsidP="007A1A9A">
      <w:pPr>
        <w:pStyle w:val="ListParagraph"/>
        <w:ind w:left="0"/>
        <w:rPr>
          <w:sz w:val="20"/>
          <w:szCs w:val="20"/>
          <w:lang w:val="es-PA"/>
        </w:rPr>
      </w:pPr>
    </w:p>
    <w:p w14:paraId="3B3DB488"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Billy Ney Becoche Sánchez</w:t>
      </w:r>
    </w:p>
    <w:p w14:paraId="49439475" w14:textId="77777777" w:rsidR="003725BC" w:rsidRPr="00DC75D0" w:rsidRDefault="003725BC" w:rsidP="007A1A9A">
      <w:pPr>
        <w:pStyle w:val="ListParagraph"/>
        <w:ind w:left="0"/>
        <w:rPr>
          <w:sz w:val="20"/>
          <w:szCs w:val="20"/>
          <w:lang w:val="es-PA"/>
        </w:rPr>
      </w:pPr>
    </w:p>
    <w:p w14:paraId="40A3182F"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Ilde Arnobi Becoche Sánchez</w:t>
      </w:r>
    </w:p>
    <w:p w14:paraId="4BE38815" w14:textId="77777777" w:rsidR="003725BC" w:rsidRPr="00DC75D0" w:rsidRDefault="003725BC" w:rsidP="007A1A9A">
      <w:pPr>
        <w:pStyle w:val="ListParagraph"/>
        <w:ind w:left="0"/>
        <w:rPr>
          <w:sz w:val="20"/>
          <w:szCs w:val="20"/>
          <w:lang w:val="es-PA"/>
        </w:rPr>
      </w:pPr>
    </w:p>
    <w:p w14:paraId="72E872A1"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Ruvinder Becoche Sánchez</w:t>
      </w:r>
    </w:p>
    <w:p w14:paraId="5A8284FF" w14:textId="77777777" w:rsidR="003725BC" w:rsidRPr="00DC75D0" w:rsidRDefault="003725BC" w:rsidP="007A1A9A">
      <w:pPr>
        <w:pStyle w:val="ListParagraph"/>
        <w:ind w:left="0"/>
        <w:rPr>
          <w:sz w:val="20"/>
          <w:szCs w:val="20"/>
          <w:lang w:val="es-PA"/>
        </w:rPr>
      </w:pPr>
    </w:p>
    <w:p w14:paraId="5C3503E0"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Lida Stella Becoche </w:t>
      </w:r>
    </w:p>
    <w:p w14:paraId="78E28F06" w14:textId="77777777" w:rsidR="003725BC" w:rsidRPr="00DC75D0" w:rsidRDefault="003725BC" w:rsidP="007A1A9A">
      <w:pPr>
        <w:pStyle w:val="ListParagraph"/>
        <w:ind w:left="0"/>
        <w:rPr>
          <w:sz w:val="20"/>
          <w:szCs w:val="20"/>
          <w:lang w:val="es-PA"/>
        </w:rPr>
      </w:pPr>
    </w:p>
    <w:p w14:paraId="2695D38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Leonor Melba Becoche Sánchez</w:t>
      </w:r>
    </w:p>
    <w:p w14:paraId="5CE1206F" w14:textId="77777777" w:rsidR="003725BC" w:rsidRPr="00DC75D0" w:rsidRDefault="003725BC" w:rsidP="007A1A9A">
      <w:pPr>
        <w:pStyle w:val="ListParagraph"/>
        <w:ind w:left="0"/>
        <w:rPr>
          <w:sz w:val="20"/>
          <w:szCs w:val="20"/>
          <w:lang w:val="es-PA"/>
        </w:rPr>
      </w:pPr>
    </w:p>
    <w:p w14:paraId="43A63138"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Erminda Pechene de Becoche</w:t>
      </w:r>
    </w:p>
    <w:p w14:paraId="59BB0496" w14:textId="77777777" w:rsidR="003725BC" w:rsidRPr="00DC75D0" w:rsidRDefault="003725BC" w:rsidP="007A1A9A">
      <w:pPr>
        <w:pStyle w:val="ListParagraph"/>
        <w:ind w:left="0"/>
        <w:rPr>
          <w:sz w:val="20"/>
          <w:szCs w:val="20"/>
          <w:lang w:val="es-PA"/>
        </w:rPr>
      </w:pPr>
    </w:p>
    <w:p w14:paraId="76ABE720"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Marleni Pechene Vidal</w:t>
      </w:r>
    </w:p>
    <w:p w14:paraId="3BCEA166" w14:textId="77777777" w:rsidR="003725BC" w:rsidRPr="00DC75D0" w:rsidRDefault="003725BC" w:rsidP="007A1A9A">
      <w:pPr>
        <w:pStyle w:val="ListParagraph"/>
        <w:ind w:left="0"/>
        <w:rPr>
          <w:sz w:val="20"/>
          <w:szCs w:val="20"/>
          <w:lang w:val="es-PA"/>
        </w:rPr>
      </w:pPr>
    </w:p>
    <w:p w14:paraId="011299C1"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Noris Pechene de Sánchez</w:t>
      </w:r>
    </w:p>
    <w:p w14:paraId="41A13078" w14:textId="77777777" w:rsidR="003725BC" w:rsidRPr="00DC75D0" w:rsidRDefault="003725BC" w:rsidP="007A1A9A">
      <w:pPr>
        <w:pStyle w:val="ListParagraph"/>
        <w:ind w:left="0"/>
        <w:rPr>
          <w:sz w:val="20"/>
          <w:szCs w:val="20"/>
          <w:lang w:val="es-PA"/>
        </w:rPr>
      </w:pPr>
    </w:p>
    <w:p w14:paraId="5FCD3DA4"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Gladys Gilma Pechene Vidal</w:t>
      </w:r>
    </w:p>
    <w:p w14:paraId="5FC29DE9" w14:textId="77777777" w:rsidR="003725BC" w:rsidRPr="00DC75D0" w:rsidRDefault="003725BC" w:rsidP="007A1A9A">
      <w:pPr>
        <w:pStyle w:val="ListParagraph"/>
        <w:ind w:left="0"/>
        <w:rPr>
          <w:sz w:val="20"/>
          <w:szCs w:val="20"/>
          <w:lang w:val="es-PA"/>
        </w:rPr>
      </w:pPr>
    </w:p>
    <w:p w14:paraId="4830CB9C"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Delio Pechene Vidal</w:t>
      </w:r>
    </w:p>
    <w:p w14:paraId="130002F4" w14:textId="77777777" w:rsidR="003725BC" w:rsidRPr="00DC75D0" w:rsidRDefault="003725BC" w:rsidP="007A1A9A">
      <w:pPr>
        <w:pStyle w:val="ListParagraph"/>
        <w:ind w:left="0"/>
        <w:rPr>
          <w:sz w:val="20"/>
          <w:szCs w:val="20"/>
          <w:lang w:val="es-PA"/>
        </w:rPr>
      </w:pPr>
    </w:p>
    <w:p w14:paraId="027E17F9"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Gentil Pechene Vidal</w:t>
      </w:r>
    </w:p>
    <w:p w14:paraId="3A6A49F4" w14:textId="77777777" w:rsidR="003725BC" w:rsidRPr="00DC75D0" w:rsidRDefault="003725BC" w:rsidP="007A1A9A">
      <w:pPr>
        <w:pStyle w:val="ListParagraph"/>
        <w:ind w:left="0"/>
        <w:rPr>
          <w:sz w:val="20"/>
          <w:szCs w:val="20"/>
          <w:lang w:val="es-PA"/>
        </w:rPr>
      </w:pPr>
    </w:p>
    <w:p w14:paraId="1AA3ECB6"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Oracio Pechene Vidal</w:t>
      </w:r>
    </w:p>
    <w:p w14:paraId="1DBCCF25" w14:textId="77777777" w:rsidR="003725BC" w:rsidRPr="00DC75D0" w:rsidRDefault="003725BC" w:rsidP="007A1A9A">
      <w:pPr>
        <w:pStyle w:val="ListParagraph"/>
        <w:ind w:left="0"/>
        <w:rPr>
          <w:sz w:val="20"/>
          <w:szCs w:val="20"/>
          <w:lang w:val="es-PA"/>
        </w:rPr>
      </w:pPr>
    </w:p>
    <w:p w14:paraId="6F638DC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Jaime Ovied Pechene Vidal</w:t>
      </w:r>
    </w:p>
    <w:p w14:paraId="594365EF" w14:textId="77777777" w:rsidR="003725BC" w:rsidRPr="00DC75D0" w:rsidRDefault="003725BC" w:rsidP="007A1A9A">
      <w:pPr>
        <w:pStyle w:val="ListParagraph"/>
        <w:ind w:left="0"/>
        <w:rPr>
          <w:sz w:val="20"/>
          <w:szCs w:val="20"/>
          <w:lang w:val="es-PA"/>
        </w:rPr>
      </w:pPr>
    </w:p>
    <w:p w14:paraId="09AA5CDE"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Luz Albania Pechene Vidal </w:t>
      </w:r>
    </w:p>
    <w:p w14:paraId="67B9585C" w14:textId="77777777" w:rsidR="003725BC" w:rsidRPr="00DC75D0" w:rsidRDefault="003725BC" w:rsidP="007A1A9A">
      <w:pPr>
        <w:pStyle w:val="ListParagraph"/>
        <w:ind w:left="0"/>
        <w:rPr>
          <w:sz w:val="20"/>
          <w:szCs w:val="20"/>
          <w:lang w:val="es-PA"/>
        </w:rPr>
      </w:pPr>
    </w:p>
    <w:p w14:paraId="4C7FA59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Leonor Melba Becoche Sánchez</w:t>
      </w:r>
    </w:p>
    <w:p w14:paraId="5800D92A" w14:textId="77777777" w:rsidR="003725BC" w:rsidRPr="00DC75D0" w:rsidRDefault="003725BC" w:rsidP="007A1A9A">
      <w:pPr>
        <w:pStyle w:val="ListParagraph"/>
        <w:ind w:left="0"/>
        <w:rPr>
          <w:sz w:val="20"/>
          <w:szCs w:val="20"/>
          <w:lang w:val="es-PA"/>
        </w:rPr>
      </w:pPr>
    </w:p>
    <w:p w14:paraId="33980064"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Denis Pechene Becoche</w:t>
      </w:r>
    </w:p>
    <w:p w14:paraId="6953D7E3" w14:textId="77777777" w:rsidR="003725BC" w:rsidRPr="00DC75D0" w:rsidRDefault="003725BC" w:rsidP="007A1A9A">
      <w:pPr>
        <w:pStyle w:val="ListParagraph"/>
        <w:ind w:left="0"/>
        <w:rPr>
          <w:sz w:val="20"/>
          <w:szCs w:val="20"/>
          <w:lang w:val="es-PA"/>
        </w:rPr>
      </w:pPr>
    </w:p>
    <w:p w14:paraId="508E1E51"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Yamil Pechene Becoche</w:t>
      </w:r>
    </w:p>
    <w:p w14:paraId="772DF71E" w14:textId="77777777" w:rsidR="003725BC" w:rsidRPr="00DC75D0" w:rsidRDefault="003725BC" w:rsidP="007A1A9A">
      <w:pPr>
        <w:pStyle w:val="ListParagraph"/>
        <w:ind w:left="0"/>
        <w:rPr>
          <w:sz w:val="20"/>
          <w:szCs w:val="20"/>
          <w:lang w:val="es-PA"/>
        </w:rPr>
      </w:pPr>
    </w:p>
    <w:p w14:paraId="396E371B"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Edy Pechene Sánchez</w:t>
      </w:r>
    </w:p>
    <w:p w14:paraId="5444CE5D" w14:textId="77777777" w:rsidR="003725BC" w:rsidRPr="00DC75D0" w:rsidRDefault="003725BC" w:rsidP="007A1A9A">
      <w:pPr>
        <w:pStyle w:val="ListParagraph"/>
        <w:ind w:left="0"/>
        <w:rPr>
          <w:sz w:val="20"/>
          <w:szCs w:val="20"/>
          <w:lang w:val="es-PA"/>
        </w:rPr>
      </w:pPr>
    </w:p>
    <w:p w14:paraId="6EADB188"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Yolanda Pechene Becoche</w:t>
      </w:r>
    </w:p>
    <w:p w14:paraId="18808FE4" w14:textId="77777777" w:rsidR="003725BC" w:rsidRPr="00DC75D0" w:rsidRDefault="003725BC" w:rsidP="007A1A9A">
      <w:pPr>
        <w:pStyle w:val="ListParagraph"/>
        <w:ind w:left="0"/>
        <w:rPr>
          <w:sz w:val="20"/>
          <w:szCs w:val="20"/>
          <w:lang w:val="es-PA"/>
        </w:rPr>
      </w:pPr>
    </w:p>
    <w:p w14:paraId="171CDD72"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Nadie Pechene Becoche</w:t>
      </w:r>
    </w:p>
    <w:p w14:paraId="49681A0F" w14:textId="77777777" w:rsidR="003725BC" w:rsidRPr="00DC75D0" w:rsidRDefault="003725BC" w:rsidP="007A1A9A">
      <w:pPr>
        <w:pStyle w:val="ListParagraph"/>
        <w:ind w:left="0"/>
        <w:rPr>
          <w:sz w:val="20"/>
          <w:szCs w:val="20"/>
          <w:lang w:val="es-PA"/>
        </w:rPr>
      </w:pPr>
    </w:p>
    <w:p w14:paraId="39BC7B67"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Josefina Pechene Becoche </w:t>
      </w:r>
    </w:p>
    <w:p w14:paraId="0ED702FA" w14:textId="77777777" w:rsidR="003725BC" w:rsidRPr="00DC75D0" w:rsidRDefault="003725BC" w:rsidP="007A1A9A">
      <w:pPr>
        <w:pStyle w:val="ListParagraph"/>
        <w:ind w:left="0"/>
        <w:rPr>
          <w:sz w:val="20"/>
          <w:szCs w:val="20"/>
          <w:lang w:val="es-PA"/>
        </w:rPr>
      </w:pPr>
    </w:p>
    <w:p w14:paraId="6999DB27"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Elena Pechene Sánchez</w:t>
      </w:r>
    </w:p>
    <w:p w14:paraId="4E79590F" w14:textId="77777777" w:rsidR="003725BC" w:rsidRPr="00DC75D0" w:rsidRDefault="003725BC" w:rsidP="007A1A9A">
      <w:pPr>
        <w:pStyle w:val="ListParagraph"/>
        <w:ind w:left="0"/>
        <w:rPr>
          <w:sz w:val="20"/>
          <w:szCs w:val="20"/>
          <w:lang w:val="es-PA"/>
        </w:rPr>
      </w:pPr>
    </w:p>
    <w:p w14:paraId="205A71E3"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Edirma Guachetá Sanza</w:t>
      </w:r>
    </w:p>
    <w:p w14:paraId="48CFD859" w14:textId="77777777" w:rsidR="003725BC" w:rsidRPr="00DC75D0" w:rsidRDefault="003725BC" w:rsidP="007A1A9A">
      <w:pPr>
        <w:pStyle w:val="ListParagraph"/>
        <w:ind w:left="0"/>
        <w:rPr>
          <w:sz w:val="20"/>
          <w:szCs w:val="20"/>
          <w:lang w:val="es-PA"/>
        </w:rPr>
      </w:pPr>
    </w:p>
    <w:p w14:paraId="68ABA1BA"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Rosa Elvia Guacheta Guacheta </w:t>
      </w:r>
    </w:p>
    <w:p w14:paraId="1B683CC8" w14:textId="77777777" w:rsidR="003725BC" w:rsidRPr="00DC75D0" w:rsidRDefault="003725BC" w:rsidP="007A1A9A">
      <w:pPr>
        <w:pStyle w:val="ListParagraph"/>
        <w:ind w:left="0"/>
        <w:rPr>
          <w:sz w:val="20"/>
          <w:szCs w:val="20"/>
          <w:lang w:val="es-PA"/>
        </w:rPr>
      </w:pPr>
    </w:p>
    <w:p w14:paraId="08F080D4"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Luis Arcesio Montenegro Ordoñez</w:t>
      </w:r>
    </w:p>
    <w:p w14:paraId="0D8AF306" w14:textId="77777777" w:rsidR="003725BC" w:rsidRPr="00DC75D0" w:rsidRDefault="003725BC" w:rsidP="007A1A9A">
      <w:pPr>
        <w:pStyle w:val="ListParagraph"/>
        <w:ind w:left="0"/>
        <w:rPr>
          <w:sz w:val="20"/>
          <w:szCs w:val="20"/>
          <w:lang w:val="es-PA"/>
        </w:rPr>
      </w:pPr>
    </w:p>
    <w:p w14:paraId="2699F4E3"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Yani Faisuri Becoche Campo</w:t>
      </w:r>
    </w:p>
    <w:p w14:paraId="7B547BC8" w14:textId="77777777" w:rsidR="003725BC" w:rsidRPr="00DC75D0" w:rsidRDefault="003725BC" w:rsidP="007A1A9A">
      <w:pPr>
        <w:pStyle w:val="ListParagraph"/>
        <w:ind w:left="0"/>
        <w:rPr>
          <w:sz w:val="20"/>
          <w:szCs w:val="20"/>
          <w:lang w:val="es-PA"/>
        </w:rPr>
      </w:pPr>
    </w:p>
    <w:p w14:paraId="731DA742"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Nelcy Edilma Montenegro Ordoñez</w:t>
      </w:r>
    </w:p>
    <w:p w14:paraId="53A675B4" w14:textId="77777777" w:rsidR="003725BC" w:rsidRPr="00DC75D0" w:rsidRDefault="003725BC" w:rsidP="007A1A9A">
      <w:pPr>
        <w:pStyle w:val="ListParagraph"/>
        <w:ind w:left="0"/>
        <w:rPr>
          <w:sz w:val="20"/>
          <w:szCs w:val="20"/>
          <w:lang w:val="es-PA"/>
        </w:rPr>
      </w:pPr>
    </w:p>
    <w:p w14:paraId="33FE556E"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Deiner Ferney Montenegro Ordoñez</w:t>
      </w:r>
    </w:p>
    <w:p w14:paraId="3F202B09" w14:textId="77777777" w:rsidR="003725BC" w:rsidRPr="00DC75D0" w:rsidRDefault="003725BC" w:rsidP="007A1A9A">
      <w:pPr>
        <w:pStyle w:val="ListParagraph"/>
        <w:ind w:left="0"/>
        <w:rPr>
          <w:sz w:val="20"/>
          <w:szCs w:val="20"/>
          <w:lang w:val="es-PA"/>
        </w:rPr>
      </w:pPr>
    </w:p>
    <w:p w14:paraId="501FDC73"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Mierya Guacheta Campo </w:t>
      </w:r>
    </w:p>
    <w:p w14:paraId="7158FBFE" w14:textId="77777777" w:rsidR="003725BC" w:rsidRPr="00DC75D0" w:rsidRDefault="003725BC" w:rsidP="007A1A9A">
      <w:pPr>
        <w:pStyle w:val="ListParagraph"/>
        <w:ind w:left="0"/>
        <w:rPr>
          <w:sz w:val="20"/>
          <w:szCs w:val="20"/>
          <w:lang w:val="es-PA"/>
        </w:rPr>
      </w:pPr>
    </w:p>
    <w:p w14:paraId="7DC845C4" w14:textId="77777777" w:rsidR="003725BC" w:rsidRPr="00DC75D0" w:rsidRDefault="003725BC" w:rsidP="007A1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sz w:val="20"/>
          <w:szCs w:val="20"/>
          <w:lang w:val="es-PA"/>
        </w:rPr>
      </w:pPr>
      <w:r w:rsidRPr="00DC75D0">
        <w:rPr>
          <w:sz w:val="20"/>
          <w:szCs w:val="20"/>
          <w:lang w:val="es-PA"/>
        </w:rPr>
        <w:t xml:space="preserve">Clodomiro Guacheta Campo </w:t>
      </w:r>
    </w:p>
    <w:sectPr w:rsidR="003725BC" w:rsidRPr="00DC75D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0F406" w14:textId="77777777" w:rsidR="00F30B6D" w:rsidRDefault="00F30B6D">
      <w:r>
        <w:separator/>
      </w:r>
    </w:p>
  </w:endnote>
  <w:endnote w:type="continuationSeparator" w:id="0">
    <w:p w14:paraId="0442E052" w14:textId="77777777" w:rsidR="00F30B6D" w:rsidRDefault="00F3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3E152" w14:textId="77777777" w:rsidR="00031F89" w:rsidRDefault="00031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B44C968" w:rsidR="00B5680D" w:rsidRPr="00934A2C" w:rsidRDefault="00B5680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31F89">
          <w:rPr>
            <w:noProof/>
            <w:sz w:val="16"/>
            <w:szCs w:val="22"/>
          </w:rPr>
          <w:t>3</w:t>
        </w:r>
        <w:r w:rsidRPr="00934A2C">
          <w:rPr>
            <w:noProof/>
            <w:sz w:val="16"/>
            <w:szCs w:val="22"/>
          </w:rPr>
          <w:fldChar w:fldCharType="end"/>
        </w:r>
      </w:p>
    </w:sdtContent>
  </w:sdt>
  <w:p w14:paraId="68530E6A" w14:textId="77777777" w:rsidR="00B5680D" w:rsidRDefault="00B56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B5680D" w:rsidRPr="00934A2C" w:rsidRDefault="00B5680D">
    <w:pPr>
      <w:pStyle w:val="Footer"/>
      <w:jc w:val="center"/>
      <w:rPr>
        <w:sz w:val="16"/>
        <w:szCs w:val="22"/>
      </w:rPr>
    </w:pPr>
  </w:p>
  <w:p w14:paraId="49059CE3" w14:textId="77777777" w:rsidR="00B5680D" w:rsidRDefault="00B56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AABA1" w14:textId="77777777" w:rsidR="00F30B6D" w:rsidRPr="000F35ED" w:rsidRDefault="00F30B6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2DEF1C" w14:textId="77777777" w:rsidR="00F30B6D" w:rsidRPr="000F35ED" w:rsidRDefault="00F30B6D" w:rsidP="000F35ED">
      <w:pPr>
        <w:rPr>
          <w:rFonts w:asciiTheme="majorHAnsi" w:hAnsiTheme="majorHAnsi"/>
          <w:sz w:val="16"/>
          <w:szCs w:val="16"/>
        </w:rPr>
      </w:pPr>
      <w:r w:rsidRPr="000F35ED">
        <w:rPr>
          <w:rFonts w:asciiTheme="majorHAnsi" w:hAnsiTheme="majorHAnsi"/>
          <w:sz w:val="16"/>
          <w:szCs w:val="16"/>
        </w:rPr>
        <w:separator/>
      </w:r>
    </w:p>
    <w:p w14:paraId="623AD588" w14:textId="77777777" w:rsidR="00F30B6D" w:rsidRPr="000F35ED" w:rsidRDefault="00F30B6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1248A05" w14:textId="77777777" w:rsidR="00F30B6D" w:rsidRPr="000F35ED" w:rsidRDefault="00F30B6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FEF5DDD" w14:textId="6565DBA4" w:rsidR="00B5680D" w:rsidRPr="001F11C7" w:rsidRDefault="00B5680D" w:rsidP="001F11C7">
      <w:pPr>
        <w:pStyle w:val="FootnoteText"/>
        <w:ind w:firstLine="720"/>
        <w:jc w:val="both"/>
        <w:rPr>
          <w:rFonts w:asciiTheme="majorHAnsi" w:hAnsiTheme="majorHAnsi"/>
          <w:sz w:val="16"/>
          <w:szCs w:val="16"/>
          <w:lang w:val="es-PA"/>
        </w:rPr>
      </w:pPr>
      <w:r>
        <w:rPr>
          <w:rStyle w:val="FootnoteReference"/>
        </w:rPr>
        <w:footnoteRef/>
      </w:r>
      <w:r w:rsidRPr="001F11C7">
        <w:rPr>
          <w:lang w:val="es-PA"/>
        </w:rPr>
        <w:t xml:space="preserve"> </w:t>
      </w:r>
      <w:r>
        <w:rPr>
          <w:rFonts w:asciiTheme="majorHAnsi" w:hAnsiTheme="majorHAnsi"/>
          <w:sz w:val="16"/>
          <w:szCs w:val="16"/>
          <w:lang w:val="es-PA"/>
        </w:rPr>
        <w:t xml:space="preserve">La petición fue originalmente presentada por el señor </w:t>
      </w:r>
      <w:proofErr w:type="spellStart"/>
      <w:r>
        <w:rPr>
          <w:rFonts w:asciiTheme="majorHAnsi" w:hAnsiTheme="majorHAnsi"/>
          <w:sz w:val="16"/>
          <w:szCs w:val="16"/>
          <w:lang w:val="es-PA"/>
        </w:rPr>
        <w:t>Berneo</w:t>
      </w:r>
      <w:proofErr w:type="spellEnd"/>
      <w:r>
        <w:rPr>
          <w:rFonts w:asciiTheme="majorHAnsi" w:hAnsiTheme="majorHAnsi"/>
          <w:sz w:val="16"/>
          <w:szCs w:val="16"/>
          <w:lang w:val="es-PA"/>
        </w:rPr>
        <w:t xml:space="preserve"> Casas pero el 27 de marzo de 2019 algunas de las presuntas víctimas enviaron nota a la Comisión informando que habían perdido contacto con el señor </w:t>
      </w:r>
      <w:proofErr w:type="spellStart"/>
      <w:r>
        <w:rPr>
          <w:rFonts w:asciiTheme="majorHAnsi" w:hAnsiTheme="majorHAnsi"/>
          <w:sz w:val="16"/>
          <w:szCs w:val="16"/>
          <w:lang w:val="es-PA"/>
        </w:rPr>
        <w:t>Berneo</w:t>
      </w:r>
      <w:proofErr w:type="spellEnd"/>
      <w:r>
        <w:rPr>
          <w:rFonts w:asciiTheme="majorHAnsi" w:hAnsiTheme="majorHAnsi"/>
          <w:sz w:val="16"/>
          <w:szCs w:val="16"/>
          <w:lang w:val="es-PA"/>
        </w:rPr>
        <w:t xml:space="preserve"> Casas y solicitando por esta razón que se tuviera a la señora </w:t>
      </w:r>
      <w:proofErr w:type="spellStart"/>
      <w:r>
        <w:rPr>
          <w:rFonts w:asciiTheme="majorHAnsi" w:hAnsiTheme="majorHAnsi"/>
          <w:sz w:val="16"/>
          <w:szCs w:val="16"/>
          <w:lang w:val="es-PA"/>
        </w:rPr>
        <w:t>Becoche</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como su representante. </w:t>
      </w:r>
    </w:p>
  </w:footnote>
  <w:footnote w:id="3">
    <w:p w14:paraId="73205242" w14:textId="228494B3" w:rsidR="00B5680D" w:rsidRPr="00DC0D76" w:rsidRDefault="00B5680D" w:rsidP="00DC0D76">
      <w:pPr>
        <w:pStyle w:val="FootnoteText"/>
        <w:ind w:firstLine="720"/>
        <w:jc w:val="both"/>
        <w:rPr>
          <w:rFonts w:asciiTheme="majorHAnsi" w:hAnsiTheme="majorHAnsi"/>
          <w:sz w:val="16"/>
          <w:szCs w:val="16"/>
          <w:lang w:val="es-PA"/>
        </w:rPr>
      </w:pPr>
      <w:r>
        <w:rPr>
          <w:rStyle w:val="FootnoteReference"/>
        </w:rPr>
        <w:footnoteRef/>
      </w:r>
      <w:r w:rsidRPr="00DC0D76">
        <w:rPr>
          <w:lang w:val="es-PA"/>
        </w:rPr>
        <w:t xml:space="preserve"> </w:t>
      </w:r>
      <w:r w:rsidRPr="00DC0D76">
        <w:rPr>
          <w:rFonts w:asciiTheme="majorHAnsi" w:hAnsiTheme="majorHAnsi"/>
          <w:sz w:val="16"/>
          <w:szCs w:val="16"/>
          <w:lang w:val="es-PA"/>
        </w:rPr>
        <w:t>La petición hace referencia a 88 presuntas víctimas cuyos nombres se detallan en documento anexo.</w:t>
      </w:r>
    </w:p>
  </w:footnote>
  <w:footnote w:id="4">
    <w:p w14:paraId="36D6AB9D" w14:textId="33758A71" w:rsidR="00B5680D" w:rsidRPr="007B3BF9" w:rsidRDefault="00B5680D" w:rsidP="007B3BF9">
      <w:pPr>
        <w:pStyle w:val="FootnoteText"/>
        <w:ind w:firstLine="720"/>
        <w:jc w:val="both"/>
        <w:rPr>
          <w:rFonts w:asciiTheme="majorHAnsi" w:hAnsiTheme="majorHAnsi"/>
          <w:sz w:val="16"/>
          <w:szCs w:val="16"/>
          <w:lang w:val="es-PA"/>
        </w:rPr>
      </w:pPr>
      <w:r>
        <w:rPr>
          <w:rStyle w:val="FootnoteReference"/>
        </w:rPr>
        <w:footnoteRef/>
      </w:r>
      <w:r w:rsidRPr="007B3BF9">
        <w:rPr>
          <w:rFonts w:asciiTheme="majorHAnsi" w:hAnsiTheme="majorHAnsi"/>
          <w:sz w:val="16"/>
          <w:szCs w:val="16"/>
          <w:lang w:val="es-PA"/>
        </w:rPr>
        <w:t xml:space="preserve"> En adelante “la Convención Americana”</w:t>
      </w:r>
      <w:r>
        <w:rPr>
          <w:rFonts w:asciiTheme="majorHAnsi" w:hAnsiTheme="majorHAnsi"/>
          <w:sz w:val="16"/>
          <w:szCs w:val="16"/>
          <w:lang w:val="es-PA"/>
        </w:rPr>
        <w:t>.</w:t>
      </w:r>
    </w:p>
  </w:footnote>
  <w:footnote w:id="5">
    <w:p w14:paraId="79F07139" w14:textId="77777777" w:rsidR="00B5680D" w:rsidRPr="00DE7D78" w:rsidRDefault="00B5680D" w:rsidP="00226222">
      <w:pPr>
        <w:pStyle w:val="FootnoteText"/>
        <w:ind w:firstLine="720"/>
        <w:jc w:val="both"/>
        <w:rPr>
          <w:rFonts w:ascii="Cambria" w:hAnsi="Cambria"/>
          <w:sz w:val="16"/>
          <w:szCs w:val="16"/>
          <w:lang w:val="es-ES"/>
        </w:rPr>
      </w:pPr>
      <w:r w:rsidRPr="00567B31">
        <w:rPr>
          <w:rStyle w:val="FootnoteReference"/>
          <w:rFonts w:asciiTheme="majorHAnsi" w:hAnsiTheme="majorHAnsi"/>
          <w:sz w:val="16"/>
          <w:szCs w:val="16"/>
        </w:rPr>
        <w:footnoteRef/>
      </w:r>
      <w:r w:rsidRPr="00567B31">
        <w:rPr>
          <w:rFonts w:asciiTheme="majorHAnsi" w:hAnsiTheme="majorHAnsi"/>
          <w:sz w:val="16"/>
          <w:szCs w:val="16"/>
          <w:lang w:val="es-ES"/>
        </w:rPr>
        <w:t xml:space="preserve"> Las observaciones de cada parte fueron debidamente trasladadas a la parte contraria.</w:t>
      </w:r>
    </w:p>
  </w:footnote>
  <w:footnote w:id="6">
    <w:p w14:paraId="43A80EBF" w14:textId="12344519" w:rsidR="00B5680D" w:rsidRPr="00DC39C3" w:rsidRDefault="00B5680D" w:rsidP="00DC39C3">
      <w:pPr>
        <w:pStyle w:val="FootnoteText"/>
        <w:ind w:firstLine="720"/>
        <w:jc w:val="both"/>
        <w:rPr>
          <w:rFonts w:asciiTheme="majorHAnsi" w:hAnsiTheme="majorHAnsi"/>
          <w:sz w:val="16"/>
          <w:szCs w:val="16"/>
          <w:lang w:val="es-PA"/>
        </w:rPr>
      </w:pPr>
      <w:r w:rsidRPr="00DC39C3">
        <w:rPr>
          <w:rStyle w:val="FootnoteReference"/>
          <w:rFonts w:asciiTheme="majorHAnsi" w:hAnsiTheme="majorHAnsi"/>
          <w:sz w:val="16"/>
          <w:szCs w:val="16"/>
        </w:rPr>
        <w:footnoteRef/>
      </w:r>
      <w:r w:rsidRPr="00DC39C3">
        <w:rPr>
          <w:rFonts w:asciiTheme="majorHAnsi" w:hAnsiTheme="majorHAnsi"/>
          <w:sz w:val="16"/>
          <w:szCs w:val="16"/>
          <w:lang w:val="es-PA"/>
        </w:rPr>
        <w:t xml:space="preserve"> Humberto Ramiro </w:t>
      </w:r>
      <w:proofErr w:type="spellStart"/>
      <w:r w:rsidRPr="00DC39C3">
        <w:rPr>
          <w:rFonts w:asciiTheme="majorHAnsi" w:hAnsiTheme="majorHAnsi"/>
          <w:sz w:val="16"/>
          <w:szCs w:val="16"/>
          <w:lang w:val="es-PA"/>
        </w:rPr>
        <w:t>Pechené</w:t>
      </w:r>
      <w:proofErr w:type="spellEnd"/>
      <w:r w:rsidRPr="00DC39C3">
        <w:rPr>
          <w:rFonts w:asciiTheme="majorHAnsi" w:hAnsiTheme="majorHAnsi"/>
          <w:sz w:val="16"/>
          <w:szCs w:val="16"/>
          <w:lang w:val="es-PA"/>
        </w:rPr>
        <w:t xml:space="preserve">, </w:t>
      </w:r>
      <w:proofErr w:type="spellStart"/>
      <w:r w:rsidRPr="00DC39C3">
        <w:rPr>
          <w:rFonts w:asciiTheme="majorHAnsi" w:hAnsiTheme="majorHAnsi"/>
          <w:sz w:val="16"/>
          <w:szCs w:val="16"/>
          <w:lang w:val="es-PA"/>
        </w:rPr>
        <w:t>Ruvinder</w:t>
      </w:r>
      <w:proofErr w:type="spellEnd"/>
      <w:r w:rsidRPr="00DC39C3">
        <w:rPr>
          <w:rFonts w:asciiTheme="majorHAnsi" w:hAnsiTheme="majorHAnsi"/>
          <w:sz w:val="16"/>
          <w:szCs w:val="16"/>
          <w:lang w:val="es-PA"/>
        </w:rPr>
        <w:t xml:space="preserve"> </w:t>
      </w:r>
      <w:proofErr w:type="spellStart"/>
      <w:r w:rsidRPr="00DC39C3">
        <w:rPr>
          <w:rFonts w:asciiTheme="majorHAnsi" w:hAnsiTheme="majorHAnsi"/>
          <w:sz w:val="16"/>
          <w:szCs w:val="16"/>
          <w:lang w:val="es-PA"/>
        </w:rPr>
        <w:t>Becoche</w:t>
      </w:r>
      <w:proofErr w:type="spellEnd"/>
      <w:r w:rsidRPr="00DC39C3">
        <w:rPr>
          <w:rFonts w:asciiTheme="majorHAnsi" w:hAnsiTheme="majorHAnsi"/>
          <w:sz w:val="16"/>
          <w:szCs w:val="16"/>
          <w:lang w:val="es-PA"/>
        </w:rPr>
        <w:t xml:space="preserve">, Delio </w:t>
      </w:r>
      <w:proofErr w:type="spellStart"/>
      <w:r w:rsidRPr="00DC39C3">
        <w:rPr>
          <w:rFonts w:asciiTheme="majorHAnsi" w:hAnsiTheme="majorHAnsi"/>
          <w:sz w:val="16"/>
          <w:szCs w:val="16"/>
          <w:lang w:val="es-PA"/>
        </w:rPr>
        <w:t>Pechené</w:t>
      </w:r>
      <w:proofErr w:type="spellEnd"/>
      <w:r w:rsidRPr="00DC39C3">
        <w:rPr>
          <w:rFonts w:asciiTheme="majorHAnsi" w:hAnsiTheme="majorHAnsi"/>
          <w:sz w:val="16"/>
          <w:szCs w:val="16"/>
          <w:lang w:val="es-PA"/>
        </w:rPr>
        <w:t xml:space="preserve">, Gentil </w:t>
      </w:r>
      <w:proofErr w:type="spellStart"/>
      <w:r w:rsidRPr="00DC39C3">
        <w:rPr>
          <w:rFonts w:asciiTheme="majorHAnsi" w:hAnsiTheme="majorHAnsi"/>
          <w:sz w:val="16"/>
          <w:szCs w:val="16"/>
          <w:lang w:val="es-PA"/>
        </w:rPr>
        <w:t>Pechené</w:t>
      </w:r>
      <w:proofErr w:type="spellEnd"/>
      <w:r w:rsidRPr="00DC39C3">
        <w:rPr>
          <w:rFonts w:asciiTheme="majorHAnsi" w:hAnsiTheme="majorHAnsi"/>
          <w:sz w:val="16"/>
          <w:szCs w:val="16"/>
          <w:lang w:val="es-PA"/>
        </w:rPr>
        <w:t xml:space="preserve">, </w:t>
      </w:r>
      <w:proofErr w:type="spellStart"/>
      <w:r w:rsidRPr="00DC39C3">
        <w:rPr>
          <w:rFonts w:asciiTheme="majorHAnsi" w:hAnsiTheme="majorHAnsi"/>
          <w:sz w:val="16"/>
          <w:szCs w:val="16"/>
          <w:lang w:val="es-PA"/>
        </w:rPr>
        <w:t>Eldar</w:t>
      </w:r>
      <w:proofErr w:type="spellEnd"/>
      <w:r w:rsidRPr="00DC39C3">
        <w:rPr>
          <w:rFonts w:asciiTheme="majorHAnsi" w:hAnsiTheme="majorHAnsi"/>
          <w:sz w:val="16"/>
          <w:szCs w:val="16"/>
          <w:lang w:val="es-PA"/>
        </w:rPr>
        <w:t xml:space="preserve"> Sánchez y Jairo </w:t>
      </w:r>
      <w:proofErr w:type="spellStart"/>
      <w:r w:rsidRPr="00DC39C3">
        <w:rPr>
          <w:rFonts w:asciiTheme="majorHAnsi" w:hAnsiTheme="majorHAnsi"/>
          <w:sz w:val="16"/>
          <w:szCs w:val="16"/>
          <w:lang w:val="es-PA"/>
        </w:rPr>
        <w:t>Guachetá</w:t>
      </w:r>
      <w:proofErr w:type="spellEnd"/>
      <w:r>
        <w:rPr>
          <w:rFonts w:asciiTheme="majorHAnsi" w:hAnsiTheme="majorHAnsi"/>
          <w:sz w:val="16"/>
          <w:szCs w:val="16"/>
          <w:lang w:val="es-PA"/>
        </w:rPr>
        <w:t>.</w:t>
      </w:r>
    </w:p>
  </w:footnote>
  <w:footnote w:id="7">
    <w:p w14:paraId="3FC47908" w14:textId="40873A60" w:rsidR="00B5680D" w:rsidRPr="00CD03A0" w:rsidRDefault="00B5680D" w:rsidP="00CD03A0">
      <w:pPr>
        <w:pStyle w:val="FootnoteText"/>
        <w:ind w:firstLine="720"/>
        <w:jc w:val="both"/>
        <w:rPr>
          <w:rFonts w:ascii="Cambria" w:hAnsi="Cambria"/>
          <w:sz w:val="16"/>
          <w:szCs w:val="16"/>
          <w:lang w:val="es-PA"/>
        </w:rPr>
      </w:pPr>
      <w:r>
        <w:rPr>
          <w:rStyle w:val="FootnoteReference"/>
        </w:rPr>
        <w:footnoteRef/>
      </w:r>
      <w:r w:rsidRPr="00CD03A0">
        <w:rPr>
          <w:lang w:val="es-PA"/>
        </w:rPr>
        <w:t xml:space="preserve"> </w:t>
      </w:r>
      <w:r>
        <w:rPr>
          <w:rFonts w:ascii="Cambria" w:hAnsi="Cambria"/>
          <w:sz w:val="16"/>
          <w:szCs w:val="16"/>
          <w:lang w:val="es-PA"/>
        </w:rPr>
        <w:t xml:space="preserve">Antonio Quina, </w:t>
      </w:r>
      <w:proofErr w:type="spellStart"/>
      <w:r>
        <w:rPr>
          <w:rFonts w:ascii="Cambria" w:hAnsi="Cambria"/>
          <w:sz w:val="16"/>
          <w:szCs w:val="16"/>
          <w:lang w:val="es-PA"/>
        </w:rPr>
        <w:t>Arsei</w:t>
      </w:r>
      <w:proofErr w:type="spellEnd"/>
      <w:r>
        <w:rPr>
          <w:rFonts w:ascii="Cambria" w:hAnsi="Cambria"/>
          <w:sz w:val="16"/>
          <w:szCs w:val="16"/>
          <w:lang w:val="es-PA"/>
        </w:rPr>
        <w:t xml:space="preserve"> </w:t>
      </w:r>
      <w:proofErr w:type="spellStart"/>
      <w:r>
        <w:rPr>
          <w:rFonts w:ascii="Cambria" w:hAnsi="Cambria"/>
          <w:sz w:val="16"/>
          <w:szCs w:val="16"/>
          <w:lang w:val="es-PA"/>
        </w:rPr>
        <w:t>Belarde</w:t>
      </w:r>
      <w:proofErr w:type="spellEnd"/>
      <w:r>
        <w:rPr>
          <w:rFonts w:ascii="Cambria" w:hAnsi="Cambria"/>
          <w:sz w:val="16"/>
          <w:szCs w:val="16"/>
          <w:lang w:val="es-PA"/>
        </w:rPr>
        <w:t xml:space="preserve">, Anselmo </w:t>
      </w:r>
      <w:proofErr w:type="spellStart"/>
      <w:r>
        <w:rPr>
          <w:rFonts w:ascii="Cambria" w:hAnsi="Cambria"/>
          <w:sz w:val="16"/>
          <w:szCs w:val="16"/>
          <w:lang w:val="es-PA"/>
        </w:rPr>
        <w:t>Pechené</w:t>
      </w:r>
      <w:proofErr w:type="spellEnd"/>
      <w:r>
        <w:rPr>
          <w:rFonts w:ascii="Cambria" w:hAnsi="Cambria"/>
          <w:sz w:val="16"/>
          <w:szCs w:val="16"/>
          <w:lang w:val="es-PA"/>
        </w:rPr>
        <w:t xml:space="preserve">, Miguel </w:t>
      </w:r>
      <w:proofErr w:type="spellStart"/>
      <w:r>
        <w:rPr>
          <w:rFonts w:ascii="Cambria" w:hAnsi="Cambria"/>
          <w:sz w:val="16"/>
          <w:szCs w:val="16"/>
          <w:lang w:val="es-PA"/>
        </w:rPr>
        <w:t>Chate</w:t>
      </w:r>
      <w:proofErr w:type="spellEnd"/>
      <w:r>
        <w:rPr>
          <w:rFonts w:ascii="Cambria" w:hAnsi="Cambria"/>
          <w:sz w:val="16"/>
          <w:szCs w:val="16"/>
          <w:lang w:val="es-PA"/>
        </w:rPr>
        <w:t xml:space="preserve"> y Antonio </w:t>
      </w:r>
      <w:proofErr w:type="spellStart"/>
      <w:r>
        <w:rPr>
          <w:rFonts w:ascii="Cambria" w:hAnsi="Cambria"/>
          <w:sz w:val="16"/>
          <w:szCs w:val="16"/>
          <w:lang w:val="es-PA"/>
        </w:rPr>
        <w:t>Pechené</w:t>
      </w:r>
      <w:proofErr w:type="spellEnd"/>
      <w:r>
        <w:rPr>
          <w:rFonts w:ascii="Cambria" w:hAnsi="Cambria"/>
          <w:sz w:val="16"/>
          <w:szCs w:val="16"/>
          <w:lang w:val="es-PA"/>
        </w:rPr>
        <w:t>.</w:t>
      </w:r>
    </w:p>
  </w:footnote>
  <w:footnote w:id="8">
    <w:p w14:paraId="26E8C0CD" w14:textId="2A16FDFC" w:rsidR="00B5680D" w:rsidRPr="00CD03A0" w:rsidRDefault="00B5680D" w:rsidP="00CD03A0">
      <w:pPr>
        <w:pStyle w:val="FootnoteText"/>
        <w:ind w:firstLine="720"/>
        <w:jc w:val="both"/>
        <w:rPr>
          <w:rFonts w:asciiTheme="majorHAnsi" w:hAnsiTheme="majorHAnsi"/>
          <w:sz w:val="16"/>
          <w:szCs w:val="16"/>
          <w:lang w:val="es-PA"/>
        </w:rPr>
      </w:pPr>
      <w:r>
        <w:rPr>
          <w:rStyle w:val="FootnoteReference"/>
        </w:rPr>
        <w:footnoteRef/>
      </w:r>
      <w:r w:rsidRPr="00CD03A0">
        <w:rPr>
          <w:lang w:val="es-PA"/>
        </w:rPr>
        <w:t xml:space="preserve"> </w:t>
      </w:r>
      <w:r w:rsidRPr="00CD03A0">
        <w:rPr>
          <w:rFonts w:asciiTheme="majorHAnsi" w:hAnsiTheme="majorHAnsi"/>
          <w:sz w:val="16"/>
          <w:szCs w:val="16"/>
          <w:lang w:val="es-PA"/>
        </w:rPr>
        <w:t>Menciona como ejemplo a Humberto R</w:t>
      </w:r>
      <w:r>
        <w:rPr>
          <w:rFonts w:asciiTheme="majorHAnsi" w:hAnsiTheme="majorHAnsi"/>
          <w:sz w:val="16"/>
          <w:szCs w:val="16"/>
          <w:lang w:val="es-PA"/>
        </w:rPr>
        <w:t xml:space="preserve">amiro </w:t>
      </w:r>
      <w:proofErr w:type="spellStart"/>
      <w:r>
        <w:rPr>
          <w:rFonts w:asciiTheme="majorHAnsi" w:hAnsiTheme="majorHAnsi"/>
          <w:sz w:val="16"/>
          <w:szCs w:val="16"/>
          <w:lang w:val="es-PA"/>
        </w:rPr>
        <w:t>Pechené</w:t>
      </w:r>
      <w:proofErr w:type="spellEnd"/>
      <w:r>
        <w:rPr>
          <w:rFonts w:asciiTheme="majorHAnsi" w:hAnsiTheme="majorHAnsi"/>
          <w:sz w:val="16"/>
          <w:szCs w:val="16"/>
          <w:lang w:val="es-PA"/>
        </w:rPr>
        <w:t>.</w:t>
      </w:r>
    </w:p>
  </w:footnote>
  <w:footnote w:id="9">
    <w:p w14:paraId="30752B7F" w14:textId="7ADBE6D4" w:rsidR="00B5680D" w:rsidRPr="009452A9" w:rsidRDefault="00B5680D" w:rsidP="009452A9">
      <w:pPr>
        <w:pStyle w:val="FootnoteText"/>
        <w:ind w:firstLine="720"/>
        <w:jc w:val="both"/>
        <w:rPr>
          <w:rFonts w:asciiTheme="majorHAnsi" w:hAnsiTheme="majorHAnsi"/>
          <w:sz w:val="16"/>
          <w:szCs w:val="16"/>
          <w:lang w:val="es-PA"/>
        </w:rPr>
      </w:pPr>
      <w:r w:rsidRPr="009452A9">
        <w:rPr>
          <w:rStyle w:val="FootnoteReference"/>
          <w:rFonts w:asciiTheme="majorHAnsi" w:hAnsiTheme="majorHAnsi"/>
          <w:sz w:val="16"/>
          <w:szCs w:val="16"/>
        </w:rPr>
        <w:footnoteRef/>
      </w:r>
      <w:r w:rsidRPr="009452A9">
        <w:rPr>
          <w:rFonts w:asciiTheme="majorHAnsi" w:hAnsiTheme="majorHAnsi"/>
          <w:sz w:val="16"/>
          <w:szCs w:val="16"/>
          <w:lang w:val="es-PA"/>
        </w:rPr>
        <w:t xml:space="preserve"> Menciona a manera de ejemplo a</w:t>
      </w:r>
      <w:r>
        <w:rPr>
          <w:rFonts w:asciiTheme="majorHAnsi" w:hAnsiTheme="majorHAnsi"/>
          <w:sz w:val="16"/>
          <w:szCs w:val="16"/>
          <w:lang w:val="es-PA"/>
        </w:rPr>
        <w:t xml:space="preserve"> José </w:t>
      </w:r>
      <w:proofErr w:type="spellStart"/>
      <w:r>
        <w:rPr>
          <w:rFonts w:asciiTheme="majorHAnsi" w:hAnsiTheme="majorHAnsi"/>
          <w:sz w:val="16"/>
          <w:szCs w:val="16"/>
          <w:lang w:val="es-PA"/>
        </w:rPr>
        <w:t>Henner</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Becoche</w:t>
      </w:r>
      <w:proofErr w:type="spellEnd"/>
      <w:r>
        <w:rPr>
          <w:rFonts w:asciiTheme="majorHAnsi" w:hAnsiTheme="majorHAnsi"/>
          <w:sz w:val="16"/>
          <w:szCs w:val="16"/>
          <w:lang w:val="es-PA"/>
        </w:rPr>
        <w:t xml:space="preserve">, Alvaro </w:t>
      </w:r>
      <w:proofErr w:type="spellStart"/>
      <w:r>
        <w:rPr>
          <w:rFonts w:asciiTheme="majorHAnsi" w:hAnsiTheme="majorHAnsi"/>
          <w:sz w:val="16"/>
          <w:szCs w:val="16"/>
          <w:lang w:val="es-PA"/>
        </w:rPr>
        <w:t>Guachetá</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Pechené</w:t>
      </w:r>
      <w:proofErr w:type="spellEnd"/>
      <w:r>
        <w:rPr>
          <w:rFonts w:asciiTheme="majorHAnsi" w:hAnsiTheme="majorHAnsi"/>
          <w:sz w:val="16"/>
          <w:szCs w:val="16"/>
          <w:lang w:val="es-PA"/>
        </w:rPr>
        <w:t xml:space="preserve">, Victor Ariel </w:t>
      </w:r>
      <w:proofErr w:type="spellStart"/>
      <w:r>
        <w:rPr>
          <w:rFonts w:asciiTheme="majorHAnsi" w:hAnsiTheme="majorHAnsi"/>
          <w:sz w:val="16"/>
          <w:szCs w:val="16"/>
          <w:lang w:val="es-PA"/>
        </w:rPr>
        <w:t>Chate</w:t>
      </w:r>
      <w:proofErr w:type="spellEnd"/>
      <w:r>
        <w:rPr>
          <w:rFonts w:asciiTheme="majorHAnsi" w:hAnsiTheme="majorHAnsi"/>
          <w:sz w:val="16"/>
          <w:szCs w:val="16"/>
          <w:lang w:val="es-PA"/>
        </w:rPr>
        <w:t xml:space="preserve"> Flor, Manuel Jesús </w:t>
      </w:r>
      <w:proofErr w:type="spellStart"/>
      <w:r>
        <w:rPr>
          <w:rFonts w:asciiTheme="majorHAnsi" w:hAnsiTheme="majorHAnsi"/>
          <w:sz w:val="16"/>
          <w:szCs w:val="16"/>
          <w:lang w:val="es-PA"/>
        </w:rPr>
        <w:t>Guachetá</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Pechené</w:t>
      </w:r>
      <w:proofErr w:type="spellEnd"/>
      <w:r>
        <w:rPr>
          <w:rFonts w:asciiTheme="majorHAnsi" w:hAnsiTheme="majorHAnsi"/>
          <w:sz w:val="16"/>
          <w:szCs w:val="16"/>
          <w:lang w:val="es-PA"/>
        </w:rPr>
        <w:t xml:space="preserve">, Miguel </w:t>
      </w:r>
      <w:proofErr w:type="spellStart"/>
      <w:r>
        <w:rPr>
          <w:rFonts w:asciiTheme="majorHAnsi" w:hAnsiTheme="majorHAnsi"/>
          <w:sz w:val="16"/>
          <w:szCs w:val="16"/>
          <w:lang w:val="es-PA"/>
        </w:rPr>
        <w:t>Angel</w:t>
      </w:r>
      <w:proofErr w:type="spellEnd"/>
      <w:r>
        <w:rPr>
          <w:rFonts w:asciiTheme="majorHAnsi" w:hAnsiTheme="majorHAnsi"/>
          <w:sz w:val="16"/>
          <w:szCs w:val="16"/>
          <w:lang w:val="es-PA"/>
        </w:rPr>
        <w:t xml:space="preserve"> Montenegro </w:t>
      </w:r>
      <w:proofErr w:type="spellStart"/>
      <w:r>
        <w:rPr>
          <w:rFonts w:asciiTheme="majorHAnsi" w:hAnsiTheme="majorHAnsi"/>
          <w:sz w:val="16"/>
          <w:szCs w:val="16"/>
          <w:lang w:val="es-PA"/>
        </w:rPr>
        <w:t>Ordóñéz</w:t>
      </w:r>
      <w:proofErr w:type="spellEnd"/>
      <w:r>
        <w:rPr>
          <w:rFonts w:asciiTheme="majorHAnsi" w:hAnsiTheme="majorHAnsi"/>
          <w:sz w:val="16"/>
          <w:szCs w:val="16"/>
          <w:lang w:val="es-PA"/>
        </w:rPr>
        <w:t xml:space="preserve">, Neftalí </w:t>
      </w:r>
      <w:proofErr w:type="spellStart"/>
      <w:r>
        <w:rPr>
          <w:rFonts w:asciiTheme="majorHAnsi" w:hAnsiTheme="majorHAnsi"/>
          <w:sz w:val="16"/>
          <w:szCs w:val="16"/>
          <w:lang w:val="es-PA"/>
        </w:rPr>
        <w:t>Guachetá</w:t>
      </w:r>
      <w:proofErr w:type="spellEnd"/>
      <w:r>
        <w:rPr>
          <w:rFonts w:asciiTheme="majorHAnsi" w:hAnsiTheme="majorHAnsi"/>
          <w:sz w:val="16"/>
          <w:szCs w:val="16"/>
          <w:lang w:val="es-PA"/>
        </w:rPr>
        <w:t xml:space="preserve"> Zambrano, </w:t>
      </w:r>
      <w:proofErr w:type="spellStart"/>
      <w:r>
        <w:rPr>
          <w:rFonts w:asciiTheme="majorHAnsi" w:hAnsiTheme="majorHAnsi"/>
          <w:sz w:val="16"/>
          <w:szCs w:val="16"/>
          <w:lang w:val="es-PA"/>
        </w:rPr>
        <w:t>Deiby</w:t>
      </w:r>
      <w:proofErr w:type="spellEnd"/>
      <w:r>
        <w:rPr>
          <w:rFonts w:asciiTheme="majorHAnsi" w:hAnsiTheme="majorHAnsi"/>
          <w:sz w:val="16"/>
          <w:szCs w:val="16"/>
          <w:lang w:val="es-PA"/>
        </w:rPr>
        <w:t xml:space="preserve"> Anderson </w:t>
      </w:r>
      <w:proofErr w:type="spellStart"/>
      <w:r>
        <w:rPr>
          <w:rFonts w:asciiTheme="majorHAnsi" w:hAnsiTheme="majorHAnsi"/>
          <w:sz w:val="16"/>
          <w:szCs w:val="16"/>
          <w:lang w:val="es-PA"/>
        </w:rPr>
        <w:t>Guachetá</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Pechené</w:t>
      </w:r>
      <w:proofErr w:type="spellEnd"/>
      <w:r>
        <w:rPr>
          <w:rFonts w:asciiTheme="majorHAnsi" w:hAnsiTheme="majorHAnsi"/>
          <w:sz w:val="16"/>
          <w:szCs w:val="16"/>
          <w:lang w:val="es-PA"/>
        </w:rPr>
        <w:t xml:space="preserve">, Juan Alberto </w:t>
      </w:r>
      <w:proofErr w:type="spellStart"/>
      <w:r>
        <w:rPr>
          <w:rFonts w:asciiTheme="majorHAnsi" w:hAnsiTheme="majorHAnsi"/>
          <w:sz w:val="16"/>
          <w:szCs w:val="16"/>
          <w:lang w:val="es-PA"/>
        </w:rPr>
        <w:t>Yandi</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Guachetá</w:t>
      </w:r>
      <w:proofErr w:type="spellEnd"/>
      <w:r>
        <w:rPr>
          <w:rFonts w:asciiTheme="majorHAnsi" w:hAnsiTheme="majorHAnsi"/>
          <w:sz w:val="16"/>
          <w:szCs w:val="16"/>
          <w:lang w:val="es-PA"/>
        </w:rPr>
        <w:t xml:space="preserve"> y Lino </w:t>
      </w:r>
      <w:proofErr w:type="spellStart"/>
      <w:r>
        <w:rPr>
          <w:rFonts w:asciiTheme="majorHAnsi" w:hAnsiTheme="majorHAnsi"/>
          <w:sz w:val="16"/>
          <w:szCs w:val="16"/>
          <w:lang w:val="es-PA"/>
        </w:rPr>
        <w:t>Enger</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Becoche</w:t>
      </w:r>
      <w:proofErr w:type="spellEnd"/>
      <w:r>
        <w:rPr>
          <w:rFonts w:asciiTheme="majorHAnsi" w:hAnsiTheme="majorHAnsi"/>
          <w:sz w:val="16"/>
          <w:szCs w:val="16"/>
          <w:lang w:val="es-PA"/>
        </w:rPr>
        <w:t xml:space="preserve"> Sánchez. </w:t>
      </w:r>
    </w:p>
  </w:footnote>
  <w:footnote w:id="10">
    <w:p w14:paraId="177065F0" w14:textId="51737279" w:rsidR="00B5680D" w:rsidRPr="00D337B7" w:rsidRDefault="00B5680D" w:rsidP="00D337B7">
      <w:pPr>
        <w:pStyle w:val="FootnoteText"/>
        <w:ind w:firstLine="720"/>
        <w:jc w:val="both"/>
        <w:rPr>
          <w:rFonts w:asciiTheme="majorHAnsi" w:hAnsiTheme="majorHAnsi"/>
          <w:sz w:val="16"/>
          <w:szCs w:val="16"/>
          <w:lang w:val="es-PA"/>
        </w:rPr>
      </w:pPr>
      <w:r w:rsidRPr="00D337B7">
        <w:rPr>
          <w:rStyle w:val="FootnoteReference"/>
          <w:rFonts w:asciiTheme="majorHAnsi" w:hAnsiTheme="majorHAnsi"/>
          <w:sz w:val="16"/>
          <w:szCs w:val="16"/>
        </w:rPr>
        <w:footnoteRef/>
      </w:r>
      <w:r w:rsidRPr="00D337B7">
        <w:rPr>
          <w:rFonts w:asciiTheme="majorHAnsi" w:hAnsiTheme="majorHAnsi"/>
          <w:sz w:val="16"/>
          <w:szCs w:val="16"/>
          <w:lang w:val="es-PA"/>
        </w:rPr>
        <w:t xml:space="preserve"> Según indica, las presentadas por Andrea </w:t>
      </w:r>
      <w:proofErr w:type="spellStart"/>
      <w:r w:rsidRPr="00D337B7">
        <w:rPr>
          <w:rFonts w:asciiTheme="majorHAnsi" w:hAnsiTheme="majorHAnsi"/>
          <w:sz w:val="16"/>
          <w:szCs w:val="16"/>
          <w:lang w:val="es-PA"/>
        </w:rPr>
        <w:t>Chate</w:t>
      </w:r>
      <w:proofErr w:type="spellEnd"/>
      <w:r w:rsidRPr="00D337B7">
        <w:rPr>
          <w:rFonts w:asciiTheme="majorHAnsi" w:hAnsiTheme="majorHAnsi"/>
          <w:sz w:val="16"/>
          <w:szCs w:val="16"/>
          <w:lang w:val="es-PA"/>
        </w:rPr>
        <w:t xml:space="preserve"> Acosta y otros, María </w:t>
      </w:r>
      <w:proofErr w:type="spellStart"/>
      <w:r w:rsidRPr="00D337B7">
        <w:rPr>
          <w:rFonts w:asciiTheme="majorHAnsi" w:hAnsiTheme="majorHAnsi"/>
          <w:sz w:val="16"/>
          <w:szCs w:val="16"/>
          <w:lang w:val="es-PA"/>
        </w:rPr>
        <w:t>Pechené</w:t>
      </w:r>
      <w:proofErr w:type="spellEnd"/>
      <w:r w:rsidRPr="00D337B7">
        <w:rPr>
          <w:rFonts w:asciiTheme="majorHAnsi" w:hAnsiTheme="majorHAnsi"/>
          <w:sz w:val="16"/>
          <w:szCs w:val="16"/>
          <w:lang w:val="es-PA"/>
        </w:rPr>
        <w:t xml:space="preserve"> y Otros, y </w:t>
      </w:r>
      <w:proofErr w:type="spellStart"/>
      <w:r w:rsidRPr="00D337B7">
        <w:rPr>
          <w:rFonts w:asciiTheme="majorHAnsi" w:hAnsiTheme="majorHAnsi"/>
          <w:sz w:val="16"/>
          <w:szCs w:val="16"/>
          <w:lang w:val="es-PA"/>
        </w:rPr>
        <w:t>Humbero</w:t>
      </w:r>
      <w:proofErr w:type="spellEnd"/>
      <w:r w:rsidRPr="00D337B7">
        <w:rPr>
          <w:rFonts w:asciiTheme="majorHAnsi" w:hAnsiTheme="majorHAnsi"/>
          <w:sz w:val="16"/>
          <w:szCs w:val="16"/>
          <w:lang w:val="es-PA"/>
        </w:rPr>
        <w:t xml:space="preserve"> Ramírez </w:t>
      </w:r>
      <w:proofErr w:type="spellStart"/>
      <w:r w:rsidRPr="00D337B7">
        <w:rPr>
          <w:rFonts w:asciiTheme="majorHAnsi" w:hAnsiTheme="majorHAnsi"/>
          <w:sz w:val="16"/>
          <w:szCs w:val="16"/>
          <w:lang w:val="es-PA"/>
        </w:rPr>
        <w:t>Pechené</w:t>
      </w:r>
      <w:proofErr w:type="spellEnd"/>
      <w:r w:rsidRPr="00D337B7">
        <w:rPr>
          <w:rFonts w:asciiTheme="majorHAnsi" w:hAnsiTheme="majorHAnsi"/>
          <w:sz w:val="16"/>
          <w:szCs w:val="16"/>
          <w:lang w:val="es-PA"/>
        </w:rPr>
        <w:t xml:space="preserve"> y Otros. </w:t>
      </w:r>
    </w:p>
  </w:footnote>
  <w:footnote w:id="11">
    <w:p w14:paraId="226F1ECC" w14:textId="6339C263" w:rsidR="00B5680D" w:rsidRPr="006C07E0" w:rsidRDefault="00B5680D" w:rsidP="006C07E0">
      <w:pPr>
        <w:pStyle w:val="FootnoteText"/>
        <w:ind w:firstLine="720"/>
        <w:jc w:val="both"/>
        <w:rPr>
          <w:rFonts w:asciiTheme="majorHAnsi" w:hAnsiTheme="majorHAnsi"/>
          <w:sz w:val="16"/>
          <w:szCs w:val="16"/>
          <w:lang w:val="es-PA"/>
        </w:rPr>
      </w:pPr>
      <w:r w:rsidRPr="006C07E0">
        <w:rPr>
          <w:rStyle w:val="FootnoteReference"/>
          <w:rFonts w:asciiTheme="majorHAnsi" w:hAnsiTheme="majorHAnsi"/>
          <w:sz w:val="16"/>
          <w:szCs w:val="16"/>
        </w:rPr>
        <w:footnoteRef/>
      </w:r>
      <w:r w:rsidRPr="006C07E0">
        <w:rPr>
          <w:rFonts w:asciiTheme="majorHAnsi" w:hAnsiTheme="majorHAnsi"/>
          <w:sz w:val="16"/>
          <w:szCs w:val="16"/>
          <w:lang w:val="es-PA"/>
        </w:rPr>
        <w:t xml:space="preserve"> Según indica, las demandas presentadas por </w:t>
      </w:r>
      <w:proofErr w:type="spellStart"/>
      <w:r>
        <w:rPr>
          <w:rFonts w:asciiTheme="majorHAnsi" w:hAnsiTheme="majorHAnsi"/>
          <w:sz w:val="16"/>
          <w:szCs w:val="16"/>
          <w:lang w:val="es-PA"/>
        </w:rPr>
        <w:t>Eminda</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de </w:t>
      </w:r>
      <w:proofErr w:type="spellStart"/>
      <w:r>
        <w:rPr>
          <w:rFonts w:asciiTheme="majorHAnsi" w:hAnsiTheme="majorHAnsi"/>
          <w:sz w:val="16"/>
          <w:szCs w:val="16"/>
          <w:lang w:val="es-PA"/>
        </w:rPr>
        <w:t>Becoche</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Marleni</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Vidal, Noris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de Sánchez, Gladys Gilma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Vidal, Delio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Vidal, Gentil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Vidal, </w:t>
      </w:r>
      <w:proofErr w:type="spellStart"/>
      <w:r>
        <w:rPr>
          <w:rFonts w:asciiTheme="majorHAnsi" w:hAnsiTheme="majorHAnsi"/>
          <w:sz w:val="16"/>
          <w:szCs w:val="16"/>
          <w:lang w:val="es-PA"/>
        </w:rPr>
        <w:t>Oracio</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Vidal, Jaime </w:t>
      </w:r>
      <w:proofErr w:type="spellStart"/>
      <w:r>
        <w:rPr>
          <w:rFonts w:asciiTheme="majorHAnsi" w:hAnsiTheme="majorHAnsi"/>
          <w:sz w:val="16"/>
          <w:szCs w:val="16"/>
          <w:lang w:val="es-PA"/>
        </w:rPr>
        <w:t>Ovied</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Vidal, Luz Albania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Vidal, Leonor Melba </w:t>
      </w:r>
      <w:proofErr w:type="spellStart"/>
      <w:r>
        <w:rPr>
          <w:rFonts w:asciiTheme="majorHAnsi" w:hAnsiTheme="majorHAnsi"/>
          <w:sz w:val="16"/>
          <w:szCs w:val="16"/>
          <w:lang w:val="es-PA"/>
        </w:rPr>
        <w:t>Becoche</w:t>
      </w:r>
      <w:proofErr w:type="spellEnd"/>
      <w:r>
        <w:rPr>
          <w:rFonts w:asciiTheme="majorHAnsi" w:hAnsiTheme="majorHAnsi"/>
          <w:sz w:val="16"/>
          <w:szCs w:val="16"/>
          <w:lang w:val="es-PA"/>
        </w:rPr>
        <w:t xml:space="preserve"> Sánchez, Denis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Becoche</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Yamil</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Becoche</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Edy</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Sánchez, Yolanda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Becoche</w:t>
      </w:r>
      <w:proofErr w:type="spellEnd"/>
      <w:r>
        <w:rPr>
          <w:rFonts w:asciiTheme="majorHAnsi" w:hAnsiTheme="majorHAnsi"/>
          <w:sz w:val="16"/>
          <w:szCs w:val="16"/>
          <w:lang w:val="es-PA"/>
        </w:rPr>
        <w:t xml:space="preserve">, Elena </w:t>
      </w:r>
      <w:proofErr w:type="spellStart"/>
      <w:r>
        <w:rPr>
          <w:rFonts w:asciiTheme="majorHAnsi" w:hAnsiTheme="majorHAnsi"/>
          <w:sz w:val="16"/>
          <w:szCs w:val="16"/>
          <w:lang w:val="es-PA"/>
        </w:rPr>
        <w:t>Pechene</w:t>
      </w:r>
      <w:proofErr w:type="spellEnd"/>
      <w:r>
        <w:rPr>
          <w:rFonts w:asciiTheme="majorHAnsi" w:hAnsiTheme="majorHAnsi"/>
          <w:sz w:val="16"/>
          <w:szCs w:val="16"/>
          <w:lang w:val="es-PA"/>
        </w:rPr>
        <w:t xml:space="preserve"> Sánchez, </w:t>
      </w:r>
      <w:proofErr w:type="spellStart"/>
      <w:r>
        <w:rPr>
          <w:rFonts w:asciiTheme="majorHAnsi" w:hAnsiTheme="majorHAnsi"/>
          <w:sz w:val="16"/>
          <w:szCs w:val="16"/>
          <w:lang w:val="es-PA"/>
        </w:rPr>
        <w:t>Edirma</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Guachetá</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Sanza</w:t>
      </w:r>
      <w:proofErr w:type="spellEnd"/>
      <w:r>
        <w:rPr>
          <w:rFonts w:asciiTheme="majorHAnsi" w:hAnsiTheme="majorHAnsi"/>
          <w:sz w:val="16"/>
          <w:szCs w:val="16"/>
          <w:lang w:val="es-PA"/>
        </w:rPr>
        <w:t xml:space="preserve">, Rosa Elvia </w:t>
      </w:r>
      <w:proofErr w:type="spellStart"/>
      <w:r>
        <w:rPr>
          <w:rFonts w:asciiTheme="majorHAnsi" w:hAnsiTheme="majorHAnsi"/>
          <w:sz w:val="16"/>
          <w:szCs w:val="16"/>
          <w:lang w:val="es-PA"/>
        </w:rPr>
        <w:t>Guacheta</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Guacheta</w:t>
      </w:r>
      <w:proofErr w:type="spellEnd"/>
      <w:r>
        <w:rPr>
          <w:rFonts w:asciiTheme="majorHAnsi" w:hAnsiTheme="majorHAnsi"/>
          <w:sz w:val="16"/>
          <w:szCs w:val="16"/>
          <w:lang w:val="es-PA"/>
        </w:rPr>
        <w:t xml:space="preserve">, Luis </w:t>
      </w:r>
      <w:proofErr w:type="spellStart"/>
      <w:r>
        <w:rPr>
          <w:rFonts w:asciiTheme="majorHAnsi" w:hAnsiTheme="majorHAnsi"/>
          <w:sz w:val="16"/>
          <w:szCs w:val="16"/>
          <w:lang w:val="es-PA"/>
        </w:rPr>
        <w:t>Arcesio</w:t>
      </w:r>
      <w:proofErr w:type="spellEnd"/>
      <w:r>
        <w:rPr>
          <w:rFonts w:asciiTheme="majorHAnsi" w:hAnsiTheme="majorHAnsi"/>
          <w:sz w:val="16"/>
          <w:szCs w:val="16"/>
          <w:lang w:val="es-PA"/>
        </w:rPr>
        <w:t xml:space="preserve"> Montenegro Ordoñez, </w:t>
      </w:r>
      <w:proofErr w:type="spellStart"/>
      <w:r>
        <w:rPr>
          <w:rFonts w:asciiTheme="majorHAnsi" w:hAnsiTheme="majorHAnsi"/>
          <w:sz w:val="16"/>
          <w:szCs w:val="16"/>
          <w:lang w:val="es-PA"/>
        </w:rPr>
        <w:t>Yani</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Faisuri</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Becoche</w:t>
      </w:r>
      <w:proofErr w:type="spellEnd"/>
      <w:r>
        <w:rPr>
          <w:rFonts w:asciiTheme="majorHAnsi" w:hAnsiTheme="majorHAnsi"/>
          <w:sz w:val="16"/>
          <w:szCs w:val="16"/>
          <w:lang w:val="es-PA"/>
        </w:rPr>
        <w:t xml:space="preserve"> Campo, </w:t>
      </w:r>
      <w:proofErr w:type="spellStart"/>
      <w:r>
        <w:rPr>
          <w:rFonts w:asciiTheme="majorHAnsi" w:hAnsiTheme="majorHAnsi"/>
          <w:sz w:val="16"/>
          <w:szCs w:val="16"/>
          <w:lang w:val="es-PA"/>
        </w:rPr>
        <w:t>Nelcy</w:t>
      </w:r>
      <w:proofErr w:type="spellEnd"/>
      <w:r>
        <w:rPr>
          <w:rFonts w:asciiTheme="majorHAnsi" w:hAnsiTheme="majorHAnsi"/>
          <w:sz w:val="16"/>
          <w:szCs w:val="16"/>
          <w:lang w:val="es-PA"/>
        </w:rPr>
        <w:t xml:space="preserve"> Edilma Montenegro Ordoñez, </w:t>
      </w:r>
      <w:proofErr w:type="spellStart"/>
      <w:r>
        <w:rPr>
          <w:rFonts w:asciiTheme="majorHAnsi" w:hAnsiTheme="majorHAnsi"/>
          <w:sz w:val="16"/>
          <w:szCs w:val="16"/>
          <w:lang w:val="es-PA"/>
        </w:rPr>
        <w:t>Deiner</w:t>
      </w:r>
      <w:proofErr w:type="spellEnd"/>
      <w:r>
        <w:rPr>
          <w:rFonts w:asciiTheme="majorHAnsi" w:hAnsiTheme="majorHAnsi"/>
          <w:sz w:val="16"/>
          <w:szCs w:val="16"/>
          <w:lang w:val="es-PA"/>
        </w:rPr>
        <w:t xml:space="preserve"> Ferney Montenegro Ordoñez, Mireya </w:t>
      </w:r>
      <w:proofErr w:type="spellStart"/>
      <w:r>
        <w:rPr>
          <w:rFonts w:asciiTheme="majorHAnsi" w:hAnsiTheme="majorHAnsi"/>
          <w:sz w:val="16"/>
          <w:szCs w:val="16"/>
          <w:lang w:val="es-PA"/>
        </w:rPr>
        <w:t>Guacheta</w:t>
      </w:r>
      <w:proofErr w:type="spellEnd"/>
      <w:r>
        <w:rPr>
          <w:rFonts w:asciiTheme="majorHAnsi" w:hAnsiTheme="majorHAnsi"/>
          <w:sz w:val="16"/>
          <w:szCs w:val="16"/>
          <w:lang w:val="es-PA"/>
        </w:rPr>
        <w:t xml:space="preserve"> Campo y </w:t>
      </w:r>
      <w:proofErr w:type="spellStart"/>
      <w:r>
        <w:rPr>
          <w:rFonts w:asciiTheme="majorHAnsi" w:hAnsiTheme="majorHAnsi"/>
          <w:sz w:val="16"/>
          <w:szCs w:val="16"/>
          <w:lang w:val="es-PA"/>
        </w:rPr>
        <w:t>Clodomorio</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Guacheta</w:t>
      </w:r>
      <w:proofErr w:type="spellEnd"/>
      <w:r>
        <w:rPr>
          <w:rFonts w:asciiTheme="majorHAnsi" w:hAnsiTheme="majorHAnsi"/>
          <w:sz w:val="16"/>
          <w:szCs w:val="16"/>
          <w:lang w:val="es-PA"/>
        </w:rPr>
        <w:t xml:space="preserve"> Campo. </w:t>
      </w:r>
    </w:p>
  </w:footnote>
  <w:footnote w:id="12">
    <w:p w14:paraId="6B6675CF" w14:textId="77777777" w:rsidR="00B5680D" w:rsidRPr="00403E71" w:rsidRDefault="00B5680D" w:rsidP="00403E71">
      <w:pPr>
        <w:pStyle w:val="FootnoteText"/>
        <w:jc w:val="both"/>
        <w:rPr>
          <w:rFonts w:asciiTheme="majorHAnsi" w:hAnsiTheme="majorHAnsi"/>
          <w:sz w:val="16"/>
          <w:szCs w:val="16"/>
          <w:lang w:val="es-ES"/>
        </w:rPr>
      </w:pPr>
      <w:r w:rsidRPr="00403E71">
        <w:rPr>
          <w:rFonts w:asciiTheme="majorHAnsi" w:hAnsiTheme="majorHAnsi"/>
          <w:sz w:val="16"/>
          <w:szCs w:val="16"/>
          <w:lang w:val="es-ES"/>
        </w:rPr>
        <w:tab/>
      </w:r>
      <w:r w:rsidRPr="00403E71">
        <w:rPr>
          <w:rStyle w:val="FootnoteReference"/>
          <w:rFonts w:asciiTheme="majorHAnsi" w:hAnsiTheme="majorHAnsi"/>
          <w:sz w:val="16"/>
          <w:szCs w:val="16"/>
        </w:rPr>
        <w:footnoteRef/>
      </w:r>
      <w:r w:rsidRPr="00403E71">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13">
    <w:p w14:paraId="3BF19117" w14:textId="77777777" w:rsidR="00F451DB" w:rsidRPr="006132CC" w:rsidRDefault="00F451DB" w:rsidP="00F451DB">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40/18</w:t>
      </w:r>
      <w:r>
        <w:rPr>
          <w:rFonts w:ascii="Cambria" w:hAnsi="Cambria"/>
          <w:sz w:val="16"/>
          <w:szCs w:val="16"/>
          <w:lang w:val="es-ES"/>
        </w:rPr>
        <w:t>, Petición 607-07</w:t>
      </w:r>
      <w:r w:rsidRPr="006132CC">
        <w:rPr>
          <w:rFonts w:ascii="Cambria" w:hAnsi="Cambria"/>
          <w:sz w:val="16"/>
          <w:szCs w:val="16"/>
          <w:lang w:val="es-ES"/>
        </w:rPr>
        <w:t>. Admisibilidad. Nelson Enrique Giraldo Ramírez y familia. Colombia. 4 de mayo de 2018, párr. 15.</w:t>
      </w:r>
    </w:p>
  </w:footnote>
  <w:footnote w:id="14">
    <w:p w14:paraId="7C14C31A" w14:textId="77777777" w:rsidR="00C56C7A" w:rsidRPr="006132CC" w:rsidRDefault="00C56C7A" w:rsidP="00C56C7A">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71/17</w:t>
      </w:r>
      <w:r>
        <w:rPr>
          <w:rFonts w:ascii="Cambria" w:hAnsi="Cambria"/>
          <w:sz w:val="16"/>
          <w:szCs w:val="16"/>
          <w:lang w:val="es-ES"/>
        </w:rPr>
        <w:t>, Petición 271-07</w:t>
      </w:r>
      <w:r w:rsidRPr="006132CC">
        <w:rPr>
          <w:rFonts w:ascii="Cambria" w:hAnsi="Cambria"/>
          <w:sz w:val="16"/>
          <w:szCs w:val="16"/>
          <w:lang w:val="es-ES"/>
        </w:rPr>
        <w:t xml:space="preserve">. Admisibilidad. Jorge Luis de la Rosa Mejía y otros. Colombia. 29 de junio de 2017, </w:t>
      </w:r>
      <w:proofErr w:type="spellStart"/>
      <w:r w:rsidRPr="006132CC">
        <w:rPr>
          <w:rFonts w:ascii="Cambria" w:hAnsi="Cambria"/>
          <w:sz w:val="16"/>
          <w:szCs w:val="16"/>
          <w:lang w:val="es-ES"/>
        </w:rPr>
        <w:t>párr</w:t>
      </w:r>
      <w:proofErr w:type="spellEnd"/>
      <w:r w:rsidRPr="006132CC">
        <w:rPr>
          <w:rFonts w:ascii="Cambria" w:hAnsi="Cambria"/>
          <w:sz w:val="16"/>
          <w:szCs w:val="16"/>
          <w:lang w:val="es-ES_tradnl"/>
        </w:rPr>
        <w:t>. 51.</w:t>
      </w:r>
    </w:p>
  </w:footnote>
  <w:footnote w:id="15">
    <w:p w14:paraId="27DED6A3" w14:textId="77777777" w:rsidR="0008748A" w:rsidRPr="006132CC" w:rsidRDefault="0008748A" w:rsidP="0008748A">
      <w:pPr>
        <w:pStyle w:val="FootnoteText"/>
        <w:jc w:val="both"/>
        <w:rPr>
          <w:rFonts w:ascii="Cambria" w:hAnsi="Cambria"/>
          <w:sz w:val="16"/>
          <w:szCs w:val="16"/>
          <w:lang w:val="es-ES"/>
        </w:rPr>
      </w:pPr>
      <w:r w:rsidRPr="006132CC">
        <w:rPr>
          <w:rFonts w:ascii="Cambria" w:hAnsi="Cambria"/>
          <w:sz w:val="16"/>
          <w:szCs w:val="16"/>
          <w:lang w:val="es-ES"/>
        </w:rPr>
        <w:tab/>
      </w:r>
      <w:r w:rsidRPr="00A32B9B">
        <w:rPr>
          <w:rStyle w:val="FootnoteReference"/>
          <w:rFonts w:ascii="Cambria" w:hAnsi="Cambria"/>
          <w:sz w:val="16"/>
          <w:szCs w:val="16"/>
        </w:rPr>
        <w:footnoteRef/>
      </w:r>
      <w:r>
        <w:rPr>
          <w:rFonts w:ascii="Cambria" w:hAnsi="Cambria"/>
          <w:sz w:val="16"/>
          <w:szCs w:val="16"/>
          <w:lang w:val="es-ES"/>
        </w:rPr>
        <w:t xml:space="preserve"> CIDH, Informe No. 44/18, Petición 840-07. </w:t>
      </w:r>
      <w:r w:rsidRPr="00AB778E">
        <w:rPr>
          <w:rFonts w:ascii="Cambria" w:hAnsi="Cambria"/>
          <w:sz w:val="16"/>
          <w:szCs w:val="16"/>
          <w:lang w:val="es-ES"/>
        </w:rPr>
        <w:t xml:space="preserve">Admisibilidad. Masacre de </w:t>
      </w:r>
      <w:proofErr w:type="spellStart"/>
      <w:r w:rsidRPr="00AB778E">
        <w:rPr>
          <w:rFonts w:ascii="Cambria" w:hAnsi="Cambria"/>
          <w:sz w:val="16"/>
          <w:szCs w:val="16"/>
          <w:lang w:val="es-ES"/>
        </w:rPr>
        <w:t>Pijiguay</w:t>
      </w:r>
      <w:proofErr w:type="spellEnd"/>
      <w:r w:rsidRPr="00AB778E">
        <w:rPr>
          <w:rFonts w:ascii="Cambria" w:hAnsi="Cambria"/>
          <w:sz w:val="16"/>
          <w:szCs w:val="16"/>
          <w:lang w:val="es-ES"/>
        </w:rPr>
        <w:t>. Colombia. 4 de mayo de 2018, párr. 11.</w:t>
      </w:r>
    </w:p>
  </w:footnote>
  <w:footnote w:id="16">
    <w:p w14:paraId="018825BE" w14:textId="415CC3FA" w:rsidR="00B5680D" w:rsidRPr="0008748A" w:rsidRDefault="00B5680D" w:rsidP="0008748A">
      <w:pPr>
        <w:pStyle w:val="FootnoteText"/>
        <w:ind w:firstLine="720"/>
        <w:jc w:val="both"/>
        <w:rPr>
          <w:rFonts w:asciiTheme="majorHAnsi" w:hAnsiTheme="majorHAnsi"/>
          <w:sz w:val="16"/>
          <w:szCs w:val="16"/>
          <w:lang w:val="es-PA"/>
        </w:rPr>
      </w:pPr>
      <w:r w:rsidRPr="0008748A">
        <w:rPr>
          <w:rStyle w:val="FootnoteReference"/>
          <w:rFonts w:asciiTheme="majorHAnsi" w:hAnsiTheme="majorHAnsi"/>
          <w:sz w:val="16"/>
          <w:szCs w:val="16"/>
        </w:rPr>
        <w:footnoteRef/>
      </w:r>
      <w:r w:rsidR="007A1A9A">
        <w:rPr>
          <w:rFonts w:asciiTheme="majorHAnsi" w:hAnsiTheme="majorHAnsi"/>
          <w:sz w:val="16"/>
          <w:szCs w:val="16"/>
          <w:lang w:val="es-PA"/>
        </w:rPr>
        <w:t xml:space="preserve"> Corte I.</w:t>
      </w:r>
      <w:r w:rsidRPr="0008748A">
        <w:rPr>
          <w:rFonts w:asciiTheme="majorHAnsi" w:hAnsiTheme="majorHAnsi"/>
          <w:sz w:val="16"/>
          <w:szCs w:val="16"/>
          <w:lang w:val="es-PA"/>
        </w:rPr>
        <w:t xml:space="preserve">D.H., </w:t>
      </w:r>
      <w:proofErr w:type="spellStart"/>
      <w:r w:rsidRPr="0008748A">
        <w:rPr>
          <w:rFonts w:asciiTheme="majorHAnsi" w:hAnsiTheme="majorHAnsi"/>
          <w:sz w:val="16"/>
          <w:szCs w:val="16"/>
          <w:lang w:val="es-PA"/>
        </w:rPr>
        <w:t>Yarce</w:t>
      </w:r>
      <w:proofErr w:type="spellEnd"/>
      <w:r w:rsidRPr="0008748A">
        <w:rPr>
          <w:rFonts w:asciiTheme="majorHAnsi" w:hAnsiTheme="majorHAnsi"/>
          <w:sz w:val="16"/>
          <w:szCs w:val="16"/>
          <w:lang w:val="es-PA"/>
        </w:rPr>
        <w:t xml:space="preserve"> y Otras vs. Colombia. Sentencia de excepciones preliminar, fondo, reparaciones y costas. 22 de noviembre de 2016</w:t>
      </w:r>
      <w:r w:rsidR="0008748A">
        <w:rPr>
          <w:rFonts w:asciiTheme="majorHAnsi" w:hAnsiTheme="majorHAnsi"/>
          <w:sz w:val="16"/>
          <w:szCs w:val="16"/>
          <w:lang w:val="es-PA"/>
        </w:rPr>
        <w:t xml:space="preserve"> (“Corte I.D.H., Sentencia </w:t>
      </w:r>
      <w:proofErr w:type="spellStart"/>
      <w:r w:rsidR="0008748A">
        <w:rPr>
          <w:rFonts w:asciiTheme="majorHAnsi" w:hAnsiTheme="majorHAnsi"/>
          <w:sz w:val="16"/>
          <w:szCs w:val="16"/>
          <w:lang w:val="es-PA"/>
        </w:rPr>
        <w:t>Yarce</w:t>
      </w:r>
      <w:proofErr w:type="spellEnd"/>
      <w:r w:rsidR="0008748A">
        <w:rPr>
          <w:rFonts w:asciiTheme="majorHAnsi" w:hAnsiTheme="majorHAnsi"/>
          <w:sz w:val="16"/>
          <w:szCs w:val="16"/>
          <w:lang w:val="es-PA"/>
        </w:rPr>
        <w:t xml:space="preserve"> y Otras”)</w:t>
      </w:r>
      <w:proofErr w:type="gramStart"/>
      <w:r w:rsidR="0008748A">
        <w:rPr>
          <w:rFonts w:asciiTheme="majorHAnsi" w:hAnsiTheme="majorHAnsi"/>
          <w:sz w:val="16"/>
          <w:szCs w:val="16"/>
          <w:lang w:val="es-PA"/>
        </w:rPr>
        <w:t>,</w:t>
      </w:r>
      <w:r w:rsidRPr="0008748A">
        <w:rPr>
          <w:rFonts w:asciiTheme="majorHAnsi" w:hAnsiTheme="majorHAnsi"/>
          <w:sz w:val="16"/>
          <w:szCs w:val="16"/>
          <w:lang w:val="es-PA"/>
        </w:rPr>
        <w:t>,</w:t>
      </w:r>
      <w:proofErr w:type="gramEnd"/>
      <w:r w:rsidRPr="0008748A">
        <w:rPr>
          <w:rFonts w:asciiTheme="majorHAnsi" w:hAnsiTheme="majorHAnsi"/>
          <w:sz w:val="16"/>
          <w:szCs w:val="16"/>
          <w:lang w:val="es-PA"/>
        </w:rPr>
        <w:t xml:space="preserve"> párr. 182.</w:t>
      </w:r>
    </w:p>
  </w:footnote>
  <w:footnote w:id="17">
    <w:p w14:paraId="03128F0C" w14:textId="77777777" w:rsidR="008A3500" w:rsidRPr="0008748A" w:rsidRDefault="008A3500" w:rsidP="0008748A">
      <w:pPr>
        <w:contextualSpacing/>
        <w:jc w:val="both"/>
        <w:rPr>
          <w:rFonts w:asciiTheme="majorHAnsi" w:hAnsiTheme="majorHAnsi" w:cs="Calibri"/>
          <w:sz w:val="16"/>
          <w:szCs w:val="16"/>
          <w:lang w:val="es-ES"/>
        </w:rPr>
      </w:pPr>
      <w:r w:rsidRPr="0008748A">
        <w:rPr>
          <w:rFonts w:asciiTheme="majorHAnsi" w:hAnsiTheme="majorHAnsi"/>
          <w:sz w:val="16"/>
          <w:szCs w:val="16"/>
          <w:lang w:val="es-ES"/>
        </w:rPr>
        <w:tab/>
      </w:r>
      <w:r w:rsidRPr="0008748A">
        <w:rPr>
          <w:rStyle w:val="FootnoteReference"/>
          <w:rFonts w:asciiTheme="majorHAnsi" w:hAnsiTheme="majorHAnsi"/>
          <w:sz w:val="16"/>
          <w:szCs w:val="16"/>
        </w:rPr>
        <w:footnoteRef/>
      </w:r>
      <w:r w:rsidRPr="0008748A">
        <w:rPr>
          <w:rFonts w:asciiTheme="majorHAnsi" w:hAnsiTheme="majorHAnsi"/>
          <w:sz w:val="16"/>
          <w:szCs w:val="16"/>
          <w:lang w:val="es-ES"/>
        </w:rPr>
        <w:t xml:space="preserve"> </w:t>
      </w:r>
      <w:r w:rsidRPr="0008748A">
        <w:rPr>
          <w:rFonts w:asciiTheme="majorHAnsi" w:hAnsiTheme="majorHAnsi" w:cs="Calibri"/>
          <w:sz w:val="16"/>
          <w:szCs w:val="16"/>
          <w:lang w:val="es-ES"/>
        </w:rPr>
        <w:t>CIDH, Informe No. 15/05, Petición 59-03. Admisibilidad. Carlos Escaleras Mejía. Honduras. 24 de febrero de 2005, párr. 31.</w:t>
      </w:r>
    </w:p>
  </w:footnote>
  <w:footnote w:id="18">
    <w:p w14:paraId="26C16E58" w14:textId="7FB895C3" w:rsidR="002A18F2" w:rsidRPr="0008748A" w:rsidRDefault="002A18F2" w:rsidP="0008748A">
      <w:pPr>
        <w:pStyle w:val="FootnoteText"/>
        <w:ind w:firstLine="720"/>
        <w:jc w:val="both"/>
        <w:rPr>
          <w:rFonts w:asciiTheme="majorHAnsi" w:hAnsiTheme="majorHAnsi"/>
          <w:sz w:val="16"/>
          <w:szCs w:val="16"/>
          <w:lang w:val="es-PA"/>
        </w:rPr>
      </w:pPr>
      <w:r w:rsidRPr="0008748A">
        <w:rPr>
          <w:rStyle w:val="FootnoteReference"/>
          <w:rFonts w:asciiTheme="majorHAnsi" w:hAnsiTheme="majorHAnsi"/>
          <w:sz w:val="16"/>
          <w:szCs w:val="16"/>
        </w:rPr>
        <w:footnoteRef/>
      </w:r>
      <w:r w:rsidRPr="0008748A">
        <w:rPr>
          <w:rFonts w:asciiTheme="majorHAnsi" w:hAnsiTheme="majorHAnsi"/>
          <w:sz w:val="16"/>
          <w:szCs w:val="16"/>
          <w:lang w:val="es-PA"/>
        </w:rPr>
        <w:t xml:space="preserve"> </w:t>
      </w:r>
      <w:r w:rsidR="0008748A">
        <w:rPr>
          <w:rFonts w:asciiTheme="majorHAnsi" w:hAnsiTheme="majorHAnsi"/>
          <w:sz w:val="16"/>
          <w:szCs w:val="16"/>
          <w:lang w:val="es-PA"/>
        </w:rPr>
        <w:t xml:space="preserve">Corte I.D.H. Sentencia </w:t>
      </w:r>
      <w:proofErr w:type="spellStart"/>
      <w:r w:rsidR="0008748A">
        <w:rPr>
          <w:rFonts w:asciiTheme="majorHAnsi" w:hAnsiTheme="majorHAnsi"/>
          <w:sz w:val="16"/>
          <w:szCs w:val="16"/>
          <w:lang w:val="es-PA"/>
        </w:rPr>
        <w:t>Yarce</w:t>
      </w:r>
      <w:proofErr w:type="spellEnd"/>
      <w:r w:rsidR="0008748A">
        <w:rPr>
          <w:rFonts w:asciiTheme="majorHAnsi" w:hAnsiTheme="majorHAnsi"/>
          <w:sz w:val="16"/>
          <w:szCs w:val="16"/>
          <w:lang w:val="es-PA"/>
        </w:rPr>
        <w:t xml:space="preserve"> y otras, párr. 246. </w:t>
      </w:r>
    </w:p>
  </w:footnote>
  <w:footnote w:id="19">
    <w:p w14:paraId="0B44AE95" w14:textId="7887F425" w:rsidR="002A18F2" w:rsidRPr="0008748A" w:rsidRDefault="002A18F2" w:rsidP="0008748A">
      <w:pPr>
        <w:pStyle w:val="FootnoteText"/>
        <w:ind w:firstLine="720"/>
        <w:jc w:val="both"/>
        <w:rPr>
          <w:rFonts w:asciiTheme="majorHAnsi" w:hAnsiTheme="majorHAnsi"/>
          <w:sz w:val="16"/>
          <w:szCs w:val="16"/>
          <w:lang w:val="es-PA"/>
        </w:rPr>
      </w:pPr>
      <w:r w:rsidRPr="0008748A">
        <w:rPr>
          <w:rStyle w:val="FootnoteReference"/>
          <w:rFonts w:asciiTheme="majorHAnsi" w:hAnsiTheme="majorHAnsi"/>
          <w:sz w:val="16"/>
          <w:szCs w:val="16"/>
        </w:rPr>
        <w:footnoteRef/>
      </w:r>
      <w:r w:rsidR="0008748A" w:rsidRPr="0008748A">
        <w:rPr>
          <w:rFonts w:asciiTheme="majorHAnsi" w:hAnsiTheme="majorHAnsi"/>
          <w:sz w:val="16"/>
          <w:szCs w:val="16"/>
          <w:lang w:val="es-PA"/>
        </w:rPr>
        <w:t xml:space="preserve"> Corte I.D.H., Caso de las Masacres de </w:t>
      </w:r>
      <w:proofErr w:type="spellStart"/>
      <w:r w:rsidR="0008748A" w:rsidRPr="0008748A">
        <w:rPr>
          <w:rFonts w:asciiTheme="majorHAnsi" w:hAnsiTheme="majorHAnsi"/>
          <w:sz w:val="16"/>
          <w:szCs w:val="16"/>
          <w:lang w:val="es-PA"/>
        </w:rPr>
        <w:t>Ituango</w:t>
      </w:r>
      <w:proofErr w:type="spellEnd"/>
      <w:r w:rsidR="0008748A" w:rsidRPr="0008748A">
        <w:rPr>
          <w:rFonts w:asciiTheme="majorHAnsi" w:hAnsiTheme="majorHAnsi"/>
          <w:sz w:val="16"/>
          <w:szCs w:val="16"/>
          <w:lang w:val="es-PA"/>
        </w:rPr>
        <w:t xml:space="preserve"> vs. Colombia. Sentencia. 1 de julio de 2016, párr. </w:t>
      </w:r>
      <w:r w:rsidR="0008748A">
        <w:rPr>
          <w:rFonts w:asciiTheme="majorHAnsi" w:hAnsiTheme="majorHAnsi"/>
          <w:sz w:val="16"/>
          <w:szCs w:val="16"/>
          <w:lang w:val="es-PA"/>
        </w:rPr>
        <w:t>182</w:t>
      </w:r>
    </w:p>
  </w:footnote>
  <w:footnote w:id="20">
    <w:p w14:paraId="07780D14" w14:textId="77777777" w:rsidR="001A2CD0" w:rsidRPr="0008748A" w:rsidRDefault="001A2CD0" w:rsidP="0008748A">
      <w:pPr>
        <w:pStyle w:val="FootnoteText"/>
        <w:ind w:firstLine="720"/>
        <w:jc w:val="both"/>
        <w:rPr>
          <w:rFonts w:asciiTheme="majorHAnsi" w:hAnsiTheme="majorHAnsi"/>
          <w:sz w:val="16"/>
          <w:szCs w:val="16"/>
          <w:lang w:val="es-PA"/>
        </w:rPr>
      </w:pPr>
      <w:r w:rsidRPr="0008748A">
        <w:rPr>
          <w:rStyle w:val="FootnoteReference"/>
          <w:rFonts w:asciiTheme="majorHAnsi" w:hAnsiTheme="majorHAnsi"/>
          <w:sz w:val="16"/>
          <w:szCs w:val="16"/>
        </w:rPr>
        <w:footnoteRef/>
      </w:r>
      <w:r w:rsidRPr="0008748A">
        <w:rPr>
          <w:rFonts w:asciiTheme="majorHAnsi" w:hAnsiTheme="majorHAnsi"/>
          <w:sz w:val="16"/>
          <w:szCs w:val="16"/>
          <w:lang w:val="es-PA"/>
        </w:rPr>
        <w:t xml:space="preserve"> CIDH, Informe No. 48/08. </w:t>
      </w:r>
      <w:proofErr w:type="spellStart"/>
      <w:r w:rsidRPr="0008748A">
        <w:rPr>
          <w:rFonts w:asciiTheme="majorHAnsi" w:hAnsiTheme="majorHAnsi"/>
          <w:sz w:val="16"/>
          <w:szCs w:val="16"/>
          <w:lang w:val="es-ES"/>
        </w:rPr>
        <w:t>Adm</w:t>
      </w:r>
      <w:r w:rsidRPr="0008748A">
        <w:rPr>
          <w:rFonts w:asciiTheme="majorHAnsi" w:hAnsiTheme="majorHAnsi"/>
          <w:sz w:val="16"/>
          <w:szCs w:val="16"/>
          <w:lang w:val="es-ES_tradnl"/>
        </w:rPr>
        <w:t>isibilidad</w:t>
      </w:r>
      <w:proofErr w:type="spellEnd"/>
      <w:r w:rsidRPr="0008748A">
        <w:rPr>
          <w:rFonts w:asciiTheme="majorHAnsi" w:hAnsiTheme="majorHAnsi"/>
          <w:sz w:val="16"/>
          <w:szCs w:val="16"/>
          <w:lang w:val="es-ES_tradnl"/>
        </w:rPr>
        <w:t xml:space="preserve">. </w:t>
      </w:r>
      <w:proofErr w:type="spellStart"/>
      <w:r w:rsidRPr="0008748A">
        <w:rPr>
          <w:rFonts w:asciiTheme="majorHAnsi" w:hAnsiTheme="majorHAnsi"/>
          <w:sz w:val="16"/>
          <w:szCs w:val="16"/>
          <w:lang w:val="es-ES_tradnl"/>
        </w:rPr>
        <w:t>Mirey</w:t>
      </w:r>
      <w:proofErr w:type="spellEnd"/>
      <w:r w:rsidRPr="0008748A">
        <w:rPr>
          <w:rFonts w:asciiTheme="majorHAnsi" w:hAnsiTheme="majorHAnsi"/>
          <w:sz w:val="16"/>
          <w:szCs w:val="16"/>
          <w:lang w:val="es-ES_tradnl"/>
        </w:rPr>
        <w:t xml:space="preserve"> Trueba Arciniega. México. </w:t>
      </w:r>
      <w:r w:rsidRPr="0008748A">
        <w:rPr>
          <w:rFonts w:asciiTheme="majorHAnsi" w:hAnsiTheme="majorHAnsi"/>
          <w:sz w:val="16"/>
          <w:szCs w:val="16"/>
          <w:lang w:val="es-ES"/>
        </w:rPr>
        <w:t>24 de julio de 2008, párrafo 56; CIDH, Informe No. 55/08. Admisibilidad. Trabajadores Despedidos de la Empresa Nacional de Puertos S.A. (ENAPU). Perú. 24 de julio de 2008, párrafo 46.</w:t>
      </w:r>
    </w:p>
  </w:footnote>
  <w:footnote w:id="21">
    <w:p w14:paraId="1E942867" w14:textId="5F85D24F" w:rsidR="00644E58" w:rsidRPr="0008748A" w:rsidRDefault="00644E58" w:rsidP="0008748A">
      <w:pPr>
        <w:pStyle w:val="FootnoteText"/>
        <w:ind w:firstLine="720"/>
        <w:jc w:val="both"/>
        <w:rPr>
          <w:rFonts w:asciiTheme="majorHAnsi" w:hAnsiTheme="majorHAnsi"/>
          <w:sz w:val="16"/>
          <w:szCs w:val="16"/>
          <w:lang w:val="es-PA"/>
        </w:rPr>
      </w:pPr>
      <w:r w:rsidRPr="0008748A">
        <w:rPr>
          <w:rStyle w:val="FootnoteReference"/>
          <w:rFonts w:asciiTheme="majorHAnsi" w:hAnsiTheme="majorHAnsi"/>
          <w:sz w:val="16"/>
          <w:szCs w:val="16"/>
        </w:rPr>
        <w:footnoteRef/>
      </w:r>
      <w:r w:rsidRPr="0008748A">
        <w:rPr>
          <w:rFonts w:asciiTheme="majorHAnsi" w:hAnsiTheme="majorHAnsi"/>
          <w:sz w:val="16"/>
          <w:szCs w:val="16"/>
          <w:lang w:val="es-PA"/>
        </w:rPr>
        <w:t xml:space="preserve"> CIDH, Informe No. 134/20. Petición 390-08. Admisibilidad. Yadira </w:t>
      </w:r>
      <w:proofErr w:type="spellStart"/>
      <w:r w:rsidRPr="0008748A">
        <w:rPr>
          <w:rFonts w:asciiTheme="majorHAnsi" w:hAnsiTheme="majorHAnsi"/>
          <w:sz w:val="16"/>
          <w:szCs w:val="16"/>
          <w:lang w:val="es-PA"/>
        </w:rPr>
        <w:t>Emilse</w:t>
      </w:r>
      <w:proofErr w:type="spellEnd"/>
      <w:r w:rsidRPr="0008748A">
        <w:rPr>
          <w:rFonts w:asciiTheme="majorHAnsi" w:hAnsiTheme="majorHAnsi"/>
          <w:sz w:val="16"/>
          <w:szCs w:val="16"/>
          <w:lang w:val="es-PA"/>
        </w:rPr>
        <w:t xml:space="preserve"> Penagos Vega y familia. </w:t>
      </w:r>
      <w:r w:rsidRPr="0008748A">
        <w:rPr>
          <w:rFonts w:asciiTheme="majorHAnsi" w:hAnsiTheme="majorHAnsi"/>
          <w:sz w:val="16"/>
          <w:szCs w:val="16"/>
          <w:lang w:val="es-US"/>
        </w:rPr>
        <w:t>Colombia. 9 de junio de 2020</w:t>
      </w:r>
    </w:p>
  </w:footnote>
  <w:footnote w:id="22">
    <w:p w14:paraId="441C1AF2" w14:textId="77777777" w:rsidR="00761FB9" w:rsidRPr="00C5191D" w:rsidRDefault="00761FB9" w:rsidP="0008748A">
      <w:pPr>
        <w:pStyle w:val="FootnoteText"/>
        <w:ind w:firstLine="720"/>
        <w:jc w:val="both"/>
        <w:rPr>
          <w:rFonts w:ascii="Cambria" w:hAnsi="Cambria"/>
          <w:sz w:val="16"/>
          <w:szCs w:val="16"/>
          <w:lang w:val="es-ES"/>
        </w:rPr>
      </w:pPr>
      <w:r w:rsidRPr="0008748A">
        <w:rPr>
          <w:rStyle w:val="FootnoteReference"/>
          <w:rFonts w:asciiTheme="majorHAnsi" w:hAnsiTheme="majorHAnsi"/>
          <w:sz w:val="16"/>
          <w:szCs w:val="16"/>
        </w:rPr>
        <w:footnoteRef/>
      </w:r>
      <w:r w:rsidRPr="0008748A">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B5680D" w:rsidRDefault="00B5680D"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5680D" w:rsidRDefault="00B56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B5680D" w:rsidRDefault="00B5680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5680D" w:rsidRPr="00EC7D62" w:rsidRDefault="00F30B6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4BF5" w14:textId="77777777" w:rsidR="00031F89" w:rsidRDefault="00031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977205E"/>
    <w:multiLevelType w:val="hybridMultilevel"/>
    <w:tmpl w:val="F6408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47"/>
  </w:num>
  <w:num w:numId="62">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056"/>
    <w:rsid w:val="0000036F"/>
    <w:rsid w:val="00000CDA"/>
    <w:rsid w:val="0000249E"/>
    <w:rsid w:val="00003321"/>
    <w:rsid w:val="00004713"/>
    <w:rsid w:val="000065D0"/>
    <w:rsid w:val="00006B74"/>
    <w:rsid w:val="00006E1F"/>
    <w:rsid w:val="000070D7"/>
    <w:rsid w:val="000104F5"/>
    <w:rsid w:val="00015701"/>
    <w:rsid w:val="00016406"/>
    <w:rsid w:val="000173E6"/>
    <w:rsid w:val="0001788C"/>
    <w:rsid w:val="0002186F"/>
    <w:rsid w:val="000251CA"/>
    <w:rsid w:val="00031F89"/>
    <w:rsid w:val="000337EF"/>
    <w:rsid w:val="00034010"/>
    <w:rsid w:val="00040C3A"/>
    <w:rsid w:val="000419AD"/>
    <w:rsid w:val="0004364E"/>
    <w:rsid w:val="00060649"/>
    <w:rsid w:val="00064191"/>
    <w:rsid w:val="000716C5"/>
    <w:rsid w:val="00075E23"/>
    <w:rsid w:val="00086E72"/>
    <w:rsid w:val="0008748A"/>
    <w:rsid w:val="00087D19"/>
    <w:rsid w:val="0009006E"/>
    <w:rsid w:val="00092F44"/>
    <w:rsid w:val="0009344A"/>
    <w:rsid w:val="000939EF"/>
    <w:rsid w:val="00095CFE"/>
    <w:rsid w:val="000A19F8"/>
    <w:rsid w:val="000A3254"/>
    <w:rsid w:val="000A392E"/>
    <w:rsid w:val="000A575F"/>
    <w:rsid w:val="000A63D0"/>
    <w:rsid w:val="000B0579"/>
    <w:rsid w:val="000B0E49"/>
    <w:rsid w:val="000B6A1B"/>
    <w:rsid w:val="000B6A31"/>
    <w:rsid w:val="000B7DFB"/>
    <w:rsid w:val="000C1C69"/>
    <w:rsid w:val="000C3A31"/>
    <w:rsid w:val="000D10DB"/>
    <w:rsid w:val="000D6148"/>
    <w:rsid w:val="000E2789"/>
    <w:rsid w:val="000E5EB5"/>
    <w:rsid w:val="000F0B08"/>
    <w:rsid w:val="000F35ED"/>
    <w:rsid w:val="000F76C1"/>
    <w:rsid w:val="00104500"/>
    <w:rsid w:val="00107009"/>
    <w:rsid w:val="00107131"/>
    <w:rsid w:val="0010736F"/>
    <w:rsid w:val="001110FB"/>
    <w:rsid w:val="00111961"/>
    <w:rsid w:val="00111A8A"/>
    <w:rsid w:val="00112F93"/>
    <w:rsid w:val="00113F73"/>
    <w:rsid w:val="00121CC2"/>
    <w:rsid w:val="00124CFE"/>
    <w:rsid w:val="0012779F"/>
    <w:rsid w:val="00131D8B"/>
    <w:rsid w:val="00133CB8"/>
    <w:rsid w:val="00133EE5"/>
    <w:rsid w:val="00136E3D"/>
    <w:rsid w:val="00143EFE"/>
    <w:rsid w:val="001479C0"/>
    <w:rsid w:val="00151F08"/>
    <w:rsid w:val="00153012"/>
    <w:rsid w:val="0015330B"/>
    <w:rsid w:val="0015647F"/>
    <w:rsid w:val="00161278"/>
    <w:rsid w:val="00167A34"/>
    <w:rsid w:val="00175CDF"/>
    <w:rsid w:val="00176BB3"/>
    <w:rsid w:val="00177EEF"/>
    <w:rsid w:val="00186D2C"/>
    <w:rsid w:val="00187E3D"/>
    <w:rsid w:val="00190317"/>
    <w:rsid w:val="001A0935"/>
    <w:rsid w:val="001A2CD0"/>
    <w:rsid w:val="001A3E48"/>
    <w:rsid w:val="001A6683"/>
    <w:rsid w:val="001A7870"/>
    <w:rsid w:val="001B1621"/>
    <w:rsid w:val="001B27B9"/>
    <w:rsid w:val="001B3A00"/>
    <w:rsid w:val="001B442A"/>
    <w:rsid w:val="001B4C00"/>
    <w:rsid w:val="001C1455"/>
    <w:rsid w:val="001C1B41"/>
    <w:rsid w:val="001C4039"/>
    <w:rsid w:val="001C7910"/>
    <w:rsid w:val="001D65EF"/>
    <w:rsid w:val="001E1067"/>
    <w:rsid w:val="001E49E7"/>
    <w:rsid w:val="001F11C7"/>
    <w:rsid w:val="001F271B"/>
    <w:rsid w:val="001F371D"/>
    <w:rsid w:val="001F7201"/>
    <w:rsid w:val="00204931"/>
    <w:rsid w:val="0020691D"/>
    <w:rsid w:val="00211731"/>
    <w:rsid w:val="00211BDA"/>
    <w:rsid w:val="0021779A"/>
    <w:rsid w:val="002207F6"/>
    <w:rsid w:val="00223A29"/>
    <w:rsid w:val="00223BAA"/>
    <w:rsid w:val="002250A3"/>
    <w:rsid w:val="00226222"/>
    <w:rsid w:val="00231294"/>
    <w:rsid w:val="00233654"/>
    <w:rsid w:val="00235217"/>
    <w:rsid w:val="002355A9"/>
    <w:rsid w:val="00241813"/>
    <w:rsid w:val="002435FF"/>
    <w:rsid w:val="002458C4"/>
    <w:rsid w:val="00246D1F"/>
    <w:rsid w:val="00247403"/>
    <w:rsid w:val="00247542"/>
    <w:rsid w:val="0025012E"/>
    <w:rsid w:val="00257CF9"/>
    <w:rsid w:val="00266B61"/>
    <w:rsid w:val="0026712A"/>
    <w:rsid w:val="002704DB"/>
    <w:rsid w:val="0027320E"/>
    <w:rsid w:val="00274AB7"/>
    <w:rsid w:val="00277BDA"/>
    <w:rsid w:val="00285F17"/>
    <w:rsid w:val="00285FC7"/>
    <w:rsid w:val="0029575A"/>
    <w:rsid w:val="002A0AAE"/>
    <w:rsid w:val="002A18F2"/>
    <w:rsid w:val="002A5820"/>
    <w:rsid w:val="002A6BA5"/>
    <w:rsid w:val="002C1501"/>
    <w:rsid w:val="002C3350"/>
    <w:rsid w:val="002D2B26"/>
    <w:rsid w:val="002D7750"/>
    <w:rsid w:val="002D7EA2"/>
    <w:rsid w:val="002E187C"/>
    <w:rsid w:val="002E6E36"/>
    <w:rsid w:val="002E7512"/>
    <w:rsid w:val="002F0CBF"/>
    <w:rsid w:val="002F3724"/>
    <w:rsid w:val="002F7DE7"/>
    <w:rsid w:val="00300C13"/>
    <w:rsid w:val="00302733"/>
    <w:rsid w:val="00303315"/>
    <w:rsid w:val="003077BF"/>
    <w:rsid w:val="003121D5"/>
    <w:rsid w:val="00314078"/>
    <w:rsid w:val="0031535D"/>
    <w:rsid w:val="00316131"/>
    <w:rsid w:val="0032049F"/>
    <w:rsid w:val="003207C9"/>
    <w:rsid w:val="003239B8"/>
    <w:rsid w:val="0033169F"/>
    <w:rsid w:val="00334FB0"/>
    <w:rsid w:val="00341105"/>
    <w:rsid w:val="0034224A"/>
    <w:rsid w:val="00343112"/>
    <w:rsid w:val="00343438"/>
    <w:rsid w:val="00344977"/>
    <w:rsid w:val="00346C95"/>
    <w:rsid w:val="00351155"/>
    <w:rsid w:val="00356185"/>
    <w:rsid w:val="00360380"/>
    <w:rsid w:val="0036066B"/>
    <w:rsid w:val="00363DB6"/>
    <w:rsid w:val="00367D17"/>
    <w:rsid w:val="003725BC"/>
    <w:rsid w:val="0037519E"/>
    <w:rsid w:val="00377636"/>
    <w:rsid w:val="003843E5"/>
    <w:rsid w:val="00386C6C"/>
    <w:rsid w:val="00386CF0"/>
    <w:rsid w:val="00390E12"/>
    <w:rsid w:val="003942EC"/>
    <w:rsid w:val="00396562"/>
    <w:rsid w:val="0039714C"/>
    <w:rsid w:val="003A6337"/>
    <w:rsid w:val="003B4FF6"/>
    <w:rsid w:val="003B5585"/>
    <w:rsid w:val="003B70FB"/>
    <w:rsid w:val="003C20FF"/>
    <w:rsid w:val="003C4F45"/>
    <w:rsid w:val="003C6112"/>
    <w:rsid w:val="003C676B"/>
    <w:rsid w:val="003C7487"/>
    <w:rsid w:val="003D0A55"/>
    <w:rsid w:val="003D3BC2"/>
    <w:rsid w:val="003D5200"/>
    <w:rsid w:val="003E0DC1"/>
    <w:rsid w:val="003E2134"/>
    <w:rsid w:val="003E3DC8"/>
    <w:rsid w:val="003E614F"/>
    <w:rsid w:val="003E6CA1"/>
    <w:rsid w:val="003F40B5"/>
    <w:rsid w:val="00400F5E"/>
    <w:rsid w:val="00403D52"/>
    <w:rsid w:val="00403E71"/>
    <w:rsid w:val="004065A8"/>
    <w:rsid w:val="004153F5"/>
    <w:rsid w:val="004165C2"/>
    <w:rsid w:val="00425533"/>
    <w:rsid w:val="004304AD"/>
    <w:rsid w:val="00434A3E"/>
    <w:rsid w:val="0043799F"/>
    <w:rsid w:val="00441ECB"/>
    <w:rsid w:val="004435A3"/>
    <w:rsid w:val="00445193"/>
    <w:rsid w:val="00447AE4"/>
    <w:rsid w:val="00447CCF"/>
    <w:rsid w:val="0045229A"/>
    <w:rsid w:val="004565BA"/>
    <w:rsid w:val="004601CF"/>
    <w:rsid w:val="00462C1B"/>
    <w:rsid w:val="00467547"/>
    <w:rsid w:val="00467B7E"/>
    <w:rsid w:val="0047080D"/>
    <w:rsid w:val="00473BB4"/>
    <w:rsid w:val="00476211"/>
    <w:rsid w:val="00477592"/>
    <w:rsid w:val="00486F1C"/>
    <w:rsid w:val="0049419D"/>
    <w:rsid w:val="00496FE9"/>
    <w:rsid w:val="004A59CC"/>
    <w:rsid w:val="004A6A54"/>
    <w:rsid w:val="004A75A1"/>
    <w:rsid w:val="004B245C"/>
    <w:rsid w:val="004B50A0"/>
    <w:rsid w:val="004C0323"/>
    <w:rsid w:val="004C20D2"/>
    <w:rsid w:val="004C2312"/>
    <w:rsid w:val="004C3A7D"/>
    <w:rsid w:val="004C4B62"/>
    <w:rsid w:val="004C54C9"/>
    <w:rsid w:val="004C616A"/>
    <w:rsid w:val="004C731B"/>
    <w:rsid w:val="004D33D4"/>
    <w:rsid w:val="004D4ABA"/>
    <w:rsid w:val="004D4DEE"/>
    <w:rsid w:val="004D6025"/>
    <w:rsid w:val="004E19B1"/>
    <w:rsid w:val="004E2649"/>
    <w:rsid w:val="004E5467"/>
    <w:rsid w:val="004E792B"/>
    <w:rsid w:val="004F2474"/>
    <w:rsid w:val="004F2F5D"/>
    <w:rsid w:val="00501399"/>
    <w:rsid w:val="00501652"/>
    <w:rsid w:val="005019EF"/>
    <w:rsid w:val="0050633D"/>
    <w:rsid w:val="00507BC4"/>
    <w:rsid w:val="005128E4"/>
    <w:rsid w:val="005133DB"/>
    <w:rsid w:val="005141C6"/>
    <w:rsid w:val="00520F03"/>
    <w:rsid w:val="00525560"/>
    <w:rsid w:val="00534ED4"/>
    <w:rsid w:val="005415E6"/>
    <w:rsid w:val="00544216"/>
    <w:rsid w:val="00544C49"/>
    <w:rsid w:val="005516A1"/>
    <w:rsid w:val="005565AF"/>
    <w:rsid w:val="00563557"/>
    <w:rsid w:val="00567B31"/>
    <w:rsid w:val="0057402A"/>
    <w:rsid w:val="00574CB7"/>
    <w:rsid w:val="005771D0"/>
    <w:rsid w:val="0059191A"/>
    <w:rsid w:val="005921FF"/>
    <w:rsid w:val="00594707"/>
    <w:rsid w:val="0059565D"/>
    <w:rsid w:val="005A24ED"/>
    <w:rsid w:val="005A6C02"/>
    <w:rsid w:val="005A6D0E"/>
    <w:rsid w:val="005B00F5"/>
    <w:rsid w:val="005B37CC"/>
    <w:rsid w:val="005B52B0"/>
    <w:rsid w:val="005B6806"/>
    <w:rsid w:val="005B6D22"/>
    <w:rsid w:val="005C261A"/>
    <w:rsid w:val="005C4225"/>
    <w:rsid w:val="005C7989"/>
    <w:rsid w:val="005D13F3"/>
    <w:rsid w:val="005D4EBD"/>
    <w:rsid w:val="005D66AD"/>
    <w:rsid w:val="005E0B65"/>
    <w:rsid w:val="005E11B2"/>
    <w:rsid w:val="005E4C8B"/>
    <w:rsid w:val="005F0DAD"/>
    <w:rsid w:val="005F0F33"/>
    <w:rsid w:val="005F2E60"/>
    <w:rsid w:val="00600DEB"/>
    <w:rsid w:val="00604CA5"/>
    <w:rsid w:val="006062FA"/>
    <w:rsid w:val="00606364"/>
    <w:rsid w:val="006068B7"/>
    <w:rsid w:val="00611CED"/>
    <w:rsid w:val="00615248"/>
    <w:rsid w:val="00616DD1"/>
    <w:rsid w:val="0061708C"/>
    <w:rsid w:val="00623A34"/>
    <w:rsid w:val="006274F5"/>
    <w:rsid w:val="006277DE"/>
    <w:rsid w:val="00627C9F"/>
    <w:rsid w:val="006311E9"/>
    <w:rsid w:val="00632354"/>
    <w:rsid w:val="00642810"/>
    <w:rsid w:val="00644E58"/>
    <w:rsid w:val="00647756"/>
    <w:rsid w:val="006509DA"/>
    <w:rsid w:val="00652333"/>
    <w:rsid w:val="00654344"/>
    <w:rsid w:val="0066069F"/>
    <w:rsid w:val="00662E2F"/>
    <w:rsid w:val="0066550E"/>
    <w:rsid w:val="00670BF9"/>
    <w:rsid w:val="006775AB"/>
    <w:rsid w:val="0068009E"/>
    <w:rsid w:val="006819E9"/>
    <w:rsid w:val="00686471"/>
    <w:rsid w:val="0068794B"/>
    <w:rsid w:val="0069157D"/>
    <w:rsid w:val="00691BBE"/>
    <w:rsid w:val="00692219"/>
    <w:rsid w:val="006928C1"/>
    <w:rsid w:val="0069402E"/>
    <w:rsid w:val="006A17D2"/>
    <w:rsid w:val="006A36BB"/>
    <w:rsid w:val="006A4D7E"/>
    <w:rsid w:val="006A73E6"/>
    <w:rsid w:val="006B1B8B"/>
    <w:rsid w:val="006B23DC"/>
    <w:rsid w:val="006B29DD"/>
    <w:rsid w:val="006B2D5C"/>
    <w:rsid w:val="006B2EE8"/>
    <w:rsid w:val="006B5A72"/>
    <w:rsid w:val="006B7694"/>
    <w:rsid w:val="006C07E0"/>
    <w:rsid w:val="006C4EB1"/>
    <w:rsid w:val="006D016F"/>
    <w:rsid w:val="006E0166"/>
    <w:rsid w:val="006E4E96"/>
    <w:rsid w:val="006E772A"/>
    <w:rsid w:val="006E7B34"/>
    <w:rsid w:val="006E7B92"/>
    <w:rsid w:val="006F551A"/>
    <w:rsid w:val="006F73BE"/>
    <w:rsid w:val="007044E1"/>
    <w:rsid w:val="00706189"/>
    <w:rsid w:val="0070697F"/>
    <w:rsid w:val="00717E65"/>
    <w:rsid w:val="0072199C"/>
    <w:rsid w:val="00722C9F"/>
    <w:rsid w:val="00722E22"/>
    <w:rsid w:val="007253B8"/>
    <w:rsid w:val="00727B0E"/>
    <w:rsid w:val="0073036F"/>
    <w:rsid w:val="00731F35"/>
    <w:rsid w:val="00732C96"/>
    <w:rsid w:val="0073598C"/>
    <w:rsid w:val="00735A5E"/>
    <w:rsid w:val="0073741F"/>
    <w:rsid w:val="00761FB9"/>
    <w:rsid w:val="0076643F"/>
    <w:rsid w:val="00777F63"/>
    <w:rsid w:val="00780E49"/>
    <w:rsid w:val="007852B5"/>
    <w:rsid w:val="007912C8"/>
    <w:rsid w:val="007931F4"/>
    <w:rsid w:val="00796A37"/>
    <w:rsid w:val="007A1A9A"/>
    <w:rsid w:val="007A5817"/>
    <w:rsid w:val="007A5D4C"/>
    <w:rsid w:val="007B05C4"/>
    <w:rsid w:val="007B11C8"/>
    <w:rsid w:val="007B3BF9"/>
    <w:rsid w:val="007B60E9"/>
    <w:rsid w:val="007B6CC3"/>
    <w:rsid w:val="007C3334"/>
    <w:rsid w:val="007C402A"/>
    <w:rsid w:val="007C5E01"/>
    <w:rsid w:val="007D2B57"/>
    <w:rsid w:val="007D2B98"/>
    <w:rsid w:val="007D7C02"/>
    <w:rsid w:val="007E21BC"/>
    <w:rsid w:val="007E411C"/>
    <w:rsid w:val="007E58FE"/>
    <w:rsid w:val="007E7C82"/>
    <w:rsid w:val="007F3ABA"/>
    <w:rsid w:val="007F54FB"/>
    <w:rsid w:val="007F588D"/>
    <w:rsid w:val="00802583"/>
    <w:rsid w:val="00802748"/>
    <w:rsid w:val="00803F1C"/>
    <w:rsid w:val="00805CB0"/>
    <w:rsid w:val="0080600E"/>
    <w:rsid w:val="00807E8C"/>
    <w:rsid w:val="0081089D"/>
    <w:rsid w:val="00815C77"/>
    <w:rsid w:val="00817612"/>
    <w:rsid w:val="00826756"/>
    <w:rsid w:val="00827C40"/>
    <w:rsid w:val="008338A4"/>
    <w:rsid w:val="00834D49"/>
    <w:rsid w:val="00837C45"/>
    <w:rsid w:val="008411F0"/>
    <w:rsid w:val="008428BE"/>
    <w:rsid w:val="008439BC"/>
    <w:rsid w:val="00844730"/>
    <w:rsid w:val="008448B6"/>
    <w:rsid w:val="008457C2"/>
    <w:rsid w:val="00851BF6"/>
    <w:rsid w:val="00857A82"/>
    <w:rsid w:val="008600A3"/>
    <w:rsid w:val="0086141D"/>
    <w:rsid w:val="00863E84"/>
    <w:rsid w:val="00870492"/>
    <w:rsid w:val="00870D95"/>
    <w:rsid w:val="00871359"/>
    <w:rsid w:val="00871526"/>
    <w:rsid w:val="00873836"/>
    <w:rsid w:val="00875668"/>
    <w:rsid w:val="008802DC"/>
    <w:rsid w:val="00881E7D"/>
    <w:rsid w:val="008856AB"/>
    <w:rsid w:val="00885737"/>
    <w:rsid w:val="00890650"/>
    <w:rsid w:val="00897E12"/>
    <w:rsid w:val="008A0F81"/>
    <w:rsid w:val="008A310C"/>
    <w:rsid w:val="008A3500"/>
    <w:rsid w:val="008A392C"/>
    <w:rsid w:val="008A7E0F"/>
    <w:rsid w:val="008B098F"/>
    <w:rsid w:val="008B12F5"/>
    <w:rsid w:val="008B5932"/>
    <w:rsid w:val="008C5751"/>
    <w:rsid w:val="008C73B3"/>
    <w:rsid w:val="008D02AD"/>
    <w:rsid w:val="008D768D"/>
    <w:rsid w:val="008E0FD8"/>
    <w:rsid w:val="008E2E79"/>
    <w:rsid w:val="008E328A"/>
    <w:rsid w:val="008E3759"/>
    <w:rsid w:val="008E3BFE"/>
    <w:rsid w:val="008E7900"/>
    <w:rsid w:val="008F1912"/>
    <w:rsid w:val="008F642D"/>
    <w:rsid w:val="00900FDF"/>
    <w:rsid w:val="0090270B"/>
    <w:rsid w:val="009041DC"/>
    <w:rsid w:val="009053E2"/>
    <w:rsid w:val="00910DE9"/>
    <w:rsid w:val="00911B3F"/>
    <w:rsid w:val="00917B5A"/>
    <w:rsid w:val="00920A58"/>
    <w:rsid w:val="00920A8C"/>
    <w:rsid w:val="00920AC1"/>
    <w:rsid w:val="00924F65"/>
    <w:rsid w:val="00934A2C"/>
    <w:rsid w:val="009354B0"/>
    <w:rsid w:val="00935F06"/>
    <w:rsid w:val="00937B3A"/>
    <w:rsid w:val="00943696"/>
    <w:rsid w:val="009452A9"/>
    <w:rsid w:val="00945886"/>
    <w:rsid w:val="00953D82"/>
    <w:rsid w:val="00954B82"/>
    <w:rsid w:val="00957000"/>
    <w:rsid w:val="00962436"/>
    <w:rsid w:val="0096706E"/>
    <w:rsid w:val="00974491"/>
    <w:rsid w:val="00975C4E"/>
    <w:rsid w:val="00977573"/>
    <w:rsid w:val="00981FBA"/>
    <w:rsid w:val="00984ACE"/>
    <w:rsid w:val="00991376"/>
    <w:rsid w:val="00997BC5"/>
    <w:rsid w:val="009A4F41"/>
    <w:rsid w:val="009B381B"/>
    <w:rsid w:val="009C2FC5"/>
    <w:rsid w:val="009D1753"/>
    <w:rsid w:val="009D38C6"/>
    <w:rsid w:val="009D4CF0"/>
    <w:rsid w:val="009D6502"/>
    <w:rsid w:val="009D7611"/>
    <w:rsid w:val="009D78A5"/>
    <w:rsid w:val="009E08DD"/>
    <w:rsid w:val="009E0B61"/>
    <w:rsid w:val="009E53DE"/>
    <w:rsid w:val="009E7C00"/>
    <w:rsid w:val="00A0691C"/>
    <w:rsid w:val="00A10480"/>
    <w:rsid w:val="00A11E44"/>
    <w:rsid w:val="00A154C8"/>
    <w:rsid w:val="00A22397"/>
    <w:rsid w:val="00A32313"/>
    <w:rsid w:val="00A328B3"/>
    <w:rsid w:val="00A42709"/>
    <w:rsid w:val="00A507C8"/>
    <w:rsid w:val="00A50FCF"/>
    <w:rsid w:val="00A528D1"/>
    <w:rsid w:val="00A563EE"/>
    <w:rsid w:val="00A610CD"/>
    <w:rsid w:val="00A625E0"/>
    <w:rsid w:val="00A74947"/>
    <w:rsid w:val="00A758AA"/>
    <w:rsid w:val="00A81CA1"/>
    <w:rsid w:val="00A87543"/>
    <w:rsid w:val="00A92093"/>
    <w:rsid w:val="00A929AA"/>
    <w:rsid w:val="00A92C05"/>
    <w:rsid w:val="00A93A60"/>
    <w:rsid w:val="00AA09A2"/>
    <w:rsid w:val="00AA19DA"/>
    <w:rsid w:val="00AA399C"/>
    <w:rsid w:val="00AA7996"/>
    <w:rsid w:val="00AB14BB"/>
    <w:rsid w:val="00AC0C79"/>
    <w:rsid w:val="00AC19CB"/>
    <w:rsid w:val="00AD1886"/>
    <w:rsid w:val="00AD7DC0"/>
    <w:rsid w:val="00AE5488"/>
    <w:rsid w:val="00AE6F91"/>
    <w:rsid w:val="00AE73BC"/>
    <w:rsid w:val="00AE7D49"/>
    <w:rsid w:val="00AF5571"/>
    <w:rsid w:val="00AF6123"/>
    <w:rsid w:val="00AF695E"/>
    <w:rsid w:val="00B066A5"/>
    <w:rsid w:val="00B06B4E"/>
    <w:rsid w:val="00B07341"/>
    <w:rsid w:val="00B10160"/>
    <w:rsid w:val="00B120C4"/>
    <w:rsid w:val="00B202B5"/>
    <w:rsid w:val="00B24B19"/>
    <w:rsid w:val="00B30099"/>
    <w:rsid w:val="00B30539"/>
    <w:rsid w:val="00B314DB"/>
    <w:rsid w:val="00B361F2"/>
    <w:rsid w:val="00B36FBE"/>
    <w:rsid w:val="00B3718B"/>
    <w:rsid w:val="00B403E3"/>
    <w:rsid w:val="00B41460"/>
    <w:rsid w:val="00B414C3"/>
    <w:rsid w:val="00B415FE"/>
    <w:rsid w:val="00B421E1"/>
    <w:rsid w:val="00B42FA4"/>
    <w:rsid w:val="00B4460D"/>
    <w:rsid w:val="00B45CC0"/>
    <w:rsid w:val="00B4632A"/>
    <w:rsid w:val="00B473A7"/>
    <w:rsid w:val="00B5067D"/>
    <w:rsid w:val="00B530F1"/>
    <w:rsid w:val="00B54338"/>
    <w:rsid w:val="00B543EC"/>
    <w:rsid w:val="00B5680D"/>
    <w:rsid w:val="00B57297"/>
    <w:rsid w:val="00B574CE"/>
    <w:rsid w:val="00B5798A"/>
    <w:rsid w:val="00B619C6"/>
    <w:rsid w:val="00B655BD"/>
    <w:rsid w:val="00B736AF"/>
    <w:rsid w:val="00B742BE"/>
    <w:rsid w:val="00B74BBE"/>
    <w:rsid w:val="00B83834"/>
    <w:rsid w:val="00B85E9F"/>
    <w:rsid w:val="00B87359"/>
    <w:rsid w:val="00B92D4A"/>
    <w:rsid w:val="00B97946"/>
    <w:rsid w:val="00BA1EAE"/>
    <w:rsid w:val="00BA276C"/>
    <w:rsid w:val="00BA5544"/>
    <w:rsid w:val="00BB0330"/>
    <w:rsid w:val="00BB306F"/>
    <w:rsid w:val="00BB3402"/>
    <w:rsid w:val="00BB3FBD"/>
    <w:rsid w:val="00BB472F"/>
    <w:rsid w:val="00BC0968"/>
    <w:rsid w:val="00BC6593"/>
    <w:rsid w:val="00BC6CD0"/>
    <w:rsid w:val="00BD4B89"/>
    <w:rsid w:val="00BD5922"/>
    <w:rsid w:val="00BD622A"/>
    <w:rsid w:val="00BD76D9"/>
    <w:rsid w:val="00BF02CB"/>
    <w:rsid w:val="00BF2178"/>
    <w:rsid w:val="00BF32A7"/>
    <w:rsid w:val="00BF514A"/>
    <w:rsid w:val="00BF6FD8"/>
    <w:rsid w:val="00BF775D"/>
    <w:rsid w:val="00C00A8C"/>
    <w:rsid w:val="00C03680"/>
    <w:rsid w:val="00C054DF"/>
    <w:rsid w:val="00C05D56"/>
    <w:rsid w:val="00C06EF7"/>
    <w:rsid w:val="00C10AFC"/>
    <w:rsid w:val="00C14DD9"/>
    <w:rsid w:val="00C21562"/>
    <w:rsid w:val="00C21762"/>
    <w:rsid w:val="00C21FEF"/>
    <w:rsid w:val="00C24543"/>
    <w:rsid w:val="00C256A2"/>
    <w:rsid w:val="00C308DF"/>
    <w:rsid w:val="00C35A26"/>
    <w:rsid w:val="00C35BE3"/>
    <w:rsid w:val="00C4317B"/>
    <w:rsid w:val="00C44FDD"/>
    <w:rsid w:val="00C51515"/>
    <w:rsid w:val="00C53619"/>
    <w:rsid w:val="00C53910"/>
    <w:rsid w:val="00C5660B"/>
    <w:rsid w:val="00C56854"/>
    <w:rsid w:val="00C56C7A"/>
    <w:rsid w:val="00C5788A"/>
    <w:rsid w:val="00C60E7E"/>
    <w:rsid w:val="00C66B72"/>
    <w:rsid w:val="00C70BA7"/>
    <w:rsid w:val="00C80B5A"/>
    <w:rsid w:val="00C87628"/>
    <w:rsid w:val="00C87AC4"/>
    <w:rsid w:val="00C903F9"/>
    <w:rsid w:val="00C9529A"/>
    <w:rsid w:val="00C9567A"/>
    <w:rsid w:val="00C97A5D"/>
    <w:rsid w:val="00CA275B"/>
    <w:rsid w:val="00CA48A3"/>
    <w:rsid w:val="00CB212D"/>
    <w:rsid w:val="00CB2660"/>
    <w:rsid w:val="00CC2409"/>
    <w:rsid w:val="00CC5E90"/>
    <w:rsid w:val="00CD03A0"/>
    <w:rsid w:val="00CD046C"/>
    <w:rsid w:val="00CD186A"/>
    <w:rsid w:val="00CE0020"/>
    <w:rsid w:val="00CE076C"/>
    <w:rsid w:val="00CE1BE0"/>
    <w:rsid w:val="00CE5199"/>
    <w:rsid w:val="00CE66D5"/>
    <w:rsid w:val="00CF637A"/>
    <w:rsid w:val="00D01897"/>
    <w:rsid w:val="00D059DE"/>
    <w:rsid w:val="00D05ABD"/>
    <w:rsid w:val="00D07A47"/>
    <w:rsid w:val="00D115B2"/>
    <w:rsid w:val="00D13FCE"/>
    <w:rsid w:val="00D17E8C"/>
    <w:rsid w:val="00D20237"/>
    <w:rsid w:val="00D21B18"/>
    <w:rsid w:val="00D21C09"/>
    <w:rsid w:val="00D22FBE"/>
    <w:rsid w:val="00D24AD4"/>
    <w:rsid w:val="00D306D1"/>
    <w:rsid w:val="00D30800"/>
    <w:rsid w:val="00D337B7"/>
    <w:rsid w:val="00D34786"/>
    <w:rsid w:val="00D37BFC"/>
    <w:rsid w:val="00D37FB9"/>
    <w:rsid w:val="00D40BDC"/>
    <w:rsid w:val="00D42822"/>
    <w:rsid w:val="00D43661"/>
    <w:rsid w:val="00D46A92"/>
    <w:rsid w:val="00D47A8E"/>
    <w:rsid w:val="00D52D14"/>
    <w:rsid w:val="00D55256"/>
    <w:rsid w:val="00D56D93"/>
    <w:rsid w:val="00D575BC"/>
    <w:rsid w:val="00D57A30"/>
    <w:rsid w:val="00D63E3B"/>
    <w:rsid w:val="00D712D3"/>
    <w:rsid w:val="00D71422"/>
    <w:rsid w:val="00D72DC6"/>
    <w:rsid w:val="00D73F5E"/>
    <w:rsid w:val="00D7558D"/>
    <w:rsid w:val="00D77503"/>
    <w:rsid w:val="00D81D92"/>
    <w:rsid w:val="00D876F9"/>
    <w:rsid w:val="00D877B6"/>
    <w:rsid w:val="00D93A90"/>
    <w:rsid w:val="00DA7B5F"/>
    <w:rsid w:val="00DB197B"/>
    <w:rsid w:val="00DB6D57"/>
    <w:rsid w:val="00DC0155"/>
    <w:rsid w:val="00DC0D76"/>
    <w:rsid w:val="00DC11E7"/>
    <w:rsid w:val="00DC39C3"/>
    <w:rsid w:val="00DC7023"/>
    <w:rsid w:val="00DC75D0"/>
    <w:rsid w:val="00DC769A"/>
    <w:rsid w:val="00DD061E"/>
    <w:rsid w:val="00DD151B"/>
    <w:rsid w:val="00DD3D86"/>
    <w:rsid w:val="00DE12F0"/>
    <w:rsid w:val="00DE7D78"/>
    <w:rsid w:val="00DF1745"/>
    <w:rsid w:val="00DF1EC4"/>
    <w:rsid w:val="00DF51E9"/>
    <w:rsid w:val="00DF54A0"/>
    <w:rsid w:val="00E01943"/>
    <w:rsid w:val="00E0340B"/>
    <w:rsid w:val="00E04A90"/>
    <w:rsid w:val="00E0551F"/>
    <w:rsid w:val="00E05D65"/>
    <w:rsid w:val="00E0695F"/>
    <w:rsid w:val="00E07937"/>
    <w:rsid w:val="00E07CB1"/>
    <w:rsid w:val="00E1204C"/>
    <w:rsid w:val="00E14D45"/>
    <w:rsid w:val="00E17C0A"/>
    <w:rsid w:val="00E219C7"/>
    <w:rsid w:val="00E25875"/>
    <w:rsid w:val="00E26CCA"/>
    <w:rsid w:val="00E27F56"/>
    <w:rsid w:val="00E3702D"/>
    <w:rsid w:val="00E4118C"/>
    <w:rsid w:val="00E43157"/>
    <w:rsid w:val="00E461CE"/>
    <w:rsid w:val="00E46AF9"/>
    <w:rsid w:val="00E51156"/>
    <w:rsid w:val="00E720CA"/>
    <w:rsid w:val="00E73010"/>
    <w:rsid w:val="00E81364"/>
    <w:rsid w:val="00E84EB5"/>
    <w:rsid w:val="00E85662"/>
    <w:rsid w:val="00E85D37"/>
    <w:rsid w:val="00E86C16"/>
    <w:rsid w:val="00E8789F"/>
    <w:rsid w:val="00E90973"/>
    <w:rsid w:val="00E9200C"/>
    <w:rsid w:val="00E92747"/>
    <w:rsid w:val="00E9525D"/>
    <w:rsid w:val="00E97B71"/>
    <w:rsid w:val="00EA3D34"/>
    <w:rsid w:val="00EA4E70"/>
    <w:rsid w:val="00EA4FA6"/>
    <w:rsid w:val="00EB3D55"/>
    <w:rsid w:val="00EB454D"/>
    <w:rsid w:val="00EC0810"/>
    <w:rsid w:val="00EC141C"/>
    <w:rsid w:val="00EC16CC"/>
    <w:rsid w:val="00EC26E9"/>
    <w:rsid w:val="00EC5D71"/>
    <w:rsid w:val="00EC72AB"/>
    <w:rsid w:val="00ED2F03"/>
    <w:rsid w:val="00ED4CBD"/>
    <w:rsid w:val="00ED549D"/>
    <w:rsid w:val="00ED76BE"/>
    <w:rsid w:val="00ED7F05"/>
    <w:rsid w:val="00EE00E9"/>
    <w:rsid w:val="00EE014D"/>
    <w:rsid w:val="00EE1764"/>
    <w:rsid w:val="00EF35AB"/>
    <w:rsid w:val="00EF4C44"/>
    <w:rsid w:val="00EF619B"/>
    <w:rsid w:val="00EF686F"/>
    <w:rsid w:val="00F00B55"/>
    <w:rsid w:val="00F02AD1"/>
    <w:rsid w:val="00F04591"/>
    <w:rsid w:val="00F06354"/>
    <w:rsid w:val="00F11019"/>
    <w:rsid w:val="00F11FBB"/>
    <w:rsid w:val="00F1747D"/>
    <w:rsid w:val="00F251B7"/>
    <w:rsid w:val="00F2521F"/>
    <w:rsid w:val="00F253CC"/>
    <w:rsid w:val="00F30B6D"/>
    <w:rsid w:val="00F332EF"/>
    <w:rsid w:val="00F3559E"/>
    <w:rsid w:val="00F37106"/>
    <w:rsid w:val="00F371C8"/>
    <w:rsid w:val="00F451DB"/>
    <w:rsid w:val="00F519CF"/>
    <w:rsid w:val="00F53168"/>
    <w:rsid w:val="00F547B9"/>
    <w:rsid w:val="00F54DA6"/>
    <w:rsid w:val="00F5508D"/>
    <w:rsid w:val="00F56BA5"/>
    <w:rsid w:val="00F60E22"/>
    <w:rsid w:val="00F63B39"/>
    <w:rsid w:val="00F648E7"/>
    <w:rsid w:val="00F65CE0"/>
    <w:rsid w:val="00F71FEE"/>
    <w:rsid w:val="00F7325F"/>
    <w:rsid w:val="00F81395"/>
    <w:rsid w:val="00F81887"/>
    <w:rsid w:val="00F81BB8"/>
    <w:rsid w:val="00F917D1"/>
    <w:rsid w:val="00F9342C"/>
    <w:rsid w:val="00F95068"/>
    <w:rsid w:val="00F9653B"/>
    <w:rsid w:val="00FA56EA"/>
    <w:rsid w:val="00FA5DB1"/>
    <w:rsid w:val="00FB62CF"/>
    <w:rsid w:val="00FC0649"/>
    <w:rsid w:val="00FC0F4A"/>
    <w:rsid w:val="00FC3330"/>
    <w:rsid w:val="00FC5576"/>
    <w:rsid w:val="00FC7608"/>
    <w:rsid w:val="00FD1986"/>
    <w:rsid w:val="00FD1C1D"/>
    <w:rsid w:val="00FD3C3B"/>
    <w:rsid w:val="00FD6A68"/>
    <w:rsid w:val="00FE07DD"/>
    <w:rsid w:val="00FE430E"/>
    <w:rsid w:val="00FE6B45"/>
    <w:rsid w:val="00FF27D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5301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798C-E237-499B-89FF-E8F8FD23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5537</Words>
  <Characters>29070</Characters>
  <Application>Microsoft Office Word</Application>
  <DocSecurity>0</DocSecurity>
  <Lines>510</Lines>
  <Paragraphs>129</Paragraphs>
  <ScaleCrop>false</ScaleCrop>
  <Company/>
  <LinksUpToDate>false</LinksUpToDate>
  <CharactersWithSpaces>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345/20</dc:title>
  <dc:creator/>
  <cp:lastModifiedBy/>
  <cp:revision>1</cp:revision>
  <dcterms:created xsi:type="dcterms:W3CDTF">2021-01-06T15:39:00Z</dcterms:created>
  <dcterms:modified xsi:type="dcterms:W3CDTF">2021-01-06T15:39:00Z</dcterms:modified>
</cp:coreProperties>
</file>