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5C" w:rsidRDefault="00974800">
      <w:pPr>
        <w:pStyle w:val="Body"/>
        <w:jc w:val="both"/>
        <w:rPr>
          <w:rFonts w:ascii="Cambria" w:eastAsia="Cambria" w:hAnsi="Cambria" w:cs="Cambria"/>
          <w:b/>
          <w:bCs/>
          <w:sz w:val="22"/>
          <w:szCs w:val="22"/>
        </w:rPr>
      </w:pPr>
      <w:bookmarkStart w:id="0" w:name="_GoBack"/>
      <w:bookmarkEnd w:id="0"/>
      <w:r>
        <w:rPr>
          <w:noProof/>
        </w:rPr>
        <w:drawing>
          <wp:anchor distT="0" distB="0" distL="114300" distR="114300" simplePos="0" relativeHeight="251669504" behindDoc="0" locked="0" layoutInCell="1" allowOverlap="1">
            <wp:simplePos x="0" y="0"/>
            <wp:positionH relativeFrom="column">
              <wp:posOffset>1257300</wp:posOffset>
            </wp:positionH>
            <wp:positionV relativeFrom="paragraph">
              <wp:posOffset>-341630</wp:posOffset>
            </wp:positionV>
            <wp:extent cx="2628900" cy="5048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anchor>
        </w:drawing>
      </w:r>
      <w:r w:rsidR="00FE01E2">
        <w:rPr>
          <w:noProof/>
        </w:rPr>
        <mc:AlternateContent>
          <mc:Choice Requires="wps">
            <w:drawing>
              <wp:anchor distT="0" distB="0" distL="0" distR="0" simplePos="0" relativeHeight="251659264" behindDoc="0" locked="0" layoutInCell="1" allowOverlap="1">
                <wp:simplePos x="0" y="0"/>
                <wp:positionH relativeFrom="column">
                  <wp:posOffset>-415925</wp:posOffset>
                </wp:positionH>
                <wp:positionV relativeFrom="line">
                  <wp:posOffset>-356870</wp:posOffset>
                </wp:positionV>
                <wp:extent cx="1409700" cy="897763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1"/>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2CC478A1" id="officeArt object" o:spid="_x0000_s1026" style="position:absolute;margin-left:-32.75pt;margin-top:-28.1pt;width:111pt;height:706.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" fillcolor="#4a7194" stroked="f" strokeweight="1pt">
                <v:stroke miterlimit="4"/>
                <w10:wrap anchory="line"/>
              </v:rect>
            </w:pict>
          </mc:Fallback>
        </mc:AlternateContent>
      </w:r>
      <w:r w:rsidR="00FE01E2">
        <w:rPr>
          <w:noProof/>
        </w:rPr>
        <mc:AlternateContent>
          <mc:Choice Requires="wps">
            <w:drawing>
              <wp:anchor distT="0" distB="0" distL="0" distR="0" simplePos="0" relativeHeight="251663360"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visibility:visible;position:absolute;margin-left:90.0pt;margin-top:-29.2pt;width:353.2pt;height:59.2pt;z-index:251663360;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rsidR="00FD775C" w:rsidRDefault="00FD775C">
      <w:pPr>
        <w:pStyle w:val="Body"/>
        <w:tabs>
          <w:tab w:val="center" w:pos="5400"/>
        </w:tabs>
        <w:suppressAutoHyphens/>
        <w:jc w:val="both"/>
        <w:rPr>
          <w:rFonts w:ascii="Cambria" w:eastAsia="Cambria" w:hAnsi="Cambria" w:cs="Cambria"/>
          <w:sz w:val="22"/>
          <w:szCs w:val="22"/>
          <w:lang w:val="es-ES_tradnl"/>
        </w:rPr>
      </w:pPr>
    </w:p>
    <w:p w:rsidR="00FD775C" w:rsidRDefault="00FD775C">
      <w:pPr>
        <w:pStyle w:val="Body"/>
        <w:tabs>
          <w:tab w:val="center" w:pos="5400"/>
        </w:tabs>
        <w:suppressAutoHyphens/>
        <w:jc w:val="both"/>
        <w:rPr>
          <w:rFonts w:ascii="Cambria" w:eastAsia="Cambria" w:hAnsi="Cambria" w:cs="Cambria"/>
          <w:sz w:val="22"/>
          <w:szCs w:val="22"/>
          <w:lang w:val="es-ES_tradnl"/>
        </w:rPr>
      </w:pPr>
    </w:p>
    <w:p w:rsidR="00FD775C" w:rsidRDefault="00FD775C">
      <w:pPr>
        <w:pStyle w:val="Body"/>
        <w:tabs>
          <w:tab w:val="center" w:pos="5400"/>
        </w:tabs>
        <w:suppressAutoHyphens/>
        <w:rPr>
          <w:rFonts w:ascii="Cambria" w:eastAsia="Cambria" w:hAnsi="Cambria" w:cs="Cambria"/>
          <w:sz w:val="22"/>
          <w:szCs w:val="22"/>
          <w:lang w:val="es-ES_tradnl"/>
        </w:rPr>
      </w:pPr>
    </w:p>
    <w:p w:rsidR="00FD775C" w:rsidRDefault="00FD775C">
      <w:pPr>
        <w:pStyle w:val="Body"/>
        <w:tabs>
          <w:tab w:val="center" w:pos="5400"/>
        </w:tabs>
        <w:suppressAutoHyphens/>
        <w:rPr>
          <w:rFonts w:ascii="Cambria" w:eastAsia="Cambria" w:hAnsi="Cambria" w:cs="Cambria"/>
          <w:sz w:val="22"/>
          <w:szCs w:val="22"/>
          <w:lang w:val="es-ES_tradnl"/>
        </w:rPr>
      </w:pPr>
    </w:p>
    <w:p w:rsidR="00FD775C" w:rsidRDefault="00FD775C">
      <w:pPr>
        <w:pStyle w:val="Body"/>
        <w:tabs>
          <w:tab w:val="center" w:pos="5400"/>
        </w:tabs>
        <w:suppressAutoHyphens/>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E01E2">
      <w:pPr>
        <w:pStyle w:val="Body"/>
        <w:tabs>
          <w:tab w:val="center" w:pos="5400"/>
        </w:tabs>
        <w:suppressAutoHyphens/>
        <w:jc w:val="center"/>
        <w:rPr>
          <w:rFonts w:ascii="Cambria" w:eastAsia="Cambria" w:hAnsi="Cambria" w:cs="Cambria"/>
          <w:sz w:val="22"/>
          <w:szCs w:val="22"/>
        </w:rPr>
      </w:pPr>
      <w:r>
        <w:rPr>
          <w:noProof/>
        </w:rPr>
        <mc:AlternateContent>
          <mc:Choice Requires="wps">
            <w:drawing>
              <wp:anchor distT="0" distB="0" distL="0" distR="0" simplePos="0" relativeHeight="251660288" behindDoc="0" locked="0" layoutInCell="1" allowOverlap="1">
                <wp:simplePos x="0" y="0"/>
                <wp:positionH relativeFrom="column">
                  <wp:posOffset>1296761</wp:posOffset>
                </wp:positionH>
                <wp:positionV relativeFrom="line">
                  <wp:posOffset>79375</wp:posOffset>
                </wp:positionV>
                <wp:extent cx="4333875" cy="235077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1"/>
                        </a:xfrm>
                        <a:prstGeom prst="rect">
                          <a:avLst/>
                        </a:prstGeom>
                        <a:noFill/>
                        <a:ln w="12700" cap="flat">
                          <a:noFill/>
                          <a:miter lim="400000"/>
                        </a:ln>
                        <a:effectLst/>
                      </wps:spPr>
                      <wps:txbx>
                        <w:txbxContent>
                          <w:p w:rsidR="00FD775C" w:rsidRPr="00C70155" w:rsidRDefault="00FE01E2">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93/20</w:t>
                            </w:r>
                          </w:p>
                          <w:p w:rsidR="00FD775C" w:rsidRPr="00CB0F6E" w:rsidRDefault="00FE01E2">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501-09</w:t>
                            </w:r>
                          </w:p>
                          <w:p w:rsidR="00FD775C" w:rsidRPr="00CB0F6E" w:rsidRDefault="00FE01E2">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w:t>
                            </w:r>
                            <w:r>
                              <w:rPr>
                                <w:rFonts w:ascii="Cambria" w:eastAsia="Cambria" w:hAnsi="Cambria" w:cs="Cambria"/>
                                <w:lang w:val="es-ES_tradnl"/>
                              </w:rPr>
                              <w:t xml:space="preserve">ADMISIBILIDAD </w:t>
                            </w:r>
                          </w:p>
                          <w:p w:rsidR="00FD775C" w:rsidRDefault="00FD775C">
                            <w:pPr>
                              <w:pStyle w:val="Body"/>
                              <w:spacing w:line="276" w:lineRule="auto"/>
                              <w:rPr>
                                <w:rFonts w:ascii="Cambria" w:eastAsia="Cambria" w:hAnsi="Cambria" w:cs="Cambria"/>
                                <w:color w:val="0D0D0D"/>
                                <w:u w:color="0D0D0D"/>
                                <w:lang w:val="es-ES_tradnl"/>
                              </w:rPr>
                            </w:pPr>
                          </w:p>
                          <w:p w:rsidR="00FD775C" w:rsidRPr="00CB0F6E" w:rsidRDefault="00FE01E2">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RUBIELA ROJAS CHICA Y OTROS </w:t>
                            </w:r>
                          </w:p>
                          <w:p w:rsidR="00FD775C" w:rsidRPr="00C70155" w:rsidRDefault="00FE01E2">
                            <w:pPr>
                              <w:pStyle w:val="Body"/>
                              <w:spacing w:line="276" w:lineRule="auto"/>
                              <w:rPr>
                                <w:lang w:val="es-419"/>
                              </w:rPr>
                            </w:pPr>
                            <w:r>
                              <w:rPr>
                                <w:rFonts w:ascii="Cambria" w:eastAsia="Cambria" w:hAnsi="Cambria" w:cs="Cambria"/>
                                <w:color w:val="0D0D0D"/>
                                <w:u w:color="0D0D0D"/>
                                <w:lang w:val="es-ES_tradnl"/>
                              </w:rPr>
                              <w:t>COLOMBIA</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102.1pt;margin-top:6.25pt;width:341.25pt;height:185.1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" filled="f" stroked="f" strokeweight="1pt">
                <v:stroke miterlimit="4"/>
                <v:textbox inset="1.27mm,1.27mm,1.27mm,1.27mm">
                  <w:txbxContent>
                    <w:p w:rsidR="00FD775C" w:rsidRDefault="00FE01E2">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lang w:val="es-ES_tradnl"/>
                        </w:rPr>
                        <w:t>INFORME No. 93</w:t>
                      </w:r>
                      <w:r>
                        <w:rPr>
                          <w:rFonts w:ascii="Cambria" w:eastAsia="Cambria" w:hAnsi="Cambria" w:cs="Cambria"/>
                          <w:b/>
                          <w:bCs/>
                          <w:color w:val="0D0D0D"/>
                          <w:sz w:val="36"/>
                          <w:szCs w:val="36"/>
                          <w:u w:color="0D0D0D"/>
                          <w:lang w:val="es-ES_tradnl"/>
                        </w:rPr>
                        <w:t>/20</w:t>
                      </w:r>
                    </w:p>
                    <w:p w:rsidR="00FD775C" w:rsidRPr="00CB0F6E" w:rsidRDefault="00FE01E2">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501-09</w:t>
                      </w:r>
                    </w:p>
                    <w:p w:rsidR="00FD775C" w:rsidRPr="00CB0F6E" w:rsidRDefault="00FE01E2">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w:t>
                      </w:r>
                      <w:r>
                        <w:rPr>
                          <w:rFonts w:ascii="Cambria" w:eastAsia="Cambria" w:hAnsi="Cambria" w:cs="Cambria"/>
                          <w:lang w:val="es-ES_tradnl"/>
                        </w:rPr>
                        <w:t xml:space="preserve">ADMISIBILIDAD </w:t>
                      </w:r>
                    </w:p>
                    <w:p w:rsidR="00FD775C" w:rsidRDefault="00FD775C">
                      <w:pPr>
                        <w:pStyle w:val="Body"/>
                        <w:spacing w:line="276" w:lineRule="auto"/>
                        <w:rPr>
                          <w:rFonts w:ascii="Cambria" w:eastAsia="Cambria" w:hAnsi="Cambria" w:cs="Cambria"/>
                          <w:color w:val="0D0D0D"/>
                          <w:u w:color="0D0D0D"/>
                          <w:lang w:val="es-ES_tradnl"/>
                        </w:rPr>
                      </w:pPr>
                    </w:p>
                    <w:p w:rsidR="00FD775C" w:rsidRPr="00CB0F6E" w:rsidRDefault="00FE01E2">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RUBIELA ROJAS CHICA Y OTROS </w:t>
                      </w:r>
                    </w:p>
                    <w:p w:rsidR="00FD775C" w:rsidRDefault="00FE01E2">
                      <w:pPr>
                        <w:pStyle w:val="Body"/>
                        <w:spacing w:line="276" w:lineRule="auto"/>
                      </w:pPr>
                      <w:r>
                        <w:rPr>
                          <w:rFonts w:ascii="Cambria" w:eastAsia="Cambria" w:hAnsi="Cambria" w:cs="Cambria"/>
                          <w:color w:val="0D0D0D"/>
                          <w:u w:color="0D0D0D"/>
                          <w:lang w:val="es-ES_tradnl"/>
                        </w:rPr>
                        <w:t>COLOMBIA</w:t>
                      </w:r>
                    </w:p>
                  </w:txbxContent>
                </v:textbox>
                <w10:wrap anchory="line"/>
              </v:rect>
            </w:pict>
          </mc:Fallback>
        </mc:AlternateContent>
      </w:r>
      <w:r>
        <w:rPr>
          <w:noProof/>
        </w:rPr>
        <mc:AlternateContent>
          <mc:Choice Requires="wps">
            <w:drawing>
              <wp:anchor distT="0" distB="0" distL="0" distR="0" simplePos="0" relativeHeight="251662336" behindDoc="0" locked="0" layoutInCell="1" allowOverlap="1">
                <wp:simplePos x="0" y="0"/>
                <wp:positionH relativeFrom="column">
                  <wp:posOffset>-371475</wp:posOffset>
                </wp:positionH>
                <wp:positionV relativeFrom="line">
                  <wp:posOffset>127000</wp:posOffset>
                </wp:positionV>
                <wp:extent cx="1334136" cy="137731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5"/>
                        </a:xfrm>
                        <a:prstGeom prst="rect">
                          <a:avLst/>
                        </a:prstGeom>
                        <a:noFill/>
                        <a:ln w="12700" cap="flat">
                          <a:noFill/>
                          <a:miter lim="400000"/>
                        </a:ln>
                        <a:effectLst/>
                      </wps:spPr>
                      <wps:txbx>
                        <w:txbxContent>
                          <w:p w:rsidR="00FD775C" w:rsidRPr="00C70155" w:rsidRDefault="00FE01E2">
                            <w:pPr>
                              <w:pStyle w:val="Body"/>
                              <w:jc w:val="right"/>
                              <w:rPr>
                                <w:rFonts w:ascii="Calibri" w:eastAsia="Calibri" w:hAnsi="Calibri" w:cs="Calibri"/>
                                <w:color w:val="FFFFFF" w:themeColor="background1"/>
                                <w:sz w:val="22"/>
                                <w:szCs w:val="22"/>
                                <w:u w:color="FFFFFF"/>
                                <w:lang w:val="pt-BR"/>
                              </w:rPr>
                            </w:pPr>
                            <w:r w:rsidRPr="00C70155">
                              <w:rPr>
                                <w:rFonts w:ascii="Calibri" w:eastAsia="Calibri" w:hAnsi="Calibri" w:cs="Calibri"/>
                                <w:color w:val="FFFFFF" w:themeColor="background1"/>
                                <w:sz w:val="22"/>
                                <w:szCs w:val="22"/>
                                <w:u w:color="FFFFFF"/>
                                <w:lang w:val="pt-BR"/>
                              </w:rPr>
                              <w:t>OEA/Ser.L/V/II.</w:t>
                            </w:r>
                          </w:p>
                          <w:p w:rsidR="00FD775C" w:rsidRPr="00C70155" w:rsidRDefault="00FE01E2">
                            <w:pPr>
                              <w:pStyle w:val="Body"/>
                              <w:jc w:val="right"/>
                              <w:rPr>
                                <w:rFonts w:ascii="Calibri" w:eastAsia="Calibri" w:hAnsi="Calibri" w:cs="Calibri"/>
                                <w:color w:val="FFFFFF" w:themeColor="background1"/>
                                <w:sz w:val="22"/>
                                <w:szCs w:val="22"/>
                                <w:u w:color="FF0000"/>
                                <w:lang w:val="pt-BR"/>
                              </w:rPr>
                            </w:pPr>
                            <w:r w:rsidRPr="00C70155">
                              <w:rPr>
                                <w:rFonts w:ascii="Calibri" w:eastAsia="Calibri" w:hAnsi="Calibri" w:cs="Calibri"/>
                                <w:color w:val="FFFFFF" w:themeColor="background1"/>
                                <w:sz w:val="22"/>
                                <w:szCs w:val="22"/>
                                <w:u w:color="FFFFFF"/>
                                <w:lang w:val="pt-BR"/>
                              </w:rPr>
                              <w:t xml:space="preserve">Doc. </w:t>
                            </w:r>
                            <w:r w:rsidRPr="00C70155">
                              <w:rPr>
                                <w:rFonts w:ascii="Calibri" w:eastAsia="Calibri" w:hAnsi="Calibri" w:cs="Calibri"/>
                                <w:color w:val="FFFFFF" w:themeColor="background1"/>
                                <w:sz w:val="22"/>
                                <w:szCs w:val="22"/>
                                <w:u w:color="FF0000"/>
                                <w:lang w:val="pt-BR"/>
                              </w:rPr>
                              <w:t>103</w:t>
                            </w:r>
                          </w:p>
                          <w:p w:rsidR="00FD775C" w:rsidRPr="00FE01E2" w:rsidRDefault="00FE01E2">
                            <w:pPr>
                              <w:pStyle w:val="Body"/>
                              <w:jc w:val="right"/>
                              <w:rPr>
                                <w:rFonts w:ascii="Calibri" w:eastAsia="Calibri" w:hAnsi="Calibri" w:cs="Calibri"/>
                                <w:color w:val="FFFFFF" w:themeColor="background1"/>
                                <w:sz w:val="22"/>
                                <w:szCs w:val="22"/>
                                <w:u w:color="FFFFFF"/>
                                <w:lang w:val="es-419"/>
                              </w:rPr>
                            </w:pPr>
                            <w:r w:rsidRPr="00C70155">
                              <w:rPr>
                                <w:rFonts w:ascii="Calibri" w:eastAsia="Calibri" w:hAnsi="Calibri" w:cs="Calibri"/>
                                <w:color w:val="FFFFFF" w:themeColor="background1"/>
                                <w:sz w:val="22"/>
                                <w:szCs w:val="22"/>
                                <w:u w:color="FFFFFF"/>
                                <w:lang w:val="pt-BR"/>
                              </w:rPr>
                              <w:t xml:space="preserve"> </w:t>
                            </w:r>
                            <w:r>
                              <w:rPr>
                                <w:rFonts w:ascii="Calibri" w:eastAsia="Calibri" w:hAnsi="Calibri" w:cs="Calibri"/>
                                <w:color w:val="FFFFFF" w:themeColor="background1"/>
                                <w:sz w:val="22"/>
                                <w:szCs w:val="22"/>
                                <w:u w:color="FF0000"/>
                                <w:lang w:val="da-DK"/>
                              </w:rPr>
                              <w:t>21 abril</w:t>
                            </w:r>
                            <w:r w:rsidRPr="00FE01E2">
                              <w:rPr>
                                <w:rFonts w:ascii="Calibri" w:eastAsia="Calibri" w:hAnsi="Calibri" w:cs="Calibri"/>
                                <w:color w:val="FFFFFF" w:themeColor="background1"/>
                                <w:sz w:val="22"/>
                                <w:szCs w:val="22"/>
                                <w:u w:color="FFFFFF"/>
                                <w:lang w:val="es-419"/>
                              </w:rPr>
                              <w:t xml:space="preserve"> 2020</w:t>
                            </w:r>
                          </w:p>
                          <w:p w:rsidR="00FD775C" w:rsidRPr="00FE01E2" w:rsidRDefault="00FE01E2">
                            <w:pPr>
                              <w:pStyle w:val="Body"/>
                              <w:jc w:val="right"/>
                              <w:rPr>
                                <w:color w:val="FFFFFF" w:themeColor="background1"/>
                                <w:lang w:val="es-419"/>
                              </w:rPr>
                            </w:pPr>
                            <w:r w:rsidRPr="00FE01E2">
                              <w:rPr>
                                <w:rFonts w:ascii="Calibri" w:eastAsia="Calibri" w:hAnsi="Calibri" w:cs="Calibri"/>
                                <w:color w:val="FFFFFF" w:themeColor="background1"/>
                                <w:sz w:val="22"/>
                                <w:szCs w:val="22"/>
                                <w:u w:color="FFFFFF"/>
                                <w:lang w:val="es-419"/>
                              </w:rPr>
                              <w:t xml:space="preserve">Original: </w:t>
                            </w:r>
                            <w:proofErr w:type="spellStart"/>
                            <w:r w:rsidRPr="00FE01E2">
                              <w:rPr>
                                <w:rFonts w:ascii="Calibri" w:eastAsia="Calibri" w:hAnsi="Calibri" w:cs="Calibri"/>
                                <w:color w:val="FFFFFF" w:themeColor="background1"/>
                                <w:sz w:val="22"/>
                                <w:szCs w:val="22"/>
                                <w:u w:color="FF0000"/>
                                <w:lang w:val="es-419"/>
                              </w:rPr>
                              <w:t>ingl</w:t>
                            </w:r>
                            <w:proofErr w:type="spellEnd"/>
                            <w:r w:rsidRPr="00974800">
                              <w:rPr>
                                <w:rFonts w:ascii="Calibri" w:eastAsia="Calibri" w:hAnsi="Calibri" w:cs="Calibri"/>
                                <w:color w:val="FFFFFF" w:themeColor="background1"/>
                                <w:sz w:val="22"/>
                                <w:szCs w:val="22"/>
                                <w:u w:color="FF0000"/>
                                <w:lang w:val="fr-FR"/>
                              </w:rPr>
                              <w:t>é</w:t>
                            </w:r>
                            <w:r w:rsidRPr="00FE01E2">
                              <w:rPr>
                                <w:rFonts w:ascii="Calibri" w:eastAsia="Calibri" w:hAnsi="Calibri" w:cs="Calibri"/>
                                <w:color w:val="FFFFFF" w:themeColor="background1"/>
                                <w:sz w:val="22"/>
                                <w:szCs w:val="22"/>
                                <w:u w:color="FF0000"/>
                                <w:lang w:val="es-419"/>
                              </w:rPr>
                              <w:t>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29.25pt;margin-top:10pt;width:105.05pt;height:108.4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" filled="f" stroked="f" strokeweight="1pt">
                <v:stroke miterlimit="4"/>
                <v:textbox inset="1.27mm,1.27mm,1.27mm,1.27mm">
                  <w:txbxContent>
                    <w:p w:rsidR="00FD775C" w:rsidRPr="00FE01E2" w:rsidRDefault="00FE01E2">
                      <w:pPr>
                        <w:pStyle w:val="Body"/>
                        <w:jc w:val="right"/>
                        <w:rPr>
                          <w:rFonts w:ascii="Calibri" w:eastAsia="Calibri" w:hAnsi="Calibri" w:cs="Calibri"/>
                          <w:color w:val="FFFFFF" w:themeColor="background1"/>
                          <w:sz w:val="22"/>
                          <w:szCs w:val="22"/>
                          <w:u w:color="FFFFFF"/>
                          <w:lang w:val="es-419"/>
                        </w:rPr>
                      </w:pPr>
                      <w:r w:rsidRPr="00FE01E2">
                        <w:rPr>
                          <w:rFonts w:ascii="Calibri" w:eastAsia="Calibri" w:hAnsi="Calibri" w:cs="Calibri"/>
                          <w:color w:val="FFFFFF" w:themeColor="background1"/>
                          <w:sz w:val="22"/>
                          <w:szCs w:val="22"/>
                          <w:u w:color="FFFFFF"/>
                          <w:lang w:val="es-419"/>
                        </w:rPr>
                        <w:t>OEA/Ser.L/V/II.</w:t>
                      </w:r>
                    </w:p>
                    <w:p w:rsidR="00FD775C" w:rsidRPr="00FE01E2" w:rsidRDefault="00FE01E2">
                      <w:pPr>
                        <w:pStyle w:val="Body"/>
                        <w:jc w:val="right"/>
                        <w:rPr>
                          <w:rFonts w:ascii="Calibri" w:eastAsia="Calibri" w:hAnsi="Calibri" w:cs="Calibri"/>
                          <w:color w:val="FFFFFF" w:themeColor="background1"/>
                          <w:sz w:val="22"/>
                          <w:szCs w:val="22"/>
                          <w:u w:color="FF0000"/>
                          <w:lang w:val="es-419"/>
                        </w:rPr>
                      </w:pPr>
                      <w:r w:rsidRPr="00FE01E2">
                        <w:rPr>
                          <w:rFonts w:ascii="Calibri" w:eastAsia="Calibri" w:hAnsi="Calibri" w:cs="Calibri"/>
                          <w:color w:val="FFFFFF" w:themeColor="background1"/>
                          <w:sz w:val="22"/>
                          <w:szCs w:val="22"/>
                          <w:u w:color="FFFFFF"/>
                          <w:lang w:val="es-419"/>
                        </w:rPr>
                        <w:t xml:space="preserve">Doc. </w:t>
                      </w:r>
                      <w:r w:rsidRPr="00FE01E2">
                        <w:rPr>
                          <w:rFonts w:ascii="Calibri" w:eastAsia="Calibri" w:hAnsi="Calibri" w:cs="Calibri"/>
                          <w:color w:val="FFFFFF" w:themeColor="background1"/>
                          <w:sz w:val="22"/>
                          <w:szCs w:val="22"/>
                          <w:u w:color="FF0000"/>
                          <w:lang w:val="es-419"/>
                        </w:rPr>
                        <w:t>1</w:t>
                      </w:r>
                      <w:r>
                        <w:rPr>
                          <w:rFonts w:ascii="Calibri" w:eastAsia="Calibri" w:hAnsi="Calibri" w:cs="Calibri"/>
                          <w:color w:val="FFFFFF" w:themeColor="background1"/>
                          <w:sz w:val="22"/>
                          <w:szCs w:val="22"/>
                          <w:u w:color="FF0000"/>
                          <w:lang w:val="es-419"/>
                        </w:rPr>
                        <w:t>03</w:t>
                      </w:r>
                    </w:p>
                    <w:p w:rsidR="00FD775C" w:rsidRPr="00FE01E2" w:rsidRDefault="00FE01E2">
                      <w:pPr>
                        <w:pStyle w:val="Body"/>
                        <w:jc w:val="right"/>
                        <w:rPr>
                          <w:rFonts w:ascii="Calibri" w:eastAsia="Calibri" w:hAnsi="Calibri" w:cs="Calibri"/>
                          <w:color w:val="FFFFFF" w:themeColor="background1"/>
                          <w:sz w:val="22"/>
                          <w:szCs w:val="22"/>
                          <w:u w:color="FFFFFF"/>
                          <w:lang w:val="es-419"/>
                        </w:rPr>
                      </w:pPr>
                      <w:r w:rsidRPr="00FE01E2">
                        <w:rPr>
                          <w:rFonts w:ascii="Calibri" w:eastAsia="Calibri" w:hAnsi="Calibri" w:cs="Calibri"/>
                          <w:color w:val="FFFFFF" w:themeColor="background1"/>
                          <w:sz w:val="22"/>
                          <w:szCs w:val="22"/>
                          <w:u w:color="FFFFFF"/>
                          <w:lang w:val="es-419"/>
                        </w:rPr>
                        <w:t xml:space="preserve"> </w:t>
                      </w:r>
                      <w:r>
                        <w:rPr>
                          <w:rFonts w:ascii="Calibri" w:eastAsia="Calibri" w:hAnsi="Calibri" w:cs="Calibri"/>
                          <w:color w:val="FFFFFF" w:themeColor="background1"/>
                          <w:sz w:val="22"/>
                          <w:szCs w:val="22"/>
                          <w:u w:color="FF0000"/>
                          <w:lang w:val="da-DK"/>
                        </w:rPr>
                        <w:t>21 abril</w:t>
                      </w:r>
                      <w:r w:rsidRPr="00FE01E2">
                        <w:rPr>
                          <w:rFonts w:ascii="Calibri" w:eastAsia="Calibri" w:hAnsi="Calibri" w:cs="Calibri"/>
                          <w:color w:val="FFFFFF" w:themeColor="background1"/>
                          <w:sz w:val="22"/>
                          <w:szCs w:val="22"/>
                          <w:u w:color="FFFFFF"/>
                          <w:lang w:val="es-419"/>
                        </w:rPr>
                        <w:t xml:space="preserve"> 2020</w:t>
                      </w:r>
                    </w:p>
                    <w:p w:rsidR="00FD775C" w:rsidRPr="00FE01E2" w:rsidRDefault="00FE01E2">
                      <w:pPr>
                        <w:pStyle w:val="Body"/>
                        <w:jc w:val="right"/>
                        <w:rPr>
                          <w:color w:val="FFFFFF" w:themeColor="background1"/>
                          <w:lang w:val="es-419"/>
                        </w:rPr>
                      </w:pPr>
                      <w:r w:rsidRPr="00FE01E2">
                        <w:rPr>
                          <w:rFonts w:ascii="Calibri" w:eastAsia="Calibri" w:hAnsi="Calibri" w:cs="Calibri"/>
                          <w:color w:val="FFFFFF" w:themeColor="background1"/>
                          <w:sz w:val="22"/>
                          <w:szCs w:val="22"/>
                          <w:u w:color="FFFFFF"/>
                          <w:lang w:val="es-419"/>
                        </w:rPr>
                        <w:t xml:space="preserve">Original: </w:t>
                      </w:r>
                      <w:r w:rsidRPr="00FE01E2">
                        <w:rPr>
                          <w:rFonts w:ascii="Calibri" w:eastAsia="Calibri" w:hAnsi="Calibri" w:cs="Calibri"/>
                          <w:color w:val="FFFFFF" w:themeColor="background1"/>
                          <w:sz w:val="22"/>
                          <w:szCs w:val="22"/>
                          <w:u w:color="FF0000"/>
                          <w:lang w:val="es-419"/>
                        </w:rPr>
                        <w:t>ingl</w:t>
                      </w:r>
                      <w:r w:rsidRPr="00974800">
                        <w:rPr>
                          <w:rFonts w:ascii="Calibri" w:eastAsia="Calibri" w:hAnsi="Calibri" w:cs="Calibri"/>
                          <w:color w:val="FFFFFF" w:themeColor="background1"/>
                          <w:sz w:val="22"/>
                          <w:szCs w:val="22"/>
                          <w:u w:color="FF0000"/>
                          <w:lang w:val="fr-FR"/>
                        </w:rPr>
                        <w:t>é</w:t>
                      </w:r>
                      <w:r w:rsidRPr="00FE01E2">
                        <w:rPr>
                          <w:rFonts w:ascii="Calibri" w:eastAsia="Calibri" w:hAnsi="Calibri" w:cs="Calibri"/>
                          <w:color w:val="FFFFFF" w:themeColor="background1"/>
                          <w:sz w:val="22"/>
                          <w:szCs w:val="22"/>
                          <w:u w:color="FF0000"/>
                          <w:lang w:val="es-419"/>
                        </w:rPr>
                        <w:t>s</w:t>
                      </w:r>
                    </w:p>
                  </w:txbxContent>
                </v:textbox>
                <w10:wrap anchory="line"/>
              </v:rect>
            </w:pict>
          </mc:Fallback>
        </mc:AlternateContent>
      </w: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22"/>
          <w:szCs w:val="22"/>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E01E2">
      <w:pPr>
        <w:pStyle w:val="Body"/>
        <w:tabs>
          <w:tab w:val="center" w:pos="5400"/>
        </w:tabs>
        <w:suppressAutoHyphens/>
        <w:jc w:val="center"/>
        <w:rPr>
          <w:rFonts w:ascii="Cambria" w:eastAsia="Cambria" w:hAnsi="Cambria" w:cs="Cambria"/>
          <w:sz w:val="18"/>
          <w:szCs w:val="18"/>
        </w:rPr>
      </w:pPr>
      <w:r>
        <w:rPr>
          <w:noProof/>
        </w:rPr>
        <mc:AlternateContent>
          <mc:Choice Requires="wps">
            <w:drawing>
              <wp:anchor distT="0" distB="0" distL="0" distR="0" simplePos="0" relativeHeight="251661312" behindDoc="0" locked="0" layoutInCell="1" allowOverlap="1">
                <wp:simplePos x="0" y="0"/>
                <wp:positionH relativeFrom="column">
                  <wp:posOffset>1207135</wp:posOffset>
                </wp:positionH>
                <wp:positionV relativeFrom="line">
                  <wp:posOffset>67944</wp:posOffset>
                </wp:positionV>
                <wp:extent cx="4595496" cy="50482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825"/>
                        </a:xfrm>
                        <a:prstGeom prst="rect">
                          <a:avLst/>
                        </a:prstGeom>
                        <a:noFill/>
                        <a:ln w="12700" cap="flat">
                          <a:noFill/>
                          <a:miter lim="400000"/>
                        </a:ln>
                        <a:effectLst/>
                      </wps:spPr>
                      <wps:txbx>
                        <w:txbxContent>
                          <w:p w:rsidR="00FD775C" w:rsidRPr="00974800" w:rsidRDefault="00974800">
                            <w:pPr>
                              <w:pStyle w:val="Body"/>
                              <w:tabs>
                                <w:tab w:val="center" w:pos="5400"/>
                              </w:tabs>
                              <w:suppressAutoHyphens/>
                              <w:spacing w:before="60"/>
                              <w:rPr>
                                <w:lang w:val="es-419"/>
                              </w:rPr>
                            </w:pPr>
                            <w:r w:rsidRPr="00C06152">
                              <w:rPr>
                                <w:rFonts w:ascii="Cambria" w:hAnsi="Cambria"/>
                                <w:color w:val="0D0D0D"/>
                                <w:sz w:val="18"/>
                                <w:szCs w:val="22"/>
                                <w:lang w:val="es-ES"/>
                              </w:rPr>
                              <w:t xml:space="preserve">Aprobado </w:t>
                            </w:r>
                            <w:proofErr w:type="spellStart"/>
                            <w:r w:rsidRPr="00C06152">
                              <w:rPr>
                                <w:rFonts w:ascii="Cambria" w:hAnsi="Cambria"/>
                                <w:color w:val="0D0D0D"/>
                                <w:sz w:val="18"/>
                                <w:szCs w:val="22"/>
                                <w:lang w:val="es-ES"/>
                              </w:rPr>
                              <w:t>electr</w:t>
                            </w:r>
                            <w:r w:rsidRPr="00C06152">
                              <w:rPr>
                                <w:rFonts w:ascii="Cambria" w:hAnsi="Cambria"/>
                                <w:color w:val="0D0D0D"/>
                                <w:sz w:val="18"/>
                                <w:szCs w:val="22"/>
                                <w:lang w:val="es-ES_tradnl"/>
                              </w:rPr>
                              <w:t>ónicamente</w:t>
                            </w:r>
                            <w:proofErr w:type="spellEnd"/>
                            <w:r w:rsidRPr="00C06152">
                              <w:rPr>
                                <w:rFonts w:ascii="Cambria" w:hAnsi="Cambria"/>
                                <w:color w:val="0D0D0D"/>
                                <w:sz w:val="18"/>
                                <w:szCs w:val="22"/>
                                <w:lang w:val="es-ES"/>
                              </w:rPr>
                              <w:t xml:space="preserve"> por la Comisión el</w:t>
                            </w:r>
                            <w:r>
                              <w:rPr>
                                <w:rFonts w:ascii="Cambria" w:hAnsi="Cambria"/>
                                <w:color w:val="0D0D0D"/>
                                <w:sz w:val="18"/>
                                <w:szCs w:val="22"/>
                                <w:lang w:val="es-ES"/>
                              </w:rPr>
                              <w:t xml:space="preserve"> 21 de abril de 2020</w:t>
                            </w:r>
                            <w:r w:rsidR="00F527A6">
                              <w:rPr>
                                <w:rFonts w:ascii="Cambria" w:hAnsi="Cambria"/>
                                <w:color w:val="0D0D0D"/>
                                <w:sz w:val="18"/>
                                <w:szCs w:val="22"/>
                                <w:lang w:val="es-ES"/>
                              </w:rPr>
                              <w:t>.</w:t>
                            </w:r>
                          </w:p>
                        </w:txbxContent>
                      </wps:txbx>
                      <wps:bodyPr wrap="square" lIns="45719" tIns="45719" rIns="45719" bIns="45719" numCol="1" anchor="t">
                        <a:noAutofit/>
                      </wps:bodyPr>
                    </wps:wsp>
                  </a:graphicData>
                </a:graphic>
              </wp:anchor>
            </w:drawing>
          </mc:Choice>
          <mc:Fallback>
            <w:pict>
              <v:rect id="_x0000_s1028" style="position:absolute;left:0;text-align:left;margin-left:95.05pt;margin-top:5.35pt;width:361.85pt;height:39.7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" filled="f" stroked="f" strokeweight="1pt">
                <v:stroke miterlimit="4"/>
                <v:textbox inset="1.27mm,1.27mm,1.27mm,1.27mm">
                  <w:txbxContent>
                    <w:p w:rsidR="00FD775C" w:rsidRPr="00974800" w:rsidRDefault="00974800">
                      <w:pPr>
                        <w:pStyle w:val="Body"/>
                        <w:tabs>
                          <w:tab w:val="center" w:pos="5400"/>
                        </w:tabs>
                        <w:suppressAutoHyphens/>
                        <w:spacing w:before="60"/>
                        <w:rPr>
                          <w:lang w:val="es-419"/>
                        </w:rPr>
                      </w:pPr>
                      <w:r w:rsidRPr="00C06152">
                        <w:rPr>
                          <w:rFonts w:ascii="Cambria" w:hAnsi="Cambria"/>
                          <w:color w:val="0D0D0D"/>
                          <w:sz w:val="18"/>
                          <w:szCs w:val="22"/>
                          <w:lang w:val="es-ES"/>
                        </w:rPr>
                        <w:t xml:space="preserve">Aprobado </w:t>
                      </w:r>
                      <w:proofErr w:type="spellStart"/>
                      <w:r w:rsidRPr="00C06152">
                        <w:rPr>
                          <w:rFonts w:ascii="Cambria" w:hAnsi="Cambria"/>
                          <w:color w:val="0D0D0D"/>
                          <w:sz w:val="18"/>
                          <w:szCs w:val="22"/>
                          <w:lang w:val="es-ES"/>
                        </w:rPr>
                        <w:t>electr</w:t>
                      </w:r>
                      <w:r w:rsidRPr="00C06152">
                        <w:rPr>
                          <w:rFonts w:ascii="Cambria" w:hAnsi="Cambria"/>
                          <w:color w:val="0D0D0D"/>
                          <w:sz w:val="18"/>
                          <w:szCs w:val="22"/>
                          <w:lang w:val="es-ES_tradnl"/>
                        </w:rPr>
                        <w:t>ónicamente</w:t>
                      </w:r>
                      <w:proofErr w:type="spellEnd"/>
                      <w:r w:rsidRPr="00C06152">
                        <w:rPr>
                          <w:rFonts w:ascii="Cambria" w:hAnsi="Cambria"/>
                          <w:color w:val="0D0D0D"/>
                          <w:sz w:val="18"/>
                          <w:szCs w:val="22"/>
                          <w:lang w:val="es-ES"/>
                        </w:rPr>
                        <w:t xml:space="preserve"> por la Comisión el</w:t>
                      </w:r>
                      <w:r>
                        <w:rPr>
                          <w:rFonts w:ascii="Cambria" w:hAnsi="Cambria"/>
                          <w:color w:val="0D0D0D"/>
                          <w:sz w:val="18"/>
                          <w:szCs w:val="22"/>
                          <w:lang w:val="es-ES"/>
                        </w:rPr>
                        <w:t xml:space="preserve"> 21 de abril de 2020</w:t>
                      </w:r>
                      <w:r w:rsidR="00F527A6">
                        <w:rPr>
                          <w:rFonts w:ascii="Cambria" w:hAnsi="Cambria"/>
                          <w:color w:val="0D0D0D"/>
                          <w:sz w:val="18"/>
                          <w:szCs w:val="22"/>
                          <w:lang w:val="es-ES"/>
                        </w:rPr>
                        <w:t>.</w:t>
                      </w:r>
                    </w:p>
                  </w:txbxContent>
                </v:textbox>
                <w10:wrap anchory="line"/>
              </v:rect>
            </w:pict>
          </mc:Fallback>
        </mc:AlternateContent>
      </w: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E01E2">
      <w:pPr>
        <w:pStyle w:val="Body"/>
        <w:tabs>
          <w:tab w:val="center" w:pos="5400"/>
        </w:tabs>
        <w:suppressAutoHyphens/>
        <w:jc w:val="center"/>
        <w:rPr>
          <w:rFonts w:ascii="Cambria" w:eastAsia="Cambria" w:hAnsi="Cambria" w:cs="Cambria"/>
          <w:sz w:val="18"/>
          <w:szCs w:val="18"/>
        </w:rPr>
      </w:pPr>
      <w:r>
        <w:rPr>
          <w:noProof/>
        </w:rPr>
        <mc:AlternateContent>
          <mc:Choice Requires="wps">
            <w:drawing>
              <wp:anchor distT="0" distB="0" distL="0" distR="0" simplePos="0" relativeHeight="251664384" behindDoc="0" locked="0" layoutInCell="1" allowOverlap="1">
                <wp:simplePos x="0" y="0"/>
                <wp:positionH relativeFrom="column">
                  <wp:posOffset>1209675</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rsidR="00FD775C" w:rsidRPr="00CB0F6E" w:rsidRDefault="00FE01E2">
                            <w:pPr>
                              <w:pStyle w:val="Body"/>
                              <w:spacing w:line="276" w:lineRule="auto"/>
                              <w:rPr>
                                <w:lang w:val="es-419"/>
                              </w:rPr>
                            </w:pPr>
                            <w:r w:rsidRPr="00CB0F6E">
                              <w:rPr>
                                <w:rFonts w:ascii="Cambria" w:eastAsia="Cambria" w:hAnsi="Cambria" w:cs="Cambria"/>
                                <w:b/>
                                <w:bCs/>
                                <w:color w:val="595959"/>
                                <w:sz w:val="18"/>
                                <w:szCs w:val="18"/>
                                <w:u w:color="595959"/>
                                <w:lang w:val="pt-BR"/>
                              </w:rPr>
                              <w:t xml:space="preserve">Citar como: </w:t>
                            </w:r>
                            <w:r w:rsidRPr="00CB0F6E">
                              <w:rPr>
                                <w:rFonts w:ascii="Cambria" w:eastAsia="Cambria" w:hAnsi="Cambria" w:cs="Cambria"/>
                                <w:color w:val="595959"/>
                                <w:sz w:val="18"/>
                                <w:szCs w:val="18"/>
                                <w:u w:color="595959"/>
                                <w:lang w:val="pt-BR"/>
                              </w:rPr>
                              <w:t xml:space="preserve">CIDH, Informe No. </w:t>
                            </w:r>
                            <w:r w:rsidRPr="00FE01E2">
                              <w:rPr>
                                <w:rFonts w:ascii="Cambria" w:eastAsia="Cambria" w:hAnsi="Cambria" w:cs="Cambria"/>
                                <w:color w:val="595959"/>
                                <w:sz w:val="18"/>
                                <w:szCs w:val="18"/>
                                <w:u w:color="595959"/>
                                <w:lang w:val="pt-BR"/>
                              </w:rPr>
                              <w:t>9</w:t>
                            </w:r>
                            <w:r>
                              <w:rPr>
                                <w:rFonts w:ascii="Cambria" w:eastAsia="Cambria" w:hAnsi="Cambria" w:cs="Cambria"/>
                                <w:color w:val="595959"/>
                                <w:sz w:val="18"/>
                                <w:szCs w:val="18"/>
                                <w:u w:color="595959"/>
                                <w:lang w:val="pt-BR"/>
                              </w:rPr>
                              <w:t>3</w:t>
                            </w:r>
                            <w:r w:rsidRPr="00FE01E2">
                              <w:rPr>
                                <w:rFonts w:ascii="Cambria" w:eastAsia="Cambria" w:hAnsi="Cambria" w:cs="Cambria"/>
                                <w:color w:val="595959"/>
                                <w:sz w:val="18"/>
                                <w:szCs w:val="18"/>
                                <w:u w:color="595959"/>
                                <w:lang w:val="pt-BR"/>
                              </w:rPr>
                              <w:t>/</w:t>
                            </w:r>
                            <w:r>
                              <w:rPr>
                                <w:rFonts w:ascii="Cambria" w:eastAsia="Cambria" w:hAnsi="Cambria" w:cs="Cambria"/>
                                <w:color w:val="595959"/>
                                <w:sz w:val="18"/>
                                <w:szCs w:val="18"/>
                                <w:u w:color="595959"/>
                                <w:lang w:val="pt-BR"/>
                              </w:rPr>
                              <w:t>20</w:t>
                            </w:r>
                            <w:r w:rsidRPr="00FE01E2">
                              <w:rPr>
                                <w:rFonts w:ascii="Cambria" w:eastAsia="Cambria" w:hAnsi="Cambria" w:cs="Cambria"/>
                                <w:color w:val="595959"/>
                                <w:sz w:val="18"/>
                                <w:szCs w:val="18"/>
                                <w:u w:color="595959"/>
                                <w:lang w:val="pt-BR"/>
                              </w:rPr>
                              <w:t xml:space="preserve">. </w:t>
                            </w:r>
                            <w:r>
                              <w:rPr>
                                <w:rFonts w:ascii="Cambria" w:eastAsia="Cambria" w:hAnsi="Cambria" w:cs="Cambria"/>
                                <w:color w:val="595959"/>
                                <w:sz w:val="18"/>
                                <w:szCs w:val="18"/>
                                <w:u w:color="595959"/>
                                <w:lang w:val="es-ES_tradnl"/>
                              </w:rPr>
                              <w:t>Petición 501-09. Admisibilidad. Rubiela Rojas Chica y otros. Colombia. 21 de abril de 2020.</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9" style="position:absolute;left:0;text-align:left;margin-left:95.25pt;margin-top:7.25pt;width:379.85pt;height:48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EkVBUbfAQAAqwMAAA4AAAAAAAAAAAAAAAAALgIAAGRycy9lMm9Eb2MueG1sUEsBAi0AFAAGAAgA&#10;AAAhAE3D17vbAAAACgEAAA8AAAAAAAAAAAAAAAAAOQQAAGRycy9kb3ducmV2LnhtbFBLBQYAAAAA&#10;BAAEAPMAAABBBQAAAAA=&#10;" filled="f" stroked="f" strokeweight="1pt">
                <v:stroke miterlimit="4"/>
                <v:textbox inset="1.27mm,1.27mm,1.27mm,1.27mm">
                  <w:txbxContent>
                    <w:p w:rsidR="00FD775C" w:rsidRPr="00CB0F6E" w:rsidRDefault="00FE01E2">
                      <w:pPr>
                        <w:pStyle w:val="Body"/>
                        <w:spacing w:line="276" w:lineRule="auto"/>
                        <w:rPr>
                          <w:lang w:val="es-419"/>
                        </w:rPr>
                      </w:pPr>
                      <w:r w:rsidRPr="00CB0F6E">
                        <w:rPr>
                          <w:rFonts w:ascii="Cambria" w:eastAsia="Cambria" w:hAnsi="Cambria" w:cs="Cambria"/>
                          <w:b/>
                          <w:bCs/>
                          <w:color w:val="595959"/>
                          <w:sz w:val="18"/>
                          <w:szCs w:val="18"/>
                          <w:u w:color="595959"/>
                          <w:lang w:val="pt-BR"/>
                        </w:rPr>
                        <w:t xml:space="preserve">Citar como: </w:t>
                      </w:r>
                      <w:r w:rsidRPr="00CB0F6E">
                        <w:rPr>
                          <w:rFonts w:ascii="Cambria" w:eastAsia="Cambria" w:hAnsi="Cambria" w:cs="Cambria"/>
                          <w:color w:val="595959"/>
                          <w:sz w:val="18"/>
                          <w:szCs w:val="18"/>
                          <w:u w:color="595959"/>
                          <w:lang w:val="pt-BR"/>
                        </w:rPr>
                        <w:t xml:space="preserve">CIDH, Informe No. </w:t>
                      </w:r>
                      <w:r w:rsidRPr="00FE01E2">
                        <w:rPr>
                          <w:rFonts w:ascii="Cambria" w:eastAsia="Cambria" w:hAnsi="Cambria" w:cs="Cambria"/>
                          <w:color w:val="595959"/>
                          <w:sz w:val="18"/>
                          <w:szCs w:val="18"/>
                          <w:u w:color="595959"/>
                          <w:lang w:val="pt-BR"/>
                        </w:rPr>
                        <w:t>9</w:t>
                      </w:r>
                      <w:r>
                        <w:rPr>
                          <w:rFonts w:ascii="Cambria" w:eastAsia="Cambria" w:hAnsi="Cambria" w:cs="Cambria"/>
                          <w:color w:val="595959"/>
                          <w:sz w:val="18"/>
                          <w:szCs w:val="18"/>
                          <w:u w:color="595959"/>
                          <w:lang w:val="pt-BR"/>
                        </w:rPr>
                        <w:t>3</w:t>
                      </w:r>
                      <w:r w:rsidRPr="00FE01E2">
                        <w:rPr>
                          <w:rFonts w:ascii="Cambria" w:eastAsia="Cambria" w:hAnsi="Cambria" w:cs="Cambria"/>
                          <w:color w:val="595959"/>
                          <w:sz w:val="18"/>
                          <w:szCs w:val="18"/>
                          <w:u w:color="595959"/>
                          <w:lang w:val="pt-BR"/>
                        </w:rPr>
                        <w:t>/</w:t>
                      </w:r>
                      <w:r>
                        <w:rPr>
                          <w:rFonts w:ascii="Cambria" w:eastAsia="Cambria" w:hAnsi="Cambria" w:cs="Cambria"/>
                          <w:color w:val="595959"/>
                          <w:sz w:val="18"/>
                          <w:szCs w:val="18"/>
                          <w:u w:color="595959"/>
                          <w:lang w:val="pt-BR"/>
                        </w:rPr>
                        <w:t>20</w:t>
                      </w:r>
                      <w:r w:rsidRPr="00FE01E2">
                        <w:rPr>
                          <w:rFonts w:ascii="Cambria" w:eastAsia="Cambria" w:hAnsi="Cambria" w:cs="Cambria"/>
                          <w:color w:val="595959"/>
                          <w:sz w:val="18"/>
                          <w:szCs w:val="18"/>
                          <w:u w:color="595959"/>
                          <w:lang w:val="pt-BR"/>
                        </w:rPr>
                        <w:t xml:space="preserve">. </w:t>
                      </w:r>
                      <w:r>
                        <w:rPr>
                          <w:rFonts w:ascii="Cambria" w:eastAsia="Cambria" w:hAnsi="Cambria" w:cs="Cambria"/>
                          <w:color w:val="595959"/>
                          <w:sz w:val="18"/>
                          <w:szCs w:val="18"/>
                          <w:u w:color="595959"/>
                          <w:lang w:val="es-ES_tradnl"/>
                        </w:rPr>
                        <w:t>Petición 501</w:t>
                      </w:r>
                      <w:r>
                        <w:rPr>
                          <w:rFonts w:ascii="Cambria" w:eastAsia="Cambria" w:hAnsi="Cambria" w:cs="Cambria"/>
                          <w:color w:val="595959"/>
                          <w:sz w:val="18"/>
                          <w:szCs w:val="18"/>
                          <w:u w:color="595959"/>
                          <w:lang w:val="es-ES_tradnl"/>
                        </w:rPr>
                        <w:t>-09</w:t>
                      </w:r>
                      <w:r>
                        <w:rPr>
                          <w:rFonts w:ascii="Cambria" w:eastAsia="Cambria" w:hAnsi="Cambria" w:cs="Cambria"/>
                          <w:color w:val="595959"/>
                          <w:sz w:val="18"/>
                          <w:szCs w:val="18"/>
                          <w:u w:color="595959"/>
                          <w:lang w:val="es-ES_tradnl"/>
                        </w:rPr>
                        <w:t xml:space="preserve">. </w:t>
                      </w:r>
                      <w:r>
                        <w:rPr>
                          <w:rFonts w:ascii="Cambria" w:eastAsia="Cambria" w:hAnsi="Cambria" w:cs="Cambria"/>
                          <w:color w:val="595959"/>
                          <w:sz w:val="18"/>
                          <w:szCs w:val="18"/>
                          <w:u w:color="595959"/>
                          <w:lang w:val="es-ES_tradnl"/>
                        </w:rPr>
                        <w:t>Admisibilidad. Rubiela Rojas Chica y otros</w:t>
                      </w:r>
                      <w:r>
                        <w:rPr>
                          <w:rFonts w:ascii="Cambria" w:eastAsia="Cambria" w:hAnsi="Cambria" w:cs="Cambria"/>
                          <w:color w:val="595959"/>
                          <w:sz w:val="18"/>
                          <w:szCs w:val="18"/>
                          <w:u w:color="595959"/>
                          <w:lang w:val="es-ES_tradnl"/>
                        </w:rPr>
                        <w:t>. Colombia</w:t>
                      </w:r>
                      <w:r>
                        <w:rPr>
                          <w:rFonts w:ascii="Cambria" w:eastAsia="Cambria" w:hAnsi="Cambria" w:cs="Cambria"/>
                          <w:color w:val="595959"/>
                          <w:sz w:val="18"/>
                          <w:szCs w:val="18"/>
                          <w:u w:color="595959"/>
                          <w:lang w:val="es-ES_tradnl"/>
                        </w:rPr>
                        <w:t>. 21 de abril de 2020</w:t>
                      </w:r>
                      <w:r>
                        <w:rPr>
                          <w:rFonts w:ascii="Cambria" w:eastAsia="Cambria" w:hAnsi="Cambria" w:cs="Cambria"/>
                          <w:color w:val="595959"/>
                          <w:sz w:val="18"/>
                          <w:szCs w:val="18"/>
                          <w:u w:color="595959"/>
                          <w:lang w:val="es-ES_tradnl"/>
                        </w:rPr>
                        <w:t>.</w:t>
                      </w:r>
                    </w:p>
                  </w:txbxContent>
                </v:textbox>
                <w10:wrap anchory="line"/>
              </v:rect>
            </w:pict>
          </mc:Fallback>
        </mc:AlternateContent>
      </w:r>
      <w:r>
        <w:t xml:space="preserve"> </w:t>
      </w: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D775C">
      <w:pPr>
        <w:pStyle w:val="Body"/>
        <w:tabs>
          <w:tab w:val="center" w:pos="5400"/>
        </w:tabs>
        <w:suppressAutoHyphens/>
        <w:jc w:val="center"/>
        <w:rPr>
          <w:rFonts w:ascii="Cambria" w:eastAsia="Cambria" w:hAnsi="Cambria" w:cs="Cambria"/>
          <w:sz w:val="18"/>
          <w:szCs w:val="18"/>
          <w:lang w:val="es-ES_tradnl"/>
        </w:rPr>
      </w:pPr>
    </w:p>
    <w:p w:rsidR="00FD775C" w:rsidRDefault="00FE01E2">
      <w:pPr>
        <w:pStyle w:val="Body"/>
        <w:tabs>
          <w:tab w:val="center" w:pos="5400"/>
        </w:tabs>
        <w:suppressAutoHyphens/>
        <w:jc w:val="center"/>
        <w:rPr>
          <w:rFonts w:ascii="Cambria" w:eastAsia="Cambria" w:hAnsi="Cambria" w:cs="Cambria"/>
          <w:sz w:val="18"/>
          <w:szCs w:val="18"/>
        </w:rPr>
      </w:pPr>
      <w:r>
        <w:rPr>
          <w:noProof/>
        </w:rPr>
        <mc:AlternateContent>
          <mc:Choice Requires="wps">
            <w:drawing>
              <wp:anchor distT="0" distB="0" distL="0" distR="0" simplePos="0" relativeHeight="251665408" behindDoc="0" locked="0" layoutInCell="1" allowOverlap="1">
                <wp:simplePos x="0" y="0"/>
                <wp:positionH relativeFrom="column">
                  <wp:posOffset>-299084</wp:posOffset>
                </wp:positionH>
                <wp:positionV relativeFrom="line">
                  <wp:posOffset>859155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rsidR="00FD775C" w:rsidRDefault="00FE01E2">
                            <w:pPr>
                              <w:pStyle w:val="Body"/>
                              <w:jc w:val="center"/>
                            </w:pPr>
                            <w:r>
                              <w:rPr>
                                <w:rFonts w:ascii="Calibri" w:eastAsia="Calibri" w:hAnsi="Calibri" w:cs="Calibri"/>
                                <w:b/>
                                <w:bCs/>
                                <w:color w:val="FFFFFF"/>
                                <w:u w:color="FFFFFF"/>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23.55pt;margin-top:67.65pt;width:93pt;height:26.2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" filled="f" stroked="f" strokeweight="1pt">
                <v:stroke miterlimit="4"/>
                <v:textbox inset="1.27mm,1.27mm,1.27mm,1.27mm">
                  <w:txbxContent>
                    <w:p w:rsidR="00FD775C" w:rsidRDefault="00FE01E2">
                      <w:pPr>
                        <w:pStyle w:val="Body"/>
                        <w:jc w:val="center"/>
                      </w:pPr>
                      <w:r>
                        <w:rPr>
                          <w:rFonts w:ascii="Calibri" w:eastAsia="Calibri" w:hAnsi="Calibri" w:cs="Calibri"/>
                          <w:b/>
                          <w:bCs/>
                          <w:color w:val="FFFFFF"/>
                          <w:u w:color="FFFFFF"/>
                        </w:rPr>
                        <w:t>www.cidh.org</w:t>
                      </w:r>
                    </w:p>
                  </w:txbxContent>
                </v:textbox>
                <w10:wrap anchory="line"/>
              </v:rect>
            </w:pict>
          </mc:Fallback>
        </mc:AlternateContent>
      </w:r>
    </w:p>
    <w:p w:rsidR="00FD775C" w:rsidRDefault="00B34F82">
      <w:pPr>
        <w:pStyle w:val="Body"/>
        <w:tabs>
          <w:tab w:val="center" w:pos="5400"/>
        </w:tabs>
        <w:suppressAutoHyphens/>
        <w:jc w:val="center"/>
        <w:sectPr w:rsidR="00FD77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pPr>
      <w:r>
        <w:rPr>
          <w:noProof/>
        </w:rPr>
        <w:drawing>
          <wp:anchor distT="0" distB="0" distL="114300" distR="114300" simplePos="0" relativeHeight="251668480" behindDoc="0" locked="0" layoutInCell="1" allowOverlap="1" wp14:anchorId="5274F70B" wp14:editId="6C362FCF">
            <wp:simplePos x="0" y="0"/>
            <wp:positionH relativeFrom="column">
              <wp:posOffset>1289957</wp:posOffset>
            </wp:positionH>
            <wp:positionV relativeFrom="page">
              <wp:posOffset>9097010</wp:posOffset>
            </wp:positionV>
            <wp:extent cx="1515745" cy="391160"/>
            <wp:effectExtent l="0" t="0" r="8255" b="8890"/>
            <wp:wrapSquare wrapText="bothSides"/>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14:sizeRelH relativeFrom="page">
              <wp14:pctWidth>0</wp14:pctWidth>
            </wp14:sizeRelH>
            <wp14:sizeRelV relativeFrom="page">
              <wp14:pctHeight>0</wp14:pctHeight>
            </wp14:sizeRelV>
          </wp:anchor>
        </w:drawing>
      </w:r>
      <w:r w:rsidR="00FE01E2">
        <w:rPr>
          <w:noProof/>
        </w:rPr>
        <mc:AlternateContent>
          <mc:Choice Requires="wpg">
            <w:drawing>
              <wp:anchor distT="0" distB="0" distL="0" distR="0" simplePos="0" relativeHeight="251666432" behindDoc="0" locked="0" layoutInCell="1" allowOverlap="1">
                <wp:simplePos x="0" y="0"/>
                <wp:positionH relativeFrom="column">
                  <wp:posOffset>1329689</wp:posOffset>
                </wp:positionH>
                <wp:positionV relativeFrom="line">
                  <wp:posOffset>504825</wp:posOffset>
                </wp:positionV>
                <wp:extent cx="4096385" cy="567055"/>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4096385" cy="567055"/>
                          <a:chOff x="0" y="0"/>
                          <a:chExt cx="4096384" cy="567054"/>
                        </a:xfrm>
                      </wpg:grpSpPr>
                      <wps:wsp>
                        <wps:cNvPr id="1073741834" name="Shape 1073741834"/>
                        <wps:cNvSpPr/>
                        <wps:spPr>
                          <a:xfrm>
                            <a:off x="0" y="0"/>
                            <a:ext cx="4096385" cy="567055"/>
                          </a:xfrm>
                          <a:prstGeom prst="rect">
                            <a:avLst/>
                          </a:prstGeom>
                          <a:solidFill>
                            <a:srgbClr val="FFFFFF"/>
                          </a:solidFill>
                          <a:ln w="12700" cap="flat">
                            <a:noFill/>
                            <a:miter lim="400000"/>
                          </a:ln>
                          <a:effectLst/>
                        </wps:spPr>
                        <wps:bodyPr/>
                      </wps:wsp>
                      <wps:wsp>
                        <wps:cNvPr id="1073741835" name="Shape 1073741835"/>
                        <wps:cNvSpPr/>
                        <wps:spPr>
                          <a:xfrm>
                            <a:off x="0" y="0"/>
                            <a:ext cx="4096385" cy="567055"/>
                          </a:xfrm>
                          <a:prstGeom prst="rect">
                            <a:avLst/>
                          </a:prstGeom>
                          <a:noFill/>
                          <a:ln w="12700" cap="flat">
                            <a:noFill/>
                            <a:miter lim="400000"/>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id="_x0000_s1033" style="visibility:visible;position:absolute;margin-left:104.7pt;margin-top:39.8pt;width:322.5pt;height:44.6pt;z-index:251666432;mso-position-horizontal:absolute;mso-position-horizontal-relative:text;mso-position-vertical:absolute;mso-position-vertical-relative:line;mso-wrap-distance-left:0.0pt;mso-wrap-distance-top:0.0pt;mso-wrap-distance-right:0.0pt;mso-wrap-distance-bottom:0.0pt;" coordorigin="0,0" coordsize="4096385,567055">
                <w10:wrap type="none" side="bothSides" anchorx="text"/>
                <v:rect id="_x0000_s1034" style="position:absolute;left:0;top:0;width:4096385;height:567055;">
                  <v:fill color="#FFFFF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0;top:0;width:4096385;height:567055;">
                  <v:fill on="f"/>
                  <v:stroke on="f" weight="1.0pt" dashstyle="solid" endcap="flat" miterlimit="400.0%" joinstyle="miter" linestyle="single" startarrow="none" startarrowwidth="medium" startarrowlength="medium" endarrow="none" endarrowwidth="medium" endarrowlength="medium"/>
                </v:rect>
              </v:group>
            </w:pict>
          </mc:Fallback>
        </mc:AlternateContent>
      </w:r>
    </w:p>
    <w:p w:rsidR="00FD775C" w:rsidRDefault="00FE01E2">
      <w:pPr>
        <w:pStyle w:val="Body"/>
        <w:spacing w:after="120"/>
        <w:ind w:firstLine="720"/>
        <w:jc w:val="both"/>
        <w:rPr>
          <w:rFonts w:ascii="Cambria" w:eastAsia="Cambria" w:hAnsi="Cambria" w:cs="Cambria"/>
          <w:b/>
          <w:bCs/>
          <w:sz w:val="20"/>
          <w:szCs w:val="20"/>
        </w:rPr>
      </w:pPr>
      <w:r>
        <w:rPr>
          <w:rFonts w:ascii="Cambria" w:eastAsia="Cambria" w:hAnsi="Cambria" w:cs="Cambria"/>
          <w:b/>
          <w:bCs/>
          <w:sz w:val="20"/>
          <w:szCs w:val="20"/>
          <w:lang w:val="es-ES_tradnl"/>
        </w:rPr>
        <w:lastRenderedPageBreak/>
        <w:t>I.</w:t>
      </w:r>
      <w:r>
        <w:rPr>
          <w:rFonts w:ascii="Cambria" w:eastAsia="Cambria" w:hAnsi="Cambria" w:cs="Cambria"/>
          <w:b/>
          <w:bCs/>
          <w:sz w:val="20"/>
          <w:szCs w:val="20"/>
          <w:lang w:val="es-ES_tradnl"/>
        </w:rPr>
        <w:tab/>
        <w:t xml:space="preserve">DATOS DE LA PETICIÓN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59"/>
        <w:gridCol w:w="5801"/>
      </w:tblGrid>
      <w:tr w:rsidR="00FD775C" w:rsidRPr="00F527A6" w:rsidTr="00632C51">
        <w:trPr>
          <w:trHeight w:val="204"/>
        </w:trPr>
        <w:tc>
          <w:tcPr>
            <w:tcW w:w="3559" w:type="dxa"/>
            <w:tcBorders>
              <w:top w:val="single" w:sz="4" w:space="0" w:color="auto"/>
              <w:left w:val="single" w:sz="4" w:space="0" w:color="auto"/>
              <w:bottom w:val="single" w:sz="4" w:space="0" w:color="auto"/>
              <w:right w:val="single" w:sz="4" w:space="0" w:color="auto"/>
            </w:tcBorders>
            <w:shd w:val="clear" w:color="auto" w:fill="4A7194"/>
            <w:tcMar>
              <w:top w:w="80" w:type="dxa"/>
              <w:left w:w="80" w:type="dxa"/>
              <w:bottom w:w="80" w:type="dxa"/>
              <w:right w:w="80" w:type="dxa"/>
            </w:tcMar>
            <w:vAlign w:val="center"/>
          </w:tcPr>
          <w:p w:rsidR="00FD775C" w:rsidRPr="00CB0F6E" w:rsidRDefault="00FE01E2" w:rsidP="00CB0F6E">
            <w:pPr>
              <w:jc w:val="center"/>
              <w:rPr>
                <w:rFonts w:ascii="Cambria" w:hAnsi="Cambria"/>
                <w:bCs/>
                <w:color w:val="FFFFFF"/>
                <w:sz w:val="19"/>
                <w:szCs w:val="19"/>
                <w:bdr w:val="none" w:sz="0" w:space="0" w:color="auto"/>
                <w:lang w:val="es-ES"/>
              </w:rPr>
            </w:pPr>
            <w:r w:rsidRPr="00CB0F6E">
              <w:rPr>
                <w:rFonts w:ascii="Cambria" w:hAnsi="Cambria"/>
                <w:bCs/>
                <w:color w:val="FFFFFF"/>
                <w:sz w:val="19"/>
                <w:szCs w:val="19"/>
                <w:bdr w:val="none" w:sz="0" w:space="0" w:color="auto"/>
                <w:lang w:val="es-ES"/>
              </w:rPr>
              <w:t>Parte peticionaria:</w:t>
            </w:r>
          </w:p>
        </w:tc>
        <w:tc>
          <w:tcPr>
            <w:tcW w:w="5801" w:type="dxa"/>
            <w:tcBorders>
              <w:top w:val="single" w:sz="4" w:space="0" w:color="000000"/>
              <w:left w:val="single" w:sz="4" w:space="0" w:color="auto"/>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Pr="00CB0F6E" w:rsidRDefault="00FE01E2">
            <w:pPr>
              <w:pStyle w:val="Body"/>
              <w:jc w:val="both"/>
              <w:rPr>
                <w:lang w:val="es-419"/>
              </w:rPr>
            </w:pPr>
            <w:r>
              <w:rPr>
                <w:rFonts w:ascii="Cambria" w:eastAsia="Cambria" w:hAnsi="Cambria" w:cs="Cambria"/>
                <w:sz w:val="19"/>
                <w:szCs w:val="19"/>
                <w:lang w:val="es-ES_tradnl"/>
              </w:rPr>
              <w:t>Rubiela Rojas Chica y otros</w:t>
            </w:r>
          </w:p>
        </w:tc>
      </w:tr>
      <w:tr w:rsidR="00FD775C" w:rsidRPr="00F527A6" w:rsidTr="00632C51">
        <w:trPr>
          <w:trHeight w:val="207"/>
        </w:trPr>
        <w:tc>
          <w:tcPr>
            <w:tcW w:w="3559" w:type="dxa"/>
            <w:tcBorders>
              <w:top w:val="single" w:sz="4" w:space="0" w:color="auto"/>
              <w:left w:val="single" w:sz="4" w:space="0" w:color="auto"/>
              <w:bottom w:val="single" w:sz="4" w:space="0" w:color="auto"/>
              <w:right w:val="single" w:sz="4" w:space="0" w:color="auto"/>
            </w:tcBorders>
            <w:shd w:val="clear" w:color="auto" w:fill="4A7194"/>
            <w:tcMar>
              <w:top w:w="80" w:type="dxa"/>
              <w:left w:w="80" w:type="dxa"/>
              <w:bottom w:w="80" w:type="dxa"/>
              <w:right w:w="80" w:type="dxa"/>
            </w:tcMar>
            <w:vAlign w:val="center"/>
          </w:tcPr>
          <w:p w:rsidR="00FD775C" w:rsidRPr="00CB0F6E" w:rsidRDefault="00FE01E2" w:rsidP="00CB0F6E">
            <w:pPr>
              <w:jc w:val="center"/>
              <w:rPr>
                <w:rFonts w:ascii="Cambria" w:hAnsi="Cambria"/>
                <w:bCs/>
                <w:color w:val="FFFFFF"/>
                <w:sz w:val="19"/>
                <w:szCs w:val="19"/>
                <w:bdr w:val="none" w:sz="0" w:space="0" w:color="auto"/>
                <w:lang w:val="es-ES"/>
              </w:rPr>
            </w:pPr>
            <w:r w:rsidRPr="00CB0F6E">
              <w:rPr>
                <w:rFonts w:ascii="Cambria" w:hAnsi="Cambria"/>
                <w:bCs/>
                <w:color w:val="FFFFFF"/>
                <w:sz w:val="19"/>
                <w:szCs w:val="19"/>
                <w:bdr w:val="none" w:sz="0" w:space="0" w:color="auto"/>
                <w:lang w:val="es-ES"/>
              </w:rPr>
              <w:t>Presuntas víctimas:</w:t>
            </w:r>
          </w:p>
        </w:tc>
        <w:tc>
          <w:tcPr>
            <w:tcW w:w="5801" w:type="dxa"/>
            <w:tcBorders>
              <w:top w:val="single" w:sz="6" w:space="0" w:color="000000"/>
              <w:left w:val="single" w:sz="4" w:space="0" w:color="auto"/>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Pr="00CB0F6E" w:rsidRDefault="00FE01E2">
            <w:pPr>
              <w:pStyle w:val="Body"/>
              <w:jc w:val="both"/>
              <w:rPr>
                <w:lang w:val="es-419"/>
              </w:rPr>
            </w:pPr>
            <w:r>
              <w:rPr>
                <w:rFonts w:ascii="Cambria" w:eastAsia="Cambria" w:hAnsi="Cambria" w:cs="Cambria"/>
                <w:sz w:val="19"/>
                <w:szCs w:val="19"/>
                <w:lang w:val="es-ES_tradnl"/>
              </w:rPr>
              <w:t>Rubiela Rojas Chica y otros</w:t>
            </w:r>
          </w:p>
        </w:tc>
      </w:tr>
      <w:tr w:rsidR="00FD775C" w:rsidTr="00632C51">
        <w:trPr>
          <w:trHeight w:val="207"/>
        </w:trPr>
        <w:tc>
          <w:tcPr>
            <w:tcW w:w="3559" w:type="dxa"/>
            <w:tcBorders>
              <w:top w:val="single" w:sz="4" w:space="0" w:color="auto"/>
              <w:left w:val="single" w:sz="4" w:space="0" w:color="auto"/>
              <w:bottom w:val="single" w:sz="4" w:space="0" w:color="auto"/>
              <w:right w:val="single" w:sz="4" w:space="0" w:color="auto"/>
            </w:tcBorders>
            <w:shd w:val="clear" w:color="auto" w:fill="4A7194"/>
            <w:tcMar>
              <w:top w:w="80" w:type="dxa"/>
              <w:left w:w="80" w:type="dxa"/>
              <w:bottom w:w="80" w:type="dxa"/>
              <w:right w:w="80" w:type="dxa"/>
            </w:tcMar>
            <w:vAlign w:val="center"/>
          </w:tcPr>
          <w:p w:rsidR="00FD775C" w:rsidRPr="00CB0F6E" w:rsidRDefault="00FE01E2" w:rsidP="00CB0F6E">
            <w:pPr>
              <w:jc w:val="center"/>
              <w:rPr>
                <w:rFonts w:ascii="Cambria" w:hAnsi="Cambria"/>
                <w:bCs/>
                <w:color w:val="FFFFFF"/>
                <w:sz w:val="19"/>
                <w:szCs w:val="19"/>
                <w:bdr w:val="none" w:sz="0" w:space="0" w:color="auto"/>
                <w:lang w:val="es-ES"/>
              </w:rPr>
            </w:pPr>
            <w:r w:rsidRPr="00CB0F6E">
              <w:rPr>
                <w:rFonts w:ascii="Cambria" w:hAnsi="Cambria"/>
                <w:bCs/>
                <w:color w:val="FFFFFF"/>
                <w:sz w:val="19"/>
                <w:szCs w:val="19"/>
                <w:bdr w:val="none" w:sz="0" w:space="0" w:color="auto"/>
                <w:lang w:val="es-ES"/>
              </w:rPr>
              <w:t>Estado denunciado:</w:t>
            </w:r>
          </w:p>
        </w:tc>
        <w:tc>
          <w:tcPr>
            <w:tcW w:w="5801" w:type="dxa"/>
            <w:tcBorders>
              <w:top w:val="single" w:sz="6" w:space="0" w:color="000000"/>
              <w:left w:val="single" w:sz="4" w:space="0" w:color="auto"/>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jc w:val="both"/>
            </w:pPr>
            <w:r>
              <w:rPr>
                <w:rFonts w:ascii="Cambria" w:eastAsia="Cambria" w:hAnsi="Cambria" w:cs="Cambria"/>
                <w:sz w:val="19"/>
                <w:szCs w:val="19"/>
                <w:lang w:val="es-ES_tradnl"/>
              </w:rPr>
              <w:t xml:space="preserve">Colombia </w:t>
            </w:r>
          </w:p>
        </w:tc>
      </w:tr>
      <w:tr w:rsidR="00FD775C" w:rsidRPr="00F527A6" w:rsidTr="00632C51">
        <w:trPr>
          <w:trHeight w:val="204"/>
        </w:trPr>
        <w:tc>
          <w:tcPr>
            <w:tcW w:w="3559" w:type="dxa"/>
            <w:tcBorders>
              <w:top w:val="single" w:sz="4" w:space="0" w:color="auto"/>
              <w:left w:val="single" w:sz="4" w:space="0" w:color="auto"/>
              <w:bottom w:val="single" w:sz="4" w:space="0" w:color="auto"/>
              <w:right w:val="single" w:sz="4" w:space="0" w:color="auto"/>
            </w:tcBorders>
            <w:shd w:val="clear" w:color="auto" w:fill="4A7194"/>
            <w:tcMar>
              <w:top w:w="80" w:type="dxa"/>
              <w:left w:w="80" w:type="dxa"/>
              <w:bottom w:w="80" w:type="dxa"/>
              <w:right w:w="80" w:type="dxa"/>
            </w:tcMar>
            <w:vAlign w:val="center"/>
          </w:tcPr>
          <w:p w:rsidR="00FD775C" w:rsidRPr="00CB0F6E" w:rsidRDefault="00FE01E2" w:rsidP="00CB0F6E">
            <w:pPr>
              <w:jc w:val="center"/>
              <w:rPr>
                <w:rFonts w:ascii="Cambria" w:hAnsi="Cambria"/>
                <w:bCs/>
                <w:color w:val="FFFFFF"/>
                <w:sz w:val="19"/>
                <w:szCs w:val="19"/>
                <w:bdr w:val="none" w:sz="0" w:space="0" w:color="auto"/>
                <w:lang w:val="es-ES"/>
              </w:rPr>
            </w:pPr>
            <w:r w:rsidRPr="00CB0F6E">
              <w:rPr>
                <w:rFonts w:ascii="Cambria" w:hAnsi="Cambria"/>
                <w:bCs/>
                <w:color w:val="FFFFFF"/>
                <w:sz w:val="19"/>
                <w:szCs w:val="19"/>
                <w:bdr w:val="none" w:sz="0" w:space="0" w:color="auto"/>
                <w:lang w:val="es-ES"/>
              </w:rPr>
              <w:t>Derechos invocados:</w:t>
            </w:r>
          </w:p>
        </w:tc>
        <w:tc>
          <w:tcPr>
            <w:tcW w:w="5801" w:type="dxa"/>
            <w:tcBorders>
              <w:top w:val="single" w:sz="6"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D775C" w:rsidRPr="00CB0F6E" w:rsidRDefault="00FE01E2">
            <w:pPr>
              <w:pStyle w:val="Body"/>
              <w:rPr>
                <w:lang w:val="es-419"/>
              </w:rPr>
            </w:pPr>
            <w:r>
              <w:rPr>
                <w:rFonts w:ascii="Cambria" w:eastAsia="Cambria" w:hAnsi="Cambria" w:cs="Cambria"/>
                <w:sz w:val="19"/>
                <w:szCs w:val="19"/>
                <w:lang w:val="es-ES_tradnl"/>
              </w:rPr>
              <w:t>Artículos 8 y 26 de la Convención Americana sobre Derechos Humanos</w:t>
            </w:r>
          </w:p>
        </w:tc>
      </w:tr>
    </w:tbl>
    <w:p w:rsidR="00FD775C" w:rsidRPr="00CB0F6E" w:rsidRDefault="00FE01E2">
      <w:pPr>
        <w:pStyle w:val="Body"/>
        <w:spacing w:before="120" w:after="12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II.</w:t>
      </w:r>
      <w:r>
        <w:rPr>
          <w:rFonts w:ascii="Cambria" w:eastAsia="Cambria" w:hAnsi="Cambria" w:cs="Cambria"/>
          <w:b/>
          <w:bCs/>
          <w:sz w:val="20"/>
          <w:szCs w:val="20"/>
          <w:lang w:val="es-ES_tradnl"/>
        </w:rPr>
        <w:tab/>
        <w:t>TRÁMITE ANTE LA CIDH</w:t>
      </w:r>
      <w:r>
        <w:rPr>
          <w:rFonts w:ascii="Cambria" w:eastAsia="Cambria" w:hAnsi="Cambria" w:cs="Cambria"/>
          <w:b/>
          <w:bCs/>
          <w:sz w:val="20"/>
          <w:szCs w:val="20"/>
          <w:vertAlign w:val="superscript"/>
          <w:lang w:val="es-ES_tradnl"/>
        </w:rPr>
        <w:footnoteReference w:id="2"/>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FD775C" w:rsidTr="00CB0F6E">
        <w:trPr>
          <w:trHeight w:val="204"/>
        </w:trPr>
        <w:tc>
          <w:tcPr>
            <w:tcW w:w="3600" w:type="dxa"/>
            <w:tcBorders>
              <w:top w:val="single" w:sz="4"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r>
              <w:rPr>
                <w:rFonts w:ascii="Cambria" w:eastAsia="Cambria" w:hAnsi="Cambria" w:cs="Cambria"/>
                <w:color w:val="FFFFFF"/>
                <w:sz w:val="19"/>
                <w:szCs w:val="19"/>
                <w:u w:color="FFFFFF"/>
                <w:lang w:val="es-ES_tradnl"/>
              </w:rPr>
              <w:t>Presentación de la petición:</w:t>
            </w:r>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jc w:val="both"/>
            </w:pPr>
            <w:r>
              <w:rPr>
                <w:rFonts w:ascii="Cambria" w:eastAsia="Cambria" w:hAnsi="Cambria" w:cs="Cambria"/>
                <w:sz w:val="19"/>
                <w:szCs w:val="19"/>
                <w:lang w:val="es-ES_tradnl"/>
              </w:rPr>
              <w:t>24 de abril de 2009</w:t>
            </w:r>
          </w:p>
        </w:tc>
      </w:tr>
      <w:tr w:rsidR="00FD775C" w:rsidTr="00CB0F6E">
        <w:trPr>
          <w:trHeight w:val="207"/>
        </w:trPr>
        <w:tc>
          <w:tcPr>
            <w:tcW w:w="3600" w:type="dxa"/>
            <w:tcBorders>
              <w:top w:val="single" w:sz="6"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Pr="00CB0F6E" w:rsidRDefault="00FE01E2">
            <w:pPr>
              <w:pStyle w:val="Body"/>
              <w:jc w:val="center"/>
              <w:rPr>
                <w:lang w:val="es-419"/>
              </w:rPr>
            </w:pPr>
            <w:r>
              <w:rPr>
                <w:rFonts w:ascii="Cambria" w:eastAsia="Cambria" w:hAnsi="Cambria" w:cs="Cambria"/>
                <w:color w:val="FFFFFF"/>
                <w:sz w:val="19"/>
                <w:szCs w:val="19"/>
                <w:u w:color="FFFFFF"/>
                <w:lang w:val="es-ES_tradnl"/>
              </w:rPr>
              <w:t>Notificación de la petición al Estado:</w:t>
            </w:r>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jc w:val="both"/>
            </w:pPr>
            <w:r>
              <w:rPr>
                <w:rFonts w:ascii="Cambria" w:eastAsia="Cambria" w:hAnsi="Cambria" w:cs="Cambria"/>
                <w:sz w:val="19"/>
                <w:szCs w:val="19"/>
                <w:lang w:val="es-ES_tradnl"/>
              </w:rPr>
              <w:t>11 de junio de 2014</w:t>
            </w:r>
          </w:p>
        </w:tc>
      </w:tr>
      <w:tr w:rsidR="00FD775C" w:rsidTr="00CB0F6E">
        <w:trPr>
          <w:trHeight w:val="204"/>
        </w:trPr>
        <w:tc>
          <w:tcPr>
            <w:tcW w:w="3600" w:type="dxa"/>
            <w:tcBorders>
              <w:top w:val="single" w:sz="6" w:space="0" w:color="000000"/>
              <w:left w:val="single" w:sz="4" w:space="0" w:color="000000"/>
              <w:bottom w:val="single" w:sz="4"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r>
              <w:rPr>
                <w:rFonts w:ascii="Cambria" w:eastAsia="Cambria" w:hAnsi="Cambria" w:cs="Cambria"/>
                <w:color w:val="FFFFFF"/>
                <w:sz w:val="19"/>
                <w:szCs w:val="19"/>
                <w:u w:color="FFFFFF"/>
                <w:lang w:val="es-ES_tradnl"/>
              </w:rPr>
              <w:t>Primera presupuesta del Estado:</w:t>
            </w:r>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jc w:val="both"/>
            </w:pPr>
            <w:r>
              <w:rPr>
                <w:rFonts w:ascii="Cambria" w:eastAsia="Cambria" w:hAnsi="Cambria" w:cs="Cambria"/>
                <w:sz w:val="19"/>
                <w:szCs w:val="19"/>
                <w:lang w:val="es-ES_tradnl"/>
              </w:rPr>
              <w:t>13 de noviembre de 2015</w:t>
            </w:r>
          </w:p>
        </w:tc>
      </w:tr>
    </w:tbl>
    <w:p w:rsidR="00FD775C" w:rsidRDefault="00FE01E2">
      <w:pPr>
        <w:pStyle w:val="Body"/>
        <w:spacing w:before="120" w:after="120"/>
        <w:ind w:firstLine="720"/>
        <w:jc w:val="both"/>
        <w:rPr>
          <w:rFonts w:ascii="Cambria" w:eastAsia="Cambria" w:hAnsi="Cambria" w:cs="Cambria"/>
          <w:b/>
          <w:bCs/>
          <w:sz w:val="20"/>
          <w:szCs w:val="20"/>
        </w:rPr>
      </w:pPr>
      <w:r>
        <w:rPr>
          <w:rFonts w:ascii="Cambria" w:eastAsia="Cambria" w:hAnsi="Cambria" w:cs="Cambria"/>
          <w:b/>
          <w:bCs/>
          <w:sz w:val="20"/>
          <w:szCs w:val="20"/>
          <w:lang w:val="es-ES_tradnl"/>
        </w:rPr>
        <w:t xml:space="preserve">III. </w:t>
      </w:r>
      <w:r>
        <w:rPr>
          <w:rFonts w:ascii="Cambria" w:eastAsia="Cambria" w:hAnsi="Cambria" w:cs="Cambria"/>
          <w:b/>
          <w:bCs/>
          <w:sz w:val="20"/>
          <w:szCs w:val="20"/>
          <w:lang w:val="es-ES_tradnl"/>
        </w:rPr>
        <w:tab/>
        <w:t xml:space="preserve">COMPETENCIA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FD775C" w:rsidTr="00CB0F6E">
        <w:trPr>
          <w:trHeight w:val="204"/>
        </w:trPr>
        <w:tc>
          <w:tcPr>
            <w:tcW w:w="3600" w:type="dxa"/>
            <w:tcBorders>
              <w:top w:val="single" w:sz="4"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personae</w:t>
            </w:r>
            <w:proofErr w:type="spellEnd"/>
            <w:r>
              <w:rPr>
                <w:rFonts w:ascii="Cambria" w:eastAsia="Cambria" w:hAnsi="Cambria" w:cs="Cambria"/>
                <w:i/>
                <w:iCs/>
                <w:color w:val="FFFFFF"/>
                <w:sz w:val="19"/>
                <w:szCs w:val="19"/>
                <w:u w:color="FFFFFF"/>
                <w:lang w:val="es-ES_tradnl"/>
              </w:rPr>
              <w:t>:</w:t>
            </w:r>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pPr>
            <w:r>
              <w:rPr>
                <w:rFonts w:ascii="Cambria" w:eastAsia="Cambria" w:hAnsi="Cambria" w:cs="Cambria"/>
                <w:sz w:val="19"/>
                <w:szCs w:val="19"/>
                <w:lang w:val="es-ES_tradnl"/>
              </w:rPr>
              <w:t>Sí</w:t>
            </w:r>
          </w:p>
        </w:tc>
      </w:tr>
      <w:tr w:rsidR="00FD775C" w:rsidTr="00CB0F6E">
        <w:trPr>
          <w:trHeight w:val="207"/>
        </w:trPr>
        <w:tc>
          <w:tcPr>
            <w:tcW w:w="3600" w:type="dxa"/>
            <w:tcBorders>
              <w:top w:val="single" w:sz="6"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loci</w:t>
            </w:r>
            <w:proofErr w:type="spellEnd"/>
            <w:r>
              <w:rPr>
                <w:rFonts w:ascii="Cambria" w:eastAsia="Cambria" w:hAnsi="Cambria" w:cs="Cambria"/>
                <w:color w:val="FFFFFF"/>
                <w:sz w:val="19"/>
                <w:szCs w:val="19"/>
                <w:u w:color="FFFFFF"/>
                <w:lang w:val="es-ES_tradnl"/>
              </w:rPr>
              <w:t>:</w:t>
            </w:r>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pPr>
            <w:r>
              <w:rPr>
                <w:rFonts w:ascii="Cambria" w:eastAsia="Cambria" w:hAnsi="Cambria" w:cs="Cambria"/>
                <w:sz w:val="19"/>
                <w:szCs w:val="19"/>
                <w:lang w:val="es-ES_tradnl"/>
              </w:rPr>
              <w:t>Sí</w:t>
            </w:r>
          </w:p>
        </w:tc>
      </w:tr>
      <w:tr w:rsidR="00FD775C" w:rsidTr="00CB0F6E">
        <w:trPr>
          <w:trHeight w:val="207"/>
        </w:trPr>
        <w:tc>
          <w:tcPr>
            <w:tcW w:w="3600" w:type="dxa"/>
            <w:tcBorders>
              <w:top w:val="single" w:sz="6"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temporis</w:t>
            </w:r>
            <w:proofErr w:type="spellEnd"/>
            <w:r>
              <w:rPr>
                <w:rFonts w:ascii="Cambria" w:eastAsia="Cambria" w:hAnsi="Cambria" w:cs="Cambria"/>
                <w:color w:val="FFFFFF"/>
                <w:sz w:val="19"/>
                <w:szCs w:val="19"/>
                <w:u w:color="FFFFFF"/>
                <w:lang w:val="es-ES_tradnl"/>
              </w:rPr>
              <w:t>:</w:t>
            </w:r>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pPr>
            <w:r>
              <w:rPr>
                <w:rFonts w:ascii="Cambria" w:eastAsia="Cambria" w:hAnsi="Cambria" w:cs="Cambria"/>
                <w:sz w:val="19"/>
                <w:szCs w:val="19"/>
                <w:lang w:val="es-ES_tradnl"/>
              </w:rPr>
              <w:t>Sí</w:t>
            </w:r>
          </w:p>
        </w:tc>
      </w:tr>
      <w:tr w:rsidR="00FD775C" w:rsidRPr="00F527A6" w:rsidTr="00CB0F6E">
        <w:trPr>
          <w:trHeight w:val="404"/>
        </w:trPr>
        <w:tc>
          <w:tcPr>
            <w:tcW w:w="3600" w:type="dxa"/>
            <w:tcBorders>
              <w:top w:val="single" w:sz="6" w:space="0" w:color="000000"/>
              <w:left w:val="single" w:sz="4" w:space="0" w:color="000000"/>
              <w:bottom w:val="single" w:sz="4"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materiae</w:t>
            </w:r>
            <w:proofErr w:type="spellEnd"/>
            <w:r>
              <w:rPr>
                <w:rFonts w:ascii="Cambria" w:eastAsia="Cambria" w:hAnsi="Cambria" w:cs="Cambria"/>
                <w:color w:val="FFFFFF"/>
                <w:sz w:val="19"/>
                <w:szCs w:val="19"/>
                <w:u w:color="FFFFFF"/>
                <w:lang w:val="es-ES_tradnl"/>
              </w:rPr>
              <w:t>:</w:t>
            </w:r>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775C" w:rsidRPr="00CB0F6E" w:rsidRDefault="00FE01E2">
            <w:pPr>
              <w:pStyle w:val="Body"/>
              <w:rPr>
                <w:lang w:val="es-419"/>
              </w:rPr>
            </w:pPr>
            <w:r>
              <w:rPr>
                <w:rFonts w:ascii="Cambria" w:eastAsia="Cambria" w:hAnsi="Cambria" w:cs="Cambria"/>
                <w:sz w:val="19"/>
                <w:szCs w:val="19"/>
                <w:lang w:val="es-ES_tradnl"/>
              </w:rPr>
              <w:t>Sí, Convención Americana (depósito de instrumento realizado el 31 de julio de 1973)</w:t>
            </w:r>
          </w:p>
        </w:tc>
      </w:tr>
    </w:tbl>
    <w:p w:rsidR="00FD775C" w:rsidRPr="00CB0F6E" w:rsidRDefault="00FE01E2">
      <w:pPr>
        <w:pStyle w:val="Body"/>
        <w:spacing w:before="120" w:after="12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 xml:space="preserve">IV. </w:t>
      </w:r>
      <w:r>
        <w:rPr>
          <w:rFonts w:ascii="Cambria" w:eastAsia="Cambria" w:hAnsi="Cambria" w:cs="Cambria"/>
          <w:b/>
          <w:bCs/>
          <w:sz w:val="20"/>
          <w:szCs w:val="20"/>
          <w:lang w:val="es-ES_tradnl"/>
        </w:rPr>
        <w:tab/>
        <w:t>DUPLICACIÓN DE PROCEDIMIENTOS Y COSA JUZGADA INTERNACIONAL, CARACTERIZACIÓN, AGOTAMIENTO DE LOS RECURSOS INTERNOS Y PLAZO DE PRESENTACIÓN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FD775C" w:rsidTr="00CB0F6E">
        <w:trPr>
          <w:trHeight w:val="404"/>
        </w:trPr>
        <w:tc>
          <w:tcPr>
            <w:tcW w:w="3600" w:type="dxa"/>
            <w:tcBorders>
              <w:top w:val="single" w:sz="4"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Pr="00CB0F6E" w:rsidRDefault="00FE01E2">
            <w:pPr>
              <w:pStyle w:val="Body"/>
              <w:jc w:val="center"/>
              <w:rPr>
                <w:lang w:val="es-419"/>
              </w:rPr>
            </w:pPr>
            <w:r>
              <w:rPr>
                <w:rFonts w:ascii="Cambria" w:eastAsia="Cambria" w:hAnsi="Cambria" w:cs="Cambria"/>
                <w:color w:val="FFFFFF"/>
                <w:sz w:val="19"/>
                <w:szCs w:val="19"/>
                <w:u w:color="FFFFFF"/>
                <w:lang w:val="es-ES_tradnl"/>
              </w:rPr>
              <w:t>Duplicación de procedimientos y cosa juzgada internacional:</w:t>
            </w:r>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jc w:val="both"/>
            </w:pPr>
            <w:r>
              <w:rPr>
                <w:rFonts w:ascii="Cambria" w:eastAsia="Cambria" w:hAnsi="Cambria" w:cs="Cambria"/>
                <w:sz w:val="19"/>
                <w:szCs w:val="19"/>
                <w:lang w:val="es-ES_tradnl"/>
              </w:rPr>
              <w:t>No</w:t>
            </w:r>
          </w:p>
        </w:tc>
      </w:tr>
      <w:tr w:rsidR="00FD775C" w:rsidRPr="00F527A6" w:rsidTr="00CB0F6E">
        <w:trPr>
          <w:trHeight w:val="1207"/>
        </w:trPr>
        <w:tc>
          <w:tcPr>
            <w:tcW w:w="3600" w:type="dxa"/>
            <w:tcBorders>
              <w:top w:val="single" w:sz="6"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r>
              <w:rPr>
                <w:rFonts w:ascii="Cambria" w:eastAsia="Cambria" w:hAnsi="Cambria" w:cs="Cambria"/>
                <w:color w:val="FFFFFF"/>
                <w:sz w:val="19"/>
                <w:szCs w:val="19"/>
                <w:u w:color="FFFFFF"/>
                <w:lang w:val="es-ES_tradnl"/>
              </w:rPr>
              <w:t>Derechos declarados admisibles:</w:t>
            </w:r>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Pr="00CB0F6E" w:rsidRDefault="00FE01E2">
            <w:pPr>
              <w:pStyle w:val="Body"/>
              <w:rPr>
                <w:lang w:val="es-419"/>
              </w:rPr>
            </w:pPr>
            <w:r>
              <w:rPr>
                <w:rFonts w:ascii="Cambria" w:eastAsia="Cambria" w:hAnsi="Cambria" w:cs="Cambria"/>
                <w:sz w:val="19"/>
                <w:szCs w:val="19"/>
                <w:lang w:val="es-ES_tradnl"/>
              </w:rPr>
              <w:t>Artículos 8 (derecho a las garantías judiciales), 21 (derecho a la propiedad privada), 25 (derecho a la protección judicial) y 26 (derechos económicos, sociales y culturales), todos ellos en relación con los artículos 1 (obligación de respetar los derechos) y 2 (deber de adoptar disposiciones de derecho interno) de la Convención Americana sobre Derechos Humanos.</w:t>
            </w:r>
          </w:p>
        </w:tc>
      </w:tr>
      <w:tr w:rsidR="00FD775C" w:rsidTr="00CB0F6E">
        <w:trPr>
          <w:trHeight w:val="407"/>
        </w:trPr>
        <w:tc>
          <w:tcPr>
            <w:tcW w:w="3600" w:type="dxa"/>
            <w:tcBorders>
              <w:top w:val="single" w:sz="6" w:space="0" w:color="000000"/>
              <w:left w:val="single" w:sz="4" w:space="0" w:color="000000"/>
              <w:bottom w:val="single" w:sz="6" w:space="0" w:color="000000"/>
              <w:right w:val="single" w:sz="6" w:space="0" w:color="000000"/>
            </w:tcBorders>
            <w:shd w:val="clear" w:color="auto" w:fill="4A7194"/>
            <w:tcMar>
              <w:top w:w="80" w:type="dxa"/>
              <w:left w:w="80" w:type="dxa"/>
              <w:bottom w:w="80" w:type="dxa"/>
              <w:right w:w="80" w:type="dxa"/>
            </w:tcMar>
            <w:vAlign w:val="center"/>
          </w:tcPr>
          <w:p w:rsidR="00FD775C" w:rsidRPr="00CB0F6E" w:rsidRDefault="00FE01E2">
            <w:pPr>
              <w:pStyle w:val="Body"/>
              <w:jc w:val="center"/>
              <w:rPr>
                <w:lang w:val="es-419"/>
              </w:rPr>
            </w:pPr>
            <w:r>
              <w:rPr>
                <w:rFonts w:ascii="Cambria" w:eastAsia="Cambria" w:hAnsi="Cambria" w:cs="Cambria"/>
                <w:color w:val="FFFFFF"/>
                <w:sz w:val="19"/>
                <w:szCs w:val="19"/>
                <w:u w:color="FFFFFF"/>
                <w:lang w:val="es-ES_tradnl"/>
              </w:rPr>
              <w:t xml:space="preserve">Agotamiento de recursos internos o procedencia de una excepción: </w:t>
            </w:r>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FD775C" w:rsidRDefault="00FD775C">
            <w:pPr>
              <w:pStyle w:val="Body"/>
              <w:rPr>
                <w:rFonts w:ascii="Cambria" w:eastAsia="Cambria" w:hAnsi="Cambria" w:cs="Cambria"/>
                <w:sz w:val="19"/>
                <w:szCs w:val="19"/>
                <w:lang w:val="es-ES_tradnl"/>
              </w:rPr>
            </w:pPr>
          </w:p>
          <w:p w:rsidR="00FD775C" w:rsidRDefault="00FE01E2">
            <w:pPr>
              <w:pStyle w:val="Body"/>
            </w:pPr>
            <w:r>
              <w:rPr>
                <w:rFonts w:ascii="Cambria" w:eastAsia="Cambria" w:hAnsi="Cambria" w:cs="Cambria"/>
                <w:sz w:val="19"/>
                <w:szCs w:val="19"/>
                <w:lang w:val="es-ES_tradnl"/>
              </w:rPr>
              <w:t>Sí</w:t>
            </w:r>
          </w:p>
        </w:tc>
      </w:tr>
      <w:tr w:rsidR="00FD775C" w:rsidTr="00CB0F6E">
        <w:trPr>
          <w:trHeight w:val="204"/>
        </w:trPr>
        <w:tc>
          <w:tcPr>
            <w:tcW w:w="3600" w:type="dxa"/>
            <w:tcBorders>
              <w:top w:val="single" w:sz="6" w:space="0" w:color="000000"/>
              <w:left w:val="single" w:sz="4" w:space="0" w:color="000000"/>
              <w:bottom w:val="single" w:sz="4" w:space="0" w:color="000000"/>
              <w:right w:val="single" w:sz="6" w:space="0" w:color="000000"/>
            </w:tcBorders>
            <w:shd w:val="clear" w:color="auto" w:fill="4A7194"/>
            <w:tcMar>
              <w:top w:w="80" w:type="dxa"/>
              <w:left w:w="80" w:type="dxa"/>
              <w:bottom w:w="80" w:type="dxa"/>
              <w:right w:w="80" w:type="dxa"/>
            </w:tcMar>
            <w:vAlign w:val="center"/>
          </w:tcPr>
          <w:p w:rsidR="00FD775C" w:rsidRDefault="00FE01E2">
            <w:pPr>
              <w:pStyle w:val="Body"/>
              <w:jc w:val="center"/>
            </w:pPr>
            <w:r>
              <w:rPr>
                <w:rFonts w:ascii="Cambria" w:eastAsia="Cambria" w:hAnsi="Cambria" w:cs="Cambria"/>
                <w:color w:val="FFFFFF"/>
                <w:sz w:val="19"/>
                <w:szCs w:val="19"/>
                <w:u w:color="FFFFFF"/>
                <w:lang w:val="es-ES_tradnl"/>
              </w:rPr>
              <w:t>Presentación dentro de plazo:</w:t>
            </w:r>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775C" w:rsidRDefault="00FE01E2">
            <w:pPr>
              <w:pStyle w:val="Body"/>
            </w:pPr>
            <w:r>
              <w:rPr>
                <w:rFonts w:ascii="Cambria" w:eastAsia="Cambria" w:hAnsi="Cambria" w:cs="Cambria"/>
                <w:sz w:val="19"/>
                <w:szCs w:val="19"/>
                <w:lang w:val="es-ES_tradnl"/>
              </w:rPr>
              <w:t>Sí</w:t>
            </w:r>
          </w:p>
        </w:tc>
      </w:tr>
    </w:tbl>
    <w:p w:rsidR="00FD775C" w:rsidRPr="00632C51" w:rsidRDefault="00FE01E2" w:rsidP="00632C51">
      <w:pPr>
        <w:pStyle w:val="Body"/>
        <w:spacing w:before="120" w:after="120"/>
        <w:ind w:firstLine="810"/>
        <w:jc w:val="both"/>
        <w:rPr>
          <w:rFonts w:ascii="Cambria" w:eastAsia="Cambria" w:hAnsi="Cambria" w:cs="Cambria"/>
          <w:b/>
          <w:bCs/>
          <w:sz w:val="20"/>
          <w:szCs w:val="20"/>
          <w:lang w:val="es-419"/>
        </w:rPr>
      </w:pPr>
      <w:r>
        <w:rPr>
          <w:rFonts w:ascii="Cambria" w:eastAsia="Cambria" w:hAnsi="Cambria" w:cs="Cambria"/>
          <w:b/>
          <w:bCs/>
          <w:sz w:val="20"/>
          <w:szCs w:val="20"/>
          <w:lang w:val="es-ES_tradnl"/>
        </w:rPr>
        <w:t xml:space="preserve">V. </w:t>
      </w:r>
      <w:r>
        <w:rPr>
          <w:rFonts w:ascii="Cambria" w:eastAsia="Cambria" w:hAnsi="Cambria" w:cs="Cambria"/>
          <w:b/>
          <w:bCs/>
          <w:sz w:val="20"/>
          <w:szCs w:val="20"/>
          <w:lang w:val="es-ES_tradnl"/>
        </w:rPr>
        <w:tab/>
      </w:r>
      <w:r w:rsidR="00632C51">
        <w:rPr>
          <w:rFonts w:ascii="Cambria" w:eastAsia="Cambria" w:hAnsi="Cambria" w:cs="Cambria"/>
          <w:b/>
          <w:bCs/>
          <w:sz w:val="20"/>
          <w:szCs w:val="20"/>
          <w:lang w:val="es-ES_tradnl"/>
        </w:rPr>
        <w:t xml:space="preserve">RESUMEN DE LOS </w:t>
      </w:r>
      <w:r>
        <w:rPr>
          <w:rFonts w:ascii="Cambria" w:eastAsia="Cambria" w:hAnsi="Cambria" w:cs="Cambria"/>
          <w:b/>
          <w:bCs/>
          <w:sz w:val="20"/>
          <w:szCs w:val="20"/>
          <w:lang w:val="es-ES_tradnl"/>
        </w:rPr>
        <w:t xml:space="preserve">HECHOS ALEGADOS </w:t>
      </w:r>
    </w:p>
    <w:p w:rsidR="00FD775C"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Pr>
          <w:rFonts w:ascii="Cambria" w:eastAsia="Cambria" w:hAnsi="Cambria" w:cs="Cambria"/>
          <w:sz w:val="20"/>
          <w:szCs w:val="20"/>
          <w:lang w:val="es-ES_tradnl"/>
        </w:rPr>
        <w:t>La presente petición se centra principalmente en el derecho a la propiedad privada y se deriva de la destrucción de viviendas como resultado de un terremoto. Estas viviendas presuntamente se encontraban en una zona de “alto riesgo”.</w:t>
      </w:r>
    </w:p>
    <w:p w:rsidR="00FD775C"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 petición alega que en 1992 el municipio de La Tebaida (departamento de Quindío, Colombia) autorizó la construcción de 372 viviendas en lotes localizados en una zona de La Tebaida conocida </w:t>
      </w:r>
      <w:r>
        <w:rPr>
          <w:rFonts w:ascii="Cambria" w:eastAsia="Cambria" w:hAnsi="Cambria" w:cs="Cambria"/>
          <w:sz w:val="20"/>
          <w:szCs w:val="20"/>
          <w:lang w:val="es-ES_tradnl"/>
        </w:rPr>
        <w:lastRenderedPageBreak/>
        <w:t>como El Mirador</w:t>
      </w:r>
      <w:r w:rsidRPr="00632C51">
        <w:rPr>
          <w:rFonts w:ascii="Cambria" w:eastAsia="Cambria" w:hAnsi="Cambria" w:cs="Cambria"/>
          <w:sz w:val="20"/>
          <w:szCs w:val="20"/>
          <w:lang w:val="es-ES_tradnl"/>
        </w:rPr>
        <w:footnoteReference w:id="3"/>
      </w:r>
      <w:r>
        <w:rPr>
          <w:rFonts w:ascii="Cambria" w:eastAsia="Cambria" w:hAnsi="Cambria" w:cs="Cambria"/>
          <w:sz w:val="20"/>
          <w:szCs w:val="20"/>
          <w:lang w:val="es-ES_tradnl"/>
        </w:rPr>
        <w:t>. Los peticionarios alegan que el municipio autorizó esta construcción a pesar de la existencia de un estudio realizado en marzo de 1992 por una entidad municipal denominada CRQ-INGEOMINAS que indicaba que El Mirador era una zona de “alto riesgo”. Los peticionarios afirman que ellos no sabían de la existencia de este estudio cuando adquirieron posteriormente lotes o viviendas en o alrededor de 1996</w:t>
      </w:r>
      <w:r w:rsidRPr="00632C51">
        <w:rPr>
          <w:rFonts w:ascii="Cambria" w:eastAsia="Cambria" w:hAnsi="Cambria" w:cs="Cambria"/>
          <w:sz w:val="20"/>
          <w:szCs w:val="20"/>
          <w:lang w:val="es-ES_tradnl"/>
        </w:rPr>
        <w:footnoteReference w:id="4"/>
      </w:r>
      <w:r>
        <w:rPr>
          <w:rFonts w:ascii="Cambria" w:eastAsia="Cambria" w:hAnsi="Cambria" w:cs="Cambria"/>
          <w:sz w:val="20"/>
          <w:szCs w:val="20"/>
          <w:lang w:val="es-ES_tradnl"/>
        </w:rPr>
        <w:t xml:space="preserve">. De acuerdo con los peticionarios, las viviendas fueron construidas finalmente por la Corporación </w:t>
      </w:r>
      <w:proofErr w:type="spellStart"/>
      <w:r>
        <w:rPr>
          <w:rFonts w:ascii="Cambria" w:eastAsia="Cambria" w:hAnsi="Cambria" w:cs="Cambria"/>
          <w:sz w:val="20"/>
          <w:szCs w:val="20"/>
          <w:lang w:val="es-ES_tradnl"/>
        </w:rPr>
        <w:t>GranColombia</w:t>
      </w:r>
      <w:proofErr w:type="spellEnd"/>
      <w:r>
        <w:rPr>
          <w:rFonts w:ascii="Cambria" w:eastAsia="Cambria" w:hAnsi="Cambria" w:cs="Cambria"/>
          <w:sz w:val="20"/>
          <w:szCs w:val="20"/>
          <w:lang w:val="es-ES_tradnl"/>
        </w:rPr>
        <w:t xml:space="preserve"> de Ahorro y Vivienda </w:t>
      </w:r>
      <w:proofErr w:type="spellStart"/>
      <w:r>
        <w:rPr>
          <w:rFonts w:ascii="Cambria" w:eastAsia="Cambria" w:hAnsi="Cambria" w:cs="Cambria"/>
          <w:sz w:val="20"/>
          <w:szCs w:val="20"/>
          <w:lang w:val="es-ES_tradnl"/>
        </w:rPr>
        <w:t>Granahorrar</w:t>
      </w:r>
      <w:proofErr w:type="spellEnd"/>
      <w:r>
        <w:rPr>
          <w:rFonts w:ascii="Cambria" w:eastAsia="Cambria" w:hAnsi="Cambria" w:cs="Cambria"/>
          <w:sz w:val="20"/>
          <w:szCs w:val="20"/>
          <w:lang w:val="es-ES_tradnl"/>
        </w:rPr>
        <w:t>, S.A</w:t>
      </w:r>
      <w:r w:rsidRPr="00632C51">
        <w:rPr>
          <w:rFonts w:ascii="Cambria" w:eastAsia="Cambria" w:hAnsi="Cambria" w:cs="Cambria"/>
          <w:sz w:val="20"/>
          <w:szCs w:val="20"/>
          <w:lang w:val="es-ES_tradnl"/>
        </w:rPr>
        <w:footnoteReference w:id="5"/>
      </w:r>
      <w:r>
        <w:rPr>
          <w:rFonts w:ascii="Cambria" w:eastAsia="Cambria" w:hAnsi="Cambria" w:cs="Cambria"/>
          <w:sz w:val="20"/>
          <w:szCs w:val="20"/>
          <w:lang w:val="es-ES_tradnl"/>
        </w:rPr>
        <w:t>. Los peticionarios aseveran también que la Corporación Autónoma Regional de Quindío otorgó un permiso ambiental a pesar del riesgo identificado en el estudio de 1992.</w:t>
      </w:r>
    </w:p>
    <w:p w:rsidR="00FD775C" w:rsidRPr="00632C51"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sidRPr="00632C51">
        <w:rPr>
          <w:rFonts w:ascii="Cambria" w:eastAsia="Cambria" w:hAnsi="Cambria" w:cs="Cambria"/>
          <w:sz w:val="20"/>
          <w:szCs w:val="20"/>
          <w:lang w:val="es-ES_tradnl"/>
        </w:rPr>
        <w:t xml:space="preserve"> Los peticionarios alegan asimismo que en enero de 1999 ocurrió un terremoto en la zona, que condujo a un decreto del alcalde de La Tebaida en el que se ordenó la evacuación o reubicación de los peticionarios (y otros adquirentes o propietarios de lotes en El Mirador). Los peticionarios también aducen que después del terremoto se realizó una serie de estudios en las zonas urbanas de La Tebaida —entre ellas El Mirador— que demostraron que esta zona era de “alto riesgo” y no era apta para viviendas. Los peticionarios afirman que se han visto forzados a abandonar sus hogares, sin recibir reparación, y que siguen estando obligados a pagar hipotecas. Los peticionarios también alegan que se realizaron estudios técnicos después del terremoto que mostraron que las viviendas construidas padecían de varios defectos estructurales</w:t>
      </w:r>
      <w:r w:rsidRPr="00632C51">
        <w:rPr>
          <w:rFonts w:ascii="Cambria" w:eastAsia="Cambria" w:hAnsi="Cambria" w:cs="Cambria"/>
          <w:sz w:val="20"/>
          <w:szCs w:val="20"/>
          <w:lang w:val="es-ES_tradnl"/>
        </w:rPr>
        <w:footnoteReference w:id="6"/>
      </w:r>
      <w:r w:rsidRPr="00632C51">
        <w:rPr>
          <w:rFonts w:ascii="Cambria" w:eastAsia="Cambria" w:hAnsi="Cambria" w:cs="Cambria"/>
          <w:sz w:val="20"/>
          <w:szCs w:val="20"/>
          <w:lang w:val="es-ES_tradnl"/>
        </w:rPr>
        <w:t xml:space="preserve">. </w:t>
      </w:r>
    </w:p>
    <w:p w:rsidR="00FD775C" w:rsidRPr="00632C51"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sidRPr="00632C51">
        <w:rPr>
          <w:rFonts w:ascii="Cambria" w:eastAsia="Cambria" w:hAnsi="Cambria" w:cs="Cambria"/>
          <w:sz w:val="20"/>
          <w:szCs w:val="20"/>
          <w:lang w:val="es-ES_tradnl"/>
        </w:rPr>
        <w:t xml:space="preserve"> En diciembre de 2001, los peticionarios presentaron una demanda de reparación ante el Tribunal Administrativo del Quindío en contra del municipio de La Tebaida, la Corporación Autónoma Regional de Quindío y la Corporación </w:t>
      </w:r>
      <w:proofErr w:type="spellStart"/>
      <w:r w:rsidRPr="00632C51">
        <w:rPr>
          <w:rFonts w:ascii="Cambria" w:eastAsia="Cambria" w:hAnsi="Cambria" w:cs="Cambria"/>
          <w:sz w:val="20"/>
          <w:szCs w:val="20"/>
          <w:lang w:val="es-ES_tradnl"/>
        </w:rPr>
        <w:t>GranColombia</w:t>
      </w:r>
      <w:proofErr w:type="spellEnd"/>
      <w:r w:rsidRPr="00632C51">
        <w:rPr>
          <w:rFonts w:ascii="Cambria" w:eastAsia="Cambria" w:hAnsi="Cambria" w:cs="Cambria"/>
          <w:sz w:val="20"/>
          <w:szCs w:val="20"/>
          <w:lang w:val="es-ES_tradnl"/>
        </w:rPr>
        <w:t xml:space="preserve"> de Ahorro y Vivienda </w:t>
      </w:r>
      <w:proofErr w:type="spellStart"/>
      <w:r w:rsidRPr="00632C51">
        <w:rPr>
          <w:rFonts w:ascii="Cambria" w:eastAsia="Cambria" w:hAnsi="Cambria" w:cs="Cambria"/>
          <w:sz w:val="20"/>
          <w:szCs w:val="20"/>
          <w:lang w:val="es-ES_tradnl"/>
        </w:rPr>
        <w:t>Granahorrar</w:t>
      </w:r>
      <w:proofErr w:type="spellEnd"/>
      <w:r w:rsidRPr="00632C51">
        <w:rPr>
          <w:rFonts w:ascii="Cambria" w:eastAsia="Cambria" w:hAnsi="Cambria" w:cs="Cambria"/>
          <w:sz w:val="20"/>
          <w:szCs w:val="20"/>
          <w:lang w:val="es-ES_tradnl"/>
        </w:rPr>
        <w:t>, S.A. Los peticionarios afirmaron que los demandados presuntamente habían actuado con negligencia al autorizar o llevar a cabo las obras de construcción de viviendas en una zona de alto riesgo y que las viviendas estaban mal construidas. Al final, el Tribunal desestimó la causa, principalmente con base en que no habían presentado una copia certificada del estudio que indicaba que la zona de construcción (en la que se edificaron las viviendas) era de alto riesgo. La posterior apelación de los peticionarios ante el Consejo de Estado fue desestimada el 27 de enero de 2009</w:t>
      </w:r>
      <w:r w:rsidRPr="00632C51">
        <w:rPr>
          <w:rFonts w:ascii="Cambria" w:eastAsia="Cambria" w:hAnsi="Cambria" w:cs="Cambria"/>
          <w:sz w:val="20"/>
          <w:szCs w:val="20"/>
          <w:lang w:val="es-ES_tradnl"/>
        </w:rPr>
        <w:footnoteReference w:id="7"/>
      </w:r>
      <w:r w:rsidRPr="00632C51">
        <w:rPr>
          <w:rFonts w:ascii="Cambria" w:eastAsia="Cambria" w:hAnsi="Cambria" w:cs="Cambria"/>
          <w:sz w:val="20"/>
          <w:szCs w:val="20"/>
          <w:lang w:val="es-ES_tradnl"/>
        </w:rPr>
        <w:t xml:space="preserve">. Según el registro, esta decisión se les notificó a los peticionarios ese mismo día (27 de enero de 2009). Los peticionarios también aseveran que presentaron una demanda penal en contra del Senador Ricardo Arias y en contra de la Corporación </w:t>
      </w:r>
      <w:proofErr w:type="spellStart"/>
      <w:r w:rsidRPr="00632C51">
        <w:rPr>
          <w:rFonts w:ascii="Cambria" w:eastAsia="Cambria" w:hAnsi="Cambria" w:cs="Cambria"/>
          <w:sz w:val="20"/>
          <w:szCs w:val="20"/>
          <w:lang w:val="es-ES_tradnl"/>
        </w:rPr>
        <w:t>GranColombia</w:t>
      </w:r>
      <w:proofErr w:type="spellEnd"/>
      <w:r w:rsidRPr="00632C51">
        <w:rPr>
          <w:rFonts w:ascii="Cambria" w:eastAsia="Cambria" w:hAnsi="Cambria" w:cs="Cambria"/>
          <w:sz w:val="20"/>
          <w:szCs w:val="20"/>
          <w:lang w:val="es-ES_tradnl"/>
        </w:rPr>
        <w:t xml:space="preserve"> de Ahorro y Vivienda </w:t>
      </w:r>
      <w:proofErr w:type="spellStart"/>
      <w:r w:rsidRPr="00632C51">
        <w:rPr>
          <w:rFonts w:ascii="Cambria" w:eastAsia="Cambria" w:hAnsi="Cambria" w:cs="Cambria"/>
          <w:sz w:val="20"/>
          <w:szCs w:val="20"/>
          <w:lang w:val="es-ES_tradnl"/>
        </w:rPr>
        <w:t>Granahorrar</w:t>
      </w:r>
      <w:proofErr w:type="spellEnd"/>
      <w:r w:rsidRPr="00632C51">
        <w:rPr>
          <w:rFonts w:ascii="Cambria" w:eastAsia="Cambria" w:hAnsi="Cambria" w:cs="Cambria"/>
          <w:sz w:val="20"/>
          <w:szCs w:val="20"/>
          <w:lang w:val="es-ES_tradnl"/>
        </w:rPr>
        <w:t>, S.A. por fraude y urbanización ilegal, pero que esta demanda fue archivada en 2003.</w:t>
      </w:r>
    </w:p>
    <w:p w:rsidR="00FD775C" w:rsidRPr="00632C51"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sidRPr="00632C51">
        <w:rPr>
          <w:rFonts w:ascii="Cambria" w:eastAsia="Cambria" w:hAnsi="Cambria" w:cs="Cambria"/>
          <w:sz w:val="20"/>
          <w:szCs w:val="20"/>
          <w:lang w:val="es-ES_tradnl"/>
        </w:rPr>
        <w:t xml:space="preserve">El Estado rechaza la petición como inadmisible principalmente con fundamento en que (a) viola la fórmula de la cuarta instancia y (b) no caracteriza prima facie ninguna violación de la Convención Americana. Con respecto al primer alegato, el Estado arguye que la denuncia de los peticionarios fue desestimada después de haberse ventilado plenamente ante los tribunales nacionales. En este sentido, el Estado observa que la corte de primera instancia desestimó la demanda debido a que los peticionarios no presentaron evidencias admisibles para respaldar </w:t>
      </w:r>
      <w:r w:rsidR="00632C51" w:rsidRPr="00632C51">
        <w:rPr>
          <w:rFonts w:ascii="Cambria" w:eastAsia="Cambria" w:hAnsi="Cambria" w:cs="Cambria"/>
          <w:sz w:val="20"/>
          <w:szCs w:val="20"/>
          <w:lang w:val="es-ES_tradnl"/>
        </w:rPr>
        <w:t>sus afirmaciones</w:t>
      </w:r>
      <w:r w:rsidRPr="00632C51">
        <w:rPr>
          <w:rFonts w:ascii="Cambria" w:eastAsia="Cambria" w:hAnsi="Cambria" w:cs="Cambria"/>
          <w:sz w:val="20"/>
          <w:szCs w:val="20"/>
          <w:lang w:val="es-ES_tradnl"/>
        </w:rPr>
        <w:t xml:space="preserve"> (a saber, una copia certificada del estudio de 1992), de conformidad con el Código de Procedimiento Civil. </w:t>
      </w:r>
    </w:p>
    <w:p w:rsidR="00FD775C" w:rsidRPr="00632C51"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sidRPr="00632C51">
        <w:rPr>
          <w:rFonts w:ascii="Cambria" w:eastAsia="Cambria" w:hAnsi="Cambria" w:cs="Cambria"/>
          <w:sz w:val="20"/>
          <w:szCs w:val="20"/>
          <w:lang w:val="es-ES_tradnl"/>
        </w:rPr>
        <w:t xml:space="preserve">Con respecto a su segundo alegato, el Estado sostiene que (a) el estudio de 1992 a que se refieren los peticionarios no incluye El Mirador, sino las zonas circundantes, (b) la autorización para la construcción se otorgó después de verificar que los solicitantes habían completado los estudios técnicos requeridos para asegurar adecuadamente el diseño, la eficacia y la estabilidad de las obras de construcción y (c) la Corporación Autónoma Regional del Quindío no expidió ninguna licencia ambiental, como lo afirman los peticionarios, porque la ley no incluía este requisito sino hasta 1993. </w:t>
      </w:r>
    </w:p>
    <w:p w:rsidR="00FD775C"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El Estado también alega que tras el terremoto de 1999, la alcaldía emitió decretos en que se ordenaba la evacuación o reubicación de las viviendas en El Mirador. Sin embargo, en 2002, un estudio </w:t>
      </w:r>
      <w:r>
        <w:rPr>
          <w:rFonts w:ascii="Cambria" w:eastAsia="Cambria" w:hAnsi="Cambria" w:cs="Cambria"/>
          <w:sz w:val="20"/>
          <w:szCs w:val="20"/>
          <w:lang w:val="es-ES_tradnl"/>
        </w:rPr>
        <w:lastRenderedPageBreak/>
        <w:t xml:space="preserve">realizado por la Corporación Autónoma Regional del Quindío indicó que el 90% del El Mirador era adecuado para obras de construcción. Como resultado, el alcalde revocó los decretos anteriores y ordenó que las viviendas que no habían sido evacuadas o reubicadas se repararan de acuerdo con un plan de reparación. En lo tocante a las afirmaciones de los peticionarios con respecto a la construcción deficiente, el Estado arguye que este punto es atribuible a terceros y no al Estado. El Estado también afirma que los daños provocados a los peticionarios (por el terremoto) eran imprevisibles y no atribuibles al Estado. </w:t>
      </w:r>
    </w:p>
    <w:p w:rsidR="00FD775C" w:rsidRPr="00CB0F6E" w:rsidRDefault="00FE01E2" w:rsidP="00632C51">
      <w:pPr>
        <w:pStyle w:val="Body"/>
        <w:spacing w:before="120" w:after="120"/>
        <w:ind w:firstLine="810"/>
        <w:jc w:val="both"/>
        <w:rPr>
          <w:rFonts w:ascii="Cambria" w:eastAsia="Cambria" w:hAnsi="Cambria" w:cs="Cambria"/>
          <w:b/>
          <w:bCs/>
          <w:sz w:val="20"/>
          <w:szCs w:val="20"/>
          <w:lang w:val="es-419"/>
        </w:rPr>
      </w:pPr>
      <w:r>
        <w:rPr>
          <w:rFonts w:ascii="Cambria" w:eastAsia="Cambria" w:hAnsi="Cambria" w:cs="Cambria"/>
          <w:b/>
          <w:bCs/>
          <w:sz w:val="20"/>
          <w:szCs w:val="20"/>
          <w:lang w:val="es-ES_tradnl"/>
        </w:rPr>
        <w:t>VI.</w:t>
      </w:r>
      <w:r>
        <w:rPr>
          <w:rFonts w:ascii="Cambria" w:eastAsia="Cambria" w:hAnsi="Cambria" w:cs="Cambria"/>
          <w:b/>
          <w:bCs/>
          <w:sz w:val="20"/>
          <w:szCs w:val="20"/>
          <w:lang w:val="es-ES_tradnl"/>
        </w:rPr>
        <w:tab/>
        <w:t xml:space="preserve">ANÁLISIS DE AGOTAMIENTO DE LOS RECURSOS INTERNOS Y PLAZO DE PRESENTACIÓN </w:t>
      </w:r>
    </w:p>
    <w:p w:rsidR="00FD775C"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Las partes no disputan que los peticionarios litigaron su caso sin éxito ante el Tribunal Administrativo del Quindío y el Consejo de Estado. El Estado, por su parte, no presentó alegato alguno relativo al agotamiento de los recursos internos o el plazo de presentación. </w:t>
      </w:r>
    </w:p>
    <w:p w:rsidR="00FD775C" w:rsidRDefault="00FE01E2" w:rsidP="00632C51">
      <w:pPr>
        <w:pStyle w:val="Body"/>
        <w:numPr>
          <w:ilvl w:val="0"/>
          <w:numId w:val="2"/>
        </w:numPr>
        <w:tabs>
          <w:tab w:val="clear" w:pos="1440"/>
          <w:tab w:val="num" w:pos="720"/>
        </w:tabs>
        <w:suppressAutoHyphens/>
        <w:spacing w:before="120" w:after="120"/>
        <w:ind w:left="0" w:firstLine="81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En el caso de autos, la Comisión observa que, para fines del análisis de admisibilidad, los peticionarios agotaron todos los recursos disponibles en el marco jurídico interno y que, en consecuencia, la petición cumple con el requisito establecido en el artículo 46.1.a de la Convención. En cuanto al requisito de plazo de presentación, la Comisión señala que la petición se presentó dentro del plazo de seis meses a partir de la fecha de notificación de la decisión definitiva por la cual se agotaron los recursos internos. La fecha de la notificación fue el 27 de enero de 2009 y la petición se recibió el 24 de abril de 2009. Por lo tanto, se declara cumplido el requisito previsto en el artículo 46.1.b de la Convención. </w:t>
      </w:r>
    </w:p>
    <w:p w:rsidR="00FD775C" w:rsidRDefault="00FE01E2" w:rsidP="00CB0F6E">
      <w:pPr>
        <w:pStyle w:val="ListParagraph"/>
        <w:spacing w:before="120" w:after="120"/>
        <w:jc w:val="both"/>
        <w:rPr>
          <w:b/>
          <w:bCs/>
          <w:sz w:val="20"/>
          <w:szCs w:val="20"/>
          <w:lang w:val="es-ES_tradnl"/>
        </w:rPr>
      </w:pPr>
      <w:r>
        <w:rPr>
          <w:b/>
          <w:bCs/>
          <w:sz w:val="20"/>
          <w:szCs w:val="20"/>
          <w:lang w:val="es-ES_tradnl"/>
        </w:rPr>
        <w:t>VII.</w:t>
      </w:r>
      <w:r>
        <w:rPr>
          <w:b/>
          <w:bCs/>
          <w:sz w:val="20"/>
          <w:szCs w:val="20"/>
          <w:lang w:val="es-ES_tradnl"/>
        </w:rPr>
        <w:tab/>
        <w:t>CARACTERIZACIÓN</w:t>
      </w:r>
    </w:p>
    <w:p w:rsidR="00FD775C" w:rsidRDefault="00FE01E2" w:rsidP="00632C51">
      <w:pPr>
        <w:pStyle w:val="Body"/>
        <w:numPr>
          <w:ilvl w:val="0"/>
          <w:numId w:val="2"/>
        </w:numPr>
        <w:tabs>
          <w:tab w:val="clear" w:pos="1440"/>
          <w:tab w:val="num" w:pos="720"/>
        </w:tabs>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En el presente caso, los peticionarios alegan que el Estado ha incurrido en responsabilidad por (a) autorizar y permitir la edificación de viviendas en una zona de “alto riesgo” (que posteriormente sufrieron daños por una terremoto en 1999), (b) no tomar medidas adecuadas para cerciorarse de que las viviendas fueran estructuralmente sólidas y (c) no proporcionar compensación alguna por las pérdidas incurridas como resultado de haber tenido que reubicarse a consecuencia del daño que sufrieron las viviendas. La Comisión toma nota de que las partes disienten con respecto a si la zona de la construcción era de “alto riesgo” y que el Estado ha atribuido a terceros cualquier deficiencia en la construcción. No obstante, en vista que la construcción fue autorizada por el Estado, la Comisión considera que los alegatos de los peticionarios no son manifiestamente infundados y que requieren un estudio sustantivo, ya que, si se confirma la veracidad de los hechos denunciados, ello podría constituir violaciones de los artículos 21, 8, 25 y 26 de la Convención Americana con respecto a las obligaciones establecidas en los artículos 1.1. y 2 del mismo instrumento. </w:t>
      </w:r>
    </w:p>
    <w:p w:rsidR="00FD775C" w:rsidRDefault="00FE01E2" w:rsidP="00632C51">
      <w:pPr>
        <w:pStyle w:val="Body"/>
        <w:numPr>
          <w:ilvl w:val="0"/>
          <w:numId w:val="2"/>
        </w:numPr>
        <w:tabs>
          <w:tab w:val="clear" w:pos="1440"/>
          <w:tab w:val="num" w:pos="720"/>
        </w:tabs>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cuanto a los alegatos del Estado de que esta petición conduce a una corte de cuarta instancia, la Comisión reitera que, de acuerdo con su mandato, es competente para declarar admisible una petición y para dictaminar con respecto al fondo del caso cuando el asunto se refiere a procedimientos nacionales en los que podría haberse violado cualquiera de los derechos protegidos en la Convención Americana.</w:t>
      </w:r>
    </w:p>
    <w:p w:rsidR="00FD775C" w:rsidRDefault="00FE01E2" w:rsidP="00CB0F6E">
      <w:pPr>
        <w:pStyle w:val="ListParagraph"/>
        <w:spacing w:before="120" w:after="120"/>
        <w:jc w:val="both"/>
        <w:rPr>
          <w:b/>
          <w:bCs/>
          <w:sz w:val="20"/>
          <w:szCs w:val="20"/>
          <w:lang w:val="es-ES_tradnl"/>
        </w:rPr>
      </w:pPr>
      <w:r>
        <w:rPr>
          <w:b/>
          <w:bCs/>
          <w:sz w:val="20"/>
          <w:szCs w:val="20"/>
          <w:lang w:val="es-ES_tradnl"/>
        </w:rPr>
        <w:t xml:space="preserve">VIII. </w:t>
      </w:r>
      <w:r>
        <w:rPr>
          <w:b/>
          <w:bCs/>
          <w:sz w:val="20"/>
          <w:szCs w:val="20"/>
          <w:lang w:val="es-ES_tradnl"/>
        </w:rPr>
        <w:tab/>
        <w:t>DECISIÓN</w:t>
      </w:r>
    </w:p>
    <w:p w:rsidR="00FD775C" w:rsidRDefault="00FE01E2" w:rsidP="00632C51">
      <w:pPr>
        <w:pStyle w:val="Body"/>
        <w:numPr>
          <w:ilvl w:val="0"/>
          <w:numId w:val="6"/>
        </w:numPr>
        <w:tabs>
          <w:tab w:val="clear" w:pos="1440"/>
          <w:tab w:val="num" w:pos="720"/>
        </w:tabs>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Declarar admisible la presente petición en relación con los artículos 8, 21, 25 y 26 todos ellos en relación con los artículos 1.1 y 2 de la Convención Americana sobre Derechos Humanos.</w:t>
      </w:r>
    </w:p>
    <w:p w:rsidR="00FD775C" w:rsidRPr="00632C51" w:rsidRDefault="00FD775C" w:rsidP="00632C51">
      <w:pPr>
        <w:pStyle w:val="Body"/>
        <w:suppressAutoHyphens/>
        <w:spacing w:before="120" w:after="120"/>
        <w:ind w:firstLine="720"/>
        <w:jc w:val="both"/>
        <w:rPr>
          <w:rFonts w:ascii="Cambria" w:eastAsia="Cambria" w:hAnsi="Cambria" w:cs="Cambria"/>
          <w:sz w:val="20"/>
          <w:szCs w:val="20"/>
          <w:lang w:val="es-ES_tradnl"/>
        </w:rPr>
      </w:pPr>
    </w:p>
    <w:p w:rsidR="00FD775C" w:rsidRDefault="00FE01E2" w:rsidP="00B8716C">
      <w:pPr>
        <w:pStyle w:val="Body"/>
        <w:numPr>
          <w:ilvl w:val="0"/>
          <w:numId w:val="6"/>
        </w:numPr>
        <w:tabs>
          <w:tab w:val="clear" w:pos="1440"/>
          <w:tab w:val="num" w:pos="720"/>
        </w:tabs>
        <w:suppressAutoHyphens/>
        <w:spacing w:before="120" w:after="120"/>
        <w:ind w:left="0" w:firstLine="720"/>
        <w:jc w:val="both"/>
        <w:rPr>
          <w:rFonts w:ascii="Cambria" w:eastAsia="Cambria" w:hAnsi="Cambria" w:cs="Cambria"/>
          <w:sz w:val="20"/>
          <w:szCs w:val="20"/>
          <w:lang w:val="es-ES_tradnl"/>
        </w:rPr>
      </w:pPr>
      <w:r w:rsidRPr="00632C51">
        <w:rPr>
          <w:rFonts w:ascii="Cambria" w:eastAsia="Cambria" w:hAnsi="Cambria" w:cs="Cambria"/>
          <w:sz w:val="20"/>
          <w:szCs w:val="20"/>
          <w:lang w:val="es-ES_tradnl"/>
        </w:rPr>
        <w:t>Notificar a las partes la presente decisión; continuar con el análisis sobre el fondo; y publicar esta decisión e incluirla en su Informe Anual a la Asamblea General de la Organización de los Estados Americanos.</w:t>
      </w:r>
    </w:p>
    <w:p w:rsidR="00B34F82" w:rsidRPr="00B34F82" w:rsidRDefault="00B34F82" w:rsidP="00B34F82">
      <w:pPr>
        <w:ind w:firstLine="720"/>
        <w:jc w:val="both"/>
        <w:rPr>
          <w:rFonts w:ascii="Cambria" w:hAnsi="Cambria"/>
          <w:spacing w:val="-2"/>
          <w:sz w:val="20"/>
          <w:szCs w:val="20"/>
          <w:lang w:val="es-SV"/>
        </w:rPr>
      </w:pPr>
      <w:r w:rsidRPr="00B34F82">
        <w:rPr>
          <w:rFonts w:ascii="Cambria" w:hAnsi="Cambria"/>
          <w:spacing w:val="-2"/>
          <w:sz w:val="20"/>
          <w:szCs w:val="20"/>
          <w:lang w:val="es-SV"/>
        </w:rPr>
        <w:t xml:space="preserve">Aprobado por la Comisión Interamericana de Derechos Humanos a los </w:t>
      </w:r>
      <w:r w:rsidR="00C70155">
        <w:rPr>
          <w:rFonts w:ascii="Cambria" w:hAnsi="Cambria"/>
          <w:spacing w:val="-2"/>
          <w:sz w:val="20"/>
          <w:szCs w:val="20"/>
          <w:lang w:val="es-SV"/>
        </w:rPr>
        <w:t>21</w:t>
      </w:r>
      <w:r w:rsidRPr="00B34F82">
        <w:rPr>
          <w:rFonts w:ascii="Cambria" w:hAnsi="Cambria"/>
          <w:spacing w:val="-2"/>
          <w:sz w:val="20"/>
          <w:szCs w:val="20"/>
          <w:lang w:val="es-SV"/>
        </w:rPr>
        <w:t xml:space="preserve"> días del mes de </w:t>
      </w:r>
      <w:r>
        <w:rPr>
          <w:rFonts w:ascii="Cambria" w:hAnsi="Cambria"/>
          <w:spacing w:val="-2"/>
          <w:sz w:val="20"/>
          <w:szCs w:val="20"/>
          <w:lang w:val="es-SV"/>
        </w:rPr>
        <w:t>abril</w:t>
      </w:r>
      <w:r w:rsidRPr="00B34F82">
        <w:rPr>
          <w:rFonts w:ascii="Cambria" w:hAnsi="Cambria"/>
          <w:spacing w:val="-2"/>
          <w:sz w:val="20"/>
          <w:szCs w:val="20"/>
          <w:lang w:val="es-SV"/>
        </w:rPr>
        <w:t xml:space="preserve"> de 2020.  (Firmado): Joel Hernández, Presidente; Antonia Urrejola, Primera Vicepresidenta; </w:t>
      </w:r>
      <w:proofErr w:type="spellStart"/>
      <w:r w:rsidRPr="00B34F82">
        <w:rPr>
          <w:rFonts w:ascii="Cambria" w:hAnsi="Cambria"/>
          <w:spacing w:val="-2"/>
          <w:sz w:val="20"/>
          <w:szCs w:val="20"/>
          <w:lang w:val="es-SV"/>
        </w:rPr>
        <w:t>Flávia</w:t>
      </w:r>
      <w:proofErr w:type="spellEnd"/>
      <w:r w:rsidRPr="00B34F82">
        <w:rPr>
          <w:rFonts w:ascii="Cambria" w:hAnsi="Cambria"/>
          <w:spacing w:val="-2"/>
          <w:sz w:val="20"/>
          <w:szCs w:val="20"/>
          <w:lang w:val="es-SV"/>
        </w:rPr>
        <w:t xml:space="preserve"> </w:t>
      </w:r>
      <w:proofErr w:type="spellStart"/>
      <w:r w:rsidRPr="00B34F82">
        <w:rPr>
          <w:rFonts w:ascii="Cambria" w:hAnsi="Cambria"/>
          <w:spacing w:val="-2"/>
          <w:sz w:val="20"/>
          <w:szCs w:val="20"/>
          <w:lang w:val="es-SV"/>
        </w:rPr>
        <w:t>Piovesan</w:t>
      </w:r>
      <w:proofErr w:type="spellEnd"/>
      <w:r w:rsidRPr="00B34F82">
        <w:rPr>
          <w:rFonts w:ascii="Cambria" w:hAnsi="Cambria"/>
          <w:spacing w:val="-2"/>
          <w:sz w:val="20"/>
          <w:szCs w:val="20"/>
          <w:lang w:val="es-SV"/>
        </w:rPr>
        <w:t xml:space="preserve">, Segunda Vicepresidenta; Margarette May Macaulay, Esmeralda E. Arosemena Bernal de </w:t>
      </w:r>
      <w:proofErr w:type="spellStart"/>
      <w:r w:rsidRPr="00B34F82">
        <w:rPr>
          <w:rFonts w:ascii="Cambria" w:hAnsi="Cambria"/>
          <w:spacing w:val="-2"/>
          <w:sz w:val="20"/>
          <w:szCs w:val="20"/>
          <w:lang w:val="es-SV"/>
        </w:rPr>
        <w:t>Troitiño</w:t>
      </w:r>
      <w:proofErr w:type="spellEnd"/>
      <w:r>
        <w:rPr>
          <w:rFonts w:ascii="Cambria" w:hAnsi="Cambria"/>
          <w:spacing w:val="-2"/>
          <w:sz w:val="20"/>
          <w:szCs w:val="20"/>
          <w:lang w:val="es-SV"/>
        </w:rPr>
        <w:t xml:space="preserve"> y </w:t>
      </w:r>
      <w:r w:rsidRPr="00B34F82">
        <w:rPr>
          <w:rFonts w:ascii="Cambria" w:hAnsi="Cambria"/>
          <w:spacing w:val="-2"/>
          <w:sz w:val="20"/>
          <w:szCs w:val="20"/>
          <w:lang w:val="es-SV"/>
        </w:rPr>
        <w:t>Julissa Mantilla Falcón</w:t>
      </w:r>
      <w:r>
        <w:rPr>
          <w:rFonts w:ascii="Cambria" w:hAnsi="Cambria"/>
          <w:spacing w:val="-2"/>
          <w:sz w:val="20"/>
          <w:szCs w:val="20"/>
          <w:lang w:val="es-SV"/>
        </w:rPr>
        <w:t xml:space="preserve">, </w:t>
      </w:r>
      <w:r w:rsidRPr="00B34F82">
        <w:rPr>
          <w:rFonts w:ascii="Cambria" w:hAnsi="Cambria"/>
          <w:spacing w:val="-2"/>
          <w:sz w:val="20"/>
          <w:szCs w:val="20"/>
          <w:lang w:val="es-SV"/>
        </w:rPr>
        <w:t xml:space="preserve">Miembros de la Comisión. </w:t>
      </w:r>
    </w:p>
    <w:p w:rsidR="00B34F82" w:rsidRPr="00A37B82" w:rsidRDefault="00B34F82" w:rsidP="00C70155">
      <w:pPr>
        <w:rPr>
          <w:rFonts w:asciiTheme="majorHAnsi" w:hAnsiTheme="majorHAnsi" w:cs="Arial"/>
          <w:noProof/>
          <w:spacing w:val="-2"/>
          <w:sz w:val="20"/>
          <w:szCs w:val="20"/>
          <w:lang w:val="es-CL"/>
        </w:rPr>
      </w:pPr>
    </w:p>
    <w:sectPr w:rsidR="00B34F82" w:rsidRPr="00A37B82">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6E" w:rsidRDefault="009F486E">
      <w:r>
        <w:separator/>
      </w:r>
    </w:p>
  </w:endnote>
  <w:endnote w:type="continuationSeparator" w:id="0">
    <w:p w:rsidR="009F486E" w:rsidRDefault="009F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D2" w:rsidRDefault="00A20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5C" w:rsidRDefault="00FE01E2">
    <w:pPr>
      <w:pStyle w:val="Footer"/>
      <w:jc w:val="center"/>
    </w:pPr>
    <w:r>
      <w:rPr>
        <w:sz w:val="16"/>
        <w:szCs w:val="16"/>
      </w:rPr>
      <w:fldChar w:fldCharType="begin"/>
    </w:r>
    <w:r>
      <w:rPr>
        <w:sz w:val="16"/>
        <w:szCs w:val="16"/>
      </w:rPr>
      <w:instrText xml:space="preserve"> PAGE </w:instrTex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5C" w:rsidRDefault="00FD775C">
    <w:pPr>
      <w:pStyle w:val="Header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5C" w:rsidRDefault="00FE01E2">
    <w:pPr>
      <w:pStyle w:val="Footer"/>
      <w:jc w:val="center"/>
    </w:pPr>
    <w:r>
      <w:rPr>
        <w:sz w:val="16"/>
        <w:szCs w:val="16"/>
      </w:rPr>
      <w:fldChar w:fldCharType="begin"/>
    </w:r>
    <w:r>
      <w:rPr>
        <w:sz w:val="16"/>
        <w:szCs w:val="16"/>
      </w:rPr>
      <w:instrText xml:space="preserve"> PAGE </w:instrText>
    </w:r>
    <w:r>
      <w:rPr>
        <w:sz w:val="16"/>
        <w:szCs w:val="16"/>
      </w:rPr>
      <w:fldChar w:fldCharType="separate"/>
    </w:r>
    <w:r w:rsidR="00A207D2">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6E" w:rsidRDefault="009F486E">
      <w:r>
        <w:separator/>
      </w:r>
    </w:p>
  </w:footnote>
  <w:footnote w:type="continuationSeparator" w:id="0">
    <w:p w:rsidR="009F486E" w:rsidRDefault="009F486E">
      <w:r>
        <w:continuationSeparator/>
      </w:r>
    </w:p>
  </w:footnote>
  <w:footnote w:type="continuationNotice" w:id="1">
    <w:p w:rsidR="009F486E" w:rsidRDefault="009F486E"/>
  </w:footnote>
  <w:footnote w:id="2">
    <w:p w:rsidR="00FD775C" w:rsidRPr="00CB0F6E" w:rsidRDefault="00632C51">
      <w:pPr>
        <w:pStyle w:val="FootnoteText"/>
        <w:rPr>
          <w:lang w:val="es-419"/>
        </w:rPr>
      </w:pPr>
      <w:r>
        <w:rPr>
          <w:rFonts w:ascii="Cambria" w:eastAsia="Cambria" w:hAnsi="Cambria" w:cs="Cambria"/>
          <w:sz w:val="16"/>
          <w:szCs w:val="16"/>
          <w:lang w:val="es-ES_tradnl"/>
        </w:rPr>
        <w:tab/>
      </w:r>
      <w:r w:rsidR="00FE01E2" w:rsidRPr="00632C51">
        <w:rPr>
          <w:rFonts w:ascii="Cambria" w:eastAsia="Cambria" w:hAnsi="Cambria" w:cs="Cambria"/>
          <w:bCs/>
          <w:vertAlign w:val="superscript"/>
          <w:lang w:val="es-ES_tradnl"/>
        </w:rPr>
        <w:footnoteRef/>
      </w:r>
      <w:r w:rsidR="00FE01E2">
        <w:rPr>
          <w:rFonts w:ascii="Cambria" w:eastAsia="Cambria" w:hAnsi="Cambria" w:cs="Cambria"/>
          <w:sz w:val="16"/>
          <w:szCs w:val="16"/>
          <w:lang w:val="es-ES_tradnl"/>
        </w:rPr>
        <w:t xml:space="preserve"> Las observaciones planteadas por cada una de las partes de le remitieron debidamente a la contraparte.</w:t>
      </w:r>
    </w:p>
  </w:footnote>
  <w:footnote w:id="3">
    <w:p w:rsidR="00FD775C" w:rsidRPr="00CB0F6E" w:rsidRDefault="00632C51">
      <w:pPr>
        <w:pStyle w:val="FootnoteText"/>
        <w:rPr>
          <w:lang w:val="es-419"/>
        </w:rPr>
      </w:pPr>
      <w:r>
        <w:rPr>
          <w:rFonts w:ascii="Cambria" w:eastAsia="Cambria" w:hAnsi="Cambria" w:cs="Cambria"/>
          <w:sz w:val="16"/>
          <w:szCs w:val="16"/>
          <w:lang w:val="es-ES_tradnl"/>
        </w:rPr>
        <w:tab/>
      </w:r>
      <w:r w:rsidR="00FE01E2">
        <w:rPr>
          <w:rFonts w:ascii="Cambria" w:eastAsia="Cambria" w:hAnsi="Cambria" w:cs="Cambria"/>
          <w:vertAlign w:val="superscript"/>
          <w:lang w:val="es-ES_tradnl"/>
        </w:rPr>
        <w:footnoteRef/>
      </w:r>
      <w:r w:rsidR="00FE01E2">
        <w:rPr>
          <w:rFonts w:ascii="Cambria" w:eastAsia="Cambria" w:hAnsi="Cambria" w:cs="Cambria"/>
          <w:sz w:val="16"/>
          <w:szCs w:val="16"/>
          <w:lang w:val="es-ES_tradnl"/>
        </w:rPr>
        <w:t xml:space="preserve"> Los peticionarios afirman que el municipio les confirió esta facultad a dos ingenieros, José Daniel Rincón </w:t>
      </w:r>
      <w:proofErr w:type="spellStart"/>
      <w:r w:rsidR="00FE01E2">
        <w:rPr>
          <w:rFonts w:ascii="Cambria" w:eastAsia="Cambria" w:hAnsi="Cambria" w:cs="Cambria"/>
          <w:sz w:val="16"/>
          <w:szCs w:val="16"/>
          <w:lang w:val="es-ES_tradnl"/>
        </w:rPr>
        <w:t>Zulaga</w:t>
      </w:r>
      <w:proofErr w:type="spellEnd"/>
      <w:r w:rsidR="00FE01E2">
        <w:rPr>
          <w:rFonts w:ascii="Cambria" w:eastAsia="Cambria" w:hAnsi="Cambria" w:cs="Cambria"/>
          <w:sz w:val="16"/>
          <w:szCs w:val="16"/>
          <w:lang w:val="es-ES_tradnl"/>
        </w:rPr>
        <w:t xml:space="preserve"> y Jorge Hernando Echeverría, quienes actuaron nominalmente para un senador, Ricardo Arias Mora.</w:t>
      </w:r>
    </w:p>
  </w:footnote>
  <w:footnote w:id="4">
    <w:p w:rsidR="00FD775C" w:rsidRPr="00CB0F6E" w:rsidRDefault="00632C51">
      <w:pPr>
        <w:pStyle w:val="FootnoteText"/>
        <w:rPr>
          <w:lang w:val="es-419"/>
        </w:rPr>
      </w:pPr>
      <w:r>
        <w:rPr>
          <w:rFonts w:ascii="Cambria" w:eastAsia="Cambria" w:hAnsi="Cambria" w:cs="Cambria"/>
          <w:sz w:val="16"/>
          <w:szCs w:val="16"/>
          <w:lang w:val="es-ES_tradnl"/>
        </w:rPr>
        <w:tab/>
      </w:r>
      <w:r w:rsidR="00FE01E2">
        <w:rPr>
          <w:rFonts w:ascii="Cambria" w:eastAsia="Cambria" w:hAnsi="Cambria" w:cs="Cambria"/>
          <w:vertAlign w:val="superscript"/>
          <w:lang w:val="es-ES_tradnl"/>
        </w:rPr>
        <w:footnoteRef/>
      </w:r>
      <w:r w:rsidR="00FE01E2">
        <w:rPr>
          <w:rFonts w:ascii="Cambria" w:eastAsia="Cambria" w:hAnsi="Cambria" w:cs="Cambria"/>
          <w:sz w:val="16"/>
          <w:szCs w:val="16"/>
          <w:lang w:val="es-ES_tradnl"/>
        </w:rPr>
        <w:t xml:space="preserve"> Los peticionarios afirman que adquirieron las viviendas o lotes mediante hipotecas (de la Corporación </w:t>
      </w:r>
      <w:proofErr w:type="spellStart"/>
      <w:r w:rsidR="00FE01E2">
        <w:rPr>
          <w:rFonts w:ascii="Cambria" w:eastAsia="Cambria" w:hAnsi="Cambria" w:cs="Cambria"/>
          <w:sz w:val="16"/>
          <w:szCs w:val="16"/>
          <w:lang w:val="es-ES_tradnl"/>
        </w:rPr>
        <w:t>GranColombia</w:t>
      </w:r>
      <w:proofErr w:type="spellEnd"/>
      <w:r w:rsidR="00FE01E2">
        <w:rPr>
          <w:rFonts w:ascii="Cambria" w:eastAsia="Cambria" w:hAnsi="Cambria" w:cs="Cambria"/>
          <w:sz w:val="16"/>
          <w:szCs w:val="16"/>
          <w:lang w:val="es-ES_tradnl"/>
        </w:rPr>
        <w:t xml:space="preserve"> de Ahorro y Vivienda </w:t>
      </w:r>
      <w:proofErr w:type="spellStart"/>
      <w:r w:rsidR="00FE01E2">
        <w:rPr>
          <w:rFonts w:ascii="Cambria" w:eastAsia="Cambria" w:hAnsi="Cambria" w:cs="Cambria"/>
          <w:sz w:val="16"/>
          <w:szCs w:val="16"/>
          <w:lang w:val="es-ES_tradnl"/>
        </w:rPr>
        <w:t>Granahorrar</w:t>
      </w:r>
      <w:proofErr w:type="spellEnd"/>
      <w:r w:rsidR="00FE01E2">
        <w:rPr>
          <w:rFonts w:ascii="Cambria" w:eastAsia="Cambria" w:hAnsi="Cambria" w:cs="Cambria"/>
          <w:sz w:val="16"/>
          <w:szCs w:val="16"/>
          <w:lang w:val="es-ES_tradnl"/>
        </w:rPr>
        <w:t xml:space="preserve">, S.A).   Aducen asimismo que la Corporación Autónoma Regional de Quindío otorgó también un permiso ambiental a pesar del riesgo. </w:t>
      </w:r>
    </w:p>
  </w:footnote>
  <w:footnote w:id="5">
    <w:p w:rsidR="00FD775C" w:rsidRPr="00CB0F6E" w:rsidRDefault="00632C51">
      <w:pPr>
        <w:pStyle w:val="FootnoteText"/>
        <w:rPr>
          <w:lang w:val="es-419"/>
        </w:rPr>
      </w:pPr>
      <w:r>
        <w:rPr>
          <w:rFonts w:ascii="Cambria" w:eastAsia="Cambria" w:hAnsi="Cambria" w:cs="Cambria"/>
          <w:sz w:val="16"/>
          <w:szCs w:val="16"/>
          <w:lang w:val="es-ES_tradnl"/>
        </w:rPr>
        <w:tab/>
      </w:r>
      <w:r w:rsidR="00FE01E2">
        <w:rPr>
          <w:rFonts w:ascii="Cambria" w:eastAsia="Cambria" w:hAnsi="Cambria" w:cs="Cambria"/>
          <w:vertAlign w:val="superscript"/>
          <w:lang w:val="es-ES_tradnl"/>
        </w:rPr>
        <w:footnoteRef/>
      </w:r>
      <w:r w:rsidR="00FE01E2">
        <w:rPr>
          <w:rFonts w:ascii="Cambria" w:eastAsia="Cambria" w:hAnsi="Cambria" w:cs="Cambria"/>
          <w:sz w:val="16"/>
          <w:szCs w:val="16"/>
          <w:lang w:val="es-ES_tradnl"/>
        </w:rPr>
        <w:t xml:space="preserve"> De acuerdo con los peticionarios, una empresa llamada El Mirador y Compañía </w:t>
      </w:r>
      <w:proofErr w:type="spellStart"/>
      <w:r w:rsidR="00FE01E2">
        <w:rPr>
          <w:rFonts w:ascii="Cambria" w:eastAsia="Cambria" w:hAnsi="Cambria" w:cs="Cambria"/>
          <w:sz w:val="16"/>
          <w:szCs w:val="16"/>
          <w:lang w:val="es-ES_tradnl"/>
        </w:rPr>
        <w:t>Ltda</w:t>
      </w:r>
      <w:proofErr w:type="spellEnd"/>
      <w:r w:rsidR="00FE01E2">
        <w:rPr>
          <w:rFonts w:ascii="Cambria" w:eastAsia="Cambria" w:hAnsi="Cambria" w:cs="Cambria"/>
          <w:sz w:val="16"/>
          <w:szCs w:val="16"/>
          <w:lang w:val="es-ES_tradnl"/>
        </w:rPr>
        <w:t xml:space="preserve"> inició la construcción, pero esta posteriormente fue asumida y completada por la Corporación </w:t>
      </w:r>
      <w:proofErr w:type="spellStart"/>
      <w:r w:rsidR="00FE01E2">
        <w:rPr>
          <w:rFonts w:ascii="Cambria" w:eastAsia="Cambria" w:hAnsi="Cambria" w:cs="Cambria"/>
          <w:sz w:val="16"/>
          <w:szCs w:val="16"/>
          <w:lang w:val="es-ES_tradnl"/>
        </w:rPr>
        <w:t>GranColombia</w:t>
      </w:r>
      <w:proofErr w:type="spellEnd"/>
      <w:r w:rsidR="00FE01E2">
        <w:rPr>
          <w:rFonts w:ascii="Cambria" w:eastAsia="Cambria" w:hAnsi="Cambria" w:cs="Cambria"/>
          <w:sz w:val="16"/>
          <w:szCs w:val="16"/>
          <w:lang w:val="es-ES_tradnl"/>
        </w:rPr>
        <w:t xml:space="preserve"> de Ahorro y Vivienda </w:t>
      </w:r>
      <w:proofErr w:type="spellStart"/>
      <w:r w:rsidR="00FE01E2">
        <w:rPr>
          <w:rFonts w:ascii="Cambria" w:eastAsia="Cambria" w:hAnsi="Cambria" w:cs="Cambria"/>
          <w:sz w:val="16"/>
          <w:szCs w:val="16"/>
          <w:lang w:val="es-ES_tradnl"/>
        </w:rPr>
        <w:t>Granahorrar</w:t>
      </w:r>
      <w:proofErr w:type="spellEnd"/>
      <w:r w:rsidR="00FE01E2">
        <w:rPr>
          <w:rFonts w:ascii="Cambria" w:eastAsia="Cambria" w:hAnsi="Cambria" w:cs="Cambria"/>
          <w:sz w:val="16"/>
          <w:szCs w:val="16"/>
          <w:lang w:val="es-ES_tradnl"/>
        </w:rPr>
        <w:t>, S.A.</w:t>
      </w:r>
    </w:p>
  </w:footnote>
  <w:footnote w:id="6">
    <w:p w:rsidR="00FD775C" w:rsidRPr="00CB0F6E" w:rsidRDefault="00632C51">
      <w:pPr>
        <w:pStyle w:val="FootnoteText"/>
        <w:rPr>
          <w:lang w:val="es-419"/>
        </w:rPr>
      </w:pPr>
      <w:r>
        <w:rPr>
          <w:rFonts w:ascii="Cambria" w:eastAsia="Cambria" w:hAnsi="Cambria" w:cs="Cambria"/>
          <w:sz w:val="16"/>
          <w:szCs w:val="16"/>
          <w:lang w:val="es-ES_tradnl"/>
        </w:rPr>
        <w:tab/>
      </w:r>
      <w:r w:rsidR="00FE01E2">
        <w:rPr>
          <w:vertAlign w:val="superscript"/>
          <w:lang w:val="es-ES_tradnl"/>
        </w:rPr>
        <w:footnoteRef/>
      </w:r>
      <w:r w:rsidR="00FE01E2">
        <w:rPr>
          <w:rFonts w:ascii="Cambria" w:eastAsia="Cambria" w:hAnsi="Cambria" w:cs="Cambria"/>
          <w:sz w:val="16"/>
          <w:szCs w:val="16"/>
          <w:lang w:val="es-ES_tradnl"/>
        </w:rPr>
        <w:t xml:space="preserve"> En este sentido, los peticionarios hacen referencia a un estudio realizado por la ONG “Antioquia Presente” como el principal estudio realizado.</w:t>
      </w:r>
    </w:p>
  </w:footnote>
  <w:footnote w:id="7">
    <w:p w:rsidR="00FD775C" w:rsidRPr="00CB0F6E" w:rsidRDefault="00632C51">
      <w:pPr>
        <w:pStyle w:val="FootnoteText"/>
        <w:rPr>
          <w:lang w:val="es-419"/>
        </w:rPr>
      </w:pPr>
      <w:r>
        <w:rPr>
          <w:rFonts w:ascii="Cambria" w:eastAsia="Cambria" w:hAnsi="Cambria" w:cs="Cambria"/>
          <w:sz w:val="16"/>
          <w:szCs w:val="16"/>
          <w:lang w:val="es-ES_tradnl"/>
        </w:rPr>
        <w:tab/>
      </w:r>
      <w:r w:rsidR="00FE01E2">
        <w:rPr>
          <w:vertAlign w:val="superscript"/>
          <w:lang w:val="es-ES_tradnl"/>
        </w:rPr>
        <w:footnoteRef/>
      </w:r>
      <w:r w:rsidR="00FE01E2">
        <w:rPr>
          <w:rFonts w:ascii="Cambria" w:eastAsia="Cambria" w:hAnsi="Cambria" w:cs="Cambria"/>
          <w:sz w:val="16"/>
          <w:szCs w:val="16"/>
          <w:lang w:val="es-ES_tradnl"/>
        </w:rPr>
        <w:t xml:space="preserve"> De acuerdo con la petición, el Consejo de Estado mantuvo que el monto reclamado quedaba fuera de su jurisdicción.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D2" w:rsidRDefault="00A20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5C" w:rsidRDefault="00FE01E2">
    <w:pPr>
      <w:pStyle w:val="Header"/>
      <w:tabs>
        <w:tab w:val="clear" w:pos="4320"/>
        <w:tab w:val="clear" w:pos="8640"/>
      </w:tabs>
      <w:jc w:val="center"/>
      <w:rPr>
        <w:sz w:val="22"/>
        <w:szCs w:val="22"/>
      </w:rPr>
    </w:pPr>
    <w:r>
      <w:rPr>
        <w:noProof/>
        <w:sz w:val="22"/>
        <w:szCs w:val="22"/>
      </w:rPr>
      <w:drawing>
        <wp:inline distT="0" distB="0" distL="0" distR="0">
          <wp:extent cx="2137411" cy="1187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2137411" cy="118746"/>
                  </a:xfrm>
                  <a:prstGeom prst="rect">
                    <a:avLst/>
                  </a:prstGeom>
                  <a:ln w="12700" cap="flat">
                    <a:noFill/>
                    <a:miter lim="400000"/>
                  </a:ln>
                  <a:effectLst/>
                </pic:spPr>
              </pic:pic>
            </a:graphicData>
          </a:graphic>
        </wp:inline>
      </w:drawing>
    </w:r>
  </w:p>
  <w:p w:rsidR="00FD775C" w:rsidRDefault="00FE01E2">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5C" w:rsidRDefault="00FD775C">
    <w:pPr>
      <w:pStyle w:val="Header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5C" w:rsidRDefault="00FE01E2">
    <w:pPr>
      <w:pStyle w:val="Header"/>
      <w:tabs>
        <w:tab w:val="clear" w:pos="4320"/>
        <w:tab w:val="clear" w:pos="8640"/>
      </w:tabs>
      <w:jc w:val="center"/>
    </w:pPr>
    <w:r>
      <w:rPr>
        <w:noProof/>
        <w:sz w:val="22"/>
        <w:szCs w:val="22"/>
      </w:rPr>
      <w:drawing>
        <wp:inline distT="0" distB="0" distL="0" distR="0">
          <wp:extent cx="1959611" cy="10668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4.jpg"/>
                  <pic:cNvPicPr>
                    <a:picLocks noChangeAspect="1"/>
                  </pic:cNvPicPr>
                </pic:nvPicPr>
                <pic:blipFill>
                  <a:blip r:embed="rId1">
                    <a:extLst/>
                  </a:blip>
                  <a:stretch>
                    <a:fillRect/>
                  </a:stretch>
                </pic:blipFill>
                <pic:spPr>
                  <a:xfrm>
                    <a:off x="0" y="0"/>
                    <a:ext cx="1959611" cy="106680"/>
                  </a:xfrm>
                  <a:prstGeom prst="rect">
                    <a:avLst/>
                  </a:prstGeom>
                  <a:ln w="12700" cap="flat">
                    <a:noFill/>
                    <a:miter lim="400000"/>
                  </a:ln>
                  <a:effectLst/>
                </pic:spPr>
              </pic:pic>
            </a:graphicData>
          </a:graphic>
        </wp:inline>
      </w:drawing>
    </w:r>
    <w:r>
      <w:rPr>
        <w:noProof/>
        <w:sz w:val="22"/>
        <w:szCs w:val="22"/>
      </w:rPr>
      <mc:AlternateContent>
        <mc:Choice Requires="wps">
          <w:drawing>
            <wp:inline distT="0" distB="0" distL="0" distR="0">
              <wp:extent cx="5943600" cy="19050"/>
              <wp:effectExtent l="0" t="0" r="0" b="0"/>
              <wp:docPr id="1073741838"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12AE0"/>
    <w:multiLevelType w:val="hybridMultilevel"/>
    <w:tmpl w:val="6B0E682A"/>
    <w:numStyleLink w:val="ImportedStyle2"/>
  </w:abstractNum>
  <w:abstractNum w:abstractNumId="1" w15:restartNumberingAfterBreak="0">
    <w:nsid w:val="1C261EDB"/>
    <w:multiLevelType w:val="hybridMultilevel"/>
    <w:tmpl w:val="18AA7D4E"/>
    <w:lvl w:ilvl="0" w:tplc="B208629E">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78BD48">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9C26FDA">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9E29310">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BA533E">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2EBA5E">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5CCEC4">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7B026E4">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A68BD8">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37F03EC"/>
    <w:multiLevelType w:val="hybridMultilevel"/>
    <w:tmpl w:val="6B0E682A"/>
    <w:styleLink w:val="ImportedStyle2"/>
    <w:lvl w:ilvl="0" w:tplc="A8A083A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D5AF5B0">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8D24A84">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68C7094">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C744EBE">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BA0A88">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1483122">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D8AFF4">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23AAD6C">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16B7468"/>
    <w:multiLevelType w:val="hybridMultilevel"/>
    <w:tmpl w:val="0F28BCD8"/>
    <w:numStyleLink w:val="ImportedStyle3"/>
  </w:abstractNum>
  <w:abstractNum w:abstractNumId="4" w15:restartNumberingAfterBreak="0">
    <w:nsid w:val="66035AE0"/>
    <w:multiLevelType w:val="hybridMultilevel"/>
    <w:tmpl w:val="0F28BCD8"/>
    <w:styleLink w:val="ImportedStyle3"/>
    <w:lvl w:ilvl="0" w:tplc="4BF8E1E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8FC1056">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A1E78">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7F08056">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250E6F8">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9941C08">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A48026">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314F1E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E6481C">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0"/>
  </w:num>
  <w:num w:numId="3">
    <w:abstractNumId w:val="0"/>
    <w:lvlOverride w:ilvl="0">
      <w:lvl w:ilvl="0" w:tplc="2508045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CD40C86">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FBC1114">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53CBD5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3480696">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5F46914">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160867A">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04E6A0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5B8F744">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5C"/>
    <w:rsid w:val="00632C51"/>
    <w:rsid w:val="00974800"/>
    <w:rsid w:val="009F486E"/>
    <w:rsid w:val="00A207D2"/>
    <w:rsid w:val="00A85136"/>
    <w:rsid w:val="00B34F82"/>
    <w:rsid w:val="00C70155"/>
    <w:rsid w:val="00CB0F6E"/>
    <w:rsid w:val="00F527A6"/>
    <w:rsid w:val="00FD775C"/>
    <w:rsid w:val="00FE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Univers" w:eastAsia="Univers" w:hAnsi="Univers" w:cs="Univer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9059-A5D0-43C6-996C-14125356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8533</Characters>
  <Application>Microsoft Office Word</Application>
  <DocSecurity>0</DocSecurity>
  <Lines>189</Lines>
  <Paragraphs>64</Paragraphs>
  <ScaleCrop>false</ScaleCrop>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93/20</dc:title>
  <dc:creator/>
  <cp:lastModifiedBy/>
  <cp:revision>1</cp:revision>
  <dcterms:created xsi:type="dcterms:W3CDTF">2020-06-24T15:54:00Z</dcterms:created>
  <dcterms:modified xsi:type="dcterms:W3CDTF">2020-06-24T15:55:00Z</dcterms:modified>
</cp:coreProperties>
</file>