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3EC62262"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60624D50"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6F0DC8">
                              <w:rPr>
                                <w:rFonts w:asciiTheme="majorHAnsi" w:hAnsiTheme="majorHAnsi" w:cs="Arial"/>
                                <w:b/>
                                <w:bCs/>
                                <w:color w:val="0D0D0D" w:themeColor="text1" w:themeTint="F2"/>
                                <w:sz w:val="36"/>
                                <w:szCs w:val="22"/>
                                <w:lang w:val="es-ES_tradnl"/>
                              </w:rPr>
                              <w:t xml:space="preserve"> 261</w:t>
                            </w:r>
                            <w:r w:rsidR="007B05C4">
                              <w:rPr>
                                <w:rFonts w:asciiTheme="majorHAnsi" w:hAnsiTheme="majorHAnsi" w:cs="Arial"/>
                                <w:b/>
                                <w:bCs/>
                                <w:color w:val="0D0D0D" w:themeColor="text1" w:themeTint="F2"/>
                                <w:sz w:val="36"/>
                                <w:szCs w:val="22"/>
                                <w:lang w:val="es-ES_tradnl"/>
                              </w:rPr>
                              <w:t>/</w:t>
                            </w:r>
                            <w:r w:rsidR="00FB4E77">
                              <w:rPr>
                                <w:rFonts w:asciiTheme="majorHAnsi" w:hAnsiTheme="majorHAnsi" w:cs="Arial"/>
                                <w:b/>
                                <w:bCs/>
                                <w:color w:val="0D0D0D" w:themeColor="text1" w:themeTint="F2"/>
                                <w:sz w:val="36"/>
                                <w:szCs w:val="22"/>
                                <w:lang w:val="es-ES_tradnl"/>
                              </w:rPr>
                              <w:t>20</w:t>
                            </w:r>
                          </w:p>
                          <w:p w14:paraId="09C54AB3" w14:textId="57EBD636"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3D158D">
                              <w:rPr>
                                <w:rFonts w:asciiTheme="majorHAnsi" w:hAnsiTheme="majorHAnsi" w:cs="Arial"/>
                                <w:b/>
                                <w:color w:val="0D0D0D" w:themeColor="text1" w:themeTint="F2"/>
                                <w:sz w:val="36"/>
                                <w:szCs w:val="22"/>
                                <w:lang w:val="es-ES_tradnl"/>
                              </w:rPr>
                              <w:t>592-09</w:t>
                            </w:r>
                            <w:r w:rsidR="00246D1F" w:rsidRPr="004E2649">
                              <w:rPr>
                                <w:rFonts w:asciiTheme="majorHAnsi" w:hAnsiTheme="majorHAnsi" w:cs="Arial"/>
                                <w:b/>
                                <w:color w:val="0D0D0D" w:themeColor="text1" w:themeTint="F2"/>
                                <w:sz w:val="36"/>
                                <w:szCs w:val="22"/>
                                <w:lang w:val="es-ES_tradnl"/>
                              </w:rPr>
                              <w:t xml:space="preserve"> </w:t>
                            </w:r>
                          </w:p>
                          <w:p w14:paraId="70CF6833" w14:textId="5AC516C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4E94CCF9" w:rsidR="005B52B0" w:rsidRPr="0010736F" w:rsidRDefault="003D158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FRANK YEISSON ACOSTA HERNÁNDEZ Y OTROS</w:t>
                            </w:r>
                          </w:p>
                          <w:bookmarkEnd w:id="1"/>
                          <w:p w14:paraId="35068D0D" w14:textId="2C8E5EB2" w:rsidR="005B52B0" w:rsidRPr="0010736F" w:rsidRDefault="003D158D"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60624D50"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6F0DC8">
                        <w:rPr>
                          <w:rFonts w:asciiTheme="majorHAnsi" w:hAnsiTheme="majorHAnsi" w:cs="Arial"/>
                          <w:b/>
                          <w:bCs/>
                          <w:color w:val="0D0D0D" w:themeColor="text1" w:themeTint="F2"/>
                          <w:sz w:val="36"/>
                          <w:szCs w:val="22"/>
                          <w:lang w:val="es-ES_tradnl"/>
                        </w:rPr>
                        <w:t xml:space="preserve"> 261</w:t>
                      </w:r>
                      <w:r w:rsidR="007B05C4">
                        <w:rPr>
                          <w:rFonts w:asciiTheme="majorHAnsi" w:hAnsiTheme="majorHAnsi" w:cs="Arial"/>
                          <w:b/>
                          <w:bCs/>
                          <w:color w:val="0D0D0D" w:themeColor="text1" w:themeTint="F2"/>
                          <w:sz w:val="36"/>
                          <w:szCs w:val="22"/>
                          <w:lang w:val="es-ES_tradnl"/>
                        </w:rPr>
                        <w:t>/</w:t>
                      </w:r>
                      <w:r w:rsidR="00FB4E77">
                        <w:rPr>
                          <w:rFonts w:asciiTheme="majorHAnsi" w:hAnsiTheme="majorHAnsi" w:cs="Arial"/>
                          <w:b/>
                          <w:bCs/>
                          <w:color w:val="0D0D0D" w:themeColor="text1" w:themeTint="F2"/>
                          <w:sz w:val="36"/>
                          <w:szCs w:val="22"/>
                          <w:lang w:val="es-ES_tradnl"/>
                        </w:rPr>
                        <w:t>20</w:t>
                      </w:r>
                    </w:p>
                    <w:p w14:paraId="09C54AB3" w14:textId="57EBD636"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3D158D">
                        <w:rPr>
                          <w:rFonts w:asciiTheme="majorHAnsi" w:hAnsiTheme="majorHAnsi" w:cs="Arial"/>
                          <w:b/>
                          <w:color w:val="0D0D0D" w:themeColor="text1" w:themeTint="F2"/>
                          <w:sz w:val="36"/>
                          <w:szCs w:val="22"/>
                          <w:lang w:val="es-ES_tradnl"/>
                        </w:rPr>
                        <w:t>592-09</w:t>
                      </w:r>
                      <w:r w:rsidR="00246D1F" w:rsidRPr="004E2649">
                        <w:rPr>
                          <w:rFonts w:asciiTheme="majorHAnsi" w:hAnsiTheme="majorHAnsi" w:cs="Arial"/>
                          <w:b/>
                          <w:color w:val="0D0D0D" w:themeColor="text1" w:themeTint="F2"/>
                          <w:sz w:val="36"/>
                          <w:szCs w:val="22"/>
                          <w:lang w:val="es-ES_tradnl"/>
                        </w:rPr>
                        <w:t xml:space="preserve"> </w:t>
                      </w:r>
                    </w:p>
                    <w:p w14:paraId="70CF6833" w14:textId="5AC516C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4E94CCF9" w:rsidR="005B52B0" w:rsidRPr="0010736F" w:rsidRDefault="003D158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FRANK YEISSON ACOSTA HERNÁNDEZ Y OTROS</w:t>
                      </w:r>
                    </w:p>
                    <w:bookmarkEnd w:id="1"/>
                    <w:p w14:paraId="35068D0D" w14:textId="2C8E5EB2" w:rsidR="005B52B0" w:rsidRPr="0010736F" w:rsidRDefault="003D158D"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1DFBD855"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2A0A25FA" w:rsidR="00627C9F" w:rsidRPr="004E2649" w:rsidRDefault="006F0DC8"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277</w:t>
                            </w:r>
                          </w:p>
                          <w:p w14:paraId="69373ED2" w14:textId="3F3E17D4" w:rsidR="00627C9F" w:rsidRPr="006E07AF" w:rsidRDefault="006F0DC8"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28 septiembre</w:t>
                            </w:r>
                            <w:r w:rsidR="00627C9F" w:rsidRPr="006E07AF">
                              <w:rPr>
                                <w:rFonts w:asciiTheme="minorHAnsi" w:hAnsiTheme="minorHAnsi"/>
                                <w:color w:val="FFFFFF" w:themeColor="background1"/>
                                <w:sz w:val="22"/>
                                <w:lang w:val="es-ES"/>
                              </w:rPr>
                              <w:t xml:space="preserve"> 20</w:t>
                            </w:r>
                            <w:r w:rsidR="0002508D">
                              <w:rPr>
                                <w:rFonts w:asciiTheme="minorHAnsi" w:hAnsiTheme="minorHAnsi"/>
                                <w:color w:val="FFFFFF" w:themeColor="background1"/>
                                <w:sz w:val="22"/>
                                <w:lang w:val="es-ES"/>
                              </w:rPr>
                              <w:t>20</w:t>
                            </w:r>
                          </w:p>
                          <w:p w14:paraId="0771DB5B" w14:textId="77777777" w:rsidR="00627C9F" w:rsidRPr="006E07AF" w:rsidRDefault="00E0340B" w:rsidP="007A5817">
                            <w:pPr>
                              <w:spacing w:line="276" w:lineRule="auto"/>
                              <w:jc w:val="right"/>
                              <w:rPr>
                                <w:rFonts w:asciiTheme="minorHAnsi" w:hAnsiTheme="minorHAnsi"/>
                                <w:color w:val="FFFFFF" w:themeColor="background1"/>
                                <w:sz w:val="22"/>
                                <w:lang w:val="es-ES"/>
                              </w:rPr>
                            </w:pPr>
                            <w:r w:rsidRPr="006E07AF">
                              <w:rPr>
                                <w:rFonts w:asciiTheme="minorHAnsi" w:hAnsiTheme="minorHAnsi"/>
                                <w:color w:val="FFFFFF" w:themeColor="background1"/>
                                <w:sz w:val="22"/>
                                <w:lang w:val="es-ES"/>
                              </w:rPr>
                              <w:t xml:space="preserve">Original: </w:t>
                            </w:r>
                            <w:r w:rsidR="008B12F5" w:rsidRPr="006E07AF">
                              <w:rPr>
                                <w:rFonts w:asciiTheme="minorHAnsi" w:hAnsiTheme="minorHAnsi"/>
                                <w:color w:val="FFFFFF" w:themeColor="background1"/>
                                <w:sz w:val="22"/>
                                <w:lang w:val="es-ES"/>
                              </w:rPr>
                              <w:t>e</w:t>
                            </w:r>
                            <w:r w:rsidR="00627C9F" w:rsidRPr="006E07AF">
                              <w:rPr>
                                <w:rFonts w:asciiTheme="minorHAnsi" w:hAnsiTheme="minorHAnsi"/>
                                <w:color w:val="FFFFFF" w:themeColor="background1"/>
                                <w:sz w:val="22"/>
                                <w:lang w:val="es-E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1DFBD855"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2A0A25FA" w:rsidR="00627C9F" w:rsidRPr="004E2649" w:rsidRDefault="006F0DC8"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277</w:t>
                      </w:r>
                    </w:p>
                    <w:p w14:paraId="69373ED2" w14:textId="3F3E17D4" w:rsidR="00627C9F" w:rsidRPr="006E07AF" w:rsidRDefault="006F0DC8"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28 septiembre</w:t>
                      </w:r>
                      <w:r w:rsidR="00627C9F" w:rsidRPr="006E07AF">
                        <w:rPr>
                          <w:rFonts w:asciiTheme="minorHAnsi" w:hAnsiTheme="minorHAnsi"/>
                          <w:color w:val="FFFFFF" w:themeColor="background1"/>
                          <w:sz w:val="22"/>
                          <w:lang w:val="es-ES"/>
                        </w:rPr>
                        <w:t xml:space="preserve"> 20</w:t>
                      </w:r>
                      <w:r w:rsidR="0002508D">
                        <w:rPr>
                          <w:rFonts w:asciiTheme="minorHAnsi" w:hAnsiTheme="minorHAnsi"/>
                          <w:color w:val="FFFFFF" w:themeColor="background1"/>
                          <w:sz w:val="22"/>
                          <w:lang w:val="es-ES"/>
                        </w:rPr>
                        <w:t>20</w:t>
                      </w:r>
                    </w:p>
                    <w:p w14:paraId="0771DB5B" w14:textId="77777777" w:rsidR="00627C9F" w:rsidRPr="006E07AF" w:rsidRDefault="00E0340B" w:rsidP="007A5817">
                      <w:pPr>
                        <w:spacing w:line="276" w:lineRule="auto"/>
                        <w:jc w:val="right"/>
                        <w:rPr>
                          <w:rFonts w:asciiTheme="minorHAnsi" w:hAnsiTheme="minorHAnsi"/>
                          <w:color w:val="FFFFFF" w:themeColor="background1"/>
                          <w:sz w:val="22"/>
                          <w:lang w:val="es-ES"/>
                        </w:rPr>
                      </w:pPr>
                      <w:r w:rsidRPr="006E07AF">
                        <w:rPr>
                          <w:rFonts w:asciiTheme="minorHAnsi" w:hAnsiTheme="minorHAnsi"/>
                          <w:color w:val="FFFFFF" w:themeColor="background1"/>
                          <w:sz w:val="22"/>
                          <w:lang w:val="es-ES"/>
                        </w:rPr>
                        <w:t xml:space="preserve">Original: </w:t>
                      </w:r>
                      <w:r w:rsidR="008B12F5" w:rsidRPr="006E07AF">
                        <w:rPr>
                          <w:rFonts w:asciiTheme="minorHAnsi" w:hAnsiTheme="minorHAnsi"/>
                          <w:color w:val="FFFFFF" w:themeColor="background1"/>
                          <w:sz w:val="22"/>
                          <w:lang w:val="es-ES"/>
                        </w:rPr>
                        <w:t>e</w:t>
                      </w:r>
                      <w:r w:rsidR="00627C9F" w:rsidRPr="006E07AF">
                        <w:rPr>
                          <w:rFonts w:asciiTheme="minorHAnsi" w:hAnsiTheme="minorHAnsi"/>
                          <w:color w:val="FFFFFF" w:themeColor="background1"/>
                          <w:sz w:val="22"/>
                          <w:lang w:val="es-ES"/>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FC3086" w14:textId="58129383" w:rsidR="0002508D" w:rsidRPr="00890650" w:rsidRDefault="0002508D" w:rsidP="00DD3D86">
                            <w:pPr>
                              <w:tabs>
                                <w:tab w:val="center" w:pos="5400"/>
                              </w:tabs>
                              <w:suppressAutoHyphens/>
                              <w:spacing w:before="60"/>
                              <w:rPr>
                                <w:rFonts w:asciiTheme="majorHAnsi" w:hAnsiTheme="majorHAnsi"/>
                                <w:color w:val="0D0D0D" w:themeColor="text1" w:themeTint="F2"/>
                                <w:sz w:val="18"/>
                                <w:szCs w:val="22"/>
                                <w:lang w:val="es-ES"/>
                              </w:rPr>
                            </w:pPr>
                            <w:r>
                              <w:rPr>
                                <w:rFonts w:asciiTheme="majorHAnsi" w:hAnsiTheme="majorHAnsi"/>
                                <w:color w:val="0D0D0D" w:themeColor="text1" w:themeTint="F2"/>
                                <w:sz w:val="18"/>
                                <w:szCs w:val="22"/>
                                <w:lang w:val="es-ES"/>
                              </w:rPr>
                              <w:t xml:space="preserve">Aprobado electrónicamente por la Comisión el </w:t>
                            </w:r>
                            <w:r w:rsidR="006F0DC8">
                              <w:rPr>
                                <w:rFonts w:asciiTheme="majorHAnsi" w:hAnsiTheme="majorHAnsi"/>
                                <w:color w:val="0D0D0D" w:themeColor="text1" w:themeTint="F2"/>
                                <w:sz w:val="18"/>
                                <w:szCs w:val="22"/>
                                <w:lang w:val="es-ES"/>
                              </w:rPr>
                              <w:t>28</w:t>
                            </w:r>
                            <w:r>
                              <w:rPr>
                                <w:rFonts w:asciiTheme="majorHAnsi" w:hAnsiTheme="majorHAnsi"/>
                                <w:color w:val="0D0D0D" w:themeColor="text1" w:themeTint="F2"/>
                                <w:sz w:val="18"/>
                                <w:szCs w:val="22"/>
                                <w:lang w:val="es-ES"/>
                              </w:rPr>
                              <w:t xml:space="preserve"> de </w:t>
                            </w:r>
                            <w:r w:rsidR="006F0DC8">
                              <w:rPr>
                                <w:rFonts w:asciiTheme="majorHAnsi" w:hAnsiTheme="majorHAnsi"/>
                                <w:color w:val="0D0D0D" w:themeColor="text1" w:themeTint="F2"/>
                                <w:sz w:val="18"/>
                                <w:szCs w:val="22"/>
                                <w:lang w:val="es-ES"/>
                              </w:rPr>
                              <w:t>septiembre</w:t>
                            </w:r>
                            <w:r>
                              <w:rPr>
                                <w:rFonts w:asciiTheme="majorHAnsi" w:hAnsiTheme="majorHAnsi"/>
                                <w:color w:val="0D0D0D" w:themeColor="text1" w:themeTint="F2"/>
                                <w:sz w:val="18"/>
                                <w:szCs w:val="22"/>
                                <w:lang w:val="es-ES"/>
                              </w:rPr>
                              <w:t xml:space="preserve"> de 2020</w:t>
                            </w:r>
                            <w:r w:rsidR="00562424">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16FC3086" w14:textId="58129383" w:rsidR="0002508D" w:rsidRPr="00890650" w:rsidRDefault="0002508D" w:rsidP="00DD3D86">
                      <w:pPr>
                        <w:tabs>
                          <w:tab w:val="center" w:pos="5400"/>
                        </w:tabs>
                        <w:suppressAutoHyphens/>
                        <w:spacing w:before="60"/>
                        <w:rPr>
                          <w:rFonts w:asciiTheme="majorHAnsi" w:hAnsiTheme="majorHAnsi"/>
                          <w:color w:val="0D0D0D" w:themeColor="text1" w:themeTint="F2"/>
                          <w:sz w:val="18"/>
                          <w:szCs w:val="22"/>
                          <w:lang w:val="es-ES"/>
                        </w:rPr>
                      </w:pPr>
                      <w:r>
                        <w:rPr>
                          <w:rFonts w:asciiTheme="majorHAnsi" w:hAnsiTheme="majorHAnsi"/>
                          <w:color w:val="0D0D0D" w:themeColor="text1" w:themeTint="F2"/>
                          <w:sz w:val="18"/>
                          <w:szCs w:val="22"/>
                          <w:lang w:val="es-ES"/>
                        </w:rPr>
                        <w:t xml:space="preserve">Aprobado electrónicamente por la Comisión el </w:t>
                      </w:r>
                      <w:r w:rsidR="006F0DC8">
                        <w:rPr>
                          <w:rFonts w:asciiTheme="majorHAnsi" w:hAnsiTheme="majorHAnsi"/>
                          <w:color w:val="0D0D0D" w:themeColor="text1" w:themeTint="F2"/>
                          <w:sz w:val="18"/>
                          <w:szCs w:val="22"/>
                          <w:lang w:val="es-ES"/>
                        </w:rPr>
                        <w:t>28</w:t>
                      </w:r>
                      <w:r>
                        <w:rPr>
                          <w:rFonts w:asciiTheme="majorHAnsi" w:hAnsiTheme="majorHAnsi"/>
                          <w:color w:val="0D0D0D" w:themeColor="text1" w:themeTint="F2"/>
                          <w:sz w:val="18"/>
                          <w:szCs w:val="22"/>
                          <w:lang w:val="es-ES"/>
                        </w:rPr>
                        <w:t xml:space="preserve"> de </w:t>
                      </w:r>
                      <w:r w:rsidR="006F0DC8">
                        <w:rPr>
                          <w:rFonts w:asciiTheme="majorHAnsi" w:hAnsiTheme="majorHAnsi"/>
                          <w:color w:val="0D0D0D" w:themeColor="text1" w:themeTint="F2"/>
                          <w:sz w:val="18"/>
                          <w:szCs w:val="22"/>
                          <w:lang w:val="es-ES"/>
                        </w:rPr>
                        <w:t>septiembre</w:t>
                      </w:r>
                      <w:r>
                        <w:rPr>
                          <w:rFonts w:asciiTheme="majorHAnsi" w:hAnsiTheme="majorHAnsi"/>
                          <w:color w:val="0D0D0D" w:themeColor="text1" w:themeTint="F2"/>
                          <w:sz w:val="18"/>
                          <w:szCs w:val="22"/>
                          <w:lang w:val="es-ES"/>
                        </w:rPr>
                        <w:t xml:space="preserve"> de 2020</w:t>
                      </w:r>
                      <w:r w:rsidR="00562424">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4BA7DA0C"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6F0DC8" w:rsidRPr="006F0DC8">
                              <w:rPr>
                                <w:rFonts w:asciiTheme="majorHAnsi" w:hAnsiTheme="majorHAnsi"/>
                                <w:color w:val="595959" w:themeColor="text1" w:themeTint="A6"/>
                                <w:sz w:val="18"/>
                                <w:szCs w:val="18"/>
                                <w:lang w:val="pt-BR"/>
                              </w:rPr>
                              <w:t>261</w:t>
                            </w:r>
                            <w:r w:rsidR="003D158D" w:rsidRPr="006F0DC8">
                              <w:rPr>
                                <w:rFonts w:asciiTheme="majorHAnsi" w:hAnsiTheme="majorHAnsi"/>
                                <w:color w:val="595959" w:themeColor="text1" w:themeTint="A6"/>
                                <w:sz w:val="18"/>
                                <w:szCs w:val="18"/>
                                <w:lang w:val="pt-BR"/>
                              </w:rPr>
                              <w:t>/</w:t>
                            </w:r>
                            <w:r w:rsidR="006F0DC8" w:rsidRPr="006F0DC8">
                              <w:rPr>
                                <w:rFonts w:asciiTheme="majorHAnsi" w:hAnsiTheme="majorHAnsi"/>
                                <w:color w:val="595959" w:themeColor="text1" w:themeTint="A6"/>
                                <w:sz w:val="18"/>
                                <w:szCs w:val="18"/>
                                <w:lang w:val="pt-BR"/>
                              </w:rPr>
                              <w:t>20</w:t>
                            </w:r>
                            <w:r w:rsidRPr="006F0DC8">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3D158D">
                              <w:rPr>
                                <w:rFonts w:asciiTheme="majorHAnsi" w:hAnsiTheme="majorHAnsi"/>
                                <w:color w:val="595959" w:themeColor="text1" w:themeTint="A6"/>
                                <w:sz w:val="18"/>
                                <w:szCs w:val="18"/>
                                <w:lang w:val="es-ES"/>
                              </w:rPr>
                              <w:t>ón</w:t>
                            </w:r>
                            <w:proofErr w:type="spellEnd"/>
                            <w:r w:rsidR="0002508D">
                              <w:rPr>
                                <w:rFonts w:asciiTheme="majorHAnsi" w:hAnsiTheme="majorHAnsi"/>
                                <w:color w:val="595959" w:themeColor="text1" w:themeTint="A6"/>
                                <w:sz w:val="18"/>
                                <w:szCs w:val="18"/>
                                <w:lang w:val="es-ES"/>
                              </w:rPr>
                              <w:t xml:space="preserve"> 592</w:t>
                            </w:r>
                            <w:r w:rsidR="003D158D">
                              <w:rPr>
                                <w:rFonts w:asciiTheme="majorHAnsi" w:hAnsiTheme="majorHAnsi"/>
                                <w:color w:val="595959" w:themeColor="text1" w:themeTint="A6"/>
                                <w:sz w:val="18"/>
                                <w:szCs w:val="18"/>
                                <w:lang w:val="es-ES"/>
                              </w:rPr>
                              <w:t>-</w:t>
                            </w:r>
                            <w:r w:rsidR="0002508D">
                              <w:rPr>
                                <w:rFonts w:asciiTheme="majorHAnsi" w:hAnsiTheme="majorHAnsi"/>
                                <w:color w:val="595959" w:themeColor="text1" w:themeTint="A6"/>
                                <w:sz w:val="18"/>
                                <w:szCs w:val="18"/>
                                <w:lang w:val="es-ES"/>
                              </w:rPr>
                              <w:t>09</w:t>
                            </w:r>
                            <w:r w:rsidR="000433C9">
                              <w:rPr>
                                <w:rFonts w:asciiTheme="majorHAnsi" w:hAnsiTheme="majorHAnsi"/>
                                <w:color w:val="595959" w:themeColor="text1" w:themeTint="A6"/>
                                <w:sz w:val="18"/>
                                <w:szCs w:val="18"/>
                                <w:lang w:val="es-ES"/>
                              </w:rPr>
                              <w:t xml:space="preserve">. </w:t>
                            </w:r>
                            <w:r w:rsidR="0002508D">
                              <w:rPr>
                                <w:rFonts w:asciiTheme="majorHAnsi" w:hAnsiTheme="majorHAnsi"/>
                                <w:color w:val="595959" w:themeColor="text1" w:themeTint="A6"/>
                                <w:sz w:val="18"/>
                                <w:szCs w:val="18"/>
                                <w:lang w:val="es-ES_tradnl"/>
                              </w:rPr>
                              <w:t>A</w:t>
                            </w:r>
                            <w:r w:rsidR="003D158D">
                              <w:rPr>
                                <w:rFonts w:asciiTheme="majorHAnsi" w:hAnsiTheme="majorHAnsi"/>
                                <w:color w:val="595959" w:themeColor="text1" w:themeTint="A6"/>
                                <w:sz w:val="18"/>
                                <w:szCs w:val="18"/>
                                <w:lang w:val="es-ES_tradnl"/>
                              </w:rPr>
                              <w:t xml:space="preserve">dmisibilidad. Frank </w:t>
                            </w:r>
                            <w:proofErr w:type="spellStart"/>
                            <w:r w:rsidR="003D158D">
                              <w:rPr>
                                <w:rFonts w:asciiTheme="majorHAnsi" w:hAnsiTheme="majorHAnsi"/>
                                <w:color w:val="595959" w:themeColor="text1" w:themeTint="A6"/>
                                <w:sz w:val="18"/>
                                <w:szCs w:val="18"/>
                                <w:lang w:val="es-ES_tradnl"/>
                              </w:rPr>
                              <w:t>Yeisson</w:t>
                            </w:r>
                            <w:proofErr w:type="spellEnd"/>
                            <w:r w:rsidR="003D158D">
                              <w:rPr>
                                <w:rFonts w:asciiTheme="majorHAnsi" w:hAnsiTheme="majorHAnsi"/>
                                <w:color w:val="595959" w:themeColor="text1" w:themeTint="A6"/>
                                <w:sz w:val="18"/>
                                <w:szCs w:val="18"/>
                                <w:lang w:val="es-ES_tradnl"/>
                              </w:rPr>
                              <w:t xml:space="preserve"> Acosta Hernández. Colombia</w:t>
                            </w:r>
                            <w:r w:rsidRPr="00890650">
                              <w:rPr>
                                <w:rFonts w:asciiTheme="majorHAnsi" w:hAnsiTheme="majorHAnsi"/>
                                <w:color w:val="595959" w:themeColor="text1" w:themeTint="A6"/>
                                <w:sz w:val="18"/>
                                <w:szCs w:val="18"/>
                                <w:lang w:val="es-ES_tradnl"/>
                              </w:rPr>
                              <w:t xml:space="preserve">. </w:t>
                            </w:r>
                            <w:r w:rsidR="006F0DC8">
                              <w:rPr>
                                <w:rFonts w:asciiTheme="majorHAnsi" w:hAnsiTheme="majorHAnsi"/>
                                <w:color w:val="595959" w:themeColor="text1" w:themeTint="A6"/>
                                <w:sz w:val="18"/>
                                <w:szCs w:val="18"/>
                                <w:lang w:val="es-ES"/>
                              </w:rPr>
                              <w:t>28 de septiembre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4BA7DA0C"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6F0DC8" w:rsidRPr="006F0DC8">
                        <w:rPr>
                          <w:rFonts w:asciiTheme="majorHAnsi" w:hAnsiTheme="majorHAnsi"/>
                          <w:color w:val="595959" w:themeColor="text1" w:themeTint="A6"/>
                          <w:sz w:val="18"/>
                          <w:szCs w:val="18"/>
                          <w:lang w:val="pt-BR"/>
                        </w:rPr>
                        <w:t>261</w:t>
                      </w:r>
                      <w:r w:rsidR="003D158D" w:rsidRPr="006F0DC8">
                        <w:rPr>
                          <w:rFonts w:asciiTheme="majorHAnsi" w:hAnsiTheme="majorHAnsi"/>
                          <w:color w:val="595959" w:themeColor="text1" w:themeTint="A6"/>
                          <w:sz w:val="18"/>
                          <w:szCs w:val="18"/>
                          <w:lang w:val="pt-BR"/>
                        </w:rPr>
                        <w:t>/</w:t>
                      </w:r>
                      <w:r w:rsidR="006F0DC8" w:rsidRPr="006F0DC8">
                        <w:rPr>
                          <w:rFonts w:asciiTheme="majorHAnsi" w:hAnsiTheme="majorHAnsi"/>
                          <w:color w:val="595959" w:themeColor="text1" w:themeTint="A6"/>
                          <w:sz w:val="18"/>
                          <w:szCs w:val="18"/>
                          <w:lang w:val="pt-BR"/>
                        </w:rPr>
                        <w:t>20</w:t>
                      </w:r>
                      <w:r w:rsidRPr="006F0DC8">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3D158D">
                        <w:rPr>
                          <w:rFonts w:asciiTheme="majorHAnsi" w:hAnsiTheme="majorHAnsi"/>
                          <w:color w:val="595959" w:themeColor="text1" w:themeTint="A6"/>
                          <w:sz w:val="18"/>
                          <w:szCs w:val="18"/>
                          <w:lang w:val="es-ES"/>
                        </w:rPr>
                        <w:t>ón</w:t>
                      </w:r>
                      <w:proofErr w:type="spellEnd"/>
                      <w:r w:rsidR="0002508D">
                        <w:rPr>
                          <w:rFonts w:asciiTheme="majorHAnsi" w:hAnsiTheme="majorHAnsi"/>
                          <w:color w:val="595959" w:themeColor="text1" w:themeTint="A6"/>
                          <w:sz w:val="18"/>
                          <w:szCs w:val="18"/>
                          <w:lang w:val="es-ES"/>
                        </w:rPr>
                        <w:t xml:space="preserve"> 592</w:t>
                      </w:r>
                      <w:r w:rsidR="003D158D">
                        <w:rPr>
                          <w:rFonts w:asciiTheme="majorHAnsi" w:hAnsiTheme="majorHAnsi"/>
                          <w:color w:val="595959" w:themeColor="text1" w:themeTint="A6"/>
                          <w:sz w:val="18"/>
                          <w:szCs w:val="18"/>
                          <w:lang w:val="es-ES"/>
                        </w:rPr>
                        <w:t>-</w:t>
                      </w:r>
                      <w:r w:rsidR="0002508D">
                        <w:rPr>
                          <w:rFonts w:asciiTheme="majorHAnsi" w:hAnsiTheme="majorHAnsi"/>
                          <w:color w:val="595959" w:themeColor="text1" w:themeTint="A6"/>
                          <w:sz w:val="18"/>
                          <w:szCs w:val="18"/>
                          <w:lang w:val="es-ES"/>
                        </w:rPr>
                        <w:t>09</w:t>
                      </w:r>
                      <w:r w:rsidR="000433C9">
                        <w:rPr>
                          <w:rFonts w:asciiTheme="majorHAnsi" w:hAnsiTheme="majorHAnsi"/>
                          <w:color w:val="595959" w:themeColor="text1" w:themeTint="A6"/>
                          <w:sz w:val="18"/>
                          <w:szCs w:val="18"/>
                          <w:lang w:val="es-ES"/>
                        </w:rPr>
                        <w:t xml:space="preserve">. </w:t>
                      </w:r>
                      <w:r w:rsidR="0002508D">
                        <w:rPr>
                          <w:rFonts w:asciiTheme="majorHAnsi" w:hAnsiTheme="majorHAnsi"/>
                          <w:color w:val="595959" w:themeColor="text1" w:themeTint="A6"/>
                          <w:sz w:val="18"/>
                          <w:szCs w:val="18"/>
                          <w:lang w:val="es-ES_tradnl"/>
                        </w:rPr>
                        <w:t>A</w:t>
                      </w:r>
                      <w:r w:rsidR="003D158D">
                        <w:rPr>
                          <w:rFonts w:asciiTheme="majorHAnsi" w:hAnsiTheme="majorHAnsi"/>
                          <w:color w:val="595959" w:themeColor="text1" w:themeTint="A6"/>
                          <w:sz w:val="18"/>
                          <w:szCs w:val="18"/>
                          <w:lang w:val="es-ES_tradnl"/>
                        </w:rPr>
                        <w:t xml:space="preserve">dmisibilidad. Frank </w:t>
                      </w:r>
                      <w:proofErr w:type="spellStart"/>
                      <w:r w:rsidR="003D158D">
                        <w:rPr>
                          <w:rFonts w:asciiTheme="majorHAnsi" w:hAnsiTheme="majorHAnsi"/>
                          <w:color w:val="595959" w:themeColor="text1" w:themeTint="A6"/>
                          <w:sz w:val="18"/>
                          <w:szCs w:val="18"/>
                          <w:lang w:val="es-ES_tradnl"/>
                        </w:rPr>
                        <w:t>Yeisson</w:t>
                      </w:r>
                      <w:proofErr w:type="spellEnd"/>
                      <w:r w:rsidR="003D158D">
                        <w:rPr>
                          <w:rFonts w:asciiTheme="majorHAnsi" w:hAnsiTheme="majorHAnsi"/>
                          <w:color w:val="595959" w:themeColor="text1" w:themeTint="A6"/>
                          <w:sz w:val="18"/>
                          <w:szCs w:val="18"/>
                          <w:lang w:val="es-ES_tradnl"/>
                        </w:rPr>
                        <w:t xml:space="preserve"> Acosta Hernández. Colombia</w:t>
                      </w:r>
                      <w:r w:rsidRPr="00890650">
                        <w:rPr>
                          <w:rFonts w:asciiTheme="majorHAnsi" w:hAnsiTheme="majorHAnsi"/>
                          <w:color w:val="595959" w:themeColor="text1" w:themeTint="A6"/>
                          <w:sz w:val="18"/>
                          <w:szCs w:val="18"/>
                          <w:lang w:val="es-ES_tradnl"/>
                        </w:rPr>
                        <w:t xml:space="preserve">. </w:t>
                      </w:r>
                      <w:r w:rsidR="006F0DC8">
                        <w:rPr>
                          <w:rFonts w:asciiTheme="majorHAnsi" w:hAnsiTheme="majorHAnsi"/>
                          <w:color w:val="595959" w:themeColor="text1" w:themeTint="A6"/>
                          <w:sz w:val="18"/>
                          <w:szCs w:val="18"/>
                          <w:lang w:val="es-ES"/>
                        </w:rPr>
                        <w:t>28 de septiembre de 2020</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B58A98D" w:rsidR="00D72DC6" w:rsidRPr="00D72DC6" w:rsidRDefault="00562424" w:rsidP="00F02AD1">
                            <w:pPr>
                              <w:rPr>
                                <w:color w:val="FFFFFF" w:themeColor="background1"/>
                                <w14:textFill>
                                  <w14:noFill/>
                                </w14:textFill>
                              </w:rPr>
                            </w:pPr>
                            <w:r>
                              <w:rPr>
                                <w:noProof/>
                                <w:color w:val="FFFFFF"/>
                              </w:rPr>
                              <w:drawing>
                                <wp:inline distT="0" distB="0" distL="0" distR="0" wp14:anchorId="136D88AD" wp14:editId="6C211176">
                                  <wp:extent cx="1824355" cy="469265"/>
                                  <wp:effectExtent l="0" t="0" r="4445"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EA-ESP-M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B58A98D" w:rsidR="00D72DC6" w:rsidRPr="00D72DC6" w:rsidRDefault="00562424" w:rsidP="00F02AD1">
                      <w:pPr>
                        <w:rPr>
                          <w:color w:val="FFFFFF" w:themeColor="background1"/>
                          <w14:textFill>
                            <w14:noFill/>
                          </w14:textFill>
                        </w:rPr>
                      </w:pPr>
                      <w:r>
                        <w:rPr>
                          <w:noProof/>
                          <w:color w:val="FFFFFF"/>
                        </w:rPr>
                        <w:drawing>
                          <wp:inline distT="0" distB="0" distL="0" distR="0" wp14:anchorId="136D88AD" wp14:editId="6C211176">
                            <wp:extent cx="1824355" cy="469265"/>
                            <wp:effectExtent l="0" t="0" r="4445"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EA-ESP-M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0C7674DC" w:rsidR="003239B8" w:rsidRPr="000D05CB" w:rsidRDefault="003D158D" w:rsidP="008D2290">
            <w:pPr>
              <w:jc w:val="both"/>
              <w:rPr>
                <w:rFonts w:ascii="Cambria" w:hAnsi="Cambria"/>
                <w:bCs/>
                <w:sz w:val="20"/>
                <w:szCs w:val="20"/>
              </w:rPr>
            </w:pPr>
            <w:r>
              <w:rPr>
                <w:rFonts w:ascii="Cambria" w:hAnsi="Cambria"/>
                <w:bCs/>
                <w:sz w:val="20"/>
                <w:szCs w:val="20"/>
              </w:rPr>
              <w:t>Miguel Piñeros Rey</w:t>
            </w:r>
          </w:p>
        </w:tc>
      </w:tr>
      <w:tr w:rsidR="003239B8" w:rsidRPr="00AA0936"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494730"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2347E2E9" w:rsidR="003239B8" w:rsidRPr="000D05CB" w:rsidRDefault="00C9072E" w:rsidP="00BF1673">
            <w:pPr>
              <w:jc w:val="both"/>
              <w:rPr>
                <w:rFonts w:ascii="Cambria" w:hAnsi="Cambria"/>
                <w:bCs/>
                <w:sz w:val="20"/>
                <w:szCs w:val="20"/>
                <w:lang w:val="es-ES"/>
              </w:rPr>
            </w:pPr>
            <w:r>
              <w:rPr>
                <w:rFonts w:ascii="Cambria" w:hAnsi="Cambria"/>
                <w:bCs/>
                <w:sz w:val="20"/>
                <w:szCs w:val="20"/>
                <w:lang w:val="es-ES"/>
              </w:rPr>
              <w:t>Frank Yeisson Acosta Hernández, William Fabián Escobar Barrera</w:t>
            </w:r>
            <w:r w:rsidR="00BF1673">
              <w:rPr>
                <w:rFonts w:ascii="Cambria" w:hAnsi="Cambria"/>
                <w:bCs/>
                <w:sz w:val="20"/>
                <w:szCs w:val="20"/>
                <w:lang w:val="es-ES"/>
              </w:rPr>
              <w:t xml:space="preserve"> y</w:t>
            </w:r>
            <w:r>
              <w:rPr>
                <w:rFonts w:ascii="Cambria" w:hAnsi="Cambria"/>
                <w:bCs/>
                <w:sz w:val="20"/>
                <w:szCs w:val="20"/>
                <w:lang w:val="es-ES"/>
              </w:rPr>
              <w:t xml:space="preserve"> Jhojan Andres Mogollón Hernández</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52252DE9" w:rsidR="003239B8" w:rsidRPr="000D05CB" w:rsidRDefault="00C9072E" w:rsidP="008D2290">
            <w:pPr>
              <w:jc w:val="both"/>
              <w:rPr>
                <w:rFonts w:ascii="Cambria" w:hAnsi="Cambria"/>
                <w:bCs/>
                <w:sz w:val="20"/>
                <w:szCs w:val="20"/>
              </w:rPr>
            </w:pPr>
            <w:r>
              <w:rPr>
                <w:rFonts w:ascii="Cambria" w:hAnsi="Cambria"/>
                <w:bCs/>
                <w:sz w:val="20"/>
                <w:szCs w:val="20"/>
              </w:rPr>
              <w:t>Colombia</w:t>
            </w:r>
          </w:p>
        </w:tc>
      </w:tr>
      <w:tr w:rsidR="00223A29" w:rsidRPr="00AA0936"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6DEE1EEB" w14:textId="3B48C041" w:rsidR="00223A29" w:rsidRPr="00A60FAC" w:rsidRDefault="00875F05" w:rsidP="008D2290">
            <w:pPr>
              <w:jc w:val="both"/>
              <w:rPr>
                <w:rFonts w:ascii="Cambria" w:hAnsi="Cambria"/>
                <w:bCs/>
                <w:sz w:val="20"/>
                <w:szCs w:val="20"/>
                <w:lang w:val="es-ES"/>
              </w:rPr>
            </w:pPr>
            <w:r w:rsidRPr="00875F05">
              <w:rPr>
                <w:rFonts w:ascii="Cambria" w:hAnsi="Cambria"/>
                <w:bCs/>
                <w:sz w:val="20"/>
                <w:szCs w:val="20"/>
                <w:lang w:val="es-ES"/>
              </w:rPr>
              <w:t xml:space="preserve">Artículos </w:t>
            </w:r>
            <w:r>
              <w:rPr>
                <w:rFonts w:ascii="Cambria" w:hAnsi="Cambria"/>
                <w:bCs/>
                <w:sz w:val="20"/>
                <w:szCs w:val="20"/>
                <w:lang w:val="es-ES"/>
              </w:rPr>
              <w:t>5 (integridad personal), 8 (garantías judiciales), 10 (indemnización), 17 (protección a la familia), 19 (derechos del niño), 22 (circulación y residencia), 24 (igualdad ante la ley)</w:t>
            </w:r>
            <w:r w:rsidR="00073193">
              <w:rPr>
                <w:rFonts w:ascii="Cambria" w:hAnsi="Cambria"/>
                <w:bCs/>
                <w:sz w:val="20"/>
                <w:szCs w:val="20"/>
                <w:lang w:val="es-ES"/>
              </w:rPr>
              <w:t xml:space="preserve"> y </w:t>
            </w:r>
            <w:r>
              <w:rPr>
                <w:rFonts w:ascii="Cambria" w:hAnsi="Cambria"/>
                <w:bCs/>
                <w:sz w:val="20"/>
                <w:szCs w:val="20"/>
                <w:lang w:val="es-ES"/>
              </w:rPr>
              <w:t>25 (protección judicial)</w:t>
            </w:r>
            <w:r w:rsidR="00073193">
              <w:rPr>
                <w:rFonts w:ascii="Cambria" w:hAnsi="Cambria"/>
                <w:bCs/>
                <w:sz w:val="20"/>
                <w:szCs w:val="20"/>
                <w:lang w:val="es-ES"/>
              </w:rPr>
              <w:t xml:space="preserve"> </w:t>
            </w:r>
            <w:r w:rsidR="00A15DBF">
              <w:rPr>
                <w:rFonts w:ascii="Cambria" w:hAnsi="Cambria"/>
                <w:bCs/>
                <w:sz w:val="20"/>
                <w:szCs w:val="20"/>
                <w:lang w:val="es-ES"/>
              </w:rPr>
              <w:t xml:space="preserve">en concordancia con el artículo 1.1 </w:t>
            </w:r>
            <w:r w:rsidR="00073193">
              <w:rPr>
                <w:rFonts w:ascii="Cambria" w:hAnsi="Cambria"/>
                <w:bCs/>
                <w:sz w:val="20"/>
                <w:szCs w:val="20"/>
                <w:lang w:val="es-ES"/>
              </w:rPr>
              <w:t>de la Convención Americana sobre Derechos Humano</w:t>
            </w:r>
            <w:r w:rsidR="00073193" w:rsidRPr="000D05CB">
              <w:rPr>
                <w:rStyle w:val="FootnoteReference"/>
                <w:rFonts w:ascii="Cambria" w:hAnsi="Cambria"/>
                <w:bCs/>
                <w:sz w:val="20"/>
                <w:szCs w:val="20"/>
              </w:rPr>
              <w:footnoteReference w:id="2"/>
            </w:r>
            <w:r w:rsidR="00A60FAC">
              <w:rPr>
                <w:rFonts w:ascii="Cambria" w:hAnsi="Cambria"/>
                <w:bCs/>
                <w:sz w:val="20"/>
                <w:szCs w:val="20"/>
                <w:lang w:val="es-ES"/>
              </w:rPr>
              <w:t xml:space="preserve"> y</w:t>
            </w:r>
            <w:r w:rsidR="00B85D5B">
              <w:rPr>
                <w:rFonts w:ascii="Cambria" w:hAnsi="Cambria"/>
                <w:bCs/>
                <w:sz w:val="20"/>
                <w:szCs w:val="20"/>
                <w:lang w:val="es-ES"/>
              </w:rPr>
              <w:t xml:space="preserve"> demás instrument</w:t>
            </w:r>
            <w:r w:rsidR="00F35DB9">
              <w:rPr>
                <w:rFonts w:ascii="Cambria" w:hAnsi="Cambria"/>
                <w:bCs/>
                <w:sz w:val="20"/>
                <w:szCs w:val="20"/>
                <w:lang w:val="es-ES"/>
              </w:rPr>
              <w:t>os internacionales</w:t>
            </w:r>
            <w:r w:rsidR="00F35DB9">
              <w:rPr>
                <w:rStyle w:val="FootnoteReference"/>
                <w:rFonts w:ascii="Cambria" w:hAnsi="Cambria"/>
                <w:bCs/>
                <w:sz w:val="20"/>
                <w:szCs w:val="20"/>
                <w:lang w:val="es-ES"/>
              </w:rPr>
              <w:footnoteReference w:id="3"/>
            </w:r>
            <w:r w:rsidR="00F35DB9">
              <w:rPr>
                <w:rFonts w:ascii="Cambria" w:hAnsi="Cambria"/>
                <w:bCs/>
                <w:sz w:val="20"/>
                <w:szCs w:val="20"/>
                <w:lang w:val="es-ES"/>
              </w:rPr>
              <w:t>.</w:t>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E51AF3"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0750B085" w:rsidR="004C2312" w:rsidRPr="003239B8" w:rsidRDefault="00ED25D8" w:rsidP="002625EA">
            <w:pPr>
              <w:jc w:val="both"/>
              <w:rPr>
                <w:rFonts w:ascii="Cambria" w:hAnsi="Cambria"/>
                <w:bCs/>
                <w:sz w:val="20"/>
                <w:szCs w:val="20"/>
                <w:lang w:val="es-ES"/>
              </w:rPr>
            </w:pPr>
            <w:r>
              <w:rPr>
                <w:rFonts w:ascii="Cambria" w:hAnsi="Cambria"/>
                <w:bCs/>
                <w:sz w:val="20"/>
                <w:szCs w:val="20"/>
                <w:lang w:val="es-ES"/>
              </w:rPr>
              <w:t>15 de mayo de 2009</w:t>
            </w:r>
          </w:p>
        </w:tc>
      </w:tr>
      <w:tr w:rsidR="004C2312" w:rsidRPr="003D158D"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236F5243" w:rsidR="004C2312" w:rsidRPr="003239B8" w:rsidRDefault="003D3310" w:rsidP="008D2290">
            <w:pPr>
              <w:jc w:val="both"/>
              <w:rPr>
                <w:rFonts w:ascii="Cambria" w:hAnsi="Cambria"/>
                <w:bCs/>
                <w:sz w:val="20"/>
                <w:szCs w:val="20"/>
                <w:lang w:val="es-ES"/>
              </w:rPr>
            </w:pPr>
            <w:r>
              <w:rPr>
                <w:rFonts w:ascii="Cambria" w:hAnsi="Cambria"/>
                <w:bCs/>
                <w:sz w:val="20"/>
                <w:szCs w:val="20"/>
                <w:lang w:val="es-ES"/>
              </w:rPr>
              <w:t>8</w:t>
            </w:r>
            <w:r w:rsidR="00105B96" w:rsidRPr="00105B96">
              <w:rPr>
                <w:rFonts w:ascii="Cambria" w:hAnsi="Cambria"/>
                <w:bCs/>
                <w:sz w:val="20"/>
                <w:szCs w:val="20"/>
                <w:lang w:val="es-AR"/>
              </w:rPr>
              <w:t xml:space="preserve"> de julio de 2014</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29F1A00A"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1789BFD2" w:rsidR="004C2312" w:rsidRPr="003239B8" w:rsidRDefault="003E7D48" w:rsidP="008D2290">
            <w:pPr>
              <w:jc w:val="both"/>
              <w:rPr>
                <w:rFonts w:ascii="Cambria" w:hAnsi="Cambria"/>
                <w:bCs/>
                <w:sz w:val="20"/>
                <w:szCs w:val="20"/>
                <w:lang w:val="es-ES"/>
              </w:rPr>
            </w:pPr>
            <w:r>
              <w:rPr>
                <w:rFonts w:ascii="Cambria" w:hAnsi="Cambria"/>
                <w:bCs/>
                <w:sz w:val="20"/>
                <w:szCs w:val="20"/>
                <w:lang w:val="es-ES"/>
              </w:rPr>
              <w:t>26 noviembre 2014</w:t>
            </w:r>
          </w:p>
        </w:tc>
      </w:tr>
      <w:tr w:rsidR="004C2312" w:rsidRPr="00AA0936"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41D8B862" w14:textId="2773FD69" w:rsidR="004C2312" w:rsidRPr="003239B8" w:rsidRDefault="009001A8" w:rsidP="006E07AF">
            <w:pPr>
              <w:jc w:val="both"/>
              <w:rPr>
                <w:rFonts w:ascii="Cambria" w:hAnsi="Cambria"/>
                <w:bCs/>
                <w:sz w:val="20"/>
                <w:szCs w:val="20"/>
                <w:lang w:val="es-ES"/>
              </w:rPr>
            </w:pPr>
            <w:r>
              <w:rPr>
                <w:rFonts w:ascii="Cambria" w:hAnsi="Cambria"/>
                <w:bCs/>
                <w:sz w:val="20"/>
                <w:szCs w:val="20"/>
                <w:lang w:val="es-ES"/>
              </w:rPr>
              <w:t>30 diciembre 2014;</w:t>
            </w:r>
            <w:r w:rsidR="000074E5">
              <w:rPr>
                <w:rFonts w:ascii="Cambria" w:hAnsi="Cambria"/>
                <w:bCs/>
                <w:sz w:val="20"/>
                <w:szCs w:val="20"/>
                <w:lang w:val="es-ES"/>
              </w:rPr>
              <w:t xml:space="preserve"> </w:t>
            </w:r>
            <w:r w:rsidR="000074E5" w:rsidRPr="001B4E98">
              <w:rPr>
                <w:rFonts w:ascii="Cambria" w:hAnsi="Cambria"/>
                <w:bCs/>
                <w:sz w:val="20"/>
                <w:szCs w:val="20"/>
                <w:lang w:val="es-ES"/>
              </w:rPr>
              <w:t xml:space="preserve">26 febrero </w:t>
            </w:r>
            <w:r w:rsidR="00F96BD3" w:rsidRPr="001B4E98">
              <w:rPr>
                <w:rFonts w:ascii="Cambria" w:hAnsi="Cambria"/>
                <w:bCs/>
                <w:sz w:val="20"/>
                <w:szCs w:val="20"/>
                <w:lang w:val="es-ES"/>
              </w:rPr>
              <w:t xml:space="preserve">y </w:t>
            </w:r>
            <w:r w:rsidR="00DD2D7F" w:rsidRPr="001B4E98">
              <w:rPr>
                <w:rFonts w:ascii="Cambria" w:hAnsi="Cambria"/>
                <w:bCs/>
                <w:sz w:val="20"/>
                <w:szCs w:val="20"/>
                <w:lang w:val="es-ES"/>
              </w:rPr>
              <w:t>10 marzo 2015;</w:t>
            </w:r>
            <w:r w:rsidRPr="001B4E98">
              <w:rPr>
                <w:rFonts w:ascii="Cambria" w:hAnsi="Cambria"/>
                <w:bCs/>
                <w:sz w:val="20"/>
                <w:szCs w:val="20"/>
                <w:lang w:val="es-ES"/>
              </w:rPr>
              <w:t xml:space="preserve"> </w:t>
            </w:r>
            <w:r w:rsidR="006E07AF" w:rsidRPr="001B4E98">
              <w:rPr>
                <w:rFonts w:ascii="Cambria" w:hAnsi="Cambria"/>
                <w:bCs/>
                <w:sz w:val="20"/>
                <w:szCs w:val="20"/>
                <w:lang w:val="es-ES"/>
              </w:rPr>
              <w:t>6</w:t>
            </w:r>
            <w:r w:rsidR="001A49B1" w:rsidRPr="001B4E98">
              <w:rPr>
                <w:rFonts w:ascii="Cambria" w:hAnsi="Cambria"/>
                <w:bCs/>
                <w:sz w:val="20"/>
                <w:szCs w:val="20"/>
                <w:lang w:val="es-ES"/>
              </w:rPr>
              <w:t xml:space="preserve"> junio 2018</w:t>
            </w:r>
            <w:r w:rsidR="00A15DBF" w:rsidRPr="001B4E98">
              <w:rPr>
                <w:rFonts w:ascii="Cambria" w:hAnsi="Cambria"/>
                <w:bCs/>
                <w:sz w:val="20"/>
                <w:szCs w:val="20"/>
                <w:lang w:val="es-ES"/>
              </w:rPr>
              <w:t>, 16 de noviembre de 2018</w:t>
            </w:r>
            <w:r w:rsidR="006E07AF" w:rsidRPr="001B4E98">
              <w:rPr>
                <w:rFonts w:ascii="Cambria" w:hAnsi="Cambria"/>
                <w:bCs/>
                <w:sz w:val="20"/>
                <w:szCs w:val="20"/>
                <w:lang w:val="es-ES"/>
              </w:rPr>
              <w:t xml:space="preserve">; </w:t>
            </w:r>
            <w:r w:rsidR="00A15DBF" w:rsidRPr="001B4E98">
              <w:rPr>
                <w:rFonts w:ascii="Cambria" w:hAnsi="Cambria"/>
                <w:bCs/>
                <w:sz w:val="20"/>
                <w:szCs w:val="20"/>
                <w:lang w:val="es-ES"/>
              </w:rPr>
              <w:t>23 de enero,</w:t>
            </w:r>
            <w:r w:rsidR="00A15DBF">
              <w:rPr>
                <w:rFonts w:ascii="Cambria" w:hAnsi="Cambria"/>
                <w:bCs/>
                <w:sz w:val="20"/>
                <w:szCs w:val="20"/>
                <w:lang w:val="es-ES"/>
              </w:rPr>
              <w:t xml:space="preserve"> </w:t>
            </w:r>
            <w:r w:rsidR="006E07AF">
              <w:rPr>
                <w:rFonts w:ascii="Cambria" w:hAnsi="Cambria"/>
                <w:bCs/>
                <w:sz w:val="20"/>
                <w:szCs w:val="20"/>
                <w:lang w:val="es-ES"/>
              </w:rPr>
              <w:t>29 de abril</w:t>
            </w:r>
            <w:r w:rsidR="00A15DBF">
              <w:rPr>
                <w:rFonts w:ascii="Cambria" w:hAnsi="Cambria"/>
                <w:bCs/>
                <w:sz w:val="20"/>
                <w:szCs w:val="20"/>
                <w:lang w:val="es-ES"/>
              </w:rPr>
              <w:t xml:space="preserve"> y</w:t>
            </w:r>
            <w:r w:rsidR="006E07AF">
              <w:rPr>
                <w:rFonts w:ascii="Cambria" w:hAnsi="Cambria"/>
                <w:bCs/>
                <w:sz w:val="20"/>
                <w:szCs w:val="20"/>
                <w:lang w:val="es-ES"/>
              </w:rPr>
              <w:t xml:space="preserve"> 3 de mayo de 2019</w:t>
            </w:r>
          </w:p>
        </w:tc>
      </w:tr>
      <w:tr w:rsidR="004C2312" w:rsidRPr="009111EC" w14:paraId="291ACE7A" w14:textId="77777777" w:rsidTr="004A6A54">
        <w:tc>
          <w:tcPr>
            <w:tcW w:w="3600" w:type="dxa"/>
            <w:tcBorders>
              <w:top w:val="single" w:sz="6" w:space="0" w:color="auto"/>
              <w:bottom w:val="single" w:sz="6" w:space="0" w:color="auto"/>
            </w:tcBorders>
            <w:shd w:val="clear" w:color="auto" w:fill="386294"/>
            <w:vAlign w:val="center"/>
          </w:tcPr>
          <w:p w14:paraId="068BD12F" w14:textId="77777777" w:rsidR="004C2312" w:rsidRPr="00706824" w:rsidRDefault="004C2312" w:rsidP="008E3BFE">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Observaciones adicionales del Estado:</w:t>
            </w:r>
          </w:p>
        </w:tc>
        <w:tc>
          <w:tcPr>
            <w:tcW w:w="5760" w:type="dxa"/>
            <w:vAlign w:val="center"/>
          </w:tcPr>
          <w:p w14:paraId="3CE49AFE" w14:textId="6E393F51" w:rsidR="004C2312" w:rsidRPr="009111EC" w:rsidRDefault="000074E5" w:rsidP="008D2290">
            <w:pPr>
              <w:jc w:val="both"/>
              <w:rPr>
                <w:rFonts w:ascii="Cambria" w:hAnsi="Cambria"/>
                <w:bCs/>
                <w:sz w:val="20"/>
                <w:szCs w:val="20"/>
              </w:rPr>
            </w:pPr>
            <w:r>
              <w:rPr>
                <w:rFonts w:ascii="Cambria" w:hAnsi="Cambria"/>
                <w:bCs/>
                <w:sz w:val="20"/>
                <w:szCs w:val="20"/>
              </w:rPr>
              <w:t xml:space="preserve">10 </w:t>
            </w:r>
            <w:r w:rsidRPr="000074E5">
              <w:rPr>
                <w:rFonts w:ascii="Cambria" w:hAnsi="Cambria"/>
                <w:bCs/>
                <w:sz w:val="20"/>
                <w:szCs w:val="20"/>
                <w:lang w:val="es-ES"/>
              </w:rPr>
              <w:t>febrero</w:t>
            </w:r>
            <w:r>
              <w:rPr>
                <w:rFonts w:ascii="Cambria" w:hAnsi="Cambria"/>
                <w:bCs/>
                <w:sz w:val="20"/>
                <w:szCs w:val="20"/>
              </w:rPr>
              <w:t xml:space="preserve"> 2015</w:t>
            </w:r>
            <w:r w:rsidR="00AE30DA">
              <w:rPr>
                <w:rFonts w:ascii="Cambria" w:hAnsi="Cambria"/>
                <w:bCs/>
                <w:sz w:val="20"/>
                <w:szCs w:val="20"/>
              </w:rPr>
              <w:t xml:space="preserve">; 13 </w:t>
            </w:r>
            <w:r w:rsidR="00AE30DA" w:rsidRPr="00AE30DA">
              <w:rPr>
                <w:rFonts w:ascii="Cambria" w:hAnsi="Cambria"/>
                <w:bCs/>
                <w:sz w:val="20"/>
                <w:szCs w:val="20"/>
                <w:lang w:val="es-CL"/>
              </w:rPr>
              <w:t>diciembre</w:t>
            </w:r>
            <w:r w:rsidR="00AE30DA">
              <w:rPr>
                <w:rFonts w:ascii="Cambria" w:hAnsi="Cambria"/>
                <w:bCs/>
                <w:sz w:val="20"/>
                <w:szCs w:val="20"/>
              </w:rPr>
              <w:t xml:space="preserve"> 2017</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7707F3E9" w14:textId="41AFCF48" w:rsidR="003239B8" w:rsidRPr="00B3745F" w:rsidRDefault="00597606" w:rsidP="008D2290">
            <w:pPr>
              <w:rPr>
                <w:rFonts w:ascii="Cambria" w:hAnsi="Cambria"/>
                <w:bCs/>
                <w:sz w:val="20"/>
                <w:szCs w:val="20"/>
              </w:rPr>
            </w:pPr>
            <w:r>
              <w:rPr>
                <w:rFonts w:ascii="Cambria" w:hAnsi="Cambria"/>
                <w:bCs/>
                <w:sz w:val="20"/>
                <w:szCs w:val="20"/>
              </w:rPr>
              <w:t xml:space="preserve">Sí </w:t>
            </w:r>
          </w:p>
        </w:tc>
      </w:tr>
      <w:tr w:rsidR="003239B8" w:rsidRPr="00540F17"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12C931CB" w14:textId="41E98810" w:rsidR="003239B8" w:rsidRPr="00B3745F" w:rsidRDefault="00597606" w:rsidP="008D2290">
            <w:pPr>
              <w:rPr>
                <w:rFonts w:ascii="Cambria" w:hAnsi="Cambria"/>
                <w:bCs/>
                <w:sz w:val="20"/>
                <w:szCs w:val="20"/>
              </w:rPr>
            </w:pPr>
            <w:r>
              <w:rPr>
                <w:rFonts w:ascii="Cambria" w:hAnsi="Cambria"/>
                <w:bCs/>
                <w:sz w:val="20"/>
                <w:szCs w:val="20"/>
              </w:rPr>
              <w:t>Sí</w:t>
            </w:r>
          </w:p>
        </w:tc>
      </w:tr>
      <w:tr w:rsidR="003239B8" w:rsidRPr="00540F17"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6F8B059B" w14:textId="54F2E1A8" w:rsidR="003239B8" w:rsidRPr="00B3745F" w:rsidRDefault="00597606" w:rsidP="008D2290">
            <w:pPr>
              <w:rPr>
                <w:rFonts w:ascii="Cambria" w:hAnsi="Cambria"/>
                <w:bCs/>
                <w:sz w:val="20"/>
                <w:szCs w:val="20"/>
              </w:rPr>
            </w:pPr>
            <w:r>
              <w:rPr>
                <w:rFonts w:ascii="Cambria" w:hAnsi="Cambria"/>
                <w:bCs/>
                <w:sz w:val="20"/>
                <w:szCs w:val="20"/>
              </w:rPr>
              <w:t>Sí</w:t>
            </w:r>
          </w:p>
        </w:tc>
      </w:tr>
      <w:tr w:rsidR="003239B8" w:rsidRPr="00AA0936"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0C122F44" w14:textId="12F8F091" w:rsidR="003239B8" w:rsidRPr="00B3745F" w:rsidRDefault="00597606" w:rsidP="008D2290">
            <w:pPr>
              <w:jc w:val="both"/>
              <w:rPr>
                <w:rFonts w:ascii="Cambria" w:hAnsi="Cambria"/>
                <w:bCs/>
                <w:sz w:val="20"/>
                <w:szCs w:val="20"/>
                <w:lang w:val="es-ES"/>
              </w:rPr>
            </w:pPr>
            <w:r>
              <w:rPr>
                <w:rFonts w:ascii="Cambria" w:hAnsi="Cambria"/>
                <w:bCs/>
                <w:sz w:val="20"/>
                <w:szCs w:val="20"/>
                <w:lang w:val="es-ES"/>
              </w:rPr>
              <w:t>Sí, Convención Americana (depósito de instrumento realizado el 31 de julio de 1973)</w:t>
            </w:r>
          </w:p>
        </w:tc>
      </w:tr>
    </w:tbl>
    <w:p w14:paraId="4E92C444" w14:textId="1E626C4D"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852FEA" w:rsidRPr="003239B8">
        <w:rPr>
          <w:rFonts w:asciiTheme="majorHAnsi" w:hAnsiTheme="majorHAnsi"/>
          <w:b/>
          <w:bCs/>
          <w:sz w:val="20"/>
          <w:szCs w:val="20"/>
          <w:lang w:val="es-ES"/>
        </w:rPr>
        <w:t>INTERNACIONAL</w:t>
      </w:r>
      <w:r w:rsidR="00852FEA">
        <w:rPr>
          <w:rFonts w:asciiTheme="majorHAnsi" w:hAnsiTheme="majorHAnsi"/>
          <w:b/>
          <w:bCs/>
          <w:sz w:val="20"/>
          <w:szCs w:val="20"/>
          <w:lang w:val="es-ES"/>
        </w:rPr>
        <w:t xml:space="preserve">, </w:t>
      </w:r>
      <w:r w:rsidR="00852FEA" w:rsidRPr="003239B8">
        <w:rPr>
          <w:rFonts w:asciiTheme="majorHAnsi" w:hAnsiTheme="majorHAnsi"/>
          <w:b/>
          <w:bCs/>
          <w:sz w:val="20"/>
          <w:szCs w:val="20"/>
          <w:lang w:val="es-ES"/>
        </w:rPr>
        <w:t>CARACTERIZACIÓN</w:t>
      </w:r>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2"/>
        <w:gridCol w:w="5680"/>
      </w:tblGrid>
      <w:tr w:rsidR="00EE00E9" w:rsidRPr="003D158D"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240941E6" w14:textId="7600F101" w:rsidR="00EE00E9" w:rsidRPr="00DC24E3" w:rsidRDefault="009208CE" w:rsidP="008D2290">
            <w:pPr>
              <w:jc w:val="both"/>
              <w:rPr>
                <w:rFonts w:ascii="Cambria" w:hAnsi="Cambria"/>
                <w:bCs/>
                <w:sz w:val="20"/>
                <w:szCs w:val="20"/>
                <w:lang w:val="es-ES"/>
              </w:rPr>
            </w:pPr>
            <w:r>
              <w:rPr>
                <w:rFonts w:ascii="Cambria" w:hAnsi="Cambria"/>
                <w:bCs/>
                <w:sz w:val="20"/>
                <w:szCs w:val="20"/>
                <w:lang w:val="es-ES"/>
              </w:rPr>
              <w:t>No</w:t>
            </w:r>
          </w:p>
        </w:tc>
      </w:tr>
      <w:tr w:rsidR="003239B8" w:rsidRPr="00AA0936"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6310C8F7" w14:textId="5D220140" w:rsidR="003239B8" w:rsidRPr="009208CE" w:rsidRDefault="00292205" w:rsidP="009208CE">
            <w:pPr>
              <w:jc w:val="both"/>
              <w:rPr>
                <w:rFonts w:ascii="Cambria" w:hAnsi="Cambria"/>
                <w:bCs/>
                <w:sz w:val="20"/>
                <w:szCs w:val="20"/>
                <w:lang w:val="es-ES"/>
              </w:rPr>
            </w:pPr>
            <w:r>
              <w:rPr>
                <w:rFonts w:ascii="Cambria" w:hAnsi="Cambria"/>
                <w:bCs/>
                <w:sz w:val="20"/>
                <w:szCs w:val="20"/>
                <w:lang w:val="es-ES"/>
              </w:rPr>
              <w:t xml:space="preserve"> </w:t>
            </w:r>
            <w:r w:rsidR="00A15DBF">
              <w:rPr>
                <w:rFonts w:ascii="Cambria" w:hAnsi="Cambria"/>
                <w:bCs/>
                <w:sz w:val="20"/>
                <w:szCs w:val="20"/>
                <w:lang w:val="es-ES"/>
              </w:rPr>
              <w:t>5 (integridad personal), 8 (garantías judiciales), 19 (derechos del niño) y 25 (protección judicial) en concordancia con el artículo 1.1 de la Convención Americana sobre Derechos Humano</w:t>
            </w:r>
            <w:r w:rsidR="00A15DBF" w:rsidRPr="000D05CB">
              <w:rPr>
                <w:rStyle w:val="FootnoteReference"/>
                <w:rFonts w:ascii="Cambria" w:hAnsi="Cambria"/>
                <w:bCs/>
                <w:sz w:val="20"/>
                <w:szCs w:val="20"/>
              </w:rPr>
              <w:footnoteReference w:id="5"/>
            </w:r>
            <w:r w:rsidR="00A15DBF">
              <w:rPr>
                <w:rFonts w:ascii="Cambria" w:hAnsi="Cambria"/>
                <w:bCs/>
                <w:sz w:val="20"/>
                <w:szCs w:val="20"/>
                <w:lang w:val="es-ES"/>
              </w:rPr>
              <w:t xml:space="preserve"> y demás instrumentos internacionales</w:t>
            </w:r>
            <w:r w:rsidR="00A15DBF">
              <w:rPr>
                <w:rStyle w:val="FootnoteReference"/>
                <w:rFonts w:ascii="Cambria" w:hAnsi="Cambria"/>
                <w:bCs/>
                <w:sz w:val="20"/>
                <w:szCs w:val="20"/>
                <w:lang w:val="es-ES"/>
              </w:rPr>
              <w:footnoteReference w:id="6"/>
            </w:r>
            <w:r w:rsidR="00A15DBF">
              <w:rPr>
                <w:rFonts w:ascii="Cambria" w:hAnsi="Cambria"/>
                <w:bCs/>
                <w:sz w:val="20"/>
                <w:szCs w:val="20"/>
                <w:lang w:val="es-ES"/>
              </w:rPr>
              <w:t>.</w:t>
            </w:r>
          </w:p>
        </w:tc>
      </w:tr>
      <w:tr w:rsidR="003239B8" w:rsidRPr="00AA0936"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69C53E8A" w14:textId="2F9A821D" w:rsidR="003239B8" w:rsidRPr="00DC24E3" w:rsidRDefault="00A15DBF" w:rsidP="00595D4F">
            <w:pPr>
              <w:rPr>
                <w:rFonts w:ascii="Cambria" w:hAnsi="Cambria"/>
                <w:bCs/>
                <w:sz w:val="20"/>
                <w:szCs w:val="20"/>
                <w:lang w:val="es-ES"/>
              </w:rPr>
            </w:pPr>
            <w:r>
              <w:rPr>
                <w:rFonts w:ascii="Cambria" w:hAnsi="Cambria"/>
                <w:bCs/>
                <w:sz w:val="20"/>
                <w:szCs w:val="20"/>
                <w:lang w:val="es-ES"/>
              </w:rPr>
              <w:t>Sí</w:t>
            </w:r>
            <w:r w:rsidR="009208CE">
              <w:rPr>
                <w:rFonts w:ascii="Cambria" w:hAnsi="Cambria"/>
                <w:bCs/>
                <w:sz w:val="20"/>
                <w:szCs w:val="20"/>
                <w:lang w:val="es-ES"/>
              </w:rPr>
              <w:t>, en los términos de la sección VI</w:t>
            </w:r>
          </w:p>
        </w:tc>
      </w:tr>
      <w:tr w:rsidR="003239B8" w:rsidRPr="00AA0936"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4A2A4569" w14:textId="436F13DA" w:rsidR="003239B8" w:rsidRPr="009208CE" w:rsidRDefault="00A15DBF" w:rsidP="00BF1673">
            <w:pPr>
              <w:rPr>
                <w:rFonts w:ascii="Cambria" w:hAnsi="Cambria"/>
                <w:bCs/>
                <w:sz w:val="20"/>
                <w:szCs w:val="20"/>
                <w:lang w:val="es-ES"/>
              </w:rPr>
            </w:pPr>
            <w:r>
              <w:rPr>
                <w:rFonts w:ascii="Cambria" w:hAnsi="Cambria"/>
                <w:bCs/>
                <w:sz w:val="20"/>
                <w:szCs w:val="20"/>
                <w:lang w:val="es-ES"/>
              </w:rPr>
              <w:t>Sí</w:t>
            </w:r>
            <w:r w:rsidR="009208CE" w:rsidRPr="009208CE">
              <w:rPr>
                <w:rFonts w:ascii="Cambria" w:hAnsi="Cambria"/>
                <w:bCs/>
                <w:sz w:val="20"/>
                <w:szCs w:val="20"/>
                <w:lang w:val="es-ES"/>
              </w:rPr>
              <w:t>, en los términos de la secci</w:t>
            </w:r>
            <w:r w:rsidR="009208CE">
              <w:rPr>
                <w:rFonts w:ascii="Cambria" w:hAnsi="Cambria"/>
                <w:bCs/>
                <w:sz w:val="20"/>
                <w:szCs w:val="20"/>
                <w:lang w:val="es-ES"/>
              </w:rPr>
              <w:t>ón VI</w:t>
            </w:r>
          </w:p>
        </w:tc>
      </w:tr>
    </w:tbl>
    <w:p w14:paraId="0B58FD7F" w14:textId="77777777" w:rsidR="006F0DC8" w:rsidRDefault="006F0DC8" w:rsidP="000C04FD">
      <w:pPr>
        <w:spacing w:before="240" w:after="240"/>
        <w:ind w:firstLine="720"/>
        <w:jc w:val="both"/>
        <w:rPr>
          <w:rFonts w:asciiTheme="majorHAnsi" w:hAnsiTheme="majorHAnsi"/>
          <w:b/>
          <w:sz w:val="20"/>
          <w:szCs w:val="20"/>
          <w:lang w:val="es-UY"/>
        </w:rPr>
      </w:pPr>
    </w:p>
    <w:p w14:paraId="7E6FE1A2" w14:textId="6266585E" w:rsidR="009531B4" w:rsidRPr="000C04FD" w:rsidRDefault="00223A29" w:rsidP="000C04FD">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lastRenderedPageBreak/>
        <w:t xml:space="preserve">V. </w:t>
      </w:r>
      <w:r>
        <w:rPr>
          <w:rFonts w:asciiTheme="majorHAnsi" w:hAnsiTheme="majorHAnsi"/>
          <w:b/>
          <w:sz w:val="20"/>
          <w:szCs w:val="20"/>
          <w:lang w:val="es-UY"/>
        </w:rPr>
        <w:tab/>
      </w:r>
      <w:r w:rsidR="009531B4">
        <w:rPr>
          <w:rFonts w:asciiTheme="majorHAnsi" w:hAnsiTheme="majorHAnsi"/>
          <w:b/>
          <w:sz w:val="20"/>
          <w:szCs w:val="20"/>
          <w:lang w:val="es-UY"/>
        </w:rPr>
        <w:t>HECHOS ALEGADOS</w:t>
      </w:r>
      <w:r w:rsidR="003239B8">
        <w:rPr>
          <w:rFonts w:asciiTheme="majorHAnsi" w:hAnsiTheme="majorHAnsi"/>
          <w:b/>
          <w:sz w:val="20"/>
          <w:szCs w:val="20"/>
          <w:lang w:val="es-UY"/>
        </w:rPr>
        <w:t xml:space="preserve"> </w:t>
      </w:r>
    </w:p>
    <w:p w14:paraId="08B73F6C" w14:textId="2701E211" w:rsidR="00E972B7" w:rsidRDefault="00F96BD3" w:rsidP="00145BD6">
      <w:pPr>
        <w:pStyle w:val="ListParagraph"/>
        <w:numPr>
          <w:ilvl w:val="0"/>
          <w:numId w:val="55"/>
        </w:numPr>
        <w:jc w:val="both"/>
        <w:rPr>
          <w:sz w:val="20"/>
          <w:szCs w:val="20"/>
          <w:lang w:val="es-AR"/>
        </w:rPr>
      </w:pPr>
      <w:r>
        <w:rPr>
          <w:color w:val="auto"/>
          <w:sz w:val="20"/>
          <w:szCs w:val="20"/>
          <w:lang w:val="es-UY"/>
        </w:rPr>
        <w:t xml:space="preserve">El </w:t>
      </w:r>
      <w:r w:rsidR="002F6221" w:rsidRPr="00A07BF1">
        <w:rPr>
          <w:color w:val="auto"/>
          <w:sz w:val="20"/>
          <w:szCs w:val="20"/>
          <w:lang w:val="es-AR"/>
        </w:rPr>
        <w:t xml:space="preserve">peticionario </w:t>
      </w:r>
      <w:r w:rsidR="006F4F87">
        <w:rPr>
          <w:color w:val="auto"/>
          <w:sz w:val="20"/>
          <w:szCs w:val="20"/>
          <w:lang w:val="es-AR"/>
        </w:rPr>
        <w:t>alega</w:t>
      </w:r>
      <w:r w:rsidR="002F6221" w:rsidRPr="00A07BF1">
        <w:rPr>
          <w:color w:val="auto"/>
          <w:sz w:val="20"/>
          <w:szCs w:val="20"/>
          <w:lang w:val="es-AR"/>
        </w:rPr>
        <w:t xml:space="preserve"> que</w:t>
      </w:r>
      <w:r w:rsidR="00F239D8">
        <w:rPr>
          <w:color w:val="auto"/>
          <w:sz w:val="20"/>
          <w:szCs w:val="20"/>
          <w:lang w:val="es-AR"/>
        </w:rPr>
        <w:t xml:space="preserve"> </w:t>
      </w:r>
      <w:r w:rsidR="006F4F87" w:rsidRPr="00A07BF1">
        <w:rPr>
          <w:color w:val="auto"/>
          <w:sz w:val="20"/>
          <w:szCs w:val="20"/>
          <w:lang w:val="es-AR"/>
        </w:rPr>
        <w:t>miembros del Ejército Nacional</w:t>
      </w:r>
      <w:r w:rsidR="006F4F87">
        <w:rPr>
          <w:color w:val="auto"/>
          <w:sz w:val="20"/>
          <w:szCs w:val="20"/>
          <w:lang w:val="es-AR"/>
        </w:rPr>
        <w:t xml:space="preserve"> pertenecientes al</w:t>
      </w:r>
      <w:r w:rsidR="0005644E">
        <w:rPr>
          <w:color w:val="auto"/>
          <w:sz w:val="20"/>
          <w:szCs w:val="20"/>
          <w:lang w:val="es-AR"/>
        </w:rPr>
        <w:t xml:space="preserve"> </w:t>
      </w:r>
      <w:r w:rsidR="00F239D8" w:rsidRPr="00A07BF1">
        <w:rPr>
          <w:color w:val="auto"/>
          <w:sz w:val="20"/>
          <w:szCs w:val="20"/>
          <w:lang w:val="es-AR"/>
        </w:rPr>
        <w:t xml:space="preserve">Batallón 21 Vargas, </w:t>
      </w:r>
      <w:r w:rsidR="00F239D8">
        <w:rPr>
          <w:color w:val="auto"/>
          <w:sz w:val="20"/>
          <w:szCs w:val="20"/>
          <w:lang w:val="es-AR"/>
        </w:rPr>
        <w:t xml:space="preserve">ubicado </w:t>
      </w:r>
      <w:r w:rsidR="00F239D8" w:rsidRPr="00A07BF1">
        <w:rPr>
          <w:color w:val="auto"/>
          <w:sz w:val="20"/>
          <w:szCs w:val="20"/>
          <w:lang w:val="es-AR"/>
        </w:rPr>
        <w:t xml:space="preserve">en el barrio Villa Granada </w:t>
      </w:r>
      <w:r w:rsidR="00F239D8">
        <w:rPr>
          <w:color w:val="auto"/>
          <w:sz w:val="20"/>
          <w:szCs w:val="20"/>
          <w:lang w:val="es-AR"/>
        </w:rPr>
        <w:t xml:space="preserve">del </w:t>
      </w:r>
      <w:r w:rsidR="00F239D8" w:rsidRPr="00A07BF1">
        <w:rPr>
          <w:color w:val="auto"/>
          <w:sz w:val="20"/>
          <w:szCs w:val="20"/>
          <w:lang w:val="es-AR"/>
        </w:rPr>
        <w:t>Municipio de Granada, Departamento de Meta</w:t>
      </w:r>
      <w:r w:rsidR="00F239D8">
        <w:rPr>
          <w:color w:val="auto"/>
          <w:sz w:val="20"/>
          <w:szCs w:val="20"/>
          <w:lang w:val="es-AR"/>
        </w:rPr>
        <w:t>,</w:t>
      </w:r>
      <w:r w:rsidR="007E5413">
        <w:rPr>
          <w:color w:val="auto"/>
          <w:sz w:val="20"/>
          <w:szCs w:val="20"/>
          <w:lang w:val="es-AR"/>
        </w:rPr>
        <w:t xml:space="preserve"> luego de realizar entrenamientos de polígono, </w:t>
      </w:r>
      <w:r w:rsidR="006F4F87">
        <w:rPr>
          <w:color w:val="auto"/>
          <w:sz w:val="20"/>
          <w:szCs w:val="20"/>
          <w:lang w:val="es-AR"/>
        </w:rPr>
        <w:t>de</w:t>
      </w:r>
      <w:r w:rsidR="006F4F87" w:rsidRPr="00A07BF1">
        <w:rPr>
          <w:color w:val="auto"/>
          <w:sz w:val="20"/>
          <w:szCs w:val="20"/>
          <w:lang w:val="es-AR"/>
        </w:rPr>
        <w:t xml:space="preserve"> forma irresponsable y arbitraria </w:t>
      </w:r>
      <w:r w:rsidR="006F4F87">
        <w:rPr>
          <w:color w:val="auto"/>
          <w:sz w:val="20"/>
          <w:szCs w:val="20"/>
          <w:lang w:val="es-AR"/>
        </w:rPr>
        <w:t>dejab</w:t>
      </w:r>
      <w:r w:rsidR="0005644E">
        <w:rPr>
          <w:color w:val="auto"/>
          <w:sz w:val="20"/>
          <w:szCs w:val="20"/>
          <w:lang w:val="es-AR"/>
        </w:rPr>
        <w:t>an abandonado material de dotación</w:t>
      </w:r>
      <w:r w:rsidR="0005644E" w:rsidRPr="00A07BF1">
        <w:rPr>
          <w:color w:val="auto"/>
          <w:sz w:val="20"/>
          <w:szCs w:val="20"/>
          <w:lang w:val="es-AR"/>
        </w:rPr>
        <w:t xml:space="preserve">, </w:t>
      </w:r>
      <w:r w:rsidR="0005644E">
        <w:rPr>
          <w:color w:val="auto"/>
          <w:sz w:val="20"/>
          <w:szCs w:val="20"/>
          <w:lang w:val="es-AR"/>
        </w:rPr>
        <w:t xml:space="preserve">en los alrededores de </w:t>
      </w:r>
      <w:r w:rsidR="00B730D1">
        <w:rPr>
          <w:color w:val="auto"/>
          <w:sz w:val="20"/>
          <w:szCs w:val="20"/>
          <w:lang w:val="es-AR"/>
        </w:rPr>
        <w:t>sus</w:t>
      </w:r>
      <w:r w:rsidR="0005644E">
        <w:rPr>
          <w:color w:val="auto"/>
          <w:sz w:val="20"/>
          <w:szCs w:val="20"/>
          <w:lang w:val="es-AR"/>
        </w:rPr>
        <w:t xml:space="preserve"> instalaciones.</w:t>
      </w:r>
      <w:r w:rsidR="007B0C51">
        <w:rPr>
          <w:color w:val="auto"/>
          <w:sz w:val="20"/>
          <w:szCs w:val="20"/>
          <w:lang w:val="es-AR"/>
        </w:rPr>
        <w:t xml:space="preserve"> Manifiestan que en ese contexto,</w:t>
      </w:r>
      <w:r w:rsidR="0005644E">
        <w:rPr>
          <w:color w:val="auto"/>
          <w:sz w:val="20"/>
          <w:szCs w:val="20"/>
          <w:lang w:val="es-AR"/>
        </w:rPr>
        <w:t xml:space="preserve"> </w:t>
      </w:r>
      <w:r w:rsidR="002F6221" w:rsidRPr="00A07BF1">
        <w:rPr>
          <w:color w:val="auto"/>
          <w:sz w:val="20"/>
          <w:szCs w:val="20"/>
          <w:lang w:val="es-AR"/>
        </w:rPr>
        <w:t xml:space="preserve">el  4 de enero de 2000 los </w:t>
      </w:r>
      <w:r>
        <w:rPr>
          <w:color w:val="auto"/>
          <w:sz w:val="20"/>
          <w:szCs w:val="20"/>
          <w:lang w:val="es-AR"/>
        </w:rPr>
        <w:t>niños</w:t>
      </w:r>
      <w:r w:rsidRPr="00A07BF1">
        <w:rPr>
          <w:color w:val="auto"/>
          <w:sz w:val="20"/>
          <w:szCs w:val="20"/>
          <w:lang w:val="es-AR"/>
        </w:rPr>
        <w:t xml:space="preserve"> </w:t>
      </w:r>
      <w:r w:rsidR="002F6221" w:rsidRPr="00A07BF1">
        <w:rPr>
          <w:color w:val="auto"/>
          <w:sz w:val="20"/>
          <w:szCs w:val="20"/>
          <w:lang w:val="es-AR"/>
        </w:rPr>
        <w:t xml:space="preserve">Frank Yeisson Acosta Hernández </w:t>
      </w:r>
      <w:r>
        <w:rPr>
          <w:color w:val="auto"/>
          <w:sz w:val="20"/>
          <w:szCs w:val="20"/>
          <w:lang w:val="es-AR"/>
        </w:rPr>
        <w:t>de</w:t>
      </w:r>
      <w:r w:rsidR="00145BD6">
        <w:rPr>
          <w:color w:val="auto"/>
          <w:sz w:val="20"/>
          <w:szCs w:val="20"/>
          <w:lang w:val="es-AR"/>
        </w:rPr>
        <w:t xml:space="preserve"> </w:t>
      </w:r>
      <w:r w:rsidR="0004763B">
        <w:rPr>
          <w:color w:val="auto"/>
          <w:sz w:val="20"/>
          <w:szCs w:val="20"/>
          <w:lang w:val="es-AR"/>
        </w:rPr>
        <w:t>7</w:t>
      </w:r>
      <w:r w:rsidR="002F6221" w:rsidRPr="00A07BF1">
        <w:rPr>
          <w:color w:val="auto"/>
          <w:sz w:val="20"/>
          <w:szCs w:val="20"/>
          <w:lang w:val="es-AR"/>
        </w:rPr>
        <w:t xml:space="preserve"> años, Jhojan Andres Mogollón Hernández </w:t>
      </w:r>
      <w:r>
        <w:rPr>
          <w:color w:val="auto"/>
          <w:sz w:val="20"/>
          <w:szCs w:val="20"/>
          <w:lang w:val="es-AR"/>
        </w:rPr>
        <w:t>de</w:t>
      </w:r>
      <w:r w:rsidR="00145BD6">
        <w:rPr>
          <w:color w:val="auto"/>
          <w:sz w:val="20"/>
          <w:szCs w:val="20"/>
          <w:lang w:val="es-AR"/>
        </w:rPr>
        <w:t xml:space="preserve"> </w:t>
      </w:r>
      <w:r w:rsidR="002F6221" w:rsidRPr="00A07BF1">
        <w:rPr>
          <w:color w:val="auto"/>
          <w:sz w:val="20"/>
          <w:szCs w:val="20"/>
          <w:lang w:val="es-AR"/>
        </w:rPr>
        <w:t xml:space="preserve">13 años y William Fabián Escobar Barrera </w:t>
      </w:r>
      <w:r>
        <w:rPr>
          <w:color w:val="auto"/>
          <w:sz w:val="20"/>
          <w:szCs w:val="20"/>
          <w:lang w:val="es-AR"/>
        </w:rPr>
        <w:t xml:space="preserve">de </w:t>
      </w:r>
      <w:r w:rsidR="002F6221" w:rsidRPr="00A07BF1">
        <w:rPr>
          <w:color w:val="auto"/>
          <w:sz w:val="20"/>
          <w:szCs w:val="20"/>
          <w:lang w:val="es-AR"/>
        </w:rPr>
        <w:t>10 años, salieron a jugar a las afueras de su casa</w:t>
      </w:r>
      <w:r w:rsidR="007B0C51">
        <w:rPr>
          <w:color w:val="auto"/>
          <w:sz w:val="20"/>
          <w:szCs w:val="20"/>
          <w:lang w:val="es-AR"/>
        </w:rPr>
        <w:t xml:space="preserve"> colindante con el citado recinto militar. Refieren que </w:t>
      </w:r>
      <w:r w:rsidR="002F6221" w:rsidRPr="00A07BF1">
        <w:rPr>
          <w:color w:val="auto"/>
          <w:sz w:val="20"/>
          <w:szCs w:val="20"/>
          <w:lang w:val="es-AR"/>
        </w:rPr>
        <w:t xml:space="preserve">mientras </w:t>
      </w:r>
      <w:r w:rsidR="00144AAE">
        <w:rPr>
          <w:color w:val="auto"/>
          <w:sz w:val="20"/>
          <w:szCs w:val="20"/>
          <w:lang w:val="es-AR"/>
        </w:rPr>
        <w:t>jugaban</w:t>
      </w:r>
      <w:r w:rsidR="002F6221" w:rsidRPr="00A07BF1">
        <w:rPr>
          <w:color w:val="auto"/>
          <w:sz w:val="20"/>
          <w:szCs w:val="20"/>
          <w:lang w:val="es-AR"/>
        </w:rPr>
        <w:t>, encontraron un</w:t>
      </w:r>
      <w:r w:rsidR="00144AAE">
        <w:rPr>
          <w:color w:val="auto"/>
          <w:sz w:val="20"/>
          <w:szCs w:val="20"/>
          <w:lang w:val="es-AR"/>
        </w:rPr>
        <w:t>a granada de</w:t>
      </w:r>
      <w:r w:rsidR="002F6221" w:rsidRPr="00A07BF1">
        <w:rPr>
          <w:color w:val="auto"/>
          <w:sz w:val="20"/>
          <w:szCs w:val="20"/>
          <w:lang w:val="es-AR"/>
        </w:rPr>
        <w:t xml:space="preserve"> fragmentación</w:t>
      </w:r>
      <w:r w:rsidR="00144AAE">
        <w:rPr>
          <w:color w:val="auto"/>
          <w:sz w:val="20"/>
          <w:szCs w:val="20"/>
          <w:lang w:val="es-AR"/>
        </w:rPr>
        <w:t xml:space="preserve">, la cual manipularon </w:t>
      </w:r>
      <w:r w:rsidR="00144AAE" w:rsidRPr="00A07BF1">
        <w:rPr>
          <w:color w:val="auto"/>
          <w:sz w:val="20"/>
          <w:szCs w:val="20"/>
          <w:lang w:val="es-AR"/>
        </w:rPr>
        <w:t>ignorando de qué se trataba</w:t>
      </w:r>
      <w:r w:rsidR="00144AAE">
        <w:rPr>
          <w:color w:val="auto"/>
          <w:sz w:val="20"/>
          <w:szCs w:val="20"/>
          <w:lang w:val="es-AR"/>
        </w:rPr>
        <w:t xml:space="preserve">, y que </w:t>
      </w:r>
      <w:r w:rsidR="002F6221" w:rsidRPr="00A07BF1">
        <w:rPr>
          <w:color w:val="auto"/>
          <w:sz w:val="20"/>
          <w:szCs w:val="20"/>
          <w:lang w:val="es-AR"/>
        </w:rPr>
        <w:t>explotó causándoles graves heridas</w:t>
      </w:r>
      <w:r w:rsidR="00946939">
        <w:rPr>
          <w:color w:val="auto"/>
          <w:sz w:val="20"/>
          <w:szCs w:val="20"/>
          <w:lang w:val="es-AR"/>
        </w:rPr>
        <w:t xml:space="preserve">. Sostienen que los niños sufrieron </w:t>
      </w:r>
      <w:r w:rsidR="002F6221" w:rsidRPr="00A07BF1">
        <w:rPr>
          <w:color w:val="auto"/>
          <w:sz w:val="20"/>
          <w:szCs w:val="20"/>
          <w:lang w:val="es-AR"/>
        </w:rPr>
        <w:t>amputaciones de sus extremidades inferiores y superiores.</w:t>
      </w:r>
    </w:p>
    <w:p w14:paraId="5FD7F153" w14:textId="77777777" w:rsidR="00E972B7" w:rsidRDefault="00E972B7" w:rsidP="00145BD6">
      <w:pPr>
        <w:pStyle w:val="ListParagraph"/>
        <w:jc w:val="both"/>
        <w:rPr>
          <w:sz w:val="20"/>
          <w:szCs w:val="20"/>
          <w:lang w:val="es-AR"/>
        </w:rPr>
      </w:pPr>
    </w:p>
    <w:p w14:paraId="2E903979" w14:textId="2320DB2C" w:rsidR="002F6221" w:rsidRPr="0042311A" w:rsidRDefault="00E972B7" w:rsidP="00A85E8E">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color w:val="auto"/>
          <w:sz w:val="20"/>
          <w:szCs w:val="20"/>
          <w:lang w:val="es-AR"/>
        </w:rPr>
      </w:pPr>
      <w:r w:rsidRPr="00117B58">
        <w:rPr>
          <w:color w:val="auto"/>
          <w:sz w:val="20"/>
          <w:szCs w:val="20"/>
          <w:lang w:val="es-UY"/>
        </w:rPr>
        <w:t xml:space="preserve">Explica que </w:t>
      </w:r>
      <w:r w:rsidRPr="00117B58">
        <w:rPr>
          <w:sz w:val="20"/>
          <w:szCs w:val="20"/>
          <w:lang w:val="es-AR"/>
        </w:rPr>
        <w:t>Frank Yeisson Acosta Hernández</w:t>
      </w:r>
      <w:r w:rsidRPr="00117B58">
        <w:rPr>
          <w:i/>
          <w:sz w:val="20"/>
          <w:szCs w:val="20"/>
          <w:lang w:val="es-AR"/>
        </w:rPr>
        <w:t xml:space="preserve">, </w:t>
      </w:r>
      <w:r w:rsidRPr="00117B58">
        <w:rPr>
          <w:sz w:val="20"/>
          <w:szCs w:val="20"/>
          <w:lang w:val="es-AR"/>
        </w:rPr>
        <w:t>perdió</w:t>
      </w:r>
      <w:r w:rsidR="00117B58" w:rsidRPr="00117B58">
        <w:rPr>
          <w:sz w:val="20"/>
          <w:szCs w:val="20"/>
          <w:lang w:val="es-AR"/>
        </w:rPr>
        <w:t xml:space="preserve"> </w:t>
      </w:r>
      <w:r w:rsidRPr="00117B58">
        <w:rPr>
          <w:sz w:val="20"/>
          <w:szCs w:val="20"/>
          <w:lang w:val="es-AR"/>
        </w:rPr>
        <w:t>el pie izquierdo y dos dedos del pie derecho, además sufrió laparotomía (perforación del sistema digestivo) y heridas por esquilas en diversas partes del cuerpo.</w:t>
      </w:r>
      <w:r w:rsidR="00117B58" w:rsidRPr="00117B58">
        <w:rPr>
          <w:sz w:val="20"/>
          <w:szCs w:val="20"/>
          <w:lang w:val="es-AR"/>
        </w:rPr>
        <w:t xml:space="preserve"> Por su parte, </w:t>
      </w:r>
      <w:r w:rsidRPr="00117B58">
        <w:rPr>
          <w:sz w:val="20"/>
          <w:szCs w:val="20"/>
          <w:lang w:val="es-AR"/>
        </w:rPr>
        <w:t xml:space="preserve">Jhojan Andres Mogollón Hernández, </w:t>
      </w:r>
      <w:r w:rsidR="00117B58" w:rsidRPr="00117B58">
        <w:rPr>
          <w:sz w:val="20"/>
          <w:szCs w:val="20"/>
          <w:lang w:val="es-AR"/>
        </w:rPr>
        <w:t xml:space="preserve">sufrió </w:t>
      </w:r>
      <w:r w:rsidRPr="00117B58">
        <w:rPr>
          <w:sz w:val="20"/>
          <w:szCs w:val="20"/>
          <w:lang w:val="es-AR"/>
        </w:rPr>
        <w:t xml:space="preserve">múltiples lesiones </w:t>
      </w:r>
      <w:r w:rsidR="00117B58" w:rsidRPr="00117B58">
        <w:rPr>
          <w:sz w:val="20"/>
          <w:szCs w:val="20"/>
          <w:lang w:val="es-AR"/>
        </w:rPr>
        <w:t>en las</w:t>
      </w:r>
      <w:r w:rsidRPr="00117B58">
        <w:rPr>
          <w:sz w:val="20"/>
          <w:szCs w:val="20"/>
          <w:lang w:val="es-AR"/>
        </w:rPr>
        <w:t xml:space="preserve"> extremidades inferiores, abdomen y brazos</w:t>
      </w:r>
      <w:r w:rsidR="00117B58" w:rsidRPr="00117B58">
        <w:rPr>
          <w:sz w:val="20"/>
          <w:szCs w:val="20"/>
          <w:lang w:val="es-AR"/>
        </w:rPr>
        <w:t xml:space="preserve">, las cuales </w:t>
      </w:r>
      <w:r w:rsidRPr="00117B58">
        <w:rPr>
          <w:sz w:val="20"/>
          <w:szCs w:val="20"/>
          <w:lang w:val="es-AR"/>
        </w:rPr>
        <w:t xml:space="preserve">le han dejado defectos estéticos. </w:t>
      </w:r>
      <w:r w:rsidR="00117B58" w:rsidRPr="00117B58">
        <w:rPr>
          <w:sz w:val="20"/>
          <w:szCs w:val="20"/>
          <w:lang w:val="es-AR"/>
        </w:rPr>
        <w:t>Por último</w:t>
      </w:r>
      <w:r w:rsidR="000C63F5">
        <w:rPr>
          <w:sz w:val="20"/>
          <w:szCs w:val="20"/>
          <w:lang w:val="es-AR"/>
        </w:rPr>
        <w:t>,</w:t>
      </w:r>
      <w:r w:rsidR="00117B58" w:rsidRPr="00117B58">
        <w:rPr>
          <w:sz w:val="20"/>
          <w:szCs w:val="20"/>
          <w:lang w:val="es-AR"/>
        </w:rPr>
        <w:t xml:space="preserve"> indica que  W</w:t>
      </w:r>
      <w:r w:rsidRPr="00117B58">
        <w:rPr>
          <w:sz w:val="20"/>
          <w:szCs w:val="20"/>
          <w:lang w:val="es-AR"/>
        </w:rPr>
        <w:t>illiam Fabián Escobar Barrera</w:t>
      </w:r>
      <w:r w:rsidRPr="00117B58">
        <w:rPr>
          <w:i/>
          <w:sz w:val="20"/>
          <w:szCs w:val="20"/>
          <w:lang w:val="es-AR"/>
        </w:rPr>
        <w:t>,</w:t>
      </w:r>
      <w:r w:rsidRPr="00117B58">
        <w:rPr>
          <w:sz w:val="20"/>
          <w:szCs w:val="20"/>
          <w:lang w:val="es-AR"/>
        </w:rPr>
        <w:t xml:space="preserve"> </w:t>
      </w:r>
      <w:r w:rsidR="00117B58" w:rsidRPr="00117B58">
        <w:rPr>
          <w:sz w:val="20"/>
          <w:szCs w:val="20"/>
          <w:lang w:val="es-AR"/>
        </w:rPr>
        <w:t xml:space="preserve">perdió </w:t>
      </w:r>
      <w:r w:rsidRPr="00117B58">
        <w:rPr>
          <w:sz w:val="20"/>
          <w:szCs w:val="20"/>
          <w:lang w:val="es-AR"/>
        </w:rPr>
        <w:t xml:space="preserve">el dedo meñique de la mano izquierda, </w:t>
      </w:r>
      <w:r w:rsidR="00117B58" w:rsidRPr="00117B58">
        <w:rPr>
          <w:sz w:val="20"/>
          <w:szCs w:val="20"/>
          <w:lang w:val="es-AR"/>
        </w:rPr>
        <w:t xml:space="preserve">sufrió una </w:t>
      </w:r>
      <w:r w:rsidRPr="00117B58">
        <w:rPr>
          <w:sz w:val="20"/>
          <w:szCs w:val="20"/>
          <w:lang w:val="es-AR"/>
        </w:rPr>
        <w:t xml:space="preserve">fractura en el dedo meñique de la mano derecha, </w:t>
      </w:r>
      <w:r w:rsidR="00117B58" w:rsidRPr="00117B58">
        <w:rPr>
          <w:sz w:val="20"/>
          <w:szCs w:val="20"/>
          <w:lang w:val="es-AR"/>
        </w:rPr>
        <w:t xml:space="preserve">y tuvo </w:t>
      </w:r>
      <w:r w:rsidRPr="00117B58">
        <w:rPr>
          <w:sz w:val="20"/>
          <w:szCs w:val="20"/>
          <w:lang w:val="es-AR"/>
        </w:rPr>
        <w:t xml:space="preserve">lesiones producto de las esquirlas a la altura de extremidades inferiores y abdomen. </w:t>
      </w:r>
    </w:p>
    <w:p w14:paraId="1F2891F9" w14:textId="070C7882" w:rsidR="002F6221" w:rsidRPr="00A07BF1" w:rsidRDefault="00946939" w:rsidP="00821F3C">
      <w:pPr>
        <w:pStyle w:val="ListParagraph"/>
        <w:numPr>
          <w:ilvl w:val="0"/>
          <w:numId w:val="55"/>
        </w:numPr>
        <w:jc w:val="both"/>
        <w:rPr>
          <w:color w:val="auto"/>
          <w:sz w:val="20"/>
          <w:szCs w:val="20"/>
          <w:lang w:val="es-AR"/>
        </w:rPr>
      </w:pPr>
      <w:r>
        <w:rPr>
          <w:color w:val="auto"/>
          <w:sz w:val="20"/>
          <w:szCs w:val="20"/>
          <w:lang w:val="es-AR"/>
        </w:rPr>
        <w:t>Afirma que la conduct</w:t>
      </w:r>
      <w:r w:rsidR="00246AED">
        <w:rPr>
          <w:color w:val="auto"/>
          <w:sz w:val="20"/>
          <w:szCs w:val="20"/>
          <w:lang w:val="es-AR"/>
        </w:rPr>
        <w:t xml:space="preserve">a negligente y peligrosa de los </w:t>
      </w:r>
      <w:r w:rsidR="002F6221" w:rsidRPr="00A07BF1">
        <w:rPr>
          <w:color w:val="auto"/>
          <w:sz w:val="20"/>
          <w:szCs w:val="20"/>
          <w:lang w:val="es-AR"/>
        </w:rPr>
        <w:t>soldados de dicho batallón</w:t>
      </w:r>
      <w:r>
        <w:rPr>
          <w:color w:val="auto"/>
          <w:sz w:val="20"/>
          <w:szCs w:val="20"/>
          <w:lang w:val="es-AR"/>
        </w:rPr>
        <w:t>, pudo verificarse</w:t>
      </w:r>
      <w:r w:rsidR="00D149C6">
        <w:rPr>
          <w:color w:val="auto"/>
          <w:sz w:val="20"/>
          <w:szCs w:val="20"/>
          <w:lang w:val="es-AR"/>
        </w:rPr>
        <w:t xml:space="preserve"> pues en ocasiones anteriores a </w:t>
      </w:r>
      <w:r>
        <w:rPr>
          <w:color w:val="auto"/>
          <w:sz w:val="20"/>
          <w:szCs w:val="20"/>
          <w:lang w:val="es-AR"/>
        </w:rPr>
        <w:t xml:space="preserve">los hechos, </w:t>
      </w:r>
      <w:r w:rsidR="00D149C6">
        <w:rPr>
          <w:color w:val="auto"/>
          <w:sz w:val="20"/>
          <w:szCs w:val="20"/>
          <w:lang w:val="es-AR"/>
        </w:rPr>
        <w:t xml:space="preserve">algunas </w:t>
      </w:r>
      <w:r w:rsidR="00246AED">
        <w:rPr>
          <w:color w:val="auto"/>
          <w:sz w:val="20"/>
          <w:szCs w:val="20"/>
          <w:lang w:val="es-AR"/>
        </w:rPr>
        <w:t xml:space="preserve">autoridades </w:t>
      </w:r>
      <w:r w:rsidR="00D149C6">
        <w:rPr>
          <w:color w:val="auto"/>
          <w:sz w:val="20"/>
          <w:szCs w:val="20"/>
          <w:lang w:val="es-AR"/>
        </w:rPr>
        <w:t>como el Cuerpo Técnico de Investigación de la Fiscalía</w:t>
      </w:r>
      <w:r w:rsidR="006310AF">
        <w:rPr>
          <w:color w:val="auto"/>
          <w:sz w:val="20"/>
          <w:szCs w:val="20"/>
          <w:lang w:val="es-AR"/>
        </w:rPr>
        <w:t xml:space="preserve"> (en adelante “CTI”)</w:t>
      </w:r>
      <w:r w:rsidR="002F6221" w:rsidRPr="00A07BF1">
        <w:rPr>
          <w:color w:val="auto"/>
          <w:sz w:val="20"/>
          <w:szCs w:val="20"/>
          <w:lang w:val="es-AR"/>
        </w:rPr>
        <w:t xml:space="preserve"> </w:t>
      </w:r>
      <w:r w:rsidR="00CF35FA">
        <w:rPr>
          <w:color w:val="auto"/>
          <w:sz w:val="20"/>
          <w:szCs w:val="20"/>
          <w:lang w:val="es-AR"/>
        </w:rPr>
        <w:t xml:space="preserve">y Policía </w:t>
      </w:r>
      <w:r w:rsidR="0042311A">
        <w:rPr>
          <w:color w:val="auto"/>
          <w:sz w:val="20"/>
          <w:szCs w:val="20"/>
          <w:lang w:val="es-AR"/>
        </w:rPr>
        <w:t>local</w:t>
      </w:r>
      <w:r w:rsidR="00CF35FA">
        <w:rPr>
          <w:color w:val="auto"/>
          <w:sz w:val="20"/>
          <w:szCs w:val="20"/>
          <w:lang w:val="es-AR"/>
        </w:rPr>
        <w:t>,  habían</w:t>
      </w:r>
      <w:r w:rsidR="002F6221" w:rsidRPr="00A07BF1">
        <w:rPr>
          <w:color w:val="auto"/>
          <w:sz w:val="20"/>
          <w:szCs w:val="20"/>
          <w:lang w:val="es-AR"/>
        </w:rPr>
        <w:t xml:space="preserve"> desactivado varias granadas</w:t>
      </w:r>
      <w:r w:rsidR="00D149C6">
        <w:rPr>
          <w:color w:val="auto"/>
          <w:sz w:val="20"/>
          <w:szCs w:val="20"/>
          <w:lang w:val="es-AR"/>
        </w:rPr>
        <w:t xml:space="preserve">. Relata </w:t>
      </w:r>
      <w:r w:rsidR="007A3D53">
        <w:rPr>
          <w:color w:val="auto"/>
          <w:sz w:val="20"/>
          <w:szCs w:val="20"/>
          <w:lang w:val="es-AR"/>
        </w:rPr>
        <w:t xml:space="preserve">también </w:t>
      </w:r>
      <w:r w:rsidR="00D149C6">
        <w:rPr>
          <w:color w:val="auto"/>
          <w:sz w:val="20"/>
          <w:szCs w:val="20"/>
          <w:lang w:val="es-AR"/>
        </w:rPr>
        <w:t xml:space="preserve">que el día </w:t>
      </w:r>
      <w:r w:rsidR="0042311A">
        <w:rPr>
          <w:color w:val="auto"/>
          <w:sz w:val="20"/>
          <w:szCs w:val="20"/>
          <w:lang w:val="es-AR"/>
        </w:rPr>
        <w:t>anterior</w:t>
      </w:r>
      <w:r w:rsidR="00D149C6">
        <w:rPr>
          <w:color w:val="auto"/>
          <w:sz w:val="20"/>
          <w:szCs w:val="20"/>
          <w:lang w:val="es-AR"/>
        </w:rPr>
        <w:t xml:space="preserve"> </w:t>
      </w:r>
      <w:r w:rsidR="0042311A">
        <w:rPr>
          <w:color w:val="auto"/>
          <w:sz w:val="20"/>
          <w:szCs w:val="20"/>
          <w:lang w:val="es-AR"/>
        </w:rPr>
        <w:t>al accidente</w:t>
      </w:r>
      <w:r w:rsidR="00D149C6">
        <w:rPr>
          <w:color w:val="auto"/>
          <w:sz w:val="20"/>
          <w:szCs w:val="20"/>
          <w:lang w:val="es-AR"/>
        </w:rPr>
        <w:t>, efectivos</w:t>
      </w:r>
      <w:r w:rsidR="002F6221" w:rsidRPr="00A07BF1">
        <w:rPr>
          <w:color w:val="auto"/>
          <w:sz w:val="20"/>
          <w:szCs w:val="20"/>
          <w:lang w:val="es-AR"/>
        </w:rPr>
        <w:t xml:space="preserve"> del Batallón 21 Vargas, estuvieron cocinando y departiendo </w:t>
      </w:r>
      <w:r w:rsidR="00246AED">
        <w:rPr>
          <w:color w:val="auto"/>
          <w:sz w:val="20"/>
          <w:szCs w:val="20"/>
          <w:lang w:val="es-AR"/>
        </w:rPr>
        <w:t xml:space="preserve">bebidas </w:t>
      </w:r>
      <w:r w:rsidR="00D149C6">
        <w:rPr>
          <w:color w:val="auto"/>
          <w:sz w:val="20"/>
          <w:szCs w:val="20"/>
          <w:lang w:val="es-AR"/>
        </w:rPr>
        <w:t xml:space="preserve">en el </w:t>
      </w:r>
      <w:r w:rsidR="002F6221" w:rsidRPr="00A07BF1">
        <w:rPr>
          <w:color w:val="auto"/>
          <w:sz w:val="20"/>
          <w:szCs w:val="20"/>
          <w:lang w:val="es-AR"/>
        </w:rPr>
        <w:t>potrero</w:t>
      </w:r>
      <w:r w:rsidR="00D149C6">
        <w:rPr>
          <w:color w:val="auto"/>
          <w:sz w:val="20"/>
          <w:szCs w:val="20"/>
          <w:lang w:val="es-AR"/>
        </w:rPr>
        <w:t xml:space="preserve"> del recinto</w:t>
      </w:r>
      <w:r w:rsidR="002F6221" w:rsidRPr="00A07BF1">
        <w:rPr>
          <w:color w:val="auto"/>
          <w:sz w:val="20"/>
          <w:szCs w:val="20"/>
          <w:lang w:val="es-AR"/>
        </w:rPr>
        <w:t xml:space="preserve">. </w:t>
      </w:r>
      <w:r w:rsidR="007A3D53">
        <w:rPr>
          <w:color w:val="auto"/>
          <w:sz w:val="20"/>
          <w:szCs w:val="20"/>
          <w:lang w:val="es-AR"/>
        </w:rPr>
        <w:t xml:space="preserve">Además señala </w:t>
      </w:r>
      <w:r w:rsidR="002F6221" w:rsidRPr="00A07BF1">
        <w:rPr>
          <w:color w:val="auto"/>
          <w:sz w:val="20"/>
          <w:szCs w:val="20"/>
          <w:lang w:val="es-AR"/>
        </w:rPr>
        <w:t>que con posterioridad a</w:t>
      </w:r>
      <w:r w:rsidR="0042311A">
        <w:rPr>
          <w:color w:val="auto"/>
          <w:sz w:val="20"/>
          <w:szCs w:val="20"/>
          <w:lang w:val="es-AR"/>
        </w:rPr>
        <w:t xml:space="preserve"> </w:t>
      </w:r>
      <w:r w:rsidR="002F6221" w:rsidRPr="00A07BF1">
        <w:rPr>
          <w:color w:val="auto"/>
          <w:sz w:val="20"/>
          <w:szCs w:val="20"/>
          <w:lang w:val="es-AR"/>
        </w:rPr>
        <w:t>l</w:t>
      </w:r>
      <w:r w:rsidR="0042311A">
        <w:rPr>
          <w:color w:val="auto"/>
          <w:sz w:val="20"/>
          <w:szCs w:val="20"/>
          <w:lang w:val="es-AR"/>
        </w:rPr>
        <w:t>os hechos</w:t>
      </w:r>
      <w:r w:rsidR="002F6221" w:rsidRPr="00A07BF1">
        <w:rPr>
          <w:color w:val="auto"/>
          <w:sz w:val="20"/>
          <w:szCs w:val="20"/>
          <w:lang w:val="es-AR"/>
        </w:rPr>
        <w:t xml:space="preserve">, y por solicitud de José Manuel Acosta Saldaña, padre de uno de los </w:t>
      </w:r>
      <w:r w:rsidR="007A3D53">
        <w:rPr>
          <w:color w:val="auto"/>
          <w:sz w:val="20"/>
          <w:szCs w:val="20"/>
          <w:lang w:val="es-AR"/>
        </w:rPr>
        <w:t>niños</w:t>
      </w:r>
      <w:r w:rsidR="002F6221" w:rsidRPr="00A07BF1">
        <w:rPr>
          <w:color w:val="auto"/>
          <w:sz w:val="20"/>
          <w:szCs w:val="20"/>
          <w:lang w:val="es-AR"/>
        </w:rPr>
        <w:t xml:space="preserve">, la </w:t>
      </w:r>
      <w:r w:rsidR="007A3D53">
        <w:rPr>
          <w:color w:val="auto"/>
          <w:sz w:val="20"/>
          <w:szCs w:val="20"/>
          <w:lang w:val="es-AR"/>
        </w:rPr>
        <w:t>P</w:t>
      </w:r>
      <w:r w:rsidR="002F6221" w:rsidRPr="00A07BF1">
        <w:rPr>
          <w:color w:val="auto"/>
          <w:sz w:val="20"/>
          <w:szCs w:val="20"/>
          <w:lang w:val="es-AR"/>
        </w:rPr>
        <w:t xml:space="preserve">olicía </w:t>
      </w:r>
      <w:r w:rsidR="007A3D53">
        <w:rPr>
          <w:color w:val="auto"/>
          <w:sz w:val="20"/>
          <w:szCs w:val="20"/>
          <w:lang w:val="es-AR"/>
        </w:rPr>
        <w:t>J</w:t>
      </w:r>
      <w:r w:rsidR="002F6221" w:rsidRPr="00A07BF1">
        <w:rPr>
          <w:color w:val="auto"/>
          <w:sz w:val="20"/>
          <w:szCs w:val="20"/>
          <w:lang w:val="es-AR"/>
        </w:rPr>
        <w:t xml:space="preserve">udicial se presentó en el barrio y encontró </w:t>
      </w:r>
      <w:r w:rsidR="007A3D53">
        <w:rPr>
          <w:color w:val="auto"/>
          <w:sz w:val="20"/>
          <w:szCs w:val="20"/>
          <w:lang w:val="es-AR"/>
        </w:rPr>
        <w:t xml:space="preserve">otras </w:t>
      </w:r>
      <w:r w:rsidR="002F6221" w:rsidRPr="00A07BF1">
        <w:rPr>
          <w:color w:val="auto"/>
          <w:sz w:val="20"/>
          <w:szCs w:val="20"/>
          <w:lang w:val="es-AR"/>
        </w:rPr>
        <w:t>dos granadas similares a la que</w:t>
      </w:r>
      <w:r w:rsidR="007A3D53">
        <w:rPr>
          <w:color w:val="auto"/>
          <w:sz w:val="20"/>
          <w:szCs w:val="20"/>
          <w:lang w:val="es-AR"/>
        </w:rPr>
        <w:t xml:space="preserve"> detonó </w:t>
      </w:r>
      <w:r w:rsidR="002F6221" w:rsidRPr="00A07BF1">
        <w:rPr>
          <w:color w:val="auto"/>
          <w:sz w:val="20"/>
          <w:szCs w:val="20"/>
          <w:lang w:val="es-AR"/>
        </w:rPr>
        <w:t>en manos de l</w:t>
      </w:r>
      <w:r w:rsidR="007A3D53">
        <w:rPr>
          <w:color w:val="auto"/>
          <w:sz w:val="20"/>
          <w:szCs w:val="20"/>
          <w:lang w:val="es-AR"/>
        </w:rPr>
        <w:t xml:space="preserve">as presuntas víctimas, </w:t>
      </w:r>
      <w:r w:rsidR="002F6221" w:rsidRPr="00A07BF1">
        <w:rPr>
          <w:color w:val="auto"/>
          <w:sz w:val="20"/>
          <w:szCs w:val="20"/>
          <w:lang w:val="es-AR"/>
        </w:rPr>
        <w:t xml:space="preserve">una de práctica y otra de guerra, así como una caja de madera pintada de color verde, con las palabras “Mindefensa-Ejército Nacional-Bogotá Colombia-contra”. </w:t>
      </w:r>
    </w:p>
    <w:p w14:paraId="4112C8BC" w14:textId="77777777" w:rsidR="002F6221" w:rsidRPr="00A07BF1" w:rsidRDefault="002F6221" w:rsidP="00A85E8E">
      <w:pPr>
        <w:pStyle w:val="ListParagraph"/>
        <w:jc w:val="both"/>
        <w:rPr>
          <w:color w:val="auto"/>
          <w:sz w:val="20"/>
          <w:szCs w:val="20"/>
          <w:lang w:val="es-AR"/>
        </w:rPr>
      </w:pPr>
    </w:p>
    <w:p w14:paraId="2D1069EA" w14:textId="4E038576" w:rsidR="008D2F6F" w:rsidRPr="00CF35FA" w:rsidRDefault="007A3D53" w:rsidP="00821F3C">
      <w:pPr>
        <w:pStyle w:val="ListParagraph"/>
        <w:numPr>
          <w:ilvl w:val="0"/>
          <w:numId w:val="55"/>
        </w:numPr>
        <w:jc w:val="both"/>
        <w:rPr>
          <w:color w:val="auto"/>
          <w:sz w:val="20"/>
          <w:szCs w:val="20"/>
          <w:lang w:val="es-AR"/>
        </w:rPr>
      </w:pPr>
      <w:r>
        <w:rPr>
          <w:color w:val="auto"/>
          <w:sz w:val="20"/>
          <w:szCs w:val="20"/>
          <w:lang w:val="es-AR"/>
        </w:rPr>
        <w:t xml:space="preserve">Por lo anterior, alega </w:t>
      </w:r>
      <w:r w:rsidR="00765EBB" w:rsidRPr="00A07BF1">
        <w:rPr>
          <w:color w:val="auto"/>
          <w:sz w:val="20"/>
          <w:szCs w:val="20"/>
          <w:lang w:val="es-AR"/>
        </w:rPr>
        <w:t xml:space="preserve">que </w:t>
      </w:r>
      <w:r>
        <w:rPr>
          <w:color w:val="auto"/>
          <w:sz w:val="20"/>
          <w:szCs w:val="20"/>
          <w:lang w:val="es-AR"/>
        </w:rPr>
        <w:t xml:space="preserve">el Ejército </w:t>
      </w:r>
      <w:r w:rsidR="00765EBB" w:rsidRPr="00A07BF1">
        <w:rPr>
          <w:color w:val="auto"/>
          <w:sz w:val="20"/>
          <w:szCs w:val="20"/>
          <w:lang w:val="es-AR"/>
        </w:rPr>
        <w:t>incurri</w:t>
      </w:r>
      <w:r>
        <w:rPr>
          <w:color w:val="auto"/>
          <w:sz w:val="20"/>
          <w:szCs w:val="20"/>
          <w:lang w:val="es-AR"/>
        </w:rPr>
        <w:t>ó</w:t>
      </w:r>
      <w:r w:rsidR="00765EBB" w:rsidRPr="00A07BF1">
        <w:rPr>
          <w:color w:val="auto"/>
          <w:sz w:val="20"/>
          <w:szCs w:val="20"/>
          <w:lang w:val="es-AR"/>
        </w:rPr>
        <w:t xml:space="preserve"> en omisiones y negligencia</w:t>
      </w:r>
      <w:r>
        <w:rPr>
          <w:color w:val="auto"/>
          <w:sz w:val="20"/>
          <w:szCs w:val="20"/>
          <w:lang w:val="es-AR"/>
        </w:rPr>
        <w:t xml:space="preserve"> toda vez que </w:t>
      </w:r>
      <w:r w:rsidR="00765EBB" w:rsidRPr="00A07BF1">
        <w:rPr>
          <w:color w:val="auto"/>
          <w:sz w:val="20"/>
          <w:szCs w:val="20"/>
          <w:lang w:val="es-AR"/>
        </w:rPr>
        <w:t xml:space="preserve">los </w:t>
      </w:r>
      <w:r w:rsidR="00A01BA4">
        <w:rPr>
          <w:color w:val="auto"/>
          <w:sz w:val="20"/>
          <w:szCs w:val="20"/>
          <w:lang w:val="es-AR"/>
        </w:rPr>
        <w:t xml:space="preserve">efectivos militares </w:t>
      </w:r>
      <w:r w:rsidR="00765EBB" w:rsidRPr="00A07BF1">
        <w:rPr>
          <w:color w:val="auto"/>
          <w:sz w:val="20"/>
          <w:szCs w:val="20"/>
          <w:lang w:val="es-AR"/>
        </w:rPr>
        <w:t>efect</w:t>
      </w:r>
      <w:r w:rsidR="00A01BA4">
        <w:rPr>
          <w:color w:val="auto"/>
          <w:sz w:val="20"/>
          <w:szCs w:val="20"/>
          <w:lang w:val="es-AR"/>
        </w:rPr>
        <w:t>uaban prácticas de</w:t>
      </w:r>
      <w:r w:rsidR="00765EBB" w:rsidRPr="00A07BF1">
        <w:rPr>
          <w:color w:val="auto"/>
          <w:sz w:val="20"/>
          <w:szCs w:val="20"/>
          <w:lang w:val="es-AR"/>
        </w:rPr>
        <w:t xml:space="preserve"> polígono s</w:t>
      </w:r>
      <w:r w:rsidR="000C63F5">
        <w:rPr>
          <w:color w:val="auto"/>
          <w:sz w:val="20"/>
          <w:szCs w:val="20"/>
          <w:lang w:val="es-AR"/>
        </w:rPr>
        <w:t xml:space="preserve">in las prevenciones </w:t>
      </w:r>
      <w:r w:rsidR="00765EBB" w:rsidRPr="00A07BF1">
        <w:rPr>
          <w:color w:val="auto"/>
          <w:sz w:val="20"/>
          <w:szCs w:val="20"/>
          <w:lang w:val="es-AR"/>
        </w:rPr>
        <w:t xml:space="preserve">necesarias, </w:t>
      </w:r>
      <w:r w:rsidR="000C63F5">
        <w:rPr>
          <w:color w:val="auto"/>
          <w:sz w:val="20"/>
          <w:szCs w:val="20"/>
          <w:lang w:val="es-AR"/>
        </w:rPr>
        <w:t xml:space="preserve">incumpliendo </w:t>
      </w:r>
      <w:r w:rsidR="00765EBB" w:rsidRPr="00A07BF1">
        <w:rPr>
          <w:color w:val="auto"/>
          <w:sz w:val="20"/>
          <w:szCs w:val="20"/>
          <w:lang w:val="es-AR"/>
        </w:rPr>
        <w:t xml:space="preserve">con los requisitos de seguridad </w:t>
      </w:r>
      <w:r w:rsidR="000C63F5">
        <w:rPr>
          <w:color w:val="auto"/>
          <w:sz w:val="20"/>
          <w:szCs w:val="20"/>
          <w:lang w:val="es-AR"/>
        </w:rPr>
        <w:t>de</w:t>
      </w:r>
      <w:r w:rsidR="00765EBB" w:rsidRPr="00A07BF1">
        <w:rPr>
          <w:color w:val="auto"/>
          <w:sz w:val="20"/>
          <w:szCs w:val="20"/>
          <w:lang w:val="es-AR"/>
        </w:rPr>
        <w:t xml:space="preserve"> las armas de uso y dotación</w:t>
      </w:r>
      <w:r w:rsidR="00A01BA4">
        <w:rPr>
          <w:color w:val="auto"/>
          <w:sz w:val="20"/>
          <w:szCs w:val="20"/>
          <w:lang w:val="es-AR"/>
        </w:rPr>
        <w:t xml:space="preserve">, </w:t>
      </w:r>
      <w:r w:rsidR="00765EBB" w:rsidRPr="00A07BF1">
        <w:rPr>
          <w:color w:val="auto"/>
          <w:sz w:val="20"/>
          <w:szCs w:val="20"/>
          <w:lang w:val="es-AR"/>
        </w:rPr>
        <w:t>ingresa</w:t>
      </w:r>
      <w:r w:rsidR="00A01BA4">
        <w:rPr>
          <w:color w:val="auto"/>
          <w:sz w:val="20"/>
          <w:szCs w:val="20"/>
          <w:lang w:val="es-AR"/>
        </w:rPr>
        <w:t>ban</w:t>
      </w:r>
      <w:r w:rsidR="00765EBB" w:rsidRPr="00A07BF1">
        <w:rPr>
          <w:color w:val="auto"/>
          <w:sz w:val="20"/>
          <w:szCs w:val="20"/>
          <w:lang w:val="es-AR"/>
        </w:rPr>
        <w:t xml:space="preserve"> a predios privados y deja</w:t>
      </w:r>
      <w:r w:rsidR="00A01BA4">
        <w:rPr>
          <w:color w:val="auto"/>
          <w:sz w:val="20"/>
          <w:szCs w:val="20"/>
          <w:lang w:val="es-AR"/>
        </w:rPr>
        <w:t>ba</w:t>
      </w:r>
      <w:r w:rsidR="00765EBB" w:rsidRPr="00A07BF1">
        <w:rPr>
          <w:color w:val="auto"/>
          <w:sz w:val="20"/>
          <w:szCs w:val="20"/>
          <w:lang w:val="es-AR"/>
        </w:rPr>
        <w:t>n abandonado</w:t>
      </w:r>
      <w:r w:rsidR="00A01BA4">
        <w:rPr>
          <w:color w:val="auto"/>
          <w:sz w:val="20"/>
          <w:szCs w:val="20"/>
          <w:lang w:val="es-AR"/>
        </w:rPr>
        <w:t xml:space="preserve"> el</w:t>
      </w:r>
      <w:r w:rsidR="00765EBB" w:rsidRPr="00A07BF1">
        <w:rPr>
          <w:color w:val="auto"/>
          <w:sz w:val="20"/>
          <w:szCs w:val="20"/>
          <w:lang w:val="es-AR"/>
        </w:rPr>
        <w:t xml:space="preserve"> </w:t>
      </w:r>
      <w:r w:rsidR="00A01BA4" w:rsidRPr="00A07BF1">
        <w:rPr>
          <w:color w:val="auto"/>
          <w:sz w:val="20"/>
          <w:szCs w:val="20"/>
          <w:lang w:val="es-AR"/>
        </w:rPr>
        <w:t xml:space="preserve">material explosivo </w:t>
      </w:r>
      <w:r w:rsidR="00765EBB" w:rsidRPr="00A07BF1">
        <w:rPr>
          <w:color w:val="auto"/>
          <w:sz w:val="20"/>
          <w:szCs w:val="20"/>
          <w:lang w:val="es-AR"/>
        </w:rPr>
        <w:t xml:space="preserve">de forma irresponsable, no </w:t>
      </w:r>
      <w:r w:rsidR="00A01BA4">
        <w:rPr>
          <w:color w:val="auto"/>
          <w:sz w:val="20"/>
          <w:szCs w:val="20"/>
          <w:lang w:val="es-AR"/>
        </w:rPr>
        <w:t xml:space="preserve">demostraron </w:t>
      </w:r>
      <w:r w:rsidR="00765EBB" w:rsidRPr="00A07BF1">
        <w:rPr>
          <w:color w:val="auto"/>
          <w:sz w:val="20"/>
          <w:szCs w:val="20"/>
          <w:lang w:val="es-AR"/>
        </w:rPr>
        <w:t xml:space="preserve">prudencia, control y vigilancia de las armas de dotación o entrenamiento, entre ellas las granadas de fragmentación, y </w:t>
      </w:r>
      <w:r w:rsidR="00307EC8">
        <w:rPr>
          <w:color w:val="auto"/>
          <w:sz w:val="20"/>
          <w:szCs w:val="20"/>
          <w:lang w:val="es-AR"/>
        </w:rPr>
        <w:t xml:space="preserve">tampoco </w:t>
      </w:r>
      <w:r w:rsidR="00765EBB" w:rsidRPr="00A07BF1">
        <w:rPr>
          <w:color w:val="auto"/>
          <w:sz w:val="20"/>
          <w:szCs w:val="20"/>
          <w:lang w:val="es-AR"/>
        </w:rPr>
        <w:t xml:space="preserve">instruyeron a las tropas a realizar un responsable y adecuado uso de las armas oficiales. </w:t>
      </w:r>
      <w:r w:rsidR="001C0318">
        <w:rPr>
          <w:color w:val="auto"/>
          <w:sz w:val="20"/>
          <w:szCs w:val="20"/>
          <w:lang w:val="es-AR"/>
        </w:rPr>
        <w:t xml:space="preserve"> </w:t>
      </w:r>
    </w:p>
    <w:p w14:paraId="1D324867" w14:textId="77777777" w:rsidR="008D2F6F" w:rsidRPr="00A07BF1" w:rsidRDefault="008D2F6F" w:rsidP="00A85E8E">
      <w:pPr>
        <w:pStyle w:val="ListParagraph"/>
        <w:jc w:val="both"/>
        <w:rPr>
          <w:color w:val="auto"/>
          <w:sz w:val="20"/>
          <w:szCs w:val="20"/>
          <w:lang w:val="es-AR"/>
        </w:rPr>
      </w:pPr>
    </w:p>
    <w:p w14:paraId="5217C890" w14:textId="271099C9" w:rsidR="001217C5" w:rsidRDefault="00F263CD" w:rsidP="00821F3C">
      <w:pPr>
        <w:pStyle w:val="ListParagraph"/>
        <w:numPr>
          <w:ilvl w:val="0"/>
          <w:numId w:val="55"/>
        </w:numPr>
        <w:jc w:val="both"/>
        <w:rPr>
          <w:sz w:val="20"/>
          <w:szCs w:val="20"/>
          <w:lang w:val="es-AR"/>
        </w:rPr>
      </w:pPr>
      <w:r>
        <w:rPr>
          <w:sz w:val="20"/>
          <w:szCs w:val="20"/>
          <w:lang w:val="es-AR"/>
        </w:rPr>
        <w:t>A</w:t>
      </w:r>
      <w:r w:rsidR="00344F9F" w:rsidRPr="00344F9F">
        <w:rPr>
          <w:sz w:val="20"/>
          <w:szCs w:val="20"/>
          <w:lang w:val="es-AR"/>
        </w:rPr>
        <w:t xml:space="preserve">firma que la población y las autoridades del sector colindante al Batallón 21 Vargas, presentaron informes, sobre el inminente peligro que conlleva efectuar </w:t>
      </w:r>
      <w:r>
        <w:rPr>
          <w:sz w:val="20"/>
          <w:szCs w:val="20"/>
          <w:lang w:val="es-AR"/>
        </w:rPr>
        <w:t xml:space="preserve">prácticas de </w:t>
      </w:r>
      <w:r w:rsidR="00344F9F" w:rsidRPr="00344F9F">
        <w:rPr>
          <w:sz w:val="20"/>
          <w:szCs w:val="20"/>
          <w:lang w:val="es-AR"/>
        </w:rPr>
        <w:t>polígono cerca de la población civil</w:t>
      </w:r>
      <w:r>
        <w:rPr>
          <w:sz w:val="20"/>
          <w:szCs w:val="20"/>
          <w:lang w:val="es-AR"/>
        </w:rPr>
        <w:t>. A</w:t>
      </w:r>
      <w:r w:rsidR="00344F9F" w:rsidRPr="00344F9F">
        <w:rPr>
          <w:sz w:val="20"/>
          <w:szCs w:val="20"/>
          <w:lang w:val="es-AR"/>
        </w:rPr>
        <w:t xml:space="preserve">demás, </w:t>
      </w:r>
      <w:r>
        <w:rPr>
          <w:sz w:val="20"/>
          <w:szCs w:val="20"/>
          <w:lang w:val="es-AR"/>
        </w:rPr>
        <w:t xml:space="preserve">reclamaron por </w:t>
      </w:r>
      <w:r w:rsidR="00344F9F" w:rsidRPr="00344F9F">
        <w:rPr>
          <w:sz w:val="20"/>
          <w:szCs w:val="20"/>
          <w:lang w:val="es-AR"/>
        </w:rPr>
        <w:t xml:space="preserve">la reiterada presencia de tropa, sin la seguridad </w:t>
      </w:r>
      <w:r>
        <w:rPr>
          <w:sz w:val="20"/>
          <w:szCs w:val="20"/>
          <w:lang w:val="es-AR"/>
        </w:rPr>
        <w:t xml:space="preserve">necesaria para </w:t>
      </w:r>
      <w:r w:rsidR="00344F9F" w:rsidRPr="00344F9F">
        <w:rPr>
          <w:sz w:val="20"/>
          <w:szCs w:val="20"/>
          <w:lang w:val="es-AR"/>
        </w:rPr>
        <w:t xml:space="preserve">el armamento, </w:t>
      </w:r>
      <w:r>
        <w:rPr>
          <w:sz w:val="20"/>
          <w:szCs w:val="20"/>
          <w:lang w:val="es-AR"/>
        </w:rPr>
        <w:t xml:space="preserve">y por el constante </w:t>
      </w:r>
      <w:r w:rsidR="00344F9F" w:rsidRPr="00344F9F">
        <w:rPr>
          <w:sz w:val="20"/>
          <w:szCs w:val="20"/>
          <w:lang w:val="es-AR"/>
        </w:rPr>
        <w:t>ingres</w:t>
      </w:r>
      <w:r>
        <w:rPr>
          <w:sz w:val="20"/>
          <w:szCs w:val="20"/>
          <w:lang w:val="es-AR"/>
        </w:rPr>
        <w:t>o</w:t>
      </w:r>
      <w:r w:rsidR="00344F9F" w:rsidRPr="00344F9F">
        <w:rPr>
          <w:sz w:val="20"/>
          <w:szCs w:val="20"/>
          <w:lang w:val="es-AR"/>
        </w:rPr>
        <w:t xml:space="preserve"> a las viviendas sin cumplir los requisitos </w:t>
      </w:r>
      <w:r>
        <w:rPr>
          <w:sz w:val="20"/>
          <w:szCs w:val="20"/>
          <w:lang w:val="es-AR"/>
        </w:rPr>
        <w:t>legales</w:t>
      </w:r>
      <w:r w:rsidR="00344F9F" w:rsidRPr="00344F9F">
        <w:rPr>
          <w:sz w:val="20"/>
          <w:szCs w:val="20"/>
          <w:lang w:val="es-AR"/>
        </w:rPr>
        <w:t xml:space="preserve">. </w:t>
      </w:r>
      <w:r>
        <w:rPr>
          <w:sz w:val="20"/>
          <w:szCs w:val="20"/>
          <w:lang w:val="es-AR"/>
        </w:rPr>
        <w:t xml:space="preserve">Señala que en ese sentido </w:t>
      </w:r>
      <w:r w:rsidR="00344F9F" w:rsidRPr="00344F9F">
        <w:rPr>
          <w:sz w:val="20"/>
          <w:szCs w:val="20"/>
          <w:lang w:val="es-AR"/>
        </w:rPr>
        <w:t xml:space="preserve">solicitaron medidas ante la Defensoría del Pueblo, la Procuraduría General de la Nación y Ministerio de Defensa, </w:t>
      </w:r>
      <w:r w:rsidR="001217C5">
        <w:rPr>
          <w:sz w:val="20"/>
          <w:szCs w:val="20"/>
          <w:lang w:val="es-AR"/>
        </w:rPr>
        <w:t xml:space="preserve">pero éstas </w:t>
      </w:r>
      <w:r w:rsidR="00344F9F" w:rsidRPr="00344F9F">
        <w:rPr>
          <w:sz w:val="20"/>
          <w:szCs w:val="20"/>
          <w:lang w:val="es-AR"/>
        </w:rPr>
        <w:t>no tuvieron continuidad</w:t>
      </w:r>
      <w:r w:rsidR="003A0811">
        <w:rPr>
          <w:sz w:val="20"/>
          <w:szCs w:val="20"/>
          <w:lang w:val="es-AR"/>
        </w:rPr>
        <w:t>,</w:t>
      </w:r>
      <w:r w:rsidR="00344F9F" w:rsidRPr="00344F9F">
        <w:rPr>
          <w:sz w:val="20"/>
          <w:szCs w:val="20"/>
          <w:lang w:val="es-AR"/>
        </w:rPr>
        <w:t xml:space="preserve"> ni resultados positivos o concretos. </w:t>
      </w:r>
      <w:r w:rsidR="00C82D2C">
        <w:rPr>
          <w:sz w:val="20"/>
          <w:szCs w:val="20"/>
          <w:lang w:val="es-AR"/>
        </w:rPr>
        <w:t xml:space="preserve"> </w:t>
      </w:r>
    </w:p>
    <w:p w14:paraId="4E36E819" w14:textId="77777777" w:rsidR="001217C5" w:rsidRPr="00145BD6" w:rsidRDefault="001217C5" w:rsidP="00145BD6">
      <w:pPr>
        <w:pStyle w:val="ListParagraph"/>
        <w:rPr>
          <w:sz w:val="20"/>
          <w:szCs w:val="20"/>
          <w:lang w:val="es-AR"/>
        </w:rPr>
      </w:pPr>
    </w:p>
    <w:p w14:paraId="2EDB24F3" w14:textId="1FBFF267" w:rsidR="006D10BF" w:rsidRPr="00DF4569" w:rsidRDefault="001217C5" w:rsidP="00821F3C">
      <w:pPr>
        <w:pStyle w:val="ListParagraph"/>
        <w:numPr>
          <w:ilvl w:val="0"/>
          <w:numId w:val="55"/>
        </w:numPr>
        <w:jc w:val="both"/>
        <w:rPr>
          <w:sz w:val="20"/>
          <w:szCs w:val="20"/>
          <w:lang w:val="es-AR"/>
        </w:rPr>
      </w:pPr>
      <w:r w:rsidRPr="00DF4569">
        <w:rPr>
          <w:sz w:val="20"/>
          <w:szCs w:val="20"/>
          <w:lang w:val="es-AR"/>
        </w:rPr>
        <w:t xml:space="preserve">Refiere que </w:t>
      </w:r>
      <w:r w:rsidR="00E60F42" w:rsidRPr="00DF4569">
        <w:rPr>
          <w:color w:val="auto"/>
          <w:sz w:val="20"/>
          <w:szCs w:val="20"/>
          <w:lang w:val="es-AR"/>
        </w:rPr>
        <w:t>el día 17 de enero de 2000, el señor José Manuel Acosta Saldaña, padre de</w:t>
      </w:r>
      <w:r w:rsidRPr="00DF4569">
        <w:rPr>
          <w:color w:val="auto"/>
          <w:sz w:val="20"/>
          <w:szCs w:val="20"/>
          <w:lang w:val="es-AR"/>
        </w:rPr>
        <w:t>l niño</w:t>
      </w:r>
      <w:r w:rsidR="00E60F42" w:rsidRPr="00DF4569">
        <w:rPr>
          <w:color w:val="auto"/>
          <w:sz w:val="20"/>
          <w:szCs w:val="20"/>
          <w:lang w:val="es-AR"/>
        </w:rPr>
        <w:t xml:space="preserve"> Frank Acosta, presentó </w:t>
      </w:r>
      <w:r w:rsidR="00ED479C" w:rsidRPr="00DF4569">
        <w:rPr>
          <w:color w:val="auto"/>
          <w:sz w:val="20"/>
          <w:szCs w:val="20"/>
          <w:lang w:val="es-AR"/>
        </w:rPr>
        <w:t xml:space="preserve">una </w:t>
      </w:r>
      <w:r w:rsidR="00E60F42" w:rsidRPr="00DF4569">
        <w:rPr>
          <w:color w:val="auto"/>
          <w:sz w:val="20"/>
          <w:szCs w:val="20"/>
          <w:lang w:val="es-AR"/>
        </w:rPr>
        <w:t xml:space="preserve">denuncia ante </w:t>
      </w:r>
      <w:r w:rsidR="00C82D2C" w:rsidRPr="00DF4569">
        <w:rPr>
          <w:sz w:val="20"/>
          <w:szCs w:val="20"/>
          <w:lang w:val="es-AR"/>
        </w:rPr>
        <w:t xml:space="preserve">la Fiscalía 27 </w:t>
      </w:r>
      <w:r w:rsidR="006D10BF" w:rsidRPr="00DF4569">
        <w:rPr>
          <w:sz w:val="20"/>
          <w:szCs w:val="20"/>
          <w:lang w:val="es-AR"/>
        </w:rPr>
        <w:t>L</w:t>
      </w:r>
      <w:r w:rsidR="00C82D2C" w:rsidRPr="00DF4569">
        <w:rPr>
          <w:sz w:val="20"/>
          <w:szCs w:val="20"/>
          <w:lang w:val="es-AR"/>
        </w:rPr>
        <w:t>ocal de Granada, por el delito de lesiones personales culposas</w:t>
      </w:r>
      <w:r w:rsidR="006D10BF" w:rsidRPr="00DF4569">
        <w:rPr>
          <w:sz w:val="20"/>
          <w:szCs w:val="20"/>
          <w:lang w:val="es-AR"/>
        </w:rPr>
        <w:t xml:space="preserve">. Sostiene que pese a </w:t>
      </w:r>
      <w:r w:rsidR="00CB7BF4" w:rsidRPr="00DF4569">
        <w:rPr>
          <w:sz w:val="20"/>
          <w:szCs w:val="20"/>
          <w:lang w:val="es-AR"/>
        </w:rPr>
        <w:t xml:space="preserve">las diligencias adelantadas y </w:t>
      </w:r>
      <w:r w:rsidR="006D10BF" w:rsidRPr="00DF4569">
        <w:rPr>
          <w:sz w:val="20"/>
          <w:szCs w:val="20"/>
          <w:lang w:val="es-AR"/>
        </w:rPr>
        <w:t xml:space="preserve">a </w:t>
      </w:r>
      <w:r w:rsidR="00C82D2C" w:rsidRPr="00DF4569">
        <w:rPr>
          <w:sz w:val="20"/>
          <w:szCs w:val="20"/>
          <w:lang w:val="es-AR"/>
        </w:rPr>
        <w:t>las pruebas allegadas a</w:t>
      </w:r>
      <w:r w:rsidR="00586D3D" w:rsidRPr="00DF4569">
        <w:rPr>
          <w:sz w:val="20"/>
          <w:szCs w:val="20"/>
          <w:lang w:val="es-AR"/>
        </w:rPr>
        <w:t xml:space="preserve"> la </w:t>
      </w:r>
      <w:r w:rsidR="00C82D2C" w:rsidRPr="00DF4569">
        <w:rPr>
          <w:sz w:val="20"/>
          <w:szCs w:val="20"/>
          <w:lang w:val="es-AR"/>
        </w:rPr>
        <w:t xml:space="preserve">investigación, la Fiscalía profirió </w:t>
      </w:r>
      <w:r w:rsidR="006D10BF" w:rsidRPr="00DF4569">
        <w:rPr>
          <w:sz w:val="20"/>
          <w:szCs w:val="20"/>
          <w:lang w:val="es-AR"/>
        </w:rPr>
        <w:t xml:space="preserve">una </w:t>
      </w:r>
      <w:r w:rsidR="00C82D2C" w:rsidRPr="00DF4569">
        <w:rPr>
          <w:sz w:val="20"/>
          <w:szCs w:val="20"/>
          <w:lang w:val="es-AR"/>
        </w:rPr>
        <w:t>resolución inhibitoria</w:t>
      </w:r>
      <w:r w:rsidR="00E60F42" w:rsidRPr="00DF4569">
        <w:rPr>
          <w:sz w:val="20"/>
          <w:szCs w:val="20"/>
          <w:lang w:val="es-AR"/>
        </w:rPr>
        <w:t xml:space="preserve"> por atipicidad de los hechos el </w:t>
      </w:r>
      <w:r w:rsidR="00C82D2C" w:rsidRPr="00DF4569">
        <w:rPr>
          <w:sz w:val="20"/>
          <w:szCs w:val="20"/>
          <w:lang w:val="es-AR"/>
        </w:rPr>
        <w:t xml:space="preserve">8 de agosto de 2000. </w:t>
      </w:r>
    </w:p>
    <w:p w14:paraId="3A5C37F6" w14:textId="77777777" w:rsidR="006D10BF" w:rsidRPr="00145BD6" w:rsidRDefault="006D10BF" w:rsidP="00145BD6">
      <w:pPr>
        <w:pStyle w:val="ListParagraph"/>
        <w:rPr>
          <w:sz w:val="20"/>
          <w:szCs w:val="20"/>
          <w:lang w:val="es-AR"/>
        </w:rPr>
      </w:pPr>
    </w:p>
    <w:p w14:paraId="642E0E36" w14:textId="53211AB1" w:rsidR="00C62060" w:rsidRPr="00145BD6" w:rsidRDefault="006D10BF" w:rsidP="00145BD6">
      <w:pPr>
        <w:pStyle w:val="ListParagraph"/>
        <w:numPr>
          <w:ilvl w:val="0"/>
          <w:numId w:val="55"/>
        </w:numPr>
        <w:jc w:val="both"/>
        <w:rPr>
          <w:sz w:val="20"/>
          <w:szCs w:val="20"/>
          <w:lang w:val="es-AR"/>
        </w:rPr>
      </w:pPr>
      <w:r w:rsidRPr="00E01DCB">
        <w:rPr>
          <w:sz w:val="20"/>
          <w:szCs w:val="20"/>
          <w:lang w:val="es-AR"/>
        </w:rPr>
        <w:t xml:space="preserve">Adicionalmente, manifiesta que </w:t>
      </w:r>
      <w:r w:rsidRPr="00E01DCB">
        <w:rPr>
          <w:color w:val="auto"/>
          <w:sz w:val="20"/>
          <w:szCs w:val="20"/>
          <w:lang w:val="es-AR"/>
        </w:rPr>
        <w:t>el 9 de junio de 2000</w:t>
      </w:r>
      <w:r w:rsidR="00AF13ED" w:rsidRPr="00E01DCB">
        <w:rPr>
          <w:color w:val="auto"/>
          <w:sz w:val="20"/>
          <w:szCs w:val="20"/>
          <w:lang w:val="es-AR"/>
        </w:rPr>
        <w:t xml:space="preserve"> los familiares de las presuntas víctimas presentaron </w:t>
      </w:r>
      <w:r w:rsidR="00AF13ED" w:rsidRPr="00E01DCB">
        <w:rPr>
          <w:sz w:val="20"/>
          <w:szCs w:val="20"/>
          <w:lang w:val="es-AR"/>
        </w:rPr>
        <w:t>una</w:t>
      </w:r>
      <w:r w:rsidR="00254758" w:rsidRPr="00E01DCB">
        <w:rPr>
          <w:sz w:val="20"/>
          <w:szCs w:val="20"/>
          <w:lang w:val="es-AR"/>
        </w:rPr>
        <w:t xml:space="preserve"> demanda de </w:t>
      </w:r>
      <w:r w:rsidR="00254758" w:rsidRPr="00E01DCB">
        <w:rPr>
          <w:color w:val="auto"/>
          <w:sz w:val="20"/>
          <w:szCs w:val="20"/>
          <w:lang w:val="es-AR"/>
        </w:rPr>
        <w:t>reparación directa</w:t>
      </w:r>
      <w:r w:rsidR="00AF13ED" w:rsidRPr="00E01DCB">
        <w:rPr>
          <w:color w:val="auto"/>
          <w:sz w:val="20"/>
          <w:szCs w:val="20"/>
          <w:lang w:val="es-AR"/>
        </w:rPr>
        <w:t xml:space="preserve">, que fue rechazada </w:t>
      </w:r>
      <w:r w:rsidR="00075476" w:rsidRPr="00E01DCB">
        <w:rPr>
          <w:sz w:val="20"/>
          <w:szCs w:val="20"/>
          <w:lang w:val="es-AR"/>
        </w:rPr>
        <w:t xml:space="preserve">el 9 de junio de 2005 </w:t>
      </w:r>
      <w:r w:rsidR="00AF13ED" w:rsidRPr="00E01DCB">
        <w:rPr>
          <w:sz w:val="20"/>
          <w:szCs w:val="20"/>
          <w:lang w:val="es-AR"/>
        </w:rPr>
        <w:t xml:space="preserve">por </w:t>
      </w:r>
      <w:r w:rsidR="00254758" w:rsidRPr="00E01DCB">
        <w:rPr>
          <w:sz w:val="20"/>
          <w:szCs w:val="20"/>
          <w:lang w:val="es-AR"/>
        </w:rPr>
        <w:t xml:space="preserve">el </w:t>
      </w:r>
      <w:r w:rsidR="00254758" w:rsidRPr="00E01DCB">
        <w:rPr>
          <w:color w:val="auto"/>
          <w:sz w:val="20"/>
          <w:szCs w:val="20"/>
          <w:lang w:val="es-AR"/>
        </w:rPr>
        <w:t>Tribunal Administrativo del Meta</w:t>
      </w:r>
      <w:r w:rsidR="00AF13ED" w:rsidRPr="00E01DCB">
        <w:rPr>
          <w:color w:val="auto"/>
          <w:sz w:val="20"/>
          <w:szCs w:val="20"/>
          <w:lang w:val="es-AR"/>
        </w:rPr>
        <w:t xml:space="preserve">, </w:t>
      </w:r>
      <w:r w:rsidR="00254758" w:rsidRPr="00E01DCB">
        <w:rPr>
          <w:sz w:val="20"/>
          <w:szCs w:val="20"/>
          <w:lang w:val="es-AR"/>
        </w:rPr>
        <w:t xml:space="preserve">por considerar que no se probó que el arma causante del perjuicio pertenecía al Ejército Nacional. </w:t>
      </w:r>
      <w:r w:rsidR="00AF13ED" w:rsidRPr="00E01DCB">
        <w:rPr>
          <w:sz w:val="20"/>
          <w:szCs w:val="20"/>
          <w:lang w:val="es-AR"/>
        </w:rPr>
        <w:t>Indica que frente a tal situación interpusieron un</w:t>
      </w:r>
      <w:r w:rsidR="00254758" w:rsidRPr="00E01DCB">
        <w:rPr>
          <w:sz w:val="20"/>
          <w:szCs w:val="20"/>
          <w:lang w:val="es-AR"/>
        </w:rPr>
        <w:t xml:space="preserve"> recurso de</w:t>
      </w:r>
      <w:r w:rsidR="00254758" w:rsidRPr="00E01DCB">
        <w:rPr>
          <w:color w:val="FF0000"/>
          <w:sz w:val="20"/>
          <w:szCs w:val="20"/>
          <w:lang w:val="es-AR"/>
        </w:rPr>
        <w:t xml:space="preserve"> </w:t>
      </w:r>
      <w:r w:rsidR="00254758" w:rsidRPr="00E01DCB">
        <w:rPr>
          <w:color w:val="auto"/>
          <w:sz w:val="20"/>
          <w:szCs w:val="20"/>
          <w:lang w:val="es-AR"/>
        </w:rPr>
        <w:t>apelación</w:t>
      </w:r>
      <w:r w:rsidR="00586D3D" w:rsidRPr="00E01DCB">
        <w:rPr>
          <w:color w:val="auto"/>
          <w:sz w:val="20"/>
          <w:szCs w:val="20"/>
          <w:lang w:val="es-AR"/>
        </w:rPr>
        <w:t xml:space="preserve"> </w:t>
      </w:r>
      <w:r w:rsidR="00075476" w:rsidRPr="00E01DCB">
        <w:rPr>
          <w:color w:val="auto"/>
          <w:sz w:val="20"/>
          <w:szCs w:val="20"/>
          <w:lang w:val="es-AR"/>
        </w:rPr>
        <w:t>ante la Sección Tercera de la Sala Contencioso Administrativa del Consejo de Estado</w:t>
      </w:r>
      <w:r w:rsidR="00ED7338" w:rsidRPr="00E01DCB">
        <w:rPr>
          <w:color w:val="auto"/>
          <w:sz w:val="20"/>
          <w:szCs w:val="20"/>
          <w:lang w:val="es-AR"/>
        </w:rPr>
        <w:t>, tribunal que el 12 de diciembre de 2014</w:t>
      </w:r>
      <w:r w:rsidR="00075476" w:rsidRPr="00E01DCB">
        <w:rPr>
          <w:color w:val="auto"/>
          <w:sz w:val="20"/>
          <w:szCs w:val="20"/>
          <w:lang w:val="es-AR"/>
        </w:rPr>
        <w:t xml:space="preserve"> revo</w:t>
      </w:r>
      <w:r w:rsidR="00ED7338" w:rsidRPr="00E01DCB">
        <w:rPr>
          <w:color w:val="auto"/>
          <w:sz w:val="20"/>
          <w:szCs w:val="20"/>
          <w:lang w:val="es-AR"/>
        </w:rPr>
        <w:t>có</w:t>
      </w:r>
      <w:r w:rsidR="00075476" w:rsidRPr="00E01DCB">
        <w:rPr>
          <w:color w:val="auto"/>
          <w:sz w:val="20"/>
          <w:szCs w:val="20"/>
          <w:lang w:val="es-AR"/>
        </w:rPr>
        <w:t xml:space="preserve"> el fallo impugnado, </w:t>
      </w:r>
      <w:r w:rsidR="00586D3D" w:rsidRPr="00E01DCB">
        <w:rPr>
          <w:sz w:val="20"/>
          <w:szCs w:val="20"/>
          <w:lang w:val="es-AR"/>
        </w:rPr>
        <w:t xml:space="preserve"> declar</w:t>
      </w:r>
      <w:r w:rsidR="00ED7338" w:rsidRPr="00E01DCB">
        <w:rPr>
          <w:sz w:val="20"/>
          <w:szCs w:val="20"/>
          <w:lang w:val="es-AR"/>
        </w:rPr>
        <w:t>ando</w:t>
      </w:r>
      <w:r w:rsidR="00586D3D" w:rsidRPr="00E01DCB">
        <w:rPr>
          <w:sz w:val="20"/>
          <w:szCs w:val="20"/>
          <w:lang w:val="es-AR"/>
        </w:rPr>
        <w:t xml:space="preserve"> administrativamente responsable a</w:t>
      </w:r>
      <w:r w:rsidR="00075476" w:rsidRPr="00E01DCB">
        <w:rPr>
          <w:sz w:val="20"/>
          <w:szCs w:val="20"/>
          <w:lang w:val="es-AR"/>
        </w:rPr>
        <w:t>l</w:t>
      </w:r>
      <w:r w:rsidR="00586D3D" w:rsidRPr="00E01DCB">
        <w:rPr>
          <w:sz w:val="20"/>
          <w:szCs w:val="20"/>
          <w:lang w:val="es-AR"/>
        </w:rPr>
        <w:t xml:space="preserve"> Ministerio de Defensa</w:t>
      </w:r>
      <w:r w:rsidR="00075476" w:rsidRPr="00E01DCB">
        <w:rPr>
          <w:sz w:val="20"/>
          <w:szCs w:val="20"/>
          <w:lang w:val="es-AR"/>
        </w:rPr>
        <w:t xml:space="preserve"> y al </w:t>
      </w:r>
      <w:r w:rsidR="00586D3D" w:rsidRPr="00E01DCB">
        <w:rPr>
          <w:sz w:val="20"/>
          <w:szCs w:val="20"/>
          <w:lang w:val="es-AR"/>
        </w:rPr>
        <w:t>Ej</w:t>
      </w:r>
      <w:r w:rsidR="0092649C" w:rsidRPr="00E01DCB">
        <w:rPr>
          <w:sz w:val="20"/>
          <w:szCs w:val="20"/>
          <w:lang w:val="es-AR"/>
        </w:rPr>
        <w:t xml:space="preserve">ército </w:t>
      </w:r>
      <w:r w:rsidR="0092649C" w:rsidRPr="00E01DCB">
        <w:rPr>
          <w:sz w:val="20"/>
          <w:szCs w:val="20"/>
          <w:lang w:val="es-AR"/>
        </w:rPr>
        <w:lastRenderedPageBreak/>
        <w:t>Nacional</w:t>
      </w:r>
      <w:r w:rsidR="00ED7338" w:rsidRPr="00E01DCB">
        <w:rPr>
          <w:sz w:val="20"/>
          <w:szCs w:val="20"/>
          <w:lang w:val="es-AR"/>
        </w:rPr>
        <w:t xml:space="preserve">, a la vez que </w:t>
      </w:r>
      <w:r w:rsidR="00DE37D3" w:rsidRPr="00E01DCB">
        <w:rPr>
          <w:sz w:val="20"/>
          <w:szCs w:val="20"/>
          <w:lang w:val="es-AR"/>
        </w:rPr>
        <w:t>orde</w:t>
      </w:r>
      <w:r w:rsidR="00ED7338" w:rsidRPr="00E01DCB">
        <w:rPr>
          <w:sz w:val="20"/>
          <w:szCs w:val="20"/>
          <w:lang w:val="es-AR"/>
        </w:rPr>
        <w:t>nó</w:t>
      </w:r>
      <w:r w:rsidR="001C5B12" w:rsidRPr="00E01DCB">
        <w:rPr>
          <w:sz w:val="20"/>
          <w:szCs w:val="20"/>
          <w:lang w:val="es-AR"/>
        </w:rPr>
        <w:t xml:space="preserve"> </w:t>
      </w:r>
      <w:r w:rsidR="0061363C" w:rsidRPr="00E01DCB">
        <w:rPr>
          <w:sz w:val="20"/>
          <w:szCs w:val="20"/>
          <w:lang w:val="es-AR"/>
        </w:rPr>
        <w:t xml:space="preserve">el pago de </w:t>
      </w:r>
      <w:r w:rsidR="003508FD" w:rsidRPr="00E01DCB">
        <w:rPr>
          <w:sz w:val="20"/>
          <w:szCs w:val="20"/>
          <w:lang w:val="es-AR"/>
        </w:rPr>
        <w:t xml:space="preserve">una </w:t>
      </w:r>
      <w:r w:rsidR="0061363C" w:rsidRPr="00E01DCB">
        <w:rPr>
          <w:sz w:val="20"/>
          <w:szCs w:val="20"/>
          <w:lang w:val="es-AR"/>
        </w:rPr>
        <w:t>indemnización de perjuicios morales,  daño a la salud y</w:t>
      </w:r>
      <w:r w:rsidR="002F45C4" w:rsidRPr="00E01DCB">
        <w:rPr>
          <w:sz w:val="20"/>
          <w:szCs w:val="20"/>
          <w:lang w:val="es-AR"/>
        </w:rPr>
        <w:t xml:space="preserve"> lucro cesante a las presentas víctimas.</w:t>
      </w:r>
      <w:r w:rsidR="00691F38" w:rsidRPr="004D1E42">
        <w:rPr>
          <w:sz w:val="20"/>
          <w:szCs w:val="20"/>
          <w:lang w:val="es-AR"/>
        </w:rPr>
        <w:t xml:space="preserve"> </w:t>
      </w:r>
      <w:r w:rsidR="00691F38" w:rsidRPr="003602CC">
        <w:rPr>
          <w:sz w:val="20"/>
          <w:szCs w:val="20"/>
          <w:lang w:val="es-AR"/>
        </w:rPr>
        <w:t>El peticionario señala que las autoridades demandadas procedieron al pago del monto indemnizatorio en marzo de 2019.</w:t>
      </w:r>
      <w:r w:rsidR="002F45C4" w:rsidRPr="003602CC">
        <w:rPr>
          <w:sz w:val="20"/>
          <w:szCs w:val="20"/>
          <w:lang w:val="es-AR"/>
        </w:rPr>
        <w:t xml:space="preserve"> </w:t>
      </w:r>
      <w:r w:rsidR="00E161C1" w:rsidRPr="003602CC">
        <w:rPr>
          <w:sz w:val="20"/>
          <w:szCs w:val="20"/>
          <w:lang w:val="es-AR"/>
        </w:rPr>
        <w:t xml:space="preserve">No obstante lo anterior, el peticionario </w:t>
      </w:r>
      <w:r w:rsidR="00BC1A66" w:rsidRPr="003602CC">
        <w:rPr>
          <w:sz w:val="20"/>
          <w:szCs w:val="20"/>
          <w:lang w:val="es-AR"/>
        </w:rPr>
        <w:t>alega</w:t>
      </w:r>
      <w:r w:rsidR="00E161C1" w:rsidRPr="003602CC">
        <w:rPr>
          <w:sz w:val="20"/>
          <w:szCs w:val="20"/>
          <w:lang w:val="es-AR"/>
        </w:rPr>
        <w:t xml:space="preserve"> que </w:t>
      </w:r>
      <w:r w:rsidR="00BC1A66" w:rsidRPr="003602CC">
        <w:rPr>
          <w:sz w:val="20"/>
          <w:szCs w:val="20"/>
          <w:lang w:val="es-AR"/>
        </w:rPr>
        <w:t>la acción de reparación</w:t>
      </w:r>
      <w:r w:rsidR="00C62060" w:rsidRPr="003602CC">
        <w:rPr>
          <w:sz w:val="20"/>
          <w:szCs w:val="20"/>
          <w:lang w:val="es-AR"/>
        </w:rPr>
        <w:t>, n</w:t>
      </w:r>
      <w:r w:rsidR="00BC1A66" w:rsidRPr="003602CC">
        <w:rPr>
          <w:sz w:val="20"/>
          <w:szCs w:val="20"/>
          <w:lang w:val="es-AR"/>
        </w:rPr>
        <w:t>o</w:t>
      </w:r>
      <w:r w:rsidR="00C62060" w:rsidRPr="003602CC">
        <w:rPr>
          <w:sz w:val="20"/>
          <w:szCs w:val="20"/>
          <w:lang w:val="es-AR"/>
        </w:rPr>
        <w:t xml:space="preserve"> reconoce integralmente los perjuicios causados, p</w:t>
      </w:r>
      <w:r w:rsidR="00BC1A66" w:rsidRPr="003602CC">
        <w:rPr>
          <w:sz w:val="20"/>
          <w:szCs w:val="20"/>
          <w:lang w:val="es-AR"/>
        </w:rPr>
        <w:t>ues a través de ésta</w:t>
      </w:r>
      <w:r w:rsidR="00C62060" w:rsidRPr="003602CC">
        <w:rPr>
          <w:sz w:val="20"/>
          <w:szCs w:val="20"/>
          <w:lang w:val="es-AR"/>
        </w:rPr>
        <w:t>, no se ordena investigar la verdad de los hechos</w:t>
      </w:r>
      <w:r w:rsidR="00ED7338">
        <w:rPr>
          <w:sz w:val="20"/>
          <w:szCs w:val="20"/>
          <w:lang w:val="es-AR"/>
        </w:rPr>
        <w:t xml:space="preserve"> como parte de una reparación integral</w:t>
      </w:r>
      <w:r w:rsidR="00922C89" w:rsidRPr="003602CC">
        <w:rPr>
          <w:sz w:val="20"/>
          <w:szCs w:val="20"/>
          <w:lang w:val="es-AR"/>
        </w:rPr>
        <w:t xml:space="preserve">. Al respecto, argumenta </w:t>
      </w:r>
      <w:r w:rsidR="00ED479C" w:rsidRPr="003602CC">
        <w:rPr>
          <w:sz w:val="20"/>
          <w:szCs w:val="20"/>
          <w:lang w:val="es-AR"/>
        </w:rPr>
        <w:t>que</w:t>
      </w:r>
      <w:r w:rsidR="00145BD6" w:rsidRPr="003602CC">
        <w:rPr>
          <w:sz w:val="20"/>
          <w:szCs w:val="20"/>
          <w:lang w:val="es-AR"/>
        </w:rPr>
        <w:t xml:space="preserve"> </w:t>
      </w:r>
      <w:r w:rsidR="00A7740B" w:rsidRPr="003602CC">
        <w:rPr>
          <w:sz w:val="20"/>
          <w:szCs w:val="20"/>
          <w:lang w:val="es-AR"/>
        </w:rPr>
        <w:t xml:space="preserve">la Fiscalía </w:t>
      </w:r>
      <w:r w:rsidR="00333826" w:rsidRPr="003602CC">
        <w:rPr>
          <w:sz w:val="20"/>
          <w:szCs w:val="20"/>
          <w:lang w:val="es-AR"/>
        </w:rPr>
        <w:t>incumplió sus obligaciones, pues la investigación previa limitó sus acciones</w:t>
      </w:r>
      <w:r w:rsidR="00333826">
        <w:rPr>
          <w:sz w:val="20"/>
          <w:szCs w:val="20"/>
          <w:lang w:val="es-AR"/>
        </w:rPr>
        <w:t xml:space="preserve"> a </w:t>
      </w:r>
      <w:r w:rsidR="00333826" w:rsidRPr="00A7740B">
        <w:rPr>
          <w:sz w:val="20"/>
          <w:szCs w:val="20"/>
          <w:lang w:val="es-AR"/>
        </w:rPr>
        <w:t>lesiones personales de los</w:t>
      </w:r>
      <w:r w:rsidR="00333826">
        <w:rPr>
          <w:sz w:val="20"/>
          <w:szCs w:val="20"/>
          <w:lang w:val="es-AR"/>
        </w:rPr>
        <w:t xml:space="preserve"> niños, evadiendo </w:t>
      </w:r>
      <w:r w:rsidR="00EA6C9F">
        <w:rPr>
          <w:sz w:val="20"/>
          <w:szCs w:val="20"/>
          <w:lang w:val="es-AR"/>
        </w:rPr>
        <w:t xml:space="preserve">analizar </w:t>
      </w:r>
      <w:r w:rsidR="00A7740B" w:rsidRPr="00A7740B">
        <w:rPr>
          <w:sz w:val="20"/>
          <w:szCs w:val="20"/>
          <w:lang w:val="es-AR"/>
        </w:rPr>
        <w:t>la procedencia</w:t>
      </w:r>
      <w:r w:rsidR="00EA6C9F">
        <w:rPr>
          <w:sz w:val="20"/>
          <w:szCs w:val="20"/>
          <w:lang w:val="es-AR"/>
        </w:rPr>
        <w:t xml:space="preserve"> y el </w:t>
      </w:r>
      <w:r w:rsidR="00A7740B" w:rsidRPr="00A7740B">
        <w:rPr>
          <w:sz w:val="20"/>
          <w:szCs w:val="20"/>
          <w:lang w:val="es-AR"/>
        </w:rPr>
        <w:t>des</w:t>
      </w:r>
      <w:r w:rsidR="00EA6C9F">
        <w:rPr>
          <w:sz w:val="20"/>
          <w:szCs w:val="20"/>
          <w:lang w:val="es-AR"/>
        </w:rPr>
        <w:t>t</w:t>
      </w:r>
      <w:r w:rsidR="00A7740B" w:rsidRPr="00A7740B">
        <w:rPr>
          <w:sz w:val="20"/>
          <w:szCs w:val="20"/>
          <w:lang w:val="es-AR"/>
        </w:rPr>
        <w:t xml:space="preserve">ino </w:t>
      </w:r>
      <w:r w:rsidR="00EA6C9F">
        <w:rPr>
          <w:sz w:val="20"/>
          <w:szCs w:val="20"/>
          <w:lang w:val="es-AR"/>
        </w:rPr>
        <w:t xml:space="preserve">de las </w:t>
      </w:r>
      <w:r w:rsidR="00A7740B" w:rsidRPr="00A7740B">
        <w:rPr>
          <w:sz w:val="20"/>
          <w:szCs w:val="20"/>
          <w:lang w:val="es-AR"/>
        </w:rPr>
        <w:t xml:space="preserve">armas de uso privativo de las </w:t>
      </w:r>
      <w:r w:rsidR="00EA6C9F">
        <w:rPr>
          <w:sz w:val="20"/>
          <w:szCs w:val="20"/>
          <w:lang w:val="es-AR"/>
        </w:rPr>
        <w:t>f</w:t>
      </w:r>
      <w:r w:rsidR="00A7740B" w:rsidRPr="00A7740B">
        <w:rPr>
          <w:sz w:val="20"/>
          <w:szCs w:val="20"/>
          <w:lang w:val="es-AR"/>
        </w:rPr>
        <w:t xml:space="preserve">uerzas </w:t>
      </w:r>
      <w:r w:rsidR="00EA6C9F">
        <w:rPr>
          <w:sz w:val="20"/>
          <w:szCs w:val="20"/>
          <w:lang w:val="es-AR"/>
        </w:rPr>
        <w:t>m</w:t>
      </w:r>
      <w:r w:rsidR="00A7740B" w:rsidRPr="00A7740B">
        <w:rPr>
          <w:sz w:val="20"/>
          <w:szCs w:val="20"/>
          <w:lang w:val="es-AR"/>
        </w:rPr>
        <w:t>ilitares</w:t>
      </w:r>
      <w:r w:rsidR="00A7740B" w:rsidRPr="00A7740B">
        <w:rPr>
          <w:color w:val="auto"/>
          <w:sz w:val="20"/>
          <w:szCs w:val="20"/>
          <w:lang w:val="es-AR"/>
        </w:rPr>
        <w:t>.</w:t>
      </w:r>
    </w:p>
    <w:p w14:paraId="36D1FAA3" w14:textId="77777777" w:rsidR="00145BD6" w:rsidRPr="00A7740B" w:rsidRDefault="00145BD6" w:rsidP="00145BD6">
      <w:pPr>
        <w:pStyle w:val="ListParagraph"/>
        <w:jc w:val="both"/>
        <w:rPr>
          <w:sz w:val="20"/>
          <w:szCs w:val="20"/>
          <w:lang w:val="es-AR"/>
        </w:rPr>
      </w:pPr>
    </w:p>
    <w:p w14:paraId="50B6F45A" w14:textId="4BBF9C02" w:rsidR="00435436" w:rsidRDefault="002F45C4" w:rsidP="00821F3C">
      <w:pPr>
        <w:pStyle w:val="ListParagraph"/>
        <w:numPr>
          <w:ilvl w:val="0"/>
          <w:numId w:val="55"/>
        </w:numPr>
        <w:jc w:val="both"/>
        <w:rPr>
          <w:color w:val="auto"/>
          <w:sz w:val="20"/>
          <w:szCs w:val="20"/>
          <w:lang w:val="es-AR"/>
        </w:rPr>
      </w:pPr>
      <w:r w:rsidRPr="002F45C4">
        <w:rPr>
          <w:color w:val="auto"/>
          <w:sz w:val="20"/>
          <w:szCs w:val="20"/>
          <w:lang w:val="es-AR"/>
        </w:rPr>
        <w:t>El</w:t>
      </w:r>
      <w:r w:rsidR="00F66B09">
        <w:rPr>
          <w:color w:val="auto"/>
          <w:sz w:val="20"/>
          <w:szCs w:val="20"/>
          <w:lang w:val="es-AR"/>
        </w:rPr>
        <w:t xml:space="preserve"> Estado</w:t>
      </w:r>
      <w:r w:rsidR="00F6094B">
        <w:rPr>
          <w:color w:val="auto"/>
          <w:sz w:val="20"/>
          <w:szCs w:val="20"/>
          <w:lang w:val="es-AR"/>
        </w:rPr>
        <w:t>,</w:t>
      </w:r>
      <w:r w:rsidR="00F66B09">
        <w:rPr>
          <w:color w:val="auto"/>
          <w:sz w:val="20"/>
          <w:szCs w:val="20"/>
          <w:lang w:val="es-AR"/>
        </w:rPr>
        <w:t xml:space="preserve"> por su parte, sostiene que </w:t>
      </w:r>
      <w:r w:rsidR="00EA6C9F">
        <w:rPr>
          <w:color w:val="auto"/>
          <w:sz w:val="20"/>
          <w:szCs w:val="20"/>
          <w:lang w:val="es-AR"/>
        </w:rPr>
        <w:t xml:space="preserve">en el marco de la investigación </w:t>
      </w:r>
      <w:r w:rsidR="00F66B09">
        <w:rPr>
          <w:color w:val="auto"/>
          <w:sz w:val="20"/>
          <w:szCs w:val="20"/>
          <w:lang w:val="es-AR"/>
        </w:rPr>
        <w:t xml:space="preserve">penal, </w:t>
      </w:r>
      <w:r w:rsidR="006310AF">
        <w:rPr>
          <w:color w:val="auto"/>
          <w:sz w:val="20"/>
          <w:szCs w:val="20"/>
          <w:lang w:val="es-AR"/>
        </w:rPr>
        <w:t>se</w:t>
      </w:r>
      <w:r w:rsidR="009C5F3E">
        <w:rPr>
          <w:color w:val="auto"/>
          <w:sz w:val="20"/>
          <w:szCs w:val="20"/>
          <w:lang w:val="es-AR"/>
        </w:rPr>
        <w:t xml:space="preserve"> practicaron exámenes médicos legales, </w:t>
      </w:r>
      <w:r w:rsidR="006310AF">
        <w:rPr>
          <w:color w:val="auto"/>
          <w:sz w:val="20"/>
          <w:szCs w:val="20"/>
          <w:lang w:val="es-AR"/>
        </w:rPr>
        <w:t xml:space="preserve">se tomaron </w:t>
      </w:r>
      <w:r w:rsidR="009C5F3E">
        <w:rPr>
          <w:color w:val="auto"/>
          <w:sz w:val="20"/>
          <w:szCs w:val="20"/>
          <w:lang w:val="es-AR"/>
        </w:rPr>
        <w:t xml:space="preserve">declaraciones, </w:t>
      </w:r>
      <w:r w:rsidR="006310AF">
        <w:rPr>
          <w:color w:val="auto"/>
          <w:sz w:val="20"/>
          <w:szCs w:val="20"/>
          <w:lang w:val="es-AR"/>
        </w:rPr>
        <w:t xml:space="preserve">se recibieron </w:t>
      </w:r>
      <w:r w:rsidR="009C5F3E">
        <w:rPr>
          <w:color w:val="auto"/>
          <w:sz w:val="20"/>
          <w:szCs w:val="20"/>
          <w:lang w:val="es-AR"/>
        </w:rPr>
        <w:t xml:space="preserve">informes del CTI sobre el lugar de los hechos, </w:t>
      </w:r>
      <w:r w:rsidR="006310AF">
        <w:rPr>
          <w:color w:val="auto"/>
          <w:sz w:val="20"/>
          <w:szCs w:val="20"/>
          <w:lang w:val="es-AR"/>
        </w:rPr>
        <w:t xml:space="preserve">así como la </w:t>
      </w:r>
      <w:r w:rsidR="009C5F3E">
        <w:rPr>
          <w:color w:val="auto"/>
          <w:sz w:val="20"/>
          <w:szCs w:val="20"/>
          <w:lang w:val="es-AR"/>
        </w:rPr>
        <w:t>inspección judicial en las instalaciones del Batallón 21 Vargas</w:t>
      </w:r>
      <w:r w:rsidR="00ED479C">
        <w:rPr>
          <w:color w:val="auto"/>
          <w:sz w:val="20"/>
          <w:szCs w:val="20"/>
          <w:lang w:val="es-AR"/>
        </w:rPr>
        <w:t>. S</w:t>
      </w:r>
      <w:r w:rsidR="006310AF">
        <w:rPr>
          <w:color w:val="auto"/>
          <w:sz w:val="20"/>
          <w:szCs w:val="20"/>
          <w:lang w:val="es-AR"/>
        </w:rPr>
        <w:t>in embargo</w:t>
      </w:r>
      <w:r w:rsidR="00ED479C">
        <w:rPr>
          <w:color w:val="auto"/>
          <w:sz w:val="20"/>
          <w:szCs w:val="20"/>
          <w:lang w:val="es-AR"/>
        </w:rPr>
        <w:t>, alega que</w:t>
      </w:r>
      <w:r w:rsidR="006310AF">
        <w:rPr>
          <w:color w:val="auto"/>
          <w:sz w:val="20"/>
          <w:szCs w:val="20"/>
          <w:lang w:val="es-AR"/>
        </w:rPr>
        <w:t xml:space="preserve"> </w:t>
      </w:r>
      <w:r w:rsidR="00F5754E" w:rsidRPr="002F45C4">
        <w:rPr>
          <w:color w:val="auto"/>
          <w:sz w:val="20"/>
          <w:szCs w:val="20"/>
          <w:lang w:val="es-AR"/>
        </w:rPr>
        <w:t xml:space="preserve">no se logró recaudar elementos que permitieran individualizar a los presuntos responsables de las lesiones sufridas por los </w:t>
      </w:r>
      <w:r w:rsidR="00435436">
        <w:rPr>
          <w:color w:val="auto"/>
          <w:sz w:val="20"/>
          <w:szCs w:val="20"/>
          <w:lang w:val="es-AR"/>
        </w:rPr>
        <w:t>niños</w:t>
      </w:r>
      <w:r w:rsidR="00F5754E" w:rsidRPr="002F45C4">
        <w:rPr>
          <w:color w:val="auto"/>
          <w:sz w:val="20"/>
          <w:szCs w:val="20"/>
          <w:lang w:val="es-AR"/>
        </w:rPr>
        <w:t>.</w:t>
      </w:r>
      <w:r w:rsidR="009E6B50">
        <w:rPr>
          <w:color w:val="auto"/>
          <w:sz w:val="20"/>
          <w:szCs w:val="20"/>
          <w:lang w:val="es-AR"/>
        </w:rPr>
        <w:t xml:space="preserve"> Aunado a lo an</w:t>
      </w:r>
      <w:r w:rsidR="00ED7338">
        <w:rPr>
          <w:color w:val="auto"/>
          <w:sz w:val="20"/>
          <w:szCs w:val="20"/>
          <w:lang w:val="es-AR"/>
        </w:rPr>
        <w:t xml:space="preserve">terior, </w:t>
      </w:r>
      <w:r w:rsidR="00ED479C">
        <w:rPr>
          <w:color w:val="auto"/>
          <w:sz w:val="20"/>
          <w:szCs w:val="20"/>
          <w:lang w:val="es-AR"/>
        </w:rPr>
        <w:t xml:space="preserve">manifiesta </w:t>
      </w:r>
      <w:r w:rsidR="00E12FD1">
        <w:rPr>
          <w:color w:val="auto"/>
          <w:sz w:val="20"/>
          <w:szCs w:val="20"/>
          <w:lang w:val="es-AR"/>
        </w:rPr>
        <w:t xml:space="preserve">que </w:t>
      </w:r>
      <w:r w:rsidR="00BA1C30">
        <w:rPr>
          <w:color w:val="auto"/>
          <w:sz w:val="20"/>
          <w:szCs w:val="20"/>
          <w:lang w:val="es-AR"/>
        </w:rPr>
        <w:t xml:space="preserve">la </w:t>
      </w:r>
      <w:r w:rsidR="006310AF">
        <w:rPr>
          <w:color w:val="auto"/>
          <w:sz w:val="20"/>
          <w:szCs w:val="20"/>
          <w:lang w:val="es-AR"/>
        </w:rPr>
        <w:t xml:space="preserve">acción </w:t>
      </w:r>
      <w:r w:rsidR="00BA1C30">
        <w:rPr>
          <w:color w:val="auto"/>
          <w:sz w:val="20"/>
          <w:szCs w:val="20"/>
          <w:lang w:val="es-AR"/>
        </w:rPr>
        <w:t>penal se encuentra prescrita</w:t>
      </w:r>
      <w:r w:rsidR="004941BA">
        <w:rPr>
          <w:color w:val="auto"/>
          <w:sz w:val="20"/>
          <w:szCs w:val="20"/>
          <w:lang w:val="es-AR"/>
        </w:rPr>
        <w:t xml:space="preserve">, y que </w:t>
      </w:r>
      <w:r w:rsidR="00CB2822">
        <w:rPr>
          <w:color w:val="auto"/>
          <w:sz w:val="20"/>
          <w:szCs w:val="20"/>
          <w:lang w:val="es-AR"/>
        </w:rPr>
        <w:t xml:space="preserve">los peticionarios </w:t>
      </w:r>
      <w:r w:rsidR="00E12FD1">
        <w:rPr>
          <w:color w:val="auto"/>
          <w:sz w:val="20"/>
          <w:szCs w:val="20"/>
          <w:lang w:val="es-AR"/>
        </w:rPr>
        <w:t>no interpusieron el</w:t>
      </w:r>
      <w:r w:rsidR="00CB2822">
        <w:rPr>
          <w:color w:val="auto"/>
          <w:sz w:val="20"/>
          <w:szCs w:val="20"/>
          <w:lang w:val="es-AR"/>
        </w:rPr>
        <w:t xml:space="preserve"> recurso de apelación contra la </w:t>
      </w:r>
      <w:r w:rsidR="00CB2822">
        <w:rPr>
          <w:sz w:val="20"/>
          <w:szCs w:val="20"/>
          <w:lang w:val="es-AR"/>
        </w:rPr>
        <w:t>resolución inhibitoria.</w:t>
      </w:r>
      <w:r w:rsidR="00BA1C30">
        <w:rPr>
          <w:color w:val="auto"/>
          <w:sz w:val="20"/>
          <w:szCs w:val="20"/>
          <w:lang w:val="es-AR"/>
        </w:rPr>
        <w:t xml:space="preserve"> </w:t>
      </w:r>
    </w:p>
    <w:p w14:paraId="3089008E" w14:textId="77777777" w:rsidR="00145BD6" w:rsidRDefault="00145BD6" w:rsidP="00145BD6">
      <w:pPr>
        <w:pStyle w:val="ListParagraph"/>
        <w:jc w:val="both"/>
        <w:rPr>
          <w:color w:val="auto"/>
          <w:sz w:val="20"/>
          <w:szCs w:val="20"/>
          <w:lang w:val="es-AR"/>
        </w:rPr>
      </w:pPr>
    </w:p>
    <w:p w14:paraId="23FE6C08" w14:textId="13B187EC" w:rsidR="00344F9F" w:rsidRPr="002F45C4" w:rsidRDefault="00E12FD1" w:rsidP="00821F3C">
      <w:pPr>
        <w:pStyle w:val="ListParagraph"/>
        <w:numPr>
          <w:ilvl w:val="0"/>
          <w:numId w:val="55"/>
        </w:numPr>
        <w:jc w:val="both"/>
        <w:rPr>
          <w:color w:val="auto"/>
          <w:sz w:val="20"/>
          <w:szCs w:val="20"/>
          <w:lang w:val="es-AR"/>
        </w:rPr>
      </w:pPr>
      <w:r>
        <w:rPr>
          <w:color w:val="auto"/>
          <w:sz w:val="20"/>
          <w:szCs w:val="20"/>
          <w:lang w:val="es-AR"/>
        </w:rPr>
        <w:t>Indica que e</w:t>
      </w:r>
      <w:r w:rsidR="00F66B09">
        <w:rPr>
          <w:color w:val="auto"/>
          <w:sz w:val="20"/>
          <w:szCs w:val="20"/>
          <w:lang w:val="es-AR"/>
        </w:rPr>
        <w:t xml:space="preserve">n atención a la demanda de reparación directa </w:t>
      </w:r>
      <w:r w:rsidR="00435436">
        <w:rPr>
          <w:color w:val="auto"/>
          <w:sz w:val="20"/>
          <w:szCs w:val="20"/>
          <w:lang w:val="es-AR"/>
        </w:rPr>
        <w:t xml:space="preserve">que </w:t>
      </w:r>
      <w:r w:rsidR="00F66B09">
        <w:rPr>
          <w:color w:val="auto"/>
          <w:sz w:val="20"/>
          <w:szCs w:val="20"/>
          <w:lang w:val="es-AR"/>
        </w:rPr>
        <w:t xml:space="preserve">declaró la responsabilidad de la Nación </w:t>
      </w:r>
      <w:r w:rsidR="00416692">
        <w:rPr>
          <w:color w:val="auto"/>
          <w:sz w:val="20"/>
          <w:szCs w:val="20"/>
          <w:lang w:val="es-AR"/>
        </w:rPr>
        <w:t xml:space="preserve">el </w:t>
      </w:r>
      <w:r w:rsidR="00435436">
        <w:rPr>
          <w:color w:val="auto"/>
          <w:sz w:val="20"/>
          <w:szCs w:val="20"/>
          <w:lang w:val="es-AR"/>
        </w:rPr>
        <w:t>M</w:t>
      </w:r>
      <w:r w:rsidR="00416692">
        <w:rPr>
          <w:color w:val="auto"/>
          <w:sz w:val="20"/>
          <w:szCs w:val="20"/>
          <w:lang w:val="es-AR"/>
        </w:rPr>
        <w:t>inisterio de Defensa Nacional</w:t>
      </w:r>
      <w:r w:rsidR="000C4FA9">
        <w:rPr>
          <w:color w:val="auto"/>
          <w:sz w:val="20"/>
          <w:szCs w:val="20"/>
          <w:lang w:val="es-AR"/>
        </w:rPr>
        <w:t xml:space="preserve">, la sentencia del Consejo de Estado </w:t>
      </w:r>
      <w:r w:rsidR="00416692">
        <w:rPr>
          <w:color w:val="auto"/>
          <w:sz w:val="20"/>
          <w:szCs w:val="20"/>
          <w:lang w:val="es-AR"/>
        </w:rPr>
        <w:t xml:space="preserve">ordenó el pago de los </w:t>
      </w:r>
      <w:r w:rsidR="000C4FA9">
        <w:rPr>
          <w:color w:val="auto"/>
          <w:sz w:val="20"/>
          <w:szCs w:val="20"/>
          <w:lang w:val="es-AR"/>
        </w:rPr>
        <w:t>perjuicios morales y materiales</w:t>
      </w:r>
      <w:r w:rsidR="00435436">
        <w:rPr>
          <w:color w:val="auto"/>
          <w:sz w:val="20"/>
          <w:szCs w:val="20"/>
          <w:lang w:val="es-AR"/>
        </w:rPr>
        <w:t xml:space="preserve">.  Por ello, </w:t>
      </w:r>
      <w:r w:rsidR="00E41A79">
        <w:rPr>
          <w:color w:val="auto"/>
          <w:sz w:val="20"/>
          <w:szCs w:val="20"/>
          <w:lang w:val="es-AR"/>
        </w:rPr>
        <w:t xml:space="preserve">afirma que </w:t>
      </w:r>
      <w:r w:rsidR="00435436">
        <w:rPr>
          <w:color w:val="auto"/>
          <w:sz w:val="20"/>
          <w:szCs w:val="20"/>
          <w:lang w:val="es-AR"/>
        </w:rPr>
        <w:t>las</w:t>
      </w:r>
      <w:r w:rsidR="00E41A79">
        <w:rPr>
          <w:color w:val="auto"/>
          <w:sz w:val="20"/>
          <w:szCs w:val="20"/>
          <w:lang w:val="es-AR"/>
        </w:rPr>
        <w:t xml:space="preserve"> decisiones</w:t>
      </w:r>
      <w:r w:rsidR="00435436">
        <w:rPr>
          <w:color w:val="auto"/>
          <w:sz w:val="20"/>
          <w:szCs w:val="20"/>
          <w:lang w:val="es-AR"/>
        </w:rPr>
        <w:t xml:space="preserve"> judiciales</w:t>
      </w:r>
      <w:r w:rsidR="00E41A79">
        <w:rPr>
          <w:color w:val="auto"/>
          <w:sz w:val="20"/>
          <w:szCs w:val="20"/>
          <w:lang w:val="es-AR"/>
        </w:rPr>
        <w:t xml:space="preserve"> internas han dado respuesta adecuada y efectiva a los diferentes requerimientos del peticionario</w:t>
      </w:r>
      <w:r w:rsidR="00D539FF">
        <w:rPr>
          <w:color w:val="auto"/>
          <w:sz w:val="20"/>
          <w:szCs w:val="20"/>
          <w:lang w:val="es-AR"/>
        </w:rPr>
        <w:t xml:space="preserve">, por lo que de conocer del presente caso, la CIDH devendría en un tribunal de alzada, actividad que está fuera del ámbito de competencia de dicho órgano. </w:t>
      </w:r>
      <w:r w:rsidR="00BA1C30">
        <w:rPr>
          <w:color w:val="auto"/>
          <w:sz w:val="20"/>
          <w:szCs w:val="20"/>
          <w:lang w:val="es-AR"/>
        </w:rPr>
        <w:t xml:space="preserve"> </w:t>
      </w:r>
    </w:p>
    <w:p w14:paraId="6F4D4171" w14:textId="0DFB828A" w:rsidR="003239B8" w:rsidRPr="00354070" w:rsidRDefault="003239B8" w:rsidP="003239B8">
      <w:pPr>
        <w:spacing w:before="240" w:after="240"/>
        <w:ind w:firstLine="720"/>
        <w:jc w:val="both"/>
        <w:rPr>
          <w:rFonts w:ascii="Cambria" w:hAnsi="Cambria"/>
          <w:sz w:val="20"/>
          <w:szCs w:val="20"/>
          <w:lang w:val="es-UY"/>
        </w:rPr>
      </w:pPr>
      <w:r w:rsidRPr="003239B8">
        <w:rPr>
          <w:rFonts w:asciiTheme="majorHAnsi" w:eastAsia="Cambria" w:hAnsiTheme="majorHAnsi" w:cs="Cambria"/>
          <w:b/>
          <w:bCs/>
          <w:color w:val="000000"/>
          <w:sz w:val="20"/>
          <w:szCs w:val="20"/>
          <w:u w:color="000000"/>
          <w:lang w:val="es-ES" w:eastAsia="es-ES"/>
        </w:rPr>
        <w:t>VI.</w:t>
      </w:r>
      <w:r w:rsidRPr="003239B8">
        <w:rPr>
          <w:rFonts w:asciiTheme="majorHAnsi" w:eastAsia="Cambria" w:hAnsiTheme="majorHAnsi" w:cs="Cambria"/>
          <w:b/>
          <w:bCs/>
          <w:color w:val="000000"/>
          <w:sz w:val="20"/>
          <w:szCs w:val="20"/>
          <w:u w:color="000000"/>
          <w:lang w:val="es-ES" w:eastAsia="es-ES"/>
        </w:rPr>
        <w:tab/>
      </w:r>
      <w:r w:rsidR="004A6A54" w:rsidRPr="00151C27">
        <w:rPr>
          <w:rFonts w:asciiTheme="majorHAnsi" w:hAnsiTheme="majorHAnsi"/>
          <w:b/>
          <w:bCs/>
          <w:sz w:val="20"/>
          <w:szCs w:val="20"/>
          <w:lang w:val="es-ES_tradnl"/>
        </w:rPr>
        <w:t xml:space="preserve">ANÁLISIS DE </w:t>
      </w:r>
      <w:r w:rsidR="00C21FEF" w:rsidRPr="00332747">
        <w:rPr>
          <w:rFonts w:asciiTheme="majorHAnsi" w:hAnsiTheme="majorHAnsi"/>
          <w:b/>
          <w:sz w:val="20"/>
          <w:szCs w:val="20"/>
          <w:lang w:val="es-ES"/>
        </w:rPr>
        <w:t>AGOTAMIENTO DE LOS RECURSOS INTERNOS</w:t>
      </w:r>
      <w:r w:rsidR="00C21FEF">
        <w:rPr>
          <w:rFonts w:asciiTheme="majorHAnsi" w:hAnsiTheme="majorHAnsi"/>
          <w:b/>
          <w:sz w:val="20"/>
          <w:szCs w:val="20"/>
          <w:lang w:val="es-ES"/>
        </w:rPr>
        <w:t xml:space="preserve"> Y PLAZO DE PRESENTACIÓN</w:t>
      </w:r>
      <w:r w:rsidR="00C21FEF" w:rsidRPr="003239B8">
        <w:rPr>
          <w:rFonts w:asciiTheme="majorHAnsi" w:eastAsia="Cambria" w:hAnsiTheme="majorHAnsi" w:cs="Cambria"/>
          <w:b/>
          <w:bCs/>
          <w:color w:val="000000"/>
          <w:sz w:val="20"/>
          <w:szCs w:val="20"/>
          <w:u w:color="000000"/>
          <w:lang w:val="es-ES" w:eastAsia="es-ES"/>
        </w:rPr>
        <w:t xml:space="preserve"> </w:t>
      </w:r>
    </w:p>
    <w:p w14:paraId="085DF044" w14:textId="38B074A5" w:rsidR="00F81231" w:rsidRDefault="00D902AF" w:rsidP="00821F3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AR"/>
        </w:rPr>
        <w:t>El</w:t>
      </w:r>
      <w:r w:rsidR="00686971" w:rsidRPr="001A3EE3">
        <w:rPr>
          <w:rFonts w:ascii="Cambria" w:hAnsi="Cambria"/>
          <w:sz w:val="20"/>
          <w:szCs w:val="20"/>
          <w:lang w:val="es-AR"/>
        </w:rPr>
        <w:t xml:space="preserve"> peticionario</w:t>
      </w:r>
      <w:r>
        <w:rPr>
          <w:rFonts w:ascii="Cambria" w:hAnsi="Cambria"/>
          <w:sz w:val="20"/>
          <w:szCs w:val="20"/>
          <w:lang w:val="es-AR"/>
        </w:rPr>
        <w:t xml:space="preserve"> refiere</w:t>
      </w:r>
      <w:r w:rsidR="00686971" w:rsidRPr="001A3EE3">
        <w:rPr>
          <w:rFonts w:ascii="Cambria" w:hAnsi="Cambria"/>
          <w:sz w:val="20"/>
          <w:szCs w:val="20"/>
          <w:lang w:val="es-AR"/>
        </w:rPr>
        <w:t xml:space="preserve"> que existe </w:t>
      </w:r>
      <w:r w:rsidR="00C61171">
        <w:rPr>
          <w:rFonts w:ascii="Cambria" w:hAnsi="Cambria"/>
          <w:sz w:val="20"/>
          <w:szCs w:val="20"/>
          <w:lang w:val="es-AR"/>
        </w:rPr>
        <w:t xml:space="preserve">retardo injustificado </w:t>
      </w:r>
      <w:r w:rsidR="002D0D36">
        <w:rPr>
          <w:rFonts w:ascii="Cambria" w:hAnsi="Cambria"/>
          <w:sz w:val="20"/>
          <w:szCs w:val="20"/>
          <w:lang w:val="es-AR"/>
        </w:rPr>
        <w:t>en</w:t>
      </w:r>
      <w:r w:rsidR="00D1719A">
        <w:rPr>
          <w:rFonts w:ascii="Cambria" w:hAnsi="Cambria"/>
          <w:sz w:val="20"/>
          <w:szCs w:val="20"/>
          <w:lang w:val="es-AR"/>
        </w:rPr>
        <w:t xml:space="preserve"> la sanción de los responsables, pues </w:t>
      </w:r>
      <w:r w:rsidR="002D0D36" w:rsidRPr="001A3EE3">
        <w:rPr>
          <w:rFonts w:ascii="Cambria" w:hAnsi="Cambria"/>
          <w:sz w:val="20"/>
          <w:szCs w:val="20"/>
          <w:lang w:val="es-AR"/>
        </w:rPr>
        <w:t xml:space="preserve">la investigación penal, </w:t>
      </w:r>
      <w:r w:rsidR="002D0D36">
        <w:rPr>
          <w:rFonts w:ascii="Cambria" w:hAnsi="Cambria"/>
          <w:sz w:val="20"/>
          <w:szCs w:val="20"/>
          <w:lang w:val="es-AR"/>
        </w:rPr>
        <w:t>fue</w:t>
      </w:r>
      <w:r w:rsidR="002D0D36" w:rsidRPr="001A3EE3">
        <w:rPr>
          <w:rFonts w:ascii="Cambria" w:hAnsi="Cambria"/>
          <w:sz w:val="20"/>
          <w:szCs w:val="20"/>
          <w:lang w:val="es-AR"/>
        </w:rPr>
        <w:t xml:space="preserve"> inoperante y limitada </w:t>
      </w:r>
      <w:r w:rsidR="002D0D36">
        <w:rPr>
          <w:rFonts w:ascii="Cambria" w:hAnsi="Cambria"/>
          <w:sz w:val="20"/>
          <w:szCs w:val="20"/>
          <w:lang w:val="es-AR"/>
        </w:rPr>
        <w:t xml:space="preserve">para </w:t>
      </w:r>
      <w:r w:rsidR="002D0D36" w:rsidRPr="001A3EE3">
        <w:rPr>
          <w:rFonts w:ascii="Cambria" w:hAnsi="Cambria"/>
          <w:sz w:val="20"/>
          <w:szCs w:val="20"/>
          <w:lang w:val="es-AR"/>
        </w:rPr>
        <w:t>ll</w:t>
      </w:r>
      <w:r w:rsidR="002D0D36">
        <w:rPr>
          <w:rFonts w:ascii="Cambria" w:hAnsi="Cambria"/>
          <w:sz w:val="20"/>
          <w:szCs w:val="20"/>
          <w:lang w:val="es-AR"/>
        </w:rPr>
        <w:t>egar a la verdad de los hechos.</w:t>
      </w:r>
      <w:r w:rsidR="006261DF">
        <w:rPr>
          <w:rFonts w:ascii="Cambria" w:hAnsi="Cambria"/>
          <w:sz w:val="20"/>
          <w:szCs w:val="20"/>
          <w:lang w:val="es-AR"/>
        </w:rPr>
        <w:t xml:space="preserve"> Adicionalmente, expresan que </w:t>
      </w:r>
      <w:r w:rsidR="006261DF" w:rsidRPr="001A3EE3">
        <w:rPr>
          <w:rFonts w:ascii="Cambria" w:hAnsi="Cambria"/>
          <w:sz w:val="20"/>
          <w:szCs w:val="20"/>
          <w:lang w:val="es-AR"/>
        </w:rPr>
        <w:t xml:space="preserve">no se cumplió con el debido proceso, porque </w:t>
      </w:r>
      <w:r>
        <w:rPr>
          <w:rFonts w:ascii="Cambria" w:hAnsi="Cambria"/>
          <w:sz w:val="20"/>
          <w:szCs w:val="20"/>
          <w:lang w:val="es-AR"/>
        </w:rPr>
        <w:t xml:space="preserve">las presuntas víctimas </w:t>
      </w:r>
      <w:r w:rsidR="006261DF" w:rsidRPr="001A3EE3">
        <w:rPr>
          <w:rFonts w:ascii="Cambria" w:hAnsi="Cambria"/>
          <w:sz w:val="20"/>
          <w:szCs w:val="20"/>
          <w:lang w:val="es-AR"/>
        </w:rPr>
        <w:t>no eran parte de la investigación</w:t>
      </w:r>
      <w:r w:rsidR="006261DF">
        <w:rPr>
          <w:rFonts w:ascii="Cambria" w:hAnsi="Cambria"/>
          <w:sz w:val="20"/>
          <w:szCs w:val="20"/>
          <w:lang w:val="es-AR"/>
        </w:rPr>
        <w:t xml:space="preserve">. </w:t>
      </w:r>
      <w:r w:rsidR="00F81231">
        <w:rPr>
          <w:rFonts w:ascii="Cambria" w:hAnsi="Cambria"/>
          <w:sz w:val="20"/>
          <w:szCs w:val="20"/>
          <w:lang w:val="es-ES"/>
        </w:rPr>
        <w:t xml:space="preserve">El Estado, por su parte, sostiene que </w:t>
      </w:r>
      <w:r w:rsidR="00A01610">
        <w:rPr>
          <w:rFonts w:ascii="Cambria" w:hAnsi="Cambria"/>
          <w:sz w:val="20"/>
          <w:szCs w:val="20"/>
          <w:lang w:val="es-ES"/>
        </w:rPr>
        <w:t>las diligencias investigativas</w:t>
      </w:r>
      <w:r w:rsidR="00F81231">
        <w:rPr>
          <w:rFonts w:ascii="Cambria" w:hAnsi="Cambria"/>
          <w:sz w:val="20"/>
          <w:szCs w:val="20"/>
          <w:lang w:val="es-ES"/>
        </w:rPr>
        <w:t xml:space="preserve"> </w:t>
      </w:r>
      <w:r w:rsidR="00A01610">
        <w:rPr>
          <w:rFonts w:ascii="Cambria" w:hAnsi="Cambria"/>
          <w:sz w:val="20"/>
          <w:szCs w:val="20"/>
          <w:lang w:val="es-ES"/>
        </w:rPr>
        <w:t>se adelantaron</w:t>
      </w:r>
      <w:r w:rsidR="00F81231">
        <w:rPr>
          <w:rFonts w:ascii="Cambria" w:hAnsi="Cambria"/>
          <w:sz w:val="20"/>
          <w:szCs w:val="20"/>
          <w:lang w:val="es-ES"/>
        </w:rPr>
        <w:t xml:space="preserve"> con todas las garantías judiciales y que la Fiscalía prof</w:t>
      </w:r>
      <w:r w:rsidR="00A01610">
        <w:rPr>
          <w:rFonts w:ascii="Cambria" w:hAnsi="Cambria"/>
          <w:sz w:val="20"/>
          <w:szCs w:val="20"/>
          <w:lang w:val="es-ES"/>
        </w:rPr>
        <w:t>irió</w:t>
      </w:r>
      <w:r w:rsidR="00F81231">
        <w:rPr>
          <w:rFonts w:ascii="Cambria" w:hAnsi="Cambria"/>
          <w:sz w:val="20"/>
          <w:szCs w:val="20"/>
          <w:lang w:val="es-ES"/>
        </w:rPr>
        <w:t xml:space="preserve"> de manera motivada</w:t>
      </w:r>
      <w:r w:rsidR="00A01610">
        <w:rPr>
          <w:rFonts w:ascii="Cambria" w:hAnsi="Cambria"/>
          <w:sz w:val="20"/>
          <w:szCs w:val="20"/>
          <w:lang w:val="es-ES"/>
        </w:rPr>
        <w:t xml:space="preserve"> la </w:t>
      </w:r>
      <w:r w:rsidR="00F81231">
        <w:rPr>
          <w:rFonts w:ascii="Cambria" w:hAnsi="Cambria"/>
          <w:sz w:val="20"/>
          <w:szCs w:val="20"/>
          <w:lang w:val="es-ES"/>
        </w:rPr>
        <w:t>resolución inhibitoria</w:t>
      </w:r>
      <w:r w:rsidR="00A01610">
        <w:rPr>
          <w:rFonts w:ascii="Cambria" w:hAnsi="Cambria"/>
          <w:sz w:val="20"/>
          <w:szCs w:val="20"/>
          <w:lang w:val="es-ES"/>
        </w:rPr>
        <w:t>, que no fue impugnada por las presuntas víctimas a través del recurso de apelación</w:t>
      </w:r>
      <w:r w:rsidR="00F81231">
        <w:rPr>
          <w:rFonts w:ascii="Cambria" w:hAnsi="Cambria"/>
          <w:sz w:val="20"/>
          <w:szCs w:val="20"/>
          <w:lang w:val="es-ES"/>
        </w:rPr>
        <w:t>. Además</w:t>
      </w:r>
      <w:r w:rsidR="00477E79">
        <w:rPr>
          <w:rFonts w:ascii="Cambria" w:hAnsi="Cambria"/>
          <w:sz w:val="20"/>
          <w:szCs w:val="20"/>
          <w:lang w:val="es-ES"/>
        </w:rPr>
        <w:t>,</w:t>
      </w:r>
      <w:r w:rsidR="00A01610">
        <w:rPr>
          <w:rFonts w:ascii="Cambria" w:hAnsi="Cambria"/>
          <w:sz w:val="20"/>
          <w:szCs w:val="20"/>
          <w:lang w:val="es-ES"/>
        </w:rPr>
        <w:t xml:space="preserve"> sostiene que </w:t>
      </w:r>
      <w:r w:rsidR="00F81231">
        <w:rPr>
          <w:rFonts w:ascii="Cambria" w:hAnsi="Cambria"/>
          <w:sz w:val="20"/>
          <w:szCs w:val="20"/>
          <w:lang w:val="es-ES"/>
        </w:rPr>
        <w:t xml:space="preserve">la pretensión de reparaciones ya ha sido atendida de manera satisfactoria a nivel interno. </w:t>
      </w:r>
      <w:r w:rsidR="00A84228">
        <w:rPr>
          <w:rFonts w:ascii="Cambria" w:hAnsi="Cambria"/>
          <w:sz w:val="20"/>
          <w:szCs w:val="20"/>
          <w:lang w:val="es-ES"/>
        </w:rPr>
        <w:t xml:space="preserve"> </w:t>
      </w:r>
    </w:p>
    <w:p w14:paraId="1C571973" w14:textId="2781F397" w:rsidR="006261DF" w:rsidRDefault="00D902AF" w:rsidP="00D902A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D902AF">
        <w:rPr>
          <w:rFonts w:ascii="Cambria" w:hAnsi="Cambria"/>
          <w:sz w:val="20"/>
          <w:szCs w:val="20"/>
          <w:lang w:val="es-ES"/>
        </w:rPr>
        <w:t>El artículo 46.1.a de la Convención Americana dispone que, para que sea admisible una denuncia presentada ante la Comisión Interamericana de conformidad con el artículo 44 de la Convención, es necesario que se hayan intentado y agotado los recursos internos conforme a los principios del derecho internacional generalmente reconocidos. Este requisito tiene como objeto permitir que las autoridades nacionales conozcan sobre la supuesta violación de un derecho protegido y, de ser apropiado, la solucionen</w:t>
      </w:r>
      <w:r>
        <w:rPr>
          <w:rFonts w:ascii="Cambria" w:hAnsi="Cambria"/>
          <w:sz w:val="20"/>
          <w:szCs w:val="20"/>
          <w:lang w:val="es-ES"/>
        </w:rPr>
        <w:t xml:space="preserve"> </w:t>
      </w:r>
      <w:r w:rsidRPr="00D902AF">
        <w:rPr>
          <w:rFonts w:ascii="Cambria" w:hAnsi="Cambria"/>
          <w:sz w:val="20"/>
          <w:szCs w:val="20"/>
          <w:lang w:val="es-ES"/>
        </w:rPr>
        <w:t>antes de que sea conocida por una instancia internacional.</w:t>
      </w:r>
    </w:p>
    <w:p w14:paraId="3F6AC06C" w14:textId="5CDC164F" w:rsidR="00D902AF" w:rsidRPr="00460523" w:rsidRDefault="00A90FB1" w:rsidP="001F35F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5053C0">
        <w:rPr>
          <w:rFonts w:ascii="Cambria" w:hAnsi="Cambria"/>
          <w:sz w:val="20"/>
          <w:szCs w:val="20"/>
          <w:lang w:val="es-ES"/>
        </w:rPr>
        <w:t>Con respecto a los alegados actos sufridos por</w:t>
      </w:r>
      <w:r w:rsidR="008E7498" w:rsidRPr="005053C0">
        <w:rPr>
          <w:rFonts w:ascii="Cambria" w:hAnsi="Cambria"/>
          <w:sz w:val="20"/>
          <w:szCs w:val="20"/>
          <w:lang w:val="es-ES"/>
        </w:rPr>
        <w:t xml:space="preserve"> las presuntas víctimas, la Comisión reitera que de acuerdo con los estándares internacionales aplicables a casos como el presente en los que se alegan graves violaciones</w:t>
      </w:r>
      <w:r w:rsidR="00904AFA" w:rsidRPr="005053C0">
        <w:rPr>
          <w:rFonts w:ascii="Cambria" w:hAnsi="Cambria"/>
          <w:sz w:val="20"/>
          <w:szCs w:val="20"/>
          <w:lang w:val="es-ES"/>
        </w:rPr>
        <w:t xml:space="preserve"> a los derechos humanos perseguibles de oficio, el recurso adecuado y efectivo e</w:t>
      </w:r>
      <w:r w:rsidR="00C47A0F" w:rsidRPr="005053C0">
        <w:rPr>
          <w:rFonts w:ascii="Cambria" w:hAnsi="Cambria"/>
          <w:sz w:val="20"/>
          <w:szCs w:val="20"/>
          <w:lang w:val="es-ES"/>
        </w:rPr>
        <w:t>s</w:t>
      </w:r>
      <w:r w:rsidR="00904AFA" w:rsidRPr="005053C0">
        <w:rPr>
          <w:rFonts w:ascii="Cambria" w:hAnsi="Cambria"/>
          <w:sz w:val="20"/>
          <w:szCs w:val="20"/>
          <w:lang w:val="es-ES"/>
        </w:rPr>
        <w:t xml:space="preserve"> precisamente el inicio y desarrollo de la una investigación penal eficaz destinada a esclarecer los hechos, y de ser el caso, individualizar a los responsables y establecer las responsabilidades correspondiente</w:t>
      </w:r>
      <w:r w:rsidR="00904AFA" w:rsidRPr="005053C0">
        <w:rPr>
          <w:rStyle w:val="FootnoteReference"/>
          <w:rFonts w:ascii="Cambria" w:hAnsi="Cambria"/>
          <w:sz w:val="20"/>
          <w:szCs w:val="20"/>
          <w:lang w:val="es-ES"/>
        </w:rPr>
        <w:footnoteReference w:id="7"/>
      </w:r>
      <w:r w:rsidR="000D7A1F" w:rsidRPr="005053C0">
        <w:rPr>
          <w:rFonts w:ascii="Cambria" w:hAnsi="Cambria"/>
          <w:sz w:val="20"/>
          <w:szCs w:val="20"/>
          <w:lang w:val="es-ES"/>
        </w:rPr>
        <w:t>.</w:t>
      </w:r>
      <w:r w:rsidR="00EC6D38" w:rsidRPr="005053C0">
        <w:rPr>
          <w:rFonts w:ascii="Cambria" w:hAnsi="Cambria"/>
          <w:sz w:val="20"/>
          <w:szCs w:val="20"/>
          <w:lang w:val="es-ES"/>
        </w:rPr>
        <w:t xml:space="preserve"> </w:t>
      </w:r>
      <w:r w:rsidR="000D7A1F" w:rsidRPr="005053C0">
        <w:rPr>
          <w:rFonts w:ascii="Cambria" w:hAnsi="Cambria" w:cs="Calibri"/>
          <w:sz w:val="20"/>
          <w:szCs w:val="20"/>
          <w:lang w:val="es-ES"/>
        </w:rPr>
        <w:t>Por lo anterior, deben ser las autoridades correspondientes qu</w:t>
      </w:r>
      <w:r w:rsidR="00C47A0F" w:rsidRPr="005053C0">
        <w:rPr>
          <w:rFonts w:ascii="Cambria" w:hAnsi="Cambria" w:cs="Calibri"/>
          <w:sz w:val="20"/>
          <w:szCs w:val="20"/>
          <w:lang w:val="es-ES"/>
        </w:rPr>
        <w:t xml:space="preserve">ienes una vez tengan conocimiento </w:t>
      </w:r>
      <w:r w:rsidR="00EC6D38" w:rsidRPr="005053C0">
        <w:rPr>
          <w:rFonts w:ascii="Cambria" w:hAnsi="Cambria" w:cs="Calibri"/>
          <w:sz w:val="20"/>
          <w:szCs w:val="20"/>
          <w:lang w:val="es-ES"/>
        </w:rPr>
        <w:t>de los hechos</w:t>
      </w:r>
      <w:r w:rsidR="00210E29" w:rsidRPr="005053C0">
        <w:rPr>
          <w:rFonts w:ascii="Cambria" w:hAnsi="Cambria" w:cs="Calibri"/>
          <w:sz w:val="20"/>
          <w:szCs w:val="20"/>
          <w:lang w:val="es-ES"/>
        </w:rPr>
        <w:t>,</w:t>
      </w:r>
      <w:r w:rsidR="007D4489" w:rsidRPr="005053C0">
        <w:rPr>
          <w:rFonts w:ascii="Cambria" w:hAnsi="Cambria" w:cs="Calibri"/>
          <w:sz w:val="20"/>
          <w:szCs w:val="20"/>
          <w:lang w:val="es-ES"/>
        </w:rPr>
        <w:t xml:space="preserve"> </w:t>
      </w:r>
      <w:r w:rsidR="00210E29" w:rsidRPr="005053C0">
        <w:rPr>
          <w:rFonts w:ascii="Cambria" w:hAnsi="Cambria" w:cs="Calibri"/>
          <w:sz w:val="20"/>
          <w:szCs w:val="20"/>
          <w:lang w:val="es-ES"/>
        </w:rPr>
        <w:t>deben adelantar</w:t>
      </w:r>
      <w:r w:rsidR="00C47A0F" w:rsidRPr="005053C0">
        <w:rPr>
          <w:rFonts w:ascii="Cambria" w:hAnsi="Cambria" w:cs="Calibri"/>
          <w:sz w:val="20"/>
          <w:szCs w:val="20"/>
          <w:lang w:val="es-ES"/>
        </w:rPr>
        <w:t xml:space="preserve"> una investigación penal de oficio</w:t>
      </w:r>
      <w:r w:rsidR="00AD34E4" w:rsidRPr="005053C0">
        <w:rPr>
          <w:rFonts w:ascii="Cambria" w:hAnsi="Cambria" w:cs="Calibri"/>
          <w:sz w:val="20"/>
          <w:szCs w:val="20"/>
          <w:lang w:val="es-ES"/>
        </w:rPr>
        <w:t xml:space="preserve"> hasta obtener un </w:t>
      </w:r>
      <w:r w:rsidR="00AD34E4" w:rsidRPr="00F6094B">
        <w:rPr>
          <w:rFonts w:ascii="Cambria" w:hAnsi="Cambria" w:cs="Calibri"/>
          <w:sz w:val="20"/>
          <w:szCs w:val="20"/>
          <w:lang w:val="es-ES"/>
        </w:rPr>
        <w:t>esclarecimiento de los hechos.</w:t>
      </w:r>
      <w:r w:rsidR="000521A9" w:rsidRPr="00F6094B">
        <w:rPr>
          <w:rFonts w:ascii="Cambria" w:hAnsi="Cambria"/>
          <w:sz w:val="20"/>
          <w:szCs w:val="20"/>
          <w:lang w:val="es-ES"/>
        </w:rPr>
        <w:t xml:space="preserve"> </w:t>
      </w:r>
      <w:r w:rsidR="00AD34E4" w:rsidRPr="00F6094B">
        <w:rPr>
          <w:rFonts w:ascii="Cambria" w:hAnsi="Cambria"/>
          <w:sz w:val="20"/>
          <w:szCs w:val="20"/>
          <w:lang w:val="es-ES"/>
        </w:rPr>
        <w:t xml:space="preserve">Cabe </w:t>
      </w:r>
      <w:r w:rsidR="0001002A" w:rsidRPr="00F6094B">
        <w:rPr>
          <w:rFonts w:ascii="Cambria" w:hAnsi="Cambria"/>
          <w:sz w:val="20"/>
          <w:szCs w:val="20"/>
          <w:lang w:val="es-ES"/>
        </w:rPr>
        <w:t>señalar que</w:t>
      </w:r>
      <w:r w:rsidR="00AD34E4" w:rsidRPr="00F6094B">
        <w:rPr>
          <w:rFonts w:ascii="Cambria" w:hAnsi="Cambria"/>
          <w:sz w:val="20"/>
          <w:szCs w:val="20"/>
          <w:lang w:val="es-ES"/>
        </w:rPr>
        <w:t xml:space="preserve"> </w:t>
      </w:r>
      <w:r w:rsidR="00C35710" w:rsidRPr="00F6094B">
        <w:rPr>
          <w:rFonts w:ascii="Cambria" w:hAnsi="Cambria"/>
          <w:sz w:val="20"/>
          <w:szCs w:val="20"/>
          <w:lang w:val="es-ES"/>
        </w:rPr>
        <w:t xml:space="preserve">el 17 de enero de 2000, el Señor José Manuel </w:t>
      </w:r>
      <w:r w:rsidR="001055AD" w:rsidRPr="00F6094B">
        <w:rPr>
          <w:rFonts w:ascii="Cambria" w:hAnsi="Cambria"/>
          <w:sz w:val="20"/>
          <w:szCs w:val="20"/>
          <w:lang w:val="es-ES"/>
        </w:rPr>
        <w:t>Acosta</w:t>
      </w:r>
      <w:r w:rsidR="00C35710" w:rsidRPr="00F6094B">
        <w:rPr>
          <w:rFonts w:ascii="Cambria" w:hAnsi="Cambria"/>
          <w:sz w:val="20"/>
          <w:szCs w:val="20"/>
          <w:lang w:val="es-ES"/>
        </w:rPr>
        <w:t xml:space="preserve"> Saldaña denunció la explosión de la granada</w:t>
      </w:r>
      <w:r w:rsidR="001055AD" w:rsidRPr="00F6094B">
        <w:rPr>
          <w:rFonts w:ascii="Cambria" w:hAnsi="Cambria"/>
          <w:sz w:val="20"/>
          <w:szCs w:val="20"/>
          <w:lang w:val="es-ES"/>
        </w:rPr>
        <w:t xml:space="preserve">, </w:t>
      </w:r>
      <w:r w:rsidR="0001002A" w:rsidRPr="00F6094B">
        <w:rPr>
          <w:rFonts w:ascii="Cambria" w:hAnsi="Cambria"/>
          <w:sz w:val="20"/>
          <w:szCs w:val="20"/>
          <w:lang w:val="es-ES"/>
        </w:rPr>
        <w:t>y que</w:t>
      </w:r>
      <w:r w:rsidR="00AD34E4" w:rsidRPr="00F6094B">
        <w:rPr>
          <w:rFonts w:ascii="Cambria" w:hAnsi="Cambria"/>
          <w:sz w:val="20"/>
          <w:szCs w:val="20"/>
          <w:lang w:val="es-ES"/>
        </w:rPr>
        <w:t xml:space="preserve"> </w:t>
      </w:r>
      <w:r w:rsidR="0001002A" w:rsidRPr="00F6094B">
        <w:rPr>
          <w:rFonts w:ascii="Cambria" w:hAnsi="Cambria"/>
          <w:sz w:val="20"/>
          <w:szCs w:val="20"/>
          <w:lang w:val="es-ES"/>
        </w:rPr>
        <w:t>la investigación</w:t>
      </w:r>
      <w:r w:rsidR="001055AD" w:rsidRPr="00F6094B">
        <w:rPr>
          <w:rFonts w:ascii="Cambria" w:hAnsi="Cambria"/>
          <w:sz w:val="20"/>
          <w:szCs w:val="20"/>
          <w:lang w:val="es-ES"/>
        </w:rPr>
        <w:t xml:space="preserve"> </w:t>
      </w:r>
      <w:r w:rsidR="00AD34E4" w:rsidRPr="00F6094B">
        <w:rPr>
          <w:rFonts w:ascii="Cambria" w:hAnsi="Cambria"/>
          <w:sz w:val="20"/>
          <w:szCs w:val="20"/>
          <w:lang w:val="es-ES"/>
        </w:rPr>
        <w:t xml:space="preserve">de estos hechos </w:t>
      </w:r>
      <w:r w:rsidR="001055AD" w:rsidRPr="00F6094B">
        <w:rPr>
          <w:rFonts w:ascii="Cambria" w:hAnsi="Cambria"/>
          <w:sz w:val="20"/>
          <w:szCs w:val="20"/>
          <w:lang w:val="es-ES"/>
        </w:rPr>
        <w:t xml:space="preserve">concluyó con una resolución inhibitoria </w:t>
      </w:r>
      <w:r w:rsidR="00AD34E4" w:rsidRPr="00F6094B">
        <w:rPr>
          <w:rFonts w:ascii="Cambria" w:hAnsi="Cambria"/>
          <w:sz w:val="20"/>
          <w:szCs w:val="20"/>
          <w:lang w:val="es-ES"/>
        </w:rPr>
        <w:t xml:space="preserve">de la Fiscalía, </w:t>
      </w:r>
      <w:r w:rsidR="001055AD" w:rsidRPr="00F6094B">
        <w:rPr>
          <w:rFonts w:ascii="Cambria" w:hAnsi="Cambria"/>
          <w:sz w:val="20"/>
          <w:szCs w:val="20"/>
          <w:lang w:val="es-ES"/>
        </w:rPr>
        <w:t>emitida el 8 de agosto de 2000</w:t>
      </w:r>
      <w:r w:rsidR="0001002A" w:rsidRPr="00F6094B">
        <w:rPr>
          <w:rFonts w:ascii="Cambria" w:hAnsi="Cambria"/>
          <w:sz w:val="20"/>
          <w:szCs w:val="20"/>
          <w:lang w:val="es-ES"/>
        </w:rPr>
        <w:t>.</w:t>
      </w:r>
      <w:r w:rsidR="005A1668" w:rsidRPr="00F6094B">
        <w:rPr>
          <w:rFonts w:ascii="Cambria" w:hAnsi="Cambria"/>
          <w:sz w:val="20"/>
          <w:szCs w:val="20"/>
          <w:lang w:val="es-ES"/>
        </w:rPr>
        <w:t xml:space="preserve"> </w:t>
      </w:r>
      <w:r w:rsidR="00B41FC5" w:rsidRPr="00F6094B">
        <w:rPr>
          <w:rFonts w:ascii="Cambria" w:hAnsi="Cambria"/>
          <w:sz w:val="20"/>
          <w:szCs w:val="20"/>
          <w:lang w:val="es-ES"/>
        </w:rPr>
        <w:t xml:space="preserve">El Estado expone que el peticionario no interpuso un recurso de apelación a esta declaración de inhibitoria y que por lo tanto la acción penal se encuentra prescrita y los recursos internos agotados. Al </w:t>
      </w:r>
      <w:r w:rsidR="005A1668" w:rsidRPr="00F6094B">
        <w:rPr>
          <w:rFonts w:ascii="Cambria" w:hAnsi="Cambria"/>
          <w:sz w:val="20"/>
          <w:szCs w:val="20"/>
          <w:lang w:val="es-ES"/>
        </w:rPr>
        <w:t xml:space="preserve">respecto, </w:t>
      </w:r>
      <w:r w:rsidR="00F6094B" w:rsidRPr="00F6094B">
        <w:rPr>
          <w:rFonts w:ascii="Cambria" w:hAnsi="Cambria"/>
          <w:sz w:val="20"/>
          <w:szCs w:val="20"/>
          <w:lang w:val="es-ES"/>
        </w:rPr>
        <w:t xml:space="preserve">la </w:t>
      </w:r>
      <w:r w:rsidR="005A1668" w:rsidRPr="00F6094B">
        <w:rPr>
          <w:rFonts w:ascii="Cambria" w:hAnsi="Cambria"/>
          <w:sz w:val="20"/>
          <w:szCs w:val="20"/>
          <w:lang w:val="es-ES"/>
        </w:rPr>
        <w:t xml:space="preserve">Comisión observa que la única diligencia realizada por el peticionario fue la presentación de la denuncia penal ante la Fiscalía 27 Local de Granada. Asimismo, una vez que dicho organismo notificó al peticionario que se había declarado la </w:t>
      </w:r>
      <w:r w:rsidR="005A1668" w:rsidRPr="00F6094B">
        <w:rPr>
          <w:rFonts w:ascii="Cambria" w:hAnsi="Cambria"/>
          <w:sz w:val="20"/>
          <w:szCs w:val="20"/>
          <w:lang w:val="es-ES"/>
        </w:rPr>
        <w:lastRenderedPageBreak/>
        <w:t xml:space="preserve">resolución inhibitoria por atipicidad de los hechos, </w:t>
      </w:r>
      <w:r w:rsidR="00F6094B" w:rsidRPr="00F6094B">
        <w:rPr>
          <w:rFonts w:ascii="Cambria" w:hAnsi="Cambria"/>
          <w:sz w:val="20"/>
          <w:szCs w:val="20"/>
          <w:lang w:val="es-ES"/>
        </w:rPr>
        <w:t>é</w:t>
      </w:r>
      <w:r w:rsidR="005A1668" w:rsidRPr="00F6094B">
        <w:rPr>
          <w:rFonts w:ascii="Cambria" w:hAnsi="Cambria"/>
          <w:sz w:val="20"/>
          <w:szCs w:val="20"/>
          <w:lang w:val="es-ES"/>
        </w:rPr>
        <w:t xml:space="preserve">ste no interpuso recurso interno </w:t>
      </w:r>
      <w:r w:rsidR="00F6094B" w:rsidRPr="00F6094B">
        <w:rPr>
          <w:rFonts w:ascii="Cambria" w:hAnsi="Cambria"/>
          <w:sz w:val="20"/>
          <w:szCs w:val="20"/>
          <w:lang w:val="es-ES"/>
        </w:rPr>
        <w:t xml:space="preserve">alguno, </w:t>
      </w:r>
      <w:r w:rsidR="005A1668" w:rsidRPr="00F6094B">
        <w:rPr>
          <w:rFonts w:ascii="Cambria" w:hAnsi="Cambria"/>
          <w:sz w:val="20"/>
          <w:szCs w:val="20"/>
          <w:lang w:val="es-ES"/>
        </w:rPr>
        <w:t xml:space="preserve">como tampoco ha presentado </w:t>
      </w:r>
      <w:r w:rsidR="00BD00A6" w:rsidRPr="00F6094B">
        <w:rPr>
          <w:rFonts w:ascii="Cambria" w:hAnsi="Cambria"/>
          <w:sz w:val="20"/>
          <w:szCs w:val="20"/>
          <w:lang w:val="es-ES"/>
        </w:rPr>
        <w:t xml:space="preserve">hasta la fecha </w:t>
      </w:r>
      <w:r w:rsidR="005A1668" w:rsidRPr="00F6094B">
        <w:rPr>
          <w:rFonts w:ascii="Cambria" w:hAnsi="Cambria"/>
          <w:sz w:val="20"/>
          <w:szCs w:val="20"/>
          <w:lang w:val="es-ES"/>
        </w:rPr>
        <w:t xml:space="preserve">alegatos u información </w:t>
      </w:r>
      <w:r w:rsidR="00A938A4" w:rsidRPr="00F6094B">
        <w:rPr>
          <w:rFonts w:ascii="Cambria" w:hAnsi="Cambria"/>
          <w:sz w:val="20"/>
          <w:szCs w:val="20"/>
          <w:lang w:val="es-ES"/>
        </w:rPr>
        <w:t>con relación a</w:t>
      </w:r>
      <w:r w:rsidR="005A1668" w:rsidRPr="00F6094B">
        <w:rPr>
          <w:rFonts w:ascii="Cambria" w:hAnsi="Cambria"/>
          <w:sz w:val="20"/>
          <w:szCs w:val="20"/>
          <w:lang w:val="es-ES"/>
        </w:rPr>
        <w:t xml:space="preserve"> las razones que habrían impedido la activación de los mismo</w:t>
      </w:r>
      <w:r w:rsidR="00F43E6F" w:rsidRPr="00F6094B">
        <w:rPr>
          <w:rFonts w:ascii="Cambria" w:hAnsi="Cambria"/>
          <w:sz w:val="20"/>
          <w:szCs w:val="20"/>
          <w:lang w:val="es-ES"/>
        </w:rPr>
        <w:t>s</w:t>
      </w:r>
      <w:r w:rsidR="005A1668" w:rsidRPr="00F6094B">
        <w:rPr>
          <w:rStyle w:val="FootnoteReference"/>
          <w:rFonts w:ascii="Cambria" w:hAnsi="Cambria"/>
          <w:sz w:val="20"/>
          <w:szCs w:val="20"/>
          <w:lang w:val="es-ES"/>
        </w:rPr>
        <w:footnoteReference w:id="8"/>
      </w:r>
      <w:r w:rsidR="005A1668" w:rsidRPr="00F6094B">
        <w:rPr>
          <w:rFonts w:ascii="Cambria" w:hAnsi="Cambria"/>
          <w:sz w:val="20"/>
          <w:szCs w:val="20"/>
          <w:lang w:val="es-ES"/>
        </w:rPr>
        <w:t xml:space="preserve">. </w:t>
      </w:r>
      <w:r w:rsidR="006641BE" w:rsidRPr="00F6094B">
        <w:rPr>
          <w:rFonts w:ascii="Cambria" w:hAnsi="Cambria"/>
          <w:sz w:val="20"/>
          <w:szCs w:val="20"/>
          <w:lang w:val="es-ES"/>
        </w:rPr>
        <w:t xml:space="preserve">Por otra parte, </w:t>
      </w:r>
      <w:r w:rsidR="00F6094B" w:rsidRPr="00F6094B">
        <w:rPr>
          <w:rFonts w:ascii="Cambria" w:hAnsi="Cambria"/>
          <w:sz w:val="20"/>
          <w:szCs w:val="20"/>
          <w:lang w:val="es-ES"/>
        </w:rPr>
        <w:t>la</w:t>
      </w:r>
      <w:r w:rsidR="006641BE" w:rsidRPr="00F6094B">
        <w:rPr>
          <w:rFonts w:ascii="Cambria" w:hAnsi="Cambria"/>
          <w:sz w:val="20"/>
          <w:szCs w:val="20"/>
          <w:lang w:val="es-ES"/>
        </w:rPr>
        <w:t xml:space="preserve"> Comisión ha sido enfática en que</w:t>
      </w:r>
      <w:r w:rsidR="00F6094B" w:rsidRPr="00F6094B">
        <w:rPr>
          <w:rFonts w:ascii="Cambria" w:hAnsi="Cambria" w:cs="Calibri"/>
          <w:sz w:val="20"/>
          <w:szCs w:val="20"/>
          <w:lang w:val="es-ES_tradnl"/>
        </w:rPr>
        <w:t>el Estado tiene la obligación de investigar</w:t>
      </w:r>
      <w:r w:rsidR="006641BE" w:rsidRPr="00F6094B">
        <w:rPr>
          <w:rFonts w:ascii="Cambria" w:hAnsi="Cambria"/>
          <w:sz w:val="20"/>
          <w:szCs w:val="20"/>
          <w:lang w:val="es-ES"/>
        </w:rPr>
        <w:t xml:space="preserve"> </w:t>
      </w:r>
      <w:r w:rsidR="006641BE" w:rsidRPr="00F6094B">
        <w:rPr>
          <w:rFonts w:ascii="Cambria" w:hAnsi="Cambria" w:cs="Calibri"/>
          <w:sz w:val="20"/>
          <w:szCs w:val="20"/>
          <w:lang w:val="es-ES_tradnl"/>
        </w:rPr>
        <w:t xml:space="preserve">casos como el presente, que </w:t>
      </w:r>
      <w:r w:rsidR="00F6094B" w:rsidRPr="00F6094B">
        <w:rPr>
          <w:rFonts w:ascii="Cambria" w:hAnsi="Cambria" w:cs="Calibri"/>
          <w:sz w:val="20"/>
          <w:szCs w:val="20"/>
          <w:lang w:val="es-ES_tradnl"/>
        </w:rPr>
        <w:t>se refieren a</w:t>
      </w:r>
      <w:r w:rsidR="006641BE" w:rsidRPr="00F6094B">
        <w:rPr>
          <w:rFonts w:ascii="Cambria" w:hAnsi="Cambria" w:cs="Calibri"/>
          <w:sz w:val="20"/>
          <w:szCs w:val="20"/>
          <w:lang w:val="es-ES_tradnl"/>
        </w:rPr>
        <w:t xml:space="preserve"> posibles violaciones </w:t>
      </w:r>
      <w:r w:rsidR="00F6094B" w:rsidRPr="00F6094B">
        <w:rPr>
          <w:rFonts w:ascii="Cambria" w:hAnsi="Cambria" w:cs="Calibri"/>
          <w:sz w:val="20"/>
          <w:szCs w:val="20"/>
          <w:lang w:val="es-ES_tradnl"/>
        </w:rPr>
        <w:t>de</w:t>
      </w:r>
      <w:r w:rsidR="006641BE" w:rsidRPr="00F6094B">
        <w:rPr>
          <w:rFonts w:ascii="Cambria" w:hAnsi="Cambria" w:cs="Calibri"/>
          <w:sz w:val="20"/>
          <w:szCs w:val="20"/>
          <w:lang w:val="es-ES_tradnl"/>
        </w:rPr>
        <w:t xml:space="preserve"> derechos humanos </w:t>
      </w:r>
      <w:r w:rsidR="00F6094B" w:rsidRPr="00F6094B">
        <w:rPr>
          <w:rFonts w:ascii="Cambria" w:hAnsi="Cambria" w:cs="Calibri"/>
          <w:sz w:val="20"/>
          <w:szCs w:val="20"/>
          <w:lang w:val="es-ES_tradnl"/>
        </w:rPr>
        <w:t>y por lo tanto</w:t>
      </w:r>
      <w:r w:rsidR="006641BE" w:rsidRPr="00F6094B">
        <w:rPr>
          <w:rFonts w:ascii="Cambria" w:hAnsi="Cambria" w:cs="Calibri"/>
          <w:sz w:val="20"/>
          <w:szCs w:val="20"/>
          <w:lang w:val="es-ES_tradnl"/>
        </w:rPr>
        <w:t xml:space="preserve"> perseguibles de oficio, más aún cuando </w:t>
      </w:r>
      <w:r w:rsidR="00F6094B" w:rsidRPr="00F6094B">
        <w:rPr>
          <w:rFonts w:ascii="Cambria" w:hAnsi="Cambria" w:cs="Calibri"/>
          <w:sz w:val="20"/>
          <w:szCs w:val="20"/>
          <w:lang w:val="es-ES_tradnl"/>
        </w:rPr>
        <w:t xml:space="preserve">había </w:t>
      </w:r>
      <w:r w:rsidR="006641BE" w:rsidRPr="00F6094B">
        <w:rPr>
          <w:rFonts w:ascii="Cambria" w:hAnsi="Cambria" w:cs="Calibri"/>
          <w:sz w:val="20"/>
          <w:szCs w:val="20"/>
          <w:lang w:val="es-ES_tradnl"/>
        </w:rPr>
        <w:t xml:space="preserve">agentes </w:t>
      </w:r>
      <w:r w:rsidR="00F6094B" w:rsidRPr="00F6094B">
        <w:rPr>
          <w:rFonts w:ascii="Cambria" w:hAnsi="Cambria" w:cs="Calibri"/>
          <w:sz w:val="20"/>
          <w:szCs w:val="20"/>
          <w:lang w:val="es-ES_tradnl"/>
        </w:rPr>
        <w:t>estatales</w:t>
      </w:r>
      <w:r w:rsidR="006641BE" w:rsidRPr="00F6094B">
        <w:rPr>
          <w:rFonts w:ascii="Cambria" w:hAnsi="Cambria" w:cs="Calibri"/>
          <w:sz w:val="20"/>
          <w:szCs w:val="20"/>
          <w:lang w:val="es-ES_tradnl"/>
        </w:rPr>
        <w:t xml:space="preserve"> implicados. Esta carga debe ser asumida por el Estado como un deber jurídico propio, y no como una gestión de intereses de particulares o que dependa de la iniciativa o de la aportación de pruebas por parte</w:t>
      </w:r>
      <w:r w:rsidR="00F6094B" w:rsidRPr="00F6094B">
        <w:rPr>
          <w:rFonts w:ascii="Cambria" w:hAnsi="Cambria" w:cs="Calibri"/>
          <w:sz w:val="20"/>
          <w:szCs w:val="20"/>
          <w:lang w:val="es-ES_tradnl"/>
        </w:rPr>
        <w:t xml:space="preserve"> de éstos</w:t>
      </w:r>
      <w:r w:rsidR="006641BE" w:rsidRPr="00F6094B">
        <w:rPr>
          <w:rStyle w:val="FootnoteReference"/>
          <w:rFonts w:ascii="Cambria" w:hAnsi="Cambria" w:cs="Calibri"/>
          <w:sz w:val="20"/>
          <w:szCs w:val="20"/>
          <w:lang w:val="es-ES_tradnl"/>
        </w:rPr>
        <w:footnoteReference w:id="9"/>
      </w:r>
      <w:r w:rsidR="00A938A4" w:rsidRPr="00F6094B">
        <w:rPr>
          <w:rFonts w:ascii="Cambria" w:hAnsi="Cambria" w:cs="Calibri"/>
          <w:sz w:val="20"/>
          <w:szCs w:val="20"/>
          <w:lang w:val="es-ES_tradnl"/>
        </w:rPr>
        <w:t xml:space="preserve">. </w:t>
      </w:r>
      <w:r w:rsidR="001F35F7" w:rsidRPr="00F6094B">
        <w:rPr>
          <w:rFonts w:ascii="Cambria" w:hAnsi="Cambria"/>
          <w:sz w:val="20"/>
          <w:szCs w:val="20"/>
          <w:lang w:val="es-ES"/>
        </w:rPr>
        <w:t>En virtud de l</w:t>
      </w:r>
      <w:r w:rsidR="001055AD" w:rsidRPr="00F6094B">
        <w:rPr>
          <w:rFonts w:ascii="Cambria" w:hAnsi="Cambria"/>
          <w:sz w:val="20"/>
          <w:szCs w:val="20"/>
          <w:lang w:val="es-ES"/>
        </w:rPr>
        <w:t xml:space="preserve">os argumentos antes </w:t>
      </w:r>
      <w:r w:rsidR="001F35F7" w:rsidRPr="00F6094B">
        <w:rPr>
          <w:rFonts w:ascii="Cambria" w:hAnsi="Cambria"/>
          <w:sz w:val="20"/>
          <w:szCs w:val="20"/>
          <w:lang w:val="es-ES"/>
        </w:rPr>
        <w:t>expuesto</w:t>
      </w:r>
      <w:r w:rsidR="00F6094B" w:rsidRPr="00F6094B">
        <w:rPr>
          <w:rFonts w:ascii="Cambria" w:hAnsi="Cambria"/>
          <w:sz w:val="20"/>
          <w:szCs w:val="20"/>
          <w:lang w:val="es-ES"/>
        </w:rPr>
        <w:t>s</w:t>
      </w:r>
      <w:r w:rsidR="001F35F7" w:rsidRPr="00F6094B">
        <w:rPr>
          <w:rFonts w:ascii="Cambria" w:hAnsi="Cambria"/>
          <w:sz w:val="20"/>
          <w:szCs w:val="20"/>
          <w:lang w:val="es-ES"/>
        </w:rPr>
        <w:t xml:space="preserve">, la Comisión </w:t>
      </w:r>
      <w:r w:rsidR="00F6094B" w:rsidRPr="00F6094B">
        <w:rPr>
          <w:rFonts w:ascii="Cambria" w:hAnsi="Cambria"/>
          <w:sz w:val="20"/>
          <w:szCs w:val="20"/>
          <w:lang w:val="es-ES"/>
        </w:rPr>
        <w:t>aplica</w:t>
      </w:r>
      <w:r w:rsidR="00C35710">
        <w:rPr>
          <w:rFonts w:ascii="Cambria" w:hAnsi="Cambria"/>
          <w:sz w:val="20"/>
          <w:szCs w:val="20"/>
          <w:lang w:val="es-ES"/>
        </w:rPr>
        <w:t xml:space="preserve"> la excepción</w:t>
      </w:r>
      <w:r w:rsidR="001F35F7" w:rsidRPr="00460523">
        <w:rPr>
          <w:rFonts w:ascii="Cambria" w:hAnsi="Cambria"/>
          <w:sz w:val="20"/>
          <w:szCs w:val="20"/>
          <w:lang w:val="es-ES"/>
        </w:rPr>
        <w:t xml:space="preserve"> establecid</w:t>
      </w:r>
      <w:r w:rsidR="00C35710">
        <w:rPr>
          <w:rFonts w:ascii="Cambria" w:hAnsi="Cambria"/>
          <w:sz w:val="20"/>
          <w:szCs w:val="20"/>
          <w:lang w:val="es-ES"/>
        </w:rPr>
        <w:t>a</w:t>
      </w:r>
      <w:r w:rsidR="001F35F7" w:rsidRPr="00460523">
        <w:rPr>
          <w:rFonts w:ascii="Cambria" w:hAnsi="Cambria"/>
          <w:sz w:val="20"/>
          <w:szCs w:val="20"/>
          <w:lang w:val="es-ES"/>
        </w:rPr>
        <w:t xml:space="preserve"> en el artículo 46.</w:t>
      </w:r>
      <w:r w:rsidR="00C35710">
        <w:rPr>
          <w:rFonts w:ascii="Cambria" w:hAnsi="Cambria"/>
          <w:sz w:val="20"/>
          <w:szCs w:val="20"/>
          <w:lang w:val="es-ES"/>
        </w:rPr>
        <w:t>2</w:t>
      </w:r>
      <w:r w:rsidR="001F35F7" w:rsidRPr="00460523">
        <w:rPr>
          <w:rFonts w:ascii="Cambria" w:hAnsi="Cambria"/>
          <w:sz w:val="20"/>
          <w:szCs w:val="20"/>
          <w:lang w:val="es-ES"/>
        </w:rPr>
        <w:t xml:space="preserve"> </w:t>
      </w:r>
      <w:r w:rsidR="00FB7921" w:rsidRPr="00460523">
        <w:rPr>
          <w:rFonts w:ascii="Cambria" w:hAnsi="Cambria"/>
          <w:sz w:val="20"/>
          <w:szCs w:val="20"/>
          <w:lang w:val="es-ES"/>
        </w:rPr>
        <w:t>(</w:t>
      </w:r>
      <w:r w:rsidR="001055AD">
        <w:rPr>
          <w:rFonts w:ascii="Cambria" w:hAnsi="Cambria"/>
          <w:sz w:val="20"/>
          <w:szCs w:val="20"/>
          <w:lang w:val="es-ES"/>
        </w:rPr>
        <w:t>c</w:t>
      </w:r>
      <w:r w:rsidR="001F35F7" w:rsidRPr="00460523">
        <w:rPr>
          <w:rFonts w:ascii="Cambria" w:hAnsi="Cambria"/>
          <w:sz w:val="20"/>
          <w:szCs w:val="20"/>
          <w:lang w:val="es-ES"/>
        </w:rPr>
        <w:t>) de la Convención Americana</w:t>
      </w:r>
      <w:r w:rsidR="00C50EC4" w:rsidRPr="00460523">
        <w:rPr>
          <w:rFonts w:ascii="Cambria" w:hAnsi="Cambria"/>
          <w:sz w:val="20"/>
          <w:szCs w:val="20"/>
          <w:lang w:val="es-ES"/>
        </w:rPr>
        <w:t>.</w:t>
      </w:r>
    </w:p>
    <w:p w14:paraId="078975D8" w14:textId="719187A0" w:rsidR="00D928D6" w:rsidRPr="00460523" w:rsidRDefault="001F35F7" w:rsidP="00CB6E5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60523">
        <w:rPr>
          <w:rFonts w:ascii="Cambria" w:hAnsi="Cambria"/>
          <w:sz w:val="20"/>
          <w:szCs w:val="20"/>
          <w:lang w:val="es-ES"/>
        </w:rPr>
        <w:t>Por otra parte, frente al</w:t>
      </w:r>
      <w:r w:rsidR="00AC7958" w:rsidRPr="00460523">
        <w:rPr>
          <w:rFonts w:ascii="Cambria" w:hAnsi="Cambria"/>
          <w:sz w:val="20"/>
          <w:szCs w:val="20"/>
          <w:lang w:val="es-ES"/>
        </w:rPr>
        <w:t xml:space="preserve">, la Comisión observa que </w:t>
      </w:r>
      <w:r w:rsidR="00F6094B">
        <w:rPr>
          <w:rFonts w:ascii="Cambria" w:hAnsi="Cambria"/>
          <w:sz w:val="20"/>
          <w:szCs w:val="20"/>
          <w:lang w:val="es-ES"/>
        </w:rPr>
        <w:t xml:space="preserve">el </w:t>
      </w:r>
      <w:r w:rsidR="00F6094B" w:rsidRPr="00460523">
        <w:rPr>
          <w:rFonts w:ascii="Cambria" w:hAnsi="Cambria"/>
          <w:sz w:val="20"/>
          <w:szCs w:val="20"/>
          <w:lang w:val="es-ES"/>
        </w:rPr>
        <w:t>proceso de reparación directa</w:t>
      </w:r>
      <w:r w:rsidR="004458FB" w:rsidRPr="00460523">
        <w:rPr>
          <w:rFonts w:ascii="Cambria" w:hAnsi="Cambria"/>
          <w:sz w:val="20"/>
          <w:szCs w:val="20"/>
          <w:lang w:val="es-ES"/>
        </w:rPr>
        <w:t xml:space="preserve"> habría concluido con la sentencia emitida por la Sección Tercera de la Sala Contencioso Administrativa del Consejo de Estado el 12 de diciembre de 2014</w:t>
      </w:r>
      <w:r w:rsidR="00FB7921" w:rsidRPr="00460523">
        <w:rPr>
          <w:rFonts w:ascii="Cambria" w:hAnsi="Cambria"/>
          <w:sz w:val="20"/>
          <w:szCs w:val="20"/>
          <w:lang w:val="es-ES"/>
        </w:rPr>
        <w:t>; di</w:t>
      </w:r>
      <w:r w:rsidR="004458FB" w:rsidRPr="00460523">
        <w:rPr>
          <w:rFonts w:ascii="Cambria" w:hAnsi="Cambria"/>
          <w:sz w:val="20"/>
          <w:szCs w:val="20"/>
          <w:lang w:val="es-ES"/>
        </w:rPr>
        <w:t xml:space="preserve">cha decisión ordenó el pago de una indemnización </w:t>
      </w:r>
      <w:r w:rsidR="00AC7958" w:rsidRPr="00460523">
        <w:rPr>
          <w:rFonts w:ascii="Cambria" w:hAnsi="Cambria"/>
          <w:sz w:val="20"/>
          <w:szCs w:val="20"/>
          <w:lang w:val="es-ES"/>
        </w:rPr>
        <w:t xml:space="preserve">a las presuntas víctimas </w:t>
      </w:r>
      <w:r w:rsidR="003602CC" w:rsidRPr="00460523">
        <w:rPr>
          <w:rFonts w:ascii="Cambria" w:hAnsi="Cambria"/>
          <w:sz w:val="20"/>
          <w:szCs w:val="20"/>
          <w:lang w:val="es-ES"/>
        </w:rPr>
        <w:t>como forma de reparación integral</w:t>
      </w:r>
      <w:r w:rsidR="00FB7921" w:rsidRPr="00460523">
        <w:rPr>
          <w:rFonts w:ascii="Cambria" w:hAnsi="Cambria"/>
          <w:sz w:val="20"/>
          <w:szCs w:val="20"/>
          <w:lang w:val="es-ES"/>
        </w:rPr>
        <w:t>. E</w:t>
      </w:r>
      <w:r w:rsidR="00484CE5">
        <w:rPr>
          <w:rFonts w:ascii="Cambria" w:hAnsi="Cambria"/>
          <w:sz w:val="20"/>
          <w:szCs w:val="20"/>
          <w:lang w:val="es-ES"/>
        </w:rPr>
        <w:t>s</w:t>
      </w:r>
      <w:r w:rsidR="00FB7921" w:rsidRPr="00460523">
        <w:rPr>
          <w:rFonts w:ascii="Cambria" w:hAnsi="Cambria"/>
          <w:sz w:val="20"/>
          <w:szCs w:val="20"/>
          <w:lang w:val="es-ES"/>
        </w:rPr>
        <w:t xml:space="preserve"> necesario señalar que </w:t>
      </w:r>
      <w:r w:rsidR="00FB7921" w:rsidRPr="00460523">
        <w:rPr>
          <w:rFonts w:ascii="Cambria" w:hAnsi="Cambria" w:cs="Calibri"/>
          <w:sz w:val="20"/>
          <w:szCs w:val="20"/>
          <w:lang w:val="es-ES"/>
        </w:rPr>
        <w:t>esta</w:t>
      </w:r>
      <w:r w:rsidR="00FB7921" w:rsidRPr="00460523">
        <w:rPr>
          <w:rFonts w:ascii="Cambria" w:hAnsi="Cambria" w:cs="Calibri"/>
          <w:sz w:val="20"/>
          <w:szCs w:val="20"/>
          <w:lang w:val="es-ES_tradnl"/>
        </w:rPr>
        <w:t xml:space="preserve"> Comisión ha sostenido reiteradamente que la vía </w:t>
      </w:r>
      <w:r w:rsidR="00A46782" w:rsidRPr="00460523">
        <w:rPr>
          <w:rFonts w:ascii="Cambria" w:hAnsi="Cambria" w:cs="Calibri"/>
          <w:sz w:val="20"/>
          <w:szCs w:val="20"/>
          <w:lang w:val="es-ES_tradnl"/>
        </w:rPr>
        <w:t>contencioso-administrativa</w:t>
      </w:r>
      <w:r w:rsidR="00FB7921" w:rsidRPr="00460523">
        <w:rPr>
          <w:rFonts w:ascii="Cambria" w:hAnsi="Cambria" w:cs="Calibri"/>
          <w:sz w:val="20"/>
          <w:szCs w:val="20"/>
          <w:lang w:val="es-ES_tradnl"/>
        </w:rPr>
        <w:t xml:space="preserve"> no constituye un recurso idóneo a efectos de analizar la admisibilidad de un reclamo de la naturaleza del presente, ya que la misma no es adecuada para proporcionar una reparación integral y justicia a los familiares. </w:t>
      </w:r>
      <w:r w:rsidR="00F71AE4" w:rsidRPr="005053C0">
        <w:rPr>
          <w:rFonts w:ascii="Cambria" w:hAnsi="Cambria" w:cs="Calibri"/>
          <w:sz w:val="20"/>
          <w:szCs w:val="20"/>
          <w:lang w:val="es-ES_tradnl"/>
        </w:rPr>
        <w:t xml:space="preserve">Además, porque la reparación integral de una violación a un derecho protegido por la Convención no </w:t>
      </w:r>
      <w:r w:rsidR="00B41FC5" w:rsidRPr="005053C0">
        <w:rPr>
          <w:rFonts w:ascii="Cambria" w:hAnsi="Cambria" w:cs="Calibri"/>
          <w:sz w:val="20"/>
          <w:szCs w:val="20"/>
          <w:lang w:val="es-ES_tradnl"/>
        </w:rPr>
        <w:t>consiste únicamente en e</w:t>
      </w:r>
      <w:r w:rsidR="00F71AE4" w:rsidRPr="005053C0">
        <w:rPr>
          <w:rFonts w:ascii="Cambria" w:hAnsi="Cambria" w:cs="Calibri"/>
          <w:sz w:val="20"/>
          <w:szCs w:val="20"/>
          <w:lang w:val="es-ES_tradnl"/>
        </w:rPr>
        <w:t>l pago de compensación a las víctimas y sus familiares</w:t>
      </w:r>
      <w:r w:rsidR="00665D28" w:rsidRPr="005053C0">
        <w:rPr>
          <w:rFonts w:ascii="Cambria" w:hAnsi="Cambria" w:cs="Calibri"/>
          <w:sz w:val="20"/>
          <w:szCs w:val="20"/>
          <w:lang w:val="es-ES_tradnl"/>
        </w:rPr>
        <w:t>. La Comisión ha manifestad</w:t>
      </w:r>
      <w:r w:rsidR="00210E29" w:rsidRPr="005053C0">
        <w:rPr>
          <w:rFonts w:ascii="Cambria" w:hAnsi="Cambria" w:cs="Calibri"/>
          <w:sz w:val="20"/>
          <w:szCs w:val="20"/>
          <w:lang w:val="es-ES_tradnl"/>
        </w:rPr>
        <w:t>o</w:t>
      </w:r>
      <w:r w:rsidR="00665D28" w:rsidRPr="005053C0">
        <w:rPr>
          <w:rFonts w:ascii="Cambria" w:hAnsi="Cambria" w:cs="Calibri"/>
          <w:sz w:val="20"/>
          <w:szCs w:val="20"/>
          <w:lang w:val="es-ES_tradnl"/>
        </w:rPr>
        <w:t xml:space="preserve"> que resulta indispensable considerar elementos pecuniarios suficientes para resarcir tanto los daños materiales, como los daños morales sufridos, y no pecuniarios, medidas de satisfacción y garantías de no repetición, que reparen íntegramente las secuelas de la violación</w:t>
      </w:r>
      <w:r w:rsidR="00665D28">
        <w:rPr>
          <w:rStyle w:val="FootnoteReference"/>
          <w:rFonts w:ascii="Cambria" w:hAnsi="Cambria" w:cs="Calibri"/>
          <w:sz w:val="20"/>
          <w:szCs w:val="20"/>
          <w:lang w:val="es-ES_tradnl"/>
        </w:rPr>
        <w:footnoteReference w:id="10"/>
      </w:r>
      <w:r w:rsidR="00665D28">
        <w:rPr>
          <w:rFonts w:ascii="Cambria" w:hAnsi="Cambria" w:cs="Calibri"/>
          <w:sz w:val="20"/>
          <w:szCs w:val="20"/>
          <w:lang w:val="es-ES_tradnl"/>
        </w:rPr>
        <w:t xml:space="preserve">. </w:t>
      </w:r>
      <w:r w:rsidR="00A46782" w:rsidRPr="00460523">
        <w:rPr>
          <w:rFonts w:ascii="Cambria" w:hAnsi="Cambria" w:cs="Calibri"/>
          <w:sz w:val="20"/>
          <w:szCs w:val="20"/>
          <w:lang w:val="es-ES_tradnl"/>
        </w:rPr>
        <w:t xml:space="preserve">Pues, </w:t>
      </w:r>
      <w:r w:rsidR="00FB7921" w:rsidRPr="00460523">
        <w:rPr>
          <w:rFonts w:ascii="Cambria" w:hAnsi="Cambria" w:cs="Calibri"/>
          <w:sz w:val="20"/>
          <w:szCs w:val="20"/>
          <w:lang w:val="es-ES_tradnl"/>
        </w:rPr>
        <w:t xml:space="preserve">el reconocimiento de </w:t>
      </w:r>
      <w:r w:rsidR="00A46782" w:rsidRPr="00460523">
        <w:rPr>
          <w:rFonts w:ascii="Cambria" w:hAnsi="Cambria" w:cs="Calibri"/>
          <w:sz w:val="20"/>
          <w:szCs w:val="20"/>
          <w:lang w:val="es-ES_tradnl"/>
        </w:rPr>
        <w:t xml:space="preserve">medidas de </w:t>
      </w:r>
      <w:r w:rsidR="00FB7921" w:rsidRPr="00460523">
        <w:rPr>
          <w:rFonts w:ascii="Cambria" w:hAnsi="Cambria" w:cs="Calibri"/>
          <w:sz w:val="20"/>
          <w:szCs w:val="20"/>
          <w:lang w:val="es-ES_tradnl"/>
        </w:rPr>
        <w:t xml:space="preserve">reparaciones en los casos en los que se vean involucrados </w:t>
      </w:r>
      <w:r w:rsidR="00FB308D">
        <w:rPr>
          <w:rFonts w:ascii="Cambria" w:hAnsi="Cambria" w:cs="Calibri"/>
          <w:sz w:val="20"/>
          <w:szCs w:val="20"/>
          <w:lang w:val="es-ES_tradnl"/>
        </w:rPr>
        <w:t>niños</w:t>
      </w:r>
      <w:r w:rsidR="00FB308D" w:rsidRPr="00460523">
        <w:rPr>
          <w:rFonts w:ascii="Cambria" w:hAnsi="Cambria" w:cs="Calibri"/>
          <w:sz w:val="20"/>
          <w:szCs w:val="20"/>
          <w:lang w:val="es-ES_tradnl"/>
        </w:rPr>
        <w:t xml:space="preserve"> </w:t>
      </w:r>
      <w:r w:rsidR="00FB7921" w:rsidRPr="00460523">
        <w:rPr>
          <w:rFonts w:ascii="Cambria" w:hAnsi="Cambria" w:cs="Calibri"/>
          <w:sz w:val="20"/>
          <w:szCs w:val="20"/>
          <w:lang w:val="es-ES_tradnl"/>
        </w:rPr>
        <w:t xml:space="preserve">debe ser entendido como todas aquellas </w:t>
      </w:r>
      <w:r w:rsidR="00A46782" w:rsidRPr="00460523">
        <w:rPr>
          <w:rFonts w:ascii="Cambria" w:hAnsi="Cambria" w:cs="Calibri"/>
          <w:sz w:val="20"/>
          <w:szCs w:val="20"/>
          <w:lang w:val="es-ES_tradnl"/>
        </w:rPr>
        <w:t>actuaciones y decisiones</w:t>
      </w:r>
      <w:r w:rsidR="00FB7921" w:rsidRPr="00460523">
        <w:rPr>
          <w:rFonts w:ascii="Cambria" w:hAnsi="Cambria" w:cs="Calibri"/>
          <w:sz w:val="20"/>
          <w:szCs w:val="20"/>
          <w:lang w:val="es-ES_tradnl"/>
        </w:rPr>
        <w:t xml:space="preserve"> que objetiva y simbólicamente restituyan a la víctima al Estado anterior a la comisión del daño</w:t>
      </w:r>
      <w:r w:rsidR="00FB7921" w:rsidRPr="00460523">
        <w:rPr>
          <w:rStyle w:val="FootnoteReference"/>
          <w:rFonts w:ascii="Cambria" w:hAnsi="Cambria" w:cs="Calibri"/>
          <w:sz w:val="20"/>
          <w:szCs w:val="20"/>
          <w:lang w:val="es-ES_tradnl"/>
        </w:rPr>
        <w:footnoteReference w:id="11"/>
      </w:r>
      <w:r w:rsidR="00FB7921" w:rsidRPr="00460523">
        <w:rPr>
          <w:rFonts w:ascii="Cambria" w:hAnsi="Cambria" w:cs="Calibri"/>
          <w:sz w:val="20"/>
          <w:szCs w:val="20"/>
          <w:lang w:val="es-ES_tradnl"/>
        </w:rPr>
        <w:t xml:space="preserve">. </w:t>
      </w:r>
      <w:r w:rsidR="0094791B" w:rsidRPr="00460523">
        <w:rPr>
          <w:rFonts w:ascii="Cambria" w:hAnsi="Cambria" w:cs="Calibri"/>
          <w:sz w:val="20"/>
          <w:szCs w:val="20"/>
          <w:lang w:val="es-ES_tradnl"/>
        </w:rPr>
        <w:t>Por lo anterior, esta Comisión considera que frente al proceso de reparación d</w:t>
      </w:r>
      <w:r w:rsidR="001F1792" w:rsidRPr="00460523">
        <w:rPr>
          <w:rFonts w:ascii="Cambria" w:hAnsi="Cambria" w:cs="Calibri"/>
          <w:sz w:val="20"/>
          <w:szCs w:val="20"/>
          <w:lang w:val="es-ES_tradnl"/>
        </w:rPr>
        <w:t xml:space="preserve">irecta </w:t>
      </w:r>
      <w:r w:rsidR="001A3143" w:rsidRPr="00460523">
        <w:rPr>
          <w:rFonts w:ascii="Cambria" w:hAnsi="Cambria" w:cs="Calibri"/>
          <w:sz w:val="20"/>
          <w:szCs w:val="20"/>
          <w:lang w:val="es-ES_tradnl"/>
        </w:rPr>
        <w:t>co</w:t>
      </w:r>
      <w:r w:rsidR="001F1792" w:rsidRPr="00460523">
        <w:rPr>
          <w:rFonts w:ascii="Cambria" w:hAnsi="Cambria" w:cs="Calibri"/>
          <w:sz w:val="20"/>
          <w:szCs w:val="20"/>
          <w:lang w:val="es-ES_tradnl"/>
        </w:rPr>
        <w:t xml:space="preserve">n </w:t>
      </w:r>
      <w:r w:rsidR="001F1792" w:rsidRPr="00F6094B">
        <w:rPr>
          <w:rFonts w:ascii="Cambria" w:hAnsi="Cambria" w:cs="Calibri"/>
          <w:sz w:val="20"/>
          <w:szCs w:val="20"/>
          <w:lang w:val="es-ES_tradnl"/>
        </w:rPr>
        <w:t>relación a la obtención de una reparación integral</w:t>
      </w:r>
      <w:r w:rsidR="00CB6E50" w:rsidRPr="00F6094B">
        <w:rPr>
          <w:rFonts w:ascii="Cambria" w:hAnsi="Cambria" w:cs="Calibri"/>
          <w:sz w:val="20"/>
          <w:szCs w:val="20"/>
          <w:lang w:val="es-ES_tradnl"/>
        </w:rPr>
        <w:t xml:space="preserve"> </w:t>
      </w:r>
      <w:r w:rsidR="001F1792" w:rsidRPr="00F6094B">
        <w:rPr>
          <w:rFonts w:ascii="Cambria" w:hAnsi="Cambria" w:cs="Calibri"/>
          <w:sz w:val="20"/>
          <w:szCs w:val="20"/>
          <w:lang w:val="es-ES_tradnl"/>
        </w:rPr>
        <w:t>resulta</w:t>
      </w:r>
      <w:r w:rsidR="00CB6E50" w:rsidRPr="00F6094B">
        <w:rPr>
          <w:rFonts w:ascii="Cambria" w:hAnsi="Cambria" w:cs="Calibri"/>
          <w:sz w:val="20"/>
          <w:szCs w:val="20"/>
          <w:lang w:val="es-ES_tradnl"/>
        </w:rPr>
        <w:t xml:space="preserve"> aplicabilidad </w:t>
      </w:r>
      <w:r w:rsidR="003602CC" w:rsidRPr="00F6094B">
        <w:rPr>
          <w:rFonts w:ascii="Cambria" w:hAnsi="Cambria" w:cs="Calibri"/>
          <w:sz w:val="20"/>
          <w:szCs w:val="20"/>
          <w:lang w:val="es-ES_tradnl"/>
        </w:rPr>
        <w:t>l</w:t>
      </w:r>
      <w:r w:rsidR="00B85D5B" w:rsidRPr="00F6094B">
        <w:rPr>
          <w:rFonts w:ascii="Cambria" w:hAnsi="Cambria" w:cs="Calibri"/>
          <w:sz w:val="20"/>
          <w:szCs w:val="20"/>
          <w:lang w:val="es-ES_tradnl"/>
        </w:rPr>
        <w:t>a</w:t>
      </w:r>
      <w:r w:rsidR="003602CC" w:rsidRPr="00F6094B">
        <w:rPr>
          <w:rFonts w:ascii="Cambria" w:hAnsi="Cambria" w:cs="Calibri"/>
          <w:sz w:val="20"/>
          <w:szCs w:val="20"/>
          <w:lang w:val="es-ES_tradnl"/>
        </w:rPr>
        <w:t xml:space="preserve"> excepción d</w:t>
      </w:r>
      <w:r w:rsidR="00CB6E50" w:rsidRPr="00F6094B">
        <w:rPr>
          <w:rFonts w:ascii="Cambria" w:hAnsi="Cambria" w:cs="Calibri"/>
          <w:sz w:val="20"/>
          <w:szCs w:val="20"/>
          <w:lang w:val="es-ES_tradnl"/>
        </w:rPr>
        <w:t>el artículo 46.2 (b) de la Convención Americana.</w:t>
      </w:r>
      <w:r w:rsidR="00B41FC5" w:rsidRPr="00F6094B">
        <w:rPr>
          <w:rFonts w:ascii="Cambria" w:hAnsi="Cambria" w:cs="Calibri"/>
          <w:sz w:val="20"/>
          <w:szCs w:val="20"/>
          <w:lang w:val="es-ES_tradnl"/>
        </w:rPr>
        <w:t xml:space="preserve"> </w:t>
      </w:r>
      <w:r w:rsidR="00FD1D99" w:rsidRPr="00F6094B">
        <w:rPr>
          <w:rFonts w:ascii="Cambria" w:hAnsi="Cambria" w:cs="Calibri"/>
          <w:sz w:val="20"/>
          <w:szCs w:val="20"/>
          <w:lang w:val="es-ES_tradnl"/>
        </w:rPr>
        <w:t xml:space="preserve">A </w:t>
      </w:r>
      <w:r w:rsidR="00C862DA" w:rsidRPr="00F6094B">
        <w:rPr>
          <w:rFonts w:ascii="Cambria" w:hAnsi="Cambria" w:cs="Calibri"/>
          <w:sz w:val="20"/>
          <w:szCs w:val="20"/>
          <w:lang w:val="es-ES_tradnl"/>
        </w:rPr>
        <w:t>su</w:t>
      </w:r>
      <w:r w:rsidR="00FD1D99" w:rsidRPr="00F6094B">
        <w:rPr>
          <w:rFonts w:ascii="Cambria" w:hAnsi="Cambria" w:cs="Calibri"/>
          <w:sz w:val="20"/>
          <w:szCs w:val="20"/>
          <w:lang w:val="es-ES_tradnl"/>
        </w:rPr>
        <w:t xml:space="preserve"> vez, </w:t>
      </w:r>
      <w:r w:rsidR="00F6094B" w:rsidRPr="00F6094B">
        <w:rPr>
          <w:rFonts w:ascii="Cambria" w:hAnsi="Cambria" w:cs="Calibri"/>
          <w:sz w:val="20"/>
          <w:szCs w:val="20"/>
          <w:lang w:val="es-ES_tradnl"/>
        </w:rPr>
        <w:t>la</w:t>
      </w:r>
      <w:r w:rsidR="00FD1D99" w:rsidRPr="00F6094B">
        <w:rPr>
          <w:rFonts w:ascii="Cambria" w:hAnsi="Cambria" w:cs="Calibri"/>
          <w:sz w:val="20"/>
          <w:szCs w:val="20"/>
          <w:lang w:val="es-ES_tradnl"/>
        </w:rPr>
        <w:t xml:space="preserve"> Comisión tomará en consideración en la etapa de fondo</w:t>
      </w:r>
      <w:r w:rsidR="00BD00A6" w:rsidRPr="00F6094B">
        <w:rPr>
          <w:rFonts w:ascii="Cambria" w:hAnsi="Cambria" w:cs="Calibri"/>
          <w:sz w:val="20"/>
          <w:szCs w:val="20"/>
          <w:lang w:val="es-ES_tradnl"/>
        </w:rPr>
        <w:t xml:space="preserve"> </w:t>
      </w:r>
      <w:r w:rsidR="00763B01" w:rsidRPr="00F6094B">
        <w:rPr>
          <w:rFonts w:ascii="Cambria" w:hAnsi="Cambria" w:cs="Calibri"/>
          <w:sz w:val="20"/>
          <w:szCs w:val="20"/>
          <w:lang w:val="es-ES_tradnl"/>
        </w:rPr>
        <w:t xml:space="preserve">las sumas de dinero </w:t>
      </w:r>
      <w:r w:rsidR="00FD1D99" w:rsidRPr="00F6094B">
        <w:rPr>
          <w:rFonts w:ascii="Cambria" w:hAnsi="Cambria" w:cs="Calibri"/>
          <w:sz w:val="20"/>
          <w:szCs w:val="20"/>
          <w:lang w:val="es-ES_tradnl"/>
        </w:rPr>
        <w:t>pag</w:t>
      </w:r>
      <w:r w:rsidR="00763B01" w:rsidRPr="00F6094B">
        <w:rPr>
          <w:rFonts w:ascii="Cambria" w:hAnsi="Cambria" w:cs="Calibri"/>
          <w:sz w:val="20"/>
          <w:szCs w:val="20"/>
          <w:lang w:val="es-ES_tradnl"/>
        </w:rPr>
        <w:t xml:space="preserve">adas por </w:t>
      </w:r>
      <w:r w:rsidR="00FD1D99" w:rsidRPr="00F6094B">
        <w:rPr>
          <w:rFonts w:ascii="Cambria" w:hAnsi="Cambria" w:cs="Calibri"/>
          <w:sz w:val="20"/>
          <w:szCs w:val="20"/>
          <w:lang w:val="es-ES_tradnl"/>
        </w:rPr>
        <w:t xml:space="preserve">el Estado a las presuntas víctimas por los daños causados a los </w:t>
      </w:r>
      <w:r w:rsidR="00763B01" w:rsidRPr="00F6094B">
        <w:rPr>
          <w:rFonts w:ascii="Cambria" w:hAnsi="Cambria" w:cs="Calibri"/>
          <w:sz w:val="20"/>
          <w:szCs w:val="20"/>
          <w:lang w:val="es-ES_tradnl"/>
        </w:rPr>
        <w:t xml:space="preserve">jóvenes </w:t>
      </w:r>
      <w:r w:rsidR="00FD1D99" w:rsidRPr="00F6094B">
        <w:rPr>
          <w:rFonts w:ascii="Cambria" w:hAnsi="Cambria" w:cs="Calibri"/>
          <w:sz w:val="20"/>
          <w:szCs w:val="20"/>
          <w:lang w:val="es-ES_tradnl"/>
        </w:rPr>
        <w:t>menores</w:t>
      </w:r>
      <w:r w:rsidR="00763B01" w:rsidRPr="00F6094B">
        <w:rPr>
          <w:rFonts w:ascii="Cambria" w:hAnsi="Cambria" w:cs="Calibri"/>
          <w:sz w:val="20"/>
          <w:szCs w:val="20"/>
          <w:lang w:val="es-ES_tradnl"/>
        </w:rPr>
        <w:t xml:space="preserve"> de edad</w:t>
      </w:r>
      <w:r w:rsidR="00FD1D99" w:rsidRPr="00F6094B">
        <w:rPr>
          <w:rFonts w:ascii="Cambria" w:hAnsi="Cambria" w:cs="Calibri"/>
          <w:sz w:val="20"/>
          <w:szCs w:val="20"/>
          <w:lang w:val="es-ES_tradnl"/>
        </w:rPr>
        <w:t>.</w:t>
      </w:r>
      <w:r w:rsidR="00B41FC5">
        <w:rPr>
          <w:rFonts w:ascii="Cambria" w:hAnsi="Cambria" w:cs="Calibri"/>
          <w:sz w:val="20"/>
          <w:szCs w:val="20"/>
          <w:lang w:val="es-ES_tradnl"/>
        </w:rPr>
        <w:t xml:space="preserve"> </w:t>
      </w:r>
    </w:p>
    <w:p w14:paraId="281D1D8C" w14:textId="28CAF171" w:rsidR="00911FAB" w:rsidRPr="000C4E97" w:rsidRDefault="002C1FD5" w:rsidP="00C1282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0C4E97">
        <w:rPr>
          <w:rFonts w:ascii="Cambria" w:hAnsi="Cambria"/>
          <w:sz w:val="20"/>
          <w:szCs w:val="20"/>
          <w:lang w:val="es-ES"/>
        </w:rPr>
        <w:t xml:space="preserve"> </w:t>
      </w:r>
      <w:r w:rsidR="00946394" w:rsidRPr="000C4E97">
        <w:rPr>
          <w:rFonts w:ascii="Cambria" w:hAnsi="Cambria"/>
          <w:sz w:val="20"/>
          <w:szCs w:val="20"/>
          <w:lang w:val="es-ES"/>
        </w:rPr>
        <w:t>En cuanto al plazo de presentación, toda vez que se ha establecido la aplicación de la excepción del agotamiento de los recursos internos antes mencionada, que la petición ante la CIDH fue recibida el 15 de mayo de 2009 y los hechos materia del reclamo se iniciaron en el mes de enero del 2000 pero sus efectos se extenderían hasta el presente, la Comisión considera que debe darse por satisfecho dicho requisito de admisibilidad.</w:t>
      </w:r>
    </w:p>
    <w:p w14:paraId="6F6B9E33" w14:textId="7EDBFBC9" w:rsidR="002508C5" w:rsidRPr="000C4E97" w:rsidRDefault="002508C5" w:rsidP="002508C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b/>
          <w:bCs/>
          <w:sz w:val="20"/>
          <w:szCs w:val="20"/>
          <w:lang w:val="es-ES"/>
        </w:rPr>
      </w:pPr>
      <w:r w:rsidRPr="000C4E97">
        <w:rPr>
          <w:rFonts w:ascii="Cambria" w:hAnsi="Cambria"/>
          <w:b/>
          <w:bCs/>
          <w:sz w:val="20"/>
          <w:szCs w:val="20"/>
          <w:lang w:val="es-ES"/>
        </w:rPr>
        <w:t xml:space="preserve">VII. </w:t>
      </w:r>
      <w:r w:rsidR="003B75C4">
        <w:rPr>
          <w:rFonts w:ascii="Cambria" w:hAnsi="Cambria"/>
          <w:b/>
          <w:bCs/>
          <w:sz w:val="20"/>
          <w:szCs w:val="20"/>
          <w:lang w:val="es-ES"/>
        </w:rPr>
        <w:tab/>
      </w:r>
      <w:r w:rsidRPr="000C4E97">
        <w:rPr>
          <w:rFonts w:ascii="Cambria" w:hAnsi="Cambria"/>
          <w:b/>
          <w:bCs/>
          <w:sz w:val="20"/>
          <w:szCs w:val="20"/>
          <w:lang w:val="es-ES"/>
        </w:rPr>
        <w:t>ANÁLISIS DE CARACTERIZACIÓN DE LOS HECHOS ALEGADOS</w:t>
      </w:r>
    </w:p>
    <w:p w14:paraId="5C05DB35" w14:textId="4CA434BD" w:rsidR="0070044D" w:rsidRPr="000C4E97" w:rsidRDefault="0070044D" w:rsidP="004458F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0C4E97">
        <w:rPr>
          <w:rFonts w:ascii="Cambria" w:hAnsi="Cambria"/>
          <w:sz w:val="20"/>
          <w:szCs w:val="20"/>
          <w:lang w:val="es-ES"/>
        </w:rPr>
        <w:t xml:space="preserve">La Comisión observa que la presente petición incluye alegaciones con respecto a la vulneración del derecho a la vida e integridad de los </w:t>
      </w:r>
      <w:r w:rsidR="00FB308D">
        <w:rPr>
          <w:rFonts w:ascii="Cambria" w:hAnsi="Cambria"/>
          <w:sz w:val="20"/>
          <w:szCs w:val="20"/>
          <w:lang w:val="es-ES"/>
        </w:rPr>
        <w:t>niños</w:t>
      </w:r>
      <w:r w:rsidR="00FB308D" w:rsidRPr="000C4E97">
        <w:rPr>
          <w:rFonts w:ascii="Cambria" w:hAnsi="Cambria"/>
          <w:sz w:val="20"/>
          <w:szCs w:val="20"/>
          <w:lang w:val="es-ES"/>
        </w:rPr>
        <w:t xml:space="preserve"> </w:t>
      </w:r>
      <w:r w:rsidRPr="000C4E97">
        <w:rPr>
          <w:rFonts w:ascii="Cambria" w:hAnsi="Cambria"/>
          <w:sz w:val="20"/>
          <w:szCs w:val="20"/>
          <w:lang w:val="es-ES"/>
        </w:rPr>
        <w:t xml:space="preserve">Frank Yeisson Acosta Hernández, Jhojan Andrés Mogollón Hernández y William Fabián Escobar Barrera, </w:t>
      </w:r>
      <w:r w:rsidR="00686FB5" w:rsidRPr="000C4E97">
        <w:rPr>
          <w:rFonts w:ascii="Cambria" w:hAnsi="Cambria"/>
          <w:sz w:val="20"/>
          <w:szCs w:val="20"/>
          <w:lang w:val="es-ES"/>
        </w:rPr>
        <w:t>por</w:t>
      </w:r>
      <w:r w:rsidRPr="000C4E97">
        <w:rPr>
          <w:rFonts w:ascii="Cambria" w:hAnsi="Cambria"/>
          <w:sz w:val="20"/>
          <w:szCs w:val="20"/>
          <w:lang w:val="es-ES"/>
        </w:rPr>
        <w:t xml:space="preserve"> la detonación de una granada de fragmentación </w:t>
      </w:r>
      <w:r w:rsidR="00686FB5" w:rsidRPr="000C4E97">
        <w:rPr>
          <w:rFonts w:ascii="Cambria" w:hAnsi="Cambria"/>
          <w:sz w:val="20"/>
          <w:szCs w:val="20"/>
          <w:lang w:val="es-ES"/>
        </w:rPr>
        <w:t xml:space="preserve">abandonada </w:t>
      </w:r>
      <w:r w:rsidR="00C12820" w:rsidRPr="000C4E97">
        <w:rPr>
          <w:rFonts w:ascii="Cambria" w:hAnsi="Cambria"/>
          <w:sz w:val="20"/>
          <w:szCs w:val="20"/>
          <w:lang w:val="es-ES"/>
        </w:rPr>
        <w:t xml:space="preserve">en terreno colindante entre la vivienda en la que residían los </w:t>
      </w:r>
      <w:r w:rsidR="00FB308D">
        <w:rPr>
          <w:rFonts w:ascii="Cambria" w:hAnsi="Cambria"/>
          <w:sz w:val="20"/>
          <w:szCs w:val="20"/>
          <w:lang w:val="es-ES"/>
        </w:rPr>
        <w:t xml:space="preserve">niños </w:t>
      </w:r>
      <w:r w:rsidR="00C12820" w:rsidRPr="000C4E97">
        <w:rPr>
          <w:rFonts w:ascii="Cambria" w:hAnsi="Cambria"/>
          <w:sz w:val="20"/>
          <w:szCs w:val="20"/>
          <w:lang w:val="es-ES"/>
        </w:rPr>
        <w:t>y las instalaciones del</w:t>
      </w:r>
      <w:r w:rsidR="00686FB5" w:rsidRPr="000C4E97">
        <w:rPr>
          <w:rFonts w:ascii="Cambria" w:hAnsi="Cambria"/>
          <w:sz w:val="20"/>
          <w:szCs w:val="20"/>
          <w:lang w:val="es-ES"/>
        </w:rPr>
        <w:t xml:space="preserve"> Batallón</w:t>
      </w:r>
      <w:r w:rsidR="00C12820" w:rsidRPr="000C4E97">
        <w:rPr>
          <w:rFonts w:ascii="Cambria" w:hAnsi="Cambria"/>
          <w:sz w:val="20"/>
          <w:szCs w:val="20"/>
          <w:lang w:val="es-ES"/>
        </w:rPr>
        <w:t xml:space="preserve"> Militar</w:t>
      </w:r>
      <w:r w:rsidR="00686FB5" w:rsidRPr="000C4E97">
        <w:rPr>
          <w:rFonts w:ascii="Cambria" w:hAnsi="Cambria"/>
          <w:sz w:val="20"/>
          <w:szCs w:val="20"/>
          <w:lang w:val="es-ES"/>
        </w:rPr>
        <w:t xml:space="preserve"> 21 Vargas </w:t>
      </w:r>
      <w:r w:rsidRPr="000C4E97">
        <w:rPr>
          <w:rFonts w:ascii="Cambria" w:hAnsi="Cambria"/>
          <w:sz w:val="20"/>
          <w:szCs w:val="20"/>
          <w:lang w:val="es-ES"/>
        </w:rPr>
        <w:t xml:space="preserve">y que causó la amputación de </w:t>
      </w:r>
      <w:r w:rsidR="00686FB5" w:rsidRPr="000C4E97">
        <w:rPr>
          <w:rFonts w:ascii="Cambria" w:hAnsi="Cambria"/>
          <w:sz w:val="20"/>
          <w:szCs w:val="20"/>
          <w:lang w:val="es-ES"/>
        </w:rPr>
        <w:t>las</w:t>
      </w:r>
      <w:r w:rsidRPr="000C4E97">
        <w:rPr>
          <w:rFonts w:ascii="Cambria" w:hAnsi="Cambria"/>
          <w:sz w:val="20"/>
          <w:szCs w:val="20"/>
          <w:lang w:val="es-ES"/>
        </w:rPr>
        <w:t xml:space="preserve"> extremidades</w:t>
      </w:r>
      <w:r w:rsidR="00686FB5" w:rsidRPr="000C4E97">
        <w:rPr>
          <w:rFonts w:ascii="Cambria" w:hAnsi="Cambria"/>
          <w:sz w:val="20"/>
          <w:szCs w:val="20"/>
          <w:lang w:val="es-ES"/>
        </w:rPr>
        <w:t xml:space="preserve"> de los </w:t>
      </w:r>
      <w:r w:rsidR="00FB308D">
        <w:rPr>
          <w:rFonts w:ascii="Cambria" w:hAnsi="Cambria"/>
          <w:sz w:val="20"/>
          <w:szCs w:val="20"/>
          <w:lang w:val="es-ES"/>
        </w:rPr>
        <w:t>niños</w:t>
      </w:r>
      <w:r w:rsidR="00686FB5" w:rsidRPr="000C4E97">
        <w:rPr>
          <w:rFonts w:ascii="Cambria" w:hAnsi="Cambria"/>
          <w:sz w:val="20"/>
          <w:szCs w:val="20"/>
          <w:lang w:val="es-ES"/>
        </w:rPr>
        <w:t>. Adicionalmente, se alegan violaciones al derecho</w:t>
      </w:r>
      <w:r w:rsidR="00852FEA">
        <w:rPr>
          <w:rFonts w:ascii="Cambria" w:hAnsi="Cambria"/>
          <w:sz w:val="20"/>
          <w:szCs w:val="20"/>
          <w:lang w:val="es-ES"/>
        </w:rPr>
        <w:t xml:space="preserve"> que asiste a las presuntas víctimas de acceder a la justicia, garantías judiciales,</w:t>
      </w:r>
      <w:r w:rsidR="00686FB5" w:rsidRPr="000C4E97">
        <w:rPr>
          <w:rFonts w:ascii="Cambria" w:hAnsi="Cambria"/>
          <w:sz w:val="20"/>
          <w:szCs w:val="20"/>
          <w:lang w:val="es-ES"/>
        </w:rPr>
        <w:t xml:space="preserve"> a la </w:t>
      </w:r>
      <w:r w:rsidR="00325D5D">
        <w:rPr>
          <w:rFonts w:ascii="Cambria" w:hAnsi="Cambria"/>
          <w:sz w:val="20"/>
          <w:szCs w:val="20"/>
          <w:lang w:val="es-ES"/>
        </w:rPr>
        <w:t>reparación integral</w:t>
      </w:r>
      <w:r w:rsidR="00686FB5" w:rsidRPr="000C4E97">
        <w:rPr>
          <w:rFonts w:ascii="Cambria" w:hAnsi="Cambria"/>
          <w:sz w:val="20"/>
          <w:szCs w:val="20"/>
          <w:lang w:val="es-ES"/>
        </w:rPr>
        <w:t xml:space="preserve"> y con ello la </w:t>
      </w:r>
      <w:r w:rsidR="004018EE" w:rsidRPr="000C4E97">
        <w:rPr>
          <w:rFonts w:ascii="Cambria" w:hAnsi="Cambria"/>
          <w:sz w:val="20"/>
          <w:szCs w:val="20"/>
          <w:lang w:val="es-ES"/>
        </w:rPr>
        <w:t xml:space="preserve">falta de individualización de los responsables </w:t>
      </w:r>
      <w:r w:rsidR="00325D5D">
        <w:rPr>
          <w:rFonts w:ascii="Cambria" w:hAnsi="Cambria"/>
          <w:sz w:val="20"/>
          <w:szCs w:val="20"/>
          <w:lang w:val="es-ES"/>
        </w:rPr>
        <w:t xml:space="preserve">de aquella omisión que provocó lesiones a </w:t>
      </w:r>
      <w:r w:rsidR="004018EE" w:rsidRPr="000C4E97">
        <w:rPr>
          <w:rFonts w:ascii="Cambria" w:hAnsi="Cambria"/>
          <w:sz w:val="20"/>
          <w:szCs w:val="20"/>
          <w:lang w:val="es-ES"/>
        </w:rPr>
        <w:t>las presuntas víctimas. Finalmente, se presentan alegatos relacionados con la vulneración de los derechos de los niños.</w:t>
      </w:r>
    </w:p>
    <w:p w14:paraId="74CF5258" w14:textId="06A181D3" w:rsidR="002526DC" w:rsidRPr="000C4E97" w:rsidRDefault="00B73C3C" w:rsidP="004458F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0C4E97">
        <w:rPr>
          <w:rFonts w:ascii="Cambria" w:hAnsi="Cambria"/>
          <w:sz w:val="20"/>
          <w:szCs w:val="20"/>
          <w:lang w:val="es-ES"/>
        </w:rPr>
        <w:t>Con</w:t>
      </w:r>
      <w:r w:rsidR="002526DC" w:rsidRPr="000C4E97">
        <w:rPr>
          <w:rFonts w:ascii="Cambria" w:hAnsi="Cambria"/>
          <w:sz w:val="20"/>
          <w:szCs w:val="20"/>
          <w:lang w:val="es-ES"/>
        </w:rPr>
        <w:t xml:space="preserve"> relación al derecho a la vida</w:t>
      </w:r>
      <w:r w:rsidR="00460523">
        <w:rPr>
          <w:rFonts w:ascii="Cambria" w:hAnsi="Cambria"/>
          <w:sz w:val="20"/>
          <w:szCs w:val="20"/>
          <w:lang w:val="es-ES"/>
        </w:rPr>
        <w:t xml:space="preserve"> e integridad personal</w:t>
      </w:r>
      <w:r w:rsidR="002526DC" w:rsidRPr="000C4E97">
        <w:rPr>
          <w:rFonts w:ascii="Cambria" w:hAnsi="Cambria"/>
          <w:sz w:val="20"/>
          <w:szCs w:val="20"/>
          <w:lang w:val="es-ES"/>
        </w:rPr>
        <w:t xml:space="preserve">, la Corte IDH ha establecido que la obligación del Estado </w:t>
      </w:r>
      <w:r w:rsidR="007F3DEA" w:rsidRPr="000C4E97">
        <w:rPr>
          <w:rFonts w:ascii="Cambria" w:hAnsi="Cambria"/>
          <w:sz w:val="20"/>
          <w:szCs w:val="20"/>
          <w:lang w:val="es-ES"/>
        </w:rPr>
        <w:t>d</w:t>
      </w:r>
      <w:r w:rsidR="002526DC" w:rsidRPr="000C4E97">
        <w:rPr>
          <w:rFonts w:ascii="Cambria" w:hAnsi="Cambria"/>
          <w:sz w:val="20"/>
          <w:szCs w:val="20"/>
          <w:lang w:val="es-ES"/>
        </w:rPr>
        <w:t xml:space="preserve">e respetar el derecho a la vida de toda persona bajo su jurisdicción presenta </w:t>
      </w:r>
      <w:r w:rsidR="002526DC" w:rsidRPr="000C4E97">
        <w:rPr>
          <w:rFonts w:ascii="Cambria" w:hAnsi="Cambria"/>
          <w:sz w:val="20"/>
          <w:szCs w:val="20"/>
          <w:lang w:val="es-ES"/>
        </w:rPr>
        <w:lastRenderedPageBreak/>
        <w:t>modalidades especiales en el caso de los niños y niñas, y se transforma en una obligación de prevenir situaciones que pudieran conducir, por acción u omisión, a la afectación de aquél</w:t>
      </w:r>
      <w:r w:rsidR="002526DC" w:rsidRPr="000C4E97">
        <w:rPr>
          <w:rStyle w:val="FootnoteReference"/>
          <w:rFonts w:ascii="Cambria" w:hAnsi="Cambria"/>
          <w:sz w:val="20"/>
          <w:szCs w:val="20"/>
          <w:lang w:val="es-ES"/>
        </w:rPr>
        <w:footnoteReference w:id="12"/>
      </w:r>
      <w:r w:rsidR="00916DBA" w:rsidRPr="000C4E97">
        <w:rPr>
          <w:rFonts w:ascii="Cambria" w:hAnsi="Cambria"/>
          <w:sz w:val="20"/>
          <w:szCs w:val="20"/>
          <w:lang w:val="es-ES"/>
        </w:rPr>
        <w:t>.</w:t>
      </w:r>
      <w:r w:rsidR="00401F3D" w:rsidRPr="000C4E97">
        <w:rPr>
          <w:rFonts w:ascii="Cambria" w:hAnsi="Cambria"/>
          <w:sz w:val="20"/>
          <w:szCs w:val="20"/>
          <w:lang w:val="es-ES"/>
        </w:rPr>
        <w:t xml:space="preserve"> </w:t>
      </w:r>
      <w:r w:rsidRPr="000C4E97">
        <w:rPr>
          <w:rFonts w:ascii="Cambria" w:hAnsi="Cambria"/>
          <w:sz w:val="20"/>
          <w:szCs w:val="20"/>
          <w:lang w:val="es-ES"/>
        </w:rPr>
        <w:t>Además,</w:t>
      </w:r>
      <w:r w:rsidR="00401F3D" w:rsidRPr="000C4E97">
        <w:rPr>
          <w:rFonts w:ascii="Cambria" w:hAnsi="Cambria"/>
          <w:sz w:val="20"/>
          <w:szCs w:val="20"/>
          <w:lang w:val="es-ES"/>
        </w:rPr>
        <w:t xml:space="preserve"> el Tribunal consideró que reviste especial gravedad los casos en los cuales las víctimas de violaciones </w:t>
      </w:r>
      <w:r w:rsidR="007F3DEA" w:rsidRPr="000C4E97">
        <w:rPr>
          <w:rFonts w:ascii="Cambria" w:hAnsi="Cambria"/>
          <w:sz w:val="20"/>
          <w:szCs w:val="20"/>
          <w:lang w:val="es-ES"/>
        </w:rPr>
        <w:t xml:space="preserve">a los derechos humanos son </w:t>
      </w:r>
      <w:r w:rsidR="00401F3D" w:rsidRPr="000C4E97">
        <w:rPr>
          <w:rFonts w:ascii="Cambria" w:hAnsi="Cambria"/>
          <w:sz w:val="20"/>
          <w:szCs w:val="20"/>
          <w:lang w:val="es-ES"/>
        </w:rPr>
        <w:t>niños y niñas</w:t>
      </w:r>
      <w:r w:rsidR="007F3DEA" w:rsidRPr="000C4E97">
        <w:rPr>
          <w:rFonts w:ascii="Cambria" w:hAnsi="Cambria"/>
          <w:sz w:val="20"/>
          <w:szCs w:val="20"/>
          <w:lang w:val="es-ES"/>
        </w:rPr>
        <w:t>;</w:t>
      </w:r>
      <w:r w:rsidR="00401F3D" w:rsidRPr="000C4E97">
        <w:rPr>
          <w:rFonts w:ascii="Cambria" w:hAnsi="Cambria"/>
          <w:sz w:val="20"/>
          <w:szCs w:val="20"/>
          <w:lang w:val="es-ES"/>
        </w:rPr>
        <w:t xml:space="preserve"> quienes tienen además derechos especiales derivados de su condición, a los que</w:t>
      </w:r>
      <w:r w:rsidR="007F3DEA" w:rsidRPr="000C4E97">
        <w:rPr>
          <w:rFonts w:ascii="Cambria" w:hAnsi="Cambria"/>
          <w:sz w:val="20"/>
          <w:szCs w:val="20"/>
          <w:lang w:val="es-ES"/>
        </w:rPr>
        <w:t xml:space="preserve"> les</w:t>
      </w:r>
      <w:r w:rsidR="00401F3D" w:rsidRPr="000C4E97">
        <w:rPr>
          <w:rFonts w:ascii="Cambria" w:hAnsi="Cambria"/>
          <w:sz w:val="20"/>
          <w:szCs w:val="20"/>
          <w:lang w:val="es-ES"/>
        </w:rPr>
        <w:t xml:space="preserve"> corresponden deberes específicos de la familia, la sociedad y el Estado. Por todo ello, </w:t>
      </w:r>
      <w:r w:rsidR="007565D9" w:rsidRPr="000C4E97">
        <w:rPr>
          <w:rFonts w:ascii="Cambria" w:hAnsi="Cambria"/>
          <w:sz w:val="20"/>
          <w:szCs w:val="20"/>
          <w:lang w:val="es-ES"/>
        </w:rPr>
        <w:t>los derechos del niño establecido en</w:t>
      </w:r>
      <w:r w:rsidR="00401F3D" w:rsidRPr="000C4E97">
        <w:rPr>
          <w:rFonts w:ascii="Cambria" w:hAnsi="Cambria"/>
          <w:sz w:val="20"/>
          <w:szCs w:val="20"/>
          <w:lang w:val="es-ES"/>
        </w:rPr>
        <w:t xml:space="preserve"> la Convención </w:t>
      </w:r>
      <w:r w:rsidR="007565D9" w:rsidRPr="000C4E97">
        <w:rPr>
          <w:rFonts w:ascii="Cambria" w:hAnsi="Cambria"/>
          <w:sz w:val="20"/>
          <w:szCs w:val="20"/>
          <w:lang w:val="es-ES"/>
        </w:rPr>
        <w:t>A</w:t>
      </w:r>
      <w:r w:rsidR="00401F3D" w:rsidRPr="000C4E97">
        <w:rPr>
          <w:rFonts w:ascii="Cambria" w:hAnsi="Cambria"/>
          <w:sz w:val="20"/>
          <w:szCs w:val="20"/>
          <w:lang w:val="es-ES"/>
        </w:rPr>
        <w:t>mericana debe entenderse como un derecho complementario que se establece para seres humanos que por su desarrollo físico y emocional necesitan medidas de protección especial</w:t>
      </w:r>
      <w:r w:rsidR="00401F3D" w:rsidRPr="000C4E97">
        <w:rPr>
          <w:rStyle w:val="FootnoteReference"/>
          <w:rFonts w:ascii="Cambria" w:hAnsi="Cambria"/>
          <w:sz w:val="20"/>
          <w:szCs w:val="20"/>
          <w:lang w:val="es-ES"/>
        </w:rPr>
        <w:footnoteReference w:id="13"/>
      </w:r>
      <w:r w:rsidRPr="000C4E97">
        <w:rPr>
          <w:rFonts w:ascii="Cambria" w:hAnsi="Cambria"/>
          <w:sz w:val="20"/>
          <w:szCs w:val="20"/>
          <w:lang w:val="es-ES"/>
        </w:rPr>
        <w:t>.</w:t>
      </w:r>
    </w:p>
    <w:p w14:paraId="6D9ADA37" w14:textId="0D48DC64" w:rsidR="0070044D" w:rsidRPr="00460523" w:rsidRDefault="00C1566D" w:rsidP="00EA33E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60523">
        <w:rPr>
          <w:rFonts w:ascii="Cambria" w:hAnsi="Cambria"/>
          <w:sz w:val="20"/>
          <w:szCs w:val="20"/>
          <w:lang w:val="es-ES"/>
        </w:rPr>
        <w:t xml:space="preserve">Esta Comisión recuerda que según lo dispuesto en la Convención Americana sobre Derechos y la Convención sobre los Derechos del Niño, todas las medidas que se adopten a favor de los </w:t>
      </w:r>
      <w:r w:rsidR="00DF4569" w:rsidRPr="00460523">
        <w:rPr>
          <w:rFonts w:ascii="Cambria" w:hAnsi="Cambria"/>
          <w:sz w:val="20"/>
          <w:szCs w:val="20"/>
          <w:lang w:val="es-ES"/>
        </w:rPr>
        <w:t>niños y</w:t>
      </w:r>
      <w:r w:rsidRPr="00460523">
        <w:rPr>
          <w:rFonts w:ascii="Cambria" w:hAnsi="Cambria"/>
          <w:sz w:val="20"/>
          <w:szCs w:val="20"/>
          <w:lang w:val="es-ES"/>
        </w:rPr>
        <w:t xml:space="preserve"> las niñas deberán asegurar que prevalezca el interés superior del niño, </w:t>
      </w:r>
      <w:r w:rsidR="00EA33EB" w:rsidRPr="00460523">
        <w:rPr>
          <w:rFonts w:ascii="Cambria" w:hAnsi="Cambria"/>
          <w:sz w:val="20"/>
          <w:szCs w:val="20"/>
          <w:lang w:val="es-ES"/>
        </w:rPr>
        <w:t xml:space="preserve">por lo que las mismas </w:t>
      </w:r>
      <w:r w:rsidR="00C12820" w:rsidRPr="00460523">
        <w:rPr>
          <w:rFonts w:ascii="Cambria" w:hAnsi="Cambria"/>
          <w:sz w:val="20"/>
          <w:szCs w:val="20"/>
          <w:lang w:val="es-ES"/>
        </w:rPr>
        <w:t>deberán orientarse a asegurar las condiciones necesarias para que los niños y niñas víctimas puedan gozar de un estándar de su vida adecuado que les permita alcanzar su desarrollo pleno como seres humanos</w:t>
      </w:r>
      <w:r w:rsidR="00C12820" w:rsidRPr="00460523">
        <w:rPr>
          <w:rStyle w:val="FootnoteReference"/>
          <w:rFonts w:ascii="Cambria" w:hAnsi="Cambria"/>
          <w:sz w:val="20"/>
          <w:szCs w:val="20"/>
          <w:lang w:val="es-ES"/>
        </w:rPr>
        <w:footnoteReference w:id="14"/>
      </w:r>
      <w:r w:rsidR="00C12820" w:rsidRPr="00460523">
        <w:rPr>
          <w:rFonts w:ascii="Cambria" w:hAnsi="Cambria"/>
          <w:sz w:val="20"/>
          <w:szCs w:val="20"/>
          <w:lang w:val="es-ES"/>
        </w:rPr>
        <w:t xml:space="preserve">. </w:t>
      </w:r>
      <w:r w:rsidR="00B932A1" w:rsidRPr="00460523">
        <w:rPr>
          <w:rFonts w:ascii="Cambria" w:hAnsi="Cambria"/>
          <w:sz w:val="20"/>
          <w:szCs w:val="20"/>
          <w:lang w:val="es-ES"/>
        </w:rPr>
        <w:t xml:space="preserve">Adicionalmente, frente a la </w:t>
      </w:r>
      <w:r w:rsidR="006F7AA7" w:rsidRPr="00460523">
        <w:rPr>
          <w:rFonts w:ascii="Cambria" w:hAnsi="Cambria"/>
          <w:sz w:val="20"/>
          <w:szCs w:val="20"/>
          <w:lang w:val="es-ES"/>
        </w:rPr>
        <w:t>protección judicial, la CIDH ha sido enfática al determinar que los estados deben organizar la institucionalidad y los dispositivos operativos para la prestación de los servicios directos a los niños, niñas y adolescentes y a sus familias, así como para la gestión de casos y de las medidas de protección ante la vulneración de derechos y la necesidad de restituirlos</w:t>
      </w:r>
      <w:r w:rsidR="006F7AA7" w:rsidRPr="00460523">
        <w:rPr>
          <w:rStyle w:val="FootnoteReference"/>
          <w:rFonts w:ascii="Cambria" w:hAnsi="Cambria"/>
          <w:sz w:val="20"/>
          <w:szCs w:val="20"/>
          <w:lang w:val="es-ES"/>
        </w:rPr>
        <w:footnoteReference w:id="15"/>
      </w:r>
      <w:r w:rsidR="006F7AA7" w:rsidRPr="00460523">
        <w:rPr>
          <w:rFonts w:ascii="Cambria" w:hAnsi="Cambria"/>
          <w:sz w:val="20"/>
          <w:szCs w:val="20"/>
          <w:lang w:val="es-ES"/>
        </w:rPr>
        <w:t>.</w:t>
      </w:r>
    </w:p>
    <w:p w14:paraId="6A1D1D5A" w14:textId="357808D6" w:rsidR="00B85D5B" w:rsidRPr="00460523" w:rsidRDefault="00B85D5B" w:rsidP="003602C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646DB6">
        <w:rPr>
          <w:rFonts w:ascii="Cambria" w:hAnsi="Cambria"/>
          <w:sz w:val="20"/>
          <w:szCs w:val="20"/>
          <w:lang w:val="es-ES"/>
        </w:rPr>
        <w:t>En atención</w:t>
      </w:r>
      <w:r w:rsidRPr="000C4E97">
        <w:rPr>
          <w:rFonts w:ascii="Cambria" w:hAnsi="Cambria"/>
          <w:sz w:val="20"/>
          <w:szCs w:val="20"/>
          <w:lang w:val="es-ES"/>
        </w:rPr>
        <w:t xml:space="preserve"> a estas consideraciones y tras examinar los elementos de hecho y de derecho expuestos por las partes, la Comisión estima que las alegaciones de la parte peticionaria no resultan manifiestamente infundadas y requieren un estudio de fondo, pues los hechos alegados, de corroborarse como ciertos, podrían caracterizar violaciones a los artículos</w:t>
      </w:r>
      <w:r w:rsidR="00292205">
        <w:rPr>
          <w:rFonts w:ascii="Cambria" w:hAnsi="Cambria"/>
          <w:sz w:val="20"/>
          <w:szCs w:val="20"/>
          <w:lang w:val="es-ES"/>
        </w:rPr>
        <w:t xml:space="preserve"> </w:t>
      </w:r>
      <w:r w:rsidRPr="000C4E97">
        <w:rPr>
          <w:rFonts w:ascii="Cambria" w:hAnsi="Cambria"/>
          <w:sz w:val="20"/>
          <w:szCs w:val="20"/>
          <w:lang w:val="es-ES"/>
        </w:rPr>
        <w:t>5 (integridad personal), 8 (garantías judiciales),</w:t>
      </w:r>
      <w:r w:rsidR="005E21A6">
        <w:rPr>
          <w:rFonts w:ascii="Cambria" w:hAnsi="Cambria"/>
          <w:sz w:val="20"/>
          <w:szCs w:val="20"/>
          <w:lang w:val="es-ES"/>
        </w:rPr>
        <w:t xml:space="preserve"> </w:t>
      </w:r>
      <w:r w:rsidRPr="000C4E97">
        <w:rPr>
          <w:rFonts w:ascii="Cambria" w:hAnsi="Cambria"/>
          <w:sz w:val="20"/>
          <w:szCs w:val="20"/>
          <w:lang w:val="es-ES"/>
        </w:rPr>
        <w:t>19 (</w:t>
      </w:r>
      <w:r w:rsidRPr="00460523">
        <w:rPr>
          <w:rFonts w:ascii="Cambria" w:hAnsi="Cambria"/>
          <w:sz w:val="20"/>
          <w:szCs w:val="20"/>
          <w:lang w:val="es-ES"/>
        </w:rPr>
        <w:t>derechos de los niños),  y 25 (protección judicial) en concordancia con el artículo 1.1 de la Convención Americana.</w:t>
      </w:r>
      <w:r w:rsidR="00AE7C33" w:rsidRPr="00460523">
        <w:rPr>
          <w:rFonts w:ascii="Cambria" w:hAnsi="Cambria"/>
          <w:sz w:val="20"/>
          <w:szCs w:val="20"/>
          <w:lang w:val="es-ES"/>
        </w:rPr>
        <w:t xml:space="preserve"> En cuanto al reclamo sobre la </w:t>
      </w:r>
      <w:r w:rsidR="00325D5D" w:rsidRPr="00460523">
        <w:rPr>
          <w:rFonts w:ascii="Cambria" w:hAnsi="Cambria"/>
          <w:sz w:val="20"/>
          <w:szCs w:val="20"/>
          <w:lang w:val="es-ES"/>
        </w:rPr>
        <w:t>falta de protección a la familia</w:t>
      </w:r>
      <w:r w:rsidR="002E3782" w:rsidRPr="00460523">
        <w:rPr>
          <w:rFonts w:ascii="Cambria" w:hAnsi="Cambria"/>
          <w:sz w:val="20"/>
          <w:szCs w:val="20"/>
          <w:lang w:val="es-ES"/>
        </w:rPr>
        <w:t xml:space="preserve"> por parte del Estado</w:t>
      </w:r>
      <w:r w:rsidR="00325D5D" w:rsidRPr="00460523">
        <w:rPr>
          <w:rFonts w:ascii="Cambria" w:hAnsi="Cambria"/>
          <w:sz w:val="20"/>
          <w:szCs w:val="20"/>
          <w:lang w:val="es-ES"/>
        </w:rPr>
        <w:t xml:space="preserve">, la vulneración del derecho a la circulación </w:t>
      </w:r>
      <w:r w:rsidR="002E3782" w:rsidRPr="00460523">
        <w:rPr>
          <w:rFonts w:ascii="Cambria" w:hAnsi="Cambria"/>
          <w:sz w:val="20"/>
          <w:szCs w:val="20"/>
          <w:lang w:val="es-ES"/>
        </w:rPr>
        <w:t xml:space="preserve">de las presuntas víctimas </w:t>
      </w:r>
      <w:r w:rsidR="00325D5D" w:rsidRPr="00460523">
        <w:rPr>
          <w:rFonts w:ascii="Cambria" w:hAnsi="Cambria"/>
          <w:sz w:val="20"/>
          <w:szCs w:val="20"/>
          <w:lang w:val="es-ES"/>
        </w:rPr>
        <w:t>y la</w:t>
      </w:r>
      <w:r w:rsidR="002E3782" w:rsidRPr="00460523">
        <w:rPr>
          <w:rFonts w:ascii="Cambria" w:hAnsi="Cambria"/>
          <w:sz w:val="20"/>
          <w:szCs w:val="20"/>
          <w:lang w:val="es-ES"/>
        </w:rPr>
        <w:t xml:space="preserve"> falta de garantías frente al derecho a la </w:t>
      </w:r>
      <w:r w:rsidR="00325D5D" w:rsidRPr="00460523">
        <w:rPr>
          <w:rFonts w:ascii="Cambria" w:hAnsi="Cambria"/>
          <w:sz w:val="20"/>
          <w:szCs w:val="20"/>
          <w:lang w:val="es-ES"/>
        </w:rPr>
        <w:t xml:space="preserve">igualdad </w:t>
      </w:r>
      <w:r w:rsidR="00E01DCB" w:rsidRPr="00460523">
        <w:rPr>
          <w:rFonts w:ascii="Cambria" w:hAnsi="Cambria"/>
          <w:sz w:val="20"/>
          <w:szCs w:val="20"/>
          <w:lang w:val="es-ES"/>
        </w:rPr>
        <w:t xml:space="preserve">que asiste a los </w:t>
      </w:r>
      <w:r w:rsidR="00FB308D">
        <w:rPr>
          <w:rFonts w:ascii="Cambria" w:hAnsi="Cambria"/>
          <w:sz w:val="20"/>
          <w:szCs w:val="20"/>
          <w:lang w:val="es-ES"/>
        </w:rPr>
        <w:t>niños</w:t>
      </w:r>
      <w:r w:rsidR="00325D5D" w:rsidRPr="00460523">
        <w:rPr>
          <w:rFonts w:ascii="Cambria" w:hAnsi="Cambria"/>
          <w:sz w:val="20"/>
          <w:szCs w:val="20"/>
          <w:lang w:val="es-ES"/>
        </w:rPr>
        <w:t xml:space="preserve">, esta Comisión aclara que </w:t>
      </w:r>
      <w:r w:rsidR="002E3782" w:rsidRPr="00460523">
        <w:rPr>
          <w:rFonts w:ascii="Cambria" w:hAnsi="Cambria"/>
          <w:sz w:val="20"/>
          <w:szCs w:val="20"/>
          <w:lang w:val="es-ES"/>
        </w:rPr>
        <w:t>dichos alegatos no caracteriza</w:t>
      </w:r>
      <w:r w:rsidR="00460523" w:rsidRPr="00460523">
        <w:rPr>
          <w:rFonts w:ascii="Cambria" w:hAnsi="Cambria"/>
          <w:sz w:val="20"/>
          <w:szCs w:val="20"/>
          <w:lang w:val="es-ES"/>
        </w:rPr>
        <w:t>n</w:t>
      </w:r>
      <w:r w:rsidR="002E3782" w:rsidRPr="00460523">
        <w:rPr>
          <w:rFonts w:ascii="Cambria" w:hAnsi="Cambria"/>
          <w:sz w:val="20"/>
          <w:szCs w:val="20"/>
          <w:lang w:val="es-ES"/>
        </w:rPr>
        <w:t xml:space="preserve"> </w:t>
      </w:r>
      <w:r w:rsidR="002E3782" w:rsidRPr="00460523">
        <w:rPr>
          <w:rFonts w:ascii="Cambria" w:hAnsi="Cambria"/>
          <w:i/>
          <w:sz w:val="20"/>
          <w:szCs w:val="20"/>
          <w:lang w:val="es-ES"/>
        </w:rPr>
        <w:t>prima facie</w:t>
      </w:r>
      <w:r w:rsidR="002E3782" w:rsidRPr="00460523">
        <w:rPr>
          <w:rFonts w:ascii="Cambria" w:hAnsi="Cambria"/>
          <w:sz w:val="20"/>
          <w:szCs w:val="20"/>
          <w:lang w:val="es-ES"/>
        </w:rPr>
        <w:t>, una posible violación de los artículos 17, 22 y 24 de la Convención Americana.</w:t>
      </w:r>
    </w:p>
    <w:p w14:paraId="2D2D385B" w14:textId="20107143" w:rsidR="00460523" w:rsidRPr="00460523" w:rsidRDefault="00460523" w:rsidP="0046052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60523">
        <w:rPr>
          <w:rFonts w:ascii="Cambria" w:hAnsi="Cambria"/>
          <w:sz w:val="20"/>
          <w:szCs w:val="20"/>
          <w:lang w:val="es-ES"/>
        </w:rPr>
        <w:t xml:space="preserve">Con respecto a los alegatos del Estado referidos a la llamada fórmula de “cuarta instancia”, </w:t>
      </w:r>
      <w:r w:rsidR="002974CB">
        <w:rPr>
          <w:rFonts w:ascii="Cambria" w:hAnsi="Cambria"/>
          <w:sz w:val="20"/>
          <w:szCs w:val="20"/>
          <w:lang w:val="es-ES"/>
        </w:rPr>
        <w:t xml:space="preserve">ya ha manifestado la Comisión en otros casos, no corresponden esta etapa del procedimiento establecer si se verifica o no una violación de la Convención Americana. A los fines de la admisibilidad, la CIDH debe decidir simplemente si los alegatos exponen hechos que podrían caracterizar una violación a la Convención Americana, según estipula su artículo 47.b, y si la petición es “manifiestamente infundada” </w:t>
      </w:r>
      <w:r w:rsidRPr="00460523">
        <w:rPr>
          <w:rFonts w:ascii="Cambria" w:hAnsi="Cambria"/>
          <w:sz w:val="20"/>
          <w:szCs w:val="20"/>
          <w:lang w:val="es-ES"/>
        </w:rPr>
        <w:t xml:space="preserve">o </w:t>
      </w:r>
      <w:r w:rsidR="002974CB">
        <w:rPr>
          <w:rFonts w:ascii="Cambria" w:hAnsi="Cambria"/>
          <w:sz w:val="20"/>
          <w:szCs w:val="20"/>
          <w:lang w:val="es-ES"/>
        </w:rPr>
        <w:t>sea</w:t>
      </w:r>
      <w:r w:rsidRPr="00460523">
        <w:rPr>
          <w:rFonts w:ascii="Cambria" w:hAnsi="Cambria"/>
          <w:sz w:val="20"/>
          <w:szCs w:val="20"/>
          <w:lang w:val="es-ES"/>
        </w:rPr>
        <w:t xml:space="preserve"> “evidente su total improcedencia”,</w:t>
      </w:r>
      <w:r w:rsidR="002974CB">
        <w:rPr>
          <w:rFonts w:ascii="Cambria" w:hAnsi="Cambria"/>
          <w:sz w:val="20"/>
          <w:szCs w:val="20"/>
          <w:lang w:val="es-ES"/>
        </w:rPr>
        <w:t xml:space="preserve"> según el inciso (c) del mismo artículo. El estándar de apreciación de estos extremos es diferente del requerido para decidir sobre el fondo del reclamo. En la presente etapa la CIDH </w:t>
      </w:r>
      <w:r w:rsidR="00EE4781">
        <w:rPr>
          <w:rFonts w:ascii="Cambria" w:hAnsi="Cambria"/>
          <w:sz w:val="20"/>
          <w:szCs w:val="20"/>
          <w:lang w:val="es-ES"/>
        </w:rPr>
        <w:t xml:space="preserve">debe realizar una evaluación </w:t>
      </w:r>
      <w:r w:rsidR="00EE4781">
        <w:rPr>
          <w:rFonts w:ascii="Cambria" w:hAnsi="Cambria"/>
          <w:i/>
          <w:iCs/>
          <w:sz w:val="20"/>
          <w:szCs w:val="20"/>
          <w:lang w:val="es-ES"/>
        </w:rPr>
        <w:t xml:space="preserve">prima facie </w:t>
      </w:r>
      <w:r w:rsidR="00EE4781">
        <w:rPr>
          <w:rFonts w:ascii="Cambria" w:hAnsi="Cambria"/>
          <w:sz w:val="20"/>
          <w:szCs w:val="20"/>
          <w:lang w:val="es-ES"/>
        </w:rPr>
        <w:t>que no implica un juicio previo o el adelanto de una opinión sobre el fondo. Su propio Reglamento refleja esta distinción entre la evaluación que debe realizarse a los fines de declarar una petición admisible y la requerida para determinar si efectivamente se verifica la responsabilidad del Estado, al establecer etapas claramente diferenciadas para el estudio de la admisibilidad y el fondo</w:t>
      </w:r>
      <w:r w:rsidR="00EE4781">
        <w:rPr>
          <w:rStyle w:val="FootnoteReference"/>
          <w:rFonts w:ascii="Cambria" w:hAnsi="Cambria"/>
          <w:sz w:val="20"/>
          <w:szCs w:val="20"/>
          <w:lang w:val="es-ES"/>
        </w:rPr>
        <w:footnoteReference w:id="16"/>
      </w:r>
      <w:r w:rsidR="00EE4781">
        <w:rPr>
          <w:rFonts w:ascii="Cambria" w:hAnsi="Cambria"/>
          <w:sz w:val="20"/>
          <w:szCs w:val="20"/>
          <w:lang w:val="es-ES"/>
        </w:rPr>
        <w:t>.</w:t>
      </w:r>
    </w:p>
    <w:p w14:paraId="29BB41F5" w14:textId="77777777" w:rsidR="003239B8" w:rsidRPr="00460523" w:rsidRDefault="003239B8" w:rsidP="003239B8">
      <w:pPr>
        <w:pStyle w:val="ListParagraph"/>
        <w:spacing w:before="240" w:after="240"/>
        <w:jc w:val="both"/>
        <w:rPr>
          <w:rFonts w:asciiTheme="majorHAnsi" w:hAnsiTheme="majorHAnsi"/>
          <w:b/>
          <w:bCs/>
          <w:sz w:val="20"/>
          <w:szCs w:val="20"/>
          <w:lang w:val="es-ES"/>
        </w:rPr>
      </w:pPr>
      <w:r w:rsidRPr="00460523">
        <w:rPr>
          <w:rFonts w:asciiTheme="majorHAnsi" w:hAnsiTheme="majorHAnsi"/>
          <w:b/>
          <w:bCs/>
          <w:sz w:val="20"/>
          <w:szCs w:val="20"/>
          <w:lang w:val="es-ES"/>
        </w:rPr>
        <w:t xml:space="preserve">VIII. </w:t>
      </w:r>
      <w:r w:rsidRPr="00460523">
        <w:rPr>
          <w:rFonts w:asciiTheme="majorHAnsi" w:hAnsiTheme="majorHAnsi"/>
          <w:b/>
          <w:bCs/>
          <w:sz w:val="20"/>
          <w:szCs w:val="20"/>
          <w:lang w:val="es-ES"/>
        </w:rPr>
        <w:tab/>
        <w:t>DECISIÓN</w:t>
      </w:r>
    </w:p>
    <w:p w14:paraId="570DA61C" w14:textId="58040C49" w:rsidR="000419AD" w:rsidRPr="00460523" w:rsidRDefault="000419AD" w:rsidP="004A6215">
      <w:pPr>
        <w:pStyle w:val="ListParagraph"/>
        <w:numPr>
          <w:ilvl w:val="0"/>
          <w:numId w:val="56"/>
        </w:numPr>
        <w:jc w:val="both"/>
        <w:rPr>
          <w:rFonts w:eastAsia="Arial Unicode MS" w:cs="Times New Roman"/>
          <w:color w:val="auto"/>
          <w:sz w:val="20"/>
          <w:szCs w:val="20"/>
          <w:lang w:val="es-ES" w:eastAsia="en-US"/>
        </w:rPr>
      </w:pPr>
      <w:r w:rsidRPr="00460523">
        <w:rPr>
          <w:rFonts w:eastAsia="Arial Unicode MS" w:cs="Times New Roman"/>
          <w:color w:val="auto"/>
          <w:sz w:val="20"/>
          <w:szCs w:val="20"/>
          <w:lang w:val="es-ES" w:eastAsia="en-US"/>
        </w:rPr>
        <w:t>Declarar admisible la presente petición</w:t>
      </w:r>
      <w:r w:rsidR="00C148A2" w:rsidRPr="00460523">
        <w:rPr>
          <w:rFonts w:eastAsia="Arial Unicode MS" w:cs="Times New Roman"/>
          <w:color w:val="auto"/>
          <w:sz w:val="20"/>
          <w:szCs w:val="20"/>
          <w:lang w:val="es-ES" w:eastAsia="en-US"/>
        </w:rPr>
        <w:t xml:space="preserve"> en relación con los artículos 5, 8, 19</w:t>
      </w:r>
      <w:r w:rsidR="005E21A6" w:rsidRPr="00460523">
        <w:rPr>
          <w:rFonts w:eastAsia="Arial Unicode MS" w:cs="Times New Roman"/>
          <w:color w:val="auto"/>
          <w:sz w:val="20"/>
          <w:szCs w:val="20"/>
          <w:lang w:val="es-ES" w:eastAsia="en-US"/>
        </w:rPr>
        <w:t xml:space="preserve"> y</w:t>
      </w:r>
      <w:r w:rsidR="00C148A2" w:rsidRPr="00460523">
        <w:rPr>
          <w:rFonts w:eastAsia="Arial Unicode MS" w:cs="Times New Roman"/>
          <w:color w:val="auto"/>
          <w:sz w:val="20"/>
          <w:szCs w:val="20"/>
          <w:lang w:val="es-ES" w:eastAsia="en-US"/>
        </w:rPr>
        <w:t xml:space="preserve"> 25 de la Convención Americana en concordancia con el artículo 1.1 del mismo instrumento.</w:t>
      </w:r>
    </w:p>
    <w:p w14:paraId="02E8D647" w14:textId="77777777" w:rsidR="00D10475" w:rsidRPr="00460523" w:rsidRDefault="00D10475" w:rsidP="004A6215">
      <w:pPr>
        <w:pStyle w:val="ListParagraph"/>
        <w:rPr>
          <w:rFonts w:eastAsia="Arial Unicode MS" w:cs="Times New Roman"/>
          <w:color w:val="auto"/>
          <w:sz w:val="20"/>
          <w:szCs w:val="20"/>
          <w:lang w:val="es-ES" w:eastAsia="en-US"/>
        </w:rPr>
      </w:pPr>
    </w:p>
    <w:p w14:paraId="6A55F73F" w14:textId="224C117F" w:rsidR="00D10475" w:rsidRPr="00460523" w:rsidRDefault="00D10475" w:rsidP="004A6215">
      <w:pPr>
        <w:pStyle w:val="ListParagraph"/>
        <w:numPr>
          <w:ilvl w:val="0"/>
          <w:numId w:val="56"/>
        </w:numPr>
        <w:jc w:val="both"/>
        <w:rPr>
          <w:rFonts w:eastAsia="Arial Unicode MS" w:cs="Times New Roman"/>
          <w:color w:val="auto"/>
          <w:sz w:val="20"/>
          <w:szCs w:val="20"/>
          <w:lang w:val="es-ES" w:eastAsia="en-US"/>
        </w:rPr>
      </w:pPr>
      <w:r w:rsidRPr="00460523">
        <w:rPr>
          <w:rFonts w:eastAsia="Arial Unicode MS" w:cs="Times New Roman"/>
          <w:color w:val="auto"/>
          <w:sz w:val="20"/>
          <w:szCs w:val="20"/>
          <w:lang w:val="es-ES" w:eastAsia="en-US"/>
        </w:rPr>
        <w:t>Declarar inadmisible la presente petición en relación con los artículos 17, 22 y 24 de la Convención Americana.</w:t>
      </w:r>
    </w:p>
    <w:p w14:paraId="41AA5BF6" w14:textId="77777777" w:rsidR="000419AD" w:rsidRPr="000419AD" w:rsidRDefault="000419AD" w:rsidP="000419AD">
      <w:pPr>
        <w:pStyle w:val="ListParagraph"/>
        <w:rPr>
          <w:rFonts w:eastAsia="Arial Unicode MS" w:cs="Times New Roman"/>
          <w:color w:val="auto"/>
          <w:sz w:val="20"/>
          <w:szCs w:val="20"/>
          <w:lang w:val="es-ES" w:eastAsia="en-US"/>
        </w:rPr>
      </w:pPr>
    </w:p>
    <w:p w14:paraId="12A7002C" w14:textId="530224D9" w:rsidR="004A6A54" w:rsidRDefault="004A6A54" w:rsidP="00821F3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B7794">
        <w:rPr>
          <w:rFonts w:asciiTheme="majorHAnsi" w:hAnsiTheme="majorHAnsi"/>
          <w:sz w:val="20"/>
          <w:szCs w:val="20"/>
          <w:lang w:val="es-ES"/>
        </w:rPr>
        <w:t>Notificar a las partes la presente decisión; y publicar esta decisión e incluirla en su Informe Anual a la Asamblea General de la Organización de los Estados Americanos.</w:t>
      </w:r>
    </w:p>
    <w:p w14:paraId="586EE499" w14:textId="5AC64169" w:rsidR="006F0DC8" w:rsidRPr="00A37B82" w:rsidRDefault="006F0DC8" w:rsidP="006F0DC8">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w:t>
      </w:r>
      <w:r>
        <w:rPr>
          <w:rFonts w:asciiTheme="majorHAnsi" w:hAnsiTheme="majorHAnsi" w:cs="Arial"/>
          <w:noProof/>
          <w:spacing w:val="-2"/>
          <w:sz w:val="20"/>
          <w:szCs w:val="20"/>
          <w:lang w:val="es-CL"/>
        </w:rPr>
        <w:t xml:space="preserve"> 28 </w:t>
      </w:r>
      <w:r w:rsidRPr="00A37B82">
        <w:rPr>
          <w:rFonts w:asciiTheme="majorHAnsi" w:hAnsiTheme="majorHAnsi" w:cs="Arial"/>
          <w:noProof/>
          <w:spacing w:val="-2"/>
          <w:sz w:val="20"/>
          <w:szCs w:val="20"/>
          <w:lang w:val="es-CL"/>
        </w:rPr>
        <w:t>días del mes de</w:t>
      </w:r>
      <w:r>
        <w:rPr>
          <w:rFonts w:asciiTheme="majorHAnsi" w:hAnsiTheme="majorHAnsi" w:cs="Arial"/>
          <w:noProof/>
          <w:spacing w:val="-2"/>
          <w:sz w:val="20"/>
          <w:szCs w:val="20"/>
          <w:lang w:val="es-CL"/>
        </w:rPr>
        <w:t xml:space="preserve"> septiembre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Joel Hernández, Presidente; Antonia Urrejola, Primera Vicepresidenta;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6F0DC8"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EF75BC" w14:textId="77777777" w:rsidR="00494730" w:rsidRDefault="00494730">
      <w:r>
        <w:separator/>
      </w:r>
    </w:p>
  </w:endnote>
  <w:endnote w:type="continuationSeparator" w:id="0">
    <w:p w14:paraId="5470F447" w14:textId="77777777" w:rsidR="00494730" w:rsidRDefault="00494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F43FB" w14:textId="77777777" w:rsidR="00AA0936" w:rsidRDefault="00AA09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79BB3A81"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AA0936">
          <w:rPr>
            <w:noProof/>
            <w:sz w:val="16"/>
            <w:szCs w:val="22"/>
          </w:rPr>
          <w:t>3</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BDBADF" w14:textId="77777777" w:rsidR="00494730" w:rsidRPr="000F35ED" w:rsidRDefault="00494730">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94B791E" w14:textId="77777777" w:rsidR="00494730" w:rsidRPr="000F35ED" w:rsidRDefault="00494730" w:rsidP="000F35ED">
      <w:pPr>
        <w:rPr>
          <w:rFonts w:asciiTheme="majorHAnsi" w:hAnsiTheme="majorHAnsi"/>
          <w:sz w:val="16"/>
          <w:szCs w:val="16"/>
        </w:rPr>
      </w:pPr>
      <w:r w:rsidRPr="000F35ED">
        <w:rPr>
          <w:rFonts w:asciiTheme="majorHAnsi" w:hAnsiTheme="majorHAnsi"/>
          <w:sz w:val="16"/>
          <w:szCs w:val="16"/>
        </w:rPr>
        <w:separator/>
      </w:r>
    </w:p>
    <w:p w14:paraId="7F72257F" w14:textId="77777777" w:rsidR="00494730" w:rsidRPr="000F35ED" w:rsidRDefault="00494730"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2947000F" w14:textId="77777777" w:rsidR="00494730" w:rsidRPr="000F35ED" w:rsidRDefault="00494730"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0C6189EC" w14:textId="50F52F02" w:rsidR="00073193" w:rsidRPr="00F6094B" w:rsidRDefault="006F0DC8" w:rsidP="0032526C">
      <w:pPr>
        <w:pStyle w:val="FootnoteText"/>
        <w:rPr>
          <w:rFonts w:asciiTheme="majorHAnsi" w:hAnsiTheme="majorHAnsi"/>
          <w:sz w:val="16"/>
          <w:szCs w:val="16"/>
          <w:lang w:val="es-ES"/>
        </w:rPr>
      </w:pPr>
      <w:r>
        <w:rPr>
          <w:rFonts w:asciiTheme="majorHAnsi" w:hAnsiTheme="majorHAnsi"/>
          <w:sz w:val="16"/>
          <w:szCs w:val="16"/>
        </w:rPr>
        <w:tab/>
      </w:r>
      <w:r w:rsidR="00073193" w:rsidRPr="00F6094B">
        <w:rPr>
          <w:rStyle w:val="FootnoteReference"/>
          <w:rFonts w:asciiTheme="majorHAnsi" w:hAnsiTheme="majorHAnsi"/>
          <w:sz w:val="16"/>
          <w:szCs w:val="16"/>
        </w:rPr>
        <w:footnoteRef/>
      </w:r>
      <w:r w:rsidR="00073193" w:rsidRPr="00F6094B">
        <w:rPr>
          <w:rFonts w:asciiTheme="majorHAnsi" w:hAnsiTheme="majorHAnsi"/>
          <w:sz w:val="16"/>
          <w:szCs w:val="16"/>
          <w:lang w:val="es-ES"/>
        </w:rPr>
        <w:t xml:space="preserve"> En adelante “Convención” o “Convención Americana”.</w:t>
      </w:r>
    </w:p>
  </w:footnote>
  <w:footnote w:id="3">
    <w:p w14:paraId="7B45ED03" w14:textId="5B3939AB" w:rsidR="00F35DB9" w:rsidRPr="00F6094B" w:rsidRDefault="006F0DC8" w:rsidP="0032526C">
      <w:pPr>
        <w:pStyle w:val="FootnoteText"/>
        <w:rPr>
          <w:rFonts w:asciiTheme="majorHAnsi" w:hAnsiTheme="majorHAnsi"/>
          <w:sz w:val="16"/>
          <w:szCs w:val="16"/>
          <w:lang w:val="es-ES"/>
        </w:rPr>
      </w:pPr>
      <w:r>
        <w:rPr>
          <w:rFonts w:asciiTheme="majorHAnsi" w:hAnsiTheme="majorHAnsi"/>
          <w:sz w:val="16"/>
          <w:szCs w:val="16"/>
          <w:lang w:val="es-ES"/>
        </w:rPr>
        <w:tab/>
      </w:r>
      <w:r w:rsidR="00F35DB9" w:rsidRPr="00F6094B">
        <w:rPr>
          <w:rStyle w:val="FootnoteReference"/>
          <w:rFonts w:asciiTheme="majorHAnsi" w:hAnsiTheme="majorHAnsi"/>
          <w:sz w:val="16"/>
          <w:szCs w:val="16"/>
        </w:rPr>
        <w:footnoteRef/>
      </w:r>
      <w:r w:rsidR="00F35DB9" w:rsidRPr="00F6094B">
        <w:rPr>
          <w:rFonts w:asciiTheme="majorHAnsi" w:hAnsiTheme="majorHAnsi"/>
          <w:sz w:val="16"/>
          <w:szCs w:val="16"/>
          <w:lang w:val="es-ES"/>
        </w:rPr>
        <w:t xml:space="preserve"> Artículos 1, 2, 7, 8, 11 y 18 de la Declaración Americana de los Derechos y Deberes del Hombre.</w:t>
      </w:r>
    </w:p>
  </w:footnote>
  <w:footnote w:id="4">
    <w:p w14:paraId="79F07139" w14:textId="59D0BBC7" w:rsidR="008E3BFE" w:rsidRPr="00F6094B" w:rsidRDefault="006F0DC8" w:rsidP="0032526C">
      <w:pPr>
        <w:pStyle w:val="FootnoteText"/>
        <w:rPr>
          <w:rFonts w:asciiTheme="majorHAnsi" w:hAnsiTheme="majorHAnsi"/>
          <w:sz w:val="16"/>
          <w:szCs w:val="16"/>
          <w:lang w:val="es-ES"/>
        </w:rPr>
      </w:pPr>
      <w:r>
        <w:rPr>
          <w:rFonts w:asciiTheme="majorHAnsi" w:hAnsiTheme="majorHAnsi"/>
          <w:sz w:val="16"/>
          <w:szCs w:val="16"/>
          <w:lang w:val="es-ES"/>
        </w:rPr>
        <w:tab/>
      </w:r>
      <w:r w:rsidR="008E3BFE" w:rsidRPr="00F6094B">
        <w:rPr>
          <w:rStyle w:val="FootnoteReference"/>
          <w:rFonts w:asciiTheme="majorHAnsi" w:hAnsiTheme="majorHAnsi"/>
          <w:sz w:val="16"/>
          <w:szCs w:val="16"/>
        </w:rPr>
        <w:footnoteRef/>
      </w:r>
      <w:r w:rsidR="008E3BFE" w:rsidRPr="00F6094B">
        <w:rPr>
          <w:rFonts w:asciiTheme="majorHAnsi" w:hAnsiTheme="majorHAnsi"/>
          <w:sz w:val="16"/>
          <w:szCs w:val="16"/>
          <w:lang w:val="es-ES"/>
        </w:rPr>
        <w:t xml:space="preserve"> Las observaciones de cada parte fueron debidamente trasladadas a la parte contraria.</w:t>
      </w:r>
    </w:p>
  </w:footnote>
  <w:footnote w:id="5">
    <w:p w14:paraId="7301AEE6" w14:textId="305CFC57" w:rsidR="00A15DBF" w:rsidRPr="00F6094B" w:rsidRDefault="006F0DC8" w:rsidP="0032526C">
      <w:pPr>
        <w:pStyle w:val="FootnoteText"/>
        <w:rPr>
          <w:rFonts w:asciiTheme="majorHAnsi" w:hAnsiTheme="majorHAnsi"/>
          <w:sz w:val="16"/>
          <w:szCs w:val="16"/>
          <w:lang w:val="es-ES"/>
        </w:rPr>
      </w:pPr>
      <w:r>
        <w:rPr>
          <w:rFonts w:asciiTheme="majorHAnsi" w:hAnsiTheme="majorHAnsi"/>
          <w:sz w:val="16"/>
          <w:szCs w:val="16"/>
          <w:lang w:val="es-ES"/>
        </w:rPr>
        <w:tab/>
      </w:r>
      <w:r w:rsidR="00A15DBF" w:rsidRPr="00F6094B">
        <w:rPr>
          <w:rStyle w:val="FootnoteReference"/>
          <w:rFonts w:asciiTheme="majorHAnsi" w:hAnsiTheme="majorHAnsi"/>
          <w:sz w:val="16"/>
          <w:szCs w:val="16"/>
        </w:rPr>
        <w:footnoteRef/>
      </w:r>
      <w:r w:rsidR="00A15DBF" w:rsidRPr="00F6094B">
        <w:rPr>
          <w:rFonts w:asciiTheme="majorHAnsi" w:hAnsiTheme="majorHAnsi"/>
          <w:sz w:val="16"/>
          <w:szCs w:val="16"/>
          <w:lang w:val="es-ES"/>
        </w:rPr>
        <w:t xml:space="preserve"> En adelante “Convención” o “Convención Americana”.</w:t>
      </w:r>
    </w:p>
  </w:footnote>
  <w:footnote w:id="6">
    <w:p w14:paraId="229FA0B9" w14:textId="4927520D" w:rsidR="00A15DBF" w:rsidRPr="00F6094B" w:rsidRDefault="006F0DC8" w:rsidP="0032526C">
      <w:pPr>
        <w:pStyle w:val="FootnoteText"/>
        <w:rPr>
          <w:rFonts w:ascii="Cambria" w:hAnsi="Cambria"/>
          <w:sz w:val="16"/>
          <w:szCs w:val="16"/>
          <w:lang w:val="es-ES"/>
        </w:rPr>
      </w:pPr>
      <w:r>
        <w:rPr>
          <w:rFonts w:asciiTheme="majorHAnsi" w:hAnsiTheme="majorHAnsi"/>
          <w:sz w:val="16"/>
          <w:szCs w:val="16"/>
          <w:lang w:val="es-ES"/>
        </w:rPr>
        <w:tab/>
      </w:r>
      <w:r w:rsidR="00A15DBF" w:rsidRPr="00F6094B">
        <w:rPr>
          <w:rStyle w:val="FootnoteReference"/>
          <w:rFonts w:asciiTheme="majorHAnsi" w:hAnsiTheme="majorHAnsi"/>
          <w:sz w:val="16"/>
          <w:szCs w:val="16"/>
        </w:rPr>
        <w:footnoteRef/>
      </w:r>
      <w:r w:rsidR="00A15DBF" w:rsidRPr="00F6094B">
        <w:rPr>
          <w:rFonts w:asciiTheme="majorHAnsi" w:hAnsiTheme="majorHAnsi"/>
          <w:sz w:val="16"/>
          <w:szCs w:val="16"/>
          <w:lang w:val="es-ES"/>
        </w:rPr>
        <w:t xml:space="preserve"> Artículos 1, 2, 7, 8, 11 y 18 de la Declaración Americana de los Derechos y Deberes del Hombre.</w:t>
      </w:r>
    </w:p>
  </w:footnote>
  <w:footnote w:id="7">
    <w:p w14:paraId="4B9E0FAC" w14:textId="63DFDD0F" w:rsidR="00904AFA" w:rsidRPr="00F6094B" w:rsidRDefault="006F0DC8" w:rsidP="00C47A0F">
      <w:pPr>
        <w:pStyle w:val="FootnoteText"/>
        <w:rPr>
          <w:rFonts w:asciiTheme="majorHAnsi" w:hAnsiTheme="majorHAnsi"/>
          <w:sz w:val="16"/>
          <w:szCs w:val="16"/>
          <w:lang w:val="es-ES"/>
        </w:rPr>
      </w:pPr>
      <w:r>
        <w:rPr>
          <w:rFonts w:asciiTheme="majorHAnsi" w:hAnsiTheme="majorHAnsi"/>
          <w:sz w:val="16"/>
          <w:szCs w:val="16"/>
          <w:lang w:val="es-ES"/>
        </w:rPr>
        <w:tab/>
      </w:r>
      <w:r w:rsidR="00904AFA" w:rsidRPr="00F6094B">
        <w:rPr>
          <w:rStyle w:val="FootnoteReference"/>
          <w:rFonts w:asciiTheme="majorHAnsi" w:hAnsiTheme="majorHAnsi"/>
          <w:sz w:val="16"/>
          <w:szCs w:val="16"/>
        </w:rPr>
        <w:footnoteRef/>
      </w:r>
      <w:r w:rsidR="00904AFA" w:rsidRPr="00F6094B">
        <w:rPr>
          <w:rFonts w:asciiTheme="majorHAnsi" w:hAnsiTheme="majorHAnsi"/>
          <w:sz w:val="16"/>
          <w:szCs w:val="16"/>
          <w:lang w:val="es-ES"/>
        </w:rPr>
        <w:t xml:space="preserve"> CIDH, Informe No. 156/17, Petición 585-08. Admisibilidad. Carlos Alfonso Fonseca Murillo. Ecuador. 30 de noviembre de 2017, párr. 13.</w:t>
      </w:r>
    </w:p>
  </w:footnote>
  <w:footnote w:id="8">
    <w:p w14:paraId="4B27EA17" w14:textId="45FA7D8D" w:rsidR="005A1668" w:rsidRPr="00F6094B" w:rsidRDefault="006F0DC8">
      <w:pPr>
        <w:pStyle w:val="FootnoteText"/>
        <w:rPr>
          <w:rFonts w:asciiTheme="majorHAnsi" w:hAnsiTheme="majorHAnsi"/>
          <w:sz w:val="16"/>
          <w:szCs w:val="16"/>
          <w:lang w:val="es-ES"/>
        </w:rPr>
      </w:pPr>
      <w:r>
        <w:rPr>
          <w:rFonts w:asciiTheme="majorHAnsi" w:hAnsiTheme="majorHAnsi"/>
          <w:sz w:val="16"/>
          <w:szCs w:val="16"/>
          <w:lang w:val="es-ES"/>
        </w:rPr>
        <w:tab/>
      </w:r>
      <w:r w:rsidR="005A1668" w:rsidRPr="00F6094B">
        <w:rPr>
          <w:rStyle w:val="FootnoteReference"/>
          <w:rFonts w:asciiTheme="majorHAnsi" w:hAnsiTheme="majorHAnsi"/>
          <w:sz w:val="16"/>
          <w:szCs w:val="16"/>
        </w:rPr>
        <w:footnoteRef/>
      </w:r>
      <w:r w:rsidR="005A1668" w:rsidRPr="00F6094B">
        <w:rPr>
          <w:rFonts w:asciiTheme="majorHAnsi" w:hAnsiTheme="majorHAnsi"/>
          <w:sz w:val="16"/>
          <w:szCs w:val="16"/>
          <w:lang w:val="es-ES"/>
        </w:rPr>
        <w:t xml:space="preserve"> CIDH, Informe No. 150/17, Petición 123-08. Inadmisibilidad. Hernando de Jesús Hernández Ramírez Rodas. Colombia. 26 de octubre de </w:t>
      </w:r>
      <w:r w:rsidR="00CD1F4A" w:rsidRPr="00F6094B">
        <w:rPr>
          <w:rFonts w:asciiTheme="majorHAnsi" w:hAnsiTheme="majorHAnsi"/>
          <w:sz w:val="16"/>
          <w:szCs w:val="16"/>
          <w:lang w:val="es-ES"/>
        </w:rPr>
        <w:t>2017, párr.</w:t>
      </w:r>
      <w:r w:rsidR="005A1668" w:rsidRPr="00F6094B">
        <w:rPr>
          <w:rFonts w:asciiTheme="majorHAnsi" w:hAnsiTheme="majorHAnsi"/>
          <w:sz w:val="16"/>
          <w:szCs w:val="16"/>
          <w:lang w:val="es-ES"/>
        </w:rPr>
        <w:t>10.</w:t>
      </w:r>
    </w:p>
  </w:footnote>
  <w:footnote w:id="9">
    <w:p w14:paraId="4F4BFECD" w14:textId="219AE67F" w:rsidR="006641BE" w:rsidRPr="00F6094B" w:rsidRDefault="006F0DC8">
      <w:pPr>
        <w:pStyle w:val="FootnoteText"/>
        <w:rPr>
          <w:lang w:val="es-ES"/>
        </w:rPr>
      </w:pPr>
      <w:r>
        <w:rPr>
          <w:rFonts w:asciiTheme="majorHAnsi" w:hAnsiTheme="majorHAnsi"/>
          <w:sz w:val="16"/>
          <w:szCs w:val="16"/>
          <w:lang w:val="es-ES"/>
        </w:rPr>
        <w:tab/>
      </w:r>
      <w:r w:rsidR="006641BE" w:rsidRPr="00F6094B">
        <w:rPr>
          <w:rStyle w:val="FootnoteReference"/>
          <w:rFonts w:asciiTheme="majorHAnsi" w:hAnsiTheme="majorHAnsi"/>
          <w:sz w:val="16"/>
          <w:szCs w:val="16"/>
        </w:rPr>
        <w:footnoteRef/>
      </w:r>
      <w:r w:rsidR="006641BE" w:rsidRPr="00F6094B">
        <w:rPr>
          <w:rFonts w:asciiTheme="majorHAnsi" w:hAnsiTheme="majorHAnsi"/>
          <w:sz w:val="16"/>
          <w:szCs w:val="16"/>
          <w:lang w:val="es-ES"/>
        </w:rPr>
        <w:t xml:space="preserve"> CIDH, Informe N. 159/17</w:t>
      </w:r>
      <w:r w:rsidR="008C6FCE" w:rsidRPr="00F6094B">
        <w:rPr>
          <w:rFonts w:asciiTheme="majorHAnsi" w:hAnsiTheme="majorHAnsi"/>
          <w:sz w:val="16"/>
          <w:szCs w:val="16"/>
          <w:lang w:val="es-ES"/>
        </w:rPr>
        <w:t xml:space="preserve">, Petición 712-08. Admisibilidad. Sebastián </w:t>
      </w:r>
      <w:proofErr w:type="spellStart"/>
      <w:r w:rsidR="008C6FCE" w:rsidRPr="00F6094B">
        <w:rPr>
          <w:rFonts w:asciiTheme="majorHAnsi" w:hAnsiTheme="majorHAnsi"/>
          <w:sz w:val="16"/>
          <w:szCs w:val="16"/>
          <w:lang w:val="es-ES"/>
        </w:rPr>
        <w:t>Larroza</w:t>
      </w:r>
      <w:proofErr w:type="spellEnd"/>
      <w:r w:rsidR="008C6FCE" w:rsidRPr="00F6094B">
        <w:rPr>
          <w:rFonts w:asciiTheme="majorHAnsi" w:hAnsiTheme="majorHAnsi"/>
          <w:sz w:val="16"/>
          <w:szCs w:val="16"/>
          <w:lang w:val="es-ES"/>
        </w:rPr>
        <w:t xml:space="preserve"> Velázquez y familia. Paraguay. 30 de noviembre de 2017, párr.14.</w:t>
      </w:r>
    </w:p>
  </w:footnote>
  <w:footnote w:id="10">
    <w:p w14:paraId="1C7407CE" w14:textId="526F808D" w:rsidR="00665D28" w:rsidRPr="00F6094B" w:rsidRDefault="006F0DC8" w:rsidP="00210E29">
      <w:pPr>
        <w:pStyle w:val="FootnoteText"/>
        <w:jc w:val="both"/>
        <w:rPr>
          <w:lang w:val="es-ES"/>
        </w:rPr>
      </w:pPr>
      <w:r>
        <w:rPr>
          <w:rFonts w:asciiTheme="majorHAnsi" w:hAnsiTheme="majorHAnsi"/>
          <w:sz w:val="16"/>
          <w:szCs w:val="16"/>
          <w:lang w:val="es-ES"/>
        </w:rPr>
        <w:tab/>
      </w:r>
      <w:r w:rsidR="00665D28" w:rsidRPr="00F6094B">
        <w:rPr>
          <w:rStyle w:val="FootnoteReference"/>
          <w:rFonts w:asciiTheme="majorHAnsi" w:hAnsiTheme="majorHAnsi"/>
          <w:sz w:val="16"/>
          <w:szCs w:val="16"/>
        </w:rPr>
        <w:footnoteRef/>
      </w:r>
      <w:r w:rsidR="00665D28" w:rsidRPr="00F6094B">
        <w:rPr>
          <w:rFonts w:asciiTheme="majorHAnsi" w:hAnsiTheme="majorHAnsi"/>
          <w:sz w:val="16"/>
          <w:szCs w:val="16"/>
          <w:lang w:val="es-ES"/>
        </w:rPr>
        <w:t xml:space="preserve"> CIDH, Informe No. 48/08, Petición 515-01. Admisibilidad. </w:t>
      </w:r>
      <w:proofErr w:type="spellStart"/>
      <w:r w:rsidR="00665D28" w:rsidRPr="00F6094B">
        <w:rPr>
          <w:rFonts w:asciiTheme="majorHAnsi" w:hAnsiTheme="majorHAnsi"/>
          <w:sz w:val="16"/>
          <w:szCs w:val="16"/>
          <w:lang w:val="es-ES"/>
        </w:rPr>
        <w:t>Mirey</w:t>
      </w:r>
      <w:proofErr w:type="spellEnd"/>
      <w:r w:rsidR="00665D28" w:rsidRPr="00F6094B">
        <w:rPr>
          <w:rFonts w:asciiTheme="majorHAnsi" w:hAnsiTheme="majorHAnsi"/>
          <w:sz w:val="16"/>
          <w:szCs w:val="16"/>
          <w:lang w:val="es-ES"/>
        </w:rPr>
        <w:t xml:space="preserve"> Trueba Arciniega. México. 24 de julio de 2008, párr. 56.</w:t>
      </w:r>
    </w:p>
  </w:footnote>
  <w:footnote w:id="11">
    <w:p w14:paraId="7806840C" w14:textId="238AC07C" w:rsidR="00FB7921" w:rsidRPr="00F6094B" w:rsidRDefault="006F0DC8" w:rsidP="0032526C">
      <w:pPr>
        <w:pStyle w:val="FootnoteText"/>
        <w:rPr>
          <w:rFonts w:asciiTheme="majorHAnsi" w:hAnsiTheme="majorHAnsi"/>
          <w:sz w:val="16"/>
          <w:szCs w:val="16"/>
          <w:lang w:val="es-ES"/>
        </w:rPr>
      </w:pPr>
      <w:r>
        <w:rPr>
          <w:rFonts w:asciiTheme="majorHAnsi" w:hAnsiTheme="majorHAnsi"/>
          <w:sz w:val="16"/>
          <w:szCs w:val="16"/>
          <w:lang w:val="es-ES"/>
        </w:rPr>
        <w:tab/>
      </w:r>
      <w:r w:rsidR="00FB7921" w:rsidRPr="00F6094B">
        <w:rPr>
          <w:rStyle w:val="FootnoteReference"/>
          <w:rFonts w:asciiTheme="majorHAnsi" w:hAnsiTheme="majorHAnsi"/>
          <w:sz w:val="16"/>
          <w:szCs w:val="16"/>
        </w:rPr>
        <w:footnoteRef/>
      </w:r>
      <w:r w:rsidR="00FB7921" w:rsidRPr="00F6094B">
        <w:rPr>
          <w:rFonts w:asciiTheme="majorHAnsi" w:hAnsiTheme="majorHAnsi"/>
          <w:sz w:val="16"/>
          <w:szCs w:val="16"/>
          <w:lang w:val="es-ES"/>
        </w:rPr>
        <w:t xml:space="preserve"> CIDH, Informe No. 92/18, Caso 12.383. Solución Amistosa. Nicolasa y familiares vs Colombia. 23 de agosto de 2018, </w:t>
      </w:r>
      <w:proofErr w:type="spellStart"/>
      <w:r w:rsidR="00FB7921" w:rsidRPr="00F6094B">
        <w:rPr>
          <w:rFonts w:asciiTheme="majorHAnsi" w:hAnsiTheme="majorHAnsi"/>
          <w:sz w:val="16"/>
          <w:szCs w:val="16"/>
          <w:lang w:val="es-ES"/>
        </w:rPr>
        <w:t>pág</w:t>
      </w:r>
      <w:proofErr w:type="spellEnd"/>
      <w:r w:rsidR="00FB7921" w:rsidRPr="00F6094B">
        <w:rPr>
          <w:rFonts w:asciiTheme="majorHAnsi" w:hAnsiTheme="majorHAnsi"/>
          <w:sz w:val="16"/>
          <w:szCs w:val="16"/>
          <w:lang w:val="es-ES"/>
        </w:rPr>
        <w:t xml:space="preserve"> 5.</w:t>
      </w:r>
    </w:p>
  </w:footnote>
  <w:footnote w:id="12">
    <w:p w14:paraId="410F166B" w14:textId="5BDB27C5" w:rsidR="002526DC" w:rsidRPr="00F6094B" w:rsidRDefault="006F0DC8" w:rsidP="0032526C">
      <w:pPr>
        <w:pStyle w:val="FootnoteText"/>
        <w:rPr>
          <w:rFonts w:asciiTheme="majorHAnsi" w:hAnsiTheme="majorHAnsi"/>
          <w:i/>
          <w:iCs/>
          <w:sz w:val="16"/>
          <w:szCs w:val="16"/>
          <w:lang w:val="es-ES"/>
        </w:rPr>
      </w:pPr>
      <w:r>
        <w:rPr>
          <w:rFonts w:asciiTheme="majorHAnsi" w:hAnsiTheme="majorHAnsi"/>
          <w:sz w:val="16"/>
          <w:szCs w:val="16"/>
          <w:lang w:val="es-ES"/>
        </w:rPr>
        <w:tab/>
      </w:r>
      <w:r w:rsidR="002526DC" w:rsidRPr="00F6094B">
        <w:rPr>
          <w:rStyle w:val="FootnoteReference"/>
          <w:rFonts w:asciiTheme="majorHAnsi" w:hAnsiTheme="majorHAnsi"/>
          <w:sz w:val="16"/>
          <w:szCs w:val="16"/>
        </w:rPr>
        <w:footnoteRef/>
      </w:r>
      <w:r w:rsidR="002526DC" w:rsidRPr="00F6094B">
        <w:rPr>
          <w:rFonts w:asciiTheme="majorHAnsi" w:hAnsiTheme="majorHAnsi"/>
          <w:sz w:val="16"/>
          <w:szCs w:val="16"/>
          <w:lang w:val="es-ES"/>
        </w:rPr>
        <w:t xml:space="preserve"> </w:t>
      </w:r>
      <w:r w:rsidR="00B73C3C" w:rsidRPr="00F6094B">
        <w:rPr>
          <w:rFonts w:asciiTheme="majorHAnsi" w:hAnsiTheme="majorHAnsi"/>
          <w:sz w:val="16"/>
          <w:szCs w:val="16"/>
          <w:lang w:val="es-ES"/>
        </w:rPr>
        <w:t xml:space="preserve">Corte Interamericana de Derechos Humanos, </w:t>
      </w:r>
      <w:r w:rsidR="00B73C3C" w:rsidRPr="00F6094B">
        <w:rPr>
          <w:rFonts w:asciiTheme="majorHAnsi" w:hAnsiTheme="majorHAnsi"/>
          <w:i/>
          <w:iCs/>
          <w:sz w:val="16"/>
          <w:szCs w:val="16"/>
          <w:lang w:val="es-ES"/>
        </w:rPr>
        <w:t xml:space="preserve">Caso de la Masacre de </w:t>
      </w:r>
      <w:proofErr w:type="spellStart"/>
      <w:r w:rsidR="00B73C3C" w:rsidRPr="00F6094B">
        <w:rPr>
          <w:rFonts w:asciiTheme="majorHAnsi" w:hAnsiTheme="majorHAnsi"/>
          <w:i/>
          <w:iCs/>
          <w:sz w:val="16"/>
          <w:szCs w:val="16"/>
          <w:lang w:val="es-ES"/>
        </w:rPr>
        <w:t>Mapiripan</w:t>
      </w:r>
      <w:proofErr w:type="spellEnd"/>
      <w:r w:rsidR="00B73C3C" w:rsidRPr="00F6094B">
        <w:rPr>
          <w:rFonts w:asciiTheme="majorHAnsi" w:hAnsiTheme="majorHAnsi"/>
          <w:i/>
          <w:iCs/>
          <w:sz w:val="16"/>
          <w:szCs w:val="16"/>
          <w:lang w:val="es-ES"/>
        </w:rPr>
        <w:t xml:space="preserve"> vs. Colombia”. </w:t>
      </w:r>
      <w:r w:rsidR="00B73C3C" w:rsidRPr="00F6094B">
        <w:rPr>
          <w:rFonts w:asciiTheme="majorHAnsi" w:hAnsiTheme="majorHAnsi"/>
          <w:sz w:val="16"/>
          <w:szCs w:val="16"/>
          <w:lang w:val="es-ES"/>
        </w:rPr>
        <w:t>Sentencia de 15 de septiembre de 2005.</w:t>
      </w:r>
      <w:r w:rsidR="00916DBA" w:rsidRPr="00F6094B">
        <w:rPr>
          <w:rFonts w:asciiTheme="majorHAnsi" w:hAnsiTheme="majorHAnsi"/>
          <w:i/>
          <w:iCs/>
          <w:sz w:val="16"/>
          <w:szCs w:val="16"/>
          <w:lang w:val="es-ES"/>
        </w:rPr>
        <w:t xml:space="preserve"> </w:t>
      </w:r>
      <w:r w:rsidR="002526DC" w:rsidRPr="00F6094B">
        <w:rPr>
          <w:rFonts w:asciiTheme="majorHAnsi" w:hAnsiTheme="majorHAnsi"/>
          <w:sz w:val="16"/>
          <w:szCs w:val="16"/>
          <w:lang w:val="es-ES"/>
        </w:rPr>
        <w:t>párr. 162.</w:t>
      </w:r>
    </w:p>
  </w:footnote>
  <w:footnote w:id="13">
    <w:p w14:paraId="010CDE20" w14:textId="301DE6CE" w:rsidR="00401F3D" w:rsidRPr="00F6094B" w:rsidRDefault="006F0DC8">
      <w:pPr>
        <w:pStyle w:val="FootnoteText"/>
        <w:rPr>
          <w:rFonts w:asciiTheme="majorHAnsi" w:hAnsiTheme="majorHAnsi"/>
          <w:sz w:val="16"/>
          <w:szCs w:val="16"/>
          <w:lang w:val="es-ES"/>
        </w:rPr>
      </w:pPr>
      <w:r>
        <w:rPr>
          <w:rFonts w:asciiTheme="majorHAnsi" w:hAnsiTheme="majorHAnsi"/>
          <w:sz w:val="16"/>
          <w:szCs w:val="16"/>
          <w:lang w:val="es-ES"/>
        </w:rPr>
        <w:tab/>
      </w:r>
      <w:r w:rsidR="00401F3D" w:rsidRPr="00F6094B">
        <w:rPr>
          <w:rStyle w:val="FootnoteReference"/>
          <w:rFonts w:asciiTheme="majorHAnsi" w:hAnsiTheme="majorHAnsi"/>
          <w:sz w:val="16"/>
          <w:szCs w:val="16"/>
        </w:rPr>
        <w:footnoteRef/>
      </w:r>
      <w:r w:rsidR="00401F3D" w:rsidRPr="00F6094B">
        <w:rPr>
          <w:rFonts w:asciiTheme="majorHAnsi" w:hAnsiTheme="majorHAnsi"/>
          <w:sz w:val="16"/>
          <w:szCs w:val="16"/>
          <w:lang w:val="es-ES"/>
        </w:rPr>
        <w:t xml:space="preserve"> </w:t>
      </w:r>
      <w:proofErr w:type="spellStart"/>
      <w:r w:rsidR="00B73C3C" w:rsidRPr="00F6094B">
        <w:rPr>
          <w:rFonts w:asciiTheme="majorHAnsi" w:hAnsiTheme="majorHAnsi"/>
          <w:i/>
          <w:iCs/>
          <w:sz w:val="16"/>
          <w:szCs w:val="16"/>
          <w:lang w:val="es-ES"/>
        </w:rPr>
        <w:t>Idem</w:t>
      </w:r>
      <w:proofErr w:type="spellEnd"/>
      <w:r w:rsidR="00B73C3C" w:rsidRPr="00F6094B">
        <w:rPr>
          <w:rFonts w:asciiTheme="majorHAnsi" w:hAnsiTheme="majorHAnsi"/>
          <w:i/>
          <w:iCs/>
          <w:sz w:val="16"/>
          <w:szCs w:val="16"/>
          <w:lang w:val="es-ES"/>
        </w:rPr>
        <w:t>.</w:t>
      </w:r>
      <w:r w:rsidR="00B73C3C" w:rsidRPr="00F6094B">
        <w:rPr>
          <w:rFonts w:asciiTheme="majorHAnsi" w:hAnsiTheme="majorHAnsi"/>
          <w:sz w:val="16"/>
          <w:szCs w:val="16"/>
          <w:lang w:val="es-ES"/>
        </w:rPr>
        <w:t xml:space="preserve"> párr.</w:t>
      </w:r>
      <w:r w:rsidR="00401F3D" w:rsidRPr="00F6094B">
        <w:rPr>
          <w:rFonts w:asciiTheme="majorHAnsi" w:hAnsiTheme="majorHAnsi"/>
          <w:sz w:val="16"/>
          <w:szCs w:val="16"/>
          <w:lang w:val="es-ES"/>
        </w:rPr>
        <w:t xml:space="preserve"> 152.</w:t>
      </w:r>
    </w:p>
  </w:footnote>
  <w:footnote w:id="14">
    <w:p w14:paraId="5AD794A2" w14:textId="601C5824" w:rsidR="00C12820" w:rsidRPr="00F6094B" w:rsidRDefault="006F0DC8" w:rsidP="0032526C">
      <w:pPr>
        <w:pStyle w:val="FootnoteText"/>
        <w:rPr>
          <w:rFonts w:asciiTheme="majorHAnsi" w:hAnsiTheme="majorHAnsi"/>
          <w:sz w:val="16"/>
          <w:szCs w:val="16"/>
          <w:lang w:val="es-ES"/>
        </w:rPr>
      </w:pPr>
      <w:r>
        <w:rPr>
          <w:rFonts w:asciiTheme="majorHAnsi" w:hAnsiTheme="majorHAnsi"/>
          <w:sz w:val="16"/>
          <w:szCs w:val="16"/>
          <w:lang w:val="es-ES"/>
        </w:rPr>
        <w:tab/>
      </w:r>
      <w:r w:rsidR="00C12820" w:rsidRPr="00F6094B">
        <w:rPr>
          <w:rStyle w:val="FootnoteReference"/>
          <w:rFonts w:asciiTheme="majorHAnsi" w:hAnsiTheme="majorHAnsi"/>
          <w:sz w:val="16"/>
          <w:szCs w:val="16"/>
        </w:rPr>
        <w:footnoteRef/>
      </w:r>
      <w:r w:rsidR="00C12820" w:rsidRPr="00F6094B">
        <w:rPr>
          <w:rFonts w:asciiTheme="majorHAnsi" w:hAnsiTheme="majorHAnsi"/>
          <w:sz w:val="16"/>
          <w:szCs w:val="16"/>
          <w:lang w:val="es-ES"/>
        </w:rPr>
        <w:t xml:space="preserve"> Comisión Interamericana de Derechos Humanos, Lineamientos Principal para una Política integral de Reparaciones. OEA/Ser/L/V/II.131. 19 febrero 2008.</w:t>
      </w:r>
    </w:p>
  </w:footnote>
  <w:footnote w:id="15">
    <w:p w14:paraId="73325971" w14:textId="3F6A93F2" w:rsidR="006F7AA7" w:rsidRPr="00F6094B" w:rsidRDefault="006F0DC8" w:rsidP="00EE4781">
      <w:pPr>
        <w:pStyle w:val="FootnoteText"/>
        <w:rPr>
          <w:rFonts w:asciiTheme="majorHAnsi" w:hAnsiTheme="majorHAnsi"/>
          <w:sz w:val="16"/>
          <w:szCs w:val="16"/>
          <w:lang w:val="es-ES"/>
        </w:rPr>
      </w:pPr>
      <w:r>
        <w:rPr>
          <w:rFonts w:asciiTheme="majorHAnsi" w:hAnsiTheme="majorHAnsi"/>
          <w:sz w:val="16"/>
          <w:szCs w:val="16"/>
          <w:lang w:val="es-ES"/>
        </w:rPr>
        <w:tab/>
      </w:r>
      <w:r w:rsidR="006F7AA7" w:rsidRPr="00F6094B">
        <w:rPr>
          <w:rStyle w:val="FootnoteReference"/>
          <w:rFonts w:asciiTheme="majorHAnsi" w:hAnsiTheme="majorHAnsi"/>
          <w:sz w:val="16"/>
          <w:szCs w:val="16"/>
        </w:rPr>
        <w:footnoteRef/>
      </w:r>
      <w:r w:rsidR="006F7AA7" w:rsidRPr="00F6094B">
        <w:rPr>
          <w:rFonts w:asciiTheme="majorHAnsi" w:hAnsiTheme="majorHAnsi"/>
          <w:sz w:val="16"/>
          <w:szCs w:val="16"/>
          <w:lang w:val="es-ES"/>
        </w:rPr>
        <w:t xml:space="preserve"> CIDH, Hacia la garantía efectiva de los derechos de las niñas, niños y adolescentes: Sistemas Nacionales de Protección. OEA</w:t>
      </w:r>
      <w:r w:rsidR="00FA7529" w:rsidRPr="00F6094B">
        <w:rPr>
          <w:rFonts w:asciiTheme="majorHAnsi" w:hAnsiTheme="majorHAnsi"/>
          <w:sz w:val="16"/>
          <w:szCs w:val="16"/>
          <w:lang w:val="es-ES"/>
        </w:rPr>
        <w:t>/</w:t>
      </w:r>
      <w:proofErr w:type="spellStart"/>
      <w:r w:rsidR="006F7AA7" w:rsidRPr="00F6094B">
        <w:rPr>
          <w:rFonts w:asciiTheme="majorHAnsi" w:hAnsiTheme="majorHAnsi"/>
          <w:sz w:val="16"/>
          <w:szCs w:val="16"/>
          <w:lang w:val="es-ES"/>
        </w:rPr>
        <w:t>Ser.L</w:t>
      </w:r>
      <w:proofErr w:type="spellEnd"/>
      <w:r w:rsidR="006F7AA7" w:rsidRPr="00F6094B">
        <w:rPr>
          <w:rFonts w:asciiTheme="majorHAnsi" w:hAnsiTheme="majorHAnsi"/>
          <w:sz w:val="16"/>
          <w:szCs w:val="16"/>
          <w:lang w:val="es-ES"/>
        </w:rPr>
        <w:t>/V/II.166 Doc</w:t>
      </w:r>
      <w:r w:rsidR="00D129D7" w:rsidRPr="00F6094B">
        <w:rPr>
          <w:rFonts w:asciiTheme="majorHAnsi" w:hAnsiTheme="majorHAnsi"/>
          <w:sz w:val="16"/>
          <w:szCs w:val="16"/>
          <w:lang w:val="es-ES"/>
        </w:rPr>
        <w:t xml:space="preserve">. 206/17, 30 de noviembre de 2017. </w:t>
      </w:r>
      <w:r w:rsidR="00B73C3C" w:rsidRPr="00F6094B">
        <w:rPr>
          <w:rFonts w:asciiTheme="majorHAnsi" w:hAnsiTheme="majorHAnsi"/>
          <w:sz w:val="16"/>
          <w:szCs w:val="16"/>
          <w:lang w:val="es-ES"/>
        </w:rPr>
        <w:t>párr.</w:t>
      </w:r>
      <w:r w:rsidR="00D129D7" w:rsidRPr="00F6094B">
        <w:rPr>
          <w:rFonts w:asciiTheme="majorHAnsi" w:hAnsiTheme="majorHAnsi"/>
          <w:sz w:val="16"/>
          <w:szCs w:val="16"/>
          <w:lang w:val="es-ES"/>
        </w:rPr>
        <w:t xml:space="preserve"> </w:t>
      </w:r>
      <w:r w:rsidR="00F70268" w:rsidRPr="00F6094B">
        <w:rPr>
          <w:rFonts w:asciiTheme="majorHAnsi" w:hAnsiTheme="majorHAnsi"/>
          <w:sz w:val="16"/>
          <w:szCs w:val="16"/>
          <w:lang w:val="es-ES"/>
        </w:rPr>
        <w:t>127</w:t>
      </w:r>
      <w:r w:rsidR="00D129D7" w:rsidRPr="00F6094B">
        <w:rPr>
          <w:rFonts w:asciiTheme="majorHAnsi" w:hAnsiTheme="majorHAnsi"/>
          <w:sz w:val="16"/>
          <w:szCs w:val="16"/>
          <w:lang w:val="es-ES"/>
        </w:rPr>
        <w:t>.</w:t>
      </w:r>
    </w:p>
  </w:footnote>
  <w:footnote w:id="16">
    <w:p w14:paraId="028E943D" w14:textId="2B7CA85B" w:rsidR="00EE4781" w:rsidRPr="00EE4781" w:rsidRDefault="006F0DC8">
      <w:pPr>
        <w:pStyle w:val="FootnoteText"/>
        <w:rPr>
          <w:lang w:val="es-ES"/>
        </w:rPr>
      </w:pPr>
      <w:r>
        <w:rPr>
          <w:rFonts w:asciiTheme="majorHAnsi" w:hAnsiTheme="majorHAnsi"/>
          <w:sz w:val="16"/>
          <w:szCs w:val="16"/>
          <w:lang w:val="es-ES"/>
        </w:rPr>
        <w:tab/>
      </w:r>
      <w:r w:rsidR="00EE4781" w:rsidRPr="00F6094B">
        <w:rPr>
          <w:rStyle w:val="FootnoteReference"/>
          <w:rFonts w:asciiTheme="majorHAnsi" w:hAnsiTheme="majorHAnsi"/>
          <w:sz w:val="16"/>
          <w:szCs w:val="16"/>
        </w:rPr>
        <w:footnoteRef/>
      </w:r>
      <w:r w:rsidR="00EE4781" w:rsidRPr="00F6094B">
        <w:rPr>
          <w:rFonts w:asciiTheme="majorHAnsi" w:hAnsiTheme="majorHAnsi"/>
          <w:sz w:val="16"/>
          <w:szCs w:val="16"/>
          <w:lang w:val="es-ES"/>
        </w:rPr>
        <w:t xml:space="preserve"> CIDH, Informe No. 55/08, Petición 532-98. Admisibilidad. Trabajadores Despedidos de la Empresa Nacional de Puertos S.A. (ENAPU). Perú. 24 de julio de 2008, párr. 38.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574BB13B" w:rsidR="00040C3A" w:rsidRPr="00EC7D62" w:rsidRDefault="00494730" w:rsidP="00A50FCF">
    <w:pPr>
      <w:pStyle w:val="Header"/>
      <w:tabs>
        <w:tab w:val="clear" w:pos="4320"/>
        <w:tab w:val="clear" w:pos="8640"/>
      </w:tabs>
      <w:jc w:val="center"/>
      <w:rPr>
        <w:sz w:val="22"/>
        <w:szCs w:val="22"/>
      </w:rPr>
    </w:pPr>
    <w:r>
      <w:rPr>
        <w:noProof/>
        <w:sz w:val="22"/>
        <w:szCs w:val="22"/>
        <w:bdr w:val="nil"/>
      </w:rPr>
      <w:pict w14:anchorId="5766C6B1">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FE4DF" w14:textId="77777777" w:rsidR="00AA0936" w:rsidRDefault="00AA09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1B0DD4"/>
    <w:multiLevelType w:val="hybridMultilevel"/>
    <w:tmpl w:val="DB168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63383622"/>
    <w:multiLevelType w:val="hybridMultilevel"/>
    <w:tmpl w:val="0EE6D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2"/>
  </w:num>
  <w:num w:numId="4">
    <w:abstractNumId w:val="20"/>
  </w:num>
  <w:num w:numId="5">
    <w:abstractNumId w:val="46"/>
  </w:num>
  <w:num w:numId="6">
    <w:abstractNumId w:val="25"/>
  </w:num>
  <w:num w:numId="7">
    <w:abstractNumId w:val="6"/>
  </w:num>
  <w:num w:numId="8">
    <w:abstractNumId w:val="16"/>
  </w:num>
  <w:num w:numId="9">
    <w:abstractNumId w:val="40"/>
  </w:num>
  <w:num w:numId="10">
    <w:abstractNumId w:val="0"/>
  </w:num>
  <w:num w:numId="11">
    <w:abstractNumId w:val="35"/>
  </w:num>
  <w:num w:numId="12">
    <w:abstractNumId w:val="36"/>
  </w:num>
  <w:num w:numId="13">
    <w:abstractNumId w:val="42"/>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4"/>
  </w:num>
  <w:num w:numId="31">
    <w:abstractNumId w:val="26"/>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7"/>
  </w:num>
  <w:num w:numId="40">
    <w:abstractNumId w:val="38"/>
  </w:num>
  <w:num w:numId="41">
    <w:abstractNumId w:val="44"/>
  </w:num>
  <w:num w:numId="42">
    <w:abstractNumId w:val="47"/>
  </w:num>
  <w:num w:numId="43">
    <w:abstractNumId w:val="48"/>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19"/>
  </w:num>
  <w:num w:numId="52">
    <w:abstractNumId w:val="39"/>
  </w:num>
  <w:num w:numId="53">
    <w:abstractNumId w:val="49"/>
  </w:num>
  <w:num w:numId="54">
    <w:abstractNumId w:val="43"/>
  </w:num>
  <w:num w:numId="55">
    <w:abstractNumId w:val="4"/>
  </w:num>
  <w:num w:numId="56">
    <w:abstractNumId w:val="41"/>
  </w:num>
  <w:num w:numId="57">
    <w:abstractNumId w:val="45"/>
  </w:num>
  <w:num w:numId="58">
    <w:abstractNumId w:val="2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074E5"/>
    <w:rsid w:val="000076A6"/>
    <w:rsid w:val="0001002A"/>
    <w:rsid w:val="0001428E"/>
    <w:rsid w:val="0001788C"/>
    <w:rsid w:val="0002508D"/>
    <w:rsid w:val="00030EB5"/>
    <w:rsid w:val="000337EF"/>
    <w:rsid w:val="00040C3A"/>
    <w:rsid w:val="000413C1"/>
    <w:rsid w:val="000419AD"/>
    <w:rsid w:val="000433C9"/>
    <w:rsid w:val="0004763B"/>
    <w:rsid w:val="000521A9"/>
    <w:rsid w:val="0005644E"/>
    <w:rsid w:val="00062BAC"/>
    <w:rsid w:val="000716C5"/>
    <w:rsid w:val="00073193"/>
    <w:rsid w:val="00075476"/>
    <w:rsid w:val="00075E23"/>
    <w:rsid w:val="0009344A"/>
    <w:rsid w:val="000A392E"/>
    <w:rsid w:val="000A575F"/>
    <w:rsid w:val="000C04FD"/>
    <w:rsid w:val="000C4E97"/>
    <w:rsid w:val="000C4FA9"/>
    <w:rsid w:val="000C63F5"/>
    <w:rsid w:val="000D05CB"/>
    <w:rsid w:val="000D10DB"/>
    <w:rsid w:val="000D7678"/>
    <w:rsid w:val="000D7A1F"/>
    <w:rsid w:val="000E0A8C"/>
    <w:rsid w:val="000E5EB5"/>
    <w:rsid w:val="000F2219"/>
    <w:rsid w:val="000F35ED"/>
    <w:rsid w:val="000F73F2"/>
    <w:rsid w:val="000F7E1C"/>
    <w:rsid w:val="001055AD"/>
    <w:rsid w:val="00105B96"/>
    <w:rsid w:val="00107131"/>
    <w:rsid w:val="0010736F"/>
    <w:rsid w:val="00113F73"/>
    <w:rsid w:val="00117B58"/>
    <w:rsid w:val="001217C5"/>
    <w:rsid w:val="00121CC2"/>
    <w:rsid w:val="00133EE5"/>
    <w:rsid w:val="00143AF2"/>
    <w:rsid w:val="00144AAE"/>
    <w:rsid w:val="00145BD6"/>
    <w:rsid w:val="00147886"/>
    <w:rsid w:val="00167A34"/>
    <w:rsid w:val="0017073A"/>
    <w:rsid w:val="00170AE4"/>
    <w:rsid w:val="001745A6"/>
    <w:rsid w:val="001A3143"/>
    <w:rsid w:val="001A49B1"/>
    <w:rsid w:val="001A7870"/>
    <w:rsid w:val="001B0549"/>
    <w:rsid w:val="001B1588"/>
    <w:rsid w:val="001B2BF6"/>
    <w:rsid w:val="001B3A00"/>
    <w:rsid w:val="001B48BF"/>
    <w:rsid w:val="001B4E98"/>
    <w:rsid w:val="001C0318"/>
    <w:rsid w:val="001C1B41"/>
    <w:rsid w:val="001C5B12"/>
    <w:rsid w:val="001C7B66"/>
    <w:rsid w:val="001D65EF"/>
    <w:rsid w:val="001E0770"/>
    <w:rsid w:val="001E49E7"/>
    <w:rsid w:val="001F1792"/>
    <w:rsid w:val="001F35F7"/>
    <w:rsid w:val="001F7201"/>
    <w:rsid w:val="00202541"/>
    <w:rsid w:val="00210E29"/>
    <w:rsid w:val="00223A29"/>
    <w:rsid w:val="002250A3"/>
    <w:rsid w:val="002254A6"/>
    <w:rsid w:val="00231634"/>
    <w:rsid w:val="00235217"/>
    <w:rsid w:val="00246AED"/>
    <w:rsid w:val="00246D1F"/>
    <w:rsid w:val="00247403"/>
    <w:rsid w:val="00247542"/>
    <w:rsid w:val="00247C5B"/>
    <w:rsid w:val="002508C5"/>
    <w:rsid w:val="002526DC"/>
    <w:rsid w:val="00254758"/>
    <w:rsid w:val="00255780"/>
    <w:rsid w:val="00261285"/>
    <w:rsid w:val="00264988"/>
    <w:rsid w:val="00266B61"/>
    <w:rsid w:val="0026712A"/>
    <w:rsid w:val="002704DB"/>
    <w:rsid w:val="00273AAC"/>
    <w:rsid w:val="00292205"/>
    <w:rsid w:val="002974CB"/>
    <w:rsid w:val="002A0AAE"/>
    <w:rsid w:val="002A5820"/>
    <w:rsid w:val="002B5D27"/>
    <w:rsid w:val="002B7C2B"/>
    <w:rsid w:val="002C1FD5"/>
    <w:rsid w:val="002C528F"/>
    <w:rsid w:val="002D0D36"/>
    <w:rsid w:val="002D2B26"/>
    <w:rsid w:val="002D4152"/>
    <w:rsid w:val="002D7EA2"/>
    <w:rsid w:val="002E187C"/>
    <w:rsid w:val="002E28F5"/>
    <w:rsid w:val="002E3782"/>
    <w:rsid w:val="002E77CF"/>
    <w:rsid w:val="002F45C4"/>
    <w:rsid w:val="002F6221"/>
    <w:rsid w:val="002F7C8F"/>
    <w:rsid w:val="00300773"/>
    <w:rsid w:val="0030090D"/>
    <w:rsid w:val="00302733"/>
    <w:rsid w:val="00307253"/>
    <w:rsid w:val="00307EC8"/>
    <w:rsid w:val="00314078"/>
    <w:rsid w:val="0031535D"/>
    <w:rsid w:val="003239B8"/>
    <w:rsid w:val="0032526C"/>
    <w:rsid w:val="00325D5D"/>
    <w:rsid w:val="0033169F"/>
    <w:rsid w:val="00333826"/>
    <w:rsid w:val="00344977"/>
    <w:rsid w:val="00344F9F"/>
    <w:rsid w:val="00346C95"/>
    <w:rsid w:val="003508FD"/>
    <w:rsid w:val="00351990"/>
    <w:rsid w:val="00356185"/>
    <w:rsid w:val="00357758"/>
    <w:rsid w:val="003602CC"/>
    <w:rsid w:val="00360380"/>
    <w:rsid w:val="00362BE6"/>
    <w:rsid w:val="0037519E"/>
    <w:rsid w:val="00381998"/>
    <w:rsid w:val="00386CF0"/>
    <w:rsid w:val="00394D63"/>
    <w:rsid w:val="003A0811"/>
    <w:rsid w:val="003B70FB"/>
    <w:rsid w:val="003B75C4"/>
    <w:rsid w:val="003C0849"/>
    <w:rsid w:val="003C676B"/>
    <w:rsid w:val="003D158D"/>
    <w:rsid w:val="003D3310"/>
    <w:rsid w:val="003D3BC2"/>
    <w:rsid w:val="003E501D"/>
    <w:rsid w:val="003E6CA1"/>
    <w:rsid w:val="003E7D48"/>
    <w:rsid w:val="004018EE"/>
    <w:rsid w:val="00401F3D"/>
    <w:rsid w:val="004065A8"/>
    <w:rsid w:val="00407409"/>
    <w:rsid w:val="004140B5"/>
    <w:rsid w:val="004165C2"/>
    <w:rsid w:val="00416692"/>
    <w:rsid w:val="00421C24"/>
    <w:rsid w:val="004230DA"/>
    <w:rsid w:val="0042311A"/>
    <w:rsid w:val="00435436"/>
    <w:rsid w:val="00441951"/>
    <w:rsid w:val="00441ECB"/>
    <w:rsid w:val="00445193"/>
    <w:rsid w:val="004458FB"/>
    <w:rsid w:val="00460523"/>
    <w:rsid w:val="0046171D"/>
    <w:rsid w:val="00462C1B"/>
    <w:rsid w:val="00467B7E"/>
    <w:rsid w:val="00473BB4"/>
    <w:rsid w:val="00477592"/>
    <w:rsid w:val="00477E79"/>
    <w:rsid w:val="00484CE5"/>
    <w:rsid w:val="00486F1C"/>
    <w:rsid w:val="0049419D"/>
    <w:rsid w:val="004941BA"/>
    <w:rsid w:val="00494730"/>
    <w:rsid w:val="004A117A"/>
    <w:rsid w:val="004A6215"/>
    <w:rsid w:val="004A6A54"/>
    <w:rsid w:val="004B6A45"/>
    <w:rsid w:val="004C20D2"/>
    <w:rsid w:val="004C2312"/>
    <w:rsid w:val="004C4B62"/>
    <w:rsid w:val="004C54C9"/>
    <w:rsid w:val="004D1E42"/>
    <w:rsid w:val="004D4ABA"/>
    <w:rsid w:val="004D6025"/>
    <w:rsid w:val="004E2257"/>
    <w:rsid w:val="004E2649"/>
    <w:rsid w:val="004F0EE7"/>
    <w:rsid w:val="00501399"/>
    <w:rsid w:val="005053C0"/>
    <w:rsid w:val="0050633D"/>
    <w:rsid w:val="00507BC4"/>
    <w:rsid w:val="005128E4"/>
    <w:rsid w:val="005133DB"/>
    <w:rsid w:val="00523B35"/>
    <w:rsid w:val="00525560"/>
    <w:rsid w:val="00534C25"/>
    <w:rsid w:val="00544C49"/>
    <w:rsid w:val="00546748"/>
    <w:rsid w:val="005516A1"/>
    <w:rsid w:val="00562424"/>
    <w:rsid w:val="00563557"/>
    <w:rsid w:val="0057402A"/>
    <w:rsid w:val="005771D0"/>
    <w:rsid w:val="00586D3D"/>
    <w:rsid w:val="0059191A"/>
    <w:rsid w:val="005921FF"/>
    <w:rsid w:val="00594206"/>
    <w:rsid w:val="00595D4F"/>
    <w:rsid w:val="00597606"/>
    <w:rsid w:val="005A1668"/>
    <w:rsid w:val="005A24ED"/>
    <w:rsid w:val="005A6D0E"/>
    <w:rsid w:val="005B0953"/>
    <w:rsid w:val="005B52B0"/>
    <w:rsid w:val="005B6806"/>
    <w:rsid w:val="005C4225"/>
    <w:rsid w:val="005C4397"/>
    <w:rsid w:val="005E21A6"/>
    <w:rsid w:val="005E4E19"/>
    <w:rsid w:val="005F0DAD"/>
    <w:rsid w:val="005F0F33"/>
    <w:rsid w:val="00600DEB"/>
    <w:rsid w:val="0061059A"/>
    <w:rsid w:val="006111A7"/>
    <w:rsid w:val="0061363C"/>
    <w:rsid w:val="00614F33"/>
    <w:rsid w:val="006261DF"/>
    <w:rsid w:val="00627C9F"/>
    <w:rsid w:val="006310AF"/>
    <w:rsid w:val="006311E9"/>
    <w:rsid w:val="00632354"/>
    <w:rsid w:val="00642810"/>
    <w:rsid w:val="00646DB6"/>
    <w:rsid w:val="00652333"/>
    <w:rsid w:val="00660AB0"/>
    <w:rsid w:val="006641BE"/>
    <w:rsid w:val="00665D28"/>
    <w:rsid w:val="00665E1A"/>
    <w:rsid w:val="0068009E"/>
    <w:rsid w:val="00686971"/>
    <w:rsid w:val="00686FB5"/>
    <w:rsid w:val="00691F38"/>
    <w:rsid w:val="00692219"/>
    <w:rsid w:val="00694137"/>
    <w:rsid w:val="00694194"/>
    <w:rsid w:val="0069648B"/>
    <w:rsid w:val="006A17D2"/>
    <w:rsid w:val="006A4D44"/>
    <w:rsid w:val="006A73E6"/>
    <w:rsid w:val="006B1F51"/>
    <w:rsid w:val="006B22C0"/>
    <w:rsid w:val="006B2D5C"/>
    <w:rsid w:val="006C4EB1"/>
    <w:rsid w:val="006C6489"/>
    <w:rsid w:val="006D10BF"/>
    <w:rsid w:val="006D66E7"/>
    <w:rsid w:val="006E0166"/>
    <w:rsid w:val="006E07AF"/>
    <w:rsid w:val="006E2FFB"/>
    <w:rsid w:val="006E7B34"/>
    <w:rsid w:val="006F0DC8"/>
    <w:rsid w:val="006F4F87"/>
    <w:rsid w:val="006F7AA7"/>
    <w:rsid w:val="0070044D"/>
    <w:rsid w:val="00701A0F"/>
    <w:rsid w:val="00703C92"/>
    <w:rsid w:val="0070697F"/>
    <w:rsid w:val="00716358"/>
    <w:rsid w:val="0072199C"/>
    <w:rsid w:val="00722C9F"/>
    <w:rsid w:val="007253B8"/>
    <w:rsid w:val="0073741F"/>
    <w:rsid w:val="00746A9C"/>
    <w:rsid w:val="007565D9"/>
    <w:rsid w:val="00763B01"/>
    <w:rsid w:val="00765971"/>
    <w:rsid w:val="00765EBB"/>
    <w:rsid w:val="0076643F"/>
    <w:rsid w:val="00770F05"/>
    <w:rsid w:val="00777F63"/>
    <w:rsid w:val="00793050"/>
    <w:rsid w:val="00793B83"/>
    <w:rsid w:val="007A3D53"/>
    <w:rsid w:val="007A5817"/>
    <w:rsid w:val="007B05C4"/>
    <w:rsid w:val="007B0C51"/>
    <w:rsid w:val="007B3467"/>
    <w:rsid w:val="007B60E9"/>
    <w:rsid w:val="007B6CC3"/>
    <w:rsid w:val="007B76D3"/>
    <w:rsid w:val="007C3334"/>
    <w:rsid w:val="007D2B98"/>
    <w:rsid w:val="007D4489"/>
    <w:rsid w:val="007E21BC"/>
    <w:rsid w:val="007E5413"/>
    <w:rsid w:val="007E63D5"/>
    <w:rsid w:val="007E7C82"/>
    <w:rsid w:val="007F3DEA"/>
    <w:rsid w:val="007F588D"/>
    <w:rsid w:val="00803F1C"/>
    <w:rsid w:val="0080600E"/>
    <w:rsid w:val="008163B1"/>
    <w:rsid w:val="00816AA9"/>
    <w:rsid w:val="00817612"/>
    <w:rsid w:val="00817987"/>
    <w:rsid w:val="00821F3C"/>
    <w:rsid w:val="008338A4"/>
    <w:rsid w:val="00834D49"/>
    <w:rsid w:val="00837C45"/>
    <w:rsid w:val="00844730"/>
    <w:rsid w:val="008457C2"/>
    <w:rsid w:val="00845A54"/>
    <w:rsid w:val="00851976"/>
    <w:rsid w:val="00852FEA"/>
    <w:rsid w:val="008531FE"/>
    <w:rsid w:val="00857A82"/>
    <w:rsid w:val="00863E67"/>
    <w:rsid w:val="00873836"/>
    <w:rsid w:val="00874B01"/>
    <w:rsid w:val="00875F05"/>
    <w:rsid w:val="00885737"/>
    <w:rsid w:val="00890650"/>
    <w:rsid w:val="00897E12"/>
    <w:rsid w:val="008A64D3"/>
    <w:rsid w:val="008A7E0F"/>
    <w:rsid w:val="008B12F5"/>
    <w:rsid w:val="008C13F4"/>
    <w:rsid w:val="008C4599"/>
    <w:rsid w:val="008C6974"/>
    <w:rsid w:val="008C6FCE"/>
    <w:rsid w:val="008D1443"/>
    <w:rsid w:val="008D2F6F"/>
    <w:rsid w:val="008D768D"/>
    <w:rsid w:val="008E1142"/>
    <w:rsid w:val="008E3759"/>
    <w:rsid w:val="008E3BFE"/>
    <w:rsid w:val="008E7498"/>
    <w:rsid w:val="008F1912"/>
    <w:rsid w:val="009001A8"/>
    <w:rsid w:val="0090270B"/>
    <w:rsid w:val="009041DC"/>
    <w:rsid w:val="00904AFA"/>
    <w:rsid w:val="00911FAB"/>
    <w:rsid w:val="00916DBA"/>
    <w:rsid w:val="00917B5A"/>
    <w:rsid w:val="009208CE"/>
    <w:rsid w:val="00920A58"/>
    <w:rsid w:val="00920A8C"/>
    <w:rsid w:val="00922C89"/>
    <w:rsid w:val="0092649C"/>
    <w:rsid w:val="00927187"/>
    <w:rsid w:val="00934A2C"/>
    <w:rsid w:val="0094514D"/>
    <w:rsid w:val="00946394"/>
    <w:rsid w:val="00946939"/>
    <w:rsid w:val="0094791B"/>
    <w:rsid w:val="009531B4"/>
    <w:rsid w:val="009541F9"/>
    <w:rsid w:val="0096706E"/>
    <w:rsid w:val="00974491"/>
    <w:rsid w:val="00975C4E"/>
    <w:rsid w:val="00981FBA"/>
    <w:rsid w:val="009846F9"/>
    <w:rsid w:val="009852AC"/>
    <w:rsid w:val="009852B6"/>
    <w:rsid w:val="00997BC5"/>
    <w:rsid w:val="009A043E"/>
    <w:rsid w:val="009A4F41"/>
    <w:rsid w:val="009A572F"/>
    <w:rsid w:val="009A7424"/>
    <w:rsid w:val="009B381B"/>
    <w:rsid w:val="009C5F3E"/>
    <w:rsid w:val="009D1753"/>
    <w:rsid w:val="009D1B2C"/>
    <w:rsid w:val="009D7611"/>
    <w:rsid w:val="009E0B61"/>
    <w:rsid w:val="009E53DE"/>
    <w:rsid w:val="009E6B50"/>
    <w:rsid w:val="009F5377"/>
    <w:rsid w:val="00A0059C"/>
    <w:rsid w:val="00A01610"/>
    <w:rsid w:val="00A01BA4"/>
    <w:rsid w:val="00A07BF1"/>
    <w:rsid w:val="00A11212"/>
    <w:rsid w:val="00A11256"/>
    <w:rsid w:val="00A11E44"/>
    <w:rsid w:val="00A15DBF"/>
    <w:rsid w:val="00A27975"/>
    <w:rsid w:val="00A328B3"/>
    <w:rsid w:val="00A46782"/>
    <w:rsid w:val="00A50FCF"/>
    <w:rsid w:val="00A528D1"/>
    <w:rsid w:val="00A60FAC"/>
    <w:rsid w:val="00A610CD"/>
    <w:rsid w:val="00A618D6"/>
    <w:rsid w:val="00A73FF3"/>
    <w:rsid w:val="00A758AA"/>
    <w:rsid w:val="00A7740B"/>
    <w:rsid w:val="00A84228"/>
    <w:rsid w:val="00A85E8E"/>
    <w:rsid w:val="00A90FB1"/>
    <w:rsid w:val="00A938A4"/>
    <w:rsid w:val="00A93BD5"/>
    <w:rsid w:val="00AA0936"/>
    <w:rsid w:val="00AA09A2"/>
    <w:rsid w:val="00AA6CC3"/>
    <w:rsid w:val="00AA7996"/>
    <w:rsid w:val="00AC0476"/>
    <w:rsid w:val="00AC19CB"/>
    <w:rsid w:val="00AC2CC2"/>
    <w:rsid w:val="00AC7958"/>
    <w:rsid w:val="00AC7D9F"/>
    <w:rsid w:val="00AD34E4"/>
    <w:rsid w:val="00AE3015"/>
    <w:rsid w:val="00AE30DA"/>
    <w:rsid w:val="00AE5488"/>
    <w:rsid w:val="00AE6F91"/>
    <w:rsid w:val="00AE7C33"/>
    <w:rsid w:val="00AF13ED"/>
    <w:rsid w:val="00AF5571"/>
    <w:rsid w:val="00B02BF4"/>
    <w:rsid w:val="00B07341"/>
    <w:rsid w:val="00B13E45"/>
    <w:rsid w:val="00B248C5"/>
    <w:rsid w:val="00B30539"/>
    <w:rsid w:val="00B314DB"/>
    <w:rsid w:val="00B361F2"/>
    <w:rsid w:val="00B3718B"/>
    <w:rsid w:val="00B3745F"/>
    <w:rsid w:val="00B41FC5"/>
    <w:rsid w:val="00B4508B"/>
    <w:rsid w:val="00B4632A"/>
    <w:rsid w:val="00B530F1"/>
    <w:rsid w:val="00B717AB"/>
    <w:rsid w:val="00B730D1"/>
    <w:rsid w:val="00B73C3C"/>
    <w:rsid w:val="00B77EB9"/>
    <w:rsid w:val="00B85D5B"/>
    <w:rsid w:val="00B932A1"/>
    <w:rsid w:val="00BA1C30"/>
    <w:rsid w:val="00BA21C4"/>
    <w:rsid w:val="00BA276C"/>
    <w:rsid w:val="00BA54FA"/>
    <w:rsid w:val="00BA605C"/>
    <w:rsid w:val="00BB306F"/>
    <w:rsid w:val="00BB4A98"/>
    <w:rsid w:val="00BB7F49"/>
    <w:rsid w:val="00BC1A66"/>
    <w:rsid w:val="00BC7248"/>
    <w:rsid w:val="00BD00A6"/>
    <w:rsid w:val="00BD41F6"/>
    <w:rsid w:val="00BD4B89"/>
    <w:rsid w:val="00BD5922"/>
    <w:rsid w:val="00BE6F6B"/>
    <w:rsid w:val="00BF02CB"/>
    <w:rsid w:val="00BF1673"/>
    <w:rsid w:val="00BF6AB5"/>
    <w:rsid w:val="00BF6FD8"/>
    <w:rsid w:val="00C03680"/>
    <w:rsid w:val="00C054DF"/>
    <w:rsid w:val="00C06A58"/>
    <w:rsid w:val="00C12820"/>
    <w:rsid w:val="00C148A2"/>
    <w:rsid w:val="00C1566D"/>
    <w:rsid w:val="00C21762"/>
    <w:rsid w:val="00C21FEF"/>
    <w:rsid w:val="00C23163"/>
    <w:rsid w:val="00C24543"/>
    <w:rsid w:val="00C256A2"/>
    <w:rsid w:val="00C35710"/>
    <w:rsid w:val="00C47A0F"/>
    <w:rsid w:val="00C50EC4"/>
    <w:rsid w:val="00C51515"/>
    <w:rsid w:val="00C55DB6"/>
    <w:rsid w:val="00C5660B"/>
    <w:rsid w:val="00C57000"/>
    <w:rsid w:val="00C61171"/>
    <w:rsid w:val="00C62060"/>
    <w:rsid w:val="00C63B3F"/>
    <w:rsid w:val="00C66B72"/>
    <w:rsid w:val="00C75B0F"/>
    <w:rsid w:val="00C82D2C"/>
    <w:rsid w:val="00C862DA"/>
    <w:rsid w:val="00C87AC4"/>
    <w:rsid w:val="00C9072E"/>
    <w:rsid w:val="00C95466"/>
    <w:rsid w:val="00C9567A"/>
    <w:rsid w:val="00CA7C20"/>
    <w:rsid w:val="00CB212D"/>
    <w:rsid w:val="00CB2660"/>
    <w:rsid w:val="00CB2822"/>
    <w:rsid w:val="00CB6E50"/>
    <w:rsid w:val="00CB7BF4"/>
    <w:rsid w:val="00CC5E90"/>
    <w:rsid w:val="00CC5FA8"/>
    <w:rsid w:val="00CD046C"/>
    <w:rsid w:val="00CD145A"/>
    <w:rsid w:val="00CD1F4A"/>
    <w:rsid w:val="00CE076C"/>
    <w:rsid w:val="00CE5199"/>
    <w:rsid w:val="00CE66D5"/>
    <w:rsid w:val="00CF35FA"/>
    <w:rsid w:val="00CF637A"/>
    <w:rsid w:val="00D059DE"/>
    <w:rsid w:val="00D05ABD"/>
    <w:rsid w:val="00D05B94"/>
    <w:rsid w:val="00D10475"/>
    <w:rsid w:val="00D10CFE"/>
    <w:rsid w:val="00D129D7"/>
    <w:rsid w:val="00D13FCE"/>
    <w:rsid w:val="00D149C6"/>
    <w:rsid w:val="00D1719A"/>
    <w:rsid w:val="00D306D1"/>
    <w:rsid w:val="00D30800"/>
    <w:rsid w:val="00D34786"/>
    <w:rsid w:val="00D36CEF"/>
    <w:rsid w:val="00D37BFC"/>
    <w:rsid w:val="00D47A8E"/>
    <w:rsid w:val="00D52D14"/>
    <w:rsid w:val="00D539FF"/>
    <w:rsid w:val="00D712D3"/>
    <w:rsid w:val="00D71422"/>
    <w:rsid w:val="00D72DC6"/>
    <w:rsid w:val="00D7558D"/>
    <w:rsid w:val="00D81D92"/>
    <w:rsid w:val="00D83D83"/>
    <w:rsid w:val="00D876F9"/>
    <w:rsid w:val="00D902AF"/>
    <w:rsid w:val="00D928D6"/>
    <w:rsid w:val="00DA7B5F"/>
    <w:rsid w:val="00DC11E7"/>
    <w:rsid w:val="00DC24E3"/>
    <w:rsid w:val="00DC28FF"/>
    <w:rsid w:val="00DC7023"/>
    <w:rsid w:val="00DC769A"/>
    <w:rsid w:val="00DD028E"/>
    <w:rsid w:val="00DD2D7F"/>
    <w:rsid w:val="00DD3D86"/>
    <w:rsid w:val="00DD4AD2"/>
    <w:rsid w:val="00DE37D3"/>
    <w:rsid w:val="00DF1EC4"/>
    <w:rsid w:val="00DF4569"/>
    <w:rsid w:val="00E01DCB"/>
    <w:rsid w:val="00E0340B"/>
    <w:rsid w:val="00E04A90"/>
    <w:rsid w:val="00E0551F"/>
    <w:rsid w:val="00E05C8B"/>
    <w:rsid w:val="00E107AB"/>
    <w:rsid w:val="00E12FD1"/>
    <w:rsid w:val="00E161C1"/>
    <w:rsid w:val="00E219C7"/>
    <w:rsid w:val="00E23A69"/>
    <w:rsid w:val="00E37D72"/>
    <w:rsid w:val="00E4118C"/>
    <w:rsid w:val="00E41A79"/>
    <w:rsid w:val="00E43157"/>
    <w:rsid w:val="00E461CE"/>
    <w:rsid w:val="00E5195D"/>
    <w:rsid w:val="00E51AF3"/>
    <w:rsid w:val="00E55377"/>
    <w:rsid w:val="00E60F42"/>
    <w:rsid w:val="00E720CA"/>
    <w:rsid w:val="00E83C16"/>
    <w:rsid w:val="00E84EB5"/>
    <w:rsid w:val="00E85662"/>
    <w:rsid w:val="00E8789F"/>
    <w:rsid w:val="00E972B7"/>
    <w:rsid w:val="00E97B71"/>
    <w:rsid w:val="00EA33EB"/>
    <w:rsid w:val="00EA3D34"/>
    <w:rsid w:val="00EA6C9F"/>
    <w:rsid w:val="00EB454D"/>
    <w:rsid w:val="00EB67EF"/>
    <w:rsid w:val="00EC6D38"/>
    <w:rsid w:val="00ED25D8"/>
    <w:rsid w:val="00ED479C"/>
    <w:rsid w:val="00ED5380"/>
    <w:rsid w:val="00ED549D"/>
    <w:rsid w:val="00ED7338"/>
    <w:rsid w:val="00ED76BE"/>
    <w:rsid w:val="00EE00E9"/>
    <w:rsid w:val="00EE4781"/>
    <w:rsid w:val="00EE71DA"/>
    <w:rsid w:val="00EF619B"/>
    <w:rsid w:val="00F00B55"/>
    <w:rsid w:val="00F02AD1"/>
    <w:rsid w:val="00F239D8"/>
    <w:rsid w:val="00F253CC"/>
    <w:rsid w:val="00F26354"/>
    <w:rsid w:val="00F263CD"/>
    <w:rsid w:val="00F27998"/>
    <w:rsid w:val="00F31F27"/>
    <w:rsid w:val="00F33DDD"/>
    <w:rsid w:val="00F35DB9"/>
    <w:rsid w:val="00F37106"/>
    <w:rsid w:val="00F43E6F"/>
    <w:rsid w:val="00F519CF"/>
    <w:rsid w:val="00F56BA5"/>
    <w:rsid w:val="00F5754E"/>
    <w:rsid w:val="00F6094B"/>
    <w:rsid w:val="00F60E22"/>
    <w:rsid w:val="00F66B09"/>
    <w:rsid w:val="00F70268"/>
    <w:rsid w:val="00F71AE4"/>
    <w:rsid w:val="00F81231"/>
    <w:rsid w:val="00F81395"/>
    <w:rsid w:val="00F81A83"/>
    <w:rsid w:val="00F81BB8"/>
    <w:rsid w:val="00F84D46"/>
    <w:rsid w:val="00F917D1"/>
    <w:rsid w:val="00F9653B"/>
    <w:rsid w:val="00F96BD3"/>
    <w:rsid w:val="00FA7529"/>
    <w:rsid w:val="00FB308D"/>
    <w:rsid w:val="00FB4E77"/>
    <w:rsid w:val="00FB62CF"/>
    <w:rsid w:val="00FB7921"/>
    <w:rsid w:val="00FD1D99"/>
    <w:rsid w:val="00FD3C3B"/>
    <w:rsid w:val="00FD6DF8"/>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01BA4"/>
    <w:rPr>
      <w:sz w:val="16"/>
      <w:szCs w:val="16"/>
    </w:rPr>
  </w:style>
  <w:style w:type="paragraph" w:styleId="CommentText">
    <w:name w:val="annotation text"/>
    <w:basedOn w:val="Normal"/>
    <w:link w:val="CommentTextChar"/>
    <w:uiPriority w:val="99"/>
    <w:semiHidden/>
    <w:unhideWhenUsed/>
    <w:rsid w:val="00A01BA4"/>
    <w:rPr>
      <w:sz w:val="20"/>
      <w:szCs w:val="20"/>
    </w:rPr>
  </w:style>
  <w:style w:type="character" w:customStyle="1" w:styleId="CommentTextChar">
    <w:name w:val="Comment Text Char"/>
    <w:basedOn w:val="DefaultParagraphFont"/>
    <w:link w:val="CommentText"/>
    <w:uiPriority w:val="99"/>
    <w:semiHidden/>
    <w:rsid w:val="00A01BA4"/>
    <w:rPr>
      <w:lang w:val="en-US" w:eastAsia="en-US"/>
    </w:rPr>
  </w:style>
  <w:style w:type="paragraph" w:styleId="CommentSubject">
    <w:name w:val="annotation subject"/>
    <w:basedOn w:val="CommentText"/>
    <w:next w:val="CommentText"/>
    <w:link w:val="CommentSubjectChar"/>
    <w:uiPriority w:val="99"/>
    <w:semiHidden/>
    <w:unhideWhenUsed/>
    <w:rsid w:val="00A01BA4"/>
    <w:rPr>
      <w:b/>
      <w:bCs/>
    </w:rPr>
  </w:style>
  <w:style w:type="character" w:customStyle="1" w:styleId="CommentSubjectChar">
    <w:name w:val="Comment Subject Char"/>
    <w:basedOn w:val="CommentTextChar"/>
    <w:link w:val="CommentSubject"/>
    <w:uiPriority w:val="99"/>
    <w:semiHidden/>
    <w:rsid w:val="00A01BA4"/>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93052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1239A6"/>
    <w:rsid w:val="00167BD6"/>
    <w:rsid w:val="00200821"/>
    <w:rsid w:val="002108EE"/>
    <w:rsid w:val="00242059"/>
    <w:rsid w:val="00262C6C"/>
    <w:rsid w:val="002A391E"/>
    <w:rsid w:val="002C4482"/>
    <w:rsid w:val="00353BAA"/>
    <w:rsid w:val="00394049"/>
    <w:rsid w:val="003E11CE"/>
    <w:rsid w:val="00423812"/>
    <w:rsid w:val="004B17CB"/>
    <w:rsid w:val="004F1EF8"/>
    <w:rsid w:val="004F2DF8"/>
    <w:rsid w:val="00537504"/>
    <w:rsid w:val="00551B8D"/>
    <w:rsid w:val="00560FA4"/>
    <w:rsid w:val="005D4082"/>
    <w:rsid w:val="006745B8"/>
    <w:rsid w:val="007941E7"/>
    <w:rsid w:val="007A216A"/>
    <w:rsid w:val="007A7A0A"/>
    <w:rsid w:val="007D5B6E"/>
    <w:rsid w:val="008D506F"/>
    <w:rsid w:val="00903B94"/>
    <w:rsid w:val="00920A34"/>
    <w:rsid w:val="00926FDA"/>
    <w:rsid w:val="009A261B"/>
    <w:rsid w:val="00AC15A4"/>
    <w:rsid w:val="00B0336C"/>
    <w:rsid w:val="00B32B61"/>
    <w:rsid w:val="00C04BC3"/>
    <w:rsid w:val="00C275A5"/>
    <w:rsid w:val="00C36E20"/>
    <w:rsid w:val="00C773B4"/>
    <w:rsid w:val="00CE3DA6"/>
    <w:rsid w:val="00CF606F"/>
    <w:rsid w:val="00D21F09"/>
    <w:rsid w:val="00D54716"/>
    <w:rsid w:val="00D64B43"/>
    <w:rsid w:val="00DC67C5"/>
    <w:rsid w:val="00E27893"/>
    <w:rsid w:val="00E57916"/>
    <w:rsid w:val="00EB0018"/>
    <w:rsid w:val="00F00D2F"/>
    <w:rsid w:val="00F03134"/>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25A71-892A-49DD-93BD-34A27E466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3176</Words>
  <Characters>16739</Characters>
  <Application>Microsoft Office Word</Application>
  <DocSecurity>0</DocSecurity>
  <Lines>232</Lines>
  <Paragraphs>36</Paragraphs>
  <ScaleCrop>false</ScaleCrop>
  <Company/>
  <LinksUpToDate>false</LinksUpToDate>
  <CharactersWithSpaces>19879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261/20</dc:title>
  <dc:creator/>
  <cp:lastModifiedBy/>
  <cp:revision>1</cp:revision>
  <dcterms:created xsi:type="dcterms:W3CDTF">2020-10-20T12:29:00Z</dcterms:created>
  <dcterms:modified xsi:type="dcterms:W3CDTF">2020-10-20T12:29:00Z</dcterms:modified>
</cp:coreProperties>
</file>